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F66C0">
      <w:pPr>
        <w:rPr>
          <w:rFonts w:ascii="宋体" w:hAnsi="宋体"/>
        </w:rPr>
      </w:pPr>
      <w:bookmarkStart w:id="0" w:name="ReturnPositionBookmark_9090"/>
      <w:bookmarkEnd w:id="0"/>
      <w:r>
        <w:rPr>
          <w:rFonts w:hint="eastAsia" w:ascii="宋体" w:hAnsi="宋体"/>
        </w:rPr>
        <w:t xml:space="preserve">                            </w:t>
      </w:r>
    </w:p>
    <w:p w14:paraId="08DF58E1">
      <w:pPr>
        <w:rPr>
          <w:rFonts w:ascii="宋体" w:hAnsi="宋体"/>
          <w:b/>
          <w:bCs/>
          <w:sz w:val="24"/>
        </w:rPr>
      </w:pPr>
    </w:p>
    <w:p w14:paraId="111AD181">
      <w:pPr>
        <w:ind w:left="-210" w:right="-210"/>
        <w:jc w:val="center"/>
        <w:rPr>
          <w:rFonts w:ascii="宋体" w:hAnsi="宋体"/>
        </w:rPr>
      </w:pPr>
    </w:p>
    <w:p w14:paraId="15A1FFAE"/>
    <w:p w14:paraId="1C6F2F00"/>
    <w:p w14:paraId="60B92C61">
      <w:pPr>
        <w:jc w:val="center"/>
        <w:rPr>
          <w:rFonts w:ascii="宋体" w:hAnsi="宋体"/>
          <w:b/>
          <w:sz w:val="52"/>
          <w:szCs w:val="52"/>
        </w:rPr>
      </w:pPr>
      <w:r>
        <w:rPr>
          <w:rFonts w:ascii="宋体" w:hAnsi="宋体"/>
          <w:b/>
          <w:sz w:val="52"/>
          <w:szCs w:val="52"/>
        </w:rPr>
        <w:drawing>
          <wp:inline distT="0" distB="0" distL="0" distR="0">
            <wp:extent cx="1121410" cy="1073150"/>
            <wp:effectExtent l="0" t="0" r="2540"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1121410" cy="1073150"/>
                    </a:xfrm>
                    <a:prstGeom prst="rect">
                      <a:avLst/>
                    </a:prstGeom>
                    <a:noFill/>
                    <a:ln>
                      <a:noFill/>
                    </a:ln>
                  </pic:spPr>
                </pic:pic>
              </a:graphicData>
            </a:graphic>
          </wp:inline>
        </w:drawing>
      </w:r>
    </w:p>
    <w:p w14:paraId="0DC51EFB">
      <w:pPr>
        <w:pStyle w:val="2"/>
        <w:rPr>
          <w:rFonts w:hint="default"/>
        </w:rPr>
      </w:pPr>
    </w:p>
    <w:p w14:paraId="7E326600"/>
    <w:p w14:paraId="5F86E1FF"/>
    <w:p w14:paraId="25890ADB">
      <w:pPr>
        <w:spacing w:line="480" w:lineRule="auto"/>
        <w:jc w:val="center"/>
        <w:rPr>
          <w:rFonts w:ascii="宋体" w:hAnsi="宋体" w:cs="宋体"/>
          <w:bCs/>
          <w:sz w:val="52"/>
          <w:szCs w:val="52"/>
        </w:rPr>
      </w:pPr>
      <w:r>
        <w:rPr>
          <w:rFonts w:hint="eastAsia" w:ascii="宋体" w:hAnsi="宋体" w:cs="宋体"/>
          <w:bCs/>
          <w:sz w:val="52"/>
          <w:szCs w:val="52"/>
        </w:rPr>
        <w:t>昆 山 市 政 府 采 购</w:t>
      </w:r>
    </w:p>
    <w:p w14:paraId="6BC380C7">
      <w:pPr>
        <w:spacing w:line="480" w:lineRule="auto"/>
        <w:jc w:val="center"/>
        <w:rPr>
          <w:rFonts w:ascii="宋体" w:hAnsi="宋体" w:cs="宋体"/>
          <w:bCs/>
          <w:sz w:val="52"/>
          <w:szCs w:val="52"/>
        </w:rPr>
      </w:pPr>
      <w:r>
        <w:rPr>
          <w:rFonts w:hint="eastAsia" w:ascii="宋体" w:hAnsi="宋体" w:cs="宋体"/>
          <w:bCs/>
          <w:sz w:val="52"/>
          <w:szCs w:val="52"/>
        </w:rPr>
        <w:t>公 开 招 标 文 件</w:t>
      </w:r>
    </w:p>
    <w:p w14:paraId="581A0399">
      <w:pPr>
        <w:ind w:left="-210" w:right="-210"/>
        <w:rPr>
          <w:rFonts w:ascii="宋体" w:hAnsi="宋体"/>
        </w:rPr>
      </w:pPr>
    </w:p>
    <w:p w14:paraId="762AE7E8"/>
    <w:p w14:paraId="2E039E5D"/>
    <w:p w14:paraId="4DACD80A">
      <w:pPr>
        <w:ind w:right="-210"/>
        <w:rPr>
          <w:rFonts w:ascii="宋体" w:hAnsi="宋体"/>
        </w:rPr>
      </w:pPr>
    </w:p>
    <w:tbl>
      <w:tblPr>
        <w:tblStyle w:val="13"/>
        <w:tblW w:w="0" w:type="auto"/>
        <w:jc w:val="center"/>
        <w:tblLayout w:type="fixed"/>
        <w:tblCellMar>
          <w:top w:w="0" w:type="dxa"/>
          <w:left w:w="108" w:type="dxa"/>
          <w:bottom w:w="0" w:type="dxa"/>
          <w:right w:w="108" w:type="dxa"/>
        </w:tblCellMar>
      </w:tblPr>
      <w:tblGrid>
        <w:gridCol w:w="1911"/>
        <w:gridCol w:w="5788"/>
      </w:tblGrid>
      <w:tr w14:paraId="54A9646A">
        <w:tblPrEx>
          <w:tblCellMar>
            <w:top w:w="0" w:type="dxa"/>
            <w:left w:w="108" w:type="dxa"/>
            <w:bottom w:w="0" w:type="dxa"/>
            <w:right w:w="108" w:type="dxa"/>
          </w:tblCellMar>
        </w:tblPrEx>
        <w:trPr>
          <w:trHeight w:val="591" w:hRule="atLeast"/>
          <w:jc w:val="center"/>
        </w:trPr>
        <w:tc>
          <w:tcPr>
            <w:tcW w:w="1911" w:type="dxa"/>
            <w:tcBorders>
              <w:top w:val="nil"/>
              <w:left w:val="nil"/>
              <w:bottom w:val="nil"/>
              <w:right w:val="nil"/>
            </w:tcBorders>
            <w:noWrap w:val="0"/>
            <w:tcMar>
              <w:top w:w="0" w:type="dxa"/>
              <w:left w:w="108" w:type="dxa"/>
              <w:bottom w:w="0" w:type="dxa"/>
              <w:right w:w="108" w:type="dxa"/>
            </w:tcMar>
          </w:tcPr>
          <w:p w14:paraId="44E0D240">
            <w:pPr>
              <w:spacing w:line="600" w:lineRule="exact"/>
              <w:jc w:val="center"/>
              <w:rPr>
                <w:rFonts w:ascii="宋体" w:hAnsi="宋体" w:cs="Arial"/>
                <w:sz w:val="32"/>
                <w:szCs w:val="32"/>
              </w:rPr>
            </w:pPr>
            <w:r>
              <w:rPr>
                <w:rFonts w:hint="eastAsia" w:ascii="宋体" w:hAnsi="宋体" w:cs="Arial"/>
                <w:sz w:val="32"/>
                <w:szCs w:val="32"/>
              </w:rPr>
              <w:t>项目编号：</w:t>
            </w:r>
          </w:p>
        </w:tc>
        <w:tc>
          <w:tcPr>
            <w:tcW w:w="5788" w:type="dxa"/>
            <w:tcBorders>
              <w:top w:val="nil"/>
              <w:left w:val="nil"/>
              <w:bottom w:val="single" w:color="000000" w:sz="4" w:space="0"/>
              <w:right w:val="nil"/>
            </w:tcBorders>
            <w:noWrap w:val="0"/>
            <w:tcMar>
              <w:top w:w="0" w:type="dxa"/>
              <w:left w:w="108" w:type="dxa"/>
              <w:bottom w:w="0" w:type="dxa"/>
              <w:right w:w="108" w:type="dxa"/>
            </w:tcMar>
          </w:tcPr>
          <w:p w14:paraId="77CBE6E2">
            <w:pPr>
              <w:spacing w:line="600" w:lineRule="exact"/>
              <w:jc w:val="left"/>
              <w:rPr>
                <w:rFonts w:ascii="宋体" w:hAnsi="宋体" w:cs="Arial"/>
                <w:sz w:val="32"/>
                <w:szCs w:val="32"/>
              </w:rPr>
            </w:pPr>
            <w:r>
              <w:rPr>
                <w:rFonts w:hint="eastAsia" w:ascii="宋体" w:hAnsi="宋体" w:cs="宋体"/>
                <w:sz w:val="32"/>
                <w:szCs w:val="32"/>
              </w:rPr>
              <w:t>JSZC-320583-YZDC-G2026-0017</w:t>
            </w:r>
          </w:p>
        </w:tc>
      </w:tr>
      <w:tr w14:paraId="63747D14">
        <w:tblPrEx>
          <w:tblCellMar>
            <w:top w:w="0" w:type="dxa"/>
            <w:left w:w="108" w:type="dxa"/>
            <w:bottom w:w="0" w:type="dxa"/>
            <w:right w:w="108" w:type="dxa"/>
          </w:tblCellMar>
        </w:tblPrEx>
        <w:trPr>
          <w:trHeight w:val="603" w:hRule="atLeast"/>
          <w:jc w:val="center"/>
        </w:trPr>
        <w:tc>
          <w:tcPr>
            <w:tcW w:w="1911" w:type="dxa"/>
            <w:tcBorders>
              <w:top w:val="nil"/>
              <w:left w:val="nil"/>
              <w:bottom w:val="nil"/>
              <w:right w:val="nil"/>
            </w:tcBorders>
            <w:noWrap w:val="0"/>
            <w:tcMar>
              <w:top w:w="0" w:type="dxa"/>
              <w:left w:w="108" w:type="dxa"/>
              <w:bottom w:w="0" w:type="dxa"/>
              <w:right w:w="108" w:type="dxa"/>
            </w:tcMar>
          </w:tcPr>
          <w:p w14:paraId="3CE63B52">
            <w:pPr>
              <w:spacing w:line="600" w:lineRule="exact"/>
              <w:jc w:val="center"/>
              <w:rPr>
                <w:rFonts w:ascii="宋体" w:hAnsi="宋体" w:cs="Arial"/>
                <w:sz w:val="32"/>
                <w:szCs w:val="32"/>
              </w:rPr>
            </w:pPr>
            <w:r>
              <w:rPr>
                <w:rFonts w:hint="eastAsia" w:ascii="宋体" w:hAnsi="宋体" w:cs="Arial"/>
                <w:sz w:val="32"/>
                <w:szCs w:val="32"/>
              </w:rPr>
              <w:t>采 购 人：</w:t>
            </w:r>
          </w:p>
        </w:tc>
        <w:tc>
          <w:tcPr>
            <w:tcW w:w="5788" w:type="dxa"/>
            <w:tcBorders>
              <w:top w:val="single" w:color="000000" w:sz="4" w:space="0"/>
              <w:left w:val="nil"/>
              <w:bottom w:val="single" w:color="000000" w:sz="4" w:space="0"/>
              <w:right w:val="nil"/>
            </w:tcBorders>
            <w:noWrap w:val="0"/>
            <w:tcMar>
              <w:top w:w="0" w:type="dxa"/>
              <w:left w:w="108" w:type="dxa"/>
              <w:bottom w:w="0" w:type="dxa"/>
              <w:right w:w="108" w:type="dxa"/>
            </w:tcMar>
          </w:tcPr>
          <w:p w14:paraId="40A95B52">
            <w:pPr>
              <w:spacing w:line="600" w:lineRule="exact"/>
              <w:jc w:val="left"/>
              <w:rPr>
                <w:rFonts w:ascii="宋体" w:hAnsi="宋体" w:cs="Arial"/>
                <w:sz w:val="32"/>
                <w:szCs w:val="32"/>
              </w:rPr>
            </w:pPr>
            <w:r>
              <w:rPr>
                <w:rFonts w:hint="eastAsia" w:ascii="宋体" w:hAnsi="宋体" w:cs="Arial"/>
                <w:sz w:val="32"/>
                <w:szCs w:val="32"/>
              </w:rPr>
              <w:t>昆山市花桥镇人民政府</w:t>
            </w:r>
          </w:p>
        </w:tc>
      </w:tr>
      <w:tr w14:paraId="63279B77">
        <w:tblPrEx>
          <w:tblCellMar>
            <w:top w:w="0" w:type="dxa"/>
            <w:left w:w="108" w:type="dxa"/>
            <w:bottom w:w="0" w:type="dxa"/>
            <w:right w:w="108" w:type="dxa"/>
          </w:tblCellMar>
        </w:tblPrEx>
        <w:trPr>
          <w:trHeight w:val="610" w:hRule="atLeast"/>
          <w:jc w:val="center"/>
        </w:trPr>
        <w:tc>
          <w:tcPr>
            <w:tcW w:w="1911" w:type="dxa"/>
            <w:tcBorders>
              <w:top w:val="nil"/>
              <w:left w:val="nil"/>
              <w:bottom w:val="nil"/>
              <w:right w:val="nil"/>
            </w:tcBorders>
            <w:noWrap w:val="0"/>
            <w:tcMar>
              <w:top w:w="0" w:type="dxa"/>
              <w:left w:w="108" w:type="dxa"/>
              <w:bottom w:w="0" w:type="dxa"/>
              <w:right w:w="108" w:type="dxa"/>
            </w:tcMar>
          </w:tcPr>
          <w:p w14:paraId="3338F57F">
            <w:pPr>
              <w:spacing w:line="600" w:lineRule="exact"/>
              <w:jc w:val="center"/>
              <w:rPr>
                <w:rFonts w:ascii="宋体" w:hAnsi="宋体" w:cs="Arial"/>
                <w:sz w:val="32"/>
                <w:szCs w:val="32"/>
              </w:rPr>
            </w:pPr>
            <w:r>
              <w:rPr>
                <w:rFonts w:hint="eastAsia" w:ascii="宋体" w:hAnsi="宋体" w:cs="Arial"/>
                <w:sz w:val="32"/>
                <w:szCs w:val="32"/>
              </w:rPr>
              <w:t>项目名称：</w:t>
            </w:r>
          </w:p>
        </w:tc>
        <w:tc>
          <w:tcPr>
            <w:tcW w:w="5788" w:type="dxa"/>
            <w:tcBorders>
              <w:top w:val="single" w:color="000000" w:sz="4" w:space="0"/>
              <w:left w:val="nil"/>
              <w:bottom w:val="single" w:color="000000" w:sz="4" w:space="0"/>
              <w:right w:val="nil"/>
            </w:tcBorders>
            <w:noWrap w:val="0"/>
            <w:tcMar>
              <w:top w:w="0" w:type="dxa"/>
              <w:left w:w="108" w:type="dxa"/>
              <w:bottom w:w="0" w:type="dxa"/>
              <w:right w:w="108" w:type="dxa"/>
            </w:tcMar>
          </w:tcPr>
          <w:p w14:paraId="7BBBEF0C">
            <w:pPr>
              <w:spacing w:line="600" w:lineRule="exact"/>
              <w:jc w:val="left"/>
              <w:rPr>
                <w:rFonts w:ascii="宋体" w:hAnsi="宋体" w:cs="Arial"/>
                <w:sz w:val="32"/>
                <w:szCs w:val="32"/>
              </w:rPr>
            </w:pPr>
            <w:r>
              <w:rPr>
                <w:rFonts w:hint="eastAsia" w:ascii="宋体" w:hAnsi="宋体" w:cs="Arial"/>
                <w:sz w:val="32"/>
                <w:szCs w:val="32"/>
              </w:rPr>
              <w:t>2026-2028年度病媒生物防制服务项目</w:t>
            </w:r>
          </w:p>
        </w:tc>
      </w:tr>
    </w:tbl>
    <w:p w14:paraId="79D06842">
      <w:pPr>
        <w:spacing w:line="600" w:lineRule="exact"/>
        <w:rPr>
          <w:rFonts w:ascii="宋体" w:hAnsi="宋体" w:cs="Arial"/>
        </w:rPr>
      </w:pPr>
    </w:p>
    <w:p w14:paraId="657D6717"/>
    <w:p w14:paraId="1C7709BE">
      <w:pPr>
        <w:rPr>
          <w:rFonts w:ascii="宋体" w:hAnsi="宋体"/>
        </w:rPr>
      </w:pPr>
    </w:p>
    <w:p w14:paraId="6BB6D9C8">
      <w:pPr>
        <w:rPr>
          <w:rFonts w:ascii="宋体" w:hAnsi="宋体"/>
        </w:rPr>
      </w:pPr>
    </w:p>
    <w:p w14:paraId="5E693CC8">
      <w:pPr>
        <w:rPr>
          <w:rFonts w:ascii="宋体" w:hAnsi="宋体"/>
        </w:rPr>
      </w:pPr>
    </w:p>
    <w:p w14:paraId="3A04067B">
      <w:pPr>
        <w:rPr>
          <w:rFonts w:ascii="宋体" w:hAnsi="宋体" w:cs="宋体"/>
        </w:rPr>
      </w:pPr>
    </w:p>
    <w:p w14:paraId="685BCBD0">
      <w:pPr>
        <w:jc w:val="center"/>
        <w:rPr>
          <w:rFonts w:ascii="宋体" w:hAnsi="宋体" w:cs="Arial"/>
          <w:sz w:val="32"/>
          <w:szCs w:val="32"/>
        </w:rPr>
      </w:pPr>
      <w:r>
        <w:rPr>
          <w:rFonts w:hint="eastAsia" w:ascii="宋体" w:hAnsi="宋体" w:cs="Arial"/>
          <w:sz w:val="32"/>
          <w:szCs w:val="32"/>
        </w:rPr>
        <w:t>江苏省鼎诚建设工程顾问有限公司</w:t>
      </w:r>
    </w:p>
    <w:p w14:paraId="2BD2C941">
      <w:pPr>
        <w:jc w:val="center"/>
        <w:rPr>
          <w:rFonts w:ascii="宋体" w:hAnsi="宋体" w:cs="Arial"/>
          <w:sz w:val="32"/>
          <w:szCs w:val="32"/>
        </w:rPr>
        <w:sectPr>
          <w:headerReference r:id="rId4" w:type="first"/>
          <w:footerReference r:id="rId6" w:type="first"/>
          <w:headerReference r:id="rId3" w:type="default"/>
          <w:footerReference r:id="rId5" w:type="default"/>
          <w:pgSz w:w="11906" w:h="16838"/>
          <w:pgMar w:top="1247" w:right="1361" w:bottom="1247" w:left="1361" w:header="850" w:footer="794" w:gutter="0"/>
          <w:pgNumType w:start="1"/>
          <w:cols w:space="1701" w:num="1"/>
          <w:titlePg/>
          <w:docGrid w:linePitch="360" w:charSpace="0"/>
        </w:sectPr>
      </w:pPr>
      <w:r>
        <w:rPr>
          <w:rFonts w:ascii="宋体" w:hAnsi="宋体" w:cs="Arial"/>
          <w:sz w:val="32"/>
          <w:szCs w:val="32"/>
        </w:rPr>
        <w:t>二〇二</w:t>
      </w:r>
      <w:r>
        <w:rPr>
          <w:rFonts w:hint="eastAsia" w:ascii="宋体" w:hAnsi="宋体" w:cs="Arial"/>
          <w:sz w:val="32"/>
          <w:szCs w:val="32"/>
        </w:rPr>
        <w:t>六</w:t>
      </w:r>
      <w:r>
        <w:rPr>
          <w:rFonts w:ascii="宋体" w:hAnsi="宋体" w:cs="Arial"/>
          <w:sz w:val="32"/>
          <w:szCs w:val="32"/>
        </w:rPr>
        <w:t>年</w:t>
      </w:r>
      <w:r>
        <w:rPr>
          <w:rFonts w:hint="eastAsia" w:ascii="宋体" w:hAnsi="宋体" w:cs="Arial"/>
          <w:sz w:val="32"/>
          <w:szCs w:val="32"/>
        </w:rPr>
        <w:t>四月</w:t>
      </w:r>
    </w:p>
    <w:p w14:paraId="5297135F">
      <w:pPr>
        <w:jc w:val="center"/>
        <w:rPr>
          <w:rFonts w:ascii="宋体" w:hAnsi="宋体"/>
          <w:sz w:val="56"/>
          <w:szCs w:val="32"/>
          <w:lang w:val="zh-CN"/>
        </w:rPr>
      </w:pPr>
      <w:r>
        <w:rPr>
          <w:rFonts w:ascii="宋体" w:hAnsi="宋体"/>
          <w:sz w:val="56"/>
          <w:szCs w:val="32"/>
          <w:lang w:val="zh-CN"/>
        </w:rPr>
        <w:t>目</w:t>
      </w:r>
      <w:r>
        <w:rPr>
          <w:rFonts w:hint="eastAsia" w:ascii="宋体" w:hAnsi="宋体"/>
          <w:sz w:val="56"/>
          <w:szCs w:val="32"/>
          <w:lang w:val="zh-CN"/>
        </w:rPr>
        <w:t xml:space="preserve"> </w:t>
      </w:r>
      <w:r>
        <w:rPr>
          <w:rFonts w:ascii="宋体" w:hAnsi="宋体"/>
          <w:sz w:val="56"/>
          <w:szCs w:val="32"/>
          <w:lang w:val="zh-CN"/>
        </w:rPr>
        <w:t xml:space="preserve"> 录</w:t>
      </w:r>
    </w:p>
    <w:p w14:paraId="4348F625"/>
    <w:p w14:paraId="2B32C9CB">
      <w:pPr>
        <w:pStyle w:val="12"/>
        <w:tabs>
          <w:tab w:val="right" w:leader="dot" w:pos="9184"/>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"_Toc7071" \o "#_Toc7071" </w:instrText>
      </w:r>
      <w:r>
        <w:fldChar w:fldCharType="separate"/>
      </w:r>
      <w:r>
        <w:rPr>
          <w:rFonts w:hint="eastAsia" w:ascii="宋体" w:hAnsi="宋体" w:cs="宋体"/>
          <w:sz w:val="28"/>
          <w:szCs w:val="28"/>
        </w:rPr>
        <w:t>第一章 投标邀请函</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_Toc7071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267C596E">
      <w:pPr>
        <w:pStyle w:val="12"/>
        <w:tabs>
          <w:tab w:val="right" w:leader="dot" w:pos="9184"/>
        </w:tabs>
        <w:rPr>
          <w:rFonts w:ascii="宋体" w:hAnsi="宋体" w:cs="宋体"/>
          <w:sz w:val="28"/>
          <w:szCs w:val="28"/>
        </w:rPr>
      </w:pPr>
      <w:r>
        <w:fldChar w:fldCharType="begin"/>
      </w:r>
      <w:r>
        <w:instrText xml:space="preserve"> HYPERLINK \l "_Toc5393" \o "#_Toc5393"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_Toc5393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37360D18">
      <w:pPr>
        <w:pStyle w:val="12"/>
        <w:tabs>
          <w:tab w:val="right" w:leader="dot" w:pos="9184"/>
        </w:tabs>
        <w:rPr>
          <w:rFonts w:ascii="宋体" w:hAnsi="宋体" w:cs="宋体"/>
          <w:sz w:val="28"/>
          <w:szCs w:val="28"/>
        </w:rPr>
      </w:pPr>
      <w:r>
        <w:fldChar w:fldCharType="begin"/>
      </w:r>
      <w:r>
        <w:instrText xml:space="preserve"> HYPERLINK \l "_Toc9798" \o "#_Toc9798" </w:instrText>
      </w:r>
      <w:r>
        <w:fldChar w:fldCharType="separate"/>
      </w:r>
      <w:r>
        <w:rPr>
          <w:rFonts w:hint="eastAsia" w:ascii="宋体" w:hAnsi="宋体" w:cs="宋体"/>
          <w:sz w:val="28"/>
          <w:szCs w:val="28"/>
        </w:rPr>
        <w:t>第三章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_Toc9798 \h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14:paraId="13C3110B">
      <w:pPr>
        <w:pStyle w:val="12"/>
        <w:tabs>
          <w:tab w:val="right" w:leader="dot" w:pos="9184"/>
        </w:tabs>
        <w:rPr>
          <w:rFonts w:ascii="宋体" w:hAnsi="宋体" w:cs="宋体"/>
          <w:sz w:val="28"/>
          <w:szCs w:val="28"/>
        </w:rPr>
      </w:pPr>
      <w:r>
        <w:fldChar w:fldCharType="begin"/>
      </w:r>
      <w:r>
        <w:instrText xml:space="preserve"> HYPERLINK \l "_Toc27448" \o "#_Toc27448" </w:instrText>
      </w:r>
      <w:r>
        <w:fldChar w:fldCharType="separate"/>
      </w:r>
      <w:r>
        <w:rPr>
          <w:rFonts w:hint="eastAsia" w:ascii="宋体" w:hAnsi="宋体" w:cs="宋体"/>
          <w:sz w:val="28"/>
          <w:szCs w:val="28"/>
        </w:rPr>
        <w:t>第四章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_Toc27448 \h </w:instrText>
      </w:r>
      <w:r>
        <w:rPr>
          <w:rFonts w:hint="eastAsia" w:ascii="宋体" w:hAnsi="宋体" w:cs="宋体"/>
          <w:sz w:val="28"/>
          <w:szCs w:val="28"/>
        </w:rPr>
        <w:fldChar w:fldCharType="separate"/>
      </w:r>
      <w:r>
        <w:rPr>
          <w:rFonts w:hint="eastAsia" w:ascii="宋体" w:hAnsi="宋体" w:cs="宋体"/>
          <w:sz w:val="28"/>
          <w:szCs w:val="28"/>
        </w:rPr>
        <w:t>32</w:t>
      </w:r>
      <w:r>
        <w:rPr>
          <w:rFonts w:hint="eastAsia" w:ascii="宋体" w:hAnsi="宋体" w:cs="宋体"/>
          <w:sz w:val="28"/>
          <w:szCs w:val="28"/>
        </w:rPr>
        <w:fldChar w:fldCharType="end"/>
      </w:r>
      <w:r>
        <w:rPr>
          <w:rFonts w:hint="eastAsia" w:ascii="宋体" w:hAnsi="宋体" w:cs="宋体"/>
          <w:sz w:val="28"/>
          <w:szCs w:val="28"/>
        </w:rPr>
        <w:fldChar w:fldCharType="end"/>
      </w:r>
    </w:p>
    <w:p w14:paraId="535E7D15">
      <w:pPr>
        <w:pStyle w:val="12"/>
        <w:tabs>
          <w:tab w:val="right" w:leader="dot" w:pos="9184"/>
        </w:tabs>
        <w:rPr>
          <w:rFonts w:ascii="宋体" w:hAnsi="宋体" w:cs="宋体"/>
          <w:sz w:val="28"/>
          <w:szCs w:val="28"/>
        </w:rPr>
      </w:pPr>
      <w:r>
        <w:fldChar w:fldCharType="begin"/>
      </w:r>
      <w:r>
        <w:instrText xml:space="preserve"> HYPERLINK \l "_Toc7969" \o "#_Toc7969" </w:instrText>
      </w:r>
      <w:r>
        <w:fldChar w:fldCharType="separate"/>
      </w:r>
      <w:r>
        <w:rPr>
          <w:rFonts w:hint="eastAsia" w:ascii="宋体" w:hAnsi="宋体" w:cs="宋体"/>
          <w:sz w:val="28"/>
          <w:szCs w:val="28"/>
        </w:rPr>
        <w:t>第五章 合同主要内容</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_Toc7969 \h </w:instrText>
      </w:r>
      <w:r>
        <w:rPr>
          <w:rFonts w:hint="eastAsia" w:ascii="宋体" w:hAnsi="宋体" w:cs="宋体"/>
          <w:sz w:val="28"/>
          <w:szCs w:val="28"/>
        </w:rPr>
        <w:fldChar w:fldCharType="separate"/>
      </w:r>
      <w:r>
        <w:rPr>
          <w:rFonts w:hint="eastAsia" w:ascii="宋体" w:hAnsi="宋体" w:cs="宋体"/>
          <w:sz w:val="28"/>
          <w:szCs w:val="28"/>
        </w:rPr>
        <w:t>39</w:t>
      </w:r>
      <w:r>
        <w:rPr>
          <w:rFonts w:hint="eastAsia" w:ascii="宋体" w:hAnsi="宋体" w:cs="宋体"/>
          <w:sz w:val="28"/>
          <w:szCs w:val="28"/>
        </w:rPr>
        <w:fldChar w:fldCharType="end"/>
      </w:r>
      <w:r>
        <w:rPr>
          <w:rFonts w:hint="eastAsia" w:ascii="宋体" w:hAnsi="宋体" w:cs="宋体"/>
          <w:sz w:val="28"/>
          <w:szCs w:val="28"/>
        </w:rPr>
        <w:fldChar w:fldCharType="end"/>
      </w:r>
    </w:p>
    <w:p w14:paraId="5663043E">
      <w:pPr>
        <w:pStyle w:val="12"/>
        <w:tabs>
          <w:tab w:val="right" w:leader="dot" w:pos="9184"/>
        </w:tabs>
        <w:rPr>
          <w:rFonts w:ascii="宋体" w:hAnsi="宋体" w:cs="宋体"/>
          <w:sz w:val="28"/>
          <w:szCs w:val="28"/>
        </w:rPr>
      </w:pPr>
      <w:r>
        <w:fldChar w:fldCharType="begin"/>
      </w:r>
      <w:r>
        <w:instrText xml:space="preserve"> HYPERLINK \l "_Toc30169" \o "#_Toc30169" </w:instrText>
      </w:r>
      <w:r>
        <w:fldChar w:fldCharType="separate"/>
      </w:r>
      <w:r>
        <w:rPr>
          <w:rFonts w:hint="eastAsia" w:ascii="宋体" w:hAnsi="宋体" w:cs="宋体"/>
          <w:sz w:val="28"/>
          <w:szCs w:val="28"/>
        </w:rPr>
        <w:t>第六章 评标方法、评标标准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_Toc30169 \h </w:instrText>
      </w:r>
      <w:r>
        <w:rPr>
          <w:rFonts w:hint="eastAsia" w:ascii="宋体" w:hAnsi="宋体" w:cs="宋体"/>
          <w:sz w:val="28"/>
          <w:szCs w:val="28"/>
        </w:rPr>
        <w:fldChar w:fldCharType="separate"/>
      </w:r>
      <w:r>
        <w:rPr>
          <w:rFonts w:hint="eastAsia" w:ascii="宋体" w:hAnsi="宋体" w:cs="宋体"/>
          <w:sz w:val="28"/>
          <w:szCs w:val="28"/>
        </w:rPr>
        <w:t>43</w:t>
      </w:r>
      <w:r>
        <w:rPr>
          <w:rFonts w:hint="eastAsia" w:ascii="宋体" w:hAnsi="宋体" w:cs="宋体"/>
          <w:sz w:val="28"/>
          <w:szCs w:val="28"/>
        </w:rPr>
        <w:fldChar w:fldCharType="end"/>
      </w:r>
      <w:r>
        <w:rPr>
          <w:rFonts w:hint="eastAsia" w:ascii="宋体" w:hAnsi="宋体" w:cs="宋体"/>
          <w:sz w:val="28"/>
          <w:szCs w:val="28"/>
        </w:rPr>
        <w:fldChar w:fldCharType="end"/>
      </w:r>
    </w:p>
    <w:p w14:paraId="2A746D22">
      <w:pPr>
        <w:spacing w:line="360" w:lineRule="auto"/>
        <w:rPr>
          <w:rFonts w:ascii="宋体" w:hAnsi="宋体"/>
          <w:sz w:val="32"/>
          <w:szCs w:val="32"/>
        </w:rPr>
      </w:pPr>
      <w:r>
        <w:rPr>
          <w:rFonts w:hint="eastAsia" w:ascii="宋体" w:hAnsi="宋体" w:cs="宋体"/>
          <w:sz w:val="28"/>
          <w:szCs w:val="28"/>
        </w:rPr>
        <w:fldChar w:fldCharType="end"/>
      </w:r>
    </w:p>
    <w:p w14:paraId="0D5B2371">
      <w:pPr>
        <w:rPr>
          <w:rFonts w:ascii="宋体" w:hAnsi="宋体"/>
          <w:bCs/>
          <w:sz w:val="32"/>
          <w:szCs w:val="32"/>
        </w:rPr>
      </w:pPr>
    </w:p>
    <w:p w14:paraId="4A9B1ACE">
      <w:pPr>
        <w:rPr>
          <w:rFonts w:ascii="宋体" w:hAnsi="宋体"/>
          <w:bCs/>
          <w:sz w:val="32"/>
          <w:szCs w:val="32"/>
        </w:rPr>
      </w:pPr>
    </w:p>
    <w:p w14:paraId="16CDEC43">
      <w:pPr>
        <w:rPr>
          <w:rFonts w:ascii="宋体" w:hAnsi="宋体"/>
          <w:bCs/>
          <w:sz w:val="28"/>
          <w:szCs w:val="20"/>
        </w:rPr>
      </w:pPr>
    </w:p>
    <w:p w14:paraId="053C7E1F">
      <w:pPr>
        <w:rPr>
          <w:rFonts w:ascii="宋体" w:hAnsi="宋体"/>
          <w:bCs/>
          <w:sz w:val="28"/>
          <w:szCs w:val="20"/>
        </w:rPr>
      </w:pPr>
    </w:p>
    <w:p w14:paraId="20977F6D">
      <w:pPr>
        <w:rPr>
          <w:rFonts w:ascii="宋体" w:hAnsi="宋体"/>
          <w:bCs/>
          <w:sz w:val="28"/>
          <w:szCs w:val="20"/>
        </w:rPr>
      </w:pPr>
    </w:p>
    <w:p w14:paraId="2705DD94">
      <w:pPr>
        <w:rPr>
          <w:rFonts w:ascii="宋体" w:hAnsi="宋体"/>
          <w:bCs/>
          <w:sz w:val="28"/>
          <w:szCs w:val="20"/>
        </w:rPr>
      </w:pPr>
    </w:p>
    <w:p w14:paraId="050517C7">
      <w:pPr>
        <w:rPr>
          <w:rFonts w:ascii="宋体" w:hAnsi="宋体"/>
          <w:bCs/>
          <w:sz w:val="28"/>
          <w:szCs w:val="20"/>
        </w:rPr>
      </w:pPr>
    </w:p>
    <w:p w14:paraId="4FB31411">
      <w:pPr>
        <w:rPr>
          <w:rFonts w:ascii="宋体" w:hAnsi="宋体"/>
          <w:bCs/>
          <w:sz w:val="28"/>
          <w:szCs w:val="20"/>
        </w:rPr>
      </w:pPr>
    </w:p>
    <w:p w14:paraId="42F2B37C">
      <w:pPr>
        <w:rPr>
          <w:rFonts w:ascii="宋体" w:hAnsi="宋体"/>
          <w:bCs/>
          <w:sz w:val="28"/>
          <w:szCs w:val="20"/>
        </w:rPr>
      </w:pPr>
    </w:p>
    <w:p w14:paraId="4C9B165E">
      <w:pPr>
        <w:rPr>
          <w:rFonts w:ascii="宋体" w:hAnsi="宋体"/>
          <w:bCs/>
          <w:sz w:val="28"/>
          <w:szCs w:val="20"/>
        </w:rPr>
      </w:pPr>
    </w:p>
    <w:p w14:paraId="655C65D2">
      <w:pPr>
        <w:pStyle w:val="5"/>
        <w:spacing w:line="360" w:lineRule="auto"/>
        <w:jc w:val="center"/>
        <w:sectPr>
          <w:pgSz w:w="11906" w:h="16838"/>
          <w:pgMar w:top="1247" w:right="1361" w:bottom="1247" w:left="1361" w:header="850" w:footer="794" w:gutter="0"/>
          <w:cols w:space="1701" w:num="1"/>
          <w:titlePg/>
          <w:docGrid w:linePitch="360" w:charSpace="0"/>
        </w:sectPr>
      </w:pPr>
      <w:bookmarkStart w:id="1" w:name="_Toc477186796"/>
      <w:bookmarkStart w:id="2" w:name="_Toc477186549"/>
      <w:bookmarkStart w:id="3" w:name="_Toc8652801"/>
      <w:bookmarkStart w:id="4" w:name="_Toc8652597"/>
    </w:p>
    <w:p w14:paraId="0BAE96DA">
      <w:pPr>
        <w:pStyle w:val="5"/>
        <w:spacing w:line="360" w:lineRule="auto"/>
        <w:jc w:val="center"/>
      </w:pPr>
      <w:bookmarkStart w:id="5" w:name="_Toc7071"/>
      <w:r>
        <w:rPr>
          <w:rFonts w:hint="eastAsia"/>
        </w:rPr>
        <w:t>第一章 投标邀请</w:t>
      </w:r>
      <w:bookmarkEnd w:id="1"/>
      <w:bookmarkEnd w:id="2"/>
      <w:bookmarkEnd w:id="3"/>
      <w:bookmarkEnd w:id="4"/>
      <w:r>
        <w:rPr>
          <w:rFonts w:hint="eastAsia"/>
        </w:rPr>
        <w:t>函</w:t>
      </w:r>
      <w:bookmarkEnd w:id="5"/>
    </w:p>
    <w:p w14:paraId="660D2906">
      <w:pPr>
        <w:spacing w:line="360" w:lineRule="auto"/>
        <w:ind w:firstLine="420"/>
        <w:rPr>
          <w:rFonts w:ascii="宋体" w:hAnsi="宋体"/>
          <w:szCs w:val="21"/>
        </w:rPr>
      </w:pPr>
      <w:bookmarkStart w:id="6" w:name="_Toc8652598"/>
      <w:bookmarkStart w:id="7" w:name="_Toc477186797"/>
      <w:bookmarkStart w:id="8" w:name="_Toc8652802"/>
      <w:bookmarkStart w:id="9" w:name="_Toc477186550"/>
      <w:r>
        <w:rPr>
          <w:rFonts w:hint="eastAsia" w:ascii="宋体" w:hAnsi="宋体"/>
          <w:szCs w:val="21"/>
        </w:rPr>
        <w:t>受昆山市花桥镇人民政府委托，江苏省鼎诚建设工程顾问有限公司为其拟采购的2026-2028年度病媒生物防制服务项目进行国内公开招标，欢迎符合条件的供应商投标。</w:t>
      </w:r>
    </w:p>
    <w:p w14:paraId="2EA51801">
      <w:pPr>
        <w:widowControl/>
        <w:shd w:val="clear" w:color="auto" w:fill="FFFFFF"/>
        <w:spacing w:line="360" w:lineRule="auto"/>
        <w:ind w:firstLine="420"/>
        <w:rPr>
          <w:rFonts w:ascii="宋体" w:hAnsi="宋体" w:cs="宋体"/>
          <w:szCs w:val="21"/>
        </w:rPr>
      </w:pPr>
      <w:r>
        <w:rPr>
          <w:rFonts w:hint="eastAsia" w:ascii="宋体" w:hAnsi="宋体" w:cs="宋体"/>
          <w:szCs w:val="21"/>
        </w:rPr>
        <w:t>一、项目概况：</w:t>
      </w:r>
    </w:p>
    <w:p w14:paraId="60CB2398">
      <w:pPr>
        <w:widowControl/>
        <w:shd w:val="clear" w:color="auto" w:fill="FFFFFF"/>
        <w:spacing w:line="360" w:lineRule="auto"/>
        <w:ind w:firstLine="420"/>
        <w:rPr>
          <w:rFonts w:ascii="宋体" w:hAnsi="宋体" w:cs="宋体"/>
          <w:szCs w:val="21"/>
        </w:rPr>
      </w:pPr>
      <w:r>
        <w:rPr>
          <w:rFonts w:hint="eastAsia" w:ascii="宋体" w:hAnsi="宋体" w:cs="宋体"/>
          <w:szCs w:val="21"/>
        </w:rPr>
        <w:t>1.项目编号：JSZC-320583-YZDC-G2026-0017</w:t>
      </w:r>
    </w:p>
    <w:p w14:paraId="572335CD">
      <w:pPr>
        <w:spacing w:line="360" w:lineRule="auto"/>
        <w:ind w:right="178" w:firstLine="420"/>
        <w:rPr>
          <w:rFonts w:ascii="宋体" w:hAnsi="宋体"/>
          <w:szCs w:val="21"/>
        </w:rPr>
      </w:pPr>
      <w:r>
        <w:rPr>
          <w:rFonts w:hint="eastAsia" w:ascii="宋体" w:hAnsi="宋体"/>
          <w:szCs w:val="21"/>
        </w:rPr>
        <w:t>2.项目名称：2026-2028年度病媒生物防制服务项目</w:t>
      </w:r>
    </w:p>
    <w:p w14:paraId="53EE70AE">
      <w:pPr>
        <w:widowControl/>
        <w:shd w:val="clear" w:color="auto" w:fill="FFFFFF"/>
        <w:spacing w:line="360" w:lineRule="auto"/>
        <w:ind w:firstLine="420"/>
        <w:rPr>
          <w:rFonts w:ascii="宋体" w:hAnsi="宋体" w:cs="宋体"/>
          <w:szCs w:val="21"/>
        </w:rPr>
      </w:pPr>
      <w:r>
        <w:rPr>
          <w:rFonts w:hint="eastAsia" w:ascii="宋体" w:hAnsi="宋体" w:cs="宋体"/>
          <w:szCs w:val="21"/>
        </w:rPr>
        <w:t>3.服务期：2年</w:t>
      </w:r>
    </w:p>
    <w:p w14:paraId="6728124C">
      <w:pPr>
        <w:widowControl/>
        <w:shd w:val="clear" w:color="auto" w:fill="FFFFFF"/>
        <w:spacing w:line="360" w:lineRule="auto"/>
        <w:ind w:firstLine="420"/>
        <w:rPr>
          <w:rFonts w:ascii="宋体" w:hAnsi="宋体" w:cs="宋体"/>
          <w:szCs w:val="21"/>
        </w:rPr>
      </w:pPr>
      <w:r>
        <w:rPr>
          <w:rFonts w:hint="eastAsia" w:ascii="宋体" w:hAnsi="宋体" w:cs="宋体"/>
          <w:szCs w:val="21"/>
        </w:rPr>
        <w:t>4.项目预算：</w:t>
      </w:r>
    </w:p>
    <w:p w14:paraId="1A9B2997">
      <w:pPr>
        <w:spacing w:line="360" w:lineRule="auto"/>
        <w:ind w:right="-315" w:firstLine="420"/>
        <w:rPr>
          <w:rFonts w:ascii="宋体" w:hAnsi="宋体"/>
          <w:szCs w:val="21"/>
        </w:rPr>
      </w:pPr>
      <w:r>
        <w:rPr>
          <w:rFonts w:hint="eastAsia" w:ascii="宋体" w:hAnsi="宋体"/>
          <w:szCs w:val="21"/>
        </w:rPr>
        <w:t>（1）本项目总预算：肆佰贰拾伍万元整，¥</w:t>
      </w:r>
      <w:r>
        <w:rPr>
          <w:rFonts w:ascii="宋体" w:hAnsi="宋体"/>
          <w:szCs w:val="21"/>
        </w:rPr>
        <w:t>.</w:t>
      </w:r>
      <w:r>
        <w:rPr>
          <w:rFonts w:hint="eastAsia" w:ascii="宋体" w:hAnsi="宋体"/>
          <w:szCs w:val="21"/>
        </w:rPr>
        <w:t>4250000</w:t>
      </w:r>
      <w:r>
        <w:rPr>
          <w:rFonts w:ascii="宋体" w:hAnsi="宋体"/>
          <w:szCs w:val="21"/>
        </w:rPr>
        <w:t>.00</w:t>
      </w:r>
      <w:r>
        <w:rPr>
          <w:rFonts w:hint="eastAsia" w:ascii="宋体" w:hAnsi="宋体"/>
          <w:szCs w:val="21"/>
        </w:rPr>
        <w:t>元</w:t>
      </w:r>
    </w:p>
    <w:p w14:paraId="4B57570B">
      <w:pPr>
        <w:spacing w:line="360" w:lineRule="auto"/>
        <w:ind w:right="-315" w:firstLine="420"/>
        <w:rPr>
          <w:rStyle w:val="15"/>
          <w:rFonts w:ascii="宋体" w:hAnsi="宋体"/>
        </w:rPr>
      </w:pPr>
      <w:r>
        <w:rPr>
          <w:rFonts w:hint="eastAsia" w:ascii="宋体" w:hAnsi="宋体"/>
          <w:szCs w:val="21"/>
        </w:rPr>
        <w:t>（2）标段及对应预算：</w:t>
      </w:r>
    </w:p>
    <w:tbl>
      <w:tblPr>
        <w:tblStyle w:val="13"/>
        <w:tblW w:w="9318" w:type="dxa"/>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0" w:type="dxa"/>
          <w:bottom w:w="0" w:type="dxa"/>
          <w:right w:w="0" w:type="dxa"/>
        </w:tblCellMar>
      </w:tblPr>
      <w:tblGrid>
        <w:gridCol w:w="1022"/>
        <w:gridCol w:w="1241"/>
        <w:gridCol w:w="5812"/>
        <w:gridCol w:w="1243"/>
      </w:tblGrid>
      <w:tr w14:paraId="036AA62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627"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7DFAAF4">
            <w:pPr>
              <w:pStyle w:val="16"/>
              <w:jc w:val="center"/>
              <w:rPr>
                <w:rFonts w:hAnsi="宋体" w:eastAsia="宋体" w:cs="宋体"/>
                <w:bCs/>
                <w:sz w:val="21"/>
                <w:szCs w:val="21"/>
              </w:rPr>
            </w:pPr>
            <w:r>
              <w:rPr>
                <w:rFonts w:hint="eastAsia" w:hAnsi="宋体" w:eastAsia="宋体" w:cs="宋体"/>
                <w:bCs/>
                <w:sz w:val="21"/>
                <w:szCs w:val="21"/>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7B5F5DA">
            <w:pPr>
              <w:pStyle w:val="16"/>
              <w:jc w:val="center"/>
              <w:rPr>
                <w:rFonts w:hAnsi="宋体" w:eastAsia="宋体" w:cs="宋体"/>
                <w:bCs/>
                <w:sz w:val="21"/>
                <w:szCs w:val="21"/>
              </w:rPr>
            </w:pPr>
            <w:r>
              <w:rPr>
                <w:rFonts w:hint="eastAsia" w:hAnsi="宋体" w:eastAsia="宋体" w:cs="宋体"/>
                <w:bCs/>
                <w:sz w:val="21"/>
                <w:szCs w:val="21"/>
              </w:rPr>
              <w:t>标段名称</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2B6EBBF7">
            <w:pPr>
              <w:pStyle w:val="16"/>
              <w:jc w:val="center"/>
              <w:rPr>
                <w:rFonts w:hAnsi="宋体" w:eastAsia="宋体" w:cs="宋体"/>
                <w:bCs/>
                <w:sz w:val="21"/>
                <w:szCs w:val="21"/>
              </w:rPr>
            </w:pPr>
            <w:r>
              <w:rPr>
                <w:rFonts w:hAnsi="宋体" w:eastAsia="宋体" w:cs="宋体"/>
                <w:bCs/>
                <w:sz w:val="21"/>
                <w:szCs w:val="21"/>
              </w:rPr>
              <w:t>招标内容</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2453ACBC">
            <w:pPr>
              <w:pStyle w:val="16"/>
              <w:jc w:val="center"/>
              <w:rPr>
                <w:rFonts w:hAnsi="宋体" w:eastAsia="宋体" w:cs="宋体"/>
                <w:bCs/>
                <w:sz w:val="21"/>
                <w:szCs w:val="21"/>
              </w:rPr>
            </w:pPr>
            <w:r>
              <w:rPr>
                <w:rFonts w:hint="eastAsia" w:hAnsi="宋体" w:eastAsia="宋体" w:cs="宋体"/>
                <w:bCs/>
                <w:sz w:val="21"/>
                <w:szCs w:val="21"/>
              </w:rPr>
              <w:t>预算（元）</w:t>
            </w:r>
          </w:p>
        </w:tc>
      </w:tr>
      <w:tr w14:paraId="551DC47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639"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74A6CE2">
            <w:pPr>
              <w:pStyle w:val="16"/>
              <w:jc w:val="center"/>
              <w:rPr>
                <w:rFonts w:hAnsi="宋体" w:eastAsia="宋体" w:cs="宋体"/>
                <w:bCs/>
                <w:sz w:val="21"/>
                <w:szCs w:val="21"/>
              </w:rPr>
            </w:pPr>
            <w:r>
              <w:rPr>
                <w:rFonts w:hint="eastAsia" w:hAnsi="宋体" w:eastAsia="宋体" w:cs="宋体"/>
                <w:bCs/>
                <w:sz w:val="21"/>
                <w:szCs w:val="21"/>
              </w:rPr>
              <w:t>采购包1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3591103">
            <w:pPr>
              <w:pStyle w:val="16"/>
              <w:jc w:val="center"/>
              <w:rPr>
                <w:rFonts w:hAnsi="宋体" w:eastAsia="宋体" w:cs="宋体"/>
                <w:bCs/>
                <w:sz w:val="21"/>
                <w:szCs w:val="21"/>
              </w:rPr>
            </w:pPr>
            <w:r>
              <w:rPr>
                <w:rFonts w:hint="eastAsia" w:hAnsi="宋体" w:eastAsia="宋体" w:cs="宋体"/>
                <w:bCs/>
                <w:sz w:val="21"/>
                <w:szCs w:val="21"/>
              </w:rPr>
              <w:t>标段一</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14A32FE6">
            <w:pPr>
              <w:widowControl/>
              <w:rPr>
                <w:rFonts w:hAnsi="宋体" w:cs="宋体"/>
                <w:bCs/>
                <w:szCs w:val="21"/>
              </w:rPr>
            </w:pPr>
            <w:r>
              <w:rPr>
                <w:rFonts w:hint="eastAsia" w:ascii="宋体" w:hAnsi="宋体"/>
                <w:szCs w:val="21"/>
              </w:rPr>
              <w:t>徐公桥路以东区域（小区、公共游园、大型商超外围、农贸市场，同时包含花溪公园、中央公园、吴淞江滨江公园、周浦河游园、花家门球场公园）病媒生物防制服务</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4F614025">
            <w:pPr>
              <w:pStyle w:val="16"/>
              <w:jc w:val="center"/>
              <w:rPr>
                <w:rFonts w:hAnsi="宋体" w:eastAsia="宋体" w:cs="宋体"/>
                <w:bCs/>
                <w:sz w:val="21"/>
                <w:szCs w:val="21"/>
              </w:rPr>
            </w:pPr>
            <w:r>
              <w:rPr>
                <w:rFonts w:hAnsi="宋体" w:eastAsia="宋体" w:cs="宋体"/>
                <w:bCs/>
                <w:sz w:val="21"/>
                <w:szCs w:val="21"/>
              </w:rPr>
              <w:t>1050000</w:t>
            </w:r>
          </w:p>
        </w:tc>
      </w:tr>
      <w:tr w14:paraId="208C4364">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639"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45ABB11">
            <w:pPr>
              <w:pStyle w:val="16"/>
              <w:jc w:val="center"/>
              <w:rPr>
                <w:rFonts w:hAnsi="宋体" w:eastAsia="宋体" w:cs="宋体"/>
                <w:bCs/>
                <w:sz w:val="21"/>
                <w:szCs w:val="21"/>
              </w:rPr>
            </w:pPr>
            <w:r>
              <w:rPr>
                <w:rFonts w:hint="eastAsia" w:hAnsi="宋体" w:eastAsia="宋体" w:cs="宋体"/>
                <w:bCs/>
                <w:sz w:val="21"/>
                <w:szCs w:val="21"/>
              </w:rPr>
              <w:t>采购包2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EA59C81">
            <w:pPr>
              <w:widowControl/>
              <w:jc w:val="center"/>
              <w:rPr>
                <w:rFonts w:ascii="宋体" w:hAnsi="宋体" w:cs="宋体"/>
                <w:bCs/>
                <w:szCs w:val="21"/>
              </w:rPr>
            </w:pPr>
            <w:r>
              <w:rPr>
                <w:rFonts w:hint="eastAsia" w:ascii="宋体" w:hAnsi="宋体" w:cs="宋体"/>
                <w:bCs/>
                <w:szCs w:val="21"/>
              </w:rPr>
              <w:t>标段二</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452B47E7">
            <w:pPr>
              <w:widowControl/>
              <w:rPr>
                <w:rFonts w:hAnsi="宋体" w:cs="宋体"/>
                <w:bCs/>
                <w:szCs w:val="21"/>
              </w:rPr>
            </w:pPr>
            <w:r>
              <w:rPr>
                <w:rFonts w:hint="eastAsia" w:ascii="宋体" w:hAnsi="宋体"/>
                <w:szCs w:val="21"/>
              </w:rPr>
              <w:t>徐公桥路以西—花园路以东区域（小区、大型商超外围、农贸市场）病媒生物防制服务</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2324601A">
            <w:pPr>
              <w:pStyle w:val="16"/>
              <w:jc w:val="center"/>
              <w:rPr>
                <w:rFonts w:hAnsi="宋体" w:eastAsia="宋体" w:cs="宋体"/>
                <w:bCs/>
                <w:sz w:val="21"/>
                <w:szCs w:val="21"/>
              </w:rPr>
            </w:pPr>
            <w:r>
              <w:rPr>
                <w:rFonts w:hint="eastAsia" w:hAnsi="宋体" w:eastAsia="宋体" w:cs="宋体"/>
                <w:bCs/>
                <w:sz w:val="21"/>
                <w:szCs w:val="21"/>
              </w:rPr>
              <w:t>1</w:t>
            </w:r>
            <w:r>
              <w:rPr>
                <w:rFonts w:hAnsi="宋体" w:eastAsia="宋体" w:cs="宋体"/>
                <w:bCs/>
                <w:sz w:val="21"/>
                <w:szCs w:val="21"/>
              </w:rPr>
              <w:t>10</w:t>
            </w:r>
            <w:r>
              <w:rPr>
                <w:rFonts w:hint="eastAsia" w:hAnsi="宋体" w:eastAsia="宋体" w:cs="宋体"/>
                <w:bCs/>
                <w:sz w:val="21"/>
                <w:szCs w:val="21"/>
              </w:rPr>
              <w:t>0000</w:t>
            </w:r>
          </w:p>
        </w:tc>
      </w:tr>
      <w:tr w14:paraId="6CBB40FA">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639"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3178CF3">
            <w:pPr>
              <w:pStyle w:val="16"/>
              <w:jc w:val="center"/>
              <w:rPr>
                <w:rFonts w:hAnsi="宋体" w:eastAsia="宋体" w:cs="宋体"/>
                <w:bCs/>
                <w:sz w:val="21"/>
                <w:szCs w:val="21"/>
              </w:rPr>
            </w:pPr>
            <w:r>
              <w:rPr>
                <w:rFonts w:hint="eastAsia" w:hAnsi="宋体" w:eastAsia="宋体" w:cs="宋体"/>
                <w:bCs/>
                <w:sz w:val="21"/>
                <w:szCs w:val="21"/>
              </w:rPr>
              <w:t>采购包3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DC881C6">
            <w:pPr>
              <w:widowControl/>
              <w:jc w:val="center"/>
              <w:rPr>
                <w:rFonts w:ascii="宋体" w:hAnsi="宋体" w:cs="宋体"/>
                <w:bCs/>
                <w:szCs w:val="21"/>
              </w:rPr>
            </w:pPr>
            <w:r>
              <w:rPr>
                <w:rFonts w:hint="eastAsia" w:ascii="宋体" w:hAnsi="宋体" w:cs="宋体"/>
                <w:bCs/>
                <w:szCs w:val="21"/>
              </w:rPr>
              <w:t>标段三</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0EC85429">
            <w:pPr>
              <w:widowControl/>
              <w:rPr>
                <w:rFonts w:hAnsi="宋体" w:cs="宋体"/>
                <w:bCs/>
                <w:szCs w:val="21"/>
              </w:rPr>
            </w:pPr>
            <w:r>
              <w:rPr>
                <w:rFonts w:hint="eastAsia" w:ascii="宋体" w:hAnsi="宋体"/>
                <w:szCs w:val="21"/>
              </w:rPr>
              <w:t>花园路以西区域（小区、大型商超外围、农贸市场）病媒生物防制服务</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189F4175">
            <w:pPr>
              <w:pStyle w:val="16"/>
              <w:jc w:val="center"/>
              <w:rPr>
                <w:rFonts w:hAnsi="宋体" w:eastAsia="宋体" w:cs="宋体"/>
                <w:bCs/>
                <w:sz w:val="21"/>
                <w:szCs w:val="21"/>
              </w:rPr>
            </w:pPr>
            <w:r>
              <w:rPr>
                <w:rFonts w:hint="eastAsia" w:hAnsi="宋体" w:eastAsia="宋体" w:cs="宋体"/>
                <w:bCs/>
                <w:sz w:val="21"/>
                <w:szCs w:val="21"/>
              </w:rPr>
              <w:t>1</w:t>
            </w:r>
            <w:r>
              <w:rPr>
                <w:rFonts w:hAnsi="宋体" w:eastAsia="宋体" w:cs="宋体"/>
                <w:bCs/>
                <w:sz w:val="21"/>
                <w:szCs w:val="21"/>
              </w:rPr>
              <w:t>08</w:t>
            </w:r>
            <w:r>
              <w:rPr>
                <w:rFonts w:hint="eastAsia" w:hAnsi="宋体" w:eastAsia="宋体" w:cs="宋体"/>
                <w:bCs/>
                <w:sz w:val="21"/>
                <w:szCs w:val="21"/>
              </w:rPr>
              <w:t>0000</w:t>
            </w:r>
          </w:p>
        </w:tc>
      </w:tr>
      <w:tr w14:paraId="6FA6BB50">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1020"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B2BA8DB">
            <w:pPr>
              <w:pStyle w:val="16"/>
              <w:jc w:val="center"/>
              <w:rPr>
                <w:rFonts w:hAnsi="宋体" w:eastAsia="宋体" w:cs="宋体"/>
                <w:bCs/>
                <w:sz w:val="21"/>
                <w:szCs w:val="21"/>
              </w:rPr>
            </w:pPr>
            <w:r>
              <w:rPr>
                <w:rFonts w:hint="eastAsia" w:hAnsi="宋体" w:eastAsia="宋体" w:cs="宋体"/>
                <w:bCs/>
                <w:sz w:val="21"/>
                <w:szCs w:val="21"/>
              </w:rPr>
              <w:t>采购包4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A7C353B">
            <w:pPr>
              <w:widowControl/>
              <w:jc w:val="center"/>
              <w:rPr>
                <w:rFonts w:ascii="宋体" w:hAnsi="宋体" w:cs="宋体"/>
                <w:bCs/>
                <w:szCs w:val="21"/>
              </w:rPr>
            </w:pPr>
            <w:r>
              <w:rPr>
                <w:rFonts w:hint="eastAsia" w:ascii="宋体" w:hAnsi="宋体" w:cs="宋体"/>
                <w:bCs/>
                <w:szCs w:val="21"/>
              </w:rPr>
              <w:t>标段四</w:t>
            </w:r>
          </w:p>
        </w:tc>
        <w:tc>
          <w:tcPr>
            <w:tcW w:w="5812" w:type="dxa"/>
            <w:tcBorders>
              <w:top w:val="single" w:color="000000" w:sz="4" w:space="0"/>
              <w:left w:val="single" w:color="000000" w:sz="4" w:space="0"/>
              <w:bottom w:val="single" w:color="000000" w:sz="4" w:space="0"/>
              <w:right w:val="single" w:color="000000" w:sz="4" w:space="0"/>
            </w:tcBorders>
            <w:noWrap w:val="0"/>
            <w:vAlign w:val="center"/>
          </w:tcPr>
          <w:p w14:paraId="15FCBAB7">
            <w:pPr>
              <w:widowControl/>
              <w:rPr>
                <w:rFonts w:hAnsi="宋体" w:cs="宋体"/>
                <w:bCs/>
                <w:szCs w:val="21"/>
              </w:rPr>
            </w:pPr>
            <w:bookmarkStart w:id="10" w:name="OLE_LINK1"/>
            <w:r>
              <w:rPr>
                <w:rFonts w:hint="eastAsia" w:hAnsi="宋体"/>
                <w:szCs w:val="21"/>
              </w:rPr>
              <w:t>花桥工业区辖区内约692家企业外围公共区域（包含天福国家湿地公园、老政府广场、政府驻外机构）</w:t>
            </w:r>
            <w:r>
              <w:rPr>
                <w:rFonts w:hint="eastAsia" w:ascii="宋体" w:hAnsi="宋体"/>
                <w:szCs w:val="21"/>
              </w:rPr>
              <w:t>病媒生物防制服务</w:t>
            </w:r>
            <w:bookmarkEnd w:id="10"/>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404DF86D">
            <w:pPr>
              <w:pStyle w:val="16"/>
              <w:jc w:val="center"/>
              <w:rPr>
                <w:rFonts w:hAnsi="宋体" w:eastAsia="宋体" w:cs="宋体"/>
                <w:bCs/>
                <w:sz w:val="21"/>
                <w:szCs w:val="21"/>
              </w:rPr>
            </w:pPr>
            <w:r>
              <w:rPr>
                <w:rFonts w:hAnsi="宋体" w:eastAsia="宋体" w:cs="宋体"/>
                <w:bCs/>
                <w:sz w:val="21"/>
                <w:szCs w:val="21"/>
              </w:rPr>
              <w:t>10</w:t>
            </w:r>
            <w:r>
              <w:rPr>
                <w:rFonts w:hint="eastAsia" w:hAnsi="宋体" w:eastAsia="宋体" w:cs="宋体"/>
                <w:bCs/>
                <w:sz w:val="21"/>
                <w:szCs w:val="21"/>
              </w:rPr>
              <w:t>20000</w:t>
            </w:r>
          </w:p>
        </w:tc>
      </w:tr>
      <w:tr w14:paraId="7F8BBFFA">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1492" w:hRule="atLeast"/>
          <w:jc w:val="center"/>
        </w:trPr>
        <w:tc>
          <w:tcPr>
            <w:tcW w:w="9318" w:type="dxa"/>
            <w:gridSpan w:val="4"/>
            <w:tcBorders>
              <w:top w:val="single" w:color="000000" w:sz="4" w:space="0"/>
              <w:left w:val="single" w:color="000000" w:sz="4" w:space="0"/>
              <w:bottom w:val="single" w:color="000000" w:sz="4" w:space="0"/>
              <w:right w:val="single" w:color="000000" w:sz="4" w:space="0"/>
            </w:tcBorders>
            <w:noWrap w:val="0"/>
            <w:vAlign w:val="center"/>
          </w:tcPr>
          <w:p w14:paraId="4E1BAB48">
            <w:pPr>
              <w:jc w:val="left"/>
              <w:rPr>
                <w:rFonts w:ascii="宋体" w:hAnsi="宋体"/>
                <w:szCs w:val="21"/>
              </w:rPr>
            </w:pPr>
            <w:r>
              <w:rPr>
                <w:rFonts w:hint="eastAsia" w:ascii="宋体" w:hAnsi="宋体"/>
                <w:szCs w:val="21"/>
              </w:rPr>
              <w:t>注：①评标顺序按照标段一、标段二、标段三、标段四进行。</w:t>
            </w:r>
          </w:p>
          <w:p w14:paraId="0D0B56C8">
            <w:pPr>
              <w:ind w:firstLine="420"/>
              <w:jc w:val="left"/>
              <w:rPr>
                <w:rFonts w:ascii="宋体" w:hAnsi="宋体"/>
                <w:szCs w:val="21"/>
              </w:rPr>
            </w:pPr>
            <w:r>
              <w:rPr>
                <w:rFonts w:hint="eastAsia" w:ascii="宋体" w:hAnsi="宋体"/>
                <w:szCs w:val="21"/>
              </w:rPr>
              <w:t>②投标人可选择四个标段中一个或多个标段投报，但最多只能在一个标段中标（进入每个标段评审的实质性响应且具有得标权的供应商不得少于3家）。已中标的投标人不再计入其他标段的供应商数量且不参与其他标段评审，后期如有服务区域调整须服从采购人安排。</w:t>
            </w:r>
          </w:p>
          <w:p w14:paraId="3D40B8C0">
            <w:pPr>
              <w:ind w:firstLine="420"/>
              <w:jc w:val="left"/>
              <w:rPr>
                <w:rFonts w:hAnsi="宋体" w:cs="宋体"/>
                <w:bCs/>
                <w:szCs w:val="21"/>
              </w:rPr>
            </w:pPr>
            <w:r>
              <w:rPr>
                <w:rFonts w:hint="eastAsia" w:ascii="宋体" w:hAnsi="宋体"/>
                <w:szCs w:val="21"/>
              </w:rPr>
              <w:t>③投标人的报价不得超过每标段的预算金额，否则作无效投标。</w:t>
            </w:r>
          </w:p>
        </w:tc>
      </w:tr>
    </w:tbl>
    <w:p w14:paraId="101363E7">
      <w:pPr>
        <w:widowControl/>
        <w:shd w:val="clear" w:color="auto" w:fill="FFFFFF"/>
        <w:spacing w:line="360" w:lineRule="auto"/>
        <w:ind w:firstLine="420"/>
        <w:rPr>
          <w:rFonts w:ascii="宋体" w:hAnsi="宋体" w:cs="宋体"/>
          <w:szCs w:val="21"/>
          <w:lang w:val="zh-CN"/>
        </w:rPr>
      </w:pPr>
      <w:r>
        <w:rPr>
          <w:rFonts w:hint="eastAsia" w:ascii="宋体" w:hAnsi="宋体" w:cs="宋体"/>
          <w:szCs w:val="21"/>
        </w:rPr>
        <w:t>二、供应商资格要求：</w:t>
      </w:r>
    </w:p>
    <w:p w14:paraId="6E91A323">
      <w:pPr>
        <w:spacing w:line="360" w:lineRule="auto"/>
        <w:ind w:firstLine="411"/>
        <w:rPr>
          <w:rFonts w:ascii="宋体" w:hAnsi="宋体"/>
          <w:szCs w:val="21"/>
        </w:rPr>
      </w:pPr>
      <w:r>
        <w:rPr>
          <w:rFonts w:hint="eastAsia" w:ascii="宋体" w:hAnsi="宋体"/>
          <w:bCs/>
          <w:szCs w:val="21"/>
        </w:rPr>
        <w:t>1.</w:t>
      </w:r>
      <w:r>
        <w:rPr>
          <w:rFonts w:ascii="宋体" w:hAnsi="宋体"/>
          <w:szCs w:val="21"/>
        </w:rPr>
        <w:t>投标人资质要求：</w:t>
      </w:r>
      <w:r>
        <w:rPr>
          <w:rFonts w:hint="eastAsia" w:ascii="宋体" w:hAnsi="宋体"/>
          <w:szCs w:val="21"/>
        </w:rPr>
        <w:t>符合《中华人民共和国政府采购法》第二十二条的规定。</w:t>
      </w:r>
    </w:p>
    <w:p w14:paraId="031C8032">
      <w:pPr>
        <w:spacing w:line="360" w:lineRule="auto"/>
        <w:ind w:firstLine="420"/>
        <w:rPr>
          <w:rFonts w:ascii="宋体" w:hAnsi="宋体"/>
          <w:bCs/>
          <w:szCs w:val="21"/>
        </w:rPr>
      </w:pPr>
      <w:r>
        <w:rPr>
          <w:rFonts w:hint="eastAsia" w:ascii="宋体" w:hAnsi="宋体"/>
          <w:bCs/>
          <w:szCs w:val="21"/>
        </w:rPr>
        <w:t>2.采购人根据采购项目的特殊要求规定的特定条件：</w:t>
      </w:r>
      <w:r>
        <w:rPr>
          <w:rFonts w:hint="eastAsia"/>
          <w:shd w:val="clear" w:color="auto" w:fill="FFFFFF"/>
        </w:rPr>
        <w:t>无。</w:t>
      </w:r>
    </w:p>
    <w:p w14:paraId="68004F61">
      <w:pPr>
        <w:spacing w:line="360" w:lineRule="auto"/>
        <w:ind w:firstLine="420"/>
        <w:rPr>
          <w:rFonts w:ascii="宋体" w:hAnsi="宋体"/>
          <w:bCs/>
          <w:szCs w:val="21"/>
        </w:rPr>
      </w:pPr>
      <w:r>
        <w:rPr>
          <w:rFonts w:hint="eastAsia" w:ascii="宋体" w:hAnsi="宋体"/>
          <w:bCs/>
          <w:szCs w:val="21"/>
        </w:rPr>
        <w:t>3.落实政府采购政策需满足的资格要求：无。</w:t>
      </w:r>
    </w:p>
    <w:p w14:paraId="3BD15313">
      <w:pPr>
        <w:spacing w:line="360" w:lineRule="auto"/>
        <w:ind w:firstLine="420"/>
        <w:rPr>
          <w:rFonts w:ascii="宋体" w:hAnsi="宋体"/>
          <w:szCs w:val="21"/>
        </w:rPr>
      </w:pPr>
      <w:r>
        <w:rPr>
          <w:rFonts w:hint="eastAsia" w:ascii="宋体" w:hAnsi="宋体"/>
          <w:bCs/>
          <w:szCs w:val="21"/>
        </w:rPr>
        <w:t>4.根据《中华人民共和国政府采购法》及相关法律法规，</w:t>
      </w:r>
      <w:r>
        <w:rPr>
          <w:rFonts w:hint="eastAsia" w:ascii="宋体" w:hAnsi="宋体"/>
          <w:szCs w:val="21"/>
        </w:rPr>
        <w:t>以及苏州市财政局《关于印发苏州市市级政府采购信用记录查询和使用工作试行办法的通知》（苏财购〔2017〕11号）文件的规定，招标代理人将对供应商进行信用查询。</w:t>
      </w:r>
      <w:r>
        <w:rPr>
          <w:rFonts w:ascii="宋体" w:hAnsi="宋体"/>
          <w:szCs w:val="21"/>
        </w:rPr>
        <w:t>对列入失信被执行人、</w:t>
      </w:r>
      <w:r>
        <w:rPr>
          <w:rFonts w:hint="eastAsia" w:ascii="宋体" w:hAnsi="宋体"/>
        </w:rPr>
        <w:t>重大税收违法失信主体</w:t>
      </w:r>
      <w:r>
        <w:rPr>
          <w:rFonts w:ascii="宋体" w:hAnsi="宋体"/>
          <w:szCs w:val="21"/>
        </w:rPr>
        <w:t>、政府采购严重违法失信行为记录名单的供应商，拒绝其参与政府采购活动</w:t>
      </w:r>
      <w:r>
        <w:rPr>
          <w:rFonts w:hint="eastAsia" w:ascii="宋体" w:hAnsi="宋体"/>
          <w:szCs w:val="21"/>
        </w:rPr>
        <w:t>。</w:t>
      </w:r>
    </w:p>
    <w:p w14:paraId="24C77723">
      <w:pPr>
        <w:spacing w:line="360" w:lineRule="auto"/>
        <w:ind w:firstLine="420"/>
        <w:rPr>
          <w:rFonts w:ascii="宋体" w:hAnsi="宋体"/>
          <w:bCs/>
          <w:szCs w:val="21"/>
        </w:rPr>
      </w:pPr>
      <w:r>
        <w:rPr>
          <w:rFonts w:hint="eastAsia" w:ascii="宋体" w:hAnsi="宋体"/>
          <w:bCs/>
          <w:szCs w:val="21"/>
        </w:rPr>
        <w:t>5.联合体及转包、分包：本项目不接受联合体，不得转包、分包。</w:t>
      </w:r>
    </w:p>
    <w:p w14:paraId="29B02271">
      <w:pPr>
        <w:spacing w:line="360" w:lineRule="auto"/>
        <w:ind w:firstLine="411"/>
        <w:rPr>
          <w:rFonts w:ascii="宋体" w:hAnsi="宋体"/>
          <w:szCs w:val="21"/>
        </w:rPr>
      </w:pPr>
      <w:r>
        <w:rPr>
          <w:rFonts w:hint="eastAsia" w:ascii="宋体" w:hAnsi="宋体"/>
          <w:szCs w:val="21"/>
        </w:rPr>
        <w:t>三、获取招标文件</w:t>
      </w:r>
    </w:p>
    <w:p w14:paraId="12038A5F">
      <w:pPr>
        <w:spacing w:line="360" w:lineRule="auto"/>
        <w:ind w:firstLine="411"/>
        <w:rPr>
          <w:rFonts w:ascii="宋体" w:hAnsi="宋体"/>
          <w:szCs w:val="21"/>
        </w:rPr>
      </w:pPr>
      <w:r>
        <w:rPr>
          <w:rFonts w:hint="eastAsia" w:ascii="宋体" w:hAnsi="宋体"/>
          <w:szCs w:val="21"/>
        </w:rPr>
        <w:t>1.获取时间，自公告发布之日5个工作日。</w:t>
      </w:r>
    </w:p>
    <w:p w14:paraId="7BC3E744">
      <w:pPr>
        <w:spacing w:line="360" w:lineRule="auto"/>
        <w:ind w:firstLine="411"/>
        <w:rPr>
          <w:rFonts w:ascii="宋体" w:hAnsi="宋体"/>
          <w:szCs w:val="21"/>
        </w:rPr>
      </w:pPr>
      <w:r>
        <w:rPr>
          <w:rFonts w:hint="eastAsia" w:ascii="宋体" w:hAnsi="宋体"/>
          <w:szCs w:val="21"/>
        </w:rPr>
        <w:t>2.获取地点：苏采云系统自行下载。</w:t>
      </w:r>
    </w:p>
    <w:p w14:paraId="46B8A40D">
      <w:pPr>
        <w:spacing w:line="360" w:lineRule="auto"/>
        <w:ind w:firstLine="411"/>
        <w:rPr>
          <w:rFonts w:ascii="宋体" w:hAnsi="宋体"/>
          <w:szCs w:val="21"/>
        </w:rPr>
      </w:pPr>
      <w:r>
        <w:rPr>
          <w:rFonts w:hint="eastAsia" w:ascii="宋体" w:hAnsi="宋体"/>
          <w:szCs w:val="21"/>
        </w:rPr>
        <w:t>3.方式</w:t>
      </w:r>
    </w:p>
    <w:p w14:paraId="37E18949">
      <w:pPr>
        <w:spacing w:line="360" w:lineRule="auto"/>
        <w:ind w:firstLine="411"/>
        <w:rPr>
          <w:rFonts w:ascii="宋体" w:hAnsi="宋体"/>
          <w:szCs w:val="21"/>
        </w:rPr>
      </w:pPr>
      <w:r>
        <w:rPr>
          <w:rFonts w:hint="eastAsia" w:ascii="宋体" w:hAnsi="宋体"/>
          <w:szCs w:val="21"/>
        </w:rPr>
        <w:t>（1）CA证书办理</w:t>
      </w:r>
    </w:p>
    <w:p w14:paraId="222E6B25">
      <w:pPr>
        <w:spacing w:line="360" w:lineRule="auto"/>
        <w:ind w:firstLine="411"/>
        <w:rPr>
          <w:rFonts w:ascii="宋体" w:hAnsi="宋体"/>
          <w:szCs w:val="21"/>
        </w:rPr>
      </w:pPr>
      <w:r>
        <w:rPr>
          <w:rFonts w:ascii="宋体" w:hAnsi="宋体"/>
          <w:szCs w:val="21"/>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苏州高新区邓尉路105号狮山科技馆1楼服务大厅，咨询电话：0512-65737699。</w:t>
      </w:r>
    </w:p>
    <w:p w14:paraId="143A0E85">
      <w:pPr>
        <w:spacing w:line="360" w:lineRule="auto"/>
        <w:ind w:firstLine="411"/>
        <w:rPr>
          <w:rFonts w:ascii="宋体" w:hAnsi="宋体"/>
          <w:szCs w:val="21"/>
        </w:rPr>
      </w:pPr>
      <w:r>
        <w:rPr>
          <w:rFonts w:hint="eastAsia" w:ascii="宋体" w:hAnsi="宋体"/>
          <w:szCs w:val="21"/>
        </w:rPr>
        <w:t>（2）参与采购活动</w:t>
      </w:r>
    </w:p>
    <w:p w14:paraId="29E7CD08">
      <w:pPr>
        <w:spacing w:line="360" w:lineRule="auto"/>
        <w:ind w:firstLine="411"/>
        <w:rPr>
          <w:rFonts w:ascii="宋体" w:hAnsi="宋体"/>
          <w:szCs w:val="21"/>
        </w:rPr>
      </w:pPr>
      <w:r>
        <w:rPr>
          <w:rFonts w:hint="eastAsia" w:ascii="宋体" w:hAnsi="宋体"/>
          <w:szCs w:val="21"/>
        </w:rPr>
        <w:t>供应商插入CA证书登陆“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616F0459">
      <w:pPr>
        <w:spacing w:line="360" w:lineRule="auto"/>
        <w:ind w:firstLine="411"/>
        <w:rPr>
          <w:rFonts w:ascii="宋体" w:hAnsi="宋体"/>
          <w:szCs w:val="21"/>
        </w:rPr>
      </w:pPr>
      <w:r>
        <w:rPr>
          <w:rFonts w:hint="eastAsia" w:ascii="宋体" w:hAnsi="宋体"/>
          <w:szCs w:val="21"/>
        </w:rPr>
        <w:t>（3）电子投标准备</w:t>
      </w:r>
    </w:p>
    <w:p w14:paraId="7F337EDF">
      <w:pPr>
        <w:spacing w:line="360" w:lineRule="auto"/>
        <w:ind w:firstLine="411"/>
        <w:rPr>
          <w:rFonts w:ascii="宋体" w:hAnsi="宋体"/>
          <w:szCs w:val="21"/>
        </w:rPr>
      </w:pPr>
      <w:r>
        <w:rPr>
          <w:rFonts w:hint="eastAsia" w:ascii="宋体" w:hAnsi="宋体"/>
          <w:szCs w:val="21"/>
        </w:rPr>
        <w:t>供应商在“苏采云”系统中操作成功参与项目后，必须在“已参与项目”界面中下载电子招标文件（后缀名为“.kedt”）并导入政府采购客户端工具后方可进行投标文件制作和提交（具体详见《苏采云系统供应商操作手册》，网址链接</w:t>
      </w:r>
      <w:r>
        <w:rPr>
          <w:rFonts w:ascii="宋体" w:hAnsi="宋体"/>
          <w:szCs w:val="21"/>
        </w:rPr>
        <w:t>http://jszfcg.jsczt.cn/zfcg/html/content/20231220161910031.shtml</w:t>
      </w:r>
      <w:r>
        <w:rPr>
          <w:rFonts w:hint="eastAsia" w:ascii="宋体" w:hAnsi="宋体"/>
          <w:szCs w:val="21"/>
        </w:rPr>
        <w:t>）。</w:t>
      </w:r>
    </w:p>
    <w:p w14:paraId="5A868D34">
      <w:pPr>
        <w:spacing w:line="360" w:lineRule="auto"/>
        <w:ind w:firstLine="411"/>
        <w:rPr>
          <w:rFonts w:ascii="宋体" w:hAnsi="宋体"/>
          <w:szCs w:val="21"/>
        </w:rPr>
      </w:pPr>
      <w:r>
        <w:rPr>
          <w:rFonts w:hint="eastAsia" w:ascii="宋体" w:hAnsi="宋体"/>
          <w:szCs w:val="21"/>
        </w:rPr>
        <w:t>在系统操作过程中如有疑问，请按以下方式联系：</w:t>
      </w:r>
    </w:p>
    <w:p w14:paraId="6DC810DD">
      <w:pPr>
        <w:spacing w:line="360" w:lineRule="auto"/>
        <w:ind w:firstLine="411"/>
        <w:rPr>
          <w:rFonts w:ascii="宋体" w:hAnsi="宋体"/>
          <w:szCs w:val="21"/>
        </w:rPr>
      </w:pPr>
      <w:r>
        <w:rPr>
          <w:rFonts w:hint="eastAsia" w:ascii="宋体" w:hAnsi="宋体"/>
          <w:szCs w:val="21"/>
        </w:rPr>
        <w:t>注册咨询：</w:t>
      </w:r>
      <w:r>
        <w:rPr>
          <w:rFonts w:ascii="宋体" w:hAnsi="宋体"/>
          <w:szCs w:val="21"/>
        </w:rPr>
        <w:t>18261002950</w:t>
      </w:r>
      <w:r>
        <w:rPr>
          <w:rFonts w:hint="eastAsia" w:ascii="宋体" w:hAnsi="宋体"/>
          <w:szCs w:val="21"/>
        </w:rPr>
        <w:t>；</w:t>
      </w:r>
    </w:p>
    <w:p w14:paraId="4764E374">
      <w:pPr>
        <w:spacing w:line="360" w:lineRule="auto"/>
        <w:ind w:firstLine="411"/>
        <w:rPr>
          <w:rFonts w:ascii="宋体" w:hAnsi="宋体"/>
          <w:szCs w:val="21"/>
        </w:rPr>
      </w:pPr>
      <w:r>
        <w:rPr>
          <w:rFonts w:hint="eastAsia" w:ascii="宋体" w:hAnsi="宋体"/>
          <w:szCs w:val="21"/>
        </w:rPr>
        <w:t>CA技术咨询电话：</w:t>
      </w:r>
      <w:r>
        <w:rPr>
          <w:rFonts w:ascii="宋体" w:hAnsi="宋体"/>
          <w:szCs w:val="21"/>
        </w:rPr>
        <w:t>400-608-6099</w:t>
      </w:r>
      <w:r>
        <w:rPr>
          <w:rFonts w:hint="eastAsia" w:ascii="宋体" w:hAnsi="宋体"/>
          <w:szCs w:val="21"/>
        </w:rPr>
        <w:t>；</w:t>
      </w:r>
    </w:p>
    <w:p w14:paraId="08D89CA0">
      <w:pPr>
        <w:spacing w:line="360" w:lineRule="auto"/>
        <w:ind w:firstLine="411"/>
        <w:rPr>
          <w:rFonts w:ascii="宋体" w:hAnsi="宋体"/>
          <w:szCs w:val="21"/>
        </w:rPr>
      </w:pPr>
      <w:r>
        <w:rPr>
          <w:rFonts w:hint="eastAsia" w:ascii="宋体" w:hAnsi="宋体"/>
          <w:szCs w:val="21"/>
        </w:rPr>
        <w:t>签章使用问题：025-83633811、025-83633812、15380932027、15371015030；</w:t>
      </w:r>
    </w:p>
    <w:p w14:paraId="2F567DDF">
      <w:pPr>
        <w:spacing w:line="360" w:lineRule="auto"/>
        <w:ind w:firstLine="411"/>
        <w:rPr>
          <w:rFonts w:ascii="宋体" w:hAnsi="宋体"/>
          <w:szCs w:val="21"/>
        </w:rPr>
      </w:pPr>
      <w:r>
        <w:rPr>
          <w:rFonts w:hint="eastAsia" w:ascii="宋体" w:hAnsi="宋体"/>
          <w:szCs w:val="21"/>
        </w:rPr>
        <w:t>系统使用指导与咨询：联系电话：18261002950；QQ：3048755361、1315179389、895706745。</w:t>
      </w:r>
    </w:p>
    <w:p w14:paraId="640091E9">
      <w:pPr>
        <w:spacing w:line="360" w:lineRule="auto"/>
        <w:ind w:firstLine="411"/>
        <w:rPr>
          <w:rFonts w:ascii="宋体" w:hAnsi="宋体"/>
          <w:szCs w:val="21"/>
        </w:rPr>
      </w:pPr>
      <w:r>
        <w:rPr>
          <w:rFonts w:hint="eastAsia" w:ascii="宋体" w:hAnsi="宋体"/>
          <w:szCs w:val="21"/>
        </w:rPr>
        <w:t>4.售价：免费</w:t>
      </w:r>
    </w:p>
    <w:p w14:paraId="3087E5DA">
      <w:pPr>
        <w:spacing w:line="360" w:lineRule="auto"/>
        <w:ind w:firstLine="411"/>
        <w:rPr>
          <w:rFonts w:ascii="宋体" w:hAnsi="宋体"/>
          <w:szCs w:val="21"/>
        </w:rPr>
      </w:pPr>
      <w:r>
        <w:rPr>
          <w:rFonts w:hint="eastAsia" w:ascii="宋体" w:hAnsi="宋体"/>
          <w:szCs w:val="21"/>
        </w:rPr>
        <w:t>四、提交投标文件截止时间、开标时间和地点</w:t>
      </w:r>
    </w:p>
    <w:p w14:paraId="2994B5C4">
      <w:pPr>
        <w:spacing w:line="360" w:lineRule="auto"/>
        <w:ind w:firstLine="411"/>
        <w:rPr>
          <w:rFonts w:ascii="宋体" w:hAnsi="宋体"/>
          <w:szCs w:val="21"/>
        </w:rPr>
      </w:pPr>
      <w:r>
        <w:rPr>
          <w:rFonts w:ascii="宋体" w:hAnsi="宋体"/>
          <w:szCs w:val="21"/>
        </w:rPr>
        <w:t>1.</w:t>
      </w:r>
      <w:r>
        <w:rPr>
          <w:rFonts w:hint="eastAsia" w:ascii="宋体" w:hAnsi="宋体"/>
          <w:szCs w:val="21"/>
        </w:rPr>
        <w:t>提交投标文件截止时间：202</w:t>
      </w:r>
      <w:r>
        <w:rPr>
          <w:rFonts w:ascii="宋体" w:hAnsi="宋体"/>
          <w:szCs w:val="21"/>
        </w:rPr>
        <w:t>6</w:t>
      </w:r>
      <w:r>
        <w:rPr>
          <w:rFonts w:hint="eastAsia" w:ascii="宋体" w:hAnsi="宋体"/>
          <w:szCs w:val="21"/>
        </w:rPr>
        <w:t>年5</w:t>
      </w:r>
      <w:r>
        <w:rPr>
          <w:rFonts w:ascii="宋体" w:hAnsi="宋体"/>
          <w:szCs w:val="21"/>
        </w:rPr>
        <w:t xml:space="preserve"> </w:t>
      </w:r>
      <w:r>
        <w:rPr>
          <w:rFonts w:hint="eastAsia" w:ascii="宋体" w:hAnsi="宋体"/>
          <w:szCs w:val="21"/>
        </w:rPr>
        <w:t xml:space="preserve">月 </w:t>
      </w:r>
      <w:r>
        <w:rPr>
          <w:rFonts w:ascii="宋体" w:hAnsi="宋体"/>
          <w:szCs w:val="21"/>
        </w:rPr>
        <w:t xml:space="preserve">22 </w:t>
      </w:r>
      <w:r>
        <w:rPr>
          <w:rFonts w:hint="eastAsia" w:ascii="宋体" w:hAnsi="宋体"/>
          <w:szCs w:val="21"/>
        </w:rPr>
        <w:t>日</w:t>
      </w:r>
      <w:r>
        <w:rPr>
          <w:rFonts w:ascii="宋体" w:hAnsi="宋体"/>
          <w:szCs w:val="21"/>
        </w:rPr>
        <w:t>09</w:t>
      </w:r>
      <w:r>
        <w:rPr>
          <w:rFonts w:hint="eastAsia" w:ascii="宋体" w:hAnsi="宋体"/>
          <w:szCs w:val="21"/>
        </w:rPr>
        <w:t>:30（北京时间）；</w:t>
      </w:r>
    </w:p>
    <w:p w14:paraId="45550DF9">
      <w:pPr>
        <w:spacing w:line="360" w:lineRule="auto"/>
        <w:ind w:firstLine="411"/>
        <w:rPr>
          <w:rFonts w:ascii="宋体" w:hAnsi="宋体"/>
          <w:szCs w:val="21"/>
        </w:rPr>
      </w:pPr>
      <w:r>
        <w:rPr>
          <w:rFonts w:ascii="宋体" w:hAnsi="宋体"/>
          <w:szCs w:val="21"/>
        </w:rPr>
        <w:t>2.</w:t>
      </w:r>
      <w:r>
        <w:rPr>
          <w:rFonts w:hint="eastAsia" w:ascii="宋体" w:hAnsi="宋体"/>
          <w:szCs w:val="21"/>
        </w:rPr>
        <w:t>开标时间：202</w:t>
      </w:r>
      <w:r>
        <w:rPr>
          <w:rFonts w:ascii="宋体" w:hAnsi="宋体"/>
          <w:szCs w:val="21"/>
        </w:rPr>
        <w:t>6</w:t>
      </w:r>
      <w:r>
        <w:rPr>
          <w:rFonts w:hint="eastAsia" w:ascii="宋体" w:hAnsi="宋体"/>
          <w:szCs w:val="21"/>
        </w:rPr>
        <w:t xml:space="preserve">年 </w:t>
      </w:r>
      <w:r>
        <w:rPr>
          <w:rFonts w:ascii="宋体" w:hAnsi="宋体"/>
          <w:szCs w:val="21"/>
        </w:rPr>
        <w:t xml:space="preserve">5 </w:t>
      </w:r>
      <w:r>
        <w:rPr>
          <w:rFonts w:hint="eastAsia" w:ascii="宋体" w:hAnsi="宋体"/>
          <w:szCs w:val="21"/>
        </w:rPr>
        <w:t>月</w:t>
      </w:r>
      <w:r>
        <w:rPr>
          <w:rFonts w:ascii="宋体" w:hAnsi="宋体"/>
          <w:szCs w:val="21"/>
        </w:rPr>
        <w:t xml:space="preserve"> 22 </w:t>
      </w:r>
      <w:r>
        <w:rPr>
          <w:rFonts w:hint="eastAsia" w:ascii="宋体" w:hAnsi="宋体"/>
          <w:szCs w:val="21"/>
        </w:rPr>
        <w:t>日</w:t>
      </w:r>
      <w:r>
        <w:rPr>
          <w:rFonts w:ascii="宋体" w:hAnsi="宋体"/>
          <w:szCs w:val="21"/>
        </w:rPr>
        <w:t>09</w:t>
      </w:r>
      <w:r>
        <w:rPr>
          <w:rFonts w:hint="eastAsia" w:ascii="宋体" w:hAnsi="宋体"/>
          <w:szCs w:val="21"/>
        </w:rPr>
        <w:t>:30（北京时间）；</w:t>
      </w:r>
    </w:p>
    <w:p w14:paraId="7B7E93D0">
      <w:pPr>
        <w:spacing w:line="360" w:lineRule="auto"/>
        <w:ind w:firstLine="411"/>
        <w:rPr>
          <w:rFonts w:ascii="宋体" w:hAnsi="宋体"/>
          <w:szCs w:val="21"/>
        </w:rPr>
      </w:pPr>
      <w:r>
        <w:rPr>
          <w:rFonts w:ascii="宋体" w:hAnsi="宋体"/>
          <w:szCs w:val="21"/>
        </w:rPr>
        <w:t>3.</w:t>
      </w:r>
      <w:r>
        <w:rPr>
          <w:rFonts w:hint="eastAsia" w:ascii="宋体" w:hAnsi="宋体"/>
          <w:szCs w:val="21"/>
        </w:rPr>
        <w:t>开标地点：“苏采云”系统（网址：</w:t>
      </w:r>
      <w:bookmarkStart w:id="11" w:name="OLE_LINK4"/>
      <w:bookmarkStart w:id="12" w:name="OLE_LINK5"/>
      <w:r>
        <w:rPr>
          <w:rFonts w:ascii="宋体" w:hAnsi="宋体"/>
          <w:szCs w:val="21"/>
        </w:rPr>
        <w:t>http://jszfcg.jsczt.cn/</w:t>
      </w:r>
      <w:bookmarkEnd w:id="11"/>
      <w:bookmarkEnd w:id="12"/>
      <w:r>
        <w:rPr>
          <w:rFonts w:hint="eastAsia" w:ascii="宋体" w:hAnsi="宋体"/>
          <w:szCs w:val="21"/>
        </w:rPr>
        <w:t>）</w:t>
      </w:r>
    </w:p>
    <w:p w14:paraId="59B71B23">
      <w:pPr>
        <w:spacing w:line="360" w:lineRule="auto"/>
        <w:ind w:firstLine="411"/>
        <w:rPr>
          <w:rFonts w:ascii="宋体" w:hAnsi="宋体"/>
          <w:szCs w:val="21"/>
        </w:rPr>
      </w:pPr>
      <w:r>
        <w:rPr>
          <w:rFonts w:ascii="宋体" w:hAnsi="宋体"/>
          <w:szCs w:val="21"/>
        </w:rPr>
        <w:t>4.</w:t>
      </w:r>
      <w:r>
        <w:rPr>
          <w:rFonts w:hint="eastAsia" w:ascii="宋体" w:hAnsi="宋体"/>
          <w:szCs w:val="21"/>
        </w:rPr>
        <w:t>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14:paraId="68F86DB5">
      <w:pPr>
        <w:spacing w:line="360" w:lineRule="auto"/>
        <w:ind w:firstLine="411"/>
        <w:rPr>
          <w:rFonts w:ascii="宋体" w:hAnsi="宋体"/>
          <w:szCs w:val="21"/>
        </w:rPr>
      </w:pPr>
      <w:r>
        <w:rPr>
          <w:rFonts w:hint="eastAsia" w:ascii="宋体" w:hAnsi="宋体"/>
          <w:szCs w:val="21"/>
        </w:rPr>
        <w:t>5.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 CA证书解密电子投标文件，如在系统规定的解密时间内未能完成解密的视为放弃投标。</w:t>
      </w:r>
    </w:p>
    <w:p w14:paraId="78F94EBF">
      <w:pPr>
        <w:spacing w:line="360" w:lineRule="auto"/>
        <w:ind w:firstLine="411"/>
        <w:rPr>
          <w:rFonts w:ascii="宋体" w:hAnsi="宋体"/>
          <w:szCs w:val="21"/>
        </w:rPr>
      </w:pPr>
      <w:r>
        <w:rPr>
          <w:rFonts w:hint="eastAsia" w:ascii="宋体" w:hAnsi="宋体"/>
          <w:szCs w:val="21"/>
        </w:rPr>
        <w:t>请供应商确保电脑、系统及其他设备（视频输入输出设备等）无误，且开标直至项目结束始终保持系统在线状态。</w:t>
      </w:r>
    </w:p>
    <w:p w14:paraId="483B7223">
      <w:pPr>
        <w:spacing w:line="360" w:lineRule="auto"/>
        <w:ind w:firstLine="411"/>
        <w:rPr>
          <w:rFonts w:ascii="宋体" w:hAnsi="宋体"/>
          <w:szCs w:val="21"/>
        </w:rPr>
      </w:pPr>
      <w:r>
        <w:rPr>
          <w:rFonts w:hint="eastAsia" w:ascii="宋体" w:hAnsi="宋体"/>
          <w:szCs w:val="21"/>
        </w:rPr>
        <w:t>五、公告期限：自公告发布之日起5个工作日。</w:t>
      </w:r>
    </w:p>
    <w:p w14:paraId="0AECCF63">
      <w:pPr>
        <w:spacing w:line="360" w:lineRule="auto"/>
        <w:ind w:firstLine="411"/>
        <w:rPr>
          <w:rFonts w:ascii="宋体" w:hAnsi="宋体"/>
          <w:szCs w:val="21"/>
        </w:rPr>
      </w:pPr>
      <w:r>
        <w:rPr>
          <w:rFonts w:hint="eastAsia" w:ascii="宋体" w:hAnsi="宋体"/>
          <w:szCs w:val="21"/>
        </w:rPr>
        <w:t>六、中标单位需按以下计算标准支付中标服务费，以差额累计法收费（按预算金额100万元以下，收取1.5%；100-500万元，收取1.1%；500-1000万元，收取0.8%，1000-5000万元，收取0.5%）。</w:t>
      </w:r>
    </w:p>
    <w:p w14:paraId="2E64FCDB">
      <w:pPr>
        <w:spacing w:line="360" w:lineRule="auto"/>
        <w:ind w:firstLine="411"/>
        <w:rPr>
          <w:rFonts w:ascii="宋体" w:hAnsi="宋体"/>
          <w:szCs w:val="21"/>
        </w:rPr>
      </w:pPr>
      <w:r>
        <w:rPr>
          <w:rFonts w:hint="eastAsia" w:ascii="宋体" w:hAnsi="宋体"/>
          <w:szCs w:val="21"/>
        </w:rPr>
        <w:t>七、投标保证金：本项目不收取投标保证金。</w:t>
      </w:r>
    </w:p>
    <w:p w14:paraId="2BF99E5F">
      <w:pPr>
        <w:spacing w:line="360" w:lineRule="auto"/>
        <w:ind w:firstLine="411"/>
        <w:rPr>
          <w:rFonts w:ascii="宋体" w:hAnsi="宋体"/>
          <w:szCs w:val="21"/>
        </w:rPr>
      </w:pPr>
      <w:r>
        <w:rPr>
          <w:rFonts w:hint="eastAsia" w:ascii="宋体" w:hAnsi="宋体"/>
          <w:szCs w:val="21"/>
        </w:rPr>
        <w:t>八、履约保证金：</w:t>
      </w:r>
      <w:r>
        <w:rPr>
          <w:rFonts w:hint="eastAsia" w:ascii="宋体" w:hAnsi="宋体" w:cs="宋体"/>
          <w:szCs w:val="21"/>
        </w:rPr>
        <w:t>合同金额的</w:t>
      </w:r>
      <w:r>
        <w:rPr>
          <w:rFonts w:ascii="宋体" w:hAnsi="宋体" w:cs="宋体"/>
          <w:szCs w:val="21"/>
        </w:rPr>
        <w:t>10</w:t>
      </w:r>
      <w:r>
        <w:rPr>
          <w:rFonts w:hint="eastAsia" w:ascii="宋体" w:hAnsi="宋体" w:cs="宋体"/>
          <w:szCs w:val="21"/>
        </w:rPr>
        <w:t>%（</w:t>
      </w:r>
      <w:r>
        <w:rPr>
          <w:rFonts w:hint="eastAsia" w:ascii="宋体" w:hAnsi="宋体"/>
          <w:szCs w:val="21"/>
        </w:rPr>
        <w:t>以履约保函形式，</w:t>
      </w:r>
      <w:r>
        <w:rPr>
          <w:rFonts w:hint="eastAsia" w:ascii="宋体" w:hAnsi="宋体" w:cs="宋体"/>
          <w:szCs w:val="21"/>
        </w:rPr>
        <w:t>合同签订前购买保函</w:t>
      </w:r>
      <w:r>
        <w:rPr>
          <w:rFonts w:hint="eastAsia" w:ascii="宋体" w:hAnsi="宋体"/>
          <w:szCs w:val="21"/>
        </w:rPr>
        <w:t>交采购人</w:t>
      </w:r>
      <w:r>
        <w:rPr>
          <w:rFonts w:hint="eastAsia" w:ascii="宋体" w:hAnsi="宋体" w:cs="宋体"/>
          <w:szCs w:val="21"/>
        </w:rPr>
        <w:t>）。</w:t>
      </w:r>
    </w:p>
    <w:p w14:paraId="71F5FFBA">
      <w:pPr>
        <w:spacing w:line="360" w:lineRule="auto"/>
        <w:ind w:firstLine="411"/>
        <w:rPr>
          <w:rFonts w:ascii="宋体" w:hAnsi="宋体"/>
          <w:szCs w:val="21"/>
        </w:rPr>
      </w:pPr>
      <w:r>
        <w:rPr>
          <w:rFonts w:hint="eastAsia" w:ascii="宋体" w:hAnsi="宋体"/>
          <w:szCs w:val="21"/>
        </w:rPr>
        <w:t>九、为加强对政府采购供应商监督管理，进一步规范供应商政府采购行为，促进供应商依法诚信经营，维护政府采购公平竞争环境和政府采购当事人的合法权益，供应商在参加政府采购活动时按《昆山市政府采购供应商诚信管理办法》等规定执行。</w:t>
      </w:r>
    </w:p>
    <w:p w14:paraId="32D36CE3">
      <w:pPr>
        <w:spacing w:line="360" w:lineRule="auto"/>
        <w:ind w:firstLine="411"/>
        <w:rPr>
          <w:rFonts w:ascii="宋体" w:hAnsi="宋体"/>
          <w:szCs w:val="21"/>
        </w:rPr>
      </w:pPr>
      <w:r>
        <w:rPr>
          <w:rFonts w:hint="eastAsia" w:ascii="宋体" w:hAnsi="宋体"/>
          <w:szCs w:val="21"/>
        </w:rPr>
        <w:t>1.采购人：昆山市花桥镇人民政府</w:t>
      </w:r>
    </w:p>
    <w:p w14:paraId="2440CE8B">
      <w:pPr>
        <w:spacing w:line="360" w:lineRule="auto"/>
        <w:ind w:firstLine="411"/>
        <w:rPr>
          <w:rFonts w:ascii="宋体" w:hAnsi="宋体"/>
          <w:szCs w:val="21"/>
        </w:rPr>
      </w:pPr>
      <w:r>
        <w:rPr>
          <w:rFonts w:hint="eastAsia" w:ascii="宋体" w:hAnsi="宋体"/>
          <w:szCs w:val="21"/>
        </w:rPr>
        <w:t>联系人：冯主</w:t>
      </w:r>
      <w:r>
        <w:rPr>
          <w:rFonts w:ascii="宋体" w:hAnsi="宋体"/>
          <w:szCs w:val="21"/>
        </w:rPr>
        <w:t xml:space="preserve">任   </w:t>
      </w:r>
      <w:r>
        <w:rPr>
          <w:rFonts w:hint="eastAsia" w:ascii="宋体" w:hAnsi="宋体"/>
          <w:szCs w:val="21"/>
        </w:rPr>
        <w:t xml:space="preserve">     </w:t>
      </w:r>
    </w:p>
    <w:p w14:paraId="4FB8C03E">
      <w:pPr>
        <w:spacing w:line="360" w:lineRule="auto"/>
        <w:ind w:firstLine="411"/>
        <w:rPr>
          <w:rFonts w:ascii="宋体" w:hAnsi="宋体"/>
          <w:szCs w:val="21"/>
        </w:rPr>
      </w:pPr>
      <w:r>
        <w:rPr>
          <w:rFonts w:hint="eastAsia" w:ascii="宋体" w:hAnsi="宋体"/>
          <w:szCs w:val="21"/>
        </w:rPr>
        <w:t>地址：昆山市</w:t>
      </w:r>
    </w:p>
    <w:p w14:paraId="33E685DF">
      <w:pPr>
        <w:spacing w:line="360" w:lineRule="auto"/>
        <w:ind w:firstLine="411"/>
        <w:rPr>
          <w:rFonts w:ascii="宋体" w:hAnsi="宋体"/>
          <w:szCs w:val="21"/>
        </w:rPr>
      </w:pPr>
      <w:r>
        <w:rPr>
          <w:rFonts w:hint="eastAsia" w:ascii="宋体" w:hAnsi="宋体"/>
          <w:szCs w:val="21"/>
        </w:rPr>
        <w:t>联系电话：0512-36638055</w:t>
      </w:r>
    </w:p>
    <w:p w14:paraId="40C49E83">
      <w:pPr>
        <w:spacing w:line="360" w:lineRule="auto"/>
        <w:ind w:firstLine="411"/>
        <w:rPr>
          <w:rFonts w:ascii="宋体" w:hAnsi="宋体"/>
          <w:szCs w:val="21"/>
        </w:rPr>
      </w:pPr>
      <w:r>
        <w:rPr>
          <w:rFonts w:hint="eastAsia" w:ascii="宋体" w:hAnsi="宋体"/>
          <w:szCs w:val="21"/>
        </w:rPr>
        <w:t>2.招标代理人（机构）：江苏省鼎诚建设工程顾问有限公司</w:t>
      </w:r>
    </w:p>
    <w:p w14:paraId="54DCBADB">
      <w:pPr>
        <w:spacing w:line="360" w:lineRule="auto"/>
        <w:ind w:firstLine="411"/>
        <w:rPr>
          <w:rFonts w:ascii="宋体" w:hAnsi="宋体"/>
          <w:szCs w:val="21"/>
        </w:rPr>
      </w:pPr>
      <w:r>
        <w:rPr>
          <w:rFonts w:hint="eastAsia" w:ascii="宋体" w:hAnsi="宋体"/>
          <w:szCs w:val="21"/>
        </w:rPr>
        <w:t>地址：</w:t>
      </w:r>
      <w:bookmarkStart w:id="13" w:name="OLE_LINK10"/>
      <w:bookmarkStart w:id="14" w:name="OLE_LINK13"/>
      <w:r>
        <w:rPr>
          <w:rFonts w:hint="eastAsia" w:ascii="宋体" w:hAnsi="宋体"/>
          <w:szCs w:val="21"/>
        </w:rPr>
        <w:t>昆山市城北路5号C栋7楼</w:t>
      </w:r>
      <w:bookmarkEnd w:id="13"/>
      <w:bookmarkEnd w:id="14"/>
    </w:p>
    <w:p w14:paraId="7370FD8C">
      <w:pPr>
        <w:spacing w:line="360" w:lineRule="auto"/>
        <w:ind w:firstLine="411"/>
        <w:rPr>
          <w:rFonts w:ascii="宋体" w:hAnsi="宋体"/>
          <w:szCs w:val="21"/>
        </w:rPr>
      </w:pPr>
      <w:r>
        <w:rPr>
          <w:rFonts w:hint="eastAsia" w:ascii="宋体" w:hAnsi="宋体"/>
          <w:szCs w:val="21"/>
        </w:rPr>
        <w:t>电话：0512-55253793</w:t>
      </w:r>
    </w:p>
    <w:p w14:paraId="23A266AF">
      <w:pPr>
        <w:spacing w:line="360" w:lineRule="auto"/>
        <w:ind w:firstLine="411"/>
        <w:rPr>
          <w:rFonts w:ascii="宋体" w:hAnsi="宋体"/>
          <w:szCs w:val="21"/>
        </w:rPr>
      </w:pPr>
      <w:r>
        <w:rPr>
          <w:rFonts w:hint="eastAsia" w:ascii="宋体" w:hAnsi="宋体"/>
          <w:szCs w:val="21"/>
        </w:rPr>
        <w:t>联系人：夏小平、</w:t>
      </w:r>
      <w:r>
        <w:rPr>
          <w:rFonts w:ascii="宋体" w:hAnsi="宋体"/>
          <w:szCs w:val="21"/>
        </w:rPr>
        <w:t>皋</w:t>
      </w:r>
      <w:r>
        <w:rPr>
          <w:rFonts w:hint="eastAsia" w:ascii="宋体" w:hAnsi="宋体"/>
          <w:szCs w:val="21"/>
        </w:rPr>
        <w:t>紫</w:t>
      </w:r>
      <w:r>
        <w:rPr>
          <w:rFonts w:ascii="宋体" w:hAnsi="宋体"/>
          <w:szCs w:val="21"/>
        </w:rPr>
        <w:t>叶</w:t>
      </w:r>
    </w:p>
    <w:p w14:paraId="7A4ED3B3">
      <w:pPr>
        <w:spacing w:line="360" w:lineRule="auto"/>
        <w:ind w:firstLine="411"/>
        <w:rPr>
          <w:rFonts w:ascii="宋体" w:hAnsi="宋体"/>
          <w:szCs w:val="21"/>
        </w:rPr>
      </w:pPr>
      <w:r>
        <w:rPr>
          <w:rFonts w:hint="eastAsia" w:ascii="宋体" w:hAnsi="宋体"/>
          <w:szCs w:val="21"/>
        </w:rPr>
        <w:t>3.昆山市政府采购监督电话：0512-</w:t>
      </w:r>
      <w:r>
        <w:rPr>
          <w:rFonts w:ascii="宋体" w:hAnsi="宋体"/>
          <w:szCs w:val="21"/>
        </w:rPr>
        <w:t>573</w:t>
      </w:r>
      <w:r>
        <w:rPr>
          <w:rFonts w:hint="eastAsia" w:ascii="宋体" w:hAnsi="宋体"/>
          <w:szCs w:val="21"/>
        </w:rPr>
        <w:t>10854</w:t>
      </w:r>
    </w:p>
    <w:p w14:paraId="4547E81D">
      <w:pPr>
        <w:spacing w:line="360" w:lineRule="auto"/>
        <w:ind w:firstLine="411"/>
        <w:rPr>
          <w:rFonts w:ascii="宋体" w:hAnsi="宋体"/>
          <w:szCs w:val="21"/>
        </w:rPr>
      </w:pPr>
      <w:r>
        <w:rPr>
          <w:rFonts w:hint="eastAsia" w:ascii="宋体" w:hAnsi="宋体"/>
          <w:szCs w:val="21"/>
        </w:rPr>
        <w:t>十、其他</w:t>
      </w:r>
    </w:p>
    <w:p w14:paraId="32B4FBDE">
      <w:pPr>
        <w:spacing w:line="360" w:lineRule="auto"/>
        <w:ind w:firstLine="411"/>
        <w:rPr>
          <w:rFonts w:ascii="宋体" w:hAnsi="宋体"/>
          <w:szCs w:val="21"/>
        </w:rPr>
      </w:pPr>
      <w:r>
        <w:rPr>
          <w:rFonts w:hint="eastAsia" w:ascii="宋体" w:hAnsi="宋体"/>
          <w:szCs w:val="21"/>
        </w:rPr>
        <w:t>本项目获取招标文件截止日期之后仍可以下载招标文件，但截止日期之后下载的招标文件，视为非有效方式且不作为供应商权益受到损害的证明材料和依据。</w:t>
      </w:r>
    </w:p>
    <w:p w14:paraId="54D1297A">
      <w:pPr>
        <w:widowControl/>
        <w:shd w:val="clear" w:color="auto" w:fill="FFFFFF"/>
        <w:spacing w:line="360" w:lineRule="auto"/>
        <w:ind w:firstLine="420"/>
        <w:jc w:val="right"/>
        <w:rPr>
          <w:rFonts w:ascii="宋体" w:hAnsi="宋体" w:cs="宋体"/>
          <w:szCs w:val="21"/>
        </w:rPr>
      </w:pPr>
    </w:p>
    <w:p w14:paraId="3BCD4414">
      <w:pPr>
        <w:sectPr>
          <w:footerReference r:id="rId7" w:type="first"/>
          <w:pgSz w:w="11906" w:h="16838"/>
          <w:pgMar w:top="1247" w:right="1361" w:bottom="1247" w:left="1361" w:header="850" w:footer="794" w:gutter="0"/>
          <w:cols w:space="1701" w:num="1"/>
          <w:titlePg/>
          <w:docGrid w:linePitch="360" w:charSpace="0"/>
        </w:sectPr>
      </w:pPr>
    </w:p>
    <w:p w14:paraId="30D7AF2A">
      <w:pPr>
        <w:pStyle w:val="5"/>
        <w:spacing w:line="360" w:lineRule="auto"/>
        <w:jc w:val="center"/>
      </w:pPr>
      <w:bookmarkStart w:id="15" w:name="_Toc5393"/>
      <w:r>
        <w:rPr>
          <w:rFonts w:hint="eastAsia"/>
        </w:rPr>
        <w:t>第二章 投标人须知</w:t>
      </w:r>
      <w:bookmarkEnd w:id="6"/>
      <w:bookmarkEnd w:id="7"/>
      <w:bookmarkEnd w:id="8"/>
      <w:bookmarkEnd w:id="9"/>
      <w:bookmarkEnd w:id="15"/>
    </w:p>
    <w:p w14:paraId="7E2DADC9">
      <w:pPr>
        <w:pStyle w:val="7"/>
        <w:spacing w:line="360" w:lineRule="auto"/>
        <w:rPr>
          <w:rFonts w:ascii="宋体" w:hAnsi="宋体" w:eastAsia="宋体"/>
          <w:b/>
          <w:sz w:val="21"/>
          <w:szCs w:val="21"/>
        </w:rPr>
      </w:pPr>
      <w:r>
        <w:rPr>
          <w:rFonts w:hint="eastAsia" w:ascii="宋体" w:hAnsi="宋体" w:eastAsia="宋体"/>
          <w:b/>
          <w:sz w:val="21"/>
          <w:szCs w:val="21"/>
        </w:rPr>
        <w:t>一、招投标说明</w:t>
      </w:r>
    </w:p>
    <w:p w14:paraId="1D8C848B">
      <w:pPr>
        <w:pStyle w:val="7"/>
        <w:spacing w:line="360" w:lineRule="auto"/>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本招标文件仅适用于江苏省鼎诚建设工程顾问有限公司组织的招标活动。</w:t>
      </w:r>
    </w:p>
    <w:p w14:paraId="7B030407">
      <w:pPr>
        <w:pStyle w:val="7"/>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本次招标活动及因本次招标活动产生的合同受中国法律制约和保护。</w:t>
      </w:r>
    </w:p>
    <w:p w14:paraId="504DB84A">
      <w:pPr>
        <w:pStyle w:val="7"/>
        <w:spacing w:line="360" w:lineRule="auto"/>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w:t>
      </w:r>
      <w:r>
        <w:rPr>
          <w:rFonts w:hint="eastAsia" w:ascii="宋体" w:hAnsi="宋体" w:eastAsia="宋体"/>
          <w:sz w:val="21"/>
          <w:szCs w:val="21"/>
        </w:rPr>
        <w:t>本招标文件的解释权属于江苏省鼎诚建设工程顾问有限公司。</w:t>
      </w:r>
    </w:p>
    <w:p w14:paraId="1BAC2783">
      <w:pPr>
        <w:pStyle w:val="7"/>
        <w:spacing w:line="360" w:lineRule="auto"/>
        <w:rPr>
          <w:rFonts w:ascii="宋体" w:hAnsi="宋体" w:eastAsia="宋体"/>
          <w:b/>
          <w:sz w:val="21"/>
          <w:szCs w:val="21"/>
        </w:rPr>
      </w:pPr>
      <w:r>
        <w:rPr>
          <w:rFonts w:hint="eastAsia" w:ascii="宋体" w:hAnsi="宋体" w:eastAsia="宋体"/>
          <w:b/>
          <w:sz w:val="21"/>
          <w:szCs w:val="21"/>
        </w:rPr>
        <w:t>二、投标文件说明</w:t>
      </w:r>
    </w:p>
    <w:p w14:paraId="644929B9">
      <w:pPr>
        <w:spacing w:line="360" w:lineRule="auto"/>
        <w:ind w:firstLine="420"/>
        <w:rPr>
          <w:rFonts w:ascii="宋体" w:hAnsi="宋体"/>
          <w:b/>
          <w:szCs w:val="21"/>
        </w:rPr>
      </w:pPr>
      <w:r>
        <w:rPr>
          <w:rFonts w:hint="eastAsia" w:ascii="宋体" w:hAnsi="宋体"/>
          <w:b/>
          <w:szCs w:val="21"/>
        </w:rPr>
        <w:t>1.投标文件计量单位和使用文字</w:t>
      </w:r>
    </w:p>
    <w:p w14:paraId="4F9FE884">
      <w:pPr>
        <w:pStyle w:val="7"/>
        <w:spacing w:line="360" w:lineRule="auto"/>
        <w:rPr>
          <w:rFonts w:ascii="宋体" w:hAnsi="宋体" w:eastAsia="宋体"/>
          <w:sz w:val="21"/>
          <w:szCs w:val="21"/>
        </w:rPr>
      </w:pPr>
      <w:r>
        <w:rPr>
          <w:rFonts w:hint="eastAsia" w:ascii="宋体" w:hAnsi="宋体" w:eastAsia="宋体"/>
          <w:sz w:val="21"/>
          <w:szCs w:val="21"/>
        </w:rPr>
        <w:t>1.1投标文件中所使用的计量单位，除招标文件中有特殊要求外，应采用国家法定计量单位。</w:t>
      </w:r>
    </w:p>
    <w:p w14:paraId="2DF457F9">
      <w:pPr>
        <w:spacing w:line="360" w:lineRule="auto"/>
        <w:ind w:firstLine="420"/>
        <w:rPr>
          <w:rFonts w:ascii="宋体" w:hAnsi="宋体"/>
          <w:szCs w:val="21"/>
        </w:rPr>
      </w:pPr>
      <w:r>
        <w:rPr>
          <w:rFonts w:hint="eastAsia" w:ascii="宋体" w:hAnsi="宋体"/>
          <w:szCs w:val="21"/>
        </w:rPr>
        <w:t>1.2投标文件应使用中文编制，投标文件中必须使用其他文字的，必须附有中文译本，</w:t>
      </w:r>
      <w:r>
        <w:rPr>
          <w:rFonts w:hint="eastAsia" w:ascii="宋体" w:hAnsi="宋体"/>
          <w:szCs w:val="21"/>
          <w:lang w:val="zh-CN"/>
        </w:rPr>
        <w:t>对不同文本投标文件的解释发生异议的，以中文文本为准。</w:t>
      </w:r>
      <w:r>
        <w:rPr>
          <w:rFonts w:hint="eastAsia" w:ascii="宋体" w:hAnsi="宋体"/>
          <w:szCs w:val="21"/>
        </w:rPr>
        <w:t>对于未附有中文译本和中文译本不准确的投标文件，由此引起的对投标单位不利后果的，采购代理机构概不负责。</w:t>
      </w:r>
    </w:p>
    <w:p w14:paraId="34C44F81">
      <w:pPr>
        <w:spacing w:line="360" w:lineRule="auto"/>
        <w:ind w:firstLine="420"/>
        <w:rPr>
          <w:rFonts w:ascii="宋体" w:hAnsi="宋体"/>
          <w:b/>
          <w:szCs w:val="21"/>
        </w:rPr>
      </w:pPr>
      <w:r>
        <w:rPr>
          <w:rFonts w:hint="eastAsia" w:ascii="宋体" w:hAnsi="宋体"/>
          <w:b/>
          <w:szCs w:val="21"/>
        </w:rPr>
        <w:t>2.投标文件编制说明</w:t>
      </w:r>
    </w:p>
    <w:p w14:paraId="0239FF9A">
      <w:pPr>
        <w:spacing w:line="360" w:lineRule="auto"/>
        <w:ind w:firstLine="434"/>
        <w:rPr>
          <w:rFonts w:ascii="宋体" w:hAnsi="宋体"/>
          <w:b/>
          <w:szCs w:val="21"/>
        </w:rPr>
      </w:pPr>
      <w:r>
        <w:rPr>
          <w:rFonts w:hint="eastAsia" w:ascii="宋体" w:hAnsi="宋体"/>
          <w:szCs w:val="21"/>
        </w:rPr>
        <w:t>投标文件按招标文件规定的格式制作，需</w:t>
      </w:r>
      <w:r>
        <w:rPr>
          <w:rFonts w:ascii="宋体" w:hAnsi="宋体"/>
          <w:szCs w:val="21"/>
        </w:rPr>
        <w:t>盖章或签字之</w:t>
      </w:r>
      <w:r>
        <w:rPr>
          <w:rFonts w:hint="eastAsia" w:ascii="宋体" w:hAnsi="宋体"/>
          <w:szCs w:val="21"/>
        </w:rPr>
        <w:t>处，</w:t>
      </w:r>
      <w:r>
        <w:rPr>
          <w:rFonts w:ascii="宋体" w:hAnsi="宋体"/>
          <w:szCs w:val="21"/>
        </w:rPr>
        <w:t>应</w:t>
      </w:r>
      <w:r>
        <w:rPr>
          <w:rFonts w:hint="eastAsia" w:ascii="宋体" w:hAnsi="宋体"/>
          <w:szCs w:val="21"/>
        </w:rPr>
        <w:t>按要求加盖电子签章</w:t>
      </w:r>
      <w:r>
        <w:rPr>
          <w:rFonts w:ascii="宋体" w:hAnsi="宋体"/>
          <w:szCs w:val="21"/>
        </w:rPr>
        <w:t>，</w:t>
      </w:r>
      <w:r>
        <w:rPr>
          <w:rFonts w:hint="eastAsia" w:ascii="宋体" w:hAnsi="宋体"/>
          <w:szCs w:val="21"/>
        </w:rPr>
        <w:t>如果未按要求制作上传，</w:t>
      </w:r>
      <w:r>
        <w:rPr>
          <w:rFonts w:hint="eastAsia" w:ascii="宋体" w:hAnsi="宋体" w:cs="Arial"/>
          <w:szCs w:val="21"/>
        </w:rPr>
        <w:t>可能导致投标无效。</w:t>
      </w:r>
      <w:r>
        <w:rPr>
          <w:rFonts w:hint="eastAsia"/>
          <w:shd w:val="clear" w:color="auto" w:fill="FFFFFF"/>
        </w:rPr>
        <w:t>投标单位上传投标文件内容务必清晰明了。</w:t>
      </w:r>
    </w:p>
    <w:p w14:paraId="41F1FDA7">
      <w:pPr>
        <w:spacing w:line="360" w:lineRule="auto"/>
        <w:ind w:firstLine="420"/>
        <w:rPr>
          <w:rFonts w:ascii="宋体" w:hAnsi="宋体"/>
          <w:b/>
          <w:szCs w:val="21"/>
        </w:rPr>
      </w:pPr>
      <w:r>
        <w:rPr>
          <w:rFonts w:hint="eastAsia" w:ascii="宋体" w:hAnsi="宋体"/>
          <w:b/>
          <w:szCs w:val="21"/>
        </w:rPr>
        <w:t>3.投标文件的有效期</w:t>
      </w:r>
    </w:p>
    <w:p w14:paraId="1A1133C0">
      <w:pPr>
        <w:spacing w:line="360" w:lineRule="auto"/>
        <w:ind w:firstLine="420"/>
        <w:rPr>
          <w:rFonts w:ascii="宋体" w:hAnsi="宋体"/>
          <w:szCs w:val="21"/>
        </w:rPr>
      </w:pPr>
      <w:r>
        <w:rPr>
          <w:rFonts w:hint="eastAsia" w:ascii="宋体" w:hAnsi="宋体"/>
          <w:szCs w:val="21"/>
        </w:rPr>
        <w:t>自开标日起90天内，投标文件应保持有效。有效期短于这个规定期限的响应，将被认定为未实质性响应招标文件要求。</w:t>
      </w:r>
    </w:p>
    <w:p w14:paraId="3B03EBBD">
      <w:pPr>
        <w:spacing w:line="360" w:lineRule="auto"/>
        <w:ind w:firstLine="420"/>
        <w:rPr>
          <w:rFonts w:ascii="宋体" w:hAnsi="宋体"/>
          <w:b/>
          <w:szCs w:val="21"/>
        </w:rPr>
      </w:pPr>
      <w:r>
        <w:rPr>
          <w:rFonts w:hint="eastAsia" w:ascii="宋体" w:hAnsi="宋体"/>
          <w:b/>
          <w:szCs w:val="21"/>
        </w:rPr>
        <w:t>4.投标报价</w:t>
      </w:r>
    </w:p>
    <w:p w14:paraId="609DD0A0">
      <w:pPr>
        <w:spacing w:line="360" w:lineRule="auto"/>
        <w:rPr>
          <w:rFonts w:ascii="宋体" w:hAnsi="宋体"/>
          <w:szCs w:val="21"/>
        </w:rPr>
      </w:pPr>
      <w:r>
        <w:rPr>
          <w:rFonts w:hint="eastAsia" w:ascii="宋体" w:hAnsi="宋体"/>
          <w:szCs w:val="21"/>
        </w:rPr>
        <w:t xml:space="preserve">    4.1投标单位的报价应包含</w:t>
      </w:r>
      <w:r>
        <w:rPr>
          <w:rFonts w:hint="eastAsia" w:hAnsi="宋体"/>
          <w:szCs w:val="21"/>
        </w:rPr>
        <w:t>全部货物和服务内容、人员工资福利、运输、</w:t>
      </w:r>
      <w:r>
        <w:rPr>
          <w:rFonts w:hint="eastAsia" w:hAnsi="Calibri"/>
        </w:rPr>
        <w:t>风险费、保险费、税金、利润等政策性文件规定及合同包含的所有风险、责任等各项应有费用</w:t>
      </w:r>
      <w:r>
        <w:rPr>
          <w:rFonts w:ascii="宋体" w:hAnsi="宋体"/>
          <w:szCs w:val="21"/>
        </w:rPr>
        <w:t>。除非因特殊原因并经双方协商同意，投标单位不得再要求追加任何费用。</w:t>
      </w:r>
    </w:p>
    <w:p w14:paraId="7A24449B">
      <w:pPr>
        <w:spacing w:line="360" w:lineRule="auto"/>
        <w:ind w:firstLine="420"/>
        <w:rPr>
          <w:rFonts w:ascii="宋体" w:hAnsi="宋体"/>
          <w:szCs w:val="21"/>
        </w:rPr>
      </w:pPr>
      <w:r>
        <w:rPr>
          <w:rFonts w:hint="eastAsia" w:ascii="宋体" w:hAnsi="宋体"/>
          <w:szCs w:val="21"/>
        </w:rPr>
        <w:t>4.2投标报价应当低于</w:t>
      </w:r>
      <w:r>
        <w:rPr>
          <w:rFonts w:ascii="宋体" w:hAnsi="宋体"/>
          <w:szCs w:val="21"/>
        </w:rPr>
        <w:t>同类货物和服务的市场平均价格。</w:t>
      </w:r>
      <w:r>
        <w:rPr>
          <w:rFonts w:hint="eastAsia" w:ascii="宋体" w:hAnsi="宋体"/>
          <w:szCs w:val="21"/>
        </w:rPr>
        <w:t>除非招标文件另有规定或经采购人同意支付的，投标报价均不得高于招标文件（公告）列明的最高限价、项目预算。</w:t>
      </w:r>
    </w:p>
    <w:p w14:paraId="69FC3A25">
      <w:pPr>
        <w:pStyle w:val="7"/>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3</w:t>
      </w:r>
      <w:r>
        <w:rPr>
          <w:rFonts w:hint="eastAsia" w:ascii="宋体" w:hAnsi="宋体" w:eastAsia="宋体"/>
          <w:sz w:val="21"/>
          <w:szCs w:val="21"/>
        </w:rPr>
        <w:t>投标单位应按招标文件要求在投标文件中列明所投服务的单价明细和总价，并由法定代表人或代理人签字或盖章。</w:t>
      </w:r>
    </w:p>
    <w:p w14:paraId="329D56A4">
      <w:pPr>
        <w:pStyle w:val="7"/>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4</w:t>
      </w:r>
      <w:r>
        <w:rPr>
          <w:rFonts w:hint="eastAsia" w:ascii="宋体" w:hAnsi="宋体" w:eastAsia="宋体"/>
          <w:sz w:val="21"/>
          <w:szCs w:val="21"/>
        </w:rPr>
        <w:t>投标单位应对招标文件内所要采购的全部内容进行报价，只对其中部分内容报价的，将被认定其未实质性投标招标文件。如果招标文件要求分标段投标的，投标单位可以选择其中部分或者全部标段进行投标，但各标段应分别计算填写单价和总价。</w:t>
      </w:r>
    </w:p>
    <w:p w14:paraId="13D998A2">
      <w:pPr>
        <w:pStyle w:val="7"/>
        <w:spacing w:line="360" w:lineRule="auto"/>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5</w:t>
      </w:r>
      <w:r>
        <w:rPr>
          <w:rFonts w:hint="eastAsia" w:ascii="宋体" w:hAnsi="宋体" w:eastAsia="宋体"/>
          <w:sz w:val="21"/>
          <w:szCs w:val="21"/>
        </w:rPr>
        <w:t>投标文件报价中的单价和总价全部采用人民币表示，除非另有规定。</w:t>
      </w:r>
    </w:p>
    <w:p w14:paraId="0F348490">
      <w:pPr>
        <w:pStyle w:val="7"/>
        <w:spacing w:line="360" w:lineRule="auto"/>
        <w:rPr>
          <w:rFonts w:ascii="宋体" w:hAnsi="宋体" w:eastAsia="宋体"/>
          <w:sz w:val="21"/>
          <w:szCs w:val="21"/>
        </w:rPr>
      </w:pPr>
      <w:r>
        <w:rPr>
          <w:rFonts w:hint="eastAsia" w:ascii="宋体" w:hAnsi="宋体" w:eastAsia="宋体"/>
          <w:sz w:val="21"/>
          <w:szCs w:val="21"/>
        </w:rPr>
        <w:t>4.6除国家政策性文件规定以外，投标单位投标价格在合同履行期间不因市场变化因素而变动。</w:t>
      </w:r>
    </w:p>
    <w:p w14:paraId="6A441B9F">
      <w:pPr>
        <w:spacing w:line="360" w:lineRule="auto"/>
        <w:ind w:firstLine="420"/>
        <w:rPr>
          <w:rFonts w:ascii="宋体" w:hAnsi="宋体"/>
          <w:b/>
          <w:szCs w:val="21"/>
        </w:rPr>
      </w:pPr>
      <w:r>
        <w:rPr>
          <w:rFonts w:hint="eastAsia" w:ascii="宋体" w:hAnsi="宋体"/>
          <w:b/>
          <w:szCs w:val="21"/>
        </w:rPr>
        <w:t>5.投标文件的组成</w:t>
      </w:r>
    </w:p>
    <w:p w14:paraId="256DCEAF">
      <w:pPr>
        <w:numPr>
          <w:ilvl w:val="1"/>
          <w:numId w:val="0"/>
        </w:numPr>
        <w:spacing w:line="360" w:lineRule="auto"/>
        <w:ind w:firstLine="425"/>
        <w:rPr>
          <w:rFonts w:ascii="宋体" w:hAnsi="宋体" w:cs="Arial"/>
          <w:bCs/>
          <w:szCs w:val="21"/>
        </w:rPr>
      </w:pPr>
      <w:r>
        <w:rPr>
          <w:rFonts w:hint="eastAsia" w:ascii="宋体" w:hAnsi="宋体" w:cs="Arial"/>
          <w:bCs/>
          <w:szCs w:val="21"/>
        </w:rPr>
        <w:t>5.1投标文件封面：</w:t>
      </w:r>
    </w:p>
    <w:p w14:paraId="503001EE">
      <w:pPr>
        <w:numPr>
          <w:ilvl w:val="2"/>
          <w:numId w:val="0"/>
        </w:numPr>
        <w:spacing w:line="360" w:lineRule="auto"/>
        <w:ind w:left="426"/>
        <w:rPr>
          <w:rFonts w:ascii="宋体" w:hAnsi="宋体" w:cs="Arial"/>
          <w:szCs w:val="21"/>
        </w:rPr>
      </w:pPr>
      <w:r>
        <w:rPr>
          <w:rFonts w:hint="eastAsia" w:ascii="宋体" w:hAnsi="宋体" w:cs="Arial"/>
          <w:szCs w:val="21"/>
        </w:rPr>
        <w:t>5.1.1基本目录；</w:t>
      </w:r>
    </w:p>
    <w:p w14:paraId="273FBBB8">
      <w:pPr>
        <w:numPr>
          <w:ilvl w:val="2"/>
          <w:numId w:val="0"/>
        </w:numPr>
        <w:spacing w:line="360" w:lineRule="auto"/>
        <w:ind w:left="426"/>
        <w:rPr>
          <w:rFonts w:ascii="宋体" w:hAnsi="宋体" w:cs="Arial"/>
          <w:szCs w:val="21"/>
        </w:rPr>
      </w:pPr>
      <w:r>
        <w:rPr>
          <w:rFonts w:hint="eastAsia" w:ascii="宋体" w:hAnsi="宋体" w:cs="Arial"/>
          <w:szCs w:val="21"/>
        </w:rPr>
        <w:t>5.1.2开标一览表</w:t>
      </w:r>
      <w:r>
        <w:rPr>
          <w:rFonts w:ascii="宋体" w:hAnsi="宋体" w:cs="Arial"/>
          <w:szCs w:val="21"/>
        </w:rPr>
        <w:t>（格式见第三章）；</w:t>
      </w:r>
    </w:p>
    <w:p w14:paraId="5BF46C30">
      <w:pPr>
        <w:numPr>
          <w:ilvl w:val="2"/>
          <w:numId w:val="0"/>
        </w:numPr>
        <w:spacing w:line="360" w:lineRule="auto"/>
        <w:ind w:left="426"/>
        <w:rPr>
          <w:rFonts w:ascii="宋体" w:hAnsi="宋体" w:cs="Arial"/>
          <w:szCs w:val="21"/>
        </w:rPr>
      </w:pPr>
      <w:r>
        <w:rPr>
          <w:rFonts w:hint="eastAsia" w:ascii="宋体" w:hAnsi="宋体" w:cs="Arial"/>
          <w:szCs w:val="21"/>
        </w:rPr>
        <w:t>5.1.3投标分项报价表</w:t>
      </w:r>
      <w:r>
        <w:rPr>
          <w:rFonts w:ascii="宋体" w:hAnsi="宋体" w:cs="Arial"/>
          <w:szCs w:val="21"/>
        </w:rPr>
        <w:t>（格式见第三章）</w:t>
      </w:r>
      <w:r>
        <w:rPr>
          <w:rFonts w:hint="eastAsia" w:ascii="宋体" w:hAnsi="宋体" w:cs="Arial"/>
          <w:szCs w:val="21"/>
        </w:rPr>
        <w:t>；</w:t>
      </w:r>
    </w:p>
    <w:p w14:paraId="5E987A9B">
      <w:pPr>
        <w:numPr>
          <w:ilvl w:val="1"/>
          <w:numId w:val="0"/>
        </w:numPr>
        <w:spacing w:line="360" w:lineRule="auto"/>
        <w:ind w:firstLine="425"/>
        <w:rPr>
          <w:rFonts w:ascii="宋体" w:hAnsi="宋体" w:cs="Arial"/>
          <w:b/>
          <w:szCs w:val="21"/>
        </w:rPr>
      </w:pPr>
      <w:r>
        <w:rPr>
          <w:rFonts w:hint="eastAsia" w:ascii="宋体" w:hAnsi="宋体" w:cs="Arial"/>
          <w:b/>
          <w:szCs w:val="21"/>
        </w:rPr>
        <w:t>5.2资格条件：</w:t>
      </w:r>
    </w:p>
    <w:p w14:paraId="63E66F7A">
      <w:pPr>
        <w:numPr>
          <w:ilvl w:val="2"/>
          <w:numId w:val="0"/>
        </w:numPr>
        <w:spacing w:line="360" w:lineRule="auto"/>
        <w:ind w:left="426"/>
        <w:rPr>
          <w:rFonts w:ascii="宋体" w:hAnsi="宋体" w:cs="Arial"/>
          <w:szCs w:val="21"/>
        </w:rPr>
      </w:pPr>
      <w:r>
        <w:rPr>
          <w:rFonts w:hint="eastAsia" w:ascii="宋体" w:hAnsi="宋体" w:cs="Arial"/>
          <w:szCs w:val="21"/>
        </w:rPr>
        <w:t>5</w:t>
      </w:r>
      <w:r>
        <w:rPr>
          <w:rFonts w:ascii="宋体" w:hAnsi="宋体" w:cs="Arial"/>
          <w:szCs w:val="21"/>
        </w:rPr>
        <w:t>.2.4</w:t>
      </w:r>
      <w:r>
        <w:rPr>
          <w:rFonts w:hint="eastAsia" w:ascii="宋体" w:hAnsi="宋体" w:cs="Arial"/>
          <w:szCs w:val="21"/>
        </w:rPr>
        <w:t>投标人满足《中华人民共和国政府采购法》第二十二条规定，（格式见投标承诺函或提供相应证明材料）</w:t>
      </w:r>
    </w:p>
    <w:p w14:paraId="7AE8C3BB">
      <w:pPr>
        <w:numPr>
          <w:ilvl w:val="2"/>
          <w:numId w:val="0"/>
        </w:numPr>
        <w:spacing w:line="360" w:lineRule="auto"/>
        <w:ind w:left="426"/>
        <w:rPr>
          <w:rFonts w:ascii="宋体" w:hAnsi="宋体" w:cs="Arial"/>
          <w:szCs w:val="21"/>
        </w:rPr>
      </w:pPr>
      <w:r>
        <w:rPr>
          <w:rFonts w:hint="eastAsia" w:ascii="宋体" w:hAnsi="宋体" w:cs="Arial"/>
          <w:szCs w:val="21"/>
        </w:rPr>
        <w:t>5.2.4.1具有独立承担民事责任的能力（法人或其他组织的</w:t>
      </w:r>
      <w:r>
        <w:rPr>
          <w:rFonts w:ascii="Segoe UI" w:hAnsi="Segoe UI" w:eastAsia="Segoe UI" w:cs="Segoe UI"/>
          <w:szCs w:val="21"/>
          <w:shd w:val="clear" w:color="auto" w:fill="FAFAFA"/>
        </w:rPr>
        <w:t>营业执照等证明文件，自然人的身份证明</w:t>
      </w:r>
      <w:r>
        <w:rPr>
          <w:rFonts w:hint="eastAsia" w:ascii="宋体" w:hAnsi="宋体" w:cs="Arial"/>
          <w:szCs w:val="21"/>
        </w:rPr>
        <w:t>）；</w:t>
      </w:r>
    </w:p>
    <w:p w14:paraId="4BBA443F">
      <w:pPr>
        <w:numPr>
          <w:ilvl w:val="2"/>
          <w:numId w:val="0"/>
        </w:numPr>
        <w:spacing w:line="360" w:lineRule="auto"/>
        <w:ind w:left="426"/>
        <w:rPr>
          <w:rFonts w:ascii="宋体" w:hAnsi="宋体" w:cs="Arial"/>
          <w:szCs w:val="21"/>
        </w:rPr>
      </w:pPr>
      <w:r>
        <w:rPr>
          <w:rFonts w:hint="eastAsia" w:ascii="宋体" w:hAnsi="宋体" w:cs="Arial"/>
          <w:szCs w:val="21"/>
        </w:rPr>
        <w:t>5.2.4.2具有良好的商业信誉和健全的财务会计制度（格式见投标承诺函或提供相应证明材料）；</w:t>
      </w:r>
    </w:p>
    <w:p w14:paraId="059BA8AE">
      <w:pPr>
        <w:numPr>
          <w:ilvl w:val="2"/>
          <w:numId w:val="0"/>
        </w:numPr>
        <w:spacing w:line="360" w:lineRule="auto"/>
        <w:ind w:left="426"/>
        <w:rPr>
          <w:rFonts w:ascii="宋体" w:hAnsi="宋体" w:cs="Arial"/>
          <w:szCs w:val="21"/>
        </w:rPr>
      </w:pPr>
      <w:r>
        <w:rPr>
          <w:rFonts w:hint="eastAsia" w:ascii="宋体" w:hAnsi="宋体" w:cs="Arial"/>
          <w:szCs w:val="21"/>
        </w:rPr>
        <w:t>5.2.4.3具有履行合同所必需的设备和专业技术能力（格式见投标承诺函或提供相应证明材料）；</w:t>
      </w:r>
    </w:p>
    <w:p w14:paraId="1F7DD116">
      <w:pPr>
        <w:numPr>
          <w:ilvl w:val="2"/>
          <w:numId w:val="0"/>
        </w:numPr>
        <w:spacing w:line="360" w:lineRule="auto"/>
        <w:ind w:left="426"/>
        <w:rPr>
          <w:rFonts w:ascii="宋体" w:hAnsi="宋体" w:cs="Arial"/>
          <w:szCs w:val="21"/>
        </w:rPr>
      </w:pPr>
      <w:r>
        <w:rPr>
          <w:rFonts w:hint="eastAsia" w:ascii="宋体" w:hAnsi="宋体" w:cs="Arial"/>
          <w:szCs w:val="21"/>
        </w:rPr>
        <w:t>5.2.4.4具有依法缴纳税收和社会保障资金的良好记录（格式见投标承诺函或提供相应证明材料）；</w:t>
      </w:r>
    </w:p>
    <w:p w14:paraId="575261E6">
      <w:pPr>
        <w:numPr>
          <w:ilvl w:val="2"/>
          <w:numId w:val="0"/>
        </w:numPr>
        <w:spacing w:line="360" w:lineRule="auto"/>
        <w:ind w:left="426"/>
        <w:rPr>
          <w:rFonts w:ascii="宋体" w:hAnsi="宋体" w:cs="Arial"/>
          <w:szCs w:val="21"/>
        </w:rPr>
      </w:pPr>
      <w:r>
        <w:rPr>
          <w:rFonts w:hint="eastAsia" w:ascii="宋体" w:hAnsi="宋体" w:cs="Arial"/>
          <w:szCs w:val="21"/>
        </w:rPr>
        <w:t>5.2.4.5参加政府采购活动前三年内，在经营活动中没有重大违法记录（格式见投标承诺函或提供相应证明材料）；</w:t>
      </w:r>
    </w:p>
    <w:p w14:paraId="6C357057">
      <w:pPr>
        <w:numPr>
          <w:ilvl w:val="2"/>
          <w:numId w:val="0"/>
        </w:numPr>
        <w:spacing w:line="360" w:lineRule="auto"/>
        <w:ind w:left="426"/>
        <w:rPr>
          <w:rFonts w:ascii="宋体" w:hAnsi="宋体" w:cs="Arial"/>
          <w:szCs w:val="21"/>
        </w:rPr>
      </w:pPr>
      <w:r>
        <w:rPr>
          <w:rFonts w:hint="eastAsia" w:ascii="宋体" w:hAnsi="宋体" w:cs="Arial"/>
          <w:szCs w:val="21"/>
        </w:rPr>
        <w:t>5.2.5第一章投标邀请中采购人根据采购项目的特殊要求规定的特定条件证明文件（如有）；</w:t>
      </w:r>
    </w:p>
    <w:p w14:paraId="2727FA74">
      <w:pPr>
        <w:numPr>
          <w:ilvl w:val="2"/>
          <w:numId w:val="0"/>
        </w:numPr>
        <w:spacing w:line="360" w:lineRule="auto"/>
        <w:ind w:left="426"/>
        <w:rPr>
          <w:rFonts w:ascii="宋体" w:hAnsi="宋体" w:cs="Arial"/>
          <w:szCs w:val="21"/>
        </w:rPr>
      </w:pPr>
      <w:r>
        <w:rPr>
          <w:rFonts w:hint="eastAsia" w:ascii="宋体" w:hAnsi="宋体" w:cs="Arial"/>
          <w:szCs w:val="21"/>
        </w:rPr>
        <w:t>5.2.6法定代表人授权委托书及法人身份证明（如有授权）</w:t>
      </w:r>
      <w:r>
        <w:rPr>
          <w:rFonts w:ascii="宋体" w:hAnsi="宋体" w:cs="Arial"/>
          <w:szCs w:val="21"/>
        </w:rPr>
        <w:t>（格式见第三章）</w:t>
      </w:r>
      <w:r>
        <w:rPr>
          <w:rFonts w:hint="eastAsia" w:ascii="宋体" w:hAnsi="宋体" w:cs="Arial"/>
          <w:szCs w:val="21"/>
        </w:rPr>
        <w:t>；</w:t>
      </w:r>
    </w:p>
    <w:p w14:paraId="167C72F5">
      <w:pPr>
        <w:numPr>
          <w:ilvl w:val="2"/>
          <w:numId w:val="0"/>
        </w:numPr>
        <w:spacing w:line="360" w:lineRule="auto"/>
        <w:ind w:left="426"/>
        <w:rPr>
          <w:rFonts w:ascii="宋体" w:hAnsi="宋体"/>
          <w:bCs/>
          <w:szCs w:val="21"/>
        </w:rPr>
      </w:pPr>
      <w:r>
        <w:rPr>
          <w:rFonts w:hint="eastAsia" w:ascii="宋体" w:hAnsi="宋体" w:cs="Arial"/>
          <w:szCs w:val="21"/>
        </w:rPr>
        <w:t>5.2.7</w:t>
      </w:r>
      <w:r>
        <w:rPr>
          <w:rFonts w:hint="eastAsia" w:ascii="宋体" w:hAnsi="宋体"/>
          <w:bCs/>
          <w:szCs w:val="21"/>
        </w:rPr>
        <w:t>落实政府采购政策需满足的资格要求材料（如有）。</w:t>
      </w:r>
    </w:p>
    <w:p w14:paraId="0788E2A8">
      <w:pPr>
        <w:numPr>
          <w:ilvl w:val="2"/>
          <w:numId w:val="0"/>
        </w:numPr>
        <w:spacing w:line="360" w:lineRule="auto"/>
        <w:ind w:left="426"/>
        <w:rPr>
          <w:rFonts w:ascii="宋体" w:hAnsi="宋体" w:cs="Arial"/>
          <w:szCs w:val="21"/>
        </w:rPr>
      </w:pPr>
      <w:r>
        <w:rPr>
          <w:rFonts w:hint="eastAsia" w:ascii="宋体" w:hAnsi="宋体" w:cs="Arial"/>
          <w:szCs w:val="21"/>
        </w:rPr>
        <w:t>A.《中小企业声明函》（如有）</w:t>
      </w:r>
      <w:r>
        <w:rPr>
          <w:rFonts w:ascii="宋体" w:hAnsi="宋体" w:cs="Arial"/>
          <w:szCs w:val="21"/>
        </w:rPr>
        <w:t>（格式见第三章）</w:t>
      </w:r>
      <w:r>
        <w:rPr>
          <w:rFonts w:hint="eastAsia" w:ascii="宋体" w:hAnsi="宋体" w:cs="Arial"/>
          <w:szCs w:val="21"/>
        </w:rPr>
        <w:t>；</w:t>
      </w:r>
    </w:p>
    <w:p w14:paraId="771D3A91">
      <w:pPr>
        <w:numPr>
          <w:ilvl w:val="2"/>
          <w:numId w:val="0"/>
        </w:numPr>
        <w:spacing w:line="360" w:lineRule="auto"/>
        <w:ind w:left="426"/>
        <w:rPr>
          <w:rFonts w:ascii="宋体" w:hAnsi="宋体" w:cs="Arial"/>
          <w:szCs w:val="21"/>
        </w:rPr>
      </w:pPr>
      <w:r>
        <w:rPr>
          <w:rFonts w:hint="eastAsia" w:ascii="宋体" w:hAnsi="宋体" w:cs="Arial"/>
          <w:szCs w:val="21"/>
        </w:rPr>
        <w:t>B.</w:t>
      </w:r>
      <w:r>
        <w:rPr>
          <w:rFonts w:ascii="宋体" w:hAnsi="宋体" w:cs="Arial"/>
          <w:szCs w:val="21"/>
        </w:rPr>
        <w:t>残疾人福利性单位声明函</w:t>
      </w:r>
      <w:r>
        <w:rPr>
          <w:rFonts w:hint="eastAsia" w:ascii="宋体" w:hAnsi="宋体" w:cs="Arial"/>
          <w:szCs w:val="21"/>
        </w:rPr>
        <w:t>（如有）（</w:t>
      </w:r>
      <w:r>
        <w:rPr>
          <w:rFonts w:ascii="宋体" w:hAnsi="宋体" w:cs="Arial"/>
          <w:szCs w:val="21"/>
        </w:rPr>
        <w:t>格式见第三章）</w:t>
      </w:r>
      <w:r>
        <w:rPr>
          <w:rFonts w:hint="eastAsia" w:ascii="宋体" w:hAnsi="宋体" w:cs="Arial"/>
          <w:szCs w:val="21"/>
        </w:rPr>
        <w:t>；</w:t>
      </w:r>
    </w:p>
    <w:p w14:paraId="29A64E45">
      <w:pPr>
        <w:numPr>
          <w:ilvl w:val="2"/>
          <w:numId w:val="0"/>
        </w:numPr>
        <w:spacing w:line="360" w:lineRule="auto"/>
        <w:ind w:left="426"/>
        <w:rPr>
          <w:rFonts w:ascii="宋体" w:hAnsi="宋体" w:cs="Arial"/>
          <w:szCs w:val="21"/>
        </w:rPr>
      </w:pPr>
      <w:r>
        <w:rPr>
          <w:rFonts w:hint="eastAsia" w:ascii="宋体" w:hAnsi="宋体" w:cs="Arial"/>
          <w:szCs w:val="21"/>
        </w:rPr>
        <w:t>C.监狱企业证明文件（如有）（</w:t>
      </w:r>
      <w:r>
        <w:rPr>
          <w:rFonts w:ascii="宋体" w:hAnsi="宋体" w:cs="Arial"/>
          <w:szCs w:val="21"/>
        </w:rPr>
        <w:t>格式见第三章</w:t>
      </w:r>
      <w:r>
        <w:rPr>
          <w:rFonts w:hint="eastAsia" w:ascii="宋体" w:hAnsi="宋体" w:cs="Arial"/>
          <w:szCs w:val="21"/>
        </w:rPr>
        <w:t>）；</w:t>
      </w:r>
    </w:p>
    <w:p w14:paraId="646C2AB4">
      <w:pPr>
        <w:numPr>
          <w:ilvl w:val="1"/>
          <w:numId w:val="0"/>
        </w:numPr>
        <w:spacing w:line="360" w:lineRule="auto"/>
        <w:ind w:firstLine="425"/>
        <w:rPr>
          <w:rFonts w:ascii="宋体" w:hAnsi="宋体" w:cs="Arial"/>
          <w:b/>
          <w:szCs w:val="21"/>
        </w:rPr>
      </w:pPr>
      <w:r>
        <w:rPr>
          <w:rFonts w:hint="eastAsia" w:ascii="宋体" w:hAnsi="宋体" w:cs="Arial"/>
          <w:b/>
          <w:szCs w:val="21"/>
        </w:rPr>
        <w:t>5</w:t>
      </w:r>
      <w:r>
        <w:rPr>
          <w:rFonts w:ascii="宋体" w:hAnsi="宋体" w:cs="Arial"/>
          <w:b/>
          <w:szCs w:val="21"/>
        </w:rPr>
        <w:t>.3</w:t>
      </w:r>
      <w:r>
        <w:rPr>
          <w:rFonts w:hint="eastAsia" w:ascii="宋体" w:hAnsi="宋体" w:cs="Arial"/>
          <w:b/>
          <w:szCs w:val="21"/>
        </w:rPr>
        <w:t>符合性条件：</w:t>
      </w:r>
    </w:p>
    <w:p w14:paraId="336308A2">
      <w:pPr>
        <w:numPr>
          <w:ilvl w:val="2"/>
          <w:numId w:val="0"/>
        </w:numPr>
        <w:spacing w:line="360" w:lineRule="auto"/>
        <w:ind w:left="426"/>
        <w:rPr>
          <w:rFonts w:ascii="宋体" w:hAnsi="宋体" w:cs="Arial"/>
          <w:szCs w:val="21"/>
        </w:rPr>
      </w:pPr>
      <w:r>
        <w:rPr>
          <w:rFonts w:hint="eastAsia" w:ascii="宋体" w:hAnsi="宋体" w:cs="Arial"/>
          <w:szCs w:val="21"/>
        </w:rPr>
        <w:t>5</w:t>
      </w:r>
      <w:r>
        <w:rPr>
          <w:rFonts w:ascii="宋体" w:hAnsi="宋体" w:cs="Arial"/>
          <w:szCs w:val="21"/>
        </w:rPr>
        <w:t>.3.1</w:t>
      </w:r>
      <w:r>
        <w:rPr>
          <w:rFonts w:hint="eastAsia" w:ascii="宋体" w:hAnsi="宋体" w:cs="Arial"/>
          <w:szCs w:val="21"/>
        </w:rPr>
        <w:t>投标文件声明函；</w:t>
      </w:r>
    </w:p>
    <w:p w14:paraId="39F29C05">
      <w:pPr>
        <w:numPr>
          <w:ilvl w:val="2"/>
          <w:numId w:val="0"/>
        </w:numPr>
        <w:spacing w:line="360" w:lineRule="auto"/>
        <w:ind w:left="426"/>
        <w:rPr>
          <w:rFonts w:ascii="宋体" w:hAnsi="宋体" w:cs="Arial"/>
          <w:szCs w:val="21"/>
        </w:rPr>
      </w:pPr>
      <w:r>
        <w:rPr>
          <w:rFonts w:hint="eastAsia" w:ascii="宋体" w:hAnsi="宋体" w:cs="Arial"/>
          <w:szCs w:val="21"/>
        </w:rPr>
        <w:t>5</w:t>
      </w:r>
      <w:r>
        <w:rPr>
          <w:rFonts w:ascii="宋体" w:hAnsi="宋体" w:cs="Arial"/>
          <w:szCs w:val="21"/>
        </w:rPr>
        <w:t>.3.2</w:t>
      </w:r>
      <w:r>
        <w:rPr>
          <w:rFonts w:hint="eastAsia" w:ascii="宋体" w:hAnsi="宋体" w:cs="Arial"/>
          <w:szCs w:val="21"/>
        </w:rPr>
        <w:t>商务偏离表、技术偏离表；</w:t>
      </w:r>
    </w:p>
    <w:p w14:paraId="03E451D0">
      <w:pPr>
        <w:numPr>
          <w:ilvl w:val="2"/>
          <w:numId w:val="0"/>
        </w:numPr>
        <w:spacing w:line="360" w:lineRule="auto"/>
        <w:ind w:left="426"/>
        <w:rPr>
          <w:rFonts w:ascii="宋体" w:hAnsi="宋体"/>
          <w:szCs w:val="21"/>
          <w:lang w:val="zh-CN"/>
        </w:rPr>
      </w:pPr>
      <w:r>
        <w:rPr>
          <w:rFonts w:hint="eastAsia" w:ascii="宋体" w:hAnsi="宋体" w:cs="Arial"/>
          <w:szCs w:val="21"/>
        </w:rPr>
        <w:t>5.3.3</w:t>
      </w:r>
      <w:r>
        <w:rPr>
          <w:rFonts w:ascii="宋体" w:hAnsi="宋体"/>
          <w:szCs w:val="21"/>
          <w:lang w:val="zh-CN"/>
        </w:rPr>
        <w:t>远程参与开标会议诚信承诺书</w:t>
      </w:r>
      <w:r>
        <w:rPr>
          <w:rFonts w:ascii="宋体" w:hAnsi="宋体" w:cs="Arial"/>
          <w:szCs w:val="21"/>
        </w:rPr>
        <w:t>（格式见第三章）</w:t>
      </w:r>
      <w:r>
        <w:rPr>
          <w:rFonts w:hint="eastAsia" w:ascii="宋体" w:hAnsi="宋体"/>
          <w:szCs w:val="21"/>
          <w:lang w:val="zh-CN"/>
        </w:rPr>
        <w:t>；</w:t>
      </w:r>
    </w:p>
    <w:p w14:paraId="5D4DD8F3">
      <w:pPr>
        <w:numPr>
          <w:ilvl w:val="1"/>
          <w:numId w:val="0"/>
        </w:numPr>
        <w:spacing w:line="360" w:lineRule="auto"/>
        <w:ind w:firstLine="425"/>
        <w:rPr>
          <w:rFonts w:ascii="宋体" w:hAnsi="宋体" w:cs="Arial"/>
          <w:b/>
          <w:szCs w:val="21"/>
        </w:rPr>
      </w:pPr>
      <w:r>
        <w:rPr>
          <w:rFonts w:hint="eastAsia" w:ascii="宋体" w:hAnsi="宋体" w:cs="Arial"/>
          <w:b/>
          <w:szCs w:val="21"/>
        </w:rPr>
        <w:t>5</w:t>
      </w:r>
      <w:r>
        <w:rPr>
          <w:rFonts w:ascii="宋体" w:hAnsi="宋体" w:cs="Arial"/>
          <w:b/>
          <w:szCs w:val="21"/>
        </w:rPr>
        <w:t>.4</w:t>
      </w:r>
      <w:r>
        <w:rPr>
          <w:rFonts w:hint="eastAsia" w:ascii="宋体" w:hAnsi="宋体" w:cs="Arial"/>
          <w:b/>
          <w:szCs w:val="21"/>
        </w:rPr>
        <w:t>综合评审评分项：</w:t>
      </w:r>
    </w:p>
    <w:p w14:paraId="36EF1879">
      <w:pPr>
        <w:numPr>
          <w:ilvl w:val="2"/>
          <w:numId w:val="0"/>
        </w:numPr>
        <w:spacing w:line="360" w:lineRule="auto"/>
        <w:ind w:left="426"/>
        <w:rPr>
          <w:rFonts w:ascii="宋体" w:hAnsi="宋体" w:cs="Arial"/>
          <w:szCs w:val="21"/>
        </w:rPr>
      </w:pPr>
      <w:r>
        <w:rPr>
          <w:rFonts w:hint="eastAsia" w:ascii="宋体" w:hAnsi="宋体" w:cs="Arial"/>
          <w:szCs w:val="21"/>
        </w:rPr>
        <w:t>5.4.1评审所需的相关证明材料（技术方案、人员配置、业绩等，按评分顺序提供）；</w:t>
      </w:r>
    </w:p>
    <w:p w14:paraId="41D72CF3">
      <w:pPr>
        <w:numPr>
          <w:ilvl w:val="2"/>
          <w:numId w:val="0"/>
        </w:numPr>
        <w:spacing w:line="360" w:lineRule="auto"/>
        <w:ind w:left="426"/>
        <w:rPr>
          <w:rFonts w:ascii="宋体" w:hAnsi="宋体" w:cs="Arial"/>
          <w:szCs w:val="21"/>
        </w:rPr>
      </w:pPr>
      <w:r>
        <w:rPr>
          <w:rFonts w:hint="eastAsia" w:ascii="宋体" w:hAnsi="宋体" w:cs="Arial"/>
          <w:szCs w:val="21"/>
        </w:rPr>
        <w:t>5.4.2项目涉及到的其它资料。</w:t>
      </w:r>
    </w:p>
    <w:p w14:paraId="75CE6BC3">
      <w:pPr>
        <w:spacing w:line="360" w:lineRule="auto"/>
        <w:ind w:firstLine="420"/>
        <w:rPr>
          <w:rFonts w:ascii="宋体" w:hAnsi="宋体"/>
          <w:b/>
          <w:szCs w:val="21"/>
        </w:rPr>
      </w:pPr>
      <w:r>
        <w:rPr>
          <w:rFonts w:hint="eastAsia" w:ascii="宋体" w:hAnsi="宋体"/>
          <w:b/>
          <w:szCs w:val="21"/>
        </w:rPr>
        <w:t>投标文件由以上</w:t>
      </w:r>
      <w:r>
        <w:rPr>
          <w:rFonts w:ascii="宋体" w:hAnsi="宋体"/>
          <w:b/>
          <w:szCs w:val="21"/>
        </w:rPr>
        <w:t>内容共同组成</w:t>
      </w:r>
      <w:r>
        <w:rPr>
          <w:rFonts w:hint="eastAsia" w:ascii="宋体" w:hAnsi="宋体"/>
          <w:b/>
          <w:szCs w:val="21"/>
        </w:rPr>
        <w:t>，其中，5.1-5.3的资料不可缺少，否则，将被认定为未实质性响应招标文件要求；其他资料按招标文件要求提交，需盖章或签字之处，应按要求加盖电子签章，资料不完整或未提供导致的后果由投标单位自行承担。</w:t>
      </w:r>
    </w:p>
    <w:p w14:paraId="1778DB6B">
      <w:pPr>
        <w:spacing w:line="360" w:lineRule="auto"/>
        <w:ind w:firstLine="420"/>
        <w:rPr>
          <w:rFonts w:ascii="宋体" w:hAnsi="宋体"/>
          <w:b/>
          <w:szCs w:val="21"/>
        </w:rPr>
      </w:pPr>
      <w:r>
        <w:rPr>
          <w:rFonts w:hint="eastAsia" w:ascii="宋体" w:hAnsi="宋体"/>
          <w:b/>
          <w:szCs w:val="21"/>
        </w:rPr>
        <w:t>三、招标文件的澄清和修改</w:t>
      </w:r>
    </w:p>
    <w:p w14:paraId="261EC65B">
      <w:pPr>
        <w:pStyle w:val="7"/>
        <w:spacing w:line="360" w:lineRule="auto"/>
        <w:rPr>
          <w:rFonts w:ascii="宋体" w:hAnsi="宋体" w:eastAsia="宋体"/>
          <w:sz w:val="21"/>
          <w:szCs w:val="21"/>
        </w:rPr>
      </w:pPr>
      <w:r>
        <w:rPr>
          <w:rFonts w:hint="eastAsia" w:ascii="宋体" w:hAnsi="宋体" w:eastAsia="宋体"/>
          <w:sz w:val="21"/>
          <w:szCs w:val="21"/>
        </w:rPr>
        <w:t>1.投标单位在获取招标文件后，若有疑问，应于应在投标截止期</w:t>
      </w:r>
      <w:r>
        <w:rPr>
          <w:rFonts w:hint="eastAsia" w:ascii="宋体" w:hAnsi="宋体" w:eastAsia="宋体"/>
          <w:b/>
          <w:bCs/>
          <w:sz w:val="21"/>
          <w:szCs w:val="21"/>
        </w:rPr>
        <w:t>十日前</w:t>
      </w:r>
      <w:r>
        <w:rPr>
          <w:rFonts w:hint="eastAsia" w:ascii="宋体" w:hAnsi="宋体" w:eastAsia="宋体"/>
          <w:sz w:val="21"/>
          <w:szCs w:val="21"/>
        </w:rPr>
        <w:t>按招标公告中的通讯地址，以书面形式通知代理机构。</w:t>
      </w:r>
    </w:p>
    <w:p w14:paraId="518FD800">
      <w:pPr>
        <w:spacing w:line="360" w:lineRule="auto"/>
        <w:ind w:firstLine="420"/>
        <w:rPr>
          <w:rFonts w:ascii="宋体" w:hAnsi="宋体"/>
          <w:szCs w:val="21"/>
        </w:rPr>
      </w:pPr>
      <w:r>
        <w:rPr>
          <w:rFonts w:hint="eastAsia" w:ascii="宋体" w:hAnsi="宋体"/>
          <w:szCs w:val="21"/>
        </w:rPr>
        <w:t>2.在提交投标文件截止时间前，采购人或者采购代理机构可以对已发出的招标文件进行必要的澄清或者修改，澄清或者修改的内容作为招标文件的组成部分。</w:t>
      </w:r>
    </w:p>
    <w:p w14:paraId="6EC4261E">
      <w:pPr>
        <w:spacing w:line="360" w:lineRule="auto"/>
        <w:ind w:firstLine="420"/>
        <w:rPr>
          <w:rFonts w:ascii="宋体" w:hAnsi="宋体"/>
          <w:szCs w:val="21"/>
        </w:rPr>
      </w:pPr>
      <w:r>
        <w:rPr>
          <w:rFonts w:hint="eastAsia" w:ascii="宋体" w:hAnsi="宋体"/>
          <w:szCs w:val="21"/>
        </w:rPr>
        <w:t>3.采购代理机构对招标文件的澄清或者修改，将按规定在提交投标文件截止时间前以更正公告形式在法定的政府采购信息发布媒体上发布。</w:t>
      </w:r>
    </w:p>
    <w:p w14:paraId="7BAF74C0">
      <w:pPr>
        <w:spacing w:line="360" w:lineRule="auto"/>
        <w:ind w:right="-252" w:firstLine="434"/>
        <w:rPr>
          <w:rFonts w:ascii="宋体" w:hAnsi="宋体"/>
        </w:rPr>
      </w:pPr>
      <w:r>
        <w:rPr>
          <w:rFonts w:hint="eastAsia" w:ascii="宋体" w:hAnsi="宋体"/>
        </w:rPr>
        <w:t>4.投标单位应在</w:t>
      </w:r>
      <w:r>
        <w:rPr>
          <w:rFonts w:hint="eastAsia" w:ascii="宋体" w:hAnsi="宋体"/>
          <w:szCs w:val="21"/>
        </w:rPr>
        <w:t>提交投标文件截止时间</w:t>
      </w:r>
      <w:r>
        <w:rPr>
          <w:rFonts w:hint="eastAsia" w:ascii="宋体" w:hAnsi="宋体"/>
        </w:rPr>
        <w:t>前关注原采购信息发布媒体上有无本项目的更正公告。</w:t>
      </w:r>
    </w:p>
    <w:p w14:paraId="71A9435A">
      <w:pPr>
        <w:spacing w:line="360" w:lineRule="auto"/>
        <w:ind w:right="-252" w:firstLine="434"/>
        <w:rPr>
          <w:rFonts w:ascii="宋体" w:hAnsi="宋体"/>
          <w:b/>
          <w:szCs w:val="21"/>
        </w:rPr>
      </w:pPr>
      <w:r>
        <w:rPr>
          <w:rFonts w:hint="eastAsia" w:ascii="宋体" w:hAnsi="宋体"/>
        </w:rPr>
        <w:t>5.</w:t>
      </w:r>
      <w:r>
        <w:rPr>
          <w:rFonts w:hint="eastAsia" w:ascii="宋体" w:hAnsi="宋体"/>
          <w:bCs/>
          <w:szCs w:val="21"/>
        </w:rPr>
        <w:t>投标人的询问通知不得迟于招标文件规定时间使代理机构收到，在截止时间后不再接受任何答疑内容，如未提交，视为无疑问。</w:t>
      </w:r>
    </w:p>
    <w:p w14:paraId="427AC68A">
      <w:pPr>
        <w:spacing w:line="360" w:lineRule="auto"/>
        <w:ind w:firstLine="420"/>
        <w:rPr>
          <w:rFonts w:ascii="宋体" w:hAnsi="宋体"/>
          <w:b/>
          <w:szCs w:val="21"/>
        </w:rPr>
      </w:pPr>
      <w:r>
        <w:rPr>
          <w:rFonts w:hint="eastAsia" w:ascii="宋体" w:hAnsi="宋体"/>
          <w:b/>
          <w:szCs w:val="21"/>
        </w:rPr>
        <w:t>四、投标文件的提交、撤回和修改</w:t>
      </w:r>
    </w:p>
    <w:p w14:paraId="2FC3072D">
      <w:pPr>
        <w:spacing w:line="360" w:lineRule="auto"/>
        <w:ind w:firstLine="420"/>
        <w:rPr>
          <w:rFonts w:ascii="宋体" w:hAnsi="宋体"/>
          <w:szCs w:val="21"/>
        </w:rPr>
      </w:pPr>
      <w:r>
        <w:rPr>
          <w:rFonts w:hint="eastAsia" w:ascii="宋体" w:hAnsi="宋体"/>
          <w:szCs w:val="21"/>
        </w:rPr>
        <w:t>1.投标人应当按照《操作手册》规定，在投标截止时间前制作并上传电子投标文件。</w:t>
      </w:r>
    </w:p>
    <w:p w14:paraId="36557E9C">
      <w:pPr>
        <w:spacing w:line="360" w:lineRule="auto"/>
        <w:ind w:firstLine="420"/>
        <w:rPr>
          <w:rFonts w:ascii="宋体" w:hAnsi="宋体"/>
          <w:szCs w:val="21"/>
        </w:rPr>
      </w:pPr>
      <w:r>
        <w:rPr>
          <w:rFonts w:hint="eastAsia" w:ascii="宋体" w:hAnsi="宋体"/>
          <w:szCs w:val="21"/>
        </w:rPr>
        <w:t>2.电子投标文件必须按《投标邀请函》规定的网上投标截止时间前提交</w:t>
      </w:r>
      <w:r>
        <w:rPr>
          <w:rFonts w:ascii="宋体" w:hAnsi="宋体"/>
          <w:szCs w:val="21"/>
        </w:rPr>
        <w:t>。</w:t>
      </w:r>
    </w:p>
    <w:p w14:paraId="55F56C56">
      <w:pPr>
        <w:spacing w:line="360" w:lineRule="auto"/>
        <w:ind w:firstLine="420"/>
        <w:rPr>
          <w:rFonts w:ascii="宋体" w:hAnsi="宋体"/>
          <w:szCs w:val="21"/>
        </w:rPr>
      </w:pPr>
      <w:r>
        <w:rPr>
          <w:rFonts w:hint="eastAsia" w:ascii="宋体" w:hAnsi="宋体"/>
          <w:szCs w:val="21"/>
        </w:rPr>
        <w:t>3.在提交投标文件的截止时间前，投标单位可以撤回或者修改投标文件，投标人撤回电子投标文件，则认为其不再参与本项目投标活动。</w:t>
      </w:r>
    </w:p>
    <w:p w14:paraId="6B48A8DA">
      <w:pPr>
        <w:spacing w:line="360" w:lineRule="auto"/>
        <w:ind w:firstLine="420"/>
        <w:rPr>
          <w:rFonts w:ascii="宋体" w:hAnsi="宋体"/>
          <w:szCs w:val="21"/>
        </w:rPr>
      </w:pPr>
      <w:r>
        <w:rPr>
          <w:rFonts w:hint="eastAsia" w:ascii="宋体" w:hAnsi="宋体"/>
          <w:szCs w:val="21"/>
        </w:rPr>
        <w:t>4.投标人上传电子投标文件的时间不得迟于招标公告中规定的投标截止时间。</w:t>
      </w:r>
    </w:p>
    <w:p w14:paraId="699931F9">
      <w:pPr>
        <w:spacing w:line="360" w:lineRule="auto"/>
        <w:ind w:firstLine="420"/>
        <w:rPr>
          <w:rFonts w:ascii="宋体" w:hAnsi="宋体"/>
          <w:szCs w:val="21"/>
        </w:rPr>
      </w:pPr>
      <w:r>
        <w:rPr>
          <w:rFonts w:hint="eastAsia" w:ascii="宋体" w:hAnsi="宋体"/>
          <w:szCs w:val="21"/>
        </w:rPr>
        <w:t>5.投标人应充分考虑到网络环境、网络带宽等风险因素，如因投标人自身原因造成的电子投标文件上传不成功的按照本招标文件第二章第七条规定做无效投标处理。</w:t>
      </w:r>
    </w:p>
    <w:p w14:paraId="14BC3D77">
      <w:pPr>
        <w:spacing w:line="360" w:lineRule="auto"/>
        <w:ind w:firstLine="420"/>
        <w:rPr>
          <w:rFonts w:ascii="宋体" w:hAnsi="宋体"/>
          <w:szCs w:val="21"/>
        </w:rPr>
      </w:pPr>
      <w:r>
        <w:rPr>
          <w:rFonts w:hint="eastAsia" w:ascii="宋体" w:hAnsi="宋体"/>
          <w:szCs w:val="21"/>
        </w:rPr>
        <w:t>6. 代理机构可以按照规定，通过修改招标文件酌情延长投标截止时间，在此情况下，投标人的所有权利和义务以及投标人受制的截止时间均应以延长后新的截止时间为准。</w:t>
      </w:r>
    </w:p>
    <w:p w14:paraId="1AB43B52">
      <w:pPr>
        <w:spacing w:line="360" w:lineRule="auto"/>
        <w:ind w:firstLine="420"/>
        <w:rPr>
          <w:rFonts w:ascii="宋体" w:hAnsi="宋体"/>
          <w:b/>
          <w:szCs w:val="21"/>
        </w:rPr>
      </w:pPr>
      <w:r>
        <w:rPr>
          <w:rFonts w:hint="eastAsia" w:ascii="宋体" w:hAnsi="宋体"/>
          <w:b/>
          <w:szCs w:val="21"/>
        </w:rPr>
        <w:t>五、质疑</w:t>
      </w:r>
    </w:p>
    <w:p w14:paraId="2718602A">
      <w:pPr>
        <w:pStyle w:val="7"/>
        <w:spacing w:line="360" w:lineRule="auto"/>
        <w:rPr>
          <w:rFonts w:ascii="宋体" w:hAnsi="宋体" w:eastAsia="宋体"/>
          <w:sz w:val="21"/>
          <w:szCs w:val="21"/>
        </w:rPr>
      </w:pPr>
      <w:r>
        <w:rPr>
          <w:rFonts w:hint="eastAsia" w:ascii="宋体" w:hAnsi="宋体" w:eastAsia="宋体"/>
          <w:sz w:val="21"/>
          <w:szCs w:val="21"/>
        </w:rPr>
        <w:t>1.供应商认为招标文件、采购过程、中标结果使自己的权益受到损害的，应当在应知自己权益受到损害之日起七个工作日内，以书面形式向采购人、采购代理机构提出质疑。供应商应按照质疑函范本进行规范质疑（在苏州市公共资源交易平台昆山分中心下载中心“【政府采购】质疑函范本”）。采购人、采购代理机构应当在收到供应商书面质疑后七个工作日内作出答复，并以书面形式通知质疑供应商和其他相关供应商。</w:t>
      </w:r>
    </w:p>
    <w:p w14:paraId="391B0398">
      <w:pPr>
        <w:pStyle w:val="7"/>
        <w:spacing w:line="360" w:lineRule="auto"/>
        <w:rPr>
          <w:rFonts w:ascii="宋体" w:hAnsi="宋体" w:eastAsia="宋体"/>
          <w:sz w:val="21"/>
          <w:szCs w:val="21"/>
        </w:rPr>
      </w:pPr>
      <w:r>
        <w:rPr>
          <w:rFonts w:hint="eastAsia" w:ascii="宋体" w:hAnsi="宋体" w:eastAsia="宋体"/>
          <w:sz w:val="21"/>
          <w:szCs w:val="21"/>
        </w:rPr>
        <w:t>依法获取采购文件的供应商如对招标提出质疑的，应在各阶段一次性提出并按《政府采购质疑和投诉办法》规定以书面形式递交给招标代理机构，递交人（携带身份证件）如非投标人法人/企业负责人的须同时提供授权委托书及近六个月社保证明。</w:t>
      </w:r>
    </w:p>
    <w:p w14:paraId="187D0245">
      <w:pPr>
        <w:spacing w:line="360" w:lineRule="auto"/>
        <w:ind w:firstLine="420"/>
        <w:rPr>
          <w:rFonts w:ascii="宋体" w:hAnsi="宋体"/>
        </w:rPr>
      </w:pPr>
      <w:r>
        <w:rPr>
          <w:rFonts w:hint="eastAsia" w:ascii="宋体" w:hAnsi="宋体"/>
        </w:rPr>
        <w:t>2.质疑函应包括以下主要内容，并按照</w:t>
      </w:r>
      <w:r>
        <w:rPr>
          <w:rFonts w:ascii="宋体" w:hAnsi="宋体"/>
        </w:rPr>
        <w:t>“</w:t>
      </w:r>
      <w:r>
        <w:rPr>
          <w:rFonts w:hint="eastAsia" w:ascii="宋体" w:hAnsi="宋体"/>
        </w:rPr>
        <w:t>谁主张、谁举证</w:t>
      </w:r>
      <w:r>
        <w:rPr>
          <w:rFonts w:ascii="宋体" w:hAnsi="宋体"/>
        </w:rPr>
        <w:t>”</w:t>
      </w:r>
      <w:r>
        <w:rPr>
          <w:rFonts w:hint="eastAsia" w:ascii="宋体" w:hAnsi="宋体"/>
        </w:rPr>
        <w:t>的原则，附上必要的证明材料。　　　　　　　</w:t>
      </w:r>
    </w:p>
    <w:p w14:paraId="77E23D29">
      <w:pPr>
        <w:spacing w:line="360" w:lineRule="auto"/>
        <w:ind w:firstLine="420"/>
        <w:rPr>
          <w:rFonts w:ascii="宋体" w:hAnsi="宋体"/>
        </w:rPr>
      </w:pPr>
      <w:r>
        <w:rPr>
          <w:rFonts w:hint="eastAsia" w:ascii="宋体" w:hAnsi="宋体"/>
        </w:rPr>
        <w:t>2.1供应商的姓名或者名称、地址、邮编、联系人及联系电话；</w:t>
      </w:r>
    </w:p>
    <w:p w14:paraId="4CFF2F3B">
      <w:pPr>
        <w:spacing w:line="360" w:lineRule="auto"/>
        <w:ind w:firstLine="420"/>
        <w:rPr>
          <w:rFonts w:ascii="宋体" w:hAnsi="宋体"/>
        </w:rPr>
      </w:pPr>
      <w:r>
        <w:rPr>
          <w:rFonts w:hint="eastAsia" w:ascii="宋体" w:hAnsi="宋体"/>
        </w:rPr>
        <w:t>2.2质疑项目名称、编号；</w:t>
      </w:r>
    </w:p>
    <w:p w14:paraId="32AE3B15">
      <w:pPr>
        <w:spacing w:line="360" w:lineRule="auto"/>
        <w:ind w:firstLine="420"/>
        <w:rPr>
          <w:rFonts w:ascii="宋体" w:hAnsi="宋体"/>
        </w:rPr>
      </w:pPr>
      <w:r>
        <w:rPr>
          <w:rFonts w:hint="eastAsia" w:ascii="宋体" w:hAnsi="宋体"/>
        </w:rPr>
        <w:t>2.3具体、明确的质疑事项和与质疑事项相关的请求；</w:t>
      </w:r>
    </w:p>
    <w:p w14:paraId="1B045A81">
      <w:pPr>
        <w:spacing w:line="360" w:lineRule="auto"/>
        <w:ind w:firstLine="420"/>
        <w:rPr>
          <w:rFonts w:ascii="宋体" w:hAnsi="宋体"/>
        </w:rPr>
      </w:pPr>
      <w:r>
        <w:rPr>
          <w:rFonts w:hint="eastAsia" w:ascii="宋体" w:hAnsi="宋体"/>
        </w:rPr>
        <w:t>2.4具体的事实依据及相关证据材料；</w:t>
      </w:r>
    </w:p>
    <w:p w14:paraId="082D73C8">
      <w:pPr>
        <w:spacing w:line="360" w:lineRule="auto"/>
        <w:ind w:firstLine="420"/>
        <w:rPr>
          <w:rFonts w:ascii="宋体" w:hAnsi="宋体"/>
        </w:rPr>
      </w:pPr>
      <w:r>
        <w:rPr>
          <w:rFonts w:hint="eastAsia" w:ascii="宋体" w:hAnsi="宋体"/>
        </w:rPr>
        <w:t>2.5必要的法律依据；</w:t>
      </w:r>
    </w:p>
    <w:p w14:paraId="31FE57BA">
      <w:pPr>
        <w:spacing w:line="360" w:lineRule="auto"/>
        <w:ind w:firstLine="420"/>
        <w:rPr>
          <w:rFonts w:ascii="宋体" w:hAnsi="宋体"/>
        </w:rPr>
      </w:pPr>
      <w:r>
        <w:rPr>
          <w:rFonts w:hint="eastAsia" w:ascii="宋体" w:hAnsi="宋体"/>
        </w:rPr>
        <w:t>2.6提出质疑的日期；</w:t>
      </w:r>
    </w:p>
    <w:p w14:paraId="65BED8EC">
      <w:pPr>
        <w:spacing w:line="360" w:lineRule="auto"/>
        <w:ind w:firstLine="420"/>
        <w:rPr>
          <w:rFonts w:ascii="宋体" w:hAnsi="宋体"/>
        </w:rPr>
      </w:pPr>
      <w:r>
        <w:rPr>
          <w:rFonts w:hint="eastAsia" w:ascii="宋体" w:hAnsi="宋体"/>
        </w:rPr>
        <w:t>2.7供应商为自然人的，应当由本人签字；供应商为法人或者其他组织的，应当由法定代表人、主要负责人、或者其授权代表签字或者盖章，并加盖公章。并附上公司营业执照、相关人员身份证明、已参与本项目的证明材料等；</w:t>
      </w:r>
    </w:p>
    <w:p w14:paraId="747FED98">
      <w:pPr>
        <w:spacing w:line="360" w:lineRule="auto"/>
        <w:ind w:firstLine="420"/>
        <w:rPr>
          <w:rFonts w:ascii="宋体" w:hAnsi="宋体"/>
        </w:rPr>
      </w:pPr>
      <w:r>
        <w:rPr>
          <w:rFonts w:hint="eastAsia" w:ascii="宋体" w:hAnsi="宋体"/>
        </w:rPr>
        <w:t>2.8</w:t>
      </w:r>
      <w:r>
        <w:rPr>
          <w:rFonts w:ascii="宋体" w:hAnsi="宋体"/>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hint="eastAsia" w:ascii="宋体" w:hAnsi="宋体"/>
        </w:rPr>
        <w:t>；</w:t>
      </w:r>
    </w:p>
    <w:p w14:paraId="6D291FB7">
      <w:pPr>
        <w:spacing w:line="360" w:lineRule="auto"/>
        <w:ind w:firstLine="420"/>
      </w:pPr>
      <w:r>
        <w:rPr>
          <w:rFonts w:hint="eastAsia" w:ascii="宋体" w:hAnsi="宋体"/>
        </w:rPr>
        <w:t>代理人提出质疑，应当提交供应商签署的授权委托书。</w:t>
      </w:r>
    </w:p>
    <w:p w14:paraId="69DA53EB">
      <w:pPr>
        <w:spacing w:line="360" w:lineRule="auto"/>
        <w:ind w:firstLine="420"/>
        <w:rPr>
          <w:rFonts w:ascii="宋体" w:hAnsi="宋体"/>
        </w:rPr>
      </w:pPr>
      <w:r>
        <w:rPr>
          <w:rFonts w:hint="eastAsia" w:ascii="宋体" w:hAnsi="宋体"/>
        </w:rPr>
        <w:t>3.招标人向投标人提供的有关现场的资料和数据，是招标人现有的能使投标人利用的资料，招标人对投标人由此而做出的推论、理解和结论概不负责。</w:t>
      </w:r>
    </w:p>
    <w:p w14:paraId="7276E123">
      <w:pPr>
        <w:spacing w:line="360" w:lineRule="auto"/>
        <w:ind w:firstLine="420"/>
        <w:rPr>
          <w:rFonts w:ascii="宋体" w:hAnsi="宋体"/>
        </w:rPr>
      </w:pPr>
      <w:r>
        <w:rPr>
          <w:rFonts w:hint="eastAsia" w:ascii="宋体" w:hAnsi="宋体"/>
        </w:rPr>
        <w:t>4.供应商不得虚假质疑或者恶意质疑，并对质疑内容的真实性承担责任。供应商或者其他利害关系人通过捏造事实、伪造证明材料等方式提出质疑的，阻碍采购活动正常进行的，属于严重不良行为，采购代理机构将提请财政部门将其列入不良行为记录名单，并依法予以处罚。</w:t>
      </w:r>
    </w:p>
    <w:p w14:paraId="122BC120">
      <w:pPr>
        <w:spacing w:line="360" w:lineRule="auto"/>
        <w:ind w:firstLine="420"/>
        <w:rPr>
          <w:rFonts w:ascii="宋体" w:hAnsi="宋体"/>
          <w:bCs/>
          <w:szCs w:val="21"/>
        </w:rPr>
      </w:pPr>
      <w:r>
        <w:rPr>
          <w:rFonts w:hint="eastAsia" w:ascii="宋体" w:hAnsi="宋体"/>
          <w:bCs/>
          <w:szCs w:val="21"/>
        </w:rPr>
        <w:t>5 .以下情形的质疑不予受理</w:t>
      </w:r>
    </w:p>
    <w:p w14:paraId="39ADA3B7">
      <w:pPr>
        <w:spacing w:line="360" w:lineRule="auto"/>
        <w:ind w:firstLine="420"/>
        <w:rPr>
          <w:rFonts w:ascii="宋体" w:hAnsi="宋体"/>
          <w:bCs/>
          <w:szCs w:val="21"/>
        </w:rPr>
      </w:pPr>
      <w:r>
        <w:rPr>
          <w:rFonts w:hint="eastAsia" w:ascii="宋体" w:hAnsi="宋体"/>
          <w:bCs/>
          <w:szCs w:val="21"/>
        </w:rPr>
        <w:t>5.1 内容不符合《政府采购质疑和投诉办法》第十二条规定的质疑。</w:t>
      </w:r>
    </w:p>
    <w:p w14:paraId="22DDB56E">
      <w:pPr>
        <w:spacing w:line="360" w:lineRule="auto"/>
        <w:ind w:firstLine="420"/>
        <w:rPr>
          <w:rFonts w:ascii="宋体" w:hAnsi="宋体"/>
          <w:bCs/>
          <w:szCs w:val="21"/>
        </w:rPr>
      </w:pPr>
      <w:r>
        <w:rPr>
          <w:rFonts w:hint="eastAsia" w:ascii="宋体" w:hAnsi="宋体"/>
          <w:bCs/>
          <w:szCs w:val="21"/>
        </w:rPr>
        <w:t>5.2 超出政府采购法定期限的质疑。</w:t>
      </w:r>
    </w:p>
    <w:p w14:paraId="2FCCA546">
      <w:pPr>
        <w:spacing w:line="360" w:lineRule="auto"/>
        <w:ind w:firstLine="420"/>
        <w:rPr>
          <w:rFonts w:ascii="宋体" w:hAnsi="宋体"/>
          <w:bCs/>
          <w:szCs w:val="21"/>
        </w:rPr>
      </w:pPr>
      <w:r>
        <w:rPr>
          <w:rFonts w:hint="eastAsia" w:ascii="宋体" w:hAnsi="宋体"/>
          <w:bCs/>
          <w:szCs w:val="21"/>
        </w:rPr>
        <w:t>5.3 以传真、电子邮件等方式递交的非原件形式的质疑。</w:t>
      </w:r>
    </w:p>
    <w:p w14:paraId="74FC9D65">
      <w:pPr>
        <w:spacing w:line="360" w:lineRule="auto"/>
        <w:ind w:firstLine="420"/>
        <w:rPr>
          <w:rFonts w:ascii="宋体" w:hAnsi="宋体"/>
          <w:bCs/>
          <w:szCs w:val="21"/>
        </w:rPr>
      </w:pPr>
      <w:r>
        <w:rPr>
          <w:rFonts w:hint="eastAsia" w:ascii="宋体" w:hAnsi="宋体"/>
          <w:bCs/>
          <w:szCs w:val="21"/>
        </w:rPr>
        <w:t>5.4 未参加投标活动的供应商或在投标活动中自身权益未受到损害的供应商所提出的质疑。</w:t>
      </w:r>
    </w:p>
    <w:p w14:paraId="2AF9E781">
      <w:pPr>
        <w:spacing w:line="360" w:lineRule="auto"/>
        <w:ind w:firstLine="420"/>
        <w:rPr>
          <w:rFonts w:ascii="宋体" w:hAnsi="宋体"/>
          <w:bCs/>
          <w:szCs w:val="21"/>
        </w:rPr>
      </w:pPr>
      <w:r>
        <w:rPr>
          <w:rFonts w:hint="eastAsia" w:ascii="宋体" w:hAnsi="宋体"/>
          <w:bCs/>
          <w:szCs w:val="21"/>
        </w:rPr>
        <w:t>5.5供应商组成联合体参加投标，联合体中任何一方或多方未按要求签字、盖章、加盖公章的质疑。</w:t>
      </w:r>
    </w:p>
    <w:p w14:paraId="5CA0DA82">
      <w:pPr>
        <w:spacing w:line="360" w:lineRule="auto"/>
        <w:ind w:firstLine="420"/>
        <w:rPr>
          <w:rFonts w:ascii="宋体" w:hAnsi="宋体"/>
          <w:b/>
          <w:szCs w:val="21"/>
        </w:rPr>
      </w:pPr>
      <w:r>
        <w:rPr>
          <w:rFonts w:hint="eastAsia" w:ascii="宋体" w:hAnsi="宋体"/>
          <w:b/>
          <w:szCs w:val="21"/>
        </w:rPr>
        <w:t>六、开标和评标</w:t>
      </w:r>
    </w:p>
    <w:p w14:paraId="7939C5D3">
      <w:pPr>
        <w:spacing w:line="360" w:lineRule="auto"/>
        <w:ind w:firstLine="434"/>
        <w:rPr>
          <w:rFonts w:ascii="宋体" w:hAnsi="宋体"/>
          <w:b/>
          <w:szCs w:val="21"/>
        </w:rPr>
      </w:pPr>
      <w:r>
        <w:rPr>
          <w:rFonts w:hint="eastAsia" w:ascii="宋体" w:hAnsi="宋体"/>
          <w:b/>
          <w:szCs w:val="21"/>
        </w:rPr>
        <w:t>1.开标</w:t>
      </w:r>
    </w:p>
    <w:p w14:paraId="18592D22">
      <w:pPr>
        <w:spacing w:line="360" w:lineRule="auto"/>
        <w:ind w:right="-252" w:firstLine="434"/>
        <w:rPr>
          <w:rFonts w:ascii="宋体" w:hAnsi="宋体"/>
          <w:szCs w:val="21"/>
        </w:rPr>
      </w:pPr>
      <w:r>
        <w:rPr>
          <w:rFonts w:hint="eastAsia" w:ascii="宋体" w:hAnsi="宋体"/>
          <w:szCs w:val="21"/>
        </w:rPr>
        <w:t>1.1 代理机构将在招标公告中规定的时间和地点组织公开开标。投标人应当按照《操作手册》规定，参加开标活动和在苏采云系统规定的时间内对投标文件进行解密。</w:t>
      </w:r>
    </w:p>
    <w:p w14:paraId="7C036C12">
      <w:pPr>
        <w:spacing w:line="360" w:lineRule="auto"/>
        <w:ind w:right="-252" w:firstLine="434"/>
        <w:rPr>
          <w:rFonts w:ascii="宋体" w:hAnsi="宋体"/>
          <w:szCs w:val="21"/>
        </w:rPr>
      </w:pPr>
      <w:r>
        <w:rPr>
          <w:rFonts w:hint="eastAsia" w:ascii="宋体" w:hAnsi="宋体"/>
          <w:szCs w:val="21"/>
        </w:rPr>
        <w:t>1.2开标仪式由代理机构组织。苏采云系统将自动对项目进行开标，并宣布各投标人名称和投标价格。</w:t>
      </w:r>
    </w:p>
    <w:p w14:paraId="57A4C39C">
      <w:pPr>
        <w:spacing w:line="360" w:lineRule="auto"/>
        <w:ind w:right="-252" w:firstLine="434"/>
        <w:rPr>
          <w:rFonts w:ascii="宋体" w:hAnsi="宋体"/>
          <w:szCs w:val="21"/>
        </w:rPr>
      </w:pPr>
      <w:r>
        <w:rPr>
          <w:rFonts w:hint="eastAsia" w:ascii="宋体" w:hAnsi="宋体"/>
          <w:szCs w:val="21"/>
        </w:rPr>
        <w:t>1.3投标人在开标过程中涉及到的投标文件解密、开标结果确认等工作，应按照《操作手册》规定执行。</w:t>
      </w:r>
    </w:p>
    <w:p w14:paraId="3BCC4423">
      <w:pPr>
        <w:spacing w:line="360" w:lineRule="auto"/>
        <w:ind w:right="-252" w:firstLine="434"/>
        <w:rPr>
          <w:rFonts w:ascii="宋体" w:hAnsi="宋体"/>
          <w:szCs w:val="21"/>
        </w:rPr>
      </w:pPr>
      <w:r>
        <w:rPr>
          <w:rFonts w:hint="eastAsia" w:ascii="宋体" w:hAnsi="宋体"/>
          <w:szCs w:val="21"/>
        </w:rPr>
        <w:t>1.4投标人如果对开标过程和开标记录有疑义，应当根据《操作手册》规定提出，如苏采云系统中《开标记录表》宣布后5分钟内未提出的，视同认可开标结果。</w:t>
      </w:r>
    </w:p>
    <w:p w14:paraId="1EEC6025">
      <w:pPr>
        <w:spacing w:line="360" w:lineRule="auto"/>
        <w:ind w:firstLine="420"/>
        <w:rPr>
          <w:rFonts w:ascii="宋体" w:hAnsi="宋体"/>
          <w:b/>
          <w:bCs/>
          <w:szCs w:val="21"/>
        </w:rPr>
      </w:pPr>
      <w:r>
        <w:rPr>
          <w:rFonts w:hint="eastAsia" w:ascii="宋体" w:hAnsi="宋体"/>
          <w:b/>
          <w:bCs/>
          <w:szCs w:val="21"/>
        </w:rPr>
        <w:t>2.资格审查、信用查询</w:t>
      </w:r>
    </w:p>
    <w:p w14:paraId="3298DDBA">
      <w:pPr>
        <w:spacing w:line="360" w:lineRule="auto"/>
        <w:ind w:firstLine="420"/>
        <w:rPr>
          <w:rFonts w:ascii="宋体" w:hAnsi="宋体"/>
          <w:szCs w:val="21"/>
        </w:rPr>
      </w:pPr>
      <w:r>
        <w:rPr>
          <w:rFonts w:hint="eastAsia" w:ascii="宋体" w:hAnsi="宋体"/>
          <w:szCs w:val="21"/>
        </w:rPr>
        <w:t>2.</w:t>
      </w:r>
      <w:r>
        <w:rPr>
          <w:rFonts w:ascii="宋体" w:hAnsi="宋体"/>
          <w:szCs w:val="21"/>
        </w:rPr>
        <w:t>1.公开招标采购项目开标</w:t>
      </w:r>
      <w:r>
        <w:rPr>
          <w:rFonts w:hint="eastAsia" w:ascii="宋体" w:hAnsi="宋体"/>
          <w:szCs w:val="21"/>
        </w:rPr>
        <w:t>时</w:t>
      </w:r>
      <w:r>
        <w:rPr>
          <w:rFonts w:ascii="宋体" w:hAnsi="宋体"/>
          <w:szCs w:val="21"/>
        </w:rPr>
        <w:t>，采购人</w:t>
      </w:r>
      <w:r>
        <w:rPr>
          <w:rFonts w:hint="eastAsia" w:ascii="宋体" w:hAnsi="宋体"/>
          <w:szCs w:val="21"/>
        </w:rPr>
        <w:t>或采购代理机构</w:t>
      </w:r>
      <w:r>
        <w:rPr>
          <w:rFonts w:ascii="宋体" w:hAnsi="宋体"/>
          <w:szCs w:val="21"/>
        </w:rPr>
        <w:t>应当依法对投标单位</w:t>
      </w:r>
      <w:r>
        <w:rPr>
          <w:rFonts w:hint="eastAsia" w:ascii="宋体" w:hAnsi="宋体"/>
          <w:szCs w:val="21"/>
        </w:rPr>
        <w:t>进行资格审查，未通过资格审查的视为无效投标。</w:t>
      </w:r>
    </w:p>
    <w:p w14:paraId="223E9125">
      <w:pPr>
        <w:spacing w:line="360" w:lineRule="auto"/>
        <w:ind w:firstLine="420"/>
        <w:rPr>
          <w:rFonts w:ascii="宋体" w:hAnsi="宋体"/>
          <w:szCs w:val="21"/>
        </w:rPr>
      </w:pPr>
      <w:r>
        <w:rPr>
          <w:rFonts w:hint="eastAsia" w:ascii="宋体" w:hAnsi="宋体"/>
          <w:szCs w:val="21"/>
        </w:rPr>
        <w:t>2.</w:t>
      </w:r>
      <w:r>
        <w:rPr>
          <w:rFonts w:ascii="宋体" w:hAnsi="宋体"/>
          <w:szCs w:val="21"/>
        </w:rPr>
        <w:t>2.</w:t>
      </w:r>
      <w:r>
        <w:rPr>
          <w:rFonts w:hint="eastAsia" w:ascii="宋体" w:hAnsi="宋体" w:cs="宋体"/>
          <w:szCs w:val="21"/>
        </w:rPr>
        <w:t>根据《中华人民共和国政府采购法》及相关法律法规，以及苏州市财政局《关于印发苏州市市级政府采购信用记录查询和使用工作试行办法的通知》（苏财购〔2017〕11号）文件的规定，采购代理机构将对投标单位进行信用查询。对列入失信被执行人、</w:t>
      </w:r>
      <w:r>
        <w:rPr>
          <w:rFonts w:hint="eastAsia" w:ascii="宋体" w:hAnsi="宋体"/>
        </w:rPr>
        <w:t>重大税收违法失信主体</w:t>
      </w:r>
      <w:r>
        <w:rPr>
          <w:rFonts w:hint="eastAsia" w:ascii="宋体" w:hAnsi="宋体" w:cs="宋体"/>
          <w:szCs w:val="21"/>
        </w:rPr>
        <w:t>、政府采购严重违法失信行为记录名单的投标单位，拒绝其参与政府采购活动。</w:t>
      </w:r>
    </w:p>
    <w:p w14:paraId="4174E983">
      <w:pPr>
        <w:spacing w:line="360" w:lineRule="auto"/>
        <w:ind w:firstLine="420"/>
        <w:rPr>
          <w:rFonts w:ascii="宋体" w:hAnsi="宋体"/>
          <w:szCs w:val="21"/>
        </w:rPr>
      </w:pPr>
      <w:r>
        <w:rPr>
          <w:rFonts w:hint="eastAsia" w:ascii="宋体" w:hAnsi="宋体"/>
          <w:szCs w:val="21"/>
        </w:rPr>
        <w:t>2.2.1查询时间：进入评审环节前。</w:t>
      </w:r>
    </w:p>
    <w:p w14:paraId="1D251AE2">
      <w:pPr>
        <w:spacing w:line="360" w:lineRule="auto"/>
        <w:ind w:firstLine="420"/>
        <w:rPr>
          <w:rFonts w:ascii="宋体" w:hAnsi="宋体"/>
          <w:szCs w:val="21"/>
        </w:rPr>
      </w:pPr>
      <w:r>
        <w:rPr>
          <w:rFonts w:ascii="宋体" w:hAnsi="宋体"/>
          <w:szCs w:val="21"/>
        </w:rPr>
        <w:t>2.2</w:t>
      </w:r>
      <w:r>
        <w:rPr>
          <w:rFonts w:hint="eastAsia" w:ascii="宋体" w:hAnsi="宋体"/>
          <w:szCs w:val="21"/>
        </w:rPr>
        <w:t>.2查询渠道：在“信用中国”网站（www.creditchina.gov.cn）查询投标人的信用记录。</w:t>
      </w:r>
    </w:p>
    <w:p w14:paraId="4744995C">
      <w:pPr>
        <w:spacing w:line="360" w:lineRule="auto"/>
        <w:ind w:firstLine="420"/>
        <w:rPr>
          <w:rFonts w:ascii="宋体" w:hAnsi="宋体"/>
          <w:b/>
          <w:bCs/>
          <w:szCs w:val="21"/>
        </w:rPr>
      </w:pPr>
      <w:r>
        <w:rPr>
          <w:rFonts w:hint="eastAsia" w:ascii="宋体" w:hAnsi="宋体"/>
          <w:b/>
          <w:bCs/>
          <w:szCs w:val="21"/>
        </w:rPr>
        <w:t>3.评标委员会、评标内容的保密</w:t>
      </w:r>
    </w:p>
    <w:p w14:paraId="312019B2">
      <w:pPr>
        <w:spacing w:line="360" w:lineRule="auto"/>
        <w:ind w:firstLine="42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评标委员会的评标工作由采购代理机构组织，具体评标事务由评标委员会负责，并独立履行法律、法规规定的职责，主要包含以下职责及义务：</w:t>
      </w:r>
    </w:p>
    <w:p w14:paraId="345F339B">
      <w:pPr>
        <w:spacing w:line="360" w:lineRule="auto"/>
        <w:ind w:firstLine="420"/>
        <w:rPr>
          <w:rFonts w:ascii="宋体" w:hAnsi="宋体"/>
          <w:szCs w:val="21"/>
        </w:rPr>
      </w:pPr>
      <w:r>
        <w:rPr>
          <w:rFonts w:hint="eastAsia" w:ascii="宋体" w:hAnsi="宋体"/>
          <w:szCs w:val="21"/>
        </w:rPr>
        <w:t>3.1.1审查投标文件是否符合招标文件的要求，并作出评价。</w:t>
      </w:r>
    </w:p>
    <w:p w14:paraId="1D599A35">
      <w:pPr>
        <w:spacing w:line="360" w:lineRule="auto"/>
        <w:ind w:firstLine="420"/>
        <w:rPr>
          <w:rFonts w:ascii="宋体" w:hAnsi="宋体"/>
          <w:szCs w:val="21"/>
        </w:rPr>
      </w:pPr>
      <w:r>
        <w:rPr>
          <w:rFonts w:hint="eastAsia" w:ascii="宋体" w:hAnsi="宋体"/>
          <w:szCs w:val="21"/>
        </w:rPr>
        <w:t>3.1.2可以要求投标供应商对投标文件有关事项作出解释或澄清。</w:t>
      </w:r>
    </w:p>
    <w:p w14:paraId="7A7E8A03">
      <w:pPr>
        <w:spacing w:line="360" w:lineRule="auto"/>
        <w:ind w:firstLine="420"/>
        <w:rPr>
          <w:rFonts w:ascii="宋体" w:hAnsi="宋体"/>
          <w:szCs w:val="21"/>
        </w:rPr>
      </w:pPr>
      <w:r>
        <w:rPr>
          <w:rFonts w:hint="eastAsia" w:ascii="宋体" w:hAnsi="宋体"/>
          <w:szCs w:val="21"/>
        </w:rPr>
        <w:t>3.1.3推荐中标候选供应商名单，或者受招标人委托按照事先确定的办法直接确定中标人。</w:t>
      </w:r>
    </w:p>
    <w:p w14:paraId="4A21D595">
      <w:pPr>
        <w:spacing w:line="360" w:lineRule="auto"/>
        <w:ind w:firstLine="420"/>
        <w:rPr>
          <w:rFonts w:ascii="宋体" w:hAnsi="宋体"/>
          <w:szCs w:val="21"/>
        </w:rPr>
      </w:pPr>
      <w:r>
        <w:rPr>
          <w:rFonts w:hint="eastAsia" w:ascii="宋体" w:hAnsi="宋体"/>
          <w:szCs w:val="21"/>
        </w:rPr>
        <w:t>3.1.4向招标采购人或者有关部门报告非法干预评标工作的行为。</w:t>
      </w:r>
    </w:p>
    <w:p w14:paraId="029CCD56">
      <w:pPr>
        <w:spacing w:line="360" w:lineRule="auto"/>
        <w:ind w:firstLine="420"/>
        <w:rPr>
          <w:rFonts w:ascii="宋体" w:hAnsi="宋体"/>
          <w:szCs w:val="21"/>
        </w:rPr>
      </w:pPr>
      <w:r>
        <w:rPr>
          <w:rFonts w:hint="eastAsia" w:ascii="宋体" w:hAnsi="宋体"/>
          <w:szCs w:val="21"/>
        </w:rPr>
        <w:t>评标委员会成员应当履行下列义务：</w:t>
      </w:r>
    </w:p>
    <w:p w14:paraId="0404333E">
      <w:pPr>
        <w:spacing w:line="360" w:lineRule="auto"/>
        <w:ind w:firstLine="420"/>
        <w:rPr>
          <w:rFonts w:ascii="宋体" w:hAnsi="宋体"/>
          <w:szCs w:val="21"/>
        </w:rPr>
      </w:pPr>
      <w:r>
        <w:rPr>
          <w:rFonts w:hint="eastAsia" w:ascii="宋体" w:hAnsi="宋体"/>
          <w:szCs w:val="21"/>
        </w:rPr>
        <w:t>3.1.5遵纪守法，客观、公正、廉洁地履行职责。</w:t>
      </w:r>
    </w:p>
    <w:p w14:paraId="16E58A30">
      <w:pPr>
        <w:spacing w:line="360" w:lineRule="auto"/>
        <w:ind w:firstLine="420"/>
        <w:rPr>
          <w:rFonts w:ascii="宋体" w:hAnsi="宋体"/>
          <w:szCs w:val="21"/>
        </w:rPr>
      </w:pPr>
      <w:r>
        <w:rPr>
          <w:rFonts w:hint="eastAsia" w:ascii="宋体" w:hAnsi="宋体"/>
          <w:szCs w:val="21"/>
        </w:rPr>
        <w:t>3.1.6按照招标文件规定的评标办法和评标标准进行评标，对评审意见承担个人责任。</w:t>
      </w:r>
    </w:p>
    <w:p w14:paraId="0637F459">
      <w:pPr>
        <w:spacing w:line="360" w:lineRule="auto"/>
        <w:ind w:firstLine="420"/>
        <w:rPr>
          <w:rFonts w:ascii="宋体" w:hAnsi="宋体"/>
          <w:szCs w:val="21"/>
        </w:rPr>
      </w:pPr>
      <w:r>
        <w:rPr>
          <w:rFonts w:hint="eastAsia" w:ascii="宋体" w:hAnsi="宋体"/>
          <w:szCs w:val="21"/>
        </w:rPr>
        <w:t>3.1.7对评标过程和结果，以及投标人的商业秘密保密。</w:t>
      </w:r>
    </w:p>
    <w:p w14:paraId="7CC167E7">
      <w:pPr>
        <w:spacing w:line="360" w:lineRule="auto"/>
        <w:ind w:firstLine="420"/>
        <w:rPr>
          <w:rFonts w:ascii="宋体" w:hAnsi="宋体"/>
          <w:szCs w:val="21"/>
        </w:rPr>
      </w:pPr>
      <w:r>
        <w:rPr>
          <w:rFonts w:hint="eastAsia" w:ascii="宋体" w:hAnsi="宋体"/>
          <w:szCs w:val="21"/>
        </w:rPr>
        <w:t>3.1.8参与评标报告的起草。</w:t>
      </w:r>
    </w:p>
    <w:p w14:paraId="4A15ECE1">
      <w:pPr>
        <w:spacing w:line="360" w:lineRule="auto"/>
        <w:ind w:firstLine="420"/>
        <w:rPr>
          <w:rFonts w:ascii="宋体" w:hAnsi="宋体"/>
          <w:szCs w:val="21"/>
        </w:rPr>
      </w:pPr>
      <w:r>
        <w:rPr>
          <w:rFonts w:hint="eastAsia" w:ascii="宋体" w:hAnsi="宋体"/>
          <w:szCs w:val="21"/>
        </w:rPr>
        <w:t>3.1.9配合财政部门的投诉处理工作。</w:t>
      </w:r>
    </w:p>
    <w:p w14:paraId="74E5C78F">
      <w:pPr>
        <w:spacing w:line="360" w:lineRule="auto"/>
        <w:ind w:firstLine="420"/>
        <w:rPr>
          <w:rFonts w:ascii="宋体" w:hAnsi="宋体"/>
          <w:szCs w:val="21"/>
        </w:rPr>
      </w:pPr>
      <w:r>
        <w:rPr>
          <w:rFonts w:hint="eastAsia" w:ascii="宋体" w:hAnsi="宋体"/>
          <w:szCs w:val="21"/>
        </w:rPr>
        <w:t>配合招标采购人答复投标供应商提出的质疑。</w:t>
      </w:r>
    </w:p>
    <w:p w14:paraId="5B85CCD4">
      <w:pPr>
        <w:spacing w:line="360" w:lineRule="auto"/>
        <w:ind w:firstLine="42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开标后，直到宣布中标人中标为止，凡属于审查、澄清、评价和比较投标的所有资料，有关中标的信息都不应向投标单位或与评标无关的其他人泄露。</w:t>
      </w:r>
    </w:p>
    <w:p w14:paraId="7643090A">
      <w:pPr>
        <w:spacing w:line="360" w:lineRule="auto"/>
        <w:ind w:firstLine="42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代理机构和评标委员会不向未中标的投标人解释未中标原因，也不公布评标过程中的相关细节。</w:t>
      </w:r>
    </w:p>
    <w:p w14:paraId="5005C857">
      <w:pPr>
        <w:spacing w:line="360" w:lineRule="auto"/>
        <w:ind w:firstLine="420"/>
        <w:rPr>
          <w:rFonts w:ascii="宋体" w:hAnsi="宋体"/>
          <w:szCs w:val="21"/>
        </w:rPr>
      </w:pPr>
      <w:r>
        <w:rPr>
          <w:rFonts w:hint="eastAsia" w:ascii="宋体" w:hAnsi="宋体"/>
          <w:szCs w:val="21"/>
        </w:rPr>
        <w:t>3.4在投标文件的审查、澄清、评价和比较以及确定中标结果的过程中，投标单位对采购代理机构和评标委员会成员施加影响的任何行为，都将依法处理。</w:t>
      </w:r>
    </w:p>
    <w:p w14:paraId="6FB74AB5">
      <w:pPr>
        <w:spacing w:line="360" w:lineRule="auto"/>
        <w:ind w:firstLine="420"/>
        <w:rPr>
          <w:rFonts w:ascii="宋体" w:hAnsi="宋体"/>
          <w:szCs w:val="21"/>
        </w:rPr>
      </w:pPr>
      <w:r>
        <w:rPr>
          <w:rFonts w:hint="eastAsia" w:ascii="宋体" w:hAnsi="宋体"/>
          <w:szCs w:val="21"/>
        </w:rPr>
        <w:t>3.5采用综合评分法的项目，未中标的投标人可于中标结果公告期限届满之日起通过苏采云系统查看自己的评审得分及排序情况。</w:t>
      </w:r>
    </w:p>
    <w:p w14:paraId="62D32EAE">
      <w:pPr>
        <w:spacing w:line="360" w:lineRule="auto"/>
        <w:ind w:firstLine="420"/>
        <w:rPr>
          <w:rFonts w:ascii="宋体" w:hAnsi="宋体"/>
          <w:b/>
          <w:bCs/>
          <w:szCs w:val="21"/>
        </w:rPr>
      </w:pPr>
      <w:r>
        <w:rPr>
          <w:rFonts w:hint="eastAsia" w:ascii="宋体" w:hAnsi="宋体"/>
          <w:b/>
          <w:bCs/>
          <w:szCs w:val="21"/>
        </w:rPr>
        <w:t>4.对投标单位及投标文件的审核</w:t>
      </w:r>
    </w:p>
    <w:p w14:paraId="037F3105">
      <w:pPr>
        <w:spacing w:line="360" w:lineRule="auto"/>
        <w:ind w:firstLine="420"/>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采购人或采购代理机构按招标文件规定对投标单位进行资格审查，资格审查未通过的，视为无效投标；</w:t>
      </w:r>
    </w:p>
    <w:p w14:paraId="60AA8F00">
      <w:pPr>
        <w:spacing w:line="360" w:lineRule="auto"/>
        <w:ind w:firstLine="420"/>
        <w:rPr>
          <w:rFonts w:ascii="宋体" w:hAnsi="宋体"/>
          <w:szCs w:val="21"/>
        </w:rPr>
      </w:pPr>
      <w:r>
        <w:rPr>
          <w:rFonts w:hint="eastAsia" w:ascii="宋体" w:hAnsi="宋体"/>
          <w:szCs w:val="21"/>
        </w:rPr>
        <w:t>4.2</w:t>
      </w:r>
      <w:r>
        <w:rPr>
          <w:rFonts w:ascii="宋体" w:hAnsi="宋体"/>
          <w:szCs w:val="21"/>
        </w:rPr>
        <w:t>.</w:t>
      </w:r>
      <w:r>
        <w:rPr>
          <w:rFonts w:hint="eastAsia" w:ascii="宋体" w:hAnsi="宋体"/>
          <w:szCs w:val="21"/>
        </w:rPr>
        <w:t>评标委员会应当对符合资格的投标单位的投标文件进行符合性审查，以确定其是否满足招标文件的实质性要求。</w:t>
      </w:r>
    </w:p>
    <w:p w14:paraId="7C52D7B5">
      <w:pPr>
        <w:spacing w:line="360" w:lineRule="auto"/>
        <w:ind w:firstLine="420"/>
        <w:rPr>
          <w:rFonts w:ascii="宋体" w:hAnsi="宋体"/>
          <w:szCs w:val="21"/>
        </w:rPr>
      </w:pPr>
      <w:r>
        <w:rPr>
          <w:rFonts w:hint="eastAsia" w:ascii="宋体" w:hAnsi="宋体"/>
          <w:szCs w:val="21"/>
        </w:rPr>
        <w:t>4.2.1实质性响应的投标应该是与招标文件要求的全部条款、条件和规格相符，没有重大偏离或保留的投标。</w:t>
      </w:r>
    </w:p>
    <w:p w14:paraId="0A974C2A">
      <w:pPr>
        <w:spacing w:line="360" w:lineRule="auto"/>
        <w:ind w:firstLine="420"/>
        <w:rPr>
          <w:rFonts w:ascii="宋体" w:hAnsi="宋体"/>
          <w:szCs w:val="21"/>
        </w:rPr>
      </w:pPr>
      <w:r>
        <w:rPr>
          <w:rFonts w:hint="eastAsia" w:ascii="宋体" w:hAnsi="宋体"/>
          <w:szCs w:val="21"/>
        </w:rPr>
        <w:t>4.2.2所谓重大偏离或保留是指与招标文件规定的实质性要求存在负偏离，或者在实质上与招标文件不一致，而且限制了合同中买方和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150DDDF9">
      <w:pPr>
        <w:spacing w:line="360" w:lineRule="auto"/>
        <w:ind w:firstLine="420"/>
        <w:rPr>
          <w:rFonts w:ascii="宋体" w:hAnsi="宋体"/>
          <w:szCs w:val="21"/>
        </w:rPr>
      </w:pPr>
      <w:r>
        <w:rPr>
          <w:rFonts w:hint="eastAsia" w:ascii="宋体" w:hAnsi="宋体"/>
          <w:szCs w:val="21"/>
        </w:rPr>
        <w:t>4.3未通过资格审查或符合性审查的投标人，代理机构将在苏采云系统中告知未通过资格审查或符合性审查的原因，评标结束后，代理机构将不再告知未通过资格审查和符合性审查的原因。</w:t>
      </w:r>
    </w:p>
    <w:p w14:paraId="35D7E956">
      <w:pPr>
        <w:spacing w:line="360" w:lineRule="auto"/>
        <w:ind w:firstLine="420"/>
        <w:rPr>
          <w:rFonts w:ascii="宋体" w:hAnsi="宋体"/>
        </w:rPr>
      </w:pPr>
      <w:r>
        <w:rPr>
          <w:rFonts w:hint="eastAsia" w:ascii="宋体" w:hAnsi="宋体"/>
        </w:rPr>
        <w:t>4.4</w:t>
      </w:r>
      <w:r>
        <w:rPr>
          <w:rFonts w:ascii="宋体" w:hAnsi="宋体"/>
        </w:rPr>
        <w:t>.</w:t>
      </w:r>
      <w:r>
        <w:rPr>
          <w:rFonts w:hint="eastAsia" w:ascii="宋体" w:hAnsi="宋体"/>
        </w:rPr>
        <w:t>投标文件报价出现前后不一致的，除招标文件另有规定外，按照下列规定修正：</w:t>
      </w:r>
    </w:p>
    <w:p w14:paraId="5E74383D">
      <w:pPr>
        <w:spacing w:line="360" w:lineRule="auto"/>
        <w:rPr>
          <w:rFonts w:ascii="宋体" w:hAnsi="宋体"/>
        </w:rPr>
      </w:pPr>
      <w:r>
        <w:rPr>
          <w:rFonts w:hint="eastAsia" w:ascii="宋体" w:hAnsi="宋体"/>
        </w:rPr>
        <w:t>　　4.4</w:t>
      </w:r>
      <w:r>
        <w:rPr>
          <w:rFonts w:ascii="宋体" w:hAnsi="宋体"/>
        </w:rPr>
        <w:t>.1</w:t>
      </w:r>
      <w:r>
        <w:rPr>
          <w:rFonts w:hint="eastAsia" w:ascii="宋体" w:hAnsi="宋体"/>
        </w:rPr>
        <w:t>投标文件中开标一览表内容与投标文件中相应内容不一致的，以开标一览表为准；</w:t>
      </w:r>
    </w:p>
    <w:p w14:paraId="47A953E3">
      <w:pPr>
        <w:spacing w:line="360" w:lineRule="auto"/>
        <w:rPr>
          <w:rFonts w:ascii="宋体" w:hAnsi="宋体"/>
        </w:rPr>
      </w:pPr>
      <w:r>
        <w:rPr>
          <w:rFonts w:hint="eastAsia" w:ascii="宋体" w:hAnsi="宋体"/>
        </w:rPr>
        <w:t>　　4.4</w:t>
      </w:r>
      <w:r>
        <w:rPr>
          <w:rFonts w:ascii="宋体" w:hAnsi="宋体"/>
        </w:rPr>
        <w:t>.2</w:t>
      </w:r>
      <w:r>
        <w:rPr>
          <w:rFonts w:hint="eastAsia" w:ascii="宋体" w:hAnsi="宋体"/>
        </w:rPr>
        <w:t>大写金额和小写金额不一致的，以大写金额为准；</w:t>
      </w:r>
    </w:p>
    <w:p w14:paraId="460BC7D0">
      <w:pPr>
        <w:spacing w:line="360" w:lineRule="auto"/>
        <w:rPr>
          <w:rFonts w:ascii="宋体" w:hAnsi="宋体"/>
        </w:rPr>
      </w:pPr>
      <w:r>
        <w:rPr>
          <w:rFonts w:hint="eastAsia" w:ascii="宋体" w:hAnsi="宋体"/>
        </w:rPr>
        <w:t>　　4.4</w:t>
      </w:r>
      <w:r>
        <w:rPr>
          <w:rFonts w:ascii="宋体" w:hAnsi="宋体"/>
        </w:rPr>
        <w:t>.3</w:t>
      </w:r>
      <w:r>
        <w:rPr>
          <w:rFonts w:hint="eastAsia" w:ascii="宋体" w:hAnsi="宋体"/>
        </w:rPr>
        <w:t>单价金额小数点或者百分比有明显错位的，以开标一览表的总价为准，并修改单价；</w:t>
      </w:r>
    </w:p>
    <w:p w14:paraId="6FB18E8D">
      <w:pPr>
        <w:spacing w:line="360" w:lineRule="auto"/>
        <w:rPr>
          <w:rFonts w:ascii="宋体" w:hAnsi="宋体"/>
        </w:rPr>
      </w:pPr>
      <w:r>
        <w:rPr>
          <w:rFonts w:hint="eastAsia" w:ascii="宋体" w:hAnsi="宋体"/>
        </w:rPr>
        <w:t>　　4.4</w:t>
      </w:r>
      <w:r>
        <w:rPr>
          <w:rFonts w:ascii="宋体" w:hAnsi="宋体"/>
        </w:rPr>
        <w:t>.4</w:t>
      </w:r>
      <w:r>
        <w:rPr>
          <w:rFonts w:hint="eastAsia" w:ascii="宋体" w:hAnsi="宋体"/>
        </w:rPr>
        <w:t>总价金额与按单价汇总金额不一致的，以单价金额计算结果为准。</w:t>
      </w:r>
    </w:p>
    <w:p w14:paraId="67255038">
      <w:pPr>
        <w:spacing w:line="360" w:lineRule="auto"/>
        <w:ind w:firstLine="420"/>
        <w:rPr>
          <w:rFonts w:ascii="宋体" w:hAnsi="宋体"/>
        </w:rPr>
      </w:pPr>
      <w:r>
        <w:rPr>
          <w:rFonts w:hint="eastAsia" w:ascii="宋体" w:hAnsi="宋体"/>
        </w:rPr>
        <w:t>4.4</w:t>
      </w:r>
      <w:r>
        <w:rPr>
          <w:rFonts w:ascii="宋体" w:hAnsi="宋体"/>
        </w:rPr>
        <w:t>.5</w:t>
      </w:r>
      <w:r>
        <w:rPr>
          <w:rFonts w:hint="eastAsia" w:ascii="宋体" w:hAnsi="宋体"/>
        </w:rPr>
        <w:t>同时出现两种以上不一致的，按照前款规定的顺序修正。修正后的报价按照“5.</w:t>
      </w:r>
      <w:r>
        <w:rPr>
          <w:rFonts w:hint="eastAsia" w:ascii="宋体" w:hAnsi="宋体"/>
          <w:szCs w:val="21"/>
        </w:rPr>
        <w:t>投标的澄清、说明或者补正</w:t>
      </w:r>
      <w:r>
        <w:rPr>
          <w:rFonts w:hint="eastAsia" w:ascii="宋体" w:hAnsi="宋体"/>
        </w:rPr>
        <w:t>”</w:t>
      </w:r>
      <w:r>
        <w:rPr>
          <w:rFonts w:hint="eastAsia" w:ascii="宋体" w:hAnsi="宋体"/>
          <w:szCs w:val="21"/>
        </w:rPr>
        <w:t>的</w:t>
      </w:r>
      <w:r>
        <w:rPr>
          <w:rFonts w:hint="eastAsia" w:ascii="宋体" w:hAnsi="宋体"/>
        </w:rPr>
        <w:t>规定经投标单位确认后产生约束力，投标单位不确认的，其投标无效。</w:t>
      </w:r>
    </w:p>
    <w:p w14:paraId="43B2ACAD">
      <w:pPr>
        <w:spacing w:line="360" w:lineRule="auto"/>
        <w:ind w:firstLine="420"/>
        <w:rPr>
          <w:rFonts w:ascii="宋体" w:hAnsi="宋体"/>
        </w:rPr>
      </w:pPr>
      <w:r>
        <w:rPr>
          <w:rFonts w:hint="eastAsia" w:ascii="宋体" w:hAnsi="宋体"/>
        </w:rPr>
        <w:t>4.4.6</w:t>
      </w:r>
      <w:r>
        <w:rPr>
          <w:rFonts w:hint="eastAsia" w:ascii="宋体" w:hAnsi="宋体"/>
          <w:szCs w:val="21"/>
        </w:rPr>
        <w:t>评标委员会对投标文件的判定，只依据投标内容本身，不依据开标后的任何外来证明。</w:t>
      </w:r>
    </w:p>
    <w:p w14:paraId="2FEB84B4">
      <w:pPr>
        <w:spacing w:line="360" w:lineRule="auto"/>
        <w:ind w:firstLine="420"/>
        <w:rPr>
          <w:rFonts w:ascii="宋体" w:hAnsi="宋体"/>
          <w:b/>
          <w:bCs/>
        </w:rPr>
      </w:pPr>
      <w:r>
        <w:rPr>
          <w:rFonts w:hint="eastAsia" w:ascii="宋体" w:hAnsi="宋体"/>
          <w:b/>
          <w:bCs/>
        </w:rPr>
        <w:t>4.5. 投标人存在下列情况之一的，属无效投标：</w:t>
      </w:r>
    </w:p>
    <w:p w14:paraId="3AFA1D4C">
      <w:pPr>
        <w:spacing w:line="360" w:lineRule="auto"/>
        <w:ind w:firstLine="420"/>
        <w:rPr>
          <w:rFonts w:ascii="宋体" w:hAnsi="宋体"/>
        </w:rPr>
      </w:pPr>
      <w:r>
        <w:rPr>
          <w:rFonts w:hint="eastAsia" w:ascii="宋体" w:hAnsi="宋体"/>
        </w:rPr>
        <w:t>4.5.1 投标人在苏采云系统规定的时间内未成功解密电子投标文件的；</w:t>
      </w:r>
    </w:p>
    <w:p w14:paraId="1443A704">
      <w:pPr>
        <w:spacing w:line="360" w:lineRule="auto"/>
        <w:ind w:firstLine="420"/>
        <w:rPr>
          <w:rFonts w:ascii="宋体" w:hAnsi="宋体"/>
        </w:rPr>
      </w:pPr>
      <w:r>
        <w:rPr>
          <w:rFonts w:hint="eastAsia" w:ascii="宋体" w:hAnsi="宋体"/>
        </w:rPr>
        <w:t>4.5.2投标人未按照招标文件要求上传电子投标文件的</w:t>
      </w:r>
    </w:p>
    <w:p w14:paraId="47C78CC2">
      <w:pPr>
        <w:spacing w:line="360" w:lineRule="auto"/>
        <w:ind w:firstLine="420"/>
        <w:rPr>
          <w:rFonts w:ascii="宋体" w:hAnsi="宋体"/>
        </w:rPr>
      </w:pPr>
      <w:r>
        <w:rPr>
          <w:rFonts w:hint="eastAsia" w:ascii="宋体" w:hAnsi="宋体"/>
        </w:rPr>
        <w:t>4.5.3投标文件未按招标文件要求签署、盖章的；</w:t>
      </w:r>
    </w:p>
    <w:p w14:paraId="4E679F01">
      <w:pPr>
        <w:spacing w:line="360" w:lineRule="auto"/>
        <w:ind w:firstLine="420"/>
        <w:rPr>
          <w:rFonts w:ascii="宋体" w:hAnsi="宋体"/>
        </w:rPr>
      </w:pPr>
      <w:r>
        <w:rPr>
          <w:rFonts w:hint="eastAsia" w:ascii="宋体" w:hAnsi="宋体"/>
        </w:rPr>
        <w:t>4.5.4未通过资格性及符合性审查的；</w:t>
      </w:r>
    </w:p>
    <w:p w14:paraId="3A862331">
      <w:pPr>
        <w:spacing w:line="360" w:lineRule="auto"/>
        <w:ind w:firstLine="420"/>
        <w:rPr>
          <w:rFonts w:ascii="宋体" w:hAnsi="宋体"/>
        </w:rPr>
      </w:pPr>
      <w:r>
        <w:rPr>
          <w:rFonts w:hint="eastAsia" w:ascii="宋体" w:hAnsi="宋体"/>
        </w:rPr>
        <w:t>4.5.5报价超过招标文件中规定的预算金额或者最高限价的；</w:t>
      </w:r>
    </w:p>
    <w:p w14:paraId="34933304">
      <w:pPr>
        <w:spacing w:line="360" w:lineRule="auto"/>
        <w:ind w:firstLine="420"/>
        <w:rPr>
          <w:rFonts w:ascii="宋体" w:hAnsi="宋体"/>
        </w:rPr>
      </w:pPr>
      <w:r>
        <w:rPr>
          <w:rFonts w:hint="eastAsia" w:ascii="宋体" w:hAnsi="宋体"/>
        </w:rPr>
        <w:t>4.5.6 投标文件中含有采购人不能接受的附加条件的；</w:t>
      </w:r>
    </w:p>
    <w:p w14:paraId="39AB1017">
      <w:pPr>
        <w:spacing w:line="360" w:lineRule="auto"/>
        <w:ind w:firstLine="420"/>
        <w:rPr>
          <w:rFonts w:ascii="宋体" w:hAnsi="宋体"/>
        </w:rPr>
      </w:pPr>
      <w:r>
        <w:rPr>
          <w:rFonts w:hint="eastAsia" w:ascii="宋体" w:hAnsi="宋体"/>
        </w:rPr>
        <w:t>4.5.7投标文件</w:t>
      </w:r>
      <w:r>
        <w:rPr>
          <w:rFonts w:hint="eastAsia" w:ascii="宋体" w:hAnsi="宋体"/>
          <w:szCs w:val="21"/>
        </w:rPr>
        <w:t>与招标文件有重大偏离，</w:t>
      </w:r>
      <w:r>
        <w:rPr>
          <w:rFonts w:hint="eastAsia" w:ascii="宋体" w:hAnsi="宋体"/>
        </w:rPr>
        <w:t>不能满足招标文件的实质性要求的；</w:t>
      </w:r>
    </w:p>
    <w:p w14:paraId="6B056B50">
      <w:pPr>
        <w:spacing w:line="360" w:lineRule="auto"/>
        <w:ind w:firstLine="420"/>
        <w:rPr>
          <w:rFonts w:ascii="宋体" w:hAnsi="宋体"/>
        </w:rPr>
      </w:pPr>
      <w:r>
        <w:rPr>
          <w:rFonts w:hint="eastAsia" w:ascii="宋体" w:hAnsi="宋体"/>
        </w:rPr>
        <w:t>4.5.8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09F6B956">
      <w:pPr>
        <w:spacing w:line="360" w:lineRule="auto"/>
        <w:ind w:firstLine="420"/>
        <w:rPr>
          <w:rFonts w:ascii="宋体" w:hAnsi="宋体"/>
        </w:rPr>
      </w:pPr>
      <w:r>
        <w:rPr>
          <w:rFonts w:hint="eastAsia" w:ascii="宋体" w:hAnsi="宋体"/>
        </w:rPr>
        <w:t>4.5.9法律、法规和招标文件规定的其他无效情形。</w:t>
      </w:r>
    </w:p>
    <w:p w14:paraId="0E74448B">
      <w:pPr>
        <w:spacing w:line="360" w:lineRule="auto"/>
        <w:ind w:firstLine="420"/>
        <w:rPr>
          <w:rFonts w:ascii="宋体" w:hAnsi="宋体"/>
        </w:rPr>
      </w:pPr>
      <w:r>
        <w:rPr>
          <w:rFonts w:hint="eastAsia" w:ascii="宋体" w:hAnsi="宋体"/>
        </w:rPr>
        <w:t>4.5.10评标委员会认定的其它为无效投标的事项。</w:t>
      </w:r>
    </w:p>
    <w:p w14:paraId="0657F0CD">
      <w:pPr>
        <w:spacing w:line="360" w:lineRule="auto"/>
        <w:ind w:firstLine="420"/>
        <w:rPr>
          <w:rFonts w:ascii="宋体" w:hAnsi="宋体"/>
          <w:b/>
          <w:bCs/>
          <w:szCs w:val="21"/>
        </w:rPr>
      </w:pPr>
      <w:r>
        <w:rPr>
          <w:rFonts w:hint="eastAsia" w:ascii="宋体" w:hAnsi="宋体"/>
          <w:b/>
          <w:bCs/>
          <w:szCs w:val="21"/>
        </w:rPr>
        <w:t>5.投标的澄清、说明或者补正</w:t>
      </w:r>
    </w:p>
    <w:p w14:paraId="2C9F8487">
      <w:pPr>
        <w:spacing w:line="360" w:lineRule="auto"/>
        <w:ind w:firstLine="420"/>
        <w:rPr>
          <w:rFonts w:ascii="宋体" w:hAnsi="宋体"/>
        </w:rPr>
      </w:pPr>
      <w:r>
        <w:rPr>
          <w:rFonts w:hint="eastAsia" w:ascii="宋体" w:hAnsi="宋体"/>
        </w:rPr>
        <w:t>5.1对于投标文件中含义不明确、同类问题表述不一致或者有明显文字和计算错误的内容，评标委员会应当以书面形式要求投标单位作出必要的澄清、说明或者补正。</w:t>
      </w:r>
    </w:p>
    <w:p w14:paraId="1F83009D">
      <w:pPr>
        <w:spacing w:line="360" w:lineRule="auto"/>
        <w:ind w:firstLine="420"/>
        <w:rPr>
          <w:rFonts w:ascii="宋体" w:hAnsi="宋体"/>
        </w:rPr>
      </w:pPr>
      <w:r>
        <w:rPr>
          <w:rFonts w:hint="eastAsia" w:ascii="宋体" w:hAnsi="宋体"/>
        </w:rPr>
        <w:t>5.2需要供应商进行澄清、说明和补正的，评委会将通过苏采云系统向供应商发出“澄清要求函”，接到“澄清要求函”的投标人应当按照要求在</w:t>
      </w:r>
      <w:r>
        <w:rPr>
          <w:rFonts w:hint="eastAsia" w:ascii="宋体" w:hAnsi="宋体"/>
          <w:b/>
          <w:bCs/>
        </w:rPr>
        <w:t>20分钟内在</w:t>
      </w:r>
      <w:r>
        <w:rPr>
          <w:rFonts w:hint="eastAsia" w:ascii="宋体" w:hAnsi="宋体"/>
        </w:rPr>
        <w:t>苏采云系统中提交“澄清响应函”并单位盖章。澄清、说明和补正的内容作为投标文件的补充部分，具体操作方式见《操作手册》。</w:t>
      </w:r>
    </w:p>
    <w:p w14:paraId="4F7622A6">
      <w:pPr>
        <w:spacing w:line="360" w:lineRule="auto"/>
        <w:ind w:firstLine="420"/>
        <w:rPr>
          <w:rFonts w:ascii="宋体" w:hAnsi="宋体"/>
        </w:rPr>
      </w:pPr>
      <w:r>
        <w:rPr>
          <w:rFonts w:hint="eastAsia" w:ascii="宋体" w:hAnsi="宋体"/>
        </w:rPr>
        <w:t>5.3 接到评委会澄清、说明和补正要求的投标人如未在规定时间内做出澄清、说明和补正，其风险由投标人自行承担。</w:t>
      </w:r>
    </w:p>
    <w:p w14:paraId="7B6845EE">
      <w:pPr>
        <w:spacing w:line="360" w:lineRule="auto"/>
        <w:ind w:firstLine="434"/>
        <w:rPr>
          <w:rFonts w:ascii="宋体" w:hAnsi="宋体"/>
          <w:b/>
          <w:szCs w:val="21"/>
        </w:rPr>
      </w:pPr>
      <w:r>
        <w:rPr>
          <w:rFonts w:hint="eastAsia" w:ascii="宋体" w:hAnsi="宋体"/>
          <w:b/>
          <w:szCs w:val="21"/>
        </w:rPr>
        <w:t>6.投标文件的评价和比较</w:t>
      </w:r>
    </w:p>
    <w:p w14:paraId="476ABD72">
      <w:pPr>
        <w:pStyle w:val="7"/>
        <w:spacing w:line="360" w:lineRule="auto"/>
        <w:ind w:right="-252" w:firstLine="434"/>
        <w:jc w:val="both"/>
        <w:rPr>
          <w:rFonts w:ascii="宋体" w:hAnsi="宋体" w:eastAsia="宋体"/>
          <w:sz w:val="21"/>
          <w:szCs w:val="21"/>
        </w:rPr>
      </w:pPr>
      <w:r>
        <w:rPr>
          <w:rFonts w:hint="eastAsia" w:ascii="宋体" w:hAnsi="宋体" w:eastAsia="宋体"/>
          <w:sz w:val="21"/>
          <w:szCs w:val="21"/>
        </w:rPr>
        <w:t>6</w:t>
      </w:r>
      <w:r>
        <w:rPr>
          <w:rFonts w:ascii="宋体" w:hAnsi="宋体" w:eastAsia="宋体"/>
          <w:sz w:val="21"/>
          <w:szCs w:val="21"/>
        </w:rPr>
        <w:t>.1</w:t>
      </w:r>
      <w:r>
        <w:rPr>
          <w:rFonts w:hint="eastAsia" w:ascii="宋体" w:hAnsi="宋体" w:eastAsia="宋体"/>
          <w:sz w:val="21"/>
          <w:szCs w:val="21"/>
        </w:rPr>
        <w:t>评标委员会将仅对按照本须知有关规定确定为实质上响应招标文件要求的投标文件进行评价和比较。</w:t>
      </w:r>
    </w:p>
    <w:p w14:paraId="672AADC2">
      <w:pPr>
        <w:spacing w:line="360" w:lineRule="auto"/>
        <w:ind w:right="-252" w:firstLine="434"/>
        <w:rPr>
          <w:rFonts w:ascii="宋体" w:hAnsi="宋体"/>
          <w:szCs w:val="21"/>
        </w:rPr>
      </w:pPr>
      <w:r>
        <w:rPr>
          <w:rFonts w:hint="eastAsia" w:ascii="宋体" w:hAnsi="宋体"/>
          <w:szCs w:val="21"/>
        </w:rPr>
        <w:t>6.2评价和比较采用综合评分法，评标委员会严格按照招标文件的要求、条件、评分标准，对投标人所</w:t>
      </w:r>
      <w:r>
        <w:rPr>
          <w:rFonts w:ascii="宋体" w:hAnsi="宋体"/>
          <w:szCs w:val="21"/>
        </w:rPr>
        <w:t>提供</w:t>
      </w:r>
      <w:r>
        <w:rPr>
          <w:rFonts w:hint="eastAsia" w:ascii="宋体" w:hAnsi="宋体"/>
          <w:szCs w:val="21"/>
        </w:rPr>
        <w:t>货物或服务</w:t>
      </w:r>
      <w:r>
        <w:rPr>
          <w:rFonts w:ascii="宋体" w:hAnsi="宋体"/>
          <w:szCs w:val="21"/>
        </w:rPr>
        <w:t>的先进性、可靠性、售后服务承诺、质量保证承诺</w:t>
      </w:r>
      <w:r>
        <w:rPr>
          <w:rFonts w:hint="eastAsia" w:ascii="宋体" w:hAnsi="宋体"/>
          <w:szCs w:val="21"/>
        </w:rPr>
        <w:t>等实质性响应内容进行比较，同时考虑以下因素：</w:t>
      </w:r>
      <w:r>
        <w:rPr>
          <w:rFonts w:ascii="宋体" w:hAnsi="宋体"/>
          <w:szCs w:val="21"/>
        </w:rPr>
        <w:t xml:space="preserve">    </w:t>
      </w:r>
    </w:p>
    <w:p w14:paraId="596B5562">
      <w:pPr>
        <w:spacing w:line="360" w:lineRule="auto"/>
        <w:ind w:firstLine="434"/>
        <w:rPr>
          <w:rFonts w:ascii="宋体" w:hAnsi="宋体"/>
          <w:szCs w:val="21"/>
        </w:rPr>
      </w:pPr>
      <w:r>
        <w:rPr>
          <w:rFonts w:hint="eastAsia" w:ascii="宋体" w:hAnsi="宋体"/>
          <w:szCs w:val="21"/>
        </w:rPr>
        <w:t>6.2.1服务</w:t>
      </w:r>
      <w:r>
        <w:rPr>
          <w:rFonts w:ascii="宋体" w:hAnsi="宋体"/>
          <w:szCs w:val="21"/>
        </w:rPr>
        <w:t>状态和</w:t>
      </w:r>
      <w:r>
        <w:rPr>
          <w:rFonts w:hint="eastAsia" w:ascii="宋体" w:hAnsi="宋体"/>
          <w:szCs w:val="21"/>
        </w:rPr>
        <w:t>服务</w:t>
      </w:r>
      <w:r>
        <w:rPr>
          <w:rFonts w:ascii="宋体" w:hAnsi="宋体"/>
          <w:szCs w:val="21"/>
        </w:rPr>
        <w:t>期</w:t>
      </w:r>
      <w:r>
        <w:rPr>
          <w:rFonts w:hint="eastAsia" w:ascii="宋体" w:hAnsi="宋体"/>
          <w:szCs w:val="21"/>
        </w:rPr>
        <w:t>。</w:t>
      </w:r>
    </w:p>
    <w:p w14:paraId="3FBF9C44">
      <w:pPr>
        <w:spacing w:line="360" w:lineRule="auto"/>
        <w:ind w:firstLine="434"/>
        <w:rPr>
          <w:rFonts w:ascii="宋体" w:hAnsi="宋体"/>
          <w:szCs w:val="21"/>
        </w:rPr>
      </w:pPr>
      <w:r>
        <w:rPr>
          <w:rFonts w:hint="eastAsia" w:ascii="宋体" w:hAnsi="宋体"/>
          <w:szCs w:val="21"/>
        </w:rPr>
        <w:t>6.2.2售后</w:t>
      </w:r>
      <w:r>
        <w:rPr>
          <w:rFonts w:ascii="宋体" w:hAnsi="宋体"/>
          <w:szCs w:val="21"/>
        </w:rPr>
        <w:t>服务措施</w:t>
      </w:r>
      <w:r>
        <w:rPr>
          <w:rFonts w:hint="eastAsia" w:ascii="宋体" w:hAnsi="宋体"/>
          <w:szCs w:val="21"/>
        </w:rPr>
        <w:t>。</w:t>
      </w:r>
    </w:p>
    <w:p w14:paraId="17E445E3">
      <w:pPr>
        <w:spacing w:line="360" w:lineRule="auto"/>
        <w:ind w:firstLine="434"/>
        <w:rPr>
          <w:rFonts w:ascii="宋体" w:hAnsi="宋体"/>
          <w:szCs w:val="21"/>
        </w:rPr>
      </w:pPr>
      <w:r>
        <w:rPr>
          <w:rFonts w:hint="eastAsia" w:ascii="宋体" w:hAnsi="宋体"/>
          <w:szCs w:val="21"/>
        </w:rPr>
        <w:t>6.2.3</w:t>
      </w:r>
      <w:r>
        <w:rPr>
          <w:rFonts w:ascii="宋体" w:hAnsi="宋体"/>
          <w:szCs w:val="21"/>
        </w:rPr>
        <w:t>验收情况</w:t>
      </w:r>
      <w:r>
        <w:rPr>
          <w:rFonts w:hint="eastAsia" w:ascii="宋体" w:hAnsi="宋体"/>
          <w:szCs w:val="21"/>
        </w:rPr>
        <w:t>。</w:t>
      </w:r>
    </w:p>
    <w:p w14:paraId="0BE7C58D">
      <w:pPr>
        <w:spacing w:line="360" w:lineRule="auto"/>
        <w:ind w:firstLine="434"/>
        <w:rPr>
          <w:rFonts w:ascii="宋体" w:hAnsi="宋体"/>
          <w:szCs w:val="21"/>
        </w:rPr>
      </w:pPr>
      <w:r>
        <w:rPr>
          <w:rFonts w:hint="eastAsia" w:ascii="宋体" w:hAnsi="宋体"/>
          <w:szCs w:val="21"/>
        </w:rPr>
        <w:t>6.2.4</w:t>
      </w:r>
      <w:r>
        <w:rPr>
          <w:rFonts w:ascii="宋体" w:hAnsi="宋体"/>
          <w:szCs w:val="21"/>
        </w:rPr>
        <w:t>投标者的资信情况和履约能力</w:t>
      </w:r>
      <w:r>
        <w:rPr>
          <w:rFonts w:hint="eastAsia" w:ascii="宋体" w:hAnsi="宋体"/>
          <w:szCs w:val="21"/>
        </w:rPr>
        <w:t>。</w:t>
      </w:r>
    </w:p>
    <w:p w14:paraId="4B2506D6">
      <w:pPr>
        <w:spacing w:line="360" w:lineRule="auto"/>
        <w:ind w:firstLine="434"/>
        <w:rPr>
          <w:rFonts w:ascii="宋体" w:hAnsi="宋体"/>
          <w:szCs w:val="21"/>
        </w:rPr>
      </w:pPr>
      <w:r>
        <w:rPr>
          <w:rFonts w:hint="eastAsia" w:ascii="宋体" w:hAnsi="宋体"/>
          <w:szCs w:val="21"/>
        </w:rPr>
        <w:t>6.2.5</w:t>
      </w:r>
      <w:r>
        <w:rPr>
          <w:rFonts w:ascii="宋体" w:hAnsi="宋体"/>
          <w:szCs w:val="21"/>
        </w:rPr>
        <w:t>投标者的</w:t>
      </w:r>
      <w:r>
        <w:rPr>
          <w:rFonts w:hint="eastAsia" w:ascii="宋体" w:hAnsi="宋体"/>
          <w:szCs w:val="21"/>
        </w:rPr>
        <w:t>服务</w:t>
      </w:r>
      <w:r>
        <w:rPr>
          <w:rFonts w:ascii="宋体" w:hAnsi="宋体"/>
          <w:szCs w:val="21"/>
        </w:rPr>
        <w:t>状况及销售服务措施</w:t>
      </w:r>
      <w:r>
        <w:rPr>
          <w:rFonts w:hint="eastAsia" w:ascii="宋体" w:hAnsi="宋体"/>
          <w:szCs w:val="21"/>
        </w:rPr>
        <w:t>。</w:t>
      </w:r>
    </w:p>
    <w:p w14:paraId="42C1C8B2">
      <w:pPr>
        <w:spacing w:line="360" w:lineRule="auto"/>
        <w:ind w:firstLine="434"/>
        <w:rPr>
          <w:rFonts w:ascii="宋体" w:hAnsi="宋体"/>
          <w:szCs w:val="21"/>
        </w:rPr>
      </w:pPr>
      <w:r>
        <w:rPr>
          <w:rFonts w:hint="eastAsia" w:ascii="宋体" w:hAnsi="宋体"/>
          <w:szCs w:val="21"/>
        </w:rPr>
        <w:t>6.2.6</w:t>
      </w:r>
      <w:r>
        <w:rPr>
          <w:rFonts w:ascii="宋体" w:hAnsi="宋体"/>
          <w:szCs w:val="21"/>
        </w:rPr>
        <w:t>投标者提供的其他优惠条件</w:t>
      </w:r>
      <w:r>
        <w:rPr>
          <w:rFonts w:hint="eastAsia" w:ascii="宋体" w:hAnsi="宋体"/>
          <w:szCs w:val="21"/>
        </w:rPr>
        <w:t>。</w:t>
      </w:r>
    </w:p>
    <w:p w14:paraId="5E45DDCF">
      <w:pPr>
        <w:spacing w:line="360" w:lineRule="auto"/>
        <w:ind w:firstLine="434"/>
        <w:rPr>
          <w:rFonts w:ascii="宋体" w:hAnsi="宋体"/>
          <w:szCs w:val="21"/>
        </w:rPr>
      </w:pPr>
      <w:r>
        <w:rPr>
          <w:rFonts w:hint="eastAsia" w:ascii="宋体" w:hAnsi="宋体"/>
          <w:szCs w:val="21"/>
        </w:rPr>
        <w:t>6.2.7参与政府采购工作的态度及信誉。</w:t>
      </w:r>
    </w:p>
    <w:p w14:paraId="29A5B32F">
      <w:pPr>
        <w:spacing w:line="360" w:lineRule="auto"/>
        <w:ind w:firstLine="434"/>
        <w:rPr>
          <w:rFonts w:ascii="宋体" w:hAnsi="宋体"/>
        </w:rPr>
      </w:pPr>
      <w:r>
        <w:rPr>
          <w:rFonts w:hint="eastAsia" w:ascii="宋体" w:hAnsi="宋体"/>
          <w:szCs w:val="21"/>
        </w:rPr>
        <w:t>6.3最低的投标报价或最高的折扣比例是中标的重要条件，但不是唯一条件。</w:t>
      </w:r>
    </w:p>
    <w:p w14:paraId="6E071B9F">
      <w:pPr>
        <w:spacing w:line="360" w:lineRule="auto"/>
        <w:ind w:firstLine="434"/>
        <w:rPr>
          <w:rFonts w:ascii="宋体" w:hAnsi="宋体"/>
        </w:rPr>
      </w:pPr>
      <w:r>
        <w:rPr>
          <w:rFonts w:hint="eastAsia" w:ascii="宋体" w:hAnsi="宋体"/>
          <w:szCs w:val="21"/>
        </w:rPr>
        <w:t>6.4异常低价投标审查</w:t>
      </w:r>
    </w:p>
    <w:p w14:paraId="0DE46D10">
      <w:pPr>
        <w:spacing w:line="360" w:lineRule="auto"/>
        <w:ind w:firstLine="434"/>
      </w:pPr>
      <w:r>
        <w:rPr>
          <w:rFonts w:hint="eastAsia" w:ascii="宋体" w:hAnsi="宋体"/>
          <w:szCs w:val="21"/>
        </w:rPr>
        <w:t>6.4.1.评审过程中出现下列情形之一的，评审委员会应当启动异常低价投标审查程序：</w:t>
      </w:r>
    </w:p>
    <w:p w14:paraId="51A73183">
      <w:pPr>
        <w:spacing w:line="360" w:lineRule="auto"/>
        <w:ind w:firstLine="434"/>
      </w:pPr>
      <w:r>
        <w:rPr>
          <w:rFonts w:hint="eastAsia" w:ascii="宋体" w:hAnsi="宋体"/>
          <w:szCs w:val="21"/>
        </w:rPr>
        <w:t>6.4.1.1投标(响应)报价低于全部通过符合性审查供应商投标(响应)报价平均值50%的，即投标(响应)报价&lt;全部通过符合性审查供应商投标(响应)报价平均值×50%；</w:t>
      </w:r>
    </w:p>
    <w:p w14:paraId="5B6AFD19">
      <w:pPr>
        <w:spacing w:line="360" w:lineRule="auto"/>
        <w:ind w:firstLine="434"/>
      </w:pPr>
      <w:r>
        <w:rPr>
          <w:rFonts w:hint="eastAsia" w:ascii="宋体" w:hAnsi="宋体"/>
          <w:szCs w:val="21"/>
        </w:rPr>
        <w:t>6.4.1.2投标(响应)报价低于通过符合性审查的次低报价供应商投标(响应)报价50%的，即投标(响应)报价&lt;通过符合性审查的次低报价供应商投标(响应)报价×50%；</w:t>
      </w:r>
    </w:p>
    <w:p w14:paraId="06EC0B7C">
      <w:pPr>
        <w:spacing w:line="360" w:lineRule="auto"/>
        <w:ind w:firstLine="434"/>
      </w:pPr>
      <w:r>
        <w:rPr>
          <w:rFonts w:hint="eastAsia" w:ascii="宋体" w:hAnsi="宋体"/>
          <w:szCs w:val="21"/>
        </w:rPr>
        <w:t>6.4.1.3投标(响应)报价低于采购项目最高限价45%的，即投标(响应)报价&lt;采购项目最高限价×45%；</w:t>
      </w:r>
    </w:p>
    <w:p w14:paraId="5F5A7058">
      <w:pPr>
        <w:spacing w:line="360" w:lineRule="auto"/>
        <w:ind w:firstLine="434"/>
      </w:pPr>
      <w:r>
        <w:rPr>
          <w:rFonts w:hint="eastAsia" w:ascii="宋体" w:hAnsi="宋体"/>
          <w:szCs w:val="21"/>
        </w:rPr>
        <w:t>6.4.1.4评审委员会评审委员会基于专业判断，认为供应商报价过低，有可能影响产品质量或者不能诚信履约的其他情形。</w:t>
      </w:r>
    </w:p>
    <w:p w14:paraId="2F1625A1">
      <w:pPr>
        <w:spacing w:line="360" w:lineRule="auto"/>
        <w:ind w:firstLine="434"/>
        <w:rPr>
          <w:rFonts w:ascii="宋体" w:hAnsi="宋体"/>
        </w:rPr>
      </w:pPr>
      <w:r>
        <w:rPr>
          <w:rFonts w:hint="eastAsia" w:ascii="宋体" w:hAnsi="宋体"/>
          <w:szCs w:val="21"/>
        </w:rPr>
        <w:t>6.4.2.评审委员会启动异常低价投标(响应)审查后，属于前述1.1-1.4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D3EDA5">
      <w:pPr>
        <w:spacing w:line="360" w:lineRule="auto"/>
        <w:ind w:firstLine="420"/>
        <w:rPr>
          <w:rFonts w:ascii="宋体" w:hAnsi="宋体"/>
          <w:b/>
          <w:szCs w:val="21"/>
        </w:rPr>
      </w:pPr>
      <w:r>
        <w:rPr>
          <w:rFonts w:hint="eastAsia" w:ascii="宋体" w:hAnsi="宋体"/>
          <w:b/>
          <w:szCs w:val="21"/>
        </w:rPr>
        <w:t>七、废标和无效标</w:t>
      </w:r>
    </w:p>
    <w:p w14:paraId="3B9EBD6B">
      <w:pPr>
        <w:spacing w:line="360" w:lineRule="auto"/>
        <w:ind w:firstLine="434"/>
        <w:rPr>
          <w:rFonts w:ascii="宋体" w:hAnsi="宋体"/>
          <w:b/>
          <w:bCs/>
          <w:szCs w:val="21"/>
        </w:rPr>
      </w:pPr>
      <w:r>
        <w:rPr>
          <w:rFonts w:hint="eastAsia" w:ascii="宋体" w:hAnsi="宋体"/>
          <w:b/>
          <w:bCs/>
          <w:szCs w:val="21"/>
        </w:rPr>
        <w:t>1.在招标采购中，出现下列情况之一的，应予废标：</w:t>
      </w:r>
    </w:p>
    <w:p w14:paraId="71E4D2F5">
      <w:pPr>
        <w:spacing w:line="360" w:lineRule="auto"/>
        <w:ind w:firstLine="434"/>
        <w:rPr>
          <w:rFonts w:ascii="宋体" w:hAnsi="宋体"/>
          <w:szCs w:val="21"/>
        </w:rPr>
      </w:pPr>
      <w:r>
        <w:rPr>
          <w:rFonts w:hint="eastAsia" w:ascii="宋体" w:hAnsi="宋体"/>
          <w:szCs w:val="21"/>
        </w:rPr>
        <w:t>1.1符合专业条件的供应商或者对招标文件作实质响应的供应商不足三家的；</w:t>
      </w:r>
    </w:p>
    <w:p w14:paraId="6BCFDDBC">
      <w:pPr>
        <w:spacing w:line="360" w:lineRule="auto"/>
        <w:ind w:firstLine="434"/>
        <w:rPr>
          <w:rFonts w:ascii="宋体" w:hAnsi="宋体"/>
          <w:szCs w:val="21"/>
        </w:rPr>
      </w:pPr>
      <w:r>
        <w:rPr>
          <w:rFonts w:hint="eastAsia" w:ascii="宋体" w:hAnsi="宋体" w:cs="Arial"/>
          <w:szCs w:val="21"/>
        </w:rPr>
        <w:t>1.2出现影响采购公正的违法、违规行为的；</w:t>
      </w:r>
    </w:p>
    <w:p w14:paraId="51EA909E">
      <w:pPr>
        <w:spacing w:line="360" w:lineRule="auto"/>
        <w:ind w:firstLine="434"/>
        <w:rPr>
          <w:rFonts w:ascii="宋体" w:hAnsi="宋体"/>
          <w:szCs w:val="21"/>
        </w:rPr>
      </w:pPr>
      <w:r>
        <w:rPr>
          <w:rFonts w:hint="eastAsia" w:ascii="宋体" w:hAnsi="宋体"/>
          <w:szCs w:val="21"/>
        </w:rPr>
        <w:t>1.3投标人的报价均超过了采购预算，采购人不能支付的；</w:t>
      </w:r>
    </w:p>
    <w:p w14:paraId="0C4B1C09">
      <w:pPr>
        <w:spacing w:line="360" w:lineRule="auto"/>
        <w:ind w:firstLine="434"/>
        <w:rPr>
          <w:rFonts w:ascii="宋体" w:hAnsi="宋体" w:cs="Arial"/>
          <w:szCs w:val="21"/>
        </w:rPr>
      </w:pPr>
      <w:r>
        <w:rPr>
          <w:rFonts w:hint="eastAsia" w:ascii="宋体" w:hAnsi="宋体" w:cs="Arial"/>
          <w:szCs w:val="21"/>
        </w:rPr>
        <w:t>1.4因重大变故，采购任务取消的</w:t>
      </w:r>
      <w:r>
        <w:rPr>
          <w:rFonts w:ascii="宋体" w:hAnsi="宋体" w:cs="Arial"/>
          <w:szCs w:val="21"/>
        </w:rPr>
        <w:t>；</w:t>
      </w:r>
    </w:p>
    <w:p w14:paraId="68D0D23C">
      <w:pPr>
        <w:spacing w:line="360" w:lineRule="auto"/>
        <w:ind w:firstLine="434"/>
        <w:rPr>
          <w:rFonts w:ascii="宋体" w:hAnsi="宋体" w:cs="Arial"/>
        </w:rPr>
      </w:pPr>
      <w:r>
        <w:rPr>
          <w:rFonts w:hint="eastAsia" w:ascii="宋体" w:hAnsi="宋体" w:cs="Arial"/>
          <w:szCs w:val="21"/>
        </w:rPr>
        <w:t>1.5因苏采云系统系统故障原因造成开标不成功的；</w:t>
      </w:r>
    </w:p>
    <w:p w14:paraId="49E68D6A">
      <w:pPr>
        <w:spacing w:line="360" w:lineRule="auto"/>
        <w:ind w:firstLine="434"/>
        <w:rPr>
          <w:rFonts w:ascii="宋体" w:hAnsi="宋体" w:cs="Arial"/>
        </w:rPr>
      </w:pPr>
      <w:r>
        <w:rPr>
          <w:rFonts w:hint="eastAsia" w:ascii="宋体" w:hAnsi="宋体" w:cs="Arial"/>
          <w:szCs w:val="21"/>
        </w:rPr>
        <w:t>1.6启动异常低价投标审查程序后，投标供应商不提供书面说明、证明材料，或者提供的书面说明、证明材料不能证明其报价合理性的，评审委员会应当将其作为无效投标处理。</w:t>
      </w:r>
    </w:p>
    <w:p w14:paraId="14C443EC">
      <w:pPr>
        <w:spacing w:line="360" w:lineRule="auto"/>
        <w:ind w:firstLine="434"/>
        <w:rPr>
          <w:rFonts w:ascii="宋体" w:hAnsi="宋体"/>
          <w:b/>
          <w:bCs/>
          <w:szCs w:val="21"/>
        </w:rPr>
      </w:pPr>
      <w:r>
        <w:rPr>
          <w:rFonts w:hint="eastAsia" w:ascii="宋体" w:hAnsi="宋体"/>
          <w:b/>
          <w:bCs/>
          <w:szCs w:val="21"/>
        </w:rPr>
        <w:t>2.投标文件属下列情况之一的，应当在资格性、符合性检查时按照无效投标处理：</w:t>
      </w:r>
    </w:p>
    <w:p w14:paraId="37DCB531">
      <w:pPr>
        <w:spacing w:line="360" w:lineRule="auto"/>
        <w:ind w:firstLine="434"/>
        <w:rPr>
          <w:rFonts w:ascii="宋体" w:hAnsi="宋体"/>
          <w:szCs w:val="21"/>
        </w:rPr>
      </w:pPr>
      <w:r>
        <w:rPr>
          <w:rFonts w:hint="eastAsia" w:ascii="宋体" w:hAnsi="宋体"/>
          <w:szCs w:val="21"/>
        </w:rPr>
        <w:t>2.2未按照招标文件规定要求签署、盖章的；</w:t>
      </w:r>
    </w:p>
    <w:p w14:paraId="1ECCCE43">
      <w:pPr>
        <w:spacing w:line="360" w:lineRule="auto"/>
        <w:ind w:firstLine="434"/>
        <w:rPr>
          <w:rFonts w:ascii="宋体" w:hAnsi="宋体"/>
          <w:szCs w:val="21"/>
        </w:rPr>
      </w:pPr>
      <w:r>
        <w:rPr>
          <w:rFonts w:hint="eastAsia" w:ascii="宋体" w:hAnsi="宋体"/>
          <w:szCs w:val="21"/>
        </w:rPr>
        <w:t>2.3不具备招标文件中规定资格性、符合性要求的；</w:t>
      </w:r>
    </w:p>
    <w:p w14:paraId="775E3997">
      <w:pPr>
        <w:spacing w:line="360" w:lineRule="auto"/>
        <w:ind w:firstLine="434"/>
        <w:rPr>
          <w:rFonts w:ascii="宋体" w:hAnsi="宋体"/>
          <w:szCs w:val="21"/>
        </w:rPr>
      </w:pPr>
      <w:r>
        <w:rPr>
          <w:rFonts w:hint="eastAsia" w:ascii="宋体" w:hAnsi="宋体"/>
          <w:szCs w:val="21"/>
        </w:rPr>
        <w:t>2.4不符合法律、法规和招标文件中规定的其他实质性要求的；</w:t>
      </w:r>
    </w:p>
    <w:p w14:paraId="2E2984C1">
      <w:pPr>
        <w:spacing w:line="360" w:lineRule="auto"/>
        <w:ind w:firstLine="434"/>
        <w:rPr>
          <w:rFonts w:ascii="宋体" w:hAnsi="宋体"/>
          <w:szCs w:val="21"/>
        </w:rPr>
      </w:pPr>
      <w:r>
        <w:rPr>
          <w:rFonts w:hint="eastAsia" w:ascii="宋体" w:hAnsi="宋体"/>
          <w:szCs w:val="21"/>
        </w:rPr>
        <w:t>2.5输入数字证书（</w:t>
      </w:r>
      <w:r>
        <w:rPr>
          <w:rFonts w:ascii="宋体" w:hAnsi="宋体"/>
          <w:szCs w:val="21"/>
        </w:rPr>
        <w:t>CA</w:t>
      </w:r>
      <w:r>
        <w:rPr>
          <w:rFonts w:hint="eastAsia" w:ascii="宋体" w:hAnsi="宋体"/>
          <w:szCs w:val="21"/>
        </w:rPr>
        <w:t>）密码错误超过限定次数或时间；</w:t>
      </w:r>
    </w:p>
    <w:p w14:paraId="2F7C2EDE">
      <w:pPr>
        <w:spacing w:line="360" w:lineRule="auto"/>
        <w:ind w:firstLine="434"/>
        <w:rPr>
          <w:rFonts w:ascii="宋体" w:hAnsi="宋体"/>
          <w:szCs w:val="21"/>
        </w:rPr>
      </w:pPr>
      <w:r>
        <w:rPr>
          <w:rFonts w:hint="eastAsia" w:ascii="宋体" w:hAnsi="宋体"/>
          <w:szCs w:val="21"/>
        </w:rPr>
        <w:t>2.6本章第六条4.5所列内容。</w:t>
      </w:r>
    </w:p>
    <w:p w14:paraId="5A3E9306">
      <w:pPr>
        <w:spacing w:line="360" w:lineRule="auto"/>
        <w:ind w:firstLine="420"/>
        <w:rPr>
          <w:rFonts w:ascii="宋体" w:hAnsi="宋体"/>
          <w:b/>
          <w:bCs/>
          <w:szCs w:val="21"/>
        </w:rPr>
      </w:pPr>
      <w:r>
        <w:rPr>
          <w:rFonts w:hint="eastAsia" w:ascii="宋体" w:hAnsi="宋体"/>
          <w:b/>
          <w:bCs/>
          <w:szCs w:val="21"/>
        </w:rPr>
        <w:t>3.废标或按无效标处理后，招标人将把理由通知所有投标人 。</w:t>
      </w:r>
    </w:p>
    <w:p w14:paraId="7B9EC827">
      <w:pPr>
        <w:spacing w:line="360" w:lineRule="auto"/>
        <w:ind w:firstLine="420"/>
        <w:rPr>
          <w:rFonts w:ascii="宋体" w:hAnsi="宋体"/>
          <w:b/>
          <w:szCs w:val="21"/>
        </w:rPr>
      </w:pPr>
      <w:r>
        <w:rPr>
          <w:rFonts w:hint="eastAsia" w:ascii="宋体" w:hAnsi="宋体"/>
          <w:b/>
          <w:szCs w:val="21"/>
        </w:rPr>
        <w:t>八、授予合同</w:t>
      </w:r>
    </w:p>
    <w:p w14:paraId="6F4C7BA5">
      <w:pPr>
        <w:spacing w:line="360" w:lineRule="auto"/>
        <w:ind w:firstLine="420"/>
        <w:rPr>
          <w:rFonts w:ascii="宋体" w:hAnsi="宋体"/>
          <w:b/>
          <w:bCs/>
          <w:szCs w:val="21"/>
        </w:rPr>
      </w:pPr>
      <w:r>
        <w:rPr>
          <w:rFonts w:ascii="宋体" w:hAnsi="宋体"/>
          <w:b/>
          <w:bCs/>
          <w:szCs w:val="21"/>
        </w:rPr>
        <w:t>1.</w:t>
      </w:r>
      <w:r>
        <w:rPr>
          <w:rFonts w:hint="eastAsia" w:ascii="宋体" w:hAnsi="宋体"/>
          <w:b/>
          <w:bCs/>
          <w:szCs w:val="21"/>
        </w:rPr>
        <w:t>中标人的确认</w:t>
      </w:r>
    </w:p>
    <w:p w14:paraId="4B3694AB">
      <w:pPr>
        <w:spacing w:line="360" w:lineRule="auto"/>
        <w:ind w:firstLine="420"/>
        <w:rPr>
          <w:rFonts w:ascii="宋体" w:hAnsi="宋体"/>
          <w:szCs w:val="21"/>
        </w:rPr>
      </w:pPr>
      <w:r>
        <w:rPr>
          <w:rFonts w:ascii="宋体" w:hAnsi="宋体"/>
          <w:szCs w:val="21"/>
        </w:rPr>
        <w:t>1.1评标委员会根据投标单位资格审查情况，投标文件的评价和</w:t>
      </w:r>
      <w:r>
        <w:rPr>
          <w:rFonts w:hint="eastAsia" w:ascii="宋体" w:hAnsi="宋体"/>
          <w:szCs w:val="21"/>
        </w:rPr>
        <w:t>比较，按照招标文件的评分标准进行打分和汇总评分结果。</w:t>
      </w:r>
    </w:p>
    <w:p w14:paraId="7DA488B5">
      <w:pPr>
        <w:spacing w:line="360" w:lineRule="auto"/>
        <w:ind w:firstLine="420"/>
        <w:rPr>
          <w:rFonts w:ascii="宋体" w:hAnsi="宋体"/>
          <w:szCs w:val="21"/>
        </w:rPr>
      </w:pPr>
      <w:r>
        <w:rPr>
          <w:rFonts w:ascii="宋体" w:hAnsi="宋体"/>
          <w:szCs w:val="21"/>
        </w:rPr>
        <w:t>1.2评标委员会</w:t>
      </w:r>
      <w:r>
        <w:rPr>
          <w:rFonts w:hint="eastAsia" w:ascii="宋体" w:hAnsi="宋体"/>
          <w:szCs w:val="21"/>
        </w:rPr>
        <w:t>根据评审后得分由低到高顺序排列</w:t>
      </w:r>
      <w:r>
        <w:rPr>
          <w:rFonts w:ascii="宋体" w:hAnsi="宋体"/>
          <w:szCs w:val="21"/>
        </w:rPr>
        <w:t>，</w:t>
      </w:r>
      <w:r>
        <w:rPr>
          <w:rFonts w:hint="eastAsia" w:ascii="宋体" w:hAnsi="宋体"/>
          <w:szCs w:val="21"/>
        </w:rPr>
        <w:t>确定中标人。</w:t>
      </w:r>
    </w:p>
    <w:p w14:paraId="16935B36">
      <w:pPr>
        <w:spacing w:line="360" w:lineRule="auto"/>
        <w:ind w:firstLine="420"/>
        <w:rPr>
          <w:rFonts w:ascii="宋体" w:hAnsi="宋体"/>
          <w:szCs w:val="21"/>
        </w:rPr>
      </w:pPr>
      <w:r>
        <w:rPr>
          <w:rFonts w:ascii="宋体" w:hAnsi="宋体"/>
          <w:szCs w:val="21"/>
        </w:rPr>
        <w:t>1.3</w:t>
      </w:r>
      <w:r>
        <w:rPr>
          <w:rFonts w:hint="eastAsia" w:ascii="宋体" w:hAnsi="宋体"/>
          <w:szCs w:val="21"/>
        </w:rPr>
        <w:t>采购代理机构应当在中标人确定之日起2个工作日内，在省级以上财政部门指定的媒体上公告中标结果，招标文件应当随中标结果同时公告。投标单位如有质疑，应于中标结果公告之日起七个工作日内按法规规定要求向采购代理机构提出。</w:t>
      </w:r>
    </w:p>
    <w:p w14:paraId="64575E13">
      <w:pPr>
        <w:spacing w:line="360" w:lineRule="auto"/>
        <w:ind w:firstLine="420"/>
        <w:rPr>
          <w:rFonts w:ascii="宋体" w:hAnsi="宋体"/>
          <w:szCs w:val="21"/>
        </w:rPr>
      </w:pPr>
      <w:r>
        <w:rPr>
          <w:rFonts w:hint="eastAsia" w:ascii="宋体" w:hAnsi="宋体"/>
          <w:szCs w:val="21"/>
        </w:rPr>
        <w:t>1.4若有充分证据证明，中标人出现下列情况之一的，一经查实，将被取消中标资格：</w:t>
      </w:r>
    </w:p>
    <w:p w14:paraId="7C07F088">
      <w:pPr>
        <w:spacing w:line="360" w:lineRule="auto"/>
        <w:ind w:firstLine="420"/>
        <w:rPr>
          <w:rFonts w:ascii="宋体" w:hAnsi="宋体"/>
          <w:szCs w:val="21"/>
        </w:rPr>
      </w:pPr>
      <w:r>
        <w:rPr>
          <w:rFonts w:hint="eastAsia" w:ascii="宋体" w:hAnsi="宋体"/>
          <w:szCs w:val="21"/>
        </w:rPr>
        <w:t>1.4.1提供虚假材料谋取中标的。</w:t>
      </w:r>
    </w:p>
    <w:p w14:paraId="75054C3F">
      <w:pPr>
        <w:spacing w:line="360" w:lineRule="auto"/>
        <w:ind w:firstLine="420"/>
        <w:rPr>
          <w:rFonts w:ascii="宋体" w:hAnsi="宋体"/>
          <w:szCs w:val="21"/>
        </w:rPr>
      </w:pPr>
      <w:r>
        <w:rPr>
          <w:rFonts w:hint="eastAsia" w:ascii="宋体" w:hAnsi="宋体"/>
          <w:szCs w:val="21"/>
        </w:rPr>
        <w:t>1.4.2向采购人、代理机构行贿或者提供其他不正当利益的。</w:t>
      </w:r>
    </w:p>
    <w:p w14:paraId="50BBDB39">
      <w:pPr>
        <w:spacing w:line="360" w:lineRule="auto"/>
        <w:ind w:firstLine="420"/>
        <w:rPr>
          <w:rFonts w:ascii="宋体" w:hAnsi="宋体"/>
          <w:szCs w:val="21"/>
        </w:rPr>
      </w:pPr>
      <w:r>
        <w:rPr>
          <w:rFonts w:hint="eastAsia" w:ascii="宋体" w:hAnsi="宋体"/>
          <w:szCs w:val="21"/>
        </w:rPr>
        <w:t>1.4.3属于本文件规定的无效条件，但在评标过程中又未被评委会发现的。</w:t>
      </w:r>
    </w:p>
    <w:p w14:paraId="3FEE6CC3">
      <w:pPr>
        <w:spacing w:line="360" w:lineRule="auto"/>
        <w:ind w:firstLine="420"/>
        <w:rPr>
          <w:rFonts w:ascii="宋体" w:hAnsi="宋体"/>
          <w:szCs w:val="21"/>
        </w:rPr>
      </w:pPr>
      <w:r>
        <w:rPr>
          <w:rFonts w:hint="eastAsia" w:ascii="宋体" w:hAnsi="宋体"/>
          <w:szCs w:val="21"/>
        </w:rPr>
        <w:t>1.4.4与采购人或者其他供应商恶意串通的。</w:t>
      </w:r>
    </w:p>
    <w:p w14:paraId="1168AA54">
      <w:pPr>
        <w:spacing w:line="360" w:lineRule="auto"/>
        <w:ind w:firstLine="420"/>
        <w:rPr>
          <w:rFonts w:ascii="宋体" w:hAnsi="宋体"/>
          <w:szCs w:val="21"/>
        </w:rPr>
      </w:pPr>
      <w:r>
        <w:rPr>
          <w:rFonts w:hint="eastAsia" w:ascii="宋体" w:hAnsi="宋体"/>
          <w:szCs w:val="21"/>
        </w:rPr>
        <w:t>1.4.5采取不正当手段诋毁、排挤其他供应商的。</w:t>
      </w:r>
    </w:p>
    <w:p w14:paraId="528793DD">
      <w:pPr>
        <w:spacing w:line="360" w:lineRule="auto"/>
        <w:ind w:firstLine="420"/>
        <w:rPr>
          <w:rFonts w:ascii="宋体" w:hAnsi="宋体"/>
          <w:szCs w:val="21"/>
        </w:rPr>
      </w:pPr>
      <w:r>
        <w:rPr>
          <w:rFonts w:hint="eastAsia" w:ascii="宋体" w:hAnsi="宋体"/>
          <w:szCs w:val="21"/>
        </w:rPr>
        <w:t>1.5 有下列情形之一的，视为投标人串通投标，投标无效：</w:t>
      </w:r>
    </w:p>
    <w:p w14:paraId="0BFFF47D">
      <w:pPr>
        <w:spacing w:line="360" w:lineRule="auto"/>
        <w:ind w:firstLine="420"/>
        <w:rPr>
          <w:rFonts w:ascii="宋体" w:hAnsi="宋体"/>
          <w:szCs w:val="21"/>
        </w:rPr>
      </w:pPr>
      <w:r>
        <w:rPr>
          <w:rFonts w:hint="eastAsia" w:ascii="宋体" w:hAnsi="宋体"/>
          <w:szCs w:val="21"/>
        </w:rPr>
        <w:t>1.5.1不同投标人的投标文件由同一单位或者个人编制。</w:t>
      </w:r>
    </w:p>
    <w:p w14:paraId="0BFAA0E0">
      <w:pPr>
        <w:spacing w:line="360" w:lineRule="auto"/>
        <w:ind w:firstLine="420"/>
        <w:rPr>
          <w:rFonts w:ascii="宋体" w:hAnsi="宋体"/>
          <w:szCs w:val="21"/>
        </w:rPr>
      </w:pPr>
      <w:r>
        <w:rPr>
          <w:rFonts w:hint="eastAsia" w:ascii="宋体" w:hAnsi="宋体"/>
          <w:szCs w:val="21"/>
        </w:rPr>
        <w:t>1.5.2不同投标人委托同一单位或者个人办理投标事宜。</w:t>
      </w:r>
    </w:p>
    <w:p w14:paraId="0CF5AAF1">
      <w:pPr>
        <w:spacing w:line="360" w:lineRule="auto"/>
        <w:ind w:firstLine="420"/>
        <w:rPr>
          <w:rFonts w:ascii="宋体" w:hAnsi="宋体"/>
          <w:szCs w:val="21"/>
        </w:rPr>
      </w:pPr>
      <w:r>
        <w:rPr>
          <w:rFonts w:hint="eastAsia" w:ascii="宋体" w:hAnsi="宋体"/>
          <w:szCs w:val="21"/>
        </w:rPr>
        <w:t>1.5.3 不同投标人的投标文件载明的项目管理成员或者联系人员为同一人。</w:t>
      </w:r>
    </w:p>
    <w:p w14:paraId="11639E16">
      <w:pPr>
        <w:spacing w:line="360" w:lineRule="auto"/>
        <w:ind w:firstLine="420"/>
        <w:rPr>
          <w:rFonts w:ascii="宋体" w:hAnsi="宋体"/>
          <w:szCs w:val="21"/>
        </w:rPr>
      </w:pPr>
      <w:r>
        <w:rPr>
          <w:rFonts w:hint="eastAsia" w:ascii="宋体" w:hAnsi="宋体"/>
          <w:szCs w:val="21"/>
        </w:rPr>
        <w:t>1.5.4不同投标人的投标文件异常一致或者投标报价呈规律性差异。</w:t>
      </w:r>
    </w:p>
    <w:p w14:paraId="5D678FC6">
      <w:pPr>
        <w:spacing w:line="360" w:lineRule="auto"/>
        <w:ind w:firstLine="420"/>
        <w:rPr>
          <w:rFonts w:ascii="宋体" w:hAnsi="宋体"/>
          <w:b/>
          <w:bCs/>
          <w:szCs w:val="21"/>
        </w:rPr>
      </w:pPr>
      <w:r>
        <w:rPr>
          <w:rFonts w:ascii="宋体" w:hAnsi="宋体"/>
          <w:b/>
          <w:bCs/>
          <w:szCs w:val="21"/>
        </w:rPr>
        <w:t>2.</w:t>
      </w:r>
      <w:r>
        <w:rPr>
          <w:rFonts w:hint="eastAsia" w:ascii="宋体" w:hAnsi="宋体"/>
          <w:b/>
          <w:bCs/>
          <w:szCs w:val="21"/>
        </w:rPr>
        <w:t>中标通知书</w:t>
      </w:r>
    </w:p>
    <w:p w14:paraId="704C4DAF">
      <w:pPr>
        <w:spacing w:line="360" w:lineRule="auto"/>
        <w:ind w:firstLine="420"/>
        <w:rPr>
          <w:rFonts w:ascii="宋体" w:hAnsi="宋体"/>
          <w:szCs w:val="21"/>
        </w:rPr>
      </w:pPr>
      <w:r>
        <w:rPr>
          <w:rFonts w:ascii="宋体" w:hAnsi="宋体"/>
          <w:szCs w:val="21"/>
        </w:rPr>
        <w:t>2.1</w:t>
      </w:r>
      <w:r>
        <w:rPr>
          <w:rFonts w:hint="eastAsia" w:ascii="宋体" w:hAnsi="宋体"/>
          <w:szCs w:val="21"/>
        </w:rPr>
        <w:t>采购代理机构按照法定流程发布中标公告，及时向中标人发送中标通知书。</w:t>
      </w:r>
    </w:p>
    <w:p w14:paraId="056A2E8E">
      <w:pPr>
        <w:spacing w:line="360" w:lineRule="auto"/>
        <w:ind w:firstLine="420"/>
        <w:rPr>
          <w:rFonts w:ascii="宋体" w:hAnsi="宋体"/>
          <w:szCs w:val="21"/>
        </w:rPr>
      </w:pPr>
      <w:r>
        <w:rPr>
          <w:rFonts w:hint="eastAsia" w:ascii="宋体" w:hAnsi="宋体"/>
          <w:szCs w:val="21"/>
        </w:rPr>
        <w:t>2.</w:t>
      </w:r>
      <w:r>
        <w:rPr>
          <w:rFonts w:ascii="宋体" w:hAnsi="宋体"/>
          <w:szCs w:val="21"/>
        </w:rPr>
        <w:t>2</w:t>
      </w:r>
      <w:r>
        <w:rPr>
          <w:rFonts w:hint="eastAsia" w:ascii="宋体" w:hAnsi="宋体"/>
          <w:szCs w:val="21"/>
        </w:rPr>
        <w:t>采购人与中标人应当在中标通知书发出之日起三十日内，按照招标文件及投标文件确定的事项签订政府采购合同。</w:t>
      </w:r>
    </w:p>
    <w:p w14:paraId="6ED4892C">
      <w:pPr>
        <w:spacing w:line="360" w:lineRule="auto"/>
        <w:ind w:firstLine="420"/>
        <w:rPr>
          <w:rFonts w:ascii="宋体" w:hAnsi="宋体"/>
          <w:szCs w:val="21"/>
        </w:rPr>
      </w:pPr>
      <w:r>
        <w:rPr>
          <w:rFonts w:hint="eastAsia" w:ascii="宋体" w:hAnsi="宋体"/>
          <w:szCs w:val="21"/>
        </w:rPr>
        <w:t>2.3中标通知书将是合同的一个组成部分，中标通知书对采购人和中标人均具有法律效力，中标通知书发出后，采购人改变中标结果的，或者中标人放弃中标项目的，应当依法承担法律责任。</w:t>
      </w:r>
    </w:p>
    <w:p w14:paraId="40A8218E">
      <w:pPr>
        <w:spacing w:line="360" w:lineRule="auto"/>
        <w:ind w:firstLine="420"/>
        <w:rPr>
          <w:rFonts w:ascii="宋体" w:hAnsi="宋体"/>
          <w:b/>
          <w:bCs/>
          <w:szCs w:val="21"/>
        </w:rPr>
      </w:pPr>
      <w:r>
        <w:rPr>
          <w:rFonts w:ascii="宋体" w:hAnsi="宋体"/>
          <w:b/>
          <w:bCs/>
          <w:szCs w:val="21"/>
        </w:rPr>
        <w:t>3.</w:t>
      </w:r>
      <w:r>
        <w:rPr>
          <w:rFonts w:hint="eastAsia" w:ascii="宋体" w:hAnsi="宋体"/>
          <w:b/>
          <w:bCs/>
          <w:szCs w:val="21"/>
        </w:rPr>
        <w:t>合同的签订</w:t>
      </w:r>
    </w:p>
    <w:p w14:paraId="7A975AB1">
      <w:pPr>
        <w:spacing w:line="360" w:lineRule="auto"/>
        <w:ind w:firstLine="420"/>
        <w:rPr>
          <w:rFonts w:ascii="宋体" w:hAnsi="宋体"/>
          <w:szCs w:val="21"/>
        </w:rPr>
      </w:pPr>
      <w:r>
        <w:rPr>
          <w:rFonts w:ascii="宋体" w:hAnsi="宋体"/>
          <w:szCs w:val="21"/>
        </w:rPr>
        <w:t>3.1</w:t>
      </w:r>
      <w:r>
        <w:rPr>
          <w:rFonts w:hint="eastAsia" w:ascii="宋体" w:hAnsi="宋体"/>
          <w:szCs w:val="21"/>
        </w:rPr>
        <w:t xml:space="preserve"> 中标人应按中标通知书中规定的期限，与采购人签订合同。</w:t>
      </w:r>
    </w:p>
    <w:p w14:paraId="5AA5659B">
      <w:pPr>
        <w:spacing w:line="360" w:lineRule="auto"/>
        <w:ind w:firstLine="420"/>
        <w:rPr>
          <w:rFonts w:ascii="宋体" w:hAnsi="宋体"/>
          <w:szCs w:val="21"/>
        </w:rPr>
      </w:pPr>
      <w:r>
        <w:rPr>
          <w:rFonts w:ascii="宋体" w:hAnsi="宋体"/>
          <w:szCs w:val="21"/>
        </w:rPr>
        <w:t>3.2</w:t>
      </w:r>
      <w:r>
        <w:rPr>
          <w:rFonts w:hint="eastAsia" w:ascii="宋体" w:hAnsi="宋体"/>
          <w:szCs w:val="21"/>
        </w:rPr>
        <w:t>签订合同及合同条款应以招标文件和中标人的投标文件为依据，所签订的合同不得对招标文件和中标人的投标文件作实质性修改。</w:t>
      </w:r>
    </w:p>
    <w:p w14:paraId="62747028">
      <w:pPr>
        <w:spacing w:line="360" w:lineRule="auto"/>
        <w:ind w:firstLine="420"/>
        <w:rPr>
          <w:rFonts w:ascii="宋体" w:hAnsi="宋体"/>
          <w:szCs w:val="21"/>
        </w:rPr>
      </w:pPr>
      <w:r>
        <w:rPr>
          <w:rFonts w:ascii="宋体" w:hAnsi="宋体"/>
          <w:szCs w:val="21"/>
        </w:rPr>
        <w:t>3.3</w:t>
      </w:r>
      <w:r>
        <w:rPr>
          <w:rFonts w:hint="eastAsia" w:ascii="宋体" w:hAnsi="宋体"/>
          <w:szCs w:val="21"/>
        </w:rPr>
        <w:t>采购人不得向中标人提出任何不合理的要求作为签订合同的条件，不得与中标人私下订立背离合同实质性内容的协议。</w:t>
      </w:r>
    </w:p>
    <w:p w14:paraId="775EE45F">
      <w:pPr>
        <w:spacing w:line="360" w:lineRule="auto"/>
        <w:ind w:firstLine="420"/>
        <w:rPr>
          <w:rFonts w:ascii="宋体" w:hAnsi="宋体"/>
          <w:szCs w:val="21"/>
        </w:rPr>
      </w:pPr>
      <w:r>
        <w:rPr>
          <w:rFonts w:ascii="宋体" w:hAnsi="宋体"/>
          <w:szCs w:val="21"/>
        </w:rPr>
        <w:t>3.4</w:t>
      </w:r>
      <w:r>
        <w:rPr>
          <w:rFonts w:hint="eastAsia" w:ascii="宋体" w:hAnsi="宋体"/>
          <w:szCs w:val="21"/>
        </w:rPr>
        <w:t>政府采购合同履行中，采购人需追加与合同标的相同货物、工程或者服务的，在不改变合同其他条款的前提下，可以与供应商协商签订补充合同，但所有补充合同的采购金额不得超过原合同采购金额的百分之十。</w:t>
      </w:r>
    </w:p>
    <w:p w14:paraId="2F6247C8">
      <w:pPr>
        <w:spacing w:line="360" w:lineRule="auto"/>
        <w:ind w:firstLine="420"/>
        <w:rPr>
          <w:rFonts w:ascii="宋体" w:hAnsi="宋体"/>
          <w:szCs w:val="21"/>
        </w:rPr>
      </w:pPr>
      <w:r>
        <w:rPr>
          <w:rFonts w:hint="eastAsia" w:ascii="宋体" w:hAnsi="宋体"/>
          <w:b/>
          <w:bCs/>
          <w:szCs w:val="21"/>
        </w:rPr>
        <w:t>4.履约保证金</w:t>
      </w:r>
    </w:p>
    <w:p w14:paraId="1D4D6FEF">
      <w:pPr>
        <w:spacing w:line="360" w:lineRule="auto"/>
        <w:ind w:firstLine="420"/>
        <w:rPr>
          <w:rFonts w:ascii="宋体" w:hAnsi="宋体"/>
          <w:szCs w:val="21"/>
        </w:rPr>
      </w:pPr>
      <w:r>
        <w:rPr>
          <w:rFonts w:hint="eastAsia" w:ascii="宋体" w:hAnsi="宋体"/>
          <w:szCs w:val="21"/>
        </w:rPr>
        <w:t>4.1中标的投标单位应按《投标邀请函》中的规定提交履约保证金。</w:t>
      </w:r>
    </w:p>
    <w:p w14:paraId="6DB1E709">
      <w:pPr>
        <w:spacing w:line="360" w:lineRule="auto"/>
        <w:ind w:firstLine="420"/>
        <w:rPr>
          <w:rFonts w:ascii="宋体" w:hAnsi="宋体"/>
          <w:szCs w:val="21"/>
        </w:rPr>
      </w:pPr>
      <w:r>
        <w:rPr>
          <w:rFonts w:hint="eastAsia" w:ascii="宋体" w:hAnsi="宋体"/>
          <w:szCs w:val="21"/>
        </w:rPr>
        <w:t>4.2中标的投标单位必须在合同备案前按《投标邀请函》中的规定将履约保证金交至指定账户，未缴纳履约保证金不得备案。</w:t>
      </w:r>
    </w:p>
    <w:p w14:paraId="25D5A3BA">
      <w:pPr>
        <w:spacing w:line="360" w:lineRule="auto"/>
        <w:ind w:firstLine="420"/>
        <w:rPr>
          <w:rFonts w:ascii="宋体" w:hAnsi="宋体"/>
          <w:szCs w:val="21"/>
        </w:rPr>
      </w:pPr>
      <w:r>
        <w:rPr>
          <w:rFonts w:hint="eastAsia" w:ascii="宋体" w:hAnsi="宋体"/>
          <w:szCs w:val="21"/>
        </w:rPr>
        <w:t>4.3履约保证金（无息）将在乙方履行完合同并经验收合格后，凭乙方的收款收据在五个工作日内退返乙方。</w:t>
      </w:r>
    </w:p>
    <w:p w14:paraId="670DD0A1">
      <w:pPr>
        <w:spacing w:line="360" w:lineRule="auto"/>
        <w:ind w:firstLine="420"/>
        <w:rPr>
          <w:rFonts w:ascii="宋体" w:hAnsi="宋体"/>
          <w:b/>
          <w:szCs w:val="21"/>
        </w:rPr>
      </w:pPr>
      <w:r>
        <w:rPr>
          <w:rFonts w:hint="eastAsia" w:ascii="宋体" w:hAnsi="宋体"/>
          <w:b/>
          <w:szCs w:val="21"/>
        </w:rPr>
        <w:t>九、代理服务费</w:t>
      </w:r>
    </w:p>
    <w:p w14:paraId="769B6698">
      <w:pPr>
        <w:spacing w:line="360" w:lineRule="auto"/>
        <w:ind w:firstLine="420"/>
        <w:rPr>
          <w:rFonts w:ascii="宋体" w:hAnsi="宋体"/>
          <w:szCs w:val="21"/>
        </w:rPr>
      </w:pPr>
      <w:r>
        <w:rPr>
          <w:rFonts w:ascii="宋体" w:hAnsi="宋体"/>
          <w:szCs w:val="21"/>
        </w:rPr>
        <w:t>1.</w:t>
      </w:r>
      <w:r>
        <w:rPr>
          <w:rFonts w:hint="eastAsia" w:ascii="宋体" w:hAnsi="宋体"/>
          <w:szCs w:val="21"/>
        </w:rPr>
        <w:t>代理服务费由中标单位支付，以预算金额为基数按差额累计法收费</w:t>
      </w:r>
      <w:r>
        <w:rPr>
          <w:rFonts w:ascii="宋体" w:hAnsi="宋体"/>
          <w:szCs w:val="21"/>
        </w:rPr>
        <w:t>（</w:t>
      </w:r>
      <w:r>
        <w:rPr>
          <w:rFonts w:hint="eastAsia" w:ascii="宋体" w:hAnsi="宋体"/>
          <w:szCs w:val="21"/>
        </w:rPr>
        <w:t>预算</w:t>
      </w:r>
      <w:r>
        <w:rPr>
          <w:rFonts w:ascii="宋体" w:hAnsi="宋体"/>
          <w:szCs w:val="21"/>
        </w:rPr>
        <w:t>金额100</w:t>
      </w:r>
      <w:r>
        <w:rPr>
          <w:rFonts w:hint="eastAsia" w:ascii="宋体" w:hAnsi="宋体"/>
          <w:szCs w:val="21"/>
        </w:rPr>
        <w:t>（含）</w:t>
      </w:r>
      <w:r>
        <w:rPr>
          <w:rFonts w:ascii="宋体" w:hAnsi="宋体"/>
          <w:szCs w:val="21"/>
        </w:rPr>
        <w:t>万元以下，收取1.5%；100-500</w:t>
      </w:r>
      <w:r>
        <w:rPr>
          <w:rFonts w:hint="eastAsia" w:ascii="宋体" w:hAnsi="宋体"/>
          <w:szCs w:val="21"/>
        </w:rPr>
        <w:t>（含）</w:t>
      </w:r>
      <w:r>
        <w:rPr>
          <w:rFonts w:ascii="宋体" w:hAnsi="宋体"/>
          <w:szCs w:val="21"/>
        </w:rPr>
        <w:t>万元，收取</w:t>
      </w:r>
      <w:r>
        <w:rPr>
          <w:rFonts w:hint="eastAsia" w:ascii="宋体" w:hAnsi="宋体"/>
          <w:szCs w:val="21"/>
        </w:rPr>
        <w:t>1.1</w:t>
      </w:r>
      <w:r>
        <w:rPr>
          <w:rFonts w:ascii="宋体" w:hAnsi="宋体"/>
          <w:szCs w:val="21"/>
        </w:rPr>
        <w:t>%；500-1000</w:t>
      </w:r>
      <w:r>
        <w:rPr>
          <w:rFonts w:hint="eastAsia" w:ascii="宋体" w:hAnsi="宋体"/>
          <w:szCs w:val="21"/>
        </w:rPr>
        <w:t>（含）</w:t>
      </w:r>
      <w:r>
        <w:rPr>
          <w:rFonts w:ascii="宋体" w:hAnsi="宋体"/>
          <w:szCs w:val="21"/>
        </w:rPr>
        <w:t>万元，收取</w:t>
      </w:r>
      <w:r>
        <w:rPr>
          <w:rFonts w:hint="eastAsia" w:ascii="宋体" w:hAnsi="宋体"/>
          <w:szCs w:val="21"/>
        </w:rPr>
        <w:t>0.8</w:t>
      </w:r>
      <w:r>
        <w:rPr>
          <w:rFonts w:ascii="宋体" w:hAnsi="宋体"/>
          <w:szCs w:val="21"/>
        </w:rPr>
        <w:t>%；</w:t>
      </w:r>
      <w:r>
        <w:rPr>
          <w:rFonts w:hint="eastAsia" w:ascii="宋体" w:hAnsi="宋体"/>
          <w:szCs w:val="21"/>
        </w:rPr>
        <w:t>1000万元-5000（含）万元，收取0.5%，5000万元以上部分，收取0.25%</w:t>
      </w:r>
      <w:r>
        <w:rPr>
          <w:rFonts w:ascii="宋体" w:hAnsi="宋体"/>
          <w:szCs w:val="21"/>
        </w:rPr>
        <w:t>）</w:t>
      </w:r>
      <w:r>
        <w:rPr>
          <w:rFonts w:hint="eastAsia" w:ascii="宋体" w:hAnsi="宋体"/>
          <w:szCs w:val="21"/>
        </w:rPr>
        <w:t>，最低3</w:t>
      </w:r>
      <w:r>
        <w:rPr>
          <w:rFonts w:ascii="宋体" w:hAnsi="宋体"/>
          <w:szCs w:val="21"/>
        </w:rPr>
        <w:t>000</w:t>
      </w:r>
      <w:r>
        <w:rPr>
          <w:rFonts w:hint="eastAsia" w:ascii="宋体" w:hAnsi="宋体"/>
          <w:szCs w:val="21"/>
        </w:rPr>
        <w:t>元整。该费用应在领取中标通知书时付清。请投标单位在投标时充分考虑这一因素。（</w:t>
      </w:r>
      <w:r>
        <w:rPr>
          <w:rFonts w:hint="eastAsia" w:ascii="宋体" w:hAnsi="宋体" w:cs="宋体"/>
          <w:szCs w:val="21"/>
        </w:rPr>
        <w:t>账户名-江苏省鼎诚建设工程顾问有限公司昆山分公司，开户行-中国民生银行股份有限公司昆山玉山支行，账号-</w:t>
      </w:r>
      <w:r>
        <w:rPr>
          <w:rFonts w:ascii="宋体" w:hAnsi="宋体" w:cs="宋体"/>
          <w:szCs w:val="21"/>
        </w:rPr>
        <w:t>160607874</w:t>
      </w:r>
      <w:r>
        <w:rPr>
          <w:rFonts w:hint="eastAsia" w:ascii="宋体" w:hAnsi="宋体"/>
          <w:szCs w:val="21"/>
        </w:rPr>
        <w:t>）。</w:t>
      </w:r>
    </w:p>
    <w:p w14:paraId="2AC4F3C5">
      <w:pPr>
        <w:spacing w:line="360" w:lineRule="auto"/>
        <w:ind w:firstLine="420"/>
        <w:rPr>
          <w:rFonts w:ascii="宋体" w:hAnsi="宋体"/>
          <w:szCs w:val="21"/>
        </w:rPr>
      </w:pPr>
      <w:r>
        <w:rPr>
          <w:rFonts w:ascii="宋体" w:hAnsi="宋体"/>
          <w:szCs w:val="21"/>
        </w:rPr>
        <w:t>2.中标单位如果未按规定缴纳</w:t>
      </w:r>
      <w:r>
        <w:rPr>
          <w:rFonts w:hint="eastAsia" w:ascii="宋体" w:hAnsi="宋体"/>
          <w:szCs w:val="21"/>
        </w:rPr>
        <w:t>代理服务费</w:t>
      </w:r>
      <w:r>
        <w:rPr>
          <w:rFonts w:ascii="宋体" w:hAnsi="宋体"/>
          <w:szCs w:val="21"/>
        </w:rPr>
        <w:t>，</w:t>
      </w:r>
      <w:r>
        <w:rPr>
          <w:rFonts w:hint="eastAsia" w:ascii="宋体" w:hAnsi="宋体"/>
          <w:szCs w:val="21"/>
        </w:rPr>
        <w:t>代理机构</w:t>
      </w:r>
      <w:r>
        <w:rPr>
          <w:rFonts w:ascii="宋体" w:hAnsi="宋体"/>
          <w:szCs w:val="21"/>
        </w:rPr>
        <w:t>将</w:t>
      </w:r>
      <w:r>
        <w:rPr>
          <w:rFonts w:hint="eastAsia" w:ascii="宋体" w:hAnsi="宋体"/>
          <w:szCs w:val="21"/>
        </w:rPr>
        <w:t>按投标函规定执行</w:t>
      </w:r>
      <w:r>
        <w:rPr>
          <w:rFonts w:ascii="宋体" w:hAnsi="宋体"/>
          <w:szCs w:val="21"/>
        </w:rPr>
        <w:t>，并保留诉讼的权利。</w:t>
      </w:r>
    </w:p>
    <w:p w14:paraId="4C0E91C5">
      <w:pPr>
        <w:spacing w:line="360" w:lineRule="auto"/>
        <w:ind w:firstLine="420"/>
        <w:rPr>
          <w:rFonts w:ascii="宋体" w:hAnsi="宋体"/>
          <w:b/>
          <w:szCs w:val="21"/>
        </w:rPr>
      </w:pPr>
      <w:r>
        <w:rPr>
          <w:rFonts w:hint="eastAsia" w:ascii="宋体" w:hAnsi="宋体"/>
          <w:b/>
          <w:szCs w:val="21"/>
        </w:rPr>
        <w:t>十、其他事项</w:t>
      </w:r>
    </w:p>
    <w:p w14:paraId="6F7622B2">
      <w:pPr>
        <w:spacing w:line="360" w:lineRule="auto"/>
        <w:ind w:firstLine="420"/>
        <w:rPr>
          <w:rFonts w:ascii="宋体" w:hAnsi="宋体"/>
          <w:szCs w:val="21"/>
        </w:rPr>
      </w:pPr>
      <w:r>
        <w:rPr>
          <w:rFonts w:hint="eastAsia" w:ascii="宋体" w:hAnsi="宋体"/>
          <w:szCs w:val="21"/>
        </w:rPr>
        <w:t>1.监督</w:t>
      </w:r>
    </w:p>
    <w:p w14:paraId="3B17683D">
      <w:pPr>
        <w:spacing w:line="360" w:lineRule="auto"/>
        <w:ind w:firstLine="420"/>
        <w:rPr>
          <w:rFonts w:ascii="宋体" w:hAnsi="宋体" w:cs="Arial"/>
          <w:szCs w:val="21"/>
        </w:rPr>
      </w:pPr>
      <w:r>
        <w:rPr>
          <w:rFonts w:hint="eastAsia" w:ascii="宋体" w:hAnsi="宋体" w:cs="Arial"/>
          <w:szCs w:val="21"/>
        </w:rPr>
        <w:t>政府</w:t>
      </w:r>
      <w:r>
        <w:rPr>
          <w:rFonts w:ascii="宋体" w:hAnsi="宋体" w:cs="Arial"/>
          <w:szCs w:val="21"/>
        </w:rPr>
        <w:t>有关监督部门将对招投标全过程进行监督。</w:t>
      </w:r>
    </w:p>
    <w:p w14:paraId="58E1E973">
      <w:pPr>
        <w:spacing w:line="360" w:lineRule="auto"/>
        <w:ind w:firstLine="420"/>
        <w:rPr>
          <w:rFonts w:ascii="宋体" w:hAnsi="宋体"/>
          <w:szCs w:val="21"/>
        </w:rPr>
      </w:pPr>
      <w:r>
        <w:rPr>
          <w:rFonts w:hint="eastAsia" w:ascii="宋体" w:hAnsi="宋体"/>
          <w:szCs w:val="21"/>
        </w:rPr>
        <w:t>2.未尽事宜</w:t>
      </w:r>
    </w:p>
    <w:p w14:paraId="5D293C4A">
      <w:pPr>
        <w:spacing w:line="360" w:lineRule="auto"/>
        <w:ind w:left="420"/>
        <w:rPr>
          <w:rFonts w:ascii="宋体" w:hAnsi="宋体"/>
          <w:szCs w:val="21"/>
        </w:rPr>
      </w:pPr>
      <w:r>
        <w:rPr>
          <w:rFonts w:hint="eastAsia" w:ascii="宋体" w:hAnsi="宋体"/>
          <w:szCs w:val="21"/>
        </w:rPr>
        <w:t>2.1</w:t>
      </w:r>
      <w:r>
        <w:rPr>
          <w:rFonts w:ascii="宋体" w:hAnsi="宋体"/>
          <w:szCs w:val="21"/>
        </w:rPr>
        <w:t>未尽事宜应按《中华人民共和国政府采购法》</w:t>
      </w:r>
      <w:r>
        <w:rPr>
          <w:rFonts w:hint="eastAsia" w:ascii="宋体" w:hAnsi="宋体"/>
          <w:szCs w:val="21"/>
        </w:rPr>
        <w:t>、</w:t>
      </w:r>
      <w:r>
        <w:rPr>
          <w:rFonts w:ascii="宋体" w:hAnsi="宋体"/>
          <w:szCs w:val="21"/>
        </w:rPr>
        <w:t>《中华人民共和国</w:t>
      </w:r>
      <w:r>
        <w:rPr>
          <w:rFonts w:hint="eastAsia" w:ascii="宋体" w:hAnsi="宋体"/>
          <w:szCs w:val="21"/>
        </w:rPr>
        <w:t>民法典</w:t>
      </w:r>
      <w:r>
        <w:rPr>
          <w:rFonts w:ascii="宋体" w:hAnsi="宋体"/>
          <w:szCs w:val="21"/>
        </w:rPr>
        <w:t>》之规定解释。</w:t>
      </w:r>
    </w:p>
    <w:p w14:paraId="4D208FAD">
      <w:pPr>
        <w:spacing w:line="360" w:lineRule="auto"/>
        <w:ind w:left="420"/>
        <w:rPr>
          <w:rFonts w:ascii="宋体" w:hAnsi="宋体"/>
          <w:szCs w:val="21"/>
        </w:rPr>
      </w:pPr>
      <w:r>
        <w:rPr>
          <w:rFonts w:hint="eastAsia" w:ascii="宋体" w:hAnsi="宋体"/>
          <w:szCs w:val="21"/>
        </w:rPr>
        <w:t>2.2.中标后中标单位需提供纸质投标文件一正两副，用于项目归档使用。</w:t>
      </w:r>
    </w:p>
    <w:p w14:paraId="751F4ECB">
      <w:pPr>
        <w:ind w:firstLine="420"/>
        <w:rPr>
          <w:rFonts w:ascii="黑体" w:hAnsi="宋体"/>
          <w:sz w:val="30"/>
          <w:szCs w:val="30"/>
        </w:rPr>
      </w:pPr>
      <w:r>
        <w:rPr>
          <w:rFonts w:hint="eastAsia" w:ascii="宋体" w:hAnsi="宋体"/>
          <w:b/>
          <w:szCs w:val="21"/>
        </w:rPr>
        <w:t>十一、政府采购履约资金扶持政策</w:t>
      </w:r>
    </w:p>
    <w:p w14:paraId="52EA6334">
      <w:pPr>
        <w:spacing w:line="360" w:lineRule="auto"/>
        <w:ind w:left="420"/>
        <w:rPr>
          <w:rFonts w:ascii="宋体" w:hAnsi="宋体"/>
          <w:szCs w:val="21"/>
        </w:rPr>
      </w:pPr>
      <w:r>
        <w:rPr>
          <w:rFonts w:hint="eastAsia" w:ascii="宋体" w:hAnsi="宋体"/>
          <w:bCs/>
          <w:szCs w:val="21"/>
        </w:rPr>
        <w:t>中标人可凭政府采购合同办理融资贷款，详情请见江苏政府采购网“政采贷”专栏。</w:t>
      </w:r>
    </w:p>
    <w:p w14:paraId="6A94FB67">
      <w:pPr>
        <w:pStyle w:val="5"/>
        <w:spacing w:line="360" w:lineRule="auto"/>
        <w:jc w:val="center"/>
      </w:pPr>
      <w:bookmarkStart w:id="16" w:name="_Toc477186798"/>
      <w:bookmarkStart w:id="17" w:name="_Toc477186551"/>
      <w:bookmarkStart w:id="18" w:name="_Toc8652803"/>
      <w:bookmarkStart w:id="19" w:name="_Toc8652599"/>
      <w:r>
        <w:rPr>
          <w:rFonts w:hint="eastAsia"/>
        </w:rPr>
        <w:br w:type="page" w:clear="all"/>
      </w:r>
      <w:bookmarkStart w:id="20" w:name="_Toc9798"/>
      <w:r>
        <w:rPr>
          <w:rFonts w:hint="eastAsia"/>
        </w:rPr>
        <w:t>第三章 投标文件格式</w:t>
      </w:r>
      <w:bookmarkEnd w:id="16"/>
      <w:bookmarkEnd w:id="17"/>
      <w:bookmarkEnd w:id="18"/>
      <w:bookmarkEnd w:id="19"/>
      <w:bookmarkEnd w:id="20"/>
      <w:bookmarkStart w:id="21" w:name="gpcItem_SubmitDocStruct"/>
      <w:r>
        <w:rPr>
          <w:rFonts w:hint="eastAsia"/>
        </w:rPr>
        <w:t xml:space="preserve"> </w:t>
      </w:r>
      <w:r>
        <w:t xml:space="preserve"> </w:t>
      </w:r>
      <w:bookmarkEnd w:id="21"/>
    </w:p>
    <w:p w14:paraId="7B5CEB9A">
      <w:pPr>
        <w:pStyle w:val="7"/>
        <w:spacing w:line="360" w:lineRule="auto"/>
        <w:ind w:firstLine="633"/>
        <w:rPr>
          <w:rFonts w:ascii="宋体" w:hAnsi="宋体" w:eastAsia="宋体"/>
          <w:b/>
          <w:sz w:val="32"/>
          <w:szCs w:val="32"/>
        </w:rPr>
      </w:pPr>
    </w:p>
    <w:p w14:paraId="44D6D8A5">
      <w:pPr>
        <w:pStyle w:val="7"/>
        <w:spacing w:line="360" w:lineRule="auto"/>
        <w:ind w:firstLine="0"/>
        <w:rPr>
          <w:rFonts w:ascii="宋体" w:hAnsi="宋体" w:eastAsia="宋体"/>
          <w:b/>
          <w:sz w:val="21"/>
          <w:szCs w:val="21"/>
        </w:rPr>
      </w:pPr>
      <w:r>
        <w:rPr>
          <w:rFonts w:hint="eastAsia" w:ascii="宋体" w:hAnsi="宋体" w:eastAsia="宋体"/>
          <w:b/>
          <w:sz w:val="21"/>
          <w:szCs w:val="21"/>
        </w:rPr>
        <w:t>说明：对本章所有的投标书格式</w:t>
      </w:r>
      <w:r>
        <w:rPr>
          <w:rFonts w:ascii="宋体" w:hAnsi="宋体" w:eastAsia="宋体"/>
          <w:b/>
          <w:sz w:val="21"/>
          <w:szCs w:val="21"/>
        </w:rPr>
        <w:t xml:space="preserve"> ，投标方可根据自身情况进行补充和修改，但补充和修改不得造成与本格式内容有实质性的违背。</w:t>
      </w:r>
    </w:p>
    <w:p w14:paraId="5F6E7A5A">
      <w:pPr>
        <w:widowControl/>
        <w:jc w:val="left"/>
      </w:pPr>
      <w:r>
        <w:rPr/>
        <w:br w:type="page" w:clear="all"/>
      </w:r>
    </w:p>
    <w:p w14:paraId="01C9343A"/>
    <w:p w14:paraId="6057721D">
      <w:pPr>
        <w:pStyle w:val="6"/>
        <w:rPr>
          <w:rFonts w:ascii="宋体" w:hAnsi="宋体" w:eastAsia="宋体" w:cs="宋体"/>
        </w:rPr>
      </w:pPr>
      <w:bookmarkStart w:id="22" w:name="_Ref83808854"/>
      <w:bookmarkStart w:id="23" w:name="_Ref26464"/>
      <w:r>
        <w:rPr>
          <w:rFonts w:hint="eastAsia" w:ascii="宋体" w:hAnsi="宋体" w:eastAsia="宋体" w:cs="宋体"/>
        </w:rPr>
        <w:t>一、投标文件的声明函</w:t>
      </w:r>
      <w:bookmarkEnd w:id="22"/>
      <w:bookmarkEnd w:id="23"/>
    </w:p>
    <w:p w14:paraId="40BDE410">
      <w:pPr>
        <w:spacing w:line="360" w:lineRule="auto"/>
        <w:jc w:val="center"/>
        <w:rPr>
          <w:rFonts w:ascii="宋体" w:hAnsi="宋体"/>
          <w:szCs w:val="21"/>
        </w:rPr>
      </w:pPr>
      <w:r>
        <w:rPr>
          <w:rFonts w:hint="eastAsia" w:ascii="宋体" w:hAnsi="宋体"/>
          <w:szCs w:val="21"/>
        </w:rPr>
        <w:t>投标文件的声明函</w:t>
      </w:r>
    </w:p>
    <w:p w14:paraId="7ACA9319">
      <w:pPr>
        <w:spacing w:line="360" w:lineRule="auto"/>
        <w:ind w:firstLine="420"/>
        <w:jc w:val="left"/>
        <w:rPr>
          <w:rFonts w:ascii="宋体" w:hAnsi="宋体"/>
          <w:szCs w:val="21"/>
        </w:rPr>
      </w:pPr>
    </w:p>
    <w:p w14:paraId="46FFFF4B">
      <w:pPr>
        <w:spacing w:line="360" w:lineRule="auto"/>
        <w:jc w:val="left"/>
        <w:rPr>
          <w:rFonts w:ascii="宋体" w:hAnsi="宋体"/>
          <w:szCs w:val="21"/>
        </w:rPr>
      </w:pPr>
      <w:r>
        <w:rPr>
          <w:rFonts w:hint="eastAsia" w:ascii="宋体" w:hAnsi="宋体"/>
          <w:szCs w:val="21"/>
          <w:u w:val="single"/>
        </w:rPr>
        <w:t>江苏省鼎诚建设工程顾问有限公司</w:t>
      </w:r>
      <w:r>
        <w:rPr>
          <w:rFonts w:hint="eastAsia" w:ascii="宋体" w:hAnsi="宋体"/>
          <w:szCs w:val="21"/>
        </w:rPr>
        <w:t>：</w:t>
      </w:r>
    </w:p>
    <w:p w14:paraId="39C85B97">
      <w:pPr>
        <w:spacing w:line="360" w:lineRule="auto"/>
        <w:ind w:firstLine="420"/>
        <w:jc w:val="left"/>
        <w:rPr>
          <w:rFonts w:ascii="宋体" w:hAnsi="宋体"/>
          <w:szCs w:val="21"/>
        </w:rPr>
      </w:pPr>
      <w:r>
        <w:rPr>
          <w:rFonts w:hint="eastAsia" w:ascii="宋体" w:hAnsi="宋体"/>
          <w:szCs w:val="21"/>
        </w:rPr>
        <w:t xml:space="preserve"> 本公司愿就由贵公司组织实施的编号为</w:t>
      </w:r>
      <w:r>
        <w:rPr>
          <w:rFonts w:hint="eastAsia" w:ascii="宋体" w:hAnsi="宋体"/>
          <w:szCs w:val="21"/>
          <w:u w:val="single"/>
        </w:rPr>
        <w:t xml:space="preserve">  JSZC-320583-YZDC-G2026-0017</w:t>
      </w:r>
      <w:r>
        <w:rPr>
          <w:rFonts w:hint="eastAsia" w:ascii="宋体" w:hAnsi="宋体"/>
          <w:szCs w:val="21"/>
        </w:rPr>
        <w:t>号的招标活动进行投标。本公司所提交的投标资料均是真实的、准确的。若与真实情况不符，本公司愿意承担由此而产生的一切后果。</w:t>
      </w:r>
    </w:p>
    <w:p w14:paraId="3996850B">
      <w:pPr>
        <w:pStyle w:val="7"/>
        <w:rPr>
          <w:rFonts w:ascii="宋体" w:hAnsi="宋体" w:eastAsia="宋体"/>
          <w:sz w:val="21"/>
          <w:szCs w:val="21"/>
        </w:rPr>
      </w:pPr>
    </w:p>
    <w:p w14:paraId="1E553654">
      <w:pPr>
        <w:pStyle w:val="7"/>
        <w:tabs>
          <w:tab w:val="left" w:pos="2940"/>
        </w:tabs>
        <w:rPr>
          <w:rFonts w:ascii="宋体" w:hAnsi="宋体" w:eastAsia="宋体"/>
          <w:sz w:val="21"/>
          <w:szCs w:val="21"/>
        </w:rPr>
      </w:pPr>
      <w:r>
        <w:rPr>
          <w:rFonts w:ascii="宋体" w:hAnsi="宋体" w:eastAsia="宋体"/>
          <w:sz w:val="21"/>
          <w:szCs w:val="21"/>
        </w:rPr>
        <w:tab/>
      </w:r>
      <w:r>
        <w:rPr>
          <w:rFonts w:hint="eastAsia" w:ascii="宋体" w:hAnsi="宋体" w:eastAsia="宋体"/>
          <w:sz w:val="21"/>
          <w:szCs w:val="21"/>
        </w:rPr>
        <w:t xml:space="preserve">                               投标单位（单位盖章）：</w:t>
      </w:r>
    </w:p>
    <w:p w14:paraId="4ED61E19">
      <w:pPr>
        <w:pStyle w:val="7"/>
        <w:rPr>
          <w:rFonts w:ascii="宋体" w:hAnsi="宋体" w:eastAsia="宋体"/>
          <w:sz w:val="21"/>
          <w:szCs w:val="21"/>
        </w:rPr>
      </w:pPr>
      <w:r>
        <w:rPr>
          <w:rFonts w:ascii="宋体" w:hAnsi="宋体" w:eastAsia="宋体"/>
          <w:sz w:val="21"/>
          <w:szCs w:val="21"/>
        </w:rPr>
        <w:t xml:space="preserve"> </w:t>
      </w:r>
      <w:r>
        <w:rPr>
          <w:rFonts w:ascii="宋体" w:hAnsi="宋体" w:eastAsia="宋体"/>
          <w:sz w:val="21"/>
          <w:szCs w:val="21"/>
        </w:rPr>
        <w:tab/>
      </w:r>
      <w:r>
        <w:rPr>
          <w:rFonts w:ascii="宋体" w:hAnsi="宋体" w:eastAsia="宋体"/>
          <w:sz w:val="21"/>
          <w:szCs w:val="21"/>
        </w:rPr>
        <w:tab/>
      </w:r>
      <w:r>
        <w:rPr>
          <w:rFonts w:ascii="宋体" w:hAnsi="宋体" w:eastAsia="宋体"/>
          <w:sz w:val="21"/>
          <w:szCs w:val="21"/>
        </w:rPr>
        <w:tab/>
      </w:r>
      <w:r>
        <w:rPr>
          <w:rFonts w:ascii="宋体" w:hAnsi="宋体" w:eastAsia="宋体"/>
          <w:sz w:val="21"/>
          <w:szCs w:val="21"/>
        </w:rPr>
        <w:tab/>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法定代表人或被授权人签字：</w:t>
      </w:r>
    </w:p>
    <w:p w14:paraId="271BA03A">
      <w:pPr>
        <w:pStyle w:val="7"/>
        <w:ind w:left="1700" w:firstLine="425"/>
        <w:rPr>
          <w:rFonts w:ascii="宋体" w:hAnsi="宋体" w:eastAsia="宋体"/>
          <w:sz w:val="21"/>
          <w:szCs w:val="21"/>
        </w:rPr>
      </w:pP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年　</w:t>
      </w:r>
      <w:r>
        <w:rPr>
          <w:rFonts w:ascii="宋体" w:hAnsi="宋体" w:eastAsia="宋体"/>
          <w:sz w:val="21"/>
          <w:szCs w:val="21"/>
        </w:rPr>
        <w:tab/>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ascii="宋体" w:hAnsi="宋体" w:eastAsia="宋体"/>
          <w:sz w:val="21"/>
          <w:szCs w:val="21"/>
        </w:rPr>
        <w:tab/>
      </w:r>
      <w:r>
        <w:rPr>
          <w:rFonts w:hint="eastAsia" w:ascii="宋体" w:hAnsi="宋体" w:eastAsia="宋体"/>
          <w:sz w:val="21"/>
          <w:szCs w:val="21"/>
        </w:rPr>
        <w:t>日</w:t>
      </w:r>
    </w:p>
    <w:p w14:paraId="5B7CD1AB">
      <w:pPr>
        <w:rPr>
          <w:rFonts w:ascii="宋体" w:hAnsi="宋体"/>
        </w:rPr>
      </w:pPr>
    </w:p>
    <w:p w14:paraId="024A5FC7">
      <w:pPr>
        <w:rPr>
          <w:rFonts w:ascii="宋体" w:hAnsi="宋体"/>
          <w:sz w:val="30"/>
          <w:szCs w:val="30"/>
        </w:rPr>
      </w:pPr>
      <w:bookmarkStart w:id="24" w:name="_Ref18221"/>
    </w:p>
    <w:p w14:paraId="42B898BD">
      <w:pPr>
        <w:rPr>
          <w:rFonts w:ascii="宋体" w:hAnsi="宋体"/>
          <w:sz w:val="30"/>
          <w:szCs w:val="30"/>
        </w:rPr>
      </w:pPr>
    </w:p>
    <w:p w14:paraId="568A60CA">
      <w:pPr>
        <w:rPr>
          <w:rFonts w:ascii="宋体" w:hAnsi="宋体"/>
          <w:sz w:val="30"/>
          <w:szCs w:val="30"/>
        </w:rPr>
      </w:pPr>
    </w:p>
    <w:p w14:paraId="6BFBAEE7">
      <w:pPr>
        <w:rPr>
          <w:rFonts w:ascii="宋体" w:hAnsi="宋体"/>
          <w:sz w:val="30"/>
          <w:szCs w:val="30"/>
        </w:rPr>
      </w:pPr>
    </w:p>
    <w:p w14:paraId="71EAE6AC">
      <w:pPr>
        <w:rPr>
          <w:rFonts w:ascii="宋体" w:hAnsi="宋体"/>
          <w:sz w:val="30"/>
          <w:szCs w:val="30"/>
        </w:rPr>
      </w:pPr>
    </w:p>
    <w:p w14:paraId="11FA5323">
      <w:pPr>
        <w:rPr>
          <w:rFonts w:ascii="宋体" w:hAnsi="宋体"/>
          <w:sz w:val="30"/>
          <w:szCs w:val="30"/>
        </w:rPr>
      </w:pPr>
    </w:p>
    <w:p w14:paraId="32020BB5">
      <w:pPr>
        <w:rPr>
          <w:rFonts w:ascii="宋体" w:hAnsi="宋体"/>
          <w:sz w:val="30"/>
          <w:szCs w:val="30"/>
        </w:rPr>
      </w:pPr>
    </w:p>
    <w:p w14:paraId="0E0A23E7">
      <w:pPr>
        <w:rPr>
          <w:rFonts w:ascii="宋体" w:hAnsi="宋体"/>
          <w:sz w:val="30"/>
          <w:szCs w:val="30"/>
        </w:rPr>
      </w:pPr>
    </w:p>
    <w:p w14:paraId="302ED51F">
      <w:pPr>
        <w:rPr>
          <w:rFonts w:ascii="宋体" w:hAnsi="宋体"/>
          <w:sz w:val="30"/>
          <w:szCs w:val="30"/>
        </w:rPr>
      </w:pPr>
    </w:p>
    <w:p w14:paraId="7A1F9062">
      <w:pPr>
        <w:rPr>
          <w:rFonts w:ascii="宋体" w:hAnsi="宋体"/>
          <w:sz w:val="30"/>
          <w:szCs w:val="30"/>
        </w:rPr>
      </w:pPr>
    </w:p>
    <w:p w14:paraId="1010CFBD">
      <w:pPr>
        <w:rPr>
          <w:rFonts w:ascii="宋体" w:hAnsi="宋体"/>
        </w:rPr>
      </w:pPr>
    </w:p>
    <w:p w14:paraId="37610C5C">
      <w:pPr>
        <w:rPr>
          <w:rFonts w:ascii="宋体" w:hAnsi="宋体"/>
        </w:rPr>
      </w:pPr>
    </w:p>
    <w:p w14:paraId="22568ADF">
      <w:pPr>
        <w:pStyle w:val="6"/>
        <w:spacing w:before="20" w:after="20" w:line="360" w:lineRule="auto"/>
        <w:rPr>
          <w:rFonts w:ascii="宋体" w:hAnsi="宋体" w:eastAsia="宋体" w:cs="宋体"/>
        </w:rPr>
      </w:pPr>
      <w:bookmarkStart w:id="25" w:name="_Ref5265"/>
      <w:r>
        <w:rPr>
          <w:rFonts w:hint="eastAsia" w:ascii="宋体" w:hAnsi="宋体" w:eastAsia="宋体" w:cs="宋体"/>
        </w:rPr>
        <w:br w:type="page" w:clear="all"/>
      </w:r>
      <w:r>
        <w:rPr>
          <w:rFonts w:hint="eastAsia" w:ascii="宋体" w:hAnsi="宋体" w:eastAsia="宋体" w:cs="宋体"/>
        </w:rPr>
        <w:t>二、投标承诺函</w:t>
      </w:r>
      <w:bookmarkEnd w:id="24"/>
      <w:bookmarkEnd w:id="25"/>
    </w:p>
    <w:p w14:paraId="69B89EFF">
      <w:pPr>
        <w:jc w:val="center"/>
        <w:rPr>
          <w:rFonts w:ascii="宋体" w:hAnsi="宋体"/>
          <w:szCs w:val="21"/>
        </w:rPr>
      </w:pPr>
      <w:r>
        <w:rPr>
          <w:rFonts w:ascii="宋体" w:hAnsi="宋体"/>
          <w:szCs w:val="21"/>
        </w:rPr>
        <w:t>投标</w:t>
      </w:r>
      <w:r>
        <w:rPr>
          <w:rFonts w:hint="eastAsia" w:ascii="宋体" w:hAnsi="宋体"/>
          <w:szCs w:val="21"/>
        </w:rPr>
        <w:t>承诺</w:t>
      </w:r>
      <w:r>
        <w:rPr>
          <w:rFonts w:ascii="宋体" w:hAnsi="宋体"/>
          <w:szCs w:val="21"/>
        </w:rPr>
        <w:t>函</w:t>
      </w:r>
    </w:p>
    <w:p w14:paraId="54FD8A20">
      <w:pPr>
        <w:spacing w:line="360" w:lineRule="exact"/>
        <w:rPr>
          <w:rFonts w:ascii="宋体" w:hAnsi="宋体"/>
        </w:rPr>
      </w:pPr>
      <w:r>
        <w:rPr>
          <w:rFonts w:hint="eastAsia" w:ascii="宋体" w:hAnsi="宋体"/>
        </w:rPr>
        <w:t>致：</w:t>
      </w:r>
      <w:r>
        <w:rPr>
          <w:rFonts w:hint="eastAsia" w:ascii="宋体" w:hAnsi="宋体"/>
          <w:highlight w:val="yellow"/>
          <w:u w:val="single"/>
        </w:rPr>
        <w:t>（采购人名称）</w:t>
      </w:r>
      <w:r>
        <w:rPr>
          <w:rFonts w:hint="eastAsia" w:ascii="宋体" w:hAnsi="宋体"/>
        </w:rPr>
        <w:t>、</w:t>
      </w:r>
      <w:r>
        <w:rPr>
          <w:rFonts w:hint="eastAsia" w:ascii="宋体" w:hAnsi="宋体"/>
          <w:szCs w:val="21"/>
          <w:u w:val="single"/>
        </w:rPr>
        <w:t>江苏省鼎诚建设工程顾问有限公司</w:t>
      </w:r>
      <w:r>
        <w:rPr>
          <w:rFonts w:ascii="宋体" w:hAnsi="宋体"/>
          <w:szCs w:val="21"/>
        </w:rPr>
        <w:t>：</w:t>
      </w:r>
    </w:p>
    <w:p w14:paraId="4D38A213">
      <w:pPr>
        <w:spacing w:line="360" w:lineRule="exact"/>
        <w:ind w:firstLine="420"/>
        <w:jc w:val="left"/>
        <w:rPr>
          <w:rFonts w:ascii="宋体" w:hAnsi="宋体"/>
        </w:rPr>
      </w:pPr>
      <w:r>
        <w:rPr>
          <w:rFonts w:ascii="宋体" w:hAnsi="宋体"/>
          <w:szCs w:val="21"/>
        </w:rPr>
        <w:t>经仔细阅读和研究</w:t>
      </w:r>
      <w:r>
        <w:rPr>
          <w:rFonts w:hint="eastAsia" w:ascii="宋体" w:hAnsi="宋体"/>
          <w:szCs w:val="21"/>
        </w:rPr>
        <w:t>，</w:t>
      </w:r>
      <w:r>
        <w:rPr>
          <w:rFonts w:ascii="宋体" w:hAnsi="宋体"/>
          <w:szCs w:val="21"/>
        </w:rPr>
        <w:t>我方同意招标文件</w:t>
      </w:r>
      <w:r>
        <w:rPr>
          <w:rFonts w:ascii="宋体" w:hAnsi="宋体"/>
          <w:szCs w:val="21"/>
          <w:lang w:val="zh-CN"/>
        </w:rPr>
        <w:t>（包括</w:t>
      </w:r>
      <w:r>
        <w:rPr>
          <w:rFonts w:hint="eastAsia" w:ascii="宋体" w:hAnsi="宋体"/>
          <w:szCs w:val="21"/>
          <w:lang w:val="zh-CN"/>
        </w:rPr>
        <w:t>补充文件</w:t>
      </w:r>
      <w:r>
        <w:rPr>
          <w:rFonts w:ascii="宋体" w:hAnsi="宋体"/>
          <w:szCs w:val="21"/>
          <w:lang w:val="zh-CN"/>
        </w:rPr>
        <w:t>）</w:t>
      </w:r>
      <w:r>
        <w:rPr>
          <w:rFonts w:ascii="宋体" w:hAnsi="宋体"/>
          <w:szCs w:val="21"/>
        </w:rPr>
        <w:t>的各条款要求</w:t>
      </w:r>
      <w:r>
        <w:rPr>
          <w:rFonts w:hint="eastAsia" w:ascii="宋体" w:hAnsi="宋体"/>
          <w:szCs w:val="21"/>
        </w:rPr>
        <w:t>，</w:t>
      </w:r>
      <w:r>
        <w:rPr>
          <w:rFonts w:hint="eastAsia" w:ascii="宋体" w:hAnsi="宋体"/>
        </w:rPr>
        <w:t>自愿参加</w:t>
      </w:r>
      <w:r>
        <w:rPr>
          <w:rFonts w:hint="eastAsia" w:ascii="宋体" w:hAnsi="宋体"/>
          <w:u w:val="single"/>
        </w:rPr>
        <w:t>（项目名称及项目编号）</w:t>
      </w:r>
      <w:r>
        <w:rPr>
          <w:rFonts w:ascii="宋体" w:hAnsi="宋体"/>
          <w:u w:val="single"/>
        </w:rPr>
        <w:t xml:space="preserve"> </w:t>
      </w:r>
      <w:r>
        <w:rPr>
          <w:rFonts w:hint="eastAsia" w:ascii="宋体" w:hAnsi="宋体"/>
        </w:rPr>
        <w:t>的投标活动，并做出如下承诺：</w:t>
      </w:r>
    </w:p>
    <w:p w14:paraId="51EF5CC6">
      <w:pPr>
        <w:spacing w:line="360" w:lineRule="exact"/>
        <w:ind w:firstLine="420"/>
        <w:jc w:val="left"/>
        <w:rPr>
          <w:rFonts w:ascii="宋体" w:hAnsi="宋体"/>
        </w:rPr>
      </w:pPr>
      <w:r>
        <w:rPr>
          <w:rFonts w:hint="eastAsia" w:ascii="宋体" w:hAnsi="宋体"/>
        </w:rPr>
        <w:t>1、我方已详细审查并确认全部招标文件（包括补充文件）、全部参考资料和有关附件；</w:t>
      </w:r>
    </w:p>
    <w:p w14:paraId="1EC0BE6A">
      <w:pPr>
        <w:spacing w:line="360" w:lineRule="exact"/>
        <w:ind w:firstLine="420"/>
        <w:jc w:val="left"/>
        <w:rPr>
          <w:rFonts w:ascii="宋体" w:hAnsi="宋体"/>
        </w:rPr>
      </w:pPr>
      <w:r>
        <w:rPr>
          <w:rFonts w:hint="eastAsia" w:ascii="宋体" w:hAnsi="宋体"/>
        </w:rPr>
        <w:t>2、我方同意提供与投标有关的一切数据或资料，并保证所提供的投标文件及相关资料均真实有效，若有虚假，我方承担一切责任；</w:t>
      </w:r>
    </w:p>
    <w:p w14:paraId="433CE714">
      <w:pPr>
        <w:spacing w:line="360" w:lineRule="exact"/>
        <w:ind w:firstLine="420"/>
        <w:jc w:val="left"/>
        <w:rPr>
          <w:rFonts w:ascii="宋体" w:hAnsi="宋体"/>
        </w:rPr>
      </w:pPr>
      <w:r>
        <w:rPr>
          <w:rFonts w:hint="eastAsia" w:ascii="宋体" w:hAnsi="宋体"/>
        </w:rPr>
        <w:t xml:space="preserve">3、我方将坚持全程参加开评标会议，积极响应招标人及代理机构的指令和操作要求，不擅离职守，始终保持通讯顺畅，因我方原因导致10分钟内无法与管理端建立起联系的，即视为放弃交互的权利，我方认可招标人任意处置决定，接受任何处理结果； </w:t>
      </w:r>
    </w:p>
    <w:p w14:paraId="3A6B2697">
      <w:pPr>
        <w:spacing w:line="360" w:lineRule="exact"/>
        <w:ind w:firstLine="420"/>
        <w:jc w:val="left"/>
        <w:rPr>
          <w:rFonts w:ascii="宋体" w:hAnsi="宋体"/>
        </w:rPr>
      </w:pPr>
      <w:r>
        <w:rPr>
          <w:rFonts w:hint="eastAsia" w:ascii="宋体" w:hAnsi="宋体"/>
        </w:rPr>
        <w:t xml:space="preserve">4、我方愿意按照招标文件的要求，响应该项目的全部实质性内容； </w:t>
      </w:r>
    </w:p>
    <w:p w14:paraId="510C764B">
      <w:pPr>
        <w:spacing w:line="360" w:lineRule="exact"/>
        <w:ind w:firstLine="420"/>
        <w:jc w:val="left"/>
        <w:rPr>
          <w:rFonts w:ascii="宋体" w:hAnsi="宋体"/>
        </w:rPr>
      </w:pPr>
      <w:r>
        <w:rPr>
          <w:rFonts w:hint="eastAsia" w:ascii="宋体" w:hAnsi="宋体"/>
        </w:rPr>
        <w:t>5、我方承诺符合《中华人民共和国政府采购法》第二十二条的规定：</w:t>
      </w:r>
    </w:p>
    <w:p w14:paraId="0316E4F3">
      <w:pPr>
        <w:spacing w:line="360" w:lineRule="exact"/>
        <w:ind w:firstLine="420"/>
        <w:jc w:val="left"/>
        <w:rPr>
          <w:rFonts w:ascii="宋体" w:hAnsi="宋体"/>
        </w:rPr>
      </w:pPr>
      <w:r>
        <w:rPr>
          <w:rFonts w:hint="eastAsia" w:ascii="宋体" w:hAnsi="宋体"/>
        </w:rPr>
        <w:t>（1）我方具有独立承担民事责任的能力；</w:t>
      </w:r>
    </w:p>
    <w:p w14:paraId="659F87C2">
      <w:pPr>
        <w:spacing w:line="360" w:lineRule="exact"/>
        <w:ind w:firstLine="420"/>
        <w:jc w:val="left"/>
        <w:rPr>
          <w:rFonts w:ascii="宋体" w:hAnsi="宋体"/>
        </w:rPr>
      </w:pPr>
      <w:r>
        <w:rPr>
          <w:rFonts w:hint="eastAsia" w:ascii="宋体" w:hAnsi="宋体"/>
        </w:rPr>
        <w:t>（2）我方具有良好的商业信誉和健全的财务会计制度；</w:t>
      </w:r>
    </w:p>
    <w:p w14:paraId="0D6F64EE">
      <w:pPr>
        <w:spacing w:line="360" w:lineRule="exact"/>
        <w:ind w:firstLine="420"/>
        <w:jc w:val="left"/>
        <w:rPr>
          <w:rFonts w:ascii="宋体" w:hAnsi="宋体"/>
        </w:rPr>
      </w:pPr>
      <w:r>
        <w:rPr>
          <w:rFonts w:hint="eastAsia" w:ascii="宋体" w:hAnsi="宋体"/>
        </w:rPr>
        <w:t>（3）我方具有履行合同所必需的设备和专业技术能力；</w:t>
      </w:r>
    </w:p>
    <w:p w14:paraId="61E0A586">
      <w:pPr>
        <w:spacing w:line="360" w:lineRule="exact"/>
        <w:ind w:firstLine="420"/>
        <w:jc w:val="left"/>
        <w:rPr>
          <w:rFonts w:ascii="宋体" w:hAnsi="宋体"/>
        </w:rPr>
      </w:pPr>
      <w:r>
        <w:rPr>
          <w:rFonts w:hint="eastAsia" w:ascii="宋体" w:hAnsi="宋体"/>
        </w:rPr>
        <w:t>（4）我方有依法缴纳税收和社会保障资金的良好记录；</w:t>
      </w:r>
    </w:p>
    <w:p w14:paraId="47EB9CB1">
      <w:pPr>
        <w:spacing w:line="360" w:lineRule="exact"/>
        <w:ind w:firstLine="420"/>
        <w:jc w:val="left"/>
        <w:rPr>
          <w:rFonts w:ascii="宋体" w:hAnsi="宋体"/>
        </w:rPr>
      </w:pPr>
      <w:r>
        <w:rPr>
          <w:rFonts w:hint="eastAsia" w:ascii="宋体" w:hAnsi="宋体"/>
        </w:rPr>
        <w:t>（5）我方在参加政府采购活动前三年内，在经营活动中没有重大违法记录；</w:t>
      </w:r>
    </w:p>
    <w:p w14:paraId="24372958">
      <w:pPr>
        <w:spacing w:line="360" w:lineRule="exact"/>
        <w:ind w:firstLine="420"/>
        <w:jc w:val="left"/>
        <w:rPr>
          <w:rFonts w:ascii="宋体" w:hAnsi="宋体"/>
        </w:rPr>
      </w:pPr>
      <w:r>
        <w:rPr>
          <w:rFonts w:hint="eastAsia" w:ascii="宋体" w:hAnsi="宋体"/>
        </w:rPr>
        <w:t>（6）法律、行政法规规定的其他条件。</w:t>
      </w:r>
    </w:p>
    <w:p w14:paraId="5E4E4DA4">
      <w:pPr>
        <w:spacing w:line="360" w:lineRule="exact"/>
        <w:ind w:firstLine="420"/>
        <w:jc w:val="left"/>
        <w:rPr>
          <w:rFonts w:ascii="宋体" w:hAnsi="宋体"/>
        </w:rPr>
      </w:pPr>
      <w:r>
        <w:rPr>
          <w:rFonts w:hint="eastAsia" w:ascii="宋体" w:hAnsi="宋体"/>
        </w:rPr>
        <w:t>6、我方同意按招标人确定的评标办法及评分标准由评标专家进行评审，并对评标结果无任何异议；</w:t>
      </w:r>
    </w:p>
    <w:p w14:paraId="38167933">
      <w:pPr>
        <w:spacing w:line="360" w:lineRule="exact"/>
        <w:ind w:firstLine="420"/>
        <w:jc w:val="left"/>
        <w:rPr>
          <w:rFonts w:ascii="宋体" w:hAnsi="宋体"/>
        </w:rPr>
      </w:pPr>
      <w:r>
        <w:rPr>
          <w:rFonts w:hint="eastAsia" w:ascii="宋体" w:hAnsi="宋体"/>
        </w:rPr>
        <w:t>7、我方如果存在以下行为，我方无条件接受《中华人民共和国政府采购法》及相关法律法规规定的处罚：</w:t>
      </w:r>
    </w:p>
    <w:p w14:paraId="747ADEC5">
      <w:pPr>
        <w:spacing w:line="360" w:lineRule="exact"/>
        <w:ind w:firstLine="420"/>
        <w:jc w:val="left"/>
        <w:rPr>
          <w:rFonts w:ascii="宋体" w:hAnsi="宋体"/>
        </w:rPr>
      </w:pPr>
      <w:r>
        <w:rPr>
          <w:rFonts w:hint="eastAsia" w:ascii="宋体" w:hAnsi="宋体"/>
        </w:rPr>
        <w:t>（1）提供虚假材料谋取中标、成交的；</w:t>
      </w:r>
    </w:p>
    <w:p w14:paraId="410EADE9">
      <w:pPr>
        <w:spacing w:line="360" w:lineRule="exact"/>
        <w:ind w:firstLine="420"/>
        <w:jc w:val="left"/>
        <w:rPr>
          <w:rFonts w:ascii="宋体" w:hAnsi="宋体"/>
        </w:rPr>
      </w:pPr>
      <w:r>
        <w:rPr>
          <w:rFonts w:hint="eastAsia" w:ascii="宋体" w:hAnsi="宋体"/>
        </w:rPr>
        <w:t>（2）采取不正当手段诋毁、排挤其他供应商的；</w:t>
      </w:r>
    </w:p>
    <w:p w14:paraId="71A90710">
      <w:pPr>
        <w:spacing w:line="360" w:lineRule="exact"/>
        <w:ind w:firstLine="420"/>
        <w:jc w:val="left"/>
        <w:rPr>
          <w:rFonts w:ascii="宋体" w:hAnsi="宋体"/>
        </w:rPr>
      </w:pPr>
      <w:r>
        <w:rPr>
          <w:rFonts w:hint="eastAsia" w:ascii="宋体" w:hAnsi="宋体"/>
        </w:rPr>
        <w:t>（3）与招标人、其他供应商或者采购代理机构恶意串通的；</w:t>
      </w:r>
    </w:p>
    <w:p w14:paraId="23CFC2F1">
      <w:pPr>
        <w:spacing w:line="360" w:lineRule="exact"/>
        <w:ind w:firstLine="420"/>
        <w:jc w:val="left"/>
        <w:rPr>
          <w:rFonts w:ascii="宋体" w:hAnsi="宋体"/>
        </w:rPr>
      </w:pPr>
      <w:r>
        <w:rPr>
          <w:rFonts w:hint="eastAsia" w:ascii="宋体" w:hAnsi="宋体"/>
        </w:rPr>
        <w:t>（4）向招标人、采购代理机构行贿或者提供其他不正当利益的；</w:t>
      </w:r>
    </w:p>
    <w:p w14:paraId="1EB99EA5">
      <w:pPr>
        <w:spacing w:line="360" w:lineRule="exact"/>
        <w:ind w:firstLine="420"/>
        <w:jc w:val="left"/>
        <w:rPr>
          <w:rFonts w:ascii="宋体" w:hAnsi="宋体"/>
        </w:rPr>
      </w:pPr>
      <w:r>
        <w:rPr>
          <w:rFonts w:hint="eastAsia" w:ascii="宋体" w:hAnsi="宋体"/>
        </w:rPr>
        <w:t>（5）在招标采购过程中与招标人进行协商谈判的；</w:t>
      </w:r>
    </w:p>
    <w:p w14:paraId="094A5B7D">
      <w:pPr>
        <w:spacing w:line="360" w:lineRule="exact"/>
        <w:ind w:firstLine="420"/>
        <w:jc w:val="left"/>
        <w:rPr>
          <w:rFonts w:ascii="宋体" w:hAnsi="宋体"/>
        </w:rPr>
      </w:pPr>
      <w:r>
        <w:rPr>
          <w:rFonts w:hint="eastAsia" w:ascii="宋体" w:hAnsi="宋体"/>
        </w:rPr>
        <w:t>（6）拒绝有关部门监督检查或者提供虚假情况的。</w:t>
      </w:r>
    </w:p>
    <w:p w14:paraId="36705DB0">
      <w:pPr>
        <w:spacing w:line="360" w:lineRule="exact"/>
        <w:ind w:firstLine="420"/>
        <w:jc w:val="left"/>
        <w:rPr>
          <w:rFonts w:ascii="宋体" w:hAnsi="宋体"/>
        </w:rPr>
      </w:pPr>
      <w:r>
        <w:rPr>
          <w:rFonts w:hint="eastAsia" w:ascii="宋体" w:hAnsi="宋体"/>
        </w:rPr>
        <w:t>8、我方知晓上述行为的法律后果，本承诺书作为招标人要求我方履行违约赔偿义务的依据；</w:t>
      </w:r>
    </w:p>
    <w:p w14:paraId="018AB783">
      <w:pPr>
        <w:spacing w:line="360" w:lineRule="exact"/>
        <w:ind w:firstLine="420"/>
        <w:jc w:val="left"/>
        <w:rPr>
          <w:rFonts w:ascii="宋体" w:hAnsi="宋体"/>
        </w:rPr>
      </w:pPr>
      <w:r>
        <w:rPr>
          <w:rFonts w:hint="eastAsia" w:ascii="宋体" w:hAnsi="宋体"/>
        </w:rPr>
        <w:t>9、我方同意招标人关于违约责任的认定方式和对违约责任的处罚；在服务过程中，如我方违约，我方愿意承担相应违约责任。</w:t>
      </w:r>
    </w:p>
    <w:p w14:paraId="7B42C5F4">
      <w:pPr>
        <w:spacing w:line="360" w:lineRule="exact"/>
        <w:ind w:firstLine="420"/>
        <w:jc w:val="left"/>
        <w:rPr>
          <w:rFonts w:ascii="宋体" w:hAnsi="宋体"/>
        </w:rPr>
      </w:pPr>
      <w:r>
        <w:rPr>
          <w:rFonts w:hint="eastAsia" w:ascii="宋体" w:hAnsi="宋体"/>
        </w:rPr>
        <w:t>10、投标文件有效期：自开标日起90天。</w:t>
      </w:r>
    </w:p>
    <w:p w14:paraId="065B64B3">
      <w:pPr>
        <w:ind w:firstLine="420"/>
        <w:jc w:val="left"/>
        <w:rPr>
          <w:rFonts w:ascii="宋体" w:hAnsi="宋体"/>
          <w:szCs w:val="21"/>
        </w:rPr>
      </w:pPr>
    </w:p>
    <w:p w14:paraId="24F77A34">
      <w:pPr>
        <w:ind w:firstLine="420"/>
        <w:jc w:val="left"/>
        <w:rPr>
          <w:rFonts w:ascii="宋体" w:hAnsi="宋体"/>
          <w:szCs w:val="21"/>
        </w:rPr>
      </w:pPr>
      <w:r>
        <w:rPr>
          <w:rFonts w:ascii="宋体" w:hAnsi="宋体"/>
          <w:szCs w:val="21"/>
        </w:rPr>
        <w:t>投标单位：（</w:t>
      </w:r>
      <w:r>
        <w:rPr>
          <w:rFonts w:hint="eastAsia" w:ascii="宋体" w:hAnsi="宋体"/>
          <w:szCs w:val="21"/>
        </w:rPr>
        <w:t>单位盖章</w:t>
      </w:r>
      <w:r>
        <w:rPr>
          <w:rFonts w:ascii="宋体" w:hAnsi="宋体"/>
          <w:szCs w:val="21"/>
        </w:rPr>
        <w:t>）</w:t>
      </w:r>
    </w:p>
    <w:p w14:paraId="10DEC809">
      <w:pPr>
        <w:ind w:firstLine="420"/>
        <w:jc w:val="left"/>
        <w:rPr>
          <w:rFonts w:ascii="宋体" w:hAnsi="宋体"/>
          <w:szCs w:val="21"/>
        </w:rPr>
      </w:pPr>
      <w:r>
        <w:rPr>
          <w:rFonts w:ascii="宋体" w:hAnsi="宋体"/>
          <w:szCs w:val="21"/>
        </w:rPr>
        <w:t>法定代表人：（签字或盖章）</w:t>
      </w:r>
    </w:p>
    <w:p w14:paraId="0AFE7321">
      <w:pPr>
        <w:ind w:firstLine="420"/>
        <w:jc w:val="left"/>
        <w:rPr>
          <w:rFonts w:ascii="宋体" w:hAnsi="宋体"/>
          <w:szCs w:val="21"/>
        </w:rPr>
      </w:pPr>
      <w:r>
        <w:rPr>
          <w:rFonts w:hint="eastAsia" w:ascii="宋体" w:hAnsi="宋体"/>
          <w:szCs w:val="21"/>
        </w:rPr>
        <w:t xml:space="preserve">日期：    </w:t>
      </w:r>
      <w:r>
        <w:rPr>
          <w:rFonts w:ascii="宋体" w:hAnsi="宋体"/>
          <w:szCs w:val="21"/>
        </w:rPr>
        <w:t>年</w:t>
      </w:r>
      <w:r>
        <w:rPr>
          <w:rFonts w:hint="eastAsia" w:ascii="宋体" w:hAnsi="宋体"/>
          <w:szCs w:val="21"/>
        </w:rPr>
        <w:t xml:space="preserve">  </w:t>
      </w:r>
      <w:r>
        <w:rPr>
          <w:rFonts w:ascii="宋体" w:hAnsi="宋体"/>
          <w:szCs w:val="21"/>
        </w:rPr>
        <w:t>月</w:t>
      </w:r>
      <w:r>
        <w:rPr>
          <w:rFonts w:hint="eastAsia" w:ascii="宋体" w:hAnsi="宋体"/>
          <w:szCs w:val="21"/>
        </w:rPr>
        <w:t xml:space="preserve">  </w:t>
      </w:r>
      <w:r>
        <w:rPr>
          <w:rFonts w:ascii="宋体" w:hAnsi="宋体"/>
          <w:szCs w:val="21"/>
        </w:rPr>
        <w:t>日</w:t>
      </w:r>
    </w:p>
    <w:p w14:paraId="00990D43">
      <w:pPr>
        <w:pStyle w:val="6"/>
        <w:rPr>
          <w:rFonts w:ascii="宋体" w:hAnsi="宋体" w:eastAsia="宋体" w:cs="宋体"/>
        </w:rPr>
      </w:pPr>
      <w:bookmarkStart w:id="26" w:name="_Ref18323"/>
      <w:bookmarkStart w:id="27" w:name="_Ref5311"/>
      <w:r>
        <w:rPr>
          <w:rFonts w:hint="eastAsia" w:ascii="宋体" w:hAnsi="宋体" w:eastAsia="宋体" w:cs="宋体"/>
        </w:rPr>
        <w:br w:type="page" w:clear="all"/>
      </w:r>
      <w:r>
        <w:rPr>
          <w:rFonts w:hint="eastAsia" w:ascii="宋体" w:hAnsi="宋体" w:eastAsia="宋体" w:cs="宋体"/>
        </w:rPr>
        <w:t>三、投标单位情况表</w:t>
      </w:r>
      <w:bookmarkEnd w:id="26"/>
      <w:bookmarkEnd w:id="27"/>
    </w:p>
    <w:p w14:paraId="5BD9ABC1">
      <w:pPr>
        <w:pStyle w:val="7"/>
        <w:spacing w:line="360" w:lineRule="auto"/>
        <w:ind w:firstLine="0"/>
        <w:jc w:val="center"/>
        <w:rPr>
          <w:rFonts w:ascii="宋体" w:hAnsi="宋体" w:eastAsia="宋体"/>
          <w:sz w:val="21"/>
          <w:szCs w:val="21"/>
        </w:rPr>
      </w:pPr>
      <w:r>
        <w:rPr>
          <w:rFonts w:hint="eastAsia" w:ascii="宋体" w:hAnsi="宋体" w:eastAsia="宋体"/>
          <w:bCs/>
          <w:sz w:val="21"/>
          <w:szCs w:val="21"/>
        </w:rPr>
        <w:t>投标单位情况表</w:t>
      </w:r>
    </w:p>
    <w:p w14:paraId="446B2DC1">
      <w:pPr>
        <w:spacing w:line="360" w:lineRule="auto"/>
        <w:rPr>
          <w:rFonts w:ascii="宋体" w:hAnsi="宋体"/>
          <w:szCs w:val="21"/>
        </w:rPr>
      </w:pPr>
      <w:r>
        <w:rPr>
          <w:rFonts w:ascii="宋体" w:hAnsi="宋体"/>
          <w:szCs w:val="21"/>
        </w:rPr>
        <w:t>单位名称（</w:t>
      </w:r>
      <w:r>
        <w:rPr>
          <w:rFonts w:hint="eastAsia" w:ascii="宋体" w:hAnsi="宋体"/>
          <w:szCs w:val="21"/>
        </w:rPr>
        <w:t>单位盖章</w:t>
      </w:r>
      <w:r>
        <w:rPr>
          <w:rFonts w:ascii="宋体" w:hAnsi="宋体"/>
          <w:szCs w:val="21"/>
        </w:rPr>
        <w:t>）：</w:t>
      </w:r>
      <w:r>
        <w:rPr>
          <w:rFonts w:ascii="宋体" w:hAnsi="宋体"/>
          <w:szCs w:val="21"/>
          <w:u w:val="single"/>
        </w:rPr>
        <w:t xml:space="preserve">                       </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0"/>
        <w:gridCol w:w="1088"/>
        <w:gridCol w:w="476"/>
        <w:gridCol w:w="881"/>
        <w:gridCol w:w="1416"/>
        <w:gridCol w:w="487"/>
        <w:gridCol w:w="802"/>
        <w:gridCol w:w="778"/>
        <w:gridCol w:w="634"/>
        <w:gridCol w:w="2130"/>
      </w:tblGrid>
      <w:tr w14:paraId="4538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650" w:type="dxa"/>
            <w:noWrap w:val="0"/>
            <w:vAlign w:val="center"/>
          </w:tcPr>
          <w:p w14:paraId="71835516">
            <w:pPr>
              <w:pStyle w:val="7"/>
              <w:spacing w:line="360" w:lineRule="auto"/>
              <w:ind w:firstLine="0"/>
              <w:jc w:val="center"/>
              <w:rPr>
                <w:rFonts w:ascii="宋体" w:hAnsi="宋体" w:eastAsia="宋体"/>
                <w:sz w:val="21"/>
                <w:szCs w:val="21"/>
              </w:rPr>
            </w:pPr>
            <w:r>
              <w:rPr>
                <w:rFonts w:ascii="宋体" w:hAnsi="宋体" w:eastAsia="宋体"/>
                <w:sz w:val="21"/>
                <w:szCs w:val="21"/>
              </w:rPr>
              <w:t>1</w:t>
            </w:r>
          </w:p>
        </w:tc>
        <w:tc>
          <w:tcPr>
            <w:tcW w:w="1564" w:type="dxa"/>
            <w:gridSpan w:val="2"/>
            <w:noWrap w:val="0"/>
            <w:vAlign w:val="center"/>
          </w:tcPr>
          <w:p w14:paraId="1CE627C8">
            <w:pPr>
              <w:pStyle w:val="7"/>
              <w:spacing w:line="360" w:lineRule="auto"/>
              <w:ind w:firstLine="0"/>
              <w:jc w:val="center"/>
              <w:rPr>
                <w:rFonts w:ascii="宋体" w:hAnsi="宋体" w:eastAsia="宋体"/>
                <w:sz w:val="21"/>
                <w:szCs w:val="21"/>
              </w:rPr>
            </w:pPr>
            <w:r>
              <w:rPr>
                <w:rFonts w:hint="eastAsia" w:ascii="宋体" w:hAnsi="宋体" w:eastAsia="宋体"/>
                <w:sz w:val="21"/>
                <w:szCs w:val="21"/>
              </w:rPr>
              <w:t>法定代表人</w:t>
            </w:r>
          </w:p>
        </w:tc>
        <w:tc>
          <w:tcPr>
            <w:tcW w:w="2784" w:type="dxa"/>
            <w:gridSpan w:val="3"/>
            <w:noWrap w:val="0"/>
            <w:vAlign w:val="center"/>
          </w:tcPr>
          <w:p w14:paraId="516BC54D">
            <w:pPr>
              <w:pStyle w:val="7"/>
              <w:spacing w:line="360" w:lineRule="auto"/>
              <w:ind w:firstLine="0"/>
              <w:jc w:val="center"/>
              <w:rPr>
                <w:rFonts w:ascii="宋体" w:hAnsi="宋体" w:eastAsia="宋体"/>
                <w:sz w:val="21"/>
                <w:szCs w:val="21"/>
              </w:rPr>
            </w:pPr>
          </w:p>
        </w:tc>
        <w:tc>
          <w:tcPr>
            <w:tcW w:w="1580" w:type="dxa"/>
            <w:gridSpan w:val="2"/>
            <w:noWrap w:val="0"/>
            <w:vAlign w:val="center"/>
          </w:tcPr>
          <w:p w14:paraId="5523FF96">
            <w:pPr>
              <w:pStyle w:val="7"/>
              <w:spacing w:line="360" w:lineRule="auto"/>
              <w:ind w:firstLine="0"/>
              <w:jc w:val="both"/>
              <w:rPr>
                <w:rFonts w:ascii="宋体" w:hAnsi="宋体" w:eastAsia="宋体"/>
                <w:sz w:val="21"/>
                <w:szCs w:val="21"/>
              </w:rPr>
            </w:pPr>
            <w:r>
              <w:rPr>
                <w:rFonts w:ascii="宋体" w:hAnsi="宋体" w:eastAsia="宋体"/>
                <w:sz w:val="21"/>
                <w:szCs w:val="21"/>
              </w:rPr>
              <w:t>公司成立日期</w:t>
            </w:r>
          </w:p>
        </w:tc>
        <w:tc>
          <w:tcPr>
            <w:tcW w:w="2764" w:type="dxa"/>
            <w:gridSpan w:val="2"/>
            <w:noWrap w:val="0"/>
            <w:vAlign w:val="center"/>
          </w:tcPr>
          <w:p w14:paraId="1815E6D5">
            <w:pPr>
              <w:pStyle w:val="7"/>
              <w:spacing w:line="360" w:lineRule="auto"/>
              <w:ind w:firstLine="0"/>
              <w:jc w:val="both"/>
              <w:rPr>
                <w:rFonts w:ascii="宋体" w:hAnsi="宋体" w:eastAsia="宋体"/>
                <w:sz w:val="21"/>
                <w:szCs w:val="21"/>
              </w:rPr>
            </w:pPr>
          </w:p>
        </w:tc>
      </w:tr>
      <w:tr w14:paraId="3129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650" w:type="dxa"/>
            <w:noWrap w:val="0"/>
            <w:vAlign w:val="center"/>
          </w:tcPr>
          <w:p w14:paraId="1E0F0605">
            <w:pPr>
              <w:pStyle w:val="7"/>
              <w:spacing w:line="300" w:lineRule="auto"/>
              <w:ind w:firstLine="0"/>
              <w:jc w:val="center"/>
              <w:rPr>
                <w:rFonts w:ascii="宋体" w:hAnsi="宋体" w:eastAsia="宋体"/>
                <w:sz w:val="21"/>
                <w:szCs w:val="21"/>
              </w:rPr>
            </w:pPr>
            <w:r>
              <w:rPr>
                <w:rFonts w:ascii="宋体" w:hAnsi="宋体" w:eastAsia="宋体"/>
                <w:sz w:val="21"/>
                <w:szCs w:val="21"/>
              </w:rPr>
              <w:t>2</w:t>
            </w:r>
          </w:p>
        </w:tc>
        <w:tc>
          <w:tcPr>
            <w:tcW w:w="1564" w:type="dxa"/>
            <w:gridSpan w:val="2"/>
            <w:noWrap w:val="0"/>
            <w:vAlign w:val="center"/>
          </w:tcPr>
          <w:p w14:paraId="798976D2">
            <w:pPr>
              <w:pStyle w:val="7"/>
              <w:spacing w:line="300" w:lineRule="auto"/>
              <w:ind w:firstLine="0"/>
              <w:jc w:val="center"/>
              <w:rPr>
                <w:rFonts w:ascii="宋体" w:hAnsi="宋体" w:eastAsia="宋体"/>
                <w:sz w:val="21"/>
                <w:szCs w:val="21"/>
              </w:rPr>
            </w:pPr>
            <w:r>
              <w:rPr>
                <w:rFonts w:ascii="宋体" w:hAnsi="宋体" w:eastAsia="宋体"/>
                <w:sz w:val="21"/>
                <w:szCs w:val="21"/>
              </w:rPr>
              <w:t>总部地址</w:t>
            </w:r>
          </w:p>
        </w:tc>
        <w:tc>
          <w:tcPr>
            <w:tcW w:w="7128" w:type="dxa"/>
            <w:gridSpan w:val="7"/>
            <w:noWrap w:val="0"/>
            <w:vAlign w:val="center"/>
          </w:tcPr>
          <w:p w14:paraId="762419DE">
            <w:pPr>
              <w:pStyle w:val="7"/>
              <w:spacing w:line="300" w:lineRule="auto"/>
              <w:ind w:firstLine="0"/>
              <w:jc w:val="center"/>
              <w:rPr>
                <w:rFonts w:ascii="宋体" w:hAnsi="宋体" w:eastAsia="宋体"/>
                <w:sz w:val="21"/>
                <w:szCs w:val="21"/>
              </w:rPr>
            </w:pPr>
          </w:p>
        </w:tc>
      </w:tr>
      <w:tr w14:paraId="4421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650" w:type="dxa"/>
            <w:noWrap w:val="0"/>
            <w:vAlign w:val="center"/>
          </w:tcPr>
          <w:p w14:paraId="35DF98DA">
            <w:pPr>
              <w:pStyle w:val="7"/>
              <w:spacing w:line="300" w:lineRule="auto"/>
              <w:ind w:firstLine="0"/>
              <w:jc w:val="center"/>
              <w:rPr>
                <w:rFonts w:ascii="宋体" w:hAnsi="宋体" w:eastAsia="宋体"/>
                <w:sz w:val="21"/>
                <w:szCs w:val="21"/>
              </w:rPr>
            </w:pPr>
            <w:r>
              <w:rPr>
                <w:rFonts w:ascii="宋体" w:hAnsi="宋体" w:eastAsia="宋体"/>
                <w:sz w:val="21"/>
                <w:szCs w:val="21"/>
              </w:rPr>
              <w:t>3</w:t>
            </w:r>
          </w:p>
        </w:tc>
        <w:tc>
          <w:tcPr>
            <w:tcW w:w="1564" w:type="dxa"/>
            <w:gridSpan w:val="2"/>
            <w:noWrap w:val="0"/>
            <w:vAlign w:val="center"/>
          </w:tcPr>
          <w:p w14:paraId="75C1BF4D">
            <w:pPr>
              <w:pStyle w:val="7"/>
              <w:spacing w:line="300" w:lineRule="auto"/>
              <w:ind w:firstLine="0"/>
              <w:jc w:val="both"/>
              <w:rPr>
                <w:rFonts w:ascii="宋体" w:hAnsi="宋体" w:eastAsia="宋体"/>
                <w:sz w:val="21"/>
                <w:szCs w:val="21"/>
              </w:rPr>
            </w:pPr>
            <w:r>
              <w:rPr>
                <w:rFonts w:hint="eastAsia" w:ascii="宋体" w:hAnsi="宋体" w:eastAsia="宋体"/>
                <w:sz w:val="21"/>
                <w:szCs w:val="21"/>
              </w:rPr>
              <w:t>本地办事处</w:t>
            </w:r>
            <w:r>
              <w:rPr>
                <w:rFonts w:ascii="宋体" w:hAnsi="宋体" w:eastAsia="宋体"/>
                <w:sz w:val="21"/>
                <w:szCs w:val="21"/>
              </w:rPr>
              <w:t>地址</w:t>
            </w:r>
          </w:p>
        </w:tc>
        <w:tc>
          <w:tcPr>
            <w:tcW w:w="7128" w:type="dxa"/>
            <w:gridSpan w:val="7"/>
            <w:noWrap w:val="0"/>
            <w:vAlign w:val="center"/>
          </w:tcPr>
          <w:p w14:paraId="0A71B6A3">
            <w:pPr>
              <w:pStyle w:val="7"/>
              <w:spacing w:line="300" w:lineRule="auto"/>
              <w:ind w:firstLine="0"/>
              <w:jc w:val="both"/>
              <w:rPr>
                <w:rFonts w:ascii="宋体" w:hAnsi="宋体" w:eastAsia="宋体"/>
                <w:sz w:val="21"/>
                <w:szCs w:val="21"/>
              </w:rPr>
            </w:pPr>
          </w:p>
        </w:tc>
      </w:tr>
      <w:tr w14:paraId="25EA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650" w:type="dxa"/>
            <w:noWrap w:val="0"/>
            <w:vAlign w:val="center"/>
          </w:tcPr>
          <w:p w14:paraId="39E0D9CB">
            <w:pPr>
              <w:pStyle w:val="7"/>
              <w:spacing w:line="300" w:lineRule="auto"/>
              <w:ind w:firstLine="0"/>
              <w:jc w:val="center"/>
              <w:rPr>
                <w:rFonts w:ascii="宋体" w:hAnsi="宋体" w:eastAsia="宋体"/>
                <w:sz w:val="21"/>
                <w:szCs w:val="21"/>
              </w:rPr>
            </w:pPr>
            <w:r>
              <w:rPr>
                <w:rFonts w:ascii="宋体" w:hAnsi="宋体" w:eastAsia="宋体"/>
                <w:sz w:val="21"/>
                <w:szCs w:val="21"/>
              </w:rPr>
              <w:t>4</w:t>
            </w:r>
          </w:p>
        </w:tc>
        <w:tc>
          <w:tcPr>
            <w:tcW w:w="1088" w:type="dxa"/>
            <w:noWrap w:val="0"/>
            <w:vAlign w:val="center"/>
          </w:tcPr>
          <w:p w14:paraId="46B0328B">
            <w:pPr>
              <w:pStyle w:val="7"/>
              <w:spacing w:line="300" w:lineRule="auto"/>
              <w:ind w:firstLine="0"/>
              <w:jc w:val="center"/>
              <w:rPr>
                <w:rFonts w:ascii="宋体" w:hAnsi="宋体" w:eastAsia="宋体"/>
                <w:sz w:val="21"/>
                <w:szCs w:val="21"/>
              </w:rPr>
            </w:pPr>
            <w:r>
              <w:rPr>
                <w:rFonts w:ascii="宋体" w:hAnsi="宋体" w:eastAsia="宋体"/>
                <w:sz w:val="21"/>
                <w:szCs w:val="21"/>
              </w:rPr>
              <w:t>电话</w:t>
            </w:r>
          </w:p>
        </w:tc>
        <w:tc>
          <w:tcPr>
            <w:tcW w:w="2773" w:type="dxa"/>
            <w:gridSpan w:val="3"/>
            <w:noWrap w:val="0"/>
            <w:vAlign w:val="center"/>
          </w:tcPr>
          <w:p w14:paraId="23F8B97E">
            <w:pPr>
              <w:pStyle w:val="7"/>
              <w:spacing w:line="300" w:lineRule="auto"/>
              <w:ind w:firstLine="0"/>
              <w:jc w:val="both"/>
              <w:rPr>
                <w:rFonts w:ascii="宋体" w:hAnsi="宋体" w:eastAsia="宋体"/>
                <w:sz w:val="21"/>
                <w:szCs w:val="21"/>
              </w:rPr>
            </w:pPr>
          </w:p>
        </w:tc>
        <w:tc>
          <w:tcPr>
            <w:tcW w:w="1289" w:type="dxa"/>
            <w:gridSpan w:val="2"/>
            <w:noWrap w:val="0"/>
            <w:vAlign w:val="center"/>
          </w:tcPr>
          <w:p w14:paraId="2818E124">
            <w:pPr>
              <w:pStyle w:val="7"/>
              <w:spacing w:line="300" w:lineRule="auto"/>
              <w:ind w:firstLine="0"/>
              <w:jc w:val="center"/>
              <w:rPr>
                <w:rFonts w:ascii="宋体" w:hAnsi="宋体" w:eastAsia="宋体"/>
                <w:sz w:val="21"/>
                <w:szCs w:val="21"/>
              </w:rPr>
            </w:pPr>
            <w:r>
              <w:rPr>
                <w:rFonts w:ascii="宋体" w:hAnsi="宋体" w:eastAsia="宋体"/>
                <w:sz w:val="21"/>
                <w:szCs w:val="21"/>
              </w:rPr>
              <w:t>联系人</w:t>
            </w:r>
          </w:p>
        </w:tc>
        <w:tc>
          <w:tcPr>
            <w:tcW w:w="3542" w:type="dxa"/>
            <w:gridSpan w:val="3"/>
            <w:noWrap w:val="0"/>
            <w:vAlign w:val="center"/>
          </w:tcPr>
          <w:p w14:paraId="5B9F9740">
            <w:pPr>
              <w:pStyle w:val="7"/>
              <w:spacing w:line="300" w:lineRule="auto"/>
              <w:ind w:firstLine="0"/>
              <w:jc w:val="both"/>
              <w:rPr>
                <w:rFonts w:ascii="宋体" w:hAnsi="宋体" w:eastAsia="宋体"/>
                <w:sz w:val="21"/>
                <w:szCs w:val="21"/>
              </w:rPr>
            </w:pPr>
          </w:p>
        </w:tc>
      </w:tr>
      <w:tr w14:paraId="63247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5" w:hRule="atLeast"/>
          <w:jc w:val="center"/>
        </w:trPr>
        <w:tc>
          <w:tcPr>
            <w:tcW w:w="650" w:type="dxa"/>
            <w:noWrap w:val="0"/>
            <w:vAlign w:val="center"/>
          </w:tcPr>
          <w:p w14:paraId="6966F0F9">
            <w:pPr>
              <w:pStyle w:val="7"/>
              <w:spacing w:line="300" w:lineRule="auto"/>
              <w:ind w:firstLine="0"/>
              <w:jc w:val="center"/>
              <w:rPr>
                <w:rFonts w:ascii="宋体" w:hAnsi="宋体" w:eastAsia="宋体"/>
                <w:sz w:val="21"/>
                <w:szCs w:val="21"/>
              </w:rPr>
            </w:pPr>
            <w:r>
              <w:rPr>
                <w:rFonts w:ascii="宋体" w:hAnsi="宋体" w:eastAsia="宋体"/>
                <w:sz w:val="21"/>
                <w:szCs w:val="21"/>
              </w:rPr>
              <w:t>5</w:t>
            </w:r>
          </w:p>
        </w:tc>
        <w:tc>
          <w:tcPr>
            <w:tcW w:w="1088" w:type="dxa"/>
            <w:noWrap w:val="0"/>
            <w:vAlign w:val="center"/>
          </w:tcPr>
          <w:p w14:paraId="4D2A60AA">
            <w:pPr>
              <w:pStyle w:val="7"/>
              <w:spacing w:line="300" w:lineRule="auto"/>
              <w:ind w:firstLine="0"/>
              <w:jc w:val="center"/>
              <w:rPr>
                <w:rFonts w:ascii="宋体" w:hAnsi="宋体" w:eastAsia="宋体"/>
                <w:sz w:val="21"/>
                <w:szCs w:val="21"/>
              </w:rPr>
            </w:pPr>
            <w:r>
              <w:rPr>
                <w:rFonts w:ascii="宋体" w:hAnsi="宋体" w:eastAsia="宋体"/>
                <w:sz w:val="21"/>
                <w:szCs w:val="21"/>
              </w:rPr>
              <w:t>传真</w:t>
            </w:r>
          </w:p>
        </w:tc>
        <w:tc>
          <w:tcPr>
            <w:tcW w:w="2773" w:type="dxa"/>
            <w:gridSpan w:val="3"/>
            <w:noWrap w:val="0"/>
            <w:vAlign w:val="center"/>
          </w:tcPr>
          <w:p w14:paraId="1138D8C5">
            <w:pPr>
              <w:pStyle w:val="7"/>
              <w:spacing w:line="300" w:lineRule="auto"/>
              <w:ind w:firstLine="0"/>
              <w:jc w:val="both"/>
              <w:rPr>
                <w:rFonts w:ascii="宋体" w:hAnsi="宋体" w:eastAsia="宋体"/>
                <w:sz w:val="21"/>
                <w:szCs w:val="21"/>
              </w:rPr>
            </w:pPr>
          </w:p>
        </w:tc>
        <w:tc>
          <w:tcPr>
            <w:tcW w:w="1289" w:type="dxa"/>
            <w:gridSpan w:val="2"/>
            <w:noWrap w:val="0"/>
            <w:vAlign w:val="center"/>
          </w:tcPr>
          <w:p w14:paraId="57EA999D">
            <w:pPr>
              <w:pStyle w:val="7"/>
              <w:spacing w:line="300" w:lineRule="auto"/>
              <w:ind w:firstLine="0"/>
              <w:jc w:val="center"/>
              <w:rPr>
                <w:rFonts w:ascii="宋体" w:hAnsi="宋体" w:eastAsia="宋体"/>
                <w:sz w:val="21"/>
                <w:szCs w:val="21"/>
              </w:rPr>
            </w:pPr>
            <w:r>
              <w:rPr>
                <w:rFonts w:ascii="宋体" w:hAnsi="宋体" w:eastAsia="宋体"/>
                <w:sz w:val="21"/>
                <w:szCs w:val="21"/>
              </w:rPr>
              <w:t>电子邮箱</w:t>
            </w:r>
          </w:p>
        </w:tc>
        <w:tc>
          <w:tcPr>
            <w:tcW w:w="3542" w:type="dxa"/>
            <w:gridSpan w:val="3"/>
            <w:noWrap w:val="0"/>
            <w:vAlign w:val="center"/>
          </w:tcPr>
          <w:p w14:paraId="5B1AA959">
            <w:pPr>
              <w:pStyle w:val="7"/>
              <w:spacing w:line="300" w:lineRule="auto"/>
              <w:ind w:firstLine="0"/>
              <w:jc w:val="both"/>
              <w:rPr>
                <w:rFonts w:ascii="宋体" w:hAnsi="宋体" w:eastAsia="宋体"/>
                <w:b/>
                <w:sz w:val="18"/>
                <w:szCs w:val="18"/>
              </w:rPr>
            </w:pPr>
          </w:p>
        </w:tc>
      </w:tr>
      <w:tr w14:paraId="3A992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5" w:hRule="atLeast"/>
          <w:jc w:val="center"/>
        </w:trPr>
        <w:tc>
          <w:tcPr>
            <w:tcW w:w="650" w:type="dxa"/>
            <w:noWrap w:val="0"/>
            <w:vAlign w:val="center"/>
          </w:tcPr>
          <w:p w14:paraId="691477DE">
            <w:pPr>
              <w:pStyle w:val="7"/>
              <w:spacing w:line="300" w:lineRule="auto"/>
              <w:ind w:firstLine="0"/>
              <w:jc w:val="center"/>
              <w:rPr>
                <w:rFonts w:ascii="宋体" w:hAnsi="宋体" w:eastAsia="宋体"/>
                <w:sz w:val="21"/>
                <w:szCs w:val="21"/>
              </w:rPr>
            </w:pPr>
            <w:r>
              <w:rPr>
                <w:rFonts w:ascii="宋体" w:hAnsi="宋体" w:eastAsia="宋体"/>
                <w:sz w:val="21"/>
                <w:szCs w:val="21"/>
              </w:rPr>
              <w:t>6</w:t>
            </w:r>
          </w:p>
        </w:tc>
        <w:tc>
          <w:tcPr>
            <w:tcW w:w="1088" w:type="dxa"/>
            <w:noWrap w:val="0"/>
            <w:vAlign w:val="center"/>
          </w:tcPr>
          <w:p w14:paraId="22879F2A">
            <w:pPr>
              <w:rPr>
                <w:rFonts w:ascii="宋体" w:hAnsi="宋体"/>
              </w:rPr>
            </w:pPr>
            <w:r>
              <w:rPr>
                <w:rFonts w:hint="eastAsia" w:ascii="宋体" w:hAnsi="宋体"/>
              </w:rPr>
              <w:t>单位从业人员数量</w:t>
            </w:r>
          </w:p>
        </w:tc>
        <w:tc>
          <w:tcPr>
            <w:tcW w:w="2773" w:type="dxa"/>
            <w:gridSpan w:val="3"/>
            <w:noWrap w:val="0"/>
            <w:vAlign w:val="center"/>
          </w:tcPr>
          <w:p w14:paraId="12BC35EB">
            <w:pPr>
              <w:pStyle w:val="7"/>
              <w:spacing w:line="300" w:lineRule="auto"/>
              <w:ind w:firstLine="2160"/>
              <w:jc w:val="both"/>
              <w:rPr>
                <w:rFonts w:ascii="宋体" w:hAnsi="宋体" w:eastAsia="宋体"/>
                <w:sz w:val="21"/>
                <w:szCs w:val="21"/>
              </w:rPr>
            </w:pPr>
            <w:r>
              <w:rPr>
                <w:rFonts w:ascii="宋体" w:hAnsi="宋体" w:eastAsia="宋体"/>
                <w:sz w:val="21"/>
                <w:szCs w:val="21"/>
              </w:rPr>
              <w:t>人</w:t>
            </w:r>
          </w:p>
        </w:tc>
        <w:tc>
          <w:tcPr>
            <w:tcW w:w="2701" w:type="dxa"/>
            <w:gridSpan w:val="4"/>
            <w:noWrap w:val="0"/>
            <w:vAlign w:val="center"/>
          </w:tcPr>
          <w:p w14:paraId="31DDF641">
            <w:pPr>
              <w:pStyle w:val="7"/>
              <w:spacing w:line="300" w:lineRule="auto"/>
              <w:ind w:firstLine="0"/>
              <w:jc w:val="both"/>
              <w:rPr>
                <w:rFonts w:ascii="宋体" w:hAnsi="宋体" w:eastAsia="宋体"/>
                <w:sz w:val="21"/>
                <w:szCs w:val="21"/>
              </w:rPr>
            </w:pPr>
            <w:r>
              <w:rPr>
                <w:rFonts w:ascii="宋体" w:hAnsi="宋体" w:eastAsia="宋体"/>
                <w:sz w:val="21"/>
                <w:szCs w:val="21"/>
              </w:rPr>
              <w:t>单位</w:t>
            </w:r>
            <w:r>
              <w:rPr>
                <w:rFonts w:hint="eastAsia" w:ascii="宋体" w:hAnsi="宋体" w:eastAsia="宋体"/>
                <w:sz w:val="21"/>
                <w:szCs w:val="21"/>
              </w:rPr>
              <w:t>20</w:t>
            </w:r>
            <w:r>
              <w:rPr>
                <w:rFonts w:ascii="宋体" w:hAnsi="宋体" w:eastAsia="宋体"/>
                <w:sz w:val="21"/>
                <w:szCs w:val="21"/>
              </w:rPr>
              <w:t>25年总营业收入</w:t>
            </w:r>
          </w:p>
        </w:tc>
        <w:tc>
          <w:tcPr>
            <w:tcW w:w="2130" w:type="dxa"/>
            <w:noWrap w:val="0"/>
            <w:vAlign w:val="center"/>
          </w:tcPr>
          <w:p w14:paraId="46118257">
            <w:pPr>
              <w:pStyle w:val="7"/>
              <w:spacing w:line="300" w:lineRule="auto"/>
              <w:ind w:firstLine="0"/>
              <w:jc w:val="both"/>
              <w:rPr>
                <w:rFonts w:ascii="宋体" w:hAnsi="宋体" w:eastAsia="宋体"/>
                <w:sz w:val="21"/>
                <w:szCs w:val="21"/>
              </w:rPr>
            </w:pPr>
            <w:r>
              <w:rPr>
                <w:rFonts w:ascii="宋体" w:hAnsi="宋体" w:eastAsia="宋体"/>
                <w:sz w:val="21"/>
                <w:szCs w:val="21"/>
              </w:rPr>
              <w:t>万元</w:t>
            </w:r>
          </w:p>
        </w:tc>
      </w:tr>
      <w:tr w14:paraId="54CDD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67" w:hRule="atLeast"/>
          <w:jc w:val="center"/>
        </w:trPr>
        <w:tc>
          <w:tcPr>
            <w:tcW w:w="650" w:type="dxa"/>
            <w:noWrap w:val="0"/>
            <w:vAlign w:val="center"/>
          </w:tcPr>
          <w:p w14:paraId="29BDEA8E">
            <w:pPr>
              <w:pStyle w:val="7"/>
              <w:spacing w:line="300" w:lineRule="auto"/>
              <w:ind w:firstLine="0"/>
              <w:jc w:val="center"/>
              <w:rPr>
                <w:rFonts w:ascii="宋体" w:hAnsi="宋体" w:eastAsia="宋体"/>
                <w:sz w:val="21"/>
                <w:szCs w:val="21"/>
              </w:rPr>
            </w:pPr>
            <w:r>
              <w:rPr>
                <w:rFonts w:ascii="宋体" w:hAnsi="宋体" w:eastAsia="宋体"/>
                <w:sz w:val="21"/>
                <w:szCs w:val="21"/>
              </w:rPr>
              <w:t>7</w:t>
            </w:r>
          </w:p>
        </w:tc>
        <w:tc>
          <w:tcPr>
            <w:tcW w:w="8692" w:type="dxa"/>
            <w:gridSpan w:val="9"/>
            <w:noWrap w:val="0"/>
            <w:vAlign w:val="center"/>
          </w:tcPr>
          <w:p w14:paraId="37A0D613">
            <w:pPr>
              <w:pStyle w:val="7"/>
              <w:spacing w:line="300" w:lineRule="auto"/>
              <w:ind w:firstLine="0"/>
              <w:jc w:val="both"/>
              <w:rPr>
                <w:rFonts w:ascii="宋体" w:hAnsi="宋体" w:eastAsia="宋体"/>
                <w:sz w:val="21"/>
                <w:szCs w:val="21"/>
              </w:rPr>
            </w:pPr>
            <w:r>
              <w:rPr>
                <w:rFonts w:ascii="宋体" w:hAnsi="宋体" w:eastAsia="宋体"/>
                <w:sz w:val="21"/>
                <w:szCs w:val="21"/>
              </w:rPr>
              <w:t>主营范围</w:t>
            </w:r>
          </w:p>
          <w:p w14:paraId="03A36F89">
            <w:pPr>
              <w:pStyle w:val="7"/>
              <w:spacing w:line="300" w:lineRule="auto"/>
              <w:ind w:firstLine="0"/>
              <w:jc w:val="both"/>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____________________________________</w:t>
            </w:r>
          </w:p>
          <w:p w14:paraId="7FCDEEC0">
            <w:pPr>
              <w:pStyle w:val="7"/>
              <w:spacing w:line="300" w:lineRule="auto"/>
              <w:ind w:firstLine="0"/>
              <w:jc w:val="both"/>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____________________________________</w:t>
            </w:r>
          </w:p>
          <w:p w14:paraId="2A10E504">
            <w:pPr>
              <w:pStyle w:val="7"/>
              <w:spacing w:line="300" w:lineRule="auto"/>
              <w:ind w:firstLine="0"/>
              <w:jc w:val="both"/>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ascii="宋体" w:hAnsi="宋体" w:eastAsia="宋体"/>
                <w:sz w:val="21"/>
                <w:szCs w:val="21"/>
              </w:rPr>
              <w:t xml:space="preserve">____________________________________ </w:t>
            </w:r>
          </w:p>
        </w:tc>
      </w:tr>
      <w:tr w14:paraId="5DAB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48" w:hRule="atLeast"/>
          <w:jc w:val="center"/>
        </w:trPr>
        <w:tc>
          <w:tcPr>
            <w:tcW w:w="650" w:type="dxa"/>
            <w:noWrap w:val="0"/>
            <w:vAlign w:val="center"/>
          </w:tcPr>
          <w:p w14:paraId="26DD366F">
            <w:pPr>
              <w:pStyle w:val="7"/>
              <w:spacing w:line="300" w:lineRule="auto"/>
              <w:ind w:firstLine="0"/>
              <w:jc w:val="center"/>
              <w:rPr>
                <w:rFonts w:ascii="宋体" w:hAnsi="宋体" w:eastAsia="宋体"/>
                <w:sz w:val="21"/>
                <w:szCs w:val="21"/>
              </w:rPr>
            </w:pPr>
            <w:r>
              <w:rPr>
                <w:rFonts w:ascii="宋体" w:hAnsi="宋体" w:eastAsia="宋体"/>
                <w:sz w:val="21"/>
                <w:szCs w:val="21"/>
              </w:rPr>
              <w:t>8</w:t>
            </w:r>
          </w:p>
        </w:tc>
        <w:tc>
          <w:tcPr>
            <w:tcW w:w="2445" w:type="dxa"/>
            <w:gridSpan w:val="3"/>
            <w:noWrap w:val="0"/>
            <w:vAlign w:val="center"/>
          </w:tcPr>
          <w:p w14:paraId="0628A297">
            <w:pPr>
              <w:pStyle w:val="7"/>
              <w:spacing w:line="300" w:lineRule="auto"/>
              <w:ind w:firstLine="0"/>
              <w:jc w:val="both"/>
              <w:rPr>
                <w:rFonts w:ascii="宋体" w:hAnsi="宋体" w:eastAsia="宋体"/>
                <w:sz w:val="21"/>
                <w:szCs w:val="21"/>
              </w:rPr>
            </w:pPr>
            <w:r>
              <w:rPr>
                <w:rFonts w:ascii="宋体" w:hAnsi="宋体" w:eastAsia="宋体"/>
                <w:sz w:val="21"/>
                <w:szCs w:val="21"/>
              </w:rPr>
              <w:t>最近3年内在经营过程中受到何种奖励或处分</w:t>
            </w:r>
          </w:p>
        </w:tc>
        <w:tc>
          <w:tcPr>
            <w:tcW w:w="6247" w:type="dxa"/>
            <w:gridSpan w:val="6"/>
            <w:noWrap w:val="0"/>
          </w:tcPr>
          <w:p w14:paraId="3B2E23F6">
            <w:pPr>
              <w:pStyle w:val="7"/>
              <w:spacing w:line="300" w:lineRule="auto"/>
              <w:ind w:firstLine="0"/>
              <w:jc w:val="both"/>
              <w:rPr>
                <w:rFonts w:ascii="宋体" w:hAnsi="宋体" w:eastAsia="宋体"/>
                <w:sz w:val="21"/>
                <w:szCs w:val="21"/>
              </w:rPr>
            </w:pPr>
          </w:p>
        </w:tc>
      </w:tr>
      <w:tr w14:paraId="5983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8" w:hRule="atLeast"/>
          <w:jc w:val="center"/>
        </w:trPr>
        <w:tc>
          <w:tcPr>
            <w:tcW w:w="650" w:type="dxa"/>
            <w:noWrap w:val="0"/>
            <w:vAlign w:val="center"/>
          </w:tcPr>
          <w:p w14:paraId="5D4C322F">
            <w:pPr>
              <w:pStyle w:val="7"/>
              <w:spacing w:line="300" w:lineRule="auto"/>
              <w:ind w:firstLine="0"/>
              <w:jc w:val="center"/>
              <w:rPr>
                <w:rFonts w:ascii="宋体" w:hAnsi="宋体" w:eastAsia="宋体"/>
                <w:sz w:val="21"/>
                <w:szCs w:val="21"/>
              </w:rPr>
            </w:pPr>
            <w:r>
              <w:rPr>
                <w:rFonts w:ascii="宋体" w:hAnsi="宋体" w:eastAsia="宋体"/>
                <w:sz w:val="21"/>
                <w:szCs w:val="21"/>
              </w:rPr>
              <w:t>9</w:t>
            </w:r>
          </w:p>
        </w:tc>
        <w:tc>
          <w:tcPr>
            <w:tcW w:w="2445" w:type="dxa"/>
            <w:gridSpan w:val="3"/>
            <w:noWrap w:val="0"/>
          </w:tcPr>
          <w:p w14:paraId="0A41D88A">
            <w:pPr>
              <w:pStyle w:val="7"/>
              <w:spacing w:line="300" w:lineRule="auto"/>
              <w:ind w:firstLine="0"/>
              <w:jc w:val="both"/>
              <w:rPr>
                <w:rFonts w:ascii="宋体" w:hAnsi="宋体" w:eastAsia="宋体"/>
                <w:sz w:val="21"/>
                <w:szCs w:val="21"/>
              </w:rPr>
            </w:pPr>
            <w:r>
              <w:rPr>
                <w:rFonts w:ascii="宋体" w:hAnsi="宋体" w:eastAsia="宋体"/>
                <w:sz w:val="21"/>
                <w:szCs w:val="21"/>
              </w:rPr>
              <w:t>最近3年内有无因售假、售劣或是其他原因被消费者投诉或起诉的情况及说明</w:t>
            </w:r>
          </w:p>
        </w:tc>
        <w:tc>
          <w:tcPr>
            <w:tcW w:w="6247" w:type="dxa"/>
            <w:gridSpan w:val="6"/>
            <w:noWrap w:val="0"/>
          </w:tcPr>
          <w:p w14:paraId="10EC723A">
            <w:pPr>
              <w:pStyle w:val="7"/>
              <w:spacing w:line="300" w:lineRule="auto"/>
              <w:ind w:firstLine="0"/>
              <w:jc w:val="both"/>
              <w:rPr>
                <w:rFonts w:ascii="宋体" w:hAnsi="宋体" w:eastAsia="宋体"/>
                <w:sz w:val="21"/>
                <w:szCs w:val="21"/>
              </w:rPr>
            </w:pPr>
          </w:p>
        </w:tc>
      </w:tr>
      <w:tr w14:paraId="532C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92" w:hRule="atLeast"/>
          <w:jc w:val="center"/>
        </w:trPr>
        <w:tc>
          <w:tcPr>
            <w:tcW w:w="650" w:type="dxa"/>
            <w:noWrap w:val="0"/>
            <w:vAlign w:val="center"/>
          </w:tcPr>
          <w:p w14:paraId="54EF05EC">
            <w:pPr>
              <w:pStyle w:val="7"/>
              <w:spacing w:line="300" w:lineRule="auto"/>
              <w:ind w:firstLine="0"/>
              <w:jc w:val="center"/>
              <w:rPr>
                <w:rFonts w:ascii="宋体" w:hAnsi="宋体" w:eastAsia="宋体"/>
                <w:sz w:val="21"/>
                <w:szCs w:val="21"/>
              </w:rPr>
            </w:pPr>
            <w:r>
              <w:rPr>
                <w:rFonts w:ascii="宋体" w:hAnsi="宋体" w:eastAsia="宋体"/>
                <w:sz w:val="21"/>
                <w:szCs w:val="21"/>
              </w:rPr>
              <w:t>10</w:t>
            </w:r>
          </w:p>
        </w:tc>
        <w:tc>
          <w:tcPr>
            <w:tcW w:w="8692" w:type="dxa"/>
            <w:gridSpan w:val="9"/>
            <w:noWrap w:val="0"/>
            <w:vAlign w:val="center"/>
          </w:tcPr>
          <w:p w14:paraId="4B3A8643">
            <w:pPr>
              <w:pStyle w:val="7"/>
              <w:spacing w:line="300" w:lineRule="auto"/>
              <w:ind w:firstLine="0"/>
              <w:jc w:val="both"/>
              <w:rPr>
                <w:rFonts w:ascii="宋体" w:hAnsi="宋体" w:eastAsia="宋体"/>
                <w:sz w:val="21"/>
                <w:szCs w:val="21"/>
              </w:rPr>
            </w:pPr>
            <w:r>
              <w:rPr>
                <w:rFonts w:ascii="宋体" w:hAnsi="宋体" w:eastAsia="宋体"/>
                <w:sz w:val="21"/>
                <w:szCs w:val="21"/>
              </w:rPr>
              <w:t>其他需要说明的情况</w:t>
            </w:r>
          </w:p>
        </w:tc>
      </w:tr>
    </w:tbl>
    <w:p w14:paraId="5BC399BC">
      <w:pPr>
        <w:pStyle w:val="7"/>
        <w:spacing w:line="300" w:lineRule="auto"/>
        <w:ind w:firstLine="0"/>
        <w:rPr>
          <w:rFonts w:ascii="宋体" w:hAnsi="宋体" w:eastAsia="宋体"/>
          <w:b/>
          <w:sz w:val="21"/>
          <w:szCs w:val="21"/>
        </w:rPr>
      </w:pPr>
    </w:p>
    <w:p w14:paraId="141DB1A7">
      <w:pPr>
        <w:pStyle w:val="7"/>
        <w:ind w:firstLine="0"/>
        <w:rPr>
          <w:rFonts w:ascii="宋体" w:hAnsi="宋体" w:eastAsia="宋体"/>
          <w:b/>
          <w:szCs w:val="21"/>
        </w:rPr>
      </w:pPr>
    </w:p>
    <w:p w14:paraId="142008F8">
      <w:pPr>
        <w:pStyle w:val="7"/>
        <w:ind w:firstLine="0"/>
        <w:rPr>
          <w:rFonts w:ascii="宋体" w:hAnsi="宋体" w:eastAsia="宋体"/>
          <w:b/>
          <w:szCs w:val="21"/>
        </w:rPr>
      </w:pPr>
    </w:p>
    <w:p w14:paraId="57C97890">
      <w:pPr>
        <w:pStyle w:val="7"/>
        <w:ind w:firstLine="0"/>
        <w:rPr>
          <w:rFonts w:ascii="宋体" w:hAnsi="宋体" w:eastAsia="宋体"/>
          <w:b/>
          <w:szCs w:val="21"/>
        </w:rPr>
      </w:pPr>
    </w:p>
    <w:p w14:paraId="314C5620">
      <w:pPr>
        <w:rPr>
          <w:rFonts w:ascii="宋体" w:hAnsi="宋体"/>
          <w:b/>
          <w:bCs/>
          <w:sz w:val="30"/>
          <w:szCs w:val="30"/>
        </w:rPr>
      </w:pPr>
    </w:p>
    <w:p w14:paraId="1F41A876">
      <w:pPr>
        <w:pStyle w:val="6"/>
        <w:rPr>
          <w:rFonts w:ascii="宋体" w:hAnsi="宋体" w:eastAsia="宋体" w:cs="宋体"/>
        </w:rPr>
      </w:pPr>
      <w:bookmarkStart w:id="28" w:name="_Ref19507"/>
      <w:r>
        <w:rPr>
          <w:rFonts w:hint="eastAsia" w:ascii="宋体" w:hAnsi="宋体" w:eastAsia="宋体" w:cs="宋体"/>
        </w:rPr>
        <w:t>四、远程参与开标会议诚信承诺书</w:t>
      </w:r>
      <w:bookmarkEnd w:id="28"/>
    </w:p>
    <w:p w14:paraId="09D1273A">
      <w:pPr>
        <w:spacing w:line="360" w:lineRule="auto"/>
        <w:rPr>
          <w:rFonts w:ascii="宋体" w:hAnsi="宋体"/>
          <w:u w:val="single"/>
        </w:rPr>
      </w:pPr>
      <w:r>
        <w:rPr>
          <w:rFonts w:hint="eastAsia" w:ascii="宋体" w:hAnsi="宋体"/>
        </w:rPr>
        <w:t xml:space="preserve">致： </w:t>
      </w:r>
      <w:r>
        <w:rPr>
          <w:rFonts w:hint="eastAsia" w:ascii="宋体" w:hAnsi="宋体"/>
          <w:u w:val="single"/>
        </w:rPr>
        <w:t>（采购人名称）、江苏省鼎诚建设工程顾问有限公司</w:t>
      </w:r>
    </w:p>
    <w:p w14:paraId="510D545F">
      <w:pPr>
        <w:spacing w:line="360" w:lineRule="auto"/>
        <w:ind w:firstLine="420"/>
        <w:rPr>
          <w:rFonts w:ascii="宋体" w:hAnsi="宋体"/>
        </w:rPr>
      </w:pPr>
      <w:r>
        <w:rPr>
          <w:rFonts w:hint="eastAsia" w:ascii="宋体" w:hAnsi="宋体"/>
        </w:rPr>
        <w:t>我方郑重承诺：遵循公开、公平、公正和诚实守信的原则，参加本次远程开标会议，是我方真实意思的表达。</w:t>
      </w:r>
    </w:p>
    <w:p w14:paraId="1ABB75CC">
      <w:pPr>
        <w:spacing w:line="360" w:lineRule="auto"/>
        <w:ind w:firstLine="420"/>
        <w:rPr>
          <w:rFonts w:ascii="宋体" w:hAnsi="宋体"/>
          <w:szCs w:val="21"/>
          <w:lang w:val="zh-CN"/>
        </w:rPr>
      </w:pPr>
      <w:r>
        <w:rPr>
          <w:rFonts w:hint="eastAsia" w:ascii="宋体" w:hAnsi="宋体"/>
          <w:szCs w:val="21"/>
          <w:lang w:val="zh-CN"/>
        </w:rPr>
        <w:t>一、不出借、买卖、伪造、涂改企业和从业人员的资质证书、营业执照、资格业绩、印章以及其他相关资信证明文件，严禁其他企业或个人以我公司的名义投标（响应）。</w:t>
      </w:r>
    </w:p>
    <w:p w14:paraId="73CE4828">
      <w:pPr>
        <w:spacing w:line="360" w:lineRule="auto"/>
        <w:ind w:firstLine="420"/>
        <w:rPr>
          <w:rFonts w:ascii="宋体" w:hAnsi="宋体"/>
          <w:szCs w:val="21"/>
          <w:lang w:val="zh-CN"/>
        </w:rPr>
      </w:pPr>
      <w:r>
        <w:rPr>
          <w:rFonts w:hint="eastAsia" w:ascii="宋体" w:hAnsi="宋体"/>
          <w:szCs w:val="21"/>
          <w:lang w:val="zh-CN"/>
        </w:rPr>
        <w:t>二、严格遵守法律、法规和采购文件规定的投标（响应）程序。不隐瞒真实情况，不弄虚作假，不骗取投标（响应）和中标（成交）资格。</w:t>
      </w:r>
    </w:p>
    <w:p w14:paraId="38A315C2">
      <w:pPr>
        <w:spacing w:line="360" w:lineRule="auto"/>
        <w:ind w:firstLine="420"/>
        <w:rPr>
          <w:rFonts w:ascii="宋体" w:hAnsi="宋体"/>
          <w:szCs w:val="21"/>
          <w:lang w:val="zh-CN"/>
        </w:rPr>
      </w:pPr>
      <w:r>
        <w:rPr>
          <w:rFonts w:hint="eastAsia" w:ascii="宋体" w:hAnsi="宋体"/>
          <w:szCs w:val="21"/>
          <w:lang w:val="zh-CN"/>
        </w:rPr>
        <w:t>三、坚决抵制和杜绝串标、围标、哄抬报价、贿赂、回扣等违法投标（响应）和不正当竞争行为。</w:t>
      </w:r>
    </w:p>
    <w:p w14:paraId="31F7E477">
      <w:pPr>
        <w:spacing w:line="360" w:lineRule="auto"/>
        <w:ind w:firstLine="420"/>
        <w:rPr>
          <w:rFonts w:ascii="宋体" w:hAnsi="宋体"/>
          <w:szCs w:val="21"/>
          <w:lang w:val="zh-CN"/>
        </w:rPr>
      </w:pPr>
      <w:r>
        <w:rPr>
          <w:rFonts w:hint="eastAsia" w:ascii="宋体" w:hAnsi="宋体"/>
          <w:szCs w:val="21"/>
          <w:lang w:val="zh-CN"/>
        </w:rPr>
        <w:t>四、依法经营，公平竞争，不采取违法、违规或不正当手段损害、侵犯同行企业的正当权益。</w:t>
      </w:r>
    </w:p>
    <w:p w14:paraId="6E55AFDF">
      <w:pPr>
        <w:spacing w:line="360" w:lineRule="auto"/>
        <w:ind w:firstLine="420"/>
        <w:rPr>
          <w:rFonts w:ascii="宋体" w:hAnsi="宋体"/>
          <w:szCs w:val="21"/>
          <w:lang w:val="zh-CN"/>
        </w:rPr>
      </w:pPr>
      <w:r>
        <w:rPr>
          <w:rFonts w:hint="eastAsia" w:ascii="宋体" w:hAnsi="宋体"/>
          <w:szCs w:val="21"/>
          <w:lang w:val="zh-CN"/>
        </w:rPr>
        <w:t>五、遵守指令、不擅离职守。开标评审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响应）资格在内的任何处理结果。</w:t>
      </w:r>
    </w:p>
    <w:p w14:paraId="21AC6CA4">
      <w:pPr>
        <w:spacing w:line="360" w:lineRule="auto"/>
        <w:ind w:firstLine="420"/>
        <w:rPr>
          <w:rFonts w:ascii="宋体" w:hAnsi="宋体"/>
          <w:szCs w:val="21"/>
          <w:lang w:val="zh-CN"/>
        </w:rPr>
      </w:pPr>
      <w:r>
        <w:rPr>
          <w:rFonts w:hint="eastAsia" w:ascii="宋体" w:hAnsi="宋体"/>
          <w:szCs w:val="21"/>
          <w:lang w:val="zh-CN"/>
        </w:rPr>
        <w:t>六、确保设施、设备工况良好。我方将负责提前检查电力供应、网络环境和远程开标会议有关设施、设备的稳定性和安全性，因我方原因导致无法完成投标（响应）或者不能进行现场实时交互的，均由我方自行承担一切后果。</w:t>
      </w:r>
    </w:p>
    <w:p w14:paraId="2059B33E">
      <w:pPr>
        <w:spacing w:line="360" w:lineRule="auto"/>
        <w:ind w:firstLine="420"/>
        <w:rPr>
          <w:rFonts w:ascii="宋体" w:hAnsi="宋体"/>
          <w:szCs w:val="21"/>
          <w:lang w:val="zh-CN"/>
        </w:rPr>
      </w:pPr>
      <w:r>
        <w:rPr>
          <w:rFonts w:hint="eastAsia" w:ascii="宋体" w:hAnsi="宋体"/>
          <w:szCs w:val="21"/>
          <w:lang w:val="zh-CN"/>
        </w:rPr>
        <w:t>七、不向采购人或评审专家或相关人员行贿，以牟取中标。</w:t>
      </w:r>
    </w:p>
    <w:p w14:paraId="18BA33A7">
      <w:pPr>
        <w:spacing w:line="360" w:lineRule="auto"/>
        <w:ind w:firstLine="420"/>
        <w:rPr>
          <w:rFonts w:ascii="宋体" w:hAnsi="宋体"/>
          <w:szCs w:val="21"/>
          <w:lang w:val="zh-CN"/>
        </w:rPr>
      </w:pPr>
      <w:r>
        <w:rPr>
          <w:rFonts w:hint="eastAsia" w:ascii="宋体" w:hAnsi="宋体"/>
          <w:szCs w:val="21"/>
          <w:lang w:val="zh-CN"/>
        </w:rPr>
        <w:t>八、我方将在法律、法规框架允许的范围内就有关评审过程中的事项向管理人员提出咨询或疑问。</w:t>
      </w:r>
    </w:p>
    <w:p w14:paraId="72A6C312">
      <w:pPr>
        <w:spacing w:line="360" w:lineRule="auto"/>
        <w:ind w:firstLine="420"/>
        <w:rPr>
          <w:rFonts w:ascii="宋体" w:hAnsi="宋体"/>
          <w:szCs w:val="21"/>
          <w:lang w:val="zh-CN"/>
        </w:rPr>
      </w:pPr>
      <w:r>
        <w:rPr>
          <w:rFonts w:hint="eastAsia" w:ascii="宋体" w:hAnsi="宋体"/>
          <w:szCs w:val="21"/>
          <w:lang w:val="zh-CN"/>
        </w:rPr>
        <w:t>九、我方若有违反承诺内容的行为，自愿接受取消投标（响应）资格、将不良行为记录记入档案、没收投标（响应）保证金等有关处理，并承担相应的法律责任。给采购人造成损失的，依法承担赔偿责任。</w:t>
      </w:r>
    </w:p>
    <w:p w14:paraId="6CEA90BC">
      <w:pPr>
        <w:spacing w:line="360" w:lineRule="auto"/>
        <w:ind w:firstLine="420"/>
        <w:rPr>
          <w:rFonts w:ascii="宋体" w:hAnsi="宋体"/>
          <w:szCs w:val="21"/>
          <w:lang w:val="zh-CN"/>
        </w:rPr>
      </w:pPr>
    </w:p>
    <w:p w14:paraId="2F90ED96">
      <w:pPr>
        <w:pStyle w:val="17"/>
        <w:jc w:val="left"/>
        <w:rPr>
          <w:rFonts w:hAnsi="宋体" w:eastAsia="宋体"/>
          <w:sz w:val="21"/>
          <w:szCs w:val="21"/>
        </w:rPr>
      </w:pPr>
      <w:r>
        <w:rPr>
          <w:rFonts w:hAnsi="宋体" w:eastAsia="宋体"/>
          <w:sz w:val="21"/>
          <w:szCs w:val="21"/>
        </w:rPr>
        <w:t>投标单位：（</w:t>
      </w:r>
      <w:r>
        <w:rPr>
          <w:rFonts w:hint="eastAsia" w:hAnsi="宋体" w:eastAsia="宋体"/>
          <w:sz w:val="21"/>
          <w:szCs w:val="21"/>
        </w:rPr>
        <w:t>单位盖章</w:t>
      </w:r>
      <w:r>
        <w:rPr>
          <w:rFonts w:hAnsi="宋体" w:eastAsia="宋体"/>
          <w:sz w:val="21"/>
          <w:szCs w:val="21"/>
        </w:rPr>
        <w:t>）</w:t>
      </w:r>
    </w:p>
    <w:p w14:paraId="047A4CF7">
      <w:pPr>
        <w:pStyle w:val="17"/>
        <w:rPr>
          <w:rFonts w:hAnsi="宋体" w:eastAsia="宋体"/>
          <w:sz w:val="21"/>
          <w:szCs w:val="21"/>
        </w:rPr>
      </w:pPr>
      <w:r>
        <w:rPr>
          <w:rFonts w:hAnsi="宋体" w:eastAsia="宋体"/>
          <w:sz w:val="21"/>
          <w:szCs w:val="21"/>
        </w:rPr>
        <w:t>法定代表人或授权委托人：（签字或盖章）</w:t>
      </w:r>
    </w:p>
    <w:p w14:paraId="57C76705">
      <w:pPr>
        <w:pStyle w:val="17"/>
        <w:rPr>
          <w:rFonts w:hAnsi="宋体" w:eastAsia="宋体"/>
          <w:b/>
          <w:sz w:val="21"/>
          <w:szCs w:val="21"/>
        </w:rPr>
      </w:pPr>
      <w:r>
        <w:rPr>
          <w:rFonts w:hAnsi="宋体" w:eastAsia="宋体"/>
          <w:sz w:val="21"/>
          <w:szCs w:val="21"/>
        </w:rPr>
        <w:t>日期：</w:t>
      </w:r>
      <w:r>
        <w:rPr>
          <w:rFonts w:hint="eastAsia" w:hAnsi="宋体" w:eastAsia="宋体"/>
          <w:sz w:val="21"/>
          <w:szCs w:val="21"/>
        </w:rPr>
        <w:t xml:space="preserve">      </w:t>
      </w:r>
      <w:r>
        <w:rPr>
          <w:rFonts w:hAnsi="宋体" w:eastAsia="宋体"/>
          <w:sz w:val="21"/>
          <w:szCs w:val="21"/>
        </w:rPr>
        <w:t>年</w:t>
      </w:r>
      <w:r>
        <w:rPr>
          <w:rFonts w:hint="eastAsia" w:hAnsi="宋体" w:eastAsia="宋体"/>
          <w:sz w:val="21"/>
          <w:szCs w:val="21"/>
        </w:rPr>
        <w:t xml:space="preserve">  </w:t>
      </w:r>
      <w:r>
        <w:rPr>
          <w:rFonts w:hAnsi="宋体" w:eastAsia="宋体"/>
          <w:sz w:val="21"/>
          <w:szCs w:val="21"/>
        </w:rPr>
        <w:t>月</w:t>
      </w:r>
      <w:r>
        <w:rPr>
          <w:rFonts w:hint="eastAsia" w:hAnsi="宋体" w:eastAsia="宋体"/>
          <w:sz w:val="21"/>
          <w:szCs w:val="21"/>
        </w:rPr>
        <w:t xml:space="preserve">  </w:t>
      </w:r>
      <w:r>
        <w:rPr>
          <w:rFonts w:hAnsi="宋体" w:eastAsia="宋体"/>
          <w:sz w:val="21"/>
          <w:szCs w:val="21"/>
        </w:rPr>
        <w:t>日</w:t>
      </w:r>
    </w:p>
    <w:p w14:paraId="0B8BD15A">
      <w:pPr>
        <w:pStyle w:val="17"/>
        <w:spacing w:line="360" w:lineRule="auto"/>
        <w:ind w:firstLine="359"/>
        <w:jc w:val="right"/>
        <w:rPr>
          <w:rFonts w:hAnsi="宋体" w:eastAsia="宋体"/>
          <w:b/>
          <w:sz w:val="21"/>
          <w:szCs w:val="21"/>
        </w:rPr>
      </w:pPr>
    </w:p>
    <w:p w14:paraId="77EDD236">
      <w:pPr>
        <w:rPr>
          <w:rFonts w:ascii="宋体" w:hAnsi="宋体" w:cs="宋体"/>
        </w:rPr>
      </w:pPr>
      <w:bookmarkStart w:id="29" w:name="_Ref75443174"/>
      <w:bookmarkStart w:id="30" w:name="_Ref90588241"/>
      <w:r>
        <w:rPr>
          <w:rFonts w:hint="eastAsia" w:ascii="宋体" w:hAnsi="宋体" w:cs="宋体"/>
        </w:rPr>
        <w:br w:type="page" w:clear="all"/>
      </w:r>
    </w:p>
    <w:p w14:paraId="7AAD1F3B">
      <w:pPr>
        <w:pStyle w:val="6"/>
        <w:rPr>
          <w:rFonts w:ascii="宋体" w:hAnsi="宋体" w:eastAsia="宋体" w:cs="宋体"/>
        </w:rPr>
      </w:pPr>
      <w:r>
        <w:rPr>
          <w:rFonts w:hint="eastAsia" w:ascii="宋体" w:hAnsi="宋体" w:eastAsia="宋体" w:cs="宋体"/>
        </w:rPr>
        <w:t>五、开标一览表</w:t>
      </w:r>
      <w:bookmarkEnd w:id="29"/>
      <w:bookmarkEnd w:id="30"/>
    </w:p>
    <w:p w14:paraId="40DB6737">
      <w:pPr>
        <w:ind w:firstLine="480"/>
        <w:rPr>
          <w:rFonts w:ascii="宋体" w:hAnsi="宋体"/>
          <w:szCs w:val="21"/>
        </w:rPr>
      </w:pPr>
      <w:r>
        <w:rPr>
          <w:rFonts w:hint="eastAsia" w:ascii="宋体" w:hAnsi="宋体"/>
          <w:szCs w:val="21"/>
        </w:rPr>
        <w:t>投标人全称（加盖CA电子签章）：</w:t>
      </w:r>
    </w:p>
    <w:p w14:paraId="60AAD936">
      <w:pPr>
        <w:ind w:firstLine="480"/>
        <w:rPr>
          <w:rFonts w:ascii="宋体" w:hAnsi="宋体"/>
          <w:szCs w:val="21"/>
        </w:rPr>
      </w:pPr>
      <w:r>
        <w:rPr>
          <w:rFonts w:hint="eastAsia" w:ascii="宋体" w:hAnsi="宋体"/>
          <w:szCs w:val="21"/>
        </w:rPr>
        <w:t xml:space="preserve">项目编号：                                   </w:t>
      </w:r>
    </w:p>
    <w:p w14:paraId="2649B0D0">
      <w:pPr>
        <w:ind w:firstLine="480"/>
        <w:rPr>
          <w:rFonts w:ascii="宋体" w:hAnsi="宋体"/>
          <w:color w:val="000000"/>
          <w:szCs w:val="21"/>
        </w:rPr>
      </w:pPr>
      <w:r>
        <w:rPr>
          <w:rFonts w:hint="eastAsia" w:ascii="宋体" w:hAnsi="宋体"/>
          <w:color w:val="000000"/>
          <w:szCs w:val="21"/>
        </w:rPr>
        <w:t>分包号：</w:t>
      </w:r>
    </w:p>
    <w:tbl>
      <w:tblPr>
        <w:tblStyle w:val="13"/>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15" w:type="dxa"/>
          <w:left w:w="15" w:type="dxa"/>
          <w:bottom w:w="15" w:type="dxa"/>
          <w:right w:w="15" w:type="dxa"/>
        </w:tblCellMar>
      </w:tblPr>
      <w:tblGrid>
        <w:gridCol w:w="3875"/>
        <w:gridCol w:w="4744"/>
      </w:tblGrid>
      <w:tr w14:paraId="1905FE2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15" w:type="dxa"/>
            <w:left w:w="15" w:type="dxa"/>
            <w:bottom w:w="15" w:type="dxa"/>
            <w:right w:w="15" w:type="dxa"/>
          </w:tblCellMar>
        </w:tblPrEx>
        <w:trPr>
          <w:trHeight w:val="679" w:hRule="atLeast"/>
          <w:jc w:val="center"/>
        </w:trPr>
        <w:tc>
          <w:tcPr>
            <w:tcW w:w="3875" w:type="dxa"/>
            <w:shd w:val="clear" w:color="auto" w:fill="auto"/>
            <w:noWrap w:val="0"/>
            <w:tcMar>
              <w:top w:w="15" w:type="dxa"/>
              <w:left w:w="15" w:type="dxa"/>
              <w:bottom w:w="15" w:type="dxa"/>
              <w:right w:w="15" w:type="dxa"/>
            </w:tcMar>
            <w:vAlign w:val="center"/>
          </w:tcPr>
          <w:p w14:paraId="22011A88">
            <w:pPr>
              <w:pBdr>
                <w:top w:val="none" w:color="000000" w:sz="0" w:space="0"/>
                <w:left w:val="none" w:color="000000" w:sz="0" w:space="0"/>
                <w:bottom w:val="none" w:color="000000" w:sz="0" w:space="0"/>
                <w:right w:val="none" w:color="000000" w:sz="0" w:space="0"/>
              </w:pBdr>
            </w:pPr>
            <w:r>
              <w:rPr>
                <w:rFonts w:ascii="宋体" w:hAnsi="宋体" w:cs="宋体"/>
                <w:color w:val="000000"/>
              </w:rPr>
              <w:t>项目名称</w:t>
            </w:r>
          </w:p>
        </w:tc>
        <w:tc>
          <w:tcPr>
            <w:tcW w:w="4744" w:type="dxa"/>
            <w:shd w:val="clear" w:color="auto" w:fill="auto"/>
            <w:noWrap w:val="0"/>
            <w:tcMar>
              <w:top w:w="15" w:type="dxa"/>
              <w:left w:w="15" w:type="dxa"/>
              <w:bottom w:w="15" w:type="dxa"/>
              <w:right w:w="15" w:type="dxa"/>
            </w:tcMar>
            <w:vAlign w:val="center"/>
          </w:tcPr>
          <w:p w14:paraId="678865B3">
            <w:pPr>
              <w:pBdr>
                <w:top w:val="none" w:color="000000" w:sz="0" w:space="0"/>
                <w:left w:val="none" w:color="000000" w:sz="0" w:space="0"/>
                <w:bottom w:val="none" w:color="000000" w:sz="0" w:space="0"/>
                <w:right w:val="none" w:color="000000" w:sz="0" w:space="0"/>
              </w:pBdr>
            </w:pPr>
            <w:r>
              <w:rPr>
                <w:rFonts w:ascii="宋体" w:hAnsi="宋体" w:cs="宋体"/>
                <w:color w:val="000000"/>
              </w:rPr>
              <w:t>投标报价</w:t>
            </w:r>
          </w:p>
        </w:tc>
      </w:tr>
      <w:tr w14:paraId="1D30A6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15" w:type="dxa"/>
            <w:left w:w="15" w:type="dxa"/>
            <w:bottom w:w="15" w:type="dxa"/>
            <w:right w:w="15" w:type="dxa"/>
          </w:tblCellMar>
        </w:tblPrEx>
        <w:trPr>
          <w:trHeight w:val="651" w:hRule="atLeast"/>
          <w:jc w:val="center"/>
        </w:trPr>
        <w:tc>
          <w:tcPr>
            <w:tcW w:w="3875" w:type="dxa"/>
            <w:shd w:val="clear" w:color="auto" w:fill="auto"/>
            <w:noWrap w:val="0"/>
            <w:tcMar>
              <w:top w:w="15" w:type="dxa"/>
              <w:left w:w="15" w:type="dxa"/>
              <w:bottom w:w="15" w:type="dxa"/>
              <w:right w:w="15" w:type="dxa"/>
            </w:tcMar>
            <w:vAlign w:val="center"/>
          </w:tcPr>
          <w:p w14:paraId="54970CB2">
            <w:pPr>
              <w:pBdr>
                <w:top w:val="none" w:color="000000" w:sz="0" w:space="0"/>
                <w:left w:val="none" w:color="000000" w:sz="0" w:space="0"/>
                <w:bottom w:val="none" w:color="000000" w:sz="0" w:space="0"/>
                <w:right w:val="none" w:color="000000" w:sz="0" w:space="0"/>
              </w:pBdr>
            </w:pPr>
            <w:r>
              <w:rPr>
                <w:rFonts w:ascii="宋体" w:hAnsi="宋体" w:cs="宋体"/>
                <w:color w:val="000000"/>
              </w:rPr>
              <w:t>项目名称 </w:t>
            </w:r>
          </w:p>
        </w:tc>
        <w:tc>
          <w:tcPr>
            <w:tcW w:w="4744" w:type="dxa"/>
            <w:shd w:val="clear" w:color="auto" w:fill="auto"/>
            <w:noWrap w:val="0"/>
            <w:tcMar>
              <w:top w:w="15" w:type="dxa"/>
              <w:left w:w="15" w:type="dxa"/>
              <w:bottom w:w="15" w:type="dxa"/>
              <w:right w:w="15" w:type="dxa"/>
            </w:tcMar>
            <w:vAlign w:val="center"/>
          </w:tcPr>
          <w:p w14:paraId="623AAD1A">
            <w:pPr>
              <w:pBdr>
                <w:top w:val="none" w:color="000000" w:sz="0" w:space="0"/>
                <w:left w:val="none" w:color="000000" w:sz="0" w:space="0"/>
                <w:bottom w:val="none" w:color="000000" w:sz="0" w:space="0"/>
                <w:right w:val="none" w:color="000000" w:sz="0" w:space="0"/>
              </w:pBdr>
            </w:pPr>
            <w:r>
              <w:rPr>
                <w:rFonts w:ascii="宋体" w:hAnsi="宋体" w:cs="宋体"/>
                <w:color w:val="000000"/>
              </w:rPr>
              <w:t>小写：   元</w:t>
            </w:r>
          </w:p>
        </w:tc>
      </w:tr>
      <w:tr w14:paraId="2DB95D8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15" w:type="dxa"/>
            <w:left w:w="15" w:type="dxa"/>
            <w:bottom w:w="15" w:type="dxa"/>
            <w:right w:w="15" w:type="dxa"/>
          </w:tblCellMar>
        </w:tblPrEx>
        <w:trPr>
          <w:trHeight w:val="689" w:hRule="atLeast"/>
          <w:jc w:val="center"/>
        </w:trPr>
        <w:tc>
          <w:tcPr>
            <w:tcW w:w="3875" w:type="dxa"/>
            <w:shd w:val="clear" w:color="auto" w:fill="auto"/>
            <w:noWrap w:val="0"/>
            <w:tcMar>
              <w:top w:w="15" w:type="dxa"/>
              <w:left w:w="15" w:type="dxa"/>
              <w:bottom w:w="15" w:type="dxa"/>
              <w:right w:w="15" w:type="dxa"/>
            </w:tcMar>
            <w:vAlign w:val="center"/>
          </w:tcPr>
          <w:p w14:paraId="5798D03C">
            <w:pPr>
              <w:pBdr>
                <w:top w:val="none" w:color="000000" w:sz="0" w:space="0"/>
                <w:left w:val="none" w:color="000000" w:sz="0" w:space="0"/>
                <w:bottom w:val="none" w:color="000000" w:sz="0" w:space="0"/>
                <w:right w:val="none" w:color="000000" w:sz="0" w:space="0"/>
              </w:pBdr>
            </w:pPr>
            <w:r>
              <w:rPr>
                <w:rFonts w:ascii="宋体" w:hAnsi="宋体" w:cs="宋体"/>
                <w:color w:val="000000"/>
              </w:rPr>
              <w:t>投标报价大写金额</w:t>
            </w:r>
          </w:p>
        </w:tc>
        <w:tc>
          <w:tcPr>
            <w:tcW w:w="4744" w:type="dxa"/>
            <w:shd w:val="clear" w:color="auto" w:fill="auto"/>
            <w:noWrap w:val="0"/>
            <w:tcMar>
              <w:top w:w="15" w:type="dxa"/>
              <w:left w:w="15" w:type="dxa"/>
              <w:bottom w:w="15" w:type="dxa"/>
              <w:right w:w="15" w:type="dxa"/>
            </w:tcMar>
            <w:vAlign w:val="center"/>
          </w:tcPr>
          <w:p w14:paraId="50563C29">
            <w:pPr>
              <w:pBdr>
                <w:top w:val="none" w:color="000000" w:sz="0" w:space="0"/>
                <w:left w:val="none" w:color="000000" w:sz="0" w:space="0"/>
                <w:bottom w:val="none" w:color="000000" w:sz="0" w:space="0"/>
                <w:right w:val="none" w:color="000000" w:sz="0" w:space="0"/>
              </w:pBdr>
            </w:pPr>
            <w:r>
              <w:rPr>
                <w:rFonts w:ascii="宋体" w:hAnsi="宋体" w:cs="宋体"/>
                <w:color w:val="000000"/>
              </w:rPr>
              <w:t>金额大写 </w:t>
            </w:r>
          </w:p>
        </w:tc>
      </w:tr>
    </w:tbl>
    <w:p w14:paraId="32A67AA1">
      <w:pPr>
        <w:ind w:firstLine="480"/>
        <w:rPr>
          <w:rFonts w:ascii="宋体" w:hAnsi="宋体"/>
          <w:color w:val="000000"/>
          <w:szCs w:val="21"/>
        </w:rPr>
      </w:pPr>
    </w:p>
    <w:p w14:paraId="739163C1">
      <w:pPr>
        <w:pStyle w:val="16"/>
        <w:spacing w:line="360" w:lineRule="auto"/>
        <w:ind w:firstLine="210"/>
        <w:jc w:val="right"/>
        <w:rPr>
          <w:rFonts w:hAnsi="宋体" w:eastAsia="宋体"/>
          <w:color w:val="000000"/>
          <w:sz w:val="21"/>
          <w:szCs w:val="21"/>
        </w:rPr>
      </w:pPr>
    </w:p>
    <w:p w14:paraId="4D113CF4">
      <w:pPr>
        <w:pStyle w:val="16"/>
        <w:spacing w:line="360" w:lineRule="auto"/>
        <w:ind w:firstLine="210"/>
        <w:jc w:val="right"/>
        <w:rPr>
          <w:rFonts w:hAnsi="宋体" w:eastAsia="宋体"/>
          <w:color w:val="000000"/>
          <w:sz w:val="21"/>
          <w:szCs w:val="21"/>
        </w:rPr>
      </w:pPr>
      <w:r>
        <w:rPr>
          <w:rFonts w:hint="eastAsia" w:hAnsi="宋体" w:eastAsia="宋体"/>
          <w:color w:val="000000"/>
          <w:sz w:val="21"/>
          <w:szCs w:val="21"/>
        </w:rPr>
        <w:t xml:space="preserve">日期：    </w:t>
      </w:r>
      <w:r>
        <w:rPr>
          <w:rFonts w:hAnsi="宋体" w:eastAsia="宋体"/>
          <w:color w:val="000000"/>
          <w:sz w:val="21"/>
          <w:szCs w:val="21"/>
        </w:rPr>
        <w:t>年  月  日</w:t>
      </w:r>
    </w:p>
    <w:p w14:paraId="110609B1">
      <w:pPr>
        <w:pStyle w:val="16"/>
        <w:spacing w:line="360" w:lineRule="auto"/>
        <w:ind w:firstLine="210"/>
        <w:jc w:val="left"/>
        <w:rPr>
          <w:rFonts w:hAnsi="宋体" w:eastAsia="宋体"/>
          <w:sz w:val="21"/>
          <w:szCs w:val="21"/>
        </w:rPr>
      </w:pPr>
    </w:p>
    <w:p w14:paraId="1B81F3BE">
      <w:pPr>
        <w:pStyle w:val="16"/>
        <w:spacing w:line="360" w:lineRule="auto"/>
        <w:ind w:firstLine="405"/>
        <w:rPr>
          <w:rFonts w:hAnsi="宋体" w:eastAsia="宋体"/>
          <w:sz w:val="21"/>
          <w:szCs w:val="21"/>
        </w:rPr>
      </w:pPr>
    </w:p>
    <w:p w14:paraId="6A705A45">
      <w:pPr>
        <w:pStyle w:val="16"/>
        <w:spacing w:line="360" w:lineRule="auto"/>
        <w:ind w:firstLine="405"/>
        <w:rPr>
          <w:rFonts w:hAnsi="宋体" w:eastAsia="宋体"/>
          <w:sz w:val="21"/>
          <w:szCs w:val="21"/>
        </w:rPr>
      </w:pPr>
    </w:p>
    <w:p w14:paraId="63A7AC35">
      <w:pPr>
        <w:pStyle w:val="16"/>
        <w:spacing w:line="360" w:lineRule="auto"/>
        <w:ind w:firstLine="405"/>
        <w:rPr>
          <w:rFonts w:hAnsi="宋体" w:eastAsia="宋体"/>
          <w:sz w:val="21"/>
          <w:szCs w:val="21"/>
        </w:rPr>
      </w:pPr>
    </w:p>
    <w:p w14:paraId="68B2ABC0">
      <w:pPr>
        <w:pStyle w:val="18"/>
        <w:rPr>
          <w:rFonts w:hAnsi="宋体" w:eastAsia="宋体"/>
          <w:bCs/>
          <w:sz w:val="21"/>
          <w:szCs w:val="21"/>
        </w:rPr>
      </w:pPr>
      <w:bookmarkStart w:id="31" w:name="_Toc521586598"/>
      <w:bookmarkStart w:id="32" w:name="_Toc522624854"/>
      <w:bookmarkStart w:id="33" w:name="_Toc519609407"/>
      <w:bookmarkStart w:id="34" w:name="_Toc8652604"/>
      <w:bookmarkStart w:id="35" w:name="_Toc483385150"/>
      <w:bookmarkStart w:id="36" w:name="_Ref477866519"/>
    </w:p>
    <w:p w14:paraId="7C3B3340">
      <w:pPr>
        <w:spacing w:line="520" w:lineRule="exact"/>
        <w:rPr>
          <w:rFonts w:ascii="宋体" w:hAnsi="宋体"/>
          <w:b/>
          <w:color w:val="000000"/>
          <w:szCs w:val="21"/>
        </w:rPr>
      </w:pPr>
      <w:r>
        <w:rPr>
          <w:rFonts w:hint="eastAsia" w:ascii="宋体" w:hAnsi="宋体"/>
          <w:b/>
          <w:color w:val="000000"/>
          <w:sz w:val="24"/>
        </w:rPr>
        <w:t>注：</w:t>
      </w:r>
      <w:r>
        <w:rPr>
          <w:rFonts w:hint="eastAsia" w:ascii="宋体" w:hAnsi="宋体"/>
          <w:b/>
          <w:color w:val="000000"/>
          <w:szCs w:val="21"/>
        </w:rPr>
        <w:t>总</w:t>
      </w:r>
      <w:r>
        <w:rPr>
          <w:rFonts w:ascii="宋体" w:hAnsi="宋体"/>
          <w:b/>
          <w:color w:val="000000"/>
          <w:szCs w:val="21"/>
        </w:rPr>
        <w:t>报价为综合报价，应包括在综合服务的需要的</w:t>
      </w:r>
      <w:r>
        <w:rPr>
          <w:rFonts w:ascii="宋体" w:hAnsi="宋体"/>
          <w:b/>
          <w:bCs/>
          <w:color w:val="000000"/>
          <w:szCs w:val="21"/>
        </w:rPr>
        <w:t>服务管理内容</w:t>
      </w:r>
      <w:r>
        <w:rPr>
          <w:rFonts w:hint="eastAsia" w:ascii="宋体" w:hAnsi="宋体"/>
          <w:b/>
          <w:bCs/>
          <w:color w:val="000000"/>
          <w:szCs w:val="21"/>
        </w:rPr>
        <w:t>、易耗品</w:t>
      </w:r>
      <w:r>
        <w:rPr>
          <w:rFonts w:ascii="宋体" w:hAnsi="宋体"/>
          <w:b/>
          <w:bCs/>
          <w:color w:val="000000"/>
          <w:szCs w:val="21"/>
        </w:rPr>
        <w:t>、</w:t>
      </w:r>
      <w:r>
        <w:rPr>
          <w:rFonts w:hint="eastAsia" w:ascii="宋体" w:hAnsi="宋体"/>
          <w:b/>
          <w:bCs/>
          <w:color w:val="000000"/>
          <w:szCs w:val="21"/>
        </w:rPr>
        <w:t>设备</w:t>
      </w:r>
      <w:r>
        <w:rPr>
          <w:rFonts w:ascii="宋体" w:hAnsi="宋体"/>
          <w:b/>
          <w:bCs/>
          <w:color w:val="000000"/>
          <w:szCs w:val="21"/>
        </w:rPr>
        <w:t>器材、各种税费、人工、</w:t>
      </w:r>
      <w:r>
        <w:rPr>
          <w:rFonts w:hint="eastAsia" w:ascii="宋体" w:hAnsi="宋体"/>
          <w:b/>
          <w:bCs/>
          <w:color w:val="000000"/>
          <w:szCs w:val="21"/>
        </w:rPr>
        <w:t>福利、</w:t>
      </w:r>
      <w:r>
        <w:rPr>
          <w:rFonts w:ascii="宋体" w:hAnsi="宋体"/>
          <w:b/>
          <w:bCs/>
          <w:color w:val="000000"/>
          <w:szCs w:val="21"/>
        </w:rPr>
        <w:t>保险、劳保、维护、利润、税金</w:t>
      </w:r>
      <w:r>
        <w:rPr>
          <w:rFonts w:ascii="宋体" w:hAnsi="宋体"/>
          <w:b/>
          <w:color w:val="000000"/>
          <w:szCs w:val="21"/>
        </w:rPr>
        <w:t>、政策性文件规定及合同包含的所有风险、责任等各项应有费用。</w:t>
      </w:r>
    </w:p>
    <w:p w14:paraId="079180DB">
      <w:pPr>
        <w:pStyle w:val="18"/>
        <w:spacing w:line="360" w:lineRule="auto"/>
        <w:ind w:left="420"/>
        <w:rPr>
          <w:rFonts w:hAnsi="宋体" w:eastAsia="宋体"/>
          <w:bCs/>
          <w:sz w:val="21"/>
          <w:szCs w:val="21"/>
        </w:rPr>
      </w:pPr>
    </w:p>
    <w:p w14:paraId="41363F3B">
      <w:pPr>
        <w:rPr>
          <w:rFonts w:ascii="宋体" w:hAnsi="宋体"/>
        </w:rPr>
      </w:pPr>
    </w:p>
    <w:p w14:paraId="61ADF9D7">
      <w:pPr>
        <w:rPr>
          <w:rFonts w:ascii="宋体" w:hAnsi="宋体"/>
        </w:rPr>
      </w:pPr>
    </w:p>
    <w:p w14:paraId="69BD2C3D">
      <w:pPr>
        <w:rPr>
          <w:rFonts w:ascii="宋体" w:hAnsi="宋体"/>
        </w:rPr>
      </w:pPr>
    </w:p>
    <w:p w14:paraId="1334EC0D">
      <w:pPr>
        <w:rPr>
          <w:rFonts w:ascii="宋体" w:hAnsi="宋体"/>
        </w:rPr>
      </w:pPr>
    </w:p>
    <w:p w14:paraId="22063AB1">
      <w:pPr>
        <w:rPr>
          <w:rFonts w:ascii="宋体" w:hAnsi="宋体"/>
        </w:rPr>
      </w:pPr>
    </w:p>
    <w:p w14:paraId="3A402746">
      <w:pPr>
        <w:rPr>
          <w:rFonts w:ascii="宋体" w:hAnsi="宋体"/>
        </w:rPr>
      </w:pPr>
    </w:p>
    <w:p w14:paraId="144FD9CB">
      <w:pPr>
        <w:rPr>
          <w:rFonts w:ascii="宋体" w:hAnsi="宋体"/>
        </w:rPr>
      </w:pPr>
    </w:p>
    <w:p w14:paraId="7DD2D693">
      <w:pPr>
        <w:rPr>
          <w:rFonts w:ascii="宋体" w:hAnsi="宋体"/>
        </w:rPr>
      </w:pPr>
    </w:p>
    <w:p w14:paraId="2A0FAF1C">
      <w:pPr>
        <w:pStyle w:val="6"/>
        <w:rPr>
          <w:rFonts w:ascii="宋体" w:hAnsi="宋体" w:eastAsia="宋体" w:cs="宋体"/>
        </w:rPr>
      </w:pPr>
      <w:bookmarkStart w:id="37" w:name="_Ref10346"/>
      <w:bookmarkStart w:id="38" w:name="_六、投标报价分析表"/>
      <w:bookmarkStart w:id="39" w:name="_Ref5494"/>
      <w:r>
        <w:rPr>
          <w:rFonts w:hint="eastAsia" w:ascii="宋体" w:hAnsi="宋体" w:eastAsia="宋体" w:cs="宋体"/>
        </w:rPr>
        <w:br w:type="page" w:clear="all"/>
      </w:r>
      <w:r>
        <w:rPr>
          <w:rFonts w:hint="eastAsia" w:ascii="宋体" w:hAnsi="宋体" w:eastAsia="宋体" w:cs="宋体"/>
        </w:rPr>
        <w:t>六、</w:t>
      </w:r>
      <w:bookmarkEnd w:id="37"/>
      <w:r>
        <w:rPr>
          <w:rFonts w:hint="eastAsia" w:ascii="宋体" w:hAnsi="宋体" w:eastAsia="宋体" w:cs="宋体"/>
        </w:rPr>
        <w:t>投标分项报价表</w:t>
      </w:r>
      <w:bookmarkEnd w:id="38"/>
    </w:p>
    <w:p w14:paraId="4110F354">
      <w:pPr>
        <w:pStyle w:val="16"/>
        <w:jc w:val="center"/>
        <w:rPr>
          <w:rFonts w:hAnsi="宋体" w:eastAsia="宋体"/>
          <w:b/>
          <w:sz w:val="21"/>
          <w:szCs w:val="21"/>
        </w:rPr>
      </w:pPr>
      <w:r>
        <w:rPr>
          <w:rFonts w:hAnsi="宋体" w:eastAsia="宋体"/>
          <w:b/>
          <w:sz w:val="21"/>
          <w:szCs w:val="21"/>
        </w:rPr>
        <w:t>报价表（格式）</w:t>
      </w:r>
    </w:p>
    <w:p w14:paraId="18106FDA">
      <w:pPr>
        <w:pStyle w:val="16"/>
        <w:jc w:val="center"/>
        <w:rPr>
          <w:rFonts w:hAnsi="宋体" w:eastAsia="宋体"/>
          <w:b/>
          <w:sz w:val="21"/>
          <w:szCs w:val="21"/>
        </w:rPr>
      </w:pP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4"/>
        <w:gridCol w:w="2815"/>
        <w:gridCol w:w="1378"/>
        <w:gridCol w:w="1412"/>
        <w:gridCol w:w="1648"/>
        <w:gridCol w:w="1219"/>
      </w:tblGrid>
      <w:tr w14:paraId="3684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784" w:type="dxa"/>
            <w:noWrap w:val="0"/>
            <w:vAlign w:val="center"/>
          </w:tcPr>
          <w:p w14:paraId="50517612">
            <w:pPr>
              <w:pStyle w:val="19"/>
              <w:spacing w:line="360" w:lineRule="exact"/>
              <w:jc w:val="center"/>
              <w:rPr>
                <w:rFonts w:hAnsi="宋体" w:eastAsia="宋体" w:cs="宋体"/>
                <w:sz w:val="21"/>
                <w:szCs w:val="21"/>
              </w:rPr>
            </w:pPr>
            <w:r>
              <w:rPr>
                <w:rFonts w:hint="eastAsia" w:hAnsi="宋体" w:eastAsia="宋体" w:cs="宋体"/>
                <w:sz w:val="21"/>
                <w:szCs w:val="21"/>
              </w:rPr>
              <w:t>序号</w:t>
            </w:r>
          </w:p>
        </w:tc>
        <w:tc>
          <w:tcPr>
            <w:tcW w:w="2815" w:type="dxa"/>
            <w:noWrap w:val="0"/>
            <w:vAlign w:val="center"/>
          </w:tcPr>
          <w:p w14:paraId="1E800003">
            <w:pPr>
              <w:pStyle w:val="19"/>
              <w:spacing w:line="360" w:lineRule="exact"/>
              <w:jc w:val="center"/>
              <w:rPr>
                <w:rFonts w:hAnsi="宋体" w:eastAsia="宋体" w:cs="宋体"/>
                <w:sz w:val="21"/>
                <w:szCs w:val="21"/>
              </w:rPr>
            </w:pPr>
            <w:r>
              <w:rPr>
                <w:rFonts w:hint="eastAsia" w:hAnsi="宋体" w:eastAsia="宋体" w:cs="宋体"/>
                <w:sz w:val="21"/>
                <w:szCs w:val="21"/>
              </w:rPr>
              <w:t>内容</w:t>
            </w:r>
          </w:p>
        </w:tc>
        <w:tc>
          <w:tcPr>
            <w:tcW w:w="1378" w:type="dxa"/>
            <w:noWrap w:val="0"/>
            <w:vAlign w:val="center"/>
          </w:tcPr>
          <w:p w14:paraId="3A0A6308">
            <w:pPr>
              <w:pStyle w:val="19"/>
              <w:spacing w:line="360" w:lineRule="exact"/>
              <w:jc w:val="center"/>
              <w:rPr>
                <w:rFonts w:hAnsi="宋体" w:eastAsia="宋体" w:cs="宋体"/>
                <w:sz w:val="21"/>
                <w:szCs w:val="21"/>
              </w:rPr>
            </w:pPr>
            <w:r>
              <w:rPr>
                <w:rFonts w:hint="eastAsia" w:hAnsi="宋体" w:eastAsia="宋体" w:cs="宋体"/>
                <w:sz w:val="21"/>
                <w:szCs w:val="21"/>
              </w:rPr>
              <w:t>数量</w:t>
            </w:r>
          </w:p>
        </w:tc>
        <w:tc>
          <w:tcPr>
            <w:tcW w:w="1412" w:type="dxa"/>
            <w:noWrap w:val="0"/>
            <w:vAlign w:val="center"/>
          </w:tcPr>
          <w:p w14:paraId="5470DB4C">
            <w:pPr>
              <w:pStyle w:val="19"/>
              <w:spacing w:line="360" w:lineRule="exact"/>
              <w:jc w:val="center"/>
              <w:rPr>
                <w:rFonts w:hAnsi="宋体" w:eastAsia="宋体" w:cs="宋体"/>
                <w:sz w:val="21"/>
                <w:szCs w:val="21"/>
              </w:rPr>
            </w:pPr>
            <w:r>
              <w:rPr>
                <w:rFonts w:hint="eastAsia" w:hAnsi="宋体" w:eastAsia="宋体" w:cs="宋体"/>
                <w:sz w:val="21"/>
                <w:szCs w:val="21"/>
              </w:rPr>
              <w:t>单价（元）</w:t>
            </w:r>
          </w:p>
        </w:tc>
        <w:tc>
          <w:tcPr>
            <w:tcW w:w="1648" w:type="dxa"/>
            <w:noWrap w:val="0"/>
            <w:vAlign w:val="center"/>
          </w:tcPr>
          <w:p w14:paraId="3BB4C233">
            <w:pPr>
              <w:pStyle w:val="19"/>
              <w:spacing w:line="360" w:lineRule="exact"/>
              <w:jc w:val="center"/>
              <w:rPr>
                <w:rFonts w:hAnsi="宋体" w:eastAsia="宋体" w:cs="宋体"/>
                <w:sz w:val="21"/>
                <w:szCs w:val="21"/>
              </w:rPr>
            </w:pPr>
            <w:r>
              <w:rPr>
                <w:rFonts w:hint="eastAsia" w:hAnsi="宋体" w:eastAsia="宋体" w:cs="宋体"/>
                <w:sz w:val="21"/>
                <w:szCs w:val="21"/>
              </w:rPr>
              <w:t>合价（元）</w:t>
            </w:r>
          </w:p>
        </w:tc>
        <w:tc>
          <w:tcPr>
            <w:tcW w:w="1219" w:type="dxa"/>
            <w:noWrap w:val="0"/>
            <w:vAlign w:val="center"/>
          </w:tcPr>
          <w:p w14:paraId="5830B492">
            <w:pPr>
              <w:pStyle w:val="19"/>
              <w:spacing w:line="360" w:lineRule="exact"/>
              <w:jc w:val="center"/>
              <w:rPr>
                <w:rFonts w:hAnsi="宋体" w:eastAsia="宋体" w:cs="宋体"/>
                <w:sz w:val="21"/>
                <w:szCs w:val="21"/>
              </w:rPr>
            </w:pPr>
            <w:r>
              <w:rPr>
                <w:rFonts w:hint="eastAsia" w:hAnsi="宋体" w:eastAsia="宋体" w:cs="宋体"/>
                <w:sz w:val="21"/>
                <w:szCs w:val="21"/>
              </w:rPr>
              <w:t>备注</w:t>
            </w:r>
          </w:p>
        </w:tc>
      </w:tr>
      <w:tr w14:paraId="2EB70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784" w:type="dxa"/>
            <w:noWrap w:val="0"/>
          </w:tcPr>
          <w:p w14:paraId="6AD7A484">
            <w:pPr>
              <w:pStyle w:val="19"/>
              <w:spacing w:line="360" w:lineRule="exact"/>
              <w:jc w:val="center"/>
              <w:rPr>
                <w:rFonts w:hAnsi="宋体" w:eastAsia="宋体" w:cs="宋体"/>
                <w:sz w:val="21"/>
                <w:szCs w:val="21"/>
              </w:rPr>
            </w:pPr>
            <w:r>
              <w:rPr>
                <w:rFonts w:hint="eastAsia" w:hAnsi="宋体" w:eastAsia="宋体" w:cs="宋体"/>
                <w:sz w:val="21"/>
                <w:szCs w:val="21"/>
              </w:rPr>
              <w:t>1</w:t>
            </w:r>
          </w:p>
        </w:tc>
        <w:tc>
          <w:tcPr>
            <w:tcW w:w="2815" w:type="dxa"/>
            <w:noWrap w:val="0"/>
          </w:tcPr>
          <w:p w14:paraId="6A8E7DC5">
            <w:pPr>
              <w:pStyle w:val="19"/>
              <w:spacing w:line="360" w:lineRule="exact"/>
              <w:jc w:val="center"/>
              <w:rPr>
                <w:rFonts w:hAnsi="宋体" w:eastAsia="宋体" w:cs="宋体"/>
                <w:sz w:val="21"/>
                <w:szCs w:val="21"/>
              </w:rPr>
            </w:pPr>
          </w:p>
        </w:tc>
        <w:tc>
          <w:tcPr>
            <w:tcW w:w="1378" w:type="dxa"/>
            <w:noWrap w:val="0"/>
          </w:tcPr>
          <w:p w14:paraId="47BA88A1">
            <w:pPr>
              <w:pStyle w:val="19"/>
              <w:spacing w:line="360" w:lineRule="exact"/>
              <w:jc w:val="center"/>
              <w:rPr>
                <w:rFonts w:hAnsi="宋体" w:eastAsia="宋体" w:cs="宋体"/>
                <w:sz w:val="21"/>
                <w:szCs w:val="21"/>
              </w:rPr>
            </w:pPr>
          </w:p>
        </w:tc>
        <w:tc>
          <w:tcPr>
            <w:tcW w:w="1412" w:type="dxa"/>
            <w:noWrap w:val="0"/>
          </w:tcPr>
          <w:p w14:paraId="6DA05DC3">
            <w:pPr>
              <w:pStyle w:val="19"/>
              <w:spacing w:line="360" w:lineRule="exact"/>
              <w:jc w:val="center"/>
              <w:rPr>
                <w:rFonts w:hAnsi="宋体" w:eastAsia="宋体" w:cs="宋体"/>
                <w:sz w:val="21"/>
                <w:szCs w:val="21"/>
              </w:rPr>
            </w:pPr>
          </w:p>
        </w:tc>
        <w:tc>
          <w:tcPr>
            <w:tcW w:w="1648" w:type="dxa"/>
            <w:noWrap w:val="0"/>
          </w:tcPr>
          <w:p w14:paraId="4AA21EEB">
            <w:pPr>
              <w:pStyle w:val="19"/>
              <w:spacing w:line="360" w:lineRule="exact"/>
              <w:jc w:val="center"/>
              <w:rPr>
                <w:rFonts w:hAnsi="宋体" w:eastAsia="宋体" w:cs="宋体"/>
                <w:sz w:val="21"/>
                <w:szCs w:val="21"/>
              </w:rPr>
            </w:pPr>
          </w:p>
        </w:tc>
        <w:tc>
          <w:tcPr>
            <w:tcW w:w="1219" w:type="dxa"/>
            <w:noWrap w:val="0"/>
          </w:tcPr>
          <w:p w14:paraId="7262FFC3">
            <w:pPr>
              <w:pStyle w:val="19"/>
              <w:spacing w:line="360" w:lineRule="exact"/>
              <w:jc w:val="center"/>
              <w:rPr>
                <w:rFonts w:hAnsi="宋体" w:eastAsia="宋体" w:cs="宋体"/>
                <w:sz w:val="21"/>
                <w:szCs w:val="21"/>
              </w:rPr>
            </w:pPr>
          </w:p>
        </w:tc>
      </w:tr>
      <w:tr w14:paraId="19B0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784" w:type="dxa"/>
            <w:noWrap w:val="0"/>
          </w:tcPr>
          <w:p w14:paraId="560FC63E">
            <w:pPr>
              <w:pStyle w:val="19"/>
              <w:spacing w:line="360" w:lineRule="exact"/>
              <w:jc w:val="center"/>
              <w:rPr>
                <w:rFonts w:hAnsi="宋体" w:eastAsia="宋体" w:cs="宋体"/>
                <w:sz w:val="21"/>
                <w:szCs w:val="21"/>
              </w:rPr>
            </w:pPr>
            <w:r>
              <w:rPr>
                <w:rFonts w:hint="eastAsia" w:hAnsi="宋体" w:eastAsia="宋体" w:cs="宋体"/>
                <w:sz w:val="21"/>
                <w:szCs w:val="21"/>
              </w:rPr>
              <w:t>2</w:t>
            </w:r>
          </w:p>
        </w:tc>
        <w:tc>
          <w:tcPr>
            <w:tcW w:w="2815" w:type="dxa"/>
            <w:noWrap w:val="0"/>
          </w:tcPr>
          <w:p w14:paraId="3A7BE81F">
            <w:pPr>
              <w:pStyle w:val="19"/>
              <w:spacing w:line="360" w:lineRule="exact"/>
              <w:jc w:val="center"/>
              <w:rPr>
                <w:rFonts w:hAnsi="宋体" w:eastAsia="宋体" w:cs="宋体"/>
                <w:sz w:val="21"/>
                <w:szCs w:val="21"/>
              </w:rPr>
            </w:pPr>
          </w:p>
        </w:tc>
        <w:tc>
          <w:tcPr>
            <w:tcW w:w="1378" w:type="dxa"/>
            <w:noWrap w:val="0"/>
          </w:tcPr>
          <w:p w14:paraId="10D27585">
            <w:pPr>
              <w:pStyle w:val="19"/>
              <w:spacing w:line="360" w:lineRule="exact"/>
              <w:jc w:val="center"/>
              <w:rPr>
                <w:rFonts w:hAnsi="宋体" w:eastAsia="宋体" w:cs="宋体"/>
                <w:sz w:val="21"/>
                <w:szCs w:val="21"/>
              </w:rPr>
            </w:pPr>
          </w:p>
        </w:tc>
        <w:tc>
          <w:tcPr>
            <w:tcW w:w="1412" w:type="dxa"/>
            <w:noWrap w:val="0"/>
          </w:tcPr>
          <w:p w14:paraId="56D09B9D">
            <w:pPr>
              <w:pStyle w:val="19"/>
              <w:spacing w:line="360" w:lineRule="exact"/>
              <w:jc w:val="center"/>
              <w:rPr>
                <w:rFonts w:hAnsi="宋体" w:eastAsia="宋体" w:cs="宋体"/>
                <w:sz w:val="21"/>
                <w:szCs w:val="21"/>
              </w:rPr>
            </w:pPr>
          </w:p>
        </w:tc>
        <w:tc>
          <w:tcPr>
            <w:tcW w:w="1648" w:type="dxa"/>
            <w:noWrap w:val="0"/>
          </w:tcPr>
          <w:p w14:paraId="706DC9A5">
            <w:pPr>
              <w:pStyle w:val="19"/>
              <w:spacing w:line="360" w:lineRule="exact"/>
              <w:jc w:val="center"/>
              <w:rPr>
                <w:rFonts w:hAnsi="宋体" w:eastAsia="宋体" w:cs="宋体"/>
                <w:sz w:val="21"/>
                <w:szCs w:val="21"/>
              </w:rPr>
            </w:pPr>
          </w:p>
        </w:tc>
        <w:tc>
          <w:tcPr>
            <w:tcW w:w="1219" w:type="dxa"/>
            <w:noWrap w:val="0"/>
          </w:tcPr>
          <w:p w14:paraId="71DF466E">
            <w:pPr>
              <w:pStyle w:val="19"/>
              <w:spacing w:line="360" w:lineRule="exact"/>
              <w:jc w:val="center"/>
              <w:rPr>
                <w:rFonts w:hAnsi="宋体" w:eastAsia="宋体" w:cs="宋体"/>
                <w:sz w:val="21"/>
                <w:szCs w:val="21"/>
              </w:rPr>
            </w:pPr>
          </w:p>
        </w:tc>
      </w:tr>
      <w:tr w14:paraId="6D75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784" w:type="dxa"/>
            <w:noWrap w:val="0"/>
          </w:tcPr>
          <w:p w14:paraId="25D1D497">
            <w:pPr>
              <w:pStyle w:val="19"/>
              <w:spacing w:line="360" w:lineRule="exact"/>
              <w:jc w:val="center"/>
              <w:rPr>
                <w:rFonts w:hAnsi="宋体" w:eastAsia="宋体" w:cs="宋体"/>
                <w:sz w:val="21"/>
                <w:szCs w:val="21"/>
              </w:rPr>
            </w:pPr>
            <w:r>
              <w:rPr>
                <w:rFonts w:hint="eastAsia" w:hAnsi="宋体" w:eastAsia="宋体" w:cs="宋体"/>
                <w:sz w:val="21"/>
                <w:szCs w:val="21"/>
              </w:rPr>
              <w:t>3</w:t>
            </w:r>
          </w:p>
        </w:tc>
        <w:tc>
          <w:tcPr>
            <w:tcW w:w="2815" w:type="dxa"/>
            <w:noWrap w:val="0"/>
          </w:tcPr>
          <w:p w14:paraId="6859E261">
            <w:pPr>
              <w:pStyle w:val="19"/>
              <w:spacing w:line="360" w:lineRule="exact"/>
              <w:jc w:val="center"/>
              <w:rPr>
                <w:rFonts w:hAnsi="宋体" w:eastAsia="宋体" w:cs="宋体"/>
                <w:sz w:val="21"/>
                <w:szCs w:val="21"/>
              </w:rPr>
            </w:pPr>
          </w:p>
        </w:tc>
        <w:tc>
          <w:tcPr>
            <w:tcW w:w="1378" w:type="dxa"/>
            <w:noWrap w:val="0"/>
          </w:tcPr>
          <w:p w14:paraId="48212233">
            <w:pPr>
              <w:pStyle w:val="19"/>
              <w:spacing w:line="360" w:lineRule="exact"/>
              <w:jc w:val="center"/>
              <w:rPr>
                <w:rFonts w:hAnsi="宋体" w:eastAsia="宋体" w:cs="宋体"/>
                <w:sz w:val="21"/>
                <w:szCs w:val="21"/>
              </w:rPr>
            </w:pPr>
          </w:p>
        </w:tc>
        <w:tc>
          <w:tcPr>
            <w:tcW w:w="1412" w:type="dxa"/>
            <w:noWrap w:val="0"/>
          </w:tcPr>
          <w:p w14:paraId="130A0415">
            <w:pPr>
              <w:pStyle w:val="19"/>
              <w:spacing w:line="360" w:lineRule="exact"/>
              <w:jc w:val="center"/>
              <w:rPr>
                <w:rFonts w:hAnsi="宋体" w:eastAsia="宋体" w:cs="宋体"/>
                <w:sz w:val="21"/>
                <w:szCs w:val="21"/>
              </w:rPr>
            </w:pPr>
          </w:p>
        </w:tc>
        <w:tc>
          <w:tcPr>
            <w:tcW w:w="1648" w:type="dxa"/>
            <w:noWrap w:val="0"/>
          </w:tcPr>
          <w:p w14:paraId="6F488558">
            <w:pPr>
              <w:pStyle w:val="19"/>
              <w:spacing w:line="360" w:lineRule="exact"/>
              <w:jc w:val="center"/>
              <w:rPr>
                <w:rFonts w:hAnsi="宋体" w:eastAsia="宋体" w:cs="宋体"/>
                <w:sz w:val="21"/>
                <w:szCs w:val="21"/>
              </w:rPr>
            </w:pPr>
          </w:p>
        </w:tc>
        <w:tc>
          <w:tcPr>
            <w:tcW w:w="1219" w:type="dxa"/>
            <w:noWrap w:val="0"/>
          </w:tcPr>
          <w:p w14:paraId="460972BE">
            <w:pPr>
              <w:pStyle w:val="19"/>
              <w:spacing w:line="360" w:lineRule="exact"/>
              <w:jc w:val="center"/>
              <w:rPr>
                <w:rFonts w:hAnsi="宋体" w:eastAsia="宋体" w:cs="宋体"/>
                <w:sz w:val="21"/>
                <w:szCs w:val="21"/>
              </w:rPr>
            </w:pPr>
          </w:p>
        </w:tc>
      </w:tr>
      <w:tr w14:paraId="78E79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784" w:type="dxa"/>
            <w:noWrap w:val="0"/>
          </w:tcPr>
          <w:p w14:paraId="451185DE">
            <w:pPr>
              <w:pStyle w:val="19"/>
              <w:spacing w:line="360" w:lineRule="exact"/>
              <w:jc w:val="center"/>
              <w:rPr>
                <w:rFonts w:hAnsi="宋体" w:eastAsia="宋体" w:cs="宋体"/>
                <w:sz w:val="21"/>
                <w:szCs w:val="21"/>
              </w:rPr>
            </w:pPr>
            <w:r>
              <w:rPr>
                <w:rFonts w:hint="eastAsia" w:hAnsi="宋体" w:eastAsia="宋体" w:cs="宋体"/>
                <w:sz w:val="21"/>
                <w:szCs w:val="21"/>
              </w:rPr>
              <w:t>4</w:t>
            </w:r>
          </w:p>
        </w:tc>
        <w:tc>
          <w:tcPr>
            <w:tcW w:w="2815" w:type="dxa"/>
            <w:noWrap w:val="0"/>
          </w:tcPr>
          <w:p w14:paraId="31C60EE4">
            <w:pPr>
              <w:pStyle w:val="19"/>
              <w:spacing w:line="360" w:lineRule="exact"/>
              <w:jc w:val="center"/>
              <w:rPr>
                <w:rFonts w:hAnsi="宋体" w:eastAsia="宋体" w:cs="宋体"/>
                <w:sz w:val="21"/>
                <w:szCs w:val="21"/>
              </w:rPr>
            </w:pPr>
          </w:p>
        </w:tc>
        <w:tc>
          <w:tcPr>
            <w:tcW w:w="1378" w:type="dxa"/>
            <w:noWrap w:val="0"/>
          </w:tcPr>
          <w:p w14:paraId="0049EEE2">
            <w:pPr>
              <w:pStyle w:val="19"/>
              <w:spacing w:line="360" w:lineRule="exact"/>
              <w:jc w:val="center"/>
              <w:rPr>
                <w:rFonts w:hAnsi="宋体" w:eastAsia="宋体" w:cs="宋体"/>
                <w:sz w:val="21"/>
                <w:szCs w:val="21"/>
              </w:rPr>
            </w:pPr>
          </w:p>
        </w:tc>
        <w:tc>
          <w:tcPr>
            <w:tcW w:w="1412" w:type="dxa"/>
            <w:noWrap w:val="0"/>
          </w:tcPr>
          <w:p w14:paraId="6F906A33">
            <w:pPr>
              <w:pStyle w:val="19"/>
              <w:spacing w:line="360" w:lineRule="exact"/>
              <w:jc w:val="center"/>
              <w:rPr>
                <w:rFonts w:hAnsi="宋体" w:eastAsia="宋体" w:cs="宋体"/>
                <w:sz w:val="21"/>
                <w:szCs w:val="21"/>
              </w:rPr>
            </w:pPr>
          </w:p>
        </w:tc>
        <w:tc>
          <w:tcPr>
            <w:tcW w:w="1648" w:type="dxa"/>
            <w:noWrap w:val="0"/>
          </w:tcPr>
          <w:p w14:paraId="0DB1F49F">
            <w:pPr>
              <w:pStyle w:val="19"/>
              <w:spacing w:line="360" w:lineRule="exact"/>
              <w:jc w:val="center"/>
              <w:rPr>
                <w:rFonts w:hAnsi="宋体" w:eastAsia="宋体" w:cs="宋体"/>
                <w:sz w:val="21"/>
                <w:szCs w:val="21"/>
              </w:rPr>
            </w:pPr>
          </w:p>
        </w:tc>
        <w:tc>
          <w:tcPr>
            <w:tcW w:w="1219" w:type="dxa"/>
            <w:noWrap w:val="0"/>
          </w:tcPr>
          <w:p w14:paraId="5C75E99C">
            <w:pPr>
              <w:pStyle w:val="19"/>
              <w:spacing w:line="360" w:lineRule="exact"/>
              <w:jc w:val="center"/>
              <w:rPr>
                <w:rFonts w:hAnsi="宋体" w:eastAsia="宋体" w:cs="宋体"/>
                <w:sz w:val="21"/>
                <w:szCs w:val="21"/>
              </w:rPr>
            </w:pPr>
          </w:p>
        </w:tc>
      </w:tr>
      <w:tr w14:paraId="285F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784" w:type="dxa"/>
            <w:noWrap w:val="0"/>
          </w:tcPr>
          <w:p w14:paraId="24B7CE78">
            <w:pPr>
              <w:pStyle w:val="19"/>
              <w:spacing w:line="360" w:lineRule="exact"/>
              <w:jc w:val="center"/>
              <w:rPr>
                <w:rFonts w:hAnsi="宋体" w:eastAsia="宋体" w:cs="宋体"/>
                <w:sz w:val="21"/>
                <w:szCs w:val="21"/>
              </w:rPr>
            </w:pPr>
            <w:r>
              <w:rPr>
                <w:rFonts w:hint="eastAsia" w:hAnsi="宋体" w:eastAsia="宋体" w:cs="宋体"/>
                <w:sz w:val="21"/>
                <w:szCs w:val="21"/>
              </w:rPr>
              <w:t>5</w:t>
            </w:r>
          </w:p>
        </w:tc>
        <w:tc>
          <w:tcPr>
            <w:tcW w:w="2815" w:type="dxa"/>
            <w:noWrap w:val="0"/>
          </w:tcPr>
          <w:p w14:paraId="24D50DB9">
            <w:pPr>
              <w:pStyle w:val="19"/>
              <w:spacing w:line="360" w:lineRule="exact"/>
              <w:jc w:val="center"/>
              <w:rPr>
                <w:rFonts w:hAnsi="宋体" w:eastAsia="宋体" w:cs="宋体"/>
                <w:sz w:val="21"/>
                <w:szCs w:val="21"/>
              </w:rPr>
            </w:pPr>
          </w:p>
        </w:tc>
        <w:tc>
          <w:tcPr>
            <w:tcW w:w="1378" w:type="dxa"/>
            <w:noWrap w:val="0"/>
          </w:tcPr>
          <w:p w14:paraId="4A737D9C">
            <w:pPr>
              <w:pStyle w:val="19"/>
              <w:spacing w:line="360" w:lineRule="exact"/>
              <w:jc w:val="center"/>
              <w:rPr>
                <w:rFonts w:hAnsi="宋体" w:eastAsia="宋体" w:cs="宋体"/>
                <w:sz w:val="21"/>
                <w:szCs w:val="21"/>
              </w:rPr>
            </w:pPr>
          </w:p>
        </w:tc>
        <w:tc>
          <w:tcPr>
            <w:tcW w:w="1412" w:type="dxa"/>
            <w:noWrap w:val="0"/>
          </w:tcPr>
          <w:p w14:paraId="500E8C3C">
            <w:pPr>
              <w:pStyle w:val="19"/>
              <w:spacing w:line="360" w:lineRule="exact"/>
              <w:jc w:val="center"/>
              <w:rPr>
                <w:rFonts w:hAnsi="宋体" w:eastAsia="宋体" w:cs="宋体"/>
                <w:sz w:val="21"/>
                <w:szCs w:val="21"/>
              </w:rPr>
            </w:pPr>
          </w:p>
        </w:tc>
        <w:tc>
          <w:tcPr>
            <w:tcW w:w="1648" w:type="dxa"/>
            <w:noWrap w:val="0"/>
          </w:tcPr>
          <w:p w14:paraId="4EDCFF8D">
            <w:pPr>
              <w:pStyle w:val="19"/>
              <w:spacing w:line="360" w:lineRule="exact"/>
              <w:jc w:val="center"/>
              <w:rPr>
                <w:rFonts w:hAnsi="宋体" w:eastAsia="宋体" w:cs="宋体"/>
                <w:sz w:val="21"/>
                <w:szCs w:val="21"/>
              </w:rPr>
            </w:pPr>
          </w:p>
        </w:tc>
        <w:tc>
          <w:tcPr>
            <w:tcW w:w="1219" w:type="dxa"/>
            <w:noWrap w:val="0"/>
          </w:tcPr>
          <w:p w14:paraId="4044CBED">
            <w:pPr>
              <w:pStyle w:val="19"/>
              <w:spacing w:line="360" w:lineRule="exact"/>
              <w:jc w:val="center"/>
              <w:rPr>
                <w:rFonts w:hAnsi="宋体" w:eastAsia="宋体" w:cs="宋体"/>
                <w:sz w:val="21"/>
                <w:szCs w:val="21"/>
              </w:rPr>
            </w:pPr>
          </w:p>
        </w:tc>
      </w:tr>
      <w:tr w14:paraId="22B5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0" w:hRule="atLeast"/>
          <w:jc w:val="center"/>
        </w:trPr>
        <w:tc>
          <w:tcPr>
            <w:tcW w:w="784" w:type="dxa"/>
            <w:noWrap w:val="0"/>
          </w:tcPr>
          <w:p w14:paraId="27B77403">
            <w:pPr>
              <w:pStyle w:val="19"/>
              <w:spacing w:line="360" w:lineRule="exact"/>
              <w:jc w:val="center"/>
              <w:rPr>
                <w:rFonts w:hAnsi="宋体" w:eastAsia="宋体" w:cs="宋体"/>
                <w:sz w:val="21"/>
                <w:szCs w:val="21"/>
              </w:rPr>
            </w:pPr>
            <w:r>
              <w:rPr>
                <w:rFonts w:hint="eastAsia" w:hAnsi="宋体" w:eastAsia="宋体" w:cs="宋体"/>
                <w:sz w:val="21"/>
                <w:szCs w:val="21"/>
              </w:rPr>
              <w:t>6</w:t>
            </w:r>
          </w:p>
        </w:tc>
        <w:tc>
          <w:tcPr>
            <w:tcW w:w="2815" w:type="dxa"/>
            <w:noWrap w:val="0"/>
          </w:tcPr>
          <w:p w14:paraId="41E901C4">
            <w:pPr>
              <w:pStyle w:val="19"/>
              <w:spacing w:line="360" w:lineRule="exact"/>
              <w:jc w:val="center"/>
              <w:rPr>
                <w:rFonts w:hAnsi="宋体" w:eastAsia="宋体" w:cs="宋体"/>
                <w:sz w:val="21"/>
                <w:szCs w:val="21"/>
              </w:rPr>
            </w:pPr>
          </w:p>
        </w:tc>
        <w:tc>
          <w:tcPr>
            <w:tcW w:w="1378" w:type="dxa"/>
            <w:noWrap w:val="0"/>
          </w:tcPr>
          <w:p w14:paraId="2A88E1BE">
            <w:pPr>
              <w:pStyle w:val="19"/>
              <w:spacing w:line="360" w:lineRule="exact"/>
              <w:jc w:val="center"/>
              <w:rPr>
                <w:rFonts w:hAnsi="宋体" w:eastAsia="宋体" w:cs="宋体"/>
                <w:sz w:val="21"/>
                <w:szCs w:val="21"/>
              </w:rPr>
            </w:pPr>
          </w:p>
        </w:tc>
        <w:tc>
          <w:tcPr>
            <w:tcW w:w="1412" w:type="dxa"/>
            <w:noWrap w:val="0"/>
          </w:tcPr>
          <w:p w14:paraId="38001633">
            <w:pPr>
              <w:pStyle w:val="19"/>
              <w:spacing w:line="360" w:lineRule="exact"/>
              <w:jc w:val="center"/>
              <w:rPr>
                <w:rFonts w:hAnsi="宋体" w:eastAsia="宋体" w:cs="宋体"/>
                <w:sz w:val="21"/>
                <w:szCs w:val="21"/>
              </w:rPr>
            </w:pPr>
          </w:p>
        </w:tc>
        <w:tc>
          <w:tcPr>
            <w:tcW w:w="1648" w:type="dxa"/>
            <w:noWrap w:val="0"/>
          </w:tcPr>
          <w:p w14:paraId="215343C2">
            <w:pPr>
              <w:pStyle w:val="19"/>
              <w:spacing w:line="360" w:lineRule="exact"/>
              <w:jc w:val="center"/>
              <w:rPr>
                <w:rFonts w:hAnsi="宋体" w:eastAsia="宋体" w:cs="宋体"/>
                <w:sz w:val="21"/>
                <w:szCs w:val="21"/>
              </w:rPr>
            </w:pPr>
          </w:p>
        </w:tc>
        <w:tc>
          <w:tcPr>
            <w:tcW w:w="1219" w:type="dxa"/>
            <w:noWrap w:val="0"/>
          </w:tcPr>
          <w:p w14:paraId="0B260F34">
            <w:pPr>
              <w:pStyle w:val="19"/>
              <w:spacing w:line="360" w:lineRule="exact"/>
              <w:jc w:val="center"/>
              <w:rPr>
                <w:rFonts w:hAnsi="宋体" w:eastAsia="宋体" w:cs="宋体"/>
                <w:sz w:val="21"/>
                <w:szCs w:val="21"/>
              </w:rPr>
            </w:pPr>
          </w:p>
        </w:tc>
      </w:tr>
      <w:tr w14:paraId="4BF0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39" w:hRule="atLeast"/>
          <w:jc w:val="center"/>
        </w:trPr>
        <w:tc>
          <w:tcPr>
            <w:tcW w:w="784" w:type="dxa"/>
            <w:noWrap w:val="0"/>
          </w:tcPr>
          <w:p w14:paraId="2C47FE15">
            <w:pPr>
              <w:pStyle w:val="19"/>
              <w:spacing w:line="360" w:lineRule="exact"/>
              <w:jc w:val="center"/>
              <w:rPr>
                <w:rFonts w:hAnsi="宋体" w:eastAsia="宋体" w:cs="宋体"/>
                <w:sz w:val="21"/>
                <w:szCs w:val="21"/>
              </w:rPr>
            </w:pPr>
            <w:r>
              <w:rPr>
                <w:rFonts w:hint="eastAsia" w:hAnsi="宋体" w:eastAsia="宋体" w:cs="宋体"/>
                <w:sz w:val="21"/>
                <w:szCs w:val="21"/>
              </w:rPr>
              <w:t>……</w:t>
            </w:r>
          </w:p>
        </w:tc>
        <w:tc>
          <w:tcPr>
            <w:tcW w:w="2815" w:type="dxa"/>
            <w:noWrap w:val="0"/>
          </w:tcPr>
          <w:p w14:paraId="7DE92AC3">
            <w:pPr>
              <w:pStyle w:val="19"/>
              <w:spacing w:line="360" w:lineRule="exact"/>
              <w:jc w:val="center"/>
              <w:rPr>
                <w:rFonts w:hAnsi="宋体" w:eastAsia="宋体" w:cs="宋体"/>
                <w:sz w:val="21"/>
                <w:szCs w:val="21"/>
              </w:rPr>
            </w:pPr>
          </w:p>
        </w:tc>
        <w:tc>
          <w:tcPr>
            <w:tcW w:w="1378" w:type="dxa"/>
            <w:noWrap w:val="0"/>
          </w:tcPr>
          <w:p w14:paraId="09B86AA3">
            <w:pPr>
              <w:pStyle w:val="19"/>
              <w:spacing w:line="360" w:lineRule="exact"/>
              <w:jc w:val="center"/>
              <w:rPr>
                <w:rFonts w:hAnsi="宋体" w:eastAsia="宋体" w:cs="宋体"/>
                <w:sz w:val="21"/>
                <w:szCs w:val="21"/>
              </w:rPr>
            </w:pPr>
          </w:p>
        </w:tc>
        <w:tc>
          <w:tcPr>
            <w:tcW w:w="1412" w:type="dxa"/>
            <w:noWrap w:val="0"/>
          </w:tcPr>
          <w:p w14:paraId="79A87E3D">
            <w:pPr>
              <w:pStyle w:val="19"/>
              <w:spacing w:line="360" w:lineRule="exact"/>
              <w:jc w:val="center"/>
              <w:rPr>
                <w:rFonts w:hAnsi="宋体" w:eastAsia="宋体" w:cs="宋体"/>
                <w:sz w:val="21"/>
                <w:szCs w:val="21"/>
              </w:rPr>
            </w:pPr>
          </w:p>
        </w:tc>
        <w:tc>
          <w:tcPr>
            <w:tcW w:w="1648" w:type="dxa"/>
            <w:noWrap w:val="0"/>
          </w:tcPr>
          <w:p w14:paraId="6F102979">
            <w:pPr>
              <w:pStyle w:val="19"/>
              <w:spacing w:line="360" w:lineRule="exact"/>
              <w:jc w:val="center"/>
              <w:rPr>
                <w:rFonts w:hAnsi="宋体" w:eastAsia="宋体" w:cs="宋体"/>
                <w:sz w:val="21"/>
                <w:szCs w:val="21"/>
              </w:rPr>
            </w:pPr>
          </w:p>
        </w:tc>
        <w:tc>
          <w:tcPr>
            <w:tcW w:w="1219" w:type="dxa"/>
            <w:noWrap w:val="0"/>
          </w:tcPr>
          <w:p w14:paraId="6C5637E6">
            <w:pPr>
              <w:pStyle w:val="19"/>
              <w:spacing w:line="360" w:lineRule="exact"/>
              <w:jc w:val="left"/>
              <w:rPr>
                <w:rFonts w:hAnsi="宋体" w:eastAsia="宋体" w:cs="宋体"/>
                <w:sz w:val="21"/>
                <w:szCs w:val="21"/>
              </w:rPr>
            </w:pPr>
            <w:r>
              <w:rPr>
                <w:rFonts w:hint="eastAsia" w:hAnsi="宋体" w:eastAsia="宋体" w:cs="宋体"/>
                <w:sz w:val="21"/>
                <w:szCs w:val="21"/>
              </w:rPr>
              <w:t>投标单位认为应列费用</w:t>
            </w:r>
          </w:p>
        </w:tc>
      </w:tr>
      <w:tr w14:paraId="5BB87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4977" w:type="dxa"/>
            <w:gridSpan w:val="3"/>
            <w:noWrap w:val="0"/>
          </w:tcPr>
          <w:p w14:paraId="715893F2">
            <w:pPr>
              <w:pStyle w:val="19"/>
              <w:spacing w:line="360" w:lineRule="exact"/>
              <w:rPr>
                <w:rFonts w:hAnsi="宋体" w:eastAsia="宋体" w:cs="宋体"/>
                <w:sz w:val="21"/>
                <w:szCs w:val="21"/>
              </w:rPr>
            </w:pPr>
            <w:r>
              <w:rPr>
                <w:rFonts w:hint="eastAsia" w:hAnsi="宋体" w:eastAsia="宋体" w:cs="宋体"/>
                <w:sz w:val="21"/>
                <w:szCs w:val="21"/>
              </w:rPr>
              <w:t>总价（人民币大写）：</w:t>
            </w:r>
          </w:p>
        </w:tc>
        <w:tc>
          <w:tcPr>
            <w:tcW w:w="4279" w:type="dxa"/>
            <w:gridSpan w:val="3"/>
            <w:noWrap w:val="0"/>
          </w:tcPr>
          <w:p w14:paraId="150D847D">
            <w:pPr>
              <w:pStyle w:val="19"/>
              <w:spacing w:line="360" w:lineRule="exact"/>
              <w:ind w:left="15"/>
              <w:rPr>
                <w:rFonts w:hAnsi="宋体" w:eastAsia="宋体" w:cs="宋体"/>
                <w:sz w:val="21"/>
                <w:szCs w:val="21"/>
              </w:rPr>
            </w:pPr>
            <w:r>
              <w:rPr>
                <w:rFonts w:hint="eastAsia" w:hAnsi="宋体" w:eastAsia="宋体" w:cs="宋体"/>
                <w:sz w:val="21"/>
                <w:szCs w:val="21"/>
              </w:rPr>
              <w:t>小写：¥</w:t>
            </w:r>
          </w:p>
        </w:tc>
      </w:tr>
    </w:tbl>
    <w:p w14:paraId="352FB7BB">
      <w:pPr>
        <w:pStyle w:val="16"/>
        <w:jc w:val="center"/>
        <w:rPr>
          <w:rFonts w:hAnsi="宋体" w:eastAsia="宋体"/>
          <w:b/>
          <w:sz w:val="21"/>
          <w:szCs w:val="21"/>
        </w:rPr>
      </w:pPr>
    </w:p>
    <w:p w14:paraId="6DB61B99">
      <w:pPr>
        <w:pStyle w:val="16"/>
        <w:spacing w:line="360" w:lineRule="auto"/>
        <w:jc w:val="left"/>
        <w:rPr>
          <w:rFonts w:hAnsi="宋体" w:eastAsia="宋体"/>
          <w:sz w:val="21"/>
          <w:szCs w:val="21"/>
        </w:rPr>
      </w:pPr>
    </w:p>
    <w:p w14:paraId="4D6991AF">
      <w:pPr>
        <w:pStyle w:val="16"/>
        <w:spacing w:line="360" w:lineRule="auto"/>
        <w:jc w:val="left"/>
        <w:rPr>
          <w:rFonts w:hAnsi="宋体" w:eastAsia="宋体"/>
          <w:sz w:val="21"/>
          <w:szCs w:val="21"/>
        </w:rPr>
      </w:pPr>
      <w:r>
        <w:rPr>
          <w:rFonts w:hAnsi="宋体" w:eastAsia="宋体"/>
          <w:sz w:val="21"/>
          <w:szCs w:val="21"/>
        </w:rPr>
        <w:t>投标单位：（</w:t>
      </w:r>
      <w:r>
        <w:rPr>
          <w:rFonts w:hint="eastAsia" w:hAnsi="宋体" w:eastAsia="宋体"/>
          <w:sz w:val="21"/>
          <w:szCs w:val="21"/>
        </w:rPr>
        <w:t>单位盖章</w:t>
      </w:r>
      <w:r>
        <w:rPr>
          <w:rFonts w:hAnsi="宋体" w:eastAsia="宋体"/>
          <w:sz w:val="21"/>
          <w:szCs w:val="21"/>
        </w:rPr>
        <w:t>）</w:t>
      </w:r>
    </w:p>
    <w:p w14:paraId="261068E7">
      <w:pPr>
        <w:pStyle w:val="16"/>
        <w:spacing w:line="360" w:lineRule="auto"/>
        <w:jc w:val="left"/>
        <w:rPr>
          <w:rFonts w:hAnsi="宋体" w:eastAsia="宋体"/>
          <w:sz w:val="21"/>
          <w:szCs w:val="21"/>
        </w:rPr>
      </w:pPr>
      <w:r>
        <w:rPr>
          <w:rFonts w:hAnsi="宋体" w:eastAsia="宋体"/>
          <w:sz w:val="21"/>
          <w:szCs w:val="21"/>
        </w:rPr>
        <w:t>法定代表人或代理人：（签字或盖章</w:t>
      </w:r>
      <w:r>
        <w:rPr>
          <w:rFonts w:hint="eastAsia" w:hAnsi="宋体" w:eastAsia="宋体"/>
          <w:sz w:val="21"/>
          <w:szCs w:val="21"/>
        </w:rPr>
        <w:t>）</w:t>
      </w:r>
    </w:p>
    <w:p w14:paraId="1BF68DB9">
      <w:pPr>
        <w:pStyle w:val="16"/>
        <w:spacing w:line="360" w:lineRule="auto"/>
        <w:jc w:val="left"/>
        <w:rPr>
          <w:rFonts w:hAnsi="宋体" w:eastAsia="宋体"/>
          <w:sz w:val="21"/>
          <w:szCs w:val="21"/>
        </w:rPr>
      </w:pPr>
      <w:r>
        <w:rPr>
          <w:rFonts w:hint="eastAsia" w:hAnsi="宋体" w:eastAsia="宋体"/>
          <w:sz w:val="21"/>
          <w:szCs w:val="21"/>
        </w:rPr>
        <w:t xml:space="preserve">日期：    </w:t>
      </w:r>
      <w:r>
        <w:rPr>
          <w:rFonts w:hAnsi="宋体" w:eastAsia="宋体"/>
          <w:sz w:val="21"/>
          <w:szCs w:val="21"/>
        </w:rPr>
        <w:t>年  月  日</w:t>
      </w:r>
    </w:p>
    <w:p w14:paraId="78A6C07A">
      <w:pPr>
        <w:pStyle w:val="16"/>
        <w:spacing w:line="360" w:lineRule="auto"/>
        <w:rPr>
          <w:rFonts w:hAnsi="宋体" w:eastAsia="宋体"/>
          <w:bCs/>
          <w:color w:val="000000"/>
          <w:sz w:val="21"/>
          <w:szCs w:val="21"/>
        </w:rPr>
      </w:pPr>
      <w:r>
        <w:rPr>
          <w:rFonts w:hAnsi="宋体" w:eastAsia="宋体"/>
          <w:bCs/>
          <w:color w:val="000000"/>
          <w:sz w:val="21"/>
          <w:szCs w:val="21"/>
        </w:rPr>
        <w:t>注：本投标报价汇总表的“投标总报价”应与“开标一览表”投标价一致</w:t>
      </w:r>
      <w:r>
        <w:rPr>
          <w:rFonts w:hint="eastAsia" w:hAnsi="宋体" w:eastAsia="宋体"/>
          <w:bCs/>
          <w:color w:val="000000"/>
          <w:sz w:val="21"/>
          <w:szCs w:val="21"/>
        </w:rPr>
        <w:t>，投标单位可根据项目实际情况自拟格式，但需明确单价总价</w:t>
      </w:r>
      <w:r>
        <w:rPr>
          <w:rFonts w:hAnsi="宋体" w:eastAsia="宋体"/>
          <w:bCs/>
          <w:color w:val="000000"/>
          <w:sz w:val="21"/>
          <w:szCs w:val="21"/>
        </w:rPr>
        <w:t>。</w:t>
      </w:r>
    </w:p>
    <w:p w14:paraId="5B4C1BA7">
      <w:pPr>
        <w:spacing w:line="520" w:lineRule="exact"/>
        <w:rPr>
          <w:rFonts w:ascii="宋体" w:hAnsi="宋体"/>
          <w:bCs/>
          <w:szCs w:val="21"/>
        </w:rPr>
      </w:pPr>
      <w:r>
        <w:rPr>
          <w:rFonts w:hint="eastAsia" w:ascii="宋体" w:hAnsi="宋体"/>
          <w:bCs/>
          <w:szCs w:val="21"/>
        </w:rPr>
        <w:br w:type="page" w:clear="all"/>
      </w:r>
    </w:p>
    <w:p w14:paraId="42AE7AAF">
      <w:pPr>
        <w:pStyle w:val="6"/>
        <w:rPr>
          <w:rFonts w:ascii="宋体" w:hAnsi="宋体" w:eastAsia="宋体" w:cs="宋体"/>
        </w:rPr>
      </w:pPr>
      <w:bookmarkStart w:id="40" w:name="_Ref10405"/>
      <w:r>
        <w:rPr>
          <w:rFonts w:hint="eastAsia" w:ascii="宋体" w:hAnsi="宋体" w:eastAsia="宋体" w:cs="宋体"/>
        </w:rPr>
        <w:t>七、偏离表（技术、商务）</w:t>
      </w:r>
      <w:bookmarkEnd w:id="31"/>
      <w:bookmarkEnd w:id="32"/>
      <w:bookmarkEnd w:id="33"/>
      <w:bookmarkEnd w:id="34"/>
      <w:bookmarkEnd w:id="35"/>
      <w:bookmarkEnd w:id="36"/>
      <w:bookmarkEnd w:id="39"/>
      <w:bookmarkEnd w:id="40"/>
      <w:bookmarkStart w:id="41" w:name="_Toc38032044"/>
      <w:bookmarkStart w:id="42" w:name="_Ref22898688"/>
    </w:p>
    <w:p w14:paraId="2F7CF050">
      <w:pPr>
        <w:rPr>
          <w:rFonts w:ascii="宋体" w:hAnsi="宋体" w:cs="宋体"/>
          <w:b/>
          <w:sz w:val="32"/>
          <w:szCs w:val="32"/>
        </w:rPr>
      </w:pPr>
      <w:r>
        <w:rPr>
          <w:rFonts w:hint="eastAsia" w:ascii="宋体" w:hAnsi="宋体" w:cs="宋体"/>
          <w:b/>
          <w:sz w:val="32"/>
          <w:szCs w:val="32"/>
        </w:rPr>
        <w:t>偏离表（商务）</w:t>
      </w:r>
      <w:bookmarkEnd w:id="41"/>
      <w:bookmarkEnd w:id="42"/>
      <w:r>
        <w:rPr>
          <w:rFonts w:hint="eastAsia" w:ascii="宋体" w:hAnsi="宋体" w:cs="宋体"/>
          <w:b/>
          <w:sz w:val="32"/>
          <w:szCs w:val="32"/>
        </w:rPr>
        <w:t>：</w:t>
      </w:r>
    </w:p>
    <w:tbl>
      <w:tblPr>
        <w:tblStyle w:val="1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1944"/>
        <w:gridCol w:w="2318"/>
      </w:tblGrid>
      <w:tr w14:paraId="58C2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tcPr>
          <w:p w14:paraId="5C0FC307">
            <w:pPr>
              <w:pStyle w:val="7"/>
              <w:ind w:firstLine="0"/>
              <w:jc w:val="center"/>
              <w:rPr>
                <w:rFonts w:ascii="宋体" w:hAnsi="宋体" w:eastAsia="宋体"/>
                <w:sz w:val="21"/>
                <w:szCs w:val="21"/>
              </w:rPr>
            </w:pPr>
            <w:r>
              <w:rPr>
                <w:rFonts w:hint="eastAsia" w:ascii="宋体" w:hAnsi="宋体" w:eastAsia="宋体"/>
                <w:sz w:val="21"/>
                <w:szCs w:val="21"/>
              </w:rPr>
              <w:t>项      目</w:t>
            </w:r>
          </w:p>
        </w:tc>
        <w:tc>
          <w:tcPr>
            <w:tcW w:w="2130" w:type="dxa"/>
            <w:noWrap w:val="0"/>
          </w:tcPr>
          <w:p w14:paraId="4DAA8E16">
            <w:pPr>
              <w:pStyle w:val="7"/>
              <w:ind w:firstLine="0"/>
              <w:jc w:val="center"/>
              <w:rPr>
                <w:rFonts w:ascii="宋体" w:hAnsi="宋体" w:eastAsia="宋体"/>
                <w:sz w:val="21"/>
                <w:szCs w:val="21"/>
              </w:rPr>
            </w:pPr>
            <w:r>
              <w:rPr>
                <w:rFonts w:hint="eastAsia" w:ascii="宋体" w:hAnsi="宋体" w:eastAsia="宋体"/>
                <w:sz w:val="21"/>
                <w:szCs w:val="21"/>
              </w:rPr>
              <w:t>招标要求（详见招标文件）</w:t>
            </w:r>
          </w:p>
        </w:tc>
        <w:tc>
          <w:tcPr>
            <w:tcW w:w="1944" w:type="dxa"/>
            <w:noWrap w:val="0"/>
          </w:tcPr>
          <w:p w14:paraId="67A67E23">
            <w:pPr>
              <w:pStyle w:val="7"/>
              <w:ind w:firstLine="0"/>
              <w:jc w:val="center"/>
              <w:rPr>
                <w:rFonts w:ascii="宋体" w:hAnsi="宋体" w:eastAsia="宋体"/>
                <w:sz w:val="21"/>
                <w:szCs w:val="21"/>
              </w:rPr>
            </w:pPr>
            <w:r>
              <w:rPr>
                <w:rFonts w:hint="eastAsia" w:ascii="宋体" w:hAnsi="宋体" w:eastAsia="宋体"/>
                <w:sz w:val="21"/>
                <w:szCs w:val="21"/>
              </w:rPr>
              <w:t>投标内容（响应情况）</w:t>
            </w:r>
          </w:p>
        </w:tc>
        <w:tc>
          <w:tcPr>
            <w:tcW w:w="2318" w:type="dxa"/>
            <w:noWrap w:val="0"/>
          </w:tcPr>
          <w:p w14:paraId="0703AB67">
            <w:pPr>
              <w:pStyle w:val="7"/>
              <w:ind w:firstLine="0"/>
              <w:jc w:val="center"/>
              <w:rPr>
                <w:rFonts w:ascii="宋体" w:hAnsi="宋体" w:eastAsia="宋体"/>
                <w:sz w:val="21"/>
                <w:szCs w:val="21"/>
              </w:rPr>
            </w:pPr>
            <w:r>
              <w:rPr>
                <w:rFonts w:hint="eastAsia" w:ascii="宋体" w:hAnsi="宋体" w:eastAsia="宋体"/>
                <w:sz w:val="21"/>
                <w:szCs w:val="21"/>
              </w:rPr>
              <w:t>偏离说明（正偏离、无偏离、负偏离）</w:t>
            </w:r>
          </w:p>
        </w:tc>
      </w:tr>
      <w:tr w14:paraId="7C27A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3450F411">
            <w:pPr>
              <w:pStyle w:val="7"/>
              <w:ind w:firstLine="0"/>
              <w:rPr>
                <w:rFonts w:ascii="宋体" w:hAnsi="宋体" w:eastAsia="宋体"/>
                <w:sz w:val="21"/>
                <w:szCs w:val="21"/>
              </w:rPr>
            </w:pPr>
            <w:r>
              <w:rPr>
                <w:rFonts w:hint="eastAsia" w:ascii="宋体" w:hAnsi="宋体" w:eastAsia="宋体"/>
                <w:sz w:val="21"/>
                <w:szCs w:val="21"/>
              </w:rPr>
              <w:t>服务期</w:t>
            </w:r>
          </w:p>
        </w:tc>
        <w:tc>
          <w:tcPr>
            <w:tcW w:w="2130" w:type="dxa"/>
            <w:noWrap w:val="0"/>
          </w:tcPr>
          <w:p w14:paraId="7FC84BE7">
            <w:pPr>
              <w:pStyle w:val="7"/>
              <w:ind w:firstLine="0"/>
              <w:rPr>
                <w:rFonts w:ascii="宋体" w:hAnsi="宋体" w:eastAsia="宋体"/>
                <w:sz w:val="21"/>
                <w:szCs w:val="21"/>
              </w:rPr>
            </w:pPr>
          </w:p>
        </w:tc>
        <w:tc>
          <w:tcPr>
            <w:tcW w:w="1944" w:type="dxa"/>
            <w:noWrap w:val="0"/>
          </w:tcPr>
          <w:p w14:paraId="35774DCC">
            <w:pPr>
              <w:pStyle w:val="7"/>
              <w:ind w:firstLine="0"/>
              <w:rPr>
                <w:rFonts w:ascii="宋体" w:hAnsi="宋体" w:eastAsia="宋体"/>
                <w:sz w:val="21"/>
                <w:szCs w:val="21"/>
              </w:rPr>
            </w:pPr>
          </w:p>
        </w:tc>
        <w:tc>
          <w:tcPr>
            <w:tcW w:w="2318" w:type="dxa"/>
            <w:noWrap w:val="0"/>
          </w:tcPr>
          <w:p w14:paraId="0310B3A2">
            <w:pPr>
              <w:pStyle w:val="7"/>
              <w:ind w:firstLine="0"/>
              <w:rPr>
                <w:rFonts w:ascii="宋体" w:hAnsi="宋体" w:eastAsia="宋体"/>
                <w:sz w:val="21"/>
                <w:szCs w:val="21"/>
              </w:rPr>
            </w:pPr>
          </w:p>
        </w:tc>
      </w:tr>
      <w:tr w14:paraId="7C865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11BBFE5A">
            <w:pPr>
              <w:pStyle w:val="7"/>
              <w:ind w:firstLine="0"/>
              <w:rPr>
                <w:rFonts w:ascii="宋体" w:hAnsi="宋体" w:eastAsia="宋体"/>
                <w:sz w:val="21"/>
                <w:szCs w:val="21"/>
              </w:rPr>
            </w:pPr>
            <w:r>
              <w:rPr>
                <w:rFonts w:hint="eastAsia" w:ascii="宋体" w:hAnsi="宋体" w:eastAsia="宋体"/>
                <w:sz w:val="21"/>
                <w:szCs w:val="21"/>
              </w:rPr>
              <w:t>响应时间</w:t>
            </w:r>
          </w:p>
        </w:tc>
        <w:tc>
          <w:tcPr>
            <w:tcW w:w="2130" w:type="dxa"/>
            <w:noWrap w:val="0"/>
          </w:tcPr>
          <w:p w14:paraId="0D810FE5">
            <w:pPr>
              <w:pStyle w:val="7"/>
              <w:ind w:firstLine="0"/>
              <w:rPr>
                <w:rFonts w:ascii="宋体" w:hAnsi="宋体" w:eastAsia="宋体"/>
                <w:sz w:val="21"/>
                <w:szCs w:val="21"/>
              </w:rPr>
            </w:pPr>
          </w:p>
        </w:tc>
        <w:tc>
          <w:tcPr>
            <w:tcW w:w="1944" w:type="dxa"/>
            <w:noWrap w:val="0"/>
          </w:tcPr>
          <w:p w14:paraId="56C18578">
            <w:pPr>
              <w:pStyle w:val="7"/>
              <w:ind w:firstLine="0"/>
              <w:rPr>
                <w:rFonts w:ascii="宋体" w:hAnsi="宋体" w:eastAsia="宋体"/>
                <w:sz w:val="21"/>
                <w:szCs w:val="21"/>
              </w:rPr>
            </w:pPr>
          </w:p>
        </w:tc>
        <w:tc>
          <w:tcPr>
            <w:tcW w:w="2318" w:type="dxa"/>
            <w:noWrap w:val="0"/>
          </w:tcPr>
          <w:p w14:paraId="0FB1B155">
            <w:pPr>
              <w:pStyle w:val="7"/>
              <w:ind w:firstLine="0"/>
              <w:rPr>
                <w:rFonts w:ascii="宋体" w:hAnsi="宋体" w:eastAsia="宋体"/>
                <w:sz w:val="21"/>
                <w:szCs w:val="21"/>
              </w:rPr>
            </w:pPr>
          </w:p>
        </w:tc>
      </w:tr>
      <w:tr w14:paraId="72D5B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11F31897">
            <w:pPr>
              <w:pStyle w:val="7"/>
              <w:ind w:firstLine="0"/>
              <w:rPr>
                <w:rFonts w:ascii="宋体" w:hAnsi="宋体" w:eastAsia="宋体"/>
                <w:sz w:val="21"/>
                <w:szCs w:val="21"/>
              </w:rPr>
            </w:pPr>
            <w:r>
              <w:rPr>
                <w:rFonts w:hint="eastAsia" w:ascii="宋体" w:hAnsi="宋体" w:eastAsia="宋体"/>
                <w:sz w:val="21"/>
                <w:szCs w:val="21"/>
              </w:rPr>
              <w:t>质保期（如有）</w:t>
            </w:r>
          </w:p>
        </w:tc>
        <w:tc>
          <w:tcPr>
            <w:tcW w:w="2130" w:type="dxa"/>
            <w:noWrap w:val="0"/>
          </w:tcPr>
          <w:p w14:paraId="07394EAA">
            <w:pPr>
              <w:pStyle w:val="7"/>
              <w:ind w:firstLine="0"/>
              <w:rPr>
                <w:rFonts w:ascii="宋体" w:hAnsi="宋体" w:eastAsia="宋体"/>
                <w:sz w:val="21"/>
                <w:szCs w:val="21"/>
              </w:rPr>
            </w:pPr>
          </w:p>
        </w:tc>
        <w:tc>
          <w:tcPr>
            <w:tcW w:w="1944" w:type="dxa"/>
            <w:noWrap w:val="0"/>
          </w:tcPr>
          <w:p w14:paraId="7C6C4477">
            <w:pPr>
              <w:pStyle w:val="7"/>
              <w:ind w:firstLine="0"/>
              <w:rPr>
                <w:rFonts w:ascii="宋体" w:hAnsi="宋体" w:eastAsia="宋体"/>
                <w:sz w:val="21"/>
                <w:szCs w:val="21"/>
              </w:rPr>
            </w:pPr>
          </w:p>
        </w:tc>
        <w:tc>
          <w:tcPr>
            <w:tcW w:w="2318" w:type="dxa"/>
            <w:noWrap w:val="0"/>
          </w:tcPr>
          <w:p w14:paraId="52E23F55">
            <w:pPr>
              <w:pStyle w:val="7"/>
              <w:ind w:firstLine="0"/>
              <w:rPr>
                <w:rFonts w:ascii="宋体" w:hAnsi="宋体" w:eastAsia="宋体"/>
                <w:sz w:val="21"/>
                <w:szCs w:val="21"/>
              </w:rPr>
            </w:pPr>
          </w:p>
        </w:tc>
      </w:tr>
      <w:tr w14:paraId="4663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0CF338BD">
            <w:pPr>
              <w:pStyle w:val="7"/>
              <w:ind w:firstLine="0"/>
              <w:rPr>
                <w:rFonts w:ascii="宋体" w:hAnsi="宋体" w:eastAsia="宋体"/>
                <w:sz w:val="21"/>
                <w:szCs w:val="21"/>
              </w:rPr>
            </w:pPr>
            <w:r>
              <w:rPr>
                <w:rFonts w:hint="eastAsia" w:ascii="宋体" w:hAnsi="宋体" w:eastAsia="宋体"/>
                <w:sz w:val="21"/>
                <w:szCs w:val="21"/>
              </w:rPr>
              <w:t>付款方式</w:t>
            </w:r>
          </w:p>
        </w:tc>
        <w:tc>
          <w:tcPr>
            <w:tcW w:w="2130" w:type="dxa"/>
            <w:noWrap w:val="0"/>
          </w:tcPr>
          <w:p w14:paraId="419F5ACC">
            <w:pPr>
              <w:pStyle w:val="7"/>
              <w:ind w:firstLine="0"/>
              <w:rPr>
                <w:rFonts w:ascii="宋体" w:hAnsi="宋体" w:eastAsia="宋体"/>
                <w:sz w:val="21"/>
                <w:szCs w:val="21"/>
              </w:rPr>
            </w:pPr>
          </w:p>
        </w:tc>
        <w:tc>
          <w:tcPr>
            <w:tcW w:w="1944" w:type="dxa"/>
            <w:noWrap w:val="0"/>
          </w:tcPr>
          <w:p w14:paraId="5545311F">
            <w:pPr>
              <w:pStyle w:val="7"/>
              <w:ind w:firstLine="0"/>
              <w:rPr>
                <w:rFonts w:ascii="宋体" w:hAnsi="宋体" w:eastAsia="宋体"/>
                <w:sz w:val="21"/>
                <w:szCs w:val="21"/>
              </w:rPr>
            </w:pPr>
          </w:p>
        </w:tc>
        <w:tc>
          <w:tcPr>
            <w:tcW w:w="2318" w:type="dxa"/>
            <w:noWrap w:val="0"/>
          </w:tcPr>
          <w:p w14:paraId="57C15F2F">
            <w:pPr>
              <w:pStyle w:val="7"/>
              <w:ind w:firstLine="0"/>
              <w:rPr>
                <w:rFonts w:ascii="宋体" w:hAnsi="宋体" w:eastAsia="宋体"/>
                <w:sz w:val="21"/>
                <w:szCs w:val="21"/>
              </w:rPr>
            </w:pPr>
          </w:p>
        </w:tc>
      </w:tr>
      <w:tr w14:paraId="3D23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70008F75">
            <w:pPr>
              <w:pStyle w:val="7"/>
              <w:ind w:firstLine="0"/>
              <w:rPr>
                <w:rFonts w:ascii="宋体" w:hAnsi="宋体" w:eastAsia="宋体"/>
                <w:sz w:val="21"/>
                <w:szCs w:val="21"/>
              </w:rPr>
            </w:pPr>
            <w:r>
              <w:rPr>
                <w:rFonts w:hint="eastAsia" w:ascii="宋体" w:hAnsi="宋体" w:eastAsia="宋体"/>
                <w:sz w:val="21"/>
                <w:szCs w:val="21"/>
              </w:rPr>
              <w:t>履约保证金</w:t>
            </w:r>
          </w:p>
        </w:tc>
        <w:tc>
          <w:tcPr>
            <w:tcW w:w="2130" w:type="dxa"/>
            <w:noWrap w:val="0"/>
          </w:tcPr>
          <w:p w14:paraId="70EF82E8">
            <w:pPr>
              <w:pStyle w:val="7"/>
              <w:ind w:firstLine="0"/>
              <w:rPr>
                <w:rFonts w:ascii="宋体" w:hAnsi="宋体" w:eastAsia="宋体"/>
                <w:sz w:val="21"/>
                <w:szCs w:val="21"/>
              </w:rPr>
            </w:pPr>
          </w:p>
        </w:tc>
        <w:tc>
          <w:tcPr>
            <w:tcW w:w="1944" w:type="dxa"/>
            <w:noWrap w:val="0"/>
          </w:tcPr>
          <w:p w14:paraId="0AB99D4F">
            <w:pPr>
              <w:pStyle w:val="7"/>
              <w:ind w:firstLine="0"/>
              <w:rPr>
                <w:rFonts w:ascii="宋体" w:hAnsi="宋体" w:eastAsia="宋体"/>
                <w:sz w:val="21"/>
                <w:szCs w:val="21"/>
              </w:rPr>
            </w:pPr>
          </w:p>
        </w:tc>
        <w:tc>
          <w:tcPr>
            <w:tcW w:w="2318" w:type="dxa"/>
            <w:noWrap w:val="0"/>
          </w:tcPr>
          <w:p w14:paraId="14FE41F4">
            <w:pPr>
              <w:pStyle w:val="7"/>
              <w:ind w:firstLine="0"/>
              <w:rPr>
                <w:rFonts w:ascii="宋体" w:hAnsi="宋体" w:eastAsia="宋体"/>
                <w:sz w:val="21"/>
                <w:szCs w:val="21"/>
              </w:rPr>
            </w:pPr>
          </w:p>
        </w:tc>
      </w:tr>
    </w:tbl>
    <w:p w14:paraId="7FB602D6">
      <w:pPr>
        <w:pStyle w:val="7"/>
        <w:spacing w:line="360" w:lineRule="auto"/>
        <w:ind w:firstLine="0"/>
        <w:rPr>
          <w:rFonts w:ascii="宋体" w:hAnsi="宋体" w:eastAsia="宋体"/>
          <w:sz w:val="21"/>
          <w:szCs w:val="21"/>
        </w:rPr>
      </w:pPr>
      <w:bookmarkStart w:id="43" w:name="_Ref501489596"/>
      <w:bookmarkStart w:id="44" w:name="_Toc38032045"/>
      <w:r>
        <w:rPr>
          <w:rFonts w:hint="eastAsia" w:ascii="宋体" w:hAnsi="宋体" w:eastAsia="宋体"/>
          <w:sz w:val="21"/>
          <w:szCs w:val="21"/>
        </w:rPr>
        <w:t>投标单位：</w:t>
      </w:r>
      <w:r>
        <w:rPr>
          <w:rFonts w:ascii="宋体" w:hAnsi="宋体" w:eastAsia="宋体"/>
          <w:sz w:val="21"/>
          <w:szCs w:val="21"/>
        </w:rPr>
        <w:t>（</w:t>
      </w:r>
      <w:r>
        <w:rPr>
          <w:rFonts w:hint="eastAsia" w:ascii="宋体" w:hAnsi="宋体" w:eastAsia="宋体"/>
          <w:sz w:val="21"/>
          <w:szCs w:val="21"/>
        </w:rPr>
        <w:t>单位盖章</w:t>
      </w:r>
      <w:r>
        <w:rPr>
          <w:rFonts w:ascii="宋体" w:hAnsi="宋体" w:eastAsia="宋体"/>
          <w:sz w:val="21"/>
          <w:szCs w:val="21"/>
        </w:rPr>
        <w:t>）</w:t>
      </w:r>
    </w:p>
    <w:p w14:paraId="72BAFAE3">
      <w:pPr>
        <w:pStyle w:val="7"/>
        <w:spacing w:line="360" w:lineRule="auto"/>
        <w:ind w:firstLine="0"/>
        <w:rPr>
          <w:rFonts w:ascii="宋体" w:hAnsi="宋体" w:eastAsia="宋体"/>
          <w:sz w:val="21"/>
          <w:szCs w:val="21"/>
        </w:rPr>
      </w:pPr>
      <w:r>
        <w:rPr>
          <w:rFonts w:hint="eastAsia" w:ascii="宋体" w:hAnsi="宋体" w:eastAsia="宋体"/>
          <w:sz w:val="21"/>
          <w:szCs w:val="21"/>
        </w:rPr>
        <w:t xml:space="preserve">法定代表人或代理人：（签字或盖章）                  </w:t>
      </w:r>
    </w:p>
    <w:p w14:paraId="1C2958D7">
      <w:pPr>
        <w:pStyle w:val="7"/>
        <w:spacing w:line="360" w:lineRule="auto"/>
        <w:ind w:firstLine="0"/>
        <w:rPr>
          <w:rFonts w:ascii="宋体" w:hAnsi="宋体" w:eastAsia="宋体"/>
          <w:sz w:val="21"/>
          <w:szCs w:val="21"/>
        </w:rPr>
      </w:pPr>
      <w:r>
        <w:rPr>
          <w:rFonts w:ascii="宋体" w:hAnsi="宋体" w:eastAsia="宋体"/>
          <w:sz w:val="21"/>
          <w:szCs w:val="21"/>
        </w:rPr>
        <w:t>日期：</w:t>
      </w:r>
      <w:r>
        <w:rPr>
          <w:rFonts w:hint="eastAsia" w:ascii="宋体" w:hAnsi="宋体" w:eastAsia="宋体"/>
          <w:sz w:val="21"/>
          <w:szCs w:val="21"/>
        </w:rPr>
        <w:t xml:space="preserve">     年  月  日</w:t>
      </w:r>
    </w:p>
    <w:p w14:paraId="3E520558">
      <w:pPr>
        <w:pStyle w:val="7"/>
        <w:ind w:firstLine="0"/>
        <w:rPr>
          <w:rFonts w:ascii="宋体" w:hAnsi="宋体" w:eastAsia="宋体"/>
          <w:sz w:val="21"/>
          <w:szCs w:val="21"/>
        </w:rPr>
      </w:pPr>
    </w:p>
    <w:p w14:paraId="422DEB6B">
      <w:pPr>
        <w:rPr>
          <w:rFonts w:ascii="宋体" w:hAnsi="宋体" w:cs="宋体"/>
          <w:szCs w:val="21"/>
        </w:rPr>
      </w:pPr>
      <w:bookmarkStart w:id="45" w:name="_Ref83808939"/>
    </w:p>
    <w:p w14:paraId="7DD9AF88">
      <w:pPr>
        <w:rPr>
          <w:rFonts w:ascii="宋体" w:hAnsi="宋体" w:cs="宋体"/>
          <w:b/>
          <w:szCs w:val="21"/>
        </w:rPr>
      </w:pPr>
    </w:p>
    <w:p w14:paraId="6CAFD1DE">
      <w:pPr>
        <w:rPr>
          <w:rFonts w:ascii="宋体" w:hAnsi="宋体" w:cs="宋体"/>
          <w:b/>
          <w:sz w:val="32"/>
          <w:szCs w:val="32"/>
        </w:rPr>
      </w:pPr>
      <w:r>
        <w:rPr>
          <w:rFonts w:hint="eastAsia" w:ascii="宋体" w:hAnsi="宋体" w:cs="宋体"/>
          <w:b/>
          <w:sz w:val="32"/>
          <w:szCs w:val="32"/>
        </w:rPr>
        <w:t>偏离表（技术）：</w:t>
      </w:r>
      <w:bookmarkEnd w:id="43"/>
      <w:bookmarkEnd w:id="44"/>
      <w:bookmarkEnd w:id="45"/>
    </w:p>
    <w:tbl>
      <w:tblPr>
        <w:tblStyle w:val="1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1944"/>
        <w:gridCol w:w="2318"/>
      </w:tblGrid>
      <w:tr w14:paraId="0C79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32D896B7">
            <w:pPr>
              <w:pStyle w:val="7"/>
              <w:ind w:firstLine="0"/>
              <w:jc w:val="center"/>
              <w:rPr>
                <w:rFonts w:ascii="宋体" w:hAnsi="宋体" w:eastAsia="宋体"/>
                <w:sz w:val="21"/>
                <w:szCs w:val="21"/>
              </w:rPr>
            </w:pPr>
            <w:r>
              <w:rPr>
                <w:rFonts w:hint="eastAsia" w:ascii="宋体" w:hAnsi="宋体" w:eastAsia="宋体"/>
                <w:sz w:val="21"/>
                <w:szCs w:val="21"/>
              </w:rPr>
              <w:t>项      目</w:t>
            </w:r>
          </w:p>
        </w:tc>
        <w:tc>
          <w:tcPr>
            <w:tcW w:w="2130" w:type="dxa"/>
            <w:noWrap w:val="0"/>
          </w:tcPr>
          <w:p w14:paraId="7BA2AF24">
            <w:pPr>
              <w:pStyle w:val="7"/>
              <w:ind w:firstLine="0"/>
              <w:jc w:val="center"/>
              <w:rPr>
                <w:rFonts w:ascii="宋体" w:hAnsi="宋体" w:eastAsia="宋体"/>
                <w:sz w:val="21"/>
                <w:szCs w:val="21"/>
              </w:rPr>
            </w:pPr>
            <w:r>
              <w:rPr>
                <w:rFonts w:hint="eastAsia" w:ascii="宋体" w:hAnsi="宋体" w:eastAsia="宋体"/>
                <w:sz w:val="21"/>
                <w:szCs w:val="21"/>
              </w:rPr>
              <w:t>招标要求（详见招标文件）</w:t>
            </w:r>
          </w:p>
        </w:tc>
        <w:tc>
          <w:tcPr>
            <w:tcW w:w="1944" w:type="dxa"/>
            <w:noWrap w:val="0"/>
          </w:tcPr>
          <w:p w14:paraId="0671589E">
            <w:pPr>
              <w:pStyle w:val="7"/>
              <w:ind w:firstLine="0"/>
              <w:jc w:val="center"/>
              <w:rPr>
                <w:rFonts w:ascii="宋体" w:hAnsi="宋体" w:eastAsia="宋体"/>
                <w:sz w:val="21"/>
                <w:szCs w:val="21"/>
              </w:rPr>
            </w:pPr>
            <w:r>
              <w:rPr>
                <w:rFonts w:hint="eastAsia" w:ascii="宋体" w:hAnsi="宋体" w:eastAsia="宋体"/>
                <w:sz w:val="21"/>
                <w:szCs w:val="21"/>
              </w:rPr>
              <w:t>投标内容（响应情况）</w:t>
            </w:r>
          </w:p>
        </w:tc>
        <w:tc>
          <w:tcPr>
            <w:tcW w:w="2318" w:type="dxa"/>
            <w:noWrap w:val="0"/>
          </w:tcPr>
          <w:p w14:paraId="7A5918CF">
            <w:pPr>
              <w:pStyle w:val="7"/>
              <w:ind w:firstLine="0"/>
              <w:jc w:val="center"/>
              <w:rPr>
                <w:rFonts w:ascii="宋体" w:hAnsi="宋体" w:eastAsia="宋体"/>
                <w:sz w:val="21"/>
                <w:szCs w:val="21"/>
              </w:rPr>
            </w:pPr>
            <w:r>
              <w:rPr>
                <w:rFonts w:hint="eastAsia" w:ascii="宋体" w:hAnsi="宋体" w:eastAsia="宋体"/>
                <w:sz w:val="21"/>
                <w:szCs w:val="21"/>
              </w:rPr>
              <w:t>偏离说明（正偏离、无偏离、负偏离）</w:t>
            </w:r>
          </w:p>
        </w:tc>
      </w:tr>
      <w:tr w14:paraId="4CC9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14F37004">
            <w:pPr>
              <w:pStyle w:val="7"/>
              <w:ind w:firstLine="0"/>
              <w:jc w:val="center"/>
              <w:rPr>
                <w:rFonts w:ascii="宋体" w:hAnsi="宋体" w:eastAsia="宋体"/>
                <w:sz w:val="21"/>
                <w:szCs w:val="21"/>
              </w:rPr>
            </w:pPr>
            <w:r>
              <w:rPr>
                <w:rFonts w:hint="eastAsia" w:ascii="宋体" w:hAnsi="宋体" w:eastAsia="宋体"/>
                <w:sz w:val="21"/>
                <w:szCs w:val="21"/>
              </w:rPr>
              <w:t>标的物</w:t>
            </w:r>
          </w:p>
        </w:tc>
        <w:tc>
          <w:tcPr>
            <w:tcW w:w="2130" w:type="dxa"/>
            <w:noWrap w:val="0"/>
          </w:tcPr>
          <w:p w14:paraId="70F0A95D">
            <w:pPr>
              <w:pStyle w:val="7"/>
              <w:ind w:firstLine="0"/>
              <w:rPr>
                <w:rFonts w:ascii="宋体" w:hAnsi="宋体" w:eastAsia="宋体"/>
                <w:sz w:val="21"/>
                <w:szCs w:val="21"/>
              </w:rPr>
            </w:pPr>
          </w:p>
        </w:tc>
        <w:tc>
          <w:tcPr>
            <w:tcW w:w="1944" w:type="dxa"/>
            <w:noWrap w:val="0"/>
          </w:tcPr>
          <w:p w14:paraId="194BC018">
            <w:pPr>
              <w:pStyle w:val="7"/>
              <w:ind w:firstLine="0"/>
              <w:rPr>
                <w:rFonts w:ascii="宋体" w:hAnsi="宋体" w:eastAsia="宋体"/>
                <w:sz w:val="21"/>
                <w:szCs w:val="21"/>
              </w:rPr>
            </w:pPr>
          </w:p>
        </w:tc>
        <w:tc>
          <w:tcPr>
            <w:tcW w:w="2318" w:type="dxa"/>
            <w:noWrap w:val="0"/>
          </w:tcPr>
          <w:p w14:paraId="685B53E8">
            <w:pPr>
              <w:pStyle w:val="7"/>
              <w:ind w:firstLine="0"/>
              <w:rPr>
                <w:rFonts w:ascii="宋体" w:hAnsi="宋体" w:eastAsia="宋体"/>
                <w:sz w:val="21"/>
                <w:szCs w:val="21"/>
              </w:rPr>
            </w:pPr>
          </w:p>
        </w:tc>
      </w:tr>
      <w:tr w14:paraId="529F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565B297B">
            <w:pPr>
              <w:pStyle w:val="7"/>
              <w:ind w:firstLine="0"/>
              <w:rPr>
                <w:rFonts w:ascii="宋体" w:hAnsi="宋体" w:eastAsia="宋体"/>
                <w:sz w:val="21"/>
                <w:szCs w:val="21"/>
              </w:rPr>
            </w:pPr>
            <w:r>
              <w:rPr>
                <w:rFonts w:hint="eastAsia" w:ascii="宋体" w:hAnsi="宋体" w:eastAsia="宋体"/>
                <w:sz w:val="21"/>
                <w:szCs w:val="21"/>
              </w:rPr>
              <w:t>…………</w:t>
            </w:r>
          </w:p>
        </w:tc>
        <w:tc>
          <w:tcPr>
            <w:tcW w:w="2130" w:type="dxa"/>
            <w:noWrap w:val="0"/>
          </w:tcPr>
          <w:p w14:paraId="3E020DDC">
            <w:pPr>
              <w:pStyle w:val="7"/>
              <w:ind w:firstLine="0"/>
              <w:rPr>
                <w:rFonts w:ascii="宋体" w:hAnsi="宋体" w:eastAsia="宋体"/>
                <w:sz w:val="21"/>
                <w:szCs w:val="21"/>
              </w:rPr>
            </w:pPr>
          </w:p>
        </w:tc>
        <w:tc>
          <w:tcPr>
            <w:tcW w:w="1944" w:type="dxa"/>
            <w:noWrap w:val="0"/>
          </w:tcPr>
          <w:p w14:paraId="0A81E662">
            <w:pPr>
              <w:pStyle w:val="7"/>
              <w:ind w:firstLine="0"/>
              <w:rPr>
                <w:rFonts w:ascii="宋体" w:hAnsi="宋体" w:eastAsia="宋体"/>
                <w:sz w:val="21"/>
                <w:szCs w:val="21"/>
              </w:rPr>
            </w:pPr>
          </w:p>
        </w:tc>
        <w:tc>
          <w:tcPr>
            <w:tcW w:w="2318" w:type="dxa"/>
            <w:noWrap w:val="0"/>
          </w:tcPr>
          <w:p w14:paraId="78F06D7C">
            <w:pPr>
              <w:pStyle w:val="7"/>
              <w:ind w:firstLine="0"/>
              <w:rPr>
                <w:rFonts w:ascii="宋体" w:hAnsi="宋体" w:eastAsia="宋体"/>
                <w:sz w:val="21"/>
                <w:szCs w:val="21"/>
              </w:rPr>
            </w:pPr>
          </w:p>
        </w:tc>
      </w:tr>
      <w:tr w14:paraId="19FFE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54EF715F">
            <w:pPr>
              <w:pStyle w:val="7"/>
              <w:ind w:firstLine="0"/>
              <w:rPr>
                <w:rFonts w:ascii="宋体" w:hAnsi="宋体" w:eastAsia="宋体"/>
                <w:sz w:val="21"/>
                <w:szCs w:val="21"/>
              </w:rPr>
            </w:pPr>
            <w:r>
              <w:rPr>
                <w:rFonts w:hint="eastAsia" w:ascii="宋体" w:hAnsi="宋体" w:eastAsia="宋体"/>
                <w:sz w:val="21"/>
                <w:szCs w:val="21"/>
              </w:rPr>
              <w:t>…………</w:t>
            </w:r>
          </w:p>
        </w:tc>
        <w:tc>
          <w:tcPr>
            <w:tcW w:w="2130" w:type="dxa"/>
            <w:noWrap w:val="0"/>
          </w:tcPr>
          <w:p w14:paraId="4853F48C">
            <w:pPr>
              <w:pStyle w:val="7"/>
              <w:ind w:firstLine="0"/>
              <w:rPr>
                <w:rFonts w:ascii="宋体" w:hAnsi="宋体" w:eastAsia="宋体"/>
                <w:sz w:val="21"/>
                <w:szCs w:val="21"/>
              </w:rPr>
            </w:pPr>
          </w:p>
        </w:tc>
        <w:tc>
          <w:tcPr>
            <w:tcW w:w="1944" w:type="dxa"/>
            <w:noWrap w:val="0"/>
          </w:tcPr>
          <w:p w14:paraId="7A800016">
            <w:pPr>
              <w:pStyle w:val="7"/>
              <w:ind w:firstLine="0"/>
              <w:rPr>
                <w:rFonts w:ascii="宋体" w:hAnsi="宋体" w:eastAsia="宋体"/>
                <w:sz w:val="21"/>
                <w:szCs w:val="21"/>
              </w:rPr>
            </w:pPr>
          </w:p>
        </w:tc>
        <w:tc>
          <w:tcPr>
            <w:tcW w:w="2318" w:type="dxa"/>
            <w:noWrap w:val="0"/>
          </w:tcPr>
          <w:p w14:paraId="487BA328">
            <w:pPr>
              <w:pStyle w:val="7"/>
              <w:ind w:firstLine="0"/>
              <w:rPr>
                <w:rFonts w:ascii="宋体" w:hAnsi="宋体" w:eastAsia="宋体"/>
                <w:sz w:val="21"/>
                <w:szCs w:val="21"/>
              </w:rPr>
            </w:pPr>
          </w:p>
        </w:tc>
      </w:tr>
      <w:tr w14:paraId="67FD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05625271">
            <w:pPr>
              <w:pStyle w:val="7"/>
              <w:ind w:firstLine="0"/>
              <w:rPr>
                <w:rFonts w:ascii="宋体" w:hAnsi="宋体" w:eastAsia="宋体"/>
                <w:sz w:val="21"/>
                <w:szCs w:val="21"/>
              </w:rPr>
            </w:pPr>
            <w:r>
              <w:rPr>
                <w:rFonts w:hint="eastAsia" w:ascii="宋体" w:hAnsi="宋体" w:eastAsia="宋体"/>
                <w:sz w:val="21"/>
                <w:szCs w:val="21"/>
              </w:rPr>
              <w:t>…………</w:t>
            </w:r>
          </w:p>
        </w:tc>
        <w:tc>
          <w:tcPr>
            <w:tcW w:w="2130" w:type="dxa"/>
            <w:noWrap w:val="0"/>
          </w:tcPr>
          <w:p w14:paraId="1AA4A9DF">
            <w:pPr>
              <w:pStyle w:val="7"/>
              <w:ind w:firstLine="0"/>
              <w:rPr>
                <w:rFonts w:ascii="宋体" w:hAnsi="宋体" w:eastAsia="宋体"/>
                <w:sz w:val="21"/>
                <w:szCs w:val="21"/>
              </w:rPr>
            </w:pPr>
          </w:p>
        </w:tc>
        <w:tc>
          <w:tcPr>
            <w:tcW w:w="1944" w:type="dxa"/>
            <w:noWrap w:val="0"/>
          </w:tcPr>
          <w:p w14:paraId="6546FDE7">
            <w:pPr>
              <w:pStyle w:val="7"/>
              <w:ind w:firstLine="0"/>
              <w:rPr>
                <w:rFonts w:ascii="宋体" w:hAnsi="宋体" w:eastAsia="宋体"/>
                <w:sz w:val="21"/>
                <w:szCs w:val="21"/>
              </w:rPr>
            </w:pPr>
          </w:p>
        </w:tc>
        <w:tc>
          <w:tcPr>
            <w:tcW w:w="2318" w:type="dxa"/>
            <w:noWrap w:val="0"/>
          </w:tcPr>
          <w:p w14:paraId="6F489512">
            <w:pPr>
              <w:pStyle w:val="7"/>
              <w:ind w:firstLine="0"/>
              <w:rPr>
                <w:rFonts w:ascii="宋体" w:hAnsi="宋体" w:eastAsia="宋体"/>
                <w:sz w:val="21"/>
                <w:szCs w:val="21"/>
              </w:rPr>
            </w:pPr>
          </w:p>
        </w:tc>
      </w:tr>
      <w:tr w14:paraId="1EF88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tcPr>
          <w:p w14:paraId="56AF3E74">
            <w:pPr>
              <w:pStyle w:val="7"/>
              <w:ind w:firstLine="0"/>
              <w:rPr>
                <w:rFonts w:ascii="宋体" w:hAnsi="宋体" w:eastAsia="宋体"/>
                <w:sz w:val="21"/>
                <w:szCs w:val="21"/>
              </w:rPr>
            </w:pPr>
            <w:r>
              <w:rPr>
                <w:rFonts w:hint="eastAsia" w:ascii="宋体" w:hAnsi="宋体" w:eastAsia="宋体"/>
                <w:sz w:val="21"/>
                <w:szCs w:val="21"/>
              </w:rPr>
              <w:t>…………（根据采购内容自行列明）</w:t>
            </w:r>
          </w:p>
        </w:tc>
        <w:tc>
          <w:tcPr>
            <w:tcW w:w="2130" w:type="dxa"/>
            <w:noWrap w:val="0"/>
          </w:tcPr>
          <w:p w14:paraId="69B4CB45">
            <w:pPr>
              <w:pStyle w:val="7"/>
              <w:ind w:firstLine="0"/>
              <w:rPr>
                <w:rFonts w:ascii="宋体" w:hAnsi="宋体" w:eastAsia="宋体"/>
                <w:sz w:val="21"/>
                <w:szCs w:val="21"/>
              </w:rPr>
            </w:pPr>
          </w:p>
        </w:tc>
        <w:tc>
          <w:tcPr>
            <w:tcW w:w="1944" w:type="dxa"/>
            <w:noWrap w:val="0"/>
          </w:tcPr>
          <w:p w14:paraId="69C954E2">
            <w:pPr>
              <w:pStyle w:val="7"/>
              <w:ind w:firstLine="0"/>
              <w:rPr>
                <w:rFonts w:ascii="宋体" w:hAnsi="宋体" w:eastAsia="宋体"/>
                <w:sz w:val="21"/>
                <w:szCs w:val="21"/>
              </w:rPr>
            </w:pPr>
          </w:p>
        </w:tc>
        <w:tc>
          <w:tcPr>
            <w:tcW w:w="2318" w:type="dxa"/>
            <w:noWrap w:val="0"/>
          </w:tcPr>
          <w:p w14:paraId="00ABD0E4">
            <w:pPr>
              <w:pStyle w:val="7"/>
              <w:ind w:firstLine="0"/>
              <w:rPr>
                <w:rFonts w:ascii="宋体" w:hAnsi="宋体" w:eastAsia="宋体"/>
                <w:sz w:val="21"/>
                <w:szCs w:val="21"/>
              </w:rPr>
            </w:pPr>
          </w:p>
        </w:tc>
      </w:tr>
    </w:tbl>
    <w:p w14:paraId="2EC6CF05">
      <w:pPr>
        <w:pStyle w:val="7"/>
        <w:spacing w:line="360" w:lineRule="auto"/>
        <w:ind w:firstLine="0"/>
        <w:jc w:val="right"/>
        <w:rPr>
          <w:rFonts w:ascii="宋体" w:hAnsi="宋体" w:eastAsia="宋体"/>
          <w:sz w:val="21"/>
          <w:szCs w:val="21"/>
        </w:rPr>
      </w:pPr>
    </w:p>
    <w:p w14:paraId="1A3BD139">
      <w:pPr>
        <w:pStyle w:val="7"/>
        <w:spacing w:line="360" w:lineRule="auto"/>
        <w:ind w:firstLine="0"/>
        <w:rPr>
          <w:rFonts w:ascii="宋体" w:hAnsi="宋体" w:eastAsia="宋体"/>
          <w:sz w:val="21"/>
          <w:szCs w:val="21"/>
        </w:rPr>
      </w:pPr>
      <w:r>
        <w:rPr>
          <w:rFonts w:hint="eastAsia" w:ascii="宋体" w:hAnsi="宋体" w:eastAsia="宋体"/>
          <w:sz w:val="21"/>
          <w:szCs w:val="21"/>
        </w:rPr>
        <w:t>投标单位：</w:t>
      </w:r>
      <w:r>
        <w:rPr>
          <w:rFonts w:ascii="宋体" w:hAnsi="宋体" w:eastAsia="宋体"/>
          <w:sz w:val="21"/>
          <w:szCs w:val="21"/>
        </w:rPr>
        <w:t>（</w:t>
      </w:r>
      <w:r>
        <w:rPr>
          <w:rFonts w:hint="eastAsia" w:ascii="宋体" w:hAnsi="宋体" w:eastAsia="宋体"/>
          <w:sz w:val="21"/>
          <w:szCs w:val="21"/>
        </w:rPr>
        <w:t>单位盖章</w:t>
      </w:r>
      <w:r>
        <w:rPr>
          <w:rFonts w:ascii="宋体" w:hAnsi="宋体" w:eastAsia="宋体"/>
          <w:sz w:val="21"/>
          <w:szCs w:val="21"/>
        </w:rPr>
        <w:t>）</w:t>
      </w:r>
    </w:p>
    <w:p w14:paraId="5A60BEE1">
      <w:pPr>
        <w:pStyle w:val="7"/>
        <w:spacing w:line="360" w:lineRule="auto"/>
        <w:ind w:firstLine="0"/>
        <w:rPr>
          <w:rFonts w:ascii="宋体" w:hAnsi="宋体" w:eastAsia="宋体"/>
          <w:sz w:val="21"/>
          <w:szCs w:val="21"/>
        </w:rPr>
      </w:pPr>
      <w:r>
        <w:rPr>
          <w:rFonts w:hint="eastAsia" w:ascii="宋体" w:hAnsi="宋体" w:eastAsia="宋体"/>
          <w:sz w:val="21"/>
          <w:szCs w:val="21"/>
        </w:rPr>
        <w:t xml:space="preserve">法定代表人或代理人：（签字或盖章）                  </w:t>
      </w:r>
    </w:p>
    <w:p w14:paraId="4041E5E1">
      <w:pPr>
        <w:pStyle w:val="7"/>
        <w:spacing w:line="360" w:lineRule="auto"/>
        <w:ind w:firstLine="0"/>
        <w:rPr>
          <w:rFonts w:ascii="宋体" w:hAnsi="宋体" w:eastAsia="宋体"/>
          <w:sz w:val="21"/>
          <w:szCs w:val="21"/>
        </w:rPr>
      </w:pPr>
      <w:r>
        <w:rPr>
          <w:rFonts w:ascii="宋体" w:hAnsi="宋体" w:eastAsia="宋体"/>
          <w:sz w:val="21"/>
          <w:szCs w:val="21"/>
        </w:rPr>
        <w:t>日期：</w:t>
      </w:r>
      <w:r>
        <w:rPr>
          <w:rFonts w:hint="eastAsia" w:ascii="宋体" w:hAnsi="宋体" w:eastAsia="宋体"/>
          <w:sz w:val="21"/>
          <w:szCs w:val="21"/>
        </w:rPr>
        <w:t xml:space="preserve">     年  月  日</w:t>
      </w:r>
    </w:p>
    <w:p w14:paraId="39571593"/>
    <w:p w14:paraId="5847DFBE"/>
    <w:p w14:paraId="3B19CEC7"/>
    <w:p w14:paraId="51F9A913"/>
    <w:p w14:paraId="4366271F"/>
    <w:p w14:paraId="6CEA480D"/>
    <w:p w14:paraId="1C753FFA">
      <w:bookmarkStart w:id="46" w:name="_Ref65584695"/>
      <w:bookmarkStart w:id="47" w:name="_Toc8652605"/>
      <w:bookmarkStart w:id="48" w:name="_Ref803173"/>
    </w:p>
    <w:p w14:paraId="777944C1"/>
    <w:p w14:paraId="1E2EFC1C"/>
    <w:p w14:paraId="5DFB4EB4">
      <w:pPr>
        <w:rPr>
          <w:rFonts w:ascii="宋体" w:hAnsi="宋体" w:cs="宋体"/>
        </w:rPr>
      </w:pPr>
      <w:r>
        <w:rPr>
          <w:rFonts w:ascii="宋体" w:hAnsi="宋体" w:cs="宋体"/>
        </w:rPr>
        <w:br w:type="page" w:clear="all"/>
      </w:r>
    </w:p>
    <w:p w14:paraId="75AF351E">
      <w:pPr>
        <w:pStyle w:val="6"/>
        <w:rPr>
          <w:rFonts w:ascii="宋体" w:hAnsi="宋体" w:eastAsia="宋体" w:cs="宋体"/>
        </w:rPr>
      </w:pPr>
      <w:bookmarkStart w:id="49" w:name="_Ref5540"/>
      <w:r>
        <w:rPr>
          <w:rFonts w:hint="eastAsia" w:ascii="宋体" w:hAnsi="宋体" w:eastAsia="宋体" w:cs="宋体"/>
        </w:rPr>
        <w:t>八、法定代表人授权委托书</w:t>
      </w:r>
      <w:bookmarkEnd w:id="46"/>
      <w:bookmarkEnd w:id="49"/>
    </w:p>
    <w:p w14:paraId="113C4DB7">
      <w:pPr>
        <w:spacing w:line="360" w:lineRule="auto"/>
        <w:jc w:val="center"/>
        <w:rPr>
          <w:rFonts w:ascii="宋体" w:hAnsi="宋体"/>
          <w:szCs w:val="21"/>
        </w:rPr>
      </w:pPr>
      <w:r>
        <w:rPr>
          <w:rFonts w:hint="eastAsia" w:ascii="宋体" w:hAnsi="宋体"/>
          <w:szCs w:val="21"/>
        </w:rPr>
        <w:t>法定代表人授权委托书</w:t>
      </w:r>
    </w:p>
    <w:p w14:paraId="6F83C7AE">
      <w:pPr>
        <w:spacing w:line="360" w:lineRule="auto"/>
        <w:rPr>
          <w:rFonts w:ascii="宋体" w:hAnsi="宋体"/>
          <w:szCs w:val="21"/>
        </w:rPr>
      </w:pPr>
      <w:r>
        <w:rPr>
          <w:rFonts w:hint="eastAsia" w:ascii="宋体" w:hAnsi="宋体"/>
          <w:szCs w:val="21"/>
          <w:u w:val="single"/>
        </w:rPr>
        <w:t>江苏省鼎诚建设工程顾问有限公司</w:t>
      </w:r>
      <w:r>
        <w:rPr>
          <w:rFonts w:hint="eastAsia" w:ascii="宋体" w:hAnsi="宋体"/>
          <w:szCs w:val="21"/>
        </w:rPr>
        <w:t>：</w:t>
      </w:r>
    </w:p>
    <w:bookmarkEnd w:id="47"/>
    <w:bookmarkEnd w:id="48"/>
    <w:p w14:paraId="1F1292EF">
      <w:pPr>
        <w:spacing w:line="360" w:lineRule="auto"/>
        <w:ind w:firstLine="420"/>
        <w:rPr>
          <w:rFonts w:ascii="宋体" w:hAnsi="宋体"/>
          <w:szCs w:val="21"/>
        </w:rPr>
      </w:pPr>
      <w:bookmarkStart w:id="50" w:name="_Ref18060"/>
      <w:bookmarkStart w:id="51" w:name="_Ref65584702"/>
      <w:r>
        <w:rPr>
          <w:rFonts w:hint="eastAsia" w:ascii="宋体" w:hAnsi="宋体"/>
          <w:szCs w:val="21"/>
        </w:rPr>
        <w:t>本授权委托书声明：我</w:t>
      </w:r>
      <w:r>
        <w:rPr>
          <w:rFonts w:hint="eastAsia" w:ascii="宋体" w:hAnsi="宋体"/>
          <w:u w:val="single"/>
        </w:rPr>
        <w:t>（法定代表人姓名）</w:t>
      </w:r>
      <w:r>
        <w:rPr>
          <w:rFonts w:hint="eastAsia" w:ascii="宋体" w:hAnsi="宋体"/>
          <w:szCs w:val="21"/>
        </w:rPr>
        <w:t>系</w:t>
      </w:r>
      <w:r>
        <w:rPr>
          <w:rFonts w:hint="eastAsia" w:ascii="宋体" w:hAnsi="宋体"/>
          <w:u w:val="single"/>
        </w:rPr>
        <w:t>（企业名称）</w:t>
      </w:r>
      <w:r>
        <w:rPr>
          <w:rFonts w:hint="eastAsia" w:ascii="宋体" w:hAnsi="宋体"/>
          <w:szCs w:val="21"/>
        </w:rPr>
        <w:t>的法定代表人，现授权委托</w:t>
      </w:r>
      <w:r>
        <w:rPr>
          <w:rFonts w:hint="eastAsia" w:ascii="宋体" w:hAnsi="宋体"/>
          <w:u w:val="single"/>
        </w:rPr>
        <w:t xml:space="preserve">（代理人姓名） </w:t>
      </w:r>
      <w:r>
        <w:rPr>
          <w:rFonts w:hint="eastAsia" w:ascii="宋体" w:hAnsi="宋体"/>
          <w:szCs w:val="21"/>
        </w:rPr>
        <w:t>代表我公司参加贵中心组织实施的项目编号为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号的采购活动。代理人在开标、澄清、签约等过程中所签署的一切文件和处理与这有关的一切事务，我均予以承认。</w:t>
      </w:r>
    </w:p>
    <w:p w14:paraId="51A03174">
      <w:pPr>
        <w:spacing w:line="360" w:lineRule="auto"/>
        <w:ind w:firstLine="420"/>
        <w:rPr>
          <w:rFonts w:ascii="宋体" w:hAnsi="宋体"/>
          <w:szCs w:val="21"/>
        </w:rPr>
      </w:pPr>
      <w:r>
        <w:rPr>
          <w:rFonts w:hint="eastAsia" w:ascii="宋体" w:hAnsi="宋体"/>
          <w:szCs w:val="21"/>
        </w:rPr>
        <w:t>本授权委托书自______年____月____日起生效，至合同履行完毕止，特此声明。</w:t>
      </w:r>
    </w:p>
    <w:p w14:paraId="0C45D55C">
      <w:pPr>
        <w:spacing w:line="360" w:lineRule="auto"/>
        <w:rPr>
          <w:rFonts w:ascii="宋体" w:hAnsi="宋体"/>
          <w:szCs w:val="21"/>
        </w:rPr>
      </w:pPr>
    </w:p>
    <w:p w14:paraId="6565842B">
      <w:pPr>
        <w:spacing w:line="360" w:lineRule="auto"/>
        <w:rPr>
          <w:rFonts w:ascii="宋体" w:hAnsi="宋体"/>
          <w:szCs w:val="21"/>
        </w:rPr>
      </w:pPr>
      <w:r>
        <w:rPr>
          <w:rFonts w:hint="eastAsia" w:ascii="宋体" w:hAnsi="宋体"/>
          <w:szCs w:val="21"/>
        </w:rPr>
        <w:t xml:space="preserve">被授权人姓名： </w:t>
      </w:r>
      <w:r>
        <w:rPr>
          <w:rFonts w:ascii="宋体" w:hAnsi="宋体"/>
          <w:szCs w:val="21"/>
        </w:rPr>
        <w:t xml:space="preserve">                            </w:t>
      </w:r>
    </w:p>
    <w:p w14:paraId="62CB766D">
      <w:pPr>
        <w:spacing w:line="360" w:lineRule="auto"/>
        <w:rPr>
          <w:rFonts w:ascii="宋体" w:hAnsi="宋体"/>
          <w:szCs w:val="21"/>
        </w:rPr>
      </w:pPr>
      <w:r>
        <w:rPr>
          <w:rFonts w:hint="eastAsia" w:ascii="宋体" w:hAnsi="宋体"/>
          <w:szCs w:val="21"/>
        </w:rPr>
        <w:t>职务：</w:t>
      </w:r>
    </w:p>
    <w:p w14:paraId="237AE7EF">
      <w:pPr>
        <w:spacing w:line="360" w:lineRule="auto"/>
        <w:rPr>
          <w:rFonts w:ascii="宋体" w:hAnsi="宋体"/>
          <w:szCs w:val="21"/>
        </w:rPr>
      </w:pPr>
      <w:r>
        <w:rPr>
          <w:rFonts w:hint="eastAsia" w:ascii="宋体" w:hAnsi="宋体"/>
          <w:szCs w:val="21"/>
        </w:rPr>
        <w:t xml:space="preserve">身份证号码：                        </w:t>
      </w:r>
      <w:r>
        <w:rPr>
          <w:rFonts w:ascii="宋体" w:hAnsi="宋体"/>
          <w:szCs w:val="21"/>
        </w:rPr>
        <w:t xml:space="preserve"> </w:t>
      </w:r>
      <w:r>
        <w:rPr>
          <w:rFonts w:hint="eastAsia" w:ascii="宋体" w:hAnsi="宋体"/>
          <w:szCs w:val="21"/>
        </w:rPr>
        <w:t xml:space="preserve">  </w:t>
      </w:r>
    </w:p>
    <w:p w14:paraId="6348C4B8">
      <w:pPr>
        <w:spacing w:line="360" w:lineRule="auto"/>
        <w:rPr>
          <w:rFonts w:ascii="宋体" w:hAnsi="宋体"/>
          <w:szCs w:val="21"/>
        </w:rPr>
      </w:pPr>
      <w:r>
        <w:rPr>
          <w:rFonts w:hint="eastAsia" w:ascii="宋体" w:hAnsi="宋体"/>
          <w:szCs w:val="21"/>
        </w:rPr>
        <w:t>联系电话：</w:t>
      </w:r>
    </w:p>
    <w:p w14:paraId="38D2C311">
      <w:pPr>
        <w:spacing w:line="360" w:lineRule="auto"/>
        <w:rPr>
          <w:rFonts w:ascii="宋体" w:hAnsi="宋体"/>
          <w:szCs w:val="21"/>
        </w:rPr>
      </w:pPr>
    </w:p>
    <w:p w14:paraId="234B5D69">
      <w:pPr>
        <w:spacing w:line="360" w:lineRule="auto"/>
        <w:rPr>
          <w:rFonts w:ascii="宋体" w:hAnsi="宋体"/>
          <w:szCs w:val="21"/>
        </w:rPr>
      </w:pPr>
    </w:p>
    <w:p w14:paraId="79B91FD1">
      <w:pPr>
        <w:pStyle w:val="7"/>
        <w:spacing w:line="360" w:lineRule="auto"/>
        <w:ind w:firstLine="0"/>
        <w:rPr>
          <w:rFonts w:ascii="宋体" w:hAnsi="宋体" w:eastAsia="宋体"/>
          <w:sz w:val="21"/>
          <w:szCs w:val="21"/>
        </w:rPr>
      </w:pPr>
      <w:r>
        <w:rPr>
          <w:rFonts w:hint="eastAsia" w:ascii="宋体" w:hAnsi="宋体" w:eastAsia="宋体"/>
          <w:sz w:val="21"/>
          <w:szCs w:val="21"/>
        </w:rPr>
        <w:t>投标单位：</w:t>
      </w:r>
      <w:r>
        <w:rPr>
          <w:rFonts w:ascii="宋体" w:hAnsi="宋体" w:eastAsia="宋体"/>
          <w:sz w:val="21"/>
          <w:szCs w:val="21"/>
        </w:rPr>
        <w:t>（</w:t>
      </w:r>
      <w:r>
        <w:rPr>
          <w:rFonts w:hint="eastAsia" w:ascii="宋体" w:hAnsi="宋体" w:eastAsia="宋体"/>
          <w:sz w:val="21"/>
          <w:szCs w:val="21"/>
        </w:rPr>
        <w:t>单位盖章</w:t>
      </w:r>
      <w:r>
        <w:rPr>
          <w:rFonts w:ascii="宋体" w:hAnsi="宋体" w:eastAsia="宋体"/>
          <w:sz w:val="21"/>
          <w:szCs w:val="21"/>
        </w:rPr>
        <w:t>）</w:t>
      </w:r>
    </w:p>
    <w:p w14:paraId="4FECCBED">
      <w:pPr>
        <w:pStyle w:val="7"/>
        <w:spacing w:line="360" w:lineRule="auto"/>
        <w:ind w:firstLine="0"/>
        <w:rPr>
          <w:rFonts w:ascii="宋体" w:hAnsi="宋体" w:eastAsia="宋体"/>
          <w:sz w:val="21"/>
          <w:szCs w:val="21"/>
        </w:rPr>
      </w:pPr>
      <w:r>
        <w:rPr>
          <w:rFonts w:hint="eastAsia" w:ascii="宋体" w:hAnsi="宋体" w:eastAsia="宋体"/>
          <w:sz w:val="21"/>
          <w:szCs w:val="21"/>
        </w:rPr>
        <w:t xml:space="preserve">法定代表人或代理人：（签字或盖章）                  </w:t>
      </w:r>
    </w:p>
    <w:p w14:paraId="728F72BA">
      <w:pPr>
        <w:spacing w:line="360" w:lineRule="auto"/>
        <w:jc w:val="left"/>
        <w:rPr>
          <w:rFonts w:ascii="宋体" w:hAnsi="宋体"/>
        </w:rPr>
      </w:pPr>
      <w:r>
        <w:rPr>
          <w:rFonts w:ascii="宋体" w:hAnsi="宋体"/>
          <w:szCs w:val="21"/>
        </w:rPr>
        <w:t>日期：</w:t>
      </w:r>
      <w:r>
        <w:rPr>
          <w:rFonts w:hint="eastAsia" w:ascii="宋体" w:hAnsi="宋体"/>
          <w:szCs w:val="21"/>
        </w:rPr>
        <w:t xml:space="preserve">     年  月  日</w:t>
      </w:r>
    </w:p>
    <w:p w14:paraId="637430E5">
      <w:pPr>
        <w:rPr>
          <w:rFonts w:ascii="宋体" w:hAnsi="宋体"/>
        </w:rPr>
      </w:pPr>
    </w:p>
    <w:p w14:paraId="10A0F632">
      <w:pPr>
        <w:rPr>
          <w:rFonts w:ascii="宋体" w:hAnsi="宋体"/>
        </w:rPr>
      </w:pPr>
    </w:p>
    <w:p w14:paraId="3E74C5D7">
      <w:pPr>
        <w:rPr>
          <w:rFonts w:ascii="宋体" w:hAnsi="宋体"/>
        </w:rPr>
      </w:pPr>
    </w:p>
    <w:p w14:paraId="293A9B30">
      <w:pPr>
        <w:rPr>
          <w:rFonts w:ascii="宋体" w:hAnsi="宋体"/>
        </w:rPr>
      </w:pPr>
    </w:p>
    <w:p w14:paraId="177A918D">
      <w:pPr>
        <w:rPr>
          <w:rFonts w:ascii="宋体" w:hAnsi="宋体"/>
        </w:rPr>
      </w:pPr>
    </w:p>
    <w:p w14:paraId="2B260BBD">
      <w:pPr>
        <w:rPr>
          <w:rFonts w:ascii="宋体" w:hAnsi="宋体"/>
          <w:szCs w:val="21"/>
        </w:rPr>
      </w:pPr>
    </w:p>
    <w:p w14:paraId="0062BF99">
      <w:pPr>
        <w:rPr>
          <w:rFonts w:ascii="宋体" w:hAnsi="宋体"/>
          <w:szCs w:val="21"/>
        </w:rPr>
      </w:pPr>
    </w:p>
    <w:p w14:paraId="7F2A8FB5">
      <w:pPr>
        <w:rPr>
          <w:rFonts w:ascii="宋体" w:hAnsi="宋体"/>
          <w:szCs w:val="21"/>
        </w:rPr>
      </w:pPr>
    </w:p>
    <w:p w14:paraId="000FBD7A"/>
    <w:p w14:paraId="76DC7C8A">
      <w:pPr>
        <w:rPr>
          <w:rFonts w:ascii="宋体" w:hAnsi="宋体"/>
          <w:szCs w:val="21"/>
        </w:rPr>
      </w:pPr>
    </w:p>
    <w:p w14:paraId="7EB7294D">
      <w:pPr>
        <w:rPr>
          <w:rFonts w:ascii="宋体" w:hAnsi="宋体"/>
          <w:szCs w:val="21"/>
        </w:rPr>
      </w:pPr>
    </w:p>
    <w:p w14:paraId="6C202FE4">
      <w:pPr>
        <w:rPr>
          <w:rFonts w:ascii="宋体" w:hAnsi="宋体"/>
          <w:szCs w:val="21"/>
        </w:rPr>
      </w:pPr>
    </w:p>
    <w:p w14:paraId="59D9AC8D">
      <w:pPr>
        <w:rPr>
          <w:rFonts w:ascii="宋体" w:hAnsi="宋体"/>
          <w:szCs w:val="21"/>
        </w:rPr>
      </w:pPr>
    </w:p>
    <w:p w14:paraId="537810CE">
      <w:pPr>
        <w:rPr>
          <w:rFonts w:ascii="宋体" w:hAnsi="宋体"/>
          <w:szCs w:val="21"/>
        </w:rPr>
      </w:pPr>
    </w:p>
    <w:p w14:paraId="12A14627">
      <w:pPr>
        <w:rPr>
          <w:rFonts w:ascii="宋体" w:hAnsi="宋体"/>
          <w:szCs w:val="21"/>
        </w:rPr>
      </w:pPr>
    </w:p>
    <w:p w14:paraId="1E102C2C">
      <w:pPr>
        <w:rPr>
          <w:rFonts w:ascii="宋体" w:hAnsi="宋体"/>
          <w:szCs w:val="21"/>
        </w:rPr>
      </w:pPr>
    </w:p>
    <w:p w14:paraId="5B23577F">
      <w:pPr>
        <w:rPr>
          <w:rFonts w:ascii="宋体" w:hAnsi="宋体"/>
          <w:szCs w:val="21"/>
        </w:rPr>
      </w:pPr>
    </w:p>
    <w:p w14:paraId="310225B4">
      <w:pPr>
        <w:rPr>
          <w:rFonts w:ascii="宋体" w:hAnsi="宋体" w:cs="宋体"/>
        </w:rPr>
      </w:pPr>
      <w:r>
        <w:rPr>
          <w:rFonts w:hint="eastAsia" w:ascii="宋体" w:hAnsi="宋体" w:cs="宋体"/>
        </w:rPr>
        <w:br w:type="page" w:clear="all"/>
      </w:r>
    </w:p>
    <w:p w14:paraId="17A7FAAE">
      <w:pPr>
        <w:pStyle w:val="6"/>
        <w:rPr>
          <w:rFonts w:ascii="宋体" w:hAnsi="宋体" w:eastAsia="宋体" w:cs="宋体"/>
        </w:rPr>
      </w:pPr>
      <w:bookmarkStart w:id="52" w:name="_Ref5144"/>
      <w:r>
        <w:rPr>
          <w:rFonts w:hint="eastAsia" w:ascii="宋体" w:hAnsi="宋体" w:eastAsia="宋体" w:cs="宋体"/>
        </w:rPr>
        <w:t>九、投标函</w:t>
      </w:r>
      <w:bookmarkEnd w:id="52"/>
    </w:p>
    <w:p w14:paraId="3AB335AA">
      <w:pPr>
        <w:pStyle w:val="16"/>
        <w:jc w:val="center"/>
        <w:rPr>
          <w:rFonts w:hAnsi="宋体" w:eastAsia="宋体"/>
          <w:b/>
          <w:bCs/>
          <w:sz w:val="21"/>
          <w:szCs w:val="21"/>
        </w:rPr>
      </w:pPr>
      <w:r>
        <w:rPr>
          <w:rFonts w:hAnsi="宋体" w:eastAsia="宋体"/>
          <w:b/>
          <w:bCs/>
          <w:sz w:val="21"/>
          <w:szCs w:val="21"/>
        </w:rPr>
        <w:t>投标函</w:t>
      </w:r>
    </w:p>
    <w:p w14:paraId="392783B6">
      <w:pPr>
        <w:pStyle w:val="16"/>
        <w:spacing w:line="400" w:lineRule="exact"/>
        <w:rPr>
          <w:rFonts w:hAnsi="宋体" w:eastAsia="宋体"/>
          <w:sz w:val="21"/>
          <w:szCs w:val="21"/>
        </w:rPr>
      </w:pPr>
      <w:r>
        <w:rPr>
          <w:rFonts w:hAnsi="宋体" w:eastAsia="宋体"/>
          <w:sz w:val="21"/>
          <w:szCs w:val="21"/>
        </w:rPr>
        <w:t xml:space="preserve"> </w:t>
      </w:r>
      <w:r>
        <w:rPr>
          <w:rFonts w:hint="eastAsia" w:hAnsi="宋体" w:eastAsia="宋体"/>
          <w:sz w:val="21"/>
          <w:szCs w:val="21"/>
          <w:u w:val="single"/>
        </w:rPr>
        <w:t>江苏省鼎诚建设工程顾问有限公司</w:t>
      </w:r>
      <w:r>
        <w:rPr>
          <w:rFonts w:hAnsi="宋体" w:eastAsia="宋体"/>
          <w:sz w:val="21"/>
          <w:szCs w:val="21"/>
          <w:u w:val="single"/>
        </w:rPr>
        <w:t xml:space="preserve"> </w:t>
      </w:r>
      <w:r>
        <w:rPr>
          <w:rFonts w:hAnsi="宋体" w:eastAsia="宋体"/>
          <w:sz w:val="21"/>
          <w:szCs w:val="21"/>
        </w:rPr>
        <w:t>：</w:t>
      </w:r>
    </w:p>
    <w:p w14:paraId="24BCE99A">
      <w:pPr>
        <w:pStyle w:val="16"/>
        <w:spacing w:line="400" w:lineRule="exact"/>
        <w:rPr>
          <w:rFonts w:hAnsi="宋体" w:eastAsia="宋体"/>
          <w:sz w:val="21"/>
          <w:szCs w:val="21"/>
        </w:rPr>
      </w:pPr>
      <w:r>
        <w:rPr>
          <w:rFonts w:hAnsi="宋体" w:eastAsia="宋体"/>
          <w:sz w:val="21"/>
          <w:szCs w:val="21"/>
        </w:rPr>
        <w:t xml:space="preserve">    我们收到贵公司 </w:t>
      </w:r>
      <w:r>
        <w:rPr>
          <w:rFonts w:hAnsi="宋体" w:eastAsia="宋体"/>
          <w:sz w:val="21"/>
          <w:szCs w:val="21"/>
          <w:u w:val="single"/>
        </w:rPr>
        <w:t xml:space="preserve">                 </w:t>
      </w:r>
      <w:r>
        <w:rPr>
          <w:rFonts w:hAnsi="宋体" w:eastAsia="宋体"/>
          <w:sz w:val="21"/>
          <w:szCs w:val="21"/>
        </w:rPr>
        <w:t>号招标文件，经仔细阅读和研究，我们同意招标文件的各条款要求并决定参加投标。</w:t>
      </w:r>
    </w:p>
    <w:p w14:paraId="1A574CF1">
      <w:pPr>
        <w:pStyle w:val="16"/>
        <w:spacing w:line="400" w:lineRule="exact"/>
        <w:rPr>
          <w:rFonts w:hAnsi="宋体" w:eastAsia="宋体"/>
          <w:sz w:val="21"/>
          <w:szCs w:val="21"/>
        </w:rPr>
      </w:pPr>
      <w:r>
        <w:rPr>
          <w:rFonts w:hAnsi="宋体"/>
          <w:sz w:val="21"/>
          <w:szCs w:val="21"/>
        </w:rPr>
        <w:t xml:space="preserve"> </w:t>
      </w:r>
      <w:r>
        <w:rPr>
          <w:rFonts w:hint="eastAsia" w:hAnsi="宋体"/>
          <w:sz w:val="21"/>
          <w:szCs w:val="21"/>
        </w:rPr>
        <w:t xml:space="preserve">  </w:t>
      </w:r>
      <w:r>
        <w:rPr>
          <w:rFonts w:hAnsi="宋体"/>
          <w:sz w:val="21"/>
          <w:szCs w:val="21"/>
        </w:rPr>
        <w:t xml:space="preserve"> </w:t>
      </w:r>
      <w:r>
        <w:rPr>
          <w:rFonts w:hint="eastAsia" w:hAnsi="宋体" w:eastAsia="宋体"/>
          <w:sz w:val="21"/>
          <w:szCs w:val="21"/>
        </w:rPr>
        <w:t>1.我们愿意按照招标文件的一切要求，提供包括采购需求中要求的</w:t>
      </w:r>
      <w:r>
        <w:rPr>
          <w:rFonts w:hAnsi="宋体" w:eastAsia="宋体"/>
          <w:sz w:val="21"/>
          <w:szCs w:val="21"/>
          <w:u w:val="single"/>
        </w:rPr>
        <w:t xml:space="preserve">            </w:t>
      </w:r>
      <w:r>
        <w:rPr>
          <w:rFonts w:hAnsi="宋体" w:eastAsia="宋体"/>
          <w:sz w:val="21"/>
          <w:szCs w:val="21"/>
        </w:rPr>
        <w:t>全部内容</w:t>
      </w:r>
      <w:r>
        <w:rPr>
          <w:rFonts w:hint="eastAsia" w:hAnsi="宋体" w:eastAsia="宋体"/>
          <w:sz w:val="21"/>
          <w:szCs w:val="21"/>
        </w:rPr>
        <w:t>。提供招标项目的全部货物和服务的报价包括所投服务内容、人工、运输及合同包含的所有风险、责任等各项应有费用。</w:t>
      </w:r>
    </w:p>
    <w:p w14:paraId="14765AF2">
      <w:pPr>
        <w:pStyle w:val="16"/>
        <w:spacing w:line="400" w:lineRule="exact"/>
        <w:rPr>
          <w:rFonts w:hAnsi="宋体" w:eastAsia="宋体"/>
          <w:sz w:val="21"/>
          <w:szCs w:val="21"/>
        </w:rPr>
      </w:pPr>
      <w:r>
        <w:rPr>
          <w:rFonts w:hAnsi="宋体" w:eastAsia="宋体"/>
          <w:sz w:val="21"/>
          <w:szCs w:val="21"/>
        </w:rPr>
        <w:t xml:space="preserve">    2</w:t>
      </w:r>
      <w:r>
        <w:rPr>
          <w:rFonts w:hint="eastAsia" w:hAnsi="宋体" w:eastAsia="宋体"/>
          <w:sz w:val="21"/>
          <w:szCs w:val="21"/>
        </w:rPr>
        <w:t>.</w:t>
      </w:r>
      <w:r>
        <w:rPr>
          <w:rFonts w:hAnsi="宋体" w:eastAsia="宋体"/>
          <w:sz w:val="21"/>
          <w:szCs w:val="21"/>
        </w:rPr>
        <w:t>如果我们的投标书被接受，我们将严格履行招标文件中规定的每一项要求，按期、按质、按量履行合同的义务。</w:t>
      </w:r>
    </w:p>
    <w:p w14:paraId="15443AE8">
      <w:pPr>
        <w:pStyle w:val="16"/>
        <w:spacing w:line="400" w:lineRule="exact"/>
        <w:rPr>
          <w:rFonts w:hAnsi="宋体" w:eastAsia="宋体"/>
          <w:sz w:val="21"/>
          <w:szCs w:val="21"/>
        </w:rPr>
      </w:pPr>
      <w:r>
        <w:rPr>
          <w:rFonts w:hAnsi="宋体" w:eastAsia="宋体"/>
          <w:sz w:val="21"/>
          <w:szCs w:val="21"/>
        </w:rPr>
        <w:t xml:space="preserve">    3</w:t>
      </w:r>
      <w:r>
        <w:rPr>
          <w:rFonts w:hint="eastAsia" w:hAnsi="宋体" w:eastAsia="宋体"/>
          <w:sz w:val="21"/>
          <w:szCs w:val="21"/>
        </w:rPr>
        <w:t>.</w:t>
      </w:r>
      <w:r>
        <w:rPr>
          <w:rFonts w:hAnsi="宋体" w:eastAsia="宋体"/>
          <w:sz w:val="21"/>
          <w:szCs w:val="21"/>
        </w:rPr>
        <w:t>我们同意按招标文件中的规定，本投标书的有效期限为开标后</w:t>
      </w:r>
      <w:r>
        <w:rPr>
          <w:rFonts w:hAnsi="宋体" w:eastAsia="宋体"/>
          <w:sz w:val="21"/>
          <w:szCs w:val="21"/>
          <w:u w:val="single"/>
        </w:rPr>
        <w:t xml:space="preserve"> </w:t>
      </w:r>
      <w:r>
        <w:rPr>
          <w:rFonts w:hint="eastAsia" w:hAnsi="宋体" w:eastAsia="宋体"/>
          <w:sz w:val="21"/>
          <w:szCs w:val="21"/>
          <w:u w:val="single"/>
        </w:rPr>
        <w:t>90</w:t>
      </w:r>
      <w:r>
        <w:rPr>
          <w:rFonts w:hAnsi="宋体" w:eastAsia="宋体"/>
          <w:sz w:val="21"/>
          <w:szCs w:val="21"/>
        </w:rPr>
        <w:t>天。</w:t>
      </w:r>
    </w:p>
    <w:p w14:paraId="68D0D410">
      <w:pPr>
        <w:pStyle w:val="16"/>
        <w:spacing w:line="400" w:lineRule="exact"/>
        <w:ind w:firstLine="420"/>
        <w:rPr>
          <w:rFonts w:hAnsi="宋体" w:eastAsia="宋体"/>
          <w:sz w:val="21"/>
          <w:szCs w:val="21"/>
        </w:rPr>
      </w:pPr>
      <w:r>
        <w:rPr>
          <w:rFonts w:hAnsi="宋体" w:eastAsia="宋体"/>
          <w:sz w:val="21"/>
          <w:szCs w:val="21"/>
        </w:rPr>
        <w:t>4</w:t>
      </w:r>
      <w:r>
        <w:rPr>
          <w:rFonts w:hint="eastAsia" w:hAnsi="宋体" w:eastAsia="宋体"/>
          <w:sz w:val="21"/>
          <w:szCs w:val="21"/>
        </w:rPr>
        <w:t>.</w:t>
      </w:r>
      <w:r>
        <w:rPr>
          <w:rFonts w:hAnsi="宋体" w:eastAsia="宋体"/>
          <w:sz w:val="21"/>
          <w:szCs w:val="21"/>
        </w:rPr>
        <w:t>我们愿意提供招标代理人在招标文件中要求的所有资料。</w:t>
      </w:r>
    </w:p>
    <w:p w14:paraId="182CDEB4">
      <w:pPr>
        <w:pStyle w:val="16"/>
        <w:spacing w:line="400" w:lineRule="exact"/>
        <w:ind w:firstLine="420"/>
        <w:rPr>
          <w:rFonts w:hAnsi="宋体" w:eastAsia="宋体"/>
          <w:sz w:val="21"/>
          <w:szCs w:val="21"/>
        </w:rPr>
      </w:pPr>
      <w:r>
        <w:rPr>
          <w:rFonts w:hint="eastAsia" w:hAnsi="宋体" w:eastAsia="宋体"/>
          <w:sz w:val="21"/>
          <w:szCs w:val="21"/>
        </w:rPr>
        <w:t>5.</w:t>
      </w:r>
      <w:r>
        <w:rPr>
          <w:rFonts w:hAnsi="宋体" w:eastAsia="宋体"/>
          <w:sz w:val="21"/>
          <w:szCs w:val="21"/>
        </w:rPr>
        <w:t>我们同意按</w:t>
      </w:r>
      <w:r>
        <w:rPr>
          <w:rFonts w:hint="eastAsia" w:hAnsi="宋体" w:eastAsia="宋体"/>
          <w:sz w:val="21"/>
          <w:szCs w:val="21"/>
        </w:rPr>
        <w:t>采购人</w:t>
      </w:r>
      <w:r>
        <w:rPr>
          <w:rFonts w:hAnsi="宋体" w:eastAsia="宋体"/>
          <w:sz w:val="21"/>
          <w:szCs w:val="21"/>
        </w:rPr>
        <w:t>确定的</w:t>
      </w:r>
      <w:r>
        <w:rPr>
          <w:rFonts w:hint="eastAsia" w:hAnsi="宋体" w:eastAsia="宋体"/>
          <w:sz w:val="21"/>
          <w:szCs w:val="21"/>
        </w:rPr>
        <w:t>评标办法及评标标准，由评标专家进行评审；</w:t>
      </w:r>
    </w:p>
    <w:p w14:paraId="446694C1">
      <w:pPr>
        <w:pStyle w:val="16"/>
        <w:spacing w:line="400" w:lineRule="exact"/>
        <w:ind w:firstLine="420"/>
        <w:rPr>
          <w:rFonts w:hAnsi="宋体" w:eastAsia="宋体"/>
          <w:sz w:val="21"/>
          <w:szCs w:val="21"/>
        </w:rPr>
      </w:pPr>
      <w:r>
        <w:rPr>
          <w:rFonts w:hint="eastAsia" w:hAnsi="宋体" w:eastAsia="宋体"/>
          <w:sz w:val="21"/>
          <w:szCs w:val="21"/>
        </w:rPr>
        <w:t>6.</w:t>
      </w:r>
      <w:r>
        <w:rPr>
          <w:rFonts w:hAnsi="宋体" w:eastAsia="宋体"/>
          <w:sz w:val="21"/>
          <w:szCs w:val="21"/>
        </w:rPr>
        <w:t>我们认为你们有权决定中标者，还认为你们有权接受或拒绝所有的投标者。</w:t>
      </w:r>
    </w:p>
    <w:p w14:paraId="664CBA39">
      <w:pPr>
        <w:pStyle w:val="16"/>
        <w:spacing w:line="400" w:lineRule="exact"/>
        <w:ind w:firstLine="420"/>
        <w:rPr>
          <w:rFonts w:hAnsi="宋体" w:eastAsia="宋体"/>
          <w:sz w:val="21"/>
          <w:szCs w:val="21"/>
        </w:rPr>
      </w:pPr>
      <w:r>
        <w:rPr>
          <w:rFonts w:hint="eastAsia" w:hAnsi="宋体" w:eastAsia="宋体"/>
          <w:sz w:val="21"/>
          <w:szCs w:val="21"/>
        </w:rPr>
        <w:t>7.</w:t>
      </w:r>
      <w:r>
        <w:rPr>
          <w:rFonts w:hAnsi="宋体" w:eastAsia="宋体"/>
          <w:sz w:val="21"/>
          <w:szCs w:val="21"/>
        </w:rPr>
        <w:t>我们愿意遵守招标通告及招标文件中所列的收费标准。</w:t>
      </w:r>
    </w:p>
    <w:p w14:paraId="2267889F">
      <w:pPr>
        <w:pStyle w:val="16"/>
        <w:spacing w:line="400" w:lineRule="exact"/>
        <w:ind w:firstLine="420"/>
        <w:rPr>
          <w:rFonts w:hAnsi="宋体" w:eastAsia="宋体"/>
          <w:sz w:val="21"/>
          <w:szCs w:val="21"/>
        </w:rPr>
      </w:pPr>
      <w:r>
        <w:rPr>
          <w:rFonts w:hint="eastAsia" w:hAnsi="宋体" w:eastAsia="宋体"/>
          <w:sz w:val="21"/>
          <w:szCs w:val="21"/>
        </w:rPr>
        <w:t>8.</w:t>
      </w:r>
      <w:r>
        <w:rPr>
          <w:rFonts w:hAnsi="宋体" w:eastAsia="宋体"/>
          <w:sz w:val="21"/>
          <w:szCs w:val="21"/>
        </w:rPr>
        <w:t>我们承诺该项投标在开标后的全过程中保持有效，不作任何更改和变动。</w:t>
      </w:r>
    </w:p>
    <w:p w14:paraId="062BCE68">
      <w:pPr>
        <w:pStyle w:val="16"/>
        <w:spacing w:line="400" w:lineRule="exact"/>
        <w:ind w:firstLine="420"/>
        <w:rPr>
          <w:rFonts w:hAnsi="宋体" w:eastAsia="宋体"/>
          <w:sz w:val="21"/>
          <w:szCs w:val="21"/>
        </w:rPr>
      </w:pPr>
      <w:r>
        <w:rPr>
          <w:rFonts w:hint="eastAsia" w:hAnsi="宋体" w:eastAsia="宋体"/>
          <w:sz w:val="21"/>
          <w:szCs w:val="21"/>
        </w:rPr>
        <w:t>9.招标人有权根据实际情况作相应数量、规格等调整。</w:t>
      </w:r>
    </w:p>
    <w:p w14:paraId="0233437F">
      <w:pPr>
        <w:pStyle w:val="16"/>
        <w:spacing w:line="400" w:lineRule="exact"/>
        <w:ind w:firstLine="420"/>
        <w:rPr>
          <w:rFonts w:hAnsi="宋体" w:eastAsia="宋体"/>
          <w:sz w:val="21"/>
          <w:szCs w:val="21"/>
        </w:rPr>
      </w:pPr>
      <w:r>
        <w:rPr>
          <w:rFonts w:hint="eastAsia" w:hAnsi="宋体" w:eastAsia="宋体"/>
          <w:sz w:val="21"/>
          <w:szCs w:val="21"/>
        </w:rPr>
        <w:t>10.</w:t>
      </w:r>
      <w:r>
        <w:rPr>
          <w:rFonts w:hAnsi="宋体" w:eastAsia="宋体"/>
          <w:sz w:val="21"/>
          <w:szCs w:val="21"/>
        </w:rPr>
        <w:t>如果我们中标，我们愿意在签订合同</w:t>
      </w:r>
      <w:r>
        <w:rPr>
          <w:rFonts w:hint="eastAsia" w:hAnsi="宋体" w:eastAsia="宋体"/>
          <w:sz w:val="21"/>
          <w:szCs w:val="21"/>
        </w:rPr>
        <w:t>前</w:t>
      </w:r>
      <w:r>
        <w:rPr>
          <w:rFonts w:hAnsi="宋体" w:eastAsia="宋体"/>
          <w:sz w:val="21"/>
          <w:szCs w:val="21"/>
        </w:rPr>
        <w:t>按</w:t>
      </w:r>
      <w:r>
        <w:rPr>
          <w:rFonts w:hint="eastAsia" w:hAnsi="宋体" w:eastAsia="宋体"/>
          <w:sz w:val="21"/>
          <w:szCs w:val="21"/>
        </w:rPr>
        <w:t>预算</w:t>
      </w:r>
      <w:r>
        <w:rPr>
          <w:rFonts w:hAnsi="宋体" w:eastAsia="宋体"/>
          <w:sz w:val="21"/>
          <w:szCs w:val="21"/>
        </w:rPr>
        <w:t>金额支付</w:t>
      </w:r>
      <w:r>
        <w:rPr>
          <w:rFonts w:hint="eastAsia" w:hAnsi="宋体" w:eastAsia="宋体"/>
          <w:sz w:val="21"/>
          <w:szCs w:val="21"/>
        </w:rPr>
        <w:t>代理服务费</w:t>
      </w:r>
      <w:r>
        <w:rPr>
          <w:rFonts w:hAnsi="宋体" w:eastAsia="宋体"/>
          <w:sz w:val="21"/>
          <w:szCs w:val="21"/>
        </w:rPr>
        <w:t>（以累计法收费：按预算金额100万元以下，收取1.5%；100-500万元，收取1.1%；500-1000万元，收取0.8%；1000-5000万元，收取0.5%；5000-10000万元，收取0.25%）；</w:t>
      </w:r>
    </w:p>
    <w:p w14:paraId="7E95909D">
      <w:pPr>
        <w:pStyle w:val="16"/>
        <w:spacing w:line="400" w:lineRule="exact"/>
        <w:ind w:firstLine="420"/>
        <w:rPr>
          <w:rFonts w:hAnsi="宋体" w:eastAsia="宋体"/>
          <w:sz w:val="21"/>
          <w:szCs w:val="21"/>
        </w:rPr>
      </w:pPr>
      <w:r>
        <w:rPr>
          <w:rFonts w:hint="eastAsia" w:hAnsi="宋体" w:eastAsia="宋体"/>
          <w:sz w:val="21"/>
          <w:szCs w:val="21"/>
        </w:rPr>
        <w:t>11.中标单位必须按招标文件要求交货。</w:t>
      </w:r>
    </w:p>
    <w:p w14:paraId="2896B1E3">
      <w:pPr>
        <w:pStyle w:val="16"/>
        <w:spacing w:line="400" w:lineRule="exact"/>
        <w:ind w:firstLine="420"/>
        <w:rPr>
          <w:rFonts w:hAnsi="宋体" w:eastAsia="宋体"/>
          <w:sz w:val="21"/>
          <w:szCs w:val="21"/>
        </w:rPr>
      </w:pPr>
      <w:r>
        <w:rPr>
          <w:rFonts w:hint="eastAsia" w:hAnsi="宋体" w:eastAsia="宋体"/>
          <w:sz w:val="21"/>
          <w:szCs w:val="21"/>
        </w:rPr>
        <w:t>12.有关投标偏离、服务保证措施、要求甲方配合及其他说明均在投标书三中详细阐述。</w:t>
      </w:r>
    </w:p>
    <w:p w14:paraId="7616B616">
      <w:pPr>
        <w:pStyle w:val="16"/>
        <w:spacing w:line="400" w:lineRule="exact"/>
        <w:ind w:firstLine="420"/>
        <w:rPr>
          <w:rFonts w:hAnsi="宋体" w:eastAsia="宋体"/>
          <w:sz w:val="21"/>
          <w:szCs w:val="21"/>
        </w:rPr>
      </w:pPr>
      <w:r>
        <w:rPr>
          <w:rFonts w:hint="eastAsia" w:hAnsi="宋体" w:eastAsia="宋体"/>
          <w:sz w:val="21"/>
          <w:szCs w:val="21"/>
        </w:rPr>
        <w:t>13.所有有关本次投标的函电，请按下列方法联系</w:t>
      </w:r>
    </w:p>
    <w:p w14:paraId="06764E39">
      <w:pPr>
        <w:pStyle w:val="16"/>
        <w:spacing w:line="360" w:lineRule="auto"/>
        <w:rPr>
          <w:rFonts w:hAnsi="宋体" w:eastAsia="宋体"/>
          <w:sz w:val="21"/>
          <w:szCs w:val="21"/>
        </w:rPr>
      </w:pPr>
    </w:p>
    <w:p w14:paraId="1E2E78D5">
      <w:pPr>
        <w:pStyle w:val="16"/>
        <w:spacing w:line="360" w:lineRule="auto"/>
        <w:rPr>
          <w:rFonts w:hAnsi="宋体" w:eastAsia="宋体"/>
          <w:sz w:val="21"/>
          <w:szCs w:val="21"/>
        </w:rPr>
      </w:pPr>
    </w:p>
    <w:p w14:paraId="644DDE13">
      <w:pPr>
        <w:pStyle w:val="16"/>
        <w:spacing w:line="360" w:lineRule="auto"/>
        <w:rPr>
          <w:rFonts w:hAnsi="宋体" w:eastAsia="宋体"/>
          <w:sz w:val="21"/>
          <w:szCs w:val="21"/>
        </w:rPr>
      </w:pPr>
      <w:r>
        <w:rPr>
          <w:rFonts w:hint="eastAsia" w:hAnsi="宋体" w:eastAsia="宋体"/>
          <w:sz w:val="21"/>
          <w:szCs w:val="21"/>
        </w:rPr>
        <w:t>联系人：                                   投标单位：（单位盖章）</w:t>
      </w:r>
    </w:p>
    <w:p w14:paraId="07FD0536">
      <w:pPr>
        <w:pStyle w:val="16"/>
        <w:spacing w:line="360" w:lineRule="auto"/>
        <w:rPr>
          <w:rFonts w:hAnsi="宋体" w:eastAsia="宋体"/>
          <w:sz w:val="21"/>
          <w:szCs w:val="21"/>
        </w:rPr>
      </w:pPr>
      <w:r>
        <w:rPr>
          <w:rFonts w:hint="eastAsia" w:hAnsi="宋体" w:eastAsia="宋体"/>
          <w:sz w:val="21"/>
          <w:szCs w:val="21"/>
        </w:rPr>
        <w:t>地址：</w:t>
      </w:r>
    </w:p>
    <w:p w14:paraId="18664A99">
      <w:pPr>
        <w:pStyle w:val="16"/>
        <w:spacing w:line="360" w:lineRule="auto"/>
        <w:rPr>
          <w:rFonts w:hAnsi="宋体" w:eastAsia="宋体"/>
          <w:sz w:val="21"/>
          <w:szCs w:val="21"/>
        </w:rPr>
      </w:pPr>
      <w:r>
        <w:rPr>
          <w:rFonts w:hint="eastAsia" w:hAnsi="宋体" w:eastAsia="宋体"/>
          <w:sz w:val="21"/>
          <w:szCs w:val="21"/>
        </w:rPr>
        <w:t>联系电话：                                 法定代表人或授权委托人：（签字或盖章）</w:t>
      </w:r>
    </w:p>
    <w:p w14:paraId="41C35A6E">
      <w:pPr>
        <w:pStyle w:val="16"/>
        <w:spacing w:line="360" w:lineRule="auto"/>
        <w:rPr>
          <w:rFonts w:hAnsi="宋体" w:eastAsia="宋体"/>
          <w:sz w:val="21"/>
          <w:szCs w:val="21"/>
        </w:rPr>
      </w:pPr>
      <w:r>
        <w:rPr>
          <w:rFonts w:hint="eastAsia" w:hAnsi="宋体" w:eastAsia="宋体"/>
          <w:sz w:val="21"/>
          <w:szCs w:val="21"/>
        </w:rPr>
        <w:t>传真：</w:t>
      </w:r>
    </w:p>
    <w:p w14:paraId="738C3BA9">
      <w:pPr>
        <w:pStyle w:val="16"/>
        <w:spacing w:line="360" w:lineRule="auto"/>
        <w:ind w:firstLine="4620"/>
        <w:rPr>
          <w:rFonts w:hAnsi="宋体" w:eastAsia="宋体"/>
          <w:sz w:val="21"/>
          <w:szCs w:val="21"/>
        </w:rPr>
      </w:pPr>
      <w:r>
        <w:rPr>
          <w:rFonts w:hint="eastAsia" w:hAnsi="宋体" w:eastAsia="宋体"/>
          <w:sz w:val="21"/>
          <w:szCs w:val="21"/>
        </w:rPr>
        <w:t>日期：      年</w:t>
      </w:r>
      <w:r>
        <w:rPr>
          <w:rFonts w:hAnsi="宋体" w:eastAsia="宋体"/>
          <w:sz w:val="21"/>
          <w:szCs w:val="21"/>
        </w:rPr>
        <w:t xml:space="preserve">  </w:t>
      </w:r>
      <w:r>
        <w:rPr>
          <w:rFonts w:hint="eastAsia" w:hAnsi="宋体" w:eastAsia="宋体"/>
          <w:sz w:val="21"/>
          <w:szCs w:val="21"/>
        </w:rPr>
        <w:t xml:space="preserve"> </w:t>
      </w:r>
      <w:r>
        <w:rPr>
          <w:rFonts w:hAnsi="宋体" w:eastAsia="宋体"/>
          <w:sz w:val="21"/>
          <w:szCs w:val="21"/>
        </w:rPr>
        <w:t xml:space="preserve"> </w:t>
      </w:r>
      <w:r>
        <w:rPr>
          <w:rFonts w:hint="eastAsia" w:hAnsi="宋体" w:eastAsia="宋体"/>
          <w:sz w:val="21"/>
          <w:szCs w:val="21"/>
        </w:rPr>
        <w:t>月</w:t>
      </w:r>
      <w:r>
        <w:rPr>
          <w:rFonts w:hAnsi="宋体" w:eastAsia="宋体"/>
          <w:sz w:val="21"/>
          <w:szCs w:val="21"/>
        </w:rPr>
        <w:t xml:space="preserve">    </w:t>
      </w:r>
      <w:r>
        <w:rPr>
          <w:rFonts w:hint="eastAsia" w:hAnsi="宋体" w:eastAsia="宋体"/>
          <w:sz w:val="21"/>
          <w:szCs w:val="21"/>
        </w:rPr>
        <w:t>日</w:t>
      </w:r>
    </w:p>
    <w:p w14:paraId="7E5F0FF4">
      <w:pPr>
        <w:rPr>
          <w:rFonts w:ascii="宋体" w:hAnsi="宋体"/>
          <w:szCs w:val="21"/>
        </w:rPr>
      </w:pPr>
    </w:p>
    <w:p w14:paraId="2F07C5CC">
      <w:pPr>
        <w:rPr>
          <w:rFonts w:ascii="宋体" w:hAnsi="宋体"/>
          <w:szCs w:val="21"/>
        </w:rPr>
      </w:pPr>
    </w:p>
    <w:bookmarkEnd w:id="50"/>
    <w:p w14:paraId="7666E81D">
      <w:pPr>
        <w:pStyle w:val="6"/>
        <w:rPr>
          <w:rFonts w:ascii="宋体" w:hAnsi="宋体" w:eastAsia="宋体" w:cs="宋体"/>
        </w:rPr>
      </w:pPr>
      <w:bookmarkStart w:id="53" w:name="_Ref5615"/>
      <w:r>
        <w:rPr>
          <w:rFonts w:hint="eastAsia" w:ascii="宋体" w:hAnsi="宋体" w:eastAsia="宋体" w:cs="宋体"/>
        </w:rPr>
        <w:t>十、人员配置表</w:t>
      </w:r>
      <w:bookmarkEnd w:id="51"/>
      <w:bookmarkEnd w:id="53"/>
    </w:p>
    <w:p w14:paraId="676C63A7">
      <w:pPr>
        <w:spacing w:line="360" w:lineRule="auto"/>
        <w:jc w:val="center"/>
        <w:rPr>
          <w:rFonts w:ascii="宋体" w:hAnsi="宋体"/>
          <w:szCs w:val="21"/>
        </w:rPr>
      </w:pPr>
      <w:r>
        <w:rPr>
          <w:rFonts w:hint="eastAsia" w:ascii="宋体" w:hAnsi="宋体"/>
          <w:szCs w:val="21"/>
        </w:rPr>
        <w:t>人员配置表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1475"/>
        <w:gridCol w:w="1475"/>
        <w:gridCol w:w="1259"/>
        <w:gridCol w:w="1690"/>
        <w:gridCol w:w="1904"/>
      </w:tblGrid>
      <w:tr w14:paraId="575E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exact"/>
          <w:jc w:val="center"/>
        </w:trPr>
        <w:tc>
          <w:tcPr>
            <w:tcW w:w="936" w:type="dxa"/>
            <w:noWrap w:val="0"/>
            <w:vAlign w:val="center"/>
          </w:tcPr>
          <w:p w14:paraId="017AFC7E">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序号</w:t>
            </w:r>
          </w:p>
        </w:tc>
        <w:tc>
          <w:tcPr>
            <w:tcW w:w="1475" w:type="dxa"/>
            <w:noWrap w:val="0"/>
            <w:vAlign w:val="center"/>
          </w:tcPr>
          <w:p w14:paraId="4D982743">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姓名</w:t>
            </w:r>
          </w:p>
        </w:tc>
        <w:tc>
          <w:tcPr>
            <w:tcW w:w="1475" w:type="dxa"/>
            <w:noWrap w:val="0"/>
            <w:vAlign w:val="center"/>
          </w:tcPr>
          <w:p w14:paraId="7E19C1CD">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学历</w:t>
            </w:r>
          </w:p>
        </w:tc>
        <w:tc>
          <w:tcPr>
            <w:tcW w:w="1259" w:type="dxa"/>
            <w:noWrap w:val="0"/>
            <w:vAlign w:val="center"/>
          </w:tcPr>
          <w:p w14:paraId="33E41CAE">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专业</w:t>
            </w:r>
          </w:p>
        </w:tc>
        <w:tc>
          <w:tcPr>
            <w:tcW w:w="1690" w:type="dxa"/>
            <w:noWrap w:val="0"/>
            <w:vAlign w:val="center"/>
          </w:tcPr>
          <w:p w14:paraId="1236B65A">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职称或上岗证</w:t>
            </w:r>
          </w:p>
        </w:tc>
        <w:tc>
          <w:tcPr>
            <w:tcW w:w="1904" w:type="dxa"/>
            <w:noWrap w:val="0"/>
            <w:vAlign w:val="center"/>
          </w:tcPr>
          <w:p w14:paraId="544C2744">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pacing w:val="-10"/>
                <w:sz w:val="21"/>
                <w:szCs w:val="21"/>
              </w:rPr>
              <w:t>所担任岗位</w:t>
            </w:r>
          </w:p>
        </w:tc>
      </w:tr>
      <w:tr w14:paraId="72C3A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exact"/>
          <w:jc w:val="center"/>
        </w:trPr>
        <w:tc>
          <w:tcPr>
            <w:tcW w:w="936" w:type="dxa"/>
            <w:noWrap w:val="0"/>
            <w:vAlign w:val="center"/>
          </w:tcPr>
          <w:p w14:paraId="19631494">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475" w:type="dxa"/>
            <w:noWrap w:val="0"/>
            <w:vAlign w:val="center"/>
          </w:tcPr>
          <w:p w14:paraId="1268A31B">
            <w:pPr>
              <w:pStyle w:val="7"/>
              <w:spacing w:line="360" w:lineRule="auto"/>
              <w:ind w:firstLine="0"/>
              <w:jc w:val="center"/>
              <w:rPr>
                <w:rFonts w:ascii="宋体" w:hAnsi="宋体" w:eastAsia="宋体" w:cs="宋体"/>
                <w:color w:val="000000"/>
                <w:sz w:val="21"/>
                <w:szCs w:val="21"/>
              </w:rPr>
            </w:pPr>
          </w:p>
        </w:tc>
        <w:tc>
          <w:tcPr>
            <w:tcW w:w="1475" w:type="dxa"/>
            <w:noWrap w:val="0"/>
            <w:vAlign w:val="center"/>
          </w:tcPr>
          <w:p w14:paraId="68965B36">
            <w:pPr>
              <w:pStyle w:val="7"/>
              <w:spacing w:line="360" w:lineRule="auto"/>
              <w:ind w:firstLine="0"/>
              <w:jc w:val="center"/>
              <w:rPr>
                <w:rFonts w:ascii="宋体" w:hAnsi="宋体" w:eastAsia="宋体" w:cs="宋体"/>
                <w:color w:val="000000"/>
                <w:sz w:val="21"/>
                <w:szCs w:val="21"/>
              </w:rPr>
            </w:pPr>
          </w:p>
        </w:tc>
        <w:tc>
          <w:tcPr>
            <w:tcW w:w="1259" w:type="dxa"/>
            <w:noWrap w:val="0"/>
            <w:vAlign w:val="center"/>
          </w:tcPr>
          <w:p w14:paraId="4E7F956C">
            <w:pPr>
              <w:pStyle w:val="7"/>
              <w:spacing w:line="360" w:lineRule="auto"/>
              <w:ind w:firstLine="0"/>
              <w:jc w:val="center"/>
              <w:rPr>
                <w:rFonts w:ascii="宋体" w:hAnsi="宋体" w:eastAsia="宋体" w:cs="宋体"/>
                <w:color w:val="000000"/>
                <w:sz w:val="21"/>
                <w:szCs w:val="21"/>
              </w:rPr>
            </w:pPr>
          </w:p>
        </w:tc>
        <w:tc>
          <w:tcPr>
            <w:tcW w:w="1690" w:type="dxa"/>
            <w:noWrap w:val="0"/>
            <w:vAlign w:val="center"/>
          </w:tcPr>
          <w:p w14:paraId="3BEF8002">
            <w:pPr>
              <w:pStyle w:val="7"/>
              <w:spacing w:line="360" w:lineRule="auto"/>
              <w:ind w:firstLine="0"/>
              <w:jc w:val="center"/>
              <w:rPr>
                <w:rFonts w:ascii="宋体" w:hAnsi="宋体" w:eastAsia="宋体" w:cs="宋体"/>
                <w:color w:val="000000"/>
                <w:sz w:val="21"/>
                <w:szCs w:val="21"/>
              </w:rPr>
            </w:pPr>
          </w:p>
        </w:tc>
        <w:tc>
          <w:tcPr>
            <w:tcW w:w="1904" w:type="dxa"/>
            <w:noWrap w:val="0"/>
            <w:vAlign w:val="center"/>
          </w:tcPr>
          <w:p w14:paraId="366671A6">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项目负责人</w:t>
            </w:r>
          </w:p>
        </w:tc>
      </w:tr>
      <w:tr w14:paraId="37D13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exact"/>
          <w:jc w:val="center"/>
        </w:trPr>
        <w:tc>
          <w:tcPr>
            <w:tcW w:w="936" w:type="dxa"/>
            <w:noWrap w:val="0"/>
            <w:vAlign w:val="center"/>
          </w:tcPr>
          <w:p w14:paraId="4B379617">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475" w:type="dxa"/>
            <w:noWrap w:val="0"/>
            <w:vAlign w:val="center"/>
          </w:tcPr>
          <w:p w14:paraId="22FAD0E9">
            <w:pPr>
              <w:pStyle w:val="7"/>
              <w:spacing w:line="360" w:lineRule="auto"/>
              <w:ind w:firstLine="0"/>
              <w:jc w:val="center"/>
              <w:rPr>
                <w:rFonts w:ascii="宋体" w:hAnsi="宋体" w:eastAsia="宋体" w:cs="宋体"/>
                <w:color w:val="000000"/>
                <w:sz w:val="21"/>
                <w:szCs w:val="21"/>
              </w:rPr>
            </w:pPr>
          </w:p>
        </w:tc>
        <w:tc>
          <w:tcPr>
            <w:tcW w:w="1475" w:type="dxa"/>
            <w:noWrap w:val="0"/>
            <w:vAlign w:val="center"/>
          </w:tcPr>
          <w:p w14:paraId="56C41ACC">
            <w:pPr>
              <w:pStyle w:val="7"/>
              <w:spacing w:line="360" w:lineRule="auto"/>
              <w:ind w:firstLine="0"/>
              <w:jc w:val="center"/>
              <w:rPr>
                <w:rFonts w:ascii="宋体" w:hAnsi="宋体" w:eastAsia="宋体" w:cs="宋体"/>
                <w:color w:val="000000"/>
                <w:sz w:val="21"/>
                <w:szCs w:val="21"/>
              </w:rPr>
            </w:pPr>
          </w:p>
        </w:tc>
        <w:tc>
          <w:tcPr>
            <w:tcW w:w="1259" w:type="dxa"/>
            <w:noWrap w:val="0"/>
            <w:vAlign w:val="center"/>
          </w:tcPr>
          <w:p w14:paraId="6D7A9D8F">
            <w:pPr>
              <w:pStyle w:val="7"/>
              <w:spacing w:line="360" w:lineRule="auto"/>
              <w:ind w:firstLine="0"/>
              <w:jc w:val="center"/>
              <w:rPr>
                <w:rFonts w:ascii="宋体" w:hAnsi="宋体" w:eastAsia="宋体" w:cs="宋体"/>
                <w:color w:val="000000"/>
                <w:sz w:val="21"/>
                <w:szCs w:val="21"/>
              </w:rPr>
            </w:pPr>
          </w:p>
        </w:tc>
        <w:tc>
          <w:tcPr>
            <w:tcW w:w="1690" w:type="dxa"/>
            <w:noWrap w:val="0"/>
            <w:vAlign w:val="center"/>
          </w:tcPr>
          <w:p w14:paraId="570FB285">
            <w:pPr>
              <w:pStyle w:val="7"/>
              <w:spacing w:line="360" w:lineRule="auto"/>
              <w:ind w:firstLine="0"/>
              <w:jc w:val="center"/>
              <w:rPr>
                <w:rFonts w:ascii="宋体" w:hAnsi="宋体" w:eastAsia="宋体" w:cs="宋体"/>
                <w:color w:val="000000"/>
                <w:sz w:val="21"/>
                <w:szCs w:val="21"/>
              </w:rPr>
            </w:pPr>
          </w:p>
        </w:tc>
        <w:tc>
          <w:tcPr>
            <w:tcW w:w="1904" w:type="dxa"/>
            <w:noWrap w:val="0"/>
            <w:vAlign w:val="center"/>
          </w:tcPr>
          <w:p w14:paraId="52148E0A">
            <w:pPr>
              <w:pStyle w:val="7"/>
              <w:spacing w:line="360" w:lineRule="auto"/>
              <w:ind w:firstLine="0"/>
              <w:jc w:val="center"/>
              <w:rPr>
                <w:rFonts w:ascii="宋体" w:hAnsi="宋体" w:eastAsia="宋体" w:cs="宋体"/>
                <w:color w:val="000000"/>
                <w:sz w:val="21"/>
                <w:szCs w:val="21"/>
              </w:rPr>
            </w:pPr>
          </w:p>
        </w:tc>
      </w:tr>
      <w:tr w14:paraId="4683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exact"/>
          <w:jc w:val="center"/>
        </w:trPr>
        <w:tc>
          <w:tcPr>
            <w:tcW w:w="936" w:type="dxa"/>
            <w:noWrap w:val="0"/>
            <w:vAlign w:val="center"/>
          </w:tcPr>
          <w:p w14:paraId="444C9A49">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475" w:type="dxa"/>
            <w:noWrap w:val="0"/>
            <w:vAlign w:val="center"/>
          </w:tcPr>
          <w:p w14:paraId="05FC1FC8">
            <w:pPr>
              <w:pStyle w:val="7"/>
              <w:spacing w:line="360" w:lineRule="auto"/>
              <w:ind w:firstLine="0"/>
              <w:jc w:val="center"/>
              <w:rPr>
                <w:rFonts w:ascii="宋体" w:hAnsi="宋体" w:eastAsia="宋体" w:cs="宋体"/>
                <w:color w:val="000000"/>
                <w:sz w:val="21"/>
                <w:szCs w:val="21"/>
              </w:rPr>
            </w:pPr>
          </w:p>
        </w:tc>
        <w:tc>
          <w:tcPr>
            <w:tcW w:w="1475" w:type="dxa"/>
            <w:noWrap w:val="0"/>
            <w:vAlign w:val="center"/>
          </w:tcPr>
          <w:p w14:paraId="12D22E3B">
            <w:pPr>
              <w:pStyle w:val="7"/>
              <w:spacing w:line="360" w:lineRule="auto"/>
              <w:ind w:firstLine="0"/>
              <w:jc w:val="center"/>
              <w:rPr>
                <w:rFonts w:ascii="宋体" w:hAnsi="宋体" w:eastAsia="宋体" w:cs="宋体"/>
                <w:color w:val="000000"/>
                <w:sz w:val="21"/>
                <w:szCs w:val="21"/>
              </w:rPr>
            </w:pPr>
          </w:p>
        </w:tc>
        <w:tc>
          <w:tcPr>
            <w:tcW w:w="1259" w:type="dxa"/>
            <w:noWrap w:val="0"/>
            <w:vAlign w:val="center"/>
          </w:tcPr>
          <w:p w14:paraId="29720FA4">
            <w:pPr>
              <w:pStyle w:val="7"/>
              <w:spacing w:line="360" w:lineRule="auto"/>
              <w:ind w:firstLine="0"/>
              <w:jc w:val="center"/>
              <w:rPr>
                <w:rFonts w:ascii="宋体" w:hAnsi="宋体" w:eastAsia="宋体" w:cs="宋体"/>
                <w:color w:val="000000"/>
                <w:sz w:val="21"/>
                <w:szCs w:val="21"/>
              </w:rPr>
            </w:pPr>
          </w:p>
        </w:tc>
        <w:tc>
          <w:tcPr>
            <w:tcW w:w="1690" w:type="dxa"/>
            <w:noWrap w:val="0"/>
            <w:vAlign w:val="center"/>
          </w:tcPr>
          <w:p w14:paraId="693414B4">
            <w:pPr>
              <w:pStyle w:val="7"/>
              <w:spacing w:line="360" w:lineRule="auto"/>
              <w:ind w:firstLine="0"/>
              <w:jc w:val="center"/>
              <w:rPr>
                <w:rFonts w:ascii="宋体" w:hAnsi="宋体" w:eastAsia="宋体" w:cs="宋体"/>
                <w:color w:val="000000"/>
                <w:sz w:val="21"/>
                <w:szCs w:val="21"/>
              </w:rPr>
            </w:pPr>
          </w:p>
        </w:tc>
        <w:tc>
          <w:tcPr>
            <w:tcW w:w="1904" w:type="dxa"/>
            <w:noWrap w:val="0"/>
            <w:vAlign w:val="center"/>
          </w:tcPr>
          <w:p w14:paraId="1701873C">
            <w:pPr>
              <w:pStyle w:val="7"/>
              <w:spacing w:line="360" w:lineRule="auto"/>
              <w:ind w:firstLine="0"/>
              <w:jc w:val="center"/>
              <w:rPr>
                <w:rFonts w:ascii="宋体" w:hAnsi="宋体" w:eastAsia="宋体" w:cs="宋体"/>
                <w:color w:val="000000"/>
                <w:sz w:val="21"/>
                <w:szCs w:val="21"/>
              </w:rPr>
            </w:pPr>
          </w:p>
        </w:tc>
      </w:tr>
      <w:tr w14:paraId="161DC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exact"/>
          <w:jc w:val="center"/>
        </w:trPr>
        <w:tc>
          <w:tcPr>
            <w:tcW w:w="936" w:type="dxa"/>
            <w:noWrap w:val="0"/>
            <w:vAlign w:val="center"/>
          </w:tcPr>
          <w:p w14:paraId="10957EF5">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475" w:type="dxa"/>
            <w:noWrap w:val="0"/>
            <w:vAlign w:val="center"/>
          </w:tcPr>
          <w:p w14:paraId="2707816E">
            <w:pPr>
              <w:pStyle w:val="7"/>
              <w:spacing w:line="360" w:lineRule="auto"/>
              <w:ind w:firstLine="0"/>
              <w:jc w:val="center"/>
              <w:rPr>
                <w:rFonts w:ascii="宋体" w:hAnsi="宋体" w:eastAsia="宋体" w:cs="宋体"/>
                <w:color w:val="000000"/>
                <w:sz w:val="21"/>
                <w:szCs w:val="21"/>
              </w:rPr>
            </w:pPr>
          </w:p>
        </w:tc>
        <w:tc>
          <w:tcPr>
            <w:tcW w:w="1475" w:type="dxa"/>
            <w:noWrap w:val="0"/>
            <w:vAlign w:val="center"/>
          </w:tcPr>
          <w:p w14:paraId="720A80DE">
            <w:pPr>
              <w:pStyle w:val="7"/>
              <w:spacing w:line="360" w:lineRule="auto"/>
              <w:ind w:firstLine="0"/>
              <w:jc w:val="center"/>
              <w:rPr>
                <w:rFonts w:ascii="宋体" w:hAnsi="宋体" w:eastAsia="宋体" w:cs="宋体"/>
                <w:color w:val="000000"/>
                <w:sz w:val="21"/>
                <w:szCs w:val="21"/>
              </w:rPr>
            </w:pPr>
          </w:p>
        </w:tc>
        <w:tc>
          <w:tcPr>
            <w:tcW w:w="1259" w:type="dxa"/>
            <w:noWrap w:val="0"/>
            <w:vAlign w:val="center"/>
          </w:tcPr>
          <w:p w14:paraId="26FA6EAD">
            <w:pPr>
              <w:pStyle w:val="7"/>
              <w:spacing w:line="360" w:lineRule="auto"/>
              <w:ind w:firstLine="0"/>
              <w:jc w:val="center"/>
              <w:rPr>
                <w:rFonts w:ascii="宋体" w:hAnsi="宋体" w:eastAsia="宋体" w:cs="宋体"/>
                <w:color w:val="000000"/>
                <w:sz w:val="21"/>
                <w:szCs w:val="21"/>
              </w:rPr>
            </w:pPr>
          </w:p>
        </w:tc>
        <w:tc>
          <w:tcPr>
            <w:tcW w:w="1690" w:type="dxa"/>
            <w:noWrap w:val="0"/>
            <w:vAlign w:val="center"/>
          </w:tcPr>
          <w:p w14:paraId="530D5D22">
            <w:pPr>
              <w:pStyle w:val="7"/>
              <w:spacing w:line="360" w:lineRule="auto"/>
              <w:ind w:firstLine="0"/>
              <w:jc w:val="center"/>
              <w:rPr>
                <w:rFonts w:ascii="宋体" w:hAnsi="宋体" w:eastAsia="宋体" w:cs="宋体"/>
                <w:color w:val="000000"/>
                <w:sz w:val="21"/>
                <w:szCs w:val="21"/>
              </w:rPr>
            </w:pPr>
          </w:p>
        </w:tc>
        <w:tc>
          <w:tcPr>
            <w:tcW w:w="1904" w:type="dxa"/>
            <w:noWrap w:val="0"/>
            <w:vAlign w:val="center"/>
          </w:tcPr>
          <w:p w14:paraId="7CDB7407">
            <w:pPr>
              <w:pStyle w:val="7"/>
              <w:spacing w:line="360" w:lineRule="auto"/>
              <w:ind w:firstLine="0"/>
              <w:jc w:val="center"/>
              <w:rPr>
                <w:rFonts w:ascii="宋体" w:hAnsi="宋体" w:eastAsia="宋体" w:cs="宋体"/>
                <w:color w:val="000000"/>
                <w:sz w:val="21"/>
                <w:szCs w:val="21"/>
              </w:rPr>
            </w:pPr>
          </w:p>
        </w:tc>
      </w:tr>
      <w:tr w14:paraId="6E075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jc w:val="center"/>
        </w:trPr>
        <w:tc>
          <w:tcPr>
            <w:tcW w:w="936" w:type="dxa"/>
            <w:noWrap w:val="0"/>
            <w:vAlign w:val="center"/>
          </w:tcPr>
          <w:p w14:paraId="1E1D99A4">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w:t>
            </w:r>
          </w:p>
        </w:tc>
        <w:tc>
          <w:tcPr>
            <w:tcW w:w="1475" w:type="dxa"/>
            <w:noWrap w:val="0"/>
            <w:vAlign w:val="center"/>
          </w:tcPr>
          <w:p w14:paraId="3CC2B5F7">
            <w:pPr>
              <w:pStyle w:val="7"/>
              <w:spacing w:line="360" w:lineRule="auto"/>
              <w:ind w:firstLine="0"/>
              <w:jc w:val="center"/>
              <w:rPr>
                <w:rFonts w:ascii="宋体" w:hAnsi="宋体" w:eastAsia="宋体" w:cs="宋体"/>
                <w:color w:val="000000"/>
                <w:sz w:val="21"/>
                <w:szCs w:val="21"/>
              </w:rPr>
            </w:pPr>
          </w:p>
        </w:tc>
        <w:tc>
          <w:tcPr>
            <w:tcW w:w="1475" w:type="dxa"/>
            <w:noWrap w:val="0"/>
            <w:vAlign w:val="center"/>
          </w:tcPr>
          <w:p w14:paraId="19F69BA4">
            <w:pPr>
              <w:pStyle w:val="7"/>
              <w:spacing w:line="360" w:lineRule="auto"/>
              <w:ind w:firstLine="0"/>
              <w:jc w:val="center"/>
              <w:rPr>
                <w:rFonts w:ascii="宋体" w:hAnsi="宋体" w:eastAsia="宋体" w:cs="宋体"/>
                <w:color w:val="000000"/>
                <w:sz w:val="21"/>
                <w:szCs w:val="21"/>
              </w:rPr>
            </w:pPr>
          </w:p>
        </w:tc>
        <w:tc>
          <w:tcPr>
            <w:tcW w:w="1259" w:type="dxa"/>
            <w:noWrap w:val="0"/>
            <w:vAlign w:val="center"/>
          </w:tcPr>
          <w:p w14:paraId="1D6D5389">
            <w:pPr>
              <w:pStyle w:val="7"/>
              <w:spacing w:line="360" w:lineRule="auto"/>
              <w:ind w:firstLine="0"/>
              <w:jc w:val="center"/>
              <w:rPr>
                <w:rFonts w:ascii="宋体" w:hAnsi="宋体" w:eastAsia="宋体" w:cs="宋体"/>
                <w:color w:val="000000"/>
                <w:sz w:val="21"/>
                <w:szCs w:val="21"/>
              </w:rPr>
            </w:pPr>
          </w:p>
        </w:tc>
        <w:tc>
          <w:tcPr>
            <w:tcW w:w="1690" w:type="dxa"/>
            <w:noWrap w:val="0"/>
            <w:vAlign w:val="center"/>
          </w:tcPr>
          <w:p w14:paraId="6FBFB925">
            <w:pPr>
              <w:pStyle w:val="7"/>
              <w:spacing w:line="360" w:lineRule="auto"/>
              <w:ind w:firstLine="0"/>
              <w:jc w:val="center"/>
              <w:rPr>
                <w:rFonts w:ascii="宋体" w:hAnsi="宋体" w:eastAsia="宋体" w:cs="宋体"/>
                <w:color w:val="000000"/>
                <w:sz w:val="21"/>
                <w:szCs w:val="21"/>
              </w:rPr>
            </w:pPr>
          </w:p>
        </w:tc>
        <w:tc>
          <w:tcPr>
            <w:tcW w:w="1904" w:type="dxa"/>
            <w:noWrap w:val="0"/>
            <w:vAlign w:val="center"/>
          </w:tcPr>
          <w:p w14:paraId="243B0C7E">
            <w:pPr>
              <w:pStyle w:val="7"/>
              <w:spacing w:line="360" w:lineRule="auto"/>
              <w:ind w:firstLine="0"/>
              <w:jc w:val="center"/>
              <w:rPr>
                <w:rFonts w:ascii="宋体" w:hAnsi="宋体" w:eastAsia="宋体" w:cs="宋体"/>
                <w:color w:val="000000"/>
                <w:sz w:val="21"/>
                <w:szCs w:val="21"/>
              </w:rPr>
            </w:pPr>
          </w:p>
        </w:tc>
      </w:tr>
    </w:tbl>
    <w:p w14:paraId="0B68FE0C">
      <w:pPr>
        <w:pStyle w:val="16"/>
        <w:spacing w:line="360" w:lineRule="auto"/>
        <w:ind w:left="-210" w:right="-210"/>
        <w:jc w:val="left"/>
        <w:rPr>
          <w:rFonts w:hAnsi="宋体" w:eastAsia="宋体"/>
          <w:b/>
          <w:sz w:val="21"/>
          <w:szCs w:val="21"/>
        </w:rPr>
      </w:pPr>
    </w:p>
    <w:p w14:paraId="3890362B">
      <w:pPr>
        <w:pStyle w:val="16"/>
        <w:spacing w:line="360" w:lineRule="auto"/>
        <w:ind w:left="-210" w:right="-210"/>
        <w:jc w:val="left"/>
        <w:rPr>
          <w:rFonts w:hAnsi="宋体" w:eastAsia="宋体"/>
          <w:b/>
          <w:sz w:val="21"/>
          <w:szCs w:val="21"/>
        </w:rPr>
      </w:pPr>
      <w:r>
        <w:rPr>
          <w:rFonts w:hint="eastAsia" w:hAnsi="宋体" w:eastAsia="宋体"/>
          <w:b/>
          <w:sz w:val="21"/>
          <w:szCs w:val="21"/>
        </w:rPr>
        <w:t>注：投标单位可根据招标内容自行调整</w:t>
      </w:r>
    </w:p>
    <w:p w14:paraId="5F147A8B">
      <w:pPr>
        <w:pStyle w:val="17"/>
        <w:spacing w:line="360" w:lineRule="auto"/>
        <w:ind w:firstLine="359"/>
        <w:jc w:val="left"/>
        <w:rPr>
          <w:rFonts w:hAnsi="宋体" w:eastAsia="宋体"/>
          <w:sz w:val="21"/>
          <w:szCs w:val="21"/>
        </w:rPr>
      </w:pPr>
      <w:r>
        <w:rPr>
          <w:rFonts w:hAnsi="宋体" w:eastAsia="宋体"/>
          <w:sz w:val="21"/>
          <w:szCs w:val="21"/>
        </w:rPr>
        <w:t>投标单位：（</w:t>
      </w:r>
      <w:r>
        <w:rPr>
          <w:rFonts w:hint="eastAsia" w:hAnsi="宋体" w:eastAsia="宋体"/>
          <w:sz w:val="21"/>
          <w:szCs w:val="21"/>
        </w:rPr>
        <w:t>单位盖章</w:t>
      </w:r>
      <w:r>
        <w:rPr>
          <w:rFonts w:hAnsi="宋体" w:eastAsia="宋体"/>
          <w:sz w:val="21"/>
          <w:szCs w:val="21"/>
        </w:rPr>
        <w:t>）</w:t>
      </w:r>
    </w:p>
    <w:p w14:paraId="7AA1CF3C">
      <w:pPr>
        <w:pStyle w:val="17"/>
        <w:spacing w:line="360" w:lineRule="auto"/>
        <w:ind w:firstLine="359"/>
        <w:jc w:val="left"/>
        <w:rPr>
          <w:rFonts w:hAnsi="宋体" w:eastAsia="宋体"/>
          <w:sz w:val="21"/>
          <w:szCs w:val="21"/>
        </w:rPr>
      </w:pPr>
      <w:r>
        <w:rPr>
          <w:rFonts w:hAnsi="宋体" w:eastAsia="宋体"/>
          <w:sz w:val="21"/>
          <w:szCs w:val="21"/>
        </w:rPr>
        <w:t>法定代表人或授权委托人：（签字或盖章）</w:t>
      </w:r>
    </w:p>
    <w:p w14:paraId="675B16A6">
      <w:pPr>
        <w:pStyle w:val="17"/>
        <w:spacing w:line="360" w:lineRule="auto"/>
        <w:ind w:firstLine="359"/>
        <w:jc w:val="left"/>
        <w:rPr>
          <w:rFonts w:hAnsi="宋体" w:eastAsia="宋体"/>
          <w:b/>
          <w:sz w:val="21"/>
          <w:szCs w:val="21"/>
        </w:rPr>
      </w:pPr>
      <w:r>
        <w:rPr>
          <w:rFonts w:hAnsi="宋体" w:eastAsia="宋体"/>
          <w:sz w:val="21"/>
          <w:szCs w:val="21"/>
        </w:rPr>
        <w:t>日期：</w:t>
      </w:r>
      <w:r>
        <w:rPr>
          <w:rFonts w:hint="eastAsia" w:hAnsi="宋体" w:eastAsia="宋体"/>
          <w:sz w:val="21"/>
          <w:szCs w:val="21"/>
        </w:rPr>
        <w:t xml:space="preserve">      </w:t>
      </w:r>
      <w:r>
        <w:rPr>
          <w:rFonts w:hAnsi="宋体" w:eastAsia="宋体"/>
          <w:sz w:val="21"/>
          <w:szCs w:val="21"/>
        </w:rPr>
        <w:t>年</w:t>
      </w:r>
      <w:r>
        <w:rPr>
          <w:rFonts w:hint="eastAsia" w:hAnsi="宋体" w:eastAsia="宋体"/>
          <w:sz w:val="21"/>
          <w:szCs w:val="21"/>
        </w:rPr>
        <w:t xml:space="preserve">  </w:t>
      </w:r>
      <w:r>
        <w:rPr>
          <w:rFonts w:hAnsi="宋体" w:eastAsia="宋体"/>
          <w:sz w:val="21"/>
          <w:szCs w:val="21"/>
        </w:rPr>
        <w:t>月</w:t>
      </w:r>
      <w:r>
        <w:rPr>
          <w:rFonts w:hint="eastAsia" w:hAnsi="宋体" w:eastAsia="宋体"/>
          <w:sz w:val="21"/>
          <w:szCs w:val="21"/>
        </w:rPr>
        <w:t xml:space="preserve">  </w:t>
      </w:r>
      <w:r>
        <w:rPr>
          <w:rFonts w:hAnsi="宋体" w:eastAsia="宋体"/>
          <w:sz w:val="21"/>
          <w:szCs w:val="21"/>
        </w:rPr>
        <w:t>日</w:t>
      </w:r>
    </w:p>
    <w:p w14:paraId="49944B44">
      <w:pPr>
        <w:spacing w:line="360" w:lineRule="auto"/>
        <w:rPr>
          <w:rFonts w:ascii="宋体" w:hAnsi="宋体"/>
          <w:szCs w:val="21"/>
        </w:rPr>
      </w:pPr>
    </w:p>
    <w:p w14:paraId="6320C52D">
      <w:pPr>
        <w:spacing w:line="360" w:lineRule="auto"/>
        <w:jc w:val="right"/>
        <w:rPr>
          <w:rFonts w:ascii="宋体" w:hAnsi="宋体"/>
          <w:szCs w:val="21"/>
        </w:rPr>
      </w:pPr>
    </w:p>
    <w:p w14:paraId="154472B9">
      <w:pPr>
        <w:spacing w:line="360" w:lineRule="auto"/>
        <w:rPr>
          <w:rFonts w:ascii="宋体" w:hAnsi="宋体"/>
          <w:szCs w:val="21"/>
        </w:rPr>
      </w:pPr>
    </w:p>
    <w:p w14:paraId="3030E9DC">
      <w:pPr>
        <w:spacing w:line="360" w:lineRule="auto"/>
        <w:jc w:val="right"/>
        <w:rPr>
          <w:rFonts w:ascii="宋体" w:hAnsi="宋体"/>
          <w:szCs w:val="21"/>
        </w:rPr>
      </w:pPr>
    </w:p>
    <w:p w14:paraId="78E1C23D">
      <w:pPr>
        <w:rPr>
          <w:rFonts w:ascii="宋体" w:hAnsi="宋体"/>
        </w:rPr>
      </w:pPr>
      <w:bookmarkStart w:id="54" w:name="_Toc8652606"/>
      <w:bookmarkStart w:id="55" w:name="_Ref803185"/>
    </w:p>
    <w:p w14:paraId="15B47A9A">
      <w:pPr>
        <w:rPr>
          <w:rFonts w:ascii="宋体" w:hAnsi="宋体"/>
        </w:rPr>
      </w:pPr>
    </w:p>
    <w:p w14:paraId="75202285">
      <w:pPr>
        <w:rPr>
          <w:rFonts w:ascii="宋体" w:hAnsi="宋体"/>
        </w:rPr>
      </w:pPr>
    </w:p>
    <w:p w14:paraId="076048A7">
      <w:pPr>
        <w:rPr>
          <w:rFonts w:ascii="宋体" w:hAnsi="宋体"/>
        </w:rPr>
      </w:pPr>
    </w:p>
    <w:p w14:paraId="79622741">
      <w:pPr>
        <w:rPr>
          <w:rFonts w:ascii="宋体" w:hAnsi="宋体"/>
        </w:rPr>
      </w:pPr>
    </w:p>
    <w:p w14:paraId="2F385E2D">
      <w:pPr>
        <w:rPr>
          <w:rFonts w:ascii="宋体" w:hAnsi="宋体"/>
        </w:rPr>
      </w:pPr>
      <w:r>
        <w:rPr>
          <w:rFonts w:ascii="宋体" w:hAnsi="宋体"/>
        </w:rPr>
        <w:br w:type="page" w:clear="all"/>
      </w:r>
    </w:p>
    <w:p w14:paraId="3ADD1630">
      <w:pPr>
        <w:pStyle w:val="2"/>
        <w:rPr>
          <w:rFonts w:hint="default"/>
        </w:rPr>
      </w:pPr>
    </w:p>
    <w:p w14:paraId="798A9887">
      <w:pPr>
        <w:pStyle w:val="6"/>
        <w:rPr>
          <w:rFonts w:ascii="宋体" w:hAnsi="宋体" w:eastAsia="宋体" w:cs="宋体"/>
        </w:rPr>
      </w:pPr>
      <w:bookmarkStart w:id="56" w:name="_Ref5654"/>
      <w:r>
        <w:rPr>
          <w:rFonts w:hint="eastAsia" w:ascii="宋体" w:hAnsi="宋体" w:eastAsia="宋体" w:cs="宋体"/>
        </w:rPr>
        <w:t>十一、类似业绩证明材料</w:t>
      </w:r>
      <w:bookmarkEnd w:id="54"/>
      <w:bookmarkEnd w:id="55"/>
      <w:bookmarkEnd w:id="56"/>
    </w:p>
    <w:p w14:paraId="7A01F94A">
      <w:pPr>
        <w:spacing w:line="360" w:lineRule="auto"/>
        <w:jc w:val="center"/>
        <w:rPr>
          <w:rFonts w:ascii="宋体" w:hAnsi="宋体"/>
          <w:szCs w:val="21"/>
        </w:rPr>
      </w:pPr>
      <w:r>
        <w:rPr>
          <w:rFonts w:hint="eastAsia" w:ascii="宋体" w:hAnsi="宋体"/>
          <w:szCs w:val="21"/>
        </w:rPr>
        <w:t>类似业绩证明材料</w:t>
      </w:r>
    </w:p>
    <w:p w14:paraId="3E2574BE">
      <w:pPr>
        <w:pStyle w:val="2"/>
        <w:rPr>
          <w:rFonts w:hint="default"/>
        </w:rPr>
      </w:pP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39"/>
        <w:gridCol w:w="2004"/>
        <w:gridCol w:w="2004"/>
        <w:gridCol w:w="2384"/>
        <w:gridCol w:w="1813"/>
      </w:tblGrid>
      <w:tr w14:paraId="42B8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239" w:type="dxa"/>
            <w:noWrap w:val="0"/>
            <w:vAlign w:val="center"/>
          </w:tcPr>
          <w:p w14:paraId="1D632BAD">
            <w:pPr>
              <w:spacing w:line="360" w:lineRule="auto"/>
              <w:jc w:val="center"/>
              <w:rPr>
                <w:rFonts w:ascii="宋体" w:hAnsi="宋体"/>
                <w:szCs w:val="21"/>
              </w:rPr>
            </w:pPr>
            <w:r>
              <w:rPr>
                <w:rFonts w:ascii="宋体" w:hAnsi="宋体"/>
                <w:szCs w:val="21"/>
              </w:rPr>
              <w:t>序号</w:t>
            </w:r>
          </w:p>
        </w:tc>
        <w:tc>
          <w:tcPr>
            <w:tcW w:w="2004" w:type="dxa"/>
            <w:noWrap w:val="0"/>
            <w:vAlign w:val="center"/>
          </w:tcPr>
          <w:p w14:paraId="23FBA81B">
            <w:pPr>
              <w:spacing w:line="360" w:lineRule="auto"/>
              <w:jc w:val="center"/>
              <w:rPr>
                <w:rFonts w:ascii="宋体" w:hAnsi="宋体"/>
                <w:szCs w:val="21"/>
              </w:rPr>
            </w:pPr>
            <w:r>
              <w:rPr>
                <w:rFonts w:ascii="宋体" w:hAnsi="宋体"/>
                <w:szCs w:val="21"/>
              </w:rPr>
              <w:t>项目名称</w:t>
            </w:r>
          </w:p>
        </w:tc>
        <w:tc>
          <w:tcPr>
            <w:tcW w:w="2004" w:type="dxa"/>
            <w:noWrap w:val="0"/>
            <w:vAlign w:val="center"/>
          </w:tcPr>
          <w:p w14:paraId="7E3C16D9">
            <w:pPr>
              <w:spacing w:line="360" w:lineRule="auto"/>
              <w:jc w:val="center"/>
              <w:rPr>
                <w:rFonts w:ascii="宋体" w:hAnsi="宋体"/>
                <w:szCs w:val="21"/>
              </w:rPr>
            </w:pPr>
            <w:r>
              <w:rPr>
                <w:rFonts w:hint="eastAsia" w:ascii="宋体" w:hAnsi="宋体"/>
                <w:szCs w:val="21"/>
              </w:rPr>
              <w:t>合同内容</w:t>
            </w:r>
          </w:p>
        </w:tc>
        <w:tc>
          <w:tcPr>
            <w:tcW w:w="2384" w:type="dxa"/>
            <w:noWrap w:val="0"/>
            <w:vAlign w:val="center"/>
          </w:tcPr>
          <w:p w14:paraId="0768DE56">
            <w:pPr>
              <w:spacing w:line="360" w:lineRule="auto"/>
              <w:jc w:val="center"/>
              <w:rPr>
                <w:rFonts w:ascii="宋体" w:hAnsi="宋体"/>
                <w:szCs w:val="21"/>
              </w:rPr>
            </w:pPr>
            <w:r>
              <w:rPr>
                <w:rFonts w:hint="eastAsia" w:ascii="宋体" w:hAnsi="宋体"/>
                <w:szCs w:val="21"/>
              </w:rPr>
              <w:t>合同签订时间</w:t>
            </w:r>
          </w:p>
        </w:tc>
        <w:tc>
          <w:tcPr>
            <w:tcW w:w="1813" w:type="dxa"/>
            <w:noWrap w:val="0"/>
            <w:vAlign w:val="center"/>
          </w:tcPr>
          <w:p w14:paraId="01CEE41C">
            <w:pPr>
              <w:spacing w:line="360" w:lineRule="auto"/>
              <w:jc w:val="center"/>
              <w:rPr>
                <w:rFonts w:ascii="宋体" w:hAnsi="宋体"/>
                <w:szCs w:val="21"/>
              </w:rPr>
            </w:pPr>
            <w:r>
              <w:rPr>
                <w:rFonts w:ascii="宋体" w:hAnsi="宋体"/>
                <w:szCs w:val="21"/>
              </w:rPr>
              <w:t>备注</w:t>
            </w:r>
          </w:p>
        </w:tc>
      </w:tr>
      <w:tr w14:paraId="04CE9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239" w:type="dxa"/>
            <w:noWrap w:val="0"/>
            <w:vAlign w:val="center"/>
          </w:tcPr>
          <w:p w14:paraId="2FAB9632">
            <w:pPr>
              <w:spacing w:line="360" w:lineRule="auto"/>
              <w:jc w:val="center"/>
              <w:rPr>
                <w:rFonts w:ascii="宋体" w:hAnsi="宋体"/>
                <w:szCs w:val="21"/>
              </w:rPr>
            </w:pPr>
            <w:r>
              <w:rPr>
                <w:rFonts w:ascii="宋体" w:hAnsi="宋体"/>
                <w:szCs w:val="21"/>
              </w:rPr>
              <w:t>1</w:t>
            </w:r>
          </w:p>
        </w:tc>
        <w:tc>
          <w:tcPr>
            <w:tcW w:w="2004" w:type="dxa"/>
            <w:noWrap w:val="0"/>
            <w:vAlign w:val="center"/>
          </w:tcPr>
          <w:p w14:paraId="29525EF7">
            <w:pPr>
              <w:spacing w:line="360" w:lineRule="auto"/>
              <w:ind w:left="420"/>
              <w:rPr>
                <w:rFonts w:ascii="宋体" w:hAnsi="宋体"/>
                <w:szCs w:val="21"/>
              </w:rPr>
            </w:pPr>
          </w:p>
        </w:tc>
        <w:tc>
          <w:tcPr>
            <w:tcW w:w="2004" w:type="dxa"/>
            <w:noWrap w:val="0"/>
            <w:vAlign w:val="center"/>
          </w:tcPr>
          <w:p w14:paraId="061D1D1C">
            <w:pPr>
              <w:spacing w:line="360" w:lineRule="auto"/>
              <w:ind w:left="420"/>
              <w:rPr>
                <w:rFonts w:ascii="宋体" w:hAnsi="宋体"/>
                <w:szCs w:val="21"/>
              </w:rPr>
            </w:pPr>
          </w:p>
        </w:tc>
        <w:tc>
          <w:tcPr>
            <w:tcW w:w="2384" w:type="dxa"/>
            <w:noWrap w:val="0"/>
            <w:vAlign w:val="center"/>
          </w:tcPr>
          <w:p w14:paraId="6E6818F4">
            <w:pPr>
              <w:spacing w:line="360" w:lineRule="auto"/>
              <w:ind w:left="420"/>
              <w:rPr>
                <w:rFonts w:ascii="宋体" w:hAnsi="宋体"/>
                <w:szCs w:val="21"/>
              </w:rPr>
            </w:pPr>
          </w:p>
        </w:tc>
        <w:tc>
          <w:tcPr>
            <w:tcW w:w="1813" w:type="dxa"/>
            <w:noWrap w:val="0"/>
            <w:vAlign w:val="center"/>
          </w:tcPr>
          <w:p w14:paraId="2BFF23BA">
            <w:pPr>
              <w:spacing w:line="360" w:lineRule="auto"/>
              <w:ind w:left="420"/>
              <w:rPr>
                <w:rFonts w:ascii="宋体" w:hAnsi="宋体"/>
                <w:szCs w:val="21"/>
              </w:rPr>
            </w:pPr>
          </w:p>
        </w:tc>
      </w:tr>
      <w:tr w14:paraId="1B115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239" w:type="dxa"/>
            <w:noWrap w:val="0"/>
            <w:vAlign w:val="center"/>
          </w:tcPr>
          <w:p w14:paraId="24487C11">
            <w:pPr>
              <w:spacing w:line="360" w:lineRule="auto"/>
              <w:jc w:val="center"/>
              <w:rPr>
                <w:rFonts w:ascii="宋体" w:hAnsi="宋体"/>
                <w:szCs w:val="21"/>
              </w:rPr>
            </w:pPr>
            <w:r>
              <w:rPr>
                <w:rFonts w:ascii="宋体" w:hAnsi="宋体"/>
                <w:szCs w:val="21"/>
              </w:rPr>
              <w:t>2</w:t>
            </w:r>
          </w:p>
        </w:tc>
        <w:tc>
          <w:tcPr>
            <w:tcW w:w="2004" w:type="dxa"/>
            <w:noWrap w:val="0"/>
            <w:vAlign w:val="center"/>
          </w:tcPr>
          <w:p w14:paraId="7DF4F6FA">
            <w:pPr>
              <w:spacing w:line="360" w:lineRule="auto"/>
              <w:ind w:left="420"/>
              <w:rPr>
                <w:rFonts w:ascii="宋体" w:hAnsi="宋体"/>
                <w:szCs w:val="21"/>
              </w:rPr>
            </w:pPr>
          </w:p>
        </w:tc>
        <w:tc>
          <w:tcPr>
            <w:tcW w:w="2004" w:type="dxa"/>
            <w:noWrap w:val="0"/>
            <w:vAlign w:val="center"/>
          </w:tcPr>
          <w:p w14:paraId="61C6E7DB">
            <w:pPr>
              <w:spacing w:line="360" w:lineRule="auto"/>
              <w:ind w:left="420"/>
              <w:rPr>
                <w:rFonts w:ascii="宋体" w:hAnsi="宋体"/>
                <w:szCs w:val="21"/>
              </w:rPr>
            </w:pPr>
          </w:p>
        </w:tc>
        <w:tc>
          <w:tcPr>
            <w:tcW w:w="2384" w:type="dxa"/>
            <w:noWrap w:val="0"/>
            <w:vAlign w:val="center"/>
          </w:tcPr>
          <w:p w14:paraId="0D0CB282">
            <w:pPr>
              <w:spacing w:line="360" w:lineRule="auto"/>
              <w:ind w:left="420"/>
              <w:rPr>
                <w:rFonts w:ascii="宋体" w:hAnsi="宋体"/>
                <w:szCs w:val="21"/>
              </w:rPr>
            </w:pPr>
          </w:p>
        </w:tc>
        <w:tc>
          <w:tcPr>
            <w:tcW w:w="1813" w:type="dxa"/>
            <w:noWrap w:val="0"/>
            <w:vAlign w:val="center"/>
          </w:tcPr>
          <w:p w14:paraId="33659EFD">
            <w:pPr>
              <w:spacing w:line="360" w:lineRule="auto"/>
              <w:ind w:left="420"/>
              <w:rPr>
                <w:rFonts w:ascii="宋体" w:hAnsi="宋体"/>
                <w:szCs w:val="21"/>
              </w:rPr>
            </w:pPr>
          </w:p>
        </w:tc>
      </w:tr>
      <w:tr w14:paraId="0B80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239" w:type="dxa"/>
            <w:noWrap w:val="0"/>
            <w:vAlign w:val="center"/>
          </w:tcPr>
          <w:p w14:paraId="4A32986F">
            <w:pPr>
              <w:spacing w:line="400" w:lineRule="exact"/>
              <w:jc w:val="center"/>
              <w:rPr>
                <w:rFonts w:ascii="宋体" w:hAnsi="宋体"/>
                <w:szCs w:val="21"/>
              </w:rPr>
            </w:pPr>
            <w:r>
              <w:rPr>
                <w:rFonts w:ascii="宋体" w:hAnsi="宋体"/>
                <w:szCs w:val="21"/>
              </w:rPr>
              <w:t>3</w:t>
            </w:r>
          </w:p>
        </w:tc>
        <w:tc>
          <w:tcPr>
            <w:tcW w:w="2004" w:type="dxa"/>
            <w:noWrap w:val="0"/>
            <w:vAlign w:val="center"/>
          </w:tcPr>
          <w:p w14:paraId="7A8EBA35">
            <w:pPr>
              <w:spacing w:line="400" w:lineRule="exact"/>
              <w:ind w:left="420"/>
              <w:rPr>
                <w:rFonts w:ascii="宋体" w:hAnsi="宋体"/>
                <w:szCs w:val="21"/>
              </w:rPr>
            </w:pPr>
          </w:p>
        </w:tc>
        <w:tc>
          <w:tcPr>
            <w:tcW w:w="2004" w:type="dxa"/>
            <w:noWrap w:val="0"/>
            <w:vAlign w:val="center"/>
          </w:tcPr>
          <w:p w14:paraId="420D497E">
            <w:pPr>
              <w:spacing w:line="400" w:lineRule="exact"/>
              <w:ind w:left="420"/>
              <w:rPr>
                <w:rFonts w:ascii="宋体" w:hAnsi="宋体"/>
                <w:szCs w:val="21"/>
              </w:rPr>
            </w:pPr>
          </w:p>
        </w:tc>
        <w:tc>
          <w:tcPr>
            <w:tcW w:w="2384" w:type="dxa"/>
            <w:noWrap w:val="0"/>
            <w:vAlign w:val="center"/>
          </w:tcPr>
          <w:p w14:paraId="77E99525">
            <w:pPr>
              <w:spacing w:line="400" w:lineRule="exact"/>
              <w:ind w:left="420"/>
              <w:rPr>
                <w:rFonts w:ascii="宋体" w:hAnsi="宋体"/>
                <w:szCs w:val="21"/>
              </w:rPr>
            </w:pPr>
          </w:p>
        </w:tc>
        <w:tc>
          <w:tcPr>
            <w:tcW w:w="1813" w:type="dxa"/>
            <w:noWrap w:val="0"/>
            <w:vAlign w:val="center"/>
          </w:tcPr>
          <w:p w14:paraId="241D76E7">
            <w:pPr>
              <w:spacing w:line="400" w:lineRule="exact"/>
              <w:ind w:left="420"/>
              <w:rPr>
                <w:rFonts w:ascii="宋体" w:hAnsi="宋体"/>
                <w:szCs w:val="21"/>
              </w:rPr>
            </w:pPr>
          </w:p>
        </w:tc>
      </w:tr>
      <w:tr w14:paraId="1AC4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239" w:type="dxa"/>
            <w:noWrap w:val="0"/>
            <w:vAlign w:val="center"/>
          </w:tcPr>
          <w:p w14:paraId="1024203D">
            <w:pPr>
              <w:spacing w:line="400" w:lineRule="exact"/>
              <w:jc w:val="center"/>
              <w:rPr>
                <w:rFonts w:ascii="宋体" w:hAnsi="宋体"/>
                <w:szCs w:val="21"/>
              </w:rPr>
            </w:pPr>
            <w:r>
              <w:rPr>
                <w:rFonts w:ascii="宋体" w:hAnsi="宋体"/>
                <w:szCs w:val="21"/>
              </w:rPr>
              <w:t>4</w:t>
            </w:r>
          </w:p>
        </w:tc>
        <w:tc>
          <w:tcPr>
            <w:tcW w:w="2004" w:type="dxa"/>
            <w:noWrap w:val="0"/>
            <w:vAlign w:val="center"/>
          </w:tcPr>
          <w:p w14:paraId="5601BCE5">
            <w:pPr>
              <w:spacing w:line="400" w:lineRule="exact"/>
              <w:ind w:left="420"/>
              <w:rPr>
                <w:rFonts w:ascii="宋体" w:hAnsi="宋体"/>
                <w:szCs w:val="21"/>
              </w:rPr>
            </w:pPr>
          </w:p>
        </w:tc>
        <w:tc>
          <w:tcPr>
            <w:tcW w:w="2004" w:type="dxa"/>
            <w:noWrap w:val="0"/>
            <w:vAlign w:val="center"/>
          </w:tcPr>
          <w:p w14:paraId="03BC7A01">
            <w:pPr>
              <w:spacing w:line="400" w:lineRule="exact"/>
              <w:ind w:left="420"/>
              <w:rPr>
                <w:rFonts w:ascii="宋体" w:hAnsi="宋体"/>
                <w:szCs w:val="21"/>
              </w:rPr>
            </w:pPr>
          </w:p>
        </w:tc>
        <w:tc>
          <w:tcPr>
            <w:tcW w:w="2384" w:type="dxa"/>
            <w:noWrap w:val="0"/>
            <w:vAlign w:val="center"/>
          </w:tcPr>
          <w:p w14:paraId="49BBDE33">
            <w:pPr>
              <w:spacing w:line="400" w:lineRule="exact"/>
              <w:ind w:left="420"/>
              <w:rPr>
                <w:rFonts w:ascii="宋体" w:hAnsi="宋体"/>
                <w:szCs w:val="21"/>
              </w:rPr>
            </w:pPr>
          </w:p>
        </w:tc>
        <w:tc>
          <w:tcPr>
            <w:tcW w:w="1813" w:type="dxa"/>
            <w:noWrap w:val="0"/>
            <w:vAlign w:val="center"/>
          </w:tcPr>
          <w:p w14:paraId="376D4250">
            <w:pPr>
              <w:spacing w:line="400" w:lineRule="exact"/>
              <w:ind w:left="420"/>
              <w:rPr>
                <w:rFonts w:ascii="宋体" w:hAnsi="宋体"/>
                <w:szCs w:val="21"/>
              </w:rPr>
            </w:pPr>
          </w:p>
        </w:tc>
      </w:tr>
      <w:tr w14:paraId="0C8ED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239" w:type="dxa"/>
            <w:noWrap w:val="0"/>
            <w:vAlign w:val="center"/>
          </w:tcPr>
          <w:p w14:paraId="52AB0A65">
            <w:pPr>
              <w:spacing w:line="400" w:lineRule="exact"/>
              <w:jc w:val="center"/>
              <w:rPr>
                <w:rFonts w:ascii="宋体" w:hAnsi="宋体"/>
                <w:szCs w:val="21"/>
              </w:rPr>
            </w:pPr>
            <w:r>
              <w:rPr>
                <w:rFonts w:ascii="宋体" w:hAnsi="宋体"/>
                <w:szCs w:val="21"/>
              </w:rPr>
              <w:t>5</w:t>
            </w:r>
          </w:p>
        </w:tc>
        <w:tc>
          <w:tcPr>
            <w:tcW w:w="2004" w:type="dxa"/>
            <w:noWrap w:val="0"/>
            <w:vAlign w:val="center"/>
          </w:tcPr>
          <w:p w14:paraId="20F2C2BA">
            <w:pPr>
              <w:spacing w:line="400" w:lineRule="exact"/>
              <w:ind w:left="420"/>
              <w:rPr>
                <w:rFonts w:ascii="宋体" w:hAnsi="宋体"/>
                <w:szCs w:val="21"/>
              </w:rPr>
            </w:pPr>
          </w:p>
        </w:tc>
        <w:tc>
          <w:tcPr>
            <w:tcW w:w="2004" w:type="dxa"/>
            <w:noWrap w:val="0"/>
            <w:vAlign w:val="center"/>
          </w:tcPr>
          <w:p w14:paraId="5746737E">
            <w:pPr>
              <w:spacing w:line="400" w:lineRule="exact"/>
              <w:ind w:left="420"/>
              <w:rPr>
                <w:rFonts w:ascii="宋体" w:hAnsi="宋体"/>
                <w:szCs w:val="21"/>
              </w:rPr>
            </w:pPr>
          </w:p>
        </w:tc>
        <w:tc>
          <w:tcPr>
            <w:tcW w:w="2384" w:type="dxa"/>
            <w:noWrap w:val="0"/>
            <w:vAlign w:val="center"/>
          </w:tcPr>
          <w:p w14:paraId="68100A15">
            <w:pPr>
              <w:spacing w:line="400" w:lineRule="exact"/>
              <w:ind w:left="420"/>
              <w:rPr>
                <w:rFonts w:ascii="宋体" w:hAnsi="宋体"/>
                <w:szCs w:val="21"/>
              </w:rPr>
            </w:pPr>
          </w:p>
        </w:tc>
        <w:tc>
          <w:tcPr>
            <w:tcW w:w="1813" w:type="dxa"/>
            <w:noWrap w:val="0"/>
            <w:vAlign w:val="center"/>
          </w:tcPr>
          <w:p w14:paraId="07884120">
            <w:pPr>
              <w:spacing w:line="400" w:lineRule="exact"/>
              <w:ind w:left="420"/>
              <w:rPr>
                <w:rFonts w:ascii="宋体" w:hAnsi="宋体"/>
                <w:szCs w:val="21"/>
              </w:rPr>
            </w:pPr>
          </w:p>
        </w:tc>
      </w:tr>
      <w:tr w14:paraId="277D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1239" w:type="dxa"/>
            <w:noWrap w:val="0"/>
            <w:vAlign w:val="center"/>
          </w:tcPr>
          <w:p w14:paraId="29661CD8">
            <w:pPr>
              <w:spacing w:line="400" w:lineRule="exact"/>
              <w:jc w:val="center"/>
              <w:rPr>
                <w:rFonts w:ascii="宋体" w:hAnsi="宋体"/>
                <w:szCs w:val="21"/>
              </w:rPr>
            </w:pPr>
            <w:r>
              <w:rPr>
                <w:rFonts w:ascii="宋体" w:hAnsi="宋体"/>
                <w:szCs w:val="21"/>
              </w:rPr>
              <w:t>…</w:t>
            </w:r>
          </w:p>
        </w:tc>
        <w:tc>
          <w:tcPr>
            <w:tcW w:w="2004" w:type="dxa"/>
            <w:noWrap w:val="0"/>
            <w:vAlign w:val="center"/>
          </w:tcPr>
          <w:p w14:paraId="1505D5EE">
            <w:pPr>
              <w:spacing w:line="400" w:lineRule="exact"/>
              <w:ind w:left="420"/>
              <w:rPr>
                <w:rFonts w:ascii="宋体" w:hAnsi="宋体"/>
                <w:szCs w:val="21"/>
              </w:rPr>
            </w:pPr>
          </w:p>
        </w:tc>
        <w:tc>
          <w:tcPr>
            <w:tcW w:w="2004" w:type="dxa"/>
            <w:noWrap w:val="0"/>
            <w:vAlign w:val="center"/>
          </w:tcPr>
          <w:p w14:paraId="5785A67B">
            <w:pPr>
              <w:spacing w:line="400" w:lineRule="exact"/>
              <w:ind w:left="420"/>
              <w:rPr>
                <w:rFonts w:ascii="宋体" w:hAnsi="宋体"/>
                <w:szCs w:val="21"/>
              </w:rPr>
            </w:pPr>
          </w:p>
        </w:tc>
        <w:tc>
          <w:tcPr>
            <w:tcW w:w="2384" w:type="dxa"/>
            <w:noWrap w:val="0"/>
            <w:vAlign w:val="center"/>
          </w:tcPr>
          <w:p w14:paraId="0FBFEB40">
            <w:pPr>
              <w:spacing w:line="400" w:lineRule="exact"/>
              <w:ind w:left="420"/>
              <w:rPr>
                <w:rFonts w:ascii="宋体" w:hAnsi="宋体"/>
                <w:szCs w:val="21"/>
              </w:rPr>
            </w:pPr>
          </w:p>
        </w:tc>
        <w:tc>
          <w:tcPr>
            <w:tcW w:w="1813" w:type="dxa"/>
            <w:noWrap w:val="0"/>
            <w:vAlign w:val="center"/>
          </w:tcPr>
          <w:p w14:paraId="3C0635EF">
            <w:pPr>
              <w:spacing w:line="400" w:lineRule="exact"/>
              <w:ind w:left="420"/>
              <w:rPr>
                <w:rFonts w:ascii="宋体" w:hAnsi="宋体"/>
                <w:szCs w:val="21"/>
              </w:rPr>
            </w:pPr>
          </w:p>
        </w:tc>
      </w:tr>
    </w:tbl>
    <w:p w14:paraId="399C4535">
      <w:pPr>
        <w:pStyle w:val="17"/>
        <w:spacing w:line="360" w:lineRule="auto"/>
        <w:ind w:firstLine="359"/>
        <w:jc w:val="left"/>
        <w:rPr>
          <w:rFonts w:hAnsi="宋体" w:eastAsia="宋体"/>
          <w:sz w:val="21"/>
          <w:szCs w:val="21"/>
        </w:rPr>
      </w:pPr>
      <w:bookmarkStart w:id="57" w:name="_Ref20849"/>
    </w:p>
    <w:p w14:paraId="19D76874">
      <w:pPr>
        <w:pStyle w:val="17"/>
        <w:spacing w:line="360" w:lineRule="auto"/>
        <w:ind w:firstLine="359"/>
        <w:jc w:val="left"/>
        <w:rPr>
          <w:rFonts w:hAnsi="宋体" w:eastAsia="宋体"/>
          <w:sz w:val="21"/>
          <w:szCs w:val="21"/>
        </w:rPr>
      </w:pPr>
      <w:r>
        <w:rPr>
          <w:rFonts w:hAnsi="宋体" w:eastAsia="宋体"/>
          <w:sz w:val="21"/>
          <w:szCs w:val="21"/>
        </w:rPr>
        <w:t>投标单位：（</w:t>
      </w:r>
      <w:r>
        <w:rPr>
          <w:rFonts w:hint="eastAsia" w:hAnsi="宋体" w:eastAsia="宋体"/>
          <w:sz w:val="21"/>
          <w:szCs w:val="21"/>
        </w:rPr>
        <w:t>单位盖章</w:t>
      </w:r>
      <w:r>
        <w:rPr>
          <w:rFonts w:hAnsi="宋体" w:eastAsia="宋体"/>
          <w:sz w:val="21"/>
          <w:szCs w:val="21"/>
        </w:rPr>
        <w:t>）</w:t>
      </w:r>
    </w:p>
    <w:p w14:paraId="2A631B27">
      <w:pPr>
        <w:pStyle w:val="17"/>
        <w:spacing w:line="360" w:lineRule="auto"/>
        <w:ind w:firstLine="359"/>
        <w:jc w:val="left"/>
        <w:rPr>
          <w:rFonts w:hAnsi="宋体" w:eastAsia="宋体"/>
          <w:sz w:val="21"/>
          <w:szCs w:val="21"/>
        </w:rPr>
      </w:pPr>
      <w:r>
        <w:rPr>
          <w:rFonts w:hAnsi="宋体" w:eastAsia="宋体"/>
          <w:sz w:val="21"/>
          <w:szCs w:val="21"/>
        </w:rPr>
        <w:t>法定代表人或授权委托人：（签字或盖章）</w:t>
      </w:r>
    </w:p>
    <w:p w14:paraId="3AE0755A">
      <w:pPr>
        <w:pStyle w:val="17"/>
        <w:spacing w:line="360" w:lineRule="auto"/>
        <w:ind w:firstLine="359"/>
        <w:jc w:val="left"/>
        <w:rPr>
          <w:rFonts w:hAnsi="宋体" w:eastAsia="宋体"/>
          <w:b/>
          <w:sz w:val="21"/>
          <w:szCs w:val="21"/>
        </w:rPr>
      </w:pPr>
      <w:r>
        <w:rPr>
          <w:rFonts w:hAnsi="宋体" w:eastAsia="宋体"/>
          <w:sz w:val="21"/>
          <w:szCs w:val="21"/>
        </w:rPr>
        <w:t>日期：</w:t>
      </w:r>
      <w:r>
        <w:rPr>
          <w:rFonts w:hint="eastAsia" w:hAnsi="宋体" w:eastAsia="宋体"/>
          <w:sz w:val="21"/>
          <w:szCs w:val="21"/>
        </w:rPr>
        <w:t xml:space="preserve">      </w:t>
      </w:r>
      <w:r>
        <w:rPr>
          <w:rFonts w:hAnsi="宋体" w:eastAsia="宋体"/>
          <w:sz w:val="21"/>
          <w:szCs w:val="21"/>
        </w:rPr>
        <w:t>年</w:t>
      </w:r>
      <w:r>
        <w:rPr>
          <w:rFonts w:hint="eastAsia" w:hAnsi="宋体" w:eastAsia="宋体"/>
          <w:sz w:val="21"/>
          <w:szCs w:val="21"/>
        </w:rPr>
        <w:t xml:space="preserve">  </w:t>
      </w:r>
      <w:r>
        <w:rPr>
          <w:rFonts w:hAnsi="宋体" w:eastAsia="宋体"/>
          <w:sz w:val="21"/>
          <w:szCs w:val="21"/>
        </w:rPr>
        <w:t>月</w:t>
      </w:r>
      <w:r>
        <w:rPr>
          <w:rFonts w:hint="eastAsia" w:hAnsi="宋体" w:eastAsia="宋体"/>
          <w:sz w:val="21"/>
          <w:szCs w:val="21"/>
        </w:rPr>
        <w:t xml:space="preserve">  </w:t>
      </w:r>
      <w:r>
        <w:rPr>
          <w:rFonts w:hAnsi="宋体" w:eastAsia="宋体"/>
          <w:sz w:val="21"/>
          <w:szCs w:val="21"/>
        </w:rPr>
        <w:t>日</w:t>
      </w:r>
    </w:p>
    <w:p w14:paraId="452997F9">
      <w:pPr>
        <w:rPr>
          <w:rFonts w:ascii="宋体" w:hAnsi="宋体" w:cs="宋体"/>
        </w:rPr>
      </w:pPr>
      <w:r>
        <w:rPr>
          <w:rFonts w:hint="eastAsia" w:ascii="宋体" w:hAnsi="宋体" w:cs="宋体"/>
        </w:rPr>
        <w:br w:type="page" w:clear="all"/>
      </w:r>
    </w:p>
    <w:p w14:paraId="2492F66A">
      <w:pPr>
        <w:pStyle w:val="6"/>
        <w:rPr>
          <w:rFonts w:ascii="宋体" w:hAnsi="宋体" w:eastAsia="宋体" w:cs="宋体"/>
        </w:rPr>
      </w:pPr>
      <w:bookmarkStart w:id="58" w:name="_Ref5350"/>
      <w:r>
        <w:rPr>
          <w:rFonts w:hint="eastAsia" w:ascii="宋体" w:hAnsi="宋体" w:eastAsia="宋体" w:cs="宋体"/>
        </w:rPr>
        <w:t>十二、中小企业声明函</w:t>
      </w:r>
      <w:bookmarkEnd w:id="58"/>
    </w:p>
    <w:p w14:paraId="3A73947D">
      <w:pPr>
        <w:pStyle w:val="20"/>
        <w:spacing w:line="360" w:lineRule="auto"/>
        <w:ind w:right="-210"/>
        <w:jc w:val="center"/>
        <w:rPr>
          <w:rFonts w:hint="default" w:hAnsi="宋体" w:eastAsia="宋体"/>
          <w:sz w:val="21"/>
          <w:szCs w:val="21"/>
        </w:rPr>
      </w:pPr>
      <w:r>
        <w:rPr>
          <w:rFonts w:hAnsi="宋体" w:eastAsia="宋体"/>
          <w:sz w:val="21"/>
          <w:szCs w:val="21"/>
        </w:rPr>
        <w:t>中小企业声明函（服务）</w:t>
      </w:r>
    </w:p>
    <w:p w14:paraId="18607EEB">
      <w:pPr>
        <w:pStyle w:val="20"/>
        <w:spacing w:line="360" w:lineRule="auto"/>
        <w:ind w:firstLine="420"/>
        <w:rPr>
          <w:rFonts w:hint="default" w:hAnsi="宋体" w:eastAsia="宋体"/>
          <w:sz w:val="21"/>
          <w:szCs w:val="21"/>
        </w:rPr>
      </w:pPr>
      <w:r>
        <w:rPr>
          <w:rFonts w:hAnsi="宋体" w:eastAsia="宋体"/>
          <w:sz w:val="21"/>
          <w:szCs w:val="21"/>
        </w:rPr>
        <w:t>本公司（联合体）郑重声明，根据《政府采购促进中小企业发展管理办法》（财库[2020]46号）的规定，本公司（联合体）参加</w:t>
      </w:r>
      <w:r>
        <w:rPr>
          <w:rFonts w:hAnsi="宋体" w:eastAsia="宋体"/>
          <w:sz w:val="21"/>
          <w:szCs w:val="21"/>
          <w:u w:val="single"/>
        </w:rPr>
        <w:t>（单位名称）</w:t>
      </w:r>
      <w:r>
        <w:rPr>
          <w:rFonts w:hAnsi="宋体" w:eastAsia="宋体"/>
          <w:sz w:val="21"/>
          <w:szCs w:val="21"/>
        </w:rPr>
        <w:t>的</w:t>
      </w:r>
      <w:r>
        <w:rPr>
          <w:rFonts w:hAnsi="宋体" w:eastAsia="宋体"/>
          <w:sz w:val="21"/>
          <w:szCs w:val="21"/>
          <w:u w:val="single"/>
        </w:rPr>
        <w:t>（项目名称）（标段号）</w:t>
      </w:r>
      <w:r>
        <w:rPr>
          <w:rFonts w:hAnsi="宋体" w:eastAsia="宋体"/>
          <w:sz w:val="21"/>
          <w:szCs w:val="21"/>
        </w:rPr>
        <w:t xml:space="preserve">采购活动，服务全部由符合政策要求的中小企业承接。根据《工业和信息化部、国家统计局、国家发展和改革委员会、财政部关于印发中小企业划型标准规定的通知》(工信部联企业[2011]300号)的规定，相关企业（含联合体中的中小企业、签订分包意向协议的中小企业）的具体情况如下： </w:t>
      </w:r>
    </w:p>
    <w:p w14:paraId="0D1A9AB2">
      <w:pPr>
        <w:spacing w:line="360" w:lineRule="auto"/>
        <w:ind w:firstLine="420"/>
        <w:rPr>
          <w:rFonts w:ascii="宋体" w:hAnsi="宋体"/>
        </w:rPr>
      </w:pPr>
      <w:r>
        <w:rPr>
          <w:rFonts w:ascii="宋体" w:hAnsi="宋体"/>
          <w:szCs w:val="21"/>
        </w:rPr>
        <w:t>1.</w:t>
      </w:r>
      <w:r>
        <w:rPr>
          <w:rFonts w:ascii="宋体" w:hAnsi="宋体"/>
          <w:u w:val="single"/>
        </w:rPr>
        <w:t>（标的名称）</w:t>
      </w:r>
      <w:r>
        <w:rPr>
          <w:rFonts w:ascii="宋体" w:hAnsi="宋体"/>
        </w:rPr>
        <w:t>，属于</w:t>
      </w:r>
      <w:r>
        <w:rPr>
          <w:rFonts w:ascii="宋体" w:hAnsi="宋体"/>
          <w:u w:val="single"/>
        </w:rPr>
        <w:t>（</w:t>
      </w:r>
      <w:r>
        <w:rPr>
          <w:rFonts w:hint="eastAsia" w:ascii="宋体" w:hAnsi="宋体"/>
          <w:u w:val="single"/>
        </w:rPr>
        <w:t>招标文件</w:t>
      </w:r>
      <w:r>
        <w:rPr>
          <w:rFonts w:ascii="宋体" w:hAnsi="宋体"/>
          <w:u w:val="single"/>
        </w:rPr>
        <w:t>中明确的所属行业）</w:t>
      </w:r>
      <w:r>
        <w:rPr>
          <w:rFonts w:ascii="宋体" w:hAnsi="宋体"/>
        </w:rPr>
        <w:t>；</w:t>
      </w:r>
      <w:r>
        <w:rPr>
          <w:rFonts w:hint="eastAsia" w:ascii="宋体" w:hAnsi="宋体"/>
        </w:rPr>
        <w:t>承建（承接）企业</w:t>
      </w:r>
      <w:r>
        <w:rPr>
          <w:rFonts w:ascii="宋体" w:hAnsi="宋体"/>
        </w:rPr>
        <w:t>为</w:t>
      </w:r>
      <w:r>
        <w:rPr>
          <w:rFonts w:ascii="宋体" w:hAnsi="宋体"/>
          <w:u w:val="single"/>
        </w:rPr>
        <w:t>（企业名称）</w:t>
      </w:r>
      <w:r>
        <w:rPr>
          <w:rFonts w:ascii="宋体" w:hAnsi="宋体"/>
        </w:rPr>
        <w:t>，从业人员</w:t>
      </w:r>
      <w:r>
        <w:rPr>
          <w:rFonts w:ascii="宋体" w:hAnsi="宋体"/>
          <w:u w:val="single"/>
        </w:rPr>
        <w:t xml:space="preserve">   </w:t>
      </w:r>
      <w:r>
        <w:rPr>
          <w:rFonts w:ascii="宋体" w:hAnsi="宋体"/>
        </w:rPr>
        <w:t>人，营业收入为</w:t>
      </w:r>
      <w:r>
        <w:rPr>
          <w:rFonts w:ascii="宋体" w:hAnsi="宋体"/>
          <w:u w:val="single"/>
        </w:rPr>
        <w:t xml:space="preserve">   </w:t>
      </w:r>
      <w:r>
        <w:rPr>
          <w:rFonts w:ascii="宋体" w:hAnsi="宋体"/>
        </w:rPr>
        <w:t>万元，资产总额为</w:t>
      </w:r>
      <w:r>
        <w:rPr>
          <w:rFonts w:ascii="宋体" w:hAnsi="宋体"/>
          <w:u w:val="single"/>
        </w:rPr>
        <w:t xml:space="preserve">   </w:t>
      </w:r>
      <w:r>
        <w:rPr>
          <w:rFonts w:ascii="宋体" w:hAnsi="宋体"/>
        </w:rPr>
        <w:t>万元</w:t>
      </w:r>
      <w:r>
        <w:rPr>
          <w:rFonts w:hint="eastAsia" w:ascii="宋体" w:hAnsi="宋体"/>
        </w:rPr>
        <w:t>，</w:t>
      </w:r>
      <w:r>
        <w:rPr>
          <w:rFonts w:ascii="宋体" w:hAnsi="宋体"/>
        </w:rPr>
        <w:t>属于</w:t>
      </w:r>
      <w:r>
        <w:rPr>
          <w:rFonts w:ascii="宋体" w:hAnsi="宋体"/>
          <w:u w:val="single"/>
        </w:rPr>
        <w:t>（中型企业、小 型企业、微型企业）</w:t>
      </w:r>
      <w:r>
        <w:rPr>
          <w:rFonts w:ascii="宋体" w:hAnsi="宋体"/>
        </w:rPr>
        <w:t>；</w:t>
      </w:r>
    </w:p>
    <w:p w14:paraId="5943D096">
      <w:pPr>
        <w:spacing w:line="360" w:lineRule="auto"/>
        <w:ind w:firstLine="420"/>
        <w:rPr>
          <w:rFonts w:ascii="宋体" w:hAnsi="宋体"/>
        </w:rPr>
      </w:pPr>
      <w:r>
        <w:rPr>
          <w:rFonts w:ascii="宋体" w:hAnsi="宋体"/>
          <w:szCs w:val="21"/>
        </w:rPr>
        <w:t>2.</w:t>
      </w:r>
      <w:r>
        <w:rPr>
          <w:rFonts w:ascii="宋体" w:hAnsi="宋体"/>
          <w:u w:val="single"/>
        </w:rPr>
        <w:t xml:space="preserve"> （标的名称）</w:t>
      </w:r>
      <w:r>
        <w:rPr>
          <w:rFonts w:ascii="宋体" w:hAnsi="宋体"/>
        </w:rPr>
        <w:t>，属于</w:t>
      </w:r>
      <w:r>
        <w:rPr>
          <w:rFonts w:ascii="宋体" w:hAnsi="宋体"/>
          <w:u w:val="single"/>
        </w:rPr>
        <w:t>（</w:t>
      </w:r>
      <w:r>
        <w:rPr>
          <w:rFonts w:hint="eastAsia" w:ascii="宋体" w:hAnsi="宋体"/>
          <w:u w:val="single"/>
        </w:rPr>
        <w:t>招标文件</w:t>
      </w:r>
      <w:r>
        <w:rPr>
          <w:rFonts w:ascii="宋体" w:hAnsi="宋体"/>
          <w:u w:val="single"/>
        </w:rPr>
        <w:t>中明确的所属行业）</w:t>
      </w:r>
      <w:r>
        <w:rPr>
          <w:rFonts w:ascii="宋体" w:hAnsi="宋体"/>
        </w:rPr>
        <w:t>；</w:t>
      </w:r>
      <w:r>
        <w:rPr>
          <w:rFonts w:hint="eastAsia" w:ascii="宋体" w:hAnsi="宋体"/>
        </w:rPr>
        <w:t>承建（承接）企业</w:t>
      </w:r>
      <w:r>
        <w:rPr>
          <w:rFonts w:ascii="宋体" w:hAnsi="宋体"/>
        </w:rPr>
        <w:t>为</w:t>
      </w:r>
      <w:r>
        <w:rPr>
          <w:rFonts w:ascii="宋体" w:hAnsi="宋体"/>
          <w:u w:val="single"/>
        </w:rPr>
        <w:t>（企业名称）</w:t>
      </w:r>
      <w:r>
        <w:rPr>
          <w:rFonts w:ascii="宋体" w:hAnsi="宋体"/>
        </w:rPr>
        <w:t>，从业人员</w:t>
      </w:r>
      <w:r>
        <w:rPr>
          <w:rFonts w:ascii="宋体" w:hAnsi="宋体"/>
          <w:u w:val="single"/>
        </w:rPr>
        <w:t xml:space="preserve">   </w:t>
      </w:r>
      <w:r>
        <w:rPr>
          <w:rFonts w:ascii="宋体" w:hAnsi="宋体"/>
        </w:rPr>
        <w:t>人，营业收入为</w:t>
      </w:r>
      <w:r>
        <w:rPr>
          <w:rFonts w:ascii="宋体" w:hAnsi="宋体"/>
          <w:u w:val="single"/>
        </w:rPr>
        <w:t xml:space="preserve">   </w:t>
      </w:r>
      <w:r>
        <w:rPr>
          <w:rFonts w:ascii="宋体" w:hAnsi="宋体"/>
        </w:rPr>
        <w:t>万元，资产总额为</w:t>
      </w:r>
      <w:r>
        <w:rPr>
          <w:rFonts w:ascii="宋体" w:hAnsi="宋体"/>
          <w:u w:val="single"/>
        </w:rPr>
        <w:t xml:space="preserve">   </w:t>
      </w:r>
      <w:r>
        <w:rPr>
          <w:rFonts w:ascii="宋体" w:hAnsi="宋体"/>
        </w:rPr>
        <w:t>万元</w:t>
      </w:r>
      <w:r>
        <w:rPr>
          <w:rFonts w:hint="eastAsia" w:ascii="宋体" w:hAnsi="宋体"/>
        </w:rPr>
        <w:t>，</w:t>
      </w:r>
      <w:r>
        <w:rPr>
          <w:rFonts w:ascii="宋体" w:hAnsi="宋体"/>
        </w:rPr>
        <w:t>属于</w:t>
      </w:r>
      <w:r>
        <w:rPr>
          <w:rFonts w:ascii="宋体" w:hAnsi="宋体"/>
          <w:u w:val="single"/>
        </w:rPr>
        <w:t>（中型企业、小 型企业、微型企业）</w:t>
      </w:r>
      <w:r>
        <w:rPr>
          <w:rFonts w:ascii="宋体" w:hAnsi="宋体"/>
        </w:rPr>
        <w:t>；</w:t>
      </w:r>
    </w:p>
    <w:p w14:paraId="1020C023">
      <w:pPr>
        <w:spacing w:line="360" w:lineRule="auto"/>
        <w:ind w:firstLine="420"/>
        <w:rPr>
          <w:rFonts w:ascii="宋体" w:hAnsi="宋体"/>
        </w:rPr>
      </w:pPr>
      <w:r>
        <w:rPr>
          <w:rFonts w:hint="eastAsia" w:ascii="宋体" w:hAnsi="宋体"/>
        </w:rPr>
        <w:t>……</w:t>
      </w:r>
    </w:p>
    <w:p w14:paraId="55623713">
      <w:pPr>
        <w:pStyle w:val="20"/>
        <w:spacing w:line="360" w:lineRule="auto"/>
        <w:ind w:firstLine="420"/>
        <w:rPr>
          <w:rFonts w:hint="default" w:hAnsi="宋体" w:eastAsia="宋体"/>
          <w:sz w:val="21"/>
          <w:szCs w:val="21"/>
        </w:rPr>
      </w:pPr>
      <w:r>
        <w:rPr>
          <w:rFonts w:hAnsi="宋体" w:eastAsia="宋体"/>
          <w:sz w:val="21"/>
          <w:szCs w:val="21"/>
        </w:rPr>
        <w:t>以上企业，不属于大企业的分支机构，不存在控股股东为大企业的情形，也不存在与大企业的负责人为同一人的情形。</w:t>
      </w:r>
    </w:p>
    <w:p w14:paraId="138D9757">
      <w:pPr>
        <w:pStyle w:val="20"/>
        <w:spacing w:line="360" w:lineRule="auto"/>
        <w:ind w:firstLine="420"/>
        <w:rPr>
          <w:rFonts w:hint="default" w:hAnsi="宋体" w:eastAsia="宋体"/>
          <w:sz w:val="21"/>
          <w:szCs w:val="21"/>
        </w:rPr>
      </w:pPr>
      <w:r>
        <w:rPr>
          <w:rFonts w:hAnsi="宋体" w:eastAsia="宋体"/>
          <w:sz w:val="21"/>
          <w:szCs w:val="21"/>
        </w:rPr>
        <w:t>本企业对上述声明内容的真实性负责。如有虚假，将依法承担相应责任。</w:t>
      </w:r>
    </w:p>
    <w:p w14:paraId="02ECBA83">
      <w:pPr>
        <w:pStyle w:val="17"/>
        <w:spacing w:line="360" w:lineRule="auto"/>
        <w:ind w:firstLine="5817"/>
        <w:rPr>
          <w:rFonts w:hAnsi="宋体" w:eastAsia="宋体"/>
          <w:sz w:val="21"/>
          <w:szCs w:val="21"/>
        </w:rPr>
      </w:pPr>
    </w:p>
    <w:p w14:paraId="4721836E">
      <w:pPr>
        <w:pStyle w:val="17"/>
        <w:spacing w:line="360" w:lineRule="auto"/>
        <w:ind w:left="210"/>
        <w:rPr>
          <w:rFonts w:hAnsi="宋体" w:eastAsia="宋体"/>
          <w:sz w:val="21"/>
          <w:szCs w:val="21"/>
        </w:rPr>
      </w:pPr>
      <w:r>
        <w:rPr>
          <w:rFonts w:hAnsi="宋体" w:eastAsia="宋体"/>
          <w:sz w:val="21"/>
          <w:szCs w:val="21"/>
        </w:rPr>
        <w:t>投标单位：（</w:t>
      </w:r>
      <w:r>
        <w:rPr>
          <w:rFonts w:hint="eastAsia" w:hAnsi="宋体" w:eastAsia="宋体"/>
          <w:sz w:val="21"/>
          <w:szCs w:val="21"/>
        </w:rPr>
        <w:t>单位盖章</w:t>
      </w:r>
      <w:r>
        <w:rPr>
          <w:rFonts w:hAnsi="宋体" w:eastAsia="宋体"/>
          <w:sz w:val="21"/>
          <w:szCs w:val="21"/>
        </w:rPr>
        <w:t>）</w:t>
      </w:r>
    </w:p>
    <w:p w14:paraId="244655BB">
      <w:pPr>
        <w:pStyle w:val="17"/>
        <w:spacing w:line="360" w:lineRule="auto"/>
        <w:ind w:left="210"/>
        <w:rPr>
          <w:rFonts w:hAnsi="宋体" w:eastAsia="宋体"/>
          <w:sz w:val="21"/>
          <w:szCs w:val="21"/>
        </w:rPr>
      </w:pPr>
      <w:r>
        <w:rPr>
          <w:rFonts w:hAnsi="宋体" w:eastAsia="宋体"/>
          <w:sz w:val="21"/>
          <w:szCs w:val="21"/>
        </w:rPr>
        <w:t>法定代表人或授权委托人：（签字或盖章）</w:t>
      </w:r>
    </w:p>
    <w:p w14:paraId="2DD889A2">
      <w:pPr>
        <w:pStyle w:val="17"/>
        <w:spacing w:line="360" w:lineRule="auto"/>
        <w:ind w:left="210"/>
        <w:rPr>
          <w:rFonts w:hAnsi="宋体" w:eastAsia="宋体"/>
          <w:b/>
          <w:sz w:val="21"/>
          <w:szCs w:val="21"/>
        </w:rPr>
      </w:pPr>
      <w:r>
        <w:rPr>
          <w:rFonts w:hAnsi="宋体" w:eastAsia="宋体"/>
          <w:sz w:val="21"/>
          <w:szCs w:val="21"/>
        </w:rPr>
        <w:t>日期：</w:t>
      </w:r>
      <w:r>
        <w:rPr>
          <w:rFonts w:hint="eastAsia" w:hAnsi="宋体" w:eastAsia="宋体"/>
          <w:sz w:val="21"/>
          <w:szCs w:val="21"/>
        </w:rPr>
        <w:t xml:space="preserve">      </w:t>
      </w:r>
      <w:r>
        <w:rPr>
          <w:rFonts w:hAnsi="宋体" w:eastAsia="宋体"/>
          <w:sz w:val="21"/>
          <w:szCs w:val="21"/>
        </w:rPr>
        <w:t>年</w:t>
      </w:r>
      <w:r>
        <w:rPr>
          <w:rFonts w:hint="eastAsia" w:hAnsi="宋体" w:eastAsia="宋体"/>
          <w:sz w:val="21"/>
          <w:szCs w:val="21"/>
        </w:rPr>
        <w:t xml:space="preserve">  </w:t>
      </w:r>
      <w:r>
        <w:rPr>
          <w:rFonts w:hAnsi="宋体" w:eastAsia="宋体"/>
          <w:sz w:val="21"/>
          <w:szCs w:val="21"/>
        </w:rPr>
        <w:t>月</w:t>
      </w:r>
      <w:r>
        <w:rPr>
          <w:rFonts w:hint="eastAsia" w:hAnsi="宋体" w:eastAsia="宋体"/>
          <w:sz w:val="21"/>
          <w:szCs w:val="21"/>
        </w:rPr>
        <w:t xml:space="preserve">  </w:t>
      </w:r>
      <w:r>
        <w:rPr>
          <w:rFonts w:hAnsi="宋体" w:eastAsia="宋体"/>
          <w:sz w:val="21"/>
          <w:szCs w:val="21"/>
        </w:rPr>
        <w:t>日</w:t>
      </w:r>
    </w:p>
    <w:p w14:paraId="66064CD6">
      <w:pPr>
        <w:pStyle w:val="20"/>
        <w:spacing w:line="360" w:lineRule="auto"/>
        <w:ind w:firstLine="420"/>
        <w:rPr>
          <w:rFonts w:hint="default" w:hAnsi="宋体" w:eastAsia="宋体"/>
          <w:sz w:val="21"/>
          <w:szCs w:val="21"/>
        </w:rPr>
      </w:pPr>
    </w:p>
    <w:p w14:paraId="1F31AC22">
      <w:pPr>
        <w:pStyle w:val="20"/>
        <w:spacing w:line="360" w:lineRule="auto"/>
        <w:ind w:firstLine="420"/>
        <w:rPr>
          <w:rFonts w:hint="default" w:hAnsi="宋体" w:eastAsia="宋体"/>
          <w:sz w:val="21"/>
          <w:szCs w:val="21"/>
        </w:rPr>
      </w:pPr>
    </w:p>
    <w:p w14:paraId="29E8F78C">
      <w:pPr>
        <w:pStyle w:val="20"/>
        <w:spacing w:line="360" w:lineRule="auto"/>
        <w:ind w:firstLine="420"/>
        <w:rPr>
          <w:rFonts w:hint="default" w:hAnsi="宋体" w:eastAsia="宋体"/>
          <w:sz w:val="21"/>
          <w:szCs w:val="21"/>
        </w:rPr>
      </w:pPr>
      <w:r>
        <w:rPr>
          <w:rFonts w:hAnsi="宋体" w:eastAsia="宋体"/>
          <w:sz w:val="21"/>
          <w:szCs w:val="21"/>
        </w:rPr>
        <w:t>注：</w:t>
      </w:r>
    </w:p>
    <w:p w14:paraId="54F9CFE2">
      <w:pPr>
        <w:pStyle w:val="20"/>
        <w:spacing w:line="360" w:lineRule="auto"/>
        <w:ind w:firstLine="420"/>
        <w:rPr>
          <w:rFonts w:hint="default" w:hAnsi="宋体" w:eastAsia="宋体"/>
          <w:sz w:val="21"/>
          <w:szCs w:val="21"/>
        </w:rPr>
      </w:pPr>
      <w:r>
        <w:rPr>
          <w:rFonts w:hAnsi="宋体" w:eastAsia="宋体"/>
          <w:sz w:val="21"/>
          <w:szCs w:val="21"/>
        </w:rPr>
        <w:t>1.从业人员、营业收入、资产总额填报上一年度数据，无上一年度数据的新成立企业可不填报。</w:t>
      </w:r>
    </w:p>
    <w:p w14:paraId="49947AD0">
      <w:pPr>
        <w:pStyle w:val="20"/>
        <w:spacing w:line="360" w:lineRule="auto"/>
        <w:rPr>
          <w:rFonts w:hint="default" w:hAnsi="宋体" w:eastAsia="宋体"/>
          <w:sz w:val="21"/>
          <w:szCs w:val="21"/>
        </w:rPr>
      </w:pPr>
      <w:r>
        <w:rPr>
          <w:rFonts w:hAnsi="宋体" w:eastAsia="宋体"/>
          <w:sz w:val="21"/>
          <w:szCs w:val="21"/>
        </w:rPr>
        <w:t xml:space="preserve">    2.本次采购项目所属行业为</w:t>
      </w:r>
      <w:r>
        <w:rPr>
          <w:rFonts w:hAnsi="宋体" w:eastAsia="宋体"/>
          <w:b/>
          <w:bCs/>
          <w:sz w:val="21"/>
          <w:szCs w:val="21"/>
          <w:u w:val="single"/>
        </w:rPr>
        <w:t>其他未列明行业</w:t>
      </w:r>
      <w:r>
        <w:rPr>
          <w:rFonts w:hAnsi="宋体" w:eastAsia="宋体"/>
          <w:sz w:val="21"/>
          <w:szCs w:val="21"/>
        </w:rPr>
        <w:t>。中小微企业划型标准请根据《中小企业划型标准规定》（工信部联企业〔2011〕300号）。投标人提供的承诺函须按本项目规定行业填写，否则其声明函不予认可。</w:t>
      </w:r>
    </w:p>
    <w:p w14:paraId="53928031">
      <w:pPr>
        <w:pStyle w:val="20"/>
        <w:spacing w:line="360" w:lineRule="auto"/>
        <w:jc w:val="center"/>
        <w:rPr>
          <w:rFonts w:hint="default" w:hAnsi="宋体" w:eastAsia="宋体"/>
          <w:bCs/>
          <w:sz w:val="21"/>
          <w:szCs w:val="21"/>
        </w:rPr>
      </w:pPr>
      <w:r>
        <w:rPr>
          <w:rFonts w:hAnsi="宋体" w:eastAsia="宋体"/>
          <w:bCs/>
          <w:sz w:val="21"/>
          <w:szCs w:val="21"/>
        </w:rPr>
        <w:t>中小企业划型标准规定</w:t>
      </w:r>
    </w:p>
    <w:p w14:paraId="66FB1E88">
      <w:pPr>
        <w:pStyle w:val="20"/>
        <w:spacing w:line="360" w:lineRule="auto"/>
        <w:rPr>
          <w:rFonts w:hint="default" w:hAnsi="宋体" w:eastAsia="宋体"/>
          <w:bCs/>
          <w:sz w:val="21"/>
          <w:szCs w:val="21"/>
        </w:rPr>
      </w:pPr>
      <w:r>
        <w:rPr>
          <w:rFonts w:hAnsi="宋体" w:eastAsia="宋体"/>
          <w:bCs/>
          <w:sz w:val="21"/>
          <w:szCs w:val="21"/>
        </w:rPr>
        <w:t>　　一、根据《中华人民共和国中小企业促进法》和《国务院关于进一步促进中小企业发展的若干意见》（国发〔2009〕36号），制定本规定。</w:t>
      </w:r>
      <w:r>
        <w:rPr>
          <w:rFonts w:hAnsi="宋体" w:eastAsia="宋体"/>
          <w:bCs/>
          <w:sz w:val="21"/>
          <w:szCs w:val="21"/>
        </w:rPr>
        <w:br w:type="textWrapping" w:clear="all"/>
      </w:r>
      <w:r>
        <w:rPr>
          <w:rFonts w:hAnsi="宋体" w:eastAsia="宋体"/>
          <w:bCs/>
          <w:sz w:val="21"/>
          <w:szCs w:val="21"/>
        </w:rPr>
        <w:t>　　二、中小企业划分为中型、小型、微型三种类型，具体标准根据企业从业人员、营业收入、资产总额等指标，结合行业特点制定。</w:t>
      </w:r>
      <w:r>
        <w:rPr>
          <w:rFonts w:hAnsi="宋体" w:eastAsia="宋体"/>
          <w:bCs/>
          <w:sz w:val="21"/>
          <w:szCs w:val="21"/>
        </w:rPr>
        <w:br w:type="textWrapping" w:clear="all"/>
      </w:r>
      <w:r>
        <w:rPr>
          <w:rFonts w:hAnsi="宋体" w:eastAsia="宋体"/>
          <w:bCs/>
          <w:sz w:val="21"/>
          <w:szCs w:val="21"/>
        </w:rPr>
        <w:t>　　三、本规定适用的行业包括：农、林、牧、渔业，工业（包括采矿业，制造业，电力、热力、燃气及水生产和供应业），建筑业，批发业，零售业，交通运输业（不含铁路运输业），仓储业，邮政业，住宿业，其他未列明行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eastAsia="宋体"/>
          <w:bCs/>
          <w:sz w:val="21"/>
          <w:szCs w:val="21"/>
        </w:rPr>
        <w:br w:type="textWrapping" w:clear="all"/>
      </w:r>
      <w:r>
        <w:rPr>
          <w:rFonts w:hAnsi="宋体" w:eastAsia="宋体"/>
          <w:bCs/>
          <w:sz w:val="21"/>
          <w:szCs w:val="21"/>
        </w:rPr>
        <w:t>　　四、各行业划型标准为：</w:t>
      </w:r>
      <w:r>
        <w:rPr>
          <w:rFonts w:hAnsi="宋体" w:eastAsia="宋体"/>
          <w:bCs/>
          <w:sz w:val="21"/>
          <w:szCs w:val="21"/>
        </w:rPr>
        <w:br w:type="textWrapping" w:clear="all"/>
      </w:r>
      <w:r>
        <w:rPr>
          <w:rFonts w:hAnsi="宋体" w:eastAsia="宋体"/>
          <w:bCs/>
          <w:sz w:val="21"/>
          <w:szCs w:val="21"/>
        </w:rPr>
        <w:t>　　（一）农、林、牧、渔业。营业收入20000万元以下的为中小微型企业。其中，营业收入500万元及以上的为中型企业，营业收入50万元及以上的为小型企业，营业收入50万元以下的为微型企业。</w:t>
      </w:r>
      <w:r>
        <w:rPr>
          <w:rFonts w:hAnsi="宋体" w:eastAsia="宋体"/>
          <w:bCs/>
          <w:sz w:val="21"/>
          <w:szCs w:val="21"/>
        </w:rPr>
        <w:br w:type="textWrapping" w:clear="all"/>
      </w:r>
      <w:r>
        <w:rPr>
          <w:rFonts w:hAnsi="宋体" w:eastAsia="宋体"/>
          <w:bCs/>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eastAsia="宋体"/>
          <w:bCs/>
          <w:sz w:val="21"/>
          <w:szCs w:val="21"/>
        </w:rPr>
        <w:br w:type="textWrapping" w:clear="all"/>
      </w:r>
      <w:r>
        <w:rPr>
          <w:rFonts w:hAnsi="宋体" w:eastAsia="宋体"/>
          <w:bCs/>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eastAsia="宋体"/>
          <w:bCs/>
          <w:sz w:val="21"/>
          <w:szCs w:val="21"/>
        </w:rPr>
        <w:br w:type="textWrapping" w:clear="all"/>
      </w:r>
      <w:r>
        <w:rPr>
          <w:rFonts w:hAnsi="宋体" w:eastAsia="宋体"/>
          <w:bCs/>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eastAsia="宋体"/>
          <w:bCs/>
          <w:sz w:val="21"/>
          <w:szCs w:val="21"/>
        </w:rPr>
        <w:br w:type="textWrapping" w:clear="all"/>
      </w:r>
      <w:r>
        <w:rPr>
          <w:rFonts w:hAnsi="宋体" w:eastAsia="宋体"/>
          <w:bCs/>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eastAsia="宋体"/>
          <w:bCs/>
          <w:sz w:val="21"/>
          <w:szCs w:val="21"/>
        </w:rPr>
        <w:br w:type="textWrapping" w:clear="all"/>
      </w:r>
      <w:r>
        <w:rPr>
          <w:rFonts w:hAnsi="宋体" w:eastAsia="宋体"/>
          <w:bCs/>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eastAsia="宋体"/>
          <w:bCs/>
          <w:sz w:val="21"/>
          <w:szCs w:val="21"/>
        </w:rPr>
        <w:br w:type="textWrapping" w:clear="all"/>
      </w:r>
      <w:r>
        <w:rPr>
          <w:rFonts w:hAnsi="宋体" w:eastAsia="宋体"/>
          <w:bCs/>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eastAsia="宋体"/>
          <w:bCs/>
          <w:sz w:val="21"/>
          <w:szCs w:val="21"/>
        </w:rPr>
        <w:br w:type="textWrapping" w:clear="all"/>
      </w:r>
      <w:r>
        <w:rPr>
          <w:rFonts w:hAnsi="宋体" w:eastAsia="宋体"/>
          <w:bCs/>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eastAsia="宋体"/>
          <w:bCs/>
          <w:sz w:val="21"/>
          <w:szCs w:val="21"/>
        </w:rPr>
        <w:br w:type="textWrapping" w:clear="all"/>
      </w:r>
      <w:r>
        <w:rPr>
          <w:rFonts w:hAnsi="宋体" w:eastAsia="宋体"/>
          <w:bCs/>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eastAsia="宋体"/>
          <w:bCs/>
          <w:sz w:val="21"/>
          <w:szCs w:val="21"/>
        </w:rPr>
        <w:br w:type="textWrapping" w:clear="all"/>
      </w:r>
      <w:r>
        <w:rPr>
          <w:rFonts w:hAnsi="宋体" w:eastAsia="宋体"/>
          <w:bCs/>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eastAsia="宋体"/>
          <w:bCs/>
          <w:sz w:val="21"/>
          <w:szCs w:val="21"/>
        </w:rPr>
        <w:br w:type="textWrapping" w:clear="all"/>
      </w:r>
      <w:r>
        <w:rPr>
          <w:rFonts w:hAnsi="宋体" w:eastAsia="宋体"/>
          <w:bCs/>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eastAsia="宋体"/>
          <w:bCs/>
          <w:sz w:val="21"/>
          <w:szCs w:val="21"/>
        </w:rPr>
        <w:br w:type="textWrapping" w:clear="all"/>
      </w:r>
      <w:r>
        <w:rPr>
          <w:rFonts w:hAnsi="宋体" w:eastAsia="宋体"/>
          <w:bCs/>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eastAsia="宋体"/>
          <w:bCs/>
          <w:sz w:val="21"/>
          <w:szCs w:val="21"/>
        </w:rPr>
        <w:br w:type="textWrapping" w:clear="all"/>
      </w:r>
      <w:r>
        <w:rPr>
          <w:rFonts w:hAnsi="宋体" w:eastAsia="宋体"/>
          <w:bCs/>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eastAsia="宋体"/>
          <w:bCs/>
          <w:sz w:val="21"/>
          <w:szCs w:val="21"/>
        </w:rPr>
        <w:br w:type="textWrapping" w:clear="all"/>
      </w:r>
      <w:r>
        <w:rPr>
          <w:rFonts w:hAnsi="宋体" w:eastAsia="宋体"/>
          <w:bCs/>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eastAsia="宋体"/>
          <w:bCs/>
          <w:sz w:val="21"/>
          <w:szCs w:val="21"/>
        </w:rPr>
        <w:br w:type="textWrapping" w:clear="all"/>
      </w:r>
      <w:r>
        <w:rPr>
          <w:rFonts w:hAnsi="宋体" w:eastAsia="宋体"/>
          <w:bCs/>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eastAsia="宋体"/>
          <w:bCs/>
          <w:sz w:val="21"/>
          <w:szCs w:val="21"/>
        </w:rPr>
        <w:br w:type="textWrapping" w:clear="all"/>
      </w:r>
      <w:r>
        <w:rPr>
          <w:rFonts w:hAnsi="宋体" w:eastAsia="宋体"/>
          <w:bCs/>
          <w:sz w:val="21"/>
          <w:szCs w:val="21"/>
        </w:rPr>
        <w:t>　　（十六）其他未列明行业。从业人员300人以下的为中小微型企业。其中，从业人员100人及以上的为中型企业；从业人员10人及以上的为小型企业；从业人员10人以下的为微型企业。</w:t>
      </w:r>
      <w:r>
        <w:rPr>
          <w:rFonts w:hAnsi="宋体" w:eastAsia="宋体"/>
          <w:bCs/>
          <w:sz w:val="21"/>
          <w:szCs w:val="21"/>
        </w:rPr>
        <w:br w:type="textWrapping" w:clear="all"/>
      </w:r>
      <w:r>
        <w:rPr>
          <w:rFonts w:hAnsi="宋体" w:eastAsia="宋体"/>
          <w:bCs/>
          <w:sz w:val="21"/>
          <w:szCs w:val="21"/>
        </w:rPr>
        <w:t>　　五、企业类型的划分以统计部门的统计数据为依据。</w:t>
      </w:r>
      <w:r>
        <w:rPr>
          <w:rFonts w:hAnsi="宋体" w:eastAsia="宋体"/>
          <w:bCs/>
          <w:sz w:val="21"/>
          <w:szCs w:val="21"/>
        </w:rPr>
        <w:br w:type="textWrapping" w:clear="all"/>
      </w:r>
      <w:r>
        <w:rPr>
          <w:rFonts w:hAnsi="宋体" w:eastAsia="宋体"/>
          <w:bCs/>
          <w:sz w:val="21"/>
          <w:szCs w:val="21"/>
        </w:rPr>
        <w:t>　　六、本规定适用于在中华人民共和国境内依法设立的各类所有制和各种组织形式的企业。个体工商户和本规定以外的行业，参照本规定进行划型。</w:t>
      </w:r>
      <w:r>
        <w:rPr>
          <w:rFonts w:hAnsi="宋体" w:eastAsia="宋体"/>
          <w:bCs/>
          <w:sz w:val="21"/>
          <w:szCs w:val="21"/>
        </w:rPr>
        <w:br w:type="textWrapping" w:clear="all"/>
      </w:r>
      <w:r>
        <w:rPr>
          <w:rFonts w:hAnsi="宋体" w:eastAsia="宋体"/>
          <w:bCs/>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eastAsia="宋体"/>
          <w:bCs/>
          <w:sz w:val="21"/>
          <w:szCs w:val="21"/>
        </w:rPr>
        <w:br w:type="textWrapping" w:clear="all"/>
      </w:r>
      <w:r>
        <w:rPr>
          <w:rFonts w:hAnsi="宋体" w:eastAsia="宋体"/>
          <w:bCs/>
          <w:sz w:val="21"/>
          <w:szCs w:val="21"/>
        </w:rPr>
        <w:t>　　八、本规定由工业和信息化部、国家统计局会同有关部门根据《国民经济行业分类》修订情况和企业发展变化情况适时修订。</w:t>
      </w:r>
      <w:r>
        <w:rPr>
          <w:rFonts w:hAnsi="宋体" w:eastAsia="宋体"/>
          <w:bCs/>
          <w:sz w:val="21"/>
          <w:szCs w:val="21"/>
        </w:rPr>
        <w:br w:type="textWrapping" w:clear="all"/>
      </w:r>
      <w:r>
        <w:rPr>
          <w:rFonts w:hAnsi="宋体" w:eastAsia="宋体"/>
          <w:bCs/>
          <w:sz w:val="21"/>
          <w:szCs w:val="21"/>
        </w:rPr>
        <w:t>　　九、本规定由工业和信息化部、国家统计局会同有关部门负责解释。</w:t>
      </w:r>
      <w:r>
        <w:rPr>
          <w:rFonts w:hAnsi="宋体" w:eastAsia="宋体"/>
          <w:bCs/>
          <w:sz w:val="21"/>
          <w:szCs w:val="21"/>
        </w:rPr>
        <w:br w:type="textWrapping" w:clear="all"/>
      </w:r>
      <w:r>
        <w:rPr>
          <w:rFonts w:hAnsi="宋体" w:eastAsia="宋体"/>
          <w:bCs/>
          <w:sz w:val="21"/>
          <w:szCs w:val="21"/>
        </w:rPr>
        <w:t>　　十、本规定自发布之日起执行，原国家经贸委、原国家计委、财政部和国家统计局2003年颁布的《中小企业标准暂行规定》同时废止。</w:t>
      </w:r>
    </w:p>
    <w:p w14:paraId="41086F33">
      <w:pPr>
        <w:pStyle w:val="16"/>
        <w:spacing w:line="360" w:lineRule="auto"/>
        <w:jc w:val="left"/>
        <w:rPr>
          <w:rFonts w:hAnsi="宋体" w:eastAsia="宋体" w:cs="宋体"/>
        </w:rPr>
      </w:pPr>
      <w:r>
        <w:rPr/>
        <w:br w:type="page" w:clear="all"/>
      </w:r>
      <w:bookmarkStart w:id="59" w:name="_Ref5409"/>
      <w:bookmarkStart w:id="60" w:name="_Ref18561"/>
      <w:r>
        <w:rPr>
          <w:rFonts w:hint="eastAsia" w:hAnsi="宋体" w:eastAsia="宋体" w:cs="宋体"/>
        </w:rPr>
        <w:t>十三、残疾人福利性单位声明函</w:t>
      </w:r>
      <w:bookmarkEnd w:id="59"/>
      <w:bookmarkEnd w:id="60"/>
    </w:p>
    <w:p w14:paraId="3D647A07">
      <w:pPr>
        <w:pStyle w:val="16"/>
        <w:spacing w:line="360" w:lineRule="auto"/>
        <w:jc w:val="center"/>
        <w:rPr>
          <w:rFonts w:hAnsi="宋体" w:eastAsia="宋体"/>
          <w:sz w:val="21"/>
          <w:szCs w:val="21"/>
        </w:rPr>
      </w:pPr>
      <w:r>
        <w:rPr>
          <w:rFonts w:hint="eastAsia" w:hAnsi="宋体" w:eastAsia="宋体"/>
          <w:sz w:val="21"/>
          <w:szCs w:val="21"/>
        </w:rPr>
        <w:t>残疾人福利性单位声明函</w:t>
      </w:r>
    </w:p>
    <w:p w14:paraId="1C8C92E9">
      <w:pPr>
        <w:pStyle w:val="16"/>
        <w:spacing w:line="360" w:lineRule="auto"/>
        <w:ind w:firstLine="425"/>
        <w:jc w:val="left"/>
        <w:rPr>
          <w:rFonts w:hAnsi="宋体" w:eastAsia="宋体"/>
          <w:sz w:val="21"/>
          <w:szCs w:val="21"/>
        </w:rPr>
      </w:pPr>
      <w:r>
        <w:rPr>
          <w:rFonts w:hint="eastAsia" w:hAnsi="宋体" w:eastAsia="宋体"/>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hAnsi="宋体" w:eastAsia="宋体"/>
          <w:spacing w:val="6"/>
          <w:szCs w:val="21"/>
        </w:rPr>
        <w:t>______</w:t>
      </w:r>
      <w:r>
        <w:rPr>
          <w:rFonts w:hint="eastAsia" w:hAnsi="宋体" w:eastAsia="宋体"/>
          <w:sz w:val="21"/>
          <w:szCs w:val="21"/>
        </w:rPr>
        <w:t>单位的</w:t>
      </w:r>
      <w:r>
        <w:rPr>
          <w:rFonts w:hint="eastAsia" w:hAnsi="宋体" w:eastAsia="宋体"/>
          <w:spacing w:val="6"/>
          <w:szCs w:val="21"/>
        </w:rPr>
        <w:t>______</w:t>
      </w:r>
      <w:r>
        <w:rPr>
          <w:rFonts w:hint="eastAsia" w:hAnsi="宋体" w:eastAsia="宋体"/>
          <w:sz w:val="21"/>
          <w:szCs w:val="21"/>
        </w:rPr>
        <w:t>项目采购活动提供本单位制造的货物（由本单位承担工程/提供服务），或者提供其他残疾人福利性单位制造的货物（不包括使用非残疾人福利性单位注册商标的货物）。</w:t>
      </w:r>
    </w:p>
    <w:p w14:paraId="6BE582DE">
      <w:pPr>
        <w:pStyle w:val="16"/>
        <w:spacing w:line="360" w:lineRule="auto"/>
        <w:ind w:firstLine="425"/>
        <w:jc w:val="left"/>
        <w:rPr>
          <w:rFonts w:hAnsi="宋体" w:eastAsia="宋体"/>
          <w:sz w:val="21"/>
          <w:szCs w:val="21"/>
        </w:rPr>
      </w:pPr>
      <w:r>
        <w:rPr>
          <w:rFonts w:hint="eastAsia" w:hAnsi="宋体" w:eastAsia="宋体"/>
          <w:sz w:val="21"/>
          <w:szCs w:val="21"/>
        </w:rPr>
        <w:t>本单位对上述声明的真实性负责。如有虚假，将依法承担相应责任。</w:t>
      </w:r>
    </w:p>
    <w:p w14:paraId="2BEFE66F">
      <w:pPr>
        <w:pStyle w:val="16"/>
        <w:spacing w:line="360" w:lineRule="auto"/>
        <w:ind w:firstLine="425"/>
        <w:jc w:val="left"/>
        <w:rPr>
          <w:rFonts w:hAnsi="宋体" w:eastAsia="宋体"/>
          <w:sz w:val="21"/>
          <w:szCs w:val="21"/>
        </w:rPr>
      </w:pPr>
    </w:p>
    <w:p w14:paraId="6978FE72">
      <w:pPr>
        <w:pStyle w:val="17"/>
        <w:spacing w:line="360" w:lineRule="auto"/>
        <w:rPr>
          <w:rFonts w:hAnsi="宋体" w:eastAsia="宋体"/>
          <w:sz w:val="21"/>
          <w:szCs w:val="21"/>
        </w:rPr>
      </w:pPr>
      <w:r>
        <w:rPr>
          <w:rFonts w:hAnsi="宋体" w:eastAsia="宋体"/>
          <w:sz w:val="21"/>
          <w:szCs w:val="21"/>
        </w:rPr>
        <w:t>投标单位：（</w:t>
      </w:r>
      <w:r>
        <w:rPr>
          <w:rFonts w:hint="eastAsia" w:hAnsi="宋体" w:eastAsia="宋体"/>
          <w:sz w:val="21"/>
          <w:szCs w:val="21"/>
        </w:rPr>
        <w:t>单位盖章</w:t>
      </w:r>
      <w:r>
        <w:rPr>
          <w:rFonts w:hAnsi="宋体" w:eastAsia="宋体"/>
          <w:sz w:val="21"/>
          <w:szCs w:val="21"/>
        </w:rPr>
        <w:t>）</w:t>
      </w:r>
    </w:p>
    <w:p w14:paraId="047D0C5C">
      <w:pPr>
        <w:pStyle w:val="17"/>
        <w:spacing w:line="360" w:lineRule="auto"/>
        <w:rPr>
          <w:rFonts w:hAnsi="宋体" w:eastAsia="宋体"/>
          <w:sz w:val="21"/>
          <w:szCs w:val="21"/>
        </w:rPr>
      </w:pPr>
      <w:r>
        <w:rPr>
          <w:rFonts w:hAnsi="宋体" w:eastAsia="宋体"/>
          <w:sz w:val="21"/>
          <w:szCs w:val="21"/>
        </w:rPr>
        <w:t>法定代表人或授权委托人：（签字或盖章）</w:t>
      </w:r>
    </w:p>
    <w:p w14:paraId="3BF18E8E">
      <w:pPr>
        <w:pStyle w:val="17"/>
        <w:spacing w:line="360" w:lineRule="auto"/>
        <w:rPr>
          <w:rFonts w:hAnsi="宋体" w:eastAsia="宋体"/>
          <w:b/>
          <w:sz w:val="21"/>
          <w:szCs w:val="21"/>
        </w:rPr>
      </w:pPr>
      <w:r>
        <w:rPr>
          <w:rFonts w:hAnsi="宋体" w:eastAsia="宋体"/>
          <w:sz w:val="21"/>
          <w:szCs w:val="21"/>
        </w:rPr>
        <w:t>日期：</w:t>
      </w:r>
      <w:r>
        <w:rPr>
          <w:rFonts w:hint="eastAsia" w:hAnsi="宋体" w:eastAsia="宋体"/>
          <w:sz w:val="21"/>
          <w:szCs w:val="21"/>
        </w:rPr>
        <w:t xml:space="preserve">      </w:t>
      </w:r>
      <w:r>
        <w:rPr>
          <w:rFonts w:hAnsi="宋体" w:eastAsia="宋体"/>
          <w:sz w:val="21"/>
          <w:szCs w:val="21"/>
        </w:rPr>
        <w:t>年</w:t>
      </w:r>
      <w:r>
        <w:rPr>
          <w:rFonts w:hint="eastAsia" w:hAnsi="宋体" w:eastAsia="宋体"/>
          <w:sz w:val="21"/>
          <w:szCs w:val="21"/>
        </w:rPr>
        <w:t xml:space="preserve">  </w:t>
      </w:r>
      <w:r>
        <w:rPr>
          <w:rFonts w:hAnsi="宋体" w:eastAsia="宋体"/>
          <w:sz w:val="21"/>
          <w:szCs w:val="21"/>
        </w:rPr>
        <w:t>月</w:t>
      </w:r>
      <w:r>
        <w:rPr>
          <w:rFonts w:hint="eastAsia" w:hAnsi="宋体" w:eastAsia="宋体"/>
          <w:sz w:val="21"/>
          <w:szCs w:val="21"/>
        </w:rPr>
        <w:t xml:space="preserve">  </w:t>
      </w:r>
      <w:r>
        <w:rPr>
          <w:rFonts w:hAnsi="宋体" w:eastAsia="宋体"/>
          <w:sz w:val="21"/>
          <w:szCs w:val="21"/>
        </w:rPr>
        <w:t>日</w:t>
      </w:r>
    </w:p>
    <w:p w14:paraId="2EB95C79">
      <w:pPr>
        <w:rPr>
          <w:rFonts w:ascii="宋体" w:hAnsi="宋体" w:cs="宋体"/>
        </w:rPr>
      </w:pPr>
      <w:r>
        <w:rPr>
          <w:rFonts w:hint="eastAsia" w:ascii="宋体" w:hAnsi="宋体" w:cs="宋体"/>
        </w:rPr>
        <w:br w:type="page" w:clear="all"/>
      </w:r>
    </w:p>
    <w:p w14:paraId="518D5287">
      <w:pPr>
        <w:pStyle w:val="6"/>
        <w:rPr>
          <w:rFonts w:ascii="宋体" w:hAnsi="宋体" w:eastAsia="宋体" w:cs="宋体"/>
          <w:lang w:val="zh-CN"/>
        </w:rPr>
      </w:pPr>
      <w:bookmarkStart w:id="61" w:name="_Ref26880"/>
      <w:r>
        <w:rPr>
          <w:rFonts w:hint="eastAsia" w:ascii="宋体" w:hAnsi="宋体" w:eastAsia="宋体" w:cs="宋体"/>
        </w:rPr>
        <w:t>十四、</w:t>
      </w:r>
      <w:r>
        <w:rPr>
          <w:rFonts w:hint="eastAsia" w:ascii="宋体" w:hAnsi="宋体" w:eastAsia="宋体" w:cs="宋体"/>
          <w:lang w:val="zh-CN"/>
        </w:rPr>
        <w:t>监狱企业福利性单位声明函</w:t>
      </w:r>
      <w:bookmarkEnd w:id="57"/>
      <w:bookmarkEnd w:id="61"/>
    </w:p>
    <w:p w14:paraId="004F65CE">
      <w:pPr>
        <w:spacing w:line="360" w:lineRule="auto"/>
        <w:rPr>
          <w:rFonts w:ascii="宋体" w:hAnsi="宋体" w:cs="宋体"/>
          <w:lang w:val="zh-CN"/>
        </w:rPr>
      </w:pPr>
      <w:r>
        <w:rPr>
          <w:rFonts w:hint="eastAsia" w:ascii="宋体" w:hAnsi="宋体" w:cs="宋体"/>
          <w:lang w:val="zh-CN"/>
        </w:rPr>
        <w:t>进一步明确政府采购支持监狱企业发展政策</w:t>
      </w:r>
    </w:p>
    <w:p w14:paraId="5E191E75">
      <w:pPr>
        <w:spacing w:line="360" w:lineRule="auto"/>
        <w:ind w:firstLine="420"/>
        <w:rPr>
          <w:rFonts w:ascii="宋体" w:hAnsi="宋体" w:cs="宋体"/>
          <w:lang w:val="zh-CN"/>
        </w:rPr>
      </w:pPr>
      <w:r>
        <w:rPr>
          <w:rFonts w:hint="eastAsia" w:ascii="宋体" w:hAnsi="宋体" w:cs="宋体"/>
          <w:lang w:val="zh-CN"/>
        </w:rPr>
        <w:t>（一）在政府采购活动中，监狱企业视同小型企业，享受评审中价格扣除等政府采购促进中小企业发展的政府采购政策。向监狱企业采购的金额，计入面向中小企业采购的统计数据。</w:t>
      </w:r>
    </w:p>
    <w:p w14:paraId="7DF23AE3">
      <w:pPr>
        <w:spacing w:line="360" w:lineRule="auto"/>
        <w:ind w:firstLine="420"/>
        <w:rPr>
          <w:rFonts w:ascii="宋体" w:hAnsi="宋体" w:cs="宋体"/>
          <w:lang w:val="zh-CN"/>
        </w:rPr>
      </w:pPr>
      <w:r>
        <w:rPr>
          <w:rFonts w:hint="eastAsia" w:ascii="宋体" w:hAnsi="宋体" w:cs="宋体"/>
          <w:lang w:val="zh-CN"/>
        </w:rPr>
        <w:t xml:space="preserve"> （二）符合《关于政府采购支持监狱企业发展有关问题的通知》（财库〔2014〕68号）条件的监狱企业参加政府采购活动时，应当提供由省级以上监狱管理局、戒毒管理局（含新疆生产建设兵团）出具的属于监狱企业的证明文件。</w:t>
      </w:r>
    </w:p>
    <w:p w14:paraId="6ED22ABA">
      <w:pPr>
        <w:pStyle w:val="17"/>
        <w:spacing w:line="360" w:lineRule="auto"/>
        <w:rPr>
          <w:rFonts w:hAnsi="宋体" w:eastAsia="宋体"/>
          <w:sz w:val="21"/>
          <w:szCs w:val="21"/>
        </w:rPr>
      </w:pPr>
    </w:p>
    <w:p w14:paraId="21C08499">
      <w:pPr>
        <w:pStyle w:val="17"/>
        <w:spacing w:line="360" w:lineRule="auto"/>
        <w:rPr>
          <w:rFonts w:hAnsi="宋体" w:eastAsia="宋体"/>
          <w:sz w:val="21"/>
          <w:szCs w:val="21"/>
        </w:rPr>
      </w:pPr>
      <w:r>
        <w:rPr>
          <w:rFonts w:hAnsi="宋体" w:eastAsia="宋体"/>
          <w:sz w:val="21"/>
          <w:szCs w:val="21"/>
        </w:rPr>
        <w:t>投标单位：（</w:t>
      </w:r>
      <w:r>
        <w:rPr>
          <w:rFonts w:hint="eastAsia" w:hAnsi="宋体" w:eastAsia="宋体"/>
          <w:sz w:val="21"/>
          <w:szCs w:val="21"/>
        </w:rPr>
        <w:t>单位盖章</w:t>
      </w:r>
      <w:r>
        <w:rPr>
          <w:rFonts w:hAnsi="宋体" w:eastAsia="宋体"/>
          <w:sz w:val="21"/>
          <w:szCs w:val="21"/>
        </w:rPr>
        <w:t>）</w:t>
      </w:r>
    </w:p>
    <w:p w14:paraId="0B53B695">
      <w:pPr>
        <w:pStyle w:val="17"/>
        <w:spacing w:line="360" w:lineRule="auto"/>
        <w:rPr>
          <w:rFonts w:hAnsi="宋体" w:eastAsia="宋体"/>
          <w:sz w:val="21"/>
          <w:szCs w:val="21"/>
        </w:rPr>
      </w:pPr>
      <w:r>
        <w:rPr>
          <w:rFonts w:hAnsi="宋体" w:eastAsia="宋体"/>
          <w:sz w:val="21"/>
          <w:szCs w:val="21"/>
        </w:rPr>
        <w:t>法定代表人或授权委托人：（签字或盖章）</w:t>
      </w:r>
    </w:p>
    <w:p w14:paraId="7F9823ED">
      <w:pPr>
        <w:pStyle w:val="17"/>
        <w:spacing w:line="360" w:lineRule="auto"/>
        <w:rPr>
          <w:rFonts w:hAnsi="宋体" w:eastAsia="宋体"/>
          <w:b/>
          <w:sz w:val="21"/>
          <w:szCs w:val="21"/>
        </w:rPr>
      </w:pPr>
      <w:r>
        <w:rPr>
          <w:rFonts w:hAnsi="宋体" w:eastAsia="宋体"/>
          <w:sz w:val="21"/>
          <w:szCs w:val="21"/>
        </w:rPr>
        <w:t>日期：</w:t>
      </w:r>
      <w:r>
        <w:rPr>
          <w:rFonts w:hint="eastAsia" w:hAnsi="宋体" w:eastAsia="宋体"/>
          <w:sz w:val="21"/>
          <w:szCs w:val="21"/>
        </w:rPr>
        <w:t xml:space="preserve">      </w:t>
      </w:r>
      <w:r>
        <w:rPr>
          <w:rFonts w:hAnsi="宋体" w:eastAsia="宋体"/>
          <w:sz w:val="21"/>
          <w:szCs w:val="21"/>
        </w:rPr>
        <w:t>年</w:t>
      </w:r>
      <w:r>
        <w:rPr>
          <w:rFonts w:hint="eastAsia" w:hAnsi="宋体" w:eastAsia="宋体"/>
          <w:sz w:val="21"/>
          <w:szCs w:val="21"/>
        </w:rPr>
        <w:t xml:space="preserve">  </w:t>
      </w:r>
      <w:r>
        <w:rPr>
          <w:rFonts w:hAnsi="宋体" w:eastAsia="宋体"/>
          <w:sz w:val="21"/>
          <w:szCs w:val="21"/>
        </w:rPr>
        <w:t>月</w:t>
      </w:r>
      <w:r>
        <w:rPr>
          <w:rFonts w:hint="eastAsia" w:hAnsi="宋体" w:eastAsia="宋体"/>
          <w:sz w:val="21"/>
          <w:szCs w:val="21"/>
        </w:rPr>
        <w:t xml:space="preserve">  </w:t>
      </w:r>
      <w:r>
        <w:rPr>
          <w:rFonts w:hAnsi="宋体" w:eastAsia="宋体"/>
          <w:sz w:val="21"/>
          <w:szCs w:val="21"/>
        </w:rPr>
        <w:t>日</w:t>
      </w:r>
    </w:p>
    <w:p w14:paraId="193162FA">
      <w:pPr>
        <w:ind w:firstLine="420"/>
        <w:rPr>
          <w:rFonts w:ascii="宋体" w:hAnsi="宋体"/>
        </w:rPr>
      </w:pPr>
    </w:p>
    <w:p w14:paraId="1A56B1DE">
      <w:pPr>
        <w:rPr>
          <w:rFonts w:ascii="宋体" w:hAnsi="宋体"/>
        </w:rPr>
      </w:pPr>
    </w:p>
    <w:p w14:paraId="5C1B5E4A">
      <w:pPr>
        <w:rPr>
          <w:rFonts w:ascii="宋体" w:hAnsi="宋体"/>
        </w:rPr>
      </w:pPr>
    </w:p>
    <w:p w14:paraId="4731A64D">
      <w:pPr>
        <w:rPr>
          <w:rFonts w:ascii="宋体" w:hAnsi="宋体"/>
        </w:rPr>
      </w:pPr>
    </w:p>
    <w:p w14:paraId="2AB53DBC">
      <w:pPr>
        <w:rPr>
          <w:rFonts w:ascii="宋体" w:hAnsi="宋体"/>
        </w:rPr>
      </w:pPr>
    </w:p>
    <w:p w14:paraId="301EC103">
      <w:pPr>
        <w:rPr>
          <w:rFonts w:ascii="宋体" w:hAnsi="宋体"/>
        </w:rPr>
      </w:pPr>
    </w:p>
    <w:p w14:paraId="06A2C529">
      <w:pPr>
        <w:jc w:val="center"/>
        <w:outlineLvl w:val="0"/>
        <w:rPr>
          <w:rStyle w:val="21"/>
        </w:rPr>
      </w:pPr>
      <w:bookmarkStart w:id="62" w:name="_Toc8652804"/>
      <w:bookmarkStart w:id="63" w:name="_Toc477186552"/>
      <w:bookmarkStart w:id="64" w:name="_Toc8652608"/>
      <w:bookmarkStart w:id="65" w:name="_Toc477186799"/>
      <w:r>
        <w:rPr>
          <w:rFonts w:hint="eastAsia"/>
        </w:rPr>
        <w:br w:type="page" w:clear="all"/>
      </w:r>
      <w:bookmarkStart w:id="66" w:name="_Toc27448"/>
      <w:r>
        <w:rPr>
          <w:rStyle w:val="21"/>
          <w:rFonts w:hint="eastAsia"/>
        </w:rPr>
        <w:t xml:space="preserve">第四章 </w:t>
      </w:r>
      <w:bookmarkEnd w:id="62"/>
      <w:bookmarkEnd w:id="63"/>
      <w:bookmarkEnd w:id="64"/>
      <w:bookmarkEnd w:id="65"/>
      <w:bookmarkEnd w:id="66"/>
      <w:r>
        <w:rPr>
          <w:rStyle w:val="21"/>
          <w:rFonts w:hint="eastAsia"/>
        </w:rPr>
        <w:t>采购需求</w:t>
      </w:r>
    </w:p>
    <w:p w14:paraId="496EB039">
      <w:pPr>
        <w:spacing w:line="360" w:lineRule="auto"/>
        <w:ind w:firstLine="420"/>
        <w:rPr>
          <w:rFonts w:ascii="宋体" w:hAnsi="宋体"/>
          <w:szCs w:val="21"/>
        </w:rPr>
      </w:pPr>
      <w:bookmarkStart w:id="67" w:name="_Toc339548794"/>
      <w:bookmarkStart w:id="68" w:name="_Toc266088666"/>
      <w:bookmarkStart w:id="69" w:name="_Toc8652805"/>
      <w:bookmarkStart w:id="70" w:name="_Toc477186800"/>
      <w:bookmarkStart w:id="71" w:name="_Toc477186553"/>
      <w:bookmarkStart w:id="72" w:name="_Toc8652610"/>
      <w:r>
        <w:rPr>
          <w:rFonts w:hint="eastAsia" w:ascii="宋体" w:hAnsi="宋体"/>
          <w:szCs w:val="21"/>
        </w:rPr>
        <w:t>受昆山市花桥镇人民政府委托，江苏省鼎诚建设工程顾问有限公司为其拟采购的2026-2028年度病媒生物防制服务项目进行国内公开招标，欢迎符合条件的供应商投标。</w:t>
      </w:r>
    </w:p>
    <w:p w14:paraId="2B096D5F">
      <w:pPr>
        <w:spacing w:line="360" w:lineRule="auto"/>
        <w:rPr>
          <w:rFonts w:ascii="宋体" w:hAnsi="宋体"/>
          <w:b/>
          <w:bCs/>
          <w:szCs w:val="21"/>
        </w:rPr>
      </w:pPr>
      <w:r>
        <w:rPr>
          <w:rFonts w:hint="eastAsia" w:ascii="宋体" w:hAnsi="宋体"/>
          <w:b/>
          <w:bCs/>
          <w:szCs w:val="21"/>
        </w:rPr>
        <w:t>一、项目编号：JSZC-320583-YZDC-G2026-0017</w:t>
      </w:r>
      <w:bookmarkEnd w:id="67"/>
      <w:bookmarkEnd w:id="68"/>
    </w:p>
    <w:p w14:paraId="4936F40C">
      <w:pPr>
        <w:spacing w:line="360" w:lineRule="auto"/>
        <w:rPr>
          <w:rFonts w:ascii="宋体" w:hAnsi="宋体"/>
          <w:b/>
          <w:szCs w:val="21"/>
        </w:rPr>
      </w:pPr>
      <w:r>
        <w:rPr>
          <w:rFonts w:hint="eastAsia" w:ascii="宋体" w:hAnsi="宋体"/>
          <w:b/>
          <w:szCs w:val="21"/>
        </w:rPr>
        <w:t>二、服务期：2年</w:t>
      </w:r>
    </w:p>
    <w:p w14:paraId="44CEBC0C">
      <w:pPr>
        <w:pStyle w:val="2"/>
        <w:ind w:left="0" w:firstLine="0"/>
        <w:rPr>
          <w:rFonts w:hint="default" w:ascii="宋体" w:hAnsi="宋体"/>
          <w:sz w:val="21"/>
          <w:szCs w:val="21"/>
        </w:rPr>
      </w:pPr>
      <w:r>
        <w:rPr>
          <w:rFonts w:ascii="宋体" w:hAnsi="宋体"/>
          <w:b/>
          <w:szCs w:val="21"/>
        </w:rPr>
        <w:t>三、</w:t>
      </w:r>
      <w:r>
        <w:rPr>
          <w:rFonts w:ascii="宋体" w:hAnsi="宋体"/>
          <w:b/>
          <w:bCs/>
          <w:sz w:val="21"/>
          <w:szCs w:val="21"/>
        </w:rPr>
        <w:t>标段信息：</w:t>
      </w:r>
    </w:p>
    <w:tbl>
      <w:tblPr>
        <w:tblStyle w:val="13"/>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1290"/>
        <w:gridCol w:w="5300"/>
        <w:gridCol w:w="1646"/>
      </w:tblGrid>
      <w:tr w14:paraId="6653E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082" w:type="dxa"/>
            <w:tcBorders>
              <w:right w:val="single" w:color="000000" w:sz="4" w:space="0"/>
            </w:tcBorders>
            <w:noWrap w:val="0"/>
            <w:vAlign w:val="center"/>
          </w:tcPr>
          <w:p w14:paraId="00EFAE79">
            <w:pPr>
              <w:pStyle w:val="16"/>
              <w:jc w:val="center"/>
              <w:rPr>
                <w:rFonts w:hAnsi="宋体" w:eastAsia="宋体" w:cs="宋体"/>
                <w:bCs/>
                <w:sz w:val="21"/>
                <w:szCs w:val="21"/>
              </w:rPr>
            </w:pPr>
            <w:r>
              <w:rPr>
                <w:rFonts w:hint="eastAsia" w:hAnsi="宋体" w:eastAsia="宋体" w:cs="宋体"/>
                <w:bCs/>
                <w:sz w:val="21"/>
                <w:szCs w:val="21"/>
              </w:rPr>
              <w:t>序号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4AF8C6A">
            <w:pPr>
              <w:pStyle w:val="16"/>
              <w:jc w:val="center"/>
              <w:rPr>
                <w:rFonts w:hAnsi="宋体" w:eastAsia="宋体" w:cs="宋体"/>
                <w:bCs/>
                <w:sz w:val="21"/>
                <w:szCs w:val="21"/>
              </w:rPr>
            </w:pPr>
            <w:r>
              <w:rPr>
                <w:rFonts w:hint="eastAsia" w:hAnsi="宋体" w:eastAsia="宋体" w:cs="宋体"/>
                <w:bCs/>
                <w:sz w:val="21"/>
                <w:szCs w:val="21"/>
              </w:rPr>
              <w:t>标段名称</w:t>
            </w:r>
          </w:p>
        </w:tc>
        <w:tc>
          <w:tcPr>
            <w:tcW w:w="5300" w:type="dxa"/>
            <w:tcBorders>
              <w:left w:val="single" w:color="000000" w:sz="4" w:space="0"/>
            </w:tcBorders>
            <w:noWrap w:val="0"/>
            <w:vAlign w:val="center"/>
          </w:tcPr>
          <w:p w14:paraId="004FD4A3">
            <w:pPr>
              <w:pStyle w:val="16"/>
              <w:jc w:val="center"/>
              <w:rPr>
                <w:rFonts w:hAnsi="宋体" w:eastAsia="宋体" w:cs="宋体"/>
                <w:bCs/>
                <w:sz w:val="21"/>
                <w:szCs w:val="21"/>
              </w:rPr>
            </w:pPr>
            <w:r>
              <w:rPr>
                <w:rFonts w:hAnsi="宋体" w:eastAsia="宋体" w:cs="宋体"/>
                <w:bCs/>
                <w:sz w:val="21"/>
                <w:szCs w:val="21"/>
              </w:rPr>
              <w:t>招标内容</w:t>
            </w:r>
          </w:p>
        </w:tc>
        <w:tc>
          <w:tcPr>
            <w:tcW w:w="1646" w:type="dxa"/>
            <w:noWrap w:val="0"/>
            <w:vAlign w:val="center"/>
          </w:tcPr>
          <w:p w14:paraId="211F602A">
            <w:pPr>
              <w:pStyle w:val="16"/>
              <w:jc w:val="center"/>
              <w:rPr>
                <w:rFonts w:hAnsi="宋体" w:eastAsia="宋体" w:cs="宋体"/>
                <w:bCs/>
                <w:sz w:val="21"/>
                <w:szCs w:val="21"/>
              </w:rPr>
            </w:pPr>
            <w:r>
              <w:rPr>
                <w:rFonts w:hint="eastAsia" w:hAnsi="宋体" w:eastAsia="宋体" w:cs="宋体"/>
                <w:bCs/>
                <w:sz w:val="21"/>
                <w:szCs w:val="21"/>
              </w:rPr>
              <w:t>预算（元）</w:t>
            </w:r>
          </w:p>
        </w:tc>
      </w:tr>
      <w:tr w14:paraId="2ABF0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82" w:type="dxa"/>
            <w:noWrap w:val="0"/>
            <w:vAlign w:val="center"/>
          </w:tcPr>
          <w:p w14:paraId="52C8AD1F">
            <w:pPr>
              <w:pStyle w:val="16"/>
              <w:jc w:val="center"/>
              <w:rPr>
                <w:rFonts w:hAnsi="宋体" w:eastAsia="宋体" w:cs="宋体"/>
                <w:bCs/>
                <w:sz w:val="21"/>
                <w:szCs w:val="21"/>
              </w:rPr>
            </w:pPr>
            <w:r>
              <w:rPr>
                <w:rFonts w:hint="eastAsia" w:hAnsi="宋体" w:eastAsia="宋体" w:cs="宋体"/>
                <w:bCs/>
                <w:sz w:val="21"/>
                <w:szCs w:val="21"/>
              </w:rPr>
              <w:t>采购包1</w:t>
            </w:r>
          </w:p>
        </w:tc>
        <w:tc>
          <w:tcPr>
            <w:tcW w:w="1290" w:type="dxa"/>
            <w:tcBorders>
              <w:top w:val="single" w:color="000000" w:sz="4" w:space="0"/>
            </w:tcBorders>
            <w:noWrap w:val="0"/>
            <w:vAlign w:val="center"/>
          </w:tcPr>
          <w:p w14:paraId="4C6907E9">
            <w:pPr>
              <w:pStyle w:val="16"/>
              <w:jc w:val="center"/>
              <w:rPr>
                <w:rFonts w:hAnsi="宋体" w:eastAsia="宋体" w:cs="宋体"/>
                <w:bCs/>
                <w:sz w:val="21"/>
                <w:szCs w:val="21"/>
              </w:rPr>
            </w:pPr>
            <w:r>
              <w:rPr>
                <w:rFonts w:hint="eastAsia" w:hAnsi="宋体" w:eastAsia="宋体" w:cs="宋体"/>
                <w:bCs/>
                <w:sz w:val="21"/>
                <w:szCs w:val="21"/>
              </w:rPr>
              <w:t>标段一</w:t>
            </w:r>
          </w:p>
        </w:tc>
        <w:tc>
          <w:tcPr>
            <w:tcW w:w="5300" w:type="dxa"/>
            <w:noWrap w:val="0"/>
            <w:vAlign w:val="center"/>
          </w:tcPr>
          <w:p w14:paraId="54FA42F9">
            <w:pPr>
              <w:widowControl/>
              <w:rPr>
                <w:rFonts w:hAnsi="宋体" w:cs="宋体"/>
                <w:bCs/>
                <w:szCs w:val="21"/>
              </w:rPr>
            </w:pPr>
            <w:r>
              <w:rPr>
                <w:rFonts w:hint="eastAsia" w:ascii="宋体" w:hAnsi="宋体"/>
                <w:szCs w:val="21"/>
              </w:rPr>
              <w:t>徐公桥路以东区域（小区、公共游园、大型商超外围、农贸市场，同时包含花溪公园、中央公园、吴淞江滨江公园、周浦河游园、花家门球场公园）病媒生物防制服务</w:t>
            </w:r>
          </w:p>
        </w:tc>
        <w:tc>
          <w:tcPr>
            <w:tcW w:w="1646" w:type="dxa"/>
            <w:noWrap w:val="0"/>
            <w:vAlign w:val="center"/>
          </w:tcPr>
          <w:p w14:paraId="7E4E2EC3">
            <w:pPr>
              <w:pStyle w:val="16"/>
              <w:jc w:val="center"/>
              <w:rPr>
                <w:rFonts w:hAnsi="宋体" w:eastAsia="宋体" w:cs="宋体"/>
                <w:bCs/>
                <w:sz w:val="21"/>
                <w:szCs w:val="21"/>
              </w:rPr>
            </w:pPr>
            <w:r>
              <w:rPr>
                <w:rFonts w:hAnsi="宋体" w:eastAsia="宋体" w:cs="宋体"/>
                <w:bCs/>
                <w:sz w:val="21"/>
                <w:szCs w:val="21"/>
              </w:rPr>
              <w:t>1050000</w:t>
            </w:r>
          </w:p>
        </w:tc>
      </w:tr>
      <w:tr w14:paraId="3CB9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82" w:type="dxa"/>
            <w:noWrap w:val="0"/>
            <w:vAlign w:val="center"/>
          </w:tcPr>
          <w:p w14:paraId="3F8B4EC3">
            <w:pPr>
              <w:pStyle w:val="16"/>
              <w:jc w:val="center"/>
              <w:rPr>
                <w:rFonts w:hAnsi="宋体" w:eastAsia="宋体" w:cs="宋体"/>
                <w:bCs/>
                <w:sz w:val="21"/>
                <w:szCs w:val="21"/>
              </w:rPr>
            </w:pPr>
            <w:r>
              <w:rPr>
                <w:rFonts w:hint="eastAsia" w:hAnsi="宋体" w:eastAsia="宋体" w:cs="宋体"/>
                <w:bCs/>
                <w:sz w:val="21"/>
                <w:szCs w:val="21"/>
              </w:rPr>
              <w:t>采购包2</w:t>
            </w:r>
          </w:p>
        </w:tc>
        <w:tc>
          <w:tcPr>
            <w:tcW w:w="1290" w:type="dxa"/>
            <w:noWrap w:val="0"/>
            <w:vAlign w:val="center"/>
          </w:tcPr>
          <w:p w14:paraId="0622B82C">
            <w:pPr>
              <w:widowControl/>
              <w:jc w:val="center"/>
              <w:rPr>
                <w:rFonts w:ascii="宋体" w:hAnsi="宋体" w:cs="宋体"/>
                <w:bCs/>
                <w:szCs w:val="21"/>
              </w:rPr>
            </w:pPr>
            <w:r>
              <w:rPr>
                <w:rFonts w:hint="eastAsia" w:ascii="宋体" w:hAnsi="宋体" w:cs="宋体"/>
                <w:bCs/>
                <w:szCs w:val="21"/>
              </w:rPr>
              <w:t>标段二</w:t>
            </w:r>
          </w:p>
        </w:tc>
        <w:tc>
          <w:tcPr>
            <w:tcW w:w="5300" w:type="dxa"/>
            <w:noWrap w:val="0"/>
            <w:vAlign w:val="center"/>
          </w:tcPr>
          <w:p w14:paraId="0582C46A">
            <w:pPr>
              <w:widowControl/>
              <w:rPr>
                <w:rFonts w:hAnsi="宋体" w:cs="宋体"/>
                <w:bCs/>
                <w:szCs w:val="21"/>
              </w:rPr>
            </w:pPr>
            <w:r>
              <w:rPr>
                <w:rFonts w:hint="eastAsia" w:ascii="宋体" w:hAnsi="宋体"/>
                <w:szCs w:val="21"/>
              </w:rPr>
              <w:t>徐公桥路以西—花园路以东区域（小区、大型商超外围、农贸市场）病媒生物防制服务</w:t>
            </w:r>
          </w:p>
        </w:tc>
        <w:tc>
          <w:tcPr>
            <w:tcW w:w="1646" w:type="dxa"/>
            <w:noWrap w:val="0"/>
            <w:vAlign w:val="center"/>
          </w:tcPr>
          <w:p w14:paraId="291E9F08">
            <w:pPr>
              <w:pStyle w:val="16"/>
              <w:jc w:val="center"/>
              <w:rPr>
                <w:rFonts w:hAnsi="宋体" w:eastAsia="宋体" w:cs="宋体"/>
                <w:bCs/>
                <w:sz w:val="21"/>
                <w:szCs w:val="21"/>
              </w:rPr>
            </w:pPr>
            <w:r>
              <w:rPr>
                <w:rFonts w:hint="eastAsia" w:hAnsi="宋体" w:eastAsia="宋体" w:cs="宋体"/>
                <w:bCs/>
                <w:sz w:val="21"/>
                <w:szCs w:val="21"/>
              </w:rPr>
              <w:t>1</w:t>
            </w:r>
            <w:r>
              <w:rPr>
                <w:rFonts w:hAnsi="宋体" w:eastAsia="宋体" w:cs="宋体"/>
                <w:bCs/>
                <w:sz w:val="21"/>
                <w:szCs w:val="21"/>
              </w:rPr>
              <w:t>10</w:t>
            </w:r>
            <w:r>
              <w:rPr>
                <w:rFonts w:hint="eastAsia" w:hAnsi="宋体" w:eastAsia="宋体" w:cs="宋体"/>
                <w:bCs/>
                <w:sz w:val="21"/>
                <w:szCs w:val="21"/>
              </w:rPr>
              <w:t>0000</w:t>
            </w:r>
          </w:p>
        </w:tc>
      </w:tr>
      <w:tr w14:paraId="0623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82" w:type="dxa"/>
            <w:noWrap w:val="0"/>
            <w:vAlign w:val="center"/>
          </w:tcPr>
          <w:p w14:paraId="6B3F9406">
            <w:pPr>
              <w:pStyle w:val="16"/>
              <w:jc w:val="center"/>
              <w:rPr>
                <w:rFonts w:hAnsi="宋体" w:eastAsia="宋体" w:cs="宋体"/>
                <w:bCs/>
                <w:sz w:val="21"/>
                <w:szCs w:val="21"/>
              </w:rPr>
            </w:pPr>
            <w:r>
              <w:rPr>
                <w:rFonts w:hint="eastAsia" w:hAnsi="宋体" w:eastAsia="宋体" w:cs="宋体"/>
                <w:bCs/>
                <w:sz w:val="21"/>
                <w:szCs w:val="21"/>
              </w:rPr>
              <w:t>采购包3</w:t>
            </w:r>
          </w:p>
        </w:tc>
        <w:tc>
          <w:tcPr>
            <w:tcW w:w="1290" w:type="dxa"/>
            <w:noWrap w:val="0"/>
            <w:vAlign w:val="center"/>
          </w:tcPr>
          <w:p w14:paraId="08810FEF">
            <w:pPr>
              <w:widowControl/>
              <w:jc w:val="center"/>
              <w:rPr>
                <w:rFonts w:ascii="宋体" w:hAnsi="宋体" w:cs="宋体"/>
                <w:bCs/>
                <w:szCs w:val="21"/>
              </w:rPr>
            </w:pPr>
            <w:r>
              <w:rPr>
                <w:rFonts w:hint="eastAsia" w:ascii="宋体" w:hAnsi="宋体" w:cs="宋体"/>
                <w:bCs/>
                <w:szCs w:val="21"/>
              </w:rPr>
              <w:t>标段三</w:t>
            </w:r>
          </w:p>
        </w:tc>
        <w:tc>
          <w:tcPr>
            <w:tcW w:w="5300" w:type="dxa"/>
            <w:noWrap w:val="0"/>
            <w:vAlign w:val="center"/>
          </w:tcPr>
          <w:p w14:paraId="6B0FDBCD">
            <w:pPr>
              <w:widowControl/>
              <w:rPr>
                <w:rFonts w:hAnsi="宋体" w:cs="宋体"/>
                <w:bCs/>
                <w:szCs w:val="21"/>
              </w:rPr>
            </w:pPr>
            <w:r>
              <w:rPr>
                <w:rFonts w:hint="eastAsia" w:ascii="宋体" w:hAnsi="宋体"/>
                <w:szCs w:val="21"/>
              </w:rPr>
              <w:t>花园路以西区域（小区、大型商超外围、农贸市场）病媒生物防制服务</w:t>
            </w:r>
          </w:p>
        </w:tc>
        <w:tc>
          <w:tcPr>
            <w:tcW w:w="1646" w:type="dxa"/>
            <w:noWrap w:val="0"/>
            <w:vAlign w:val="center"/>
          </w:tcPr>
          <w:p w14:paraId="32468328">
            <w:pPr>
              <w:pStyle w:val="16"/>
              <w:jc w:val="center"/>
              <w:rPr>
                <w:rFonts w:hAnsi="宋体" w:eastAsia="宋体" w:cs="宋体"/>
                <w:bCs/>
                <w:sz w:val="21"/>
                <w:szCs w:val="21"/>
              </w:rPr>
            </w:pPr>
            <w:r>
              <w:rPr>
                <w:rFonts w:hint="eastAsia" w:hAnsi="宋体" w:eastAsia="宋体" w:cs="宋体"/>
                <w:bCs/>
                <w:sz w:val="21"/>
                <w:szCs w:val="21"/>
              </w:rPr>
              <w:t>1</w:t>
            </w:r>
            <w:r>
              <w:rPr>
                <w:rFonts w:hAnsi="宋体" w:eastAsia="宋体" w:cs="宋体"/>
                <w:bCs/>
                <w:sz w:val="21"/>
                <w:szCs w:val="21"/>
              </w:rPr>
              <w:t>08</w:t>
            </w:r>
            <w:r>
              <w:rPr>
                <w:rFonts w:hint="eastAsia" w:hAnsi="宋体" w:eastAsia="宋体" w:cs="宋体"/>
                <w:bCs/>
                <w:sz w:val="21"/>
                <w:szCs w:val="21"/>
              </w:rPr>
              <w:t>0000</w:t>
            </w:r>
          </w:p>
        </w:tc>
      </w:tr>
      <w:tr w14:paraId="022D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082" w:type="dxa"/>
            <w:noWrap w:val="0"/>
            <w:vAlign w:val="center"/>
          </w:tcPr>
          <w:p w14:paraId="530D1F16">
            <w:pPr>
              <w:pStyle w:val="16"/>
              <w:jc w:val="center"/>
              <w:rPr>
                <w:rFonts w:hAnsi="宋体" w:eastAsia="宋体" w:cs="宋体"/>
                <w:bCs/>
                <w:sz w:val="21"/>
                <w:szCs w:val="21"/>
              </w:rPr>
            </w:pPr>
            <w:r>
              <w:rPr>
                <w:rFonts w:hint="eastAsia" w:hAnsi="宋体" w:eastAsia="宋体" w:cs="宋体"/>
                <w:bCs/>
                <w:sz w:val="21"/>
                <w:szCs w:val="21"/>
              </w:rPr>
              <w:t>采购包4</w:t>
            </w:r>
          </w:p>
        </w:tc>
        <w:tc>
          <w:tcPr>
            <w:tcW w:w="1290" w:type="dxa"/>
            <w:noWrap w:val="0"/>
            <w:vAlign w:val="center"/>
          </w:tcPr>
          <w:p w14:paraId="58966A1C">
            <w:pPr>
              <w:widowControl/>
              <w:jc w:val="center"/>
              <w:rPr>
                <w:rFonts w:ascii="宋体" w:hAnsi="宋体" w:cs="宋体"/>
                <w:bCs/>
                <w:szCs w:val="21"/>
              </w:rPr>
            </w:pPr>
            <w:r>
              <w:rPr>
                <w:rFonts w:hint="eastAsia" w:ascii="宋体" w:hAnsi="宋体" w:cs="宋体"/>
                <w:bCs/>
                <w:szCs w:val="21"/>
              </w:rPr>
              <w:t>标段四</w:t>
            </w:r>
          </w:p>
        </w:tc>
        <w:tc>
          <w:tcPr>
            <w:tcW w:w="5300" w:type="dxa"/>
            <w:noWrap w:val="0"/>
            <w:vAlign w:val="center"/>
          </w:tcPr>
          <w:p w14:paraId="36F16382">
            <w:pPr>
              <w:widowControl/>
              <w:rPr>
                <w:rFonts w:hAnsi="宋体" w:cs="宋体"/>
                <w:bCs/>
                <w:szCs w:val="21"/>
              </w:rPr>
            </w:pPr>
            <w:r>
              <w:rPr>
                <w:rFonts w:hint="eastAsia" w:hAnsi="宋体"/>
                <w:szCs w:val="21"/>
              </w:rPr>
              <w:t>花桥工业区辖区内约692家企业外围公共区域（包含天福国家湿地公园、老政府广场、政府驻外机构）病媒生物防制服务</w:t>
            </w:r>
          </w:p>
        </w:tc>
        <w:tc>
          <w:tcPr>
            <w:tcW w:w="1646" w:type="dxa"/>
            <w:noWrap w:val="0"/>
            <w:vAlign w:val="center"/>
          </w:tcPr>
          <w:p w14:paraId="2F07C14D">
            <w:pPr>
              <w:pStyle w:val="16"/>
              <w:jc w:val="center"/>
              <w:rPr>
                <w:rFonts w:hAnsi="宋体" w:eastAsia="宋体" w:cs="宋体"/>
                <w:bCs/>
                <w:sz w:val="21"/>
                <w:szCs w:val="21"/>
              </w:rPr>
            </w:pPr>
            <w:r>
              <w:rPr>
                <w:rFonts w:hAnsi="宋体" w:eastAsia="宋体" w:cs="宋体"/>
                <w:bCs/>
                <w:sz w:val="21"/>
                <w:szCs w:val="21"/>
              </w:rPr>
              <w:t>10</w:t>
            </w:r>
            <w:r>
              <w:rPr>
                <w:rFonts w:hint="eastAsia" w:hAnsi="宋体" w:eastAsia="宋体" w:cs="宋体"/>
                <w:bCs/>
                <w:sz w:val="21"/>
                <w:szCs w:val="21"/>
              </w:rPr>
              <w:t>20000</w:t>
            </w:r>
          </w:p>
        </w:tc>
      </w:tr>
      <w:tr w14:paraId="55560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jc w:val="center"/>
        </w:trPr>
        <w:tc>
          <w:tcPr>
            <w:tcW w:w="9318" w:type="dxa"/>
            <w:gridSpan w:val="4"/>
            <w:noWrap w:val="0"/>
            <w:vAlign w:val="center"/>
          </w:tcPr>
          <w:p w14:paraId="0BFE04E9">
            <w:pPr>
              <w:jc w:val="left"/>
              <w:rPr>
                <w:rFonts w:ascii="宋体" w:hAnsi="宋体"/>
                <w:szCs w:val="21"/>
              </w:rPr>
            </w:pPr>
            <w:r>
              <w:rPr>
                <w:rFonts w:hint="eastAsia" w:ascii="宋体" w:hAnsi="宋体"/>
                <w:szCs w:val="21"/>
              </w:rPr>
              <w:t>注：①评标顺序按照标段一、标段二、标段三、标段四进行。</w:t>
            </w:r>
          </w:p>
          <w:p w14:paraId="4717D40E">
            <w:pPr>
              <w:ind w:firstLine="420"/>
              <w:jc w:val="left"/>
              <w:rPr>
                <w:rFonts w:ascii="宋体" w:hAnsi="宋体"/>
                <w:szCs w:val="21"/>
              </w:rPr>
            </w:pPr>
            <w:r>
              <w:rPr>
                <w:rFonts w:hint="eastAsia" w:ascii="宋体" w:hAnsi="宋体"/>
                <w:szCs w:val="21"/>
              </w:rPr>
              <w:t>②投标人可选择四个标段中一个或多个标段投报，但最多只能在一个标段中标（进入每个标段评审的实质性响应且具有得标权的供应商不得少于3家）。已中标的投标人不再计入其他标段的供应商数量且不参与其他标段评审，后期如有服务区域调整须服从采购人安排。</w:t>
            </w:r>
          </w:p>
          <w:p w14:paraId="6E9DB25F">
            <w:pPr>
              <w:ind w:firstLine="420"/>
              <w:jc w:val="left"/>
              <w:rPr>
                <w:rFonts w:hAnsi="宋体" w:cs="宋体"/>
                <w:bCs/>
                <w:szCs w:val="21"/>
              </w:rPr>
            </w:pPr>
            <w:r>
              <w:rPr>
                <w:rFonts w:hint="eastAsia" w:ascii="宋体" w:hAnsi="宋体"/>
                <w:szCs w:val="21"/>
              </w:rPr>
              <w:t>③投标人的报价不得超过每标段的预算金额，否则作无效投标。</w:t>
            </w:r>
          </w:p>
        </w:tc>
      </w:tr>
    </w:tbl>
    <w:p w14:paraId="0C09CA38">
      <w:pPr>
        <w:pStyle w:val="2"/>
        <w:ind w:left="0" w:firstLine="0"/>
        <w:rPr>
          <w:rFonts w:hint="default" w:ascii="宋体" w:hAnsi="宋体"/>
          <w:b/>
          <w:bCs/>
          <w:sz w:val="21"/>
          <w:szCs w:val="21"/>
        </w:rPr>
      </w:pPr>
      <w:r>
        <w:rPr>
          <w:rFonts w:ascii="宋体" w:hAnsi="宋体"/>
          <w:b/>
          <w:bCs/>
          <w:sz w:val="21"/>
          <w:szCs w:val="21"/>
        </w:rPr>
        <w:t>四、服务内容：</w:t>
      </w:r>
    </w:p>
    <w:p w14:paraId="3F7DFD82">
      <w:pPr>
        <w:pStyle w:val="22"/>
        <w:spacing w:line="360" w:lineRule="auto"/>
        <w:ind w:firstLine="420"/>
        <w:rPr>
          <w:rFonts w:hAnsi="宋体" w:cs="宋体"/>
        </w:rPr>
      </w:pPr>
      <w:r>
        <w:rPr>
          <w:rFonts w:hint="eastAsia" w:hAnsi="宋体" w:cs="宋体"/>
          <w:color w:val="000000"/>
          <w:szCs w:val="21"/>
        </w:rPr>
        <w:t>1、依据《昆山市病媒生物防制管理办法（试行）》及《昆山市病媒生物防制考核办法》的相关规定，有序开展花桥区域范围的病媒防制工作，具体范围以甲方要求为准。</w:t>
      </w:r>
    </w:p>
    <w:p w14:paraId="2C83A2CC">
      <w:pPr>
        <w:numPr>
          <w:ilvl w:val="0"/>
          <w:numId w:val="1"/>
        </w:numPr>
        <w:shd w:val="clear" w:color="auto" w:fill="FFFFFF"/>
        <w:spacing w:line="360" w:lineRule="auto"/>
        <w:ind w:firstLine="420"/>
        <w:rPr>
          <w:rFonts w:ascii="宋体" w:hAnsi="宋体" w:cs="宋体"/>
          <w:szCs w:val="21"/>
        </w:rPr>
      </w:pPr>
      <w:r>
        <w:rPr>
          <w:rFonts w:hint="eastAsia" w:ascii="宋体" w:hAnsi="宋体" w:cs="宋体"/>
          <w:szCs w:val="21"/>
        </w:rPr>
        <w:t>针对花桥区域开展的病媒防制服务，在加强日常消杀、日常管理工作的同时，对高峰季节、重点区域采取各类强化防制措施，把防制对象的种群密度常年控制在国家规定的标准范围以内。</w:t>
      </w:r>
    </w:p>
    <w:p w14:paraId="69687A57">
      <w:pPr>
        <w:shd w:val="clear" w:color="auto" w:fill="FFFFFF"/>
        <w:spacing w:line="360" w:lineRule="auto"/>
        <w:ind w:firstLine="420"/>
        <w:rPr>
          <w:rFonts w:ascii="宋体" w:hAnsi="宋体" w:cs="宋体"/>
          <w:color w:val="000000"/>
          <w:szCs w:val="21"/>
        </w:rPr>
      </w:pPr>
      <w:r>
        <w:rPr>
          <w:rFonts w:hint="eastAsia" w:ascii="宋体" w:hAnsi="宋体" w:cs="宋体"/>
          <w:szCs w:val="21"/>
        </w:rPr>
        <w:t>3、按照《昆山病媒生物防制药品采购目录》实施空间镶嵌用药防制原则，进一步完善药械应急仓储制度、药剂轮换制度，禁止使用“三无”和违禁杀虫剂、灭鼠剂及器械。</w:t>
      </w:r>
    </w:p>
    <w:tbl>
      <w:tblPr>
        <w:tblStyle w:val="13"/>
        <w:tblW w:w="9507"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797"/>
        <w:gridCol w:w="765"/>
        <w:gridCol w:w="5163"/>
        <w:gridCol w:w="1077"/>
      </w:tblGrid>
      <w:tr w14:paraId="306CE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705" w:type="dxa"/>
            <w:noWrap w:val="0"/>
            <w:vAlign w:val="center"/>
          </w:tcPr>
          <w:p w14:paraId="12662C80">
            <w:pPr>
              <w:spacing w:line="360" w:lineRule="exact"/>
              <w:jc w:val="center"/>
              <w:rPr>
                <w:rFonts w:ascii="宋体" w:hAnsi="宋体" w:cs="宋体"/>
                <w:szCs w:val="21"/>
              </w:rPr>
            </w:pPr>
            <w:r>
              <w:rPr>
                <w:rFonts w:hint="eastAsia" w:ascii="宋体" w:hAnsi="宋体" w:cs="宋体"/>
                <w:szCs w:val="21"/>
              </w:rPr>
              <w:t>序号</w:t>
            </w:r>
          </w:p>
        </w:tc>
        <w:tc>
          <w:tcPr>
            <w:tcW w:w="1797" w:type="dxa"/>
            <w:noWrap w:val="0"/>
            <w:vAlign w:val="center"/>
          </w:tcPr>
          <w:p w14:paraId="763620AF">
            <w:pPr>
              <w:spacing w:line="360" w:lineRule="exact"/>
              <w:jc w:val="center"/>
              <w:rPr>
                <w:rFonts w:ascii="宋体" w:hAnsi="宋体" w:cs="宋体"/>
                <w:szCs w:val="21"/>
              </w:rPr>
            </w:pPr>
            <w:r>
              <w:rPr>
                <w:rFonts w:hint="eastAsia" w:ascii="宋体" w:hAnsi="宋体" w:cs="宋体"/>
                <w:szCs w:val="21"/>
              </w:rPr>
              <w:t>项目内容</w:t>
            </w:r>
          </w:p>
        </w:tc>
        <w:tc>
          <w:tcPr>
            <w:tcW w:w="765" w:type="dxa"/>
            <w:noWrap w:val="0"/>
            <w:vAlign w:val="center"/>
          </w:tcPr>
          <w:p w14:paraId="5FC80951">
            <w:pPr>
              <w:spacing w:line="360" w:lineRule="exact"/>
              <w:jc w:val="center"/>
              <w:rPr>
                <w:rFonts w:ascii="宋体" w:hAnsi="宋体" w:cs="宋体"/>
                <w:szCs w:val="21"/>
              </w:rPr>
            </w:pPr>
            <w:r>
              <w:rPr>
                <w:rFonts w:hint="eastAsia" w:ascii="宋体" w:hAnsi="宋体" w:cs="宋体"/>
                <w:szCs w:val="21"/>
              </w:rPr>
              <w:t>数量</w:t>
            </w:r>
          </w:p>
        </w:tc>
        <w:tc>
          <w:tcPr>
            <w:tcW w:w="5163" w:type="dxa"/>
            <w:noWrap w:val="0"/>
            <w:vAlign w:val="center"/>
          </w:tcPr>
          <w:p w14:paraId="063C72C3">
            <w:pPr>
              <w:spacing w:line="360" w:lineRule="exact"/>
              <w:jc w:val="center"/>
              <w:rPr>
                <w:rFonts w:ascii="宋体" w:hAnsi="宋体" w:cs="宋体"/>
                <w:szCs w:val="21"/>
              </w:rPr>
            </w:pPr>
            <w:r>
              <w:rPr>
                <w:rFonts w:hint="eastAsia" w:ascii="宋体" w:hAnsi="宋体" w:cs="宋体"/>
                <w:szCs w:val="21"/>
              </w:rPr>
              <w:t>作业区域内容</w:t>
            </w:r>
          </w:p>
        </w:tc>
        <w:tc>
          <w:tcPr>
            <w:tcW w:w="1077" w:type="dxa"/>
            <w:noWrap w:val="0"/>
            <w:vAlign w:val="center"/>
          </w:tcPr>
          <w:p w14:paraId="3D2C753F">
            <w:pPr>
              <w:spacing w:line="360" w:lineRule="exact"/>
              <w:jc w:val="center"/>
              <w:rPr>
                <w:rFonts w:ascii="宋体" w:hAnsi="宋体" w:cs="宋体"/>
                <w:szCs w:val="21"/>
              </w:rPr>
            </w:pPr>
            <w:r>
              <w:rPr>
                <w:rFonts w:hint="eastAsia" w:ascii="宋体" w:hAnsi="宋体" w:cs="宋体"/>
                <w:szCs w:val="21"/>
              </w:rPr>
              <w:t>防制频率</w:t>
            </w:r>
          </w:p>
        </w:tc>
      </w:tr>
      <w:tr w14:paraId="1C1F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705" w:type="dxa"/>
            <w:noWrap w:val="0"/>
            <w:vAlign w:val="center"/>
          </w:tcPr>
          <w:p w14:paraId="45634C3C">
            <w:pPr>
              <w:spacing w:line="360" w:lineRule="exact"/>
              <w:jc w:val="center"/>
              <w:rPr>
                <w:rFonts w:ascii="宋体" w:hAnsi="宋体" w:cs="宋体"/>
                <w:szCs w:val="21"/>
              </w:rPr>
            </w:pPr>
            <w:r>
              <w:rPr>
                <w:rFonts w:hint="eastAsia" w:ascii="宋体" w:hAnsi="宋体" w:cs="宋体"/>
                <w:szCs w:val="21"/>
              </w:rPr>
              <w:t>1</w:t>
            </w:r>
          </w:p>
        </w:tc>
        <w:tc>
          <w:tcPr>
            <w:tcW w:w="1797" w:type="dxa"/>
            <w:noWrap w:val="0"/>
            <w:vAlign w:val="center"/>
          </w:tcPr>
          <w:p w14:paraId="6265292C">
            <w:pPr>
              <w:spacing w:line="360" w:lineRule="exact"/>
              <w:jc w:val="center"/>
              <w:rPr>
                <w:rFonts w:ascii="宋体" w:hAnsi="宋体" w:cs="宋体"/>
                <w:szCs w:val="21"/>
              </w:rPr>
            </w:pPr>
            <w:r>
              <w:rPr>
                <w:rFonts w:hint="eastAsia" w:ascii="宋体" w:hAnsi="宋体" w:cs="宋体"/>
                <w:szCs w:val="21"/>
              </w:rPr>
              <w:t>开展辖区蚊、蝇孳生地调查</w:t>
            </w:r>
          </w:p>
        </w:tc>
        <w:tc>
          <w:tcPr>
            <w:tcW w:w="765" w:type="dxa"/>
            <w:noWrap w:val="0"/>
            <w:vAlign w:val="center"/>
          </w:tcPr>
          <w:p w14:paraId="00EF2715">
            <w:pPr>
              <w:spacing w:line="360" w:lineRule="exact"/>
              <w:jc w:val="center"/>
              <w:rPr>
                <w:rFonts w:ascii="宋体" w:hAnsi="宋体" w:cs="宋体"/>
                <w:szCs w:val="21"/>
              </w:rPr>
            </w:pPr>
            <w:r>
              <w:rPr>
                <w:rFonts w:hint="eastAsia" w:ascii="宋体" w:hAnsi="宋体" w:cs="宋体"/>
                <w:szCs w:val="21"/>
              </w:rPr>
              <w:t>1项</w:t>
            </w:r>
          </w:p>
        </w:tc>
        <w:tc>
          <w:tcPr>
            <w:tcW w:w="5163" w:type="dxa"/>
            <w:noWrap w:val="0"/>
            <w:vAlign w:val="center"/>
          </w:tcPr>
          <w:p w14:paraId="1CBDC80E">
            <w:pPr>
              <w:spacing w:line="360" w:lineRule="exact"/>
              <w:jc w:val="left"/>
              <w:rPr>
                <w:rFonts w:ascii="宋体" w:hAnsi="宋体" w:cs="宋体"/>
                <w:szCs w:val="21"/>
              </w:rPr>
            </w:pPr>
            <w:r>
              <w:rPr>
                <w:rFonts w:hint="eastAsia" w:ascii="宋体" w:hAnsi="宋体" w:cs="宋体"/>
                <w:szCs w:val="21"/>
              </w:rPr>
              <w:t>掌握辖区孳生地的本底情况，建立主要孳生地台帐，并根据孳生地的变化情况及时进行更新,投放幼蚊控制药剂，有效控制易孳生区域蚊幼，每年两次汇总上报</w:t>
            </w:r>
          </w:p>
        </w:tc>
        <w:tc>
          <w:tcPr>
            <w:tcW w:w="1077" w:type="dxa"/>
            <w:noWrap w:val="0"/>
            <w:vAlign w:val="center"/>
          </w:tcPr>
          <w:p w14:paraId="20550BE9">
            <w:pPr>
              <w:spacing w:line="360" w:lineRule="exact"/>
              <w:jc w:val="center"/>
              <w:rPr>
                <w:rFonts w:ascii="宋体" w:hAnsi="宋体" w:cs="宋体"/>
                <w:szCs w:val="21"/>
              </w:rPr>
            </w:pPr>
            <w:r>
              <w:rPr>
                <w:rFonts w:hint="eastAsia" w:ascii="宋体" w:hAnsi="宋体" w:cs="宋体"/>
                <w:szCs w:val="21"/>
              </w:rPr>
              <w:t>2次/年</w:t>
            </w:r>
          </w:p>
        </w:tc>
      </w:tr>
      <w:tr w14:paraId="340FE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05" w:type="dxa"/>
            <w:vMerge w:val="restart"/>
            <w:noWrap w:val="0"/>
            <w:vAlign w:val="center"/>
          </w:tcPr>
          <w:p w14:paraId="071F7BAE">
            <w:pPr>
              <w:spacing w:line="360" w:lineRule="exact"/>
              <w:jc w:val="center"/>
              <w:rPr>
                <w:rFonts w:ascii="宋体" w:hAnsi="宋体" w:cs="宋体"/>
                <w:szCs w:val="21"/>
              </w:rPr>
            </w:pPr>
            <w:r>
              <w:rPr>
                <w:rFonts w:hint="eastAsia" w:ascii="宋体" w:hAnsi="宋体" w:cs="宋体"/>
                <w:szCs w:val="21"/>
              </w:rPr>
              <w:t>2</w:t>
            </w:r>
          </w:p>
        </w:tc>
        <w:tc>
          <w:tcPr>
            <w:tcW w:w="1797" w:type="dxa"/>
            <w:vMerge w:val="restart"/>
            <w:noWrap w:val="0"/>
            <w:vAlign w:val="center"/>
          </w:tcPr>
          <w:p w14:paraId="27DE5702">
            <w:pPr>
              <w:spacing w:line="360" w:lineRule="exact"/>
              <w:jc w:val="center"/>
              <w:rPr>
                <w:rFonts w:ascii="宋体" w:hAnsi="宋体" w:cs="宋体"/>
                <w:szCs w:val="21"/>
              </w:rPr>
            </w:pPr>
            <w:r>
              <w:rPr>
                <w:rFonts w:hint="eastAsia" w:ascii="宋体" w:hAnsi="宋体" w:cs="宋体"/>
                <w:szCs w:val="21"/>
              </w:rPr>
              <w:t>花桥区域管辖范围的居民小区鼠、蚊、蝇病媒生物防制服务</w:t>
            </w:r>
          </w:p>
        </w:tc>
        <w:tc>
          <w:tcPr>
            <w:tcW w:w="765" w:type="dxa"/>
            <w:vMerge w:val="restart"/>
            <w:noWrap w:val="0"/>
            <w:vAlign w:val="center"/>
          </w:tcPr>
          <w:p w14:paraId="78E43470">
            <w:pPr>
              <w:spacing w:line="360" w:lineRule="exact"/>
              <w:jc w:val="center"/>
              <w:rPr>
                <w:rFonts w:ascii="宋体" w:hAnsi="宋体" w:cs="宋体"/>
                <w:szCs w:val="21"/>
              </w:rPr>
            </w:pPr>
            <w:r>
              <w:rPr>
                <w:rFonts w:hint="eastAsia" w:ascii="宋体" w:hAnsi="宋体" w:cs="宋体"/>
                <w:szCs w:val="21"/>
              </w:rPr>
              <w:t>180</w:t>
            </w:r>
          </w:p>
        </w:tc>
        <w:tc>
          <w:tcPr>
            <w:tcW w:w="5163" w:type="dxa"/>
            <w:noWrap w:val="0"/>
            <w:vAlign w:val="center"/>
          </w:tcPr>
          <w:p w14:paraId="03478D7B">
            <w:pPr>
              <w:spacing w:line="360" w:lineRule="exact"/>
              <w:jc w:val="left"/>
              <w:rPr>
                <w:rFonts w:ascii="宋体" w:hAnsi="宋体" w:cs="宋体"/>
                <w:szCs w:val="21"/>
              </w:rPr>
            </w:pPr>
            <w:r>
              <w:rPr>
                <w:rFonts w:hint="eastAsia" w:ascii="宋体" w:hAnsi="宋体" w:cs="宋体"/>
                <w:szCs w:val="21"/>
              </w:rPr>
              <w:t>鼠：3-4月份春季灭鼠，11-12月份冬季灭鼠</w:t>
            </w:r>
          </w:p>
        </w:tc>
        <w:tc>
          <w:tcPr>
            <w:tcW w:w="1077" w:type="dxa"/>
            <w:noWrap w:val="0"/>
            <w:vAlign w:val="center"/>
          </w:tcPr>
          <w:p w14:paraId="6C7A63F7">
            <w:pPr>
              <w:spacing w:line="360" w:lineRule="exact"/>
              <w:jc w:val="center"/>
              <w:rPr>
                <w:rFonts w:ascii="宋体" w:hAnsi="宋体" w:cs="宋体"/>
                <w:szCs w:val="21"/>
              </w:rPr>
            </w:pPr>
            <w:r>
              <w:rPr>
                <w:rFonts w:hint="eastAsia" w:ascii="宋体" w:hAnsi="宋体" w:cs="宋体"/>
                <w:szCs w:val="21"/>
              </w:rPr>
              <w:t>2次/年</w:t>
            </w:r>
          </w:p>
        </w:tc>
      </w:tr>
      <w:tr w14:paraId="6156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705" w:type="dxa"/>
            <w:vMerge w:val="continue"/>
            <w:noWrap w:val="0"/>
            <w:vAlign w:val="center"/>
          </w:tcPr>
          <w:p w14:paraId="59A295FE">
            <w:pPr>
              <w:spacing w:line="360" w:lineRule="exact"/>
              <w:jc w:val="center"/>
              <w:rPr>
                <w:rFonts w:ascii="宋体" w:hAnsi="宋体" w:cs="宋体"/>
                <w:szCs w:val="21"/>
              </w:rPr>
            </w:pPr>
          </w:p>
        </w:tc>
        <w:tc>
          <w:tcPr>
            <w:tcW w:w="1797" w:type="dxa"/>
            <w:vMerge w:val="continue"/>
            <w:noWrap w:val="0"/>
            <w:vAlign w:val="center"/>
          </w:tcPr>
          <w:p w14:paraId="429DDAB7">
            <w:pPr>
              <w:spacing w:line="360" w:lineRule="exact"/>
              <w:jc w:val="center"/>
              <w:rPr>
                <w:rFonts w:ascii="宋体" w:hAnsi="宋体" w:cs="宋体"/>
                <w:szCs w:val="21"/>
              </w:rPr>
            </w:pPr>
          </w:p>
        </w:tc>
        <w:tc>
          <w:tcPr>
            <w:tcW w:w="765" w:type="dxa"/>
            <w:vMerge w:val="continue"/>
            <w:noWrap w:val="0"/>
            <w:vAlign w:val="center"/>
          </w:tcPr>
          <w:p w14:paraId="0B3E352E">
            <w:pPr>
              <w:spacing w:line="360" w:lineRule="exact"/>
              <w:jc w:val="center"/>
              <w:rPr>
                <w:rFonts w:ascii="宋体" w:hAnsi="宋体" w:cs="宋体"/>
                <w:szCs w:val="21"/>
              </w:rPr>
            </w:pPr>
          </w:p>
        </w:tc>
        <w:tc>
          <w:tcPr>
            <w:tcW w:w="5163" w:type="dxa"/>
            <w:noWrap w:val="0"/>
            <w:vAlign w:val="center"/>
          </w:tcPr>
          <w:p w14:paraId="112874A7">
            <w:pPr>
              <w:spacing w:line="360" w:lineRule="exact"/>
              <w:jc w:val="left"/>
              <w:rPr>
                <w:rFonts w:ascii="宋体" w:hAnsi="宋体" w:cs="宋体"/>
                <w:szCs w:val="21"/>
              </w:rPr>
            </w:pPr>
            <w:r>
              <w:rPr>
                <w:rFonts w:hint="eastAsia" w:ascii="宋体" w:hAnsi="宋体" w:cs="宋体"/>
                <w:szCs w:val="21"/>
              </w:rPr>
              <w:t>蚊蝇：5-10月份对垃圾桶、绿化滋生地外环境滞留作业</w:t>
            </w:r>
          </w:p>
        </w:tc>
        <w:tc>
          <w:tcPr>
            <w:tcW w:w="1077" w:type="dxa"/>
            <w:noWrap w:val="0"/>
            <w:vAlign w:val="center"/>
          </w:tcPr>
          <w:p w14:paraId="278669AA">
            <w:pPr>
              <w:spacing w:line="360" w:lineRule="exact"/>
              <w:jc w:val="center"/>
              <w:rPr>
                <w:rFonts w:ascii="宋体" w:hAnsi="宋体" w:cs="宋体"/>
                <w:szCs w:val="21"/>
              </w:rPr>
            </w:pPr>
            <w:r>
              <w:rPr>
                <w:rFonts w:hint="eastAsia" w:ascii="宋体" w:hAnsi="宋体" w:cs="宋体"/>
                <w:szCs w:val="21"/>
              </w:rPr>
              <w:t>3次/月</w:t>
            </w:r>
          </w:p>
        </w:tc>
      </w:tr>
      <w:tr w14:paraId="28F43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705" w:type="dxa"/>
            <w:vMerge w:val="continue"/>
            <w:noWrap w:val="0"/>
            <w:vAlign w:val="center"/>
          </w:tcPr>
          <w:p w14:paraId="6C54B500">
            <w:pPr>
              <w:spacing w:line="360" w:lineRule="exact"/>
              <w:jc w:val="center"/>
              <w:rPr>
                <w:rFonts w:ascii="宋体" w:hAnsi="宋体" w:cs="宋体"/>
                <w:szCs w:val="21"/>
                <w:highlight w:val="yellow"/>
              </w:rPr>
            </w:pPr>
          </w:p>
        </w:tc>
        <w:tc>
          <w:tcPr>
            <w:tcW w:w="1797" w:type="dxa"/>
            <w:vMerge w:val="continue"/>
            <w:noWrap w:val="0"/>
            <w:vAlign w:val="center"/>
          </w:tcPr>
          <w:p w14:paraId="67727AD0">
            <w:pPr>
              <w:spacing w:line="360" w:lineRule="exact"/>
              <w:jc w:val="center"/>
              <w:rPr>
                <w:rFonts w:ascii="宋体" w:hAnsi="宋体" w:cs="宋体"/>
                <w:szCs w:val="21"/>
              </w:rPr>
            </w:pPr>
          </w:p>
        </w:tc>
        <w:tc>
          <w:tcPr>
            <w:tcW w:w="765" w:type="dxa"/>
            <w:vMerge w:val="continue"/>
            <w:noWrap w:val="0"/>
            <w:vAlign w:val="center"/>
          </w:tcPr>
          <w:p w14:paraId="56B7AB70">
            <w:pPr>
              <w:spacing w:line="360" w:lineRule="exact"/>
              <w:jc w:val="center"/>
              <w:rPr>
                <w:rFonts w:ascii="宋体" w:hAnsi="宋体" w:cs="宋体"/>
                <w:szCs w:val="21"/>
              </w:rPr>
            </w:pPr>
          </w:p>
        </w:tc>
        <w:tc>
          <w:tcPr>
            <w:tcW w:w="5163" w:type="dxa"/>
            <w:noWrap w:val="0"/>
            <w:vAlign w:val="center"/>
          </w:tcPr>
          <w:p w14:paraId="172E76C2">
            <w:pPr>
              <w:spacing w:line="360" w:lineRule="exact"/>
              <w:jc w:val="left"/>
              <w:rPr>
                <w:rFonts w:ascii="宋体" w:hAnsi="宋体" w:cs="宋体"/>
                <w:szCs w:val="21"/>
              </w:rPr>
            </w:pPr>
            <w:r>
              <w:rPr>
                <w:rFonts w:hint="eastAsia" w:ascii="宋体" w:hAnsi="宋体" w:cs="宋体"/>
                <w:szCs w:val="21"/>
              </w:rPr>
              <w:t>孳生地处理：5-10月份对小区窨井内蚊幼孳生的雨水道口，采取疏通的方式，避免形成长期积水，定期投放环境友好的杀蚊幼剂</w:t>
            </w:r>
          </w:p>
        </w:tc>
        <w:tc>
          <w:tcPr>
            <w:tcW w:w="1077" w:type="dxa"/>
            <w:noWrap w:val="0"/>
            <w:vAlign w:val="center"/>
          </w:tcPr>
          <w:p w14:paraId="3155E80F">
            <w:pPr>
              <w:spacing w:line="360" w:lineRule="exact"/>
              <w:jc w:val="center"/>
              <w:rPr>
                <w:rFonts w:ascii="宋体" w:hAnsi="宋体" w:cs="宋体"/>
                <w:szCs w:val="21"/>
              </w:rPr>
            </w:pPr>
            <w:r>
              <w:rPr>
                <w:rFonts w:hint="eastAsia" w:ascii="宋体" w:hAnsi="宋体" w:cs="宋体"/>
                <w:szCs w:val="21"/>
              </w:rPr>
              <w:t>2次/月</w:t>
            </w:r>
          </w:p>
        </w:tc>
      </w:tr>
      <w:tr w14:paraId="51C13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705" w:type="dxa"/>
            <w:vMerge w:val="continue"/>
            <w:noWrap w:val="0"/>
            <w:vAlign w:val="center"/>
          </w:tcPr>
          <w:p w14:paraId="0BFF841D">
            <w:pPr>
              <w:spacing w:line="360" w:lineRule="exact"/>
              <w:jc w:val="left"/>
            </w:pPr>
          </w:p>
        </w:tc>
        <w:tc>
          <w:tcPr>
            <w:tcW w:w="1797" w:type="dxa"/>
            <w:vMerge w:val="continue"/>
            <w:noWrap w:val="0"/>
            <w:vAlign w:val="center"/>
          </w:tcPr>
          <w:p w14:paraId="5785A0D8">
            <w:pPr>
              <w:spacing w:line="360" w:lineRule="exact"/>
              <w:jc w:val="left"/>
            </w:pPr>
          </w:p>
        </w:tc>
        <w:tc>
          <w:tcPr>
            <w:tcW w:w="765" w:type="dxa"/>
            <w:vMerge w:val="continue"/>
            <w:noWrap w:val="0"/>
            <w:vAlign w:val="center"/>
          </w:tcPr>
          <w:p w14:paraId="58F413B0">
            <w:pPr>
              <w:spacing w:line="360" w:lineRule="exact"/>
              <w:jc w:val="left"/>
            </w:pPr>
          </w:p>
        </w:tc>
        <w:tc>
          <w:tcPr>
            <w:tcW w:w="5163" w:type="dxa"/>
            <w:noWrap w:val="0"/>
            <w:vAlign w:val="center"/>
          </w:tcPr>
          <w:p w14:paraId="6E71F60D">
            <w:pPr>
              <w:spacing w:line="360" w:lineRule="exact"/>
              <w:jc w:val="left"/>
              <w:rPr>
                <w:rFonts w:ascii="宋体" w:hAnsi="宋体" w:cs="宋体"/>
                <w:szCs w:val="21"/>
              </w:rPr>
            </w:pPr>
            <w:r>
              <w:rPr>
                <w:rFonts w:hint="eastAsia" w:ascii="宋体" w:hAnsi="宋体" w:cs="宋体"/>
                <w:szCs w:val="21"/>
              </w:rPr>
              <w:t>标段一、标段二、标段三范围内小区，每两年至少有一个小区创建成病媒生物防制示范小区（病媒生物防制改造提升项目）</w:t>
            </w:r>
          </w:p>
        </w:tc>
        <w:tc>
          <w:tcPr>
            <w:tcW w:w="1077" w:type="dxa"/>
            <w:noWrap w:val="0"/>
            <w:vAlign w:val="center"/>
          </w:tcPr>
          <w:p w14:paraId="0421C7FE">
            <w:pPr>
              <w:spacing w:line="360" w:lineRule="exact"/>
              <w:jc w:val="left"/>
              <w:rPr>
                <w:rFonts w:ascii="宋体" w:hAnsi="宋体" w:cs="宋体"/>
                <w:szCs w:val="21"/>
              </w:rPr>
            </w:pPr>
            <w:r>
              <w:rPr>
                <w:rFonts w:hint="eastAsia" w:ascii="宋体" w:hAnsi="宋体" w:cs="宋体"/>
                <w:szCs w:val="21"/>
              </w:rPr>
              <w:t>1次</w:t>
            </w:r>
            <w:r>
              <w:rPr>
                <w:rFonts w:ascii="宋体" w:hAnsi="宋体" w:cs="宋体"/>
                <w:szCs w:val="21"/>
              </w:rPr>
              <w:t>/2年</w:t>
            </w:r>
          </w:p>
        </w:tc>
      </w:tr>
      <w:tr w14:paraId="716DB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705" w:type="dxa"/>
            <w:vMerge w:val="restart"/>
            <w:noWrap w:val="0"/>
            <w:vAlign w:val="center"/>
          </w:tcPr>
          <w:p w14:paraId="6EE307A4">
            <w:pPr>
              <w:spacing w:line="360" w:lineRule="exact"/>
              <w:jc w:val="center"/>
              <w:rPr>
                <w:rFonts w:ascii="宋体" w:hAnsi="宋体" w:cs="宋体"/>
                <w:szCs w:val="21"/>
              </w:rPr>
            </w:pPr>
            <w:r>
              <w:rPr>
                <w:rFonts w:hint="eastAsia" w:ascii="宋体" w:hAnsi="宋体" w:cs="宋体"/>
                <w:szCs w:val="21"/>
              </w:rPr>
              <w:t>3</w:t>
            </w:r>
          </w:p>
        </w:tc>
        <w:tc>
          <w:tcPr>
            <w:tcW w:w="1797" w:type="dxa"/>
            <w:vMerge w:val="restart"/>
            <w:noWrap w:val="0"/>
            <w:vAlign w:val="center"/>
          </w:tcPr>
          <w:p w14:paraId="3F851DBD">
            <w:pPr>
              <w:spacing w:line="360" w:lineRule="exact"/>
              <w:jc w:val="center"/>
              <w:rPr>
                <w:rFonts w:ascii="宋体" w:hAnsi="宋体" w:cs="宋体"/>
                <w:szCs w:val="21"/>
              </w:rPr>
            </w:pPr>
            <w:r>
              <w:rPr>
                <w:rFonts w:hint="eastAsia" w:ascii="宋体" w:hAnsi="宋体" w:cs="宋体"/>
                <w:szCs w:val="21"/>
              </w:rPr>
              <w:t>花桥区域管辖范围的农贸市场、大型商超外</w:t>
            </w:r>
            <w:r>
              <w:rPr>
                <w:rFonts w:ascii="宋体" w:hAnsi="宋体" w:cs="宋体"/>
                <w:szCs w:val="21"/>
              </w:rPr>
              <w:t>围</w:t>
            </w:r>
            <w:r>
              <w:rPr>
                <w:rFonts w:hint="eastAsia" w:ascii="宋体" w:hAnsi="宋体" w:cs="宋体"/>
                <w:szCs w:val="21"/>
              </w:rPr>
              <w:t>鼠、蚊、蝇、蟑螂病媒生物防制服务</w:t>
            </w:r>
          </w:p>
        </w:tc>
        <w:tc>
          <w:tcPr>
            <w:tcW w:w="765" w:type="dxa"/>
            <w:vMerge w:val="restart"/>
            <w:noWrap w:val="0"/>
            <w:vAlign w:val="center"/>
          </w:tcPr>
          <w:p w14:paraId="0E161F19">
            <w:pPr>
              <w:spacing w:line="360" w:lineRule="exact"/>
              <w:jc w:val="center"/>
              <w:rPr>
                <w:rFonts w:ascii="宋体" w:hAnsi="宋体" w:cs="宋体"/>
                <w:szCs w:val="21"/>
              </w:rPr>
            </w:pPr>
            <w:r>
              <w:rPr>
                <w:rFonts w:hint="eastAsia" w:ascii="宋体" w:hAnsi="宋体" w:cs="宋体"/>
                <w:szCs w:val="21"/>
              </w:rPr>
              <w:t>6</w:t>
            </w:r>
          </w:p>
        </w:tc>
        <w:tc>
          <w:tcPr>
            <w:tcW w:w="5163" w:type="dxa"/>
            <w:noWrap w:val="0"/>
            <w:vAlign w:val="center"/>
          </w:tcPr>
          <w:p w14:paraId="551324C7">
            <w:pPr>
              <w:spacing w:line="360" w:lineRule="exact"/>
              <w:jc w:val="left"/>
              <w:rPr>
                <w:rFonts w:ascii="宋体" w:hAnsi="宋体" w:cs="宋体"/>
                <w:szCs w:val="21"/>
              </w:rPr>
            </w:pPr>
            <w:r>
              <w:rPr>
                <w:rFonts w:hint="eastAsia" w:ascii="宋体" w:hAnsi="宋体" w:cs="宋体"/>
                <w:szCs w:val="21"/>
              </w:rPr>
              <w:t>鼠：外环境饵站投放及维护</w:t>
            </w:r>
          </w:p>
        </w:tc>
        <w:tc>
          <w:tcPr>
            <w:tcW w:w="1077" w:type="dxa"/>
            <w:noWrap w:val="0"/>
            <w:vAlign w:val="center"/>
          </w:tcPr>
          <w:p w14:paraId="419CDCFF">
            <w:pPr>
              <w:spacing w:line="360" w:lineRule="exact"/>
              <w:jc w:val="center"/>
              <w:rPr>
                <w:rFonts w:ascii="宋体" w:hAnsi="宋体" w:cs="宋体"/>
                <w:szCs w:val="21"/>
              </w:rPr>
            </w:pPr>
            <w:r>
              <w:rPr>
                <w:rFonts w:hint="eastAsia" w:ascii="宋体" w:hAnsi="宋体" w:cs="宋体"/>
                <w:szCs w:val="21"/>
              </w:rPr>
              <w:t>1次/月</w:t>
            </w:r>
          </w:p>
        </w:tc>
      </w:tr>
      <w:tr w14:paraId="0796F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trPr>
        <w:tc>
          <w:tcPr>
            <w:tcW w:w="705" w:type="dxa"/>
            <w:vMerge w:val="continue"/>
            <w:noWrap w:val="0"/>
            <w:vAlign w:val="center"/>
          </w:tcPr>
          <w:p w14:paraId="415B3091">
            <w:pPr>
              <w:spacing w:line="360" w:lineRule="exact"/>
              <w:jc w:val="center"/>
              <w:rPr>
                <w:rFonts w:ascii="宋体" w:hAnsi="宋体" w:cs="宋体"/>
                <w:szCs w:val="21"/>
              </w:rPr>
            </w:pPr>
          </w:p>
        </w:tc>
        <w:tc>
          <w:tcPr>
            <w:tcW w:w="1797" w:type="dxa"/>
            <w:vMerge w:val="continue"/>
            <w:noWrap w:val="0"/>
            <w:vAlign w:val="center"/>
          </w:tcPr>
          <w:p w14:paraId="2375C8E7">
            <w:pPr>
              <w:spacing w:line="360" w:lineRule="exact"/>
              <w:jc w:val="center"/>
              <w:rPr>
                <w:rFonts w:ascii="宋体" w:hAnsi="宋体" w:cs="宋体"/>
                <w:szCs w:val="21"/>
              </w:rPr>
            </w:pPr>
          </w:p>
        </w:tc>
        <w:tc>
          <w:tcPr>
            <w:tcW w:w="765" w:type="dxa"/>
            <w:vMerge w:val="continue"/>
            <w:noWrap w:val="0"/>
            <w:vAlign w:val="center"/>
          </w:tcPr>
          <w:p w14:paraId="4C5B9517">
            <w:pPr>
              <w:spacing w:line="360" w:lineRule="exact"/>
              <w:jc w:val="center"/>
              <w:rPr>
                <w:rFonts w:ascii="宋体" w:hAnsi="宋体" w:cs="宋体"/>
                <w:szCs w:val="21"/>
              </w:rPr>
            </w:pPr>
          </w:p>
        </w:tc>
        <w:tc>
          <w:tcPr>
            <w:tcW w:w="5163" w:type="dxa"/>
            <w:noWrap w:val="0"/>
            <w:vAlign w:val="center"/>
          </w:tcPr>
          <w:p w14:paraId="17B00D67">
            <w:pPr>
              <w:spacing w:line="360" w:lineRule="exact"/>
              <w:jc w:val="left"/>
              <w:rPr>
                <w:rFonts w:ascii="宋体" w:hAnsi="宋体" w:cs="宋体"/>
                <w:szCs w:val="21"/>
              </w:rPr>
            </w:pPr>
            <w:r>
              <w:rPr>
                <w:rFonts w:hint="eastAsia" w:ascii="宋体" w:hAnsi="宋体" w:cs="宋体"/>
                <w:szCs w:val="21"/>
              </w:rPr>
              <w:t>蟑：下水道、市场内蔬菜、肉类摊位</w:t>
            </w:r>
          </w:p>
        </w:tc>
        <w:tc>
          <w:tcPr>
            <w:tcW w:w="1077" w:type="dxa"/>
            <w:noWrap w:val="0"/>
            <w:vAlign w:val="center"/>
          </w:tcPr>
          <w:p w14:paraId="59DF3068">
            <w:pPr>
              <w:spacing w:line="360" w:lineRule="exact"/>
              <w:jc w:val="center"/>
              <w:rPr>
                <w:rFonts w:ascii="宋体" w:hAnsi="宋体" w:cs="宋体"/>
                <w:szCs w:val="21"/>
              </w:rPr>
            </w:pPr>
            <w:r>
              <w:rPr>
                <w:rFonts w:hint="eastAsia" w:ascii="宋体" w:hAnsi="宋体" w:cs="宋体"/>
                <w:szCs w:val="21"/>
              </w:rPr>
              <w:t>2次/月</w:t>
            </w:r>
          </w:p>
        </w:tc>
      </w:tr>
      <w:tr w14:paraId="5FE8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705" w:type="dxa"/>
            <w:vMerge w:val="continue"/>
            <w:noWrap w:val="0"/>
            <w:vAlign w:val="center"/>
          </w:tcPr>
          <w:p w14:paraId="2405C6F7">
            <w:pPr>
              <w:spacing w:line="360" w:lineRule="exact"/>
              <w:jc w:val="center"/>
              <w:rPr>
                <w:rFonts w:ascii="宋体" w:hAnsi="宋体" w:cs="宋体"/>
                <w:szCs w:val="21"/>
              </w:rPr>
            </w:pPr>
          </w:p>
        </w:tc>
        <w:tc>
          <w:tcPr>
            <w:tcW w:w="1797" w:type="dxa"/>
            <w:vMerge w:val="continue"/>
            <w:noWrap w:val="0"/>
            <w:vAlign w:val="center"/>
          </w:tcPr>
          <w:p w14:paraId="0B67141D">
            <w:pPr>
              <w:spacing w:line="360" w:lineRule="exact"/>
              <w:jc w:val="center"/>
              <w:rPr>
                <w:rFonts w:ascii="宋体" w:hAnsi="宋体" w:cs="宋体"/>
                <w:szCs w:val="21"/>
              </w:rPr>
            </w:pPr>
          </w:p>
        </w:tc>
        <w:tc>
          <w:tcPr>
            <w:tcW w:w="765" w:type="dxa"/>
            <w:vMerge w:val="continue"/>
            <w:noWrap w:val="0"/>
            <w:vAlign w:val="center"/>
          </w:tcPr>
          <w:p w14:paraId="43B0F61C">
            <w:pPr>
              <w:spacing w:line="360" w:lineRule="exact"/>
              <w:jc w:val="center"/>
              <w:rPr>
                <w:rFonts w:ascii="宋体" w:hAnsi="宋体" w:cs="宋体"/>
                <w:szCs w:val="21"/>
              </w:rPr>
            </w:pPr>
          </w:p>
        </w:tc>
        <w:tc>
          <w:tcPr>
            <w:tcW w:w="5163" w:type="dxa"/>
            <w:noWrap w:val="0"/>
            <w:vAlign w:val="center"/>
          </w:tcPr>
          <w:p w14:paraId="46A17EA2">
            <w:pPr>
              <w:spacing w:line="360" w:lineRule="exact"/>
              <w:jc w:val="left"/>
              <w:rPr>
                <w:rFonts w:ascii="宋体" w:hAnsi="宋体" w:cs="宋体"/>
                <w:szCs w:val="21"/>
              </w:rPr>
            </w:pPr>
            <w:r>
              <w:rPr>
                <w:rFonts w:hint="eastAsia" w:ascii="宋体" w:hAnsi="宋体" w:cs="宋体"/>
                <w:szCs w:val="21"/>
              </w:rPr>
              <w:t>蚊蝇：5-10月份垃圾房、卫生间孽生地滞留作业</w:t>
            </w:r>
          </w:p>
        </w:tc>
        <w:tc>
          <w:tcPr>
            <w:tcW w:w="1077" w:type="dxa"/>
            <w:noWrap w:val="0"/>
            <w:vAlign w:val="center"/>
          </w:tcPr>
          <w:p w14:paraId="43526A7B">
            <w:pPr>
              <w:spacing w:line="360" w:lineRule="exact"/>
              <w:jc w:val="center"/>
              <w:rPr>
                <w:rFonts w:ascii="宋体" w:hAnsi="宋体" w:cs="宋体"/>
                <w:szCs w:val="21"/>
              </w:rPr>
            </w:pPr>
            <w:r>
              <w:rPr>
                <w:rFonts w:hint="eastAsia" w:ascii="宋体" w:hAnsi="宋体" w:cs="宋体"/>
                <w:szCs w:val="21"/>
              </w:rPr>
              <w:t>4次/月</w:t>
            </w:r>
          </w:p>
        </w:tc>
      </w:tr>
      <w:tr w14:paraId="1CCF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05" w:type="dxa"/>
            <w:vMerge w:val="continue"/>
            <w:noWrap w:val="0"/>
            <w:vAlign w:val="center"/>
          </w:tcPr>
          <w:p w14:paraId="1DB6B5C2">
            <w:pPr>
              <w:spacing w:line="360" w:lineRule="exact"/>
              <w:jc w:val="center"/>
              <w:rPr>
                <w:rFonts w:ascii="宋体" w:hAnsi="宋体" w:cs="宋体"/>
                <w:szCs w:val="21"/>
              </w:rPr>
            </w:pPr>
          </w:p>
        </w:tc>
        <w:tc>
          <w:tcPr>
            <w:tcW w:w="1797" w:type="dxa"/>
            <w:vMerge w:val="continue"/>
            <w:noWrap w:val="0"/>
            <w:vAlign w:val="center"/>
          </w:tcPr>
          <w:p w14:paraId="323EC223">
            <w:pPr>
              <w:spacing w:line="360" w:lineRule="exact"/>
              <w:jc w:val="center"/>
              <w:rPr>
                <w:rFonts w:ascii="宋体" w:hAnsi="宋体" w:cs="宋体"/>
                <w:szCs w:val="21"/>
              </w:rPr>
            </w:pPr>
          </w:p>
        </w:tc>
        <w:tc>
          <w:tcPr>
            <w:tcW w:w="765" w:type="dxa"/>
            <w:vMerge w:val="continue"/>
            <w:noWrap w:val="0"/>
            <w:vAlign w:val="center"/>
          </w:tcPr>
          <w:p w14:paraId="67C16C57">
            <w:pPr>
              <w:spacing w:line="360" w:lineRule="exact"/>
              <w:jc w:val="center"/>
              <w:rPr>
                <w:rFonts w:ascii="宋体" w:hAnsi="宋体" w:cs="宋体"/>
                <w:szCs w:val="21"/>
              </w:rPr>
            </w:pPr>
          </w:p>
        </w:tc>
        <w:tc>
          <w:tcPr>
            <w:tcW w:w="5163" w:type="dxa"/>
            <w:noWrap w:val="0"/>
            <w:vAlign w:val="center"/>
          </w:tcPr>
          <w:p w14:paraId="4097FD0C">
            <w:pPr>
              <w:spacing w:line="360" w:lineRule="exact"/>
              <w:jc w:val="left"/>
              <w:rPr>
                <w:rFonts w:ascii="宋体" w:hAnsi="宋体" w:cs="宋体"/>
                <w:szCs w:val="21"/>
              </w:rPr>
            </w:pPr>
            <w:r>
              <w:rPr>
                <w:rFonts w:hint="eastAsia" w:ascii="宋体" w:hAnsi="宋体" w:cs="宋体"/>
                <w:szCs w:val="21"/>
              </w:rPr>
              <w:t>防制设施：内外环境的灭蝇设施安装及维护</w:t>
            </w:r>
          </w:p>
        </w:tc>
        <w:tc>
          <w:tcPr>
            <w:tcW w:w="1077" w:type="dxa"/>
            <w:noWrap w:val="0"/>
            <w:vAlign w:val="center"/>
          </w:tcPr>
          <w:p w14:paraId="2AC13BEA">
            <w:pPr>
              <w:spacing w:line="360" w:lineRule="exact"/>
              <w:jc w:val="center"/>
              <w:rPr>
                <w:rFonts w:ascii="宋体" w:hAnsi="宋体" w:cs="宋体"/>
                <w:szCs w:val="21"/>
              </w:rPr>
            </w:pPr>
            <w:r>
              <w:rPr>
                <w:rFonts w:hint="eastAsia" w:ascii="宋体" w:hAnsi="宋体" w:cs="宋体"/>
                <w:szCs w:val="21"/>
              </w:rPr>
              <w:t>2次/月</w:t>
            </w:r>
          </w:p>
        </w:tc>
      </w:tr>
      <w:tr w14:paraId="761E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5" w:type="dxa"/>
            <w:vMerge w:val="restart"/>
            <w:noWrap w:val="0"/>
            <w:vAlign w:val="center"/>
          </w:tcPr>
          <w:p w14:paraId="060FCA26">
            <w:pPr>
              <w:spacing w:line="360" w:lineRule="exact"/>
              <w:jc w:val="center"/>
              <w:rPr>
                <w:rFonts w:ascii="宋体" w:hAnsi="宋体" w:cs="宋体"/>
                <w:szCs w:val="21"/>
              </w:rPr>
            </w:pPr>
            <w:r>
              <w:rPr>
                <w:rFonts w:hint="eastAsia" w:ascii="宋体" w:hAnsi="宋体" w:cs="宋体"/>
                <w:szCs w:val="21"/>
              </w:rPr>
              <w:t>4</w:t>
            </w:r>
          </w:p>
        </w:tc>
        <w:tc>
          <w:tcPr>
            <w:tcW w:w="1797" w:type="dxa"/>
            <w:vMerge w:val="restart"/>
            <w:noWrap w:val="0"/>
            <w:vAlign w:val="center"/>
          </w:tcPr>
          <w:p w14:paraId="60A8351F">
            <w:pPr>
              <w:spacing w:line="360" w:lineRule="exact"/>
              <w:jc w:val="center"/>
              <w:rPr>
                <w:rFonts w:ascii="宋体" w:hAnsi="宋体" w:cs="宋体"/>
                <w:szCs w:val="21"/>
              </w:rPr>
            </w:pPr>
            <w:r>
              <w:rPr>
                <w:rFonts w:hint="eastAsia" w:ascii="宋体" w:hAnsi="宋体" w:cs="宋体"/>
                <w:szCs w:val="21"/>
              </w:rPr>
              <w:t>花桥区域的市民公园、工业园区沿线绿化孳生区域的病媒生物防制</w:t>
            </w:r>
          </w:p>
        </w:tc>
        <w:tc>
          <w:tcPr>
            <w:tcW w:w="765" w:type="dxa"/>
            <w:vMerge w:val="restart"/>
            <w:noWrap w:val="0"/>
            <w:vAlign w:val="center"/>
          </w:tcPr>
          <w:p w14:paraId="0A78ABE3">
            <w:pPr>
              <w:spacing w:line="360" w:lineRule="exact"/>
              <w:jc w:val="center"/>
              <w:rPr>
                <w:rFonts w:ascii="宋体" w:hAnsi="宋体" w:cs="宋体"/>
                <w:szCs w:val="21"/>
              </w:rPr>
            </w:pPr>
          </w:p>
          <w:p w14:paraId="2B4E863A">
            <w:pPr>
              <w:spacing w:line="360" w:lineRule="exact"/>
              <w:jc w:val="center"/>
              <w:rPr>
                <w:rFonts w:ascii="宋体" w:hAnsi="宋体" w:cs="宋体"/>
                <w:szCs w:val="21"/>
              </w:rPr>
            </w:pPr>
          </w:p>
          <w:p w14:paraId="3B07A169">
            <w:pPr>
              <w:spacing w:line="360" w:lineRule="exact"/>
              <w:jc w:val="center"/>
              <w:rPr>
                <w:rFonts w:ascii="宋体" w:hAnsi="宋体" w:cs="宋体"/>
                <w:szCs w:val="21"/>
              </w:rPr>
            </w:pPr>
          </w:p>
          <w:p w14:paraId="7A511BC4">
            <w:pPr>
              <w:spacing w:line="360" w:lineRule="exact"/>
              <w:jc w:val="center"/>
              <w:rPr>
                <w:rFonts w:ascii="宋体" w:hAnsi="宋体" w:cs="宋体"/>
                <w:szCs w:val="21"/>
              </w:rPr>
            </w:pPr>
            <w:r>
              <w:rPr>
                <w:rFonts w:hint="eastAsia" w:ascii="宋体" w:hAnsi="宋体" w:cs="宋体"/>
                <w:szCs w:val="21"/>
              </w:rPr>
              <w:t>1项</w:t>
            </w:r>
          </w:p>
        </w:tc>
        <w:tc>
          <w:tcPr>
            <w:tcW w:w="5163" w:type="dxa"/>
            <w:noWrap w:val="0"/>
            <w:vAlign w:val="center"/>
          </w:tcPr>
          <w:p w14:paraId="7821C1C8">
            <w:pPr>
              <w:spacing w:line="360" w:lineRule="exact"/>
              <w:jc w:val="left"/>
              <w:rPr>
                <w:rFonts w:ascii="宋体" w:hAnsi="宋体" w:cs="宋体"/>
                <w:szCs w:val="21"/>
              </w:rPr>
            </w:pPr>
            <w:r>
              <w:rPr>
                <w:rFonts w:hint="eastAsia" w:ascii="宋体" w:hAnsi="宋体" w:cs="宋体"/>
                <w:szCs w:val="21"/>
              </w:rPr>
              <w:t>鼠：3-4月份春季灭鼠，11-12月份冬季灭鼠</w:t>
            </w:r>
          </w:p>
        </w:tc>
        <w:tc>
          <w:tcPr>
            <w:tcW w:w="1077" w:type="dxa"/>
            <w:noWrap w:val="0"/>
            <w:vAlign w:val="center"/>
          </w:tcPr>
          <w:p w14:paraId="35D87E1C">
            <w:pPr>
              <w:spacing w:line="360" w:lineRule="exact"/>
              <w:jc w:val="center"/>
              <w:rPr>
                <w:rFonts w:ascii="宋体" w:hAnsi="宋体" w:cs="宋体"/>
                <w:szCs w:val="21"/>
              </w:rPr>
            </w:pPr>
            <w:r>
              <w:rPr>
                <w:rFonts w:hint="eastAsia" w:ascii="宋体" w:hAnsi="宋体" w:cs="宋体"/>
                <w:szCs w:val="21"/>
              </w:rPr>
              <w:t>2次/年</w:t>
            </w:r>
          </w:p>
        </w:tc>
      </w:tr>
      <w:tr w14:paraId="0890E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5" w:type="dxa"/>
            <w:vMerge w:val="continue"/>
            <w:noWrap w:val="0"/>
            <w:vAlign w:val="center"/>
          </w:tcPr>
          <w:p w14:paraId="4F4552FF">
            <w:pPr>
              <w:spacing w:line="360" w:lineRule="exact"/>
              <w:jc w:val="center"/>
              <w:rPr>
                <w:rFonts w:ascii="宋体" w:hAnsi="宋体" w:cs="宋体"/>
                <w:szCs w:val="21"/>
              </w:rPr>
            </w:pPr>
          </w:p>
        </w:tc>
        <w:tc>
          <w:tcPr>
            <w:tcW w:w="1797" w:type="dxa"/>
            <w:vMerge w:val="continue"/>
            <w:noWrap w:val="0"/>
            <w:vAlign w:val="center"/>
          </w:tcPr>
          <w:p w14:paraId="5545037A">
            <w:pPr>
              <w:spacing w:line="360" w:lineRule="exact"/>
              <w:jc w:val="center"/>
              <w:rPr>
                <w:rFonts w:ascii="宋体" w:hAnsi="宋体" w:cs="宋体"/>
                <w:szCs w:val="21"/>
              </w:rPr>
            </w:pPr>
          </w:p>
        </w:tc>
        <w:tc>
          <w:tcPr>
            <w:tcW w:w="765" w:type="dxa"/>
            <w:vMerge w:val="continue"/>
            <w:noWrap w:val="0"/>
            <w:vAlign w:val="center"/>
          </w:tcPr>
          <w:p w14:paraId="1CE2D0F8">
            <w:pPr>
              <w:spacing w:line="360" w:lineRule="exact"/>
              <w:jc w:val="center"/>
              <w:rPr>
                <w:rFonts w:ascii="宋体" w:hAnsi="宋体" w:cs="宋体"/>
                <w:szCs w:val="21"/>
              </w:rPr>
            </w:pPr>
          </w:p>
        </w:tc>
        <w:tc>
          <w:tcPr>
            <w:tcW w:w="5163" w:type="dxa"/>
            <w:noWrap w:val="0"/>
            <w:vAlign w:val="center"/>
          </w:tcPr>
          <w:p w14:paraId="6CD0427C">
            <w:pPr>
              <w:spacing w:line="360" w:lineRule="exact"/>
              <w:jc w:val="left"/>
              <w:rPr>
                <w:rFonts w:ascii="宋体" w:hAnsi="宋体" w:cs="宋体"/>
                <w:szCs w:val="21"/>
              </w:rPr>
            </w:pPr>
            <w:r>
              <w:rPr>
                <w:rFonts w:hint="eastAsia" w:ascii="宋体" w:hAnsi="宋体" w:cs="宋体"/>
                <w:szCs w:val="21"/>
              </w:rPr>
              <w:t>蚊蝇：5-10月份对垃圾桶、绿化滋生地外环境滞留作业</w:t>
            </w:r>
          </w:p>
        </w:tc>
        <w:tc>
          <w:tcPr>
            <w:tcW w:w="1077" w:type="dxa"/>
            <w:noWrap w:val="0"/>
            <w:vAlign w:val="center"/>
          </w:tcPr>
          <w:p w14:paraId="734D6B57">
            <w:pPr>
              <w:spacing w:line="360" w:lineRule="exact"/>
              <w:jc w:val="center"/>
              <w:rPr>
                <w:rFonts w:ascii="宋体" w:hAnsi="宋体" w:cs="宋体"/>
                <w:szCs w:val="21"/>
              </w:rPr>
            </w:pPr>
            <w:r>
              <w:rPr>
                <w:rFonts w:hint="eastAsia" w:ascii="宋体" w:hAnsi="宋体" w:cs="宋体"/>
                <w:szCs w:val="21"/>
              </w:rPr>
              <w:t>3次/月</w:t>
            </w:r>
          </w:p>
        </w:tc>
      </w:tr>
      <w:tr w14:paraId="7306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5" w:type="dxa"/>
            <w:vMerge w:val="continue"/>
            <w:noWrap w:val="0"/>
            <w:vAlign w:val="center"/>
          </w:tcPr>
          <w:p w14:paraId="5D9891E8">
            <w:pPr>
              <w:spacing w:line="360" w:lineRule="exact"/>
              <w:jc w:val="center"/>
              <w:rPr>
                <w:rFonts w:ascii="宋体" w:hAnsi="宋体" w:cs="宋体"/>
                <w:szCs w:val="21"/>
              </w:rPr>
            </w:pPr>
          </w:p>
        </w:tc>
        <w:tc>
          <w:tcPr>
            <w:tcW w:w="1797" w:type="dxa"/>
            <w:vMerge w:val="continue"/>
            <w:noWrap w:val="0"/>
            <w:vAlign w:val="center"/>
          </w:tcPr>
          <w:p w14:paraId="3A026841">
            <w:pPr>
              <w:spacing w:line="360" w:lineRule="exact"/>
              <w:jc w:val="center"/>
              <w:rPr>
                <w:rFonts w:ascii="宋体" w:hAnsi="宋体" w:cs="宋体"/>
                <w:szCs w:val="21"/>
              </w:rPr>
            </w:pPr>
          </w:p>
        </w:tc>
        <w:tc>
          <w:tcPr>
            <w:tcW w:w="765" w:type="dxa"/>
            <w:vMerge w:val="continue"/>
            <w:noWrap w:val="0"/>
            <w:vAlign w:val="center"/>
          </w:tcPr>
          <w:p w14:paraId="44CBD05A">
            <w:pPr>
              <w:spacing w:line="360" w:lineRule="exact"/>
              <w:jc w:val="center"/>
              <w:rPr>
                <w:rFonts w:ascii="宋体" w:hAnsi="宋体" w:cs="宋体"/>
                <w:szCs w:val="21"/>
              </w:rPr>
            </w:pPr>
          </w:p>
        </w:tc>
        <w:tc>
          <w:tcPr>
            <w:tcW w:w="5163" w:type="dxa"/>
            <w:noWrap w:val="0"/>
            <w:vAlign w:val="center"/>
          </w:tcPr>
          <w:p w14:paraId="26AFE18A">
            <w:pPr>
              <w:spacing w:line="360" w:lineRule="exact"/>
              <w:jc w:val="left"/>
              <w:rPr>
                <w:rFonts w:ascii="宋体" w:hAnsi="宋体" w:cs="宋体"/>
                <w:szCs w:val="21"/>
              </w:rPr>
            </w:pPr>
            <w:r>
              <w:rPr>
                <w:rFonts w:hint="eastAsia" w:ascii="宋体" w:hAnsi="宋体" w:cs="宋体"/>
                <w:szCs w:val="21"/>
              </w:rPr>
              <w:t>公园投放不低于200台太阳能灭蚊灯，并建册定期维护；</w:t>
            </w:r>
          </w:p>
        </w:tc>
        <w:tc>
          <w:tcPr>
            <w:tcW w:w="1077" w:type="dxa"/>
            <w:noWrap w:val="0"/>
            <w:vAlign w:val="center"/>
          </w:tcPr>
          <w:p w14:paraId="57F536B5">
            <w:pPr>
              <w:spacing w:line="360" w:lineRule="exact"/>
              <w:jc w:val="center"/>
              <w:rPr>
                <w:rFonts w:ascii="宋体" w:hAnsi="宋体" w:cs="宋体"/>
                <w:szCs w:val="21"/>
              </w:rPr>
            </w:pPr>
          </w:p>
        </w:tc>
      </w:tr>
      <w:tr w14:paraId="16D52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5" w:type="dxa"/>
            <w:vMerge w:val="continue"/>
            <w:noWrap w:val="0"/>
            <w:vAlign w:val="center"/>
          </w:tcPr>
          <w:p w14:paraId="60AF1818">
            <w:pPr>
              <w:spacing w:line="360" w:lineRule="exact"/>
              <w:jc w:val="center"/>
              <w:rPr>
                <w:rFonts w:ascii="宋体" w:hAnsi="宋体" w:cs="宋体"/>
                <w:szCs w:val="21"/>
              </w:rPr>
            </w:pPr>
          </w:p>
        </w:tc>
        <w:tc>
          <w:tcPr>
            <w:tcW w:w="1797" w:type="dxa"/>
            <w:vMerge w:val="continue"/>
            <w:noWrap w:val="0"/>
            <w:vAlign w:val="center"/>
          </w:tcPr>
          <w:p w14:paraId="3DACE97F">
            <w:pPr>
              <w:spacing w:line="360" w:lineRule="exact"/>
              <w:jc w:val="center"/>
              <w:rPr>
                <w:rFonts w:ascii="宋体" w:hAnsi="宋体" w:cs="宋体"/>
                <w:szCs w:val="21"/>
              </w:rPr>
            </w:pPr>
          </w:p>
        </w:tc>
        <w:tc>
          <w:tcPr>
            <w:tcW w:w="765" w:type="dxa"/>
            <w:vMerge w:val="continue"/>
            <w:noWrap w:val="0"/>
            <w:vAlign w:val="center"/>
          </w:tcPr>
          <w:p w14:paraId="78A6ACB4">
            <w:pPr>
              <w:spacing w:line="360" w:lineRule="exact"/>
              <w:jc w:val="center"/>
              <w:rPr>
                <w:rFonts w:ascii="宋体" w:hAnsi="宋体" w:cs="宋体"/>
                <w:szCs w:val="21"/>
              </w:rPr>
            </w:pPr>
          </w:p>
        </w:tc>
        <w:tc>
          <w:tcPr>
            <w:tcW w:w="5163" w:type="dxa"/>
            <w:noWrap w:val="0"/>
            <w:vAlign w:val="center"/>
          </w:tcPr>
          <w:p w14:paraId="77A852EC">
            <w:pPr>
              <w:spacing w:line="360" w:lineRule="exact"/>
              <w:jc w:val="left"/>
              <w:rPr>
                <w:rFonts w:ascii="宋体" w:hAnsi="宋体" w:cs="宋体"/>
                <w:szCs w:val="21"/>
              </w:rPr>
            </w:pPr>
            <w:r>
              <w:rPr>
                <w:rFonts w:hint="eastAsia" w:ascii="宋体" w:hAnsi="宋体" w:cs="宋体"/>
                <w:szCs w:val="21"/>
              </w:rPr>
              <w:t>孳生地处理：5-10月份对小区窨井内蚊幼孳生的雨水道口，采取疏通的方式，避免形成长期积水，定期投放环境友好的杀蚊幼剂</w:t>
            </w:r>
          </w:p>
        </w:tc>
        <w:tc>
          <w:tcPr>
            <w:tcW w:w="1077" w:type="dxa"/>
            <w:noWrap w:val="0"/>
            <w:vAlign w:val="center"/>
          </w:tcPr>
          <w:p w14:paraId="6C8A0529">
            <w:pPr>
              <w:spacing w:line="360" w:lineRule="exact"/>
              <w:jc w:val="center"/>
              <w:rPr>
                <w:rFonts w:ascii="宋体" w:hAnsi="宋体" w:cs="宋体"/>
                <w:szCs w:val="21"/>
              </w:rPr>
            </w:pPr>
            <w:r>
              <w:rPr>
                <w:rFonts w:hint="eastAsia" w:ascii="宋体" w:hAnsi="宋体" w:cs="宋体"/>
                <w:szCs w:val="21"/>
              </w:rPr>
              <w:t>2次/月</w:t>
            </w:r>
          </w:p>
        </w:tc>
      </w:tr>
      <w:tr w14:paraId="189F3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05" w:type="dxa"/>
            <w:noWrap w:val="0"/>
            <w:vAlign w:val="center"/>
          </w:tcPr>
          <w:p w14:paraId="50DC4A09">
            <w:pPr>
              <w:spacing w:line="360" w:lineRule="exact"/>
              <w:jc w:val="center"/>
              <w:rPr>
                <w:rFonts w:ascii="宋体" w:hAnsi="宋体" w:cs="宋体"/>
                <w:szCs w:val="21"/>
              </w:rPr>
            </w:pPr>
            <w:r>
              <w:rPr>
                <w:rFonts w:hint="eastAsia" w:ascii="宋体" w:hAnsi="宋体" w:cs="宋体"/>
                <w:szCs w:val="21"/>
              </w:rPr>
              <w:t>5</w:t>
            </w:r>
          </w:p>
        </w:tc>
        <w:tc>
          <w:tcPr>
            <w:tcW w:w="1797" w:type="dxa"/>
            <w:noWrap w:val="0"/>
            <w:vAlign w:val="center"/>
          </w:tcPr>
          <w:p w14:paraId="1F7C0563">
            <w:pPr>
              <w:spacing w:line="360" w:lineRule="exact"/>
              <w:jc w:val="center"/>
              <w:rPr>
                <w:rFonts w:ascii="宋体" w:hAnsi="宋体" w:cs="宋体"/>
                <w:szCs w:val="21"/>
              </w:rPr>
            </w:pPr>
            <w:r>
              <w:rPr>
                <w:rFonts w:hint="eastAsia" w:ascii="宋体" w:hAnsi="宋体" w:cs="宋体"/>
                <w:color w:val="000000"/>
                <w:szCs w:val="21"/>
              </w:rPr>
              <w:t>配合相关部门建立病媒生物生态学监测体系和登革热蚊媒监测体系，</w:t>
            </w:r>
          </w:p>
        </w:tc>
        <w:tc>
          <w:tcPr>
            <w:tcW w:w="765" w:type="dxa"/>
            <w:noWrap w:val="0"/>
            <w:vAlign w:val="center"/>
          </w:tcPr>
          <w:p w14:paraId="49950AB2">
            <w:pPr>
              <w:spacing w:line="360" w:lineRule="exact"/>
              <w:jc w:val="center"/>
              <w:rPr>
                <w:rFonts w:ascii="宋体" w:hAnsi="宋体" w:cs="宋体"/>
                <w:szCs w:val="21"/>
              </w:rPr>
            </w:pPr>
            <w:r>
              <w:rPr>
                <w:rFonts w:hint="eastAsia" w:ascii="宋体" w:hAnsi="宋体" w:cs="宋体"/>
                <w:szCs w:val="21"/>
              </w:rPr>
              <w:t>1项</w:t>
            </w:r>
          </w:p>
        </w:tc>
        <w:tc>
          <w:tcPr>
            <w:tcW w:w="5163" w:type="dxa"/>
            <w:noWrap w:val="0"/>
            <w:vAlign w:val="center"/>
          </w:tcPr>
          <w:p w14:paraId="2A8A9026">
            <w:pPr>
              <w:spacing w:line="360" w:lineRule="exact"/>
              <w:jc w:val="left"/>
              <w:rPr>
                <w:rFonts w:ascii="宋体" w:hAnsi="宋体" w:cs="宋体"/>
                <w:szCs w:val="21"/>
              </w:rPr>
            </w:pPr>
            <w:r>
              <w:rPr>
                <w:rFonts w:hint="eastAsia" w:ascii="宋体" w:hAnsi="宋体" w:cs="宋体"/>
                <w:szCs w:val="21"/>
              </w:rPr>
              <w:t>根据蚊、蝇的行为学，配合相关部门在中标区域投放设计符合蚊虫活动特点的诱捕结构，在监测蚊虫数量同时达到灭杀效果；并对蚊虫采集数量随时间变化的建立曲线图，判断蚊虫的发生趋势；每区域检测点不低于6个。</w:t>
            </w:r>
          </w:p>
        </w:tc>
        <w:tc>
          <w:tcPr>
            <w:tcW w:w="1077" w:type="dxa"/>
            <w:noWrap w:val="0"/>
            <w:vAlign w:val="center"/>
          </w:tcPr>
          <w:p w14:paraId="21379875">
            <w:pPr>
              <w:spacing w:line="360" w:lineRule="exact"/>
              <w:jc w:val="center"/>
              <w:rPr>
                <w:rFonts w:ascii="宋体" w:hAnsi="宋体" w:cs="宋体"/>
                <w:szCs w:val="21"/>
              </w:rPr>
            </w:pPr>
            <w:r>
              <w:rPr>
                <w:rFonts w:hint="eastAsia" w:ascii="宋体" w:hAnsi="宋体" w:cs="宋体"/>
                <w:szCs w:val="21"/>
              </w:rPr>
              <w:t>4次/年</w:t>
            </w:r>
          </w:p>
        </w:tc>
      </w:tr>
      <w:tr w14:paraId="4064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05" w:type="dxa"/>
            <w:noWrap w:val="0"/>
            <w:vAlign w:val="center"/>
          </w:tcPr>
          <w:p w14:paraId="6EF261E2">
            <w:pPr>
              <w:spacing w:line="360" w:lineRule="exact"/>
              <w:jc w:val="center"/>
              <w:rPr>
                <w:rFonts w:ascii="宋体" w:hAnsi="宋体" w:cs="宋体"/>
                <w:szCs w:val="21"/>
              </w:rPr>
            </w:pPr>
            <w:r>
              <w:rPr>
                <w:rFonts w:hint="eastAsia" w:ascii="宋体" w:hAnsi="宋体" w:cs="宋体"/>
                <w:szCs w:val="21"/>
              </w:rPr>
              <w:t>6</w:t>
            </w:r>
          </w:p>
        </w:tc>
        <w:tc>
          <w:tcPr>
            <w:tcW w:w="1797" w:type="dxa"/>
            <w:noWrap w:val="0"/>
            <w:vAlign w:val="center"/>
          </w:tcPr>
          <w:p w14:paraId="276E0703">
            <w:pPr>
              <w:spacing w:line="360" w:lineRule="exact"/>
              <w:rPr>
                <w:rFonts w:ascii="宋体" w:hAnsi="宋体" w:cs="宋体"/>
                <w:szCs w:val="21"/>
              </w:rPr>
            </w:pPr>
            <w:r>
              <w:rPr>
                <w:rFonts w:hint="eastAsia" w:ascii="宋体" w:hAnsi="宋体" w:cs="宋体"/>
                <w:szCs w:val="21"/>
              </w:rPr>
              <w:t>花桥区域管辖范围的重点行业和企业单位鼠、蚊、蝇病媒生物防制服务</w:t>
            </w:r>
          </w:p>
        </w:tc>
        <w:tc>
          <w:tcPr>
            <w:tcW w:w="765" w:type="dxa"/>
            <w:noWrap w:val="0"/>
            <w:vAlign w:val="center"/>
          </w:tcPr>
          <w:p w14:paraId="6AF4940D">
            <w:pPr>
              <w:spacing w:line="360" w:lineRule="exact"/>
              <w:rPr>
                <w:rFonts w:ascii="宋体" w:hAnsi="宋体" w:cs="宋体"/>
                <w:szCs w:val="21"/>
              </w:rPr>
            </w:pPr>
            <w:r>
              <w:rPr>
                <w:rFonts w:hint="eastAsia" w:ascii="宋体" w:hAnsi="宋体" w:cs="宋体"/>
                <w:szCs w:val="21"/>
              </w:rPr>
              <w:t>1项</w:t>
            </w:r>
          </w:p>
        </w:tc>
        <w:tc>
          <w:tcPr>
            <w:tcW w:w="5163" w:type="dxa"/>
            <w:noWrap w:val="0"/>
            <w:vAlign w:val="center"/>
          </w:tcPr>
          <w:p w14:paraId="7BFB32AB">
            <w:pPr>
              <w:spacing w:line="360" w:lineRule="exact"/>
              <w:rPr>
                <w:rFonts w:ascii="宋体" w:hAnsi="宋体" w:cs="宋体"/>
                <w:szCs w:val="21"/>
              </w:rPr>
            </w:pPr>
            <w:r>
              <w:rPr>
                <w:rFonts w:hint="eastAsia" w:ascii="宋体" w:hAnsi="宋体" w:cs="宋体"/>
                <w:szCs w:val="21"/>
              </w:rPr>
              <w:t>掌握辖区重点行业和单位本底情况，建立防制工作台帐，定期对病媒生物密度进行控制。</w:t>
            </w:r>
          </w:p>
        </w:tc>
        <w:tc>
          <w:tcPr>
            <w:tcW w:w="1077" w:type="dxa"/>
            <w:noWrap w:val="0"/>
            <w:vAlign w:val="center"/>
          </w:tcPr>
          <w:p w14:paraId="4AAF6CD5">
            <w:pPr>
              <w:spacing w:line="360" w:lineRule="exact"/>
              <w:rPr>
                <w:rFonts w:ascii="宋体" w:hAnsi="宋体" w:cs="宋体"/>
                <w:szCs w:val="21"/>
              </w:rPr>
            </w:pPr>
            <w:r>
              <w:rPr>
                <w:rFonts w:hint="eastAsia" w:ascii="宋体" w:hAnsi="宋体" w:cs="宋体"/>
                <w:szCs w:val="21"/>
              </w:rPr>
              <w:t>根据甲方需求适实启动</w:t>
            </w:r>
          </w:p>
        </w:tc>
      </w:tr>
      <w:tr w14:paraId="40A7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trPr>
        <w:tc>
          <w:tcPr>
            <w:tcW w:w="705" w:type="dxa"/>
            <w:noWrap w:val="0"/>
            <w:vAlign w:val="center"/>
          </w:tcPr>
          <w:p w14:paraId="5804AD59">
            <w:pPr>
              <w:spacing w:line="360" w:lineRule="exact"/>
              <w:jc w:val="center"/>
              <w:rPr>
                <w:rFonts w:ascii="宋体" w:hAnsi="宋体" w:cs="宋体"/>
                <w:szCs w:val="21"/>
              </w:rPr>
            </w:pPr>
            <w:r>
              <w:rPr>
                <w:rFonts w:hint="eastAsia" w:ascii="宋体" w:hAnsi="宋体" w:cs="宋体"/>
                <w:szCs w:val="21"/>
              </w:rPr>
              <w:t>7</w:t>
            </w:r>
          </w:p>
        </w:tc>
        <w:tc>
          <w:tcPr>
            <w:tcW w:w="1797" w:type="dxa"/>
            <w:noWrap w:val="0"/>
            <w:vAlign w:val="center"/>
          </w:tcPr>
          <w:p w14:paraId="3F912381">
            <w:pPr>
              <w:spacing w:line="360" w:lineRule="exact"/>
              <w:jc w:val="center"/>
              <w:rPr>
                <w:rFonts w:ascii="宋体" w:hAnsi="宋体" w:cs="宋体"/>
                <w:szCs w:val="21"/>
              </w:rPr>
            </w:pPr>
            <w:r>
              <w:rPr>
                <w:rFonts w:hint="eastAsia" w:ascii="宋体" w:hAnsi="宋体" w:cs="宋体"/>
                <w:szCs w:val="21"/>
              </w:rPr>
              <w:t>花桥区域管辖范围的湖泊、河流、景观水体、小型积水、垃圾厕所等各类孳生环境治理消杀</w:t>
            </w:r>
          </w:p>
        </w:tc>
        <w:tc>
          <w:tcPr>
            <w:tcW w:w="765" w:type="dxa"/>
            <w:noWrap w:val="0"/>
            <w:vAlign w:val="center"/>
          </w:tcPr>
          <w:p w14:paraId="2B17423D">
            <w:pPr>
              <w:spacing w:line="360" w:lineRule="exact"/>
              <w:jc w:val="center"/>
              <w:rPr>
                <w:rFonts w:ascii="宋体" w:hAnsi="宋体" w:cs="宋体"/>
                <w:szCs w:val="21"/>
              </w:rPr>
            </w:pPr>
            <w:r>
              <w:rPr>
                <w:rFonts w:hint="eastAsia" w:ascii="宋体" w:hAnsi="宋体" w:cs="宋体"/>
                <w:szCs w:val="21"/>
              </w:rPr>
              <w:t>1项</w:t>
            </w:r>
          </w:p>
        </w:tc>
        <w:tc>
          <w:tcPr>
            <w:tcW w:w="5163" w:type="dxa"/>
            <w:noWrap w:val="0"/>
            <w:vAlign w:val="center"/>
          </w:tcPr>
          <w:p w14:paraId="06149497">
            <w:pPr>
              <w:spacing w:line="360" w:lineRule="exact"/>
              <w:jc w:val="left"/>
              <w:rPr>
                <w:rFonts w:ascii="宋体" w:hAnsi="宋体" w:cs="宋体"/>
                <w:szCs w:val="21"/>
              </w:rPr>
            </w:pPr>
            <w:r>
              <w:rPr>
                <w:rFonts w:hint="eastAsia" w:ascii="宋体" w:hAnsi="宋体" w:cs="宋体"/>
                <w:szCs w:val="21"/>
              </w:rPr>
              <w:t>5-10月份对照各类孳生环境场所统计表进行生物制剂投放，控制孑孓密度。</w:t>
            </w:r>
          </w:p>
        </w:tc>
        <w:tc>
          <w:tcPr>
            <w:tcW w:w="1077" w:type="dxa"/>
            <w:noWrap w:val="0"/>
            <w:vAlign w:val="center"/>
          </w:tcPr>
          <w:p w14:paraId="37DE6C18">
            <w:pPr>
              <w:spacing w:line="360" w:lineRule="exact"/>
              <w:jc w:val="center"/>
              <w:rPr>
                <w:rFonts w:ascii="宋体" w:hAnsi="宋体" w:cs="宋体"/>
                <w:szCs w:val="21"/>
              </w:rPr>
            </w:pPr>
            <w:r>
              <w:rPr>
                <w:rFonts w:hint="eastAsia" w:ascii="宋体" w:hAnsi="宋体" w:cs="宋体"/>
                <w:szCs w:val="21"/>
              </w:rPr>
              <w:t>根据甲方需求适实启动</w:t>
            </w:r>
          </w:p>
        </w:tc>
      </w:tr>
    </w:tbl>
    <w:p w14:paraId="506F0B2F">
      <w:pPr>
        <w:shd w:val="clear" w:color="auto" w:fill="FFFFFF"/>
        <w:spacing w:line="360" w:lineRule="auto"/>
        <w:ind w:firstLine="420"/>
        <w:rPr>
          <w:rFonts w:ascii="宋体" w:hAnsi="宋体" w:cs="宋体"/>
          <w:color w:val="000000"/>
          <w:szCs w:val="21"/>
        </w:rPr>
      </w:pPr>
    </w:p>
    <w:p w14:paraId="756C51AD">
      <w:pPr>
        <w:shd w:val="clear" w:color="auto" w:fill="FFFFFF"/>
        <w:spacing w:line="360" w:lineRule="auto"/>
        <w:ind w:firstLine="420"/>
        <w:rPr>
          <w:rFonts w:ascii="宋体" w:hAnsi="宋体" w:cs="宋体"/>
          <w:b/>
          <w:bCs/>
          <w:color w:val="000000"/>
          <w:szCs w:val="21"/>
        </w:rPr>
      </w:pPr>
      <w:r>
        <w:rPr>
          <w:rFonts w:hint="eastAsia" w:ascii="宋体" w:hAnsi="宋体" w:cs="宋体"/>
          <w:b/>
          <w:bCs/>
          <w:color w:val="000000"/>
          <w:szCs w:val="21"/>
        </w:rPr>
        <w:br w:type="page" w:clear="all"/>
      </w:r>
      <w:r>
        <w:rPr>
          <w:rFonts w:hint="eastAsia" w:ascii="宋体" w:hAnsi="宋体" w:cs="宋体"/>
          <w:b/>
          <w:bCs/>
          <w:color w:val="000000"/>
          <w:szCs w:val="21"/>
        </w:rPr>
        <w:t>五、项目详细服务清单及概述</w:t>
      </w:r>
    </w:p>
    <w:p w14:paraId="0B19ACB2">
      <w:pPr>
        <w:pStyle w:val="22"/>
        <w:tabs>
          <w:tab w:val="left" w:pos="2418"/>
        </w:tabs>
        <w:ind w:firstLine="420"/>
      </w:pPr>
      <w:r>
        <w:rPr>
          <w:rFonts w:hint="eastAsia" w:eastAsia="宋体"/>
        </w:rPr>
        <w:t>区域清单详见下放附件：</w:t>
      </w:r>
    </w:p>
    <w:p w14:paraId="3B653257">
      <w:pPr>
        <w:spacing w:line="360" w:lineRule="auto"/>
        <w:ind w:firstLine="420"/>
        <w:rPr>
          <w:rFonts w:ascii="宋体" w:hAnsi="宋体" w:cs="宋体"/>
          <w:bCs/>
          <w:color w:val="000000"/>
          <w:szCs w:val="21"/>
        </w:rPr>
      </w:pPr>
      <w:r>
        <w:rPr>
          <w:rFonts w:ascii="宋体" w:hAnsi="宋体" w:cs="宋体"/>
          <w:bCs/>
          <w:color w:val="000000"/>
          <w:szCs w:val="21"/>
        </w:rPr>
        <w:object>
          <v:shape id="_x0000_i1025" o:spt="75" type="#_x0000_t75" style="height:52.5pt;width:76.5pt;" o:ole="t" filled="f"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p>
    <w:p w14:paraId="3D14D1BB">
      <w:pPr>
        <w:spacing w:line="360" w:lineRule="auto"/>
        <w:ind w:firstLine="420"/>
        <w:rPr>
          <w:rFonts w:ascii="宋体" w:hAnsi="宋体" w:cs="宋体"/>
          <w:bCs/>
          <w:color w:val="000000"/>
          <w:szCs w:val="21"/>
        </w:rPr>
      </w:pPr>
      <w:r>
        <w:rPr>
          <w:rFonts w:hint="eastAsia" w:ascii="宋体" w:hAnsi="宋体" w:cs="宋体"/>
          <w:b/>
          <w:color w:val="000000"/>
          <w:szCs w:val="21"/>
        </w:rPr>
        <w:t>六、</w:t>
      </w:r>
      <w:r>
        <w:rPr>
          <w:rFonts w:hint="eastAsia" w:ascii="宋体" w:hAnsi="宋体" w:cs="宋体"/>
          <w:b/>
          <w:bCs/>
          <w:color w:val="000000"/>
          <w:szCs w:val="21"/>
        </w:rPr>
        <w:t>病媒生物防制工作技术要求</w:t>
      </w:r>
      <w:r>
        <w:rPr>
          <w:rFonts w:hint="eastAsia" w:ascii="宋体" w:hAnsi="宋体" w:cs="宋体"/>
          <w:color w:val="000000"/>
          <w:szCs w:val="21"/>
        </w:rPr>
        <w:t>：</w:t>
      </w:r>
    </w:p>
    <w:p w14:paraId="6C8AA062">
      <w:pPr>
        <w:spacing w:line="360" w:lineRule="auto"/>
        <w:ind w:firstLine="420"/>
        <w:rPr>
          <w:rFonts w:ascii="宋体" w:hAnsi="宋体" w:cs="宋体"/>
          <w:b/>
          <w:bCs/>
          <w:color w:val="000000"/>
          <w:szCs w:val="21"/>
        </w:rPr>
      </w:pPr>
      <w:r>
        <w:rPr>
          <w:rFonts w:hint="eastAsia" w:ascii="宋体" w:hAnsi="宋体" w:cs="宋体"/>
          <w:b/>
          <w:bCs/>
          <w:color w:val="000000"/>
          <w:szCs w:val="21"/>
        </w:rPr>
        <w:t>A、花桥区域的居民小区</w:t>
      </w:r>
    </w:p>
    <w:p w14:paraId="3C32CCC6">
      <w:pPr>
        <w:spacing w:line="360" w:lineRule="auto"/>
        <w:ind w:firstLine="420"/>
        <w:rPr>
          <w:rFonts w:ascii="宋体" w:hAnsi="宋体" w:cs="宋体"/>
          <w:color w:val="000000"/>
          <w:szCs w:val="21"/>
        </w:rPr>
      </w:pPr>
      <w:r>
        <w:rPr>
          <w:rFonts w:hint="eastAsia" w:ascii="宋体" w:hAnsi="宋体" w:cs="宋体"/>
          <w:color w:val="000000"/>
          <w:szCs w:val="21"/>
        </w:rPr>
        <w:t>1、作业期间每10－15天对蚊虫孳生地（含窨井、水体）投放药物杀灭蚊幼；</w:t>
      </w:r>
    </w:p>
    <w:p w14:paraId="6B026856">
      <w:pPr>
        <w:spacing w:line="360" w:lineRule="auto"/>
        <w:ind w:firstLine="420"/>
        <w:rPr>
          <w:rFonts w:ascii="宋体" w:hAnsi="宋体" w:cs="宋体"/>
          <w:color w:val="000000"/>
          <w:szCs w:val="21"/>
        </w:rPr>
      </w:pPr>
      <w:r>
        <w:rPr>
          <w:rFonts w:hint="eastAsia" w:ascii="宋体" w:hAnsi="宋体" w:cs="宋体"/>
          <w:color w:val="000000"/>
          <w:szCs w:val="21"/>
        </w:rPr>
        <w:t>2、对楼道、车库、垃圾箱房及周边喷洒拟除虫菊酯类药物控制成蚊密度，防制频率</w:t>
      </w:r>
      <w:r>
        <w:rPr>
          <w:rFonts w:hint="eastAsia" w:ascii="宋体" w:hAnsi="宋体" w:cs="宋体"/>
          <w:szCs w:val="21"/>
        </w:rPr>
        <w:t>5-10月份每月三次</w:t>
      </w:r>
      <w:r>
        <w:rPr>
          <w:rFonts w:hint="eastAsia" w:ascii="宋体" w:hAnsi="宋体" w:cs="宋体"/>
          <w:color w:val="000000"/>
          <w:szCs w:val="21"/>
        </w:rPr>
        <w:t>；</w:t>
      </w:r>
    </w:p>
    <w:p w14:paraId="26539733">
      <w:pPr>
        <w:spacing w:line="360" w:lineRule="auto"/>
        <w:ind w:firstLine="420"/>
        <w:rPr>
          <w:rFonts w:ascii="宋体" w:hAnsi="宋体" w:cs="宋体"/>
          <w:color w:val="000000"/>
          <w:szCs w:val="21"/>
        </w:rPr>
      </w:pPr>
      <w:r>
        <w:rPr>
          <w:rFonts w:hint="eastAsia" w:ascii="宋体" w:hAnsi="宋体" w:cs="宋体"/>
          <w:color w:val="000000"/>
          <w:szCs w:val="21"/>
        </w:rPr>
        <w:t>3、居民楼每单元应设1处灭鼠毒饵站，选址合理，符合鼠类生活习性，标识清楚（有编号、警示标识、布放单位名称等信息）；</w:t>
      </w:r>
    </w:p>
    <w:p w14:paraId="0D137925">
      <w:pPr>
        <w:spacing w:line="360" w:lineRule="auto"/>
        <w:ind w:firstLine="420"/>
        <w:rPr>
          <w:rFonts w:ascii="宋体" w:hAnsi="宋体" w:cs="宋体"/>
          <w:color w:val="000000"/>
          <w:szCs w:val="21"/>
        </w:rPr>
      </w:pPr>
      <w:r>
        <w:rPr>
          <w:rFonts w:hint="eastAsia" w:ascii="宋体" w:hAnsi="宋体" w:cs="宋体"/>
          <w:color w:val="000000"/>
          <w:szCs w:val="21"/>
        </w:rPr>
        <w:t>4、所有居民小区垃圾分类点位设置捕蝇笼（每点两个），需设施完好，有必要的标识；</w:t>
      </w:r>
    </w:p>
    <w:p w14:paraId="0BBC704F">
      <w:pPr>
        <w:spacing w:line="360" w:lineRule="auto"/>
        <w:ind w:firstLine="420"/>
        <w:rPr>
          <w:rFonts w:ascii="宋体" w:hAnsi="宋体" w:cs="宋体"/>
          <w:color w:val="000000"/>
          <w:szCs w:val="21"/>
        </w:rPr>
      </w:pPr>
      <w:r>
        <w:rPr>
          <w:rFonts w:hint="eastAsia" w:ascii="宋体" w:hAnsi="宋体" w:cs="宋体"/>
          <w:color w:val="000000"/>
          <w:szCs w:val="21"/>
        </w:rPr>
        <w:t>5、根据蝇密度情况，对垃圾桶及周边开展消杀，</w:t>
      </w:r>
      <w:r>
        <w:rPr>
          <w:rFonts w:hint="eastAsia" w:ascii="宋体" w:hAnsi="宋体" w:cs="宋体"/>
          <w:szCs w:val="21"/>
        </w:rPr>
        <w:t>5-10月份每月三次</w:t>
      </w:r>
      <w:r>
        <w:rPr>
          <w:rFonts w:hint="eastAsia" w:ascii="宋体" w:hAnsi="宋体" w:cs="宋体"/>
          <w:color w:val="000000"/>
          <w:szCs w:val="21"/>
        </w:rPr>
        <w:t>；</w:t>
      </w:r>
    </w:p>
    <w:p w14:paraId="234A11F4">
      <w:pPr>
        <w:spacing w:line="360" w:lineRule="auto"/>
        <w:ind w:firstLine="420"/>
        <w:rPr>
          <w:rFonts w:ascii="宋体" w:hAnsi="宋体" w:cs="宋体"/>
          <w:color w:val="000000"/>
          <w:szCs w:val="21"/>
        </w:rPr>
      </w:pPr>
      <w:r>
        <w:rPr>
          <w:rFonts w:hint="eastAsia" w:ascii="宋体" w:hAnsi="宋体" w:cs="宋体"/>
          <w:color w:val="000000"/>
          <w:szCs w:val="21"/>
        </w:rPr>
        <w:t>6、每年根据上级主管部门要求开展统一灭蚊、灭鼠等行动；</w:t>
      </w:r>
    </w:p>
    <w:p w14:paraId="30CFD91E">
      <w:pPr>
        <w:spacing w:line="360" w:lineRule="auto"/>
        <w:ind w:firstLine="420"/>
        <w:rPr>
          <w:rFonts w:ascii="宋体" w:hAnsi="宋体" w:cs="宋体"/>
          <w:color w:val="000000"/>
          <w:szCs w:val="21"/>
        </w:rPr>
      </w:pPr>
      <w:r>
        <w:rPr>
          <w:rFonts w:hint="eastAsia" w:ascii="宋体" w:hAnsi="宋体" w:cs="宋体"/>
          <w:color w:val="000000"/>
          <w:szCs w:val="21"/>
        </w:rPr>
        <w:t>7、规范建立病媒防制作业记录表，按流程作业完成后交社区签字确认；</w:t>
      </w:r>
    </w:p>
    <w:p w14:paraId="262C88F6">
      <w:pPr>
        <w:spacing w:line="360" w:lineRule="auto"/>
        <w:ind w:firstLine="420"/>
        <w:rPr>
          <w:rFonts w:ascii="宋体" w:hAnsi="宋体" w:cs="宋体"/>
          <w:color w:val="000000"/>
          <w:szCs w:val="21"/>
        </w:rPr>
      </w:pPr>
      <w:r>
        <w:rPr>
          <w:rFonts w:hint="eastAsia" w:ascii="宋体" w:hAnsi="宋体" w:cs="宋体"/>
          <w:color w:val="000000"/>
          <w:szCs w:val="21"/>
        </w:rPr>
        <w:t>8、处理好居民投诉、公共卫生事件等应急消杀工作；</w:t>
      </w:r>
    </w:p>
    <w:p w14:paraId="2A1EB05E">
      <w:pPr>
        <w:widowControl/>
        <w:spacing w:line="360" w:lineRule="auto"/>
        <w:ind w:left="420"/>
        <w:jc w:val="left"/>
        <w:rPr>
          <w:rFonts w:ascii="宋体" w:hAnsi="宋体" w:cs="宋体"/>
          <w:color w:val="000000"/>
          <w:szCs w:val="21"/>
        </w:rPr>
      </w:pPr>
      <w:r>
        <w:rPr>
          <w:rFonts w:hint="eastAsia" w:ascii="宋体" w:hAnsi="宋体" w:cs="宋体"/>
          <w:color w:val="000000"/>
          <w:szCs w:val="21"/>
        </w:rPr>
        <w:t>9、建立病媒生物生态学监测体系和登革热、基孔肯雅热等蚊媒监测体系；根据蚊、蝇的行为学，设计符合蚊虫活动特点的诱捕结构，在监测蚊虫数量同时达到灭杀效果；并对蚊虫采集数量随时间变化的建立曲线图，判断蚊虫的发生趋势；</w:t>
      </w:r>
    </w:p>
    <w:p w14:paraId="5068CF38">
      <w:pPr>
        <w:pStyle w:val="8"/>
        <w:spacing w:line="360" w:lineRule="auto"/>
        <w:ind w:firstLine="420"/>
        <w:jc w:val="left"/>
        <w:rPr>
          <w:rFonts w:ascii="宋体" w:hAnsi="宋体" w:eastAsia="宋体" w:cs="宋体"/>
          <w:color w:val="000000"/>
          <w:position w:val="0"/>
          <w:sz w:val="21"/>
          <w:szCs w:val="21"/>
        </w:rPr>
      </w:pPr>
      <w:r>
        <w:rPr>
          <w:rFonts w:hint="eastAsia" w:ascii="宋体" w:hAnsi="宋体" w:eastAsia="宋体" w:cs="宋体"/>
          <w:color w:val="000000"/>
          <w:position w:val="0"/>
          <w:sz w:val="21"/>
          <w:szCs w:val="21"/>
        </w:rPr>
        <w:t>10、建立健全工作台账资料，每月向甲方提供书面的工作汇报；</w:t>
      </w:r>
    </w:p>
    <w:p w14:paraId="415B9171">
      <w:pPr>
        <w:spacing w:line="360" w:lineRule="auto"/>
        <w:ind w:firstLine="420"/>
        <w:rPr>
          <w:rFonts w:ascii="宋体" w:hAnsi="宋体" w:cs="宋体"/>
          <w:b/>
          <w:bCs/>
          <w:color w:val="000000"/>
          <w:szCs w:val="21"/>
        </w:rPr>
      </w:pPr>
      <w:r>
        <w:rPr>
          <w:rFonts w:hint="eastAsia" w:ascii="宋体" w:hAnsi="宋体" w:cs="宋体"/>
          <w:b/>
          <w:bCs/>
          <w:color w:val="000000"/>
          <w:szCs w:val="21"/>
        </w:rPr>
        <w:t>B、花桥区域的农贸市场，大型商超外围</w:t>
      </w:r>
    </w:p>
    <w:p w14:paraId="71F058FA">
      <w:pPr>
        <w:spacing w:line="360" w:lineRule="auto"/>
        <w:ind w:firstLine="420"/>
        <w:rPr>
          <w:rFonts w:ascii="宋体" w:hAnsi="宋体" w:cs="宋体"/>
          <w:color w:val="000000"/>
          <w:szCs w:val="21"/>
        </w:rPr>
      </w:pPr>
      <w:r>
        <w:rPr>
          <w:rFonts w:hint="eastAsia" w:ascii="宋体" w:hAnsi="宋体" w:cs="宋体"/>
          <w:color w:val="000000"/>
          <w:szCs w:val="21"/>
        </w:rPr>
        <w:t>1、5-10月份每10－15天对蚊蝇孳生地（含窨井、公厕）投放药物杀灭蚊幼；</w:t>
      </w:r>
    </w:p>
    <w:p w14:paraId="1402B20B">
      <w:pPr>
        <w:spacing w:line="360" w:lineRule="auto"/>
        <w:ind w:firstLine="420"/>
        <w:rPr>
          <w:rFonts w:ascii="宋体" w:hAnsi="宋体" w:cs="宋体"/>
          <w:color w:val="000000"/>
          <w:szCs w:val="21"/>
        </w:rPr>
      </w:pPr>
      <w:r>
        <w:rPr>
          <w:rFonts w:hint="eastAsia" w:ascii="宋体" w:hAnsi="宋体" w:cs="宋体"/>
          <w:color w:val="000000"/>
          <w:szCs w:val="21"/>
        </w:rPr>
        <w:t>2、5-10月份对垃圾箱房及周边喷洒拟除虫菊酯类药物控制成蚊密度，防制频率</w:t>
      </w:r>
      <w:r>
        <w:rPr>
          <w:rFonts w:hint="eastAsia" w:ascii="宋体" w:hAnsi="宋体" w:cs="宋体"/>
          <w:szCs w:val="21"/>
        </w:rPr>
        <w:t>每月四次</w:t>
      </w:r>
      <w:r>
        <w:rPr>
          <w:rFonts w:hint="eastAsia" w:ascii="宋体" w:hAnsi="宋体" w:cs="宋体"/>
          <w:color w:val="000000"/>
          <w:szCs w:val="21"/>
        </w:rPr>
        <w:t>；</w:t>
      </w:r>
    </w:p>
    <w:p w14:paraId="31715B94">
      <w:pPr>
        <w:spacing w:line="360" w:lineRule="auto"/>
        <w:ind w:firstLine="420"/>
        <w:rPr>
          <w:rFonts w:ascii="宋体" w:hAnsi="宋体" w:cs="宋体"/>
          <w:color w:val="000000"/>
          <w:szCs w:val="21"/>
        </w:rPr>
      </w:pPr>
      <w:r>
        <w:rPr>
          <w:rFonts w:hint="eastAsia" w:ascii="宋体" w:hAnsi="宋体" w:cs="宋体"/>
          <w:color w:val="000000"/>
          <w:szCs w:val="21"/>
        </w:rPr>
        <w:t>3、商超、市场外围每20-30米应设1处灭鼠毒饵站，选址合理，符合鼠类生活习性，标识清楚（有编号、警示标识、布放单位名称等信息）；</w:t>
      </w:r>
    </w:p>
    <w:p w14:paraId="223B0337">
      <w:pPr>
        <w:spacing w:line="360" w:lineRule="auto"/>
        <w:ind w:firstLine="420"/>
        <w:rPr>
          <w:rFonts w:ascii="宋体" w:hAnsi="宋体" w:cs="宋体"/>
          <w:color w:val="000000"/>
          <w:szCs w:val="21"/>
        </w:rPr>
      </w:pPr>
      <w:r>
        <w:rPr>
          <w:rFonts w:hint="eastAsia" w:ascii="宋体" w:hAnsi="宋体" w:cs="宋体"/>
          <w:color w:val="000000"/>
          <w:szCs w:val="21"/>
        </w:rPr>
        <w:t>4、在商超、农贸市场外周边绿化带每150-200㎡投放一处，垃圾分类房、公厕周边每处设置两个捕蝇笼，控制成蝇，设施完好，有必要的标识；</w:t>
      </w:r>
    </w:p>
    <w:p w14:paraId="4BEE6EC3">
      <w:pPr>
        <w:spacing w:line="360" w:lineRule="auto"/>
        <w:ind w:firstLine="420"/>
        <w:rPr>
          <w:rFonts w:ascii="宋体" w:hAnsi="宋体" w:cs="宋体"/>
          <w:color w:val="000000"/>
          <w:szCs w:val="21"/>
        </w:rPr>
      </w:pPr>
      <w:r>
        <w:rPr>
          <w:rFonts w:hint="eastAsia" w:ascii="宋体" w:hAnsi="宋体" w:cs="宋体"/>
          <w:color w:val="000000"/>
          <w:szCs w:val="21"/>
        </w:rPr>
        <w:t>5、开展四害消杀服务。对市场开展鼠、蚊、蝇、蟑螂防制，灭杀重点为下水道、垃圾存放点、厕所、等市场内外公共区域。其中，灭鼠以室外投药，室内物理防制为主，灭蚊以清理孳生地，布设灭蚊灯为主，灭蝇、灭蟑螂以物理防制和化学防制相结合的方式，多措并举；</w:t>
      </w:r>
    </w:p>
    <w:p w14:paraId="25C5B2F8">
      <w:pPr>
        <w:spacing w:line="360" w:lineRule="auto"/>
        <w:ind w:firstLine="420"/>
        <w:rPr>
          <w:rFonts w:ascii="宋体" w:hAnsi="宋体" w:cs="宋体"/>
          <w:color w:val="000000"/>
          <w:szCs w:val="21"/>
        </w:rPr>
      </w:pPr>
      <w:r>
        <w:rPr>
          <w:rFonts w:hint="eastAsia" w:ascii="宋体" w:hAnsi="宋体" w:cs="宋体"/>
          <w:color w:val="000000"/>
          <w:szCs w:val="21"/>
        </w:rPr>
        <w:t>5、规范建立病媒防制作业记录表，作业完成后交市场管理方签字确认；</w:t>
      </w:r>
    </w:p>
    <w:p w14:paraId="79B979C0">
      <w:pPr>
        <w:spacing w:line="360" w:lineRule="auto"/>
        <w:ind w:firstLine="420"/>
        <w:rPr>
          <w:rFonts w:ascii="宋体" w:hAnsi="宋体" w:cs="宋体"/>
          <w:color w:val="000000"/>
          <w:szCs w:val="21"/>
        </w:rPr>
      </w:pPr>
      <w:r>
        <w:rPr>
          <w:rFonts w:hint="eastAsia" w:ascii="宋体" w:hAnsi="宋体" w:cs="宋体"/>
          <w:color w:val="000000"/>
          <w:szCs w:val="21"/>
        </w:rPr>
        <w:t>6、农贸市场内部安装粘捕式灭蝇灯，50-80㎡投放一台，并及时维护，公厕安装灭蝇灯，每点投放两台，并及时维护。</w:t>
      </w:r>
    </w:p>
    <w:p w14:paraId="51A5AF7C">
      <w:pPr>
        <w:spacing w:line="360" w:lineRule="auto"/>
        <w:ind w:firstLine="420"/>
        <w:rPr>
          <w:rFonts w:ascii="宋体" w:hAnsi="宋体" w:cs="宋体"/>
          <w:color w:val="000000"/>
          <w:szCs w:val="21"/>
        </w:rPr>
      </w:pPr>
      <w:r>
        <w:rPr>
          <w:rFonts w:hint="eastAsia" w:ascii="宋体" w:hAnsi="宋体" w:cs="宋体"/>
          <w:color w:val="000000"/>
          <w:szCs w:val="21"/>
        </w:rPr>
        <w:t>7、完善防制设施。指导市场对出入口应设置风帘，有条件的应安装风幕机，窗户配备纱窗，要督促市场内灭蝇灯开启，正常使用。通往室外的排水管、排水沟、通风口、换气扇孔等处安装金属防鼠网，孔径小于1.0厘米；通往墙外的空调线管、水管等管道侧缝，用水泥封死；门及门框包30厘米高的铁皮，设置60厘米高的挡鼠板，门窗合缝缝隙小于0.6厘米；一楼和地下室纱窗安装金属防鼠网。</w:t>
      </w:r>
    </w:p>
    <w:p w14:paraId="21B06F64">
      <w:pPr>
        <w:pStyle w:val="8"/>
        <w:spacing w:line="360" w:lineRule="auto"/>
        <w:ind w:firstLine="420"/>
        <w:jc w:val="left"/>
      </w:pPr>
      <w:r>
        <w:rPr>
          <w:rFonts w:hint="eastAsia" w:ascii="宋体" w:hAnsi="宋体" w:eastAsia="宋体" w:cs="宋体"/>
          <w:color w:val="000000"/>
          <w:position w:val="0"/>
          <w:sz w:val="21"/>
          <w:szCs w:val="21"/>
        </w:rPr>
        <w:t>8、建立健全工作台账资料，每月向甲方提供书面的工作汇报。</w:t>
      </w:r>
    </w:p>
    <w:p w14:paraId="7957B970">
      <w:pPr>
        <w:spacing w:line="360" w:lineRule="auto"/>
        <w:ind w:firstLine="420"/>
        <w:rPr>
          <w:rFonts w:ascii="宋体" w:hAnsi="宋体" w:cs="宋体"/>
          <w:b/>
          <w:bCs/>
          <w:color w:val="000000"/>
          <w:szCs w:val="21"/>
        </w:rPr>
      </w:pPr>
      <w:r>
        <w:rPr>
          <w:rFonts w:hint="eastAsia" w:ascii="宋体" w:hAnsi="宋体" w:cs="宋体"/>
          <w:b/>
          <w:bCs/>
          <w:color w:val="000000"/>
          <w:szCs w:val="21"/>
        </w:rPr>
        <w:t>C、公共游园、工业园区企业、外围孳生区域病媒生物控制</w:t>
      </w:r>
    </w:p>
    <w:p w14:paraId="4C73BAC4">
      <w:pPr>
        <w:spacing w:line="360" w:lineRule="auto"/>
        <w:ind w:firstLine="420"/>
        <w:rPr>
          <w:rFonts w:ascii="宋体" w:hAnsi="宋体" w:cs="宋体"/>
          <w:color w:val="000000"/>
          <w:szCs w:val="21"/>
        </w:rPr>
      </w:pPr>
      <w:r>
        <w:rPr>
          <w:rFonts w:hint="eastAsia" w:ascii="宋体" w:hAnsi="宋体" w:cs="宋体"/>
          <w:color w:val="000000"/>
          <w:szCs w:val="21"/>
        </w:rPr>
        <w:t>1、对辖区内公共游园进行四害防制设施投放及登记造册，垃圾分类房、公厕、工业园区生活区按照社区病媒生物防制要求投放捕蝇笼、毒饵站、灭蝇灯等设施，要求设施完好，有必要的标识；</w:t>
      </w:r>
    </w:p>
    <w:p w14:paraId="3FC6F62D">
      <w:pPr>
        <w:spacing w:line="360" w:lineRule="auto"/>
        <w:ind w:firstLine="420"/>
        <w:rPr>
          <w:rFonts w:ascii="宋体" w:hAnsi="宋体" w:cs="宋体"/>
          <w:color w:val="000000"/>
          <w:szCs w:val="21"/>
        </w:rPr>
      </w:pPr>
      <w:r>
        <w:rPr>
          <w:rFonts w:hint="eastAsia" w:ascii="宋体" w:hAnsi="宋体" w:cs="宋体"/>
          <w:color w:val="000000"/>
          <w:szCs w:val="21"/>
        </w:rPr>
        <w:t>2、对区域内的湿地公园、市民公园、口袋公园统一投放不低于200台太阳能灭蚊灯，要求额定功率</w:t>
      </w:r>
      <w:r>
        <w:rPr>
          <w:rFonts w:ascii="Arial" w:hAnsi="Arial" w:cs="Arial"/>
          <w:color w:val="000000"/>
          <w:szCs w:val="21"/>
        </w:rPr>
        <w:t>≥</w:t>
      </w:r>
      <w:r>
        <w:rPr>
          <w:rFonts w:hint="eastAsia" w:ascii="宋体" w:hAnsi="宋体" w:cs="宋体"/>
          <w:color w:val="000000"/>
          <w:szCs w:val="21"/>
        </w:rPr>
        <w:t>20瓦，电池蓄电容量</w:t>
      </w:r>
      <w:r>
        <w:rPr>
          <w:rFonts w:ascii="Arial" w:hAnsi="Arial" w:cs="Arial"/>
          <w:color w:val="000000"/>
          <w:szCs w:val="21"/>
        </w:rPr>
        <w:t>≥</w:t>
      </w:r>
      <w:r>
        <w:rPr>
          <w:rFonts w:hint="eastAsia" w:ascii="宋体" w:hAnsi="宋体" w:cs="宋体"/>
          <w:color w:val="000000"/>
          <w:szCs w:val="21"/>
        </w:rPr>
        <w:t>30000mAh，蓄电续航</w:t>
      </w:r>
      <w:r>
        <w:rPr>
          <w:rFonts w:ascii="Arial" w:hAnsi="Arial" w:cs="Arial"/>
          <w:color w:val="000000"/>
          <w:szCs w:val="21"/>
        </w:rPr>
        <w:t>≥</w:t>
      </w:r>
      <w:r>
        <w:rPr>
          <w:rFonts w:hint="eastAsia" w:ascii="宋体" w:hAnsi="宋体" w:cs="宋体"/>
          <w:color w:val="000000"/>
          <w:szCs w:val="21"/>
        </w:rPr>
        <w:t>10小时，机器电流控制在10毫安以内又对人体不构成安全威胁的设备，要求设施完好，有必要的标识，定期维护；</w:t>
      </w:r>
    </w:p>
    <w:p w14:paraId="17ACFAC7">
      <w:pPr>
        <w:spacing w:line="360" w:lineRule="auto"/>
        <w:ind w:firstLine="420"/>
        <w:rPr>
          <w:rFonts w:ascii="宋体" w:hAnsi="宋体" w:cs="宋体"/>
          <w:color w:val="000000"/>
          <w:szCs w:val="21"/>
        </w:rPr>
      </w:pPr>
      <w:r>
        <w:rPr>
          <w:rFonts w:hint="eastAsia" w:ascii="宋体" w:hAnsi="宋体" w:cs="宋体"/>
          <w:color w:val="000000"/>
          <w:szCs w:val="21"/>
        </w:rPr>
        <w:t>3、5-10月对中标区域开展灭蝇灭蚊工作，控制蚊、蝇繁殖侵害，防制频率</w:t>
      </w:r>
      <w:r>
        <w:rPr>
          <w:rFonts w:hint="eastAsia" w:ascii="宋体" w:hAnsi="宋体" w:cs="宋体"/>
          <w:szCs w:val="21"/>
        </w:rPr>
        <w:t>每月三次</w:t>
      </w:r>
      <w:r>
        <w:rPr>
          <w:rFonts w:hint="eastAsia" w:ascii="宋体" w:hAnsi="宋体" w:cs="宋体"/>
          <w:color w:val="000000"/>
          <w:szCs w:val="21"/>
        </w:rPr>
        <w:t>；</w:t>
      </w:r>
    </w:p>
    <w:p w14:paraId="0D341934">
      <w:pPr>
        <w:spacing w:line="360" w:lineRule="auto"/>
        <w:rPr>
          <w:rFonts w:ascii="宋体" w:hAnsi="宋体" w:cs="宋体"/>
          <w:color w:val="000000"/>
          <w:szCs w:val="21"/>
        </w:rPr>
      </w:pPr>
      <w:r>
        <w:rPr>
          <w:rFonts w:hint="eastAsia" w:ascii="宋体" w:hAnsi="宋体" w:cs="宋体"/>
          <w:color w:val="000000"/>
          <w:szCs w:val="21"/>
        </w:rPr>
        <w:t xml:space="preserve">    4、辖区内绿化蚊虫孳生区域，对积水洼地进行治理，无法治理的，投放灭蚊幼药，每月3次对外环境进行成蚊灭杀工作；</w:t>
      </w:r>
    </w:p>
    <w:p w14:paraId="0A35B266">
      <w:pPr>
        <w:widowControl/>
        <w:spacing w:line="360" w:lineRule="auto"/>
        <w:ind w:left="420"/>
        <w:jc w:val="left"/>
      </w:pPr>
      <w:r>
        <w:rPr>
          <w:rFonts w:hint="eastAsia" w:ascii="宋体" w:hAnsi="宋体" w:cs="宋体"/>
          <w:color w:val="000000"/>
          <w:szCs w:val="21"/>
        </w:rPr>
        <w:t>5、配合相关机构建立病媒生物生态学监测体系和登革热蚊媒监测体系；根据蚊、蝇的行为学，设计符合蚊虫活动特点的诱捕结构，在监测蚊虫数量同时达到灭杀效果；并对蚊虫采集数量随时间变化的建立曲线图，判断蚊虫的发生趋势；</w:t>
      </w:r>
    </w:p>
    <w:p w14:paraId="65BF9321">
      <w:pPr>
        <w:pStyle w:val="23"/>
        <w:ind w:firstLine="420"/>
        <w:rPr>
          <w:rFonts w:hAnsi="宋体" w:cs="宋体"/>
          <w:color w:val="000000"/>
          <w:sz w:val="21"/>
          <w:szCs w:val="21"/>
        </w:rPr>
      </w:pPr>
      <w:r>
        <w:rPr>
          <w:rFonts w:hint="eastAsia" w:hAnsi="宋体" w:cs="宋体"/>
          <w:color w:val="000000"/>
          <w:sz w:val="21"/>
          <w:szCs w:val="21"/>
        </w:rPr>
        <w:t>6、建立健全工作台账资料，每月向甲方提供书面的工作汇报。</w:t>
      </w:r>
    </w:p>
    <w:p w14:paraId="446D1352">
      <w:pPr>
        <w:spacing w:line="360" w:lineRule="auto"/>
        <w:ind w:firstLine="420"/>
        <w:rPr>
          <w:rFonts w:ascii="宋体" w:hAnsi="宋体" w:cs="宋体"/>
          <w:b/>
          <w:bCs/>
          <w:color w:val="000000"/>
          <w:szCs w:val="21"/>
        </w:rPr>
      </w:pPr>
      <w:r>
        <w:rPr>
          <w:rFonts w:hint="eastAsia" w:ascii="宋体" w:hAnsi="宋体" w:cs="宋体"/>
          <w:b/>
          <w:bCs/>
          <w:color w:val="000000"/>
          <w:szCs w:val="21"/>
        </w:rPr>
        <w:t>D、其他（</w:t>
      </w:r>
      <w:r>
        <w:rPr>
          <w:rFonts w:hint="eastAsia" w:ascii="宋体" w:hAnsi="宋体" w:cs="宋体"/>
          <w:szCs w:val="21"/>
        </w:rPr>
        <w:t>根据甲方需求适实启动</w:t>
      </w:r>
      <w:r>
        <w:rPr>
          <w:rFonts w:hint="eastAsia" w:ascii="宋体" w:hAnsi="宋体" w:cs="宋体"/>
          <w:b/>
          <w:bCs/>
          <w:color w:val="000000"/>
          <w:szCs w:val="21"/>
        </w:rPr>
        <w:t>）</w:t>
      </w:r>
    </w:p>
    <w:p w14:paraId="1E91A455">
      <w:pPr>
        <w:pStyle w:val="2"/>
        <w:ind w:left="0" w:firstLine="402"/>
        <w:rPr>
          <w:rFonts w:hint="default"/>
        </w:rPr>
      </w:pPr>
      <w:r>
        <w:rPr>
          <w:rFonts w:ascii="宋体" w:hAnsi="宋体" w:cs="宋体"/>
          <w:b/>
          <w:bCs/>
          <w:color w:val="000000"/>
          <w:szCs w:val="21"/>
        </w:rPr>
        <w:t>在专业部门指导下开展的应急响应工作</w:t>
      </w:r>
    </w:p>
    <w:p w14:paraId="4C2CFE59">
      <w:pPr>
        <w:tabs>
          <w:tab w:val="left" w:pos="365"/>
        </w:tabs>
        <w:spacing w:line="360" w:lineRule="auto"/>
        <w:ind w:firstLine="420"/>
        <w:rPr>
          <w:rFonts w:ascii="宋体" w:hAnsi="宋体" w:cs="宋体"/>
          <w:color w:val="000000"/>
          <w:szCs w:val="21"/>
        </w:rPr>
      </w:pPr>
      <w:r>
        <w:rPr>
          <w:rFonts w:hint="eastAsia" w:ascii="宋体" w:hAnsi="宋体" w:cs="宋体"/>
          <w:color w:val="000000"/>
          <w:szCs w:val="21"/>
        </w:rPr>
        <w:t>1、对辖区内景观水体、小型河道（不流通）等易积水、易孳生蚊虫区域登记造册；</w:t>
      </w:r>
    </w:p>
    <w:p w14:paraId="557823AC">
      <w:pPr>
        <w:spacing w:line="360" w:lineRule="auto"/>
        <w:ind w:firstLine="420"/>
        <w:rPr>
          <w:rFonts w:ascii="宋体" w:hAnsi="宋体" w:cs="宋体"/>
          <w:color w:val="000000"/>
          <w:szCs w:val="21"/>
        </w:rPr>
      </w:pPr>
      <w:r>
        <w:rPr>
          <w:rFonts w:hint="eastAsia" w:ascii="宋体" w:hAnsi="宋体" w:cs="宋体"/>
          <w:color w:val="000000"/>
          <w:szCs w:val="21"/>
        </w:rPr>
        <w:t>2、开展水体灭蚊，5-10月份每半个月对辖区内景观水池，河道投放一次灭蚊幼药剂，杀灭幼蚊，从源头上控制蚊虫繁殖；</w:t>
      </w:r>
    </w:p>
    <w:p w14:paraId="3A4C39E4">
      <w:pPr>
        <w:spacing w:line="360" w:lineRule="auto"/>
        <w:ind w:firstLine="420"/>
        <w:rPr>
          <w:rFonts w:ascii="宋体" w:hAnsi="宋体" w:cs="宋体"/>
          <w:color w:val="000000"/>
          <w:szCs w:val="21"/>
        </w:rPr>
      </w:pPr>
      <w:r>
        <w:rPr>
          <w:rFonts w:hint="eastAsia" w:ascii="宋体" w:hAnsi="宋体" w:cs="宋体"/>
          <w:color w:val="000000"/>
          <w:szCs w:val="21"/>
        </w:rPr>
        <w:t>3、对积水容器进行清理，对积水洼地进行治理，无法治理的，投放灭蚊幼药；</w:t>
      </w:r>
    </w:p>
    <w:p w14:paraId="66F7479F">
      <w:pPr>
        <w:pStyle w:val="8"/>
        <w:spacing w:line="360" w:lineRule="auto"/>
        <w:ind w:firstLine="420"/>
        <w:jc w:val="left"/>
        <w:rPr>
          <w:rFonts w:ascii="宋体" w:hAnsi="宋体" w:eastAsia="宋体" w:cs="宋体"/>
          <w:color w:val="000000"/>
          <w:position w:val="0"/>
          <w:sz w:val="21"/>
          <w:szCs w:val="21"/>
        </w:rPr>
      </w:pPr>
      <w:r>
        <w:rPr>
          <w:rFonts w:hint="eastAsia" w:ascii="宋体" w:hAnsi="宋体" w:eastAsia="宋体" w:cs="宋体"/>
          <w:color w:val="000000"/>
          <w:position w:val="0"/>
          <w:sz w:val="21"/>
          <w:szCs w:val="21"/>
        </w:rPr>
        <w:t>4、建立健全工作台账资料，每月向甲方提供书面的工作汇报。</w:t>
      </w:r>
    </w:p>
    <w:p w14:paraId="1FF54D5E">
      <w:pPr>
        <w:pStyle w:val="22"/>
        <w:ind w:firstLine="422"/>
        <w:rPr>
          <w:rFonts w:hAnsi="宋体" w:cs="宋体"/>
          <w:b/>
          <w:bCs/>
          <w:szCs w:val="21"/>
        </w:rPr>
      </w:pPr>
      <w:r>
        <w:rPr>
          <w:rFonts w:hint="eastAsia" w:hAnsi="宋体" w:cs="宋体"/>
          <w:b/>
          <w:bCs/>
          <w:szCs w:val="21"/>
        </w:rPr>
        <w:t>七、综合防制要求及考核评分：</w:t>
      </w:r>
    </w:p>
    <w:p w14:paraId="7B4A38AC">
      <w:pPr>
        <w:spacing w:line="360" w:lineRule="auto"/>
        <w:ind w:firstLine="420"/>
        <w:rPr>
          <w:rFonts w:ascii="宋体" w:hAnsi="宋体" w:cs="宋体"/>
          <w:szCs w:val="21"/>
        </w:rPr>
      </w:pPr>
      <w:r>
        <w:rPr>
          <w:rFonts w:hint="eastAsia" w:ascii="宋体" w:hAnsi="宋体" w:cs="宋体"/>
          <w:szCs w:val="21"/>
        </w:rPr>
        <w:t>（一）工作指标：</w:t>
      </w:r>
    </w:p>
    <w:p w14:paraId="6A4287A7">
      <w:pPr>
        <w:spacing w:line="360" w:lineRule="auto"/>
        <w:ind w:firstLine="420"/>
        <w:rPr>
          <w:rFonts w:ascii="宋体" w:hAnsi="宋体" w:cs="宋体"/>
          <w:szCs w:val="21"/>
        </w:rPr>
      </w:pPr>
      <w:r>
        <w:rPr>
          <w:rFonts w:hint="eastAsia" w:ascii="宋体" w:hAnsi="宋体" w:cs="宋体"/>
          <w:szCs w:val="21"/>
        </w:rPr>
        <w:t>1、鼠、蚊、蝇类防制（投放地点、药量、投放环境）方法符合相关要求；经评估，控制指标符合《昆山市病媒生物防制考核办法》要求，建成区鼠、蚊、蝇、蟑螂的密度达到国家病媒生物密度控制水平标准C级要求；</w:t>
      </w:r>
    </w:p>
    <w:p w14:paraId="3EB29CEF">
      <w:pPr>
        <w:spacing w:line="360" w:lineRule="auto"/>
        <w:ind w:firstLine="420"/>
        <w:rPr>
          <w:rFonts w:ascii="宋体" w:hAnsi="宋体" w:cs="宋体"/>
          <w:szCs w:val="21"/>
        </w:rPr>
      </w:pPr>
      <w:r>
        <w:rPr>
          <w:rFonts w:hint="eastAsia" w:ascii="宋体" w:hAnsi="宋体" w:cs="宋体"/>
          <w:szCs w:val="21"/>
        </w:rPr>
        <w:t>2、指导服务辖区内重点行业和单位防蝇和防鼠设施合格率≥95%；</w:t>
      </w:r>
    </w:p>
    <w:p w14:paraId="74E946C7">
      <w:pPr>
        <w:spacing w:line="360" w:lineRule="auto"/>
        <w:ind w:firstLine="420"/>
        <w:rPr>
          <w:rFonts w:ascii="宋体" w:hAnsi="宋体" w:cs="宋体"/>
          <w:szCs w:val="21"/>
        </w:rPr>
      </w:pPr>
      <w:r>
        <w:rPr>
          <w:rFonts w:hint="eastAsia" w:ascii="宋体" w:hAnsi="宋体" w:cs="宋体"/>
          <w:szCs w:val="21"/>
        </w:rPr>
        <w:t>3、群众满意率达90%（含）以上；</w:t>
      </w:r>
    </w:p>
    <w:p w14:paraId="57A57B3B">
      <w:pPr>
        <w:spacing w:line="360" w:lineRule="auto"/>
        <w:ind w:firstLine="420"/>
        <w:rPr>
          <w:rFonts w:ascii="宋体" w:hAnsi="宋体" w:cs="宋体"/>
          <w:szCs w:val="21"/>
        </w:rPr>
      </w:pPr>
      <w:r>
        <w:rPr>
          <w:rFonts w:hint="eastAsia" w:ascii="宋体" w:hAnsi="宋体" w:cs="宋体"/>
          <w:szCs w:val="21"/>
        </w:rPr>
        <w:t>4、通过上级检查效果评价及国家卫生城（镇）等病媒生物防制复审；</w:t>
      </w:r>
    </w:p>
    <w:p w14:paraId="381FDF7F">
      <w:pPr>
        <w:spacing w:line="360" w:lineRule="auto"/>
        <w:ind w:firstLine="420"/>
        <w:rPr>
          <w:rFonts w:ascii="宋体" w:hAnsi="宋体" w:cs="宋体"/>
          <w:szCs w:val="21"/>
        </w:rPr>
      </w:pPr>
      <w:r>
        <w:rPr>
          <w:rFonts w:hint="eastAsia" w:ascii="宋体" w:hAnsi="宋体" w:cs="宋体"/>
          <w:szCs w:val="21"/>
        </w:rPr>
        <w:t>（二）质量要求</w:t>
      </w:r>
    </w:p>
    <w:p w14:paraId="0A70FC7F">
      <w:pPr>
        <w:spacing w:line="360" w:lineRule="auto"/>
        <w:ind w:firstLine="420"/>
        <w:rPr>
          <w:rFonts w:ascii="宋体" w:hAnsi="宋体" w:cs="宋体"/>
          <w:szCs w:val="21"/>
        </w:rPr>
      </w:pPr>
      <w:r>
        <w:rPr>
          <w:rFonts w:hint="eastAsia" w:ascii="宋体" w:hAnsi="宋体" w:cs="宋体"/>
          <w:szCs w:val="21"/>
        </w:rPr>
        <w:t>1、鼠类控制水平:</w:t>
      </w:r>
    </w:p>
    <w:p w14:paraId="53B5B71F">
      <w:pPr>
        <w:spacing w:line="360" w:lineRule="auto"/>
        <w:ind w:firstLine="420"/>
        <w:rPr>
          <w:rFonts w:ascii="宋体" w:hAnsi="宋体" w:cs="宋体"/>
          <w:szCs w:val="21"/>
        </w:rPr>
      </w:pPr>
      <w:r>
        <w:rPr>
          <w:rFonts w:hint="eastAsia" w:ascii="宋体" w:hAnsi="宋体" w:cs="宋体"/>
          <w:szCs w:val="21"/>
        </w:rPr>
        <w:t>（1）外环境鼠密度路径指数小于或等于5；</w:t>
      </w:r>
    </w:p>
    <w:p w14:paraId="58FA3160">
      <w:pPr>
        <w:spacing w:line="360" w:lineRule="auto"/>
        <w:ind w:firstLine="420"/>
        <w:rPr>
          <w:rFonts w:ascii="宋体" w:hAnsi="宋体" w:cs="宋体"/>
          <w:szCs w:val="21"/>
        </w:rPr>
      </w:pPr>
      <w:r>
        <w:rPr>
          <w:rFonts w:hint="eastAsia" w:ascii="宋体" w:hAnsi="宋体" w:cs="宋体"/>
          <w:szCs w:val="21"/>
        </w:rPr>
        <w:t>（路径指数是指累计检查1000米路径所发现的鼠和鼠迹的处数）</w:t>
      </w:r>
    </w:p>
    <w:p w14:paraId="1B16FD9B">
      <w:pPr>
        <w:spacing w:line="360" w:lineRule="auto"/>
        <w:ind w:firstLine="420"/>
        <w:rPr>
          <w:rFonts w:ascii="宋体" w:hAnsi="宋体" w:cs="宋体"/>
          <w:szCs w:val="21"/>
        </w:rPr>
      </w:pPr>
      <w:r>
        <w:rPr>
          <w:rFonts w:hint="eastAsia" w:ascii="宋体" w:hAnsi="宋体" w:cs="宋体"/>
          <w:szCs w:val="21"/>
        </w:rPr>
        <w:t>（2）室内鼠密度控制水平鼠迹阳性率小于或等于5%；</w:t>
      </w:r>
    </w:p>
    <w:p w14:paraId="394CB17E">
      <w:pPr>
        <w:spacing w:line="360" w:lineRule="auto"/>
        <w:ind w:firstLine="420"/>
        <w:rPr>
          <w:rFonts w:ascii="宋体" w:hAnsi="宋体" w:cs="宋体"/>
          <w:szCs w:val="21"/>
        </w:rPr>
      </w:pPr>
      <w:r>
        <w:rPr>
          <w:rFonts w:hint="eastAsia" w:ascii="宋体" w:hAnsi="宋体" w:cs="宋体"/>
          <w:szCs w:val="21"/>
        </w:rPr>
        <w:t>2、蚊类控制水平：</w:t>
      </w:r>
    </w:p>
    <w:p w14:paraId="5A9E6993">
      <w:pPr>
        <w:spacing w:line="360" w:lineRule="auto"/>
        <w:ind w:firstLine="420"/>
        <w:rPr>
          <w:rFonts w:ascii="宋体" w:hAnsi="宋体" w:cs="宋体"/>
          <w:szCs w:val="21"/>
        </w:rPr>
      </w:pPr>
      <w:r>
        <w:rPr>
          <w:rFonts w:hint="eastAsia" w:ascii="宋体" w:hAnsi="宋体" w:cs="宋体"/>
          <w:szCs w:val="21"/>
        </w:rPr>
        <w:t>（1）小型积水蚊虫密度路径指数小于或等于0.8；</w:t>
      </w:r>
    </w:p>
    <w:p w14:paraId="28C8D7A5">
      <w:pPr>
        <w:spacing w:line="360" w:lineRule="auto"/>
        <w:ind w:firstLine="420"/>
        <w:rPr>
          <w:rFonts w:ascii="宋体" w:hAnsi="宋体" w:cs="宋体"/>
          <w:szCs w:val="21"/>
        </w:rPr>
      </w:pPr>
      <w:r>
        <w:rPr>
          <w:rFonts w:hint="eastAsia" w:ascii="宋体" w:hAnsi="宋体" w:cs="宋体"/>
          <w:szCs w:val="21"/>
        </w:rPr>
        <w:t>（路径指数是指累计检查1000米路径所发现的蚊幼虫阳性积水处数）</w:t>
      </w:r>
    </w:p>
    <w:p w14:paraId="074C98ED">
      <w:pPr>
        <w:spacing w:line="360" w:lineRule="auto"/>
        <w:ind w:firstLine="420"/>
        <w:rPr>
          <w:rFonts w:ascii="宋体" w:hAnsi="宋体" w:cs="宋体"/>
          <w:szCs w:val="21"/>
        </w:rPr>
      </w:pPr>
      <w:r>
        <w:rPr>
          <w:rFonts w:hint="eastAsia" w:ascii="宋体" w:hAnsi="宋体" w:cs="宋体"/>
          <w:szCs w:val="21"/>
        </w:rPr>
        <w:t>（2）外环境停落指数小于或等于1.5；</w:t>
      </w:r>
    </w:p>
    <w:p w14:paraId="765D858F">
      <w:pPr>
        <w:spacing w:line="360" w:lineRule="auto"/>
        <w:ind w:firstLine="420"/>
        <w:rPr>
          <w:rFonts w:ascii="宋体" w:hAnsi="宋体" w:cs="宋体"/>
          <w:szCs w:val="21"/>
        </w:rPr>
      </w:pPr>
      <w:r>
        <w:rPr>
          <w:rFonts w:hint="eastAsia" w:ascii="宋体" w:hAnsi="宋体" w:cs="宋体"/>
          <w:szCs w:val="21"/>
        </w:rPr>
        <w:t>（停落指数是指在半小时内测试人腿上的蚊虫停落数）</w:t>
      </w:r>
    </w:p>
    <w:p w14:paraId="2009D8B4">
      <w:pPr>
        <w:spacing w:line="360" w:lineRule="auto"/>
        <w:ind w:firstLine="420"/>
        <w:rPr>
          <w:rFonts w:ascii="宋体" w:hAnsi="宋体" w:cs="宋体"/>
          <w:szCs w:val="21"/>
        </w:rPr>
      </w:pPr>
      <w:r>
        <w:rPr>
          <w:rFonts w:hint="eastAsia" w:ascii="宋体" w:hAnsi="宋体" w:cs="宋体"/>
          <w:szCs w:val="21"/>
        </w:rPr>
        <w:t>（3）大中型水体采样勺指数小于或等于5%，平均每阳性勺蚊幼及蛹少于8只；</w:t>
      </w:r>
    </w:p>
    <w:p w14:paraId="673A679F">
      <w:pPr>
        <w:spacing w:line="360" w:lineRule="auto"/>
        <w:ind w:firstLine="420"/>
        <w:rPr>
          <w:rFonts w:ascii="宋体" w:hAnsi="宋体" w:cs="宋体"/>
          <w:szCs w:val="21"/>
        </w:rPr>
      </w:pPr>
      <w:r>
        <w:rPr>
          <w:rFonts w:hint="eastAsia" w:ascii="宋体" w:hAnsi="宋体" w:cs="宋体"/>
          <w:szCs w:val="21"/>
        </w:rPr>
        <w:t>（采样勺指数是对大中型水体，包括池塘、湖泊和河流，沿岸每隔10m，用采样勺取水，阳性勺占取样勺的百分比）</w:t>
      </w:r>
    </w:p>
    <w:p w14:paraId="69BEC11A">
      <w:pPr>
        <w:spacing w:line="360" w:lineRule="auto"/>
        <w:ind w:firstLine="420"/>
        <w:rPr>
          <w:rFonts w:ascii="宋体" w:hAnsi="宋体" w:cs="宋体"/>
          <w:szCs w:val="21"/>
        </w:rPr>
      </w:pPr>
      <w:r>
        <w:rPr>
          <w:rFonts w:hint="eastAsia" w:ascii="宋体" w:hAnsi="宋体" w:cs="宋体"/>
          <w:szCs w:val="21"/>
        </w:rPr>
        <w:t xml:space="preserve">3、蝇类控制水平: </w:t>
      </w:r>
    </w:p>
    <w:p w14:paraId="0ACA2B8F">
      <w:pPr>
        <w:spacing w:line="360" w:lineRule="auto"/>
        <w:ind w:firstLine="420"/>
        <w:rPr>
          <w:rFonts w:ascii="宋体" w:hAnsi="宋体" w:cs="宋体"/>
          <w:szCs w:val="21"/>
        </w:rPr>
      </w:pPr>
      <w:r>
        <w:rPr>
          <w:rFonts w:hint="eastAsia" w:ascii="宋体" w:hAnsi="宋体" w:cs="宋体"/>
          <w:szCs w:val="21"/>
        </w:rPr>
        <w:t>（1）外环境蝇孳生地幼虫及蛹的阳性检测率小于或等于5%。</w:t>
      </w:r>
    </w:p>
    <w:p w14:paraId="029F502D">
      <w:pPr>
        <w:spacing w:line="360" w:lineRule="auto"/>
        <w:ind w:firstLine="420"/>
        <w:rPr>
          <w:rFonts w:ascii="宋体" w:hAnsi="宋体" w:cs="宋体"/>
          <w:szCs w:val="21"/>
        </w:rPr>
      </w:pPr>
      <w:r>
        <w:rPr>
          <w:rFonts w:hint="eastAsia" w:ascii="宋体" w:hAnsi="宋体" w:cs="宋体"/>
          <w:szCs w:val="21"/>
        </w:rPr>
        <w:t>4、 蟑类控制水平：</w:t>
      </w:r>
    </w:p>
    <w:p w14:paraId="493A6F90">
      <w:pPr>
        <w:spacing w:line="360" w:lineRule="auto"/>
        <w:ind w:firstLine="420"/>
        <w:rPr>
          <w:rFonts w:ascii="宋体" w:hAnsi="宋体" w:cs="宋体"/>
          <w:szCs w:val="21"/>
        </w:rPr>
      </w:pPr>
      <w:r>
        <w:rPr>
          <w:rFonts w:hint="eastAsia" w:ascii="宋体" w:hAnsi="宋体" w:cs="宋体"/>
          <w:szCs w:val="21"/>
        </w:rPr>
        <w:t>（1）蜚蠊成若虫侵害率小于或等于5%，平均每阳性间（处）成若虫数小蠊小于或等于10只，大蠊小于或等于5只；</w:t>
      </w:r>
    </w:p>
    <w:p w14:paraId="68240DFF">
      <w:pPr>
        <w:spacing w:line="360" w:lineRule="auto"/>
        <w:ind w:firstLine="420"/>
        <w:rPr>
          <w:rFonts w:ascii="宋体" w:hAnsi="宋体" w:cs="宋体"/>
          <w:szCs w:val="21"/>
        </w:rPr>
      </w:pPr>
      <w:r>
        <w:rPr>
          <w:rFonts w:hint="eastAsia" w:ascii="宋体" w:hAnsi="宋体" w:cs="宋体"/>
          <w:szCs w:val="21"/>
        </w:rPr>
        <w:t>（2）蜚蠊卵鞘查获率小于或等于3%，平均每阳性间（处）卵鞘小于或等于8只；</w:t>
      </w:r>
    </w:p>
    <w:p w14:paraId="51307CE7">
      <w:pPr>
        <w:spacing w:line="360" w:lineRule="auto"/>
        <w:ind w:firstLine="420"/>
        <w:rPr>
          <w:rFonts w:ascii="宋体" w:hAnsi="宋体" w:cs="宋体"/>
          <w:szCs w:val="21"/>
        </w:rPr>
      </w:pPr>
      <w:r>
        <w:rPr>
          <w:rFonts w:hint="eastAsia" w:ascii="宋体" w:hAnsi="宋体" w:cs="宋体"/>
          <w:szCs w:val="21"/>
        </w:rPr>
        <w:t>（3）蟑迹查获率小于或等于7%。</w:t>
      </w:r>
    </w:p>
    <w:p w14:paraId="0617802E">
      <w:pPr>
        <w:pStyle w:val="2"/>
        <w:ind w:left="0" w:firstLine="0"/>
        <w:rPr>
          <w:rFonts w:hint="default"/>
        </w:rPr>
      </w:pPr>
      <w:r>
        <w:rPr>
          <w:rFonts w:ascii="宋体" w:hAnsi="宋体" w:cs="宋体"/>
          <w:szCs w:val="21"/>
        </w:rPr>
        <w:t>注：中标单位对照以上标准每月出具病媒生物密度自评报告。</w:t>
      </w:r>
    </w:p>
    <w:p w14:paraId="603A80E5">
      <w:pPr>
        <w:spacing w:line="300" w:lineRule="auto"/>
        <w:ind w:firstLine="3255"/>
        <w:rPr>
          <w:rFonts w:ascii="宋体" w:hAnsi="宋体" w:cs="宋体"/>
          <w:b/>
          <w:bCs/>
          <w:szCs w:val="21"/>
        </w:rPr>
      </w:pPr>
      <w:r>
        <w:rPr>
          <w:rFonts w:hint="eastAsia" w:ascii="宋体" w:hAnsi="宋体" w:cs="宋体"/>
          <w:b/>
          <w:bCs/>
          <w:szCs w:val="21"/>
        </w:rPr>
        <w:br w:type="page" w:clear="all"/>
      </w:r>
      <w:r>
        <w:rPr>
          <w:rFonts w:hint="eastAsia" w:ascii="宋体" w:hAnsi="宋体" w:cs="宋体"/>
          <w:b/>
          <w:bCs/>
          <w:szCs w:val="21"/>
        </w:rPr>
        <w:t>病媒生物防制考核评分表</w:t>
      </w:r>
    </w:p>
    <w:tbl>
      <w:tblPr>
        <w:tblStyle w:val="13"/>
        <w:tblW w:w="488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1467"/>
        <w:gridCol w:w="2938"/>
        <w:gridCol w:w="3317"/>
        <w:gridCol w:w="783"/>
      </w:tblGrid>
      <w:tr w14:paraId="7D4B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66" w:type="dxa"/>
            <w:noWrap w:val="0"/>
            <w:vAlign w:val="center"/>
          </w:tcPr>
          <w:p w14:paraId="3356D224">
            <w:pPr>
              <w:rPr>
                <w:rFonts w:ascii="宋体" w:hAnsi="宋体" w:cs="宋体"/>
                <w:szCs w:val="21"/>
              </w:rPr>
            </w:pPr>
            <w:r>
              <w:rPr>
                <w:rFonts w:hint="eastAsia" w:ascii="宋体" w:hAnsi="宋体" w:cs="宋体"/>
                <w:szCs w:val="21"/>
              </w:rPr>
              <w:t>序号</w:t>
            </w:r>
          </w:p>
        </w:tc>
        <w:tc>
          <w:tcPr>
            <w:tcW w:w="799" w:type="dxa"/>
            <w:noWrap w:val="0"/>
            <w:vAlign w:val="center"/>
          </w:tcPr>
          <w:p w14:paraId="2E83C278">
            <w:pPr>
              <w:rPr>
                <w:rFonts w:ascii="宋体" w:hAnsi="宋体" w:cs="宋体"/>
                <w:szCs w:val="21"/>
              </w:rPr>
            </w:pPr>
            <w:r>
              <w:rPr>
                <w:rFonts w:hint="eastAsia" w:ascii="宋体" w:hAnsi="宋体" w:cs="宋体"/>
                <w:szCs w:val="21"/>
              </w:rPr>
              <w:t>项目</w:t>
            </w:r>
          </w:p>
        </w:tc>
        <w:tc>
          <w:tcPr>
            <w:tcW w:w="1600" w:type="dxa"/>
            <w:noWrap w:val="0"/>
            <w:vAlign w:val="center"/>
          </w:tcPr>
          <w:p w14:paraId="38CC8208">
            <w:pPr>
              <w:rPr>
                <w:rFonts w:ascii="宋体" w:hAnsi="宋体" w:cs="宋体"/>
                <w:szCs w:val="21"/>
              </w:rPr>
            </w:pPr>
            <w:r>
              <w:rPr>
                <w:rFonts w:hint="eastAsia" w:ascii="宋体" w:hAnsi="宋体" w:cs="宋体"/>
                <w:szCs w:val="21"/>
              </w:rPr>
              <w:t>考核内容</w:t>
            </w:r>
          </w:p>
        </w:tc>
        <w:tc>
          <w:tcPr>
            <w:tcW w:w="1806" w:type="dxa"/>
            <w:noWrap w:val="0"/>
            <w:vAlign w:val="center"/>
          </w:tcPr>
          <w:p w14:paraId="53D84108">
            <w:pPr>
              <w:rPr>
                <w:rFonts w:ascii="宋体" w:hAnsi="宋体" w:cs="宋体"/>
                <w:szCs w:val="21"/>
              </w:rPr>
            </w:pPr>
            <w:r>
              <w:rPr>
                <w:rFonts w:hint="eastAsia" w:ascii="宋体" w:hAnsi="宋体" w:cs="宋体"/>
                <w:szCs w:val="21"/>
              </w:rPr>
              <w:t>考核方法</w:t>
            </w:r>
          </w:p>
        </w:tc>
        <w:tc>
          <w:tcPr>
            <w:tcW w:w="426" w:type="dxa"/>
            <w:noWrap w:val="0"/>
          </w:tcPr>
          <w:p w14:paraId="0A20EBDE">
            <w:pPr>
              <w:jc w:val="left"/>
              <w:rPr>
                <w:rFonts w:ascii="宋体" w:hAnsi="宋体" w:cs="宋体"/>
                <w:szCs w:val="21"/>
              </w:rPr>
            </w:pPr>
            <w:r>
              <w:rPr>
                <w:rFonts w:hint="eastAsia" w:ascii="宋体" w:hAnsi="宋体" w:cs="宋体"/>
                <w:szCs w:val="21"/>
              </w:rPr>
              <w:t>得分</w:t>
            </w:r>
          </w:p>
        </w:tc>
      </w:tr>
      <w:tr w14:paraId="206D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trPr>
        <w:tc>
          <w:tcPr>
            <w:tcW w:w="366" w:type="dxa"/>
            <w:noWrap w:val="0"/>
            <w:vAlign w:val="center"/>
          </w:tcPr>
          <w:p w14:paraId="2A70F71C">
            <w:pPr>
              <w:rPr>
                <w:rFonts w:ascii="宋体" w:hAnsi="宋体" w:cs="宋体"/>
                <w:szCs w:val="21"/>
              </w:rPr>
            </w:pPr>
            <w:r>
              <w:rPr>
                <w:rFonts w:hint="eastAsia" w:ascii="宋体" w:hAnsi="宋体" w:cs="宋体"/>
                <w:szCs w:val="21"/>
              </w:rPr>
              <w:t>1</w:t>
            </w:r>
          </w:p>
        </w:tc>
        <w:tc>
          <w:tcPr>
            <w:tcW w:w="799" w:type="dxa"/>
            <w:noWrap w:val="0"/>
            <w:vAlign w:val="center"/>
          </w:tcPr>
          <w:p w14:paraId="068F8686">
            <w:pPr>
              <w:rPr>
                <w:rFonts w:ascii="宋体" w:hAnsi="宋体" w:cs="宋体"/>
                <w:szCs w:val="21"/>
              </w:rPr>
            </w:pPr>
            <w:r>
              <w:rPr>
                <w:rFonts w:hint="eastAsia" w:ascii="宋体" w:hAnsi="宋体" w:cs="宋体"/>
                <w:szCs w:val="21"/>
              </w:rPr>
              <w:t>鼠防制（15分）</w:t>
            </w:r>
          </w:p>
        </w:tc>
        <w:tc>
          <w:tcPr>
            <w:tcW w:w="1600" w:type="dxa"/>
            <w:noWrap w:val="0"/>
            <w:vAlign w:val="center"/>
          </w:tcPr>
          <w:p w14:paraId="68C5DBB0">
            <w:pPr>
              <w:rPr>
                <w:rFonts w:ascii="宋体" w:hAnsi="宋体" w:cs="宋体"/>
                <w:szCs w:val="21"/>
              </w:rPr>
            </w:pPr>
            <w:r>
              <w:rPr>
                <w:rFonts w:hint="eastAsia" w:ascii="宋体" w:hAnsi="宋体" w:cs="宋体"/>
                <w:szCs w:val="21"/>
              </w:rPr>
              <w:t>1.未见活鼠；</w:t>
            </w:r>
          </w:p>
          <w:p w14:paraId="1AF0EC64">
            <w:pPr>
              <w:rPr>
                <w:rFonts w:ascii="宋体" w:hAnsi="宋体" w:cs="宋体"/>
                <w:szCs w:val="21"/>
              </w:rPr>
            </w:pPr>
            <w:r>
              <w:rPr>
                <w:rFonts w:hint="eastAsia" w:ascii="宋体" w:hAnsi="宋体" w:cs="宋体"/>
                <w:szCs w:val="21"/>
              </w:rPr>
              <w:t>2.未见鼠洞、鼠咬痕或死鼠等鼠迹）。</w:t>
            </w:r>
          </w:p>
          <w:p w14:paraId="254B06F5">
            <w:pPr>
              <w:rPr>
                <w:rFonts w:ascii="宋体" w:hAnsi="宋体" w:cs="宋体"/>
                <w:szCs w:val="21"/>
              </w:rPr>
            </w:pPr>
            <w:r>
              <w:rPr>
                <w:rFonts w:hint="eastAsia" w:ascii="宋体" w:hAnsi="宋体" w:cs="宋体"/>
                <w:szCs w:val="21"/>
              </w:rPr>
              <w:t>3.毒饵房齐全，安装规范、美观。</w:t>
            </w:r>
          </w:p>
        </w:tc>
        <w:tc>
          <w:tcPr>
            <w:tcW w:w="1806" w:type="dxa"/>
            <w:noWrap w:val="0"/>
            <w:vAlign w:val="center"/>
          </w:tcPr>
          <w:p w14:paraId="48204D89">
            <w:pPr>
              <w:rPr>
                <w:rFonts w:ascii="宋体" w:hAnsi="宋体" w:cs="宋体"/>
                <w:szCs w:val="21"/>
              </w:rPr>
            </w:pPr>
            <w:r>
              <w:rPr>
                <w:rFonts w:hint="eastAsia" w:ascii="宋体" w:hAnsi="宋体" w:cs="宋体"/>
                <w:szCs w:val="21"/>
              </w:rPr>
              <w:t>抽查2个以上小区，每个小区抽查4幢以上居民楼，1000米以上延长线。每发现一只活鼠或一处鼠迹扣1分，每发现一处毒饵房破损扣0.5分，每发现一处毒饵房缺失或不规范扣1分。</w:t>
            </w:r>
          </w:p>
        </w:tc>
        <w:tc>
          <w:tcPr>
            <w:tcW w:w="426" w:type="dxa"/>
            <w:noWrap w:val="0"/>
          </w:tcPr>
          <w:p w14:paraId="39B2BDD8">
            <w:pPr>
              <w:ind w:firstLine="600"/>
              <w:jc w:val="left"/>
              <w:rPr>
                <w:rFonts w:ascii="宋体" w:hAnsi="宋体" w:cs="宋体"/>
                <w:szCs w:val="21"/>
              </w:rPr>
            </w:pPr>
          </w:p>
        </w:tc>
      </w:tr>
      <w:tr w14:paraId="2300D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trPr>
        <w:tc>
          <w:tcPr>
            <w:tcW w:w="366" w:type="dxa"/>
            <w:noWrap w:val="0"/>
            <w:vAlign w:val="center"/>
          </w:tcPr>
          <w:p w14:paraId="5803BD09">
            <w:pPr>
              <w:rPr>
                <w:rFonts w:ascii="宋体" w:hAnsi="宋体" w:cs="宋体"/>
                <w:szCs w:val="21"/>
              </w:rPr>
            </w:pPr>
            <w:r>
              <w:rPr>
                <w:rFonts w:hint="eastAsia" w:ascii="宋体" w:hAnsi="宋体" w:cs="宋体"/>
                <w:szCs w:val="21"/>
              </w:rPr>
              <w:t>2</w:t>
            </w:r>
          </w:p>
        </w:tc>
        <w:tc>
          <w:tcPr>
            <w:tcW w:w="799" w:type="dxa"/>
            <w:noWrap w:val="0"/>
            <w:vAlign w:val="center"/>
          </w:tcPr>
          <w:p w14:paraId="6E348F51">
            <w:pPr>
              <w:rPr>
                <w:rFonts w:ascii="宋体" w:hAnsi="宋体" w:cs="宋体"/>
                <w:szCs w:val="21"/>
              </w:rPr>
            </w:pPr>
            <w:r>
              <w:rPr>
                <w:rFonts w:hint="eastAsia" w:ascii="宋体" w:hAnsi="宋体" w:cs="宋体"/>
                <w:szCs w:val="21"/>
              </w:rPr>
              <w:t>蝇防制（15分）</w:t>
            </w:r>
          </w:p>
        </w:tc>
        <w:tc>
          <w:tcPr>
            <w:tcW w:w="1600" w:type="dxa"/>
            <w:noWrap w:val="0"/>
            <w:vAlign w:val="center"/>
          </w:tcPr>
          <w:p w14:paraId="5DEF7712">
            <w:pPr>
              <w:rPr>
                <w:rFonts w:ascii="宋体" w:hAnsi="宋体" w:cs="宋体"/>
                <w:szCs w:val="21"/>
              </w:rPr>
            </w:pPr>
            <w:r>
              <w:rPr>
                <w:rFonts w:hint="eastAsia" w:ascii="宋体" w:hAnsi="宋体" w:cs="宋体"/>
                <w:szCs w:val="21"/>
              </w:rPr>
              <w:t>4.孳生地控制良好；</w:t>
            </w:r>
          </w:p>
          <w:p w14:paraId="0281D389">
            <w:pPr>
              <w:rPr>
                <w:rFonts w:ascii="宋体" w:hAnsi="宋体" w:cs="宋体"/>
                <w:szCs w:val="21"/>
              </w:rPr>
            </w:pPr>
            <w:r>
              <w:rPr>
                <w:rFonts w:hint="eastAsia" w:ascii="宋体" w:hAnsi="宋体" w:cs="宋体"/>
                <w:szCs w:val="21"/>
              </w:rPr>
              <w:t>5.防制设施规范；</w:t>
            </w:r>
          </w:p>
          <w:p w14:paraId="7D6D7C29">
            <w:pPr>
              <w:rPr>
                <w:rFonts w:ascii="宋体" w:hAnsi="宋体" w:cs="宋体"/>
                <w:szCs w:val="21"/>
              </w:rPr>
            </w:pPr>
            <w:r>
              <w:rPr>
                <w:rFonts w:hint="eastAsia" w:ascii="宋体" w:hAnsi="宋体" w:cs="宋体"/>
                <w:szCs w:val="21"/>
              </w:rPr>
              <w:t>6.垃圾箱（房）等重点场所未见苍蝇。</w:t>
            </w:r>
          </w:p>
        </w:tc>
        <w:tc>
          <w:tcPr>
            <w:tcW w:w="1806" w:type="dxa"/>
            <w:noWrap w:val="0"/>
            <w:vAlign w:val="center"/>
          </w:tcPr>
          <w:p w14:paraId="6B51182A">
            <w:pPr>
              <w:rPr>
                <w:rFonts w:ascii="宋体" w:hAnsi="宋体" w:cs="宋体"/>
                <w:szCs w:val="21"/>
              </w:rPr>
            </w:pPr>
            <w:r>
              <w:rPr>
                <w:rFonts w:hint="eastAsia" w:ascii="宋体" w:hAnsi="宋体" w:cs="宋体"/>
                <w:szCs w:val="21"/>
              </w:rPr>
              <w:t>抽查2个以上小区，每个小区抽查4幢以上居民楼，10个以上垃圾桶。每有一处控制不力孳生地扣1分，防制设施缺失扣2分，防制设施不规范扣1分，发现苍蝇密度超标一次扣1分。</w:t>
            </w:r>
          </w:p>
        </w:tc>
        <w:tc>
          <w:tcPr>
            <w:tcW w:w="426" w:type="dxa"/>
            <w:noWrap w:val="0"/>
          </w:tcPr>
          <w:p w14:paraId="1AA05410">
            <w:pPr>
              <w:ind w:firstLine="600"/>
              <w:jc w:val="left"/>
              <w:rPr>
                <w:rFonts w:ascii="宋体" w:hAnsi="宋体" w:cs="宋体"/>
                <w:szCs w:val="21"/>
              </w:rPr>
            </w:pPr>
          </w:p>
        </w:tc>
      </w:tr>
      <w:tr w14:paraId="1E344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trPr>
        <w:tc>
          <w:tcPr>
            <w:tcW w:w="366" w:type="dxa"/>
            <w:noWrap w:val="0"/>
            <w:vAlign w:val="center"/>
          </w:tcPr>
          <w:p w14:paraId="5C811DEF">
            <w:pPr>
              <w:rPr>
                <w:rFonts w:ascii="宋体" w:hAnsi="宋体" w:cs="宋体"/>
                <w:szCs w:val="21"/>
              </w:rPr>
            </w:pPr>
            <w:r>
              <w:rPr>
                <w:rFonts w:hint="eastAsia" w:ascii="宋体" w:hAnsi="宋体" w:cs="宋体"/>
                <w:szCs w:val="21"/>
              </w:rPr>
              <w:t>3</w:t>
            </w:r>
          </w:p>
        </w:tc>
        <w:tc>
          <w:tcPr>
            <w:tcW w:w="799" w:type="dxa"/>
            <w:noWrap w:val="0"/>
            <w:vAlign w:val="center"/>
          </w:tcPr>
          <w:p w14:paraId="21EEFF32">
            <w:pPr>
              <w:rPr>
                <w:rFonts w:ascii="宋体" w:hAnsi="宋体" w:cs="宋体"/>
                <w:szCs w:val="21"/>
              </w:rPr>
            </w:pPr>
            <w:r>
              <w:rPr>
                <w:rFonts w:hint="eastAsia" w:ascii="宋体" w:hAnsi="宋体" w:cs="宋体"/>
                <w:szCs w:val="21"/>
              </w:rPr>
              <w:t>蚊防制（15分）</w:t>
            </w:r>
          </w:p>
        </w:tc>
        <w:tc>
          <w:tcPr>
            <w:tcW w:w="1600" w:type="dxa"/>
            <w:noWrap w:val="0"/>
            <w:vAlign w:val="center"/>
          </w:tcPr>
          <w:p w14:paraId="57F123E5">
            <w:pPr>
              <w:rPr>
                <w:rFonts w:ascii="宋体" w:hAnsi="宋体" w:cs="宋体"/>
                <w:szCs w:val="21"/>
              </w:rPr>
            </w:pPr>
            <w:r>
              <w:rPr>
                <w:rFonts w:hint="eastAsia" w:ascii="宋体" w:hAnsi="宋体" w:cs="宋体"/>
                <w:szCs w:val="21"/>
              </w:rPr>
              <w:t>7.水体、废旧轮胎、积水潭或其他积水容器中未见幼虫；</w:t>
            </w:r>
          </w:p>
          <w:p w14:paraId="3FA6AD43">
            <w:pPr>
              <w:rPr>
                <w:rFonts w:ascii="宋体" w:hAnsi="宋体" w:cs="宋体"/>
                <w:szCs w:val="21"/>
              </w:rPr>
            </w:pPr>
            <w:r>
              <w:rPr>
                <w:rFonts w:hint="eastAsia" w:ascii="宋体" w:hAnsi="宋体" w:cs="宋体"/>
                <w:szCs w:val="21"/>
              </w:rPr>
              <w:t>8.外环境蚊虫控制水平达C级以上；</w:t>
            </w:r>
          </w:p>
          <w:p w14:paraId="6EC97751">
            <w:pPr>
              <w:rPr>
                <w:rFonts w:ascii="宋体" w:hAnsi="宋体" w:cs="宋体"/>
                <w:szCs w:val="21"/>
              </w:rPr>
            </w:pPr>
            <w:r>
              <w:rPr>
                <w:rFonts w:hint="eastAsia" w:ascii="宋体" w:hAnsi="宋体" w:cs="宋体"/>
                <w:szCs w:val="21"/>
              </w:rPr>
              <w:t>9.楼道、车库等蚊虫栖息场所未见成蚊。</w:t>
            </w:r>
          </w:p>
        </w:tc>
        <w:tc>
          <w:tcPr>
            <w:tcW w:w="1806" w:type="dxa"/>
            <w:noWrap w:val="0"/>
            <w:vAlign w:val="center"/>
          </w:tcPr>
          <w:p w14:paraId="4F187A66">
            <w:pPr>
              <w:rPr>
                <w:rFonts w:ascii="宋体" w:hAnsi="宋体" w:cs="宋体"/>
                <w:szCs w:val="21"/>
              </w:rPr>
            </w:pPr>
            <w:r>
              <w:rPr>
                <w:rFonts w:hint="eastAsia" w:ascii="宋体" w:hAnsi="宋体" w:cs="宋体"/>
                <w:szCs w:val="21"/>
              </w:rPr>
              <w:t>抽查2个以上小区，每个小区抽查4幢以上居民楼，8个以上楼道。发现一处孳生地扣1分，幼蚊或成蚊密度超标一处扣1分。</w:t>
            </w:r>
          </w:p>
        </w:tc>
        <w:tc>
          <w:tcPr>
            <w:tcW w:w="426" w:type="dxa"/>
            <w:noWrap w:val="0"/>
          </w:tcPr>
          <w:p w14:paraId="2B58555B">
            <w:pPr>
              <w:ind w:firstLine="600"/>
              <w:jc w:val="left"/>
              <w:rPr>
                <w:rFonts w:ascii="宋体" w:hAnsi="宋体" w:cs="宋体"/>
                <w:szCs w:val="21"/>
              </w:rPr>
            </w:pPr>
          </w:p>
        </w:tc>
      </w:tr>
      <w:tr w14:paraId="2C35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366" w:type="dxa"/>
            <w:noWrap w:val="0"/>
            <w:vAlign w:val="center"/>
          </w:tcPr>
          <w:p w14:paraId="35BA2179">
            <w:pPr>
              <w:rPr>
                <w:rFonts w:ascii="宋体" w:hAnsi="宋体" w:cs="宋体"/>
                <w:szCs w:val="21"/>
              </w:rPr>
            </w:pPr>
            <w:r>
              <w:rPr>
                <w:rFonts w:hint="eastAsia" w:ascii="宋体" w:hAnsi="宋体" w:cs="宋体"/>
                <w:szCs w:val="21"/>
              </w:rPr>
              <w:t>4</w:t>
            </w:r>
          </w:p>
        </w:tc>
        <w:tc>
          <w:tcPr>
            <w:tcW w:w="799" w:type="dxa"/>
            <w:noWrap w:val="0"/>
            <w:vAlign w:val="center"/>
          </w:tcPr>
          <w:p w14:paraId="3E270FFF">
            <w:pPr>
              <w:rPr>
                <w:rFonts w:ascii="宋体" w:hAnsi="宋体" w:cs="宋体"/>
                <w:szCs w:val="21"/>
              </w:rPr>
            </w:pPr>
            <w:r>
              <w:rPr>
                <w:rFonts w:hint="eastAsia" w:ascii="宋体" w:hAnsi="宋体" w:cs="宋体"/>
                <w:szCs w:val="21"/>
              </w:rPr>
              <w:t>蟑防制（15分）</w:t>
            </w:r>
          </w:p>
        </w:tc>
        <w:tc>
          <w:tcPr>
            <w:tcW w:w="1600" w:type="dxa"/>
            <w:noWrap w:val="0"/>
            <w:vAlign w:val="center"/>
          </w:tcPr>
          <w:p w14:paraId="61E02DB7">
            <w:pPr>
              <w:rPr>
                <w:rFonts w:ascii="宋体" w:hAnsi="宋体" w:cs="宋体"/>
                <w:szCs w:val="21"/>
              </w:rPr>
            </w:pPr>
            <w:r>
              <w:rPr>
                <w:rFonts w:hint="eastAsia" w:ascii="宋体" w:hAnsi="宋体" w:cs="宋体"/>
                <w:szCs w:val="21"/>
              </w:rPr>
              <w:t>10.蜚蠊密度控制水平需控制在C级以上标准。</w:t>
            </w:r>
          </w:p>
        </w:tc>
        <w:tc>
          <w:tcPr>
            <w:tcW w:w="1806" w:type="dxa"/>
            <w:noWrap w:val="0"/>
            <w:vAlign w:val="center"/>
          </w:tcPr>
          <w:p w14:paraId="28F2A8F0">
            <w:pPr>
              <w:rPr>
                <w:rFonts w:ascii="宋体" w:hAnsi="宋体" w:cs="宋体"/>
                <w:szCs w:val="21"/>
              </w:rPr>
            </w:pPr>
            <w:r>
              <w:rPr>
                <w:rFonts w:hint="eastAsia" w:ascii="宋体" w:hAnsi="宋体" w:cs="宋体"/>
                <w:szCs w:val="21"/>
              </w:rPr>
              <w:t>依据GB/T23795中目测法进行检查，成若虫、卵鞘、蟑迹密度高于标准的每发现一处扣1分。</w:t>
            </w:r>
          </w:p>
        </w:tc>
        <w:tc>
          <w:tcPr>
            <w:tcW w:w="426" w:type="dxa"/>
            <w:noWrap w:val="0"/>
          </w:tcPr>
          <w:p w14:paraId="4207FADA">
            <w:pPr>
              <w:ind w:firstLine="600"/>
              <w:jc w:val="left"/>
              <w:rPr>
                <w:rFonts w:ascii="宋体" w:hAnsi="宋体" w:cs="宋体"/>
                <w:szCs w:val="21"/>
              </w:rPr>
            </w:pPr>
          </w:p>
        </w:tc>
      </w:tr>
      <w:tr w14:paraId="1A855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366" w:type="dxa"/>
            <w:noWrap w:val="0"/>
            <w:vAlign w:val="center"/>
          </w:tcPr>
          <w:p w14:paraId="6F2DBD19">
            <w:pPr>
              <w:rPr>
                <w:rFonts w:ascii="宋体" w:hAnsi="宋体" w:cs="宋体"/>
                <w:szCs w:val="21"/>
              </w:rPr>
            </w:pPr>
            <w:r>
              <w:rPr>
                <w:rFonts w:hint="eastAsia" w:ascii="宋体" w:hAnsi="宋体" w:cs="宋体"/>
                <w:szCs w:val="21"/>
              </w:rPr>
              <w:t>5</w:t>
            </w:r>
          </w:p>
        </w:tc>
        <w:tc>
          <w:tcPr>
            <w:tcW w:w="799" w:type="dxa"/>
            <w:noWrap w:val="0"/>
            <w:vAlign w:val="center"/>
          </w:tcPr>
          <w:p w14:paraId="296AF84C">
            <w:pPr>
              <w:rPr>
                <w:rFonts w:ascii="宋体" w:hAnsi="宋体" w:cs="宋体"/>
                <w:szCs w:val="21"/>
              </w:rPr>
            </w:pPr>
            <w:r>
              <w:rPr>
                <w:rFonts w:hint="eastAsia" w:ascii="宋体" w:hAnsi="宋体" w:cs="宋体"/>
                <w:szCs w:val="21"/>
              </w:rPr>
              <w:t>应急消杀及专项活动（30分）</w:t>
            </w:r>
          </w:p>
        </w:tc>
        <w:tc>
          <w:tcPr>
            <w:tcW w:w="1600" w:type="dxa"/>
            <w:noWrap w:val="0"/>
            <w:vAlign w:val="center"/>
          </w:tcPr>
          <w:p w14:paraId="6618B1DF">
            <w:pPr>
              <w:rPr>
                <w:rFonts w:ascii="宋体" w:hAnsi="宋体" w:cs="宋体"/>
                <w:szCs w:val="21"/>
              </w:rPr>
            </w:pPr>
            <w:r>
              <w:rPr>
                <w:rFonts w:hint="eastAsia" w:ascii="宋体" w:hAnsi="宋体" w:cs="宋体"/>
                <w:szCs w:val="21"/>
              </w:rPr>
              <w:t>11.对群众投诉或属地管理部门反馈的应急消杀工作反应迅速，处理得当得；按时有序落实市镇（区）部署的四害专项行动得。</w:t>
            </w:r>
          </w:p>
        </w:tc>
        <w:tc>
          <w:tcPr>
            <w:tcW w:w="1806" w:type="dxa"/>
            <w:noWrap w:val="0"/>
            <w:vAlign w:val="center"/>
          </w:tcPr>
          <w:p w14:paraId="0595FA2B">
            <w:pPr>
              <w:rPr>
                <w:rFonts w:ascii="宋体" w:hAnsi="宋体" w:cs="宋体"/>
                <w:szCs w:val="21"/>
              </w:rPr>
            </w:pPr>
            <w:r>
              <w:rPr>
                <w:rFonts w:hint="eastAsia" w:ascii="宋体" w:hAnsi="宋体" w:cs="宋体"/>
                <w:szCs w:val="21"/>
              </w:rPr>
              <w:t>反应不及时扣5分，处理不得当、四害密度控制不力扣3分；</w:t>
            </w:r>
          </w:p>
          <w:p w14:paraId="537B12A3">
            <w:pPr>
              <w:rPr>
                <w:rFonts w:ascii="宋体" w:hAnsi="宋体" w:cs="宋体"/>
                <w:szCs w:val="21"/>
              </w:rPr>
            </w:pPr>
            <w:r>
              <w:rPr>
                <w:rFonts w:hint="eastAsia" w:ascii="宋体" w:hAnsi="宋体" w:cs="宋体"/>
                <w:szCs w:val="21"/>
              </w:rPr>
              <w:t>专项活动5%样本量抽取。不按时开展的扣3分，无明显成效的，扣2分。</w:t>
            </w:r>
          </w:p>
        </w:tc>
        <w:tc>
          <w:tcPr>
            <w:tcW w:w="426" w:type="dxa"/>
            <w:noWrap w:val="0"/>
            <w:vAlign w:val="center"/>
          </w:tcPr>
          <w:p w14:paraId="6CAA1169">
            <w:pPr>
              <w:rPr>
                <w:rFonts w:ascii="宋体" w:hAnsi="宋体" w:cs="宋体"/>
                <w:szCs w:val="21"/>
              </w:rPr>
            </w:pPr>
          </w:p>
        </w:tc>
      </w:tr>
      <w:tr w14:paraId="67B41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366" w:type="dxa"/>
            <w:noWrap w:val="0"/>
            <w:vAlign w:val="center"/>
          </w:tcPr>
          <w:p w14:paraId="7434482A">
            <w:pPr>
              <w:rPr>
                <w:rFonts w:ascii="宋体" w:hAnsi="宋体" w:cs="宋体"/>
                <w:szCs w:val="21"/>
              </w:rPr>
            </w:pPr>
            <w:r>
              <w:rPr>
                <w:rFonts w:hint="eastAsia" w:ascii="宋体" w:hAnsi="宋体" w:cs="宋体"/>
                <w:szCs w:val="21"/>
              </w:rPr>
              <w:t>6</w:t>
            </w:r>
          </w:p>
        </w:tc>
        <w:tc>
          <w:tcPr>
            <w:tcW w:w="799" w:type="dxa"/>
            <w:noWrap w:val="0"/>
            <w:vAlign w:val="center"/>
          </w:tcPr>
          <w:p w14:paraId="7D54AF02">
            <w:pPr>
              <w:rPr>
                <w:rFonts w:ascii="宋体" w:hAnsi="宋体" w:cs="宋体"/>
                <w:szCs w:val="21"/>
              </w:rPr>
            </w:pPr>
            <w:r>
              <w:rPr>
                <w:rFonts w:hint="eastAsia" w:ascii="宋体" w:hAnsi="宋体" w:cs="宋体"/>
                <w:szCs w:val="21"/>
              </w:rPr>
              <w:t>PCO公司规范服务（5分）</w:t>
            </w:r>
          </w:p>
        </w:tc>
        <w:tc>
          <w:tcPr>
            <w:tcW w:w="1600" w:type="dxa"/>
            <w:noWrap w:val="0"/>
            <w:vAlign w:val="center"/>
          </w:tcPr>
          <w:p w14:paraId="162B3035">
            <w:pPr>
              <w:rPr>
                <w:rFonts w:ascii="宋体" w:hAnsi="宋体" w:cs="宋体"/>
                <w:szCs w:val="21"/>
              </w:rPr>
            </w:pPr>
            <w:r>
              <w:rPr>
                <w:rFonts w:hint="eastAsia" w:ascii="宋体" w:hAnsi="宋体" w:cs="宋体"/>
                <w:szCs w:val="21"/>
              </w:rPr>
              <w:t>12. PCO公司不使用违禁药物，服务地药械仓储充足、规范，按时开展四害消杀活动。</w:t>
            </w:r>
          </w:p>
        </w:tc>
        <w:tc>
          <w:tcPr>
            <w:tcW w:w="1806" w:type="dxa"/>
            <w:noWrap w:val="0"/>
            <w:vAlign w:val="center"/>
          </w:tcPr>
          <w:p w14:paraId="33A29E28">
            <w:pPr>
              <w:rPr>
                <w:rFonts w:ascii="宋体" w:hAnsi="宋体" w:cs="宋体"/>
                <w:szCs w:val="21"/>
              </w:rPr>
            </w:pPr>
            <w:r>
              <w:rPr>
                <w:rFonts w:hint="eastAsia" w:ascii="宋体" w:hAnsi="宋体" w:cs="宋体"/>
                <w:szCs w:val="21"/>
              </w:rPr>
              <w:t>服务不规范，仓储存放不充足、使用违禁药物扣5分。</w:t>
            </w:r>
          </w:p>
        </w:tc>
        <w:tc>
          <w:tcPr>
            <w:tcW w:w="426" w:type="dxa"/>
            <w:noWrap w:val="0"/>
            <w:vAlign w:val="center"/>
          </w:tcPr>
          <w:p w14:paraId="0E99A519">
            <w:pPr>
              <w:rPr>
                <w:rFonts w:ascii="宋体" w:hAnsi="宋体" w:cs="宋体"/>
                <w:szCs w:val="21"/>
              </w:rPr>
            </w:pPr>
          </w:p>
        </w:tc>
      </w:tr>
      <w:tr w14:paraId="395B7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366" w:type="dxa"/>
            <w:noWrap w:val="0"/>
            <w:vAlign w:val="center"/>
          </w:tcPr>
          <w:p w14:paraId="38F84BD4">
            <w:pPr>
              <w:rPr>
                <w:rFonts w:ascii="宋体" w:hAnsi="宋体" w:cs="宋体"/>
                <w:szCs w:val="21"/>
              </w:rPr>
            </w:pPr>
            <w:r>
              <w:rPr>
                <w:rFonts w:hint="eastAsia" w:ascii="宋体" w:hAnsi="宋体" w:cs="宋体"/>
                <w:szCs w:val="21"/>
              </w:rPr>
              <w:t>7</w:t>
            </w:r>
          </w:p>
        </w:tc>
        <w:tc>
          <w:tcPr>
            <w:tcW w:w="799" w:type="dxa"/>
            <w:noWrap w:val="0"/>
            <w:vAlign w:val="center"/>
          </w:tcPr>
          <w:p w14:paraId="1717BD85">
            <w:pPr>
              <w:rPr>
                <w:rFonts w:ascii="宋体" w:hAnsi="宋体" w:cs="宋体"/>
                <w:szCs w:val="21"/>
              </w:rPr>
            </w:pPr>
            <w:r>
              <w:rPr>
                <w:rFonts w:hint="eastAsia" w:ascii="宋体" w:hAnsi="宋体" w:cs="宋体"/>
                <w:szCs w:val="21"/>
              </w:rPr>
              <w:t>群众投诉（扣减项5分）</w:t>
            </w:r>
          </w:p>
        </w:tc>
        <w:tc>
          <w:tcPr>
            <w:tcW w:w="1600" w:type="dxa"/>
            <w:noWrap w:val="0"/>
            <w:vAlign w:val="center"/>
          </w:tcPr>
          <w:p w14:paraId="6B972055">
            <w:pPr>
              <w:rPr>
                <w:rFonts w:ascii="宋体" w:hAnsi="宋体" w:cs="宋体"/>
                <w:szCs w:val="21"/>
              </w:rPr>
            </w:pPr>
            <w:r>
              <w:rPr>
                <w:rFonts w:hint="eastAsia" w:ascii="宋体" w:hAnsi="宋体" w:cs="宋体"/>
                <w:szCs w:val="21"/>
              </w:rPr>
              <w:t>13.群众投诉情况。</w:t>
            </w:r>
          </w:p>
        </w:tc>
        <w:tc>
          <w:tcPr>
            <w:tcW w:w="1806" w:type="dxa"/>
            <w:noWrap w:val="0"/>
            <w:vAlign w:val="center"/>
          </w:tcPr>
          <w:p w14:paraId="0F88F0BA">
            <w:pPr>
              <w:rPr>
                <w:rFonts w:ascii="宋体" w:hAnsi="宋体" w:cs="宋体"/>
                <w:szCs w:val="21"/>
              </w:rPr>
            </w:pPr>
            <w:r>
              <w:rPr>
                <w:rFonts w:hint="eastAsia" w:ascii="宋体" w:hAnsi="宋体" w:cs="宋体"/>
                <w:szCs w:val="21"/>
              </w:rPr>
              <w:t>群众投诉四害密度超标，经核实的，每次扣5分。</w:t>
            </w:r>
          </w:p>
        </w:tc>
        <w:tc>
          <w:tcPr>
            <w:tcW w:w="426" w:type="dxa"/>
            <w:noWrap w:val="0"/>
            <w:vAlign w:val="center"/>
          </w:tcPr>
          <w:p w14:paraId="4A3BED5E">
            <w:pPr>
              <w:rPr>
                <w:rFonts w:ascii="宋体" w:hAnsi="宋体" w:cs="宋体"/>
                <w:szCs w:val="21"/>
              </w:rPr>
            </w:pPr>
          </w:p>
        </w:tc>
      </w:tr>
      <w:tr w14:paraId="0EEA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366" w:type="dxa"/>
            <w:noWrap w:val="0"/>
            <w:vAlign w:val="center"/>
          </w:tcPr>
          <w:p w14:paraId="2667CA21">
            <w:pPr>
              <w:rPr>
                <w:rFonts w:ascii="宋体" w:hAnsi="宋体" w:cs="宋体"/>
                <w:szCs w:val="21"/>
              </w:rPr>
            </w:pPr>
            <w:r>
              <w:rPr>
                <w:rFonts w:hint="eastAsia" w:ascii="宋体" w:hAnsi="宋体" w:cs="宋体"/>
                <w:szCs w:val="21"/>
              </w:rPr>
              <w:t>合计</w:t>
            </w:r>
          </w:p>
        </w:tc>
        <w:tc>
          <w:tcPr>
            <w:tcW w:w="799" w:type="dxa"/>
            <w:noWrap w:val="0"/>
            <w:vAlign w:val="center"/>
          </w:tcPr>
          <w:p w14:paraId="55BBBFCC">
            <w:pPr>
              <w:rPr>
                <w:rFonts w:ascii="宋体" w:hAnsi="宋体" w:cs="宋体"/>
                <w:szCs w:val="21"/>
              </w:rPr>
            </w:pPr>
            <w:r>
              <w:rPr>
                <w:rFonts w:hint="eastAsia" w:ascii="宋体" w:hAnsi="宋体" w:cs="宋体"/>
                <w:szCs w:val="21"/>
              </w:rPr>
              <w:t>100分</w:t>
            </w:r>
          </w:p>
        </w:tc>
        <w:tc>
          <w:tcPr>
            <w:tcW w:w="1600" w:type="dxa"/>
            <w:noWrap w:val="0"/>
            <w:vAlign w:val="center"/>
          </w:tcPr>
          <w:p w14:paraId="062CAC92">
            <w:pPr>
              <w:rPr>
                <w:rFonts w:ascii="宋体" w:hAnsi="宋体" w:cs="宋体"/>
                <w:szCs w:val="21"/>
              </w:rPr>
            </w:pPr>
          </w:p>
        </w:tc>
        <w:tc>
          <w:tcPr>
            <w:tcW w:w="1806" w:type="dxa"/>
            <w:noWrap w:val="0"/>
            <w:vAlign w:val="center"/>
          </w:tcPr>
          <w:p w14:paraId="7C26B07C">
            <w:pPr>
              <w:rPr>
                <w:rFonts w:ascii="宋体" w:hAnsi="宋体" w:cs="宋体"/>
                <w:szCs w:val="21"/>
              </w:rPr>
            </w:pPr>
          </w:p>
        </w:tc>
        <w:tc>
          <w:tcPr>
            <w:tcW w:w="426" w:type="dxa"/>
            <w:noWrap w:val="0"/>
            <w:vAlign w:val="center"/>
          </w:tcPr>
          <w:p w14:paraId="42249644">
            <w:pPr>
              <w:rPr>
                <w:rFonts w:ascii="宋体" w:hAnsi="宋体" w:cs="宋体"/>
                <w:szCs w:val="21"/>
              </w:rPr>
            </w:pPr>
          </w:p>
        </w:tc>
      </w:tr>
    </w:tbl>
    <w:p w14:paraId="56BC3236">
      <w:pPr>
        <w:pStyle w:val="22"/>
        <w:ind w:firstLine="0"/>
        <w:rPr>
          <w:rFonts w:hAnsi="宋体" w:cs="宋体"/>
          <w:bCs/>
          <w:color w:val="000000"/>
          <w:szCs w:val="21"/>
        </w:rPr>
      </w:pPr>
      <w:r>
        <w:rPr>
          <w:rFonts w:hint="eastAsia" w:hAnsi="宋体" w:cs="宋体"/>
          <w:b/>
          <w:bCs/>
          <w:szCs w:val="21"/>
        </w:rPr>
        <w:t>八、处罚：</w:t>
      </w:r>
    </w:p>
    <w:p w14:paraId="244BFDC1">
      <w:pPr>
        <w:spacing w:line="360" w:lineRule="auto"/>
        <w:ind w:firstLine="409"/>
        <w:rPr>
          <w:rFonts w:ascii="宋体" w:hAnsi="宋体" w:cs="宋体"/>
          <w:szCs w:val="21"/>
          <w:lang w:val="zh-CN"/>
        </w:rPr>
      </w:pPr>
      <w:r>
        <w:rPr>
          <w:rFonts w:hint="eastAsia" w:ascii="宋体" w:hAnsi="宋体" w:cs="宋体"/>
          <w:szCs w:val="21"/>
          <w:lang w:val="zh-CN"/>
        </w:rPr>
        <w:t>甲方对中标方的服务工作进行每月考核，采购人根据考核情况予以支付费用，具体如下：月考核分达95分以上（含95分），每分扣100元；月考核分达85-94分（含85分），每分扣月服务费的1%（最高扣10%）；月考核分达75-84分（含75分），每分扣月服务费的2%（最高扣20%）；月考核分达65-74分（含65分），每分扣月服务费的3%（最高扣30%）；65分以下的，只支付合同价的50%；累积三次65分以下的，扣除服务费用以及解除合同，</w:t>
      </w:r>
      <w:r>
        <w:rPr>
          <w:rFonts w:hint="eastAsia" w:ascii="宋体" w:hAnsi="宋体" w:cs="宋体"/>
          <w:szCs w:val="21"/>
        </w:rPr>
        <w:t>合同期内如遇安全事故甲方有权终止合同</w:t>
      </w:r>
      <w:r>
        <w:rPr>
          <w:rFonts w:hint="eastAsia" w:ascii="宋体" w:hAnsi="宋体" w:cs="宋体"/>
          <w:szCs w:val="21"/>
          <w:lang w:val="zh-CN"/>
        </w:rPr>
        <w:t>。</w:t>
      </w:r>
    </w:p>
    <w:p w14:paraId="7884AAAF">
      <w:pPr>
        <w:spacing w:line="360" w:lineRule="auto"/>
        <w:rPr>
          <w:rFonts w:ascii="宋体" w:hAnsi="宋体" w:cs="宋体"/>
          <w:b/>
          <w:bCs/>
          <w:szCs w:val="21"/>
        </w:rPr>
      </w:pPr>
      <w:r>
        <w:rPr>
          <w:rFonts w:hint="eastAsia" w:ascii="宋体" w:hAnsi="宋体" w:cs="宋体"/>
          <w:b/>
          <w:bCs/>
          <w:szCs w:val="21"/>
        </w:rPr>
        <w:t>九、综合说明：</w:t>
      </w:r>
    </w:p>
    <w:p w14:paraId="0EEB976F">
      <w:pPr>
        <w:spacing w:line="360" w:lineRule="auto"/>
        <w:ind w:firstLine="409"/>
        <w:rPr>
          <w:rFonts w:ascii="宋体" w:hAnsi="宋体" w:cs="宋体"/>
          <w:szCs w:val="21"/>
          <w:lang w:val="zh-CN"/>
        </w:rPr>
      </w:pPr>
      <w:r>
        <w:rPr>
          <w:rFonts w:ascii="宋体" w:hAnsi="宋体" w:cs="宋体"/>
          <w:szCs w:val="21"/>
          <w:lang w:val="zh-CN"/>
        </w:rPr>
        <w:t>1</w:t>
      </w:r>
      <w:r>
        <w:rPr>
          <w:rFonts w:hint="eastAsia" w:ascii="宋体" w:hAnsi="宋体" w:cs="宋体"/>
          <w:szCs w:val="21"/>
        </w:rPr>
        <w:t>、</w:t>
      </w:r>
      <w:r>
        <w:rPr>
          <w:rFonts w:hint="eastAsia" w:ascii="宋体" w:hAnsi="宋体" w:cs="宋体"/>
          <w:szCs w:val="21"/>
          <w:lang w:val="zh-CN"/>
        </w:rPr>
        <w:t>投标单位提供的服务能够至少达到以上要求，同时明确详细的服务方案。</w:t>
      </w:r>
    </w:p>
    <w:p w14:paraId="1E5CFFFD">
      <w:pPr>
        <w:spacing w:line="360" w:lineRule="auto"/>
        <w:ind w:firstLine="409"/>
      </w:pPr>
      <w:r>
        <w:rPr>
          <w:rFonts w:hint="eastAsia" w:ascii="宋体" w:hAnsi="宋体" w:cs="宋体"/>
          <w:szCs w:val="21"/>
        </w:rPr>
        <w:t>2、</w:t>
      </w:r>
      <w:r>
        <w:rPr>
          <w:rFonts w:hint="eastAsia" w:hAnsi="Calibri"/>
        </w:rPr>
        <w:t>本项目报价包括</w:t>
      </w:r>
      <w:r>
        <w:rPr>
          <w:rFonts w:hint="eastAsia" w:hAnsi="宋体"/>
          <w:szCs w:val="21"/>
        </w:rPr>
        <w:t>全部货物和服务内容、人员工资福利、运输、</w:t>
      </w:r>
      <w:r>
        <w:rPr>
          <w:rFonts w:hint="eastAsia" w:hAnsi="Calibri"/>
        </w:rPr>
        <w:t>风险费、保险费、税金、利润等政策性文件规定及合同包含的所有风险、责任等各项应有费用。合同期价格不因服务期延长、物价变动及规范性、指导性、政策性文件等发生变化等因素而调整。</w:t>
      </w:r>
    </w:p>
    <w:p w14:paraId="6B6B7B73">
      <w:pPr>
        <w:spacing w:line="360" w:lineRule="auto"/>
        <w:ind w:firstLine="409"/>
      </w:pPr>
      <w:r>
        <w:rPr>
          <w:rFonts w:hint="eastAsia" w:ascii="宋体" w:hAnsi="宋体" w:cs="宋体"/>
          <w:szCs w:val="21"/>
        </w:rPr>
        <w:t>3、</w:t>
      </w:r>
      <w:r>
        <w:rPr>
          <w:rFonts w:hint="eastAsia" w:ascii="宋体" w:hAnsi="宋体" w:cs="宋体"/>
          <w:szCs w:val="21"/>
          <w:lang w:val="zh-CN"/>
        </w:rPr>
        <w:t>投标单位必须承诺招标文件中提出的全部要求，如果以其中某些条款不响应时，应在文件中逐条列出，未列出的视同响应。</w:t>
      </w:r>
      <w:bookmarkEnd w:id="69"/>
      <w:bookmarkEnd w:id="70"/>
      <w:bookmarkEnd w:id="71"/>
      <w:bookmarkEnd w:id="72"/>
    </w:p>
    <w:p w14:paraId="04E51201">
      <w:pPr>
        <w:pStyle w:val="5"/>
        <w:jc w:val="center"/>
      </w:pPr>
      <w:r>
        <w:rPr>
          <w:rFonts w:hint="eastAsia"/>
        </w:rPr>
        <w:br w:type="page" w:clear="all"/>
      </w:r>
      <w:bookmarkStart w:id="73" w:name="_Toc7969"/>
      <w:r>
        <w:rPr>
          <w:rFonts w:hint="eastAsia"/>
        </w:rPr>
        <w:t>第五章 合同主要内容</w:t>
      </w:r>
      <w:bookmarkEnd w:id="73"/>
    </w:p>
    <w:p w14:paraId="33FEB95A">
      <w:pPr>
        <w:spacing w:line="360" w:lineRule="auto"/>
        <w:rPr>
          <w:rFonts w:ascii="宋体" w:hAnsi="宋体"/>
          <w:szCs w:val="21"/>
        </w:rPr>
      </w:pPr>
      <w:r>
        <w:rPr>
          <w:rFonts w:hint="eastAsia" w:ascii="宋体" w:hAnsi="宋体"/>
          <w:szCs w:val="21"/>
        </w:rPr>
        <w:t xml:space="preserve">甲方：昆山市花桥镇人民政府 </w:t>
      </w:r>
    </w:p>
    <w:p w14:paraId="476319CE">
      <w:pPr>
        <w:spacing w:line="360" w:lineRule="auto"/>
        <w:rPr>
          <w:rFonts w:ascii="宋体" w:hAnsi="宋体"/>
          <w:szCs w:val="21"/>
        </w:rPr>
      </w:pPr>
      <w:r>
        <w:rPr>
          <w:rFonts w:hint="eastAsia" w:ascii="宋体" w:hAnsi="宋体"/>
          <w:szCs w:val="21"/>
        </w:rPr>
        <w:t>地址：</w:t>
      </w:r>
    </w:p>
    <w:p w14:paraId="7F34B534">
      <w:pPr>
        <w:spacing w:line="360" w:lineRule="auto"/>
        <w:rPr>
          <w:rFonts w:ascii="宋体" w:hAnsi="宋体"/>
          <w:szCs w:val="21"/>
        </w:rPr>
      </w:pPr>
    </w:p>
    <w:p w14:paraId="0E3A4AB1">
      <w:pPr>
        <w:spacing w:line="360" w:lineRule="auto"/>
        <w:rPr>
          <w:rFonts w:ascii="宋体" w:hAnsi="宋体"/>
          <w:szCs w:val="21"/>
        </w:rPr>
      </w:pPr>
      <w:r>
        <w:rPr>
          <w:rFonts w:hint="eastAsia" w:ascii="宋体" w:hAnsi="宋体"/>
          <w:szCs w:val="21"/>
        </w:rPr>
        <w:t>乙方：</w:t>
      </w:r>
    </w:p>
    <w:p w14:paraId="76118F02">
      <w:pPr>
        <w:spacing w:line="360" w:lineRule="auto"/>
        <w:rPr>
          <w:rFonts w:ascii="宋体" w:hAnsi="宋体"/>
          <w:szCs w:val="21"/>
        </w:rPr>
      </w:pPr>
      <w:r>
        <w:rPr>
          <w:rFonts w:hint="eastAsia" w:ascii="宋体" w:hAnsi="宋体"/>
          <w:szCs w:val="21"/>
        </w:rPr>
        <w:t xml:space="preserve">地址： </w:t>
      </w:r>
    </w:p>
    <w:p w14:paraId="69A1B5CB">
      <w:pPr>
        <w:spacing w:line="360" w:lineRule="auto"/>
        <w:ind w:firstLine="420"/>
        <w:rPr>
          <w:rFonts w:ascii="宋体" w:hAnsi="宋体" w:cs="宋体"/>
          <w:szCs w:val="21"/>
        </w:rPr>
      </w:pPr>
      <w:r>
        <w:rPr>
          <w:rFonts w:hint="eastAsia" w:ascii="宋体" w:hAnsi="宋体"/>
          <w:color w:val="000000"/>
          <w:szCs w:val="21"/>
        </w:rPr>
        <w:t>根据《</w:t>
      </w:r>
      <w:r>
        <w:rPr>
          <w:rFonts w:ascii="宋体" w:hAnsi="宋体"/>
          <w:color w:val="000000"/>
          <w:szCs w:val="21"/>
        </w:rPr>
        <w:t>中华人民共和国</w:t>
      </w:r>
      <w:r>
        <w:rPr>
          <w:rFonts w:hint="eastAsia" w:ascii="宋体" w:hAnsi="宋体"/>
          <w:color w:val="000000"/>
          <w:szCs w:val="21"/>
        </w:rPr>
        <w:t>民法典》和《</w:t>
      </w:r>
      <w:r>
        <w:rPr>
          <w:rFonts w:ascii="宋体" w:hAnsi="宋体"/>
          <w:color w:val="000000"/>
          <w:szCs w:val="21"/>
        </w:rPr>
        <w:t>中华人民共和国</w:t>
      </w:r>
      <w:r>
        <w:rPr>
          <w:rFonts w:hint="eastAsia" w:ascii="宋体" w:hAnsi="宋体"/>
          <w:color w:val="000000"/>
          <w:szCs w:val="21"/>
        </w:rPr>
        <w:t>政府采购</w:t>
      </w:r>
      <w:r>
        <w:rPr>
          <w:rFonts w:ascii="宋体" w:hAnsi="宋体"/>
          <w:color w:val="000000"/>
          <w:szCs w:val="21"/>
        </w:rPr>
        <w:t>法</w:t>
      </w:r>
      <w:r>
        <w:rPr>
          <w:rFonts w:hint="eastAsia" w:ascii="宋体" w:hAnsi="宋体"/>
          <w:color w:val="000000"/>
          <w:szCs w:val="21"/>
        </w:rPr>
        <w:t>》等有关法律法规，</w:t>
      </w:r>
      <w:r>
        <w:rPr>
          <w:rFonts w:hint="eastAsia" w:ascii="宋体" w:hAnsi="宋体" w:cs="宋体"/>
          <w:szCs w:val="21"/>
        </w:rPr>
        <w:t>根据招标编号为</w:t>
      </w:r>
      <w:r>
        <w:rPr>
          <w:rFonts w:hint="eastAsia" w:ascii="宋体" w:hAnsi="宋体" w:cs="宋体"/>
          <w:szCs w:val="21"/>
          <w:u w:val="single"/>
        </w:rPr>
        <w:t xml:space="preserve">                  </w:t>
      </w:r>
      <w:r>
        <w:rPr>
          <w:rFonts w:hint="eastAsia" w:ascii="宋体" w:hAnsi="宋体" w:cs="宋体"/>
          <w:szCs w:val="21"/>
        </w:rPr>
        <w:t>的招标文件及该文件的投标文件和中标通知书，甲乙双方就昆山市花桥镇人民政府关于</w:t>
      </w:r>
      <w:r>
        <w:rPr>
          <w:rFonts w:hint="eastAsia" w:ascii="宋体" w:hAnsi="宋体" w:cs="宋体"/>
          <w:szCs w:val="21"/>
          <w:u w:val="single"/>
        </w:rPr>
        <w:t>2026-2028年度病媒生物防制服务项目</w:t>
      </w:r>
      <w:r>
        <w:rPr>
          <w:rFonts w:hint="eastAsia" w:ascii="宋体" w:hAnsi="宋体"/>
          <w:szCs w:val="21"/>
          <w:u w:val="single"/>
        </w:rPr>
        <w:t>标段（一/二/三/四）</w:t>
      </w:r>
      <w:r>
        <w:rPr>
          <w:rFonts w:hint="eastAsia" w:ascii="宋体" w:hAnsi="宋体" w:cs="宋体"/>
          <w:szCs w:val="21"/>
        </w:rPr>
        <w:t>，签订本合同书。</w:t>
      </w:r>
    </w:p>
    <w:p w14:paraId="693BFD13">
      <w:pPr>
        <w:spacing w:line="360" w:lineRule="auto"/>
        <w:ind w:firstLine="420"/>
        <w:rPr>
          <w:rFonts w:ascii="宋体" w:hAnsi="宋体" w:cs="宋体"/>
          <w:b/>
          <w:bCs/>
          <w:szCs w:val="21"/>
        </w:rPr>
      </w:pPr>
      <w:r>
        <w:rPr>
          <w:rFonts w:hint="eastAsia" w:ascii="宋体" w:hAnsi="宋体" w:cs="宋体"/>
          <w:b/>
          <w:bCs/>
          <w:szCs w:val="21"/>
        </w:rPr>
        <w:t>一、合同内容：</w:t>
      </w:r>
    </w:p>
    <w:p w14:paraId="69C5947F">
      <w:pPr>
        <w:spacing w:line="360" w:lineRule="auto"/>
        <w:ind w:firstLine="420"/>
        <w:rPr>
          <w:rFonts w:ascii="宋体" w:hAnsi="宋体" w:cs="宋体"/>
          <w:szCs w:val="21"/>
        </w:rPr>
      </w:pPr>
      <w:r>
        <w:rPr>
          <w:rFonts w:hint="eastAsia" w:ascii="宋体" w:hAnsi="宋体" w:cs="宋体"/>
          <w:szCs w:val="21"/>
        </w:rPr>
        <w:t>1.乙方负责</w:t>
      </w:r>
      <w:r>
        <w:rPr>
          <w:rFonts w:ascii="宋体" w:hAnsi="宋体" w:cs="宋体"/>
          <w:color w:val="0000FF"/>
          <w:szCs w:val="21"/>
          <w:u w:val="single"/>
        </w:rPr>
        <w:t>2026-2028年度病媒生物防制服务项目</w:t>
      </w:r>
      <w:r>
        <w:rPr>
          <w:rFonts w:hint="eastAsia" w:ascii="宋体" w:hAnsi="宋体"/>
          <w:color w:val="000000"/>
          <w:szCs w:val="21"/>
        </w:rPr>
        <w:t>，具体详见招标文件及乙方投标承诺</w:t>
      </w:r>
      <w:r>
        <w:rPr>
          <w:rFonts w:hint="eastAsia" w:ascii="宋体" w:hAnsi="宋体" w:cs="Arial"/>
          <w:color w:val="000000"/>
          <w:szCs w:val="21"/>
        </w:rPr>
        <w:t>。</w:t>
      </w:r>
    </w:p>
    <w:p w14:paraId="3DE5BCFA">
      <w:pPr>
        <w:spacing w:line="360" w:lineRule="auto"/>
        <w:ind w:firstLine="420"/>
        <w:rPr>
          <w:rFonts w:ascii="宋体" w:hAnsi="宋体" w:cs="宋体"/>
          <w:szCs w:val="21"/>
        </w:rPr>
      </w:pPr>
      <w:r>
        <w:rPr>
          <w:rFonts w:hint="eastAsia" w:ascii="宋体" w:hAnsi="宋体" w:cs="宋体"/>
          <w:szCs w:val="21"/>
        </w:rPr>
        <w:t>2.在协议有效期内一方不得擅自变更或中止此项协议，如未经双方同意，擅自变更或中止此项的一方要负违约责任。此项协议需终止，应在协议期内提前半个月通知对方。</w:t>
      </w:r>
    </w:p>
    <w:p w14:paraId="3A05CF83">
      <w:pPr>
        <w:spacing w:line="360" w:lineRule="auto"/>
        <w:ind w:firstLine="420"/>
        <w:rPr>
          <w:rFonts w:ascii="宋体" w:hAnsi="宋体" w:cs="宋体"/>
          <w:szCs w:val="21"/>
        </w:rPr>
      </w:pPr>
      <w:r>
        <w:rPr>
          <w:rFonts w:hint="eastAsia" w:ascii="宋体" w:hAnsi="宋体" w:cs="宋体"/>
          <w:szCs w:val="21"/>
        </w:rPr>
        <w:t>3.下列文件为本合同不可分割部分：</w:t>
      </w:r>
    </w:p>
    <w:p w14:paraId="49D816FA">
      <w:pPr>
        <w:spacing w:line="360" w:lineRule="auto"/>
        <w:ind w:firstLine="420"/>
        <w:rPr>
          <w:rFonts w:ascii="宋体" w:hAnsi="宋体" w:cs="宋体"/>
          <w:szCs w:val="21"/>
        </w:rPr>
      </w:pPr>
      <w:r>
        <w:rPr>
          <w:rFonts w:hint="eastAsia" w:ascii="宋体" w:hAnsi="宋体" w:cs="宋体"/>
          <w:szCs w:val="21"/>
        </w:rPr>
        <w:t>① 中标通知书；</w:t>
      </w:r>
    </w:p>
    <w:p w14:paraId="65DB375C">
      <w:pPr>
        <w:spacing w:line="360" w:lineRule="auto"/>
        <w:ind w:firstLine="420"/>
        <w:rPr>
          <w:rFonts w:ascii="宋体" w:hAnsi="宋体" w:cs="宋体"/>
          <w:szCs w:val="21"/>
        </w:rPr>
      </w:pPr>
      <w:r>
        <w:rPr>
          <w:rFonts w:hint="eastAsia" w:ascii="宋体" w:hAnsi="宋体" w:cs="宋体"/>
          <w:szCs w:val="21"/>
        </w:rPr>
        <w:t>② 乙方的投标文件；</w:t>
      </w:r>
    </w:p>
    <w:p w14:paraId="586B113D">
      <w:pPr>
        <w:spacing w:line="360" w:lineRule="auto"/>
        <w:ind w:firstLine="420"/>
        <w:rPr>
          <w:rFonts w:ascii="宋体" w:hAnsi="宋体" w:cs="宋体"/>
          <w:szCs w:val="21"/>
        </w:rPr>
      </w:pPr>
      <w:r>
        <w:rPr>
          <w:rFonts w:hint="eastAsia" w:ascii="宋体" w:hAnsi="宋体" w:cs="宋体"/>
          <w:szCs w:val="21"/>
        </w:rPr>
        <w:t>③ 乙方在招投标过程中所作的其它承诺、声明、书面澄清等；</w:t>
      </w:r>
    </w:p>
    <w:p w14:paraId="07B21409">
      <w:pPr>
        <w:spacing w:line="360" w:lineRule="auto"/>
        <w:ind w:firstLine="420"/>
        <w:rPr>
          <w:rFonts w:ascii="宋体" w:hAnsi="宋体" w:cs="宋体"/>
          <w:szCs w:val="21"/>
        </w:rPr>
      </w:pPr>
      <w:r>
        <w:rPr>
          <w:rFonts w:hint="eastAsia" w:ascii="宋体" w:hAnsi="宋体" w:cs="宋体"/>
          <w:szCs w:val="21"/>
        </w:rPr>
        <w:t>④ 招标文件及其附件；</w:t>
      </w:r>
    </w:p>
    <w:p w14:paraId="4CA78E57">
      <w:pPr>
        <w:spacing w:line="360" w:lineRule="auto"/>
        <w:ind w:firstLine="420"/>
        <w:rPr>
          <w:rFonts w:ascii="宋体" w:hAnsi="宋体" w:cs="宋体"/>
          <w:szCs w:val="21"/>
        </w:rPr>
      </w:pPr>
      <w:r>
        <w:rPr>
          <w:rFonts w:hint="eastAsia" w:ascii="宋体" w:hAnsi="宋体" w:cs="宋体"/>
          <w:szCs w:val="21"/>
        </w:rPr>
        <w:t>⑤ 合同附件。</w:t>
      </w:r>
    </w:p>
    <w:p w14:paraId="71BF8F9F">
      <w:pPr>
        <w:spacing w:line="360" w:lineRule="auto"/>
        <w:ind w:firstLine="420"/>
        <w:rPr>
          <w:rFonts w:ascii="宋体" w:hAnsi="宋体" w:cs="宋体"/>
          <w:szCs w:val="21"/>
        </w:rPr>
      </w:pPr>
      <w:r>
        <w:rPr>
          <w:rFonts w:hint="eastAsia" w:ascii="宋体" w:hAnsi="宋体" w:cs="宋体"/>
          <w:szCs w:val="21"/>
        </w:rPr>
        <w:t>以上与本合同具有同等法律效力</w:t>
      </w:r>
    </w:p>
    <w:p w14:paraId="789850D1">
      <w:pPr>
        <w:pStyle w:val="24"/>
        <w:numPr>
          <w:ilvl w:val="0"/>
          <w:numId w:val="2"/>
        </w:numPr>
        <w:jc w:val="left"/>
        <w:rPr>
          <w:rFonts w:ascii="宋体" w:hAnsi="宋体" w:cs="宋体"/>
          <w:sz w:val="21"/>
          <w:szCs w:val="21"/>
        </w:rPr>
      </w:pPr>
      <w:r>
        <w:rPr>
          <w:rFonts w:hint="eastAsia" w:ascii="宋体" w:hAnsi="宋体" w:cs="宋体"/>
          <w:sz w:val="21"/>
          <w:szCs w:val="21"/>
        </w:rPr>
        <w:t>服务范围：</w:t>
      </w:r>
    </w:p>
    <w:p w14:paraId="60188E01">
      <w:pPr>
        <w:pStyle w:val="24"/>
        <w:jc w:val="left"/>
        <w:rPr>
          <w:rFonts w:ascii="宋体" w:hAnsi="宋体" w:cs="宋体"/>
          <w:sz w:val="21"/>
          <w:szCs w:val="21"/>
        </w:rPr>
      </w:pPr>
      <w:r>
        <w:rPr>
          <w:rFonts w:hint="eastAsia" w:ascii="宋体" w:hAnsi="宋体" w:cs="宋体"/>
          <w:sz w:val="21"/>
          <w:szCs w:val="21"/>
        </w:rPr>
        <w:t>标段一：徐公桥路以东区域（小区、公共游园、大型商超外围、农贸市场）</w:t>
      </w:r>
    </w:p>
    <w:p w14:paraId="7CF1302F">
      <w:pPr>
        <w:pStyle w:val="24"/>
        <w:jc w:val="left"/>
        <w:rPr>
          <w:rFonts w:ascii="宋体" w:hAnsi="宋体" w:cs="宋体"/>
          <w:sz w:val="21"/>
          <w:szCs w:val="21"/>
        </w:rPr>
      </w:pPr>
      <w:r>
        <w:rPr>
          <w:rFonts w:hint="eastAsia" w:ascii="宋体" w:hAnsi="宋体" w:cs="宋体"/>
          <w:sz w:val="21"/>
          <w:szCs w:val="21"/>
        </w:rPr>
        <w:t>标段二：徐公桥路以西——花园路以东区域（小区、公共游园、大型商超外围、农贸市场）</w:t>
      </w:r>
    </w:p>
    <w:p w14:paraId="3C94475C">
      <w:pPr>
        <w:pStyle w:val="24"/>
        <w:jc w:val="left"/>
        <w:rPr>
          <w:rFonts w:ascii="宋体" w:hAnsi="宋体" w:cs="宋体"/>
          <w:sz w:val="21"/>
          <w:szCs w:val="21"/>
        </w:rPr>
      </w:pPr>
      <w:r>
        <w:rPr>
          <w:rFonts w:hint="eastAsia" w:ascii="宋体" w:hAnsi="宋体" w:cs="宋体"/>
          <w:sz w:val="21"/>
          <w:szCs w:val="21"/>
        </w:rPr>
        <w:t>标段三：花园路以西区域（小区、公共游园、大型商超外围、农贸市场）</w:t>
      </w:r>
    </w:p>
    <w:p w14:paraId="1D398B72">
      <w:pPr>
        <w:pStyle w:val="24"/>
        <w:jc w:val="left"/>
        <w:rPr>
          <w:rFonts w:ascii="宋体" w:hAnsi="宋体" w:cs="宋体"/>
          <w:sz w:val="21"/>
          <w:szCs w:val="21"/>
        </w:rPr>
      </w:pPr>
      <w:r>
        <w:rPr>
          <w:rFonts w:hint="eastAsia" w:ascii="宋体" w:hAnsi="宋体" w:cs="宋体"/>
          <w:sz w:val="21"/>
          <w:szCs w:val="21"/>
        </w:rPr>
        <w:t>标段四：花桥工业区辖区内约692家企业外围公共区域（公共游园、政府驻外机构）</w:t>
      </w:r>
    </w:p>
    <w:p w14:paraId="5DB7B611">
      <w:pPr>
        <w:pStyle w:val="9"/>
        <w:spacing w:line="360" w:lineRule="auto"/>
        <w:ind w:firstLine="420"/>
        <w:rPr>
          <w:rFonts w:hAnsi="宋体" w:eastAsia="宋体" w:cs="宋体"/>
          <w:b/>
          <w:bCs/>
          <w:sz w:val="21"/>
          <w:szCs w:val="21"/>
        </w:rPr>
      </w:pPr>
      <w:r>
        <w:rPr>
          <w:rFonts w:hint="eastAsia" w:hAnsi="宋体" w:eastAsia="宋体" w:cs="宋体"/>
          <w:b/>
          <w:bCs/>
          <w:sz w:val="21"/>
          <w:szCs w:val="21"/>
        </w:rPr>
        <w:t>二、价格与支付：</w:t>
      </w:r>
    </w:p>
    <w:p w14:paraId="1B65D27C">
      <w:pPr>
        <w:pStyle w:val="24"/>
        <w:ind w:firstLine="422"/>
        <w:jc w:val="left"/>
        <w:rPr>
          <w:rFonts w:ascii="宋体" w:hAnsi="宋体"/>
          <w:b/>
          <w:bCs/>
          <w:sz w:val="21"/>
          <w:szCs w:val="21"/>
        </w:rPr>
      </w:pPr>
      <w:r>
        <w:rPr>
          <w:rFonts w:hint="eastAsia" w:ascii="宋体" w:hAnsi="宋体" w:cs="宋体"/>
          <w:b/>
          <w:bCs/>
          <w:sz w:val="21"/>
          <w:szCs w:val="21"/>
          <w:lang w:val="zh-CN"/>
        </w:rPr>
        <w:t>1.</w:t>
      </w:r>
      <w:r>
        <w:rPr>
          <w:rFonts w:hint="eastAsia" w:ascii="宋体" w:hAnsi="宋体"/>
          <w:b/>
          <w:bCs/>
          <w:sz w:val="21"/>
          <w:szCs w:val="21"/>
        </w:rPr>
        <w:t>合同总价款：            元整，月服务费：          元整。</w:t>
      </w:r>
      <w:r>
        <w:rPr>
          <w:rFonts w:hint="eastAsia" w:ascii="宋体" w:hAnsi="宋体"/>
          <w:sz w:val="21"/>
          <w:szCs w:val="21"/>
        </w:rPr>
        <w:t>（包含服务所需的人员费用、材料费用、药品费用、设备费用、工具耗材费用、管理费用、利润、税金及政策包含的所有风险、责任等各项应有费用。</w:t>
      </w:r>
      <w:r>
        <w:rPr>
          <w:rFonts w:hint="eastAsia" w:hAnsi="宋体" w:cs="宋体"/>
          <w:sz w:val="21"/>
          <w:szCs w:val="21"/>
        </w:rPr>
        <w:t>合同价格在合同实施期间不因市场变化因素而变动，除非合同另有约定或经双方协商同意，乙方不得再要求追加任何费用</w:t>
      </w:r>
      <w:r>
        <w:rPr>
          <w:rFonts w:hint="eastAsia" w:ascii="宋体" w:hAnsi="宋体"/>
          <w:sz w:val="21"/>
          <w:szCs w:val="21"/>
        </w:rPr>
        <w:t>）</w:t>
      </w:r>
    </w:p>
    <w:p w14:paraId="0344C5D5">
      <w:pPr>
        <w:pStyle w:val="9"/>
        <w:spacing w:line="360" w:lineRule="auto"/>
        <w:ind w:firstLine="420"/>
        <w:rPr>
          <w:rFonts w:hAnsi="宋体" w:eastAsia="宋体" w:cs="宋体"/>
          <w:b/>
          <w:bCs/>
          <w:sz w:val="21"/>
          <w:szCs w:val="21"/>
          <w:lang w:val="zh-CN"/>
        </w:rPr>
      </w:pPr>
      <w:r>
        <w:rPr>
          <w:rFonts w:hint="eastAsia" w:hAnsi="宋体" w:cs="宋体"/>
          <w:b/>
          <w:bCs/>
          <w:sz w:val="21"/>
          <w:szCs w:val="21"/>
        </w:rPr>
        <w:t>2.</w:t>
      </w:r>
      <w:r>
        <w:rPr>
          <w:rFonts w:hint="eastAsia" w:hAnsi="宋体" w:eastAsia="宋体" w:cs="宋体"/>
          <w:b/>
          <w:bCs/>
          <w:sz w:val="21"/>
          <w:szCs w:val="21"/>
          <w:lang w:val="zh-CN"/>
        </w:rPr>
        <w:t>付款方式：按项目实际推进进度及相关比例进行支付，</w:t>
      </w:r>
      <w:r>
        <w:rPr>
          <w:rFonts w:hint="eastAsia" w:hAnsi="宋体" w:eastAsia="宋体" w:cs="宋体"/>
          <w:b/>
          <w:bCs/>
          <w:sz w:val="21"/>
          <w:szCs w:val="21"/>
        </w:rPr>
        <w:t>项目完成后余款两年内付清，</w:t>
      </w:r>
      <w:r>
        <w:rPr>
          <w:rFonts w:hint="eastAsia" w:hAnsi="宋体" w:eastAsia="宋体" w:cs="宋体"/>
          <w:b/>
          <w:bCs/>
          <w:sz w:val="21"/>
          <w:szCs w:val="21"/>
          <w:lang w:val="zh-CN"/>
        </w:rPr>
        <w:t>具体时间以甲方根据财政拨款时间通知中标单位开票时间为准。</w:t>
      </w:r>
    </w:p>
    <w:p w14:paraId="09319214">
      <w:pPr>
        <w:pStyle w:val="9"/>
        <w:spacing w:line="360" w:lineRule="auto"/>
        <w:ind w:firstLine="420"/>
        <w:rPr>
          <w:rFonts w:hAnsi="宋体" w:eastAsia="宋体" w:cs="宋体"/>
          <w:b/>
          <w:bCs/>
          <w:sz w:val="21"/>
          <w:szCs w:val="21"/>
          <w:lang w:val="zh-CN"/>
        </w:rPr>
      </w:pPr>
      <w:r>
        <w:rPr>
          <w:rFonts w:hint="eastAsia" w:hAnsi="宋体" w:eastAsia="宋体" w:cs="宋体"/>
          <w:b/>
          <w:bCs/>
          <w:sz w:val="21"/>
          <w:szCs w:val="21"/>
          <w:lang w:val="zh-CN"/>
        </w:rPr>
        <w:t>注：甲方每次付款前，乙方需提供相应金额的发票，如乙方未提供的，甲方有权拒绝付款且不承担逾期付款责任。</w:t>
      </w:r>
    </w:p>
    <w:p w14:paraId="5AE04123">
      <w:pPr>
        <w:spacing w:line="360" w:lineRule="auto"/>
        <w:ind w:firstLine="420"/>
        <w:rPr>
          <w:rFonts w:ascii="宋体" w:hAnsi="宋体"/>
          <w:b/>
          <w:bCs/>
          <w:color w:val="0000FF"/>
          <w:szCs w:val="21"/>
        </w:rPr>
      </w:pPr>
      <w:r>
        <w:rPr>
          <w:rFonts w:hint="eastAsia" w:ascii="宋体" w:hAnsi="宋体"/>
          <w:b/>
          <w:bCs/>
          <w:color w:val="0000FF"/>
          <w:szCs w:val="21"/>
        </w:rPr>
        <w:t>三、履约保证金：</w:t>
      </w:r>
    </w:p>
    <w:p w14:paraId="32155C67">
      <w:pPr>
        <w:spacing w:line="360" w:lineRule="auto"/>
        <w:ind w:firstLine="420"/>
        <w:rPr>
          <w:rFonts w:ascii="宋体" w:hAnsi="宋体"/>
          <w:szCs w:val="21"/>
        </w:rPr>
      </w:pPr>
      <w:r>
        <w:rPr>
          <w:rFonts w:hint="eastAsia" w:ascii="宋体" w:hAnsi="宋体"/>
          <w:szCs w:val="21"/>
        </w:rPr>
        <w:t>中标乙方应当以履约保函形式（</w:t>
      </w:r>
      <w:r>
        <w:rPr>
          <w:rFonts w:hint="eastAsia" w:ascii="宋体" w:hAnsi="宋体"/>
          <w:b/>
          <w:bCs/>
          <w:szCs w:val="21"/>
        </w:rPr>
        <w:t>合同金额的10%</w:t>
      </w:r>
      <w:r>
        <w:rPr>
          <w:rFonts w:hint="eastAsia" w:ascii="宋体" w:hAnsi="宋体"/>
          <w:szCs w:val="21"/>
        </w:rPr>
        <w:t>），合同签订前购买保函，不接受其他方式缴纳。</w:t>
      </w:r>
    </w:p>
    <w:p w14:paraId="14D5C377">
      <w:pPr>
        <w:spacing w:line="360" w:lineRule="auto"/>
        <w:ind w:firstLine="420"/>
        <w:rPr>
          <w:rFonts w:ascii="宋体" w:hAnsi="宋体"/>
          <w:szCs w:val="21"/>
        </w:rPr>
      </w:pPr>
      <w:r>
        <w:rPr>
          <w:rFonts w:hint="eastAsia" w:ascii="宋体" w:hAnsi="宋体"/>
          <w:b/>
          <w:bCs/>
          <w:szCs w:val="21"/>
        </w:rPr>
        <w:t>四、服务期：</w:t>
      </w:r>
      <w:r>
        <w:rPr>
          <w:rFonts w:hint="eastAsia" w:ascii="宋体" w:hAnsi="宋体" w:cs="宋体"/>
          <w:b/>
          <w:szCs w:val="21"/>
        </w:rPr>
        <w:t>2年</w:t>
      </w:r>
      <w:r>
        <w:rPr>
          <w:rFonts w:hint="eastAsia" w:ascii="宋体" w:hAnsi="宋体" w:cs="宋体"/>
          <w:szCs w:val="21"/>
        </w:rPr>
        <w:t>，自</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6</w:t>
      </w:r>
      <w:r>
        <w:rPr>
          <w:rFonts w:hint="eastAsia" w:ascii="宋体" w:hAnsi="宋体" w:cs="宋体"/>
          <w:szCs w:val="21"/>
        </w:rPr>
        <w:t>月</w:t>
      </w:r>
      <w:r>
        <w:rPr>
          <w:rFonts w:hint="eastAsia" w:ascii="宋体" w:hAnsi="宋体" w:cs="宋体"/>
          <w:szCs w:val="21"/>
          <w:u w:val="single"/>
        </w:rPr>
        <w:t>1</w:t>
      </w:r>
      <w:r>
        <w:rPr>
          <w:rFonts w:hint="eastAsia" w:ascii="宋体" w:hAnsi="宋体" w:cs="宋体"/>
          <w:szCs w:val="21"/>
        </w:rPr>
        <w:t>日至</w:t>
      </w:r>
      <w:r>
        <w:rPr>
          <w:rFonts w:hint="eastAsia" w:ascii="宋体" w:hAnsi="宋体" w:cs="宋体"/>
          <w:szCs w:val="21"/>
          <w:u w:val="single"/>
        </w:rPr>
        <w:t>2028</w:t>
      </w:r>
      <w:r>
        <w:rPr>
          <w:rFonts w:hint="eastAsia" w:ascii="宋体" w:hAnsi="宋体" w:cs="宋体"/>
          <w:szCs w:val="21"/>
        </w:rPr>
        <w:t>年</w:t>
      </w:r>
      <w:r>
        <w:rPr>
          <w:rFonts w:hint="eastAsia" w:ascii="宋体" w:hAnsi="宋体" w:cs="宋体"/>
          <w:szCs w:val="21"/>
          <w:u w:val="single"/>
        </w:rPr>
        <w:t>5</w:t>
      </w:r>
      <w:r>
        <w:rPr>
          <w:rFonts w:hint="eastAsia" w:ascii="宋体" w:hAnsi="宋体" w:cs="宋体"/>
          <w:szCs w:val="21"/>
        </w:rPr>
        <w:t>月</w:t>
      </w:r>
      <w:r>
        <w:rPr>
          <w:rFonts w:hint="eastAsia" w:ascii="宋体" w:hAnsi="宋体" w:cs="宋体"/>
          <w:szCs w:val="21"/>
          <w:u w:val="single"/>
        </w:rPr>
        <w:t>31</w:t>
      </w:r>
      <w:r>
        <w:rPr>
          <w:rFonts w:hint="eastAsia" w:ascii="宋体" w:hAnsi="宋体" w:cs="宋体"/>
          <w:szCs w:val="21"/>
        </w:rPr>
        <w:t>日</w:t>
      </w:r>
      <w:r>
        <w:rPr>
          <w:rFonts w:hint="eastAsia" w:ascii="宋体" w:hAnsi="宋体" w:cs="宋体"/>
          <w:b/>
          <w:bCs/>
          <w:szCs w:val="21"/>
        </w:rPr>
        <w:t>。</w:t>
      </w:r>
    </w:p>
    <w:p w14:paraId="4EF08A38">
      <w:pPr>
        <w:spacing w:line="360" w:lineRule="auto"/>
        <w:ind w:firstLine="420"/>
        <w:rPr>
          <w:rFonts w:ascii="宋体" w:hAnsi="宋体"/>
          <w:b/>
          <w:bCs/>
          <w:szCs w:val="21"/>
        </w:rPr>
      </w:pPr>
      <w:r>
        <w:rPr>
          <w:rFonts w:hint="eastAsia" w:ascii="宋体" w:hAnsi="宋体"/>
          <w:b/>
          <w:bCs/>
          <w:szCs w:val="21"/>
        </w:rPr>
        <w:t>五、成果提交</w:t>
      </w:r>
    </w:p>
    <w:p w14:paraId="1569F765">
      <w:pPr>
        <w:spacing w:line="360" w:lineRule="auto"/>
        <w:ind w:firstLine="420"/>
        <w:rPr>
          <w:rFonts w:ascii="宋体" w:hAnsi="宋体"/>
          <w:color w:val="000000"/>
          <w:szCs w:val="21"/>
        </w:rPr>
      </w:pPr>
      <w:r>
        <w:rPr>
          <w:rFonts w:hint="eastAsia" w:ascii="宋体" w:hAnsi="宋体"/>
          <w:color w:val="000000"/>
          <w:szCs w:val="21"/>
        </w:rPr>
        <w:t>1、出具符合甲方要求的服务台账报告。</w:t>
      </w:r>
    </w:p>
    <w:p w14:paraId="3D991218">
      <w:pPr>
        <w:spacing w:line="360" w:lineRule="auto"/>
        <w:ind w:firstLine="420"/>
        <w:rPr>
          <w:rFonts w:ascii="宋体" w:hAnsi="宋体" w:cs="宋体"/>
          <w:szCs w:val="21"/>
        </w:rPr>
      </w:pPr>
      <w:r>
        <w:rPr>
          <w:rFonts w:hint="eastAsia" w:ascii="宋体" w:hAnsi="宋体"/>
          <w:color w:val="000000"/>
          <w:szCs w:val="21"/>
        </w:rPr>
        <w:t>2、服务承诺：按照招标文件和乙方在投标书中承诺的服务执行。</w:t>
      </w:r>
    </w:p>
    <w:p w14:paraId="62E8CC86">
      <w:pPr>
        <w:spacing w:line="360" w:lineRule="auto"/>
        <w:ind w:firstLine="420"/>
        <w:rPr>
          <w:rFonts w:ascii="宋体" w:hAnsi="宋体"/>
          <w:b/>
          <w:bCs/>
          <w:szCs w:val="21"/>
        </w:rPr>
      </w:pPr>
      <w:r>
        <w:rPr>
          <w:rFonts w:hint="eastAsia" w:ascii="宋体" w:hAnsi="宋体"/>
          <w:b/>
          <w:bCs/>
          <w:szCs w:val="21"/>
        </w:rPr>
        <w:t>六、质量与验收</w:t>
      </w:r>
    </w:p>
    <w:p w14:paraId="57CE3479">
      <w:pPr>
        <w:spacing w:line="360" w:lineRule="auto"/>
        <w:ind w:firstLine="396"/>
        <w:rPr>
          <w:rFonts w:ascii="宋体" w:hAnsi="宋体"/>
          <w:szCs w:val="21"/>
        </w:rPr>
      </w:pPr>
      <w:r>
        <w:rPr>
          <w:rFonts w:hint="eastAsia" w:ascii="宋体" w:hAnsi="宋体"/>
          <w:szCs w:val="21"/>
        </w:rPr>
        <w:t>1、乙方应按照标书的有关规定提供合格服务；</w:t>
      </w:r>
    </w:p>
    <w:p w14:paraId="563AE28D">
      <w:pPr>
        <w:spacing w:line="360" w:lineRule="auto"/>
        <w:ind w:firstLine="396"/>
        <w:rPr>
          <w:rFonts w:ascii="宋体" w:hAnsi="宋体"/>
          <w:szCs w:val="21"/>
        </w:rPr>
      </w:pPr>
      <w:r>
        <w:rPr>
          <w:rFonts w:hint="eastAsia" w:ascii="宋体" w:hAnsi="宋体"/>
          <w:szCs w:val="21"/>
        </w:rPr>
        <w:t>2、服务的验收包括：项目内容范围内的全部服务内容；</w:t>
      </w:r>
    </w:p>
    <w:p w14:paraId="402BC6F6">
      <w:pPr>
        <w:spacing w:line="360" w:lineRule="auto"/>
        <w:ind w:firstLine="396"/>
        <w:rPr>
          <w:rFonts w:ascii="宋体" w:hAnsi="宋体"/>
          <w:szCs w:val="21"/>
        </w:rPr>
      </w:pPr>
      <w:r>
        <w:rPr>
          <w:rFonts w:hint="eastAsia" w:ascii="宋体" w:hAnsi="宋体"/>
          <w:szCs w:val="21"/>
        </w:rPr>
        <w:t>3、验收标准根据：</w:t>
      </w:r>
    </w:p>
    <w:p w14:paraId="4736FFC3">
      <w:pPr>
        <w:spacing w:line="360" w:lineRule="auto"/>
        <w:ind w:firstLine="396"/>
        <w:rPr>
          <w:rFonts w:ascii="宋体" w:hAnsi="宋体"/>
          <w:szCs w:val="21"/>
        </w:rPr>
      </w:pPr>
      <w:r>
        <w:rPr>
          <w:rFonts w:hint="eastAsia" w:ascii="宋体" w:hAnsi="宋体"/>
          <w:szCs w:val="21"/>
        </w:rPr>
        <w:t>3.1依据《昆山市病媒生物防制管理办法（试行）》及《昆山市病媒生物防制考核办法》的相关规定；</w:t>
      </w:r>
    </w:p>
    <w:p w14:paraId="724DE40B">
      <w:pPr>
        <w:spacing w:line="360" w:lineRule="auto"/>
        <w:ind w:firstLine="396"/>
        <w:rPr>
          <w:rFonts w:ascii="宋体" w:hAnsi="宋体" w:cs="宋体"/>
          <w:szCs w:val="21"/>
        </w:rPr>
      </w:pPr>
      <w:r>
        <w:rPr>
          <w:rFonts w:hint="eastAsia" w:ascii="宋体" w:hAnsi="宋体"/>
          <w:szCs w:val="21"/>
        </w:rPr>
        <w:t>3.2</w:t>
      </w:r>
      <w:r>
        <w:rPr>
          <w:rFonts w:hint="eastAsia" w:ascii="宋体" w:hAnsi="宋体" w:cs="宋体"/>
          <w:szCs w:val="21"/>
        </w:rPr>
        <w:t>应对高峰季节、重点区域采取各类强化防制措施，把防制对象的种群密度常年控制在国家规定的标准范围以内；</w:t>
      </w:r>
    </w:p>
    <w:p w14:paraId="384D29AA">
      <w:pPr>
        <w:spacing w:line="360" w:lineRule="auto"/>
        <w:ind w:firstLine="396"/>
        <w:rPr>
          <w:rFonts w:ascii="宋体" w:hAnsi="宋体"/>
          <w:szCs w:val="21"/>
        </w:rPr>
      </w:pPr>
      <w:r>
        <w:rPr>
          <w:rFonts w:hint="eastAsia" w:ascii="宋体" w:hAnsi="宋体" w:cs="宋体"/>
          <w:szCs w:val="21"/>
        </w:rPr>
        <w:t>3.3</w:t>
      </w:r>
      <w:r>
        <w:rPr>
          <w:rFonts w:hint="eastAsia" w:ascii="宋体" w:hAnsi="宋体"/>
          <w:szCs w:val="21"/>
        </w:rPr>
        <w:t>按照《昆山病媒生物防制药品采购目录》实施空间镶嵌用药防制原则，进一步完善药械应急仓储制度、药剂轮换制度，禁止使用“三无”和违禁杀虫剂、灭鼠剂及器械。</w:t>
      </w:r>
    </w:p>
    <w:p w14:paraId="60F26D06">
      <w:pPr>
        <w:spacing w:line="360" w:lineRule="auto"/>
        <w:ind w:firstLine="396"/>
        <w:rPr>
          <w:rFonts w:ascii="宋体" w:hAnsi="宋体"/>
          <w:b/>
          <w:bCs/>
          <w:szCs w:val="21"/>
        </w:rPr>
      </w:pPr>
      <w:r>
        <w:rPr>
          <w:rFonts w:hint="eastAsia" w:ascii="宋体" w:hAnsi="宋体"/>
          <w:b/>
          <w:bCs/>
          <w:szCs w:val="21"/>
        </w:rPr>
        <w:t>七、甲方的权利与义务</w:t>
      </w:r>
    </w:p>
    <w:p w14:paraId="1F33F8D6">
      <w:pPr>
        <w:spacing w:line="360" w:lineRule="auto"/>
        <w:ind w:firstLine="396"/>
        <w:rPr>
          <w:rFonts w:ascii="宋体" w:hAnsi="宋体"/>
          <w:szCs w:val="21"/>
        </w:rPr>
      </w:pPr>
      <w:r>
        <w:rPr>
          <w:rFonts w:hint="eastAsia" w:ascii="宋体" w:hAnsi="宋体"/>
          <w:szCs w:val="21"/>
        </w:rPr>
        <w:t>1、甲方有权要求并监督乙方提供合格的病媒生物防制服务。</w:t>
      </w:r>
    </w:p>
    <w:p w14:paraId="7E8E0F7A">
      <w:pPr>
        <w:spacing w:line="360" w:lineRule="auto"/>
        <w:ind w:firstLine="396"/>
        <w:rPr>
          <w:rFonts w:ascii="宋体" w:hAnsi="宋体"/>
          <w:szCs w:val="21"/>
        </w:rPr>
      </w:pPr>
      <w:r>
        <w:rPr>
          <w:rFonts w:hint="eastAsia" w:ascii="宋体" w:hAnsi="宋体"/>
          <w:szCs w:val="21"/>
        </w:rPr>
        <w:t>2、因乙方过错或违反合同约定事项给甲方造成名誉损失和经济损失的，甲方有权要求乙方赔偿。</w:t>
      </w:r>
    </w:p>
    <w:p w14:paraId="6DE9D5AC">
      <w:pPr>
        <w:spacing w:line="360" w:lineRule="auto"/>
        <w:ind w:firstLine="396"/>
        <w:rPr>
          <w:rFonts w:ascii="宋体" w:hAnsi="宋体"/>
          <w:szCs w:val="21"/>
        </w:rPr>
      </w:pPr>
      <w:r>
        <w:rPr>
          <w:rFonts w:hint="eastAsia" w:ascii="宋体" w:hAnsi="宋体"/>
          <w:szCs w:val="21"/>
        </w:rPr>
        <w:t>3、甲方应按时支付服务费用。</w:t>
      </w:r>
    </w:p>
    <w:p w14:paraId="06B4E117">
      <w:pPr>
        <w:spacing w:line="360" w:lineRule="auto"/>
        <w:ind w:firstLine="396"/>
        <w:rPr>
          <w:rFonts w:ascii="宋体" w:hAnsi="宋体"/>
          <w:szCs w:val="21"/>
        </w:rPr>
      </w:pPr>
      <w:r>
        <w:rPr>
          <w:rFonts w:hint="eastAsia" w:ascii="宋体" w:hAnsi="宋体"/>
          <w:szCs w:val="21"/>
        </w:rPr>
        <w:t>4、甲方应教育所属人员尊重乙方服务人员的劳动成果，积极配合乙方服务人员履行合同。</w:t>
      </w:r>
    </w:p>
    <w:p w14:paraId="769D4B50">
      <w:pPr>
        <w:tabs>
          <w:tab w:val="center" w:pos="5131"/>
        </w:tabs>
        <w:spacing w:line="360" w:lineRule="auto"/>
        <w:ind w:firstLine="420"/>
        <w:rPr>
          <w:rFonts w:ascii="宋体" w:hAnsi="宋体"/>
          <w:b/>
          <w:bCs/>
          <w:color w:val="000000"/>
          <w:szCs w:val="21"/>
        </w:rPr>
      </w:pPr>
      <w:r>
        <w:rPr>
          <w:rFonts w:hint="eastAsia" w:ascii="宋体" w:hAnsi="宋体"/>
          <w:b/>
          <w:bCs/>
          <w:szCs w:val="21"/>
        </w:rPr>
        <w:t>八、</w:t>
      </w:r>
      <w:r>
        <w:rPr>
          <w:rFonts w:hint="eastAsia" w:ascii="宋体" w:hAnsi="宋体"/>
          <w:b/>
          <w:bCs/>
          <w:color w:val="000000"/>
          <w:szCs w:val="21"/>
        </w:rPr>
        <w:t>乙方的权利与义务</w:t>
      </w:r>
    </w:p>
    <w:p w14:paraId="0F56DAF1">
      <w:pPr>
        <w:spacing w:line="360" w:lineRule="auto"/>
        <w:ind w:firstLine="396"/>
        <w:rPr>
          <w:rFonts w:ascii="宋体" w:hAnsi="宋体"/>
          <w:szCs w:val="21"/>
        </w:rPr>
      </w:pPr>
      <w:r>
        <w:rPr>
          <w:rFonts w:hint="eastAsia" w:ascii="宋体" w:hAnsi="宋体"/>
          <w:szCs w:val="21"/>
        </w:rPr>
        <w:t>1、乙方自觉接受甲方管理，遵守甲方的一切规章制度，文明上岗，提供符合甲方要求的防制服务。</w:t>
      </w:r>
    </w:p>
    <w:p w14:paraId="2F0A933C">
      <w:pPr>
        <w:spacing w:line="360" w:lineRule="auto"/>
        <w:ind w:firstLine="396"/>
        <w:rPr>
          <w:rFonts w:ascii="宋体" w:hAnsi="宋体"/>
          <w:szCs w:val="21"/>
        </w:rPr>
      </w:pPr>
      <w:r>
        <w:rPr>
          <w:rFonts w:hint="eastAsia" w:ascii="宋体" w:hAnsi="宋体"/>
          <w:szCs w:val="21"/>
        </w:rPr>
        <w:t>2、乙方应对本项目服务人员进行统一管理，指定项目负责人与甲方进行沟通，并根据甲方要求随时调整服务标准。</w:t>
      </w:r>
    </w:p>
    <w:p w14:paraId="0A1BAF28">
      <w:pPr>
        <w:spacing w:line="360" w:lineRule="auto"/>
        <w:ind w:firstLine="396"/>
        <w:rPr>
          <w:rFonts w:ascii="宋体" w:hAnsi="宋体"/>
          <w:szCs w:val="21"/>
        </w:rPr>
      </w:pPr>
      <w:r>
        <w:rPr>
          <w:rFonts w:hint="eastAsia" w:ascii="宋体" w:hAnsi="宋体"/>
          <w:szCs w:val="21"/>
        </w:rPr>
        <w:t>3、如甲方认为乙方服务人员不能胜任本职工作的，乙方应及时调整。乙方如需调整已在履行职责的服务人员，须征得甲方同意。</w:t>
      </w:r>
    </w:p>
    <w:p w14:paraId="3083506E">
      <w:pPr>
        <w:spacing w:line="360" w:lineRule="auto"/>
        <w:ind w:firstLine="396"/>
        <w:rPr>
          <w:rFonts w:ascii="宋体" w:hAnsi="宋体"/>
          <w:szCs w:val="21"/>
        </w:rPr>
      </w:pPr>
      <w:r>
        <w:rPr>
          <w:rFonts w:hint="eastAsia" w:ascii="宋体" w:hAnsi="宋体"/>
          <w:szCs w:val="21"/>
        </w:rPr>
        <w:t>4、乙方应定期对员工进行岗位职责和安全教育，加强岗位责任考核。因乙方管理不当、违规操作发生安全事故对甲方或第三方造成损失的，乙方需承担相应的赔偿责任。</w:t>
      </w:r>
    </w:p>
    <w:p w14:paraId="51C09E36">
      <w:pPr>
        <w:spacing w:line="360" w:lineRule="auto"/>
        <w:ind w:firstLine="396"/>
        <w:rPr>
          <w:rFonts w:ascii="宋体" w:hAnsi="宋体"/>
          <w:szCs w:val="21"/>
        </w:rPr>
      </w:pPr>
      <w:r>
        <w:rPr>
          <w:rFonts w:hint="eastAsia" w:ascii="宋体" w:hAnsi="宋体"/>
          <w:szCs w:val="21"/>
        </w:rPr>
        <w:t>5、乙方服务人员在岗履行职责期间（包括上下班途中）发生的一切安全事故，均由乙方负责处理并承担经济和道义上的责任，甲方不承担任何责任。</w:t>
      </w:r>
    </w:p>
    <w:p w14:paraId="3A55D3B0">
      <w:pPr>
        <w:spacing w:line="360" w:lineRule="auto"/>
        <w:ind w:firstLine="396"/>
        <w:rPr>
          <w:rFonts w:ascii="宋体" w:hAnsi="宋体" w:cs="宋体"/>
          <w:szCs w:val="21"/>
        </w:rPr>
      </w:pPr>
      <w:r>
        <w:rPr>
          <w:rFonts w:hint="eastAsia" w:ascii="宋体" w:hAnsi="宋体" w:cs="宋体"/>
          <w:szCs w:val="21"/>
        </w:rPr>
        <w:t>6、乙方在服务过程中应当做到安全文明工作，为服务人员提供必要的劳动保护条件，为服务人员办理人身安全保险，合同期内若发生安全事故均由乙方负责承担。</w:t>
      </w:r>
    </w:p>
    <w:p w14:paraId="34C6111C">
      <w:pPr>
        <w:spacing w:line="360" w:lineRule="auto"/>
        <w:ind w:firstLine="396"/>
        <w:rPr>
          <w:rFonts w:ascii="宋体" w:hAnsi="宋体" w:cs="宋体"/>
          <w:szCs w:val="21"/>
        </w:rPr>
      </w:pPr>
      <w:r>
        <w:rPr>
          <w:rFonts w:hint="eastAsia" w:ascii="宋体" w:hAnsi="宋体" w:cs="宋体"/>
          <w:szCs w:val="21"/>
        </w:rPr>
        <w:t>7、乙方必须按照国家有关规定聘用人员并支付薪资报酬。</w:t>
      </w:r>
    </w:p>
    <w:p w14:paraId="31435170">
      <w:pPr>
        <w:spacing w:line="360" w:lineRule="auto"/>
        <w:ind w:firstLine="396"/>
        <w:rPr>
          <w:rFonts w:ascii="宋体" w:hAnsi="宋体" w:cs="宋体"/>
          <w:szCs w:val="21"/>
        </w:rPr>
      </w:pPr>
      <w:r>
        <w:rPr>
          <w:rFonts w:hint="eastAsia" w:ascii="宋体" w:hAnsi="宋体" w:cs="宋体"/>
          <w:szCs w:val="21"/>
        </w:rPr>
        <w:t>8、项目服务期间乙方服务人员必须遵守疫情防控规定，采取必要防控措施。</w:t>
      </w:r>
    </w:p>
    <w:p w14:paraId="774BF03F">
      <w:pPr>
        <w:spacing w:line="360" w:lineRule="auto"/>
        <w:ind w:firstLine="396"/>
        <w:rPr>
          <w:rFonts w:ascii="宋体" w:hAnsi="宋体" w:cs="宋体"/>
          <w:szCs w:val="21"/>
        </w:rPr>
      </w:pPr>
      <w:r>
        <w:rPr>
          <w:rFonts w:hint="eastAsia" w:ascii="宋体" w:hAnsi="宋体" w:cs="宋体"/>
          <w:szCs w:val="21"/>
        </w:rPr>
        <w:t>9、乙方应具备处理各类突发情况的能力，建立各类应急预案，乙方采取各类应急预案所产生的费用由乙方承担。</w:t>
      </w:r>
    </w:p>
    <w:p w14:paraId="1635E8BA">
      <w:pPr>
        <w:spacing w:line="360" w:lineRule="auto"/>
        <w:ind w:firstLine="396"/>
        <w:rPr>
          <w:rFonts w:ascii="宋体" w:hAnsi="宋体"/>
          <w:szCs w:val="21"/>
        </w:rPr>
      </w:pPr>
      <w:r>
        <w:rPr>
          <w:rFonts w:hint="eastAsia" w:ascii="宋体" w:hAnsi="宋体" w:cs="宋体"/>
          <w:szCs w:val="21"/>
        </w:rPr>
        <w:t>10、</w:t>
      </w:r>
      <w:r>
        <w:rPr>
          <w:rFonts w:hint="eastAsia" w:ascii="宋体" w:hAnsi="宋体"/>
          <w:szCs w:val="21"/>
        </w:rPr>
        <w:t>建立各类管理规章制度，制定年、季度、月度服务计划并整理档案资料，每月定期向甲方进行报告。</w:t>
      </w:r>
    </w:p>
    <w:p w14:paraId="4CC4C938">
      <w:pPr>
        <w:spacing w:line="360" w:lineRule="auto"/>
        <w:ind w:firstLine="420"/>
        <w:rPr>
          <w:rFonts w:ascii="宋体" w:hAnsi="宋体"/>
          <w:szCs w:val="21"/>
        </w:rPr>
      </w:pPr>
      <w:r>
        <w:rPr>
          <w:rFonts w:hint="eastAsia" w:ascii="宋体" w:hAnsi="宋体"/>
          <w:szCs w:val="21"/>
        </w:rPr>
        <w:t>11、主动积极地</w:t>
      </w:r>
      <w:r>
        <w:rPr>
          <w:rFonts w:ascii="宋体" w:hAnsi="宋体"/>
          <w:szCs w:val="21"/>
        </w:rPr>
        <w:t>接受甲方和</w:t>
      </w:r>
      <w:r>
        <w:rPr>
          <w:rFonts w:hint="eastAsia" w:ascii="宋体" w:hAnsi="宋体"/>
          <w:szCs w:val="21"/>
        </w:rPr>
        <w:t>有关</w:t>
      </w:r>
      <w:r>
        <w:rPr>
          <w:rFonts w:ascii="宋体" w:hAnsi="宋体"/>
          <w:szCs w:val="21"/>
        </w:rPr>
        <w:t>部门的</w:t>
      </w:r>
      <w:r>
        <w:rPr>
          <w:rFonts w:hint="eastAsia" w:ascii="宋体" w:hAnsi="宋体"/>
          <w:szCs w:val="21"/>
        </w:rPr>
        <w:t>检查考核，并按其提出意见及时进行整改。</w:t>
      </w:r>
    </w:p>
    <w:p w14:paraId="1BA3B7F9">
      <w:pPr>
        <w:spacing w:line="360" w:lineRule="auto"/>
        <w:ind w:firstLine="420"/>
        <w:rPr>
          <w:rFonts w:ascii="宋体" w:hAnsi="宋体"/>
          <w:szCs w:val="21"/>
        </w:rPr>
      </w:pPr>
      <w:r>
        <w:rPr>
          <w:rFonts w:hint="eastAsia" w:ascii="宋体" w:hAnsi="宋体"/>
          <w:b/>
          <w:bCs/>
          <w:szCs w:val="21"/>
        </w:rPr>
        <w:t>九、违约责任</w:t>
      </w:r>
    </w:p>
    <w:p w14:paraId="634DF2BD">
      <w:pPr>
        <w:spacing w:line="360" w:lineRule="auto"/>
        <w:ind w:firstLine="420"/>
        <w:rPr>
          <w:rFonts w:ascii="宋体" w:hAnsi="宋体"/>
          <w:szCs w:val="21"/>
        </w:rPr>
      </w:pPr>
      <w:r>
        <w:rPr>
          <w:rFonts w:hint="eastAsia" w:ascii="宋体" w:hAnsi="宋体"/>
          <w:szCs w:val="21"/>
        </w:rPr>
        <w:t>1、合同一方不履行合同义务或者履行合同义务不符合约定的，应当承担继续履行、采取补救措施或者赔偿损失等违约责任。其余事项由违约方承担违约责任并赔偿经济损失。相关违约赔偿由甲乙双方协商确定。</w:t>
      </w:r>
    </w:p>
    <w:p w14:paraId="4BC1F226">
      <w:pPr>
        <w:spacing w:line="360" w:lineRule="auto"/>
        <w:ind w:firstLine="420"/>
        <w:rPr>
          <w:rFonts w:ascii="宋体" w:hAnsi="宋体"/>
          <w:szCs w:val="21"/>
        </w:rPr>
      </w:pPr>
      <w:r>
        <w:rPr>
          <w:rFonts w:hint="eastAsia" w:ascii="宋体" w:hAnsi="宋体"/>
          <w:szCs w:val="21"/>
        </w:rPr>
        <w:t>2、 乙方不能按合同要求或甲方要求履行义务，经甲方书面催告后15日内未及时改正的，甲方有权单方解除本合同，并要求乙方赔偿本合同金额30%的违约金。</w:t>
      </w:r>
    </w:p>
    <w:p w14:paraId="04424F84">
      <w:pPr>
        <w:spacing w:line="360" w:lineRule="auto"/>
        <w:ind w:firstLine="420"/>
        <w:rPr>
          <w:rFonts w:ascii="宋体" w:hAnsi="宋体"/>
          <w:szCs w:val="21"/>
        </w:rPr>
      </w:pPr>
      <w:r>
        <w:rPr>
          <w:rFonts w:hint="eastAsia" w:ascii="宋体" w:hAnsi="宋体"/>
          <w:szCs w:val="21"/>
        </w:rPr>
        <w:t>4、乙方未在本合同约定期限履行义务，每逾期一天向甲方赔偿本合同总金额万分之五的逾期违约金，逾期超过15日仍未能完成的，甲方有权单方解除本合同，并要求乙方赔偿本合同金额30%的违约金。</w:t>
      </w:r>
    </w:p>
    <w:p w14:paraId="016E352B">
      <w:pPr>
        <w:spacing w:line="360" w:lineRule="auto"/>
        <w:ind w:firstLine="420"/>
      </w:pPr>
      <w:r>
        <w:rPr>
          <w:rFonts w:hint="eastAsia" w:ascii="宋体" w:hAnsi="宋体"/>
          <w:szCs w:val="21"/>
        </w:rPr>
        <w:t>5、因乙方违约给甲方造成的全部损失均由乙方承担，包括但不限于甲方支出的赔偿费用、其他经济损失、甲方为实现合法权益而支出的调查费、鉴定费、诉讼费用及律师费等。</w:t>
      </w:r>
    </w:p>
    <w:p w14:paraId="2D95334C">
      <w:pPr>
        <w:spacing w:line="360" w:lineRule="auto"/>
        <w:ind w:firstLine="420"/>
        <w:rPr>
          <w:rFonts w:ascii="宋体" w:hAnsi="宋体"/>
          <w:szCs w:val="21"/>
        </w:rPr>
      </w:pPr>
      <w:r>
        <w:rPr>
          <w:rFonts w:hint="eastAsia" w:ascii="宋体" w:hAnsi="宋体"/>
          <w:b/>
          <w:bCs/>
          <w:szCs w:val="21"/>
        </w:rPr>
        <w:t>十、不可抗力</w:t>
      </w:r>
    </w:p>
    <w:p w14:paraId="46422F6C">
      <w:pPr>
        <w:spacing w:line="360" w:lineRule="auto"/>
        <w:ind w:firstLine="420"/>
        <w:rPr>
          <w:rFonts w:ascii="宋体" w:hAnsi="宋体"/>
          <w:szCs w:val="21"/>
        </w:rPr>
      </w:pPr>
      <w:r>
        <w:rPr>
          <w:rFonts w:hint="eastAsia" w:ascii="宋体" w:hAnsi="宋体"/>
          <w:szCs w:val="21"/>
        </w:rPr>
        <w:t>1、 因不可抗力不能履行合同的，根据不可抗力的影响，部分或者全部免除责任。但合同一方迟延履行后发生不可抗力的，不能免除责任。</w:t>
      </w:r>
    </w:p>
    <w:p w14:paraId="48F0D2D1">
      <w:pPr>
        <w:spacing w:line="360" w:lineRule="auto"/>
        <w:ind w:firstLine="420"/>
        <w:rPr>
          <w:rFonts w:ascii="宋体" w:hAnsi="宋体"/>
          <w:szCs w:val="21"/>
        </w:rPr>
      </w:pPr>
      <w:r>
        <w:rPr>
          <w:rFonts w:hint="eastAsia" w:ascii="宋体" w:hAnsi="宋体"/>
          <w:szCs w:val="21"/>
        </w:rPr>
        <w:t>2、合同一方因不可抗力不能履行合同的，应当及时通知对方，以减轻可能给对方造成的损失，并应当在合理期限内提供证明。</w:t>
      </w:r>
    </w:p>
    <w:p w14:paraId="4D7EBDD4">
      <w:pPr>
        <w:spacing w:line="360" w:lineRule="auto"/>
        <w:ind w:firstLine="420"/>
        <w:rPr>
          <w:rFonts w:ascii="宋体" w:hAnsi="宋体"/>
          <w:szCs w:val="21"/>
        </w:rPr>
      </w:pPr>
      <w:r>
        <w:rPr>
          <w:rFonts w:hint="eastAsia" w:ascii="宋体" w:hAnsi="宋体"/>
          <w:b/>
          <w:bCs/>
          <w:szCs w:val="21"/>
        </w:rPr>
        <w:t>十一、索赔</w:t>
      </w:r>
    </w:p>
    <w:p w14:paraId="79C133D2">
      <w:pPr>
        <w:spacing w:line="360" w:lineRule="auto"/>
        <w:ind w:firstLine="420"/>
        <w:rPr>
          <w:rFonts w:ascii="宋体" w:hAnsi="宋体"/>
          <w:szCs w:val="21"/>
        </w:rPr>
      </w:pPr>
      <w:r>
        <w:rPr>
          <w:rFonts w:hint="eastAsia" w:ascii="宋体" w:hAnsi="宋体"/>
          <w:szCs w:val="21"/>
        </w:rPr>
        <w:t>1、甲方有权根据当地有权部门出具的检验证书向乙方提出索赔。</w:t>
      </w:r>
    </w:p>
    <w:p w14:paraId="05F0AB86">
      <w:pPr>
        <w:spacing w:line="360" w:lineRule="auto"/>
        <w:ind w:firstLine="420"/>
        <w:rPr>
          <w:rFonts w:ascii="宋体" w:hAnsi="宋体"/>
          <w:szCs w:val="21"/>
        </w:rPr>
      </w:pPr>
      <w:r>
        <w:rPr>
          <w:rFonts w:hint="eastAsia" w:ascii="宋体" w:hAnsi="宋体"/>
          <w:szCs w:val="21"/>
        </w:rPr>
        <w:t>2、在本合同规定的检验期和质量保证期内，如果乙方对甲方提出的索赔或差异有责任，则乙方应按甲方同意的方式解决索赔事宜；</w:t>
      </w:r>
    </w:p>
    <w:p w14:paraId="54593A1A">
      <w:pPr>
        <w:spacing w:line="360" w:lineRule="auto"/>
        <w:ind w:firstLine="420"/>
        <w:rPr>
          <w:rFonts w:ascii="宋体" w:hAnsi="宋体"/>
          <w:szCs w:val="21"/>
        </w:rPr>
      </w:pPr>
      <w:r>
        <w:rPr>
          <w:rFonts w:hint="eastAsia" w:ascii="宋体" w:hAnsi="宋体"/>
          <w:szCs w:val="21"/>
        </w:rPr>
        <w:t>3、如果在甲方发出索赔通知后七天内，乙方未能答复，上述索赔应视为已被乙方接受。若乙方未在甲方提出索赔通知后七天内或甲方同意的更长时间内，按照合同规定的任何一种方法解决索赔事宜，甲方将从未付款或乙方开具的履约保证金中扣回索赔金额，如果这些金额不足以补偿索赔金额，甲方有权向乙方提出对不足部分的补偿。</w:t>
      </w:r>
    </w:p>
    <w:p w14:paraId="45CAED82">
      <w:pPr>
        <w:spacing w:line="360" w:lineRule="auto"/>
        <w:ind w:firstLine="420"/>
        <w:rPr>
          <w:rFonts w:ascii="宋体" w:hAnsi="宋体"/>
          <w:szCs w:val="21"/>
        </w:rPr>
      </w:pPr>
      <w:r>
        <w:rPr>
          <w:rFonts w:hint="eastAsia" w:ascii="宋体" w:hAnsi="宋体"/>
          <w:szCs w:val="21"/>
        </w:rPr>
        <w:t>4、甲方提出索赔的书面材料应报甲方所在地政府采购管理部门备案。乙方同意的索赔方案应报甲方所在地政府采购管理部门审核。</w:t>
      </w:r>
    </w:p>
    <w:p w14:paraId="4D283AC2">
      <w:pPr>
        <w:spacing w:line="360" w:lineRule="auto"/>
        <w:ind w:firstLine="420"/>
        <w:rPr>
          <w:rFonts w:ascii="宋体" w:hAnsi="宋体"/>
          <w:szCs w:val="21"/>
        </w:rPr>
      </w:pPr>
      <w:r>
        <w:rPr>
          <w:rFonts w:hint="eastAsia" w:ascii="宋体" w:hAnsi="宋体"/>
          <w:b/>
          <w:bCs/>
          <w:szCs w:val="21"/>
        </w:rPr>
        <w:t>十二、合同的解除和转让</w:t>
      </w:r>
    </w:p>
    <w:p w14:paraId="5F1935B6">
      <w:pPr>
        <w:spacing w:line="360" w:lineRule="auto"/>
        <w:ind w:firstLine="420"/>
        <w:rPr>
          <w:rFonts w:ascii="宋体" w:hAnsi="宋体"/>
          <w:szCs w:val="21"/>
        </w:rPr>
      </w:pPr>
      <w:r>
        <w:rPr>
          <w:rFonts w:hint="eastAsia" w:ascii="宋体" w:hAnsi="宋体"/>
          <w:szCs w:val="21"/>
        </w:rPr>
        <w:t>（一）合同的解除</w:t>
      </w:r>
    </w:p>
    <w:p w14:paraId="6508F5BA">
      <w:pPr>
        <w:spacing w:line="360" w:lineRule="auto"/>
        <w:ind w:firstLine="420"/>
        <w:rPr>
          <w:rFonts w:ascii="宋体" w:hAnsi="宋体"/>
          <w:szCs w:val="21"/>
        </w:rPr>
      </w:pPr>
      <w:r>
        <w:rPr>
          <w:rFonts w:hint="eastAsia" w:ascii="宋体" w:hAnsi="宋体"/>
          <w:szCs w:val="21"/>
        </w:rPr>
        <w:t>1、有下列情形之一，合同一方可以解除合同：</w:t>
      </w:r>
    </w:p>
    <w:p w14:paraId="5DCCB6FA">
      <w:pPr>
        <w:spacing w:line="360" w:lineRule="auto"/>
        <w:ind w:firstLine="420"/>
        <w:rPr>
          <w:rFonts w:ascii="宋体" w:hAnsi="宋体"/>
          <w:szCs w:val="21"/>
        </w:rPr>
      </w:pPr>
      <w:r>
        <w:rPr>
          <w:rFonts w:hint="eastAsia" w:ascii="宋体" w:hAnsi="宋体"/>
          <w:szCs w:val="21"/>
        </w:rPr>
        <w:t>1.1 因不可抗力致使不能实现合同目的，未受不可抗力影响的一方有权解除合同；</w:t>
      </w:r>
    </w:p>
    <w:p w14:paraId="72A96952">
      <w:pPr>
        <w:spacing w:line="360" w:lineRule="auto"/>
        <w:ind w:firstLine="420"/>
        <w:rPr>
          <w:rFonts w:ascii="宋体" w:hAnsi="宋体"/>
          <w:szCs w:val="21"/>
        </w:rPr>
      </w:pPr>
      <w:r>
        <w:rPr>
          <w:rFonts w:hint="eastAsia" w:ascii="宋体" w:hAnsi="宋体"/>
          <w:szCs w:val="21"/>
        </w:rPr>
        <w:t>1.2 因合同一方违约导致合同不能履行，另一方有权解除合同；</w:t>
      </w:r>
    </w:p>
    <w:p w14:paraId="14EA625F">
      <w:pPr>
        <w:spacing w:line="360" w:lineRule="auto"/>
        <w:ind w:firstLine="420"/>
        <w:rPr>
          <w:rFonts w:ascii="宋体" w:hAnsi="宋体"/>
          <w:szCs w:val="21"/>
        </w:rPr>
      </w:pPr>
      <w:r>
        <w:rPr>
          <w:rFonts w:hint="eastAsia" w:ascii="宋体" w:hAnsi="宋体"/>
          <w:szCs w:val="21"/>
        </w:rPr>
        <w:t>1.3 乙方服务不能达到甲方要求，月考核分低于65分，累计3次；</w:t>
      </w:r>
    </w:p>
    <w:p w14:paraId="33775A07">
      <w:pPr>
        <w:spacing w:line="360" w:lineRule="auto"/>
        <w:ind w:firstLine="420"/>
        <w:rPr>
          <w:rFonts w:ascii="宋体" w:hAnsi="宋体"/>
          <w:szCs w:val="21"/>
        </w:rPr>
      </w:pPr>
      <w:r>
        <w:rPr>
          <w:rFonts w:hint="eastAsia" w:ascii="宋体" w:hAnsi="宋体"/>
          <w:szCs w:val="21"/>
        </w:rPr>
        <w:t>1.4 服务期间发生重大事故；</w:t>
      </w:r>
    </w:p>
    <w:p w14:paraId="3291CCEA">
      <w:pPr>
        <w:spacing w:line="360" w:lineRule="auto"/>
        <w:ind w:firstLine="420"/>
        <w:rPr>
          <w:rFonts w:ascii="宋体" w:hAnsi="宋体"/>
          <w:szCs w:val="21"/>
        </w:rPr>
      </w:pPr>
      <w:r>
        <w:rPr>
          <w:rFonts w:hint="eastAsia" w:ascii="宋体" w:hAnsi="宋体"/>
          <w:szCs w:val="21"/>
        </w:rPr>
        <w:t>1.5 因被市级及以上媒体曝光，经核实定乙方过失的，累计2次（含2次）以上的解除合同；</w:t>
      </w:r>
    </w:p>
    <w:p w14:paraId="31C64E3E">
      <w:pPr>
        <w:spacing w:line="360" w:lineRule="auto"/>
        <w:ind w:firstLine="420"/>
        <w:rPr>
          <w:rFonts w:ascii="宋体" w:hAnsi="宋体"/>
          <w:szCs w:val="21"/>
        </w:rPr>
      </w:pPr>
      <w:r>
        <w:rPr>
          <w:rFonts w:hint="eastAsia" w:ascii="宋体" w:hAnsi="宋体"/>
          <w:szCs w:val="21"/>
        </w:rPr>
        <w:t>2、甲方有紧急的工作任务，乙方需无条件增加设备及时完成任务，否则甲方有权解除合同。</w:t>
      </w:r>
    </w:p>
    <w:p w14:paraId="1920C458">
      <w:pPr>
        <w:spacing w:line="360" w:lineRule="auto"/>
        <w:ind w:firstLine="420"/>
        <w:rPr>
          <w:rFonts w:ascii="宋体" w:hAnsi="宋体"/>
          <w:szCs w:val="21"/>
        </w:rPr>
      </w:pPr>
      <w:r>
        <w:rPr>
          <w:rFonts w:hint="eastAsia" w:ascii="宋体" w:hAnsi="宋体"/>
          <w:szCs w:val="21"/>
        </w:rPr>
        <w:t>（二）合同的转让： 合同的部分和全部都不得转让。</w:t>
      </w:r>
    </w:p>
    <w:p w14:paraId="0266EC8A">
      <w:pPr>
        <w:spacing w:line="360" w:lineRule="auto"/>
        <w:ind w:firstLine="420"/>
        <w:rPr>
          <w:rFonts w:ascii="宋体" w:hAnsi="宋体"/>
          <w:szCs w:val="21"/>
        </w:rPr>
      </w:pPr>
      <w:r>
        <w:rPr>
          <w:rFonts w:hint="eastAsia" w:ascii="宋体" w:hAnsi="宋体"/>
          <w:b/>
          <w:bCs/>
          <w:szCs w:val="21"/>
        </w:rPr>
        <w:t>十三、特别条款</w:t>
      </w:r>
    </w:p>
    <w:p w14:paraId="38E260A0">
      <w:pPr>
        <w:spacing w:line="360" w:lineRule="auto"/>
        <w:ind w:firstLine="420"/>
        <w:rPr>
          <w:rFonts w:ascii="宋体" w:hAnsi="宋体"/>
          <w:szCs w:val="21"/>
        </w:rPr>
      </w:pPr>
      <w:r>
        <w:rPr>
          <w:rFonts w:hint="eastAsia" w:ascii="宋体" w:hAnsi="宋体"/>
          <w:szCs w:val="21"/>
        </w:rPr>
        <w:t>1．双方签约人为各自法定代表人或被授权代表。</w:t>
      </w:r>
    </w:p>
    <w:p w14:paraId="1B9B9A0F">
      <w:pPr>
        <w:spacing w:line="360" w:lineRule="auto"/>
        <w:ind w:firstLine="420"/>
        <w:rPr>
          <w:rFonts w:ascii="宋体" w:hAnsi="宋体"/>
          <w:szCs w:val="21"/>
        </w:rPr>
      </w:pPr>
      <w:r>
        <w:rPr>
          <w:rFonts w:hint="eastAsia" w:ascii="宋体" w:hAnsi="宋体"/>
          <w:szCs w:val="21"/>
        </w:rPr>
        <w:t>2．本合同系指本文件及其附件中的所有部分；其中招标文件、中标的投标文件、中标单位在招标过程中的澄清、承诺等为本合同不可缺少的必要组成部分。</w:t>
      </w:r>
    </w:p>
    <w:p w14:paraId="26077D07">
      <w:pPr>
        <w:spacing w:line="360" w:lineRule="auto"/>
        <w:ind w:firstLine="420"/>
        <w:rPr>
          <w:rFonts w:ascii="宋体" w:hAnsi="宋体"/>
          <w:szCs w:val="21"/>
        </w:rPr>
      </w:pPr>
      <w:r>
        <w:rPr>
          <w:rFonts w:hint="eastAsia" w:ascii="宋体" w:hAnsi="宋体"/>
          <w:szCs w:val="21"/>
        </w:rPr>
        <w:t>3．本合同一式伍份，甲方、乙方各执贰份，招标代理人执壹份，各份具有同等法律效力。</w:t>
      </w:r>
    </w:p>
    <w:p w14:paraId="6B98E56F">
      <w:pPr>
        <w:spacing w:line="360" w:lineRule="auto"/>
        <w:ind w:firstLine="420"/>
        <w:rPr>
          <w:rFonts w:ascii="宋体" w:hAnsi="宋体"/>
          <w:b/>
          <w:bCs/>
          <w:szCs w:val="21"/>
        </w:rPr>
      </w:pPr>
      <w:r>
        <w:rPr>
          <w:rFonts w:hint="eastAsia" w:ascii="宋体" w:hAnsi="宋体"/>
          <w:b/>
          <w:bCs/>
          <w:szCs w:val="21"/>
        </w:rPr>
        <w:t>十四、其它</w:t>
      </w:r>
    </w:p>
    <w:p w14:paraId="0927049A">
      <w:pPr>
        <w:spacing w:line="360" w:lineRule="auto"/>
        <w:ind w:firstLine="420"/>
        <w:rPr>
          <w:rFonts w:ascii="宋体" w:hAnsi="宋体"/>
          <w:szCs w:val="21"/>
        </w:rPr>
      </w:pPr>
      <w:r>
        <w:rPr>
          <w:rFonts w:hint="eastAsia" w:ascii="宋体" w:hAnsi="宋体"/>
          <w:szCs w:val="21"/>
        </w:rPr>
        <w:t>1.甲乙双方签字盖章后生效。</w:t>
      </w:r>
    </w:p>
    <w:p w14:paraId="6D280FBD">
      <w:pPr>
        <w:spacing w:line="360" w:lineRule="auto"/>
        <w:ind w:firstLine="420"/>
        <w:rPr>
          <w:rFonts w:ascii="宋体" w:hAnsi="宋体"/>
          <w:szCs w:val="21"/>
        </w:rPr>
      </w:pPr>
      <w:r>
        <w:rPr>
          <w:rFonts w:hint="eastAsia" w:ascii="宋体" w:hAnsi="宋体"/>
          <w:szCs w:val="21"/>
        </w:rPr>
        <w:t>2.本合同未尽事宜，本合同未尽事宜应按《中华人民共和国民典法》、《中华人民共和国政府采购法》等与招标相关之法规规定解释。</w:t>
      </w:r>
    </w:p>
    <w:p w14:paraId="1A34B972">
      <w:pPr>
        <w:spacing w:line="360" w:lineRule="auto"/>
        <w:ind w:firstLine="420"/>
        <w:rPr>
          <w:rFonts w:ascii="宋体" w:hAnsi="宋体"/>
          <w:szCs w:val="21"/>
        </w:rPr>
      </w:pPr>
      <w:r>
        <w:rPr>
          <w:rFonts w:hint="eastAsia" w:ascii="宋体" w:hAnsi="宋体"/>
          <w:szCs w:val="21"/>
        </w:rPr>
        <w:t>3. 甲乙双方因合同发生争议，签约双方应友好协商解决。协商不成，任何一方均可向甲方所在人民法院提起诉讼。</w:t>
      </w:r>
    </w:p>
    <w:p w14:paraId="05BACAE0">
      <w:pPr>
        <w:pStyle w:val="9"/>
        <w:spacing w:line="360" w:lineRule="auto"/>
        <w:jc w:val="center"/>
        <w:rPr>
          <w:rFonts w:hAnsi="宋体" w:eastAsia="宋体"/>
          <w:b/>
          <w:sz w:val="21"/>
          <w:szCs w:val="21"/>
        </w:rPr>
      </w:pPr>
      <w:r>
        <w:rPr>
          <w:rFonts w:hint="eastAsia" w:hAnsi="宋体" w:eastAsia="宋体"/>
          <w:b/>
          <w:sz w:val="21"/>
          <w:szCs w:val="21"/>
        </w:rPr>
        <w:t>（以下无正文）</w:t>
      </w:r>
    </w:p>
    <w:p w14:paraId="6858633A">
      <w:pPr>
        <w:spacing w:line="360" w:lineRule="auto"/>
        <w:rPr>
          <w:rFonts w:ascii="宋体" w:hAnsi="宋体"/>
          <w:szCs w:val="21"/>
        </w:rPr>
      </w:pPr>
      <w:r>
        <w:rPr>
          <w:rFonts w:hint="eastAsia" w:ascii="宋体" w:hAnsi="宋体"/>
          <w:szCs w:val="21"/>
        </w:rPr>
        <w:t>甲方：</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乙方：                   </w:t>
      </w:r>
    </w:p>
    <w:p w14:paraId="63A17B70">
      <w:pPr>
        <w:spacing w:line="360" w:lineRule="auto"/>
        <w:rPr>
          <w:rFonts w:ascii="宋体" w:hAnsi="宋体"/>
          <w:szCs w:val="21"/>
        </w:rPr>
      </w:pPr>
      <w:r>
        <w:rPr>
          <w:rFonts w:hint="eastAsia" w:ascii="宋体" w:hAnsi="宋体"/>
          <w:szCs w:val="21"/>
        </w:rPr>
        <w:t>法定代表人（授权代表）：</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法定代表人（授权代表）：     </w:t>
      </w:r>
    </w:p>
    <w:p w14:paraId="5BF4400B">
      <w:pPr>
        <w:spacing w:line="360" w:lineRule="auto"/>
        <w:rPr>
          <w:rFonts w:ascii="宋体" w:hAnsi="宋体"/>
          <w:szCs w:val="21"/>
        </w:rPr>
      </w:pPr>
      <w:r>
        <w:rPr>
          <w:rFonts w:hint="eastAsia" w:ascii="宋体" w:hAnsi="宋体"/>
          <w:szCs w:val="21"/>
        </w:rPr>
        <w:t>签约日期：</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签约日期：                </w:t>
      </w:r>
    </w:p>
    <w:p w14:paraId="6F6FD335">
      <w:pPr>
        <w:spacing w:line="360" w:lineRule="auto"/>
        <w:rPr>
          <w:rFonts w:ascii="宋体" w:hAnsi="宋体"/>
          <w:szCs w:val="21"/>
        </w:rPr>
      </w:pP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开户行：</w:t>
      </w:r>
    </w:p>
    <w:p w14:paraId="55A8758D">
      <w:pPr>
        <w:spacing w:line="360" w:lineRule="auto"/>
        <w:rPr>
          <w:rFonts w:ascii="宋体" w:hAnsi="宋体"/>
          <w:szCs w:val="21"/>
        </w:rPr>
      </w:pP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hint="eastAsia" w:ascii="宋体" w:hAnsi="宋体"/>
          <w:szCs w:val="21"/>
        </w:rPr>
        <w:t xml:space="preserve">                    帐户：</w:t>
      </w:r>
    </w:p>
    <w:p w14:paraId="3E30AA99">
      <w:pPr>
        <w:pStyle w:val="8"/>
      </w:pPr>
    </w:p>
    <w:p w14:paraId="5E0EA34E">
      <w:pPr>
        <w:spacing w:line="360" w:lineRule="auto"/>
        <w:rPr>
          <w:rFonts w:ascii="宋体" w:hAnsi="宋体"/>
          <w:szCs w:val="21"/>
        </w:rPr>
      </w:pPr>
      <w:r>
        <w:rPr>
          <w:rFonts w:hint="eastAsia" w:ascii="宋体" w:hAnsi="宋体"/>
          <w:szCs w:val="21"/>
        </w:rPr>
        <w:t xml:space="preserve">合同签定地：                                 </w:t>
      </w:r>
      <w:r>
        <w:rPr>
          <w:rFonts w:ascii="宋体" w:hAnsi="宋体"/>
          <w:szCs w:val="21"/>
        </w:rPr>
        <w:t xml:space="preserve"> </w:t>
      </w:r>
    </w:p>
    <w:p w14:paraId="29F3650E">
      <w:pPr>
        <w:spacing w:line="360" w:lineRule="auto"/>
        <w:rPr>
          <w:rFonts w:ascii="宋体" w:hAnsi="宋体"/>
          <w:szCs w:val="21"/>
        </w:rPr>
      </w:pPr>
      <w:r>
        <w:rPr>
          <w:rFonts w:hint="eastAsia" w:ascii="宋体" w:hAnsi="宋体"/>
          <w:szCs w:val="21"/>
        </w:rPr>
        <w:t>合同有效期：</w:t>
      </w:r>
    </w:p>
    <w:p w14:paraId="1028F453">
      <w:pPr>
        <w:rPr>
          <w:rFonts w:ascii="宋体" w:hAnsi="宋体"/>
          <w:szCs w:val="21"/>
        </w:rPr>
      </w:pPr>
    </w:p>
    <w:p w14:paraId="4665B740">
      <w:pPr>
        <w:spacing w:line="360" w:lineRule="auto"/>
        <w:rPr>
          <w:rFonts w:ascii="宋体" w:hAnsi="宋体" w:cs="宋体"/>
          <w:szCs w:val="21"/>
        </w:rPr>
        <w:sectPr>
          <w:footerReference r:id="rId8" w:type="default"/>
          <w:pgSz w:w="11906" w:h="16838"/>
          <w:pgMar w:top="1247" w:right="1361" w:bottom="1247" w:left="1361" w:header="850" w:footer="794" w:gutter="0"/>
          <w:cols w:space="1701" w:num="1"/>
          <w:docGrid w:linePitch="360" w:charSpace="0"/>
        </w:sectPr>
      </w:pPr>
    </w:p>
    <w:p w14:paraId="22BB268B">
      <w:pPr>
        <w:pStyle w:val="5"/>
        <w:jc w:val="center"/>
      </w:pPr>
      <w:bookmarkStart w:id="74" w:name="_Toc30169"/>
      <w:r>
        <w:rPr>
          <w:rFonts w:hint="eastAsia"/>
        </w:rPr>
        <w:t>第六章 评标方法、评标标准</w:t>
      </w:r>
      <w:bookmarkEnd w:id="74"/>
    </w:p>
    <w:p w14:paraId="01CDF0D6">
      <w:pPr>
        <w:spacing w:line="360" w:lineRule="auto"/>
        <w:ind w:firstLine="420"/>
        <w:rPr>
          <w:rFonts w:ascii="宋体" w:hAnsi="宋体"/>
          <w:b/>
          <w:bCs/>
          <w:sz w:val="30"/>
        </w:rPr>
      </w:pPr>
      <w:r>
        <w:rPr>
          <w:rFonts w:hint="eastAsia" w:ascii="宋体" w:hAnsi="宋体"/>
          <w:b/>
          <w:szCs w:val="21"/>
        </w:rPr>
        <w:t>一、评标方法：</w:t>
      </w:r>
    </w:p>
    <w:p w14:paraId="059D4543">
      <w:pPr>
        <w:spacing w:line="360" w:lineRule="auto"/>
        <w:ind w:firstLine="420"/>
        <w:rPr>
          <w:rFonts w:ascii="宋体" w:hAnsi="宋体"/>
        </w:rPr>
      </w:pPr>
      <w:r>
        <w:rPr>
          <w:rFonts w:hint="eastAsia" w:ascii="宋体" w:hAnsi="宋体"/>
        </w:rPr>
        <w:t>本次评标方法为综合评分法。即投标文件满足招标文件全部实质性要求，且按照评审因素的量化指标评审得分最高的投标单位为中标人的评标方法。</w:t>
      </w:r>
    </w:p>
    <w:p w14:paraId="30EAF001">
      <w:pPr>
        <w:spacing w:line="360" w:lineRule="auto"/>
        <w:ind w:firstLine="480"/>
        <w:rPr>
          <w:rFonts w:ascii="宋体" w:hAnsi="宋体"/>
          <w:szCs w:val="21"/>
        </w:rPr>
      </w:pPr>
      <w:r>
        <w:rPr>
          <w:rFonts w:hint="eastAsia" w:ascii="宋体" w:hAnsi="宋体"/>
          <w:szCs w:val="21"/>
        </w:rPr>
        <w:t>评审因素的设定与投标单位所投服务的质量相关，包括投标价格、服务水平、履约能力、人员专业素养、售后服务等。</w:t>
      </w:r>
    </w:p>
    <w:p w14:paraId="6C97CA62">
      <w:pPr>
        <w:spacing w:line="360" w:lineRule="auto"/>
        <w:ind w:firstLine="420"/>
        <w:rPr>
          <w:rFonts w:ascii="宋体" w:hAnsi="宋体"/>
        </w:rPr>
      </w:pPr>
      <w:r>
        <w:rPr>
          <w:rFonts w:hint="eastAsia" w:ascii="宋体" w:hAnsi="宋体"/>
        </w:rPr>
        <w:t>评标时，评标委员会分别对每个有效投标单位的投标文件进行评价、比较、打分，然后通过评标系统进行统计汇总，按算术平均方法计算出每个投标单位的评审得分（各项得分按四舍五入原则精确到小数点后两位）。评标结果按评审后得分由低到高顺序排列。评审得分相同的，按评标报价由低到高顺序排列。评审得分且评标报价和相同的，则以抽签决定中标人。</w:t>
      </w:r>
    </w:p>
    <w:p w14:paraId="3A690655">
      <w:pPr>
        <w:spacing w:line="360" w:lineRule="auto"/>
        <w:ind w:firstLine="420"/>
        <w:rPr>
          <w:rFonts w:ascii="宋体" w:hAnsi="宋体"/>
          <w:b/>
          <w:szCs w:val="21"/>
        </w:rPr>
      </w:pPr>
      <w:r>
        <w:rPr>
          <w:rFonts w:hint="eastAsia" w:ascii="宋体" w:hAnsi="宋体"/>
          <w:b/>
          <w:szCs w:val="21"/>
        </w:rPr>
        <w:t>二、采购政策</w:t>
      </w:r>
    </w:p>
    <w:p w14:paraId="7D6E18BF">
      <w:pPr>
        <w:spacing w:line="360" w:lineRule="auto"/>
        <w:ind w:firstLine="420"/>
        <w:rPr>
          <w:rFonts w:ascii="宋体" w:hAnsi="宋体"/>
          <w:szCs w:val="21"/>
        </w:rPr>
      </w:pPr>
      <w:r>
        <w:rPr>
          <w:szCs w:val="21"/>
          <w:lang w:val="zh-CN"/>
        </w:rPr>
        <w:t>根据《政府采购促进中小企业</w:t>
      </w:r>
      <w:r>
        <w:rPr>
          <w:rFonts w:ascii="宋体" w:hAnsi="宋体"/>
          <w:szCs w:val="21"/>
        </w:rPr>
        <w:t>发展管理办法》（财库</w:t>
      </w:r>
      <w:r>
        <w:rPr>
          <w:rFonts w:hint="eastAsia" w:ascii="宋体" w:hAnsi="宋体"/>
          <w:szCs w:val="21"/>
        </w:rPr>
        <w:t>﹝</w:t>
      </w:r>
      <w:r>
        <w:rPr>
          <w:rFonts w:ascii="宋体" w:hAnsi="宋体"/>
          <w:szCs w:val="21"/>
        </w:rPr>
        <w:t>2020</w:t>
      </w:r>
      <w:r>
        <w:rPr>
          <w:rFonts w:hint="eastAsia" w:ascii="宋体" w:hAnsi="宋体"/>
          <w:szCs w:val="21"/>
        </w:rPr>
        <w:t>﹞</w:t>
      </w:r>
      <w:r>
        <w:rPr>
          <w:rFonts w:ascii="宋体" w:hAnsi="宋体"/>
          <w:szCs w:val="21"/>
        </w:rPr>
        <w:t>46 号）</w:t>
      </w:r>
      <w:r>
        <w:rPr>
          <w:rFonts w:hint="eastAsia" w:ascii="宋体" w:hAnsi="宋体"/>
          <w:szCs w:val="21"/>
        </w:rPr>
        <w:t>的相关规定，对属于小型、微型企业的供应商给予20%价格扣除，</w:t>
      </w:r>
      <w:r>
        <w:rPr>
          <w:rFonts w:hint="eastAsia" w:ascii="宋体"/>
          <w:color w:val="000000"/>
          <w:szCs w:val="21"/>
        </w:rPr>
        <w:t>扣除后的价格参与价格评审</w:t>
      </w:r>
      <w:r>
        <w:rPr>
          <w:rFonts w:hint="eastAsia" w:ascii="宋体" w:hAnsi="宋体"/>
          <w:szCs w:val="21"/>
        </w:rPr>
        <w:t>：</w:t>
      </w:r>
    </w:p>
    <w:p w14:paraId="1FEF7E09">
      <w:pPr>
        <w:spacing w:line="360" w:lineRule="auto"/>
        <w:ind w:firstLine="420"/>
        <w:rPr>
          <w:rFonts w:ascii="宋体" w:hAnsi="宋体"/>
          <w:szCs w:val="21"/>
        </w:rPr>
      </w:pPr>
      <w:r>
        <w:rPr>
          <w:rFonts w:hint="eastAsia" w:ascii="宋体" w:hAnsi="宋体"/>
          <w:szCs w:val="21"/>
        </w:rPr>
        <w:t>（一）如供应商认定本企业为小型或微型企业，则需根据《工信部联企业〔2011〕300号》通知中的《中小企业划型标准规定》的相关规定，填报《中小企业声明函》。</w:t>
      </w:r>
      <w:r>
        <w:rPr>
          <w:rFonts w:hint="eastAsia" w:ascii="宋体" w:hAnsi="宋体"/>
          <w:b/>
          <w:szCs w:val="21"/>
        </w:rPr>
        <w:t>加盖公章后的《中小企业声明函》电子件放置于响应文件一中提交</w:t>
      </w:r>
      <w:r>
        <w:rPr>
          <w:rFonts w:hint="eastAsia" w:ascii="宋体" w:hAnsi="宋体"/>
          <w:szCs w:val="21"/>
        </w:rPr>
        <w:t>。</w:t>
      </w:r>
    </w:p>
    <w:p w14:paraId="2739A340">
      <w:pPr>
        <w:spacing w:line="360" w:lineRule="auto"/>
        <w:ind w:firstLine="420"/>
        <w:rPr>
          <w:rFonts w:ascii="宋体" w:hAnsi="宋体"/>
          <w:szCs w:val="21"/>
        </w:rPr>
      </w:pPr>
      <w:r>
        <w:rPr>
          <w:rFonts w:hint="eastAsia" w:ascii="宋体" w:hAnsi="宋体"/>
          <w:szCs w:val="21"/>
        </w:rPr>
        <w:t>如供应商为残疾人福利性单位，则视同小型企业，</w:t>
      </w:r>
      <w:r>
        <w:rPr>
          <w:rFonts w:hAnsi="宋体" w:cs="宋体"/>
        </w:rPr>
        <w:t>根据《三部门联合发布关于促进残疾人就业政府采购政策的通知》（财库〔2017〕141号）的相关规定</w:t>
      </w:r>
      <w:r>
        <w:rPr>
          <w:rFonts w:hint="eastAsia" w:hAnsi="宋体" w:cs="宋体"/>
        </w:rPr>
        <w:t>，</w:t>
      </w:r>
      <w:r>
        <w:rPr>
          <w:rFonts w:hint="eastAsia" w:ascii="宋体" w:hAnsi="宋体"/>
          <w:szCs w:val="21"/>
        </w:rPr>
        <w:t>对属于残疾人福利性单位的供应商给予价格扣除，享受评审中价格扣除等政府采购促进中小企业发展的政府采购政策。残疾人福利性单位属于小型企业的，不重复享受政策。</w:t>
      </w:r>
    </w:p>
    <w:p w14:paraId="1F255D85">
      <w:pPr>
        <w:spacing w:line="360" w:lineRule="auto"/>
        <w:ind w:firstLine="420"/>
        <w:rPr>
          <w:rFonts w:ascii="宋体" w:hAnsi="宋体"/>
          <w:szCs w:val="21"/>
        </w:rPr>
      </w:pPr>
      <w:r>
        <w:rPr>
          <w:rFonts w:hint="eastAsia" w:ascii="宋体" w:hAnsi="宋体"/>
          <w:szCs w:val="21"/>
        </w:rPr>
        <w:t>如供应商为监狱企业，则视同小型企业。</w:t>
      </w:r>
      <w:r>
        <w:rPr>
          <w:rFonts w:hAnsi="宋体" w:cs="宋体"/>
        </w:rPr>
        <w:t>根据《财政部司法部关于政府采购支持监狱企业发展有关问题的通知》（财库〔2014〕68号）的相关规定</w:t>
      </w:r>
      <w:r>
        <w:rPr>
          <w:rFonts w:hint="eastAsia" w:hAnsi="宋体" w:cs="宋体"/>
        </w:rPr>
        <w:t>，</w:t>
      </w:r>
      <w:r>
        <w:rPr>
          <w:rFonts w:hint="eastAsia" w:ascii="宋体" w:hAnsi="宋体"/>
          <w:szCs w:val="21"/>
        </w:rPr>
        <w:t>对属于监狱企业的供应商给予价格扣除，享受评审中价格扣除等政府采购促进中小企业发展的政府采购政策。向监狱企业采购的金额，计入面向中小企业采购的统计数据。监狱企业属于小型企业的，不重复享受政策。</w:t>
      </w:r>
    </w:p>
    <w:p w14:paraId="7952BA41">
      <w:pPr>
        <w:spacing w:line="360" w:lineRule="auto"/>
        <w:ind w:firstLine="420"/>
        <w:rPr>
          <w:rFonts w:ascii="宋体" w:hAnsi="宋体"/>
          <w:szCs w:val="21"/>
        </w:rPr>
      </w:pPr>
      <w:r>
        <w:rPr>
          <w:rFonts w:hint="eastAsia" w:ascii="宋体" w:hAnsi="宋体"/>
          <w:szCs w:val="21"/>
        </w:rPr>
        <w:t>注：</w:t>
      </w:r>
    </w:p>
    <w:p w14:paraId="1C6F49D3">
      <w:pPr>
        <w:spacing w:line="360" w:lineRule="auto"/>
        <w:ind w:firstLine="210"/>
        <w:rPr>
          <w:rFonts w:ascii="宋体" w:hAnsi="宋体"/>
          <w:szCs w:val="21"/>
        </w:rPr>
      </w:pPr>
      <w:r>
        <w:rPr>
          <w:rFonts w:hint="eastAsia" w:ascii="宋体" w:hAnsi="宋体"/>
          <w:szCs w:val="21"/>
        </w:rPr>
        <w:t>（1）《中小企业声明函》、《残疾人福利性单位声明函》（详见格式）；</w:t>
      </w:r>
    </w:p>
    <w:p w14:paraId="1CF838CB">
      <w:pPr>
        <w:spacing w:line="360" w:lineRule="auto"/>
        <w:ind w:firstLine="210"/>
        <w:rPr>
          <w:rFonts w:ascii="宋体" w:hAnsi="宋体"/>
          <w:b/>
          <w:szCs w:val="21"/>
        </w:rPr>
      </w:pPr>
      <w:r>
        <w:rPr>
          <w:rFonts w:hint="eastAsia" w:ascii="宋体" w:hAnsi="宋体"/>
          <w:szCs w:val="21"/>
        </w:rPr>
        <w:t>（2）中小微企业在投标文件中，需签署《中小企业声明函》，证实企业的规模类型；</w:t>
      </w:r>
    </w:p>
    <w:p w14:paraId="24CCE0BD">
      <w:pPr>
        <w:spacing w:line="360" w:lineRule="auto"/>
        <w:ind w:firstLine="210"/>
        <w:rPr>
          <w:rFonts w:ascii="宋体" w:hAnsi="宋体"/>
          <w:szCs w:val="21"/>
        </w:rPr>
      </w:pPr>
      <w:r>
        <w:rPr>
          <w:rFonts w:hint="eastAsia" w:ascii="宋体" w:hAnsi="宋体"/>
          <w:bCs/>
          <w:szCs w:val="21"/>
        </w:rPr>
        <w:t>（</w:t>
      </w:r>
      <w:r>
        <w:rPr>
          <w:rFonts w:ascii="宋体" w:hAnsi="宋体"/>
          <w:bCs/>
          <w:szCs w:val="21"/>
        </w:rPr>
        <w:t>3</w:t>
      </w:r>
      <w:r>
        <w:rPr>
          <w:rFonts w:hint="eastAsia" w:ascii="宋体" w:hAnsi="宋体"/>
          <w:bCs/>
          <w:szCs w:val="21"/>
        </w:rPr>
        <w:t>）</w:t>
      </w:r>
      <w:r>
        <w:rPr>
          <w:rFonts w:hint="eastAsia" w:ascii="宋体" w:hAnsi="宋体"/>
          <w:szCs w:val="21"/>
        </w:rPr>
        <w:t>残疾人福利性单位在投标文件中需签署《残疾人福利性单位声明函》；</w:t>
      </w:r>
    </w:p>
    <w:p w14:paraId="1A46A800">
      <w:pPr>
        <w:spacing w:line="360" w:lineRule="auto"/>
        <w:ind w:firstLine="210"/>
        <w:rPr>
          <w:rFonts w:ascii="宋体" w:hAnsi="宋体"/>
          <w:b/>
          <w:szCs w:val="21"/>
        </w:rPr>
      </w:pPr>
      <w:r>
        <w:rPr>
          <w:rFonts w:hint="eastAsia" w:ascii="宋体" w:hAnsi="宋体"/>
          <w:szCs w:val="21"/>
        </w:rPr>
        <w:t>（4）监狱企业需提供认定证明；</w:t>
      </w:r>
    </w:p>
    <w:p w14:paraId="36FB47C9">
      <w:pPr>
        <w:spacing w:line="360" w:lineRule="auto"/>
        <w:ind w:firstLine="21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）微型企业提供小型企业服务的，视同为小型企业。小型企业提供中大型企业服务的，视同为中大型企业；</w:t>
      </w:r>
    </w:p>
    <w:p w14:paraId="468E53E7">
      <w:pPr>
        <w:spacing w:line="360" w:lineRule="auto"/>
        <w:ind w:firstLine="21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）填报《中小企业声明函》需严格按《工信部联企业〔2011〕300号》通知中的《中小企业划型标准规定》进行；</w:t>
      </w:r>
    </w:p>
    <w:p w14:paraId="5E405079">
      <w:pPr>
        <w:spacing w:line="360" w:lineRule="auto"/>
        <w:ind w:firstLine="21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）填报《</w:t>
      </w:r>
      <w:r>
        <w:rPr>
          <w:rFonts w:hint="eastAsia" w:ascii="宋体" w:hAnsi="宋体"/>
          <w:bCs/>
          <w:szCs w:val="21"/>
        </w:rPr>
        <w:t>残疾人福利性单位声明函</w:t>
      </w:r>
      <w:r>
        <w:rPr>
          <w:rFonts w:hint="eastAsia" w:ascii="宋体" w:hAnsi="宋体"/>
          <w:szCs w:val="21"/>
        </w:rPr>
        <w:t>》需严格按《财库〔201</w:t>
      </w:r>
      <w:r>
        <w:rPr>
          <w:rFonts w:ascii="宋体" w:hAnsi="宋体"/>
          <w:szCs w:val="21"/>
        </w:rPr>
        <w:t>7</w:t>
      </w:r>
      <w:r>
        <w:rPr>
          <w:rFonts w:hint="eastAsia" w:ascii="宋体" w:hAnsi="宋体"/>
          <w:szCs w:val="21"/>
        </w:rPr>
        <w:t>〕</w:t>
      </w:r>
      <w:r>
        <w:rPr>
          <w:rFonts w:ascii="宋体" w:hAnsi="宋体"/>
          <w:szCs w:val="21"/>
        </w:rPr>
        <w:t>141</w:t>
      </w:r>
      <w:r>
        <w:rPr>
          <w:rFonts w:hint="eastAsia" w:ascii="宋体" w:hAnsi="宋体"/>
          <w:szCs w:val="21"/>
        </w:rPr>
        <w:t>号》通知中的《关于促进残疾人就业政府采购的通知》进行；</w:t>
      </w:r>
    </w:p>
    <w:p w14:paraId="23FF82C3">
      <w:pPr>
        <w:spacing w:line="360" w:lineRule="auto"/>
        <w:ind w:firstLine="21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）若供应商提供的《中小企业声明函》 、</w:t>
      </w:r>
      <w:r>
        <w:rPr>
          <w:rFonts w:hint="eastAsia" w:ascii="宋体" w:hAnsi="宋体"/>
          <w:bCs/>
          <w:szCs w:val="21"/>
        </w:rPr>
        <w:t>《残疾人福利性单位声明函》</w:t>
      </w:r>
      <w:r>
        <w:rPr>
          <w:rFonts w:hint="eastAsia" w:ascii="宋体" w:hAnsi="宋体"/>
          <w:szCs w:val="21"/>
        </w:rPr>
        <w:t>及监狱企业认定证明为虚假声明则视同提供虚假材料，按《政府采购法》相关规定处理并报请政府监管部门给予行政处罚。</w:t>
      </w:r>
    </w:p>
    <w:p w14:paraId="3A983D6C">
      <w:pPr>
        <w:spacing w:line="360" w:lineRule="auto"/>
        <w:ind w:firstLine="420"/>
        <w:rPr>
          <w:rFonts w:ascii="宋体" w:hAnsi="宋体"/>
          <w:szCs w:val="21"/>
        </w:rPr>
      </w:pPr>
      <w:r>
        <w:rPr>
          <w:rFonts w:hint="eastAsia" w:ascii="宋体" w:hAnsi="宋体"/>
          <w:szCs w:val="21"/>
        </w:rPr>
        <w:t>（二）绿色采购</w:t>
      </w:r>
    </w:p>
    <w:p w14:paraId="13C5EFA7">
      <w:pPr>
        <w:spacing w:line="360" w:lineRule="auto"/>
        <w:ind w:firstLine="420"/>
        <w:rPr>
          <w:rFonts w:ascii="宋体" w:hAnsi="宋体"/>
          <w:b/>
          <w:szCs w:val="21"/>
        </w:rPr>
      </w:pPr>
      <w:r>
        <w:rPr>
          <w:rFonts w:hint="eastAsia" w:ascii="宋体" w:hAnsi="宋体"/>
          <w:szCs w:val="21"/>
        </w:rPr>
        <w:t>根据《关于调整优化节能产品、环境标志产品政府采购执行机制的通知》（财库〔2019〕9号）等相关文件的规定，</w:t>
      </w:r>
      <w:r>
        <w:rPr>
          <w:rFonts w:hint="eastAsia" w:ascii="宋体" w:hAnsi="宋体"/>
          <w:b/>
          <w:szCs w:val="21"/>
        </w:rPr>
        <w:t>对属于《节能产品政府采购品目清单》政府强制采购产品的，供应商需提供该产品有效期内的认证等相关证明材料，证明材料电子件放置于响应文件三中提交。</w:t>
      </w:r>
    </w:p>
    <w:p w14:paraId="1A86936E">
      <w:pPr>
        <w:spacing w:line="360" w:lineRule="auto"/>
        <w:ind w:firstLine="420"/>
        <w:rPr>
          <w:rFonts w:ascii="宋体" w:hAnsi="宋体"/>
          <w:szCs w:val="21"/>
        </w:rPr>
      </w:pPr>
      <w:r>
        <w:rPr>
          <w:rFonts w:hint="eastAsia" w:ascii="宋体" w:hAnsi="宋体"/>
          <w:szCs w:val="21"/>
        </w:rPr>
        <w:t>（三）若投标单位提供的《中小企业声明函》 、《残疾人福利性单位声明函》及监狱企业认定证明等材料为虚假材料，按《中华人民共和国政府采购法》等相关法律法规的规定处理，并报请政府采购监管部门给予行政处罚。</w:t>
      </w:r>
    </w:p>
    <w:p w14:paraId="09C2588D">
      <w:pPr>
        <w:spacing w:line="360" w:lineRule="auto"/>
        <w:ind w:firstLine="420"/>
        <w:rPr>
          <w:rFonts w:ascii="宋体" w:hAnsi="宋体"/>
          <w:b/>
        </w:rPr>
      </w:pPr>
      <w:r>
        <w:rPr>
          <w:rFonts w:hint="eastAsia" w:ascii="宋体" w:hAnsi="宋体"/>
          <w:b/>
        </w:rPr>
        <w:t>三、评标标准</w:t>
      </w:r>
    </w:p>
    <w:p w14:paraId="08A12742">
      <w:pPr>
        <w:spacing w:line="360" w:lineRule="auto"/>
        <w:ind w:firstLine="420"/>
        <w:rPr>
          <w:rFonts w:ascii="宋体" w:hAnsi="宋体"/>
          <w:b/>
        </w:rPr>
      </w:pPr>
      <w:r>
        <w:rPr>
          <w:rFonts w:hint="eastAsia" w:ascii="宋体" w:hAnsi="宋体"/>
          <w:b/>
        </w:rPr>
        <w:t>（一）价格（</w:t>
      </w:r>
      <w:r>
        <w:rPr>
          <w:rFonts w:ascii="宋体" w:hAnsi="宋体"/>
          <w:b/>
        </w:rPr>
        <w:t>10</w:t>
      </w:r>
      <w:r>
        <w:rPr>
          <w:rFonts w:hint="eastAsia" w:ascii="宋体" w:hAnsi="宋体"/>
          <w:b/>
        </w:rPr>
        <w:t>分）</w:t>
      </w:r>
    </w:p>
    <w:p w14:paraId="080DC1F9">
      <w:pPr>
        <w:spacing w:line="360" w:lineRule="auto"/>
        <w:ind w:firstLine="420"/>
        <w:rPr>
          <w:rFonts w:ascii="宋体" w:hAnsi="宋体"/>
          <w:b/>
          <w:bCs/>
        </w:rPr>
      </w:pPr>
      <w:r>
        <w:rPr>
          <w:rFonts w:hint="eastAsia" w:ascii="宋体" w:hAnsi="宋体"/>
        </w:rPr>
        <w:t>1.</w:t>
      </w:r>
      <w:r>
        <w:rPr>
          <w:rFonts w:hint="eastAsia" w:ascii="宋体" w:hAnsi="宋体" w:cs="宋体"/>
          <w:color w:val="000000"/>
          <w:szCs w:val="21"/>
        </w:rPr>
        <w:t>投标总报价低于或等于财政预算价格的，为有效投标报价，</w:t>
      </w:r>
      <w:r>
        <w:rPr>
          <w:rFonts w:hint="eastAsia" w:ascii="宋体" w:hAnsi="宋体"/>
        </w:rPr>
        <w:t>精确到小数点后2位。</w:t>
      </w:r>
      <w:r>
        <w:rPr>
          <w:rFonts w:hint="eastAsia" w:ascii="宋体" w:hAnsi="宋体" w:cs="宋体"/>
          <w:color w:val="000000"/>
          <w:szCs w:val="21"/>
        </w:rPr>
        <w:t>超财政预算的投标报价为无效投标报价。无效投标报价的投标文件不进行评审，也不得中标。</w:t>
      </w:r>
    </w:p>
    <w:p w14:paraId="56090B29">
      <w:pPr>
        <w:spacing w:line="360" w:lineRule="auto"/>
        <w:ind w:firstLine="420"/>
        <w:rPr>
          <w:rFonts w:ascii="宋体" w:hAnsi="宋体"/>
        </w:rPr>
      </w:pPr>
      <w:r>
        <w:rPr>
          <w:rFonts w:hint="eastAsia" w:ascii="宋体" w:hAnsi="宋体"/>
        </w:rPr>
        <w:t>2.分析投标报价及各个分项报价是否合理，报价范围是否完整，有否重大错漏项，特别说明：如果某投标单位的投标报价中有漏项，则该投标单位的投标价格评分时需加上漏项部分，漏项部分的价格按所有投标单位中相应部分所报的最高价格计算，如果该投标单位中标，则其中标价不能调整，即漏项部分的价格需该投标单位自行消化</w:t>
      </w:r>
      <w:r>
        <w:rPr>
          <w:rFonts w:ascii="宋体" w:hAnsi="宋体"/>
        </w:rPr>
        <w:t>（如构成未实质性响应招标文件要求的，将不得中标）</w:t>
      </w:r>
      <w:r>
        <w:rPr>
          <w:rFonts w:hint="eastAsia" w:ascii="宋体" w:hAnsi="宋体"/>
        </w:rPr>
        <w:t>。</w:t>
      </w:r>
    </w:p>
    <w:p w14:paraId="4661B8E9">
      <w:pPr>
        <w:spacing w:line="360" w:lineRule="auto"/>
        <w:ind w:firstLine="420"/>
        <w:rPr>
          <w:rFonts w:ascii="宋体"/>
          <w:color w:val="000000"/>
          <w:szCs w:val="21"/>
        </w:rPr>
      </w:pPr>
      <w:r>
        <w:rPr>
          <w:rFonts w:hint="eastAsia" w:ascii="宋体" w:hAnsi="宋体"/>
        </w:rPr>
        <w:t>3.</w:t>
      </w:r>
      <w:r>
        <w:rPr>
          <w:rFonts w:hint="eastAsia" w:ascii="宋体"/>
          <w:color w:val="000000"/>
          <w:szCs w:val="21"/>
        </w:rPr>
        <w:t>3. 价格分采用低价优先法计算，即满足招标文件要求且投标价格最低的投标报价为评标基准价，其价格分为满分10分。其他投标人的价格分统一按照下列公式计算：</w:t>
      </w:r>
    </w:p>
    <w:p w14:paraId="3A4504DC">
      <w:pPr>
        <w:spacing w:line="360" w:lineRule="auto"/>
        <w:ind w:firstLine="420"/>
        <w:rPr>
          <w:rFonts w:ascii="宋体" w:hAnsi="宋体"/>
          <w:b/>
          <w:szCs w:val="21"/>
        </w:rPr>
      </w:pPr>
      <w:r>
        <w:rPr>
          <w:rFonts w:hint="eastAsia" w:ascii="宋体"/>
          <w:color w:val="000000"/>
          <w:szCs w:val="21"/>
        </w:rPr>
        <w:t>投标报价得分=（评标基准价/投标报价）*价格权重*100，小数点后保留两位。</w:t>
      </w:r>
    </w:p>
    <w:p w14:paraId="40784912">
      <w:pPr>
        <w:spacing w:line="360" w:lineRule="auto"/>
        <w:ind w:firstLine="420"/>
        <w:rPr>
          <w:rFonts w:ascii="宋体" w:hAnsi="宋体"/>
          <w:b/>
          <w:szCs w:val="21"/>
        </w:rPr>
      </w:pPr>
      <w:r>
        <w:rPr>
          <w:rFonts w:hint="eastAsia" w:ascii="宋体" w:hAnsi="宋体"/>
          <w:b/>
          <w:szCs w:val="21"/>
        </w:rPr>
        <w:t>（二）评审指标</w:t>
      </w:r>
    </w:p>
    <w:p w14:paraId="739D6097">
      <w:pPr>
        <w:rPr>
          <w:rFonts w:ascii="宋体" w:hAnsi="宋体"/>
          <w:b/>
          <w:szCs w:val="21"/>
        </w:rPr>
      </w:pPr>
      <w:r>
        <w:rPr>
          <w:rFonts w:hint="eastAsia" w:ascii="宋体" w:hAnsi="宋体"/>
          <w:b/>
          <w:szCs w:val="21"/>
        </w:rPr>
        <w:t xml:space="preserve">初审评审指标  </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1"/>
        <w:gridCol w:w="3966"/>
        <w:gridCol w:w="876"/>
      </w:tblGrid>
      <w:tr w14:paraId="24CE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11" w:type="dxa"/>
            <w:noWrap w:val="0"/>
            <w:vAlign w:val="center"/>
          </w:tcPr>
          <w:p w14:paraId="30017CEE">
            <w:pPr>
              <w:jc w:val="center"/>
              <w:rPr>
                <w:rFonts w:ascii="宋体" w:hAnsi="宋体"/>
                <w:szCs w:val="21"/>
              </w:rPr>
            </w:pPr>
            <w:bookmarkStart w:id="75" w:name="gpc_accord_horizontal_1"/>
            <w:bookmarkStart w:id="76" w:name="gpc_accord_horizontal_2"/>
            <w:r>
              <w:rPr>
                <w:rFonts w:hint="eastAsia" w:ascii="宋体" w:hAnsi="宋体"/>
                <w:szCs w:val="21"/>
              </w:rPr>
              <w:t>指标</w:t>
            </w:r>
          </w:p>
        </w:tc>
        <w:tc>
          <w:tcPr>
            <w:tcW w:w="3966" w:type="dxa"/>
            <w:noWrap w:val="0"/>
          </w:tcPr>
          <w:p w14:paraId="274CD4B9">
            <w:pPr>
              <w:jc w:val="center"/>
              <w:rPr>
                <w:rFonts w:ascii="宋体" w:hAnsi="宋体"/>
                <w:szCs w:val="21"/>
              </w:rPr>
            </w:pPr>
            <w:r>
              <w:rPr>
                <w:rFonts w:hint="eastAsia" w:ascii="宋体" w:hAnsi="宋体"/>
                <w:szCs w:val="21"/>
              </w:rPr>
              <w:t>描述</w:t>
            </w:r>
          </w:p>
        </w:tc>
        <w:tc>
          <w:tcPr>
            <w:tcW w:w="876" w:type="dxa"/>
            <w:noWrap w:val="0"/>
          </w:tcPr>
          <w:p w14:paraId="64F0AFDE">
            <w:pPr>
              <w:jc w:val="center"/>
              <w:rPr>
                <w:rFonts w:ascii="宋体" w:hAnsi="宋体"/>
                <w:szCs w:val="21"/>
              </w:rPr>
            </w:pPr>
            <w:r>
              <w:rPr>
                <w:rFonts w:hint="eastAsia" w:ascii="宋体" w:hAnsi="宋体"/>
                <w:szCs w:val="21"/>
              </w:rPr>
              <w:t>分值</w:t>
            </w:r>
          </w:p>
        </w:tc>
      </w:tr>
      <w:tr w14:paraId="14947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11" w:type="dxa"/>
            <w:noWrap w:val="0"/>
          </w:tcPr>
          <w:p w14:paraId="29804694">
            <w:pPr>
              <w:jc w:val="center"/>
              <w:rPr>
                <w:rFonts w:ascii="宋体" w:hAnsi="宋体"/>
                <w:szCs w:val="21"/>
              </w:rPr>
            </w:pPr>
            <w:r>
              <w:rPr>
                <w:rFonts w:hint="eastAsia" w:ascii="宋体" w:hAnsi="宋体"/>
                <w:szCs w:val="21"/>
              </w:rPr>
              <w:t>资格性检查</w:t>
            </w:r>
          </w:p>
        </w:tc>
        <w:tc>
          <w:tcPr>
            <w:tcW w:w="3966" w:type="dxa"/>
            <w:noWrap w:val="0"/>
          </w:tcPr>
          <w:p w14:paraId="01851B96">
            <w:pPr>
              <w:jc w:val="center"/>
              <w:rPr>
                <w:rFonts w:ascii="宋体" w:hAnsi="宋体"/>
                <w:szCs w:val="21"/>
              </w:rPr>
            </w:pPr>
          </w:p>
        </w:tc>
        <w:tc>
          <w:tcPr>
            <w:tcW w:w="876" w:type="dxa"/>
            <w:noWrap w:val="0"/>
          </w:tcPr>
          <w:p w14:paraId="29B38B90">
            <w:pPr>
              <w:jc w:val="center"/>
              <w:rPr>
                <w:rFonts w:ascii="宋体" w:hAnsi="宋体"/>
                <w:szCs w:val="21"/>
              </w:rPr>
            </w:pPr>
          </w:p>
        </w:tc>
      </w:tr>
      <w:tr w14:paraId="4B657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11" w:type="dxa"/>
            <w:noWrap w:val="0"/>
          </w:tcPr>
          <w:p w14:paraId="58DD1B0C">
            <w:pPr>
              <w:jc w:val="center"/>
              <w:rPr>
                <w:rFonts w:ascii="宋体" w:hAnsi="宋体"/>
                <w:szCs w:val="21"/>
              </w:rPr>
            </w:pPr>
            <w:r>
              <w:rPr>
                <w:rFonts w:hint="eastAsia" w:ascii="宋体" w:hAnsi="宋体"/>
                <w:szCs w:val="21"/>
              </w:rPr>
              <w:t>符合性检查</w:t>
            </w:r>
          </w:p>
          <w:bookmarkEnd w:id="75"/>
          <w:bookmarkEnd w:id="76"/>
        </w:tc>
        <w:tc>
          <w:tcPr>
            <w:tcW w:w="3966" w:type="dxa"/>
            <w:noWrap w:val="0"/>
          </w:tcPr>
          <w:p w14:paraId="03DBA8CC">
            <w:pPr>
              <w:jc w:val="center"/>
              <w:rPr>
                <w:rFonts w:ascii="宋体" w:hAnsi="宋体"/>
                <w:szCs w:val="21"/>
              </w:rPr>
            </w:pPr>
          </w:p>
        </w:tc>
        <w:tc>
          <w:tcPr>
            <w:tcW w:w="876" w:type="dxa"/>
            <w:noWrap w:val="0"/>
          </w:tcPr>
          <w:p w14:paraId="4FD420FD">
            <w:pPr>
              <w:jc w:val="center"/>
              <w:rPr>
                <w:rFonts w:ascii="宋体" w:hAnsi="宋体"/>
                <w:szCs w:val="21"/>
              </w:rPr>
            </w:pPr>
          </w:p>
        </w:tc>
      </w:tr>
    </w:tbl>
    <w:p w14:paraId="7928A6F2">
      <w:pPr>
        <w:rPr>
          <w:rFonts w:ascii="宋体" w:hAnsi="宋体"/>
          <w:b/>
        </w:rPr>
      </w:pPr>
    </w:p>
    <w:p w14:paraId="4036D538">
      <w:pPr>
        <w:rPr>
          <w:rFonts w:ascii="宋体" w:hAnsi="宋体"/>
          <w:b/>
        </w:rPr>
      </w:pPr>
      <w:r>
        <w:rPr>
          <w:rFonts w:hint="eastAsia" w:ascii="宋体" w:hAnsi="宋体"/>
          <w:b/>
        </w:rPr>
        <w:t>标段一至标段四复审评审指标</w:t>
      </w:r>
    </w:p>
    <w:tbl>
      <w:tblPr>
        <w:tblStyle w:val="13"/>
        <w:tblW w:w="10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3"/>
        <w:gridCol w:w="1510"/>
        <w:gridCol w:w="6697"/>
        <w:gridCol w:w="802"/>
      </w:tblGrid>
      <w:tr w14:paraId="45157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noWrap w:val="0"/>
            <w:vAlign w:val="center"/>
          </w:tcPr>
          <w:p w14:paraId="73B6AB5E">
            <w:pPr>
              <w:spacing w:line="360" w:lineRule="auto"/>
              <w:jc w:val="center"/>
              <w:rPr>
                <w:rFonts w:ascii="宋体" w:hAnsi="宋体" w:cs="宋体"/>
                <w:color w:val="000000"/>
                <w:szCs w:val="21"/>
              </w:rPr>
            </w:pPr>
            <w:r>
              <w:rPr>
                <w:rFonts w:hint="eastAsia" w:ascii="宋体" w:hAnsi="宋体" w:cs="宋体"/>
                <w:color w:val="000000"/>
                <w:szCs w:val="21"/>
              </w:rPr>
              <w:t>评审类别</w:t>
            </w:r>
          </w:p>
        </w:tc>
        <w:tc>
          <w:tcPr>
            <w:tcW w:w="1510" w:type="dxa"/>
            <w:noWrap w:val="0"/>
            <w:vAlign w:val="center"/>
          </w:tcPr>
          <w:p w14:paraId="1025D89F">
            <w:pPr>
              <w:spacing w:line="360" w:lineRule="auto"/>
              <w:jc w:val="center"/>
              <w:rPr>
                <w:rFonts w:ascii="宋体" w:hAnsi="宋体" w:cs="宋体"/>
                <w:color w:val="000000"/>
                <w:szCs w:val="21"/>
              </w:rPr>
            </w:pPr>
            <w:r>
              <w:rPr>
                <w:rFonts w:hint="eastAsia" w:ascii="宋体" w:hAnsi="宋体" w:cs="宋体"/>
                <w:color w:val="000000"/>
                <w:szCs w:val="21"/>
              </w:rPr>
              <w:t>评审项</w:t>
            </w:r>
          </w:p>
        </w:tc>
        <w:tc>
          <w:tcPr>
            <w:tcW w:w="6697" w:type="dxa"/>
            <w:noWrap w:val="0"/>
            <w:vAlign w:val="center"/>
          </w:tcPr>
          <w:p w14:paraId="4403E501">
            <w:pPr>
              <w:spacing w:line="360" w:lineRule="auto"/>
              <w:jc w:val="center"/>
              <w:rPr>
                <w:rFonts w:ascii="宋体" w:hAnsi="宋体" w:cs="宋体"/>
                <w:color w:val="000000"/>
                <w:szCs w:val="21"/>
              </w:rPr>
            </w:pPr>
            <w:r>
              <w:rPr>
                <w:rFonts w:hint="eastAsia" w:ascii="宋体" w:hAnsi="宋体" w:cs="宋体"/>
                <w:color w:val="000000"/>
                <w:szCs w:val="21"/>
              </w:rPr>
              <w:t>评审规则</w:t>
            </w:r>
          </w:p>
        </w:tc>
        <w:tc>
          <w:tcPr>
            <w:tcW w:w="802" w:type="dxa"/>
            <w:noWrap w:val="0"/>
            <w:vAlign w:val="center"/>
          </w:tcPr>
          <w:p w14:paraId="18380B4B">
            <w:pPr>
              <w:spacing w:line="360" w:lineRule="auto"/>
              <w:jc w:val="center"/>
              <w:rPr>
                <w:rFonts w:ascii="宋体" w:hAnsi="宋体" w:cs="宋体"/>
                <w:color w:val="000000"/>
                <w:szCs w:val="21"/>
              </w:rPr>
            </w:pPr>
            <w:r>
              <w:rPr>
                <w:rFonts w:hint="eastAsia" w:ascii="宋体" w:hAnsi="宋体" w:cs="宋体"/>
                <w:color w:val="000000"/>
                <w:szCs w:val="21"/>
              </w:rPr>
              <w:t>分值</w:t>
            </w:r>
          </w:p>
        </w:tc>
      </w:tr>
      <w:tr w14:paraId="57B6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noWrap w:val="0"/>
            <w:vAlign w:val="center"/>
          </w:tcPr>
          <w:p w14:paraId="234189D2">
            <w:pPr>
              <w:spacing w:line="360" w:lineRule="auto"/>
              <w:jc w:val="center"/>
              <w:rPr>
                <w:rFonts w:ascii="宋体" w:hAnsi="宋体" w:cs="宋体"/>
                <w:color w:val="000000"/>
                <w:szCs w:val="21"/>
              </w:rPr>
            </w:pPr>
            <w:r>
              <w:rPr>
                <w:rFonts w:hint="eastAsia" w:ascii="宋体" w:hAnsi="宋体" w:cs="宋体"/>
                <w:color w:val="000000"/>
                <w:szCs w:val="21"/>
              </w:rPr>
              <w:t>价格10分</w:t>
            </w:r>
          </w:p>
        </w:tc>
        <w:tc>
          <w:tcPr>
            <w:tcW w:w="1510" w:type="dxa"/>
            <w:noWrap w:val="0"/>
            <w:vAlign w:val="center"/>
          </w:tcPr>
          <w:p w14:paraId="43B80772">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价格评审指标</w:t>
            </w:r>
          </w:p>
        </w:tc>
        <w:tc>
          <w:tcPr>
            <w:tcW w:w="6697" w:type="dxa"/>
            <w:noWrap w:val="0"/>
          </w:tcPr>
          <w:p w14:paraId="412C5E6C">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投标报价得分=（评标基准价/投标报价）*价格权值*100</w:t>
            </w:r>
          </w:p>
          <w:p w14:paraId="150C4C9F">
            <w:pPr>
              <w:pStyle w:val="7"/>
              <w:spacing w:line="320" w:lineRule="exact"/>
              <w:ind w:firstLine="0"/>
              <w:rPr>
                <w:rFonts w:ascii="宋体" w:hAnsi="宋体" w:eastAsia="宋体" w:cs="宋体"/>
                <w:color w:val="000000"/>
                <w:sz w:val="21"/>
                <w:szCs w:val="21"/>
              </w:rPr>
            </w:pPr>
            <w:r>
              <w:rPr>
                <w:rFonts w:hint="eastAsia" w:ascii="宋体" w:hAnsi="宋体" w:eastAsia="宋体" w:cs="宋体"/>
                <w:color w:val="000000"/>
                <w:sz w:val="21"/>
                <w:szCs w:val="21"/>
                <w:lang w:val="zh-CN"/>
              </w:rPr>
              <w:t>小数点后保留两位。</w:t>
            </w:r>
          </w:p>
        </w:tc>
        <w:tc>
          <w:tcPr>
            <w:tcW w:w="802" w:type="dxa"/>
            <w:noWrap w:val="0"/>
            <w:vAlign w:val="center"/>
          </w:tcPr>
          <w:p w14:paraId="7E68CC40">
            <w:pPr>
              <w:spacing w:line="360" w:lineRule="auto"/>
              <w:jc w:val="center"/>
              <w:rPr>
                <w:rFonts w:ascii="宋体" w:hAnsi="宋体" w:cs="宋体"/>
                <w:color w:val="000000"/>
                <w:szCs w:val="21"/>
              </w:rPr>
            </w:pPr>
            <w:r>
              <w:rPr>
                <w:rFonts w:hint="eastAsia" w:ascii="宋体" w:hAnsi="宋体" w:cs="宋体"/>
                <w:color w:val="000000"/>
                <w:szCs w:val="21"/>
              </w:rPr>
              <w:t>10</w:t>
            </w:r>
          </w:p>
        </w:tc>
      </w:tr>
      <w:tr w14:paraId="70391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restart"/>
            <w:noWrap w:val="0"/>
            <w:vAlign w:val="center"/>
          </w:tcPr>
          <w:p w14:paraId="1BF5A842">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技术及其他部分（90分）</w:t>
            </w:r>
          </w:p>
        </w:tc>
        <w:tc>
          <w:tcPr>
            <w:tcW w:w="1510" w:type="dxa"/>
            <w:noWrap w:val="0"/>
            <w:vAlign w:val="center"/>
          </w:tcPr>
          <w:p w14:paraId="68763D5A">
            <w:pPr>
              <w:widowControl/>
              <w:jc w:val="center"/>
              <w:rPr>
                <w:rFonts w:ascii="宋体" w:hAnsi="宋体" w:cs="宋体"/>
                <w:color w:val="000000"/>
                <w:szCs w:val="21"/>
              </w:rPr>
            </w:pPr>
            <w:r>
              <w:rPr>
                <w:rFonts w:hint="eastAsia" w:ascii="宋体" w:hAnsi="宋体" w:cs="宋体"/>
                <w:color w:val="000000"/>
                <w:szCs w:val="21"/>
              </w:rPr>
              <w:t>对项目的了解分析</w:t>
            </w:r>
          </w:p>
        </w:tc>
        <w:tc>
          <w:tcPr>
            <w:tcW w:w="6697" w:type="dxa"/>
            <w:noWrap w:val="0"/>
            <w:vAlign w:val="center"/>
          </w:tcPr>
          <w:p w14:paraId="4FC6564F">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对本项目的了解分析：</w:t>
            </w:r>
          </w:p>
          <w:p w14:paraId="13CC5A5F">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①项目实际情况分析，符合项目实际情况且详细完善得</w:t>
            </w:r>
            <w:r>
              <w:rPr>
                <w:rFonts w:hint="eastAsia" w:ascii="宋体" w:hAnsi="宋体" w:eastAsia="宋体" w:cs="宋体"/>
                <w:color w:val="000000"/>
                <w:sz w:val="21"/>
                <w:szCs w:val="21"/>
              </w:rPr>
              <w:t>5</w:t>
            </w:r>
            <w:r>
              <w:rPr>
                <w:rFonts w:hint="eastAsia" w:ascii="宋体" w:hAnsi="宋体" w:eastAsia="宋体" w:cs="宋体"/>
                <w:color w:val="000000"/>
                <w:sz w:val="21"/>
                <w:szCs w:val="21"/>
                <w:lang w:val="zh-CN"/>
              </w:rPr>
              <w:t>分；</w:t>
            </w:r>
          </w:p>
          <w:p w14:paraId="6014BA43">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②重难点分析，符合项目实际情况且详细完善得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p w14:paraId="51AB4D52">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③重难点解决应对措施，符合项目实际情况且详细完善得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p w14:paraId="7AB99C63">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④提供能体现专业特色和处置经验的合理化建议得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tc>
        <w:tc>
          <w:tcPr>
            <w:tcW w:w="802" w:type="dxa"/>
            <w:noWrap w:val="0"/>
            <w:vAlign w:val="center"/>
          </w:tcPr>
          <w:p w14:paraId="6BD81557">
            <w:pPr>
              <w:pStyle w:val="7"/>
              <w:spacing w:line="320" w:lineRule="exact"/>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17</w:t>
            </w:r>
          </w:p>
        </w:tc>
      </w:tr>
      <w:tr w14:paraId="071BD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7259303D">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2C54001A">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综合实施方案</w:t>
            </w:r>
          </w:p>
        </w:tc>
        <w:tc>
          <w:tcPr>
            <w:tcW w:w="6697" w:type="dxa"/>
            <w:noWrap w:val="0"/>
            <w:vAlign w:val="center"/>
          </w:tcPr>
          <w:p w14:paraId="38F0309E">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综合实施方案：</w:t>
            </w:r>
          </w:p>
          <w:p w14:paraId="33ED2261">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①孳生地调查方案，符合项目实际情况且详细完善得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p w14:paraId="29937F98">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②居民小区防制方案，符合项目实际情况且详细完善得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p w14:paraId="3E963C2C">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③农贸市场、大型商超外围防制方案，符合项目实际情况且详细完善得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p w14:paraId="2DFAA712">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④水体消杀方案，符合项目实际情况且详细完善得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p w14:paraId="7F713DB3">
            <w:pPr>
              <w:pStyle w:val="7"/>
              <w:spacing w:line="320" w:lineRule="exact"/>
              <w:ind w:firstLine="0"/>
              <w:rPr>
                <w:rFonts w:ascii="宋体" w:hAnsi="宋体" w:eastAsia="宋体" w:cs="宋体"/>
                <w:color w:val="000000"/>
                <w:sz w:val="21"/>
                <w:szCs w:val="21"/>
              </w:rPr>
            </w:pPr>
            <w:r>
              <w:rPr>
                <w:rFonts w:hint="eastAsia" w:ascii="宋体" w:hAnsi="宋体" w:eastAsia="宋体" w:cs="宋体"/>
                <w:color w:val="000000"/>
                <w:sz w:val="21"/>
                <w:szCs w:val="21"/>
                <w:lang w:val="zh-CN"/>
              </w:rPr>
              <w:t>⑤公共区域</w:t>
            </w:r>
            <w:r>
              <w:rPr>
                <w:rFonts w:hint="eastAsia" w:ascii="宋体" w:hAnsi="宋体" w:eastAsia="宋体" w:cs="宋体"/>
                <w:color w:val="000000"/>
                <w:sz w:val="21"/>
                <w:szCs w:val="21"/>
              </w:rPr>
              <w:t>等其他区域防制方案</w:t>
            </w:r>
            <w:r>
              <w:rPr>
                <w:rFonts w:hint="eastAsia" w:ascii="宋体" w:hAnsi="宋体" w:eastAsia="宋体" w:cs="宋体"/>
                <w:color w:val="000000"/>
                <w:sz w:val="21"/>
                <w:szCs w:val="21"/>
                <w:lang w:val="zh-CN"/>
              </w:rPr>
              <w:t>，符合项目实际情况且详细完善得</w:t>
            </w:r>
            <w:r>
              <w:rPr>
                <w:rFonts w:hint="eastAsia" w:ascii="宋体" w:hAnsi="宋体" w:eastAsia="宋体" w:cs="宋体"/>
                <w:color w:val="000000"/>
                <w:sz w:val="21"/>
                <w:szCs w:val="21"/>
              </w:rPr>
              <w:t>4</w:t>
            </w:r>
            <w:r>
              <w:rPr>
                <w:rFonts w:hint="eastAsia" w:ascii="宋体" w:hAnsi="宋体" w:eastAsia="宋体" w:cs="宋体"/>
                <w:color w:val="000000"/>
                <w:sz w:val="21"/>
                <w:szCs w:val="21"/>
                <w:lang w:val="zh-CN"/>
              </w:rPr>
              <w:t>分。</w:t>
            </w:r>
          </w:p>
        </w:tc>
        <w:tc>
          <w:tcPr>
            <w:tcW w:w="802" w:type="dxa"/>
            <w:noWrap w:val="0"/>
            <w:vAlign w:val="center"/>
          </w:tcPr>
          <w:p w14:paraId="5107B205">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20</w:t>
            </w:r>
          </w:p>
        </w:tc>
      </w:tr>
      <w:tr w14:paraId="52195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6FD5128E">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134B9A1F">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人员物资配置方案</w:t>
            </w:r>
          </w:p>
        </w:tc>
        <w:tc>
          <w:tcPr>
            <w:tcW w:w="6697" w:type="dxa"/>
            <w:noWrap w:val="0"/>
            <w:vAlign w:val="center"/>
          </w:tcPr>
          <w:p w14:paraId="0FB0B535">
            <w:pPr>
              <w:pStyle w:val="7"/>
              <w:spacing w:line="320" w:lineRule="exact"/>
              <w:ind w:firstLine="0"/>
              <w:rPr>
                <w:rFonts w:ascii="宋体" w:hAnsi="宋体" w:eastAsia="宋体" w:cs="宋体"/>
                <w:color w:val="000000"/>
                <w:sz w:val="21"/>
                <w:szCs w:val="21"/>
              </w:rPr>
            </w:pPr>
            <w:r>
              <w:rPr>
                <w:rFonts w:hint="eastAsia" w:ascii="宋体" w:hAnsi="宋体" w:eastAsia="宋体" w:cs="宋体"/>
                <w:color w:val="000000"/>
                <w:sz w:val="21"/>
                <w:szCs w:val="21"/>
              </w:rPr>
              <w:t>人员物资配置方案：</w:t>
            </w:r>
          </w:p>
          <w:p w14:paraId="5A72A8EA">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①人员配置方案，至少包括人员安排、岗位设置、岗位职责，符合项目实际情况且详细完善得</w:t>
            </w:r>
            <w:r>
              <w:rPr>
                <w:rFonts w:hint="eastAsia" w:ascii="宋体" w:hAnsi="宋体" w:eastAsia="宋体" w:cs="宋体"/>
                <w:color w:val="000000"/>
                <w:sz w:val="21"/>
                <w:szCs w:val="21"/>
              </w:rPr>
              <w:t>3</w:t>
            </w:r>
            <w:r>
              <w:rPr>
                <w:rFonts w:hint="eastAsia" w:ascii="宋体" w:hAnsi="宋体" w:eastAsia="宋体" w:cs="宋体"/>
                <w:color w:val="000000"/>
                <w:sz w:val="21"/>
                <w:szCs w:val="21"/>
                <w:lang w:val="zh-CN"/>
              </w:rPr>
              <w:t>分；</w:t>
            </w:r>
          </w:p>
          <w:p w14:paraId="0A842FED">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②人员培训方案，符合项目实际情况且详细完善</w:t>
            </w:r>
            <w:r>
              <w:rPr>
                <w:rFonts w:hint="eastAsia" w:ascii="宋体" w:hAnsi="宋体" w:eastAsia="宋体" w:cs="宋体"/>
                <w:color w:val="000000"/>
                <w:sz w:val="21"/>
                <w:szCs w:val="21"/>
              </w:rPr>
              <w:t>得3</w:t>
            </w:r>
            <w:r>
              <w:rPr>
                <w:rFonts w:hint="eastAsia" w:ascii="宋体" w:hAnsi="宋体" w:eastAsia="宋体" w:cs="宋体"/>
                <w:color w:val="000000"/>
                <w:sz w:val="21"/>
                <w:szCs w:val="21"/>
                <w:lang w:val="zh-CN"/>
              </w:rPr>
              <w:t>分；</w:t>
            </w:r>
          </w:p>
          <w:p w14:paraId="412F5CC0">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③工具物资配置及管理方案，符合项目实际情况且详细完善得</w:t>
            </w:r>
            <w:r>
              <w:rPr>
                <w:rFonts w:hint="eastAsia" w:ascii="宋体" w:hAnsi="宋体" w:eastAsia="宋体" w:cs="宋体"/>
                <w:color w:val="000000"/>
                <w:sz w:val="21"/>
                <w:szCs w:val="21"/>
              </w:rPr>
              <w:t>3</w:t>
            </w:r>
            <w:r>
              <w:rPr>
                <w:rFonts w:hint="eastAsia" w:ascii="宋体" w:hAnsi="宋体" w:eastAsia="宋体" w:cs="宋体"/>
                <w:color w:val="000000"/>
                <w:sz w:val="21"/>
                <w:szCs w:val="21"/>
                <w:lang w:val="zh-CN"/>
              </w:rPr>
              <w:t>分。</w:t>
            </w:r>
          </w:p>
        </w:tc>
        <w:tc>
          <w:tcPr>
            <w:tcW w:w="802" w:type="dxa"/>
            <w:noWrap w:val="0"/>
            <w:vAlign w:val="center"/>
          </w:tcPr>
          <w:p w14:paraId="164A7EFB">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r>
      <w:tr w14:paraId="1860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24C9A747">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3D6905C8">
            <w:pPr>
              <w:spacing w:line="320" w:lineRule="exact"/>
              <w:jc w:val="center"/>
              <w:rPr>
                <w:rFonts w:ascii="宋体" w:hAnsi="宋体" w:cs="宋体"/>
                <w:color w:val="000000"/>
                <w:szCs w:val="21"/>
              </w:rPr>
            </w:pPr>
            <w:r>
              <w:rPr>
                <w:rFonts w:hint="eastAsia" w:ascii="宋体" w:hAnsi="宋体" w:cs="宋体"/>
                <w:bCs/>
                <w:color w:val="000000"/>
                <w:szCs w:val="21"/>
              </w:rPr>
              <w:t>保障措施</w:t>
            </w:r>
          </w:p>
        </w:tc>
        <w:tc>
          <w:tcPr>
            <w:tcW w:w="6697" w:type="dxa"/>
            <w:noWrap w:val="0"/>
          </w:tcPr>
          <w:p w14:paraId="38526D87">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各项保障措施：</w:t>
            </w:r>
          </w:p>
          <w:p w14:paraId="770FE201">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①质量保障措施，符合项目实际情况且详细完善得</w:t>
            </w:r>
            <w:r>
              <w:rPr>
                <w:rFonts w:hint="eastAsia" w:ascii="宋体" w:hAnsi="宋体" w:eastAsia="宋体" w:cs="宋体"/>
                <w:color w:val="000000"/>
                <w:sz w:val="21"/>
                <w:szCs w:val="21"/>
              </w:rPr>
              <w:t>3</w:t>
            </w:r>
            <w:r>
              <w:rPr>
                <w:rFonts w:hint="eastAsia" w:ascii="宋体" w:hAnsi="宋体" w:eastAsia="宋体" w:cs="宋体"/>
                <w:color w:val="000000"/>
                <w:sz w:val="21"/>
                <w:szCs w:val="21"/>
                <w:lang w:val="zh-CN"/>
              </w:rPr>
              <w:t>分；</w:t>
            </w:r>
          </w:p>
          <w:p w14:paraId="1341C9EE">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②安全保障措施，符合项目实际情况且详细完善得</w:t>
            </w:r>
            <w:r>
              <w:rPr>
                <w:rFonts w:hint="eastAsia" w:ascii="宋体" w:hAnsi="宋体" w:eastAsia="宋体" w:cs="宋体"/>
                <w:color w:val="000000"/>
                <w:sz w:val="21"/>
                <w:szCs w:val="21"/>
              </w:rPr>
              <w:t>3</w:t>
            </w:r>
            <w:r>
              <w:rPr>
                <w:rFonts w:hint="eastAsia" w:ascii="宋体" w:hAnsi="宋体" w:eastAsia="宋体" w:cs="宋体"/>
                <w:color w:val="000000"/>
                <w:sz w:val="21"/>
                <w:szCs w:val="21"/>
                <w:lang w:val="zh-CN"/>
              </w:rPr>
              <w:t>分；</w:t>
            </w:r>
          </w:p>
          <w:p w14:paraId="2E13CED4">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③突发紧急状况的应急措施，符合项目实际情况且详细完善得</w:t>
            </w:r>
            <w:r>
              <w:rPr>
                <w:rFonts w:hint="eastAsia" w:ascii="宋体" w:hAnsi="宋体" w:eastAsia="宋体" w:cs="宋体"/>
                <w:color w:val="000000"/>
                <w:sz w:val="21"/>
                <w:szCs w:val="21"/>
              </w:rPr>
              <w:t>3</w:t>
            </w:r>
            <w:r>
              <w:rPr>
                <w:rFonts w:hint="eastAsia" w:ascii="宋体" w:hAnsi="宋体" w:eastAsia="宋体" w:cs="宋体"/>
                <w:color w:val="000000"/>
                <w:sz w:val="21"/>
                <w:szCs w:val="21"/>
                <w:lang w:val="zh-CN"/>
              </w:rPr>
              <w:t>分。</w:t>
            </w:r>
          </w:p>
        </w:tc>
        <w:tc>
          <w:tcPr>
            <w:tcW w:w="802" w:type="dxa"/>
            <w:noWrap w:val="0"/>
            <w:vAlign w:val="center"/>
          </w:tcPr>
          <w:p w14:paraId="012CA647">
            <w:pPr>
              <w:spacing w:line="320" w:lineRule="exact"/>
              <w:jc w:val="center"/>
              <w:rPr>
                <w:rFonts w:ascii="宋体" w:hAnsi="宋体" w:cs="宋体"/>
                <w:color w:val="000000"/>
                <w:szCs w:val="21"/>
              </w:rPr>
            </w:pPr>
            <w:r>
              <w:rPr>
                <w:rFonts w:hint="eastAsia" w:ascii="宋体" w:hAnsi="宋体" w:cs="宋体"/>
                <w:bCs/>
                <w:color w:val="000000"/>
                <w:szCs w:val="21"/>
              </w:rPr>
              <w:t>9</w:t>
            </w:r>
          </w:p>
        </w:tc>
      </w:tr>
      <w:tr w14:paraId="1FA8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493B2CA8">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6840FE79">
            <w:pPr>
              <w:jc w:val="center"/>
              <w:rPr>
                <w:rFonts w:ascii="宋体" w:hAnsi="宋体" w:cs="宋体"/>
                <w:color w:val="000000"/>
                <w:szCs w:val="21"/>
              </w:rPr>
            </w:pPr>
            <w:r>
              <w:rPr>
                <w:rFonts w:hint="eastAsia" w:ascii="宋体" w:hAnsi="宋体" w:cs="宋体"/>
                <w:bCs/>
                <w:color w:val="000000"/>
                <w:szCs w:val="21"/>
              </w:rPr>
              <w:t>管理制度</w:t>
            </w:r>
          </w:p>
        </w:tc>
        <w:tc>
          <w:tcPr>
            <w:tcW w:w="6697" w:type="dxa"/>
            <w:noWrap w:val="0"/>
            <w:vAlign w:val="center"/>
          </w:tcPr>
          <w:p w14:paraId="2F18616D">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管理制度：</w:t>
            </w:r>
          </w:p>
          <w:p w14:paraId="5758AA12">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①人员管理制度，符合项目实际情况且详细完善得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p w14:paraId="1BC98C5E">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②工具物资管理制度，符合项目实际情况且详细完善得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p w14:paraId="7312499B">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③服务质量管理制度，符合项目实际情况且详细完善得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p w14:paraId="7C91D8A2">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④安全管理制度，符合项目实际情况且详细完善得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p w14:paraId="64E5A7BD">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⑤奖惩考核制度，符合项目实际情况且详细完善得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p w14:paraId="02B4F3E9">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⑥档案管理制度，符合项目实际情况且详细完善得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p w14:paraId="35E9B2A8">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⑦考勤管理制度，符合项目实际情况且详细完善得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p w14:paraId="7FF3DE40">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⑧财务管理制度，符合项目实际情况且详细完善得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p>
        </w:tc>
        <w:tc>
          <w:tcPr>
            <w:tcW w:w="802" w:type="dxa"/>
            <w:noWrap w:val="0"/>
            <w:vAlign w:val="center"/>
          </w:tcPr>
          <w:p w14:paraId="7834BF0A">
            <w:pPr>
              <w:pStyle w:val="7"/>
              <w:spacing w:line="320" w:lineRule="exact"/>
              <w:ind w:firstLine="0"/>
              <w:jc w:val="center"/>
              <w:rPr>
                <w:rFonts w:ascii="宋体" w:hAnsi="宋体" w:eastAsia="宋体" w:cs="宋体"/>
                <w:color w:val="000000"/>
                <w:sz w:val="21"/>
                <w:szCs w:val="21"/>
                <w:lang w:val="zh-CN"/>
              </w:rPr>
            </w:pPr>
            <w:r>
              <w:rPr>
                <w:rFonts w:hint="eastAsia" w:ascii="宋体" w:hAnsi="宋体" w:eastAsia="宋体" w:cs="宋体"/>
                <w:color w:val="000000"/>
                <w:sz w:val="21"/>
                <w:szCs w:val="21"/>
              </w:rPr>
              <w:t>16</w:t>
            </w:r>
          </w:p>
        </w:tc>
      </w:tr>
      <w:tr w14:paraId="4AA25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242FA92C">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2BFE1411">
            <w:pPr>
              <w:jc w:val="center"/>
              <w:rPr>
                <w:rFonts w:ascii="宋体" w:hAnsi="宋体" w:cs="宋体"/>
                <w:bCs/>
                <w:color w:val="000000"/>
                <w:szCs w:val="21"/>
              </w:rPr>
            </w:pPr>
            <w:r>
              <w:rPr>
                <w:rFonts w:hint="eastAsia" w:ascii="宋体" w:hAnsi="宋体" w:cs="宋体"/>
                <w:color w:val="000000"/>
                <w:szCs w:val="21"/>
              </w:rPr>
              <w:t>▲响应能力</w:t>
            </w:r>
          </w:p>
        </w:tc>
        <w:tc>
          <w:tcPr>
            <w:tcW w:w="6697" w:type="dxa"/>
            <w:noWrap w:val="0"/>
            <w:vAlign w:val="center"/>
          </w:tcPr>
          <w:p w14:paraId="68A24136">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投标人具有项目服务地病媒生物预防控制服务机构备案证书或承诺中标后</w:t>
            </w:r>
            <w:r>
              <w:rPr>
                <w:rFonts w:hint="eastAsia" w:ascii="宋体" w:hAnsi="宋体" w:eastAsia="宋体" w:cs="宋体"/>
                <w:color w:val="000000"/>
                <w:sz w:val="21"/>
                <w:szCs w:val="21"/>
              </w:rPr>
              <w:t>2个月内</w:t>
            </w:r>
            <w:r>
              <w:rPr>
                <w:rFonts w:hint="eastAsia" w:ascii="宋体" w:hAnsi="宋体" w:eastAsia="宋体" w:cs="宋体"/>
                <w:color w:val="000000"/>
                <w:sz w:val="21"/>
                <w:szCs w:val="21"/>
                <w:lang w:val="zh-CN"/>
              </w:rPr>
              <w:t>办理的（</w:t>
            </w:r>
            <w:r>
              <w:rPr>
                <w:rFonts w:hint="eastAsia" w:ascii="宋体" w:hAnsi="宋体" w:eastAsia="宋体" w:cs="宋体"/>
                <w:color w:val="000000"/>
                <w:sz w:val="21"/>
                <w:szCs w:val="21"/>
              </w:rPr>
              <w:t>如不能履行承诺的，招标人有权在未完成承诺的考核月中扣除考核得分15分</w:t>
            </w:r>
            <w:r>
              <w:rPr>
                <w:rFonts w:hint="eastAsia" w:ascii="宋体" w:hAnsi="宋体" w:eastAsia="宋体" w:cs="宋体"/>
                <w:color w:val="000000"/>
                <w:sz w:val="21"/>
                <w:szCs w:val="21"/>
                <w:lang w:val="zh-CN"/>
              </w:rPr>
              <w:t>），1分。</w:t>
            </w:r>
          </w:p>
          <w:p w14:paraId="0A9B8AB2">
            <w:pPr>
              <w:pStyle w:val="7"/>
              <w:spacing w:line="320" w:lineRule="exact"/>
              <w:ind w:firstLine="0"/>
              <w:rPr>
                <w:rFonts w:ascii="宋体" w:hAnsi="宋体" w:eastAsia="宋体" w:cs="宋体"/>
                <w:color w:val="000000"/>
                <w:sz w:val="21"/>
                <w:szCs w:val="21"/>
                <w:lang w:val="zh-CN"/>
              </w:rPr>
            </w:pPr>
            <w:r>
              <w:rPr>
                <w:rFonts w:hint="eastAsia" w:ascii="宋体" w:hAnsi="宋体" w:eastAsia="宋体" w:cs="宋体"/>
                <w:color w:val="000000"/>
                <w:sz w:val="21"/>
                <w:szCs w:val="21"/>
                <w:lang w:val="zh-CN"/>
              </w:rPr>
              <w:t>注：</w:t>
            </w:r>
            <w:r>
              <w:rPr>
                <w:rFonts w:hint="eastAsia" w:ascii="宋体" w:hAnsi="宋体" w:eastAsia="宋体" w:cs="宋体"/>
                <w:color w:val="000000"/>
                <w:sz w:val="21"/>
                <w:szCs w:val="21"/>
              </w:rPr>
              <w:t>提供备案证书或承诺函。</w:t>
            </w:r>
          </w:p>
        </w:tc>
        <w:tc>
          <w:tcPr>
            <w:tcW w:w="802" w:type="dxa"/>
            <w:noWrap w:val="0"/>
            <w:vAlign w:val="center"/>
          </w:tcPr>
          <w:p w14:paraId="5669EE96">
            <w:pPr>
              <w:pStyle w:val="7"/>
              <w:spacing w:line="320" w:lineRule="exact"/>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r>
      <w:tr w14:paraId="1E2F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3" w:type="dxa"/>
            <w:vMerge w:val="continue"/>
            <w:noWrap w:val="0"/>
            <w:vAlign w:val="center"/>
          </w:tcPr>
          <w:p w14:paraId="2B3F7FBF">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05EB7BB8">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▲项目负责人</w:t>
            </w:r>
          </w:p>
        </w:tc>
        <w:tc>
          <w:tcPr>
            <w:tcW w:w="6697" w:type="dxa"/>
            <w:noWrap w:val="0"/>
          </w:tcPr>
          <w:p w14:paraId="4A7BBF6F">
            <w:pPr>
              <w:pStyle w:val="7"/>
              <w:spacing w:line="300" w:lineRule="exact"/>
              <w:ind w:firstLine="0"/>
              <w:jc w:val="both"/>
              <w:rPr>
                <w:rFonts w:ascii="宋体" w:hAnsi="宋体" w:eastAsia="宋体" w:cs="宋体"/>
                <w:color w:val="000000"/>
                <w:sz w:val="21"/>
                <w:szCs w:val="21"/>
              </w:rPr>
            </w:pPr>
            <w:r>
              <w:rPr>
                <w:rFonts w:hint="eastAsia" w:ascii="宋体" w:hAnsi="宋体" w:eastAsia="宋体" w:cs="宋体"/>
                <w:color w:val="000000"/>
                <w:sz w:val="21"/>
                <w:szCs w:val="21"/>
                <w:lang w:val="zh-CN"/>
              </w:rPr>
              <w:t>项目负责人具有有害生物防制员技术岗位证书，</w:t>
            </w:r>
            <w:r>
              <w:rPr>
                <w:rFonts w:hint="eastAsia" w:ascii="宋体" w:hAnsi="宋体" w:eastAsia="宋体" w:cs="宋体"/>
                <w:color w:val="000000"/>
                <w:sz w:val="21"/>
                <w:szCs w:val="21"/>
              </w:rPr>
              <w:t>中级得1分，高级得2分。</w:t>
            </w:r>
          </w:p>
          <w:p w14:paraId="6B37744E">
            <w:pPr>
              <w:rPr>
                <w:rFonts w:ascii="宋体" w:hAnsi="宋体" w:cs="宋体"/>
                <w:color w:val="000000"/>
                <w:szCs w:val="21"/>
              </w:rPr>
            </w:pPr>
            <w:r>
              <w:rPr>
                <w:rFonts w:hint="eastAsia" w:ascii="宋体" w:hAnsi="宋体" w:cs="宋体"/>
                <w:color w:val="000000"/>
                <w:szCs w:val="21"/>
                <w:lang w:val="zh-CN"/>
              </w:rPr>
              <w:t>注：</w:t>
            </w:r>
            <w:r>
              <w:rPr>
                <w:rFonts w:hint="eastAsia" w:ascii="宋体" w:hAnsi="宋体" w:cs="宋体"/>
                <w:color w:val="000000"/>
                <w:szCs w:val="21"/>
              </w:rPr>
              <w:t>提供①有效证书扫描件、网站查询截图及网址路径；②投标人近期为其缴纳社保的证明（加盖社保中心红章的扫描件）。</w:t>
            </w:r>
          </w:p>
        </w:tc>
        <w:tc>
          <w:tcPr>
            <w:tcW w:w="802" w:type="dxa"/>
            <w:noWrap w:val="0"/>
            <w:vAlign w:val="center"/>
          </w:tcPr>
          <w:p w14:paraId="6A99E207">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r>
      <w:tr w14:paraId="1305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174FAE9F">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566D04F1">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b/>
                <w:bCs/>
                <w:color w:val="000000"/>
                <w:szCs w:val="21"/>
              </w:rPr>
              <w:t>▲</w:t>
            </w:r>
            <w:r>
              <w:rPr>
                <w:rFonts w:hint="eastAsia" w:ascii="宋体" w:hAnsi="宋体" w:eastAsia="宋体" w:cs="宋体"/>
                <w:color w:val="000000"/>
                <w:sz w:val="21"/>
                <w:szCs w:val="21"/>
              </w:rPr>
              <w:t>项目组人员</w:t>
            </w:r>
          </w:p>
        </w:tc>
        <w:tc>
          <w:tcPr>
            <w:tcW w:w="6697" w:type="dxa"/>
            <w:noWrap w:val="0"/>
          </w:tcPr>
          <w:p w14:paraId="49CF3357">
            <w:pPr>
              <w:pStyle w:val="7"/>
              <w:spacing w:line="300" w:lineRule="exact"/>
              <w:ind w:firstLine="0"/>
              <w:jc w:val="both"/>
              <w:rPr>
                <w:rFonts w:ascii="宋体" w:hAnsi="宋体" w:eastAsia="宋体" w:cs="宋体"/>
                <w:color w:val="000000"/>
                <w:sz w:val="21"/>
                <w:szCs w:val="21"/>
              </w:rPr>
            </w:pPr>
            <w:r>
              <w:rPr>
                <w:rFonts w:hint="eastAsia" w:ascii="宋体" w:hAnsi="宋体" w:eastAsia="宋体" w:cs="宋体"/>
                <w:color w:val="000000"/>
                <w:sz w:val="21"/>
                <w:szCs w:val="21"/>
              </w:rPr>
              <w:t>项目组人员（不含项目负责人）具有</w:t>
            </w:r>
            <w:r>
              <w:rPr>
                <w:rFonts w:hint="eastAsia" w:ascii="宋体" w:hAnsi="宋体" w:eastAsia="宋体" w:cs="宋体"/>
                <w:color w:val="000000"/>
                <w:sz w:val="21"/>
                <w:szCs w:val="21"/>
                <w:lang w:val="zh-CN"/>
              </w:rPr>
              <w:t>有害生物防制员技术岗位证书，</w:t>
            </w:r>
            <w:r>
              <w:rPr>
                <w:rFonts w:hint="eastAsia" w:ascii="宋体" w:hAnsi="宋体" w:eastAsia="宋体" w:cs="宋体"/>
                <w:color w:val="000000"/>
                <w:sz w:val="21"/>
                <w:szCs w:val="21"/>
              </w:rPr>
              <w:t>每有一人得1分，最高9分。</w:t>
            </w:r>
          </w:p>
          <w:p w14:paraId="791D5803">
            <w:pPr>
              <w:pStyle w:val="7"/>
              <w:spacing w:line="300" w:lineRule="exact"/>
              <w:ind w:firstLine="0"/>
              <w:jc w:val="both"/>
              <w:rPr>
                <w:rFonts w:ascii="宋体" w:hAnsi="宋体" w:eastAsia="宋体" w:cs="宋体"/>
                <w:color w:val="000000"/>
              </w:rPr>
            </w:pPr>
            <w:r>
              <w:rPr>
                <w:rFonts w:hint="eastAsia" w:ascii="宋体" w:hAnsi="宋体" w:eastAsia="宋体" w:cs="宋体"/>
                <w:color w:val="000000"/>
                <w:sz w:val="21"/>
                <w:szCs w:val="21"/>
                <w:lang w:val="zh-CN"/>
              </w:rPr>
              <w:t>注：</w:t>
            </w:r>
            <w:r>
              <w:rPr>
                <w:rFonts w:hint="eastAsia" w:ascii="宋体" w:hAnsi="宋体" w:eastAsia="宋体" w:cs="宋体"/>
                <w:color w:val="000000"/>
                <w:sz w:val="21"/>
                <w:szCs w:val="21"/>
              </w:rPr>
              <w:t>提供①有效证书扫描件、网站查询截图及网址路径；②投标人近三个月为其缴纳社保的证明（加盖社保中心红章的扫描件）。</w:t>
            </w:r>
          </w:p>
        </w:tc>
        <w:tc>
          <w:tcPr>
            <w:tcW w:w="802" w:type="dxa"/>
            <w:noWrap w:val="0"/>
            <w:vAlign w:val="center"/>
          </w:tcPr>
          <w:p w14:paraId="3252E392">
            <w:pPr>
              <w:pStyle w:val="7"/>
              <w:spacing w:line="360" w:lineRule="auto"/>
              <w:ind w:firstLine="0"/>
              <w:jc w:val="center"/>
              <w:rPr>
                <w:rFonts w:ascii="宋体" w:hAnsi="宋体" w:eastAsia="宋体" w:cs="宋体"/>
                <w:color w:val="000000"/>
                <w:sz w:val="21"/>
                <w:szCs w:val="21"/>
              </w:rPr>
            </w:pPr>
            <w:r>
              <w:rPr>
                <w:rFonts w:hint="eastAsia" w:ascii="宋体" w:hAnsi="宋体" w:eastAsia="宋体" w:cs="宋体"/>
                <w:color w:val="000000"/>
                <w:sz w:val="21"/>
                <w:szCs w:val="21"/>
              </w:rPr>
              <w:t>9</w:t>
            </w:r>
          </w:p>
        </w:tc>
      </w:tr>
      <w:tr w14:paraId="48086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1759DC6F">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24095A81">
            <w:pPr>
              <w:jc w:val="center"/>
              <w:rPr>
                <w:rFonts w:ascii="宋体" w:hAnsi="宋体" w:cs="宋体"/>
                <w:color w:val="000000"/>
                <w:szCs w:val="21"/>
              </w:rPr>
            </w:pPr>
            <w:r>
              <w:rPr>
                <w:rFonts w:hint="eastAsia" w:ascii="宋体" w:hAnsi="宋体" w:cs="宋体"/>
                <w:b/>
                <w:bCs/>
                <w:color w:val="000000"/>
                <w:szCs w:val="21"/>
              </w:rPr>
              <w:t>▲</w:t>
            </w:r>
            <w:r>
              <w:rPr>
                <w:rFonts w:hint="eastAsia" w:ascii="宋体" w:hAnsi="宋体" w:cs="宋体"/>
                <w:color w:val="000000"/>
                <w:szCs w:val="21"/>
              </w:rPr>
              <w:t>体系认证</w:t>
            </w:r>
          </w:p>
        </w:tc>
        <w:tc>
          <w:tcPr>
            <w:tcW w:w="6697" w:type="dxa"/>
            <w:noWrap w:val="0"/>
            <w:vAlign w:val="center"/>
          </w:tcPr>
          <w:p w14:paraId="4CF03B22">
            <w:pPr>
              <w:rPr>
                <w:rFonts w:ascii="宋体" w:hAnsi="宋体" w:cs="宋体"/>
                <w:color w:val="000000"/>
                <w:szCs w:val="21"/>
              </w:rPr>
            </w:pPr>
            <w:r>
              <w:rPr>
                <w:rFonts w:hint="eastAsia" w:ascii="宋体" w:hAnsi="宋体" w:cs="宋体"/>
                <w:color w:val="000000"/>
                <w:szCs w:val="21"/>
              </w:rPr>
              <w:t>投标人具有质量管理体系认证证书、环境管理体系认证证书、职业健康安全管理体系认证证书，认证范围须涵盖本项目服务内容，每提供一个得1分，最高3分。</w:t>
            </w:r>
          </w:p>
          <w:p w14:paraId="56CC6779">
            <w:pPr>
              <w:rPr>
                <w:rFonts w:ascii="宋体" w:hAnsi="宋体" w:cs="宋体"/>
                <w:color w:val="000000"/>
                <w:szCs w:val="21"/>
              </w:rPr>
            </w:pPr>
            <w:r>
              <w:rPr>
                <w:rFonts w:hint="eastAsia" w:ascii="宋体" w:hAnsi="宋体" w:cs="宋体"/>
                <w:color w:val="000000"/>
                <w:szCs w:val="21"/>
                <w:lang w:val="zh-CN"/>
              </w:rPr>
              <w:t>注：</w:t>
            </w:r>
            <w:r>
              <w:rPr>
                <w:rFonts w:hint="eastAsia" w:ascii="宋体" w:hAnsi="宋体" w:cs="宋体"/>
                <w:color w:val="000000"/>
                <w:szCs w:val="21"/>
              </w:rPr>
              <w:t>提供有效证书及国家认证监督委员会官网查询截图。</w:t>
            </w:r>
          </w:p>
        </w:tc>
        <w:tc>
          <w:tcPr>
            <w:tcW w:w="802" w:type="dxa"/>
            <w:noWrap w:val="0"/>
            <w:vAlign w:val="center"/>
          </w:tcPr>
          <w:p w14:paraId="533242B1">
            <w:pPr>
              <w:jc w:val="center"/>
              <w:rPr>
                <w:rFonts w:ascii="宋体" w:hAnsi="宋体" w:cs="宋体"/>
                <w:color w:val="000000"/>
                <w:szCs w:val="21"/>
              </w:rPr>
            </w:pPr>
            <w:r>
              <w:rPr>
                <w:rFonts w:hint="eastAsia" w:ascii="宋体" w:hAnsi="宋体" w:cs="宋体"/>
                <w:color w:val="000000"/>
                <w:szCs w:val="21"/>
              </w:rPr>
              <w:t>3</w:t>
            </w:r>
          </w:p>
        </w:tc>
      </w:tr>
      <w:tr w14:paraId="65ABB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153" w:type="dxa"/>
            <w:vMerge w:val="continue"/>
            <w:noWrap w:val="0"/>
            <w:vAlign w:val="center"/>
          </w:tcPr>
          <w:p w14:paraId="25350C21">
            <w:pPr>
              <w:pStyle w:val="7"/>
              <w:spacing w:line="360" w:lineRule="auto"/>
              <w:ind w:firstLine="0"/>
              <w:jc w:val="center"/>
              <w:rPr>
                <w:rFonts w:ascii="宋体" w:hAnsi="宋体" w:eastAsia="宋体" w:cs="宋体"/>
                <w:color w:val="000000"/>
                <w:sz w:val="21"/>
                <w:szCs w:val="21"/>
              </w:rPr>
            </w:pPr>
          </w:p>
        </w:tc>
        <w:tc>
          <w:tcPr>
            <w:tcW w:w="1510" w:type="dxa"/>
            <w:noWrap w:val="0"/>
            <w:vAlign w:val="center"/>
          </w:tcPr>
          <w:p w14:paraId="4EE8DD52">
            <w:pPr>
              <w:pStyle w:val="7"/>
              <w:spacing w:line="360" w:lineRule="auto"/>
              <w:ind w:firstLine="0"/>
              <w:jc w:val="center"/>
              <w:rPr>
                <w:rFonts w:ascii="宋体" w:hAnsi="宋体" w:eastAsia="宋体" w:cs="宋体"/>
                <w:color w:val="000000"/>
                <w:szCs w:val="21"/>
              </w:rPr>
            </w:pPr>
            <w:r>
              <w:rPr>
                <w:rFonts w:hint="eastAsia" w:ascii="宋体" w:hAnsi="宋体" w:eastAsia="宋体" w:cs="宋体"/>
                <w:b/>
                <w:bCs/>
                <w:color w:val="000000"/>
                <w:sz w:val="21"/>
                <w:szCs w:val="21"/>
              </w:rPr>
              <w:t>▲</w:t>
            </w:r>
            <w:r>
              <w:rPr>
                <w:rFonts w:hint="eastAsia" w:ascii="宋体" w:hAnsi="宋体" w:eastAsia="宋体" w:cs="宋体"/>
                <w:color w:val="000000"/>
                <w:sz w:val="21"/>
                <w:szCs w:val="21"/>
              </w:rPr>
              <w:t>类似业绩</w:t>
            </w:r>
          </w:p>
        </w:tc>
        <w:tc>
          <w:tcPr>
            <w:tcW w:w="6697" w:type="dxa"/>
            <w:noWrap w:val="0"/>
          </w:tcPr>
          <w:p w14:paraId="0F1D32BF">
            <w:pPr>
              <w:pStyle w:val="7"/>
              <w:spacing w:line="300" w:lineRule="exact"/>
              <w:ind w:firstLine="0"/>
              <w:jc w:val="both"/>
              <w:rPr>
                <w:rFonts w:ascii="宋体" w:hAnsi="宋体" w:eastAsia="宋体" w:cs="宋体"/>
                <w:color w:val="000000"/>
                <w:sz w:val="21"/>
                <w:szCs w:val="21"/>
              </w:rPr>
            </w:pPr>
            <w:r>
              <w:rPr>
                <w:rFonts w:hint="eastAsia" w:ascii="宋体" w:hAnsi="宋体" w:eastAsia="宋体" w:cs="宋体"/>
                <w:color w:val="000000"/>
                <w:sz w:val="21"/>
                <w:szCs w:val="21"/>
              </w:rPr>
              <w:t xml:space="preserve">投标人2023年1月1日至今（以合同签订时间为准）承接过类似服务项目的，每有一个得1分，最高4分。 </w:t>
            </w:r>
          </w:p>
          <w:p w14:paraId="29A5A44E">
            <w:pPr>
              <w:pStyle w:val="7"/>
              <w:spacing w:line="300" w:lineRule="exact"/>
              <w:ind w:firstLine="0"/>
              <w:jc w:val="both"/>
              <w:rPr>
                <w:rFonts w:ascii="宋体" w:hAnsi="宋体" w:eastAsia="宋体" w:cs="宋体"/>
                <w:b/>
                <w:bCs/>
                <w:color w:val="000000"/>
                <w:szCs w:val="21"/>
              </w:rPr>
            </w:pPr>
            <w:r>
              <w:rPr>
                <w:rFonts w:hint="eastAsia" w:ascii="宋体" w:hAnsi="宋体" w:eastAsia="宋体" w:cs="宋体"/>
                <w:color w:val="000000"/>
                <w:sz w:val="21"/>
                <w:szCs w:val="21"/>
                <w:lang w:val="zh-CN"/>
              </w:rPr>
              <w:t>注：</w:t>
            </w:r>
            <w:r>
              <w:rPr>
                <w:rFonts w:hint="eastAsia" w:ascii="宋体" w:hAnsi="宋体" w:eastAsia="宋体" w:cs="宋体"/>
                <w:color w:val="000000"/>
                <w:sz w:val="21"/>
                <w:szCs w:val="21"/>
              </w:rPr>
              <w:t>提供有效的项目合同及发票复印件并加盖公章。</w:t>
            </w:r>
          </w:p>
        </w:tc>
        <w:tc>
          <w:tcPr>
            <w:tcW w:w="802" w:type="dxa"/>
            <w:noWrap w:val="0"/>
            <w:vAlign w:val="center"/>
          </w:tcPr>
          <w:p w14:paraId="4BAEBB06">
            <w:pPr>
              <w:pStyle w:val="7"/>
              <w:spacing w:line="360" w:lineRule="auto"/>
              <w:ind w:firstLine="0"/>
              <w:jc w:val="center"/>
              <w:rPr>
                <w:rFonts w:ascii="宋体" w:hAnsi="宋体" w:eastAsia="宋体" w:cs="宋体"/>
                <w:color w:val="000000"/>
                <w:szCs w:val="21"/>
              </w:rPr>
            </w:pPr>
            <w:r>
              <w:rPr>
                <w:rFonts w:hint="eastAsia" w:ascii="宋体" w:hAnsi="宋体" w:eastAsia="宋体" w:cs="宋体"/>
                <w:color w:val="000000"/>
                <w:sz w:val="21"/>
                <w:szCs w:val="21"/>
              </w:rPr>
              <w:t>4</w:t>
            </w:r>
          </w:p>
        </w:tc>
      </w:tr>
    </w:tbl>
    <w:p w14:paraId="721DB8E9">
      <w:pPr>
        <w:spacing w:line="360" w:lineRule="auto"/>
        <w:rPr>
          <w:rFonts w:ascii="宋体" w:hAnsi="宋体"/>
          <w:b/>
          <w:szCs w:val="21"/>
        </w:rPr>
      </w:pPr>
    </w:p>
    <w:p w14:paraId="597A04D6">
      <w:pPr>
        <w:spacing w:line="360" w:lineRule="auto"/>
        <w:rPr>
          <w:rFonts w:ascii="宋体" w:hAnsi="宋体"/>
          <w:b/>
          <w:szCs w:val="21"/>
        </w:rPr>
      </w:pPr>
      <w:r>
        <w:rPr>
          <w:rFonts w:hint="eastAsia" w:ascii="宋体" w:hAnsi="宋体"/>
          <w:b/>
          <w:szCs w:val="21"/>
        </w:rPr>
        <w:t>备注：</w:t>
      </w:r>
    </w:p>
    <w:p w14:paraId="5A236411">
      <w:pPr>
        <w:pStyle w:val="24"/>
        <w:ind w:firstLine="0"/>
        <w:rPr>
          <w:rFonts w:ascii="宋体" w:hAnsi="宋体"/>
          <w:b/>
          <w:sz w:val="21"/>
          <w:szCs w:val="21"/>
        </w:rPr>
      </w:pPr>
      <w:r>
        <w:rPr>
          <w:rFonts w:hint="eastAsia" w:ascii="宋体" w:hAnsi="宋体"/>
          <w:b/>
          <w:sz w:val="21"/>
          <w:szCs w:val="21"/>
        </w:rPr>
        <w:t>1.为确保货物、服务质量，投标单位技术部分的分值低于75%的视为无效投标。</w:t>
      </w:r>
    </w:p>
    <w:p w14:paraId="2F3F0A6B">
      <w:pPr>
        <w:spacing w:line="360" w:lineRule="auto"/>
        <w:rPr>
          <w:rFonts w:ascii="宋体" w:hAnsi="宋体"/>
          <w:b/>
          <w:szCs w:val="21"/>
        </w:rPr>
      </w:pPr>
      <w:r>
        <w:rPr>
          <w:rFonts w:ascii="宋体" w:hAnsi="宋体"/>
          <w:b/>
          <w:szCs w:val="21"/>
        </w:rPr>
        <w:t>2</w:t>
      </w:r>
      <w:r>
        <w:rPr>
          <w:rFonts w:hint="eastAsia" w:ascii="宋体" w:hAnsi="宋体"/>
          <w:b/>
          <w:szCs w:val="21"/>
        </w:rPr>
        <w:t>.涉及评审的资料均需电子件形式上传，本项目不收取纸质投标文件及相关原件等纸质材料，仅以投标单位提供的电子投标文件为准。</w:t>
      </w:r>
    </w:p>
    <w:p w14:paraId="2194045E">
      <w:pPr>
        <w:spacing w:line="360" w:lineRule="auto"/>
        <w:rPr>
          <w:rFonts w:ascii="宋体" w:hAnsi="宋体"/>
          <w:b/>
          <w:szCs w:val="21"/>
        </w:rPr>
      </w:pPr>
      <w:r>
        <w:rPr>
          <w:rFonts w:ascii="宋体" w:hAnsi="宋体"/>
          <w:b/>
          <w:szCs w:val="21"/>
        </w:rPr>
        <w:t>3.</w:t>
      </w:r>
      <w:r>
        <w:rPr>
          <w:rFonts w:hint="eastAsia" w:ascii="宋体" w:hAnsi="宋体"/>
          <w:b/>
          <w:szCs w:val="21"/>
        </w:rPr>
        <w:t>各投标单位必须通过“苏采云”进行该项目网上电子投标，否则视为无效投标.</w:t>
      </w:r>
    </w:p>
    <w:p w14:paraId="11D58CFC">
      <w:pPr>
        <w:spacing w:line="360" w:lineRule="auto"/>
        <w:rPr>
          <w:rFonts w:ascii="宋体" w:hAnsi="宋体"/>
          <w:b/>
          <w:szCs w:val="21"/>
        </w:rPr>
      </w:pPr>
      <w:r>
        <w:rPr>
          <w:rFonts w:hint="eastAsia" w:ascii="宋体" w:hAnsi="宋体"/>
          <w:b/>
          <w:szCs w:val="21"/>
        </w:rPr>
        <w:t>4.投标文件中的内容需和招标文件相关指标按目录标注对应页码。</w:t>
      </w:r>
    </w:p>
    <w:p w14:paraId="6CC24C40">
      <w:pPr>
        <w:spacing w:line="360" w:lineRule="auto"/>
        <w:rPr>
          <w:rFonts w:ascii="宋体" w:hAnsi="宋体"/>
          <w:b/>
          <w:szCs w:val="21"/>
        </w:rPr>
      </w:pPr>
      <w:r>
        <w:rPr>
          <w:rFonts w:hint="eastAsia" w:ascii="宋体" w:hAnsi="宋体"/>
          <w:b/>
          <w:szCs w:val="21"/>
        </w:rPr>
        <w:t>5.针对评分标准中评分的每一条，投标人均应提供相关资料或作出相应说明供评委评判。</w:t>
      </w:r>
    </w:p>
    <w:p w14:paraId="111901E9">
      <w:pPr>
        <w:spacing w:line="360" w:lineRule="auto"/>
        <w:rPr>
          <w:rFonts w:ascii="宋体" w:hAnsi="宋体"/>
          <w:b/>
          <w:szCs w:val="21"/>
        </w:rPr>
      </w:pPr>
      <w:r>
        <w:rPr>
          <w:rFonts w:hint="eastAsia" w:ascii="宋体" w:hAnsi="宋体"/>
          <w:b/>
          <w:szCs w:val="21"/>
        </w:rPr>
        <w:t>6.投标人必须保证全部投标资料的真实性，如有虚假或对招标文件所要求说明的情况故意隐瞒或虚报，视为不实质性投标招标文件，为无效投标，已中标的将取消中标资格，按“提供虚假材料谋取中标、成交”相关处理办法处理</w:t>
      </w:r>
      <w:r>
        <w:rPr>
          <w:rFonts w:hint="eastAsia" w:ascii="宋体" w:hAnsi="宋体" w:cs="宋体"/>
          <w:b/>
          <w:bCs/>
          <w:color w:val="000000"/>
          <w:szCs w:val="21"/>
        </w:rPr>
        <w:t>。</w:t>
      </w:r>
    </w:p>
    <w:p w14:paraId="129E204D">
      <w:pPr>
        <w:spacing w:line="360" w:lineRule="auto"/>
        <w:rPr>
          <w:rFonts w:ascii="宋体" w:hAnsi="宋体"/>
          <w:b/>
          <w:szCs w:val="21"/>
        </w:rPr>
      </w:pPr>
      <w:r>
        <w:rPr>
          <w:rFonts w:hint="eastAsia" w:ascii="宋体" w:hAnsi="宋体"/>
          <w:b/>
          <w:szCs w:val="21"/>
        </w:rPr>
        <w:t>7.本项目由评委会经综合评标法确定中标单位，最低的报价并不能成为中标的唯一依据。</w:t>
      </w:r>
    </w:p>
    <w:p w14:paraId="03A7AAC1">
      <w:pPr>
        <w:pStyle w:val="24"/>
        <w:ind w:firstLine="0"/>
        <w:jc w:val="right"/>
        <w:rPr>
          <w:rFonts w:ascii="宋体" w:hAnsi="宋体" w:cs="Arial"/>
          <w:sz w:val="21"/>
          <w:szCs w:val="21"/>
        </w:rPr>
      </w:pPr>
      <w:r>
        <w:rPr>
          <w:rFonts w:hint="eastAsia" w:ascii="宋体" w:hAnsi="宋体" w:cs="Arial"/>
          <w:sz w:val="21"/>
          <w:szCs w:val="21"/>
        </w:rPr>
        <w:t>全文完</w:t>
      </w:r>
    </w:p>
    <w:p w14:paraId="35E5F409">
      <w:bookmarkStart w:id="77" w:name="_GoBack"/>
      <w:bookmarkEnd w:id="77"/>
    </w:p>
    <w:sectPr>
      <w:footerReference r:id="rId9" w:type="default"/>
      <w:pgSz w:w="11906" w:h="16838"/>
      <w:pgMar w:top="1247" w:right="1361" w:bottom="1247" w:left="1361" w:header="850" w:footer="794"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方正仿宋简体">
    <w:altName w:val="微软雅黑"/>
    <w:panose1 w:val="020B0503020202020204"/>
    <w:charset w:val="00"/>
    <w:family w:val="auto"/>
    <w:pitch w:val="default"/>
    <w:sig w:usb0="00000000" w:usb1="00000000" w:usb2="00000000" w:usb3="00000000" w:csb0="00000000" w:csb1="00000000"/>
  </w:font>
  <w:font w:name="创艺简仿宋">
    <w:altName w:val="仿宋"/>
    <w:panose1 w:val="020B0503020202020204"/>
    <w:charset w:val="00"/>
    <w:family w:val="auto"/>
    <w:pitch w:val="default"/>
    <w:sig w:usb0="00000000" w:usb1="00000000" w:usb2="00000000" w:usb3="00000000" w:csb0="00000000" w:csb1="00000000"/>
  </w:font>
  <w:font w:name="方正大黑简体">
    <w:altName w:val="黑体"/>
    <w:panose1 w:val="020B0503020202020204"/>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9A04">
    <w:pPr>
      <w:pStyle w:val="10"/>
      <w:jc w:val="center"/>
      <w:rPr>
        <w:rFonts w:ascii="仿宋_GB2312"/>
      </w:rPr>
    </w:pPr>
    <w:r>
      <mc:AlternateContent>
        <mc:Choice Requires="wps">
          <w:drawing>
            <wp:anchor distT="0" distB="0" distL="114300" distR="114300" simplePos="0" relativeHeight="251660288" behindDoc="0" locked="0" layoutInCell="1" allowOverlap="1">
              <wp:simplePos x="0" y="0"/>
              <wp:positionH relativeFrom="margin">
                <wp:posOffset>2458720</wp:posOffset>
              </wp:positionH>
              <wp:positionV relativeFrom="paragraph">
                <wp:posOffset>-9525</wp:posOffset>
              </wp:positionV>
              <wp:extent cx="1000125" cy="139065"/>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000125" cy="139065"/>
                      </a:xfrm>
                      <a:prstGeom prst="rect">
                        <a:avLst/>
                      </a:prstGeom>
                      <a:noFill/>
                      <a:ln>
                        <a:noFill/>
                      </a:ln>
                      <a:effectLst/>
                    </wps:spPr>
                    <wps:txbx>
                      <w:txbxContent>
                        <w:p w14:paraId="77B28A4C">
                          <w:pPr>
                            <w:pStyle w:val="10"/>
                            <w:tabs>
                              <w:tab w:val="clear" w:pos="4153"/>
                              <w:tab w:val="clear" w:pos="8306"/>
                            </w:tabs>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7D50E766"/>
                      </w:txbxContent>
                    </wps:txbx>
                    <wps:bodyPr wrap="square" lIns="0" tIns="0" rIns="0" bIns="0" upright="1"/>
                  </wps:wsp>
                </a:graphicData>
              </a:graphic>
            </wp:anchor>
          </w:drawing>
        </mc:Choice>
        <mc:Fallback>
          <w:pict>
            <v:shape id="_x0000_s1026" o:spid="_x0000_s1026" o:spt="202" type="#_x0000_t202" style="position:absolute;left:0pt;margin-left:193.6pt;margin-top:-0.75pt;height:10.95pt;width:78.75pt;mso-position-horizontal-relative:margin;z-index:251660288;mso-width-relative:page;mso-height-relative:page;" filled="f" stroked="f" coordsize="21600,21600" o:gfxdata="UEsDBAoAAAAAAIdO4kAAAAAAAAAAAAAAAAAEAAAAZHJzL1BLAwQUAAAACACHTuJAOf8akdkAAAAJ&#10;AQAADwAAAGRycy9kb3ducmV2LnhtbE2Py07DMBBF90j8gzVI7Fo7IX0Q4lQIwaoSIg0Llk48TazG&#10;4xC7D/6+ZgXL0T2690yxudiBnXDyxpGEZC6AIbVOG+okfNZvszUwHxRpNThCCT/oYVPe3hQq1+5M&#10;FZ52oWOxhHyuJPQhjDnnvu3RKj93I1LM9m6yKsRz6rie1DmW24GnQiy5VYbiQq9GfOmxPeyOVsLz&#10;F1Wv5vu9+aj2lanrR0Hb5UHK+7tEPAELeAl/MPzqR3Uoo1PjjqQ9GyQ8rFdpRCXMkgWwCCyybAWs&#10;kZCKDHhZ8P8flFdQSwMEFAAAAAgAh07iQGI1LKTSAQAAnAMAAA4AAABkcnMvZTJvRG9jLnhtbK1T&#10;S47bMAzdF+gdBO0bOylm0BpxBiiCKQr0B0x7AFmmYwGSqEpy7FygvUFX3XTfc+UcQ/kTTKebWXQj&#10;UCT1yPdIbW8Go9kRfFBoS75e5ZyBlVgreyj51y+3L15xFqKwtdBooeQnCPxm9/zZtncFbLBFXYNn&#10;BGJD0buStzG6IsuCbMGIsEIHloINeiMiXf0hq73oCd3obJPn11mPvnYeJYRA3v0U5DOifwogNo2S&#10;sEfZGbBxQvWgRSRKoVUu8N3YbdOAjJ+aJkBkuuTENI4nFSG7Sme224ri4IVrlZxbEE9p4REnI5Sl&#10;oheovYiCdV79A2WU9BiwiSuJJpuIjIoQi3X+SJu7VjgYuZDUwV1ED/8PVn48fvZM1bQJnFlhaODn&#10;nz/Ov/6cf39n6yRP70JBWXeO8uLwBoeUOvtDclb9B6zpnegijhoMjTdJC2LHKJukPl2khiEymSDy&#10;PF9vrjiTFFu/fJ1fXyXQTBTLa+dDfAtoWDJK7mmUI7o4vg9xSl1SUjGLt0pr8otC278chDl5YNyH&#10;+XWildqfCMahGmZOFdYnYtXTTpQ8fOuEB870O0uipwVaDL8Y1WJ0zqtDS62O8mSpAA1t5DQvWNqK&#10;h3eyH36q3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5/xqR2QAAAAkBAAAPAAAAAAAAAAEAIAAA&#10;ACIAAABkcnMvZG93bnJldi54bWxQSwECFAAUAAAACACHTuJAYjUspNIBAACcAwAADgAAAAAAAAAB&#10;ACAAAAAoAQAAZHJzL2Uyb0RvYy54bWxQSwUGAAAAAAYABgBZAQAAbAUAAAAA&#10;">
              <v:fill on="f" focussize="0,0"/>
              <v:stroke on="f"/>
              <v:imagedata o:title=""/>
              <o:lock v:ext="edit" aspectratio="f"/>
              <v:textbox inset="0mm,0mm,0mm,0mm">
                <w:txbxContent>
                  <w:p w14:paraId="77B28A4C">
                    <w:pPr>
                      <w:pStyle w:val="10"/>
                      <w:tabs>
                        <w:tab w:val="clear" w:pos="4153"/>
                        <w:tab w:val="clear" w:pos="8306"/>
                      </w:tabs>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7D50E76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4280">
    <w:pPr>
      <w:pStyle w:val="10"/>
      <w:jc w:val="center"/>
    </w:pPr>
  </w:p>
  <w:p w14:paraId="0F9737E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1887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118870" cy="1828800"/>
                      </a:xfrm>
                      <a:prstGeom prst="rect">
                        <a:avLst/>
                      </a:prstGeom>
                      <a:noFill/>
                      <a:ln>
                        <a:noFill/>
                      </a:ln>
                      <a:effectLst/>
                    </wps:spPr>
                    <wps:txbx>
                      <w:txbxContent>
                        <w:p w14:paraId="09966D05">
                          <w:pPr>
                            <w:pStyle w:val="10"/>
                            <w:tabs>
                              <w:tab w:val="clear" w:pos="4153"/>
                              <w:tab w:val="clear" w:pos="8306"/>
                            </w:tabs>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7CBC0CE8"/>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44pt;width:88.1pt;mso-position-horizontal:center;mso-position-horizontal-relative:margin;z-index:251659264;mso-width-relative:page;mso-height-relative:page;" filled="f" stroked="f" coordsize="21600,21600" o:gfxdata="UEsDBAoAAAAAAIdO4kAAAAAAAAAAAAAAAAAEAAAAZHJzL1BLAwQUAAAACACHTuJAwrYgU9MAAAAF&#10;AQAADwAAAGRycy9kb3ducmV2LnhtbE2PMU/DMBCFdyT+g3VIXRC1nSGENE6HqizdKCxsbnwkUe1z&#10;FLtJ6K/HZYHlpKf39N531XZxlk04ht6TArkWwJAab3pqFXy8vz4VwELUZLT1hAq+McC2vr+rdGn8&#10;TG84HWPLUgmFUivoYhxKzkPTodNh7Qek5H350emY5NhyM+o5lTvLMyFy7nRPaaHTA+46bM7Hi1OQ&#10;L/vh8fCC2Xxt7ESfVykjSqVWD1JsgEVc4l8YbvgJHerEdPIXMoFZBemR+Htv3nOeATspyIpCAK8r&#10;/p++/gFQSwMEFAAAAAgAh07iQNb0GALfAQAAtwMAAA4AAABkcnMvZTJvRG9jLnhtbK1TS47UMBDd&#10;I3EHy3s6nwVEUadHoFYjJH7SMAdwHKdjKf7gcjrpC8ANWLFhz7n6HJSdpIGZzSxmE5XL5Vfvvaps&#10;bybVk5NwII2uaLZJKRGam0bqY0XvvhxeFJSAZ7phvdGiomcB9Gb3/Nl2tKXITWf6RjiCIBrK0Va0&#10;896WSQK8E4rBxlih8bI1TjGPR3dMGsdGRFd9kqfpy2Q0rrHOcAGA2f18SRdE9xhA07aSi73hgxLa&#10;z6hO9MyjJOikBbqLbNtWcP+pbUF40lcUlfr4xSYY1+Gb7LasPDpmO8kXCuwxFO5pUkxqbHqF2jPP&#10;yODkAygluTNgWr/hRiWzkOgIqsjSe97cdsyKqAWtBns1HZ4Oln88fXZENhXNKdFM4cAvP75ffv6+&#10;/PpG8mDPaKHEqluLdX56YyZcmjUPIVmPH0yD79jgTfRgap0KXqA6gtVo9flqtZg84QEiy4riFV5x&#10;vMuKvCjSOIyEletz68C/FUaREFTU4SwjPDu9B4/EsHQtCd20Oci+j/Ps9X8JLJwzIi7E8jroCvxn&#10;hX6qp0VsbZozyhpxKSoKXwfmBCX9O42uhw1aA7cG9RoM1sljh1SzyBPsa3TkICPX0G0GRuLhgPOM&#10;EpbdCwvz7zlW/f3fd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rYgU9MAAAAFAQAADwAAAAAA&#10;AAABACAAAAAiAAAAZHJzL2Rvd25yZXYueG1sUEsBAhQAFAAAAAgAh07iQNb0GALfAQAAtwMAAA4A&#10;AAAAAAAAAQAgAAAAIgEAAGRycy9lMm9Eb2MueG1sUEsFBgAAAAAGAAYAWQEAAHMFAAAAAA==&#10;">
              <v:fill on="f" focussize="0,0"/>
              <v:stroke on="f"/>
              <v:imagedata o:title=""/>
              <o:lock v:ext="edit" aspectratio="f"/>
              <v:textbox inset="0mm,0mm,0mm,0mm" style="mso-fit-shape-to-text:t;">
                <w:txbxContent>
                  <w:p w14:paraId="09966D05">
                    <w:pPr>
                      <w:pStyle w:val="10"/>
                      <w:tabs>
                        <w:tab w:val="clear" w:pos="4153"/>
                        <w:tab w:val="clear" w:pos="8306"/>
                      </w:tabs>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7CBC0CE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21E9">
    <w:pPr>
      <w:pStyle w:val="10"/>
      <w:tabs>
        <w:tab w:val="left" w:pos="5230"/>
      </w:tabs>
      <w:jc w:val="both"/>
    </w:pPr>
    <w:r>
      <mc:AlternateContent>
        <mc:Choice Requires="wps">
          <w:drawing>
            <wp:anchor distT="0" distB="0" distL="114300" distR="114300" simplePos="0" relativeHeight="251661312" behindDoc="0" locked="0" layoutInCell="1" allowOverlap="1">
              <wp:simplePos x="0" y="0"/>
              <wp:positionH relativeFrom="margin">
                <wp:posOffset>2430145</wp:posOffset>
              </wp:positionH>
              <wp:positionV relativeFrom="paragraph">
                <wp:posOffset>0</wp:posOffset>
              </wp:positionV>
              <wp:extent cx="1252220" cy="184785"/>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252220" cy="184785"/>
                      </a:xfrm>
                      <a:prstGeom prst="rect">
                        <a:avLst/>
                      </a:prstGeom>
                      <a:noFill/>
                      <a:ln>
                        <a:noFill/>
                      </a:ln>
                      <a:effectLst/>
                    </wps:spPr>
                    <wps:txbx>
                      <w:txbxContent>
                        <w:p w14:paraId="7BBCD884">
                          <w:pPr>
                            <w:pStyle w:val="10"/>
                            <w:tabs>
                              <w:tab w:val="clear" w:pos="4153"/>
                              <w:tab w:val="clear" w:pos="8306"/>
                            </w:tabs>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426E805E"/>
                      </w:txbxContent>
                    </wps:txbx>
                    <wps:bodyPr wrap="square" lIns="0" tIns="0" rIns="0" bIns="0" upright="1"/>
                  </wps:wsp>
                </a:graphicData>
              </a:graphic>
            </wp:anchor>
          </w:drawing>
        </mc:Choice>
        <mc:Fallback>
          <w:pict>
            <v:shape id="_x0000_s1026" o:spid="_x0000_s1026" o:spt="202" type="#_x0000_t202" style="position:absolute;left:0pt;margin-left:191.35pt;margin-top:0pt;height:14.55pt;width:98.6pt;mso-position-horizontal-relative:margin;z-index:251661312;mso-width-relative:page;mso-height-relative:page;" filled="f" stroked="f" coordsize="21600,21600" o:gfxdata="UEsDBAoAAAAAAIdO4kAAAAAAAAAAAAAAAAAEAAAAZHJzL1BLAwQUAAAACACHTuJAgAouhNcAAAAH&#10;AQAADwAAAGRycy9kb3ducmV2LnhtbE2PzU7DMBCE70i8g7VI3KidINomxKkQghMSIg0Hjk68TaLG&#10;6xC7P7w9y6kcRzOa+abYnN0ojjiHwZOGZKFAILXeDtRp+Kxf79YgQjRkzegJNfxggE15fVWY3PoT&#10;VXjcxk5wCYXcaOhjnHIpQ9ujM2HhJyT2dn52JrKcO2lnc+JyN8pUqaV0ZiBe6M2Ezz22++3BaXj6&#10;oupl+H5vPqpdNdR1puhtudf69iZRjyAinuMlDH/4jA4lMzX+QDaIUcP9Ol1xVAM/YvthlWUgGg1p&#10;loAsC/mfv/wFUEsDBBQAAAAIAIdO4kC+ws4k0wEAAJwDAAAOAAAAZHJzL2Uyb0RvYy54bWytU8Fu&#10;2zAMvQ/YPwi6L07cdQuMOAWGoMWAdhvQ7QNkWY4FSKIqybHzA9sf7LTL7vuufEcp2Q667tLDLgJF&#10;Uo98j9TmatCKHITzEkxJV4slJcJwqKXZl/Tb1+s3a0p8YKZmCowo6VF4erV9/WrT20Lk0IKqhSMI&#10;YnzR25K2IdgiyzxvhWZ+AVYYDDbgNAt4dfusdqxHdK2yfLl8l/XgauuAC+/RuxuDdEJ0LwGEppFc&#10;7IB3WpgwojqhWEBKvpXW023qtmkED5+bxotAVEmRaUgnFkG7ime23bBi75htJZ9aYC9p4RknzaTB&#10;omeoHQuMdE7+A6Uld+ChCQsOOhuJJEWQxWr5TJv7llmRuKDU3p5F9/8Pln86fHFE1iW9oMQwjQM/&#10;/fxx+vXn9Ps7uYjy9NYXmHVvMS8MH2DApZn9Pjqr/g5qfMe6AEmDoXE6aoHsCGaj1Mez1GIIhEeI&#10;/DLPcwxxjK3Wb9+vLyNoxor5tXU+3AjQJBoldTjKhM4Otz6MqXNKLGbgWiqVxqnMXw7EHD0i7cP0&#10;OtKK7Y8Ew1ANE9cK6iOy6nEnSuofOuYEJeqjQdHjAs2Gm41qNjrr5L7FVpM8WSyAQ0ucpgWLW/H0&#10;jvbTT7V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AKLoTXAAAABwEAAA8AAAAAAAAAAQAgAAAA&#10;IgAAAGRycy9kb3ducmV2LnhtbFBLAQIUABQAAAAIAIdO4kC+ws4k0wEAAJwDAAAOAAAAAAAAAAEA&#10;IAAAACYBAABkcnMvZTJvRG9jLnhtbFBLBQYAAAAABgAGAFkBAABrBQAAAAA=&#10;">
              <v:fill on="f" focussize="0,0"/>
              <v:stroke on="f"/>
              <v:imagedata o:title=""/>
              <o:lock v:ext="edit" aspectratio="f"/>
              <v:textbox inset="0mm,0mm,0mm,0mm">
                <w:txbxContent>
                  <w:p w14:paraId="7BBCD884">
                    <w:pPr>
                      <w:pStyle w:val="10"/>
                      <w:tabs>
                        <w:tab w:val="clear" w:pos="4153"/>
                        <w:tab w:val="clear" w:pos="8306"/>
                      </w:tabs>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426E805E"/>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80C6">
    <w:pPr>
      <w:pStyle w:val="10"/>
      <w:tabs>
        <w:tab w:val="center" w:pos="4592"/>
      </w:tabs>
      <w:jc w:val="both"/>
      <w:rPr>
        <w:rFonts w:ascii="仿宋_GB2312"/>
      </w:rPr>
    </w:pPr>
    <w:r>
      <mc:AlternateContent>
        <mc:Choice Requires="wps">
          <w:drawing>
            <wp:anchor distT="0" distB="0" distL="114300" distR="114300" simplePos="0" relativeHeight="251662336" behindDoc="0" locked="0" layoutInCell="1" allowOverlap="1">
              <wp:simplePos x="0" y="0"/>
              <wp:positionH relativeFrom="margin">
                <wp:posOffset>2458720</wp:posOffset>
              </wp:positionH>
              <wp:positionV relativeFrom="paragraph">
                <wp:posOffset>0</wp:posOffset>
              </wp:positionV>
              <wp:extent cx="1231265" cy="147955"/>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231264" cy="147955"/>
                      </a:xfrm>
                      <a:prstGeom prst="rect">
                        <a:avLst/>
                      </a:prstGeom>
                      <a:noFill/>
                      <a:ln>
                        <a:noFill/>
                      </a:ln>
                      <a:effectLst/>
                    </wps:spPr>
                    <wps:txbx>
                      <w:txbxContent>
                        <w:p w14:paraId="23E1B742">
                          <w:pPr>
                            <w:pStyle w:val="10"/>
                            <w:tabs>
                              <w:tab w:val="clear" w:pos="4153"/>
                              <w:tab w:val="clear" w:pos="8306"/>
                            </w:tabs>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705F5BCF"/>
                      </w:txbxContent>
                    </wps:txbx>
                    <wps:bodyPr wrap="square" lIns="0" tIns="0" rIns="0" bIns="0" upright="1"/>
                  </wps:wsp>
                </a:graphicData>
              </a:graphic>
            </wp:anchor>
          </w:drawing>
        </mc:Choice>
        <mc:Fallback>
          <w:pict>
            <v:shape id="_x0000_s1026" o:spid="_x0000_s1026" o:spt="202" type="#_x0000_t202" style="position:absolute;left:0pt;margin-left:193.6pt;margin-top:0pt;height:11.65pt;width:96.95pt;mso-position-horizontal-relative:margin;z-index:251662336;mso-width-relative:page;mso-height-relative:page;" filled="f" stroked="f" coordsize="21600,21600" o:gfxdata="UEsDBAoAAAAAAIdO4kAAAAAAAAAAAAAAAAAEAAAAZHJzL1BLAwQUAAAACACHTuJA8eh5/NYAAAAH&#10;AQAADwAAAGRycy9kb3ducmV2LnhtbE2PT0+EMBTE7yZ+h+aZeHNbIK6IlI0xejIxsnjwWOhbIEtf&#10;kXb/+O19nvQ4mcnMb8rN2U3iiEsYPWlIVgoEUuftSL2Gj+blJgcRoiFrJk+o4RsDbKrLi9IU1p+o&#10;xuM29oJLKBRGwxDjXEgZugGdCSs/I7G384szkeXSS7uYE5e7SaZKraUzI/HCYGZ8GrDbbw9Ow+Mn&#10;1c/j11v7Xu/qsWnuFb2u91pfXyXqAUTEc/wLwy8+o0PFTK0/kA1i0pDldylHNfAjtm/zJAHRakiz&#10;DGRVyv/81Q9QSwMEFAAAAAgAh07iQGyYDeLTAQAAnAMAAA4AAABkcnMvZTJvRG9jLnhtbK1TzY7T&#10;MBC+I/EOlu/UbekuEDVdCVWLkPiTFh7AcZzGku0xttOkLwBvwIkLd56rz8HYSaplueyBizWeGX8z&#10;3zfj7c1gNDlKHxTYkq4WS0qkFVAreyjpl8+3z15SEiK3NddgZUlPMtCb3dMn294Vcg0t6Fp6giA2&#10;FL0raRujKxgLopWGhwU4aTHYgDc84tUfWO15j+hGs/Vyec168LXzIGQI6N2PQToh+scAQtMoIfcg&#10;OiNtHFG91DwipdAqF+gud9s0UsSPTRNkJLqkyDTmE4ugXaWT7ba8OHjuWiWmFvhjWnjAyXBlsegF&#10;as8jJ51X/0AZJTwEaOJCgGEjkawIslgtH2hz13InMxeUOriL6OH/wYoPx0+eqLqkG0osNzjw84/v&#10;55+/z7++kU2Sp3ehwKw7h3lxeA0DLs3sD8lZ9e+hxne8i5A1GBpvkhbIjmA2Sn26SC2HSESCWD9f&#10;ra+xpsDYavPi1dVVAmW8mF87H+IbCYYko6QeR5nR+fFdiGPqnJKKWbhVWudxavuXAzFHj8z7ML1O&#10;tFL7I8E4VMPEtYL6hKx63ImShq8d95IS/dai6GmBZsPPRjUbnfPq0GKrWR6WCuDQMqdpwdJW3L+j&#10;ff9T7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eh5/NYAAAAHAQAADwAAAAAAAAABACAAAAAi&#10;AAAAZHJzL2Rvd25yZXYueG1sUEsBAhQAFAAAAAgAh07iQGyYDeLTAQAAnAMAAA4AAAAAAAAAAQAg&#10;AAAAJQEAAGRycy9lMm9Eb2MueG1sUEsFBgAAAAAGAAYAWQEAAGoFAAAAAA==&#10;">
              <v:fill on="f" focussize="0,0"/>
              <v:stroke on="f"/>
              <v:imagedata o:title=""/>
              <o:lock v:ext="edit" aspectratio="f"/>
              <v:textbox inset="0mm,0mm,0mm,0mm">
                <w:txbxContent>
                  <w:p w14:paraId="23E1B742">
                    <w:pPr>
                      <w:pStyle w:val="10"/>
                      <w:tabs>
                        <w:tab w:val="clear" w:pos="4153"/>
                        <w:tab w:val="clear" w:pos="8306"/>
                      </w:tabs>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705F5BC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FDFE">
    <w:pPr>
      <w:pStyle w:val="10"/>
      <w:jc w:val="center"/>
    </w:pPr>
    <w:r>
      <mc:AlternateContent>
        <mc:Choice Requires="wps">
          <w:drawing>
            <wp:anchor distT="0" distB="0" distL="114300" distR="114300" simplePos="0" relativeHeight="251663360" behindDoc="0" locked="0" layoutInCell="1" allowOverlap="1">
              <wp:simplePos x="0" y="0"/>
              <wp:positionH relativeFrom="margin">
                <wp:posOffset>2430145</wp:posOffset>
              </wp:positionH>
              <wp:positionV relativeFrom="paragraph">
                <wp:posOffset>0</wp:posOffset>
              </wp:positionV>
              <wp:extent cx="1289050" cy="147955"/>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289050" cy="147955"/>
                      </a:xfrm>
                      <a:prstGeom prst="rect">
                        <a:avLst/>
                      </a:prstGeom>
                      <a:noFill/>
                      <a:ln>
                        <a:noFill/>
                      </a:ln>
                      <a:effectLst/>
                    </wps:spPr>
                    <wps:txbx>
                      <w:txbxContent>
                        <w:p w14:paraId="34EB0E5D">
                          <w:pPr>
                            <w:pStyle w:val="10"/>
                            <w:tabs>
                              <w:tab w:val="clear" w:pos="4153"/>
                              <w:tab w:val="clear" w:pos="8306"/>
                            </w:tabs>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5E26CB25"/>
                      </w:txbxContent>
                    </wps:txbx>
                    <wps:bodyPr wrap="square" lIns="0" tIns="0" rIns="0" bIns="0" upright="1"/>
                  </wps:wsp>
                </a:graphicData>
              </a:graphic>
            </wp:anchor>
          </w:drawing>
        </mc:Choice>
        <mc:Fallback>
          <w:pict>
            <v:shape id="_x0000_s1026" o:spid="_x0000_s1026" o:spt="202" type="#_x0000_t202" style="position:absolute;left:0pt;margin-left:191.35pt;margin-top:0pt;height:11.65pt;width:101.5pt;mso-position-horizontal-relative:margin;z-index:251663360;mso-width-relative:page;mso-height-relative:page;" filled="f" stroked="f" coordsize="21600,21600" o:gfxdata="UEsDBAoAAAAAAIdO4kAAAAAAAAAAAAAAAAAEAAAAZHJzL1BLAwQUAAAACACHTuJAgfeWjtYAAAAH&#10;AQAADwAAAGRycy9kb3ducmV2LnhtbE2PzU7DMBCE70i8g7VI3KjdRC0hZFMhBCckRBoOHJ3YTaLG&#10;6xC7P7w9y4keRzOa+abYnN0ojnYOgyeE5UKBsNR6M1CH8Fm/3mUgQtRk9OjJIvzYAJvy+qrQufEn&#10;quxxGzvBJRRyjdDHOOVShra3ToeFnyyxt/Oz05Hl3Ekz6xOXu1EmSq2l0wPxQq8n+9zbdr89OISn&#10;L6pehu/35qPaVUNdPyh6W+8Rb2+W6hFEtOf4H4Y/fEaHkpkafyATxIiQZsk9RxH4EdurbMWyQUjS&#10;FGRZyEv+8hdQSwMEFAAAAAgAh07iQFvve1zUAQAAnAMAAA4AAABkcnMvZTJvRG9jLnhtbK1TS27b&#10;MBDdF8gdCO5ryUbdJoLlAIWRokB/QJIDUBRlESA5DElZ8gXaG3TVTfc9l8+RISUZabrJohtiODN8&#10;M+/NcHM9aEUOwnkJpqTLRU6JMBxqafYlvb+7eX1JiQ/M1EyBESU9Ck+vtxevNr0txApaULVwBEGM&#10;L3pb0jYEW2SZ563QzC/ACoPBBpxmAa9un9WO9YiuVbbK87dZD662DrjwHr27MUgnRPcSQGgaycUO&#10;eKeFCSOqE4oFpORbaT3dpm6bRvDwtWm8CESVFJmGdGIRtKt4ZtsNK/aO2VbyqQX2khaecdJMGix6&#10;htqxwEjn5D9QWnIHHpqw4KCzkUhSBFks82fa3LbMisQFpfb2LLr/f7D8y+GbI7Iu6ZoSwzQO/PTz&#10;x+nXn9Pv72Qd5emtLzDr1mJeGN7DgEsz+310Vv1nqPEd6wIkDYbG6agFsiOYjVIfz1KLIRAeIVaX&#10;V/kaQxxjyzfvrtapWMaK+bV1PnwQoEk0SupwlAmdHT75gH1h6pwSixm4kUqlcSrzlwMTR49I+zC9&#10;jrRi+yPBMFTDxLWC+oisetyJkvqHjjlBifpoUPS4QLPhZqOajc46uW+x1SRPFgvg0FKj04LFrXh6&#10;R/vpp9o+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H3lo7WAAAABwEAAA8AAAAAAAAAAQAgAAAA&#10;IgAAAGRycy9kb3ducmV2LnhtbFBLAQIUABQAAAAIAIdO4kBb73tc1AEAAJwDAAAOAAAAAAAAAAEA&#10;IAAAACUBAABkcnMvZTJvRG9jLnhtbFBLBQYAAAAABgAGAFkBAABrBQAAAAA=&#10;">
              <v:fill on="f" focussize="0,0"/>
              <v:stroke on="f"/>
              <v:imagedata o:title=""/>
              <o:lock v:ext="edit" aspectratio="f"/>
              <v:textbox inset="0mm,0mm,0mm,0mm">
                <w:txbxContent>
                  <w:p w14:paraId="34EB0E5D">
                    <w:pPr>
                      <w:pStyle w:val="10"/>
                      <w:tabs>
                        <w:tab w:val="clear" w:pos="4153"/>
                        <w:tab w:val="clear" w:pos="8306"/>
                      </w:tabs>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NUMPAGES \* MERGEFORMAT</w:instrText>
                    </w:r>
                    <w:r>
                      <w:fldChar w:fldCharType="separate"/>
                    </w:r>
                    <w:r>
                      <w:t>46</w:t>
                    </w:r>
                    <w:r>
                      <w:fldChar w:fldCharType="end"/>
                    </w:r>
                    <w:r>
                      <w:t xml:space="preserve"> 页</w:t>
                    </w:r>
                  </w:p>
                  <w:p w14:paraId="5E26CB25"/>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B281707">
                          <w:pPr>
                            <w:pStyle w:val="10"/>
                            <w:tabs>
                              <w:tab w:val="clear" w:pos="4153"/>
                              <w:tab w:val="clear" w:pos="8306"/>
                            </w:tabs>
                            <w:jc w:val="center"/>
                          </w:pPr>
                        </w:p>
                        <w:p w14:paraId="16D2B3C0"/>
                        <w:p w14:paraId="05A7FF30"/>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7lJrNgBAAC1AwAADgAAAGRycy9lMm9Eb2MueG1srVNLjtswDN0X6B0E&#10;7Rs7WQSBEWcwRZCiQH/AtAeQZSkWIImCpMTOBdobdNVN9z1XzlFKttN2upnFbASKpB75Hqnt3WA0&#10;OQsfFNiaLhclJcJyaJU91vTL58OrDSUhMtsyDVbU9CICvdu9fLHtXSVW0IFuhScIYkPVu5p2Mbqq&#10;KALvhGFhAU5YDErwhkW8+mPRetYjutHFqizXRQ++dR64CAG9+zFIJ0T/FECQUnGxB34ywsYR1QvN&#10;IlIKnXKB7nK3UgoeP0oZRCS6psg05hOLoN2ks9htWXX0zHWKTy2wp7TwiJNhymLRG9SeRUZOXv0H&#10;ZRT3EEDGBQdTjESyIshiWT7S5qFjTmQuKHVwN9HD88HyD+dPnqi2pmtKLDM48Ov3b9cfv64/v5J1&#10;kqd3ocKsB4d5cXgNAy7N7A/J2fTvocV37BQhazBIb5IWyI5gNkp9uUkthkh4gtisNpsSQxxj8wWr&#10;Fayanzsf4hsBhiSjph5nmeHZ+V2IY+qckqpZOCit8zy1/ceBmKNH5IWYXideqf+RYRyaYSLbQHtB&#10;Wj0uRU0t/gFK9FuLmqf9mQ0/G81snJxXxw4bXeYug7tHPQ4qd5pqjbDIMF1wmpnrtHlpXf6+56w/&#10;v233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vuUms2AEAALUDAAAOAAAAAAAAAAEAIAAA&#10;AB4BAABkcnMvZTJvRG9jLnhtbFBLBQYAAAAABgAGAFkBAABoBQAAAAA=&#10;">
              <v:fill on="f" focussize="0,0"/>
              <v:stroke on="f"/>
              <v:imagedata o:title=""/>
              <o:lock v:ext="edit" aspectratio="f"/>
              <v:textbox inset="0mm,0mm,0mm,0mm" style="mso-fit-shape-to-text:t;">
                <w:txbxContent>
                  <w:p w14:paraId="5B281707">
                    <w:pPr>
                      <w:pStyle w:val="10"/>
                      <w:tabs>
                        <w:tab w:val="clear" w:pos="4153"/>
                        <w:tab w:val="clear" w:pos="8306"/>
                      </w:tabs>
                      <w:jc w:val="center"/>
                    </w:pPr>
                  </w:p>
                  <w:p w14:paraId="16D2B3C0"/>
                  <w:p w14:paraId="05A7FF30"/>
                </w:txbxContent>
              </v:textbox>
            </v:shape>
          </w:pict>
        </mc:Fallback>
      </mc:AlternateContent>
    </w:r>
  </w:p>
  <w:p w14:paraId="5F764BB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4963">
    <w:pPr>
      <w:pStyle w:val="11"/>
      <w:jc w:val="both"/>
      <w:rPr>
        <w:rFonts w:eastAsia="宋体"/>
      </w:rPr>
    </w:pPr>
    <w:r>
      <w:rPr>
        <w:rFonts w:hint="eastAsia" w:ascii="宋体" w:hAnsi="宋体" w:eastAsia="宋体"/>
      </w:rPr>
      <w:t>江苏</w:t>
    </w:r>
    <w:r>
      <w:rPr>
        <w:rFonts w:ascii="宋体" w:hAnsi="宋体" w:eastAsia="宋体"/>
      </w:rPr>
      <w:t>鼎诚</w:t>
    </w:r>
    <w:r>
      <w:rPr>
        <w:rFonts w:hint="eastAsia" w:ascii="宋体" w:hAnsi="宋体" w:eastAsia="宋体"/>
      </w:rPr>
      <w:t xml:space="preserve"> </w:t>
    </w:r>
    <w:r>
      <w:rPr>
        <w:rFonts w:hint="eastAsia" w:ascii="宋体" w:hAnsi="宋体" w:eastAsia="宋体" w:cs="宋体"/>
        <w:szCs w:val="18"/>
      </w:rPr>
      <w:t xml:space="preserve">                 </w:t>
    </w:r>
    <w:r>
      <w:rPr>
        <w:rFonts w:ascii="宋体" w:hAnsi="宋体" w:eastAsia="宋体" w:cs="宋体"/>
        <w:szCs w:val="18"/>
      </w:rPr>
      <w:t xml:space="preserve">  </w:t>
    </w:r>
    <w:r>
      <w:rPr>
        <w:rFonts w:hint="eastAsia" w:ascii="宋体" w:hAnsi="宋体" w:eastAsia="宋体" w:cs="宋体"/>
        <w:szCs w:val="18"/>
      </w:rPr>
      <w:t xml:space="preserve">                                  项目编号：JSZC-320583-YZDC-G2026-0017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533B">
    <w:pPr>
      <w:pStyle w:val="11"/>
      <w:jc w:val="both"/>
      <w:rPr>
        <w:rFonts w:ascii="宋体" w:hAnsi="宋体" w:eastAsia="宋体"/>
        <w:sz w:val="21"/>
        <w:szCs w:val="21"/>
      </w:rPr>
    </w:pPr>
    <w:r>
      <w:rPr>
        <w:rFonts w:hint="eastAsia" w:ascii="宋体" w:hAnsi="宋体" w:eastAsia="宋体"/>
      </w:rPr>
      <w:t>江</w:t>
    </w:r>
    <w:r>
      <w:rPr>
        <w:rFonts w:ascii="宋体" w:hAnsi="宋体" w:eastAsia="宋体"/>
      </w:rPr>
      <w:t>苏鼎诚</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w:t>
    </w:r>
    <w:r>
      <w:rPr>
        <w:rFonts w:hint="eastAsia" w:ascii="宋体" w:hAnsi="宋体" w:eastAsia="宋体" w:cs="宋体"/>
        <w:szCs w:val="18"/>
      </w:rPr>
      <w:t xml:space="preserve">项目编号：JSZC-320583-YZDC-G2026-0017 </w:t>
    </w:r>
    <w:r>
      <w:rPr>
        <w:rFonts w:hint="eastAsia" w:ascii="宋体" w:hAnsi="宋体" w:eastAsia="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B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paragraph" w:styleId="5">
    <w:name w:val="heading 1"/>
    <w:basedOn w:val="1"/>
    <w:next w:val="1"/>
    <w:link w:val="21"/>
    <w:qFormat/>
    <w:uiPriority w:val="9"/>
    <w:pPr>
      <w:keepNext/>
      <w:keepLines/>
      <w:spacing w:before="340" w:after="330" w:line="576" w:lineRule="auto"/>
      <w:outlineLvl w:val="0"/>
    </w:pPr>
    <w:rPr>
      <w:rFonts w:eastAsia="楷体_GB2312"/>
      <w:b/>
      <w:sz w:val="44"/>
      <w:szCs w:val="20"/>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firstLine="420"/>
    </w:pPr>
    <w:rPr>
      <w:rFonts w:ascii="Times New Roman" w:hAnsi="Times New Roman" w:eastAsia="宋体"/>
      <w:sz w:val="20"/>
    </w:rPr>
  </w:style>
  <w:style w:type="paragraph" w:styleId="3">
    <w:name w:val="Body Text Indent"/>
    <w:basedOn w:val="1"/>
    <w:next w:val="4"/>
    <w:unhideWhenUsed/>
    <w:qFormat/>
    <w:uiPriority w:val="99"/>
    <w:pPr>
      <w:spacing w:line="520" w:lineRule="exact"/>
      <w:ind w:left="570"/>
    </w:pPr>
    <w:rPr>
      <w:rFonts w:hint="eastAsia" w:ascii="方正仿宋简体" w:hAnsi="创艺简仿宋" w:eastAsia="方正仿宋简体"/>
      <w:sz w:val="24"/>
      <w:szCs w:val="20"/>
    </w:rPr>
  </w:style>
  <w:style w:type="paragraph" w:styleId="4">
    <w:name w:val="envelope return"/>
    <w:basedOn w:val="1"/>
    <w:qFormat/>
    <w:uiPriority w:val="0"/>
    <w:rPr>
      <w:rFonts w:ascii="Arial" w:hAnsi="Arial" w:eastAsia="楷体_GB2312"/>
      <w:sz w:val="26"/>
    </w:rPr>
  </w:style>
  <w:style w:type="paragraph" w:styleId="7">
    <w:name w:val="Normal Indent"/>
    <w:basedOn w:val="1"/>
    <w:qFormat/>
    <w:uiPriority w:val="0"/>
    <w:pPr>
      <w:ind w:firstLine="420"/>
      <w:jc w:val="left"/>
    </w:pPr>
    <w:rPr>
      <w:rFonts w:eastAsia="楷体_GB2312"/>
      <w:sz w:val="24"/>
      <w:szCs w:val="20"/>
    </w:rPr>
  </w:style>
  <w:style w:type="paragraph" w:styleId="8">
    <w:name w:val="Body Text"/>
    <w:basedOn w:val="1"/>
    <w:qFormat/>
    <w:uiPriority w:val="0"/>
    <w:pPr>
      <w:jc w:val="center"/>
    </w:pPr>
    <w:rPr>
      <w:rFonts w:ascii="方正大黑简体" w:eastAsia="方正大黑简体"/>
      <w:position w:val="6"/>
      <w:sz w:val="30"/>
      <w:szCs w:val="20"/>
    </w:rPr>
  </w:style>
  <w:style w:type="paragraph" w:styleId="9">
    <w:name w:val="Plain Text"/>
    <w:basedOn w:val="1"/>
    <w:qFormat/>
    <w:uiPriority w:val="0"/>
    <w:rPr>
      <w:rFonts w:ascii="宋体" w:hAnsi="Courier New" w:eastAsia="楷体_GB2312"/>
      <w:sz w:val="28"/>
      <w:szCs w:val="20"/>
    </w:rPr>
  </w:style>
  <w:style w:type="paragraph" w:styleId="10">
    <w:name w:val="footer"/>
    <w:basedOn w:val="1"/>
    <w:qFormat/>
    <w:uiPriority w:val="99"/>
    <w:pPr>
      <w:tabs>
        <w:tab w:val="center" w:pos="4153"/>
        <w:tab w:val="right" w:pos="8306"/>
      </w:tabs>
      <w:jc w:val="left"/>
    </w:pPr>
    <w:rPr>
      <w:sz w:val="18"/>
      <w:szCs w:val="18"/>
    </w:rPr>
  </w:style>
  <w:style w:type="paragraph" w:styleId="11">
    <w:name w:val="header"/>
    <w:basedOn w:val="1"/>
    <w:qFormat/>
    <w:uiPriority w:val="99"/>
    <w:pPr>
      <w:pBdr>
        <w:bottom w:val="single" w:color="000000" w:sz="6" w:space="1"/>
      </w:pBdr>
      <w:tabs>
        <w:tab w:val="center" w:pos="4153"/>
        <w:tab w:val="right" w:pos="8306"/>
      </w:tabs>
      <w:jc w:val="center"/>
    </w:pPr>
    <w:rPr>
      <w:rFonts w:eastAsia="楷体_GB2312"/>
      <w:sz w:val="18"/>
      <w:szCs w:val="20"/>
    </w:rPr>
  </w:style>
  <w:style w:type="paragraph" w:styleId="12">
    <w:name w:val="toc 1"/>
    <w:basedOn w:val="1"/>
    <w:next w:val="1"/>
    <w:qFormat/>
    <w:uiPriority w:val="39"/>
  </w:style>
  <w:style w:type="character" w:customStyle="1" w:styleId="15">
    <w:name w:val="NormalCharacter1"/>
    <w:qFormat/>
    <w:uiPriority w:val="99"/>
  </w:style>
  <w:style w:type="paragraph" w:customStyle="1" w:styleId="16">
    <w:name w:val="纯文本1"/>
    <w:basedOn w:val="1"/>
    <w:qFormat/>
    <w:uiPriority w:val="0"/>
    <w:rPr>
      <w:rFonts w:ascii="宋体" w:hAnsi="Courier New" w:eastAsia="楷体_GB2312"/>
      <w:sz w:val="28"/>
      <w:szCs w:val="20"/>
    </w:rPr>
  </w:style>
  <w:style w:type="paragraph" w:customStyle="1" w:styleId="17">
    <w:name w:val="纯文本4"/>
    <w:basedOn w:val="1"/>
    <w:qFormat/>
    <w:uiPriority w:val="0"/>
    <w:rPr>
      <w:rFonts w:ascii="宋体" w:hAnsi="Courier New" w:eastAsia="楷体_GB2312"/>
      <w:sz w:val="28"/>
      <w:szCs w:val="20"/>
    </w:rPr>
  </w:style>
  <w:style w:type="paragraph" w:customStyle="1" w:styleId="18">
    <w:name w:val="纯文本11"/>
    <w:basedOn w:val="1"/>
    <w:qFormat/>
    <w:uiPriority w:val="0"/>
    <w:rPr>
      <w:rFonts w:ascii="宋体" w:hAnsi="Courier New" w:eastAsia="楷体_GB2312"/>
      <w:sz w:val="28"/>
      <w:szCs w:val="20"/>
    </w:rPr>
  </w:style>
  <w:style w:type="paragraph" w:customStyle="1" w:styleId="19">
    <w:name w:val="Plain Text12"/>
    <w:basedOn w:val="1"/>
    <w:qFormat/>
    <w:uiPriority w:val="0"/>
    <w:rPr>
      <w:rFonts w:ascii="宋体" w:hAnsi="Courier New" w:eastAsia="楷体_GB2312"/>
      <w:sz w:val="28"/>
      <w:szCs w:val="20"/>
    </w:rPr>
  </w:style>
  <w:style w:type="paragraph" w:customStyle="1" w:styleId="20">
    <w:name w:val="纯文本12"/>
    <w:basedOn w:val="1"/>
    <w:qFormat/>
    <w:uiPriority w:val="0"/>
    <w:rPr>
      <w:rFonts w:hint="eastAsia" w:ascii="宋体" w:hAnsi="Courier New" w:eastAsia="楷体_GB2312"/>
      <w:sz w:val="28"/>
      <w:szCs w:val="20"/>
    </w:rPr>
  </w:style>
  <w:style w:type="character" w:customStyle="1" w:styleId="21">
    <w:name w:val="标题 1 字符"/>
    <w:link w:val="5"/>
    <w:qFormat/>
    <w:uiPriority w:val="9"/>
    <w:rPr>
      <w:rFonts w:eastAsia="楷体_GB2312"/>
      <w:b/>
      <w:sz w:val="44"/>
      <w:szCs w:val="20"/>
    </w:rPr>
  </w:style>
  <w:style w:type="paragraph" w:customStyle="1" w:styleId="22">
    <w:name w:val="段"/>
    <w:qFormat/>
    <w:uiPriority w:val="0"/>
    <w:pPr>
      <w:ind w:firstLine="200"/>
      <w:jc w:val="both"/>
    </w:pPr>
    <w:rPr>
      <w:rFonts w:hint="default" w:ascii="宋体" w:hAnsi="Calibri" w:eastAsia="Times New Roman" w:cs="Times New Roman"/>
      <w:sz w:val="21"/>
    </w:rPr>
  </w:style>
  <w:style w:type="paragraph" w:customStyle="1" w:styleId="23">
    <w:name w:val="正文1"/>
    <w:next w:val="1"/>
    <w:qFormat/>
    <w:uiPriority w:val="99"/>
    <w:pPr>
      <w:widowControl w:val="0"/>
      <w:spacing w:line="312" w:lineRule="atLeast"/>
      <w:jc w:val="both"/>
    </w:pPr>
    <w:rPr>
      <w:rFonts w:hint="default" w:ascii="宋体" w:hAnsi="Times New Roman" w:eastAsia="宋体" w:cs="Times New Roman"/>
      <w:sz w:val="34"/>
      <w:szCs w:val="22"/>
    </w:rPr>
  </w:style>
  <w:style w:type="paragraph" w:styleId="24">
    <w:name w:val="List Paragraph"/>
    <w:basedOn w:val="1"/>
    <w:qFormat/>
    <w:uiPriority w:val="34"/>
    <w:pPr>
      <w:spacing w:line="360" w:lineRule="auto"/>
      <w:ind w:firstLine="42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package" Target="embeddings/Workbook1.xlsx"/><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2026-04-29T09:12:17Z</dcterms:created>
  <dc:creator>asus</dc:creator>
  <cp:lastModifiedBy>WPS_1657525492</cp:lastModifiedBy>
  <dcterms:modified xsi:type="dcterms:W3CDTF">2026-04-29T09:12:21Z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eyJoZGlkIjoiMGM5MDcwYzEzMjNkY2ZmNGVmMTk4YjgzOTZjNmI0ODkiLCJ1c2VySWQiOiIxMzkxNzQxNjQ1In0=</vt:lpwstr>
  </property>
  <property fmtid="{D5CDD505-2E9C-101B-9397-08002B2CF9AE}" pid="4" name="ICV">
    <vt:lpwstr>E252763A0CB84ACAB3229E63620D3598_12</vt:lpwstr>
  </property>
</Properties>
</file>