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5E1F52">
      <w:pPr>
        <w:widowControl w:val="0"/>
        <w:wordWrap w:val="0"/>
        <w:snapToGrid w:val="0"/>
        <w:spacing w:before="157" w:beforeLines="50" w:afterLines="0" w:line="578" w:lineRule="exact"/>
        <w:ind w:firstLine="198"/>
        <w:jc w:val="center"/>
        <w:rPr>
          <w:rFonts w:hint="eastAsia" w:ascii="宋体" w:hAnsi="宋体" w:eastAsia="宋体" w:cs="宋体"/>
          <w:b/>
          <w:color w:val="000000"/>
          <w:kern w:val="0"/>
          <w:sz w:val="44"/>
          <w:szCs w:val="44"/>
        </w:rPr>
      </w:pPr>
      <w:r>
        <w:rPr>
          <w:rFonts w:hint="eastAsia" w:ascii="宋体" w:hAnsi="宋体" w:eastAsia="宋体" w:cs="宋体"/>
          <w:b/>
          <w:color w:val="000000"/>
          <w:kern w:val="0"/>
          <w:sz w:val="44"/>
          <w:szCs w:val="44"/>
        </w:rPr>
        <w:t>三亚市天涯区</w:t>
      </w:r>
      <w:r>
        <w:rPr>
          <w:rFonts w:hint="eastAsia" w:ascii="宋体" w:hAnsi="宋体" w:eastAsia="宋体" w:cs="宋体"/>
          <w:b/>
          <w:color w:val="000000"/>
          <w:kern w:val="0"/>
          <w:sz w:val="44"/>
          <w:szCs w:val="44"/>
          <w:lang w:eastAsia="zh-CN"/>
        </w:rPr>
        <w:t>202</w:t>
      </w:r>
      <w:r>
        <w:rPr>
          <w:rFonts w:hint="eastAsia" w:ascii="宋体" w:hAnsi="宋体" w:cs="宋体"/>
          <w:b/>
          <w:color w:val="000000"/>
          <w:kern w:val="0"/>
          <w:sz w:val="44"/>
          <w:szCs w:val="44"/>
          <w:lang w:val="en-US" w:eastAsia="zh-CN"/>
        </w:rPr>
        <w:t>6</w:t>
      </w:r>
      <w:r>
        <w:rPr>
          <w:rFonts w:hint="eastAsia" w:ascii="宋体" w:hAnsi="宋体" w:eastAsia="宋体" w:cs="宋体"/>
          <w:b/>
          <w:color w:val="000000"/>
          <w:kern w:val="0"/>
          <w:sz w:val="44"/>
          <w:szCs w:val="44"/>
        </w:rPr>
        <w:t>年病媒生物防制服务</w:t>
      </w:r>
    </w:p>
    <w:p w14:paraId="1C2E93E4">
      <w:pPr>
        <w:widowControl w:val="0"/>
        <w:wordWrap w:val="0"/>
        <w:snapToGrid w:val="0"/>
        <w:spacing w:before="157" w:beforeLines="50" w:afterLines="0" w:line="578" w:lineRule="exact"/>
        <w:ind w:firstLine="198"/>
        <w:jc w:val="center"/>
        <w:rPr>
          <w:rFonts w:hint="eastAsia" w:ascii="宋体" w:hAnsi="宋体" w:eastAsia="宋体" w:cs="宋体"/>
          <w:b/>
          <w:color w:val="000000"/>
          <w:kern w:val="0"/>
          <w:sz w:val="28"/>
          <w:szCs w:val="28"/>
          <w:lang w:eastAsia="zh-CN"/>
        </w:rPr>
      </w:pPr>
      <w:bookmarkStart w:id="0" w:name="_GoBack"/>
      <w:r>
        <w:rPr>
          <w:rFonts w:hint="eastAsia" w:ascii="宋体" w:hAnsi="宋体" w:cs="宋体"/>
          <w:b/>
          <w:color w:val="000000"/>
          <w:kern w:val="0"/>
          <w:sz w:val="44"/>
          <w:szCs w:val="44"/>
          <w:lang w:eastAsia="zh-CN"/>
        </w:rPr>
        <w:t>项目</w:t>
      </w:r>
      <w:r>
        <w:rPr>
          <w:rFonts w:hint="eastAsia" w:ascii="宋体" w:hAnsi="宋体" w:cs="宋体"/>
          <w:b/>
          <w:color w:val="000000"/>
          <w:kern w:val="0"/>
          <w:sz w:val="44"/>
          <w:szCs w:val="44"/>
          <w:lang w:val="en-US" w:eastAsia="zh-CN"/>
        </w:rPr>
        <w:t>承包合同</w:t>
      </w:r>
    </w:p>
    <w:bookmarkEnd w:id="0"/>
    <w:p w14:paraId="176A8E0C">
      <w:pPr>
        <w:widowControl w:val="0"/>
        <w:wordWrap w:val="0"/>
        <w:adjustRightInd w:val="0"/>
        <w:snapToGrid w:val="0"/>
        <w:spacing w:before="157" w:beforeLines="50" w:afterLines="0" w:line="455" w:lineRule="exact"/>
        <w:jc w:val="left"/>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甲方：</w:t>
      </w:r>
      <w:r>
        <w:rPr>
          <w:rFonts w:hint="eastAsia" w:ascii="宋体" w:hAnsi="宋体" w:eastAsia="宋体" w:cs="宋体"/>
          <w:color w:val="000000"/>
          <w:kern w:val="0"/>
          <w:sz w:val="28"/>
          <w:szCs w:val="28"/>
          <w:u w:val="none"/>
        </w:rPr>
        <w:t>三亚市天涯区卫生健康委员会</w:t>
      </w:r>
    </w:p>
    <w:p w14:paraId="63D48440">
      <w:pPr>
        <w:widowControl w:val="0"/>
        <w:wordWrap w:val="0"/>
        <w:adjustRightInd w:val="0"/>
        <w:snapToGrid w:val="0"/>
        <w:spacing w:before="157" w:beforeLines="50" w:afterLines="0" w:line="455" w:lineRule="exact"/>
        <w:jc w:val="left"/>
        <w:rPr>
          <w:rFonts w:hint="default" w:ascii="宋体" w:hAnsi="宋体" w:eastAsia="宋体" w:cs="宋体"/>
          <w:color w:val="000000"/>
          <w:kern w:val="0"/>
          <w:sz w:val="28"/>
          <w:szCs w:val="28"/>
          <w:lang w:val="en-US" w:eastAsia="zh-CN"/>
        </w:rPr>
      </w:pPr>
      <w:r>
        <w:rPr>
          <w:rFonts w:hint="eastAsia" w:ascii="宋体" w:hAnsi="宋体" w:eastAsia="宋体" w:cs="宋体"/>
          <w:color w:val="000000"/>
          <w:kern w:val="0"/>
          <w:sz w:val="28"/>
          <w:szCs w:val="28"/>
        </w:rPr>
        <w:t>乙方：</w:t>
      </w:r>
    </w:p>
    <w:p w14:paraId="7F60B752">
      <w:pPr>
        <w:wordWrap w:val="0"/>
        <w:adjustRightInd w:val="0"/>
        <w:snapToGrid w:val="0"/>
        <w:spacing w:before="157" w:beforeLines="50" w:afterLines="0" w:line="455" w:lineRule="exact"/>
        <w:ind w:firstLine="560" w:firstLineChars="200"/>
        <w:jc w:val="both"/>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甲方通过公开招标方式将“三亚市天涯区202</w:t>
      </w:r>
      <w:r>
        <w:rPr>
          <w:rFonts w:hint="eastAsia" w:ascii="宋体" w:hAnsi="宋体" w:cs="宋体"/>
          <w:color w:val="000000"/>
          <w:kern w:val="0"/>
          <w:sz w:val="28"/>
          <w:szCs w:val="28"/>
          <w:lang w:val="en-US" w:eastAsia="zh-CN"/>
        </w:rPr>
        <w:t>6</w:t>
      </w:r>
      <w:r>
        <w:rPr>
          <w:rFonts w:hint="eastAsia" w:ascii="宋体" w:hAnsi="宋体" w:eastAsia="宋体" w:cs="宋体"/>
          <w:color w:val="000000"/>
          <w:kern w:val="0"/>
          <w:sz w:val="28"/>
          <w:szCs w:val="28"/>
        </w:rPr>
        <w:t>年病媒生物防制服务项目”发包给乙方实行管理服务。为保障本项目正常运行，创造优美、整洁、文明的生活和工作环境，甲、乙双方按照《中华人民共和国政府采购法</w:t>
      </w:r>
      <w:r>
        <w:rPr>
          <w:rFonts w:hint="eastAsia" w:ascii="宋体" w:hAnsi="宋体" w:eastAsia="宋体" w:cs="宋体"/>
          <w:color w:val="000000"/>
          <w:kern w:val="0"/>
          <w:sz w:val="28"/>
          <w:szCs w:val="28"/>
          <w:lang w:eastAsia="zh-CN"/>
        </w:rPr>
        <w:t>》《</w:t>
      </w:r>
      <w:r>
        <w:rPr>
          <w:rFonts w:hint="eastAsia" w:ascii="宋体" w:hAnsi="宋体" w:eastAsia="宋体" w:cs="宋体"/>
          <w:color w:val="000000"/>
          <w:kern w:val="0"/>
          <w:sz w:val="28"/>
          <w:szCs w:val="28"/>
        </w:rPr>
        <w:t>中华人民共和国招标投标法</w:t>
      </w:r>
      <w:r>
        <w:rPr>
          <w:rFonts w:hint="eastAsia" w:ascii="宋体" w:hAnsi="宋体" w:eastAsia="宋体" w:cs="宋体"/>
          <w:color w:val="000000"/>
          <w:kern w:val="0"/>
          <w:sz w:val="28"/>
          <w:szCs w:val="28"/>
          <w:lang w:eastAsia="zh-CN"/>
        </w:rPr>
        <w:t>》《</w:t>
      </w:r>
      <w:r>
        <w:rPr>
          <w:rFonts w:hint="eastAsia" w:ascii="宋体" w:hAnsi="宋体" w:eastAsia="宋体" w:cs="宋体"/>
          <w:color w:val="000000"/>
          <w:kern w:val="0"/>
          <w:sz w:val="28"/>
          <w:szCs w:val="28"/>
        </w:rPr>
        <w:t>中华人民共和国</w:t>
      </w:r>
      <w:r>
        <w:rPr>
          <w:rFonts w:hint="eastAsia" w:ascii="宋体" w:hAnsi="宋体" w:eastAsia="宋体" w:cs="宋体"/>
          <w:color w:val="000000"/>
          <w:kern w:val="0"/>
          <w:sz w:val="28"/>
          <w:szCs w:val="28"/>
          <w:lang w:val="en-US" w:eastAsia="zh-CN"/>
        </w:rPr>
        <w:t>民法典</w:t>
      </w:r>
      <w:r>
        <w:rPr>
          <w:rFonts w:hint="eastAsia" w:ascii="宋体" w:hAnsi="宋体" w:eastAsia="宋体" w:cs="宋体"/>
          <w:color w:val="000000"/>
          <w:kern w:val="0"/>
          <w:sz w:val="28"/>
          <w:szCs w:val="28"/>
        </w:rPr>
        <w:t>》以及国家、省、市相关法律、法规的有关规定，遵循平等、自愿、公平和诚实信用的原则，就本次中标确定的劳务事项协商一致，签订本合同。</w:t>
      </w:r>
    </w:p>
    <w:p w14:paraId="72F63DE0">
      <w:pPr>
        <w:widowControl w:val="0"/>
        <w:wordWrap w:val="0"/>
        <w:adjustRightInd w:val="0"/>
        <w:snapToGrid w:val="0"/>
        <w:spacing w:before="157" w:beforeLines="50" w:afterLines="0" w:line="455" w:lineRule="exact"/>
        <w:ind w:firstLine="562" w:firstLineChars="200"/>
        <w:jc w:val="both"/>
        <w:rPr>
          <w:rFonts w:hint="default" w:ascii="宋体" w:hAnsi="宋体" w:eastAsia="宋体" w:cs="宋体"/>
          <w:b/>
          <w:bCs/>
          <w:color w:val="000000"/>
          <w:kern w:val="0"/>
          <w:sz w:val="28"/>
          <w:szCs w:val="28"/>
          <w:lang w:val="en-US" w:eastAsia="zh-CN" w:bidi="ar-SA"/>
        </w:rPr>
      </w:pPr>
      <w:r>
        <w:rPr>
          <w:rFonts w:hint="eastAsia" w:ascii="宋体" w:hAnsi="宋体" w:eastAsia="宋体" w:cs="宋体"/>
          <w:b/>
          <w:bCs/>
          <w:color w:val="000000"/>
          <w:kern w:val="0"/>
          <w:sz w:val="28"/>
          <w:szCs w:val="28"/>
          <w:lang w:val="en-US" w:eastAsia="zh-CN" w:bidi="ar-SA"/>
        </w:rPr>
        <w:t>一、项目概况</w:t>
      </w:r>
      <w:r>
        <w:rPr>
          <w:rFonts w:hint="eastAsia" w:ascii="宋体" w:hAnsi="宋体" w:eastAsia="仿宋_GB2312" w:cs="宋体"/>
          <w:b/>
          <w:bCs/>
          <w:color w:val="000000"/>
          <w:kern w:val="0"/>
          <w:sz w:val="28"/>
          <w:szCs w:val="28"/>
          <w:lang w:val="en-US" w:eastAsia="zh-CN" w:bidi="ar-SA"/>
        </w:rPr>
        <w:t xml:space="preserve">    </w:t>
      </w:r>
    </w:p>
    <w:p w14:paraId="36D35193">
      <w:pPr>
        <w:widowControl w:val="0"/>
        <w:wordWrap w:val="0"/>
        <w:adjustRightInd w:val="0"/>
        <w:snapToGrid w:val="0"/>
        <w:spacing w:before="157" w:beforeLines="50" w:afterLines="0" w:line="455" w:lineRule="exact"/>
        <w:ind w:firstLine="560" w:firstLineChars="200"/>
        <w:jc w:val="both"/>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（一）服务范围：</w:t>
      </w:r>
    </w:p>
    <w:p w14:paraId="5FD0BCBD">
      <w:pPr>
        <w:widowControl w:val="0"/>
        <w:wordWrap w:val="0"/>
        <w:adjustRightInd w:val="0"/>
        <w:snapToGrid w:val="0"/>
        <w:spacing w:before="157" w:beforeLines="50" w:afterLines="0" w:line="455" w:lineRule="exact"/>
        <w:ind w:firstLine="560" w:firstLineChars="200"/>
        <w:jc w:val="both"/>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 xml:space="preserve">天涯区南海场站片区（含南海社区、红旗街社区、建设街社区、新建社区、春园社区、机场路社区、儋州村社区、光明社区、和平社区、群众街社区、榆港社区、朝阳社区、友谊路社区、场站社区、岭北社区、金鸡岭路社区、鸭仔塘社区、回新社区、羊新社区、回辉社区、海坡社区，三亚湾社区、育春路社区、桃源社区、羊栏村委会、桶井村委会）共26个村（居）委会内、外环境病媒生物防制。    </w:t>
      </w:r>
    </w:p>
    <w:p w14:paraId="2EF65930">
      <w:pPr>
        <w:widowControl w:val="0"/>
        <w:wordWrap w:val="0"/>
        <w:adjustRightInd w:val="0"/>
        <w:snapToGrid w:val="0"/>
        <w:spacing w:before="157" w:beforeLines="50" w:afterLines="0" w:line="455" w:lineRule="exact"/>
        <w:ind w:firstLine="560" w:firstLineChars="200"/>
        <w:jc w:val="both"/>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天涯区南岛西岛片区（含妙林村委会村委会、水蛟村委会、槟榔村委会、抱龙村委会、抱前村委会、台楼村委会、扎南村委会、立新村委会、新联村委会、南岛社区、西岛社区、马岭社区、黑土村委会、梅村村委会、布甫村委会、华丽村委会、塔岭村委会、过岭村委会。文门村委会、红塘村委会）共20个村（居）委会内、外环境病媒生物防制。</w:t>
      </w:r>
    </w:p>
    <w:p w14:paraId="4A931455">
      <w:pPr>
        <w:widowControl w:val="0"/>
        <w:wordWrap w:val="0"/>
        <w:adjustRightInd w:val="0"/>
        <w:snapToGrid w:val="0"/>
        <w:spacing w:before="157" w:beforeLines="50" w:afterLines="0" w:line="455" w:lineRule="exact"/>
        <w:ind w:firstLine="560" w:firstLineChars="200"/>
        <w:jc w:val="both"/>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具体防制区域为以上范围内的村（居）委会、商铺店铺、临时市场、200平方米以下各小行业（小旅店、小餐饮店、小美容美发店、小歌舞厅、小食品流通店等）首层、政府机关、三无小区、区管学校、破产企业、废品收购站、垃圾（中转）站、公共绿地、公园、公厕、下水道、主次干道、背街小巷等范围。</w:t>
      </w:r>
    </w:p>
    <w:p w14:paraId="016DD142">
      <w:pPr>
        <w:widowControl w:val="0"/>
        <w:tabs>
          <w:tab w:val="left" w:pos="851"/>
        </w:tabs>
        <w:wordWrap w:val="0"/>
        <w:adjustRightInd w:val="0"/>
        <w:snapToGrid w:val="0"/>
        <w:spacing w:before="157" w:beforeLines="50" w:afterLines="0" w:line="455" w:lineRule="exact"/>
        <w:ind w:firstLine="560" w:firstLineChars="200"/>
        <w:jc w:val="both"/>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（二）项目服务要求</w:t>
      </w:r>
    </w:p>
    <w:p w14:paraId="233D2954">
      <w:pPr>
        <w:widowControl w:val="0"/>
        <w:wordWrap w:val="0"/>
        <w:adjustRightInd w:val="0"/>
        <w:snapToGrid w:val="0"/>
        <w:spacing w:before="157" w:beforeLines="50" w:afterLines="0" w:line="455" w:lineRule="exact"/>
        <w:ind w:firstLine="560" w:firstLineChars="200"/>
        <w:jc w:val="both"/>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1.乙方指派xxx（身份证号：xxxxx，联系电话：1xxxx）负责与甲方指定人员进行工作对接，并组织专业人员负责对三亚市</w:t>
      </w:r>
      <w:r>
        <w:rPr>
          <w:rFonts w:hint="eastAsia" w:ascii="宋体" w:hAnsi="宋体" w:eastAsia="仿宋_GB2312" w:cs="宋体"/>
          <w:color w:val="000000"/>
          <w:kern w:val="0"/>
          <w:sz w:val="28"/>
          <w:szCs w:val="28"/>
          <w:lang w:val="en-US" w:eastAsia="zh-CN" w:bidi="ar-SA"/>
        </w:rPr>
        <w:t>天涯区范围的</w:t>
      </w:r>
      <w:r>
        <w:rPr>
          <w:rFonts w:hint="eastAsia" w:ascii="宋体" w:hAnsi="宋体" w:eastAsia="宋体" w:cs="宋体"/>
          <w:color w:val="000000"/>
          <w:kern w:val="0"/>
          <w:sz w:val="28"/>
          <w:szCs w:val="28"/>
          <w:lang w:val="en-US" w:eastAsia="zh-CN" w:bidi="ar-SA"/>
        </w:rPr>
        <w:t>村（居）委会全境进行病媒生物防制摸底调查，制定消杀或防制方案、工作流程、作业地点、用药效果等，每阶段要有明细报表，明细报表应报甲方审核通过或备案后实施。</w:t>
      </w:r>
    </w:p>
    <w:p w14:paraId="01640F5A">
      <w:pPr>
        <w:widowControl w:val="0"/>
        <w:wordWrap w:val="0"/>
        <w:adjustRightInd w:val="0"/>
        <w:snapToGrid w:val="0"/>
        <w:spacing w:before="157" w:beforeLines="50" w:afterLines="0" w:line="455" w:lineRule="exact"/>
        <w:ind w:firstLine="560" w:firstLineChars="200"/>
        <w:jc w:val="both"/>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2.要求乙方每月对承包辖区全境内，至少组织全面消杀</w:t>
      </w:r>
      <w:r>
        <w:rPr>
          <w:rFonts w:hint="eastAsia" w:ascii="宋体" w:hAnsi="宋体" w:eastAsia="仿宋_GB2312" w:cs="宋体"/>
          <w:color w:val="000000"/>
          <w:kern w:val="0"/>
          <w:sz w:val="28"/>
          <w:szCs w:val="28"/>
          <w:lang w:val="en-US" w:eastAsia="zh-CN" w:bidi="ar-SA"/>
        </w:rPr>
        <w:t>1</w:t>
      </w:r>
      <w:r>
        <w:rPr>
          <w:rFonts w:hint="eastAsia" w:ascii="宋体" w:hAnsi="宋体" w:eastAsia="宋体" w:cs="宋体"/>
          <w:color w:val="000000"/>
          <w:kern w:val="0"/>
          <w:sz w:val="28"/>
          <w:szCs w:val="28"/>
          <w:lang w:val="en-US" w:eastAsia="zh-CN" w:bidi="ar-SA"/>
        </w:rPr>
        <w:t>次，消杀时间要集中、统一，以确保消杀效果。甲方或甲方委托的第三方专业机构将定期进行考核检查。</w:t>
      </w:r>
    </w:p>
    <w:p w14:paraId="5A259DD1">
      <w:pPr>
        <w:widowControl w:val="0"/>
        <w:tabs>
          <w:tab w:val="left" w:pos="851"/>
        </w:tabs>
        <w:wordWrap w:val="0"/>
        <w:adjustRightInd w:val="0"/>
        <w:snapToGrid w:val="0"/>
        <w:spacing w:before="157" w:beforeLines="50" w:afterLines="0" w:line="455" w:lineRule="exact"/>
        <w:ind w:firstLine="560" w:firstLineChars="200"/>
        <w:jc w:val="both"/>
        <w:rPr>
          <w:rFonts w:hint="eastAsia" w:ascii="宋体" w:hAnsi="宋体" w:eastAsia="宋体" w:cs="宋体"/>
          <w:color w:val="000000"/>
          <w:kern w:val="0"/>
          <w:sz w:val="28"/>
          <w:szCs w:val="28"/>
          <w:lang w:val="en-US" w:eastAsia="zh-CN" w:bidi="ar-SA"/>
        </w:rPr>
      </w:pPr>
      <w:r>
        <w:rPr>
          <w:rFonts w:hint="eastAsia" w:ascii="宋体" w:hAnsi="宋体" w:eastAsia="宋体" w:cs="宋体"/>
          <w:bCs/>
          <w:color w:val="000000"/>
          <w:kern w:val="0"/>
          <w:sz w:val="28"/>
          <w:szCs w:val="28"/>
          <w:lang w:val="en-US" w:eastAsia="zh-CN" w:bidi="ar-SA"/>
        </w:rPr>
        <w:t>（三）作业和质量要求</w:t>
      </w:r>
    </w:p>
    <w:p w14:paraId="78C41958">
      <w:pPr>
        <w:widowControl w:val="0"/>
        <w:wordWrap w:val="0"/>
        <w:adjustRightInd w:val="0"/>
        <w:snapToGrid w:val="0"/>
        <w:spacing w:before="157" w:beforeLines="50" w:afterLines="0" w:line="455" w:lineRule="exact"/>
        <w:ind w:firstLine="560" w:firstLineChars="200"/>
        <w:jc w:val="both"/>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1.乙方实施杀灭作业前，必须先到现场调查病媒生物的基本情况，对病媒生物的种类、栖息部位、密度状况及孳生环境等情况有全面的了解，因地制宜地制定合理的虫害综合控制方案。乙方提前制定每周消杀计划，按照消杀计划进行工作，以便乙方随时督查。</w:t>
      </w:r>
    </w:p>
    <w:p w14:paraId="53D38970">
      <w:pPr>
        <w:widowControl w:val="0"/>
        <w:wordWrap w:val="0"/>
        <w:adjustRightInd w:val="0"/>
        <w:snapToGrid w:val="0"/>
        <w:spacing w:before="157" w:beforeLines="50" w:afterLines="0" w:line="455" w:lineRule="exact"/>
        <w:ind w:firstLine="560" w:firstLineChars="200"/>
        <w:jc w:val="both"/>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2.根据控制方案备好药品器械和个人防护用品。</w:t>
      </w:r>
    </w:p>
    <w:p w14:paraId="7E0CD3BD">
      <w:pPr>
        <w:widowControl w:val="0"/>
        <w:wordWrap w:val="0"/>
        <w:adjustRightInd w:val="0"/>
        <w:snapToGrid w:val="0"/>
        <w:spacing w:before="157" w:beforeLines="50" w:afterLines="0" w:line="455" w:lineRule="exact"/>
        <w:ind w:firstLine="560" w:firstLineChars="200"/>
        <w:jc w:val="both"/>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3.乙方实施防制作业，应遵守安全操作规定，合理用药，施药到位，保证防制效果，并防止药品污染环境。若乙方造成环境污染的，应当立即采取措施消除对环境的影响，并承担由此产生的费用以及给甲方造成的一切损失。</w:t>
      </w:r>
    </w:p>
    <w:p w14:paraId="2492A049">
      <w:pPr>
        <w:widowControl w:val="0"/>
        <w:wordWrap w:val="0"/>
        <w:adjustRightInd w:val="0"/>
        <w:snapToGrid w:val="0"/>
        <w:spacing w:before="157" w:beforeLines="50" w:afterLines="0" w:line="455" w:lineRule="exact"/>
        <w:ind w:firstLine="560" w:firstLineChars="200"/>
        <w:jc w:val="both"/>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4.乙方防制人员作业完成后应认真填写《病媒生物防制记录作业单》并交由服务的村（社区）签认后，村（社区）、甲方、乙方各一份，保存备查。</w:t>
      </w:r>
    </w:p>
    <w:p w14:paraId="2F93A062">
      <w:pPr>
        <w:widowControl w:val="0"/>
        <w:wordWrap w:val="0"/>
        <w:adjustRightInd w:val="0"/>
        <w:snapToGrid w:val="0"/>
        <w:spacing w:before="157" w:beforeLines="50" w:afterLines="0" w:line="455" w:lineRule="exact"/>
        <w:ind w:firstLine="560" w:firstLineChars="200"/>
        <w:jc w:val="both"/>
        <w:rPr>
          <w:rFonts w:hint="eastAsia" w:ascii="宋体" w:hAnsi="宋体" w:eastAsia="宋体" w:cs="宋体"/>
          <w:color w:val="000000"/>
          <w:kern w:val="0"/>
          <w:sz w:val="28"/>
          <w:szCs w:val="28"/>
          <w:lang w:val="en-US" w:eastAsia="zh-CN" w:bidi="ar-SA"/>
        </w:rPr>
      </w:pPr>
      <w:r>
        <w:rPr>
          <w:rFonts w:hint="eastAsia" w:ascii="宋体" w:hAnsi="宋体" w:eastAsia="仿宋_GB2312" w:cs="宋体"/>
          <w:color w:val="000000"/>
          <w:kern w:val="0"/>
          <w:sz w:val="28"/>
          <w:szCs w:val="28"/>
          <w:lang w:val="en-US" w:eastAsia="zh-CN" w:bidi="ar-SA"/>
        </w:rPr>
        <w:t>5</w:t>
      </w:r>
      <w:r>
        <w:rPr>
          <w:rFonts w:hint="eastAsia" w:ascii="宋体" w:hAnsi="宋体" w:eastAsia="宋体" w:cs="宋体"/>
          <w:color w:val="000000"/>
          <w:kern w:val="0"/>
          <w:sz w:val="28"/>
          <w:szCs w:val="28"/>
          <w:lang w:val="en-US" w:eastAsia="zh-CN" w:bidi="ar-SA"/>
        </w:rPr>
        <w:t>.乙方应将每天工作情况及工作中存在的问题通过“美篇”等方式及时报送给甲方或甲方指定的相关职能部门（休息日除外）。</w:t>
      </w:r>
    </w:p>
    <w:p w14:paraId="014D2925">
      <w:pPr>
        <w:widowControl w:val="0"/>
        <w:tabs>
          <w:tab w:val="left" w:pos="851"/>
        </w:tabs>
        <w:wordWrap w:val="0"/>
        <w:adjustRightInd w:val="0"/>
        <w:snapToGrid w:val="0"/>
        <w:spacing w:before="157" w:beforeLines="50" w:afterLines="0" w:line="455" w:lineRule="exact"/>
        <w:ind w:firstLine="560" w:firstLineChars="200"/>
        <w:jc w:val="both"/>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（四）天涯区范围的村（居）委会病媒生物防制标准</w:t>
      </w:r>
    </w:p>
    <w:p w14:paraId="4FDB0FF3">
      <w:pPr>
        <w:wordWrap w:val="0"/>
        <w:adjustRightInd w:val="0"/>
        <w:snapToGrid w:val="0"/>
        <w:spacing w:before="157" w:beforeLines="50" w:afterLines="0" w:line="455" w:lineRule="exact"/>
        <w:ind w:firstLine="560" w:firstLineChars="200"/>
        <w:jc w:val="both"/>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天涯区内、外环境病媒生物密度控制在国家病媒生物控制水平C级以上标准，且须第三方评估机构验收并出具验收报告。</w:t>
      </w:r>
    </w:p>
    <w:p w14:paraId="6F3CF597">
      <w:pPr>
        <w:widowControl w:val="0"/>
        <w:wordWrap w:val="0"/>
        <w:adjustRightInd w:val="0"/>
        <w:snapToGrid w:val="0"/>
        <w:spacing w:before="157" w:beforeLines="50" w:afterLines="0" w:line="455" w:lineRule="exact"/>
        <w:ind w:firstLine="562" w:firstLineChars="200"/>
        <w:jc w:val="both"/>
        <w:rPr>
          <w:rFonts w:hint="eastAsia" w:ascii="宋体" w:hAnsi="宋体" w:eastAsia="宋体" w:cs="宋体"/>
          <w:b/>
          <w:bCs/>
          <w:color w:val="000000"/>
          <w:kern w:val="0"/>
          <w:sz w:val="28"/>
          <w:szCs w:val="28"/>
          <w:lang w:val="en-US" w:eastAsia="zh-CN" w:bidi="ar-SA"/>
        </w:rPr>
      </w:pPr>
      <w:r>
        <w:rPr>
          <w:rFonts w:hint="eastAsia" w:ascii="宋体" w:hAnsi="宋体" w:eastAsia="宋体" w:cs="宋体"/>
          <w:b/>
          <w:bCs/>
          <w:color w:val="000000"/>
          <w:kern w:val="0"/>
          <w:sz w:val="28"/>
          <w:szCs w:val="28"/>
          <w:lang w:val="en-US" w:eastAsia="zh-CN" w:bidi="ar-SA"/>
        </w:rPr>
        <w:t>二、服务承包期限、承包方式</w:t>
      </w:r>
    </w:p>
    <w:p w14:paraId="600B92A6">
      <w:pPr>
        <w:widowControl/>
        <w:wordWrap w:val="0"/>
        <w:adjustRightInd/>
        <w:snapToGrid/>
        <w:spacing w:before="157" w:beforeLines="50" w:afterLines="0" w:line="455" w:lineRule="exact"/>
        <w:ind w:firstLine="0"/>
        <w:jc w:val="both"/>
        <w:rPr>
          <w:rFonts w:hint="eastAsia" w:ascii="宋体" w:hAnsi="宋体" w:eastAsia="宋体" w:cs="宋体"/>
          <w:b w:val="0"/>
          <w:bCs/>
          <w:color w:val="000000"/>
          <w:kern w:val="0"/>
          <w:sz w:val="28"/>
          <w:szCs w:val="28"/>
          <w:u w:val="none"/>
        </w:rPr>
      </w:pPr>
      <w:r>
        <w:rPr>
          <w:rFonts w:hint="eastAsia" w:ascii="宋体" w:hAnsi="宋体" w:eastAsia="宋体" w:cs="宋体"/>
          <w:color w:val="000000"/>
          <w:kern w:val="0"/>
          <w:sz w:val="28"/>
          <w:szCs w:val="28"/>
          <w:lang w:val="en-US" w:eastAsia="zh-CN"/>
        </w:rPr>
        <w:t xml:space="preserve">    </w:t>
      </w:r>
      <w:r>
        <w:rPr>
          <w:rFonts w:hint="eastAsia" w:ascii="宋体" w:hAnsi="宋体" w:eastAsia="宋体" w:cs="宋体"/>
          <w:color w:val="000000"/>
          <w:kern w:val="0"/>
          <w:sz w:val="28"/>
          <w:szCs w:val="28"/>
        </w:rPr>
        <w:t>（一）服务承包期限：甲方与中标单位签订协议之日</w:t>
      </w:r>
      <w:r>
        <w:rPr>
          <w:rFonts w:hint="eastAsia" w:ascii="宋体" w:hAnsi="宋体" w:cs="宋体"/>
          <w:color w:val="000000"/>
          <w:kern w:val="0"/>
          <w:sz w:val="28"/>
          <w:szCs w:val="28"/>
          <w:lang w:eastAsia="zh-CN"/>
        </w:rPr>
        <w:t>至</w:t>
      </w:r>
      <w:r>
        <w:rPr>
          <w:rFonts w:hint="eastAsia" w:ascii="宋体" w:hAnsi="宋体" w:cs="宋体"/>
          <w:color w:val="000000"/>
          <w:kern w:val="0"/>
          <w:sz w:val="28"/>
          <w:szCs w:val="28"/>
          <w:lang w:val="en-US" w:eastAsia="zh-CN"/>
        </w:rPr>
        <w:t>2026年12月31日</w:t>
      </w:r>
      <w:r>
        <w:rPr>
          <w:rFonts w:hint="eastAsia" w:ascii="宋体" w:hAnsi="宋体" w:eastAsia="宋体" w:cs="宋体"/>
          <w:color w:val="000000"/>
          <w:kern w:val="0"/>
          <w:sz w:val="28"/>
          <w:szCs w:val="28"/>
          <w:lang w:eastAsia="zh-CN"/>
        </w:rPr>
        <w:t>。</w:t>
      </w:r>
    </w:p>
    <w:p w14:paraId="6500873E">
      <w:pPr>
        <w:widowControl w:val="0"/>
        <w:wordWrap w:val="0"/>
        <w:adjustRightInd w:val="0"/>
        <w:snapToGrid w:val="0"/>
        <w:spacing w:before="157" w:beforeLines="50" w:afterLines="0" w:line="455" w:lineRule="exact"/>
        <w:ind w:firstLine="560"/>
        <w:jc w:val="both"/>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（二）承包方式：采用全包干形式，即业务包干、经费包干。甲方将三亚市</w:t>
      </w:r>
      <w:r>
        <w:rPr>
          <w:rFonts w:hint="eastAsia" w:ascii="宋体" w:hAnsi="宋体" w:eastAsia="宋体" w:cs="宋体"/>
          <w:color w:val="000000"/>
          <w:kern w:val="0"/>
          <w:sz w:val="28"/>
          <w:szCs w:val="28"/>
          <w:lang w:eastAsia="zh-CN"/>
        </w:rPr>
        <w:t>天涯区范围的</w:t>
      </w:r>
      <w:r>
        <w:rPr>
          <w:rFonts w:hint="eastAsia" w:ascii="宋体" w:hAnsi="宋体" w:eastAsia="宋体" w:cs="宋体"/>
          <w:color w:val="000000"/>
          <w:kern w:val="0"/>
          <w:sz w:val="28"/>
          <w:szCs w:val="28"/>
        </w:rPr>
        <w:t>村（居）委会内、外环境病媒生物防制相应经费交给乙方，乙方按甲方的管理要求和标准组织除“四害”消杀工作，并接受甲方的指导、监督。</w:t>
      </w:r>
    </w:p>
    <w:p w14:paraId="4727F61F">
      <w:pPr>
        <w:widowControl w:val="0"/>
        <w:wordWrap w:val="0"/>
        <w:adjustRightInd w:val="0"/>
        <w:snapToGrid w:val="0"/>
        <w:spacing w:before="157" w:beforeLines="50" w:afterLines="0" w:line="455" w:lineRule="exact"/>
        <w:ind w:firstLine="562" w:firstLineChars="200"/>
        <w:jc w:val="both"/>
        <w:rPr>
          <w:rFonts w:hint="eastAsia" w:ascii="宋体" w:hAnsi="宋体" w:eastAsia="宋体" w:cs="宋体"/>
          <w:b/>
          <w:color w:val="000000"/>
          <w:kern w:val="0"/>
          <w:sz w:val="28"/>
          <w:szCs w:val="28"/>
          <w:lang w:val="en-US" w:eastAsia="zh-CN" w:bidi="ar-SA"/>
        </w:rPr>
      </w:pPr>
      <w:r>
        <w:rPr>
          <w:rFonts w:hint="eastAsia" w:ascii="宋体" w:hAnsi="宋体" w:eastAsia="宋体" w:cs="宋体"/>
          <w:b/>
          <w:color w:val="000000"/>
          <w:kern w:val="0"/>
          <w:sz w:val="28"/>
          <w:szCs w:val="28"/>
          <w:lang w:val="en-US" w:eastAsia="zh-CN" w:bidi="ar-SA"/>
        </w:rPr>
        <w:t>三、服务承包费及支付方式</w:t>
      </w:r>
    </w:p>
    <w:p w14:paraId="37A9C399">
      <w:pPr>
        <w:widowControl w:val="0"/>
        <w:wordWrap w:val="0"/>
        <w:adjustRightInd w:val="0"/>
        <w:snapToGrid w:val="0"/>
        <w:spacing w:before="157" w:beforeLines="50" w:afterLines="0" w:line="455" w:lineRule="exact"/>
        <w:ind w:firstLine="560" w:firstLineChars="200"/>
        <w:jc w:val="both"/>
        <w:rPr>
          <w:rFonts w:hint="eastAsia" w:ascii="宋体" w:hAnsi="宋体" w:eastAsia="宋体" w:cs="宋体"/>
          <w:color w:val="000000"/>
          <w:kern w:val="0"/>
          <w:sz w:val="28"/>
          <w:szCs w:val="28"/>
          <w:lang w:eastAsia="zh-CN"/>
        </w:rPr>
      </w:pPr>
      <w:r>
        <w:rPr>
          <w:rFonts w:hint="eastAsia" w:ascii="宋体" w:hAnsi="宋体" w:eastAsia="宋体" w:cs="宋体"/>
          <w:color w:val="000000"/>
          <w:kern w:val="0"/>
          <w:sz w:val="28"/>
          <w:szCs w:val="28"/>
        </w:rPr>
        <w:t>（一）合同</w:t>
      </w:r>
      <w:r>
        <w:rPr>
          <w:rFonts w:hint="eastAsia" w:ascii="宋体" w:hAnsi="宋体" w:eastAsia="宋体" w:cs="宋体"/>
          <w:color w:val="000000"/>
          <w:kern w:val="0"/>
          <w:sz w:val="28"/>
          <w:szCs w:val="28"/>
          <w:lang w:eastAsia="zh-CN"/>
        </w:rPr>
        <w:t>金额</w:t>
      </w:r>
      <w:r>
        <w:rPr>
          <w:rFonts w:hint="eastAsia" w:ascii="宋体" w:hAnsi="宋体" w:eastAsia="宋体" w:cs="宋体"/>
          <w:color w:val="000000"/>
          <w:kern w:val="0"/>
          <w:sz w:val="28"/>
          <w:szCs w:val="28"/>
        </w:rPr>
        <w:t>：</w:t>
      </w:r>
      <w:r>
        <w:rPr>
          <w:rFonts w:hint="eastAsia" w:ascii="宋体" w:hAnsi="宋体" w:eastAsia="宋体" w:cs="宋体"/>
          <w:color w:val="000000"/>
          <w:kern w:val="0"/>
          <w:sz w:val="28"/>
          <w:szCs w:val="28"/>
          <w:lang w:val="en-US" w:eastAsia="zh-CN"/>
        </w:rPr>
        <w:t>合同总价暂计</w:t>
      </w:r>
      <w:r>
        <w:rPr>
          <w:rFonts w:hint="eastAsia" w:ascii="宋体" w:hAnsi="宋体" w:eastAsia="宋体" w:cs="宋体"/>
          <w:b/>
          <w:bCs/>
          <w:color w:val="000000"/>
          <w:kern w:val="0"/>
          <w:sz w:val="28"/>
          <w:szCs w:val="28"/>
        </w:rPr>
        <w:t>￥：</w:t>
      </w:r>
      <w:r>
        <w:rPr>
          <w:rFonts w:hint="eastAsia" w:ascii="宋体" w:hAnsi="宋体" w:cs="宋体"/>
          <w:b/>
          <w:bCs/>
          <w:color w:val="000000"/>
          <w:kern w:val="0"/>
          <w:sz w:val="28"/>
          <w:szCs w:val="28"/>
          <w:lang w:val="en-US" w:eastAsia="zh-CN"/>
        </w:rPr>
        <w:t xml:space="preserve">    </w:t>
      </w:r>
      <w:r>
        <w:rPr>
          <w:rFonts w:hint="eastAsia" w:ascii="宋体" w:hAnsi="宋体" w:eastAsia="宋体" w:cs="宋体"/>
          <w:b/>
          <w:bCs/>
          <w:color w:val="000000"/>
          <w:kern w:val="0"/>
          <w:sz w:val="28"/>
          <w:szCs w:val="28"/>
        </w:rPr>
        <w:t>元</w:t>
      </w:r>
      <w:r>
        <w:rPr>
          <w:rFonts w:hint="eastAsia" w:ascii="宋体" w:hAnsi="宋体" w:cs="宋体"/>
          <w:b/>
          <w:bCs/>
          <w:color w:val="000000"/>
          <w:kern w:val="0"/>
          <w:sz w:val="28"/>
          <w:szCs w:val="28"/>
          <w:lang w:eastAsia="zh-CN"/>
        </w:rPr>
        <w:t>（</w:t>
      </w:r>
      <w:r>
        <w:rPr>
          <w:rFonts w:hint="eastAsia" w:ascii="宋体" w:hAnsi="宋体" w:cs="宋体"/>
          <w:b/>
          <w:bCs/>
          <w:color w:val="000000"/>
          <w:kern w:val="0"/>
          <w:sz w:val="28"/>
          <w:szCs w:val="28"/>
          <w:lang w:val="en-US" w:eastAsia="zh-CN"/>
        </w:rPr>
        <w:t xml:space="preserve">大写：    </w:t>
      </w:r>
      <w:r>
        <w:rPr>
          <w:rFonts w:hint="eastAsia" w:ascii="宋体" w:hAnsi="宋体" w:cs="宋体"/>
          <w:b/>
          <w:bCs/>
          <w:color w:val="000000"/>
          <w:kern w:val="0"/>
          <w:sz w:val="28"/>
          <w:szCs w:val="28"/>
          <w:lang w:eastAsia="zh-CN"/>
        </w:rPr>
        <w:t>）</w:t>
      </w:r>
      <w:r>
        <w:rPr>
          <w:rFonts w:hint="eastAsia" w:ascii="宋体" w:hAnsi="宋体" w:eastAsia="宋体" w:cs="宋体"/>
          <w:b/>
          <w:bCs/>
          <w:color w:val="000000"/>
          <w:kern w:val="0"/>
          <w:sz w:val="28"/>
          <w:szCs w:val="28"/>
          <w:lang w:eastAsia="zh-CN"/>
        </w:rPr>
        <w:t>，</w:t>
      </w:r>
      <w:r>
        <w:rPr>
          <w:rFonts w:hint="eastAsia" w:ascii="宋体" w:hAnsi="宋体" w:eastAsia="宋体" w:cs="宋体"/>
          <w:b w:val="0"/>
          <w:bCs w:val="0"/>
          <w:color w:val="000000"/>
          <w:kern w:val="0"/>
          <w:sz w:val="28"/>
          <w:szCs w:val="28"/>
          <w:lang w:eastAsia="zh-CN"/>
        </w:rPr>
        <w:t>合同价格</w:t>
      </w:r>
      <w:r>
        <w:rPr>
          <w:rFonts w:hint="eastAsia" w:ascii="宋体" w:hAnsi="宋体" w:eastAsia="宋体" w:cs="宋体"/>
          <w:color w:val="000000"/>
          <w:kern w:val="0"/>
          <w:sz w:val="28"/>
          <w:szCs w:val="28"/>
        </w:rPr>
        <w:t>包括乙方全年管理费、人员费用（含工资、奖金、社保及教育培训、暂住费用、处理一切伤亡事故等费用）、税费、生产资料（各种消杀器械及其耗损）等一切费用。</w:t>
      </w:r>
    </w:p>
    <w:p w14:paraId="7AC41698">
      <w:pPr>
        <w:widowControl w:val="0"/>
        <w:tabs>
          <w:tab w:val="left" w:pos="851"/>
        </w:tabs>
        <w:wordWrap w:val="0"/>
        <w:adjustRightInd w:val="0"/>
        <w:snapToGrid w:val="0"/>
        <w:spacing w:before="157" w:beforeLines="50" w:afterLines="0" w:line="455" w:lineRule="exact"/>
        <w:ind w:firstLine="560" w:firstLineChars="200"/>
        <w:jc w:val="both"/>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（二）付款方式</w:t>
      </w:r>
    </w:p>
    <w:p w14:paraId="24333C02">
      <w:pPr>
        <w:widowControl w:val="0"/>
        <w:wordWrap w:val="0"/>
        <w:adjustRightInd w:val="0"/>
        <w:snapToGrid w:val="0"/>
        <w:spacing w:before="157" w:beforeLines="50" w:afterLines="0" w:line="455" w:lineRule="exact"/>
        <w:ind w:firstLine="560" w:firstLineChars="200"/>
        <w:jc w:val="both"/>
        <w:rPr>
          <w:rFonts w:hint="eastAsia" w:ascii="宋体" w:hAnsi="宋体" w:eastAsia="宋体" w:cs="宋体"/>
          <w:b w:val="0"/>
          <w:bCs w:val="0"/>
          <w:color w:val="000000"/>
          <w:kern w:val="0"/>
          <w:sz w:val="28"/>
          <w:szCs w:val="28"/>
          <w:lang w:val="en-US" w:eastAsia="zh-CN"/>
        </w:rPr>
      </w:pPr>
      <w:r>
        <w:rPr>
          <w:rFonts w:hint="eastAsia" w:ascii="宋体" w:hAnsi="宋体" w:eastAsia="宋体" w:cs="宋体"/>
          <w:b w:val="0"/>
          <w:bCs w:val="0"/>
          <w:color w:val="000000"/>
          <w:kern w:val="0"/>
          <w:sz w:val="28"/>
          <w:szCs w:val="28"/>
          <w:lang w:val="en-US" w:eastAsia="zh-CN"/>
        </w:rPr>
        <w:t>甲方分四个阶段付款，具体付款时间及条件如下：</w:t>
      </w:r>
    </w:p>
    <w:p w14:paraId="3638EF45">
      <w:pPr>
        <w:widowControl w:val="0"/>
        <w:wordWrap w:val="0"/>
        <w:adjustRightInd w:val="0"/>
        <w:snapToGrid w:val="0"/>
        <w:spacing w:before="157" w:beforeLines="50" w:afterLines="0" w:line="455" w:lineRule="exact"/>
        <w:ind w:firstLine="560" w:firstLineChars="200"/>
        <w:jc w:val="both"/>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1.第一阶段（</w:t>
      </w:r>
      <w:r>
        <w:rPr>
          <w:rFonts w:hint="eastAsia" w:ascii="宋体" w:hAnsi="宋体" w:cs="宋体"/>
          <w:color w:val="000000"/>
          <w:kern w:val="0"/>
          <w:sz w:val="28"/>
          <w:szCs w:val="28"/>
          <w:lang w:val="en-US" w:eastAsia="zh-CN" w:bidi="ar-SA"/>
        </w:rPr>
        <w:t xml:space="preserve">     </w:t>
      </w:r>
      <w:r>
        <w:rPr>
          <w:rFonts w:hint="eastAsia" w:ascii="宋体" w:hAnsi="宋体" w:eastAsia="宋体" w:cs="宋体"/>
          <w:color w:val="000000"/>
          <w:kern w:val="0"/>
          <w:sz w:val="28"/>
          <w:szCs w:val="28"/>
          <w:lang w:val="en-US" w:eastAsia="zh-CN" w:bidi="ar-SA"/>
        </w:rPr>
        <w:t>），病媒公司完成工作后，提供作业台账，并由甲方验收乙方施工完成情况后,向乙方支付第一阶段的服务款。</w:t>
      </w:r>
    </w:p>
    <w:p w14:paraId="5C500C8F">
      <w:pPr>
        <w:widowControl w:val="0"/>
        <w:wordWrap w:val="0"/>
        <w:adjustRightInd w:val="0"/>
        <w:snapToGrid w:val="0"/>
        <w:spacing w:before="157" w:beforeLines="50" w:afterLines="0" w:line="455" w:lineRule="exact"/>
        <w:ind w:firstLine="560" w:firstLineChars="200"/>
        <w:jc w:val="both"/>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2.第二阶段（</w:t>
      </w:r>
      <w:r>
        <w:rPr>
          <w:rFonts w:hint="eastAsia" w:ascii="宋体" w:hAnsi="宋体" w:cs="宋体"/>
          <w:color w:val="000000"/>
          <w:kern w:val="0"/>
          <w:sz w:val="28"/>
          <w:szCs w:val="28"/>
          <w:lang w:val="en-US" w:eastAsia="zh-CN" w:bidi="ar-SA"/>
        </w:rPr>
        <w:t xml:space="preserve">     </w:t>
      </w:r>
      <w:r>
        <w:rPr>
          <w:rFonts w:hint="eastAsia" w:ascii="宋体" w:hAnsi="宋体" w:eastAsia="宋体" w:cs="宋体"/>
          <w:color w:val="000000"/>
          <w:kern w:val="0"/>
          <w:sz w:val="28"/>
          <w:szCs w:val="28"/>
          <w:lang w:val="en-US" w:eastAsia="zh-CN" w:bidi="ar-SA"/>
        </w:rPr>
        <w:t>），病媒公司完成工作后，提供作业台账，并由甲方验收乙方施工完成情况后,向乙方支付第一阶段的服务款。</w:t>
      </w:r>
    </w:p>
    <w:p w14:paraId="74D3B6DC">
      <w:pPr>
        <w:widowControl w:val="0"/>
        <w:wordWrap w:val="0"/>
        <w:adjustRightInd w:val="0"/>
        <w:snapToGrid w:val="0"/>
        <w:spacing w:before="157" w:beforeLines="50" w:afterLines="0" w:line="455" w:lineRule="exact"/>
        <w:ind w:firstLine="560" w:firstLineChars="200"/>
        <w:jc w:val="both"/>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3.第三阶段（</w:t>
      </w:r>
      <w:r>
        <w:rPr>
          <w:rFonts w:hint="eastAsia" w:ascii="宋体" w:hAnsi="宋体" w:cs="宋体"/>
          <w:color w:val="000000"/>
          <w:kern w:val="0"/>
          <w:sz w:val="28"/>
          <w:szCs w:val="28"/>
          <w:lang w:val="en-US" w:eastAsia="zh-CN" w:bidi="ar-SA"/>
        </w:rPr>
        <w:t xml:space="preserve">     </w:t>
      </w:r>
      <w:r>
        <w:rPr>
          <w:rFonts w:hint="eastAsia" w:ascii="宋体" w:hAnsi="宋体" w:eastAsia="宋体" w:cs="宋体"/>
          <w:color w:val="000000"/>
          <w:kern w:val="0"/>
          <w:sz w:val="28"/>
          <w:szCs w:val="28"/>
          <w:lang w:val="en-US" w:eastAsia="zh-CN" w:bidi="ar-SA"/>
        </w:rPr>
        <w:t>），病媒公司完成工作后，提供作业台账，并由甲方验收乙方施工完成情况后,向乙方支付第一阶段的服务款。</w:t>
      </w:r>
    </w:p>
    <w:p w14:paraId="01CE7170">
      <w:pPr>
        <w:widowControl w:val="0"/>
        <w:wordWrap w:val="0"/>
        <w:adjustRightInd w:val="0"/>
        <w:snapToGrid w:val="0"/>
        <w:spacing w:before="157" w:beforeLines="50" w:afterLines="0" w:line="455" w:lineRule="exact"/>
        <w:ind w:firstLine="560" w:firstLineChars="200"/>
        <w:jc w:val="both"/>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4.第四阶段（</w:t>
      </w:r>
      <w:r>
        <w:rPr>
          <w:rFonts w:hint="eastAsia" w:ascii="宋体" w:hAnsi="宋体" w:cs="宋体"/>
          <w:color w:val="000000"/>
          <w:kern w:val="0"/>
          <w:sz w:val="28"/>
          <w:szCs w:val="28"/>
          <w:lang w:val="en-US" w:eastAsia="zh-CN" w:bidi="ar-SA"/>
        </w:rPr>
        <w:t xml:space="preserve">     </w:t>
      </w:r>
      <w:r>
        <w:rPr>
          <w:rFonts w:hint="eastAsia" w:ascii="宋体" w:hAnsi="宋体" w:eastAsia="宋体" w:cs="宋体"/>
          <w:color w:val="000000"/>
          <w:kern w:val="0"/>
          <w:sz w:val="28"/>
          <w:szCs w:val="28"/>
          <w:lang w:val="en-US" w:eastAsia="zh-CN" w:bidi="ar-SA"/>
        </w:rPr>
        <w:t>），病媒公司完成工作后，提供作业台账，并由甲方验收乙方施工完成情况后,后向乙方支付第一阶段的服务款。</w:t>
      </w:r>
    </w:p>
    <w:p w14:paraId="63548DFC">
      <w:pPr>
        <w:widowControl w:val="0"/>
        <w:wordWrap w:val="0"/>
        <w:adjustRightInd w:val="0"/>
        <w:snapToGrid w:val="0"/>
        <w:spacing w:before="157" w:beforeLines="50" w:afterLines="0" w:line="455" w:lineRule="exact"/>
        <w:ind w:firstLine="560" w:firstLineChars="200"/>
        <w:jc w:val="both"/>
        <w:rPr>
          <w:rFonts w:hint="eastAsia" w:ascii="宋体" w:hAnsi="宋体" w:cs="宋体"/>
          <w:color w:val="000000"/>
          <w:kern w:val="0"/>
          <w:sz w:val="28"/>
          <w:szCs w:val="28"/>
          <w:lang w:val="en-US" w:eastAsia="zh-CN" w:bidi="ar-SA"/>
        </w:rPr>
      </w:pPr>
      <w:r>
        <w:rPr>
          <w:rFonts w:hint="eastAsia" w:ascii="宋体" w:hAnsi="宋体" w:cs="宋体"/>
          <w:color w:val="000000"/>
          <w:kern w:val="0"/>
          <w:sz w:val="28"/>
          <w:szCs w:val="28"/>
          <w:lang w:val="en-US" w:eastAsia="zh-CN" w:bidi="ar-SA"/>
        </w:rPr>
        <w:t>（三）</w:t>
      </w:r>
      <w:r>
        <w:rPr>
          <w:rFonts w:hint="eastAsia" w:ascii="宋体" w:hAnsi="宋体" w:eastAsia="宋体" w:cs="宋体"/>
          <w:color w:val="000000"/>
          <w:kern w:val="0"/>
          <w:sz w:val="28"/>
          <w:szCs w:val="28"/>
          <w:lang w:val="en-US" w:eastAsia="zh-CN"/>
        </w:rPr>
        <w:t>具体付款方式及付款比例：</w:t>
      </w:r>
    </w:p>
    <w:tbl>
      <w:tblPr>
        <w:tblStyle w:val="5"/>
        <w:tblpPr w:leftFromText="180" w:rightFromText="180" w:vertAnchor="text" w:horzAnchor="page" w:tblpX="1260" w:tblpY="579"/>
        <w:tblOverlap w:val="never"/>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19"/>
        <w:gridCol w:w="4230"/>
        <w:gridCol w:w="1515"/>
        <w:gridCol w:w="1667"/>
      </w:tblGrid>
      <w:tr w14:paraId="3BC08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2219" w:type="dxa"/>
            <w:shd w:val="clear" w:color="auto" w:fill="C0C0C0"/>
            <w:noWrap w:val="0"/>
            <w:vAlign w:val="center"/>
          </w:tcPr>
          <w:p w14:paraId="20C66576">
            <w:pPr>
              <w:wordWrap/>
              <w:adjustRightInd w:val="0"/>
              <w:snapToGrid w:val="0"/>
              <w:spacing w:before="0" w:beforeLines="0" w:line="360" w:lineRule="auto"/>
              <w:jc w:val="center"/>
              <w:rPr>
                <w:rFonts w:ascii="宋体" w:hAnsi="宋体" w:eastAsia="宋体" w:cs="宋体"/>
                <w:b/>
                <w:color w:val="000000"/>
                <w:kern w:val="0"/>
                <w:sz w:val="28"/>
                <w:szCs w:val="28"/>
              </w:rPr>
            </w:pPr>
            <w:r>
              <w:rPr>
                <w:rFonts w:hint="eastAsia" w:ascii="宋体" w:hAnsi="宋体" w:eastAsia="宋体" w:cs="宋体"/>
                <w:b/>
                <w:color w:val="000000"/>
                <w:kern w:val="0"/>
                <w:sz w:val="28"/>
                <w:szCs w:val="28"/>
              </w:rPr>
              <w:t>款项</w:t>
            </w:r>
          </w:p>
        </w:tc>
        <w:tc>
          <w:tcPr>
            <w:tcW w:w="4230" w:type="dxa"/>
            <w:shd w:val="clear" w:color="auto" w:fill="C0C0C0"/>
            <w:noWrap w:val="0"/>
            <w:vAlign w:val="center"/>
          </w:tcPr>
          <w:p w14:paraId="61575C45">
            <w:pPr>
              <w:wordWrap/>
              <w:adjustRightInd w:val="0"/>
              <w:snapToGrid w:val="0"/>
              <w:spacing w:before="0" w:beforeLines="0" w:line="360" w:lineRule="auto"/>
              <w:jc w:val="center"/>
              <w:rPr>
                <w:rFonts w:ascii="宋体" w:hAnsi="宋体" w:eastAsia="宋体" w:cs="宋体"/>
                <w:b/>
                <w:color w:val="000000"/>
                <w:kern w:val="0"/>
                <w:sz w:val="28"/>
                <w:szCs w:val="28"/>
              </w:rPr>
            </w:pPr>
            <w:r>
              <w:rPr>
                <w:rFonts w:hint="eastAsia" w:ascii="宋体" w:hAnsi="宋体" w:eastAsia="宋体" w:cs="宋体"/>
                <w:b/>
                <w:color w:val="000000"/>
                <w:kern w:val="0"/>
                <w:sz w:val="28"/>
                <w:szCs w:val="28"/>
              </w:rPr>
              <w:t>付款时间</w:t>
            </w:r>
          </w:p>
        </w:tc>
        <w:tc>
          <w:tcPr>
            <w:tcW w:w="1515" w:type="dxa"/>
            <w:shd w:val="clear" w:color="auto" w:fill="C0C0C0"/>
            <w:noWrap w:val="0"/>
            <w:vAlign w:val="center"/>
          </w:tcPr>
          <w:p w14:paraId="0E520E0C">
            <w:pPr>
              <w:wordWrap/>
              <w:adjustRightInd w:val="0"/>
              <w:snapToGrid w:val="0"/>
              <w:spacing w:before="0" w:beforeLines="0" w:line="360" w:lineRule="auto"/>
              <w:jc w:val="center"/>
              <w:rPr>
                <w:rFonts w:ascii="宋体" w:hAnsi="宋体" w:eastAsia="宋体" w:cs="宋体"/>
                <w:b/>
                <w:color w:val="000000"/>
                <w:kern w:val="0"/>
                <w:sz w:val="28"/>
                <w:szCs w:val="28"/>
              </w:rPr>
            </w:pPr>
            <w:r>
              <w:rPr>
                <w:rFonts w:hint="eastAsia" w:ascii="宋体" w:hAnsi="宋体" w:eastAsia="宋体" w:cs="宋体"/>
                <w:b/>
                <w:color w:val="000000"/>
                <w:kern w:val="0"/>
                <w:sz w:val="28"/>
                <w:szCs w:val="28"/>
              </w:rPr>
              <w:t>付款金额</w:t>
            </w:r>
          </w:p>
        </w:tc>
        <w:tc>
          <w:tcPr>
            <w:tcW w:w="1667" w:type="dxa"/>
            <w:shd w:val="clear" w:color="auto" w:fill="C0C0C0"/>
            <w:noWrap w:val="0"/>
            <w:vAlign w:val="center"/>
          </w:tcPr>
          <w:p w14:paraId="6241D120">
            <w:pPr>
              <w:wordWrap/>
              <w:adjustRightInd w:val="0"/>
              <w:snapToGrid w:val="0"/>
              <w:spacing w:before="0" w:beforeLines="0" w:line="360" w:lineRule="auto"/>
              <w:jc w:val="center"/>
              <w:rPr>
                <w:rFonts w:ascii="宋体" w:hAnsi="宋体" w:eastAsia="宋体" w:cs="宋体"/>
                <w:b/>
                <w:color w:val="000000"/>
                <w:kern w:val="0"/>
                <w:sz w:val="28"/>
                <w:szCs w:val="28"/>
              </w:rPr>
            </w:pPr>
            <w:r>
              <w:rPr>
                <w:rFonts w:hint="eastAsia" w:ascii="宋体" w:hAnsi="宋体" w:eastAsia="宋体" w:cs="宋体"/>
                <w:b/>
                <w:color w:val="000000"/>
                <w:kern w:val="0"/>
                <w:sz w:val="28"/>
                <w:szCs w:val="28"/>
              </w:rPr>
              <w:t>付款比例</w:t>
            </w:r>
          </w:p>
        </w:tc>
      </w:tr>
      <w:tr w14:paraId="439C2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4" w:hRule="atLeast"/>
        </w:trPr>
        <w:tc>
          <w:tcPr>
            <w:tcW w:w="2219" w:type="dxa"/>
            <w:noWrap w:val="0"/>
            <w:vAlign w:val="center"/>
          </w:tcPr>
          <w:p w14:paraId="1D94E5A9">
            <w:pPr>
              <w:widowControl w:val="0"/>
              <w:wordWrap w:val="0"/>
              <w:adjustRightInd w:val="0"/>
              <w:snapToGrid w:val="0"/>
              <w:spacing w:before="157" w:beforeLines="50" w:afterLines="0" w:line="455" w:lineRule="exact"/>
              <w:jc w:val="both"/>
              <w:rPr>
                <w:rFonts w:hint="eastAsia" w:ascii="宋体" w:hAnsi="宋体" w:eastAsia="宋体" w:cs="宋体"/>
                <w:color w:val="000000"/>
                <w:kern w:val="0"/>
                <w:sz w:val="28"/>
                <w:szCs w:val="28"/>
                <w:lang w:val="en-US" w:eastAsia="zh-Hans"/>
              </w:rPr>
            </w:pPr>
            <w:r>
              <w:rPr>
                <w:rFonts w:hint="eastAsia" w:ascii="宋体" w:hAnsi="宋体" w:eastAsia="宋体" w:cs="宋体"/>
                <w:color w:val="000000"/>
                <w:kern w:val="0"/>
                <w:sz w:val="28"/>
                <w:szCs w:val="28"/>
                <w:lang w:val="en-US" w:eastAsia="zh-Hans"/>
              </w:rPr>
              <w:t>第一阶段服务款（病媒生物防制服务款）</w:t>
            </w:r>
          </w:p>
        </w:tc>
        <w:tc>
          <w:tcPr>
            <w:tcW w:w="4230" w:type="dxa"/>
            <w:noWrap w:val="0"/>
            <w:vAlign w:val="center"/>
          </w:tcPr>
          <w:p w14:paraId="53422512">
            <w:pPr>
              <w:widowControl w:val="0"/>
              <w:wordWrap w:val="0"/>
              <w:adjustRightInd w:val="0"/>
              <w:snapToGrid w:val="0"/>
              <w:spacing w:before="157" w:beforeLines="50" w:afterLines="0" w:line="455" w:lineRule="exact"/>
              <w:jc w:val="both"/>
              <w:rPr>
                <w:rFonts w:hint="eastAsia" w:ascii="宋体" w:hAnsi="宋体" w:eastAsia="宋体" w:cs="宋体"/>
                <w:color w:val="000000"/>
                <w:kern w:val="0"/>
                <w:sz w:val="28"/>
                <w:szCs w:val="28"/>
                <w:lang w:val="en-US" w:eastAsia="zh-Hans"/>
              </w:rPr>
            </w:pPr>
            <w:r>
              <w:rPr>
                <w:rFonts w:hint="eastAsia" w:ascii="宋体" w:hAnsi="宋体" w:eastAsia="宋体" w:cs="宋体"/>
                <w:color w:val="000000"/>
                <w:kern w:val="0"/>
                <w:sz w:val="28"/>
                <w:szCs w:val="28"/>
                <w:lang w:val="en-US" w:eastAsia="zh-Hans"/>
              </w:rPr>
              <w:t>验收乙方施工完成情况后，甲方收到乙方出具的足额有效发票并经履行相关手续且收到财政相应拨款后10个工作日内</w:t>
            </w:r>
          </w:p>
        </w:tc>
        <w:tc>
          <w:tcPr>
            <w:tcW w:w="1515" w:type="dxa"/>
            <w:noWrap w:val="0"/>
            <w:vAlign w:val="center"/>
          </w:tcPr>
          <w:p w14:paraId="653BB67A">
            <w:pPr>
              <w:widowControl w:val="0"/>
              <w:wordWrap w:val="0"/>
              <w:adjustRightInd w:val="0"/>
              <w:snapToGrid w:val="0"/>
              <w:spacing w:before="157" w:beforeLines="50" w:afterLines="0" w:line="455" w:lineRule="exact"/>
              <w:jc w:val="both"/>
              <w:rPr>
                <w:rFonts w:hint="eastAsia" w:ascii="宋体" w:hAnsi="宋体" w:eastAsia="宋体" w:cs="宋体"/>
                <w:color w:val="000000"/>
                <w:kern w:val="0"/>
                <w:sz w:val="28"/>
                <w:szCs w:val="28"/>
                <w:lang w:val="en-US" w:eastAsia="zh-Hans"/>
              </w:rPr>
            </w:pPr>
          </w:p>
        </w:tc>
        <w:tc>
          <w:tcPr>
            <w:tcW w:w="1667" w:type="dxa"/>
            <w:noWrap w:val="0"/>
            <w:vAlign w:val="center"/>
          </w:tcPr>
          <w:p w14:paraId="3ECF4A9F">
            <w:pPr>
              <w:widowControl w:val="0"/>
              <w:wordWrap w:val="0"/>
              <w:adjustRightInd w:val="0"/>
              <w:snapToGrid w:val="0"/>
              <w:spacing w:before="157" w:beforeLines="50" w:afterLines="0" w:line="455" w:lineRule="exact"/>
              <w:jc w:val="both"/>
              <w:rPr>
                <w:rFonts w:hint="eastAsia" w:ascii="宋体" w:hAnsi="宋体" w:eastAsia="宋体" w:cs="宋体"/>
                <w:color w:val="000000"/>
                <w:kern w:val="0"/>
                <w:sz w:val="28"/>
                <w:szCs w:val="28"/>
                <w:lang w:val="en-US" w:eastAsia="zh-Hans"/>
              </w:rPr>
            </w:pPr>
            <w:r>
              <w:rPr>
                <w:rFonts w:hint="eastAsia" w:ascii="宋体" w:hAnsi="宋体" w:eastAsia="宋体" w:cs="宋体"/>
                <w:color w:val="000000"/>
                <w:kern w:val="0"/>
                <w:sz w:val="28"/>
                <w:szCs w:val="28"/>
                <w:lang w:val="en-US" w:eastAsia="zh-Hans"/>
              </w:rPr>
              <w:t>病媒生物防制服务款的</w:t>
            </w:r>
            <w:r>
              <w:rPr>
                <w:rFonts w:hint="eastAsia" w:ascii="宋体" w:hAnsi="宋体" w:cs="宋体"/>
                <w:color w:val="000000"/>
                <w:kern w:val="0"/>
                <w:sz w:val="28"/>
                <w:szCs w:val="28"/>
                <w:lang w:val="en-US" w:eastAsia="zh-CN"/>
              </w:rPr>
              <w:t>25</w:t>
            </w:r>
            <w:r>
              <w:rPr>
                <w:rFonts w:hint="eastAsia" w:ascii="宋体" w:hAnsi="宋体" w:eastAsia="宋体" w:cs="宋体"/>
                <w:color w:val="000000"/>
                <w:kern w:val="0"/>
                <w:sz w:val="28"/>
                <w:szCs w:val="28"/>
                <w:lang w:val="en-US" w:eastAsia="zh-Hans"/>
              </w:rPr>
              <w:t>%</w:t>
            </w:r>
          </w:p>
        </w:tc>
      </w:tr>
      <w:tr w14:paraId="0A9E9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8" w:hRule="atLeast"/>
        </w:trPr>
        <w:tc>
          <w:tcPr>
            <w:tcW w:w="2219" w:type="dxa"/>
            <w:noWrap w:val="0"/>
            <w:vAlign w:val="center"/>
          </w:tcPr>
          <w:p w14:paraId="76240228">
            <w:pPr>
              <w:widowControl w:val="0"/>
              <w:wordWrap w:val="0"/>
              <w:adjustRightInd w:val="0"/>
              <w:snapToGrid w:val="0"/>
              <w:spacing w:before="157" w:beforeLines="50" w:afterLines="0" w:line="455" w:lineRule="exact"/>
              <w:jc w:val="both"/>
              <w:rPr>
                <w:rFonts w:hint="eastAsia" w:ascii="宋体" w:hAnsi="宋体" w:eastAsia="宋体" w:cs="宋体"/>
                <w:color w:val="000000"/>
                <w:kern w:val="0"/>
                <w:sz w:val="28"/>
                <w:szCs w:val="28"/>
                <w:lang w:val="en-US" w:eastAsia="zh-Hans"/>
              </w:rPr>
            </w:pPr>
            <w:r>
              <w:rPr>
                <w:rFonts w:hint="eastAsia" w:ascii="宋体" w:hAnsi="宋体" w:eastAsia="宋体" w:cs="宋体"/>
                <w:color w:val="000000"/>
                <w:kern w:val="0"/>
                <w:sz w:val="28"/>
                <w:szCs w:val="28"/>
                <w:lang w:val="en-US" w:eastAsia="zh-Hans"/>
              </w:rPr>
              <w:t>第二阶段服务款</w:t>
            </w:r>
          </w:p>
        </w:tc>
        <w:tc>
          <w:tcPr>
            <w:tcW w:w="4230" w:type="dxa"/>
            <w:noWrap w:val="0"/>
            <w:vAlign w:val="center"/>
          </w:tcPr>
          <w:p w14:paraId="742CA773">
            <w:pPr>
              <w:widowControl w:val="0"/>
              <w:wordWrap w:val="0"/>
              <w:adjustRightInd w:val="0"/>
              <w:snapToGrid w:val="0"/>
              <w:spacing w:before="157" w:beforeLines="50" w:afterLines="0" w:line="455" w:lineRule="exact"/>
              <w:jc w:val="both"/>
              <w:rPr>
                <w:rFonts w:hint="eastAsia" w:ascii="宋体" w:hAnsi="宋体" w:eastAsia="宋体" w:cs="宋体"/>
                <w:color w:val="000000"/>
                <w:kern w:val="0"/>
                <w:sz w:val="28"/>
                <w:szCs w:val="28"/>
                <w:lang w:val="en-US" w:eastAsia="zh-Hans"/>
              </w:rPr>
            </w:pPr>
            <w:r>
              <w:rPr>
                <w:rFonts w:hint="eastAsia" w:ascii="宋体" w:hAnsi="宋体" w:eastAsia="宋体" w:cs="宋体"/>
                <w:color w:val="000000"/>
                <w:kern w:val="0"/>
                <w:sz w:val="28"/>
                <w:szCs w:val="28"/>
                <w:lang w:val="en-US" w:eastAsia="zh-Hans"/>
              </w:rPr>
              <w:t>验收乙方施工完成情况后，甲方收到乙方出具的足额有效发票并经履行相关手续且收到财政相应拨款后10个工作日内</w:t>
            </w:r>
          </w:p>
        </w:tc>
        <w:tc>
          <w:tcPr>
            <w:tcW w:w="1515" w:type="dxa"/>
            <w:noWrap w:val="0"/>
            <w:vAlign w:val="center"/>
          </w:tcPr>
          <w:p w14:paraId="4EDC29AE">
            <w:pPr>
              <w:widowControl w:val="0"/>
              <w:wordWrap w:val="0"/>
              <w:adjustRightInd w:val="0"/>
              <w:snapToGrid w:val="0"/>
              <w:spacing w:before="157" w:beforeLines="50" w:afterLines="0" w:line="455" w:lineRule="exact"/>
              <w:jc w:val="both"/>
              <w:rPr>
                <w:rFonts w:hint="eastAsia" w:ascii="宋体" w:hAnsi="宋体" w:eastAsia="宋体" w:cs="宋体"/>
                <w:color w:val="000000"/>
                <w:kern w:val="0"/>
                <w:sz w:val="28"/>
                <w:szCs w:val="28"/>
                <w:lang w:val="en-US" w:eastAsia="zh-Hans"/>
              </w:rPr>
            </w:pPr>
          </w:p>
        </w:tc>
        <w:tc>
          <w:tcPr>
            <w:tcW w:w="1667" w:type="dxa"/>
            <w:noWrap w:val="0"/>
            <w:vAlign w:val="center"/>
          </w:tcPr>
          <w:p w14:paraId="65C12A95">
            <w:pPr>
              <w:widowControl w:val="0"/>
              <w:wordWrap w:val="0"/>
              <w:adjustRightInd w:val="0"/>
              <w:snapToGrid w:val="0"/>
              <w:spacing w:before="157" w:beforeLines="50" w:afterLines="0" w:line="455" w:lineRule="exact"/>
              <w:jc w:val="both"/>
              <w:rPr>
                <w:rFonts w:hint="eastAsia" w:ascii="宋体" w:hAnsi="宋体" w:eastAsia="宋体" w:cs="宋体"/>
                <w:color w:val="000000"/>
                <w:kern w:val="0"/>
                <w:sz w:val="28"/>
                <w:szCs w:val="28"/>
                <w:lang w:val="en-US" w:eastAsia="zh-Hans"/>
              </w:rPr>
            </w:pPr>
            <w:r>
              <w:rPr>
                <w:rFonts w:hint="eastAsia" w:ascii="宋体" w:hAnsi="宋体" w:eastAsia="宋体" w:cs="宋体"/>
                <w:color w:val="000000"/>
                <w:kern w:val="0"/>
                <w:sz w:val="28"/>
                <w:szCs w:val="28"/>
                <w:lang w:val="en-US" w:eastAsia="zh-Hans"/>
              </w:rPr>
              <w:t>病媒生物防制服务款的2</w:t>
            </w:r>
            <w:r>
              <w:rPr>
                <w:rFonts w:hint="eastAsia" w:ascii="宋体" w:hAnsi="宋体" w:cs="宋体"/>
                <w:color w:val="000000"/>
                <w:kern w:val="0"/>
                <w:sz w:val="28"/>
                <w:szCs w:val="28"/>
                <w:lang w:val="en-US" w:eastAsia="zh-CN"/>
              </w:rPr>
              <w:t>5</w:t>
            </w:r>
            <w:r>
              <w:rPr>
                <w:rFonts w:hint="eastAsia" w:ascii="宋体" w:hAnsi="宋体" w:eastAsia="宋体" w:cs="宋体"/>
                <w:color w:val="000000"/>
                <w:kern w:val="0"/>
                <w:sz w:val="28"/>
                <w:szCs w:val="28"/>
                <w:lang w:val="en-US" w:eastAsia="zh-Hans"/>
              </w:rPr>
              <w:t>%</w:t>
            </w:r>
          </w:p>
        </w:tc>
      </w:tr>
      <w:tr w14:paraId="5D070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8" w:hRule="atLeast"/>
        </w:trPr>
        <w:tc>
          <w:tcPr>
            <w:tcW w:w="2219" w:type="dxa"/>
            <w:noWrap w:val="0"/>
            <w:vAlign w:val="center"/>
          </w:tcPr>
          <w:p w14:paraId="69399145">
            <w:pPr>
              <w:widowControl w:val="0"/>
              <w:wordWrap w:val="0"/>
              <w:adjustRightInd w:val="0"/>
              <w:snapToGrid w:val="0"/>
              <w:spacing w:before="157" w:beforeLines="50" w:afterLines="0" w:line="455" w:lineRule="exact"/>
              <w:jc w:val="both"/>
              <w:rPr>
                <w:rFonts w:hint="eastAsia" w:ascii="宋体" w:hAnsi="宋体" w:eastAsia="宋体" w:cs="宋体"/>
                <w:color w:val="000000"/>
                <w:kern w:val="0"/>
                <w:sz w:val="28"/>
                <w:szCs w:val="28"/>
                <w:lang w:val="en-US" w:eastAsia="zh-Hans"/>
              </w:rPr>
            </w:pPr>
            <w:r>
              <w:rPr>
                <w:rFonts w:hint="eastAsia" w:ascii="宋体" w:hAnsi="宋体" w:eastAsia="宋体" w:cs="宋体"/>
                <w:color w:val="000000"/>
                <w:kern w:val="0"/>
                <w:sz w:val="28"/>
                <w:szCs w:val="28"/>
                <w:lang w:val="en-US" w:eastAsia="zh-Hans"/>
              </w:rPr>
              <w:t>第三阶段服务款</w:t>
            </w:r>
          </w:p>
        </w:tc>
        <w:tc>
          <w:tcPr>
            <w:tcW w:w="4230" w:type="dxa"/>
            <w:noWrap w:val="0"/>
            <w:vAlign w:val="center"/>
          </w:tcPr>
          <w:p w14:paraId="0AC7EE31">
            <w:pPr>
              <w:widowControl w:val="0"/>
              <w:wordWrap w:val="0"/>
              <w:adjustRightInd w:val="0"/>
              <w:snapToGrid w:val="0"/>
              <w:spacing w:before="157" w:beforeLines="50" w:afterLines="0" w:line="455" w:lineRule="exact"/>
              <w:jc w:val="both"/>
              <w:rPr>
                <w:rFonts w:hint="eastAsia" w:ascii="宋体" w:hAnsi="宋体" w:eastAsia="宋体" w:cs="宋体"/>
                <w:color w:val="000000"/>
                <w:kern w:val="0"/>
                <w:sz w:val="28"/>
                <w:szCs w:val="28"/>
                <w:lang w:val="en-US" w:eastAsia="zh-Hans"/>
              </w:rPr>
            </w:pPr>
            <w:r>
              <w:rPr>
                <w:rFonts w:hint="eastAsia" w:ascii="宋体" w:hAnsi="宋体" w:eastAsia="宋体" w:cs="宋体"/>
                <w:color w:val="000000"/>
                <w:kern w:val="0"/>
                <w:sz w:val="28"/>
                <w:szCs w:val="28"/>
                <w:lang w:val="en-US" w:eastAsia="zh-Hans"/>
              </w:rPr>
              <w:t>验收乙方施工完成情况后，甲方收到乙方出具的足额有效发票并经履行相关手续且收到财政相应拨款后10个工作日内</w:t>
            </w:r>
          </w:p>
        </w:tc>
        <w:tc>
          <w:tcPr>
            <w:tcW w:w="1515" w:type="dxa"/>
            <w:noWrap w:val="0"/>
            <w:vAlign w:val="center"/>
          </w:tcPr>
          <w:p w14:paraId="005538BB">
            <w:pPr>
              <w:widowControl w:val="0"/>
              <w:wordWrap w:val="0"/>
              <w:adjustRightInd w:val="0"/>
              <w:snapToGrid w:val="0"/>
              <w:spacing w:before="157" w:beforeLines="50" w:afterLines="0" w:line="455" w:lineRule="exact"/>
              <w:jc w:val="both"/>
              <w:rPr>
                <w:rFonts w:hint="eastAsia" w:ascii="宋体" w:hAnsi="宋体" w:eastAsia="宋体" w:cs="宋体"/>
                <w:color w:val="000000"/>
                <w:kern w:val="0"/>
                <w:sz w:val="28"/>
                <w:szCs w:val="28"/>
                <w:lang w:val="en-US" w:eastAsia="zh-Hans"/>
              </w:rPr>
            </w:pPr>
          </w:p>
        </w:tc>
        <w:tc>
          <w:tcPr>
            <w:tcW w:w="1667" w:type="dxa"/>
            <w:noWrap w:val="0"/>
            <w:vAlign w:val="center"/>
          </w:tcPr>
          <w:p w14:paraId="7E0B03E8">
            <w:pPr>
              <w:widowControl w:val="0"/>
              <w:wordWrap w:val="0"/>
              <w:adjustRightInd w:val="0"/>
              <w:snapToGrid w:val="0"/>
              <w:spacing w:before="157" w:beforeLines="50" w:afterLines="0" w:line="455" w:lineRule="exact"/>
              <w:jc w:val="both"/>
              <w:rPr>
                <w:rFonts w:hint="eastAsia" w:ascii="宋体" w:hAnsi="宋体" w:eastAsia="宋体" w:cs="宋体"/>
                <w:color w:val="000000"/>
                <w:kern w:val="0"/>
                <w:sz w:val="28"/>
                <w:szCs w:val="28"/>
                <w:lang w:val="en-US" w:eastAsia="zh-Hans"/>
              </w:rPr>
            </w:pPr>
            <w:r>
              <w:rPr>
                <w:rFonts w:hint="eastAsia" w:ascii="宋体" w:hAnsi="宋体" w:eastAsia="宋体" w:cs="宋体"/>
                <w:color w:val="000000"/>
                <w:kern w:val="0"/>
                <w:sz w:val="28"/>
                <w:szCs w:val="28"/>
                <w:lang w:val="en-US" w:eastAsia="zh-Hans"/>
              </w:rPr>
              <w:t>病媒生物防制服务款的2</w:t>
            </w:r>
            <w:r>
              <w:rPr>
                <w:rFonts w:hint="eastAsia" w:ascii="宋体" w:hAnsi="宋体" w:cs="宋体"/>
                <w:color w:val="000000"/>
                <w:kern w:val="0"/>
                <w:sz w:val="28"/>
                <w:szCs w:val="28"/>
                <w:lang w:val="en-US" w:eastAsia="zh-CN"/>
              </w:rPr>
              <w:t>5</w:t>
            </w:r>
            <w:r>
              <w:rPr>
                <w:rFonts w:hint="eastAsia" w:ascii="宋体" w:hAnsi="宋体" w:eastAsia="宋体" w:cs="宋体"/>
                <w:color w:val="000000"/>
                <w:kern w:val="0"/>
                <w:sz w:val="28"/>
                <w:szCs w:val="28"/>
                <w:lang w:val="en-US" w:eastAsia="zh-Hans"/>
              </w:rPr>
              <w:t>%</w:t>
            </w:r>
          </w:p>
        </w:tc>
      </w:tr>
      <w:tr w14:paraId="716B6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8" w:hRule="atLeast"/>
        </w:trPr>
        <w:tc>
          <w:tcPr>
            <w:tcW w:w="2219" w:type="dxa"/>
            <w:noWrap w:val="0"/>
            <w:vAlign w:val="center"/>
          </w:tcPr>
          <w:p w14:paraId="21567689">
            <w:pPr>
              <w:widowControl w:val="0"/>
              <w:wordWrap w:val="0"/>
              <w:adjustRightInd w:val="0"/>
              <w:snapToGrid w:val="0"/>
              <w:spacing w:before="157" w:beforeLines="50" w:afterLines="0" w:line="455" w:lineRule="exact"/>
              <w:jc w:val="both"/>
              <w:rPr>
                <w:rFonts w:hint="eastAsia" w:ascii="宋体" w:hAnsi="宋体" w:eastAsia="宋体" w:cs="宋体"/>
                <w:color w:val="000000"/>
                <w:kern w:val="0"/>
                <w:sz w:val="28"/>
                <w:szCs w:val="28"/>
                <w:lang w:val="en-US" w:eastAsia="zh-Hans"/>
              </w:rPr>
            </w:pPr>
            <w:r>
              <w:rPr>
                <w:rFonts w:hint="eastAsia" w:ascii="宋体" w:hAnsi="宋体" w:eastAsia="宋体" w:cs="宋体"/>
                <w:color w:val="000000"/>
                <w:kern w:val="0"/>
                <w:sz w:val="28"/>
                <w:szCs w:val="28"/>
                <w:lang w:val="en-US" w:eastAsia="zh-Hans"/>
              </w:rPr>
              <w:t>第四阶段服务款</w:t>
            </w:r>
          </w:p>
        </w:tc>
        <w:tc>
          <w:tcPr>
            <w:tcW w:w="4230" w:type="dxa"/>
            <w:noWrap w:val="0"/>
            <w:vAlign w:val="center"/>
          </w:tcPr>
          <w:p w14:paraId="610C4A67">
            <w:pPr>
              <w:widowControl w:val="0"/>
              <w:wordWrap w:val="0"/>
              <w:adjustRightInd w:val="0"/>
              <w:snapToGrid w:val="0"/>
              <w:spacing w:before="157" w:beforeLines="50" w:afterLines="0" w:line="455" w:lineRule="exact"/>
              <w:jc w:val="both"/>
              <w:rPr>
                <w:rFonts w:hint="eastAsia" w:ascii="宋体" w:hAnsi="宋体" w:eastAsia="宋体" w:cs="宋体"/>
                <w:color w:val="000000"/>
                <w:kern w:val="0"/>
                <w:sz w:val="28"/>
                <w:szCs w:val="28"/>
                <w:lang w:val="en-US" w:eastAsia="zh-Hans"/>
              </w:rPr>
            </w:pPr>
            <w:r>
              <w:rPr>
                <w:rFonts w:hint="eastAsia" w:ascii="宋体" w:hAnsi="宋体" w:eastAsia="宋体" w:cs="宋体"/>
                <w:color w:val="000000"/>
                <w:kern w:val="0"/>
                <w:sz w:val="28"/>
                <w:szCs w:val="28"/>
                <w:lang w:val="en-US" w:eastAsia="zh-Hans"/>
              </w:rPr>
              <w:t>验收乙方施工完成情况后，甲方收到乙方出具的足额有效发票并经履行相关手续且收到财政相应拨款后10个工作日内</w:t>
            </w:r>
          </w:p>
        </w:tc>
        <w:tc>
          <w:tcPr>
            <w:tcW w:w="1515" w:type="dxa"/>
            <w:noWrap w:val="0"/>
            <w:vAlign w:val="center"/>
          </w:tcPr>
          <w:p w14:paraId="199BA7B7">
            <w:pPr>
              <w:widowControl w:val="0"/>
              <w:wordWrap w:val="0"/>
              <w:adjustRightInd w:val="0"/>
              <w:snapToGrid w:val="0"/>
              <w:spacing w:before="157" w:beforeLines="50" w:afterLines="0" w:line="455" w:lineRule="exact"/>
              <w:jc w:val="both"/>
              <w:rPr>
                <w:rFonts w:hint="eastAsia" w:ascii="宋体" w:hAnsi="宋体" w:eastAsia="宋体" w:cs="宋体"/>
                <w:color w:val="000000"/>
                <w:kern w:val="0"/>
                <w:sz w:val="28"/>
                <w:szCs w:val="28"/>
                <w:lang w:val="en-US" w:eastAsia="zh-Hans"/>
              </w:rPr>
            </w:pPr>
          </w:p>
        </w:tc>
        <w:tc>
          <w:tcPr>
            <w:tcW w:w="1667" w:type="dxa"/>
            <w:noWrap w:val="0"/>
            <w:vAlign w:val="center"/>
          </w:tcPr>
          <w:p w14:paraId="439107E7">
            <w:pPr>
              <w:widowControl w:val="0"/>
              <w:wordWrap w:val="0"/>
              <w:adjustRightInd w:val="0"/>
              <w:snapToGrid w:val="0"/>
              <w:spacing w:before="157" w:beforeLines="50" w:afterLines="0" w:line="455" w:lineRule="exact"/>
              <w:jc w:val="both"/>
              <w:rPr>
                <w:rFonts w:hint="eastAsia" w:ascii="宋体" w:hAnsi="宋体" w:eastAsia="宋体" w:cs="宋体"/>
                <w:color w:val="000000"/>
                <w:kern w:val="0"/>
                <w:sz w:val="28"/>
                <w:szCs w:val="28"/>
                <w:lang w:val="en-US" w:eastAsia="zh-Hans"/>
              </w:rPr>
            </w:pPr>
            <w:r>
              <w:rPr>
                <w:rFonts w:hint="eastAsia" w:ascii="宋体" w:hAnsi="宋体" w:eastAsia="宋体" w:cs="宋体"/>
                <w:color w:val="000000"/>
                <w:kern w:val="0"/>
                <w:sz w:val="28"/>
                <w:szCs w:val="28"/>
                <w:lang w:val="en-US" w:eastAsia="zh-Hans"/>
              </w:rPr>
              <w:t>病媒生物防制服务款的</w:t>
            </w:r>
            <w:r>
              <w:rPr>
                <w:rFonts w:hint="eastAsia" w:ascii="宋体" w:hAnsi="宋体" w:cs="宋体"/>
                <w:color w:val="000000"/>
                <w:kern w:val="0"/>
                <w:sz w:val="28"/>
                <w:szCs w:val="28"/>
                <w:lang w:val="en-US" w:eastAsia="zh-CN"/>
              </w:rPr>
              <w:t>25</w:t>
            </w:r>
            <w:r>
              <w:rPr>
                <w:rFonts w:hint="eastAsia" w:ascii="宋体" w:hAnsi="宋体" w:eastAsia="宋体" w:cs="宋体"/>
                <w:color w:val="000000"/>
                <w:kern w:val="0"/>
                <w:sz w:val="28"/>
                <w:szCs w:val="28"/>
                <w:lang w:val="en-US" w:eastAsia="zh-Hans"/>
              </w:rPr>
              <w:t>%</w:t>
            </w:r>
          </w:p>
        </w:tc>
      </w:tr>
    </w:tbl>
    <w:p w14:paraId="7E80E304">
      <w:pPr>
        <w:widowControl w:val="0"/>
        <w:wordWrap w:val="0"/>
        <w:adjustRightInd w:val="0"/>
        <w:snapToGrid w:val="0"/>
        <w:spacing w:before="157" w:beforeLines="50" w:afterLines="0" w:line="455" w:lineRule="exact"/>
        <w:ind w:firstLine="280" w:firstLineChars="100"/>
        <w:jc w:val="both"/>
        <w:rPr>
          <w:rFonts w:hint="eastAsia" w:ascii="宋体" w:hAnsi="宋体" w:eastAsia="宋体" w:cs="宋体"/>
          <w:color w:val="000000"/>
          <w:kern w:val="0"/>
          <w:sz w:val="28"/>
          <w:szCs w:val="28"/>
          <w:lang w:eastAsia="zh-CN"/>
        </w:rPr>
      </w:pPr>
      <w:r>
        <w:rPr>
          <w:rFonts w:hint="eastAsia" w:ascii="宋体" w:hAnsi="宋体" w:cs="宋体"/>
          <w:color w:val="000000"/>
          <w:kern w:val="0"/>
          <w:sz w:val="28"/>
          <w:szCs w:val="28"/>
          <w:lang w:eastAsia="zh-CN"/>
        </w:rPr>
        <w:t>（四）阶段付款依据和方式</w:t>
      </w:r>
    </w:p>
    <w:p w14:paraId="3ADD5DAA">
      <w:pPr>
        <w:widowControl w:val="0"/>
        <w:wordWrap w:val="0"/>
        <w:adjustRightInd w:val="0"/>
        <w:snapToGrid w:val="0"/>
        <w:spacing w:before="157" w:beforeLines="50" w:afterLines="0" w:line="455" w:lineRule="exact"/>
        <w:ind w:firstLine="560" w:firstLineChars="200"/>
        <w:jc w:val="both"/>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乙方</w:t>
      </w:r>
      <w:r>
        <w:rPr>
          <w:rFonts w:hint="eastAsia" w:ascii="宋体" w:hAnsi="宋体" w:cs="宋体"/>
          <w:color w:val="000000"/>
          <w:kern w:val="0"/>
          <w:sz w:val="28"/>
          <w:szCs w:val="28"/>
          <w:lang w:val="en-US" w:eastAsia="zh-CN"/>
        </w:rPr>
        <w:t>完成</w:t>
      </w:r>
      <w:r>
        <w:rPr>
          <w:rFonts w:hint="eastAsia" w:ascii="宋体" w:hAnsi="宋体" w:eastAsia="宋体" w:cs="宋体"/>
          <w:color w:val="000000"/>
          <w:kern w:val="0"/>
          <w:sz w:val="28"/>
          <w:szCs w:val="28"/>
        </w:rPr>
        <w:t>每个阶段</w:t>
      </w:r>
      <w:r>
        <w:rPr>
          <w:rFonts w:hint="eastAsia" w:ascii="宋体" w:hAnsi="宋体" w:cs="宋体"/>
          <w:color w:val="000000"/>
          <w:kern w:val="0"/>
          <w:sz w:val="28"/>
          <w:szCs w:val="28"/>
          <w:lang w:val="en-US" w:eastAsia="zh-CN"/>
        </w:rPr>
        <w:t>的</w:t>
      </w:r>
      <w:r>
        <w:rPr>
          <w:rFonts w:hint="eastAsia" w:ascii="宋体" w:hAnsi="宋体" w:eastAsia="宋体" w:cs="宋体"/>
          <w:color w:val="000000"/>
          <w:kern w:val="0"/>
          <w:sz w:val="28"/>
          <w:szCs w:val="28"/>
        </w:rPr>
        <w:t>工作量，</w:t>
      </w:r>
      <w:r>
        <w:rPr>
          <w:rFonts w:hint="eastAsia" w:ascii="宋体" w:hAnsi="宋体" w:cs="宋体"/>
          <w:color w:val="000000"/>
          <w:kern w:val="0"/>
          <w:sz w:val="28"/>
          <w:szCs w:val="28"/>
          <w:lang w:val="en-US" w:eastAsia="zh-CN"/>
        </w:rPr>
        <w:t>并向甲方</w:t>
      </w:r>
      <w:r>
        <w:rPr>
          <w:rFonts w:hint="eastAsia" w:ascii="宋体" w:hAnsi="宋体" w:eastAsia="宋体" w:cs="宋体"/>
          <w:color w:val="000000"/>
          <w:kern w:val="0"/>
          <w:sz w:val="28"/>
          <w:szCs w:val="28"/>
          <w:lang w:eastAsia="zh-CN"/>
        </w:rPr>
        <w:t>提供作业台账，甲方验收后，由</w:t>
      </w:r>
      <w:r>
        <w:rPr>
          <w:rFonts w:hint="eastAsia" w:ascii="宋体" w:hAnsi="宋体" w:eastAsia="宋体" w:cs="宋体"/>
          <w:color w:val="000000"/>
          <w:kern w:val="0"/>
          <w:sz w:val="28"/>
          <w:szCs w:val="28"/>
        </w:rPr>
        <w:t>乙方</w:t>
      </w:r>
      <w:r>
        <w:rPr>
          <w:rFonts w:hint="eastAsia" w:ascii="宋体" w:hAnsi="宋体" w:eastAsia="宋体" w:cs="宋体"/>
          <w:color w:val="000000"/>
          <w:kern w:val="0"/>
          <w:sz w:val="28"/>
          <w:szCs w:val="28"/>
          <w:lang w:eastAsia="zh-CN"/>
        </w:rPr>
        <w:t>申请</w:t>
      </w:r>
      <w:r>
        <w:rPr>
          <w:rFonts w:hint="eastAsia" w:ascii="宋体" w:hAnsi="宋体" w:eastAsia="宋体" w:cs="宋体"/>
          <w:color w:val="000000"/>
          <w:kern w:val="0"/>
          <w:sz w:val="28"/>
          <w:szCs w:val="28"/>
        </w:rPr>
        <w:t>支付服务款，甲方收到乙方出具的足额有效发票并经履行相关手续</w:t>
      </w:r>
      <w:r>
        <w:rPr>
          <w:rFonts w:hint="eastAsia" w:ascii="宋体" w:hAnsi="宋体" w:eastAsia="宋体" w:cs="宋体"/>
          <w:color w:val="000000"/>
          <w:kern w:val="0"/>
          <w:sz w:val="28"/>
          <w:szCs w:val="28"/>
          <w:lang w:val="en-US" w:eastAsia="zh-Hans"/>
        </w:rPr>
        <w:t>且收到财政相应拨款</w:t>
      </w:r>
      <w:r>
        <w:rPr>
          <w:rFonts w:hint="eastAsia" w:ascii="宋体" w:hAnsi="宋体" w:eastAsia="宋体" w:cs="宋体"/>
          <w:color w:val="000000"/>
          <w:kern w:val="0"/>
          <w:sz w:val="28"/>
          <w:szCs w:val="28"/>
        </w:rPr>
        <w:t>后10个工作日内将上阶段相关服务费用划拨至乙方账户。遇国家规定节假日等特殊情况时，时间向后顺延。</w:t>
      </w:r>
    </w:p>
    <w:p w14:paraId="078F5402">
      <w:pPr>
        <w:widowControl w:val="0"/>
        <w:wordWrap w:val="0"/>
        <w:adjustRightInd w:val="0"/>
        <w:snapToGrid w:val="0"/>
        <w:spacing w:before="157" w:beforeLines="50" w:afterLines="0" w:line="455" w:lineRule="exact"/>
        <w:ind w:firstLine="560" w:firstLineChars="200"/>
        <w:jc w:val="both"/>
        <w:rPr>
          <w:rFonts w:hint="eastAsia" w:ascii="宋体" w:hAnsi="宋体" w:eastAsia="宋体" w:cs="宋体"/>
          <w:color w:val="000000"/>
          <w:kern w:val="0"/>
          <w:sz w:val="28"/>
          <w:szCs w:val="28"/>
          <w:lang w:val="en-US" w:eastAsia="zh-CN"/>
        </w:rPr>
      </w:pPr>
      <w:r>
        <w:rPr>
          <w:rFonts w:hint="eastAsia" w:ascii="宋体" w:hAnsi="宋体" w:eastAsia="宋体" w:cs="宋体"/>
          <w:color w:val="000000"/>
          <w:kern w:val="0"/>
          <w:sz w:val="28"/>
          <w:szCs w:val="28"/>
          <w:lang w:val="en-US" w:eastAsia="zh-CN"/>
        </w:rPr>
        <w:t>2.乙方指定收款信息</w:t>
      </w:r>
    </w:p>
    <w:p w14:paraId="5530F400">
      <w:pPr>
        <w:widowControl w:val="0"/>
        <w:wordWrap w:val="0"/>
        <w:adjustRightInd w:val="0"/>
        <w:snapToGrid w:val="0"/>
        <w:spacing w:before="157" w:beforeLines="50" w:afterLines="0" w:line="455" w:lineRule="exact"/>
        <w:ind w:firstLine="560" w:firstLineChars="200"/>
        <w:jc w:val="both"/>
        <w:rPr>
          <w:rFonts w:hint="eastAsia" w:ascii="宋体" w:hAnsi="宋体" w:eastAsia="宋体" w:cs="宋体"/>
          <w:color w:val="000000"/>
          <w:kern w:val="0"/>
          <w:sz w:val="28"/>
          <w:szCs w:val="28"/>
          <w:lang w:val="en-US" w:eastAsia="zh-CN"/>
        </w:rPr>
      </w:pPr>
      <w:r>
        <w:rPr>
          <w:rFonts w:hint="eastAsia" w:ascii="宋体" w:hAnsi="宋体" w:eastAsia="宋体" w:cs="宋体"/>
          <w:color w:val="000000"/>
          <w:kern w:val="0"/>
          <w:sz w:val="28"/>
          <w:szCs w:val="28"/>
          <w:lang w:val="en-US" w:eastAsia="zh-CN"/>
        </w:rPr>
        <w:t>乙方账户名称：</w:t>
      </w:r>
    </w:p>
    <w:p w14:paraId="18FB26DE">
      <w:pPr>
        <w:widowControl w:val="0"/>
        <w:wordWrap w:val="0"/>
        <w:adjustRightInd w:val="0"/>
        <w:snapToGrid w:val="0"/>
        <w:spacing w:before="157" w:beforeLines="50" w:afterLines="0" w:line="455" w:lineRule="exact"/>
        <w:ind w:firstLine="560" w:firstLineChars="200"/>
        <w:jc w:val="both"/>
        <w:rPr>
          <w:rFonts w:hint="eastAsia" w:ascii="宋体" w:hAnsi="宋体" w:eastAsia="宋体" w:cs="宋体"/>
          <w:color w:val="000000"/>
          <w:kern w:val="0"/>
          <w:sz w:val="28"/>
          <w:szCs w:val="28"/>
          <w:lang w:val="en-US" w:eastAsia="zh-CN"/>
        </w:rPr>
      </w:pPr>
      <w:r>
        <w:rPr>
          <w:rFonts w:hint="eastAsia" w:ascii="宋体" w:hAnsi="宋体" w:eastAsia="宋体" w:cs="宋体"/>
          <w:color w:val="000000"/>
          <w:kern w:val="0"/>
          <w:sz w:val="28"/>
          <w:szCs w:val="28"/>
          <w:lang w:val="en-US" w:eastAsia="zh-CN"/>
        </w:rPr>
        <w:t xml:space="preserve">乙方账号： </w:t>
      </w:r>
    </w:p>
    <w:p w14:paraId="20D4D758">
      <w:pPr>
        <w:widowControl w:val="0"/>
        <w:wordWrap w:val="0"/>
        <w:adjustRightInd w:val="0"/>
        <w:snapToGrid w:val="0"/>
        <w:spacing w:before="157" w:beforeLines="50" w:afterLines="0" w:line="455" w:lineRule="exact"/>
        <w:ind w:firstLine="560" w:firstLineChars="200"/>
        <w:jc w:val="both"/>
        <w:rPr>
          <w:rFonts w:hint="eastAsia" w:ascii="宋体" w:hAnsi="宋体" w:eastAsia="宋体" w:cs="宋体"/>
          <w:color w:val="000000"/>
          <w:kern w:val="0"/>
          <w:sz w:val="28"/>
          <w:szCs w:val="28"/>
          <w:lang w:val="en-US" w:eastAsia="zh-CN"/>
        </w:rPr>
      </w:pPr>
      <w:r>
        <w:rPr>
          <w:rFonts w:hint="eastAsia" w:ascii="宋体" w:hAnsi="宋体" w:eastAsia="宋体" w:cs="宋体"/>
          <w:color w:val="000000"/>
          <w:kern w:val="0"/>
          <w:sz w:val="28"/>
          <w:szCs w:val="28"/>
          <w:lang w:val="en-US" w:eastAsia="zh-CN"/>
        </w:rPr>
        <w:t xml:space="preserve">开户行： </w:t>
      </w:r>
    </w:p>
    <w:p w14:paraId="4F5F8B89">
      <w:pPr>
        <w:widowControl w:val="0"/>
        <w:wordWrap w:val="0"/>
        <w:adjustRightInd w:val="0"/>
        <w:snapToGrid w:val="0"/>
        <w:spacing w:before="157" w:beforeLines="50" w:afterLines="0" w:line="455" w:lineRule="exact"/>
        <w:ind w:firstLine="281" w:firstLineChars="100"/>
        <w:jc w:val="both"/>
        <w:rPr>
          <w:rFonts w:hint="eastAsia" w:ascii="宋体" w:hAnsi="宋体" w:eastAsia="宋体" w:cs="宋体"/>
          <w:b/>
          <w:color w:val="000000"/>
          <w:kern w:val="0"/>
          <w:sz w:val="28"/>
          <w:szCs w:val="28"/>
          <w:lang w:val="en-US" w:eastAsia="zh-CN" w:bidi="ar-SA"/>
        </w:rPr>
      </w:pPr>
      <w:r>
        <w:rPr>
          <w:rFonts w:hint="eastAsia" w:ascii="宋体" w:hAnsi="宋体" w:eastAsia="宋体" w:cs="宋体"/>
          <w:b/>
          <w:bCs w:val="0"/>
          <w:color w:val="000000"/>
          <w:kern w:val="0"/>
          <w:sz w:val="28"/>
          <w:szCs w:val="28"/>
          <w:lang w:val="en-US" w:eastAsia="zh-CN" w:bidi="ar-SA"/>
        </w:rPr>
        <w:t>四、质量管理和监督措施</w:t>
      </w:r>
    </w:p>
    <w:p w14:paraId="3B8D82E5">
      <w:pPr>
        <w:widowControl w:val="0"/>
        <w:tabs>
          <w:tab w:val="left" w:pos="851"/>
        </w:tabs>
        <w:wordWrap w:val="0"/>
        <w:adjustRightInd w:val="0"/>
        <w:snapToGrid w:val="0"/>
        <w:spacing w:before="157" w:beforeLines="50" w:afterLines="0" w:line="455" w:lineRule="exact"/>
        <w:ind w:left="-142" w:firstLine="560" w:firstLineChars="200"/>
        <w:jc w:val="both"/>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（一）天涯区202</w:t>
      </w:r>
      <w:r>
        <w:rPr>
          <w:rFonts w:hint="eastAsia" w:ascii="宋体" w:hAnsi="宋体" w:eastAsia="仿宋_GB2312" w:cs="宋体"/>
          <w:color w:val="000000"/>
          <w:kern w:val="0"/>
          <w:sz w:val="28"/>
          <w:szCs w:val="28"/>
          <w:lang w:val="en-US" w:eastAsia="zh-CN" w:bidi="ar-SA"/>
        </w:rPr>
        <w:t>6</w:t>
      </w:r>
      <w:r>
        <w:rPr>
          <w:rFonts w:hint="eastAsia" w:ascii="宋体" w:hAnsi="宋体" w:eastAsia="宋体" w:cs="宋体"/>
          <w:color w:val="000000"/>
          <w:kern w:val="0"/>
          <w:sz w:val="28"/>
          <w:szCs w:val="28"/>
          <w:lang w:val="en-US" w:eastAsia="zh-CN" w:bidi="ar-SA"/>
        </w:rPr>
        <w:t>年病媒生物防制评估、密度调查工作甲方委托第三方专业评估机构按照2021年实施的国家病媒生物控制水平C级标准要求执行。</w:t>
      </w:r>
    </w:p>
    <w:p w14:paraId="029E136A">
      <w:pPr>
        <w:widowControl w:val="0"/>
        <w:tabs>
          <w:tab w:val="left" w:pos="851"/>
        </w:tabs>
        <w:wordWrap w:val="0"/>
        <w:adjustRightInd w:val="0"/>
        <w:snapToGrid w:val="0"/>
        <w:spacing w:before="157" w:beforeLines="50" w:afterLines="0" w:line="455" w:lineRule="exact"/>
        <w:ind w:left="-142" w:firstLine="560" w:firstLineChars="200"/>
        <w:jc w:val="both"/>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（二）甲方委托第三方专业评估机构对</w:t>
      </w:r>
      <w:r>
        <w:rPr>
          <w:rFonts w:hint="eastAsia" w:ascii="宋体" w:hAnsi="宋体" w:eastAsia="仿宋_GB2312" w:cs="宋体"/>
          <w:color w:val="000000"/>
          <w:kern w:val="0"/>
          <w:sz w:val="28"/>
          <w:szCs w:val="28"/>
          <w:lang w:val="en-US" w:eastAsia="zh-CN" w:bidi="ar-SA"/>
        </w:rPr>
        <w:t>天涯区</w:t>
      </w:r>
      <w:r>
        <w:rPr>
          <w:rFonts w:hint="eastAsia" w:ascii="宋体" w:hAnsi="宋体" w:eastAsia="宋体" w:cs="宋体"/>
          <w:color w:val="000000"/>
          <w:kern w:val="0"/>
          <w:sz w:val="28"/>
          <w:szCs w:val="28"/>
          <w:lang w:val="en-US" w:eastAsia="zh-CN" w:bidi="ar-SA"/>
        </w:rPr>
        <w:t>病媒生物防制工作进行阶段性效果评估和密度调研，合同由甲</w:t>
      </w:r>
      <w:r>
        <w:rPr>
          <w:rFonts w:hint="eastAsia" w:ascii="宋体" w:hAnsi="宋体" w:eastAsia="宋体" w:cs="宋体"/>
          <w:color w:val="000000"/>
          <w:spacing w:val="-10"/>
          <w:kern w:val="0"/>
          <w:sz w:val="28"/>
          <w:szCs w:val="28"/>
          <w:lang w:val="en-US" w:eastAsia="zh-CN" w:bidi="ar-SA"/>
        </w:rPr>
        <w:t>方和第三方专业评估机构签订</w:t>
      </w:r>
      <w:r>
        <w:rPr>
          <w:rFonts w:hint="eastAsia" w:ascii="宋体" w:hAnsi="宋体" w:eastAsia="宋体" w:cs="宋体"/>
          <w:color w:val="000000"/>
          <w:kern w:val="0"/>
          <w:sz w:val="28"/>
          <w:szCs w:val="28"/>
          <w:lang w:val="en-US" w:eastAsia="zh-CN" w:bidi="ar-SA"/>
        </w:rPr>
        <w:t>。</w:t>
      </w:r>
    </w:p>
    <w:p w14:paraId="416D0483">
      <w:pPr>
        <w:widowControl w:val="0"/>
        <w:tabs>
          <w:tab w:val="left" w:pos="851"/>
        </w:tabs>
        <w:wordWrap w:val="0"/>
        <w:adjustRightInd w:val="0"/>
        <w:snapToGrid w:val="0"/>
        <w:spacing w:before="157" w:beforeLines="50" w:afterLines="0" w:line="455" w:lineRule="exact"/>
        <w:ind w:left="-142" w:firstLine="560" w:firstLineChars="200"/>
        <w:jc w:val="both"/>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（三）乙方擅自将服务合同整体转包或部分分包给第三方，甲方有权终止合同，由此引发的经济损失（包括但不限于律师费、诉讼费、公证费等费用）和法律责任由乙方承担。</w:t>
      </w:r>
    </w:p>
    <w:p w14:paraId="72731EEC">
      <w:pPr>
        <w:widowControl w:val="0"/>
        <w:tabs>
          <w:tab w:val="left" w:pos="851"/>
        </w:tabs>
        <w:wordWrap w:val="0"/>
        <w:adjustRightInd w:val="0"/>
        <w:snapToGrid w:val="0"/>
        <w:spacing w:before="157" w:beforeLines="50" w:afterLines="0" w:line="455" w:lineRule="exact"/>
        <w:ind w:left="-142" w:firstLine="560" w:firstLineChars="200"/>
        <w:jc w:val="both"/>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（四）乙方违反劳动法或其他相关法律法规，造成恶劣影响，甲方有权终止合同，由此引发的经济损失（包括但不限于律师费、诉讼费、公证费等费用）和法律责任由乙方承担。</w:t>
      </w:r>
    </w:p>
    <w:p w14:paraId="7F43539C">
      <w:pPr>
        <w:widowControl w:val="0"/>
        <w:wordWrap w:val="0"/>
        <w:adjustRightInd w:val="0"/>
        <w:snapToGrid w:val="0"/>
        <w:spacing w:before="157" w:beforeLines="50" w:afterLines="0" w:line="455" w:lineRule="exact"/>
        <w:ind w:firstLine="562" w:firstLineChars="200"/>
        <w:jc w:val="both"/>
        <w:rPr>
          <w:rFonts w:hint="eastAsia" w:ascii="宋体" w:hAnsi="宋体" w:eastAsia="宋体" w:cs="宋体"/>
          <w:b/>
          <w:bCs w:val="0"/>
          <w:color w:val="000000"/>
          <w:kern w:val="0"/>
          <w:sz w:val="28"/>
          <w:szCs w:val="28"/>
          <w:lang w:val="en-US" w:eastAsia="zh-CN" w:bidi="ar-SA"/>
        </w:rPr>
      </w:pPr>
      <w:r>
        <w:rPr>
          <w:rFonts w:hint="eastAsia" w:ascii="宋体" w:hAnsi="宋体" w:eastAsia="宋体" w:cs="宋体"/>
          <w:b/>
          <w:bCs w:val="0"/>
          <w:color w:val="000000"/>
          <w:kern w:val="0"/>
          <w:sz w:val="28"/>
          <w:szCs w:val="28"/>
          <w:lang w:val="en-US" w:eastAsia="zh-CN" w:bidi="ar-SA"/>
        </w:rPr>
        <w:t>五、阶段效果评估</w:t>
      </w:r>
    </w:p>
    <w:p w14:paraId="02171533">
      <w:pPr>
        <w:widowControl w:val="0"/>
        <w:tabs>
          <w:tab w:val="left" w:pos="851"/>
        </w:tabs>
        <w:wordWrap w:val="0"/>
        <w:adjustRightInd w:val="0"/>
        <w:snapToGrid w:val="0"/>
        <w:spacing w:before="157" w:beforeLines="50" w:afterLines="0" w:line="455" w:lineRule="exact"/>
        <w:ind w:firstLine="560" w:firstLineChars="200"/>
        <w:jc w:val="both"/>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（一）甲方每阶段末（</w:t>
      </w:r>
      <w:r>
        <w:rPr>
          <w:rFonts w:hint="eastAsia" w:ascii="宋体" w:hAnsi="宋体" w:eastAsia="仿宋_GB2312" w:cs="宋体"/>
          <w:color w:val="000000"/>
          <w:kern w:val="0"/>
          <w:sz w:val="28"/>
          <w:szCs w:val="28"/>
          <w:lang w:val="en-US" w:eastAsia="zh-CN" w:bidi="ar-SA"/>
        </w:rPr>
        <w:t xml:space="preserve">    </w:t>
      </w:r>
      <w:r>
        <w:rPr>
          <w:rFonts w:hint="eastAsia" w:ascii="宋体" w:hAnsi="宋体" w:eastAsia="宋体" w:cs="宋体"/>
          <w:color w:val="000000"/>
          <w:kern w:val="0"/>
          <w:sz w:val="28"/>
          <w:szCs w:val="28"/>
          <w:lang w:val="en-US" w:eastAsia="zh-CN" w:bidi="ar-SA"/>
        </w:rPr>
        <w:t>）组织效果评估一次，参加人员为甲方、乙方、第三方专业评估机构三方，且验收组组长由甲方指定工作人员担任，抽检范围不低于辖区内</w:t>
      </w:r>
      <w:r>
        <w:rPr>
          <w:rFonts w:hint="eastAsia" w:ascii="宋体" w:hAnsi="宋体" w:eastAsia="宋体" w:cs="宋体"/>
          <w:b w:val="0"/>
          <w:bCs/>
          <w:color w:val="000000"/>
          <w:kern w:val="0"/>
          <w:sz w:val="28"/>
          <w:szCs w:val="28"/>
          <w:u w:val="none"/>
          <w:lang w:val="en-US" w:eastAsia="zh-CN" w:bidi="ar-SA"/>
        </w:rPr>
        <w:t>30%</w:t>
      </w:r>
      <w:r>
        <w:rPr>
          <w:rFonts w:hint="eastAsia" w:ascii="宋体" w:hAnsi="宋体" w:eastAsia="宋体" w:cs="宋体"/>
          <w:color w:val="000000"/>
          <w:kern w:val="0"/>
          <w:sz w:val="28"/>
          <w:szCs w:val="28"/>
          <w:lang w:val="en-US" w:eastAsia="zh-CN" w:bidi="ar-SA"/>
        </w:rPr>
        <w:t>的村（居）委会。乙方提供效果评估过程中所用的器材、药物及交通工具等。</w:t>
      </w:r>
    </w:p>
    <w:p w14:paraId="56597987">
      <w:pPr>
        <w:widowControl w:val="0"/>
        <w:tabs>
          <w:tab w:val="left" w:pos="851"/>
        </w:tabs>
        <w:wordWrap w:val="0"/>
        <w:adjustRightInd w:val="0"/>
        <w:snapToGrid w:val="0"/>
        <w:spacing w:before="157" w:beforeLines="50" w:afterLines="0" w:line="455" w:lineRule="exact"/>
        <w:ind w:firstLine="560" w:firstLineChars="200"/>
        <w:jc w:val="both"/>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（二）乙方负责承包辖区内“四防”设施建设的指导，费用由乙方与各生产经营单位或门店协商，与甲方无关。</w:t>
      </w:r>
    </w:p>
    <w:p w14:paraId="76002CD3">
      <w:pPr>
        <w:widowControl w:val="0"/>
        <w:wordWrap w:val="0"/>
        <w:adjustRightInd w:val="0"/>
        <w:snapToGrid w:val="0"/>
        <w:spacing w:before="157" w:beforeLines="50" w:afterLines="0" w:line="455" w:lineRule="exact"/>
        <w:ind w:firstLine="562" w:firstLineChars="200"/>
        <w:jc w:val="both"/>
        <w:rPr>
          <w:rFonts w:hint="eastAsia" w:ascii="宋体" w:hAnsi="宋体" w:eastAsia="宋体" w:cs="宋体"/>
          <w:b/>
          <w:color w:val="000000"/>
          <w:kern w:val="0"/>
          <w:sz w:val="28"/>
          <w:szCs w:val="28"/>
          <w:lang w:val="en-US" w:eastAsia="zh-CN" w:bidi="ar-SA"/>
        </w:rPr>
      </w:pPr>
      <w:r>
        <w:rPr>
          <w:rFonts w:hint="eastAsia" w:ascii="宋体" w:hAnsi="宋体" w:eastAsia="宋体" w:cs="宋体"/>
          <w:b/>
          <w:bCs w:val="0"/>
          <w:color w:val="000000"/>
          <w:kern w:val="0"/>
          <w:sz w:val="28"/>
          <w:szCs w:val="28"/>
          <w:lang w:val="en-US" w:eastAsia="zh-CN" w:bidi="ar-SA"/>
        </w:rPr>
        <w:t>六、宣传、培训要求</w:t>
      </w:r>
    </w:p>
    <w:p w14:paraId="6C4CC0B1">
      <w:pPr>
        <w:widowControl w:val="0"/>
        <w:tabs>
          <w:tab w:val="left" w:pos="851"/>
        </w:tabs>
        <w:wordWrap w:val="0"/>
        <w:adjustRightInd w:val="0"/>
        <w:snapToGrid w:val="0"/>
        <w:spacing w:before="157" w:beforeLines="50" w:afterLines="0" w:line="455" w:lineRule="exact"/>
        <w:ind w:firstLine="560" w:firstLineChars="200"/>
        <w:jc w:val="both"/>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（一）为营造良好的病媒生物防制氛围，提高</w:t>
      </w:r>
      <w:r>
        <w:rPr>
          <w:rFonts w:hint="eastAsia" w:ascii="宋体" w:hAnsi="宋体" w:eastAsia="仿宋_GB2312" w:cs="宋体"/>
          <w:color w:val="000000"/>
          <w:kern w:val="0"/>
          <w:sz w:val="28"/>
          <w:szCs w:val="28"/>
          <w:lang w:val="en-US" w:eastAsia="zh-CN" w:bidi="ar-SA"/>
        </w:rPr>
        <w:t>天涯区范围的</w:t>
      </w:r>
      <w:r>
        <w:rPr>
          <w:rFonts w:hint="eastAsia" w:ascii="宋体" w:hAnsi="宋体" w:eastAsia="宋体" w:cs="宋体"/>
          <w:color w:val="000000"/>
          <w:kern w:val="0"/>
          <w:sz w:val="28"/>
          <w:szCs w:val="28"/>
          <w:lang w:val="en-US" w:eastAsia="zh-CN" w:bidi="ar-SA"/>
        </w:rPr>
        <w:t>村（居）委会病媒生物防制工作参与面，要求乙方每年在人员集中的广场、公园、社区</w:t>
      </w:r>
      <w:r>
        <w:rPr>
          <w:rFonts w:hint="eastAsia" w:ascii="宋体" w:hAnsi="宋体" w:eastAsia="仿宋_GB2312" w:cs="宋体"/>
          <w:color w:val="000000"/>
          <w:kern w:val="0"/>
          <w:sz w:val="28"/>
          <w:szCs w:val="28"/>
          <w:lang w:val="en-US" w:eastAsia="zh-CN" w:bidi="ar-SA"/>
        </w:rPr>
        <w:t>配合甲方至少</w:t>
      </w:r>
      <w:r>
        <w:rPr>
          <w:rFonts w:hint="eastAsia" w:ascii="宋体" w:hAnsi="宋体" w:eastAsia="宋体" w:cs="宋体"/>
          <w:color w:val="000000"/>
          <w:kern w:val="0"/>
          <w:sz w:val="28"/>
          <w:szCs w:val="28"/>
          <w:lang w:val="en-US" w:eastAsia="zh-CN" w:bidi="ar-SA"/>
        </w:rPr>
        <w:t>组织一次大型病媒生物防制知识宣传活动。</w:t>
      </w:r>
    </w:p>
    <w:p w14:paraId="5C82BC9A">
      <w:pPr>
        <w:widowControl w:val="0"/>
        <w:tabs>
          <w:tab w:val="left" w:pos="851"/>
        </w:tabs>
        <w:wordWrap w:val="0"/>
        <w:adjustRightInd w:val="0"/>
        <w:snapToGrid w:val="0"/>
        <w:spacing w:before="157" w:beforeLines="50" w:afterLines="0" w:line="455" w:lineRule="exact"/>
        <w:ind w:firstLine="560" w:firstLineChars="200"/>
        <w:jc w:val="both"/>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（二）为不断提高天涯区病媒生物防控技术和管理水平，乙方应配合甲方对天涯区政府机关相关工作人员、各</w:t>
      </w:r>
      <w:r>
        <w:rPr>
          <w:rFonts w:hint="eastAsia" w:ascii="宋体" w:hAnsi="宋体" w:eastAsia="仿宋_GB2312" w:cs="宋体"/>
          <w:color w:val="000000"/>
          <w:kern w:val="0"/>
          <w:sz w:val="28"/>
          <w:szCs w:val="28"/>
          <w:lang w:val="en-US" w:eastAsia="zh-CN" w:bidi="ar-SA"/>
        </w:rPr>
        <w:t>村（居）</w:t>
      </w:r>
      <w:r>
        <w:rPr>
          <w:rFonts w:hint="eastAsia" w:ascii="宋体" w:hAnsi="宋体" w:eastAsia="宋体" w:cs="宋体"/>
          <w:color w:val="000000"/>
          <w:kern w:val="0"/>
          <w:sz w:val="28"/>
          <w:szCs w:val="28"/>
          <w:lang w:val="en-US" w:eastAsia="zh-CN" w:bidi="ar-SA"/>
        </w:rPr>
        <w:t>爱卫专干每年</w:t>
      </w:r>
      <w:r>
        <w:rPr>
          <w:rFonts w:hint="eastAsia" w:ascii="宋体" w:hAnsi="宋体" w:eastAsia="仿宋_GB2312" w:cs="宋体"/>
          <w:color w:val="000000"/>
          <w:kern w:val="0"/>
          <w:sz w:val="28"/>
          <w:szCs w:val="28"/>
          <w:lang w:val="en-US" w:eastAsia="zh-CN" w:bidi="ar-SA"/>
        </w:rPr>
        <w:t>至少</w:t>
      </w:r>
      <w:r>
        <w:rPr>
          <w:rFonts w:hint="eastAsia" w:ascii="宋体" w:hAnsi="宋体" w:eastAsia="宋体" w:cs="宋体"/>
          <w:color w:val="000000"/>
          <w:kern w:val="0"/>
          <w:sz w:val="28"/>
          <w:szCs w:val="28"/>
          <w:lang w:val="en-US" w:eastAsia="zh-CN" w:bidi="ar-SA"/>
        </w:rPr>
        <w:t>组织一次病媒生物防制知识培训。</w:t>
      </w:r>
    </w:p>
    <w:p w14:paraId="21E6A0D2">
      <w:pPr>
        <w:widowControl w:val="0"/>
        <w:wordWrap w:val="0"/>
        <w:adjustRightInd w:val="0"/>
        <w:snapToGrid w:val="0"/>
        <w:spacing w:before="157" w:beforeLines="50" w:afterLines="0" w:line="455" w:lineRule="exact"/>
        <w:ind w:firstLine="562" w:firstLineChars="200"/>
        <w:jc w:val="both"/>
        <w:rPr>
          <w:rFonts w:hint="eastAsia" w:ascii="宋体" w:hAnsi="宋体" w:eastAsia="宋体" w:cs="宋体"/>
          <w:b/>
          <w:color w:val="000000"/>
          <w:kern w:val="0"/>
          <w:sz w:val="28"/>
          <w:szCs w:val="28"/>
          <w:lang w:val="en-US" w:eastAsia="zh-CN" w:bidi="ar-SA"/>
        </w:rPr>
      </w:pPr>
      <w:r>
        <w:rPr>
          <w:rFonts w:hint="eastAsia" w:ascii="宋体" w:hAnsi="宋体" w:eastAsia="宋体" w:cs="宋体"/>
          <w:b/>
          <w:bCs w:val="0"/>
          <w:color w:val="000000"/>
          <w:kern w:val="0"/>
          <w:sz w:val="28"/>
          <w:szCs w:val="28"/>
          <w:lang w:val="en-US" w:eastAsia="zh-CN" w:bidi="ar-SA"/>
        </w:rPr>
        <w:t>七、奖惩机制</w:t>
      </w:r>
    </w:p>
    <w:p w14:paraId="55D99167">
      <w:pPr>
        <w:widowControl w:val="0"/>
        <w:wordWrap w:val="0"/>
        <w:adjustRightInd w:val="0"/>
        <w:snapToGrid w:val="0"/>
        <w:spacing w:before="157" w:beforeLines="50" w:afterLines="0" w:line="455" w:lineRule="exact"/>
        <w:ind w:firstLine="560" w:firstLineChars="200"/>
        <w:jc w:val="both"/>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（一）承包期间，遇国家、省、市、区爱卫办检查，</w:t>
      </w:r>
      <w:r>
        <w:rPr>
          <w:rFonts w:hint="eastAsia" w:ascii="宋体" w:hAnsi="宋体" w:eastAsia="仿宋_GB2312" w:cs="宋体"/>
          <w:color w:val="000000"/>
          <w:kern w:val="0"/>
          <w:sz w:val="28"/>
          <w:szCs w:val="28"/>
          <w:lang w:val="en-US" w:eastAsia="zh-CN" w:bidi="ar-SA"/>
        </w:rPr>
        <w:t>天涯区范围的</w:t>
      </w:r>
      <w:r>
        <w:rPr>
          <w:rFonts w:hint="eastAsia" w:ascii="宋体" w:hAnsi="宋体" w:eastAsia="宋体" w:cs="宋体"/>
          <w:color w:val="000000"/>
          <w:kern w:val="0"/>
          <w:sz w:val="28"/>
          <w:szCs w:val="28"/>
          <w:lang w:val="en-US" w:eastAsia="zh-CN" w:bidi="ar-SA"/>
        </w:rPr>
        <w:t>村（居）委会病媒生物密度达不到国家病媒生物密度水平控制C级标准的，每次在承包款项中扣</w:t>
      </w:r>
      <w:r>
        <w:rPr>
          <w:rFonts w:hint="eastAsia" w:ascii="宋体" w:hAnsi="宋体" w:eastAsia="仿宋_GB2312" w:cs="宋体"/>
          <w:color w:val="000000"/>
          <w:kern w:val="0"/>
          <w:sz w:val="28"/>
          <w:szCs w:val="28"/>
          <w:lang w:val="en-US" w:eastAsia="zh-CN" w:bidi="ar-SA"/>
        </w:rPr>
        <w:t>20000-50000元</w:t>
      </w:r>
      <w:r>
        <w:rPr>
          <w:rFonts w:hint="eastAsia" w:ascii="宋体" w:hAnsi="宋体" w:eastAsia="宋体" w:cs="宋体"/>
          <w:color w:val="000000"/>
          <w:kern w:val="0"/>
          <w:sz w:val="28"/>
          <w:szCs w:val="28"/>
          <w:lang w:val="en-US" w:eastAsia="zh-CN" w:bidi="ar-SA"/>
        </w:rPr>
        <w:t>的违约金，并限期整改，经整改后仍不达标的，甲方有权终止合同，并要求乙方承担由此给甲方造成的损失。</w:t>
      </w:r>
    </w:p>
    <w:p w14:paraId="17E264FA">
      <w:pPr>
        <w:widowControl w:val="0"/>
        <w:wordWrap w:val="0"/>
        <w:adjustRightInd w:val="0"/>
        <w:snapToGrid w:val="0"/>
        <w:spacing w:before="157" w:beforeLines="50" w:afterLines="0" w:line="455" w:lineRule="exact"/>
        <w:ind w:firstLine="560" w:firstLineChars="200"/>
        <w:jc w:val="both"/>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二）每阶段末由甲方组织第三方专业评估机构和相关人员对乙方本阶段病媒生物防制工作进行考核，考核达不到国家病媒生物密度水平控制C级标准的，每次在承包款项中扣20000-50000元的违约金，并限期整改，经整改后仍不达标的，甲方有权终止合同，并要求乙方承担由此给甲方造成的损失。</w:t>
      </w:r>
    </w:p>
    <w:p w14:paraId="45B45266">
      <w:pPr>
        <w:widowControl w:val="0"/>
        <w:wordWrap w:val="0"/>
        <w:adjustRightInd w:val="0"/>
        <w:snapToGrid w:val="0"/>
        <w:spacing w:before="157" w:beforeLines="50" w:afterLines="0" w:line="455" w:lineRule="exact"/>
        <w:ind w:firstLine="562" w:firstLineChars="200"/>
        <w:jc w:val="both"/>
        <w:rPr>
          <w:rFonts w:hint="eastAsia" w:ascii="宋体" w:hAnsi="宋体" w:eastAsia="宋体" w:cs="宋体"/>
          <w:b/>
          <w:bCs/>
          <w:color w:val="000000"/>
          <w:kern w:val="0"/>
          <w:sz w:val="28"/>
          <w:szCs w:val="28"/>
          <w:lang w:val="en-US" w:eastAsia="zh-CN" w:bidi="ar-SA"/>
        </w:rPr>
      </w:pPr>
      <w:r>
        <w:rPr>
          <w:rFonts w:hint="eastAsia" w:ascii="宋体" w:hAnsi="宋体" w:eastAsia="宋体" w:cs="宋体"/>
          <w:b/>
          <w:bCs/>
          <w:color w:val="000000"/>
          <w:kern w:val="0"/>
          <w:sz w:val="28"/>
          <w:szCs w:val="28"/>
          <w:lang w:val="en-US" w:eastAsia="zh-CN" w:bidi="ar-SA"/>
        </w:rPr>
        <w:t>八、监督与沟通</w:t>
      </w:r>
    </w:p>
    <w:p w14:paraId="22D43A6A">
      <w:pPr>
        <w:widowControl w:val="0"/>
        <w:wordWrap w:val="0"/>
        <w:adjustRightInd w:val="0"/>
        <w:snapToGrid w:val="0"/>
        <w:spacing w:before="157" w:beforeLines="50" w:afterLines="0" w:line="455" w:lineRule="exact"/>
        <w:ind w:firstLine="560" w:firstLineChars="200"/>
        <w:jc w:val="both"/>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（一）乙方应诚实信用，严格按照招标文件要求和承诺履行合同，不向甲方进行商业贿赂或者提供不正当利益。</w:t>
      </w:r>
    </w:p>
    <w:p w14:paraId="4800C7B7">
      <w:pPr>
        <w:widowControl w:val="0"/>
        <w:wordWrap w:val="0"/>
        <w:adjustRightInd w:val="0"/>
        <w:snapToGrid w:val="0"/>
        <w:spacing w:before="157" w:beforeLines="50" w:afterLines="0" w:line="455" w:lineRule="exact"/>
        <w:ind w:firstLine="560" w:firstLineChars="200"/>
        <w:jc w:val="both"/>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（二）积极与甲方协调、配合，并根据甲方的要求，不断改进、提高服务质量。</w:t>
      </w:r>
    </w:p>
    <w:p w14:paraId="21BF3965">
      <w:pPr>
        <w:widowControl w:val="0"/>
        <w:wordWrap w:val="0"/>
        <w:adjustRightInd w:val="0"/>
        <w:snapToGrid w:val="0"/>
        <w:spacing w:before="157" w:beforeLines="50" w:afterLines="0" w:line="455" w:lineRule="exact"/>
        <w:ind w:firstLine="540" w:firstLineChars="0"/>
        <w:jc w:val="both"/>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（三）因履行本合同引起的或与本合同有关的争议，甲、乙双方应首先通过友好协商解决，如果协商不能解决争议，则向三亚市城郊人民法院提起诉讼。因诉讼发生的诉讼费、鉴定费、财产保全费、</w:t>
      </w:r>
      <w:r>
        <w:rPr>
          <w:rFonts w:hint="eastAsia" w:ascii="宋体" w:hAnsi="宋体" w:eastAsia="宋体" w:cs="宋体"/>
          <w:color w:val="000000"/>
          <w:kern w:val="0"/>
          <w:sz w:val="28"/>
          <w:szCs w:val="28"/>
          <w:lang w:val="en-US" w:eastAsia="zh-Hans" w:bidi="ar-SA"/>
        </w:rPr>
        <w:t>保全保险费</w:t>
      </w:r>
      <w:r>
        <w:rPr>
          <w:rFonts w:hint="default" w:ascii="宋体" w:hAnsi="宋体" w:eastAsia="宋体" w:cs="宋体"/>
          <w:color w:val="000000"/>
          <w:kern w:val="0"/>
          <w:sz w:val="28"/>
          <w:szCs w:val="28"/>
          <w:lang w:val="en-US" w:eastAsia="zh-Hans" w:bidi="ar-SA"/>
        </w:rPr>
        <w:t>、</w:t>
      </w:r>
      <w:r>
        <w:rPr>
          <w:rFonts w:hint="eastAsia" w:ascii="宋体" w:hAnsi="宋体" w:eastAsia="宋体" w:cs="宋体"/>
          <w:color w:val="000000"/>
          <w:kern w:val="0"/>
          <w:sz w:val="28"/>
          <w:szCs w:val="28"/>
          <w:lang w:val="en-US" w:eastAsia="zh-CN" w:bidi="ar-SA"/>
        </w:rPr>
        <w:t>律师费等相应成本，由败诉方承担。</w:t>
      </w:r>
    </w:p>
    <w:p w14:paraId="014E9F5B">
      <w:pPr>
        <w:widowControl w:val="0"/>
        <w:wordWrap w:val="0"/>
        <w:adjustRightInd w:val="0"/>
        <w:snapToGrid w:val="0"/>
        <w:spacing w:before="157" w:beforeLines="50" w:afterLines="0" w:line="455" w:lineRule="exact"/>
        <w:ind w:firstLine="561" w:firstLineChars="0"/>
        <w:jc w:val="both"/>
        <w:rPr>
          <w:rFonts w:hint="eastAsia" w:ascii="宋体" w:hAnsi="宋体" w:eastAsia="宋体" w:cs="宋体"/>
          <w:b/>
          <w:bCs w:val="0"/>
          <w:color w:val="000000"/>
          <w:kern w:val="0"/>
          <w:sz w:val="28"/>
          <w:szCs w:val="28"/>
          <w:lang w:val="en-US" w:eastAsia="zh-CN" w:bidi="ar-SA"/>
        </w:rPr>
      </w:pPr>
      <w:r>
        <w:rPr>
          <w:rFonts w:hint="eastAsia" w:ascii="宋体" w:hAnsi="宋体" w:eastAsia="宋体" w:cs="宋体"/>
          <w:b/>
          <w:bCs w:val="0"/>
          <w:color w:val="000000"/>
          <w:kern w:val="0"/>
          <w:sz w:val="28"/>
          <w:szCs w:val="28"/>
          <w:lang w:val="en-US" w:eastAsia="zh-CN" w:bidi="ar-SA"/>
        </w:rPr>
        <w:t>九、违约责任：</w:t>
      </w:r>
    </w:p>
    <w:p w14:paraId="3E3E87EB">
      <w:pPr>
        <w:widowControl w:val="0"/>
        <w:wordWrap w:val="0"/>
        <w:adjustRightInd w:val="0"/>
        <w:snapToGrid w:val="0"/>
        <w:spacing w:before="157" w:beforeLines="50" w:afterLines="0" w:line="455" w:lineRule="exact"/>
        <w:ind w:firstLine="561" w:firstLineChars="0"/>
        <w:jc w:val="both"/>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甲、乙任何一方不履行合同义务或者履行合同义务不符合约定，除应按照合同约定支付违约金外，还应赔偿给对方造成的损失，损失赔偿额应当相当于因违约所造成的损失，包括</w:t>
      </w:r>
      <w:r>
        <w:rPr>
          <w:rFonts w:hint="eastAsia" w:ascii="宋体" w:hAnsi="宋体" w:eastAsia="宋体" w:cs="宋体"/>
          <w:color w:val="000000"/>
          <w:kern w:val="2"/>
          <w:sz w:val="28"/>
          <w:szCs w:val="28"/>
          <w:lang w:val="en-US" w:eastAsia="zh-CN" w:bidi="ar-SA"/>
        </w:rPr>
        <w:fldChar w:fldCharType="begin"/>
      </w:r>
      <w:r>
        <w:rPr>
          <w:rFonts w:hint="eastAsia" w:ascii="宋体" w:hAnsi="宋体" w:eastAsia="宋体" w:cs="宋体"/>
          <w:color w:val="000000"/>
          <w:kern w:val="2"/>
          <w:sz w:val="28"/>
          <w:szCs w:val="28"/>
          <w:lang w:val="en-US" w:eastAsia="zh-CN" w:bidi="ar-SA"/>
        </w:rPr>
        <w:instrText xml:space="preserve">HYPERLINK"http://china.findlaw.cn/hetongfa/hetongdelvxing/"\t"_blank"</w:instrText>
      </w:r>
      <w:r>
        <w:rPr>
          <w:rFonts w:hint="eastAsia" w:ascii="宋体" w:hAnsi="宋体" w:eastAsia="宋体" w:cs="宋体"/>
          <w:color w:val="000000"/>
          <w:kern w:val="2"/>
          <w:sz w:val="28"/>
          <w:szCs w:val="28"/>
          <w:lang w:val="en-US" w:eastAsia="zh-CN" w:bidi="ar-SA"/>
        </w:rPr>
        <w:fldChar w:fldCharType="separate"/>
      </w:r>
      <w:r>
        <w:rPr>
          <w:rFonts w:hint="eastAsia" w:ascii="宋体" w:hAnsi="宋体" w:eastAsia="宋体" w:cs="宋体"/>
          <w:color w:val="000000"/>
          <w:kern w:val="0"/>
          <w:sz w:val="28"/>
          <w:szCs w:val="28"/>
          <w:lang w:val="en-US" w:eastAsia="zh-CN" w:bidi="ar-SA"/>
        </w:rPr>
        <w:t>合同履行</w:t>
      </w:r>
      <w:r>
        <w:rPr>
          <w:rFonts w:hint="eastAsia" w:ascii="宋体" w:hAnsi="宋体" w:eastAsia="宋体" w:cs="宋体"/>
          <w:color w:val="000000"/>
          <w:kern w:val="0"/>
          <w:sz w:val="28"/>
          <w:szCs w:val="28"/>
          <w:lang w:val="en-US" w:eastAsia="zh-CN" w:bidi="ar-SA"/>
        </w:rPr>
        <w:fldChar w:fldCharType="end"/>
      </w:r>
      <w:r>
        <w:rPr>
          <w:rFonts w:hint="eastAsia" w:ascii="宋体" w:hAnsi="宋体" w:eastAsia="宋体" w:cs="宋体"/>
          <w:color w:val="000000"/>
          <w:kern w:val="0"/>
          <w:sz w:val="28"/>
          <w:szCs w:val="28"/>
          <w:lang w:val="en-US" w:eastAsia="zh-CN" w:bidi="ar-SA"/>
        </w:rPr>
        <w:t>后可以获得的利益，但不得超过违反合同一方订立合同时预见到或者应当预见到的因违反合同可能造成的损失。</w:t>
      </w:r>
    </w:p>
    <w:p w14:paraId="5DE1D6C1">
      <w:pPr>
        <w:widowControl w:val="0"/>
        <w:wordWrap w:val="0"/>
        <w:adjustRightInd w:val="0"/>
        <w:snapToGrid w:val="0"/>
        <w:spacing w:before="157" w:beforeLines="50" w:afterLines="0" w:line="455" w:lineRule="exact"/>
        <w:ind w:firstLine="562" w:firstLineChars="200"/>
        <w:jc w:val="both"/>
        <w:rPr>
          <w:rFonts w:hint="eastAsia" w:ascii="宋体" w:hAnsi="宋体" w:eastAsia="宋体" w:cs="宋体"/>
          <w:b/>
          <w:color w:val="000000"/>
          <w:kern w:val="0"/>
          <w:sz w:val="28"/>
          <w:szCs w:val="28"/>
          <w:lang w:val="en-US" w:eastAsia="zh-CN" w:bidi="ar-SA"/>
        </w:rPr>
      </w:pPr>
      <w:r>
        <w:rPr>
          <w:rFonts w:hint="eastAsia" w:ascii="宋体" w:hAnsi="宋体" w:eastAsia="宋体" w:cs="宋体"/>
          <w:b/>
          <w:bCs w:val="0"/>
          <w:color w:val="000000"/>
          <w:kern w:val="0"/>
          <w:sz w:val="28"/>
          <w:szCs w:val="28"/>
          <w:lang w:val="en-US" w:eastAsia="zh-CN" w:bidi="ar-SA"/>
        </w:rPr>
        <w:t>十、其他事项</w:t>
      </w:r>
    </w:p>
    <w:p w14:paraId="17A6AD9B">
      <w:pPr>
        <w:widowControl w:val="0"/>
        <w:wordWrap w:val="0"/>
        <w:adjustRightInd w:val="0"/>
        <w:snapToGrid w:val="0"/>
        <w:spacing w:before="157" w:beforeLines="50" w:afterLines="0" w:line="455" w:lineRule="exact"/>
        <w:ind w:firstLine="560" w:firstLineChars="200"/>
        <w:jc w:val="both"/>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（一）甲方应根据乙方事先通知的作业计划，安排人员协调解决水电等配套工作，费用由乙方负责。</w:t>
      </w:r>
    </w:p>
    <w:p w14:paraId="47168A96">
      <w:pPr>
        <w:widowControl w:val="0"/>
        <w:wordWrap w:val="0"/>
        <w:adjustRightInd w:val="0"/>
        <w:snapToGrid w:val="0"/>
        <w:spacing w:before="157" w:beforeLines="50" w:afterLines="0" w:line="455" w:lineRule="exact"/>
        <w:ind w:firstLine="560" w:firstLineChars="200"/>
        <w:jc w:val="both"/>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（二）乙方使用和发放的药品必须是具有国家“三证”的产品，如因乙方使用的药品不符合国家规定，造成的一切损失由乙方负责。</w:t>
      </w:r>
    </w:p>
    <w:p w14:paraId="7CECFED1">
      <w:pPr>
        <w:widowControl w:val="0"/>
        <w:wordWrap w:val="0"/>
        <w:adjustRightInd w:val="0"/>
        <w:snapToGrid w:val="0"/>
        <w:spacing w:before="157" w:beforeLines="50" w:afterLines="0" w:line="455" w:lineRule="exact"/>
        <w:ind w:firstLine="560" w:firstLineChars="200"/>
        <w:jc w:val="both"/>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（三）乙方人员的办公、住宿、仓储由乙方自行负责。</w:t>
      </w:r>
    </w:p>
    <w:p w14:paraId="6A4942D2">
      <w:pPr>
        <w:widowControl w:val="0"/>
        <w:wordWrap w:val="0"/>
        <w:adjustRightInd w:val="0"/>
        <w:snapToGrid w:val="0"/>
        <w:spacing w:before="157" w:beforeLines="50" w:afterLines="0" w:line="455" w:lineRule="exact"/>
        <w:ind w:firstLine="560" w:firstLineChars="200"/>
        <w:jc w:val="both"/>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（四）由乙方工作</w:t>
      </w:r>
      <w:r>
        <w:rPr>
          <w:rFonts w:hint="eastAsia" w:ascii="宋体" w:hAnsi="宋体" w:eastAsia="宋体" w:cs="宋体"/>
          <w:color w:val="000000"/>
          <w:kern w:val="0"/>
          <w:sz w:val="28"/>
          <w:szCs w:val="28"/>
          <w:lang w:val="en-US" w:eastAsia="zh-Hans" w:bidi="ar-SA"/>
        </w:rPr>
        <w:t>人员故意或</w:t>
      </w:r>
      <w:r>
        <w:rPr>
          <w:rFonts w:hint="eastAsia" w:ascii="宋体" w:hAnsi="宋体" w:eastAsia="宋体" w:cs="宋体"/>
          <w:color w:val="000000"/>
          <w:kern w:val="0"/>
          <w:sz w:val="28"/>
          <w:szCs w:val="28"/>
          <w:lang w:val="en-US" w:eastAsia="zh-CN" w:bidi="ar-SA"/>
        </w:rPr>
        <w:t>失误造成的一切损失由乙方自负。</w:t>
      </w:r>
    </w:p>
    <w:p w14:paraId="2BB1B61A">
      <w:pPr>
        <w:widowControl w:val="0"/>
        <w:wordWrap w:val="0"/>
        <w:adjustRightInd w:val="0"/>
        <w:snapToGrid w:val="0"/>
        <w:spacing w:before="157" w:beforeLines="50" w:afterLines="0" w:line="455" w:lineRule="exact"/>
        <w:ind w:firstLine="560" w:firstLineChars="200"/>
        <w:jc w:val="both"/>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（五）本合同未尽事宜，经双方协商同意，签订补充协议作合同附件，与本合同具有同等效力。</w:t>
      </w:r>
    </w:p>
    <w:p w14:paraId="6C6CC077">
      <w:pPr>
        <w:widowControl w:val="0"/>
        <w:wordWrap w:val="0"/>
        <w:adjustRightInd w:val="0"/>
        <w:snapToGrid w:val="0"/>
        <w:spacing w:before="157" w:beforeLines="50" w:afterLines="0" w:line="455" w:lineRule="exact"/>
        <w:ind w:firstLine="560" w:firstLineChars="200"/>
        <w:jc w:val="both"/>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（六）本合同一式六份，甲方三份、乙方二份、另一份需报区政府备案，共六份。</w:t>
      </w:r>
    </w:p>
    <w:p w14:paraId="551A6A16">
      <w:pPr>
        <w:widowControl w:val="0"/>
        <w:wordWrap w:val="0"/>
        <w:adjustRightInd w:val="0"/>
        <w:snapToGrid w:val="0"/>
        <w:spacing w:before="157" w:beforeLines="50" w:afterLines="0" w:line="455" w:lineRule="exact"/>
        <w:ind w:firstLine="560" w:firstLineChars="200"/>
        <w:jc w:val="both"/>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（七）本合同自甲、乙双方法定代表人或授权代表签字并加盖双方公章后生效，多页合同应当加盖骑缝章。</w:t>
      </w:r>
    </w:p>
    <w:p w14:paraId="00BE7AF5">
      <w:pPr>
        <w:widowControl w:val="0"/>
        <w:wordWrap w:val="0"/>
        <w:adjustRightInd w:val="0"/>
        <w:snapToGrid w:val="0"/>
        <w:spacing w:before="157" w:beforeLines="50" w:afterLines="0" w:line="455" w:lineRule="exact"/>
        <w:ind w:firstLine="560" w:firstLineChars="200"/>
        <w:jc w:val="both"/>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八）本合同载明的双方地址可作为送达书面通知、律师函、法院送达诉讼文书的地址，因载明的地址有误或未及时告知变更后的地址，导致相关文书及诉讼文书未能实际被接收的、邮寄送达的，相关文书及诉讼文书退回之日即视为送达之日。</w:t>
      </w:r>
    </w:p>
    <w:p w14:paraId="4D8F41FA">
      <w:pPr>
        <w:widowControl w:val="0"/>
        <w:wordWrap w:val="0"/>
        <w:adjustRightInd w:val="0"/>
        <w:snapToGrid w:val="0"/>
        <w:spacing w:before="157" w:beforeLines="50" w:afterLines="0" w:line="455" w:lineRule="exact"/>
        <w:ind w:firstLine="0" w:firstLineChars="0"/>
        <w:jc w:val="both"/>
        <w:rPr>
          <w:rFonts w:hint="eastAsia" w:ascii="宋体" w:hAnsi="宋体" w:eastAsia="宋体" w:cs="宋体"/>
          <w:color w:val="000000"/>
          <w:kern w:val="0"/>
          <w:sz w:val="28"/>
          <w:szCs w:val="28"/>
          <w:lang w:val="en-US" w:eastAsia="zh-CN" w:bidi="ar-SA"/>
        </w:rPr>
      </w:pPr>
    </w:p>
    <w:p w14:paraId="3FA35979">
      <w:pPr>
        <w:widowControl w:val="0"/>
        <w:wordWrap w:val="0"/>
        <w:adjustRightInd w:val="0"/>
        <w:snapToGrid w:val="0"/>
        <w:spacing w:before="157" w:beforeLines="50" w:afterLines="0" w:line="455" w:lineRule="exact"/>
        <w:ind w:firstLine="0" w:firstLineChars="0"/>
        <w:jc w:val="both"/>
        <w:rPr>
          <w:rFonts w:hint="eastAsia" w:ascii="宋体" w:hAnsi="宋体" w:eastAsia="宋体" w:cs="宋体"/>
          <w:color w:val="000000"/>
          <w:kern w:val="0"/>
          <w:sz w:val="28"/>
          <w:szCs w:val="28"/>
          <w:lang w:val="en-US" w:eastAsia="zh-CN" w:bidi="ar-SA"/>
        </w:rPr>
      </w:pPr>
    </w:p>
    <w:p w14:paraId="4E6AC1F3">
      <w:pPr>
        <w:wordWrap w:val="0"/>
        <w:spacing w:before="157" w:beforeLines="50" w:afterLines="0" w:line="455" w:lineRule="exact"/>
        <w:jc w:val="both"/>
        <w:rPr>
          <w:rFonts w:hint="eastAsia" w:ascii="宋体" w:hAnsi="宋体" w:eastAsia="宋体" w:cs="宋体"/>
          <w:color w:val="000000"/>
          <w:spacing w:val="-20"/>
          <w:sz w:val="28"/>
          <w:szCs w:val="28"/>
        </w:rPr>
      </w:pPr>
      <w:r>
        <w:rPr>
          <w:rFonts w:hint="eastAsia" w:ascii="宋体" w:hAnsi="宋体" w:eastAsia="宋体" w:cs="宋体"/>
          <w:color w:val="000000"/>
          <w:spacing w:val="-20"/>
          <w:sz w:val="28"/>
          <w:szCs w:val="28"/>
        </w:rPr>
        <w:t>甲方单位（盖章）：三亚市天涯区卫生健康委员会</w:t>
      </w:r>
    </w:p>
    <w:p w14:paraId="233C9288">
      <w:pPr>
        <w:wordWrap w:val="0"/>
        <w:spacing w:before="157" w:beforeLines="50" w:afterLines="0" w:line="455" w:lineRule="exact"/>
        <w:jc w:val="both"/>
        <w:rPr>
          <w:rFonts w:hint="eastAsia" w:ascii="宋体" w:hAnsi="宋体" w:eastAsia="宋体" w:cs="宋体"/>
          <w:color w:val="000000"/>
          <w:spacing w:val="-20"/>
          <w:sz w:val="28"/>
          <w:szCs w:val="28"/>
        </w:rPr>
      </w:pPr>
      <w:r>
        <w:rPr>
          <w:rFonts w:hint="eastAsia" w:ascii="宋体" w:hAnsi="宋体" w:eastAsia="宋体" w:cs="宋体"/>
          <w:color w:val="000000"/>
          <w:spacing w:val="-20"/>
          <w:sz w:val="28"/>
          <w:szCs w:val="28"/>
          <w:lang w:eastAsia="zh-CN"/>
        </w:rPr>
        <w:t>法定代表人</w:t>
      </w:r>
      <w:r>
        <w:rPr>
          <w:rFonts w:hint="eastAsia" w:ascii="宋体" w:hAnsi="宋体" w:eastAsia="宋体" w:cs="宋体"/>
          <w:color w:val="000000"/>
          <w:spacing w:val="-20"/>
          <w:sz w:val="28"/>
          <w:szCs w:val="28"/>
        </w:rPr>
        <w:t>或授权代表（签字）：</w:t>
      </w:r>
    </w:p>
    <w:p w14:paraId="13720F3D">
      <w:pPr>
        <w:wordWrap w:val="0"/>
        <w:spacing w:before="157" w:beforeLines="50" w:afterLines="0" w:line="455" w:lineRule="exact"/>
        <w:jc w:val="both"/>
        <w:rPr>
          <w:rFonts w:hint="eastAsia" w:ascii="宋体" w:hAnsi="宋体" w:eastAsia="宋体" w:cs="宋体"/>
          <w:color w:val="000000"/>
          <w:spacing w:val="-20"/>
          <w:sz w:val="28"/>
          <w:szCs w:val="28"/>
          <w:lang w:val="en-US" w:eastAsia="zh-CN"/>
        </w:rPr>
      </w:pPr>
      <w:r>
        <w:rPr>
          <w:rFonts w:hint="eastAsia" w:ascii="宋体" w:hAnsi="宋体" w:eastAsia="宋体" w:cs="宋体"/>
          <w:color w:val="000000"/>
          <w:spacing w:val="-20"/>
          <w:sz w:val="28"/>
          <w:szCs w:val="28"/>
          <w:lang w:val="en-US" w:eastAsia="zh-CN"/>
        </w:rPr>
        <w:t>地址：</w:t>
      </w:r>
      <w:r>
        <w:rPr>
          <w:rFonts w:hint="eastAsia" w:ascii="宋体" w:hAnsi="宋体" w:eastAsia="宋体" w:cs="宋体"/>
          <w:color w:val="000000"/>
          <w:spacing w:val="-20"/>
          <w:sz w:val="28"/>
          <w:szCs w:val="28"/>
        </w:rPr>
        <w:t>三亚市天涯区凤凰路319号政府大院3号楼2楼</w:t>
      </w:r>
    </w:p>
    <w:p w14:paraId="5BB05BCF">
      <w:pPr>
        <w:wordWrap w:val="0"/>
        <w:spacing w:before="157" w:beforeLines="50" w:afterLines="0" w:line="455" w:lineRule="exact"/>
        <w:jc w:val="both"/>
        <w:rPr>
          <w:rFonts w:hint="eastAsia" w:ascii="宋体" w:hAnsi="宋体" w:eastAsia="宋体" w:cs="宋体"/>
          <w:color w:val="000000"/>
          <w:spacing w:val="-20"/>
          <w:sz w:val="28"/>
          <w:szCs w:val="28"/>
          <w:lang w:val="en-US" w:eastAsia="zh-CN"/>
        </w:rPr>
      </w:pPr>
      <w:r>
        <w:rPr>
          <w:rFonts w:hint="eastAsia" w:ascii="宋体" w:hAnsi="宋体" w:eastAsia="宋体" w:cs="宋体"/>
          <w:color w:val="000000"/>
          <w:spacing w:val="-20"/>
          <w:sz w:val="28"/>
          <w:szCs w:val="28"/>
          <w:lang w:val="en-US" w:eastAsia="zh-CN"/>
        </w:rPr>
        <w:t>联系电话：</w:t>
      </w:r>
      <w:r>
        <w:rPr>
          <w:rFonts w:hint="eastAsia" w:ascii="宋体" w:hAnsi="宋体" w:eastAsia="宋体" w:cs="宋体"/>
          <w:color w:val="000000"/>
          <w:spacing w:val="-20"/>
          <w:sz w:val="28"/>
          <w:szCs w:val="28"/>
        </w:rPr>
        <w:t>0898-88233536</w:t>
      </w:r>
    </w:p>
    <w:p w14:paraId="2C0F0D83">
      <w:pPr>
        <w:wordWrap w:val="0"/>
        <w:spacing w:before="157" w:beforeLines="50" w:afterLines="0" w:line="455" w:lineRule="exact"/>
        <w:jc w:val="both"/>
        <w:rPr>
          <w:rFonts w:hint="eastAsia" w:ascii="宋体" w:hAnsi="宋体" w:eastAsia="宋体" w:cs="宋体"/>
          <w:color w:val="000000"/>
          <w:spacing w:val="-20"/>
          <w:sz w:val="28"/>
          <w:szCs w:val="28"/>
          <w:lang w:val="en-US" w:eastAsia="zh-CN"/>
        </w:rPr>
      </w:pPr>
    </w:p>
    <w:p w14:paraId="02284252">
      <w:pPr>
        <w:wordWrap w:val="0"/>
        <w:spacing w:before="157" w:beforeLines="50" w:afterLines="0" w:line="455" w:lineRule="exact"/>
        <w:jc w:val="both"/>
        <w:rPr>
          <w:rFonts w:hint="eastAsia" w:ascii="宋体" w:hAnsi="宋体" w:eastAsia="宋体" w:cs="宋体"/>
          <w:color w:val="000000"/>
          <w:spacing w:val="-20"/>
          <w:sz w:val="28"/>
          <w:szCs w:val="28"/>
          <w:lang w:val="en-US" w:eastAsia="zh-CN"/>
        </w:rPr>
      </w:pPr>
    </w:p>
    <w:p w14:paraId="39131BD6">
      <w:pPr>
        <w:wordWrap w:val="0"/>
        <w:spacing w:before="157" w:beforeLines="50" w:afterLines="0" w:line="455" w:lineRule="exact"/>
        <w:ind w:left="-304" w:leftChars="-95" w:right="-531" w:rightChars="-166" w:firstLine="240" w:firstLineChars="100"/>
        <w:jc w:val="both"/>
        <w:rPr>
          <w:rFonts w:hint="eastAsia" w:ascii="宋体" w:hAnsi="宋体" w:eastAsia="宋体" w:cs="宋体"/>
          <w:color w:val="000000"/>
          <w:sz w:val="28"/>
          <w:szCs w:val="28"/>
          <w:lang w:val="en-US"/>
        </w:rPr>
      </w:pPr>
      <w:r>
        <w:rPr>
          <w:rFonts w:hint="eastAsia" w:ascii="宋体" w:hAnsi="宋体" w:eastAsia="宋体" w:cs="宋体"/>
          <w:color w:val="000000"/>
          <w:spacing w:val="-20"/>
          <w:sz w:val="28"/>
          <w:szCs w:val="28"/>
        </w:rPr>
        <w:t>乙方单位（盖章）：</w:t>
      </w:r>
      <w:r>
        <w:rPr>
          <w:rFonts w:hint="eastAsia" w:ascii="宋体" w:hAnsi="宋体" w:eastAsia="宋体" w:cs="宋体"/>
          <w:color w:val="000000"/>
          <w:spacing w:val="-20"/>
          <w:sz w:val="28"/>
          <w:szCs w:val="28"/>
          <w:lang w:val="en-US" w:eastAsia="zh-CN"/>
        </w:rPr>
        <w:t xml:space="preserve"> </w:t>
      </w:r>
    </w:p>
    <w:p w14:paraId="58BC90A9">
      <w:pPr>
        <w:wordWrap w:val="0"/>
        <w:spacing w:before="157" w:beforeLines="50" w:afterLines="0" w:line="455" w:lineRule="exact"/>
        <w:jc w:val="both"/>
        <w:rPr>
          <w:rFonts w:hint="eastAsia" w:ascii="宋体" w:hAnsi="宋体" w:eastAsia="宋体" w:cs="宋体"/>
          <w:color w:val="000000"/>
          <w:spacing w:val="-20"/>
          <w:sz w:val="28"/>
          <w:szCs w:val="28"/>
        </w:rPr>
      </w:pPr>
      <w:r>
        <w:rPr>
          <w:rFonts w:hint="eastAsia" w:ascii="宋体" w:hAnsi="宋体" w:eastAsia="宋体" w:cs="宋体"/>
          <w:color w:val="000000"/>
          <w:spacing w:val="-20"/>
          <w:sz w:val="28"/>
          <w:szCs w:val="28"/>
          <w:lang w:eastAsia="zh-CN"/>
        </w:rPr>
        <w:t>法定代表人</w:t>
      </w:r>
      <w:r>
        <w:rPr>
          <w:rFonts w:hint="eastAsia" w:ascii="宋体" w:hAnsi="宋体" w:eastAsia="宋体" w:cs="宋体"/>
          <w:color w:val="000000"/>
          <w:spacing w:val="-20"/>
          <w:sz w:val="28"/>
          <w:szCs w:val="28"/>
        </w:rPr>
        <w:t>或授权代表（签字）：</w:t>
      </w:r>
    </w:p>
    <w:p w14:paraId="27C68B93">
      <w:pPr>
        <w:wordWrap w:val="0"/>
        <w:spacing w:before="157" w:beforeLines="50" w:afterLines="0" w:line="455" w:lineRule="exact"/>
        <w:jc w:val="both"/>
        <w:rPr>
          <w:rFonts w:hint="eastAsia" w:ascii="宋体" w:hAnsi="宋体" w:eastAsia="宋体" w:cs="宋体"/>
          <w:color w:val="000000"/>
          <w:spacing w:val="-20"/>
          <w:sz w:val="28"/>
          <w:szCs w:val="28"/>
          <w:lang w:val="en-US" w:eastAsia="zh-CN"/>
        </w:rPr>
      </w:pPr>
      <w:r>
        <w:rPr>
          <w:rFonts w:hint="eastAsia" w:ascii="宋体" w:hAnsi="宋体" w:eastAsia="宋体" w:cs="宋体"/>
          <w:color w:val="000000"/>
          <w:spacing w:val="-20"/>
          <w:sz w:val="28"/>
          <w:szCs w:val="28"/>
          <w:lang w:val="en-US" w:eastAsia="zh-CN"/>
        </w:rPr>
        <w:t xml:space="preserve">地址： </w:t>
      </w:r>
    </w:p>
    <w:p w14:paraId="4C67AD47">
      <w:pPr>
        <w:wordWrap w:val="0"/>
        <w:spacing w:before="157" w:beforeLines="50" w:afterLines="0" w:line="455" w:lineRule="exact"/>
        <w:ind w:firstLine="0" w:firstLineChars="0"/>
        <w:jc w:val="both"/>
        <w:rPr>
          <w:rFonts w:hint="eastAsia" w:ascii="宋体" w:hAnsi="宋体" w:eastAsia="宋体" w:cs="宋体"/>
          <w:color w:val="000000"/>
          <w:spacing w:val="-20"/>
          <w:sz w:val="28"/>
          <w:szCs w:val="28"/>
          <w:lang w:val="en-US" w:eastAsia="zh-CN"/>
        </w:rPr>
      </w:pPr>
      <w:r>
        <w:rPr>
          <w:rFonts w:hint="eastAsia" w:ascii="宋体" w:hAnsi="宋体" w:eastAsia="宋体" w:cs="宋体"/>
          <w:color w:val="000000"/>
          <w:spacing w:val="-20"/>
          <w:sz w:val="28"/>
          <w:szCs w:val="28"/>
          <w:lang w:val="en-US" w:eastAsia="zh-CN"/>
        </w:rPr>
        <w:t xml:space="preserve">联系电话： </w:t>
      </w:r>
    </w:p>
    <w:p w14:paraId="17D9AE04">
      <w:pPr>
        <w:wordWrap w:val="0"/>
        <w:spacing w:before="157" w:beforeLines="50" w:afterLines="0" w:line="455" w:lineRule="exact"/>
        <w:ind w:firstLine="0" w:firstLineChars="0"/>
        <w:jc w:val="both"/>
      </w:pPr>
      <w:r>
        <w:rPr>
          <w:rFonts w:hint="eastAsia" w:ascii="宋体" w:hAnsi="宋体" w:eastAsia="宋体" w:cs="宋体"/>
          <w:color w:val="000000"/>
          <w:sz w:val="28"/>
          <w:szCs w:val="28"/>
        </w:rPr>
        <w:t>签订地点：</w:t>
      </w:r>
      <w:r>
        <w:rPr>
          <w:rFonts w:hint="eastAsia" w:ascii="宋体" w:hAnsi="宋体" w:eastAsia="宋体" w:cs="宋体"/>
          <w:color w:val="000000"/>
          <w:sz w:val="28"/>
          <w:szCs w:val="28"/>
          <w:lang w:val="en-US" w:eastAsia="zh-CN"/>
        </w:rPr>
        <w:t xml:space="preserve">     </w:t>
      </w:r>
    </w:p>
    <w:sectPr>
      <w:headerReference r:id="rId3" w:type="default"/>
      <w:footerReference r:id="rId4" w:type="default"/>
      <w:pgSz w:w="11906" w:h="16838"/>
      <w:pgMar w:top="1134" w:right="1519" w:bottom="1134" w:left="151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新宋体">
    <w:panose1 w:val="02010609030101010101"/>
    <w:charset w:val="86"/>
    <w:family w:val="modern"/>
    <w:pitch w:val="default"/>
    <w:sig w:usb0="0000028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4926A3">
    <w:pPr>
      <w:pStyle w:val="3"/>
      <w:wordWrap w:val="0"/>
      <w:jc w:val="right"/>
      <w:rPr>
        <w:rFonts w:ascii="宋体" w:hAnsi="宋体"/>
        <w:sz w:val="28"/>
        <w:szCs w:val="28"/>
      </w:rPr>
    </w:pPr>
    <w:r>
      <w:rPr>
        <w:rFonts w:hint="eastAsia" w:ascii="宋体" w:hAnsi="宋体"/>
        <w:sz w:val="28"/>
        <w:szCs w:val="28"/>
      </w:rPr>
      <w:t>—</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4</w:t>
    </w:r>
    <w:r>
      <w:rPr>
        <w:rFonts w:ascii="宋体" w:hAnsi="宋体"/>
        <w:sz w:val="28"/>
        <w:szCs w:val="28"/>
      </w:rPr>
      <w:fldChar w:fldCharType="end"/>
    </w:r>
    <w:r>
      <w:rPr>
        <w:rFonts w:hint="eastAsia" w:ascii="宋体" w:hAnsi="宋体"/>
        <w:sz w:val="28"/>
        <w:szCs w:val="28"/>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8861DD">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1F188F"/>
    <w:rsid w:val="4F1F18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新宋体" w:eastAsia="仿宋_GB2312" w:cs="Times New Roman"/>
      <w:kern w:val="2"/>
      <w:sz w:val="32"/>
      <w:szCs w:val="24"/>
      <w:lang w:val="en-US" w:eastAsia="zh-CN"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caption"/>
    <w:basedOn w:val="1"/>
    <w:next w:val="1"/>
    <w:qFormat/>
    <w:uiPriority w:val="0"/>
    <w:rPr>
      <w:rFonts w:ascii="Arial" w:hAnsi="Arial" w:eastAsia="黑体"/>
      <w:sz w:val="20"/>
    </w:rPr>
  </w:style>
  <w:style w:type="paragraph" w:styleId="3">
    <w:name w:val="footer"/>
    <w:basedOn w:val="1"/>
    <w:qFormat/>
    <w:uiPriority w:val="99"/>
    <w:pPr>
      <w:tabs>
        <w:tab w:val="center" w:pos="4153"/>
        <w:tab w:val="right" w:pos="8306"/>
      </w:tabs>
      <w:snapToGrid w:val="0"/>
      <w:jc w:val="left"/>
    </w:pPr>
    <w:rPr>
      <w:sz w:val="18"/>
      <w:szCs w:val="18"/>
    </w:rPr>
  </w:style>
  <w:style w:type="paragraph" w:styleId="4">
    <w:name w:val="header"/>
    <w:basedOn w:val="1"/>
    <w:next w:val="2"/>
    <w:uiPriority w:val="0"/>
    <w:pPr>
      <w:pBdr>
        <w:bottom w:val="single" w:color="auto" w:sz="6" w:space="1"/>
      </w:pBdr>
      <w:tabs>
        <w:tab w:val="center" w:pos="4153"/>
        <w:tab w:val="right" w:pos="8306"/>
      </w:tabs>
      <w:snapToGrid w:val="0"/>
      <w:jc w:val="center"/>
    </w:pPr>
    <w:rPr>
      <w:sz w:val="18"/>
      <w:szCs w:val="18"/>
    </w:rPr>
  </w:style>
  <w:style w:type="paragraph" w:customStyle="1" w:styleId="7">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2026-04-16T07:13:00Z</dcterms:created>
  <dc:creator>小小女人</dc:creator>
  <cp:lastModifiedBy>小小女人</cp:lastModifiedBy>
  <dcterms:modified xsi:type="dcterms:W3CDTF">2026-04-16T07:14:14Z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0AB7431E63B949E8BBDF2682342A298A_11</vt:lpwstr>
  </property>
  <property fmtid="{D5CDD505-2E9C-101B-9397-08002B2CF9AE}" pid="4" name="KSOTemplateDocerSaveRecord">
    <vt:lpwstr>eyJoZGlkIjoiMzdhNmYyOTU3Mzk4MzNiZmEzYzJlMWFhYmFjMGU5NjIiLCJ1c2VySWQiOiIzMjUxNjgyMTcifQ==</vt:lpwstr>
  </property>
</Properties>
</file>