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江西省吉安</w:t>
      </w:r>
      <w:r>
        <w:rPr>
          <w:rStyle w:val="5"/>
          <w:rFonts w:ascii="方正小标宋简体" w:hAnsi="方正小标宋简体" w:eastAsia="方正小标宋简体" w:cs="方正小标宋简体"/>
          <w:color w:val="auto"/>
          <w:sz w:val="40"/>
          <w:szCs w:val="40"/>
        </w:rPr>
        <w:t>监狱消杀除害服务项目竞价文件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1.项目名称：江西省吉安监狱消杀除害服务采购项目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2.预算金额：35000元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1年（合同期满经考核合格可续签）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、服务范围与防治对象</w:t>
      </w:r>
    </w:p>
    <w:p>
      <w:pPr>
        <w:ind w:firstLine="64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服务区域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江西省吉安监狱狱内及场区所有建筑及绿地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民警办公区、民警生活区、监管区、武警营区），占地约260亩。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具体包括：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民警办公区：办公大楼、办公楼道走廊、卫生间、会议室、机房、库房、楼梯间、门窗周边等。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民警生活区：家属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区、备勤楼、</w:t>
      </w:r>
      <w:r>
        <w:rPr>
          <w:rFonts w:hint="eastAsia" w:ascii="仿宋_GB2312" w:hAnsi="仿宋_GB2312" w:eastAsia="仿宋_GB2312" w:cs="仿宋_GB2312"/>
          <w:sz w:val="32"/>
          <w:szCs w:val="32"/>
        </w:rPr>
        <w:t>干警食堂等。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监管区：监舍、生产车间、会见室、教学楼等。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武警营区：武警中队营房、食堂、训练场所等。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</w:rPr>
        <w:t>室外区域： 监区内外绿化带、绿化带树木、道路周边、垃圾收集点、下水道口等。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重点区域：食堂及后厨周边、垃圾收集点、下水道口、库房、监舍等。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防治对象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老鼠、蟑螂、蚊子、苍蝇、白蚁、红火蚁及其他常见病媒生物。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商务条款</w:t>
      </w:r>
    </w:p>
    <w:p>
      <w:pPr>
        <w:ind w:firstLine="64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服务内容与标准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1.鼠害防治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设置固定上锁毒饵站、粘鼠板、封堵鼠洞、巡查补投。毒饵站须上锁、固定并设置警示标识，严防人员误食。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2.蟑害防治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滞留喷洒、胶饵点施、粘蟑板布置、孳生地清理。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3.蚊蝇防治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积水处理、滞留喷洒、垃圾点及孳生地防护治理。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4.白蚁防治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全面勘查白蚁活动迹象，采用诱杀、药液屏障、重点部位预防处理等综合措施，对已发现的白蚁危害部位进行灭治和修复建议。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5.红火蚁防治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对绿化带、草坪等区域进行定期巡查，发现蚁巢及时采用触杀性粉剂或灌巢法进行灭治，防止扩散蔓延。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6.耗材提供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免费提供毒饵站、粘鼠板、粘蟑板、饵剂、警示标识等全部消杀耗材。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7. 作业规范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执行国家爱卫会《病媒生物预防控制管理规定》及当地爱卫办密度控制标准。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食堂及食品相关区域严格安全施药，确保人员及食品安全；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遵守监狱的各项规章制度，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严禁吸烟、进食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作业人员须穿戴工作服、佩戴上岗证，持公司服务工作证上岗。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服务频次与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应急响应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1.常规服务：每月不少于2次全面服务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（包含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狱内及场区所有建筑及绿地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，全年不少于24次。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遇特殊情况（如上级检查、突发虫害等）可要求增加服务次数。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2.重点区域（食堂、监舍、垃圾点、地下空间等）：根据实际密度情况加密服务频次。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3.高峰期/特殊情况：雨季、夏季等病媒生物密度高发期，以及上级检查、突发虫害等情况下，采购方可要求增加服务次数，成交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应无条件配合。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4.应急响应：接到采购方紧急通知后，须在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小时内到达指定区域进行应急消杀作业。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（三）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药品与安全要求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1.所有杀虫药物须符合国家低毒、低残留标准，无刺激性异味，确保对人、食品、环境安全。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2.严禁使用急性灭鼠药或其他明文禁用药物。如使用违禁药剂，采购方有权立即终止合同并追究责任。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3.毒饵站须上锁、固定并设置警示标识，严防人员误食。施药期间应有专人看护防止意外发生。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4.质量标准须符合国家病媒生物密度控制标准（如GB/T 27770-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2011、</w:t>
      </w:r>
      <w:r>
        <w:rPr>
          <w:rFonts w:hint="eastAsia" w:ascii="仿宋_GB2312" w:hAnsi="仿宋_GB2312" w:eastAsia="仿宋_GB2312" w:cs="仿宋_GB2312"/>
          <w:sz w:val="32"/>
          <w:szCs w:val="32"/>
        </w:rPr>
        <w:t>GB/T 2777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2011、</w:t>
      </w:r>
      <w:r>
        <w:rPr>
          <w:rFonts w:hint="eastAsia" w:ascii="仿宋_GB2312" w:hAnsi="仿宋_GB2312" w:eastAsia="仿宋_GB2312" w:cs="仿宋_GB2312"/>
          <w:sz w:val="32"/>
          <w:szCs w:val="32"/>
        </w:rPr>
        <w:t>GB/T 2777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2-2011、</w:t>
      </w:r>
      <w:r>
        <w:rPr>
          <w:rFonts w:hint="eastAsia" w:ascii="仿宋_GB2312" w:hAnsi="仿宋_GB2312" w:eastAsia="仿宋_GB2312" w:cs="仿宋_GB2312"/>
          <w:sz w:val="32"/>
          <w:szCs w:val="32"/>
        </w:rPr>
        <w:t>GB/T 2777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等），服务区域内无明显活害、无明显孳生。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5.由于服务方药品、器械等原因造成人员中毒事故或财产损失的，一切责任及赔偿由服务方承担。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（四）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验收与记录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1.每次作业完毕后，服务方须填写《消杀记录表》/服务记录单，由采购方现场人员根据目测效果签字确认，作为每次服务的依据和付款凭证。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 如服务质量未达到规定标准，采购方有权通知服务方无偿增加服务次数直至达标。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五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支付方式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付款方式：合同期分两次付款，第一次为成交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施工满6个月且验收合格后支付合同总金额的50%；第二次为合同到期且验收合格后支付剩余50%。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发票要求：成交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应在采购方每次付款前开具符合采购方财务要求的等额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发票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</w:rPr>
        <w:t>.服务期内价格不调整。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六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履约保证金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须在成交后5个工作日内缴纳合同金额5%的履约保证金。服务期满无违约情形则无息退还；成交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违约的，采购方可直接从保证金中扣除违约金或赔偿金。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七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违约责任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1.在服务期间，采购方因鼠害、蚁害等相关问题被上级通报或产生较大影响的，每次罚款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00元，从应付合同价款中直接扣除。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2.多</w:t>
      </w:r>
      <w:r>
        <w:rPr>
          <w:rFonts w:hint="eastAsia" w:ascii="仿宋_GB2312" w:hAnsi="仿宋_GB2312" w:eastAsia="仿宋_GB2312" w:cs="仿宋_GB2312"/>
          <w:sz w:val="32"/>
          <w:szCs w:val="32"/>
        </w:rPr>
        <w:t>次消杀效果不能得以改善，经采购方评估不符合服务质量的，采购方有权单方面终止合同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八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其他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1.除害期间，对合同外发现的虫害问题，服务方须在施工单上填写清楚，小面积情况下服务方协助处理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大面积需处理且产生较大费用，服务方须以书面形式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采购方，并给出合理方案及报价。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2.服务方在服务过程中应遵守监狱各项规章制度，不得影响采购方的正常工作。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3.服务方须自备除害器械和药品，确保使用的杀虫药物、器械、方法等符合相关国家、行业规定。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响应文件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及报价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服务方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须提交以下材料：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1.营业执照副本（盖章扫描件），经营范围须包含病媒生物防制、有害生物防制、除四害、消杀服务等相关内容。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2.有害生物防制服务机构资质证书（盖章扫描件）。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.服务承诺书（格式自拟），必须包含以下承诺内容：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遵守监狱管理规定及保密要求；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使用合法合规药品；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小时内到场；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每月不少于2次常规作业，高峰期及应急情况无条件增加频次。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报价方式：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报价为全年包干总价，含人工、药剂、耗材、器械、交通、税费等全部费用。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984A9A"/>
    <w:rsid w:val="050D6DDC"/>
    <w:rsid w:val="0DD91B66"/>
    <w:rsid w:val="1205017F"/>
    <w:rsid w:val="19443743"/>
    <w:rsid w:val="20D955D9"/>
    <w:rsid w:val="3CD74D13"/>
    <w:rsid w:val="428204F7"/>
    <w:rsid w:val="479066C0"/>
    <w:rsid w:val="70B9193B"/>
    <w:rsid w:val="7DF97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5">
    <w:name w:val="fontstyle01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2039</Words>
  <Characters>2110</Characters>
  <Paragraphs>92</Paragraphs>
  <TotalTime>7</TotalTime>
  <ScaleCrop>false</ScaleCrop>
  <LinksUpToDate>false</LinksUpToDate>
  <CharactersWithSpaces>2236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2026-04-10T05:11:00Z</dcterms:created>
  <dc:creator>ALN-AL00</dc:creator>
  <cp:lastModifiedBy>Administrator</cp:lastModifiedBy>
  <cp:lastPrinted>2026-04-20T02:03:00Z</cp:lastPrinted>
  <dcterms:modified xsi:type="dcterms:W3CDTF">2026-04-27T02:11:54Z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B640BD8959494D619C14DC66F820ED89</vt:lpwstr>
  </property>
  <property fmtid="{D5CDD505-2E9C-101B-9397-08002B2CF9AE}" pid="3" name="KSOProductBuildVer">
    <vt:lpwstr>2052-11.8.2.11716</vt:lpwstr>
  </property>
</Properties>
</file>