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87CE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ascii="宋体" w:hAnsi="宋体"/>
          <w:b/>
          <w:sz w:val="36"/>
          <w:szCs w:val="32"/>
        </w:rPr>
      </w:pPr>
      <w:bookmarkStart w:id="12" w:name="_GoBack"/>
      <w:bookmarkEnd w:id="12"/>
      <w:r>
        <w:rPr>
          <w:rFonts w:hint="eastAsia" w:ascii="宋体" w:hAnsi="宋体"/>
          <w:b/>
          <w:sz w:val="36"/>
          <w:szCs w:val="32"/>
          <w:lang w:val="en-US" w:eastAsia="zh-CN"/>
        </w:rPr>
        <w:t>珠海基地除四害、防白蚁服务项目年度</w:t>
      </w:r>
      <w:r>
        <w:rPr>
          <w:rFonts w:hint="eastAsia" w:ascii="宋体" w:hAnsi="宋体"/>
          <w:b/>
          <w:sz w:val="36"/>
          <w:szCs w:val="32"/>
        </w:rPr>
        <w:t>合同</w:t>
      </w:r>
    </w:p>
    <w:p w14:paraId="3634118E">
      <w:pPr>
        <w:widowControl w:val="0"/>
        <w:adjustRightInd w:val="0"/>
        <w:snapToGrid w:val="0"/>
        <w:spacing w:before="156" w:beforeLines="50" w:after="0" w:line="360" w:lineRule="auto"/>
        <w:ind w:right="520"/>
        <w:jc w:val="both"/>
        <w:rPr>
          <w:rFonts w:ascii="宋体" w:hAnsi="宋体"/>
          <w:b/>
          <w:bCs/>
          <w:sz w:val="24"/>
          <w:szCs w:val="24"/>
        </w:rPr>
      </w:pPr>
      <w:r>
        <w:rPr>
          <w:rFonts w:hint="eastAsia" w:ascii="宋体" w:hAnsi="宋体"/>
          <w:b/>
          <w:bCs/>
          <w:sz w:val="24"/>
          <w:szCs w:val="24"/>
        </w:rPr>
        <w:t xml:space="preserve">甲方：            </w:t>
      </w:r>
    </w:p>
    <w:p w14:paraId="1A838220">
      <w:pPr>
        <w:widowControl w:val="0"/>
        <w:adjustRightInd w:val="0"/>
        <w:snapToGrid w:val="0"/>
        <w:spacing w:before="156" w:beforeLines="50" w:after="0" w:line="360" w:lineRule="auto"/>
        <w:ind w:right="520"/>
        <w:jc w:val="both"/>
        <w:rPr>
          <w:rFonts w:ascii="宋体" w:hAnsi="宋体"/>
          <w:b/>
          <w:bCs/>
          <w:sz w:val="24"/>
          <w:szCs w:val="24"/>
        </w:rPr>
      </w:pPr>
      <w:r>
        <w:rPr>
          <w:rFonts w:hint="eastAsia" w:ascii="宋体" w:hAnsi="宋体"/>
          <w:b/>
          <w:bCs/>
          <w:sz w:val="24"/>
          <w:szCs w:val="24"/>
        </w:rPr>
        <w:t xml:space="preserve">乙方：          </w:t>
      </w:r>
      <w:r>
        <w:rPr>
          <w:rFonts w:ascii="宋体" w:hAnsi="宋体"/>
          <w:b/>
          <w:bCs/>
          <w:sz w:val="24"/>
          <w:szCs w:val="24"/>
        </w:rPr>
        <w:t xml:space="preserve">                              </w:t>
      </w:r>
      <w:r>
        <w:rPr>
          <w:rFonts w:hint="eastAsia" w:ascii="宋体" w:hAnsi="宋体"/>
          <w:b/>
          <w:bCs/>
          <w:sz w:val="24"/>
          <w:szCs w:val="24"/>
        </w:rPr>
        <w:t xml:space="preserve"> </w:t>
      </w:r>
    </w:p>
    <w:p w14:paraId="5971C900">
      <w:pPr>
        <w:widowControl w:val="0"/>
        <w:adjustRightInd w:val="0"/>
        <w:snapToGrid w:val="0"/>
        <w:spacing w:before="156" w:beforeLines="50" w:after="0" w:line="360" w:lineRule="auto"/>
        <w:rPr>
          <w:rFonts w:hint="eastAsia" w:ascii="宋体" w:hAnsi="宋体"/>
          <w:b/>
          <w:bCs/>
          <w:sz w:val="24"/>
          <w:szCs w:val="24"/>
        </w:rPr>
      </w:pPr>
      <w:r>
        <w:rPr>
          <w:rFonts w:hint="eastAsia" w:ascii="宋体" w:hAnsi="宋体"/>
          <w:b/>
          <w:bCs/>
          <w:sz w:val="24"/>
          <w:szCs w:val="24"/>
        </w:rPr>
        <w:t xml:space="preserve">合同号：                   </w:t>
      </w:r>
      <w:r>
        <w:rPr>
          <w:rFonts w:hint="eastAsia" w:ascii="宋体" w:hAnsi="宋体"/>
          <w:b/>
          <w:bCs/>
          <w:sz w:val="24"/>
          <w:szCs w:val="24"/>
          <w:lang w:val="en-US" w:eastAsia="zh-CN"/>
        </w:rPr>
        <w:t xml:space="preserve">                    </w:t>
      </w:r>
      <w:r>
        <w:rPr>
          <w:rFonts w:hint="eastAsia" w:ascii="宋体" w:hAnsi="宋体"/>
          <w:b/>
          <w:bCs/>
          <w:sz w:val="24"/>
          <w:szCs w:val="24"/>
        </w:rPr>
        <w:t>签订日期：202</w:t>
      </w:r>
      <w:r>
        <w:rPr>
          <w:rFonts w:hint="eastAsia" w:ascii="宋体" w:hAnsi="宋体"/>
          <w:b/>
          <w:bCs/>
          <w:sz w:val="24"/>
          <w:szCs w:val="24"/>
          <w:lang w:val="en-US" w:eastAsia="zh-CN"/>
        </w:rPr>
        <w:t>6</w:t>
      </w:r>
      <w:r>
        <w:rPr>
          <w:rFonts w:hint="eastAsia" w:ascii="宋体" w:hAnsi="宋体"/>
          <w:b/>
          <w:bCs/>
          <w:sz w:val="24"/>
          <w:szCs w:val="24"/>
        </w:rPr>
        <w:t>年</w:t>
      </w:r>
      <w:r>
        <w:rPr>
          <w:rFonts w:hint="eastAsia" w:ascii="宋体" w:hAnsi="宋体"/>
          <w:b/>
          <w:bCs/>
          <w:sz w:val="24"/>
          <w:szCs w:val="24"/>
          <w:lang w:val="en-US" w:eastAsia="zh-CN"/>
        </w:rPr>
        <w:t xml:space="preserve"> </w:t>
      </w:r>
      <w:r>
        <w:rPr>
          <w:rFonts w:hint="eastAsia" w:ascii="宋体" w:hAnsi="宋体"/>
          <w:b/>
          <w:bCs/>
          <w:sz w:val="24"/>
          <w:szCs w:val="24"/>
        </w:rPr>
        <w:t>月  日</w:t>
      </w:r>
    </w:p>
    <w:p w14:paraId="7E3A4FCD">
      <w:pPr>
        <w:widowControl w:val="0"/>
        <w:adjustRightInd w:val="0"/>
        <w:snapToGrid w:val="0"/>
        <w:spacing w:before="156" w:beforeLines="50" w:after="0" w:line="360" w:lineRule="auto"/>
        <w:rPr>
          <w:rFonts w:ascii="宋体" w:hAnsi="宋体"/>
          <w:bCs/>
          <w:sz w:val="24"/>
          <w:szCs w:val="24"/>
        </w:rPr>
      </w:pPr>
      <w:r>
        <w:rPr>
          <w:rFonts w:hint="eastAsia" w:ascii="宋体" w:hAnsi="宋体"/>
          <w:bCs/>
          <w:sz w:val="24"/>
          <w:szCs w:val="24"/>
        </w:rPr>
        <w:t>根据《中华人民共和国民法典》及其他有关</w:t>
      </w:r>
      <w:r>
        <w:rPr>
          <w:rFonts w:hint="eastAsia" w:ascii="宋体" w:hAnsi="宋体"/>
          <w:bCs/>
          <w:sz w:val="24"/>
          <w:szCs w:val="24"/>
          <w:lang w:eastAsia="zh-CN"/>
        </w:rPr>
        <w:t>法律法规</w:t>
      </w:r>
      <w:r>
        <w:rPr>
          <w:rFonts w:hint="eastAsia" w:ascii="宋体" w:hAnsi="宋体"/>
          <w:bCs/>
          <w:sz w:val="24"/>
          <w:szCs w:val="24"/>
        </w:rPr>
        <w:t>规定，结合项目实际情况，珠海基地2026年至2029年除四害、防白蚁服务项目事宜，经甲乙双方</w:t>
      </w:r>
      <w:r>
        <w:rPr>
          <w:rFonts w:hint="eastAsia" w:ascii="宋体" w:hAnsi="宋体"/>
          <w:bCs/>
          <w:sz w:val="24"/>
          <w:szCs w:val="24"/>
          <w:lang w:eastAsia="zh-CN"/>
        </w:rPr>
        <w:t>协商</w:t>
      </w:r>
      <w:r>
        <w:rPr>
          <w:rFonts w:hint="eastAsia" w:ascii="宋体" w:hAnsi="宋体"/>
          <w:bCs/>
          <w:sz w:val="24"/>
          <w:szCs w:val="24"/>
        </w:rPr>
        <w:t>，达成以下合同条款，双方共同遵照执行。</w:t>
      </w:r>
    </w:p>
    <w:p w14:paraId="2FD08E06">
      <w:pPr>
        <w:keepNext w:val="0"/>
        <w:keepLines w:val="0"/>
        <w:pageBreakBefore w:val="0"/>
        <w:numPr>
          <w:ilvl w:val="0"/>
          <w:numId w:val="0"/>
        </w:numPr>
        <w:kinsoku/>
        <w:wordWrap/>
        <w:overflowPunct/>
        <w:topLinePunct w:val="0"/>
        <w:autoSpaceDE/>
        <w:autoSpaceDN/>
        <w:bidi w:val="0"/>
        <w:adjustRightInd/>
        <w:snapToGrid/>
        <w:spacing w:after="0" w:line="360" w:lineRule="auto"/>
        <w:ind w:leftChars="0" w:firstLine="482" w:firstLineChars="200"/>
        <w:textAlignment w:val="auto"/>
        <w:rPr>
          <w:rFonts w:ascii="宋体" w:hAnsi="宋体"/>
          <w:b/>
          <w:sz w:val="24"/>
          <w:szCs w:val="24"/>
        </w:rPr>
      </w:pPr>
      <w:bookmarkStart w:id="0" w:name="_Toc39313736"/>
      <w:bookmarkStart w:id="1" w:name="_Toc34313625"/>
      <w:bookmarkStart w:id="2" w:name="_Toc92530548"/>
      <w:bookmarkStart w:id="3" w:name="_Toc113767378"/>
      <w:bookmarkStart w:id="4" w:name="_Toc92508615"/>
      <w:bookmarkStart w:id="5" w:name="_Toc35435512"/>
      <w:bookmarkStart w:id="6" w:name="_Toc35433221"/>
      <w:bookmarkStart w:id="7" w:name="_Toc37729395"/>
      <w:bookmarkStart w:id="8" w:name="_Toc113780782"/>
      <w:bookmarkStart w:id="9" w:name="_Toc34316752"/>
      <w:bookmarkStart w:id="10" w:name="_Toc37727649"/>
      <w:bookmarkStart w:id="11" w:name="_Toc233515595"/>
      <w:r>
        <w:rPr>
          <w:rFonts w:hint="eastAsia" w:ascii="宋体" w:hAnsi="宋体"/>
          <w:b/>
          <w:sz w:val="24"/>
          <w:szCs w:val="24"/>
          <w:lang w:val="en-US" w:eastAsia="zh-CN"/>
        </w:rPr>
        <w:t>一、</w:t>
      </w:r>
      <w:r>
        <w:rPr>
          <w:rFonts w:hint="eastAsia" w:ascii="宋体" w:hAnsi="宋体"/>
          <w:b/>
          <w:sz w:val="24"/>
          <w:szCs w:val="24"/>
        </w:rPr>
        <w:t>合同概况</w:t>
      </w:r>
    </w:p>
    <w:p w14:paraId="690A182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lang w:bidi="ar"/>
        </w:rPr>
      </w:pPr>
      <w:r>
        <w:rPr>
          <w:rFonts w:hint="eastAsia" w:ascii="宋体" w:hAnsi="宋体" w:cs="宋体"/>
          <w:sz w:val="24"/>
          <w:szCs w:val="24"/>
          <w:lang w:eastAsia="zh-CN" w:bidi="ar"/>
        </w:rPr>
        <w:t>1.</w:t>
      </w:r>
      <w:r>
        <w:rPr>
          <w:rFonts w:hint="eastAsia" w:ascii="宋体" w:hAnsi="宋体" w:cs="宋体"/>
          <w:sz w:val="24"/>
          <w:szCs w:val="24"/>
          <w:lang w:bidi="ar"/>
        </w:rPr>
        <w:t>项目名称：珠海基地2026年至2029年除四害、防白蚁服务项目。</w:t>
      </w:r>
    </w:p>
    <w:p w14:paraId="3EB321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lang w:bidi="ar"/>
        </w:rPr>
      </w:pPr>
      <w:r>
        <w:rPr>
          <w:rFonts w:hint="eastAsia" w:ascii="宋体" w:hAnsi="宋体" w:cs="宋体"/>
          <w:sz w:val="24"/>
          <w:szCs w:val="24"/>
          <w:lang w:eastAsia="zh-CN" w:bidi="ar"/>
        </w:rPr>
        <w:t>2.</w:t>
      </w:r>
      <w:r>
        <w:rPr>
          <w:rFonts w:hint="eastAsia" w:ascii="宋体" w:hAnsi="宋体" w:cs="宋体"/>
          <w:sz w:val="24"/>
          <w:szCs w:val="24"/>
          <w:lang w:val="en-US" w:eastAsia="zh-CN" w:bidi="ar"/>
        </w:rPr>
        <w:t>服务</w:t>
      </w:r>
      <w:r>
        <w:rPr>
          <w:rFonts w:hint="eastAsia" w:ascii="宋体" w:hAnsi="宋体" w:cs="宋体"/>
          <w:sz w:val="24"/>
          <w:szCs w:val="24"/>
          <w:lang w:bidi="ar"/>
        </w:rPr>
        <w:t>地点：</w:t>
      </w:r>
      <w:r>
        <w:rPr>
          <w:rFonts w:hint="eastAsia" w:ascii="宋体" w:hAnsi="宋体" w:cs="宋体"/>
          <w:sz w:val="24"/>
          <w:szCs w:val="24"/>
          <w:lang w:val="en-US" w:eastAsia="zh-CN" w:bidi="ar"/>
        </w:rPr>
        <w:t>老</w:t>
      </w:r>
      <w:r>
        <w:rPr>
          <w:rFonts w:hint="eastAsia" w:ascii="宋体" w:hAnsi="宋体" w:cs="宋体"/>
          <w:sz w:val="24"/>
          <w:szCs w:val="24"/>
          <w:lang w:bidi="ar"/>
        </w:rPr>
        <w:t>厂</w:t>
      </w:r>
      <w:r>
        <w:rPr>
          <w:rFonts w:hint="eastAsia" w:ascii="宋体" w:hAnsi="宋体" w:cs="宋体"/>
          <w:sz w:val="24"/>
          <w:szCs w:val="24"/>
          <w:lang w:eastAsia="zh-CN" w:bidi="ar"/>
        </w:rPr>
        <w:t>：</w:t>
      </w:r>
      <w:r>
        <w:rPr>
          <w:rFonts w:hint="eastAsia" w:ascii="宋体" w:hAnsi="宋体" w:cs="宋体"/>
          <w:sz w:val="24"/>
          <w:szCs w:val="24"/>
          <w:lang w:bidi="ar"/>
        </w:rPr>
        <w:t>珠海市高栏港经济区南水镇石油化工区平湾三路2001号；新厂</w:t>
      </w:r>
      <w:r>
        <w:rPr>
          <w:rFonts w:hint="eastAsia" w:ascii="宋体" w:hAnsi="宋体" w:cs="宋体"/>
          <w:sz w:val="24"/>
          <w:szCs w:val="24"/>
          <w:lang w:eastAsia="zh-CN" w:bidi="ar"/>
        </w:rPr>
        <w:t>：</w:t>
      </w:r>
      <w:r>
        <w:rPr>
          <w:rFonts w:hint="eastAsia" w:ascii="宋体" w:hAnsi="宋体" w:cs="宋体"/>
          <w:sz w:val="24"/>
          <w:szCs w:val="24"/>
          <w:lang w:bidi="ar"/>
        </w:rPr>
        <w:t>珠海市高栏港经济区南水镇石油化工区平湾二路1001号。</w:t>
      </w:r>
    </w:p>
    <w:p w14:paraId="24D60C72">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bidi="ar"/>
        </w:rPr>
      </w:pPr>
      <w:r>
        <w:rPr>
          <w:rFonts w:hint="eastAsia" w:ascii="宋体" w:hAnsi="宋体" w:cs="宋体"/>
          <w:sz w:val="24"/>
          <w:szCs w:val="24"/>
          <w:lang w:val="en-US" w:eastAsia="zh-CN" w:bidi="ar"/>
        </w:rPr>
        <w:t>3.服务范围：珠海华润化学材料科技有限公司（老厂：珠海市高栏港经济区南水镇石油化工区平湾三路2001号；新厂：珠海市高栏港经济区南水镇石油化工区平湾二路1001号）一、二、三期仓库及生活区、办公区、食堂范围；聚酯四厂，聚酯五厂区域等。</w:t>
      </w:r>
    </w:p>
    <w:p w14:paraId="2B750A0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cs="宋体"/>
          <w:sz w:val="24"/>
          <w:szCs w:val="24"/>
          <w:lang w:bidi="ar"/>
        </w:rPr>
      </w:pPr>
      <w:r>
        <w:rPr>
          <w:rFonts w:hint="eastAsia" w:ascii="宋体" w:hAnsi="宋体" w:cs="宋体"/>
          <w:sz w:val="24"/>
          <w:szCs w:val="24"/>
          <w:lang w:val="en-US" w:eastAsia="zh-CN" w:bidi="ar"/>
        </w:rPr>
        <w:t>4.</w:t>
      </w:r>
      <w:r>
        <w:rPr>
          <w:rFonts w:hint="eastAsia" w:ascii="宋体" w:hAnsi="宋体" w:cs="宋体"/>
          <w:sz w:val="24"/>
          <w:szCs w:val="24"/>
          <w:lang w:bidi="ar"/>
        </w:rPr>
        <w:t>本合同约定的不含税价格不因国家税率变化而变化，在合同履行期间，如遇国家的税率调整，则含税合计的价格应相应调整，以开具发票的时间为准。</w:t>
      </w:r>
    </w:p>
    <w:p w14:paraId="29582DF7">
      <w:pPr>
        <w:keepNext w:val="0"/>
        <w:keepLines w:val="0"/>
        <w:pageBreakBefore w:val="0"/>
        <w:widowControl/>
        <w:kinsoku/>
        <w:wordWrap/>
        <w:overflowPunct/>
        <w:topLinePunct w:val="0"/>
        <w:autoSpaceDE/>
        <w:autoSpaceDN/>
        <w:bidi w:val="0"/>
        <w:adjustRightInd/>
        <w:snapToGrid/>
        <w:spacing w:after="0" w:line="360" w:lineRule="auto"/>
        <w:ind w:firstLine="480" w:firstLineChars="200"/>
        <w:contextualSpacing/>
        <w:textAlignment w:val="auto"/>
        <w:rPr>
          <w:rFonts w:hint="default" w:ascii="宋体" w:hAnsi="宋体" w:cs="宋体"/>
          <w:spacing w:val="-10"/>
          <w:sz w:val="24"/>
          <w:szCs w:val="24"/>
          <w:lang w:val="en-US" w:eastAsia="zh-CN" w:bidi="ar"/>
        </w:rPr>
      </w:pPr>
      <w:r>
        <w:rPr>
          <w:rFonts w:hint="eastAsia" w:ascii="宋体" w:hAnsi="宋体" w:cs="宋体"/>
          <w:sz w:val="24"/>
          <w:szCs w:val="24"/>
          <w:lang w:val="en-US" w:eastAsia="zh-CN" w:bidi="ar"/>
        </w:rPr>
        <w:t>5.</w:t>
      </w:r>
      <w:r>
        <w:rPr>
          <w:rFonts w:hint="eastAsia" w:ascii="宋体" w:hAnsi="宋体" w:cs="宋体"/>
          <w:sz w:val="24"/>
          <w:szCs w:val="24"/>
          <w:lang w:bidi="ar"/>
        </w:rPr>
        <w:t>本合同技术和安全要求严格按采购文件和合同附件《EHS管理协议》</w:t>
      </w:r>
      <w:r>
        <w:rPr>
          <w:rFonts w:hint="eastAsia" w:ascii="宋体" w:hAnsi="宋体" w:cs="宋体"/>
          <w:spacing w:val="-10"/>
          <w:sz w:val="24"/>
          <w:szCs w:val="24"/>
          <w:lang w:bidi="ar"/>
        </w:rPr>
        <w:t>中的</w:t>
      </w:r>
      <w:r>
        <w:rPr>
          <w:rFonts w:hint="eastAsia" w:ascii="宋体" w:hAnsi="宋体" w:cs="宋体"/>
          <w:spacing w:val="-10"/>
          <w:sz w:val="24"/>
          <w:szCs w:val="24"/>
          <w:lang w:eastAsia="zh-CN" w:bidi="ar"/>
        </w:rPr>
        <w:t>规定</w:t>
      </w:r>
      <w:r>
        <w:rPr>
          <w:rFonts w:hint="eastAsia" w:ascii="宋体" w:hAnsi="宋体" w:cs="宋体"/>
          <w:spacing w:val="-10"/>
          <w:sz w:val="24"/>
          <w:szCs w:val="24"/>
          <w:lang w:bidi="ar"/>
        </w:rPr>
        <w:t>执行</w:t>
      </w:r>
      <w:r>
        <w:rPr>
          <w:rFonts w:hint="eastAsia" w:ascii="宋体" w:hAnsi="宋体" w:cs="宋体"/>
          <w:spacing w:val="-10"/>
          <w:sz w:val="24"/>
          <w:szCs w:val="24"/>
          <w:lang w:eastAsia="zh-CN" w:bidi="ar"/>
        </w:rPr>
        <w:t>。</w:t>
      </w:r>
    </w:p>
    <w:p w14:paraId="12B1E9E9">
      <w:pPr>
        <w:keepNext w:val="0"/>
        <w:keepLines w:val="0"/>
        <w:pageBreakBefore w:val="0"/>
        <w:widowControl/>
        <w:kinsoku/>
        <w:wordWrap/>
        <w:overflowPunct/>
        <w:topLinePunct w:val="0"/>
        <w:autoSpaceDE/>
        <w:autoSpaceDN/>
        <w:bidi w:val="0"/>
        <w:adjustRightInd/>
        <w:snapToGrid/>
        <w:spacing w:after="0" w:line="360" w:lineRule="auto"/>
        <w:ind w:firstLine="440" w:firstLineChars="200"/>
        <w:contextualSpacing/>
        <w:textAlignment w:val="auto"/>
        <w:rPr>
          <w:rFonts w:hint="default" w:ascii="宋体" w:hAnsi="宋体"/>
          <w:sz w:val="24"/>
          <w:szCs w:val="24"/>
          <w:lang w:val="en-US" w:eastAsia="zh-CN"/>
        </w:rPr>
      </w:pPr>
      <w:r>
        <w:rPr>
          <w:rFonts w:hint="eastAsia" w:ascii="宋体" w:hAnsi="宋体" w:cs="宋体"/>
          <w:spacing w:val="-10"/>
          <w:sz w:val="24"/>
          <w:szCs w:val="24"/>
          <w:lang w:val="en-US" w:eastAsia="zh-CN" w:bidi="ar"/>
        </w:rPr>
        <w:t>6.</w:t>
      </w:r>
      <w:r>
        <w:rPr>
          <w:rFonts w:hint="eastAsia" w:ascii="宋体" w:hAnsi="宋体"/>
          <w:sz w:val="24"/>
          <w:szCs w:val="24"/>
        </w:rPr>
        <w:t>本合同禁止转包</w:t>
      </w:r>
      <w:r>
        <w:rPr>
          <w:rFonts w:hint="eastAsia" w:ascii="宋体" w:hAnsi="宋体"/>
          <w:sz w:val="24"/>
          <w:szCs w:val="24"/>
          <w:lang w:eastAsia="zh-CN"/>
        </w:rPr>
        <w:t>。</w:t>
      </w:r>
    </w:p>
    <w:p w14:paraId="47F54C0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default" w:ascii="宋体" w:hAnsi="宋体" w:cs="宋体"/>
          <w:b/>
          <w:sz w:val="24"/>
          <w:szCs w:val="24"/>
          <w:lang w:val="en-US" w:eastAsia="zh-CN" w:bidi="ar"/>
        </w:rPr>
      </w:pPr>
      <w:r>
        <w:rPr>
          <w:rFonts w:hint="eastAsia" w:ascii="宋体" w:hAnsi="宋体" w:cs="宋体"/>
          <w:b/>
          <w:sz w:val="24"/>
          <w:szCs w:val="24"/>
          <w:lang w:val="en-US" w:eastAsia="zh-CN" w:bidi="ar"/>
        </w:rPr>
        <w:t>二</w:t>
      </w:r>
      <w:r>
        <w:rPr>
          <w:rFonts w:hint="eastAsia" w:ascii="宋体" w:hAnsi="宋体" w:cs="宋体"/>
          <w:b/>
          <w:sz w:val="24"/>
          <w:szCs w:val="24"/>
          <w:lang w:bidi="ar"/>
        </w:rPr>
        <w:t>、</w:t>
      </w:r>
      <w:r>
        <w:rPr>
          <w:rFonts w:hint="eastAsia" w:ascii="宋体" w:hAnsi="宋体" w:cs="宋体"/>
          <w:b/>
          <w:sz w:val="24"/>
          <w:szCs w:val="24"/>
          <w:lang w:val="en-US" w:eastAsia="zh-CN" w:bidi="ar"/>
        </w:rPr>
        <w:t>服务内容</w:t>
      </w:r>
    </w:p>
    <w:p w14:paraId="74CDA236">
      <w:pPr>
        <w:spacing w:line="420" w:lineRule="exact"/>
        <w:rPr>
          <w:rFonts w:hint="eastAsia" w:ascii="宋体" w:hAnsi="宋体" w:eastAsia="宋体" w:cs="宋体"/>
          <w:sz w:val="24"/>
          <w:szCs w:val="24"/>
        </w:rPr>
      </w:pPr>
      <w:r>
        <w:rPr>
          <w:rFonts w:hint="eastAsia" w:ascii="宋体" w:hAnsi="宋体" w:eastAsia="宋体" w:cs="宋体"/>
          <w:sz w:val="24"/>
          <w:szCs w:val="24"/>
        </w:rPr>
        <w:t>名词解释</w:t>
      </w:r>
      <w:r>
        <w:rPr>
          <w:rFonts w:hint="eastAsia" w:ascii="宋体" w:hAnsi="宋体" w:cs="宋体"/>
          <w:sz w:val="24"/>
          <w:szCs w:val="24"/>
          <w:lang w:eastAsia="zh-CN"/>
        </w:rPr>
        <w:t>；</w:t>
      </w:r>
      <w:r>
        <w:rPr>
          <w:rFonts w:hint="eastAsia" w:ascii="宋体" w:hAnsi="宋体" w:eastAsia="宋体" w:cs="宋体"/>
          <w:sz w:val="24"/>
          <w:szCs w:val="24"/>
        </w:rPr>
        <w:t>本文件中的甲方是指珠海华润化学材料科技有限公司；乙方是指</w:t>
      </w:r>
      <w:r>
        <w:rPr>
          <w:rFonts w:hint="eastAsia" w:ascii="宋体" w:hAnsi="宋体" w:cs="宋体"/>
          <w:sz w:val="24"/>
          <w:szCs w:val="24"/>
        </w:rPr>
        <w:t>【 】</w:t>
      </w:r>
      <w:r>
        <w:rPr>
          <w:rFonts w:hint="eastAsia" w:ascii="宋体" w:hAnsi="宋体" w:eastAsia="宋体" w:cs="宋体"/>
          <w:sz w:val="24"/>
          <w:szCs w:val="24"/>
        </w:rPr>
        <w:t>。</w:t>
      </w:r>
    </w:p>
    <w:p w14:paraId="6D85E4B6">
      <w:pPr>
        <w:spacing w:line="420" w:lineRule="exact"/>
        <w:rPr>
          <w:rFonts w:hint="eastAsia" w:ascii="宋体" w:hAnsi="宋体" w:eastAsia="宋体" w:cs="宋体"/>
          <w:sz w:val="24"/>
          <w:szCs w:val="24"/>
        </w:rPr>
      </w:pPr>
      <w:r>
        <w:rPr>
          <w:rFonts w:hint="eastAsia" w:ascii="宋体" w:hAnsi="宋体" w:cs="宋体"/>
          <w:sz w:val="24"/>
          <w:szCs w:val="24"/>
          <w:lang w:eastAsia="zh-CN"/>
        </w:rPr>
        <w:t>1.</w:t>
      </w:r>
      <w:r>
        <w:rPr>
          <w:rFonts w:hint="eastAsia" w:ascii="宋体" w:hAnsi="宋体" w:eastAsia="宋体" w:cs="宋体"/>
          <w:sz w:val="24"/>
          <w:szCs w:val="24"/>
        </w:rPr>
        <w:t>消杀对象：鼠、蟑螂、蚊、蝇、（简称灭“四害”），白蚁、红火蚁、马陆、小黄蚁、蛇。</w:t>
      </w:r>
    </w:p>
    <w:p w14:paraId="5C8AA2E5">
      <w:pPr>
        <w:spacing w:line="420" w:lineRule="exact"/>
        <w:rPr>
          <w:rFonts w:hint="eastAsia" w:ascii="宋体" w:hAnsi="宋体" w:eastAsia="宋体" w:cs="宋体"/>
          <w:sz w:val="24"/>
          <w:szCs w:val="24"/>
        </w:rPr>
      </w:pPr>
      <w:r>
        <w:rPr>
          <w:rFonts w:hint="eastAsia" w:ascii="宋体" w:hAnsi="宋体" w:cs="宋体"/>
          <w:sz w:val="24"/>
          <w:szCs w:val="24"/>
          <w:lang w:eastAsia="zh-CN"/>
        </w:rPr>
        <w:t>2.</w:t>
      </w:r>
      <w:r>
        <w:rPr>
          <w:rFonts w:hint="eastAsia" w:ascii="宋体" w:hAnsi="宋体" w:eastAsia="宋体" w:cs="宋体"/>
          <w:sz w:val="24"/>
          <w:szCs w:val="24"/>
        </w:rPr>
        <w:t>消杀频次：每月两次检查维护，可根据季度、月份不同情况安排检查维护，其中一次检查数据登记，甲方发现虫鼠蛇害问题提出要求时要及时跟进服务。如果甲方需要针对特定区域进行消杀，乙方应配合甲方工作，完成消杀工作。</w:t>
      </w:r>
    </w:p>
    <w:p w14:paraId="1DBDCA53">
      <w:pPr>
        <w:spacing w:line="420" w:lineRule="exact"/>
        <w:rPr>
          <w:rFonts w:hint="eastAsia" w:ascii="宋体" w:hAnsi="宋体" w:eastAsia="宋体" w:cs="宋体"/>
          <w:sz w:val="24"/>
          <w:szCs w:val="24"/>
        </w:rPr>
      </w:pPr>
      <w:r>
        <w:rPr>
          <w:rFonts w:hint="eastAsia" w:ascii="宋体" w:hAnsi="宋体" w:cs="宋体"/>
          <w:sz w:val="24"/>
          <w:szCs w:val="24"/>
          <w:lang w:eastAsia="zh-CN"/>
        </w:rPr>
        <w:t>3.</w:t>
      </w:r>
      <w:r>
        <w:rPr>
          <w:rFonts w:hint="eastAsia" w:ascii="宋体" w:hAnsi="宋体" w:eastAsia="宋体" w:cs="宋体"/>
          <w:sz w:val="24"/>
          <w:szCs w:val="24"/>
        </w:rPr>
        <w:t>甲方客户或认证检查时，乙方主动配合做好检查前的自查和消杀工作，以确保达标。</w:t>
      </w:r>
    </w:p>
    <w:p w14:paraId="13900B9B">
      <w:pPr>
        <w:spacing w:line="420" w:lineRule="exact"/>
        <w:rPr>
          <w:rFonts w:hint="eastAsia" w:ascii="宋体" w:hAnsi="宋体" w:eastAsia="宋体" w:cs="宋体"/>
          <w:sz w:val="24"/>
          <w:szCs w:val="24"/>
        </w:rPr>
      </w:pPr>
      <w:r>
        <w:rPr>
          <w:rFonts w:hint="eastAsia" w:ascii="宋体" w:hAnsi="宋体" w:eastAsia="宋体" w:cs="宋体"/>
          <w:sz w:val="24"/>
          <w:szCs w:val="24"/>
        </w:rPr>
        <w:t>要求：在甲方的建筑外围，乙方按照专业标准设置鼠控诱饵站，并在常规服务中定期更换诱饵并</w:t>
      </w:r>
      <w:r>
        <w:rPr>
          <w:rFonts w:hint="eastAsia" w:ascii="宋体" w:hAnsi="宋体" w:cs="宋体"/>
          <w:sz w:val="24"/>
          <w:szCs w:val="24"/>
          <w:lang w:eastAsia="zh-CN"/>
        </w:rPr>
        <w:t>做</w:t>
      </w:r>
      <w:r>
        <w:rPr>
          <w:rFonts w:hint="eastAsia" w:ascii="宋体" w:hAnsi="宋体" w:eastAsia="宋体" w:cs="宋体"/>
          <w:sz w:val="24"/>
          <w:szCs w:val="24"/>
        </w:rPr>
        <w:t>记录；厂区仓库区域设置捕鼠笼，用于控制及监测老鼠的侵害，</w:t>
      </w:r>
    </w:p>
    <w:p w14:paraId="00AD10AD">
      <w:pPr>
        <w:spacing w:line="420" w:lineRule="exact"/>
        <w:rPr>
          <w:rFonts w:hint="eastAsia" w:ascii="宋体" w:hAnsi="宋体" w:eastAsia="宋体" w:cs="宋体"/>
          <w:sz w:val="24"/>
          <w:szCs w:val="24"/>
        </w:rPr>
      </w:pPr>
      <w:r>
        <w:rPr>
          <w:rFonts w:hint="eastAsia" w:ascii="宋体" w:hAnsi="宋体" w:eastAsia="宋体" w:cs="宋体"/>
          <w:sz w:val="24"/>
          <w:szCs w:val="24"/>
        </w:rPr>
        <w:t>对灭蚊灯的粘板更换，以控制及监测蚊蝇等飞虫的侵害；</w:t>
      </w:r>
    </w:p>
    <w:p w14:paraId="38E3670F">
      <w:pPr>
        <w:spacing w:line="420" w:lineRule="exact"/>
        <w:rPr>
          <w:rFonts w:hint="eastAsia" w:ascii="宋体" w:hAnsi="宋体" w:eastAsia="宋体" w:cs="宋体"/>
          <w:sz w:val="24"/>
          <w:szCs w:val="24"/>
        </w:rPr>
      </w:pPr>
      <w:r>
        <w:rPr>
          <w:rFonts w:hint="eastAsia" w:ascii="宋体" w:hAnsi="宋体" w:eastAsia="宋体" w:cs="宋体"/>
          <w:sz w:val="24"/>
          <w:szCs w:val="24"/>
        </w:rPr>
        <w:t>在办公区、生活区、垃圾站等地方使用滞留处理方式提供预防措施；对于食堂的蟑螂等虫害情况，在甲方允许的前提下，使用定点处理</w:t>
      </w:r>
      <w:r>
        <w:rPr>
          <w:rFonts w:hint="eastAsia" w:ascii="宋体" w:hAnsi="宋体" w:cs="宋体"/>
          <w:sz w:val="24"/>
          <w:szCs w:val="24"/>
          <w:lang w:eastAsia="zh-CN"/>
        </w:rPr>
        <w:t>或</w:t>
      </w:r>
      <w:r>
        <w:rPr>
          <w:rFonts w:hint="eastAsia" w:ascii="宋体" w:hAnsi="宋体" w:eastAsia="宋体" w:cs="宋体"/>
          <w:sz w:val="24"/>
          <w:szCs w:val="24"/>
        </w:rPr>
        <w:t>缝隙处理等专业处理方式，消除已发现的有害生物，并提出相应的改善建议或措施；</w:t>
      </w:r>
    </w:p>
    <w:p w14:paraId="67752C37">
      <w:pPr>
        <w:spacing w:line="420" w:lineRule="exact"/>
        <w:rPr>
          <w:rFonts w:hint="eastAsia" w:ascii="宋体" w:hAnsi="宋体" w:eastAsia="宋体" w:cs="宋体"/>
          <w:sz w:val="24"/>
          <w:szCs w:val="24"/>
        </w:rPr>
      </w:pPr>
      <w:r>
        <w:rPr>
          <w:rFonts w:hint="eastAsia" w:ascii="宋体" w:hAnsi="宋体" w:eastAsia="宋体" w:cs="宋体"/>
          <w:sz w:val="24"/>
          <w:szCs w:val="24"/>
        </w:rPr>
        <w:t>在服务区域围栏外层投放鼠控诱饵和喷洒滞留药剂，形成更与外界更宽的一</w:t>
      </w:r>
      <w:r>
        <w:rPr>
          <w:rFonts w:hint="eastAsia" w:ascii="宋体" w:hAnsi="宋体" w:cs="宋体"/>
          <w:sz w:val="24"/>
          <w:szCs w:val="24"/>
          <w:lang w:eastAsia="zh-CN"/>
        </w:rPr>
        <w:t>条</w:t>
      </w:r>
      <w:r>
        <w:rPr>
          <w:rFonts w:hint="eastAsia" w:ascii="宋体" w:hAnsi="宋体" w:eastAsia="宋体" w:cs="宋体"/>
          <w:sz w:val="24"/>
          <w:szCs w:val="24"/>
        </w:rPr>
        <w:t>防虫防鼠带。从外环境控制虫鼠入侵室内的</w:t>
      </w:r>
      <w:r>
        <w:rPr>
          <w:rFonts w:hint="eastAsia" w:ascii="宋体" w:hAnsi="宋体" w:cs="宋体"/>
          <w:sz w:val="24"/>
          <w:szCs w:val="24"/>
          <w:lang w:eastAsia="zh-CN"/>
        </w:rPr>
        <w:t>概率</w:t>
      </w:r>
      <w:r>
        <w:rPr>
          <w:rFonts w:hint="eastAsia" w:ascii="宋体" w:hAnsi="宋体" w:eastAsia="宋体" w:cs="宋体"/>
          <w:sz w:val="24"/>
          <w:szCs w:val="24"/>
        </w:rPr>
        <w:t>。</w:t>
      </w:r>
    </w:p>
    <w:p w14:paraId="55CFD835">
      <w:pPr>
        <w:spacing w:line="420" w:lineRule="exact"/>
        <w:rPr>
          <w:rFonts w:hint="eastAsia" w:ascii="宋体" w:hAnsi="宋体" w:eastAsia="宋体" w:cs="宋体"/>
          <w:sz w:val="24"/>
          <w:szCs w:val="24"/>
        </w:rPr>
      </w:pPr>
      <w:r>
        <w:rPr>
          <w:rFonts w:hint="eastAsia" w:ascii="宋体" w:hAnsi="宋体" w:eastAsia="宋体" w:cs="宋体"/>
          <w:sz w:val="24"/>
          <w:szCs w:val="24"/>
        </w:rPr>
        <w:t>具体数量表（设备放置位置详见附件设备平面放置图）：</w:t>
      </w:r>
    </w:p>
    <w:tbl>
      <w:tblPr>
        <w:tblStyle w:val="2"/>
        <w:tblW w:w="8960" w:type="dxa"/>
        <w:tblInd w:w="0" w:type="dxa"/>
        <w:tblLayout w:type="autofit"/>
        <w:tblCellMar>
          <w:top w:w="0" w:type="dxa"/>
          <w:left w:w="108" w:type="dxa"/>
          <w:bottom w:w="0" w:type="dxa"/>
          <w:right w:w="108" w:type="dxa"/>
        </w:tblCellMar>
      </w:tblPr>
      <w:tblGrid>
        <w:gridCol w:w="2240"/>
        <w:gridCol w:w="2240"/>
        <w:gridCol w:w="2240"/>
        <w:gridCol w:w="2240"/>
      </w:tblGrid>
      <w:tr w14:paraId="0F8F301C">
        <w:tblPrEx>
          <w:tblCellMar>
            <w:top w:w="0" w:type="dxa"/>
            <w:left w:w="108" w:type="dxa"/>
            <w:bottom w:w="0" w:type="dxa"/>
            <w:right w:w="108" w:type="dxa"/>
          </w:tblCellMar>
        </w:tblPrEx>
        <w:trPr>
          <w:trHeight w:val="348" w:hRule="atLeast"/>
        </w:trPr>
        <w:tc>
          <w:tcPr>
            <w:tcW w:w="22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E95723B">
            <w:pPr>
              <w:spacing w:line="420" w:lineRule="exact"/>
              <w:rPr>
                <w:rFonts w:hint="eastAsia" w:ascii="宋体" w:hAnsi="宋体" w:eastAsia="宋体" w:cs="宋体"/>
                <w:sz w:val="24"/>
                <w:szCs w:val="24"/>
              </w:rPr>
            </w:pPr>
            <w:r>
              <w:rPr>
                <w:rFonts w:hint="eastAsia" w:ascii="宋体" w:hAnsi="宋体" w:eastAsia="宋体" w:cs="宋体"/>
                <w:sz w:val="24"/>
                <w:szCs w:val="24"/>
              </w:rPr>
              <w:t>设置场所</w:t>
            </w:r>
          </w:p>
        </w:tc>
        <w:tc>
          <w:tcPr>
            <w:tcW w:w="6720" w:type="dxa"/>
            <w:gridSpan w:val="3"/>
            <w:tcBorders>
              <w:top w:val="single" w:color="auto" w:sz="4" w:space="0"/>
              <w:left w:val="nil"/>
              <w:bottom w:val="single" w:color="auto" w:sz="4" w:space="0"/>
              <w:right w:val="single" w:color="000000" w:sz="4" w:space="0"/>
            </w:tcBorders>
            <w:shd w:val="clear" w:color="auto" w:fill="auto"/>
            <w:vAlign w:val="center"/>
          </w:tcPr>
          <w:p w14:paraId="1EB8A51D">
            <w:pPr>
              <w:spacing w:line="420" w:lineRule="exact"/>
              <w:rPr>
                <w:rFonts w:hint="eastAsia" w:ascii="宋体" w:hAnsi="宋体" w:eastAsia="宋体" w:cs="宋体"/>
                <w:sz w:val="24"/>
                <w:szCs w:val="24"/>
              </w:rPr>
            </w:pPr>
            <w:r>
              <w:rPr>
                <w:rFonts w:hint="eastAsia" w:ascii="宋体" w:hAnsi="宋体" w:eastAsia="宋体" w:cs="宋体"/>
                <w:sz w:val="24"/>
                <w:szCs w:val="24"/>
              </w:rPr>
              <w:t>设备名称</w:t>
            </w:r>
          </w:p>
        </w:tc>
      </w:tr>
      <w:tr w14:paraId="76169195">
        <w:tblPrEx>
          <w:tblCellMar>
            <w:top w:w="0" w:type="dxa"/>
            <w:left w:w="108" w:type="dxa"/>
            <w:bottom w:w="0" w:type="dxa"/>
            <w:right w:w="108" w:type="dxa"/>
          </w:tblCellMar>
        </w:tblPrEx>
        <w:trPr>
          <w:trHeight w:val="312" w:hRule="atLeast"/>
        </w:trPr>
        <w:tc>
          <w:tcPr>
            <w:tcW w:w="2240" w:type="dxa"/>
            <w:vMerge w:val="continue"/>
            <w:tcBorders>
              <w:top w:val="single" w:color="auto" w:sz="4" w:space="0"/>
              <w:left w:val="single" w:color="auto" w:sz="4" w:space="0"/>
              <w:bottom w:val="single" w:color="000000" w:sz="4" w:space="0"/>
              <w:right w:val="single" w:color="auto" w:sz="4" w:space="0"/>
            </w:tcBorders>
            <w:vAlign w:val="center"/>
          </w:tcPr>
          <w:p w14:paraId="463A02A6">
            <w:pPr>
              <w:spacing w:line="420" w:lineRule="exact"/>
              <w:rPr>
                <w:rFonts w:hint="eastAsia" w:ascii="宋体" w:hAnsi="宋体" w:eastAsia="宋体" w:cs="宋体"/>
                <w:sz w:val="24"/>
                <w:szCs w:val="24"/>
              </w:rPr>
            </w:pPr>
          </w:p>
        </w:tc>
        <w:tc>
          <w:tcPr>
            <w:tcW w:w="2240" w:type="dxa"/>
            <w:tcBorders>
              <w:top w:val="nil"/>
              <w:left w:val="nil"/>
              <w:bottom w:val="single" w:color="auto" w:sz="4" w:space="0"/>
              <w:right w:val="single" w:color="auto" w:sz="4" w:space="0"/>
            </w:tcBorders>
            <w:shd w:val="clear" w:color="auto" w:fill="auto"/>
            <w:vAlign w:val="center"/>
          </w:tcPr>
          <w:p w14:paraId="5C56BB05">
            <w:pPr>
              <w:spacing w:line="420" w:lineRule="exact"/>
              <w:rPr>
                <w:rFonts w:hint="eastAsia" w:ascii="宋体" w:hAnsi="宋体" w:eastAsia="宋体" w:cs="宋体"/>
                <w:sz w:val="24"/>
                <w:szCs w:val="24"/>
              </w:rPr>
            </w:pPr>
            <w:r>
              <w:rPr>
                <w:rFonts w:hint="eastAsia" w:ascii="宋体" w:hAnsi="宋体" w:eastAsia="宋体" w:cs="宋体"/>
                <w:sz w:val="24"/>
                <w:szCs w:val="24"/>
              </w:rPr>
              <w:t>捕鼠笼</w:t>
            </w:r>
          </w:p>
        </w:tc>
        <w:tc>
          <w:tcPr>
            <w:tcW w:w="2240" w:type="dxa"/>
            <w:tcBorders>
              <w:top w:val="nil"/>
              <w:left w:val="nil"/>
              <w:bottom w:val="single" w:color="auto" w:sz="4" w:space="0"/>
              <w:right w:val="single" w:color="auto" w:sz="4" w:space="0"/>
            </w:tcBorders>
            <w:shd w:val="clear" w:color="auto" w:fill="auto"/>
            <w:vAlign w:val="center"/>
          </w:tcPr>
          <w:p w14:paraId="4655BB7B">
            <w:pPr>
              <w:spacing w:line="420" w:lineRule="exact"/>
              <w:rPr>
                <w:rFonts w:hint="eastAsia" w:ascii="宋体" w:hAnsi="宋体" w:eastAsia="宋体" w:cs="宋体"/>
                <w:sz w:val="24"/>
                <w:szCs w:val="24"/>
              </w:rPr>
            </w:pPr>
            <w:r>
              <w:rPr>
                <w:rFonts w:hint="eastAsia" w:ascii="宋体" w:hAnsi="宋体" w:eastAsia="宋体" w:cs="宋体"/>
                <w:sz w:val="24"/>
                <w:szCs w:val="24"/>
              </w:rPr>
              <w:t>飞虫诱捕器</w:t>
            </w:r>
          </w:p>
        </w:tc>
        <w:tc>
          <w:tcPr>
            <w:tcW w:w="2240" w:type="dxa"/>
            <w:tcBorders>
              <w:top w:val="nil"/>
              <w:left w:val="nil"/>
              <w:bottom w:val="single" w:color="auto" w:sz="4" w:space="0"/>
              <w:right w:val="single" w:color="auto" w:sz="4" w:space="0"/>
            </w:tcBorders>
            <w:shd w:val="clear" w:color="auto" w:fill="auto"/>
            <w:vAlign w:val="center"/>
          </w:tcPr>
          <w:p w14:paraId="35166582">
            <w:pPr>
              <w:spacing w:line="420" w:lineRule="exact"/>
              <w:rPr>
                <w:rFonts w:hint="eastAsia" w:ascii="宋体" w:hAnsi="宋体" w:eastAsia="宋体" w:cs="宋体"/>
                <w:sz w:val="24"/>
                <w:szCs w:val="24"/>
              </w:rPr>
            </w:pPr>
            <w:r>
              <w:rPr>
                <w:rFonts w:hint="eastAsia" w:ascii="宋体" w:hAnsi="宋体" w:eastAsia="宋体" w:cs="宋体"/>
                <w:sz w:val="24"/>
                <w:szCs w:val="24"/>
              </w:rPr>
              <w:t>鼠饵站</w:t>
            </w:r>
          </w:p>
        </w:tc>
      </w:tr>
      <w:tr w14:paraId="7991B8B0">
        <w:tblPrEx>
          <w:tblCellMar>
            <w:top w:w="0" w:type="dxa"/>
            <w:left w:w="108" w:type="dxa"/>
            <w:bottom w:w="0" w:type="dxa"/>
            <w:right w:w="108" w:type="dxa"/>
          </w:tblCellMar>
        </w:tblPrEx>
        <w:trPr>
          <w:trHeight w:val="336"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002E6960">
            <w:pPr>
              <w:spacing w:line="420" w:lineRule="exact"/>
              <w:rPr>
                <w:rFonts w:hint="eastAsia" w:ascii="宋体" w:hAnsi="宋体" w:eastAsia="宋体" w:cs="宋体"/>
                <w:sz w:val="24"/>
                <w:szCs w:val="24"/>
              </w:rPr>
            </w:pPr>
            <w:r>
              <w:rPr>
                <w:rFonts w:hint="eastAsia" w:ascii="宋体" w:hAnsi="宋体" w:eastAsia="宋体" w:cs="宋体"/>
                <w:sz w:val="24"/>
                <w:szCs w:val="24"/>
              </w:rPr>
              <w:t>一期仓库</w:t>
            </w:r>
          </w:p>
        </w:tc>
        <w:tc>
          <w:tcPr>
            <w:tcW w:w="2240" w:type="dxa"/>
            <w:tcBorders>
              <w:top w:val="nil"/>
              <w:left w:val="nil"/>
              <w:bottom w:val="single" w:color="auto" w:sz="4" w:space="0"/>
              <w:right w:val="single" w:color="auto" w:sz="4" w:space="0"/>
            </w:tcBorders>
            <w:shd w:val="clear" w:color="auto" w:fill="auto"/>
            <w:vAlign w:val="center"/>
          </w:tcPr>
          <w:p w14:paraId="322A3571">
            <w:pPr>
              <w:spacing w:line="420" w:lineRule="exact"/>
              <w:rPr>
                <w:rFonts w:hint="eastAsia" w:ascii="宋体" w:hAnsi="宋体" w:eastAsia="宋体" w:cs="宋体"/>
                <w:sz w:val="24"/>
                <w:szCs w:val="24"/>
              </w:rPr>
            </w:pPr>
            <w:r>
              <w:rPr>
                <w:rFonts w:hint="eastAsia" w:ascii="宋体" w:hAnsi="宋体" w:eastAsia="宋体" w:cs="宋体"/>
                <w:sz w:val="24"/>
                <w:szCs w:val="24"/>
              </w:rPr>
              <w:t>113</w:t>
            </w:r>
          </w:p>
        </w:tc>
        <w:tc>
          <w:tcPr>
            <w:tcW w:w="2240" w:type="dxa"/>
            <w:tcBorders>
              <w:top w:val="nil"/>
              <w:left w:val="nil"/>
              <w:bottom w:val="single" w:color="auto" w:sz="4" w:space="0"/>
              <w:right w:val="single" w:color="auto" w:sz="4" w:space="0"/>
            </w:tcBorders>
            <w:shd w:val="clear" w:color="auto" w:fill="auto"/>
            <w:vAlign w:val="center"/>
          </w:tcPr>
          <w:p w14:paraId="21EA8894">
            <w:pPr>
              <w:spacing w:line="420" w:lineRule="exact"/>
              <w:rPr>
                <w:rFonts w:hint="eastAsia" w:ascii="宋体" w:hAnsi="宋体" w:eastAsia="宋体" w:cs="宋体"/>
                <w:sz w:val="24"/>
                <w:szCs w:val="24"/>
              </w:rPr>
            </w:pPr>
            <w:r>
              <w:rPr>
                <w:rFonts w:hint="eastAsia" w:ascii="宋体" w:hAnsi="宋体" w:eastAsia="宋体" w:cs="宋体"/>
                <w:sz w:val="24"/>
                <w:szCs w:val="24"/>
              </w:rPr>
              <w:t>14</w:t>
            </w:r>
          </w:p>
        </w:tc>
        <w:tc>
          <w:tcPr>
            <w:tcW w:w="2240" w:type="dxa"/>
            <w:tcBorders>
              <w:top w:val="nil"/>
              <w:left w:val="nil"/>
              <w:bottom w:val="single" w:color="auto" w:sz="4" w:space="0"/>
              <w:right w:val="single" w:color="auto" w:sz="4" w:space="0"/>
            </w:tcBorders>
            <w:shd w:val="clear" w:color="auto" w:fill="auto"/>
            <w:vAlign w:val="center"/>
          </w:tcPr>
          <w:p w14:paraId="233B7BFA">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26D7FA4C">
        <w:tblPrEx>
          <w:tblCellMar>
            <w:top w:w="0" w:type="dxa"/>
            <w:left w:w="108" w:type="dxa"/>
            <w:bottom w:w="0" w:type="dxa"/>
            <w:right w:w="108" w:type="dxa"/>
          </w:tblCellMar>
        </w:tblPrEx>
        <w:trPr>
          <w:trHeight w:val="336"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46F5C2BE">
            <w:pPr>
              <w:spacing w:line="420" w:lineRule="exact"/>
              <w:rPr>
                <w:rFonts w:hint="eastAsia" w:ascii="宋体" w:hAnsi="宋体" w:eastAsia="宋体" w:cs="宋体"/>
                <w:sz w:val="24"/>
                <w:szCs w:val="24"/>
              </w:rPr>
            </w:pPr>
            <w:r>
              <w:rPr>
                <w:rFonts w:hint="eastAsia" w:ascii="宋体" w:hAnsi="宋体" w:eastAsia="宋体" w:cs="宋体"/>
                <w:sz w:val="24"/>
                <w:szCs w:val="24"/>
              </w:rPr>
              <w:t>二期仓库</w:t>
            </w:r>
          </w:p>
        </w:tc>
        <w:tc>
          <w:tcPr>
            <w:tcW w:w="2240" w:type="dxa"/>
            <w:tcBorders>
              <w:top w:val="nil"/>
              <w:left w:val="nil"/>
              <w:bottom w:val="single" w:color="auto" w:sz="4" w:space="0"/>
              <w:right w:val="single" w:color="auto" w:sz="4" w:space="0"/>
            </w:tcBorders>
            <w:shd w:val="clear" w:color="auto" w:fill="auto"/>
            <w:vAlign w:val="center"/>
          </w:tcPr>
          <w:p w14:paraId="52B40B91">
            <w:pPr>
              <w:spacing w:line="420" w:lineRule="exact"/>
              <w:rPr>
                <w:rFonts w:hint="eastAsia" w:ascii="宋体" w:hAnsi="宋体" w:eastAsia="宋体" w:cs="宋体"/>
                <w:sz w:val="24"/>
                <w:szCs w:val="24"/>
              </w:rPr>
            </w:pPr>
            <w:r>
              <w:rPr>
                <w:rFonts w:hint="eastAsia" w:ascii="宋体" w:hAnsi="宋体" w:eastAsia="宋体" w:cs="宋体"/>
                <w:sz w:val="24"/>
                <w:szCs w:val="24"/>
              </w:rPr>
              <w:t>113</w:t>
            </w:r>
          </w:p>
        </w:tc>
        <w:tc>
          <w:tcPr>
            <w:tcW w:w="2240" w:type="dxa"/>
            <w:tcBorders>
              <w:top w:val="nil"/>
              <w:left w:val="nil"/>
              <w:bottom w:val="single" w:color="auto" w:sz="4" w:space="0"/>
              <w:right w:val="single" w:color="auto" w:sz="4" w:space="0"/>
            </w:tcBorders>
            <w:shd w:val="clear" w:color="auto" w:fill="auto"/>
            <w:vAlign w:val="center"/>
          </w:tcPr>
          <w:p w14:paraId="1C82F91B">
            <w:pPr>
              <w:spacing w:line="420" w:lineRule="exact"/>
              <w:rPr>
                <w:rFonts w:hint="eastAsia" w:ascii="宋体" w:hAnsi="宋体" w:eastAsia="宋体" w:cs="宋体"/>
                <w:sz w:val="24"/>
                <w:szCs w:val="24"/>
              </w:rPr>
            </w:pPr>
            <w:r>
              <w:rPr>
                <w:rFonts w:hint="eastAsia" w:ascii="宋体" w:hAnsi="宋体" w:eastAsia="宋体" w:cs="宋体"/>
                <w:sz w:val="24"/>
                <w:szCs w:val="24"/>
              </w:rPr>
              <w:t>12</w:t>
            </w:r>
          </w:p>
        </w:tc>
        <w:tc>
          <w:tcPr>
            <w:tcW w:w="2240" w:type="dxa"/>
            <w:tcBorders>
              <w:top w:val="nil"/>
              <w:left w:val="nil"/>
              <w:bottom w:val="single" w:color="auto" w:sz="4" w:space="0"/>
              <w:right w:val="single" w:color="auto" w:sz="4" w:space="0"/>
            </w:tcBorders>
            <w:shd w:val="clear" w:color="auto" w:fill="auto"/>
            <w:vAlign w:val="center"/>
          </w:tcPr>
          <w:p w14:paraId="5F9105F0">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3A33D65A">
        <w:tblPrEx>
          <w:tblCellMar>
            <w:top w:w="0" w:type="dxa"/>
            <w:left w:w="108" w:type="dxa"/>
            <w:bottom w:w="0" w:type="dxa"/>
            <w:right w:w="108" w:type="dxa"/>
          </w:tblCellMar>
        </w:tblPrEx>
        <w:trPr>
          <w:trHeight w:val="336"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04BF0DC8">
            <w:pPr>
              <w:spacing w:line="420" w:lineRule="exact"/>
              <w:rPr>
                <w:rFonts w:hint="eastAsia" w:ascii="宋体" w:hAnsi="宋体" w:eastAsia="宋体" w:cs="宋体"/>
                <w:sz w:val="24"/>
                <w:szCs w:val="24"/>
              </w:rPr>
            </w:pPr>
            <w:r>
              <w:rPr>
                <w:rFonts w:hint="eastAsia" w:ascii="宋体" w:hAnsi="宋体" w:eastAsia="宋体" w:cs="宋体"/>
                <w:sz w:val="24"/>
                <w:szCs w:val="24"/>
              </w:rPr>
              <w:t>三期仓库</w:t>
            </w:r>
          </w:p>
        </w:tc>
        <w:tc>
          <w:tcPr>
            <w:tcW w:w="2240" w:type="dxa"/>
            <w:tcBorders>
              <w:top w:val="nil"/>
              <w:left w:val="nil"/>
              <w:bottom w:val="single" w:color="auto" w:sz="4" w:space="0"/>
              <w:right w:val="single" w:color="auto" w:sz="4" w:space="0"/>
            </w:tcBorders>
            <w:shd w:val="clear" w:color="auto" w:fill="auto"/>
            <w:vAlign w:val="center"/>
          </w:tcPr>
          <w:p w14:paraId="6A9964ED">
            <w:pPr>
              <w:spacing w:line="420" w:lineRule="exact"/>
              <w:rPr>
                <w:rFonts w:hint="eastAsia" w:ascii="宋体" w:hAnsi="宋体" w:eastAsia="宋体" w:cs="宋体"/>
                <w:sz w:val="24"/>
                <w:szCs w:val="24"/>
              </w:rPr>
            </w:pPr>
            <w:r>
              <w:rPr>
                <w:rFonts w:hint="eastAsia" w:ascii="宋体" w:hAnsi="宋体" w:eastAsia="宋体" w:cs="宋体"/>
                <w:sz w:val="24"/>
                <w:szCs w:val="24"/>
              </w:rPr>
              <w:t>106</w:t>
            </w:r>
          </w:p>
        </w:tc>
        <w:tc>
          <w:tcPr>
            <w:tcW w:w="2240" w:type="dxa"/>
            <w:tcBorders>
              <w:top w:val="nil"/>
              <w:left w:val="nil"/>
              <w:bottom w:val="single" w:color="auto" w:sz="4" w:space="0"/>
              <w:right w:val="single" w:color="auto" w:sz="4" w:space="0"/>
            </w:tcBorders>
            <w:shd w:val="clear" w:color="auto" w:fill="auto"/>
            <w:vAlign w:val="center"/>
          </w:tcPr>
          <w:p w14:paraId="35DF1DB0">
            <w:pPr>
              <w:spacing w:line="420" w:lineRule="exact"/>
              <w:rPr>
                <w:rFonts w:hint="eastAsia" w:ascii="宋体" w:hAnsi="宋体" w:eastAsia="宋体" w:cs="宋体"/>
                <w:sz w:val="24"/>
                <w:szCs w:val="24"/>
              </w:rPr>
            </w:pPr>
            <w:r>
              <w:rPr>
                <w:rFonts w:hint="eastAsia" w:ascii="宋体" w:hAnsi="宋体" w:eastAsia="宋体" w:cs="宋体"/>
                <w:sz w:val="24"/>
                <w:szCs w:val="24"/>
              </w:rPr>
              <w:t>10</w:t>
            </w:r>
          </w:p>
        </w:tc>
        <w:tc>
          <w:tcPr>
            <w:tcW w:w="2240" w:type="dxa"/>
            <w:tcBorders>
              <w:top w:val="nil"/>
              <w:left w:val="nil"/>
              <w:bottom w:val="single" w:color="auto" w:sz="4" w:space="0"/>
              <w:right w:val="single" w:color="auto" w:sz="4" w:space="0"/>
            </w:tcBorders>
            <w:shd w:val="clear" w:color="auto" w:fill="auto"/>
            <w:vAlign w:val="center"/>
          </w:tcPr>
          <w:p w14:paraId="55C85C11">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0A8D0344">
        <w:tblPrEx>
          <w:tblCellMar>
            <w:top w:w="0" w:type="dxa"/>
            <w:left w:w="108" w:type="dxa"/>
            <w:bottom w:w="0" w:type="dxa"/>
            <w:right w:w="108" w:type="dxa"/>
          </w:tblCellMar>
        </w:tblPrEx>
        <w:trPr>
          <w:trHeight w:val="336"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7B6663B2">
            <w:pPr>
              <w:spacing w:line="420" w:lineRule="exact"/>
              <w:rPr>
                <w:rFonts w:hint="eastAsia" w:ascii="宋体" w:hAnsi="宋体" w:eastAsia="宋体" w:cs="宋体"/>
                <w:sz w:val="24"/>
                <w:szCs w:val="24"/>
              </w:rPr>
            </w:pPr>
            <w:r>
              <w:rPr>
                <w:rFonts w:hint="eastAsia" w:ascii="宋体" w:hAnsi="宋体" w:eastAsia="宋体" w:cs="宋体"/>
                <w:sz w:val="24"/>
                <w:szCs w:val="24"/>
              </w:rPr>
              <w:t>生活办公区</w:t>
            </w:r>
          </w:p>
        </w:tc>
        <w:tc>
          <w:tcPr>
            <w:tcW w:w="2240" w:type="dxa"/>
            <w:tcBorders>
              <w:top w:val="nil"/>
              <w:left w:val="nil"/>
              <w:bottom w:val="single" w:color="auto" w:sz="4" w:space="0"/>
              <w:right w:val="single" w:color="auto" w:sz="4" w:space="0"/>
            </w:tcBorders>
            <w:shd w:val="clear" w:color="auto" w:fill="auto"/>
            <w:vAlign w:val="center"/>
          </w:tcPr>
          <w:p w14:paraId="71CB5274">
            <w:pPr>
              <w:spacing w:line="420" w:lineRule="exact"/>
              <w:rPr>
                <w:rFonts w:hint="eastAsia" w:ascii="宋体" w:hAnsi="宋体" w:eastAsia="宋体" w:cs="宋体"/>
                <w:sz w:val="24"/>
                <w:szCs w:val="24"/>
              </w:rPr>
            </w:pPr>
            <w:r>
              <w:rPr>
                <w:rFonts w:hint="eastAsia" w:ascii="宋体" w:hAnsi="宋体" w:eastAsia="宋体" w:cs="宋体"/>
                <w:sz w:val="24"/>
                <w:szCs w:val="24"/>
              </w:rPr>
              <w:t>3</w:t>
            </w:r>
          </w:p>
        </w:tc>
        <w:tc>
          <w:tcPr>
            <w:tcW w:w="2240" w:type="dxa"/>
            <w:tcBorders>
              <w:top w:val="nil"/>
              <w:left w:val="nil"/>
              <w:bottom w:val="single" w:color="auto" w:sz="4" w:space="0"/>
              <w:right w:val="single" w:color="auto" w:sz="4" w:space="0"/>
            </w:tcBorders>
            <w:shd w:val="clear" w:color="auto" w:fill="auto"/>
            <w:vAlign w:val="center"/>
          </w:tcPr>
          <w:p w14:paraId="24FF3470">
            <w:pPr>
              <w:spacing w:line="420" w:lineRule="exact"/>
              <w:rPr>
                <w:rFonts w:hint="eastAsia" w:ascii="宋体" w:hAnsi="宋体" w:eastAsia="宋体" w:cs="宋体"/>
                <w:sz w:val="24"/>
                <w:szCs w:val="24"/>
              </w:rPr>
            </w:pPr>
            <w:r>
              <w:rPr>
                <w:rFonts w:hint="eastAsia" w:ascii="宋体" w:hAnsi="宋体" w:eastAsia="宋体" w:cs="宋体"/>
                <w:sz w:val="24"/>
                <w:szCs w:val="24"/>
              </w:rPr>
              <w:t>8</w:t>
            </w:r>
          </w:p>
        </w:tc>
        <w:tc>
          <w:tcPr>
            <w:tcW w:w="2240" w:type="dxa"/>
            <w:tcBorders>
              <w:top w:val="nil"/>
              <w:left w:val="nil"/>
              <w:bottom w:val="single" w:color="auto" w:sz="4" w:space="0"/>
              <w:right w:val="single" w:color="auto" w:sz="4" w:space="0"/>
            </w:tcBorders>
            <w:shd w:val="clear" w:color="auto" w:fill="auto"/>
            <w:vAlign w:val="center"/>
          </w:tcPr>
          <w:p w14:paraId="7719E90B">
            <w:pPr>
              <w:spacing w:line="420" w:lineRule="exact"/>
              <w:rPr>
                <w:rFonts w:hint="eastAsia" w:ascii="宋体" w:hAnsi="宋体" w:eastAsia="宋体" w:cs="宋体"/>
                <w:sz w:val="24"/>
                <w:szCs w:val="24"/>
              </w:rPr>
            </w:pPr>
            <w:r>
              <w:rPr>
                <w:rFonts w:hint="eastAsia" w:ascii="宋体" w:hAnsi="宋体" w:eastAsia="宋体" w:cs="宋体"/>
                <w:sz w:val="24"/>
                <w:szCs w:val="24"/>
              </w:rPr>
              <w:t>10</w:t>
            </w:r>
          </w:p>
        </w:tc>
      </w:tr>
      <w:tr w14:paraId="1D81B38E">
        <w:tblPrEx>
          <w:tblCellMar>
            <w:top w:w="0" w:type="dxa"/>
            <w:left w:w="108" w:type="dxa"/>
            <w:bottom w:w="0" w:type="dxa"/>
            <w:right w:w="108" w:type="dxa"/>
          </w:tblCellMar>
        </w:tblPrEx>
        <w:trPr>
          <w:trHeight w:val="336" w:hRule="atLeast"/>
        </w:trPr>
        <w:tc>
          <w:tcPr>
            <w:tcW w:w="2240" w:type="dxa"/>
            <w:tcBorders>
              <w:top w:val="nil"/>
              <w:left w:val="single" w:color="auto" w:sz="4" w:space="0"/>
              <w:bottom w:val="nil"/>
              <w:right w:val="single" w:color="auto" w:sz="4" w:space="0"/>
            </w:tcBorders>
            <w:shd w:val="clear" w:color="auto" w:fill="auto"/>
            <w:vAlign w:val="center"/>
          </w:tcPr>
          <w:p w14:paraId="300E7003">
            <w:pPr>
              <w:spacing w:line="420" w:lineRule="exact"/>
              <w:rPr>
                <w:rFonts w:hint="eastAsia" w:ascii="宋体" w:hAnsi="宋体" w:eastAsia="宋体" w:cs="宋体"/>
                <w:sz w:val="24"/>
                <w:szCs w:val="24"/>
              </w:rPr>
            </w:pPr>
            <w:r>
              <w:rPr>
                <w:rFonts w:hint="eastAsia" w:ascii="宋体" w:hAnsi="宋体" w:eastAsia="宋体" w:cs="宋体"/>
                <w:sz w:val="24"/>
                <w:szCs w:val="24"/>
              </w:rPr>
              <w:t>四厂原料库</w:t>
            </w:r>
          </w:p>
        </w:tc>
        <w:tc>
          <w:tcPr>
            <w:tcW w:w="2240" w:type="dxa"/>
            <w:tcBorders>
              <w:top w:val="nil"/>
              <w:left w:val="nil"/>
              <w:bottom w:val="single" w:color="auto" w:sz="4" w:space="0"/>
              <w:right w:val="single" w:color="auto" w:sz="4" w:space="0"/>
            </w:tcBorders>
            <w:shd w:val="clear" w:color="auto" w:fill="auto"/>
            <w:vAlign w:val="center"/>
          </w:tcPr>
          <w:p w14:paraId="3E1677CC">
            <w:pPr>
              <w:spacing w:line="420" w:lineRule="exact"/>
              <w:rPr>
                <w:rFonts w:hint="eastAsia" w:ascii="宋体" w:hAnsi="宋体" w:eastAsia="宋体" w:cs="宋体"/>
                <w:sz w:val="24"/>
                <w:szCs w:val="24"/>
              </w:rPr>
            </w:pPr>
            <w:r>
              <w:rPr>
                <w:rFonts w:hint="eastAsia" w:ascii="宋体" w:hAnsi="宋体" w:eastAsia="宋体" w:cs="宋体"/>
                <w:sz w:val="24"/>
                <w:szCs w:val="24"/>
              </w:rPr>
              <w:t>104</w:t>
            </w:r>
          </w:p>
        </w:tc>
        <w:tc>
          <w:tcPr>
            <w:tcW w:w="2240" w:type="dxa"/>
            <w:tcBorders>
              <w:top w:val="nil"/>
              <w:left w:val="nil"/>
              <w:bottom w:val="single" w:color="auto" w:sz="4" w:space="0"/>
              <w:right w:val="single" w:color="auto" w:sz="4" w:space="0"/>
            </w:tcBorders>
            <w:shd w:val="clear" w:color="auto" w:fill="auto"/>
            <w:vAlign w:val="center"/>
          </w:tcPr>
          <w:p w14:paraId="039B68F6">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c>
          <w:tcPr>
            <w:tcW w:w="2240" w:type="dxa"/>
            <w:tcBorders>
              <w:top w:val="nil"/>
              <w:left w:val="nil"/>
              <w:bottom w:val="single" w:color="auto" w:sz="4" w:space="0"/>
              <w:right w:val="single" w:color="auto" w:sz="4" w:space="0"/>
            </w:tcBorders>
            <w:shd w:val="clear" w:color="auto" w:fill="auto"/>
            <w:vAlign w:val="center"/>
          </w:tcPr>
          <w:p w14:paraId="2AEF1742">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3F8BB849">
        <w:tblPrEx>
          <w:tblCellMar>
            <w:top w:w="0" w:type="dxa"/>
            <w:left w:w="108" w:type="dxa"/>
            <w:bottom w:w="0" w:type="dxa"/>
            <w:right w:w="108" w:type="dxa"/>
          </w:tblCellMar>
        </w:tblPrEx>
        <w:trPr>
          <w:trHeight w:val="336" w:hRule="atLeast"/>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3A339176">
            <w:pPr>
              <w:spacing w:line="420" w:lineRule="exact"/>
              <w:rPr>
                <w:rFonts w:hint="eastAsia" w:ascii="宋体" w:hAnsi="宋体" w:eastAsia="宋体" w:cs="宋体"/>
                <w:sz w:val="24"/>
                <w:szCs w:val="24"/>
              </w:rPr>
            </w:pPr>
            <w:r>
              <w:rPr>
                <w:rFonts w:hint="eastAsia" w:ascii="宋体" w:hAnsi="宋体" w:eastAsia="宋体" w:cs="宋体"/>
                <w:sz w:val="24"/>
                <w:szCs w:val="24"/>
              </w:rPr>
              <w:t>四厂成品库</w:t>
            </w:r>
          </w:p>
        </w:tc>
        <w:tc>
          <w:tcPr>
            <w:tcW w:w="2240" w:type="dxa"/>
            <w:tcBorders>
              <w:top w:val="nil"/>
              <w:left w:val="nil"/>
              <w:bottom w:val="single" w:color="auto" w:sz="4" w:space="0"/>
              <w:right w:val="single" w:color="auto" w:sz="4" w:space="0"/>
            </w:tcBorders>
            <w:shd w:val="clear" w:color="auto" w:fill="auto"/>
            <w:vAlign w:val="center"/>
          </w:tcPr>
          <w:p w14:paraId="1DE8093F">
            <w:pPr>
              <w:spacing w:line="420" w:lineRule="exact"/>
              <w:rPr>
                <w:rFonts w:hint="eastAsia" w:ascii="宋体" w:hAnsi="宋体" w:eastAsia="宋体" w:cs="宋体"/>
                <w:sz w:val="24"/>
                <w:szCs w:val="24"/>
              </w:rPr>
            </w:pPr>
            <w:r>
              <w:rPr>
                <w:rFonts w:hint="eastAsia" w:ascii="宋体" w:hAnsi="宋体" w:eastAsia="宋体" w:cs="宋体"/>
                <w:sz w:val="24"/>
                <w:szCs w:val="24"/>
              </w:rPr>
              <w:t>57</w:t>
            </w:r>
          </w:p>
        </w:tc>
        <w:tc>
          <w:tcPr>
            <w:tcW w:w="2240" w:type="dxa"/>
            <w:tcBorders>
              <w:top w:val="nil"/>
              <w:left w:val="nil"/>
              <w:bottom w:val="single" w:color="auto" w:sz="4" w:space="0"/>
              <w:right w:val="single" w:color="auto" w:sz="4" w:space="0"/>
            </w:tcBorders>
            <w:shd w:val="clear" w:color="auto" w:fill="auto"/>
            <w:vAlign w:val="center"/>
          </w:tcPr>
          <w:p w14:paraId="43D7082F">
            <w:pPr>
              <w:spacing w:line="420" w:lineRule="exact"/>
              <w:rPr>
                <w:rFonts w:hint="eastAsia" w:ascii="宋体" w:hAnsi="宋体" w:eastAsia="宋体" w:cs="宋体"/>
                <w:sz w:val="24"/>
                <w:szCs w:val="24"/>
              </w:rPr>
            </w:pPr>
            <w:r>
              <w:rPr>
                <w:rFonts w:hint="eastAsia" w:ascii="宋体" w:hAnsi="宋体" w:eastAsia="宋体" w:cs="宋体"/>
                <w:sz w:val="24"/>
                <w:szCs w:val="24"/>
              </w:rPr>
              <w:t>22</w:t>
            </w:r>
          </w:p>
        </w:tc>
        <w:tc>
          <w:tcPr>
            <w:tcW w:w="2240" w:type="dxa"/>
            <w:tcBorders>
              <w:top w:val="nil"/>
              <w:left w:val="nil"/>
              <w:bottom w:val="single" w:color="auto" w:sz="4" w:space="0"/>
              <w:right w:val="single" w:color="auto" w:sz="4" w:space="0"/>
            </w:tcBorders>
            <w:shd w:val="clear" w:color="auto" w:fill="auto"/>
            <w:vAlign w:val="center"/>
          </w:tcPr>
          <w:p w14:paraId="5D013F68">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7326F69B">
        <w:tblPrEx>
          <w:tblCellMar>
            <w:top w:w="0" w:type="dxa"/>
            <w:left w:w="108" w:type="dxa"/>
            <w:bottom w:w="0" w:type="dxa"/>
            <w:right w:w="108" w:type="dxa"/>
          </w:tblCellMar>
        </w:tblPrEx>
        <w:trPr>
          <w:trHeight w:val="336"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06560CEB">
            <w:pPr>
              <w:spacing w:line="420" w:lineRule="exact"/>
              <w:rPr>
                <w:rFonts w:hint="eastAsia" w:ascii="宋体" w:hAnsi="宋体" w:eastAsia="宋体" w:cs="宋体"/>
                <w:sz w:val="24"/>
                <w:szCs w:val="24"/>
              </w:rPr>
            </w:pPr>
            <w:r>
              <w:rPr>
                <w:rFonts w:hint="eastAsia" w:ascii="宋体" w:hAnsi="宋体" w:eastAsia="宋体" w:cs="宋体"/>
                <w:sz w:val="24"/>
                <w:szCs w:val="24"/>
              </w:rPr>
              <w:t>切片料仓</w:t>
            </w:r>
          </w:p>
        </w:tc>
        <w:tc>
          <w:tcPr>
            <w:tcW w:w="2240" w:type="dxa"/>
            <w:tcBorders>
              <w:top w:val="nil"/>
              <w:left w:val="nil"/>
              <w:bottom w:val="single" w:color="auto" w:sz="4" w:space="0"/>
              <w:right w:val="single" w:color="auto" w:sz="4" w:space="0"/>
            </w:tcBorders>
            <w:shd w:val="clear" w:color="auto" w:fill="auto"/>
            <w:vAlign w:val="center"/>
          </w:tcPr>
          <w:p w14:paraId="2B38BA5A">
            <w:pPr>
              <w:spacing w:line="420" w:lineRule="exact"/>
              <w:rPr>
                <w:rFonts w:hint="eastAsia" w:ascii="宋体" w:hAnsi="宋体" w:eastAsia="宋体" w:cs="宋体"/>
                <w:sz w:val="24"/>
                <w:szCs w:val="24"/>
              </w:rPr>
            </w:pPr>
            <w:r>
              <w:rPr>
                <w:rFonts w:hint="eastAsia" w:ascii="宋体" w:hAnsi="宋体" w:eastAsia="宋体" w:cs="宋体"/>
                <w:sz w:val="24"/>
                <w:szCs w:val="24"/>
              </w:rPr>
              <w:t>32</w:t>
            </w:r>
          </w:p>
        </w:tc>
        <w:tc>
          <w:tcPr>
            <w:tcW w:w="2240" w:type="dxa"/>
            <w:tcBorders>
              <w:top w:val="nil"/>
              <w:left w:val="nil"/>
              <w:bottom w:val="single" w:color="auto" w:sz="4" w:space="0"/>
              <w:right w:val="single" w:color="auto" w:sz="4" w:space="0"/>
            </w:tcBorders>
            <w:shd w:val="clear" w:color="auto" w:fill="auto"/>
            <w:vAlign w:val="center"/>
          </w:tcPr>
          <w:p w14:paraId="2F299601">
            <w:pPr>
              <w:spacing w:line="420" w:lineRule="exact"/>
              <w:rPr>
                <w:rFonts w:hint="eastAsia" w:ascii="宋体" w:hAnsi="宋体" w:eastAsia="宋体" w:cs="宋体"/>
                <w:sz w:val="24"/>
                <w:szCs w:val="24"/>
              </w:rPr>
            </w:pPr>
            <w:r>
              <w:rPr>
                <w:rFonts w:hint="eastAsia" w:ascii="宋体" w:hAnsi="宋体" w:eastAsia="宋体" w:cs="宋体"/>
                <w:sz w:val="24"/>
                <w:szCs w:val="24"/>
              </w:rPr>
              <w:t>10</w:t>
            </w:r>
          </w:p>
        </w:tc>
        <w:tc>
          <w:tcPr>
            <w:tcW w:w="2240" w:type="dxa"/>
            <w:tcBorders>
              <w:top w:val="nil"/>
              <w:left w:val="nil"/>
              <w:bottom w:val="single" w:color="auto" w:sz="4" w:space="0"/>
              <w:right w:val="single" w:color="auto" w:sz="4" w:space="0"/>
            </w:tcBorders>
            <w:shd w:val="clear" w:color="auto" w:fill="auto"/>
            <w:vAlign w:val="center"/>
          </w:tcPr>
          <w:p w14:paraId="6ADA8974">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055D0C69">
        <w:tblPrEx>
          <w:tblCellMar>
            <w:top w:w="0" w:type="dxa"/>
            <w:left w:w="108" w:type="dxa"/>
            <w:bottom w:w="0" w:type="dxa"/>
            <w:right w:w="108" w:type="dxa"/>
          </w:tblCellMar>
        </w:tblPrEx>
        <w:trPr>
          <w:trHeight w:val="360"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3CA7CC17">
            <w:pPr>
              <w:spacing w:line="420" w:lineRule="exact"/>
              <w:rPr>
                <w:rFonts w:hint="eastAsia" w:ascii="宋体" w:hAnsi="宋体" w:eastAsia="宋体" w:cs="宋体"/>
                <w:sz w:val="24"/>
                <w:szCs w:val="24"/>
              </w:rPr>
            </w:pPr>
            <w:r>
              <w:rPr>
                <w:rFonts w:hint="eastAsia" w:ascii="宋体" w:hAnsi="宋体" w:eastAsia="宋体" w:cs="宋体"/>
                <w:sz w:val="24"/>
                <w:szCs w:val="24"/>
              </w:rPr>
              <w:t>成品仓</w:t>
            </w:r>
          </w:p>
        </w:tc>
        <w:tc>
          <w:tcPr>
            <w:tcW w:w="2240" w:type="dxa"/>
            <w:tcBorders>
              <w:top w:val="nil"/>
              <w:left w:val="nil"/>
              <w:bottom w:val="single" w:color="auto" w:sz="4" w:space="0"/>
              <w:right w:val="single" w:color="auto" w:sz="4" w:space="0"/>
            </w:tcBorders>
            <w:shd w:val="clear" w:color="auto" w:fill="auto"/>
            <w:vAlign w:val="center"/>
          </w:tcPr>
          <w:p w14:paraId="7A565F12">
            <w:pPr>
              <w:spacing w:line="420" w:lineRule="exact"/>
              <w:rPr>
                <w:rFonts w:hint="eastAsia" w:ascii="宋体" w:hAnsi="宋体" w:eastAsia="宋体" w:cs="宋体"/>
                <w:sz w:val="24"/>
                <w:szCs w:val="24"/>
              </w:rPr>
            </w:pPr>
            <w:r>
              <w:rPr>
                <w:rFonts w:hint="eastAsia" w:ascii="宋体" w:hAnsi="宋体" w:eastAsia="宋体" w:cs="宋体"/>
                <w:sz w:val="24"/>
                <w:szCs w:val="24"/>
              </w:rPr>
              <w:t>37</w:t>
            </w:r>
          </w:p>
        </w:tc>
        <w:tc>
          <w:tcPr>
            <w:tcW w:w="2240" w:type="dxa"/>
            <w:tcBorders>
              <w:top w:val="nil"/>
              <w:left w:val="nil"/>
              <w:bottom w:val="single" w:color="auto" w:sz="4" w:space="0"/>
              <w:right w:val="single" w:color="auto" w:sz="4" w:space="0"/>
            </w:tcBorders>
            <w:shd w:val="clear" w:color="auto" w:fill="auto"/>
            <w:vAlign w:val="center"/>
          </w:tcPr>
          <w:p w14:paraId="308A7738">
            <w:pPr>
              <w:spacing w:line="420" w:lineRule="exact"/>
              <w:rPr>
                <w:rFonts w:hint="eastAsia" w:ascii="宋体" w:hAnsi="宋体" w:eastAsia="宋体" w:cs="宋体"/>
                <w:sz w:val="24"/>
                <w:szCs w:val="24"/>
              </w:rPr>
            </w:pPr>
            <w:r>
              <w:rPr>
                <w:rFonts w:hint="eastAsia" w:ascii="宋体" w:hAnsi="宋体" w:eastAsia="宋体" w:cs="宋体"/>
                <w:sz w:val="24"/>
                <w:szCs w:val="24"/>
              </w:rPr>
              <w:t>8</w:t>
            </w:r>
          </w:p>
        </w:tc>
        <w:tc>
          <w:tcPr>
            <w:tcW w:w="2240" w:type="dxa"/>
            <w:tcBorders>
              <w:top w:val="nil"/>
              <w:left w:val="nil"/>
              <w:bottom w:val="single" w:color="auto" w:sz="4" w:space="0"/>
              <w:right w:val="single" w:color="auto" w:sz="4" w:space="0"/>
            </w:tcBorders>
            <w:shd w:val="clear" w:color="auto" w:fill="auto"/>
            <w:vAlign w:val="center"/>
          </w:tcPr>
          <w:p w14:paraId="08968E3C">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6E56F0B9">
        <w:tblPrEx>
          <w:tblCellMar>
            <w:top w:w="0" w:type="dxa"/>
            <w:left w:w="108" w:type="dxa"/>
            <w:bottom w:w="0" w:type="dxa"/>
            <w:right w:w="108" w:type="dxa"/>
          </w:tblCellMar>
        </w:tblPrEx>
        <w:trPr>
          <w:trHeight w:val="336"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09D06C68">
            <w:pPr>
              <w:spacing w:line="420" w:lineRule="exact"/>
              <w:rPr>
                <w:rFonts w:hint="eastAsia" w:ascii="宋体" w:hAnsi="宋体" w:eastAsia="宋体" w:cs="宋体"/>
                <w:sz w:val="24"/>
                <w:szCs w:val="24"/>
              </w:rPr>
            </w:pPr>
            <w:r>
              <w:rPr>
                <w:rFonts w:hint="eastAsia" w:ascii="宋体" w:hAnsi="宋体" w:eastAsia="宋体" w:cs="宋体"/>
                <w:sz w:val="24"/>
                <w:szCs w:val="24"/>
              </w:rPr>
              <w:t>23PETG成料库</w:t>
            </w:r>
          </w:p>
        </w:tc>
        <w:tc>
          <w:tcPr>
            <w:tcW w:w="2240" w:type="dxa"/>
            <w:tcBorders>
              <w:top w:val="nil"/>
              <w:left w:val="nil"/>
              <w:bottom w:val="single" w:color="auto" w:sz="4" w:space="0"/>
              <w:right w:val="single" w:color="auto" w:sz="4" w:space="0"/>
            </w:tcBorders>
            <w:shd w:val="clear" w:color="auto" w:fill="auto"/>
            <w:vAlign w:val="center"/>
          </w:tcPr>
          <w:p w14:paraId="24DCBF1A">
            <w:pPr>
              <w:spacing w:line="420" w:lineRule="exact"/>
              <w:rPr>
                <w:rFonts w:hint="eastAsia" w:ascii="宋体" w:hAnsi="宋体" w:eastAsia="宋体" w:cs="宋体"/>
                <w:sz w:val="24"/>
                <w:szCs w:val="24"/>
              </w:rPr>
            </w:pPr>
            <w:r>
              <w:rPr>
                <w:rFonts w:hint="eastAsia" w:ascii="宋体" w:hAnsi="宋体" w:eastAsia="宋体" w:cs="宋体"/>
                <w:sz w:val="24"/>
                <w:szCs w:val="24"/>
              </w:rPr>
              <w:t>37</w:t>
            </w:r>
          </w:p>
        </w:tc>
        <w:tc>
          <w:tcPr>
            <w:tcW w:w="2240" w:type="dxa"/>
            <w:tcBorders>
              <w:top w:val="nil"/>
              <w:left w:val="nil"/>
              <w:bottom w:val="single" w:color="auto" w:sz="4" w:space="0"/>
              <w:right w:val="single" w:color="auto" w:sz="4" w:space="0"/>
            </w:tcBorders>
            <w:shd w:val="clear" w:color="auto" w:fill="auto"/>
            <w:vAlign w:val="center"/>
          </w:tcPr>
          <w:p w14:paraId="26F1FCB2">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c>
          <w:tcPr>
            <w:tcW w:w="2240" w:type="dxa"/>
            <w:tcBorders>
              <w:top w:val="nil"/>
              <w:left w:val="nil"/>
              <w:bottom w:val="single" w:color="auto" w:sz="4" w:space="0"/>
              <w:right w:val="single" w:color="auto" w:sz="4" w:space="0"/>
            </w:tcBorders>
            <w:shd w:val="clear" w:color="auto" w:fill="auto"/>
            <w:vAlign w:val="center"/>
          </w:tcPr>
          <w:p w14:paraId="2D570E9E">
            <w:pPr>
              <w:spacing w:line="420" w:lineRule="exact"/>
              <w:rPr>
                <w:rFonts w:hint="eastAsia" w:ascii="宋体" w:hAnsi="宋体" w:eastAsia="宋体" w:cs="宋体"/>
                <w:sz w:val="24"/>
                <w:szCs w:val="24"/>
              </w:rPr>
            </w:pPr>
            <w:r>
              <w:rPr>
                <w:rFonts w:hint="eastAsia" w:ascii="宋体" w:hAnsi="宋体" w:eastAsia="宋体" w:cs="宋体"/>
                <w:sz w:val="24"/>
                <w:szCs w:val="24"/>
              </w:rPr>
              <w:t>　</w:t>
            </w:r>
          </w:p>
        </w:tc>
      </w:tr>
      <w:tr w14:paraId="680D0D79">
        <w:tblPrEx>
          <w:tblCellMar>
            <w:top w:w="0" w:type="dxa"/>
            <w:left w:w="108" w:type="dxa"/>
            <w:bottom w:w="0" w:type="dxa"/>
            <w:right w:w="108" w:type="dxa"/>
          </w:tblCellMar>
        </w:tblPrEx>
        <w:trPr>
          <w:trHeight w:val="360" w:hRule="atLeast"/>
        </w:trPr>
        <w:tc>
          <w:tcPr>
            <w:tcW w:w="2240" w:type="dxa"/>
            <w:tcBorders>
              <w:top w:val="nil"/>
              <w:left w:val="single" w:color="auto" w:sz="4" w:space="0"/>
              <w:bottom w:val="single" w:color="auto" w:sz="4" w:space="0"/>
              <w:right w:val="single" w:color="auto" w:sz="4" w:space="0"/>
            </w:tcBorders>
            <w:shd w:val="clear" w:color="auto" w:fill="auto"/>
            <w:vAlign w:val="center"/>
          </w:tcPr>
          <w:p w14:paraId="6C74FADA">
            <w:pPr>
              <w:spacing w:line="420" w:lineRule="exact"/>
              <w:rPr>
                <w:rFonts w:hint="eastAsia" w:ascii="宋体" w:hAnsi="宋体" w:eastAsia="宋体" w:cs="宋体"/>
                <w:sz w:val="24"/>
                <w:szCs w:val="24"/>
              </w:rPr>
            </w:pPr>
            <w:r>
              <w:rPr>
                <w:rFonts w:hint="eastAsia" w:ascii="宋体" w:hAnsi="宋体" w:eastAsia="宋体" w:cs="宋体"/>
                <w:sz w:val="24"/>
                <w:szCs w:val="24"/>
              </w:rPr>
              <w:t>总计</w:t>
            </w:r>
          </w:p>
        </w:tc>
        <w:tc>
          <w:tcPr>
            <w:tcW w:w="2240" w:type="dxa"/>
            <w:tcBorders>
              <w:top w:val="nil"/>
              <w:left w:val="nil"/>
              <w:bottom w:val="single" w:color="auto" w:sz="4" w:space="0"/>
              <w:right w:val="single" w:color="auto" w:sz="4" w:space="0"/>
            </w:tcBorders>
            <w:shd w:val="clear" w:color="auto" w:fill="auto"/>
            <w:noWrap/>
            <w:vAlign w:val="center"/>
          </w:tcPr>
          <w:p w14:paraId="79D15F29">
            <w:pPr>
              <w:spacing w:line="420" w:lineRule="exact"/>
              <w:rPr>
                <w:rFonts w:hint="eastAsia" w:ascii="宋体" w:hAnsi="宋体" w:eastAsia="宋体" w:cs="宋体"/>
                <w:sz w:val="24"/>
                <w:szCs w:val="24"/>
              </w:rPr>
            </w:pPr>
            <w:r>
              <w:rPr>
                <w:rFonts w:hint="eastAsia" w:ascii="宋体" w:hAnsi="宋体" w:eastAsia="宋体" w:cs="宋体"/>
                <w:sz w:val="24"/>
                <w:szCs w:val="24"/>
              </w:rPr>
              <w:t>602</w:t>
            </w:r>
          </w:p>
        </w:tc>
        <w:tc>
          <w:tcPr>
            <w:tcW w:w="2240" w:type="dxa"/>
            <w:tcBorders>
              <w:top w:val="nil"/>
              <w:left w:val="nil"/>
              <w:bottom w:val="single" w:color="auto" w:sz="4" w:space="0"/>
              <w:right w:val="single" w:color="auto" w:sz="4" w:space="0"/>
            </w:tcBorders>
            <w:shd w:val="clear" w:color="auto" w:fill="auto"/>
            <w:noWrap/>
            <w:vAlign w:val="center"/>
          </w:tcPr>
          <w:p w14:paraId="33DB1AAB">
            <w:pPr>
              <w:spacing w:line="420" w:lineRule="exact"/>
              <w:rPr>
                <w:rFonts w:hint="eastAsia" w:ascii="宋体" w:hAnsi="宋体" w:eastAsia="宋体" w:cs="宋体"/>
                <w:sz w:val="24"/>
                <w:szCs w:val="24"/>
              </w:rPr>
            </w:pPr>
            <w:r>
              <w:rPr>
                <w:rFonts w:hint="eastAsia" w:ascii="宋体" w:hAnsi="宋体" w:eastAsia="宋体" w:cs="宋体"/>
                <w:sz w:val="24"/>
                <w:szCs w:val="24"/>
              </w:rPr>
              <w:t>84</w:t>
            </w:r>
          </w:p>
        </w:tc>
        <w:tc>
          <w:tcPr>
            <w:tcW w:w="2240" w:type="dxa"/>
            <w:tcBorders>
              <w:top w:val="nil"/>
              <w:left w:val="nil"/>
              <w:bottom w:val="single" w:color="auto" w:sz="4" w:space="0"/>
              <w:right w:val="single" w:color="auto" w:sz="4" w:space="0"/>
            </w:tcBorders>
            <w:shd w:val="clear" w:color="auto" w:fill="auto"/>
            <w:noWrap/>
            <w:vAlign w:val="center"/>
          </w:tcPr>
          <w:p w14:paraId="09043D60">
            <w:pPr>
              <w:spacing w:line="420" w:lineRule="exact"/>
              <w:rPr>
                <w:rFonts w:hint="eastAsia" w:ascii="宋体" w:hAnsi="宋体" w:eastAsia="宋体" w:cs="宋体"/>
                <w:sz w:val="24"/>
                <w:szCs w:val="24"/>
              </w:rPr>
            </w:pPr>
            <w:r>
              <w:rPr>
                <w:rFonts w:hint="eastAsia" w:ascii="宋体" w:hAnsi="宋体" w:eastAsia="宋体" w:cs="宋体"/>
                <w:sz w:val="24"/>
                <w:szCs w:val="24"/>
              </w:rPr>
              <w:t>10</w:t>
            </w:r>
          </w:p>
        </w:tc>
      </w:tr>
    </w:tbl>
    <w:p w14:paraId="76248267">
      <w:pPr>
        <w:spacing w:line="420" w:lineRule="exact"/>
        <w:rPr>
          <w:rFonts w:hint="eastAsia" w:ascii="宋体" w:hAnsi="宋体" w:eastAsia="宋体" w:cs="宋体"/>
          <w:sz w:val="24"/>
          <w:szCs w:val="24"/>
        </w:rPr>
      </w:pPr>
    </w:p>
    <w:p w14:paraId="165BC71F">
      <w:pPr>
        <w:spacing w:line="420" w:lineRule="exact"/>
        <w:rPr>
          <w:rFonts w:hint="eastAsia" w:ascii="宋体" w:hAnsi="宋体" w:eastAsia="宋体" w:cs="宋体"/>
          <w:sz w:val="24"/>
          <w:szCs w:val="24"/>
        </w:rPr>
      </w:pPr>
    </w:p>
    <w:p w14:paraId="7CA3E719">
      <w:pPr>
        <w:spacing w:line="420" w:lineRule="exact"/>
        <w:rPr>
          <w:rFonts w:hint="eastAsia" w:ascii="宋体" w:hAnsi="宋体" w:eastAsia="宋体" w:cs="宋体"/>
          <w:sz w:val="24"/>
          <w:szCs w:val="24"/>
        </w:rPr>
      </w:pPr>
      <w:r>
        <w:rPr>
          <w:rFonts w:hint="eastAsia" w:ascii="宋体" w:hAnsi="宋体" w:cs="宋体"/>
          <w:sz w:val="24"/>
          <w:szCs w:val="24"/>
          <w:lang w:eastAsia="zh-CN"/>
        </w:rPr>
        <w:t>4.</w:t>
      </w:r>
      <w:r>
        <w:rPr>
          <w:rFonts w:hint="eastAsia" w:ascii="宋体" w:hAnsi="宋体" w:eastAsia="宋体" w:cs="宋体"/>
          <w:sz w:val="24"/>
          <w:szCs w:val="24"/>
        </w:rPr>
        <w:t>乙方在甲方的相关部门设立除虫日志程序，以便于服务人员能及时有效地解决虫害问题；并每月提交虫害分析报告。</w:t>
      </w:r>
    </w:p>
    <w:p w14:paraId="78493670">
      <w:pPr>
        <w:spacing w:line="420" w:lineRule="exact"/>
        <w:rPr>
          <w:rFonts w:hint="eastAsia" w:ascii="宋体" w:hAnsi="宋体" w:eastAsia="宋体" w:cs="宋体"/>
          <w:sz w:val="24"/>
          <w:szCs w:val="24"/>
        </w:rPr>
      </w:pPr>
      <w:r>
        <w:rPr>
          <w:rFonts w:hint="eastAsia" w:ascii="宋体" w:hAnsi="宋体" w:cs="宋体"/>
          <w:sz w:val="24"/>
          <w:szCs w:val="24"/>
          <w:lang w:eastAsia="zh-CN"/>
        </w:rPr>
        <w:t>5.</w:t>
      </w:r>
      <w:r>
        <w:rPr>
          <w:rFonts w:hint="eastAsia" w:ascii="宋体" w:hAnsi="宋体" w:eastAsia="宋体" w:cs="宋体"/>
          <w:sz w:val="24"/>
          <w:szCs w:val="24"/>
        </w:rPr>
        <w:t>每次服务时，服务人员对服务区域</w:t>
      </w:r>
      <w:r>
        <w:rPr>
          <w:rFonts w:hint="eastAsia" w:ascii="宋体" w:hAnsi="宋体" w:cs="宋体"/>
          <w:sz w:val="24"/>
          <w:szCs w:val="24"/>
          <w:lang w:eastAsia="zh-CN"/>
        </w:rPr>
        <w:t>做</w:t>
      </w:r>
      <w:r>
        <w:rPr>
          <w:rFonts w:hint="eastAsia" w:ascii="宋体" w:hAnsi="宋体" w:eastAsia="宋体" w:cs="宋体"/>
          <w:sz w:val="24"/>
          <w:szCs w:val="24"/>
        </w:rPr>
        <w:t>检查，对虫害侵害因素（包括建筑结构、环境卫生等方面）作详细的陈述并提出相关建议；</w:t>
      </w:r>
    </w:p>
    <w:p w14:paraId="0E294489">
      <w:pPr>
        <w:spacing w:line="420" w:lineRule="exact"/>
        <w:rPr>
          <w:rFonts w:hint="eastAsia" w:ascii="宋体" w:hAnsi="宋体" w:eastAsia="宋体" w:cs="宋体"/>
          <w:sz w:val="24"/>
          <w:szCs w:val="24"/>
        </w:rPr>
      </w:pPr>
      <w:r>
        <w:rPr>
          <w:rFonts w:hint="eastAsia" w:ascii="宋体" w:hAnsi="宋体" w:cs="宋体"/>
          <w:sz w:val="24"/>
          <w:szCs w:val="24"/>
          <w:lang w:eastAsia="zh-CN"/>
        </w:rPr>
        <w:t>6.</w:t>
      </w:r>
      <w:r>
        <w:rPr>
          <w:rFonts w:hint="eastAsia" w:ascii="宋体" w:hAnsi="宋体" w:eastAsia="宋体" w:cs="宋体"/>
          <w:sz w:val="24"/>
          <w:szCs w:val="24"/>
        </w:rPr>
        <w:t>每次服务完成后，乙方将提供完善的服务报告给甲方，并由甲方对乙方服务人员每次的服务给予确认和评价。</w:t>
      </w:r>
    </w:p>
    <w:p w14:paraId="4164287B">
      <w:pPr>
        <w:spacing w:line="420" w:lineRule="exact"/>
        <w:rPr>
          <w:rFonts w:hint="eastAsia" w:ascii="宋体" w:hAnsi="宋体" w:eastAsia="宋体" w:cs="宋体"/>
          <w:sz w:val="24"/>
          <w:szCs w:val="24"/>
        </w:rPr>
      </w:pPr>
      <w:r>
        <w:rPr>
          <w:rFonts w:hint="eastAsia" w:ascii="宋体" w:hAnsi="宋体" w:cs="宋体"/>
          <w:sz w:val="24"/>
          <w:szCs w:val="24"/>
          <w:lang w:eastAsia="zh-CN"/>
        </w:rPr>
        <w:t>7.</w:t>
      </w:r>
      <w:r>
        <w:rPr>
          <w:rFonts w:hint="eastAsia" w:ascii="宋体" w:hAnsi="宋体" w:eastAsia="宋体" w:cs="宋体"/>
          <w:sz w:val="24"/>
          <w:szCs w:val="24"/>
        </w:rPr>
        <w:t>每季度乙方根据前期工作作回顾报告及虫鼠蛇害分析图。</w:t>
      </w:r>
    </w:p>
    <w:p w14:paraId="7CF9675F">
      <w:pPr>
        <w:spacing w:line="420" w:lineRule="exact"/>
        <w:rPr>
          <w:rFonts w:hint="eastAsia" w:ascii="宋体" w:hAnsi="宋体" w:eastAsia="宋体" w:cs="宋体"/>
          <w:sz w:val="24"/>
          <w:szCs w:val="24"/>
        </w:rPr>
      </w:pPr>
      <w:r>
        <w:rPr>
          <w:rFonts w:hint="eastAsia" w:ascii="宋体" w:hAnsi="宋体" w:cs="宋体"/>
          <w:sz w:val="24"/>
          <w:szCs w:val="24"/>
          <w:lang w:eastAsia="zh-CN"/>
        </w:rPr>
        <w:t>8.</w:t>
      </w:r>
      <w:r>
        <w:rPr>
          <w:rFonts w:hint="eastAsia" w:ascii="宋体" w:hAnsi="宋体" w:eastAsia="宋体" w:cs="宋体"/>
          <w:sz w:val="24"/>
          <w:szCs w:val="24"/>
        </w:rPr>
        <w:t>防虫防鼠图设备应与实际放置位置相对应，标明绘制日期，定期更新，更新周期不得超过1年；</w:t>
      </w:r>
    </w:p>
    <w:p w14:paraId="2CA2BB93">
      <w:pPr>
        <w:spacing w:line="420" w:lineRule="exact"/>
        <w:rPr>
          <w:rFonts w:hint="eastAsia" w:ascii="宋体" w:hAnsi="宋体" w:eastAsia="宋体" w:cs="宋体"/>
          <w:sz w:val="24"/>
          <w:szCs w:val="24"/>
        </w:rPr>
      </w:pPr>
      <w:r>
        <w:rPr>
          <w:rFonts w:hint="eastAsia" w:ascii="宋体" w:hAnsi="宋体" w:cs="宋体"/>
          <w:sz w:val="24"/>
          <w:szCs w:val="24"/>
          <w:lang w:eastAsia="zh-CN"/>
        </w:rPr>
        <w:t>9.</w:t>
      </w:r>
      <w:r>
        <w:rPr>
          <w:rFonts w:hint="eastAsia" w:ascii="宋体" w:hAnsi="宋体" w:eastAsia="宋体" w:cs="宋体"/>
          <w:sz w:val="24"/>
          <w:szCs w:val="24"/>
        </w:rPr>
        <w:t>以上表格中的老鼠笼和灭蝇灯等设备数量为预估数量，由乙方负责购买、安装、维修以及粘蝇板更换，甲方有权根据实际需要，增加或减少以上所列出的老鼠笼和灭蚊灯的数量及布局，乙方应无条件全力配合，服务费用不变。</w:t>
      </w:r>
    </w:p>
    <w:p w14:paraId="387DD747">
      <w:pPr>
        <w:spacing w:line="420" w:lineRule="exact"/>
        <w:rPr>
          <w:rFonts w:hint="eastAsia" w:ascii="宋体" w:hAnsi="宋体" w:eastAsia="宋体" w:cs="宋体"/>
          <w:sz w:val="24"/>
          <w:szCs w:val="24"/>
        </w:rPr>
      </w:pPr>
      <w:r>
        <w:rPr>
          <w:rFonts w:hint="eastAsia" w:ascii="宋体" w:hAnsi="宋体" w:cs="宋体"/>
          <w:sz w:val="24"/>
          <w:szCs w:val="24"/>
          <w:lang w:eastAsia="zh-CN"/>
        </w:rPr>
        <w:t>10.</w:t>
      </w:r>
      <w:r>
        <w:rPr>
          <w:rFonts w:hint="eastAsia" w:ascii="宋体" w:hAnsi="宋体" w:eastAsia="宋体" w:cs="宋体"/>
          <w:sz w:val="24"/>
          <w:szCs w:val="24"/>
        </w:rPr>
        <w:t>合同到期后，老鼠笼和灭蚊灯归甲方所有，乙方不得带走。</w:t>
      </w:r>
    </w:p>
    <w:p w14:paraId="15579B70">
      <w:pPr>
        <w:spacing w:line="420" w:lineRule="exact"/>
        <w:ind w:firstLine="482" w:firstLineChars="200"/>
        <w:rPr>
          <w:rFonts w:hint="eastAsia" w:ascii="宋体" w:hAnsi="宋体" w:cs="宋体"/>
          <w:sz w:val="24"/>
          <w:szCs w:val="24"/>
          <w:lang w:val="en-US" w:eastAsia="zh-CN"/>
        </w:rPr>
      </w:pPr>
      <w:r>
        <w:rPr>
          <w:rFonts w:hint="eastAsia" w:ascii="宋体" w:hAnsi="宋体" w:cs="宋体"/>
          <w:b/>
          <w:bCs/>
          <w:sz w:val="24"/>
          <w:szCs w:val="24"/>
          <w:lang w:val="en-US" w:eastAsia="zh-CN"/>
        </w:rPr>
        <w:t>三、双方责任</w:t>
      </w:r>
    </w:p>
    <w:p w14:paraId="351A7447">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1.</w:t>
      </w:r>
      <w:r>
        <w:rPr>
          <w:rFonts w:hint="default" w:ascii="宋体" w:hAnsi="宋体" w:cs="宋体"/>
          <w:sz w:val="24"/>
          <w:szCs w:val="24"/>
          <w:lang w:val="en-US" w:eastAsia="zh-CN"/>
        </w:rPr>
        <w:t>甲方责任</w:t>
      </w:r>
      <w:r>
        <w:rPr>
          <w:rFonts w:hint="eastAsia" w:ascii="宋体" w:hAnsi="宋体" w:cs="宋体"/>
          <w:sz w:val="24"/>
          <w:szCs w:val="24"/>
          <w:lang w:val="en-US" w:eastAsia="zh-CN"/>
        </w:rPr>
        <w:t>：</w:t>
      </w:r>
    </w:p>
    <w:p w14:paraId="7955549E">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a）</w:t>
      </w:r>
      <w:r>
        <w:rPr>
          <w:rFonts w:hint="default" w:ascii="宋体" w:hAnsi="宋体" w:cs="宋体"/>
          <w:sz w:val="24"/>
          <w:szCs w:val="24"/>
          <w:lang w:val="en-US" w:eastAsia="zh-CN"/>
        </w:rPr>
        <w:t xml:space="preserve"> 甲方应搞好环境卫生，以免影响消杀质量，委派指定的负责部门与乙方进行沟通，并督促乙方做好消杀工作，及时反映消杀效果，并积极配合乙方进行消杀工作</w:t>
      </w:r>
      <w:r>
        <w:rPr>
          <w:rFonts w:hint="eastAsia" w:ascii="宋体" w:hAnsi="宋体" w:cs="宋体"/>
          <w:sz w:val="24"/>
          <w:szCs w:val="24"/>
          <w:lang w:val="en-US" w:eastAsia="zh-CN"/>
        </w:rPr>
        <w:t>；</w:t>
      </w:r>
    </w:p>
    <w:p w14:paraId="61937F48">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b）</w:t>
      </w:r>
      <w:r>
        <w:rPr>
          <w:rFonts w:hint="default" w:ascii="宋体" w:hAnsi="宋体" w:cs="宋体"/>
          <w:sz w:val="24"/>
          <w:szCs w:val="24"/>
          <w:lang w:val="en-US" w:eastAsia="zh-CN"/>
        </w:rPr>
        <w:t xml:space="preserve"> 甲方应自觉遵守和完成乙方服务前事先告知的注意事项。</w:t>
      </w:r>
    </w:p>
    <w:p w14:paraId="713DBF94">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2.</w:t>
      </w:r>
      <w:r>
        <w:rPr>
          <w:rFonts w:hint="default" w:ascii="宋体" w:hAnsi="宋体" w:cs="宋体"/>
          <w:sz w:val="24"/>
          <w:szCs w:val="24"/>
          <w:lang w:val="en-US" w:eastAsia="zh-CN"/>
        </w:rPr>
        <w:t>乙方责任</w:t>
      </w:r>
      <w:r>
        <w:rPr>
          <w:rFonts w:hint="eastAsia" w:ascii="宋体" w:hAnsi="宋体" w:cs="宋体"/>
          <w:sz w:val="24"/>
          <w:szCs w:val="24"/>
          <w:lang w:val="en-US" w:eastAsia="zh-CN"/>
        </w:rPr>
        <w:t>：</w:t>
      </w:r>
    </w:p>
    <w:p w14:paraId="42F4E9A0">
      <w:pPr>
        <w:spacing w:line="420" w:lineRule="exact"/>
        <w:rPr>
          <w:rFonts w:hint="eastAsia" w:ascii="宋体" w:hAnsi="宋体" w:cs="宋体"/>
          <w:sz w:val="24"/>
          <w:szCs w:val="24"/>
          <w:lang w:val="en-US" w:eastAsia="zh-CN"/>
        </w:rPr>
      </w:pPr>
      <w:r>
        <w:rPr>
          <w:rFonts w:hint="eastAsia" w:ascii="宋体" w:hAnsi="宋体" w:cs="宋体"/>
          <w:sz w:val="24"/>
          <w:szCs w:val="24"/>
          <w:lang w:val="en-US" w:eastAsia="zh-CN"/>
        </w:rPr>
        <w:t>a）</w:t>
      </w:r>
      <w:r>
        <w:rPr>
          <w:rFonts w:hint="default" w:ascii="宋体" w:hAnsi="宋体" w:cs="宋体"/>
          <w:sz w:val="24"/>
          <w:szCs w:val="24"/>
          <w:lang w:val="en-US" w:eastAsia="zh-CN"/>
        </w:rPr>
        <w:t>乙方应向甲方提供虫害检查、处理报告、每季度分析报告、每季度趋势图</w:t>
      </w:r>
      <w:r>
        <w:rPr>
          <w:rFonts w:hint="eastAsia" w:ascii="宋体" w:hAnsi="宋体" w:cs="宋体"/>
          <w:sz w:val="24"/>
          <w:szCs w:val="24"/>
          <w:lang w:val="en-US" w:eastAsia="zh-CN"/>
        </w:rPr>
        <w:t>；</w:t>
      </w:r>
      <w:r>
        <w:rPr>
          <w:rFonts w:hint="default" w:ascii="宋体" w:hAnsi="宋体" w:cs="宋体"/>
          <w:sz w:val="24"/>
          <w:szCs w:val="24"/>
          <w:lang w:val="en-US" w:eastAsia="zh-CN"/>
        </w:rPr>
        <w:t>虫害控制设施平面分布图</w:t>
      </w:r>
      <w:r>
        <w:rPr>
          <w:rFonts w:hint="eastAsia" w:ascii="宋体" w:hAnsi="宋体" w:cs="宋体"/>
          <w:sz w:val="24"/>
          <w:szCs w:val="24"/>
          <w:lang w:val="en-US" w:eastAsia="zh-CN"/>
        </w:rPr>
        <w:t>；</w:t>
      </w:r>
      <w:r>
        <w:rPr>
          <w:rFonts w:hint="default" w:ascii="宋体" w:hAnsi="宋体" w:cs="宋体"/>
          <w:sz w:val="24"/>
          <w:szCs w:val="24"/>
          <w:lang w:val="en-US" w:eastAsia="zh-CN"/>
        </w:rPr>
        <w:t>杀虫剂清单、生产厂家、农药登记证及MSDS报告</w:t>
      </w:r>
      <w:r>
        <w:rPr>
          <w:rFonts w:hint="eastAsia" w:ascii="宋体" w:hAnsi="宋体" w:cs="宋体"/>
          <w:sz w:val="24"/>
          <w:szCs w:val="24"/>
          <w:lang w:val="en-US" w:eastAsia="zh-CN"/>
        </w:rPr>
        <w:t>；</w:t>
      </w:r>
      <w:r>
        <w:rPr>
          <w:rFonts w:hint="default" w:ascii="宋体" w:hAnsi="宋体" w:cs="宋体"/>
          <w:sz w:val="24"/>
          <w:szCs w:val="24"/>
          <w:lang w:val="en-US" w:eastAsia="zh-CN"/>
        </w:rPr>
        <w:t>三者险保单</w:t>
      </w:r>
      <w:r>
        <w:rPr>
          <w:rFonts w:hint="eastAsia" w:ascii="宋体" w:hAnsi="宋体" w:cs="宋体"/>
          <w:sz w:val="24"/>
          <w:szCs w:val="24"/>
          <w:lang w:val="en-US" w:eastAsia="zh-CN"/>
        </w:rPr>
        <w:t>；</w:t>
      </w:r>
      <w:r>
        <w:rPr>
          <w:rFonts w:hint="default" w:ascii="宋体" w:hAnsi="宋体" w:cs="宋体"/>
          <w:sz w:val="24"/>
          <w:szCs w:val="24"/>
          <w:lang w:val="en-US" w:eastAsia="zh-CN"/>
        </w:rPr>
        <w:t>验收标准</w:t>
      </w:r>
      <w:r>
        <w:rPr>
          <w:rFonts w:hint="eastAsia" w:ascii="宋体" w:hAnsi="宋体" w:cs="宋体"/>
          <w:sz w:val="24"/>
          <w:szCs w:val="24"/>
          <w:lang w:val="en-US" w:eastAsia="zh-CN"/>
        </w:rPr>
        <w:t>：</w:t>
      </w:r>
      <w:r>
        <w:rPr>
          <w:rFonts w:hint="default" w:ascii="宋体" w:hAnsi="宋体" w:cs="宋体"/>
          <w:sz w:val="24"/>
          <w:szCs w:val="24"/>
          <w:lang w:val="en-US" w:eastAsia="zh-CN"/>
        </w:rPr>
        <w:t>符合全国灭鼠标准</w:t>
      </w:r>
      <w:r>
        <w:rPr>
          <w:rFonts w:hint="eastAsia" w:ascii="宋体" w:hAnsi="宋体" w:cs="宋体"/>
          <w:sz w:val="24"/>
          <w:szCs w:val="24"/>
          <w:lang w:val="en-US" w:eastAsia="zh-CN"/>
        </w:rPr>
        <w:t>（</w:t>
      </w:r>
      <w:r>
        <w:rPr>
          <w:rFonts w:hint="default" w:ascii="宋体" w:hAnsi="宋体" w:cs="宋体"/>
          <w:sz w:val="24"/>
          <w:szCs w:val="24"/>
          <w:lang w:val="en-US" w:eastAsia="zh-CN"/>
        </w:rPr>
        <w:t>全爱卫发</w:t>
      </w:r>
      <w:r>
        <w:rPr>
          <w:rFonts w:hint="eastAsia" w:ascii="宋体" w:hAnsi="宋体" w:cs="宋体"/>
          <w:sz w:val="24"/>
          <w:szCs w:val="24"/>
          <w:lang w:val="en-US" w:eastAsia="zh-CN"/>
        </w:rPr>
        <w:t>〔1997〕5号）</w:t>
      </w:r>
      <w:r>
        <w:rPr>
          <w:rFonts w:hint="default" w:ascii="宋体" w:hAnsi="宋体" w:cs="宋体"/>
          <w:sz w:val="24"/>
          <w:szCs w:val="24"/>
          <w:lang w:val="en-US" w:eastAsia="zh-CN"/>
        </w:rPr>
        <w:t>，如有最新法律法规及规范标准，以最新规定为准)</w:t>
      </w:r>
      <w:r>
        <w:rPr>
          <w:rFonts w:hint="eastAsia" w:ascii="宋体" w:hAnsi="宋体" w:cs="宋体"/>
          <w:sz w:val="24"/>
          <w:szCs w:val="24"/>
          <w:lang w:val="en-US" w:eastAsia="zh-CN"/>
        </w:rPr>
        <w:t>。</w:t>
      </w:r>
    </w:p>
    <w:p w14:paraId="4001B3C5">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b）</w:t>
      </w:r>
      <w:r>
        <w:rPr>
          <w:rFonts w:hint="default" w:ascii="宋体" w:hAnsi="宋体" w:cs="宋体"/>
          <w:sz w:val="24"/>
          <w:szCs w:val="24"/>
          <w:lang w:val="en-US" w:eastAsia="zh-CN"/>
        </w:rPr>
        <w:t>乙方在本协议约定的范围内对甲方明确指定的现场进行检查、预防、控制虫害蔓延</w:t>
      </w:r>
      <w:r>
        <w:rPr>
          <w:rFonts w:hint="eastAsia" w:ascii="宋体" w:hAnsi="宋体" w:cs="宋体"/>
          <w:sz w:val="24"/>
          <w:szCs w:val="24"/>
          <w:lang w:val="en-US" w:eastAsia="zh-CN"/>
        </w:rPr>
        <w:t>；</w:t>
      </w:r>
      <w:r>
        <w:rPr>
          <w:rFonts w:hint="default" w:ascii="宋体" w:hAnsi="宋体" w:cs="宋体"/>
          <w:sz w:val="24"/>
          <w:szCs w:val="24"/>
          <w:lang w:val="en-US" w:eastAsia="zh-CN"/>
        </w:rPr>
        <w:t>发现问题及时处理，确保质量</w:t>
      </w:r>
      <w:r>
        <w:rPr>
          <w:rFonts w:hint="eastAsia" w:ascii="宋体" w:hAnsi="宋体" w:cs="宋体"/>
          <w:sz w:val="24"/>
          <w:szCs w:val="24"/>
          <w:lang w:val="en-US" w:eastAsia="zh-CN"/>
        </w:rPr>
        <w:t>；</w:t>
      </w:r>
      <w:r>
        <w:rPr>
          <w:rFonts w:hint="default" w:ascii="宋体" w:hAnsi="宋体" w:cs="宋体"/>
          <w:sz w:val="24"/>
          <w:szCs w:val="24"/>
          <w:lang w:val="en-US" w:eastAsia="zh-CN"/>
        </w:rPr>
        <w:t>有效控制“四害”密度及危害，使“四害”密度在国家标准和甲方各项认证标准之内。</w:t>
      </w:r>
    </w:p>
    <w:p w14:paraId="3D57A0BB">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C）</w:t>
      </w:r>
      <w:r>
        <w:rPr>
          <w:rFonts w:hint="default" w:ascii="宋体" w:hAnsi="宋体" w:cs="宋体"/>
          <w:sz w:val="24"/>
          <w:szCs w:val="24"/>
          <w:lang w:val="en-US" w:eastAsia="zh-CN"/>
        </w:rPr>
        <w:t>乙方有义务配合甲方对发现的其他有害生物进行现场检查、鉴别，分析虫害来源，提供相应的解决方案。</w:t>
      </w:r>
    </w:p>
    <w:p w14:paraId="35A96D9F">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d）</w:t>
      </w:r>
      <w:r>
        <w:rPr>
          <w:rFonts w:hint="default" w:ascii="宋体" w:hAnsi="宋体" w:cs="宋体"/>
          <w:sz w:val="24"/>
          <w:szCs w:val="24"/>
          <w:lang w:val="en-US" w:eastAsia="zh-CN"/>
        </w:rPr>
        <w:t>乙方在本协议服务期限内，为甲方相关人员组织一次有害生物控制培训，帮助甲方相关工作人员</w:t>
      </w:r>
      <w:r>
        <w:rPr>
          <w:rFonts w:hint="eastAsia" w:ascii="宋体" w:hAnsi="宋体" w:cs="宋体"/>
          <w:sz w:val="24"/>
          <w:szCs w:val="24"/>
          <w:lang w:val="en-US" w:eastAsia="zh-CN"/>
        </w:rPr>
        <w:t>增强</w:t>
      </w:r>
      <w:r>
        <w:rPr>
          <w:rFonts w:hint="default" w:ascii="宋体" w:hAnsi="宋体" w:cs="宋体"/>
          <w:sz w:val="24"/>
          <w:szCs w:val="24"/>
          <w:lang w:val="en-US" w:eastAsia="zh-CN"/>
        </w:rPr>
        <w:t>除四害防范意识，并针对甲方卫生基础设施和防四害设施的实际情况提出改进建议</w:t>
      </w:r>
      <w:r>
        <w:rPr>
          <w:rFonts w:hint="eastAsia" w:ascii="宋体" w:hAnsi="宋体" w:cs="宋体"/>
          <w:sz w:val="24"/>
          <w:szCs w:val="24"/>
          <w:lang w:val="en-US" w:eastAsia="zh-CN"/>
        </w:rPr>
        <w:t>；</w:t>
      </w:r>
    </w:p>
    <w:p w14:paraId="1C666B99">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E）</w:t>
      </w:r>
      <w:r>
        <w:rPr>
          <w:rFonts w:hint="default" w:ascii="宋体" w:hAnsi="宋体" w:cs="宋体"/>
          <w:sz w:val="24"/>
          <w:szCs w:val="24"/>
          <w:lang w:val="en-US" w:eastAsia="zh-CN"/>
        </w:rPr>
        <w:t>乙方自行负责组织人力、必要的劳动工具以及劳动防护用品完成承包范围内的服务工作</w:t>
      </w:r>
      <w:r>
        <w:rPr>
          <w:rFonts w:hint="eastAsia" w:ascii="宋体" w:hAnsi="宋体" w:cs="宋体"/>
          <w:sz w:val="24"/>
          <w:szCs w:val="24"/>
          <w:lang w:val="en-US" w:eastAsia="zh-CN"/>
        </w:rPr>
        <w:t>；</w:t>
      </w:r>
    </w:p>
    <w:p w14:paraId="4DC3662D">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f）</w:t>
      </w:r>
      <w:r>
        <w:rPr>
          <w:rFonts w:hint="default" w:ascii="宋体" w:hAnsi="宋体" w:cs="宋体"/>
          <w:sz w:val="24"/>
          <w:szCs w:val="24"/>
          <w:lang w:val="en-US" w:eastAsia="zh-CN"/>
        </w:rPr>
        <w:t>乙方应依法与其员工订立书面劳动合同、缴纳社会保险等，依法履行用人单位义务。甲方有权对乙方提供消杀服务人员的劳动用工情况进行核验，若乙方未按约定办理，甲方有权拒绝乙方提供服务，因此导致乙方未按合同约定提供服务的由乙方承担违约责任</w:t>
      </w:r>
      <w:r>
        <w:rPr>
          <w:rFonts w:hint="eastAsia" w:ascii="宋体" w:hAnsi="宋体" w:cs="宋体"/>
          <w:sz w:val="24"/>
          <w:szCs w:val="24"/>
          <w:lang w:val="en-US" w:eastAsia="zh-CN"/>
        </w:rPr>
        <w:t>；</w:t>
      </w:r>
    </w:p>
    <w:p w14:paraId="21C4AA8E">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G）</w:t>
      </w:r>
      <w:r>
        <w:rPr>
          <w:rFonts w:hint="default" w:ascii="宋体" w:hAnsi="宋体" w:cs="宋体"/>
          <w:sz w:val="24"/>
          <w:szCs w:val="24"/>
          <w:lang w:val="en-US" w:eastAsia="zh-CN"/>
        </w:rPr>
        <w:t>乙方提供有害生物消杀服务的员工具备从业资格，如《有害生9物防制员》证等</w:t>
      </w:r>
      <w:r>
        <w:rPr>
          <w:rFonts w:hint="eastAsia" w:ascii="宋体" w:hAnsi="宋体" w:cs="宋体"/>
          <w:sz w:val="24"/>
          <w:szCs w:val="24"/>
          <w:lang w:val="en-US" w:eastAsia="zh-CN"/>
        </w:rPr>
        <w:t>；</w:t>
      </w:r>
    </w:p>
    <w:p w14:paraId="3F2DCE26">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h）</w:t>
      </w:r>
      <w:r>
        <w:rPr>
          <w:rFonts w:hint="default" w:ascii="宋体" w:hAnsi="宋体" w:cs="宋体"/>
          <w:sz w:val="24"/>
          <w:szCs w:val="24"/>
          <w:lang w:val="en-US" w:eastAsia="zh-CN"/>
        </w:rPr>
        <w:t>乙方使用各类杀虫剂或其他药剂前，应做好对人身、设备、工具的污染和中毒的预防措施，用药后将所有设备、工具彻底清洗，消除污染</w:t>
      </w:r>
      <w:r>
        <w:rPr>
          <w:rFonts w:hint="eastAsia" w:ascii="宋体" w:hAnsi="宋体" w:cs="宋体"/>
          <w:sz w:val="24"/>
          <w:szCs w:val="24"/>
          <w:lang w:val="en-US" w:eastAsia="zh-CN"/>
        </w:rPr>
        <w:t>；</w:t>
      </w:r>
    </w:p>
    <w:p w14:paraId="5770F136">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i）</w:t>
      </w:r>
      <w:r>
        <w:rPr>
          <w:rFonts w:hint="default" w:ascii="宋体" w:hAnsi="宋体" w:cs="宋体"/>
          <w:sz w:val="24"/>
          <w:szCs w:val="24"/>
          <w:lang w:val="en-US" w:eastAsia="zh-CN"/>
        </w:rPr>
        <w:t>有毒有害物管理</w:t>
      </w:r>
      <w:r>
        <w:rPr>
          <w:rFonts w:hint="eastAsia" w:ascii="宋体" w:hAnsi="宋体" w:cs="宋体"/>
          <w:sz w:val="24"/>
          <w:szCs w:val="24"/>
          <w:lang w:val="en-US" w:eastAsia="zh-CN"/>
        </w:rPr>
        <w:t>：</w:t>
      </w:r>
    </w:p>
    <w:p w14:paraId="404EEC82">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（1）</w:t>
      </w:r>
      <w:r>
        <w:rPr>
          <w:rFonts w:hint="default" w:ascii="宋体" w:hAnsi="宋体" w:cs="宋体"/>
          <w:sz w:val="24"/>
          <w:szCs w:val="24"/>
          <w:lang w:val="en-US" w:eastAsia="zh-CN"/>
        </w:rPr>
        <w:t>乙方自备的清洗剂、消毒剂、杀虫剂以及其他有毒有害物品，均应有固定包装，并在明显处标示“有毒品”字样，贮存于专门库房或柜橱内，加锁并由专人负责保管，建立保管制度</w:t>
      </w:r>
      <w:r>
        <w:rPr>
          <w:rFonts w:hint="eastAsia" w:ascii="宋体" w:hAnsi="宋体" w:cs="宋体"/>
          <w:sz w:val="24"/>
          <w:szCs w:val="24"/>
          <w:lang w:val="en-US" w:eastAsia="zh-CN"/>
        </w:rPr>
        <w:t>；</w:t>
      </w:r>
      <w:r>
        <w:rPr>
          <w:rFonts w:hint="default" w:ascii="宋体" w:hAnsi="宋体" w:cs="宋体"/>
          <w:sz w:val="24"/>
          <w:szCs w:val="24"/>
          <w:lang w:val="en-US" w:eastAsia="zh-CN"/>
        </w:rPr>
        <w:t>张贴相关警示标识，以防有人误食投放药物等严重后果。若因乙方消杀行为导致人畜受到伤害的，由乙方负责一切后果</w:t>
      </w:r>
      <w:r>
        <w:rPr>
          <w:rFonts w:hint="eastAsia" w:ascii="宋体" w:hAnsi="宋体" w:cs="宋体"/>
          <w:sz w:val="24"/>
          <w:szCs w:val="24"/>
          <w:lang w:val="en-US" w:eastAsia="zh-CN"/>
        </w:rPr>
        <w:t>；</w:t>
      </w:r>
    </w:p>
    <w:p w14:paraId="0467CC43">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（2）</w:t>
      </w:r>
      <w:r>
        <w:rPr>
          <w:rFonts w:hint="default" w:ascii="宋体" w:hAnsi="宋体" w:cs="宋体"/>
          <w:sz w:val="24"/>
          <w:szCs w:val="24"/>
          <w:lang w:val="en-US" w:eastAsia="zh-CN"/>
        </w:rPr>
        <w:t>使用时应由经过培训的人员按照使用方法进行，防止污染和人身中毒</w:t>
      </w:r>
      <w:r>
        <w:rPr>
          <w:rFonts w:hint="eastAsia" w:ascii="宋体" w:hAnsi="宋体" w:cs="宋体"/>
          <w:sz w:val="24"/>
          <w:szCs w:val="24"/>
          <w:lang w:val="en-US" w:eastAsia="zh-CN"/>
        </w:rPr>
        <w:t>；</w:t>
      </w:r>
    </w:p>
    <w:p w14:paraId="3190E8AA">
      <w:pPr>
        <w:spacing w:line="420" w:lineRule="exact"/>
        <w:rPr>
          <w:rFonts w:hint="default" w:ascii="宋体" w:hAnsi="宋体" w:cs="宋体"/>
          <w:sz w:val="24"/>
          <w:szCs w:val="24"/>
          <w:lang w:val="en-US" w:eastAsia="zh-CN"/>
        </w:rPr>
      </w:pPr>
      <w:r>
        <w:rPr>
          <w:rFonts w:hint="eastAsia" w:ascii="宋体" w:hAnsi="宋体" w:cs="宋体"/>
          <w:sz w:val="24"/>
          <w:szCs w:val="24"/>
          <w:lang w:val="en-US" w:eastAsia="zh-CN"/>
        </w:rPr>
        <w:t>（3）</w:t>
      </w:r>
      <w:r>
        <w:rPr>
          <w:rFonts w:hint="default" w:ascii="宋体" w:hAnsi="宋体" w:cs="宋体"/>
          <w:sz w:val="24"/>
          <w:szCs w:val="24"/>
          <w:lang w:val="en-US" w:eastAsia="zh-CN"/>
        </w:rPr>
        <w:t>乙方所使用的药物必须合格有效，使用符合国家规定允许范围内的厂区适用的药物。化学性质稳定、高效低毒、环保、无强异味，对甲方生产材料无污染。</w:t>
      </w:r>
    </w:p>
    <w:p w14:paraId="2A3934C3">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sz w:val="24"/>
          <w:szCs w:val="24"/>
          <w:lang w:val="en-US" w:eastAsia="zh-CN" w:bidi="ar"/>
        </w:rPr>
      </w:pPr>
      <w:r>
        <w:rPr>
          <w:rFonts w:hint="eastAsia" w:ascii="宋体" w:hAnsi="宋体" w:cs="宋体"/>
          <w:b/>
          <w:sz w:val="24"/>
          <w:szCs w:val="24"/>
          <w:lang w:val="en-US" w:eastAsia="zh-CN" w:bidi="ar"/>
        </w:rPr>
        <w:t>四、合同期限</w:t>
      </w:r>
    </w:p>
    <w:p w14:paraId="61BB4F66">
      <w:pPr>
        <w:spacing w:line="360" w:lineRule="auto"/>
        <w:ind w:firstLine="480" w:firstLineChars="200"/>
        <w:rPr>
          <w:rFonts w:ascii="宋体" w:hAnsi="宋体" w:cs="宋体"/>
          <w:sz w:val="24"/>
          <w:szCs w:val="24"/>
          <w:lang w:bidi="ar"/>
        </w:rPr>
      </w:pPr>
      <w:r>
        <w:rPr>
          <w:rFonts w:hint="eastAsia" w:ascii="宋体" w:hAnsi="宋体" w:cs="宋体"/>
          <w:sz w:val="24"/>
          <w:szCs w:val="24"/>
          <w:lang w:eastAsia="zh-CN" w:bidi="ar"/>
        </w:rPr>
        <w:t>1.</w:t>
      </w:r>
      <w:r>
        <w:rPr>
          <w:rFonts w:hint="eastAsia" w:ascii="宋体" w:hAnsi="宋体" w:cs="宋体"/>
          <w:sz w:val="24"/>
          <w:szCs w:val="24"/>
          <w:lang w:bidi="ar"/>
        </w:rPr>
        <w:t>自合同生效日起</w:t>
      </w:r>
      <w:r>
        <w:rPr>
          <w:rFonts w:ascii="宋体" w:hAnsi="宋体" w:cs="宋体"/>
          <w:sz w:val="24"/>
          <w:szCs w:val="24"/>
          <w:lang w:bidi="ar"/>
        </w:rPr>
        <w:t>10</w:t>
      </w:r>
      <w:r>
        <w:rPr>
          <w:rFonts w:hint="eastAsia" w:ascii="宋体" w:hAnsi="宋体" w:cs="宋体"/>
          <w:sz w:val="24"/>
          <w:szCs w:val="24"/>
          <w:lang w:bidi="ar"/>
        </w:rPr>
        <w:t>天内必须具备</w:t>
      </w:r>
      <w:r>
        <w:rPr>
          <w:rFonts w:hint="eastAsia" w:ascii="宋体" w:hAnsi="宋体" w:cs="宋体"/>
          <w:sz w:val="24"/>
          <w:szCs w:val="24"/>
          <w:lang w:val="en-US" w:eastAsia="zh-CN" w:bidi="ar"/>
        </w:rPr>
        <w:t>服务</w:t>
      </w:r>
      <w:r>
        <w:rPr>
          <w:rFonts w:hint="eastAsia" w:ascii="宋体" w:hAnsi="宋体" w:cs="宋体"/>
          <w:sz w:val="24"/>
          <w:szCs w:val="24"/>
          <w:lang w:bidi="ar"/>
        </w:rPr>
        <w:t>条件。</w:t>
      </w:r>
    </w:p>
    <w:p w14:paraId="226BF7D8">
      <w:pPr>
        <w:spacing w:line="360" w:lineRule="auto"/>
        <w:ind w:firstLine="480" w:firstLineChars="200"/>
        <w:rPr>
          <w:rFonts w:ascii="宋体" w:hAnsi="宋体" w:cs="宋体"/>
          <w:sz w:val="24"/>
          <w:szCs w:val="24"/>
          <w:lang w:bidi="ar"/>
        </w:rPr>
      </w:pPr>
      <w:r>
        <w:rPr>
          <w:rFonts w:hint="eastAsia" w:ascii="宋体" w:hAnsi="宋体" w:cs="宋体"/>
          <w:sz w:val="24"/>
          <w:szCs w:val="24"/>
          <w:lang w:eastAsia="zh-CN" w:bidi="ar"/>
        </w:rPr>
        <w:t>2.</w:t>
      </w:r>
      <w:r>
        <w:rPr>
          <w:rFonts w:hint="eastAsia" w:ascii="宋体" w:hAnsi="宋体" w:cs="宋体"/>
          <w:sz w:val="24"/>
          <w:szCs w:val="24"/>
          <w:lang w:val="en-US" w:eastAsia="zh-CN" w:bidi="ar"/>
        </w:rPr>
        <w:t>服务期限：</w:t>
      </w:r>
      <w:r>
        <w:rPr>
          <w:rFonts w:hint="eastAsia" w:ascii="宋体" w:hAnsi="宋体" w:cs="宋体"/>
          <w:sz w:val="24"/>
          <w:szCs w:val="24"/>
          <w:lang w:bidi="ar"/>
        </w:rPr>
        <w:t>自</w:t>
      </w:r>
      <w:r>
        <w:rPr>
          <w:rFonts w:hint="eastAsia" w:ascii="宋体" w:hAnsi="宋体" w:cs="宋体"/>
          <w:color w:val="000000" w:themeColor="text1"/>
          <w:sz w:val="24"/>
          <w:szCs w:val="24"/>
          <w:lang w:val="en-US" w:eastAsia="zh-CN" w:bidi="ar"/>
          <w14:textFill>
            <w14:solidFill>
              <w14:schemeClr w14:val="tx1"/>
            </w14:solidFill>
          </w14:textFill>
        </w:rPr>
        <w:t>2026年6月1日</w:t>
      </w:r>
      <w:r>
        <w:rPr>
          <w:rFonts w:hint="eastAsia" w:ascii="宋体" w:hAnsi="宋体" w:cs="宋体"/>
          <w:color w:val="000000" w:themeColor="text1"/>
          <w:sz w:val="24"/>
          <w:szCs w:val="24"/>
          <w:lang w:bidi="ar"/>
          <w14:textFill>
            <w14:solidFill>
              <w14:schemeClr w14:val="tx1"/>
            </w14:solidFill>
          </w14:textFill>
        </w:rPr>
        <w:t>起</w:t>
      </w:r>
      <w:r>
        <w:rPr>
          <w:rFonts w:hint="eastAsia" w:ascii="宋体" w:hAnsi="宋体" w:cs="宋体"/>
          <w:color w:val="000000" w:themeColor="text1"/>
          <w:sz w:val="24"/>
          <w:szCs w:val="24"/>
          <w:lang w:val="en-US" w:eastAsia="zh-CN" w:bidi="ar"/>
          <w14:textFill>
            <w14:solidFill>
              <w14:schemeClr w14:val="tx1"/>
            </w14:solidFill>
          </w14:textFill>
        </w:rPr>
        <w:t>至2029年5月31日</w:t>
      </w:r>
    </w:p>
    <w:p w14:paraId="7FEEE6D4">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ascii="宋体" w:hAnsi="宋体" w:cs="宋体"/>
          <w:b/>
          <w:sz w:val="24"/>
          <w:szCs w:val="24"/>
          <w:lang w:bidi="ar"/>
        </w:rPr>
      </w:pPr>
      <w:r>
        <w:rPr>
          <w:rFonts w:hint="eastAsia" w:ascii="宋体" w:hAnsi="宋体" w:cs="宋体"/>
          <w:b/>
          <w:sz w:val="24"/>
          <w:szCs w:val="24"/>
          <w:lang w:val="en-US" w:eastAsia="zh-CN" w:bidi="ar"/>
        </w:rPr>
        <w:t>五</w:t>
      </w:r>
      <w:r>
        <w:rPr>
          <w:rFonts w:hint="eastAsia" w:ascii="宋体" w:hAnsi="宋体" w:cs="宋体"/>
          <w:b/>
          <w:sz w:val="24"/>
          <w:szCs w:val="24"/>
          <w:lang w:bidi="ar"/>
        </w:rPr>
        <w:t>、结算与支付方式</w:t>
      </w:r>
    </w:p>
    <w:p w14:paraId="090D735D">
      <w:pPr>
        <w:spacing w:line="360" w:lineRule="auto"/>
        <w:ind w:firstLine="480" w:firstLineChars="200"/>
        <w:rPr>
          <w:rFonts w:hint="eastAsia" w:ascii="宋体" w:hAnsi="宋体" w:cs="宋体"/>
          <w:sz w:val="24"/>
          <w:szCs w:val="24"/>
          <w:lang w:bidi="ar"/>
        </w:rPr>
      </w:pPr>
      <w:r>
        <w:rPr>
          <w:rFonts w:hint="eastAsia" w:ascii="宋体" w:hAnsi="宋体" w:cs="宋体"/>
          <w:sz w:val="24"/>
          <w:szCs w:val="24"/>
          <w:lang w:eastAsia="zh-CN" w:bidi="ar"/>
        </w:rPr>
        <w:t>1.</w:t>
      </w:r>
      <w:r>
        <w:rPr>
          <w:rFonts w:hint="eastAsia" w:ascii="宋体" w:hAnsi="宋体" w:cs="宋体"/>
          <w:sz w:val="24"/>
          <w:szCs w:val="24"/>
          <w:lang w:bidi="ar"/>
        </w:rPr>
        <w:t>无预付款。</w:t>
      </w:r>
    </w:p>
    <w:p w14:paraId="64934A07">
      <w:pPr>
        <w:spacing w:line="360" w:lineRule="auto"/>
        <w:ind w:firstLine="480" w:firstLineChars="200"/>
        <w:rPr>
          <w:rFonts w:hint="eastAsia" w:ascii="宋体" w:hAnsi="宋体" w:cs="宋体"/>
          <w:sz w:val="24"/>
          <w:szCs w:val="24"/>
          <w:lang w:bidi="ar"/>
        </w:rPr>
      </w:pPr>
      <w:r>
        <w:rPr>
          <w:rFonts w:hint="eastAsia" w:ascii="宋体" w:hAnsi="宋体" w:cs="宋体"/>
          <w:sz w:val="24"/>
          <w:szCs w:val="24"/>
          <w:lang w:eastAsia="zh-CN" w:bidi="ar"/>
        </w:rPr>
        <w:t>2.</w:t>
      </w:r>
      <w:r>
        <w:rPr>
          <w:rFonts w:hint="eastAsia" w:ascii="宋体" w:hAnsi="宋体" w:cs="宋体"/>
          <w:sz w:val="24"/>
          <w:szCs w:val="24"/>
          <w:lang w:bidi="ar"/>
        </w:rPr>
        <w:t>每1年付款一次，合同履行1年后的一个月之内支付前1年的费用。</w:t>
      </w:r>
    </w:p>
    <w:p w14:paraId="410ABA54">
      <w:pPr>
        <w:spacing w:line="360" w:lineRule="auto"/>
        <w:ind w:firstLine="480" w:firstLineChars="200"/>
        <w:rPr>
          <w:rFonts w:hint="eastAsia" w:ascii="宋体" w:hAnsi="宋体" w:cs="宋体"/>
          <w:sz w:val="24"/>
          <w:szCs w:val="24"/>
          <w:lang w:bidi="ar"/>
        </w:rPr>
      </w:pPr>
      <w:r>
        <w:rPr>
          <w:rFonts w:hint="eastAsia" w:ascii="宋体" w:hAnsi="宋体" w:cs="宋体"/>
          <w:sz w:val="24"/>
          <w:szCs w:val="24"/>
          <w:lang w:eastAsia="zh-CN" w:bidi="ar"/>
        </w:rPr>
        <w:t>3.</w:t>
      </w:r>
      <w:r>
        <w:rPr>
          <w:rFonts w:hint="eastAsia" w:ascii="宋体" w:hAnsi="宋体" w:cs="宋体"/>
          <w:sz w:val="24"/>
          <w:szCs w:val="24"/>
          <w:lang w:bidi="ar"/>
        </w:rPr>
        <w:t>付款前，服务方必须出具合格的增值税专用发票。</w:t>
      </w:r>
    </w:p>
    <w:p w14:paraId="131A122F">
      <w:pPr>
        <w:spacing w:line="360" w:lineRule="auto"/>
        <w:ind w:firstLine="480" w:firstLineChars="200"/>
        <w:rPr>
          <w:rFonts w:ascii="宋体" w:hAnsi="宋体" w:cs="宋体"/>
          <w:sz w:val="24"/>
          <w:szCs w:val="24"/>
          <w:lang w:bidi="ar"/>
        </w:rPr>
      </w:pPr>
      <w:r>
        <w:rPr>
          <w:rFonts w:hint="eastAsia" w:ascii="宋体" w:hAnsi="宋体" w:cs="宋体"/>
          <w:sz w:val="24"/>
          <w:szCs w:val="24"/>
          <w:lang w:eastAsia="zh-CN" w:bidi="ar"/>
        </w:rPr>
        <w:t>4.</w:t>
      </w:r>
      <w:r>
        <w:rPr>
          <w:rFonts w:hint="eastAsia" w:ascii="宋体" w:hAnsi="宋体" w:cs="宋体"/>
          <w:sz w:val="24"/>
          <w:szCs w:val="24"/>
          <w:lang w:bidi="ar"/>
        </w:rPr>
        <w:t>税率条款：若合同期内因政策原因增值税发生变化，合同不含税金额部分保持不变，只调整增值税税额部分，乙方所开具发票的含税金额与甲方付款总额保持一致。</w:t>
      </w:r>
    </w:p>
    <w:p w14:paraId="3AEE841F">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ascii="宋体" w:hAnsi="宋体" w:cs="宋体"/>
          <w:b/>
          <w:sz w:val="24"/>
          <w:szCs w:val="24"/>
          <w:lang w:bidi="ar"/>
        </w:rPr>
      </w:pPr>
      <w:r>
        <w:rPr>
          <w:rFonts w:hint="eastAsia" w:ascii="宋体" w:hAnsi="宋体" w:cs="宋体"/>
          <w:b/>
          <w:sz w:val="24"/>
          <w:szCs w:val="24"/>
          <w:lang w:val="en-US" w:eastAsia="zh-CN" w:bidi="ar"/>
        </w:rPr>
        <w:t>六</w:t>
      </w:r>
      <w:r>
        <w:rPr>
          <w:rFonts w:hint="eastAsia" w:ascii="宋体" w:hAnsi="宋体" w:cs="宋体"/>
          <w:b/>
          <w:sz w:val="24"/>
          <w:szCs w:val="24"/>
          <w:lang w:bidi="ar"/>
        </w:rPr>
        <w:t>、不可抗力</w:t>
      </w:r>
    </w:p>
    <w:p w14:paraId="01740CDB">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cs="宋体"/>
          <w:color w:val="000000"/>
          <w:kern w:val="2"/>
          <w:sz w:val="24"/>
          <w:szCs w:val="24"/>
        </w:rPr>
      </w:pPr>
      <w:r>
        <w:rPr>
          <w:rFonts w:hint="eastAsia" w:ascii="宋体" w:hAnsi="宋体" w:cs="宋体"/>
          <w:color w:val="000000"/>
          <w:kern w:val="2"/>
          <w:sz w:val="24"/>
          <w:szCs w:val="24"/>
          <w:highlight w:val="white"/>
          <w:lang w:eastAsia="zh-CN"/>
        </w:rPr>
        <w:t>1.</w:t>
      </w:r>
      <w:r>
        <w:rPr>
          <w:rFonts w:hint="eastAsia" w:ascii="宋体" w:hAnsi="宋体" w:cs="宋体"/>
          <w:color w:val="000000"/>
          <w:kern w:val="2"/>
          <w:sz w:val="24"/>
          <w:szCs w:val="24"/>
          <w:highlight w:val="white"/>
        </w:rPr>
        <w:t>本合同所称不可抗力是指不能预见、不能克服、不能避免并对一方的当事人造成重大影响的客观事件，包括自然灾害如特大洪灾、地震等以及社会事件如战争、动乱等。为避免疑问，因买卖双方自身原因或者各自供应商、客户等原因导致的本合同不能履行，不构成一项不可抗力。</w:t>
      </w:r>
    </w:p>
    <w:p w14:paraId="1E46F9D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cs="宋体"/>
          <w:color w:val="000000"/>
          <w:kern w:val="2"/>
          <w:sz w:val="24"/>
          <w:szCs w:val="24"/>
        </w:rPr>
      </w:pPr>
      <w:r>
        <w:rPr>
          <w:rFonts w:hint="eastAsia" w:ascii="宋体" w:hAnsi="宋体" w:cs="宋体"/>
          <w:color w:val="000000"/>
          <w:kern w:val="2"/>
          <w:sz w:val="24"/>
          <w:szCs w:val="24"/>
          <w:highlight w:val="white"/>
          <w:lang w:eastAsia="zh-CN"/>
        </w:rPr>
        <w:t>2.</w:t>
      </w:r>
      <w:r>
        <w:rPr>
          <w:rFonts w:hint="eastAsia" w:ascii="宋体" w:hAnsi="宋体" w:cs="宋体"/>
          <w:color w:val="000000"/>
          <w:kern w:val="2"/>
          <w:sz w:val="24"/>
          <w:szCs w:val="24"/>
          <w:highlight w:val="white"/>
        </w:rPr>
        <w:t>当事人一方因不可抗力不能履行合同的，应当及时通知对方，以减轻可能给对方造成的损失，并应当在合理期限内提供证明。</w:t>
      </w:r>
    </w:p>
    <w:p w14:paraId="35848EC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ascii="宋体" w:hAnsi="宋体" w:cs="宋体"/>
          <w:color w:val="000000"/>
          <w:kern w:val="2"/>
          <w:sz w:val="24"/>
          <w:szCs w:val="24"/>
        </w:rPr>
      </w:pPr>
      <w:r>
        <w:rPr>
          <w:rFonts w:hint="eastAsia" w:ascii="宋体" w:hAnsi="宋体" w:cs="宋体"/>
          <w:color w:val="000000"/>
          <w:kern w:val="2"/>
          <w:sz w:val="24"/>
          <w:szCs w:val="24"/>
          <w:highlight w:val="white"/>
          <w:lang w:eastAsia="zh-CN"/>
        </w:rPr>
        <w:t>3.</w:t>
      </w:r>
      <w:r>
        <w:rPr>
          <w:rFonts w:hint="eastAsia" w:ascii="宋体" w:hAnsi="宋体" w:cs="宋体"/>
          <w:color w:val="000000"/>
          <w:kern w:val="2"/>
          <w:sz w:val="24"/>
          <w:szCs w:val="24"/>
          <w:highlight w:val="white"/>
        </w:rPr>
        <w:t>因不可抗力不能履行合同的，根据不可抗力的影响，部分或者全部免除责任，但法律另有规定的除外。当事人迟延履行后发生不可抗力的，不能免除责任。</w:t>
      </w:r>
    </w:p>
    <w:p w14:paraId="4C1B6742">
      <w:pPr>
        <w:spacing w:line="360" w:lineRule="auto"/>
        <w:ind w:firstLine="482" w:firstLineChars="200"/>
        <w:rPr>
          <w:rFonts w:hint="default" w:ascii="宋体" w:hAnsi="宋体" w:eastAsia="宋体" w:cs="宋体"/>
          <w:b/>
          <w:sz w:val="24"/>
          <w:szCs w:val="24"/>
          <w:lang w:val="en-US" w:eastAsia="zh-CN" w:bidi="ar"/>
        </w:rPr>
      </w:pPr>
      <w:r>
        <w:rPr>
          <w:rFonts w:hint="eastAsia" w:ascii="宋体" w:hAnsi="宋体" w:cs="宋体"/>
          <w:b/>
          <w:sz w:val="24"/>
          <w:szCs w:val="24"/>
          <w:lang w:val="en-US" w:eastAsia="zh-CN" w:bidi="ar"/>
        </w:rPr>
        <w:t>七</w:t>
      </w:r>
      <w:r>
        <w:rPr>
          <w:rFonts w:hint="eastAsia" w:ascii="宋体" w:hAnsi="宋体" w:cs="宋体"/>
          <w:b/>
          <w:sz w:val="24"/>
          <w:szCs w:val="24"/>
          <w:lang w:bidi="ar"/>
        </w:rPr>
        <w:t>、</w:t>
      </w:r>
      <w:r>
        <w:rPr>
          <w:rFonts w:hint="eastAsia" w:ascii="宋体" w:hAnsi="宋体" w:cs="宋体"/>
          <w:b/>
          <w:sz w:val="24"/>
          <w:szCs w:val="24"/>
          <w:lang w:val="en-US" w:eastAsia="zh-CN" w:bidi="ar"/>
        </w:rPr>
        <w:t>履约保证金</w:t>
      </w:r>
    </w:p>
    <w:p w14:paraId="370F44F9">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eastAsia="zh-CN" w:bidi="ar"/>
        </w:rPr>
        <w:t>1.</w:t>
      </w:r>
      <w:r>
        <w:rPr>
          <w:rFonts w:hint="eastAsia" w:ascii="宋体" w:hAnsi="宋体" w:cs="宋体"/>
          <w:b w:val="0"/>
          <w:bCs/>
          <w:sz w:val="24"/>
          <w:szCs w:val="24"/>
          <w:lang w:bidi="ar"/>
        </w:rPr>
        <w:t>乙方同意在本合同签订15日内一次性向甲方交付4000元的履约保证金，用于担保乙方全面履行本合同。乙方履约保证金在甲方留存期间，不计利息。在合同解除或终止，并清算完毕后，甲方应在30个工作日内将剩余的履约保证金不计息返还乙方。</w:t>
      </w:r>
    </w:p>
    <w:p w14:paraId="723BBEBC">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eastAsia="zh-CN" w:bidi="ar"/>
        </w:rPr>
        <w:t>2.</w:t>
      </w:r>
      <w:r>
        <w:rPr>
          <w:rFonts w:hint="eastAsia" w:ascii="宋体" w:hAnsi="宋体" w:cs="宋体"/>
          <w:b w:val="0"/>
          <w:bCs/>
          <w:sz w:val="24"/>
          <w:szCs w:val="24"/>
          <w:lang w:bidi="ar"/>
        </w:rPr>
        <w:t>若乙方未按本合同约定缴纳履约保证金，则甲方有权单方解除合同，并追究乙方履约保证金相当金额的违约金。若乙方违反本合同且依据本合同应向甲方支付违约金或赔偿损失，甲方有权从乙方的履约保证金中扣收违约金和损失赔偿</w:t>
      </w:r>
      <w:r>
        <w:rPr>
          <w:rFonts w:hint="eastAsia" w:ascii="宋体" w:hAnsi="宋体" w:cs="宋体"/>
          <w:b w:val="0"/>
          <w:bCs/>
          <w:sz w:val="24"/>
          <w:szCs w:val="24"/>
          <w:lang w:eastAsia="zh-CN" w:bidi="ar"/>
        </w:rPr>
        <w:t>；</w:t>
      </w:r>
      <w:r>
        <w:rPr>
          <w:rFonts w:hint="eastAsia" w:ascii="宋体" w:hAnsi="宋体" w:cs="宋体"/>
          <w:b w:val="0"/>
          <w:bCs/>
          <w:sz w:val="24"/>
          <w:szCs w:val="24"/>
          <w:lang w:bidi="ar"/>
        </w:rPr>
        <w:t>若因乙方违约行为导致履约保证金不足70%的，乙方应</w:t>
      </w:r>
      <w:r>
        <w:rPr>
          <w:rFonts w:hint="eastAsia" w:ascii="宋体" w:hAnsi="宋体" w:cs="宋体"/>
          <w:b w:val="0"/>
          <w:bCs/>
          <w:sz w:val="24"/>
          <w:szCs w:val="24"/>
          <w:lang w:eastAsia="zh-CN" w:bidi="ar"/>
        </w:rPr>
        <w:t>当在</w:t>
      </w:r>
      <w:r>
        <w:rPr>
          <w:rFonts w:hint="eastAsia" w:ascii="宋体" w:hAnsi="宋体" w:cs="宋体"/>
          <w:b w:val="0"/>
          <w:bCs/>
          <w:sz w:val="24"/>
          <w:szCs w:val="24"/>
          <w:lang w:bidi="ar"/>
        </w:rPr>
        <w:t>7日内补足，否则甲方有权解除本合同。</w:t>
      </w:r>
    </w:p>
    <w:p w14:paraId="44F4048B">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3.</w:t>
      </w:r>
      <w:r>
        <w:rPr>
          <w:rFonts w:hint="eastAsia" w:ascii="宋体" w:hAnsi="宋体" w:cs="宋体"/>
          <w:b w:val="0"/>
          <w:bCs/>
          <w:sz w:val="24"/>
          <w:szCs w:val="24"/>
          <w:lang w:bidi="ar"/>
        </w:rPr>
        <w:t>在协议期内，一方在合同期限内单方面终止履行本合同的，遵守本合同的一方可以要求违约方承担剩余服务合同期限所需服务费用的30%的违约金。如乙方提供的服务验收不合格，乙方应就每次验收不合格的服务承担本合同总价5%的违约金，并重新安排控虫灭鼠工作，直至达到本合同所约定的要求。乙方单次控虫灭鼠工作经甲方验收不合格</w:t>
      </w:r>
      <w:r>
        <w:rPr>
          <w:rFonts w:hint="eastAsia" w:ascii="宋体" w:hAnsi="宋体" w:cs="宋体"/>
          <w:b w:val="0"/>
          <w:bCs/>
          <w:sz w:val="24"/>
          <w:szCs w:val="24"/>
          <w:lang w:val="en-US" w:eastAsia="zh-CN" w:bidi="ar"/>
        </w:rPr>
        <w:t>10</w:t>
      </w:r>
      <w:r>
        <w:rPr>
          <w:rFonts w:hint="eastAsia" w:ascii="宋体" w:hAnsi="宋体" w:cs="宋体"/>
          <w:b w:val="0"/>
          <w:bCs/>
          <w:sz w:val="24"/>
          <w:szCs w:val="24"/>
          <w:lang w:bidi="ar"/>
        </w:rPr>
        <w:t>次及以上的，甲方有权单方解除合同且不承担违约责任。由于特殊情况</w:t>
      </w:r>
      <w:r>
        <w:rPr>
          <w:rFonts w:hint="eastAsia" w:ascii="宋体" w:hAnsi="宋体" w:cs="宋体"/>
          <w:b w:val="0"/>
          <w:bCs/>
          <w:sz w:val="24"/>
          <w:szCs w:val="24"/>
          <w:lang w:eastAsia="zh-CN" w:bidi="ar"/>
        </w:rPr>
        <w:t>（</w:t>
      </w:r>
      <w:r>
        <w:rPr>
          <w:rFonts w:hint="eastAsia" w:ascii="宋体" w:hAnsi="宋体" w:cs="宋体"/>
          <w:b w:val="0"/>
          <w:bCs/>
          <w:sz w:val="24"/>
          <w:szCs w:val="24"/>
          <w:lang w:bidi="ar"/>
        </w:rPr>
        <w:t>非乙方原因所致</w:t>
      </w:r>
      <w:r>
        <w:rPr>
          <w:rFonts w:hint="eastAsia" w:ascii="宋体" w:hAnsi="宋体" w:cs="宋体"/>
          <w:b w:val="0"/>
          <w:bCs/>
          <w:sz w:val="24"/>
          <w:szCs w:val="24"/>
          <w:lang w:eastAsia="zh-CN" w:bidi="ar"/>
        </w:rPr>
        <w:t>）</w:t>
      </w:r>
      <w:r>
        <w:rPr>
          <w:rFonts w:hint="eastAsia" w:ascii="宋体" w:hAnsi="宋体" w:cs="宋体"/>
          <w:b w:val="0"/>
          <w:bCs/>
          <w:sz w:val="24"/>
          <w:szCs w:val="24"/>
          <w:lang w:bidi="ar"/>
        </w:rPr>
        <w:t>造成服务拖延或验收不合格的，甲方应按实际情况调整服务时间和内容，乙方不承担违约责任。</w:t>
      </w:r>
    </w:p>
    <w:p w14:paraId="1973999C">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4.</w:t>
      </w:r>
      <w:r>
        <w:rPr>
          <w:rFonts w:hint="eastAsia" w:ascii="宋体" w:hAnsi="宋体" w:cs="宋体"/>
          <w:b w:val="0"/>
          <w:bCs/>
          <w:sz w:val="24"/>
          <w:szCs w:val="24"/>
          <w:lang w:bidi="ar"/>
        </w:rPr>
        <w:t>在协议期内，甲方每年会对乙方进行满意度调查考核，若考核分数低于80分，甲方有权向乙方发出书面通知，乙方应在接到甲方书面通知后一周内进行改进。若乙方没有及时响应或在改进后的满意度调查考核中仍未获得80分，甲方将有权单方终止合同。</w:t>
      </w:r>
    </w:p>
    <w:p w14:paraId="243DFA56">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5.</w:t>
      </w:r>
      <w:r>
        <w:rPr>
          <w:rFonts w:hint="eastAsia" w:ascii="宋体" w:hAnsi="宋体" w:cs="宋体"/>
          <w:b w:val="0"/>
          <w:bCs/>
          <w:sz w:val="24"/>
          <w:szCs w:val="24"/>
          <w:lang w:bidi="ar"/>
        </w:rPr>
        <w:t>如果服务因天气原因或其他特殊原因不能如期完成，乙方需同甲方协商，在获得甲方书面同意后另行尽快安排服务时间</w:t>
      </w:r>
      <w:r>
        <w:rPr>
          <w:rFonts w:hint="eastAsia" w:ascii="宋体" w:hAnsi="宋体" w:cs="宋体"/>
          <w:b w:val="0"/>
          <w:bCs/>
          <w:sz w:val="24"/>
          <w:szCs w:val="24"/>
          <w:lang w:eastAsia="zh-CN" w:bidi="ar"/>
        </w:rPr>
        <w:t>；</w:t>
      </w:r>
    </w:p>
    <w:p w14:paraId="53687A07">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6.</w:t>
      </w:r>
      <w:r>
        <w:rPr>
          <w:rFonts w:hint="eastAsia" w:ascii="宋体" w:hAnsi="宋体" w:cs="宋体"/>
          <w:b w:val="0"/>
          <w:bCs/>
          <w:sz w:val="24"/>
          <w:szCs w:val="24"/>
          <w:lang w:bidi="ar"/>
        </w:rPr>
        <w:t>如果甲方因故欲更改/取消已商定的服务时间，甲方应至少提前24小时通知乙方，另行商定服务时间</w:t>
      </w:r>
      <w:r>
        <w:rPr>
          <w:rFonts w:hint="eastAsia" w:ascii="宋体" w:hAnsi="宋体" w:cs="宋体"/>
          <w:b w:val="0"/>
          <w:bCs/>
          <w:sz w:val="24"/>
          <w:szCs w:val="24"/>
          <w:lang w:eastAsia="zh-CN" w:bidi="ar"/>
        </w:rPr>
        <w:t>；</w:t>
      </w:r>
    </w:p>
    <w:p w14:paraId="1AA63E9F">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7.</w:t>
      </w:r>
      <w:r>
        <w:rPr>
          <w:rFonts w:hint="eastAsia" w:ascii="宋体" w:hAnsi="宋体" w:cs="宋体"/>
          <w:b w:val="0"/>
          <w:bCs/>
          <w:sz w:val="24"/>
          <w:szCs w:val="24"/>
          <w:lang w:bidi="ar"/>
        </w:rPr>
        <w:t>乙方执行服务任务时，使用的物料及采取的方法将依照本地适用的法律法规</w:t>
      </w:r>
      <w:r>
        <w:rPr>
          <w:rFonts w:hint="eastAsia" w:ascii="宋体" w:hAnsi="宋体" w:cs="宋体"/>
          <w:b w:val="0"/>
          <w:bCs/>
          <w:sz w:val="24"/>
          <w:szCs w:val="24"/>
          <w:lang w:eastAsia="zh-CN" w:bidi="ar"/>
        </w:rPr>
        <w:t>；</w:t>
      </w:r>
      <w:r>
        <w:rPr>
          <w:rFonts w:hint="eastAsia" w:ascii="宋体" w:hAnsi="宋体" w:cs="宋体"/>
          <w:b w:val="0"/>
          <w:bCs/>
          <w:sz w:val="24"/>
          <w:szCs w:val="24"/>
          <w:lang w:bidi="ar"/>
        </w:rPr>
        <w:t>服务期间如发生安全事故的，由乙方承担所有责任。</w:t>
      </w:r>
    </w:p>
    <w:p w14:paraId="1B5828D7">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8.</w:t>
      </w:r>
      <w:r>
        <w:rPr>
          <w:rFonts w:hint="eastAsia" w:ascii="宋体" w:hAnsi="宋体" w:cs="宋体"/>
          <w:b w:val="0"/>
          <w:bCs/>
          <w:sz w:val="24"/>
          <w:szCs w:val="24"/>
          <w:lang w:bidi="ar"/>
        </w:rPr>
        <w:t>乙方指派专人负责履行、监督、落实合同，按要求组织施工，保证消杀质量和施工安全。</w:t>
      </w:r>
    </w:p>
    <w:p w14:paraId="2F53C626">
      <w:pPr>
        <w:spacing w:line="360" w:lineRule="auto"/>
        <w:ind w:firstLine="480" w:firstLineChars="200"/>
        <w:rPr>
          <w:rFonts w:hint="eastAsia" w:ascii="宋体" w:hAnsi="宋体" w:cs="宋体"/>
          <w:b w:val="0"/>
          <w:bCs/>
          <w:sz w:val="24"/>
          <w:szCs w:val="24"/>
          <w:lang w:bidi="ar"/>
        </w:rPr>
      </w:pPr>
      <w:r>
        <w:rPr>
          <w:rFonts w:hint="eastAsia" w:ascii="宋体" w:hAnsi="宋体" w:cs="宋体"/>
          <w:b w:val="0"/>
          <w:bCs/>
          <w:sz w:val="24"/>
          <w:szCs w:val="24"/>
          <w:lang w:val="en-US" w:eastAsia="zh-CN" w:bidi="ar"/>
        </w:rPr>
        <w:t>9.</w:t>
      </w:r>
      <w:r>
        <w:rPr>
          <w:rFonts w:hint="eastAsia" w:ascii="宋体" w:hAnsi="宋体" w:cs="宋体"/>
          <w:b w:val="0"/>
          <w:bCs/>
          <w:sz w:val="24"/>
          <w:szCs w:val="24"/>
          <w:lang w:bidi="ar"/>
        </w:rPr>
        <w:t>乙方有责任</w:t>
      </w:r>
      <w:r>
        <w:rPr>
          <w:rFonts w:hint="eastAsia" w:ascii="宋体" w:hAnsi="宋体" w:cs="宋体"/>
          <w:b w:val="0"/>
          <w:bCs/>
          <w:sz w:val="24"/>
          <w:szCs w:val="24"/>
          <w:lang w:eastAsia="zh-CN" w:bidi="ar"/>
        </w:rPr>
        <w:t>增强</w:t>
      </w:r>
      <w:r>
        <w:rPr>
          <w:rFonts w:hint="eastAsia" w:ascii="宋体" w:hAnsi="宋体" w:cs="宋体"/>
          <w:b w:val="0"/>
          <w:bCs/>
          <w:sz w:val="24"/>
          <w:szCs w:val="24"/>
          <w:lang w:bidi="ar"/>
        </w:rPr>
        <w:t>职工生产安全意识，施工过</w:t>
      </w:r>
      <w:r>
        <w:rPr>
          <w:rFonts w:hint="eastAsia" w:ascii="宋体" w:hAnsi="宋体" w:cs="宋体"/>
          <w:b w:val="0"/>
          <w:bCs/>
          <w:sz w:val="24"/>
          <w:szCs w:val="24"/>
          <w:lang w:eastAsia="zh-CN" w:bidi="ar"/>
        </w:rPr>
        <w:t>程中</w:t>
      </w:r>
      <w:r>
        <w:rPr>
          <w:rFonts w:hint="eastAsia" w:ascii="宋体" w:hAnsi="宋体" w:cs="宋体"/>
          <w:b w:val="0"/>
          <w:bCs/>
          <w:sz w:val="24"/>
          <w:szCs w:val="24"/>
          <w:lang w:bidi="ar"/>
        </w:rPr>
        <w:t>必须做好安全防护措施，</w:t>
      </w:r>
      <w:r>
        <w:rPr>
          <w:rFonts w:hint="eastAsia" w:ascii="宋体" w:hAnsi="宋体" w:cs="宋体"/>
          <w:b w:val="0"/>
          <w:bCs/>
          <w:sz w:val="24"/>
          <w:szCs w:val="24"/>
          <w:lang w:eastAsia="zh-CN" w:bidi="ar"/>
        </w:rPr>
        <w:t>佩戴</w:t>
      </w:r>
      <w:r>
        <w:rPr>
          <w:rFonts w:hint="eastAsia" w:ascii="宋体" w:hAnsi="宋体" w:cs="宋体"/>
          <w:b w:val="0"/>
          <w:bCs/>
          <w:sz w:val="24"/>
          <w:szCs w:val="24"/>
          <w:lang w:bidi="ar"/>
        </w:rPr>
        <w:t>安全帽，反光衣，口罩等，严格遵守甲方的进厂安全告知书要求，如因乙方安全措施不到位和未按告知书要求执行，在甲方区域内产生的安全事故责任</w:t>
      </w:r>
      <w:r>
        <w:rPr>
          <w:rFonts w:hint="eastAsia" w:ascii="宋体" w:hAnsi="宋体" w:cs="宋体"/>
          <w:b w:val="0"/>
          <w:bCs/>
          <w:sz w:val="24"/>
          <w:szCs w:val="24"/>
          <w:lang w:eastAsia="zh-CN" w:bidi="ar"/>
        </w:rPr>
        <w:t>概由</w:t>
      </w:r>
      <w:r>
        <w:rPr>
          <w:rFonts w:hint="eastAsia" w:ascii="宋体" w:hAnsi="宋体" w:cs="宋体"/>
          <w:b w:val="0"/>
          <w:bCs/>
          <w:sz w:val="24"/>
          <w:szCs w:val="24"/>
          <w:lang w:bidi="ar"/>
        </w:rPr>
        <w:t>乙方承担。</w:t>
      </w:r>
    </w:p>
    <w:p w14:paraId="3E09C294">
      <w:pPr>
        <w:spacing w:line="360" w:lineRule="auto"/>
        <w:ind w:firstLine="482" w:firstLineChars="200"/>
        <w:rPr>
          <w:rFonts w:ascii="宋体" w:hAnsi="宋体" w:cs="宋体"/>
          <w:b/>
          <w:sz w:val="24"/>
          <w:szCs w:val="24"/>
          <w:lang w:bidi="ar"/>
        </w:rPr>
      </w:pPr>
      <w:r>
        <w:rPr>
          <w:rFonts w:hint="eastAsia" w:ascii="宋体" w:hAnsi="宋体" w:cs="宋体"/>
          <w:b/>
          <w:sz w:val="24"/>
          <w:szCs w:val="24"/>
          <w:lang w:val="en-US" w:eastAsia="zh-CN" w:bidi="ar"/>
        </w:rPr>
        <w:t>八</w:t>
      </w:r>
      <w:r>
        <w:rPr>
          <w:rFonts w:hint="eastAsia" w:ascii="宋体" w:hAnsi="宋体" w:cs="宋体"/>
          <w:b/>
          <w:sz w:val="24"/>
          <w:szCs w:val="24"/>
          <w:lang w:bidi="ar"/>
        </w:rPr>
        <w:t>、合同争议的解决方法</w:t>
      </w:r>
    </w:p>
    <w:p w14:paraId="3CE7B025">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rPr>
        <w:t>本合同所发生的争议应当由双方协商解决；如果协商不能解决，可向甲方所在地人民法院起诉。争议进行诉讼期间，除争议事项外，双方应继续履行各自本合同中约定的义务和行使权利。</w:t>
      </w:r>
    </w:p>
    <w:p w14:paraId="4F31035A">
      <w:pPr>
        <w:spacing w:line="360" w:lineRule="auto"/>
        <w:ind w:firstLine="482" w:firstLineChars="200"/>
        <w:rPr>
          <w:rFonts w:ascii="宋体" w:hAnsi="宋体" w:cs="宋体"/>
          <w:b/>
          <w:sz w:val="24"/>
          <w:szCs w:val="24"/>
          <w:lang w:bidi="ar"/>
        </w:rPr>
      </w:pPr>
      <w:r>
        <w:rPr>
          <w:rFonts w:hint="eastAsia" w:ascii="宋体" w:hAnsi="宋体" w:cs="宋体"/>
          <w:b/>
          <w:sz w:val="24"/>
          <w:szCs w:val="24"/>
          <w:lang w:val="en-US" w:eastAsia="zh-CN" w:bidi="ar"/>
        </w:rPr>
        <w:t>九</w:t>
      </w:r>
      <w:r>
        <w:rPr>
          <w:rFonts w:hint="eastAsia" w:ascii="宋体" w:hAnsi="宋体" w:cs="宋体"/>
          <w:b/>
          <w:sz w:val="24"/>
          <w:szCs w:val="24"/>
          <w:lang w:bidi="ar"/>
        </w:rPr>
        <w:t>、本合同的组成部分以及解释顺序</w:t>
      </w:r>
    </w:p>
    <w:p w14:paraId="5B1D7894">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rPr>
        <w:t>合同文件组成及优先解释顺序（按优先顺序排列）如下：</w:t>
      </w:r>
    </w:p>
    <w:p w14:paraId="6AD808F7">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lang w:eastAsia="zh-CN"/>
        </w:rPr>
        <w:t>1.</w:t>
      </w:r>
      <w:r>
        <w:rPr>
          <w:rFonts w:hint="eastAsia" w:ascii="宋体" w:hAnsi="宋体" w:cs="宋体"/>
          <w:kern w:val="2"/>
          <w:sz w:val="24"/>
          <w:szCs w:val="24"/>
          <w:highlight w:val="white"/>
        </w:rPr>
        <w:t>本合同以及相应附件、补充文件（含洽商记录、会议纪要、索赔和合同变更等修正文件）。</w:t>
      </w:r>
    </w:p>
    <w:p w14:paraId="43B49203">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lang w:eastAsia="zh-CN"/>
        </w:rPr>
        <w:t>2.</w:t>
      </w:r>
      <w:r>
        <w:rPr>
          <w:rFonts w:hint="eastAsia" w:ascii="宋体" w:hAnsi="宋体" w:cs="宋体"/>
          <w:kern w:val="2"/>
          <w:sz w:val="24"/>
          <w:szCs w:val="24"/>
          <w:highlight w:val="white"/>
        </w:rPr>
        <w:t>采购文件以及相应附件、补充文件（含答疑文件）。</w:t>
      </w:r>
    </w:p>
    <w:p w14:paraId="74DB8185">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lang w:eastAsia="zh-CN"/>
        </w:rPr>
        <w:t>3.</w:t>
      </w:r>
      <w:r>
        <w:rPr>
          <w:rFonts w:hint="eastAsia" w:ascii="宋体" w:hAnsi="宋体" w:cs="宋体"/>
          <w:kern w:val="2"/>
          <w:sz w:val="24"/>
          <w:szCs w:val="24"/>
          <w:highlight w:val="white"/>
        </w:rPr>
        <w:t>乙方报价文件以及相应附件、补充文件。</w:t>
      </w:r>
    </w:p>
    <w:p w14:paraId="7E10CBBA">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lang w:eastAsia="zh-CN"/>
        </w:rPr>
        <w:t>4.</w:t>
      </w:r>
      <w:r>
        <w:rPr>
          <w:rFonts w:hint="eastAsia" w:ascii="宋体" w:hAnsi="宋体" w:cs="宋体"/>
          <w:kern w:val="2"/>
          <w:sz w:val="24"/>
          <w:szCs w:val="24"/>
          <w:highlight w:val="white"/>
        </w:rPr>
        <w:t>乙方通知书。</w:t>
      </w:r>
    </w:p>
    <w:p w14:paraId="213FF4FA">
      <w:pPr>
        <w:spacing w:line="360" w:lineRule="auto"/>
        <w:ind w:firstLine="480" w:firstLineChars="200"/>
        <w:rPr>
          <w:rFonts w:ascii="宋体" w:hAnsi="宋体" w:cs="宋体"/>
          <w:kern w:val="2"/>
          <w:sz w:val="24"/>
          <w:szCs w:val="24"/>
          <w:highlight w:val="white"/>
        </w:rPr>
      </w:pPr>
      <w:r>
        <w:rPr>
          <w:rFonts w:hint="eastAsia" w:ascii="宋体" w:hAnsi="宋体" w:cs="宋体"/>
          <w:kern w:val="2"/>
          <w:sz w:val="24"/>
          <w:szCs w:val="24"/>
          <w:highlight w:val="white"/>
          <w:lang w:eastAsia="zh-CN"/>
        </w:rPr>
        <w:t>5.</w:t>
      </w:r>
      <w:r>
        <w:rPr>
          <w:rFonts w:hint="eastAsia" w:ascii="宋体" w:hAnsi="宋体" w:cs="宋体"/>
          <w:kern w:val="2"/>
          <w:sz w:val="24"/>
          <w:szCs w:val="24"/>
          <w:highlight w:val="white"/>
        </w:rPr>
        <w:t>标准、规范及有关技术文件。</w:t>
      </w:r>
    </w:p>
    <w:p w14:paraId="245901D9">
      <w:pPr>
        <w:spacing w:line="360" w:lineRule="auto"/>
        <w:ind w:firstLine="482" w:firstLineChars="200"/>
        <w:rPr>
          <w:rFonts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bidi="ar"/>
          <w14:textFill>
            <w14:solidFill>
              <w14:schemeClr w14:val="tx1"/>
            </w14:solidFill>
          </w14:textFill>
        </w:rPr>
        <w:t>十</w:t>
      </w:r>
      <w:r>
        <w:rPr>
          <w:rFonts w:hint="eastAsia" w:ascii="宋体" w:hAnsi="宋体" w:cs="宋体"/>
          <w:b/>
          <w:color w:val="000000" w:themeColor="text1"/>
          <w:sz w:val="24"/>
          <w:szCs w:val="24"/>
          <w:lang w:bidi="ar"/>
          <w14:textFill>
            <w14:solidFill>
              <w14:schemeClr w14:val="tx1"/>
            </w14:solidFill>
          </w14:textFill>
        </w:rPr>
        <w:t xml:space="preserve">、 安全环保条款   </w:t>
      </w:r>
      <w:r>
        <w:rPr>
          <w:rFonts w:hint="eastAsia" w:ascii="宋体" w:hAnsi="宋体" w:cs="宋体"/>
          <w:color w:val="000000" w:themeColor="text1"/>
          <w:sz w:val="24"/>
          <w:szCs w:val="24"/>
          <w14:textFill>
            <w14:solidFill>
              <w14:schemeClr w14:val="tx1"/>
            </w14:solidFill>
          </w14:textFill>
        </w:rPr>
        <w:t xml:space="preserve">                                                                                                                                                                                                                             </w:t>
      </w:r>
    </w:p>
    <w:p w14:paraId="0EBD684C">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双方高度重视人员的安全及环保事项，在提供产品或服务的活动中乙方应以保护环境为前提，节约能源及自然资源，做好事故应急预防预案，避免浪费资源和污染环境，严格遵守国家和地方政府相关的安全与环境保护</w:t>
      </w:r>
      <w:r>
        <w:rPr>
          <w:rFonts w:hint="eastAsia" w:ascii="宋体" w:hAnsi="宋体" w:cs="宋体"/>
          <w:color w:val="000000" w:themeColor="text1"/>
          <w:sz w:val="24"/>
          <w:szCs w:val="24"/>
          <w:lang w:eastAsia="zh-CN"/>
          <w14:textFill>
            <w14:solidFill>
              <w14:schemeClr w14:val="tx1"/>
            </w14:solidFill>
          </w14:textFill>
        </w:rPr>
        <w:t>法律</w:t>
      </w:r>
      <w:r>
        <w:rPr>
          <w:rFonts w:hint="eastAsia" w:ascii="宋体" w:hAnsi="宋体" w:cs="宋体"/>
          <w:color w:val="000000" w:themeColor="text1"/>
          <w:sz w:val="24"/>
          <w:szCs w:val="24"/>
          <w14:textFill>
            <w14:solidFill>
              <w14:schemeClr w14:val="tx1"/>
            </w14:solidFill>
          </w14:textFill>
        </w:rPr>
        <w:t xml:space="preserve">法规和公司规章制度。                                                                                                                                                                                                                                </w:t>
      </w:r>
    </w:p>
    <w:p w14:paraId="7F0A5B76">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乙方承诺近三年无环境、健康及安全方面的行政处罚。</w:t>
      </w:r>
    </w:p>
    <w:p w14:paraId="4687E2DA">
      <w:pPr>
        <w:spacing w:line="360" w:lineRule="auto"/>
        <w:ind w:firstLine="482" w:firstLineChars="200"/>
        <w:rPr>
          <w:rFonts w:ascii="宋体" w:hAnsi="宋体" w:cs="宋体"/>
          <w:b/>
          <w:color w:val="000000" w:themeColor="text1"/>
          <w:sz w:val="24"/>
          <w:szCs w:val="24"/>
          <w:lang w:bidi="ar"/>
          <w14:textFill>
            <w14:solidFill>
              <w14:schemeClr w14:val="tx1"/>
            </w14:solidFill>
          </w14:textFill>
        </w:rPr>
      </w:pPr>
      <w:r>
        <w:rPr>
          <w:rFonts w:hint="eastAsia" w:ascii="宋体" w:hAnsi="宋体" w:cs="宋体"/>
          <w:b/>
          <w:color w:val="000000" w:themeColor="text1"/>
          <w:sz w:val="24"/>
          <w:szCs w:val="24"/>
          <w:lang w:bidi="ar"/>
          <w14:textFill>
            <w14:solidFill>
              <w14:schemeClr w14:val="tx1"/>
            </w14:solidFill>
          </w14:textFill>
        </w:rPr>
        <w:t>十</w:t>
      </w:r>
      <w:r>
        <w:rPr>
          <w:rFonts w:hint="eastAsia" w:ascii="宋体" w:hAnsi="宋体" w:cs="宋体"/>
          <w:b/>
          <w:color w:val="000000" w:themeColor="text1"/>
          <w:sz w:val="24"/>
          <w:szCs w:val="24"/>
          <w:lang w:val="en-US" w:eastAsia="zh-CN" w:bidi="ar"/>
          <w14:textFill>
            <w14:solidFill>
              <w14:schemeClr w14:val="tx1"/>
            </w14:solidFill>
          </w14:textFill>
        </w:rPr>
        <w:t>一</w:t>
      </w:r>
      <w:r>
        <w:rPr>
          <w:rFonts w:hint="eastAsia" w:ascii="宋体" w:hAnsi="宋体" w:cs="宋体"/>
          <w:b/>
          <w:color w:val="000000" w:themeColor="text1"/>
          <w:sz w:val="24"/>
          <w:szCs w:val="24"/>
          <w:lang w:bidi="ar"/>
          <w14:textFill>
            <w14:solidFill>
              <w14:schemeClr w14:val="tx1"/>
            </w14:solidFill>
          </w14:textFill>
        </w:rPr>
        <w:t>、知识产权条款：</w:t>
      </w:r>
    </w:p>
    <w:p w14:paraId="324D8191">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乙方应保证具有所提供产品的合法使用权，相关商标、专利的使用许可范围仅限于合同范围内的产品，甲方有权对供方提供的专利产品进行改造。如乙方向甲方提供的产品侵害任何第三方的知识产权，则由此产生的相关责任和损失由乙方承担。</w:t>
      </w:r>
    </w:p>
    <w:p w14:paraId="141AF396">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rPr>
      </w:pPr>
      <w:r>
        <w:rPr>
          <w:rFonts w:hint="eastAsia" w:ascii="宋体" w:hAnsi="宋体" w:cs="宋体"/>
          <w:sz w:val="24"/>
          <w:szCs w:val="24"/>
          <w:lang w:eastAsia="zh-CN"/>
        </w:rPr>
        <w:t>2.</w:t>
      </w:r>
      <w:r>
        <w:rPr>
          <w:rFonts w:hint="eastAsia" w:ascii="宋体" w:hAnsi="宋体" w:cs="宋体"/>
          <w:sz w:val="24"/>
          <w:szCs w:val="24"/>
        </w:rPr>
        <w:t>双方应当对本合同内容及对方标明保密的文件或信息保守秘密，未经得信息披露方书面事先同意，不得向本合同以外的任何第三方披露，本保密义务在本合同期满、解除或终止后也仍然有效。</w:t>
      </w:r>
    </w:p>
    <w:p w14:paraId="73BDB677">
      <w:pPr>
        <w:spacing w:line="360" w:lineRule="auto"/>
        <w:ind w:firstLine="482" w:firstLineChars="200"/>
        <w:rPr>
          <w:rFonts w:ascii="宋体" w:hAnsi="宋体"/>
          <w:b/>
          <w:sz w:val="24"/>
          <w:szCs w:val="24"/>
        </w:rPr>
      </w:pPr>
      <w:r>
        <w:rPr>
          <w:rFonts w:hint="eastAsia" w:ascii="宋体" w:hAnsi="宋体" w:cs="宋体"/>
          <w:b/>
          <w:sz w:val="24"/>
          <w:szCs w:val="24"/>
          <w:lang w:bidi="ar"/>
        </w:rPr>
        <w:t>十</w:t>
      </w:r>
      <w:r>
        <w:rPr>
          <w:rFonts w:hint="eastAsia" w:ascii="宋体" w:hAnsi="宋体" w:cs="宋体"/>
          <w:b/>
          <w:sz w:val="24"/>
          <w:szCs w:val="24"/>
          <w:lang w:val="en-US" w:eastAsia="zh-CN" w:bidi="ar"/>
        </w:rPr>
        <w:t>二</w:t>
      </w:r>
      <w:r>
        <w:rPr>
          <w:rFonts w:hint="eastAsia" w:ascii="宋体" w:hAnsi="宋体" w:cs="宋体"/>
          <w:b/>
          <w:sz w:val="24"/>
          <w:szCs w:val="24"/>
          <w:lang w:bidi="ar"/>
        </w:rPr>
        <w:t>、</w:t>
      </w:r>
      <w:r>
        <w:rPr>
          <w:rFonts w:hint="eastAsia" w:ascii="宋体" w:hAnsi="宋体"/>
          <w:b/>
          <w:sz w:val="24"/>
          <w:szCs w:val="24"/>
        </w:rPr>
        <w:t>保密条款：</w:t>
      </w:r>
    </w:p>
    <w:p w14:paraId="0CA235D0">
      <w:pPr>
        <w:spacing w:line="360" w:lineRule="auto"/>
        <w:ind w:firstLine="480" w:firstLineChars="200"/>
        <w:rPr>
          <w:rFonts w:ascii="宋体" w:hAnsi="宋体"/>
          <w:sz w:val="24"/>
          <w:szCs w:val="24"/>
        </w:rPr>
      </w:pPr>
      <w:r>
        <w:rPr>
          <w:rFonts w:hint="eastAsia" w:ascii="宋体" w:hAnsi="宋体"/>
          <w:sz w:val="24"/>
          <w:szCs w:val="24"/>
        </w:rPr>
        <w:t>双方保证对从另一方取得且无法自公开渠道获得的商业秘密（技术信息、经营信息</w:t>
      </w:r>
      <w:r>
        <w:rPr>
          <w:rFonts w:hint="eastAsia" w:ascii="宋体" w:hAnsi="宋体"/>
          <w:sz w:val="24"/>
          <w:szCs w:val="24"/>
          <w:lang w:eastAsia="zh-CN"/>
        </w:rPr>
        <w:t>及其</w:t>
      </w:r>
      <w:r>
        <w:rPr>
          <w:rFonts w:hint="eastAsia" w:ascii="宋体" w:hAnsi="宋体"/>
          <w:sz w:val="24"/>
          <w:szCs w:val="24"/>
        </w:rPr>
        <w:t>他商业秘密）予以保密。未经该商业秘密的原提供方同意，一方不得向任何第三方泄露该商业秘密的全部或部分内容。但法律法规另有规定或双方另有约定的除外。保密期限为自获得商业秘密之日起10年。一方违反上述保密义务的，应承担相应的违约责任并赔偿由此对另一方造成的</w:t>
      </w:r>
      <w:r>
        <w:rPr>
          <w:rFonts w:hint="eastAsia" w:ascii="宋体" w:hAnsi="宋体"/>
          <w:sz w:val="24"/>
          <w:szCs w:val="24"/>
          <w:lang w:eastAsia="zh-CN"/>
        </w:rPr>
        <w:t>损失</w:t>
      </w:r>
      <w:r>
        <w:rPr>
          <w:rFonts w:hint="eastAsia" w:ascii="宋体" w:hAnsi="宋体"/>
          <w:sz w:val="24"/>
          <w:szCs w:val="24"/>
        </w:rPr>
        <w:t>。</w:t>
      </w:r>
    </w:p>
    <w:p w14:paraId="51BD0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宋体" w:hAnsi="宋体"/>
          <w:sz w:val="24"/>
          <w:szCs w:val="24"/>
        </w:rPr>
      </w:pPr>
      <w:r>
        <w:rPr>
          <w:rFonts w:hint="eastAsia" w:ascii="宋体" w:hAnsi="宋体"/>
          <w:sz w:val="24"/>
          <w:szCs w:val="24"/>
        </w:rPr>
        <w:t xml:space="preserve">    </w:t>
      </w:r>
      <w:r>
        <w:rPr>
          <w:rFonts w:hint="eastAsia" w:ascii="宋体" w:hAnsi="宋体" w:cs="宋体"/>
          <w:b/>
          <w:sz w:val="24"/>
          <w:szCs w:val="24"/>
          <w:lang w:bidi="ar"/>
        </w:rPr>
        <w:t>十</w:t>
      </w:r>
      <w:r>
        <w:rPr>
          <w:rFonts w:hint="eastAsia" w:ascii="宋体" w:hAnsi="宋体" w:cs="宋体"/>
          <w:b/>
          <w:sz w:val="24"/>
          <w:szCs w:val="24"/>
          <w:lang w:val="en-US" w:eastAsia="zh-CN" w:bidi="ar"/>
        </w:rPr>
        <w:t>三</w:t>
      </w:r>
      <w:r>
        <w:rPr>
          <w:rFonts w:hint="eastAsia" w:ascii="宋体" w:hAnsi="宋体" w:cs="宋体"/>
          <w:b/>
          <w:sz w:val="24"/>
          <w:szCs w:val="24"/>
          <w:lang w:bidi="ar"/>
        </w:rPr>
        <w:t>、</w:t>
      </w:r>
      <w:r>
        <w:rPr>
          <w:rFonts w:hint="eastAsia" w:ascii="宋体" w:hAnsi="宋体"/>
          <w:sz w:val="24"/>
          <w:szCs w:val="24"/>
        </w:rPr>
        <w:t>本合同双方盖章后生效。本合同一式肆份，乙方执贰份，甲方执贰</w:t>
      </w:r>
      <w:r>
        <w:rPr>
          <w:rFonts w:hint="eastAsia" w:ascii="宋体" w:hAnsi="宋体"/>
          <w:sz w:val="24"/>
          <w:szCs w:val="24"/>
          <w:lang w:eastAsia="zh-CN"/>
        </w:rPr>
        <w:t>份，具有同等法律效力</w:t>
      </w:r>
      <w:r>
        <w:rPr>
          <w:rFonts w:hint="eastAsia" w:ascii="宋体" w:hAnsi="宋体"/>
          <w:sz w:val="24"/>
          <w:szCs w:val="24"/>
        </w:rPr>
        <w:t>。</w:t>
      </w:r>
    </w:p>
    <w:p w14:paraId="5CE06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120" w:firstLineChars="50"/>
        <w:rPr>
          <w:rFonts w:ascii="宋体" w:hAnsi="宋体" w:cs="宋体"/>
          <w:sz w:val="24"/>
          <w:szCs w:val="24"/>
        </w:rPr>
      </w:pPr>
      <w:r>
        <w:rPr>
          <w:rFonts w:hint="eastAsia" w:ascii="宋体" w:hAnsi="宋体" w:cs="宋体"/>
          <w:sz w:val="24"/>
          <w:szCs w:val="24"/>
        </w:rPr>
        <w:t>（以下无正文，下接合同附件及签署页）</w:t>
      </w:r>
    </w:p>
    <w:tbl>
      <w:tblPr>
        <w:tblStyle w:val="2"/>
        <w:tblW w:w="9485" w:type="dxa"/>
        <w:tblInd w:w="27" w:type="dxa"/>
        <w:tblLayout w:type="autofit"/>
        <w:tblCellMar>
          <w:top w:w="0" w:type="dxa"/>
          <w:left w:w="108" w:type="dxa"/>
          <w:bottom w:w="0" w:type="dxa"/>
          <w:right w:w="108" w:type="dxa"/>
        </w:tblCellMar>
      </w:tblPr>
      <w:tblGrid>
        <w:gridCol w:w="4572"/>
        <w:gridCol w:w="4913"/>
      </w:tblGrid>
      <w:tr w14:paraId="3CB729A3">
        <w:tblPrEx>
          <w:tblCellMar>
            <w:top w:w="0" w:type="dxa"/>
            <w:left w:w="108" w:type="dxa"/>
            <w:bottom w:w="0" w:type="dxa"/>
            <w:right w:w="108" w:type="dxa"/>
          </w:tblCellMar>
        </w:tblPrEx>
        <w:trPr>
          <w:trHeight w:val="412" w:hRule="atLeast"/>
        </w:trPr>
        <w:tc>
          <w:tcPr>
            <w:tcW w:w="4572" w:type="dxa"/>
            <w:tcBorders>
              <w:top w:val="single" w:color="auto" w:sz="4" w:space="0"/>
              <w:left w:val="single" w:color="auto" w:sz="4" w:space="0"/>
              <w:bottom w:val="single" w:color="auto" w:sz="4" w:space="0"/>
              <w:right w:val="single" w:color="000000" w:sz="4" w:space="0"/>
            </w:tcBorders>
            <w:vAlign w:val="center"/>
          </w:tcPr>
          <w:p w14:paraId="425BC0CE">
            <w:pPr>
              <w:spacing w:before="312" w:beforeLines="100" w:after="0" w:line="360" w:lineRule="auto"/>
              <w:rPr>
                <w:rFonts w:ascii="宋体" w:hAnsi="宋体"/>
                <w:sz w:val="24"/>
                <w:szCs w:val="24"/>
              </w:rPr>
            </w:pPr>
            <w:r>
              <w:rPr>
                <w:rFonts w:hint="eastAsia" w:ascii="宋体" w:hAnsi="宋体"/>
                <w:sz w:val="24"/>
                <w:szCs w:val="24"/>
              </w:rPr>
              <w:t>乙方： （盖章）</w:t>
            </w:r>
          </w:p>
        </w:tc>
        <w:tc>
          <w:tcPr>
            <w:tcW w:w="4913" w:type="dxa"/>
            <w:tcBorders>
              <w:top w:val="single" w:color="auto" w:sz="4" w:space="0"/>
              <w:left w:val="nil"/>
              <w:bottom w:val="single" w:color="auto" w:sz="4" w:space="0"/>
              <w:right w:val="single" w:color="000000" w:sz="4" w:space="0"/>
            </w:tcBorders>
            <w:vAlign w:val="center"/>
          </w:tcPr>
          <w:p w14:paraId="4FB679F1">
            <w:pPr>
              <w:spacing w:before="312" w:beforeLines="100" w:after="0" w:line="360" w:lineRule="auto"/>
              <w:rPr>
                <w:rFonts w:ascii="宋体" w:hAnsi="宋体"/>
                <w:sz w:val="24"/>
                <w:szCs w:val="24"/>
              </w:rPr>
            </w:pPr>
            <w:r>
              <w:rPr>
                <w:rFonts w:hint="eastAsia" w:ascii="宋体" w:hAnsi="宋体"/>
                <w:sz w:val="24"/>
                <w:szCs w:val="24"/>
              </w:rPr>
              <w:t>甲方</w:t>
            </w:r>
            <w:r>
              <w:rPr>
                <w:rFonts w:hint="eastAsia" w:ascii="宋体" w:hAnsi="宋体"/>
                <w:sz w:val="24"/>
                <w:szCs w:val="24"/>
                <w:lang w:eastAsia="zh-CN"/>
              </w:rPr>
              <w:t>：</w:t>
            </w:r>
            <w:r>
              <w:rPr>
                <w:rFonts w:hint="eastAsia" w:ascii="宋体" w:hAnsi="宋体"/>
                <w:sz w:val="24"/>
                <w:szCs w:val="24"/>
              </w:rPr>
              <w:t>珠海华润化学材料科技有限公司（盖章）</w:t>
            </w:r>
          </w:p>
        </w:tc>
      </w:tr>
      <w:tr w14:paraId="48567524">
        <w:tblPrEx>
          <w:tblCellMar>
            <w:top w:w="0" w:type="dxa"/>
            <w:left w:w="108" w:type="dxa"/>
            <w:bottom w:w="0" w:type="dxa"/>
            <w:right w:w="108" w:type="dxa"/>
          </w:tblCellMar>
        </w:tblPrEx>
        <w:trPr>
          <w:trHeight w:val="412" w:hRule="atLeast"/>
        </w:trPr>
        <w:tc>
          <w:tcPr>
            <w:tcW w:w="4572" w:type="dxa"/>
            <w:tcBorders>
              <w:top w:val="single" w:color="auto" w:sz="4" w:space="0"/>
              <w:left w:val="single" w:color="auto" w:sz="4" w:space="0"/>
              <w:bottom w:val="single" w:color="auto" w:sz="4" w:space="0"/>
              <w:right w:val="single" w:color="000000" w:sz="4" w:space="0"/>
            </w:tcBorders>
            <w:vAlign w:val="center"/>
          </w:tcPr>
          <w:p w14:paraId="5B7DBA04">
            <w:pPr>
              <w:spacing w:before="312" w:beforeLines="100" w:after="0" w:line="360" w:lineRule="auto"/>
              <w:rPr>
                <w:rFonts w:ascii="宋体" w:hAnsi="宋体"/>
                <w:sz w:val="24"/>
                <w:szCs w:val="24"/>
              </w:rPr>
            </w:pPr>
            <w:r>
              <w:rPr>
                <w:rFonts w:hint="eastAsia" w:ascii="宋体" w:hAnsi="宋体"/>
                <w:sz w:val="24"/>
                <w:szCs w:val="24"/>
              </w:rPr>
              <w:t xml:space="preserve">单 位 地 址： </w:t>
            </w:r>
          </w:p>
        </w:tc>
        <w:tc>
          <w:tcPr>
            <w:tcW w:w="4913" w:type="dxa"/>
            <w:tcBorders>
              <w:top w:val="single" w:color="auto" w:sz="4" w:space="0"/>
              <w:left w:val="nil"/>
              <w:bottom w:val="single" w:color="auto" w:sz="4" w:space="0"/>
              <w:right w:val="single" w:color="000000" w:sz="4" w:space="0"/>
            </w:tcBorders>
            <w:vAlign w:val="center"/>
          </w:tcPr>
          <w:p w14:paraId="25BF0596">
            <w:pPr>
              <w:spacing w:before="312" w:beforeLines="100" w:after="0" w:line="360" w:lineRule="auto"/>
              <w:rPr>
                <w:rFonts w:ascii="宋体" w:hAnsi="宋体"/>
                <w:sz w:val="24"/>
                <w:szCs w:val="24"/>
              </w:rPr>
            </w:pPr>
            <w:r>
              <w:rPr>
                <w:rFonts w:hint="eastAsia" w:ascii="宋体" w:hAnsi="宋体"/>
                <w:sz w:val="24"/>
                <w:szCs w:val="24"/>
              </w:rPr>
              <w:t>单 位 地 址：珠海市高栏港经济区石油化工区平湾三路2001号</w:t>
            </w:r>
          </w:p>
        </w:tc>
      </w:tr>
      <w:tr w14:paraId="01FC7DF7">
        <w:tblPrEx>
          <w:tblCellMar>
            <w:top w:w="0" w:type="dxa"/>
            <w:left w:w="108" w:type="dxa"/>
            <w:bottom w:w="0" w:type="dxa"/>
            <w:right w:w="108" w:type="dxa"/>
          </w:tblCellMar>
        </w:tblPrEx>
        <w:trPr>
          <w:trHeight w:val="412" w:hRule="atLeast"/>
        </w:trPr>
        <w:tc>
          <w:tcPr>
            <w:tcW w:w="4572" w:type="dxa"/>
            <w:tcBorders>
              <w:top w:val="single" w:color="auto" w:sz="4" w:space="0"/>
              <w:left w:val="single" w:color="auto" w:sz="4" w:space="0"/>
              <w:bottom w:val="single" w:color="auto" w:sz="4" w:space="0"/>
              <w:right w:val="single" w:color="000000" w:sz="4" w:space="0"/>
            </w:tcBorders>
            <w:noWrap/>
            <w:vAlign w:val="center"/>
          </w:tcPr>
          <w:p w14:paraId="6F166057">
            <w:pPr>
              <w:spacing w:before="312" w:beforeLines="100" w:after="0" w:line="360" w:lineRule="auto"/>
              <w:rPr>
                <w:rFonts w:ascii="宋体" w:hAnsi="宋体"/>
                <w:sz w:val="24"/>
                <w:szCs w:val="24"/>
              </w:rPr>
            </w:pPr>
            <w:r>
              <w:rPr>
                <w:rFonts w:hint="eastAsia" w:ascii="宋体" w:hAnsi="宋体"/>
                <w:sz w:val="24"/>
                <w:szCs w:val="24"/>
              </w:rPr>
              <w:t xml:space="preserve">法定代表人： </w:t>
            </w:r>
          </w:p>
        </w:tc>
        <w:tc>
          <w:tcPr>
            <w:tcW w:w="4913" w:type="dxa"/>
            <w:tcBorders>
              <w:top w:val="single" w:color="auto" w:sz="4" w:space="0"/>
              <w:left w:val="nil"/>
              <w:bottom w:val="single" w:color="auto" w:sz="4" w:space="0"/>
              <w:right w:val="single" w:color="000000" w:sz="4" w:space="0"/>
            </w:tcBorders>
            <w:vAlign w:val="center"/>
          </w:tcPr>
          <w:p w14:paraId="2DE61B25">
            <w:pPr>
              <w:spacing w:before="312" w:beforeLines="100" w:after="0" w:line="360" w:lineRule="auto"/>
              <w:rPr>
                <w:rFonts w:hint="eastAsia" w:ascii="宋体" w:hAnsi="宋体" w:eastAsia="宋体"/>
                <w:sz w:val="24"/>
                <w:szCs w:val="24"/>
                <w:lang w:eastAsia="zh-CN"/>
              </w:rPr>
            </w:pPr>
            <w:r>
              <w:rPr>
                <w:rFonts w:hint="eastAsia" w:ascii="宋体" w:hAnsi="宋体"/>
                <w:sz w:val="24"/>
                <w:szCs w:val="24"/>
              </w:rPr>
              <w:t>法定代表人：</w:t>
            </w:r>
            <w:r>
              <w:rPr>
                <w:rFonts w:hint="eastAsia" w:ascii="宋体" w:hAnsi="宋体"/>
                <w:sz w:val="24"/>
                <w:szCs w:val="24"/>
                <w:lang w:val="en-US" w:eastAsia="zh-CN"/>
              </w:rPr>
              <w:t>赵亮</w:t>
            </w:r>
          </w:p>
        </w:tc>
      </w:tr>
      <w:tr w14:paraId="3BA42162">
        <w:tblPrEx>
          <w:tblCellMar>
            <w:top w:w="0" w:type="dxa"/>
            <w:left w:w="108" w:type="dxa"/>
            <w:bottom w:w="0" w:type="dxa"/>
            <w:right w:w="108" w:type="dxa"/>
          </w:tblCellMar>
        </w:tblPrEx>
        <w:trPr>
          <w:trHeight w:val="412" w:hRule="atLeast"/>
        </w:trPr>
        <w:tc>
          <w:tcPr>
            <w:tcW w:w="4572" w:type="dxa"/>
            <w:tcBorders>
              <w:top w:val="single" w:color="auto" w:sz="4" w:space="0"/>
              <w:left w:val="single" w:color="auto" w:sz="4" w:space="0"/>
              <w:bottom w:val="single" w:color="auto" w:sz="4" w:space="0"/>
              <w:right w:val="single" w:color="000000" w:sz="4" w:space="0"/>
            </w:tcBorders>
            <w:noWrap/>
            <w:vAlign w:val="center"/>
          </w:tcPr>
          <w:p w14:paraId="7B30BD34">
            <w:pPr>
              <w:spacing w:before="312" w:beforeLines="100" w:after="0" w:line="360" w:lineRule="auto"/>
              <w:rPr>
                <w:rFonts w:ascii="宋体" w:hAnsi="宋体"/>
                <w:sz w:val="24"/>
                <w:szCs w:val="24"/>
              </w:rPr>
            </w:pPr>
            <w:r>
              <w:rPr>
                <w:rFonts w:hint="eastAsia" w:ascii="宋体" w:hAnsi="宋体" w:cs="仿宋_GB2312"/>
                <w:color w:val="000000"/>
                <w:sz w:val="24"/>
                <w:szCs w:val="24"/>
              </w:rPr>
              <w:t>日  期：</w:t>
            </w:r>
            <w:r>
              <w:rPr>
                <w:rFonts w:hint="eastAsia" w:ascii="宋体" w:hAnsi="宋体"/>
                <w:sz w:val="24"/>
                <w:szCs w:val="24"/>
              </w:rPr>
              <w:t xml:space="preserve"> </w:t>
            </w:r>
          </w:p>
        </w:tc>
        <w:tc>
          <w:tcPr>
            <w:tcW w:w="4913" w:type="dxa"/>
            <w:tcBorders>
              <w:top w:val="single" w:color="auto" w:sz="4" w:space="0"/>
              <w:left w:val="nil"/>
              <w:bottom w:val="single" w:color="auto" w:sz="4" w:space="0"/>
              <w:right w:val="single" w:color="000000" w:sz="4" w:space="0"/>
            </w:tcBorders>
            <w:vAlign w:val="center"/>
          </w:tcPr>
          <w:p w14:paraId="6C6119D6">
            <w:pPr>
              <w:spacing w:before="312" w:beforeLines="100" w:after="0" w:line="360" w:lineRule="auto"/>
              <w:rPr>
                <w:rFonts w:ascii="宋体" w:hAnsi="宋体"/>
                <w:sz w:val="24"/>
                <w:szCs w:val="24"/>
              </w:rPr>
            </w:pPr>
            <w:r>
              <w:rPr>
                <w:rFonts w:hint="eastAsia" w:ascii="宋体" w:hAnsi="宋体" w:cs="仿宋_GB2312"/>
                <w:color w:val="000000"/>
                <w:sz w:val="24"/>
                <w:szCs w:val="24"/>
              </w:rPr>
              <w:t>日  期：</w:t>
            </w:r>
          </w:p>
          <w:bookmarkEnd w:id="0"/>
          <w:bookmarkEnd w:id="1"/>
          <w:bookmarkEnd w:id="2"/>
          <w:bookmarkEnd w:id="3"/>
          <w:bookmarkEnd w:id="4"/>
          <w:bookmarkEnd w:id="5"/>
          <w:bookmarkEnd w:id="6"/>
          <w:bookmarkEnd w:id="7"/>
          <w:bookmarkEnd w:id="8"/>
          <w:bookmarkEnd w:id="9"/>
          <w:bookmarkEnd w:id="10"/>
          <w:bookmarkEnd w:id="11"/>
        </w:tc>
      </w:tr>
    </w:tbl>
    <w:p w14:paraId="1207FA1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汉仪仿宋KW"/>
    <w:panose1 w:val="02010609030101010101"/>
    <w:charset w:val="86"/>
    <w:family w:val="modern"/>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FF991AC"/>
    <w:rsid w:val="5C330052"/>
    <w:rsid w:val="6FFAB370"/>
    <w:rsid w:val="77D60F5E"/>
    <w:rsid w:val="BFB7B384"/>
    <w:rsid w:val="EFF1EE44"/>
    <w:rsid w:val="F7FF08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宋体" w:cs="Times New Roman"/>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0</TotalTime>
  <ScaleCrop>false</ScaleCrop>
  <LinksUpToDate>false</LinksUpToDate>
  <CharactersWithSpaces>0</CharactersWithSpaces>
  <Application>WPS Office WWO_wpscloud_20251223211022-ce96ae1422</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2026-04-25T18:04:00Z</dcterms:created>
  <dc:creator>zhangguoquan</dc:creator>
  <cp:lastModifiedBy>8700</cp:lastModifiedBy>
  <dcterms:modified xsi:type="dcterms:W3CDTF">2026-04-24T14:05:31Z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1F830E69563249472B08EB6980253D72_43</vt:lpwstr>
  </property>
  <property fmtid="{D5CDD505-2E9C-101B-9397-08002B2CF9AE}" pid="3" name="KSOProductBuildVer">
    <vt:lpwstr>2052-12.9.0.24132</vt:lpwstr>
  </property>
  <property fmtid="{D5CDD505-2E9C-101B-9397-08002B2CF9AE}" pid="4" name="KSOTemplateDocerSaveRecord">
    <vt:lpwstr>eyJoZGlkIjoiNDdiZTAzNDY3MzJhYzNmZWUxMDMxNTgxNDdmNjQwNjQiLCJ1c2VySWQiOiI0MTMwMTkxNzgifQ==</vt:lpwstr>
  </property>
</Properties>
</file>