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F28F6">
      <w:pPr>
        <w:spacing w:line="360" w:lineRule="auto"/>
        <w:ind w:left="1697" w:leftChars="177" w:hanging="1272" w:hangingChars="396"/>
        <w:jc w:val="right"/>
        <w:rPr>
          <w:rFonts w:hint="eastAsia" w:ascii="宋体" w:hAnsi="宋体"/>
          <w:b/>
          <w:color w:val="FF0000"/>
          <w:sz w:val="32"/>
          <w:szCs w:val="32"/>
          <w:lang w:eastAsia="zh-CN"/>
        </w:rPr>
      </w:pPr>
      <w:r>
        <w:rPr>
          <w:rFonts w:hint="eastAsia" w:ascii="宋体" w:hAnsi="宋体"/>
          <w:b/>
          <w:color w:val="000000"/>
          <w:sz w:val="32"/>
          <w:szCs w:val="32"/>
          <w:lang w:eastAsia="zh-CN"/>
        </w:rPr>
        <w:t>项目编号：</w:t>
      </w:r>
      <w:r>
        <w:rPr>
          <w:rFonts w:hint="eastAsia" w:ascii="宋体" w:hAnsi="宋体"/>
          <w:b/>
          <w:color w:val="auto"/>
          <w:sz w:val="32"/>
          <w:szCs w:val="32"/>
          <w:lang w:val="en-US" w:eastAsia="zh-CN"/>
        </w:rPr>
        <w:t>WC</w:t>
      </w:r>
      <w:r>
        <w:rPr>
          <w:rFonts w:hint="eastAsia" w:ascii="宋体" w:hAnsi="宋体"/>
          <w:b/>
          <w:color w:val="auto"/>
          <w:sz w:val="32"/>
          <w:szCs w:val="32"/>
          <w:lang w:eastAsia="zh-CN"/>
        </w:rPr>
        <w:t>MY-</w:t>
      </w:r>
      <w:r>
        <w:rPr>
          <w:rFonts w:hint="eastAsia" w:ascii="宋体" w:hAnsi="宋体"/>
          <w:b/>
          <w:color w:val="auto"/>
          <w:sz w:val="32"/>
          <w:szCs w:val="32"/>
          <w:lang w:val="en-US" w:eastAsia="zh-CN"/>
        </w:rPr>
        <w:t>ZL</w:t>
      </w:r>
      <w:r>
        <w:rPr>
          <w:rFonts w:hint="eastAsia" w:ascii="宋体" w:hAnsi="宋体"/>
          <w:b/>
          <w:color w:val="auto"/>
          <w:sz w:val="32"/>
          <w:szCs w:val="32"/>
          <w:lang w:eastAsia="zh-CN"/>
        </w:rPr>
        <w:t>-202</w:t>
      </w:r>
      <w:r>
        <w:rPr>
          <w:rFonts w:hint="eastAsia" w:ascii="宋体" w:hAnsi="宋体"/>
          <w:b/>
          <w:color w:val="auto"/>
          <w:sz w:val="32"/>
          <w:szCs w:val="32"/>
          <w:lang w:val="en-US" w:eastAsia="zh-CN"/>
        </w:rPr>
        <w:t>604-01</w:t>
      </w:r>
    </w:p>
    <w:p w14:paraId="30B5F145">
      <w:pPr>
        <w:spacing w:line="360" w:lineRule="auto"/>
        <w:jc w:val="center"/>
        <w:rPr>
          <w:rFonts w:hint="eastAsia" w:ascii="方正小标宋简体" w:hAnsi="方正小标宋简体" w:eastAsia="方正小标宋简体"/>
          <w:b/>
          <w:sz w:val="44"/>
          <w:szCs w:val="44"/>
        </w:rPr>
      </w:pPr>
    </w:p>
    <w:p w14:paraId="144D7121">
      <w:pPr>
        <w:spacing w:line="360" w:lineRule="auto"/>
        <w:jc w:val="center"/>
        <w:rPr>
          <w:rFonts w:hint="eastAsia" w:ascii="方正小标宋简体" w:hAnsi="方正小标宋简体" w:eastAsia="方正小标宋简体"/>
          <w:b/>
          <w:sz w:val="44"/>
          <w:szCs w:val="44"/>
        </w:rPr>
      </w:pPr>
    </w:p>
    <w:p w14:paraId="397AC18C">
      <w:pPr>
        <w:spacing w:line="600" w:lineRule="auto"/>
        <w:jc w:val="center"/>
        <w:rPr>
          <w:rFonts w:hint="eastAsia" w:ascii="黑体" w:hAnsi="黑体" w:eastAsia="黑体" w:cs="宋体"/>
          <w:sz w:val="44"/>
          <w:szCs w:val="44"/>
          <w:lang w:eastAsia="zh-CN"/>
        </w:rPr>
      </w:pPr>
      <w:r>
        <w:rPr>
          <w:rFonts w:hint="eastAsia" w:ascii="黑体" w:hAnsi="黑体" w:eastAsia="黑体" w:cs="宋体"/>
          <w:sz w:val="44"/>
          <w:szCs w:val="44"/>
          <w:lang w:eastAsia="zh-CN"/>
        </w:rPr>
        <w:t>中粮米业（</w:t>
      </w:r>
      <w:r>
        <w:rPr>
          <w:rFonts w:hint="eastAsia" w:ascii="黑体" w:hAnsi="黑体" w:eastAsia="黑体" w:cs="宋体"/>
          <w:sz w:val="44"/>
          <w:szCs w:val="44"/>
          <w:lang w:val="en-US" w:eastAsia="zh-CN"/>
        </w:rPr>
        <w:t>五常</w:t>
      </w:r>
      <w:r>
        <w:rPr>
          <w:rFonts w:hint="eastAsia" w:ascii="黑体" w:hAnsi="黑体" w:eastAsia="黑体" w:cs="宋体"/>
          <w:sz w:val="44"/>
          <w:szCs w:val="44"/>
          <w:lang w:eastAsia="zh-CN"/>
        </w:rPr>
        <w:t>)有限公司</w:t>
      </w:r>
    </w:p>
    <w:p w14:paraId="34CD2255">
      <w:pPr>
        <w:spacing w:line="600" w:lineRule="auto"/>
        <w:jc w:val="center"/>
        <w:rPr>
          <w:rFonts w:hint="eastAsia" w:ascii="黑体" w:hAnsi="黑体" w:eastAsia="黑体"/>
          <w:snapToGrid w:val="0"/>
          <w:sz w:val="44"/>
          <w:szCs w:val="44"/>
          <w:lang w:eastAsia="zh-CN"/>
        </w:rPr>
      </w:pPr>
      <w:r>
        <w:rPr>
          <w:rFonts w:hint="eastAsia" w:ascii="黑体" w:hAnsi="黑体" w:eastAsia="黑体" w:cs="宋体"/>
          <w:color w:val="auto"/>
          <w:sz w:val="44"/>
          <w:szCs w:val="44"/>
          <w:lang w:eastAsia="zh-CN"/>
        </w:rPr>
        <w:t>竞价采</w:t>
      </w:r>
      <w:r>
        <w:rPr>
          <w:rFonts w:hint="eastAsia" w:ascii="黑体" w:hAnsi="黑体" w:eastAsia="黑体" w:cs="宋体"/>
          <w:sz w:val="44"/>
          <w:szCs w:val="44"/>
          <w:lang w:eastAsia="zh-CN"/>
        </w:rPr>
        <w:t>购文件</w:t>
      </w:r>
    </w:p>
    <w:p w14:paraId="2E84A6B4">
      <w:pPr>
        <w:spacing w:line="480" w:lineRule="exact"/>
        <w:ind w:firstLine="630" w:firstLineChars="196"/>
        <w:rPr>
          <w:rFonts w:hint="eastAsia" w:ascii="宋体" w:hAnsi="宋体"/>
          <w:b/>
          <w:color w:val="000000"/>
          <w:sz w:val="32"/>
          <w:szCs w:val="32"/>
          <w:lang w:eastAsia="zh-CN"/>
        </w:rPr>
      </w:pPr>
    </w:p>
    <w:p w14:paraId="107C0BCA">
      <w:pPr>
        <w:pStyle w:val="36"/>
        <w:ind w:firstLine="400"/>
        <w:rPr>
          <w:rFonts w:hint="eastAsia" w:ascii="宋体" w:eastAsia="宋体"/>
          <w:lang w:eastAsia="zh-CN"/>
        </w:rPr>
      </w:pPr>
    </w:p>
    <w:p w14:paraId="30C9B544">
      <w:pPr>
        <w:pStyle w:val="36"/>
        <w:ind w:firstLine="400"/>
        <w:rPr>
          <w:rFonts w:hint="eastAsia" w:ascii="宋体" w:eastAsia="宋体"/>
          <w:lang w:eastAsia="zh-CN"/>
        </w:rPr>
      </w:pPr>
    </w:p>
    <w:p w14:paraId="6F2F6914">
      <w:pPr>
        <w:pStyle w:val="36"/>
        <w:ind w:firstLine="400"/>
        <w:rPr>
          <w:rFonts w:hint="eastAsia" w:ascii="宋体" w:eastAsia="宋体"/>
          <w:lang w:eastAsia="zh-CN"/>
        </w:rPr>
      </w:pPr>
    </w:p>
    <w:p w14:paraId="0381C507">
      <w:pPr>
        <w:spacing w:line="360" w:lineRule="auto"/>
        <w:jc w:val="center"/>
        <w:rPr>
          <w:rFonts w:hint="eastAsia" w:ascii="宋体" w:hAnsi="宋体"/>
          <w:b/>
          <w:color w:val="FF0000"/>
          <w:sz w:val="72"/>
          <w:szCs w:val="72"/>
          <w:lang w:eastAsia="zh-CN"/>
        </w:rPr>
      </w:pPr>
      <w:bookmarkStart w:id="0" w:name="_Hlk72092722"/>
      <w:r>
        <w:rPr>
          <w:rFonts w:hint="eastAsia" w:ascii="宋体" w:hAnsi="宋体"/>
          <w:b/>
          <w:color w:val="auto"/>
          <w:sz w:val="72"/>
          <w:szCs w:val="72"/>
          <w:lang w:eastAsia="zh-CN"/>
        </w:rPr>
        <w:t>有害生物防治业务项目</w:t>
      </w:r>
    </w:p>
    <w:bookmarkEnd w:id="0"/>
    <w:p w14:paraId="57BC0576">
      <w:pPr>
        <w:spacing w:line="480" w:lineRule="exact"/>
        <w:ind w:left="1618" w:leftChars="177" w:hanging="1193" w:hangingChars="396"/>
        <w:jc w:val="center"/>
        <w:rPr>
          <w:rFonts w:hint="eastAsia" w:ascii="宋体" w:hAnsi="宋体"/>
          <w:b/>
          <w:color w:val="000000"/>
          <w:sz w:val="30"/>
          <w:szCs w:val="30"/>
          <w:lang w:eastAsia="zh-CN"/>
        </w:rPr>
      </w:pPr>
    </w:p>
    <w:p w14:paraId="5E459C87">
      <w:pPr>
        <w:spacing w:line="480" w:lineRule="exact"/>
        <w:ind w:left="1697" w:leftChars="177" w:hanging="1272" w:hangingChars="396"/>
        <w:jc w:val="center"/>
        <w:rPr>
          <w:rFonts w:hint="eastAsia" w:ascii="宋体" w:hAnsi="宋体"/>
          <w:b/>
          <w:color w:val="000000"/>
          <w:sz w:val="32"/>
          <w:szCs w:val="32"/>
          <w:lang w:eastAsia="zh-CN"/>
        </w:rPr>
      </w:pPr>
    </w:p>
    <w:p w14:paraId="75B53319">
      <w:pPr>
        <w:pStyle w:val="36"/>
        <w:ind w:left="1692" w:leftChars="177" w:hanging="1267" w:hangingChars="396"/>
        <w:rPr>
          <w:rFonts w:hint="eastAsia" w:ascii="宋体" w:eastAsia="宋体"/>
          <w:sz w:val="32"/>
          <w:szCs w:val="32"/>
          <w:lang w:eastAsia="zh-CN"/>
        </w:rPr>
      </w:pPr>
    </w:p>
    <w:p w14:paraId="0988F754">
      <w:pPr>
        <w:pStyle w:val="36"/>
        <w:ind w:firstLine="640"/>
        <w:rPr>
          <w:rFonts w:hint="eastAsia" w:ascii="宋体" w:eastAsia="宋体"/>
          <w:sz w:val="32"/>
          <w:szCs w:val="32"/>
          <w:lang w:eastAsia="zh-CN"/>
        </w:rPr>
      </w:pPr>
    </w:p>
    <w:p w14:paraId="72D705DD">
      <w:pPr>
        <w:spacing w:line="360" w:lineRule="auto"/>
        <w:rPr>
          <w:rFonts w:hint="eastAsia" w:ascii="宋体" w:hAnsi="宋体"/>
          <w:b/>
          <w:color w:val="000000"/>
          <w:sz w:val="36"/>
          <w:szCs w:val="36"/>
          <w:lang w:eastAsia="zh-CN"/>
        </w:rPr>
      </w:pPr>
    </w:p>
    <w:p w14:paraId="120FDC59">
      <w:pPr>
        <w:spacing w:line="360" w:lineRule="auto"/>
        <w:ind w:left="1856" w:leftChars="177" w:hanging="1431" w:hangingChars="396"/>
        <w:rPr>
          <w:rFonts w:hint="eastAsia" w:ascii="宋体" w:hAnsi="宋体"/>
          <w:b/>
          <w:color w:val="000000"/>
          <w:sz w:val="36"/>
          <w:szCs w:val="36"/>
          <w:lang w:eastAsia="zh-CN"/>
        </w:rPr>
      </w:pPr>
    </w:p>
    <w:p w14:paraId="7492FDA1">
      <w:pPr>
        <w:spacing w:line="360" w:lineRule="auto"/>
        <w:ind w:left="1856" w:leftChars="177" w:hanging="1431" w:hangingChars="396"/>
        <w:rPr>
          <w:rFonts w:hint="eastAsia" w:ascii="宋体" w:hAnsi="宋体"/>
          <w:b/>
          <w:color w:val="auto"/>
          <w:sz w:val="36"/>
          <w:szCs w:val="36"/>
          <w:lang w:eastAsia="zh-CN"/>
        </w:rPr>
      </w:pPr>
    </w:p>
    <w:p w14:paraId="55EB9ADA">
      <w:pPr>
        <w:spacing w:line="480" w:lineRule="exact"/>
        <w:jc w:val="center"/>
        <w:rPr>
          <w:rFonts w:hint="eastAsia" w:ascii="宋体" w:hAnsi="宋体"/>
          <w:b/>
          <w:color w:val="000000"/>
          <w:sz w:val="30"/>
          <w:szCs w:val="30"/>
          <w:lang w:eastAsia="zh-CN"/>
        </w:rPr>
      </w:pPr>
    </w:p>
    <w:p w14:paraId="7116BCB0">
      <w:pPr>
        <w:spacing w:line="480" w:lineRule="auto"/>
        <w:jc w:val="center"/>
        <w:rPr>
          <w:rFonts w:hint="eastAsia" w:ascii="宋体" w:hAnsi="宋体"/>
          <w:b/>
          <w:color w:val="000000"/>
          <w:sz w:val="36"/>
          <w:szCs w:val="36"/>
          <w:lang w:eastAsia="zh-CN"/>
        </w:rPr>
      </w:pPr>
      <w:r>
        <w:rPr>
          <w:rFonts w:hint="eastAsia" w:ascii="宋体" w:hAnsi="宋体"/>
          <w:b/>
          <w:color w:val="000000"/>
          <w:sz w:val="36"/>
          <w:szCs w:val="36"/>
          <w:lang w:eastAsia="zh-CN"/>
        </w:rPr>
        <w:t>中粮米业（</w:t>
      </w:r>
      <w:r>
        <w:rPr>
          <w:rFonts w:hint="eastAsia" w:ascii="宋体" w:hAnsi="宋体"/>
          <w:b/>
          <w:color w:val="000000"/>
          <w:sz w:val="36"/>
          <w:szCs w:val="36"/>
          <w:lang w:val="en-US" w:eastAsia="zh-CN"/>
        </w:rPr>
        <w:t>五常</w:t>
      </w:r>
      <w:r>
        <w:rPr>
          <w:rFonts w:hint="eastAsia" w:ascii="宋体" w:hAnsi="宋体"/>
          <w:b/>
          <w:color w:val="000000"/>
          <w:sz w:val="36"/>
          <w:szCs w:val="36"/>
          <w:lang w:eastAsia="zh-CN"/>
        </w:rPr>
        <w:t>）有限公司</w:t>
      </w:r>
    </w:p>
    <w:p w14:paraId="160F04AF">
      <w:pPr>
        <w:spacing w:line="480" w:lineRule="auto"/>
        <w:jc w:val="center"/>
        <w:rPr>
          <w:rFonts w:hint="eastAsia" w:ascii="宋体" w:hAnsi="宋体"/>
          <w:b/>
          <w:position w:val="16"/>
          <w:sz w:val="36"/>
          <w:szCs w:val="36"/>
          <w:lang w:eastAsia="zh-CN"/>
        </w:rPr>
        <w:sectPr>
          <w:footerReference r:id="rId3" w:type="default"/>
          <w:pgSz w:w="11906" w:h="16838"/>
          <w:pgMar w:top="1440" w:right="1474" w:bottom="1440" w:left="1474" w:header="851" w:footer="992" w:gutter="0"/>
          <w:pgNumType w:start="1"/>
          <w:cols w:space="720" w:num="1"/>
          <w:docGrid w:type="lines" w:linePitch="312" w:charSpace="0"/>
        </w:sectPr>
      </w:pPr>
      <w:r>
        <w:rPr>
          <w:rFonts w:hint="eastAsia" w:ascii="宋体" w:hAnsi="宋体"/>
          <w:b/>
          <w:color w:val="auto"/>
          <w:sz w:val="36"/>
          <w:szCs w:val="36"/>
          <w:lang w:eastAsia="zh-CN"/>
        </w:rPr>
        <w:t>202</w:t>
      </w:r>
      <w:r>
        <w:rPr>
          <w:rFonts w:hint="eastAsia" w:ascii="宋体" w:hAnsi="宋体"/>
          <w:b/>
          <w:color w:val="auto"/>
          <w:sz w:val="36"/>
          <w:szCs w:val="36"/>
          <w:lang w:val="en-US" w:eastAsia="zh-CN"/>
        </w:rPr>
        <w:t>6</w:t>
      </w:r>
      <w:r>
        <w:rPr>
          <w:rFonts w:hint="eastAsia" w:ascii="宋体" w:hAnsi="宋体"/>
          <w:b/>
          <w:color w:val="auto"/>
          <w:sz w:val="36"/>
          <w:szCs w:val="36"/>
          <w:lang w:eastAsia="zh-CN"/>
        </w:rPr>
        <w:t>年</w:t>
      </w:r>
      <w:r>
        <w:rPr>
          <w:rFonts w:hint="eastAsia" w:ascii="宋体" w:hAnsi="宋体"/>
          <w:b/>
          <w:color w:val="auto"/>
          <w:sz w:val="36"/>
          <w:szCs w:val="36"/>
          <w:lang w:val="en-US" w:eastAsia="zh-CN"/>
        </w:rPr>
        <w:t>4</w:t>
      </w:r>
      <w:r>
        <w:rPr>
          <w:rFonts w:hint="eastAsia" w:ascii="宋体" w:hAnsi="宋体"/>
          <w:b/>
          <w:color w:val="auto"/>
          <w:sz w:val="36"/>
          <w:szCs w:val="36"/>
          <w:lang w:eastAsia="zh-CN"/>
        </w:rPr>
        <w:t>月</w:t>
      </w:r>
      <w:r>
        <w:rPr>
          <w:rFonts w:hint="eastAsia" w:ascii="宋体" w:hAnsi="宋体"/>
          <w:b/>
          <w:color w:val="FF0000"/>
          <w:sz w:val="36"/>
          <w:szCs w:val="36"/>
          <w:lang w:eastAsia="zh-CN"/>
        </w:rPr>
        <w:t xml:space="preserve"> </w:t>
      </w:r>
    </w:p>
    <w:p w14:paraId="5B71D120">
      <w:pPr>
        <w:spacing w:line="360" w:lineRule="auto"/>
        <w:jc w:val="center"/>
        <w:rPr>
          <w:rFonts w:ascii="宋体" w:hAnsi="宋体"/>
          <w:b/>
          <w:position w:val="16"/>
          <w:sz w:val="36"/>
          <w:lang w:eastAsia="zh-CN"/>
        </w:rPr>
      </w:pPr>
    </w:p>
    <w:p w14:paraId="46E785B4">
      <w:pPr>
        <w:spacing w:line="360" w:lineRule="auto"/>
        <w:jc w:val="center"/>
        <w:rPr>
          <w:rFonts w:ascii="黑体" w:hAnsi="黑体" w:eastAsia="黑体"/>
          <w:b/>
          <w:position w:val="16"/>
          <w:sz w:val="44"/>
          <w:szCs w:val="32"/>
          <w:lang w:eastAsia="zh-CN"/>
        </w:rPr>
      </w:pPr>
      <w:r>
        <w:rPr>
          <w:rFonts w:hint="eastAsia" w:ascii="黑体" w:hAnsi="黑体" w:eastAsia="黑体"/>
          <w:b/>
          <w:position w:val="16"/>
          <w:sz w:val="44"/>
          <w:szCs w:val="32"/>
          <w:lang w:eastAsia="zh-CN"/>
        </w:rPr>
        <w:t>目录</w:t>
      </w:r>
    </w:p>
    <w:p w14:paraId="4C89587A">
      <w:pPr>
        <w:spacing w:line="360" w:lineRule="auto"/>
        <w:jc w:val="center"/>
        <w:rPr>
          <w:rFonts w:ascii="宋体" w:hAnsi="宋体"/>
          <w:position w:val="16"/>
          <w:sz w:val="40"/>
          <w:szCs w:val="28"/>
          <w:lang w:eastAsia="zh-CN"/>
        </w:rPr>
      </w:pPr>
    </w:p>
    <w:p w14:paraId="3EB1DA5E">
      <w:pPr>
        <w:snapToGrid w:val="0"/>
        <w:spacing w:line="360" w:lineRule="auto"/>
        <w:rPr>
          <w:rFonts w:ascii="宋体" w:hAnsi="宋体"/>
          <w:b/>
          <w:position w:val="16"/>
          <w:sz w:val="32"/>
          <w:szCs w:val="32"/>
          <w:lang w:eastAsia="zh-CN"/>
        </w:rPr>
      </w:pPr>
      <w:r>
        <w:rPr>
          <w:rFonts w:hint="eastAsia" w:ascii="宋体" w:hAnsi="宋体"/>
          <w:b/>
          <w:position w:val="16"/>
          <w:sz w:val="32"/>
          <w:szCs w:val="32"/>
          <w:lang w:eastAsia="zh-CN"/>
        </w:rPr>
        <w:t>第一部分   竞价采购邀请书</w:t>
      </w:r>
    </w:p>
    <w:p w14:paraId="53E8370D">
      <w:pPr>
        <w:snapToGrid w:val="0"/>
        <w:spacing w:line="360" w:lineRule="auto"/>
        <w:rPr>
          <w:rFonts w:ascii="宋体" w:hAnsi="宋体"/>
          <w:b/>
          <w:position w:val="16"/>
          <w:sz w:val="32"/>
          <w:szCs w:val="32"/>
          <w:lang w:eastAsia="zh-CN"/>
        </w:rPr>
      </w:pPr>
      <w:r>
        <w:rPr>
          <w:rFonts w:hint="eastAsia" w:ascii="宋体" w:hAnsi="宋体"/>
          <w:b/>
          <w:position w:val="16"/>
          <w:sz w:val="32"/>
          <w:szCs w:val="32"/>
          <w:lang w:eastAsia="zh-CN"/>
        </w:rPr>
        <w:t xml:space="preserve">第二部分   供应商须知 </w:t>
      </w:r>
    </w:p>
    <w:p w14:paraId="48D6CA8C">
      <w:pPr>
        <w:snapToGrid w:val="0"/>
        <w:spacing w:line="360" w:lineRule="auto"/>
        <w:rPr>
          <w:rFonts w:hint="eastAsia" w:ascii="宋体" w:hAnsi="宋体"/>
          <w:b/>
          <w:position w:val="16"/>
          <w:sz w:val="32"/>
          <w:szCs w:val="32"/>
          <w:lang w:eastAsia="zh-CN"/>
        </w:rPr>
      </w:pPr>
      <w:r>
        <w:rPr>
          <w:rFonts w:hint="eastAsia" w:ascii="宋体" w:hAnsi="宋体"/>
          <w:b/>
          <w:position w:val="16"/>
          <w:sz w:val="32"/>
          <w:szCs w:val="32"/>
          <w:lang w:eastAsia="zh-CN"/>
        </w:rPr>
        <w:t>第三部分   采购主要内容及要求</w:t>
      </w:r>
    </w:p>
    <w:p w14:paraId="1173EC0B">
      <w:pPr>
        <w:snapToGrid w:val="0"/>
        <w:spacing w:line="360" w:lineRule="auto"/>
        <w:rPr>
          <w:rFonts w:hint="default" w:ascii="宋体" w:hAnsi="宋体"/>
          <w:b/>
          <w:position w:val="16"/>
          <w:sz w:val="32"/>
          <w:szCs w:val="32"/>
          <w:lang w:val="en-US" w:eastAsia="zh-CN"/>
        </w:rPr>
      </w:pPr>
      <w:r>
        <w:rPr>
          <w:rFonts w:hint="eastAsia" w:ascii="宋体" w:hAnsi="宋体"/>
          <w:b/>
          <w:position w:val="16"/>
          <w:sz w:val="32"/>
          <w:szCs w:val="32"/>
          <w:lang w:val="en-US" w:eastAsia="zh-CN"/>
        </w:rPr>
        <w:t xml:space="preserve">第四部分   </w:t>
      </w:r>
      <w:r>
        <w:rPr>
          <w:rFonts w:hint="eastAsia" w:ascii="宋体" w:hAnsi="宋体"/>
          <w:b/>
          <w:position w:val="16"/>
          <w:sz w:val="32"/>
          <w:szCs w:val="32"/>
          <w:lang w:eastAsia="zh-CN"/>
        </w:rPr>
        <w:t>拟签订协议主要条款</w:t>
      </w:r>
    </w:p>
    <w:p w14:paraId="4FA516AF">
      <w:pPr>
        <w:snapToGrid w:val="0"/>
        <w:spacing w:line="360" w:lineRule="auto"/>
        <w:rPr>
          <w:rFonts w:ascii="宋体" w:hAnsi="宋体"/>
          <w:position w:val="16"/>
          <w:sz w:val="28"/>
          <w:szCs w:val="28"/>
          <w:lang w:eastAsia="zh-CN"/>
        </w:rPr>
      </w:pPr>
      <w:r>
        <w:rPr>
          <w:rFonts w:hint="eastAsia" w:ascii="宋体" w:hAnsi="宋体"/>
          <w:b/>
          <w:position w:val="16"/>
          <w:sz w:val="32"/>
          <w:szCs w:val="32"/>
          <w:lang w:eastAsia="zh-CN"/>
        </w:rPr>
        <w:t>第</w:t>
      </w:r>
      <w:r>
        <w:rPr>
          <w:rFonts w:hint="eastAsia" w:ascii="宋体" w:hAnsi="宋体"/>
          <w:b/>
          <w:position w:val="16"/>
          <w:sz w:val="32"/>
          <w:szCs w:val="32"/>
          <w:lang w:val="en-US" w:eastAsia="zh-CN"/>
        </w:rPr>
        <w:t>五</w:t>
      </w:r>
      <w:r>
        <w:rPr>
          <w:rFonts w:hint="eastAsia" w:ascii="宋体" w:hAnsi="宋体"/>
          <w:b/>
          <w:position w:val="16"/>
          <w:sz w:val="32"/>
          <w:szCs w:val="32"/>
          <w:lang w:eastAsia="zh-CN"/>
        </w:rPr>
        <w:t xml:space="preserve">部分   附件-响应文件格式 </w:t>
      </w:r>
    </w:p>
    <w:p w14:paraId="0FE6F42E">
      <w:pPr>
        <w:spacing w:line="360" w:lineRule="auto"/>
        <w:jc w:val="both"/>
        <w:rPr>
          <w:rFonts w:ascii="宋体" w:hAnsi="宋体"/>
          <w:position w:val="16"/>
          <w:sz w:val="28"/>
          <w:szCs w:val="28"/>
          <w:lang w:eastAsia="zh-CN"/>
        </w:rPr>
      </w:pPr>
    </w:p>
    <w:p w14:paraId="50910DAA">
      <w:pPr>
        <w:spacing w:line="360" w:lineRule="auto"/>
        <w:jc w:val="both"/>
        <w:rPr>
          <w:rFonts w:ascii="宋体" w:hAnsi="宋体"/>
          <w:position w:val="16"/>
          <w:lang w:eastAsia="zh-CN"/>
        </w:rPr>
        <w:sectPr>
          <w:footerReference r:id="rId4" w:type="default"/>
          <w:pgSz w:w="11906" w:h="16838"/>
          <w:pgMar w:top="1440" w:right="1474" w:bottom="1440" w:left="1474" w:header="851" w:footer="992" w:gutter="0"/>
          <w:pgNumType w:start="1"/>
          <w:cols w:space="720" w:num="1"/>
          <w:docGrid w:linePitch="312" w:charSpace="0"/>
        </w:sectPr>
      </w:pPr>
    </w:p>
    <w:p w14:paraId="00C8C71F">
      <w:pPr>
        <w:jc w:val="center"/>
        <w:rPr>
          <w:rFonts w:ascii="黑体" w:hAnsi="黑体" w:eastAsia="黑体"/>
          <w:bCs/>
          <w:sz w:val="36"/>
          <w:lang w:eastAsia="zh-CN"/>
        </w:rPr>
      </w:pPr>
    </w:p>
    <w:p w14:paraId="02F9330F">
      <w:pPr>
        <w:jc w:val="center"/>
        <w:rPr>
          <w:rFonts w:ascii="黑体" w:hAnsi="黑体" w:eastAsia="黑体"/>
          <w:bCs/>
          <w:kern w:val="2"/>
          <w:lang w:eastAsia="zh-CN"/>
        </w:rPr>
      </w:pPr>
      <w:r>
        <w:rPr>
          <w:rFonts w:hint="eastAsia" w:ascii="黑体" w:hAnsi="黑体" w:eastAsia="黑体"/>
          <w:bCs/>
          <w:sz w:val="36"/>
          <w:lang w:eastAsia="zh-CN"/>
        </w:rPr>
        <w:t>第一部分 采购邀请书</w:t>
      </w:r>
    </w:p>
    <w:p w14:paraId="28CEC6F0">
      <w:pPr>
        <w:pStyle w:val="72"/>
        <w:adjustRightInd w:val="0"/>
        <w:snapToGrid w:val="0"/>
        <w:spacing w:line="360" w:lineRule="auto"/>
        <w:ind w:firstLine="0" w:firstLineChars="0"/>
        <w:jc w:val="both"/>
        <w:rPr>
          <w:b/>
          <w:sz w:val="28"/>
          <w:szCs w:val="28"/>
          <w:u w:val="single"/>
        </w:rPr>
      </w:pPr>
      <w:bookmarkStart w:id="1" w:name="_Hlk147049178"/>
    </w:p>
    <w:p w14:paraId="6BC8233B">
      <w:pPr>
        <w:spacing w:line="520" w:lineRule="exact"/>
        <w:ind w:firstLine="560" w:firstLineChars="200"/>
        <w:jc w:val="both"/>
        <w:rPr>
          <w:rFonts w:ascii="宋体" w:hAnsi="宋体"/>
          <w:kern w:val="2"/>
          <w:sz w:val="28"/>
          <w:szCs w:val="28"/>
          <w:lang w:eastAsia="zh-CN"/>
        </w:rPr>
      </w:pPr>
      <w:r>
        <w:rPr>
          <w:rFonts w:hint="eastAsia" w:ascii="宋体" w:hAnsi="宋体"/>
          <w:kern w:val="2"/>
          <w:sz w:val="28"/>
          <w:szCs w:val="28"/>
          <w:lang w:eastAsia="zh-CN"/>
        </w:rPr>
        <w:t>中粮米业</w:t>
      </w:r>
      <w:r>
        <w:rPr>
          <w:rFonts w:hint="eastAsia" w:ascii="宋体" w:hAnsi="宋体"/>
          <w:color w:val="000000" w:themeColor="text1"/>
          <w:kern w:val="2"/>
          <w:sz w:val="28"/>
          <w:szCs w:val="28"/>
          <w:lang w:eastAsia="zh-CN"/>
          <w14:textFill>
            <w14:solidFill>
              <w14:schemeClr w14:val="tx1"/>
            </w14:solidFill>
          </w14:textFill>
        </w:rPr>
        <w:t>（</w:t>
      </w:r>
      <w:r>
        <w:rPr>
          <w:rFonts w:hint="eastAsia" w:ascii="宋体" w:hAnsi="宋体"/>
          <w:color w:val="000000" w:themeColor="text1"/>
          <w:kern w:val="2"/>
          <w:sz w:val="28"/>
          <w:szCs w:val="28"/>
          <w:lang w:val="en-US" w:eastAsia="zh-CN"/>
          <w14:textFill>
            <w14:solidFill>
              <w14:schemeClr w14:val="tx1"/>
            </w14:solidFill>
          </w14:textFill>
        </w:rPr>
        <w:t>五常</w:t>
      </w:r>
      <w:r>
        <w:rPr>
          <w:rFonts w:hint="eastAsia" w:ascii="宋体" w:hAnsi="宋体"/>
          <w:color w:val="000000" w:themeColor="text1"/>
          <w:kern w:val="2"/>
          <w:sz w:val="28"/>
          <w:szCs w:val="28"/>
          <w:lang w:eastAsia="zh-CN"/>
          <w14:textFill>
            <w14:solidFill>
              <w14:schemeClr w14:val="tx1"/>
            </w14:solidFill>
          </w14:textFill>
        </w:rPr>
        <w:t>)</w:t>
      </w:r>
      <w:r>
        <w:rPr>
          <w:rFonts w:hint="eastAsia" w:ascii="宋体" w:hAnsi="宋体"/>
          <w:kern w:val="2"/>
          <w:sz w:val="28"/>
          <w:szCs w:val="28"/>
          <w:lang w:eastAsia="zh-CN"/>
        </w:rPr>
        <w:t>有限公司拟对本公司的</w:t>
      </w:r>
      <w:r>
        <w:rPr>
          <w:rFonts w:hint="eastAsia" w:ascii="宋体" w:hAnsi="宋体"/>
          <w:b/>
          <w:bCs/>
          <w:color w:val="000000" w:themeColor="text1"/>
          <w:kern w:val="2"/>
          <w:sz w:val="28"/>
          <w:szCs w:val="28"/>
          <w:u w:val="single"/>
          <w:lang w:val="en-US" w:eastAsia="zh-CN"/>
          <w14:textFill>
            <w14:solidFill>
              <w14:schemeClr w14:val="tx1"/>
            </w14:solidFill>
          </w14:textFill>
        </w:rPr>
        <w:t>有害生物防治</w:t>
      </w:r>
      <w:r>
        <w:rPr>
          <w:rFonts w:hint="eastAsia" w:ascii="宋体" w:hAnsi="宋体"/>
          <w:kern w:val="2"/>
          <w:sz w:val="28"/>
          <w:szCs w:val="28"/>
          <w:lang w:eastAsia="zh-CN"/>
        </w:rPr>
        <w:t>采用</w:t>
      </w:r>
      <w:r>
        <w:rPr>
          <w:rFonts w:hint="eastAsia" w:ascii="宋体" w:hAnsi="宋体"/>
          <w:b/>
          <w:bCs/>
          <w:color w:val="000000" w:themeColor="text1"/>
          <w:kern w:val="2"/>
          <w:sz w:val="28"/>
          <w:szCs w:val="28"/>
          <w:u w:val="single"/>
          <w:lang w:eastAsia="zh-CN"/>
          <w14:textFill>
            <w14:solidFill>
              <w14:schemeClr w14:val="tx1"/>
            </w14:solidFill>
          </w14:textFill>
        </w:rPr>
        <w:t>竞价采购</w:t>
      </w:r>
      <w:r>
        <w:rPr>
          <w:rFonts w:hint="eastAsia" w:ascii="宋体" w:hAnsi="宋体"/>
          <w:kern w:val="2"/>
          <w:sz w:val="28"/>
          <w:szCs w:val="28"/>
          <w:lang w:eastAsia="zh-CN"/>
        </w:rPr>
        <w:t>方式进行采购，</w:t>
      </w:r>
      <w:r>
        <w:rPr>
          <w:rFonts w:hint="eastAsia" w:ascii="宋体" w:hAnsi="宋体"/>
          <w:kern w:val="2"/>
          <w:sz w:val="28"/>
          <w:szCs w:val="28"/>
          <w:lang w:val="en-US" w:eastAsia="zh-CN"/>
        </w:rPr>
        <w:t>诚邀各位供应商前来</w:t>
      </w:r>
      <w:r>
        <w:rPr>
          <w:rFonts w:hint="eastAsia" w:ascii="宋体" w:hAnsi="宋体"/>
          <w:kern w:val="2"/>
          <w:sz w:val="28"/>
          <w:szCs w:val="28"/>
          <w:lang w:eastAsia="zh-CN"/>
        </w:rPr>
        <w:t>参加本项目的采购。</w:t>
      </w:r>
    </w:p>
    <w:p w14:paraId="7EB0E7AE">
      <w:pPr>
        <w:numPr>
          <w:ilvl w:val="0"/>
          <w:numId w:val="0"/>
        </w:numPr>
        <w:ind w:firstLine="562" w:firstLineChars="200"/>
        <w:rPr>
          <w:rFonts w:hint="eastAsia" w:ascii="宋体" w:hAnsi="宋体"/>
          <w:color w:val="000000" w:themeColor="text1"/>
          <w:kern w:val="2"/>
          <w:sz w:val="28"/>
          <w:szCs w:val="28"/>
          <w:lang w:eastAsia="zh-CN"/>
          <w14:textFill>
            <w14:solidFill>
              <w14:schemeClr w14:val="tx1"/>
            </w14:solidFill>
          </w14:textFill>
        </w:rPr>
      </w:pPr>
      <w:r>
        <w:rPr>
          <w:rFonts w:hint="eastAsia" w:ascii="宋体" w:hAnsi="宋体"/>
          <w:b/>
          <w:bCs/>
          <w:kern w:val="2"/>
          <w:sz w:val="28"/>
          <w:szCs w:val="28"/>
          <w:lang w:val="en-US" w:eastAsia="zh-CN"/>
        </w:rPr>
        <w:t>1.</w:t>
      </w:r>
      <w:r>
        <w:rPr>
          <w:rFonts w:hint="eastAsia" w:ascii="宋体" w:hAnsi="宋体"/>
          <w:b/>
          <w:bCs/>
          <w:kern w:val="2"/>
          <w:sz w:val="28"/>
          <w:szCs w:val="28"/>
          <w:lang w:eastAsia="zh-CN"/>
        </w:rPr>
        <w:t>采购内容：</w:t>
      </w:r>
      <w:bookmarkStart w:id="2" w:name="_Hlk147048644"/>
      <w:bookmarkStart w:id="3" w:name="_Hlk72092821"/>
      <w:r>
        <w:rPr>
          <w:rFonts w:hint="eastAsia" w:ascii="宋体" w:hAnsi="宋体"/>
          <w:kern w:val="2"/>
          <w:sz w:val="28"/>
          <w:szCs w:val="28"/>
          <w:lang w:eastAsia="zh-CN"/>
        </w:rPr>
        <w:t>中粮米业（</w:t>
      </w:r>
      <w:r>
        <w:rPr>
          <w:rFonts w:hint="eastAsia" w:ascii="宋体" w:hAnsi="宋体"/>
          <w:kern w:val="2"/>
          <w:sz w:val="28"/>
          <w:szCs w:val="28"/>
          <w:lang w:val="en-US" w:eastAsia="zh-CN"/>
        </w:rPr>
        <w:t>五常</w:t>
      </w:r>
      <w:r>
        <w:rPr>
          <w:rFonts w:hint="eastAsia" w:ascii="宋体" w:hAnsi="宋体"/>
          <w:color w:val="000000" w:themeColor="text1"/>
          <w:kern w:val="2"/>
          <w:sz w:val="28"/>
          <w:szCs w:val="28"/>
          <w:lang w:eastAsia="zh-CN"/>
          <w14:textFill>
            <w14:solidFill>
              <w14:schemeClr w14:val="tx1"/>
            </w14:solidFill>
          </w14:textFill>
        </w:rPr>
        <w:t>)</w:t>
      </w:r>
      <w:r>
        <w:rPr>
          <w:rFonts w:hint="eastAsia" w:ascii="宋体" w:hAnsi="宋体"/>
          <w:kern w:val="2"/>
          <w:sz w:val="28"/>
          <w:szCs w:val="28"/>
          <w:lang w:eastAsia="zh-CN"/>
        </w:rPr>
        <w:t>有限公司</w:t>
      </w:r>
      <w:r>
        <w:rPr>
          <w:rFonts w:hint="eastAsia" w:ascii="宋体" w:hAnsi="宋体"/>
          <w:b/>
          <w:bCs/>
          <w:color w:val="000000" w:themeColor="text1"/>
          <w:kern w:val="2"/>
          <w:sz w:val="28"/>
          <w:szCs w:val="28"/>
          <w:u w:val="single"/>
          <w:lang w:val="en-US" w:eastAsia="zh-CN"/>
          <w14:textFill>
            <w14:solidFill>
              <w14:schemeClr w14:val="tx1"/>
            </w14:solidFill>
          </w14:textFill>
        </w:rPr>
        <w:t>有害生物</w:t>
      </w:r>
      <w:r>
        <w:rPr>
          <w:rFonts w:hint="eastAsia" w:ascii="宋体" w:hAnsi="宋体"/>
          <w:b/>
          <w:bCs/>
          <w:color w:val="000000" w:themeColor="text1"/>
          <w:kern w:val="2"/>
          <w:sz w:val="28"/>
          <w:szCs w:val="28"/>
          <w:u w:val="single"/>
          <w:lang w:val="en-US" w:eastAsia="zh-CN"/>
          <w14:textFill>
            <w14:solidFill>
              <w14:schemeClr w14:val="tx1"/>
            </w14:solidFill>
          </w14:textFill>
        </w:rPr>
        <w:t>防治</w:t>
      </w:r>
      <w:r>
        <w:rPr>
          <w:rFonts w:hint="eastAsia" w:ascii="宋体" w:hAnsi="宋体"/>
          <w:color w:val="000000" w:themeColor="text1"/>
          <w:kern w:val="2"/>
          <w:sz w:val="28"/>
          <w:szCs w:val="28"/>
          <w:lang w:eastAsia="zh-CN"/>
          <w14:textFill>
            <w14:solidFill>
              <w14:schemeClr w14:val="tx1"/>
            </w14:solidFill>
          </w14:textFill>
        </w:rPr>
        <w:t>项目的采购</w:t>
      </w:r>
      <w:bookmarkEnd w:id="2"/>
      <w:bookmarkEnd w:id="3"/>
      <w:r>
        <w:rPr>
          <w:rFonts w:hint="eastAsia" w:ascii="宋体" w:hAnsi="宋体"/>
          <w:color w:val="000000" w:themeColor="text1"/>
          <w:kern w:val="2"/>
          <w:sz w:val="28"/>
          <w:szCs w:val="28"/>
          <w:lang w:eastAsia="zh-CN"/>
          <w14:textFill>
            <w14:solidFill>
              <w14:schemeClr w14:val="tx1"/>
            </w14:solidFill>
          </w14:textFill>
        </w:rPr>
        <w:t>。</w:t>
      </w:r>
    </w:p>
    <w:p w14:paraId="4FC89002">
      <w:pPr>
        <w:spacing w:line="520" w:lineRule="exact"/>
        <w:ind w:firstLine="562" w:firstLineChars="200"/>
        <w:jc w:val="both"/>
        <w:rPr>
          <w:rFonts w:hint="default" w:ascii="宋体" w:hAnsi="宋体"/>
          <w:b/>
          <w:bCs/>
          <w:kern w:val="2"/>
          <w:sz w:val="28"/>
          <w:szCs w:val="28"/>
          <w:lang w:val="en-US" w:eastAsia="zh-CN"/>
        </w:rPr>
      </w:pPr>
      <w:r>
        <w:rPr>
          <w:rFonts w:hint="eastAsia" w:ascii="宋体" w:hAnsi="宋体"/>
          <w:b/>
          <w:bCs/>
          <w:kern w:val="2"/>
          <w:sz w:val="28"/>
          <w:szCs w:val="28"/>
          <w:lang w:eastAsia="zh-CN"/>
        </w:rPr>
        <w:t>2.</w:t>
      </w:r>
      <w:r>
        <w:rPr>
          <w:rFonts w:hint="eastAsia" w:ascii="宋体" w:hAnsi="宋体"/>
          <w:b/>
          <w:bCs/>
          <w:kern w:val="2"/>
          <w:sz w:val="28"/>
          <w:szCs w:val="28"/>
          <w:lang w:val="en-US" w:eastAsia="zh-CN"/>
        </w:rPr>
        <w:t>采购范围及相关要求：</w:t>
      </w:r>
    </w:p>
    <w:p w14:paraId="00BE4CCB">
      <w:pPr>
        <w:spacing w:line="520" w:lineRule="exact"/>
        <w:ind w:firstLine="562" w:firstLineChars="200"/>
        <w:jc w:val="both"/>
        <w:rPr>
          <w:rFonts w:hint="eastAsia" w:ascii="宋体" w:hAnsi="宋体"/>
          <w:b/>
          <w:bCs/>
          <w:kern w:val="2"/>
          <w:sz w:val="28"/>
          <w:szCs w:val="28"/>
          <w:highlight w:val="none"/>
          <w:lang w:val="en-US" w:eastAsia="zh-CN"/>
        </w:rPr>
      </w:pPr>
      <w:r>
        <w:rPr>
          <w:rFonts w:hint="eastAsia" w:ascii="宋体" w:hAnsi="宋体"/>
          <w:b/>
          <w:bCs/>
          <w:kern w:val="2"/>
          <w:sz w:val="28"/>
          <w:szCs w:val="28"/>
          <w:highlight w:val="none"/>
          <w:lang w:val="en-US" w:eastAsia="zh-CN"/>
        </w:rPr>
        <w:t>3.供应商资格要求：</w:t>
      </w:r>
    </w:p>
    <w:p w14:paraId="39399590">
      <w:pPr>
        <w:numPr>
          <w:ilvl w:val="0"/>
          <w:numId w:val="0"/>
        </w:numPr>
        <w:spacing w:line="520" w:lineRule="exact"/>
        <w:ind w:left="1140" w:leftChars="0" w:hanging="420" w:firstLineChars="0"/>
        <w:jc w:val="both"/>
        <w:rPr>
          <w:rFonts w:hint="eastAsia"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1.供应商应是在中华人民共和国境内依法注册的独立法人或其他组织，具有独立承担民事责任能力，以及独立订立合同的权利。</w:t>
      </w:r>
    </w:p>
    <w:p w14:paraId="4633AF81">
      <w:pPr>
        <w:numPr>
          <w:ilvl w:val="0"/>
          <w:numId w:val="0"/>
        </w:numPr>
        <w:spacing w:line="520" w:lineRule="exact"/>
        <w:ind w:left="1140" w:leftChars="0" w:hanging="420" w:firstLineChars="0"/>
        <w:jc w:val="both"/>
        <w:rPr>
          <w:rFonts w:hint="default"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2.供应商信誉良好，无信用记录异常、经营风险异常。</w:t>
      </w:r>
      <w:r>
        <w:rPr>
          <w:rFonts w:hint="default" w:ascii="宋体" w:hAnsi="宋体"/>
          <w:b w:val="0"/>
          <w:bCs w:val="0"/>
          <w:kern w:val="2"/>
          <w:sz w:val="28"/>
          <w:szCs w:val="28"/>
          <w:highlight w:val="none"/>
          <w:lang w:val="en-US" w:eastAsia="zh-CN"/>
        </w:rPr>
        <w:t>近3年在经营活动中没有重大违法、安全生产事故记录；</w:t>
      </w:r>
    </w:p>
    <w:p w14:paraId="7A6D28A1">
      <w:pPr>
        <w:numPr>
          <w:ilvl w:val="0"/>
          <w:numId w:val="0"/>
        </w:numPr>
        <w:spacing w:line="520" w:lineRule="exact"/>
        <w:ind w:left="1140" w:leftChars="0" w:hanging="420" w:firstLineChars="0"/>
        <w:jc w:val="both"/>
        <w:rPr>
          <w:rFonts w:hint="eastAsia"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3.单位负责人为同一人或者存在控股、管理关系的不同单位，不得参加同一采购项目。</w:t>
      </w:r>
    </w:p>
    <w:p w14:paraId="2164BC64">
      <w:pPr>
        <w:numPr>
          <w:ilvl w:val="0"/>
          <w:numId w:val="0"/>
        </w:numPr>
        <w:spacing w:line="520" w:lineRule="exact"/>
        <w:ind w:left="1140" w:leftChars="0" w:hanging="420" w:firstLineChars="0"/>
        <w:jc w:val="both"/>
        <w:rPr>
          <w:rFonts w:hint="default"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4.</w:t>
      </w:r>
      <w:r>
        <w:rPr>
          <w:rFonts w:hint="default" w:ascii="宋体" w:hAnsi="宋体"/>
          <w:b w:val="0"/>
          <w:bCs w:val="0"/>
          <w:kern w:val="2"/>
          <w:sz w:val="28"/>
          <w:szCs w:val="28"/>
          <w:highlight w:val="none"/>
          <w:lang w:val="en-US" w:eastAsia="zh-CN"/>
        </w:rPr>
        <w:t>生产经营正常，具备有效的营业执照（加盖单位印章）；</w:t>
      </w:r>
    </w:p>
    <w:p w14:paraId="5A1F2772">
      <w:pPr>
        <w:numPr>
          <w:ilvl w:val="0"/>
          <w:numId w:val="0"/>
        </w:numPr>
        <w:spacing w:line="520" w:lineRule="exact"/>
        <w:ind w:left="1140" w:leftChars="0" w:hanging="420" w:firstLineChars="0"/>
        <w:jc w:val="both"/>
        <w:rPr>
          <w:rFonts w:hint="default" w:ascii="宋体" w:hAnsi="宋体"/>
          <w:b/>
          <w:bCs/>
          <w:kern w:val="2"/>
          <w:sz w:val="28"/>
          <w:szCs w:val="28"/>
          <w:highlight w:val="none"/>
          <w:lang w:val="en-US" w:eastAsia="zh-CN"/>
        </w:rPr>
      </w:pPr>
      <w:r>
        <w:rPr>
          <w:rFonts w:hint="eastAsia" w:ascii="宋体" w:hAnsi="宋体"/>
          <w:b w:val="0"/>
          <w:bCs w:val="0"/>
          <w:kern w:val="2"/>
          <w:sz w:val="28"/>
          <w:szCs w:val="28"/>
          <w:highlight w:val="none"/>
          <w:lang w:val="en-US" w:eastAsia="zh-CN"/>
        </w:rPr>
        <w:t>5.</w:t>
      </w:r>
      <w:r>
        <w:rPr>
          <w:rFonts w:hint="default" w:ascii="宋体" w:hAnsi="宋体"/>
          <w:b w:val="0"/>
          <w:bCs w:val="0"/>
          <w:kern w:val="2"/>
          <w:sz w:val="28"/>
          <w:szCs w:val="28"/>
          <w:highlight w:val="none"/>
          <w:lang w:val="en-US" w:eastAsia="zh-CN"/>
        </w:rPr>
        <w:t>具备履行本项目所必须的单位/人员资质、能力及相关资格要求；</w:t>
      </w:r>
    </w:p>
    <w:p w14:paraId="41CDDE0D">
      <w:pPr>
        <w:numPr>
          <w:ilvl w:val="0"/>
          <w:numId w:val="0"/>
        </w:numPr>
        <w:spacing w:line="520" w:lineRule="exact"/>
        <w:ind w:left="1140" w:leftChars="0" w:hanging="420" w:firstLineChars="0"/>
        <w:jc w:val="both"/>
        <w:rPr>
          <w:rFonts w:hint="default" w:ascii="宋体" w:hAnsi="宋体"/>
          <w:b/>
          <w:bCs/>
          <w:kern w:val="2"/>
          <w:sz w:val="28"/>
          <w:szCs w:val="28"/>
          <w:highlight w:val="none"/>
          <w:lang w:val="en-US" w:eastAsia="zh-CN"/>
        </w:rPr>
      </w:pPr>
      <w:r>
        <w:rPr>
          <w:rFonts w:hint="eastAsia" w:ascii="宋体" w:hAnsi="宋体"/>
          <w:b w:val="0"/>
          <w:bCs w:val="0"/>
          <w:kern w:val="2"/>
          <w:sz w:val="28"/>
          <w:szCs w:val="28"/>
          <w:highlight w:val="none"/>
          <w:lang w:val="en-US" w:eastAsia="zh-CN"/>
        </w:rPr>
        <w:t>6.</w:t>
      </w:r>
      <w:r>
        <w:rPr>
          <w:rFonts w:hint="default" w:ascii="宋体" w:hAnsi="宋体"/>
          <w:b w:val="0"/>
          <w:bCs w:val="0"/>
          <w:kern w:val="2"/>
          <w:sz w:val="28"/>
          <w:szCs w:val="28"/>
          <w:highlight w:val="none"/>
          <w:lang w:val="en-US" w:eastAsia="zh-CN"/>
        </w:rPr>
        <w:t>法律、行政法规规定的其他条件</w:t>
      </w:r>
      <w:r>
        <w:rPr>
          <w:rFonts w:hint="eastAsia" w:ascii="宋体" w:hAnsi="宋体"/>
          <w:b w:val="0"/>
          <w:bCs w:val="0"/>
          <w:kern w:val="2"/>
          <w:sz w:val="28"/>
          <w:szCs w:val="28"/>
          <w:highlight w:val="none"/>
          <w:lang w:val="en-US" w:eastAsia="zh-CN"/>
        </w:rPr>
        <w:t>；</w:t>
      </w:r>
    </w:p>
    <w:p w14:paraId="6B30AA65">
      <w:pPr>
        <w:numPr>
          <w:ilvl w:val="0"/>
          <w:numId w:val="0"/>
        </w:numPr>
        <w:spacing w:line="520" w:lineRule="exact"/>
        <w:ind w:left="1140" w:leftChars="0" w:hanging="420" w:firstLineChars="0"/>
        <w:jc w:val="both"/>
        <w:rPr>
          <w:rFonts w:hint="default"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7.</w:t>
      </w:r>
      <w:r>
        <w:rPr>
          <w:rFonts w:hint="default" w:ascii="宋体" w:hAnsi="宋体"/>
          <w:b w:val="0"/>
          <w:bCs w:val="0"/>
          <w:kern w:val="2"/>
          <w:sz w:val="28"/>
          <w:szCs w:val="28"/>
          <w:highlight w:val="none"/>
          <w:lang w:val="en-US" w:eastAsia="zh-CN"/>
        </w:rPr>
        <w:t>有国家级有害生物防制服务机构服务能力证</w:t>
      </w:r>
      <w:r>
        <w:rPr>
          <w:rFonts w:hint="default" w:ascii="宋体" w:hAnsi="宋体"/>
          <w:b w:val="0"/>
          <w:bCs w:val="0"/>
          <w:kern w:val="2"/>
          <w:sz w:val="28"/>
          <w:szCs w:val="28"/>
          <w:highlight w:val="yellow"/>
          <w:lang w:val="en-US" w:eastAsia="zh-CN"/>
        </w:rPr>
        <w:t>书</w:t>
      </w:r>
      <w:r>
        <w:rPr>
          <w:rFonts w:hint="eastAsia" w:ascii="宋体" w:hAnsi="宋体"/>
          <w:b w:val="0"/>
          <w:bCs w:val="0"/>
          <w:kern w:val="2"/>
          <w:sz w:val="28"/>
          <w:szCs w:val="28"/>
          <w:highlight w:val="yellow"/>
          <w:lang w:val="en-US" w:eastAsia="zh-CN"/>
        </w:rPr>
        <w:t>达到B</w:t>
      </w:r>
      <w:r>
        <w:rPr>
          <w:rFonts w:hint="default" w:ascii="宋体" w:hAnsi="宋体"/>
          <w:b w:val="0"/>
          <w:bCs w:val="0"/>
          <w:kern w:val="2"/>
          <w:sz w:val="28"/>
          <w:szCs w:val="28"/>
          <w:highlight w:val="yellow"/>
          <w:lang w:val="en-US" w:eastAsia="zh-CN"/>
        </w:rPr>
        <w:t>级</w:t>
      </w:r>
      <w:r>
        <w:rPr>
          <w:rFonts w:hint="eastAsia" w:ascii="宋体" w:hAnsi="宋体"/>
          <w:b w:val="0"/>
          <w:bCs w:val="0"/>
          <w:kern w:val="2"/>
          <w:sz w:val="28"/>
          <w:szCs w:val="28"/>
          <w:highlight w:val="yellow"/>
          <w:lang w:val="en-US" w:eastAsia="zh-CN"/>
        </w:rPr>
        <w:t>及以上</w:t>
      </w:r>
      <w:r>
        <w:rPr>
          <w:rFonts w:hint="eastAsia" w:ascii="宋体" w:hAnsi="宋体"/>
          <w:b w:val="0"/>
          <w:bCs w:val="0"/>
          <w:kern w:val="2"/>
          <w:sz w:val="28"/>
          <w:szCs w:val="28"/>
          <w:highlight w:val="none"/>
          <w:lang w:val="en-US" w:eastAsia="zh-CN"/>
        </w:rPr>
        <w:t>；</w:t>
      </w:r>
    </w:p>
    <w:p w14:paraId="08028071">
      <w:pPr>
        <w:numPr>
          <w:ilvl w:val="0"/>
          <w:numId w:val="0"/>
        </w:numPr>
        <w:spacing w:line="520" w:lineRule="exact"/>
        <w:ind w:left="1140" w:leftChars="0" w:hanging="420" w:firstLineChars="0"/>
        <w:jc w:val="both"/>
        <w:rPr>
          <w:rFonts w:hint="default"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8.本项目不接受联合体参加；</w:t>
      </w:r>
    </w:p>
    <w:p w14:paraId="69A193BC">
      <w:pPr>
        <w:numPr>
          <w:ilvl w:val="0"/>
          <w:numId w:val="0"/>
        </w:numPr>
        <w:spacing w:line="520" w:lineRule="exact"/>
        <w:ind w:left="1140" w:leftChars="0" w:hanging="420" w:firstLineChars="0"/>
        <w:jc w:val="both"/>
        <w:rPr>
          <w:rFonts w:hint="eastAsia"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9.本项目不允许转包；</w:t>
      </w:r>
    </w:p>
    <w:p w14:paraId="1B740837">
      <w:pPr>
        <w:numPr>
          <w:ilvl w:val="0"/>
          <w:numId w:val="0"/>
        </w:numPr>
        <w:spacing w:line="520" w:lineRule="exact"/>
        <w:ind w:left="1140" w:leftChars="0" w:hanging="420" w:firstLineChars="0"/>
        <w:jc w:val="both"/>
        <w:rPr>
          <w:rFonts w:hint="default" w:ascii="宋体" w:hAnsi="宋体"/>
          <w:b w:val="0"/>
          <w:bCs w:val="0"/>
          <w:kern w:val="2"/>
          <w:sz w:val="28"/>
          <w:szCs w:val="28"/>
          <w:highlight w:val="none"/>
          <w:lang w:val="en-US" w:eastAsia="zh-CN"/>
        </w:rPr>
      </w:pPr>
      <w:r>
        <w:rPr>
          <w:rFonts w:hint="eastAsia" w:ascii="宋体" w:hAnsi="宋体"/>
          <w:b w:val="0"/>
          <w:bCs w:val="0"/>
          <w:kern w:val="2"/>
          <w:sz w:val="28"/>
          <w:szCs w:val="28"/>
          <w:highlight w:val="none"/>
          <w:lang w:val="en-US" w:eastAsia="zh-CN"/>
        </w:rPr>
        <w:t>10.入厂服务需</w:t>
      </w:r>
      <w:r>
        <w:rPr>
          <w:rFonts w:hint="default" w:ascii="宋体" w:hAnsi="宋体"/>
          <w:b w:val="0"/>
          <w:bCs w:val="0"/>
          <w:kern w:val="2"/>
          <w:sz w:val="28"/>
          <w:szCs w:val="28"/>
          <w:highlight w:val="none"/>
          <w:lang w:val="en-US" w:eastAsia="zh-CN"/>
        </w:rPr>
        <w:t>有</w:t>
      </w:r>
      <w:r>
        <w:rPr>
          <w:rFonts w:hint="eastAsia" w:ascii="宋体" w:hAnsi="宋体"/>
          <w:b w:val="0"/>
          <w:bCs w:val="0"/>
          <w:kern w:val="2"/>
          <w:sz w:val="28"/>
          <w:szCs w:val="28"/>
          <w:highlight w:val="none"/>
          <w:lang w:val="en-US" w:eastAsia="zh-CN"/>
        </w:rPr>
        <w:t>公众责任</w:t>
      </w:r>
      <w:r>
        <w:rPr>
          <w:rFonts w:hint="default" w:ascii="宋体" w:hAnsi="宋体"/>
          <w:b w:val="0"/>
          <w:bCs w:val="0"/>
          <w:kern w:val="2"/>
          <w:sz w:val="28"/>
          <w:szCs w:val="28"/>
          <w:highlight w:val="none"/>
          <w:lang w:val="en-US" w:eastAsia="zh-CN"/>
        </w:rPr>
        <w:t>保险</w:t>
      </w:r>
      <w:r>
        <w:rPr>
          <w:rFonts w:hint="eastAsia" w:ascii="宋体" w:hAnsi="宋体"/>
          <w:b w:val="0"/>
          <w:bCs w:val="0"/>
          <w:kern w:val="2"/>
          <w:sz w:val="28"/>
          <w:szCs w:val="28"/>
          <w:highlight w:val="none"/>
          <w:lang w:val="en-US" w:eastAsia="zh-CN"/>
        </w:rPr>
        <w:t>。</w:t>
      </w:r>
    </w:p>
    <w:p w14:paraId="75887ECE">
      <w:pPr>
        <w:spacing w:line="520" w:lineRule="exact"/>
        <w:ind w:firstLine="562" w:firstLineChars="200"/>
        <w:jc w:val="both"/>
        <w:rPr>
          <w:rFonts w:ascii="宋体" w:hAnsi="宋体"/>
          <w:color w:val="auto"/>
          <w:kern w:val="2"/>
          <w:sz w:val="28"/>
          <w:szCs w:val="28"/>
          <w:highlight w:val="none"/>
          <w:lang w:eastAsia="zh-CN"/>
        </w:rPr>
      </w:pPr>
      <w:r>
        <w:rPr>
          <w:rFonts w:hint="eastAsia" w:ascii="宋体" w:hAnsi="宋体"/>
          <w:b/>
          <w:bCs/>
          <w:kern w:val="2"/>
          <w:sz w:val="28"/>
          <w:szCs w:val="28"/>
          <w:lang w:val="en-US" w:eastAsia="zh-CN"/>
        </w:rPr>
        <w:t>4.</w:t>
      </w:r>
      <w:r>
        <w:rPr>
          <w:rFonts w:hint="eastAsia" w:ascii="宋体" w:hAnsi="宋体"/>
          <w:b/>
          <w:bCs/>
          <w:kern w:val="2"/>
          <w:sz w:val="28"/>
          <w:szCs w:val="28"/>
          <w:lang w:eastAsia="zh-CN"/>
        </w:rPr>
        <w:t>文件发布</w:t>
      </w:r>
      <w:r>
        <w:rPr>
          <w:rFonts w:hint="eastAsia" w:ascii="宋体" w:hAnsi="宋体"/>
          <w:b/>
          <w:bCs/>
          <w:kern w:val="2"/>
          <w:sz w:val="28"/>
          <w:szCs w:val="28"/>
          <w:highlight w:val="none"/>
          <w:lang w:eastAsia="zh-CN"/>
        </w:rPr>
        <w:t>/索取时间</w:t>
      </w:r>
      <w:r>
        <w:rPr>
          <w:rFonts w:hint="eastAsia" w:ascii="宋体" w:hAnsi="宋体"/>
          <w:kern w:val="2"/>
          <w:sz w:val="28"/>
          <w:szCs w:val="28"/>
          <w:highlight w:val="none"/>
          <w:lang w:eastAsia="zh-CN"/>
        </w:rPr>
        <w:t>：</w:t>
      </w:r>
      <w:r>
        <w:rPr>
          <w:rFonts w:hint="eastAsia" w:ascii="宋体" w:hAnsi="宋体"/>
          <w:color w:val="auto"/>
          <w:kern w:val="2"/>
          <w:sz w:val="28"/>
          <w:szCs w:val="28"/>
          <w:highlight w:val="none"/>
          <w:u w:val="single"/>
          <w:lang w:eastAsia="zh-CN"/>
        </w:rPr>
        <w:t>以采购公告为准，请响应人及时查收/索取，或与采购单位联系人联系</w:t>
      </w:r>
      <w:r>
        <w:rPr>
          <w:rFonts w:hint="eastAsia" w:ascii="宋体" w:hAnsi="宋体"/>
          <w:color w:val="auto"/>
          <w:kern w:val="2"/>
          <w:sz w:val="28"/>
          <w:szCs w:val="28"/>
          <w:highlight w:val="none"/>
          <w:lang w:eastAsia="zh-CN"/>
        </w:rPr>
        <w:t>。</w:t>
      </w:r>
    </w:p>
    <w:p w14:paraId="5627DA9A">
      <w:pPr>
        <w:spacing w:line="520" w:lineRule="exact"/>
        <w:ind w:firstLine="562" w:firstLineChars="200"/>
        <w:jc w:val="both"/>
        <w:rPr>
          <w:rFonts w:hint="eastAsia" w:ascii="宋体" w:hAnsi="宋体"/>
          <w:kern w:val="2"/>
          <w:sz w:val="28"/>
          <w:szCs w:val="28"/>
          <w:highlight w:val="none"/>
          <w:lang w:eastAsia="zh-CN"/>
        </w:rPr>
      </w:pPr>
      <w:r>
        <w:rPr>
          <w:rFonts w:hint="eastAsia" w:ascii="宋体" w:hAnsi="宋体"/>
          <w:b/>
          <w:bCs/>
          <w:kern w:val="2"/>
          <w:sz w:val="28"/>
          <w:szCs w:val="28"/>
          <w:highlight w:val="none"/>
          <w:lang w:val="en-US" w:eastAsia="zh-CN"/>
        </w:rPr>
        <w:t>5</w:t>
      </w:r>
      <w:r>
        <w:rPr>
          <w:rFonts w:hint="eastAsia" w:ascii="宋体" w:hAnsi="宋体"/>
          <w:b/>
          <w:bCs/>
          <w:kern w:val="2"/>
          <w:sz w:val="28"/>
          <w:szCs w:val="28"/>
          <w:highlight w:val="none"/>
          <w:lang w:eastAsia="zh-CN"/>
        </w:rPr>
        <w:t>．响应文件递交：</w:t>
      </w:r>
      <w:r>
        <w:rPr>
          <w:rFonts w:hint="eastAsia" w:ascii="宋体" w:hAnsi="宋体"/>
          <w:kern w:val="2"/>
          <w:sz w:val="28"/>
          <w:szCs w:val="28"/>
          <w:highlight w:val="none"/>
          <w:lang w:eastAsia="zh-CN"/>
        </w:rPr>
        <w:t>竞价采购方案及所有相关文件的响应文件盖章后，请按在中粮E采供应链采购平台(https://ecai.cofco.com)发布的采购公告要求时间内响应及报价。</w:t>
      </w:r>
    </w:p>
    <w:p w14:paraId="462E87D5">
      <w:pPr>
        <w:spacing w:line="520" w:lineRule="exact"/>
        <w:ind w:firstLine="562" w:firstLineChars="200"/>
        <w:jc w:val="both"/>
        <w:rPr>
          <w:rFonts w:hint="eastAsia" w:ascii="宋体" w:hAnsi="宋体"/>
          <w:kern w:val="2"/>
          <w:sz w:val="28"/>
          <w:szCs w:val="28"/>
          <w:highlight w:val="none"/>
          <w:lang w:eastAsia="zh-CN"/>
        </w:rPr>
      </w:pPr>
      <w:r>
        <w:rPr>
          <w:rFonts w:hint="eastAsia" w:ascii="宋体" w:hAnsi="宋体"/>
          <w:b/>
          <w:bCs/>
          <w:kern w:val="2"/>
          <w:sz w:val="28"/>
          <w:szCs w:val="28"/>
          <w:highlight w:val="none"/>
          <w:lang w:val="en-US" w:eastAsia="zh-CN"/>
        </w:rPr>
        <w:t>6</w:t>
      </w:r>
      <w:r>
        <w:rPr>
          <w:rFonts w:hint="eastAsia" w:ascii="宋体" w:hAnsi="宋体"/>
          <w:b/>
          <w:bCs/>
          <w:kern w:val="2"/>
          <w:sz w:val="28"/>
          <w:szCs w:val="28"/>
          <w:highlight w:val="none"/>
          <w:lang w:eastAsia="zh-CN"/>
        </w:rPr>
        <w:t>．</w:t>
      </w:r>
      <w:r>
        <w:rPr>
          <w:rFonts w:hint="eastAsia" w:ascii="宋体" w:hAnsi="宋体"/>
          <w:b/>
          <w:bCs/>
          <w:kern w:val="2"/>
          <w:sz w:val="28"/>
          <w:szCs w:val="28"/>
          <w:highlight w:val="none"/>
          <w:lang w:val="en-US" w:eastAsia="zh-CN"/>
        </w:rPr>
        <w:t>竞价时间及地点</w:t>
      </w:r>
      <w:r>
        <w:rPr>
          <w:rFonts w:hint="eastAsia" w:ascii="宋体" w:hAnsi="宋体"/>
          <w:b/>
          <w:bCs/>
          <w:kern w:val="2"/>
          <w:sz w:val="28"/>
          <w:szCs w:val="28"/>
          <w:highlight w:val="none"/>
          <w:lang w:eastAsia="zh-CN"/>
        </w:rPr>
        <w:t>：</w:t>
      </w:r>
      <w:r>
        <w:rPr>
          <w:rFonts w:hint="eastAsia" w:ascii="宋体" w:hAnsi="宋体"/>
          <w:b w:val="0"/>
          <w:bCs w:val="0"/>
          <w:kern w:val="2"/>
          <w:sz w:val="28"/>
          <w:szCs w:val="28"/>
          <w:highlight w:val="none"/>
          <w:lang w:val="en-US" w:eastAsia="zh-CN"/>
        </w:rPr>
        <w:t>在中粮E采供应链采购平台上参与竞价，竞价时间</w:t>
      </w:r>
      <w:r>
        <w:rPr>
          <w:rFonts w:hint="eastAsia" w:ascii="宋体" w:hAnsi="宋体"/>
          <w:kern w:val="2"/>
          <w:sz w:val="28"/>
          <w:szCs w:val="28"/>
          <w:highlight w:val="none"/>
          <w:lang w:eastAsia="zh-CN"/>
        </w:rPr>
        <w:t>以采购公告为准。</w:t>
      </w:r>
    </w:p>
    <w:p w14:paraId="1896B677">
      <w:pPr>
        <w:spacing w:line="520" w:lineRule="exact"/>
        <w:ind w:firstLine="560" w:firstLineChars="200"/>
        <w:jc w:val="both"/>
        <w:rPr>
          <w:rFonts w:hint="eastAsia" w:ascii="宋体" w:hAnsi="宋体"/>
          <w:b w:val="0"/>
          <w:bCs w:val="0"/>
          <w:color w:val="0000FF"/>
          <w:kern w:val="2"/>
          <w:sz w:val="28"/>
          <w:szCs w:val="28"/>
          <w:highlight w:val="yellow"/>
          <w:lang w:val="en-US" w:eastAsia="zh-CN"/>
        </w:rPr>
      </w:pPr>
      <w:r>
        <w:rPr>
          <w:rFonts w:hint="eastAsia" w:ascii="宋体" w:hAnsi="宋体"/>
          <w:b w:val="0"/>
          <w:bCs w:val="0"/>
          <w:color w:val="0000FF"/>
          <w:kern w:val="2"/>
          <w:sz w:val="28"/>
          <w:szCs w:val="28"/>
          <w:highlight w:val="yellow"/>
          <w:lang w:val="en-US" w:eastAsia="zh-CN"/>
        </w:rPr>
        <w:t>（1）应于2026年4月20日8：00之前报名（以E采平台报名截止时间为准）。</w:t>
      </w:r>
    </w:p>
    <w:p w14:paraId="673F412D">
      <w:pPr>
        <w:spacing w:line="520" w:lineRule="exact"/>
        <w:ind w:firstLine="560" w:firstLineChars="200"/>
        <w:jc w:val="both"/>
        <w:rPr>
          <w:rFonts w:hint="eastAsia" w:ascii="宋体" w:hAnsi="宋体"/>
          <w:kern w:val="2"/>
          <w:sz w:val="28"/>
          <w:szCs w:val="28"/>
          <w:highlight w:val="yellow"/>
          <w:lang w:eastAsia="zh-CN"/>
        </w:rPr>
      </w:pPr>
      <w:r>
        <w:rPr>
          <w:rFonts w:hint="eastAsia" w:ascii="宋体" w:hAnsi="宋体"/>
          <w:b w:val="0"/>
          <w:bCs w:val="0"/>
          <w:color w:val="0000FF"/>
          <w:kern w:val="2"/>
          <w:sz w:val="28"/>
          <w:szCs w:val="28"/>
          <w:highlight w:val="yellow"/>
          <w:lang w:val="en-US" w:eastAsia="zh-CN"/>
        </w:rPr>
        <w:t>（2）定于2026年4月20日8：00在中粮E采中竞价开始，竞价时长3小时。</w:t>
      </w:r>
    </w:p>
    <w:p w14:paraId="773C678F">
      <w:pPr>
        <w:spacing w:line="520" w:lineRule="exact"/>
        <w:ind w:firstLine="562" w:firstLineChars="200"/>
        <w:jc w:val="both"/>
        <w:rPr>
          <w:rFonts w:hint="eastAsia" w:ascii="宋体" w:hAnsi="宋体"/>
          <w:kern w:val="2"/>
          <w:sz w:val="28"/>
          <w:szCs w:val="28"/>
          <w:highlight w:val="none"/>
          <w:lang w:eastAsia="zh-CN"/>
        </w:rPr>
      </w:pPr>
      <w:r>
        <w:rPr>
          <w:rFonts w:hint="eastAsia" w:ascii="宋体" w:hAnsi="宋体"/>
          <w:b/>
          <w:bCs/>
          <w:kern w:val="2"/>
          <w:sz w:val="28"/>
          <w:szCs w:val="28"/>
          <w:highlight w:val="none"/>
          <w:lang w:val="en-US" w:eastAsia="zh-CN"/>
        </w:rPr>
        <w:t>7.采购结果通知</w:t>
      </w:r>
      <w:r>
        <w:rPr>
          <w:rFonts w:hint="eastAsia" w:ascii="宋体" w:hAnsi="宋体"/>
          <w:kern w:val="2"/>
          <w:sz w:val="28"/>
          <w:szCs w:val="28"/>
          <w:highlight w:val="none"/>
          <w:lang w:val="en-US" w:eastAsia="zh-CN"/>
        </w:rPr>
        <w:t>：</w:t>
      </w:r>
      <w:r>
        <w:rPr>
          <w:rFonts w:hint="eastAsia" w:ascii="宋体" w:hAnsi="宋体"/>
          <w:kern w:val="2"/>
          <w:sz w:val="28"/>
          <w:szCs w:val="28"/>
          <w:highlight w:val="none"/>
          <w:lang w:eastAsia="zh-CN"/>
        </w:rPr>
        <w:t>评审审批完成后将</w:t>
      </w:r>
      <w:r>
        <w:rPr>
          <w:rFonts w:hint="eastAsia" w:ascii="宋体" w:hAnsi="宋体"/>
          <w:kern w:val="2"/>
          <w:sz w:val="28"/>
          <w:szCs w:val="28"/>
          <w:highlight w:val="none"/>
          <w:lang w:val="en-US" w:eastAsia="zh-CN"/>
        </w:rPr>
        <w:t>通过中粮E采供应链采购平台</w:t>
      </w:r>
      <w:r>
        <w:rPr>
          <w:rFonts w:hint="eastAsia" w:ascii="宋体" w:hAnsi="宋体"/>
          <w:kern w:val="2"/>
          <w:sz w:val="28"/>
          <w:szCs w:val="28"/>
          <w:highlight w:val="none"/>
          <w:lang w:eastAsia="zh-CN"/>
        </w:rPr>
        <w:t>及时通知各供应商本次成交结果。</w:t>
      </w:r>
    </w:p>
    <w:p w14:paraId="08EF270D">
      <w:pPr>
        <w:spacing w:line="520" w:lineRule="exact"/>
        <w:ind w:firstLine="560" w:firstLineChars="200"/>
        <w:jc w:val="both"/>
        <w:rPr>
          <w:rFonts w:ascii="宋体" w:hAnsi="宋体"/>
          <w:color w:val="000000" w:themeColor="text1"/>
          <w:kern w:val="2"/>
          <w:sz w:val="28"/>
          <w:szCs w:val="28"/>
          <w:lang w:eastAsia="zh-CN"/>
          <w14:textFill>
            <w14:solidFill>
              <w14:schemeClr w14:val="tx1"/>
            </w14:solidFill>
          </w14:textFill>
        </w:rPr>
      </w:pPr>
      <w:r>
        <w:rPr>
          <w:rFonts w:hint="eastAsia" w:ascii="宋体" w:hAnsi="宋体"/>
          <w:kern w:val="2"/>
          <w:sz w:val="28"/>
          <w:szCs w:val="28"/>
          <w:lang w:eastAsia="zh-CN"/>
        </w:rPr>
        <w:t>采购单位：</w:t>
      </w:r>
      <w:r>
        <w:rPr>
          <w:rFonts w:hint="eastAsia" w:ascii="宋体" w:hAnsi="宋体"/>
          <w:color w:val="000000" w:themeColor="text1"/>
          <w:kern w:val="2"/>
          <w:sz w:val="28"/>
          <w:szCs w:val="28"/>
          <w:lang w:eastAsia="zh-CN"/>
          <w14:textFill>
            <w14:solidFill>
              <w14:schemeClr w14:val="tx1"/>
            </w14:solidFill>
          </w14:textFill>
        </w:rPr>
        <w:t>中粮米业（</w:t>
      </w:r>
      <w:r>
        <w:rPr>
          <w:rFonts w:hint="eastAsia" w:ascii="宋体" w:hAnsi="宋体"/>
          <w:color w:val="000000" w:themeColor="text1"/>
          <w:kern w:val="2"/>
          <w:sz w:val="28"/>
          <w:szCs w:val="28"/>
          <w:lang w:val="en-US" w:eastAsia="zh-CN"/>
          <w14:textFill>
            <w14:solidFill>
              <w14:schemeClr w14:val="tx1"/>
            </w14:solidFill>
          </w14:textFill>
        </w:rPr>
        <w:t>五常</w:t>
      </w:r>
      <w:r>
        <w:rPr>
          <w:rFonts w:hint="eastAsia" w:ascii="宋体" w:hAnsi="宋体"/>
          <w:color w:val="000000" w:themeColor="text1"/>
          <w:kern w:val="2"/>
          <w:sz w:val="28"/>
          <w:szCs w:val="28"/>
          <w:lang w:eastAsia="zh-CN"/>
          <w14:textFill>
            <w14:solidFill>
              <w14:schemeClr w14:val="tx1"/>
            </w14:solidFill>
          </w14:textFill>
        </w:rPr>
        <w:t>）有限公司</w:t>
      </w:r>
    </w:p>
    <w:p w14:paraId="2719D158">
      <w:pPr>
        <w:spacing w:line="520" w:lineRule="exact"/>
        <w:ind w:firstLine="560" w:firstLineChars="200"/>
        <w:jc w:val="both"/>
        <w:rPr>
          <w:rFonts w:hint="default" w:ascii="宋体" w:hAnsi="宋体"/>
          <w:color w:val="000000" w:themeColor="text1"/>
          <w:kern w:val="2"/>
          <w:sz w:val="28"/>
          <w:szCs w:val="28"/>
          <w:lang w:val="en-US" w:eastAsia="zh-CN"/>
          <w14:textFill>
            <w14:solidFill>
              <w14:schemeClr w14:val="tx1"/>
            </w14:solidFill>
          </w14:textFill>
        </w:rPr>
      </w:pPr>
      <w:r>
        <w:rPr>
          <w:rFonts w:hint="eastAsia" w:ascii="宋体" w:hAnsi="宋体"/>
          <w:color w:val="000000" w:themeColor="text1"/>
          <w:kern w:val="2"/>
          <w:sz w:val="28"/>
          <w:szCs w:val="28"/>
          <w:lang w:eastAsia="zh-CN"/>
          <w14:textFill>
            <w14:solidFill>
              <w14:schemeClr w14:val="tx1"/>
            </w14:solidFill>
          </w14:textFill>
        </w:rPr>
        <w:t>联 系 人：</w:t>
      </w:r>
      <w:r>
        <w:rPr>
          <w:rFonts w:hint="eastAsia" w:ascii="宋体" w:hAnsi="宋体"/>
          <w:color w:val="000000" w:themeColor="text1"/>
          <w:kern w:val="2"/>
          <w:sz w:val="28"/>
          <w:szCs w:val="28"/>
          <w:lang w:val="en-US" w:eastAsia="zh-CN"/>
          <w14:textFill>
            <w14:solidFill>
              <w14:schemeClr w14:val="tx1"/>
            </w14:solidFill>
          </w14:textFill>
        </w:rPr>
        <w:t>杜金明</w:t>
      </w:r>
      <w:r>
        <w:rPr>
          <w:rFonts w:hint="eastAsia" w:ascii="宋体" w:hAnsi="宋体"/>
          <w:color w:val="000000" w:themeColor="text1"/>
          <w:kern w:val="2"/>
          <w:sz w:val="28"/>
          <w:szCs w:val="28"/>
          <w:lang w:eastAsia="zh-CN"/>
          <w14:textFill>
            <w14:solidFill>
              <w14:schemeClr w14:val="tx1"/>
            </w14:solidFill>
          </w14:textFill>
        </w:rPr>
        <w:t xml:space="preserve">    手机号：</w:t>
      </w:r>
      <w:r>
        <w:rPr>
          <w:rFonts w:hint="eastAsia" w:ascii="宋体" w:hAnsi="宋体"/>
          <w:color w:val="000000" w:themeColor="text1"/>
          <w:kern w:val="2"/>
          <w:sz w:val="28"/>
          <w:szCs w:val="28"/>
          <w:lang w:val="en-US" w:eastAsia="zh-CN"/>
          <w14:textFill>
            <w14:solidFill>
              <w14:schemeClr w14:val="tx1"/>
            </w14:solidFill>
          </w14:textFill>
        </w:rPr>
        <w:t>13766957159</w:t>
      </w:r>
    </w:p>
    <w:p w14:paraId="27845423">
      <w:pPr>
        <w:spacing w:line="520" w:lineRule="exact"/>
        <w:ind w:firstLine="560" w:firstLineChars="200"/>
        <w:jc w:val="both"/>
        <w:rPr>
          <w:rFonts w:hint="eastAsia" w:ascii="宋体" w:hAnsi="宋体"/>
          <w:color w:val="000000" w:themeColor="text1"/>
          <w:kern w:val="2"/>
          <w:sz w:val="28"/>
          <w:szCs w:val="28"/>
          <w:lang w:eastAsia="zh-CN"/>
          <w14:textFill>
            <w14:solidFill>
              <w14:schemeClr w14:val="tx1"/>
            </w14:solidFill>
          </w14:textFill>
        </w:rPr>
      </w:pPr>
      <w:r>
        <w:rPr>
          <w:rFonts w:hint="eastAsia" w:ascii="宋体" w:hAnsi="宋体"/>
          <w:color w:val="000000" w:themeColor="text1"/>
          <w:kern w:val="2"/>
          <w:sz w:val="28"/>
          <w:szCs w:val="28"/>
          <w:lang w:eastAsia="zh-CN"/>
          <w14:textFill>
            <w14:solidFill>
              <w14:schemeClr w14:val="tx1"/>
            </w14:solidFill>
          </w14:textFill>
        </w:rPr>
        <w:t>邮箱：lg.dujm@cofco.com</w:t>
      </w:r>
    </w:p>
    <w:p w14:paraId="08ECA231">
      <w:pPr>
        <w:spacing w:line="520" w:lineRule="exact"/>
        <w:ind w:firstLine="560" w:firstLineChars="200"/>
        <w:jc w:val="both"/>
        <w:rPr>
          <w:rFonts w:hint="default" w:ascii="宋体" w:hAnsi="宋体"/>
          <w:color w:val="000000" w:themeColor="text1"/>
          <w:kern w:val="2"/>
          <w:sz w:val="28"/>
          <w:szCs w:val="28"/>
          <w:lang w:val="en-US" w:eastAsia="zh-CN"/>
          <w14:textFill>
            <w14:solidFill>
              <w14:schemeClr w14:val="tx1"/>
            </w14:solidFill>
          </w14:textFill>
        </w:rPr>
      </w:pPr>
      <w:r>
        <w:rPr>
          <w:rFonts w:hint="eastAsia" w:ascii="宋体" w:hAnsi="宋体"/>
          <w:kern w:val="2"/>
          <w:sz w:val="28"/>
          <w:szCs w:val="28"/>
          <w:lang w:eastAsia="zh-CN"/>
        </w:rPr>
        <w:t>地   址：</w:t>
      </w:r>
      <w:r>
        <w:rPr>
          <w:rFonts w:hint="eastAsia" w:ascii="宋体" w:hAnsi="宋体"/>
          <w:kern w:val="2"/>
          <w:sz w:val="28"/>
          <w:szCs w:val="28"/>
          <w:lang w:val="en-US" w:eastAsia="zh-CN"/>
        </w:rPr>
        <w:t>黑龙江省五常市中粮路1号</w:t>
      </w:r>
    </w:p>
    <w:p w14:paraId="77B40DE7">
      <w:pPr>
        <w:spacing w:line="520" w:lineRule="exact"/>
        <w:ind w:firstLine="562" w:firstLineChars="200"/>
        <w:jc w:val="both"/>
        <w:rPr>
          <w:rFonts w:ascii="宋体" w:hAnsi="宋体"/>
          <w:b/>
          <w:bCs/>
          <w:kern w:val="2"/>
          <w:sz w:val="28"/>
          <w:szCs w:val="28"/>
          <w:lang w:eastAsia="zh-CN"/>
        </w:rPr>
      </w:pPr>
      <w:r>
        <w:rPr>
          <w:rFonts w:hint="eastAsia" w:ascii="宋体" w:hAnsi="宋体"/>
          <w:b/>
          <w:bCs/>
          <w:kern w:val="2"/>
          <w:sz w:val="28"/>
          <w:szCs w:val="28"/>
          <w:lang w:val="en-US" w:eastAsia="zh-CN"/>
        </w:rPr>
        <w:t>8</w:t>
      </w:r>
      <w:r>
        <w:rPr>
          <w:rFonts w:hint="eastAsia" w:ascii="宋体" w:hAnsi="宋体"/>
          <w:b/>
          <w:bCs/>
          <w:kern w:val="2"/>
          <w:sz w:val="28"/>
          <w:szCs w:val="28"/>
          <w:lang w:eastAsia="zh-CN"/>
        </w:rPr>
        <w:t>．中粮粮谷招标与监督联络方式：</w:t>
      </w:r>
    </w:p>
    <w:p w14:paraId="68FD1714">
      <w:pPr>
        <w:spacing w:line="520" w:lineRule="exact"/>
        <w:ind w:firstLine="560" w:firstLineChars="200"/>
        <w:jc w:val="both"/>
        <w:rPr>
          <w:rFonts w:ascii="宋体" w:hAnsi="宋体"/>
          <w:kern w:val="2"/>
          <w:sz w:val="28"/>
          <w:szCs w:val="28"/>
          <w:lang w:eastAsia="zh-CN"/>
        </w:rPr>
      </w:pPr>
      <w:r>
        <w:rPr>
          <w:rFonts w:hint="eastAsia" w:ascii="宋体" w:hAnsi="宋体"/>
          <w:kern w:val="2"/>
          <w:sz w:val="28"/>
          <w:szCs w:val="28"/>
          <w:lang w:eastAsia="zh-CN"/>
        </w:rPr>
        <w:t>（</w:t>
      </w:r>
      <w:r>
        <w:rPr>
          <w:rFonts w:ascii="宋体" w:hAnsi="宋体"/>
          <w:kern w:val="2"/>
          <w:sz w:val="28"/>
          <w:szCs w:val="28"/>
          <w:lang w:eastAsia="zh-CN"/>
        </w:rPr>
        <w:t>1</w:t>
      </w:r>
      <w:r>
        <w:rPr>
          <w:rFonts w:hint="eastAsia" w:ascii="宋体" w:hAnsi="宋体"/>
          <w:kern w:val="2"/>
          <w:sz w:val="28"/>
          <w:szCs w:val="28"/>
          <w:lang w:eastAsia="zh-CN"/>
        </w:rPr>
        <w:t>）</w:t>
      </w:r>
      <w:r>
        <w:rPr>
          <w:rFonts w:ascii="宋体" w:hAnsi="宋体"/>
          <w:kern w:val="2"/>
          <w:sz w:val="28"/>
          <w:szCs w:val="28"/>
          <w:lang w:eastAsia="zh-CN"/>
        </w:rPr>
        <w:t>业务监督</w:t>
      </w:r>
    </w:p>
    <w:p w14:paraId="5F0AE928">
      <w:pPr>
        <w:spacing w:line="520" w:lineRule="exact"/>
        <w:ind w:firstLine="560" w:firstLineChars="200"/>
        <w:jc w:val="both"/>
        <w:rPr>
          <w:rFonts w:ascii="宋体" w:hAnsi="宋体"/>
          <w:kern w:val="2"/>
          <w:sz w:val="28"/>
          <w:szCs w:val="28"/>
          <w:lang w:eastAsia="zh-CN"/>
        </w:rPr>
      </w:pPr>
      <w:r>
        <w:rPr>
          <w:rFonts w:ascii="宋体" w:hAnsi="宋体"/>
          <w:kern w:val="2"/>
          <w:sz w:val="28"/>
          <w:szCs w:val="28"/>
          <w:lang w:eastAsia="zh-CN"/>
        </w:rPr>
        <w:t>监督范围：关于采购流程违规投诉</w:t>
      </w:r>
    </w:p>
    <w:p w14:paraId="31F88099">
      <w:pPr>
        <w:spacing w:line="520" w:lineRule="exact"/>
        <w:ind w:firstLine="560" w:firstLineChars="200"/>
        <w:jc w:val="both"/>
        <w:rPr>
          <w:rFonts w:ascii="宋体" w:hAnsi="宋体"/>
          <w:kern w:val="2"/>
          <w:sz w:val="28"/>
          <w:szCs w:val="28"/>
          <w:lang w:eastAsia="zh-CN"/>
        </w:rPr>
      </w:pPr>
      <w:r>
        <w:rPr>
          <w:rFonts w:ascii="宋体" w:hAnsi="宋体"/>
          <w:kern w:val="2"/>
          <w:sz w:val="28"/>
          <w:szCs w:val="28"/>
          <w:lang w:eastAsia="zh-CN"/>
        </w:rPr>
        <w:t>中粮粮谷招标与采购管理委员会办公室　电话：010-85018450</w:t>
      </w:r>
    </w:p>
    <w:p w14:paraId="35618867">
      <w:pPr>
        <w:spacing w:line="520" w:lineRule="exact"/>
        <w:ind w:firstLine="560" w:firstLineChars="200"/>
        <w:jc w:val="both"/>
        <w:rPr>
          <w:lang w:eastAsia="zh-CN"/>
        </w:rPr>
      </w:pPr>
      <w:r>
        <w:rPr>
          <w:rFonts w:ascii="宋体" w:hAnsi="宋体"/>
          <w:kern w:val="2"/>
          <w:sz w:val="28"/>
          <w:szCs w:val="28"/>
          <w:lang w:eastAsia="zh-CN"/>
        </w:rPr>
        <w:t>传真：010-85621355</w:t>
      </w:r>
      <w:r>
        <w:rPr>
          <w:rFonts w:ascii="宋体" w:hAnsi="宋体"/>
          <w:kern w:val="2"/>
          <w:sz w:val="28"/>
          <w:szCs w:val="28"/>
          <w:lang w:eastAsia="zh-CN"/>
        </w:rPr>
        <w:tab/>
      </w:r>
      <w:r>
        <w:rPr>
          <w:rFonts w:ascii="宋体" w:hAnsi="宋体"/>
          <w:kern w:val="2"/>
          <w:sz w:val="28"/>
          <w:szCs w:val="28"/>
          <w:lang w:eastAsia="zh-CN"/>
        </w:rPr>
        <w:tab/>
      </w:r>
      <w:r>
        <w:rPr>
          <w:rFonts w:ascii="宋体" w:hAnsi="宋体"/>
          <w:kern w:val="2"/>
          <w:sz w:val="28"/>
          <w:szCs w:val="28"/>
          <w:lang w:eastAsia="zh-CN"/>
        </w:rPr>
        <w:t>电子邮箱：</w:t>
      </w:r>
      <w:r>
        <w:fldChar w:fldCharType="begin"/>
      </w:r>
      <w:r>
        <w:instrText xml:space="preserve"> HYPERLINK "mailto:lgcgjd@cofco.com" </w:instrText>
      </w:r>
      <w:r>
        <w:fldChar w:fldCharType="separate"/>
      </w:r>
      <w:r>
        <w:rPr>
          <w:rFonts w:ascii="宋体" w:hAnsi="宋体"/>
          <w:kern w:val="2"/>
          <w:sz w:val="28"/>
          <w:szCs w:val="28"/>
          <w:lang w:eastAsia="zh-CN"/>
        </w:rPr>
        <w:t>lgcgjd@cofco.com</w:t>
      </w:r>
      <w:r>
        <w:rPr>
          <w:rFonts w:ascii="宋体" w:hAnsi="宋体"/>
          <w:kern w:val="2"/>
          <w:sz w:val="28"/>
          <w:szCs w:val="28"/>
          <w:lang w:eastAsia="zh-CN"/>
        </w:rPr>
        <w:fldChar w:fldCharType="end"/>
      </w:r>
    </w:p>
    <w:p w14:paraId="5AFEFAF7">
      <w:pPr>
        <w:spacing w:line="520" w:lineRule="exact"/>
        <w:ind w:firstLine="560" w:firstLineChars="200"/>
        <w:jc w:val="both"/>
        <w:rPr>
          <w:rFonts w:ascii="宋体" w:hAnsi="宋体"/>
          <w:kern w:val="2"/>
          <w:sz w:val="28"/>
          <w:szCs w:val="28"/>
          <w:lang w:eastAsia="zh-CN"/>
        </w:rPr>
      </w:pPr>
      <w:r>
        <w:rPr>
          <w:rFonts w:hint="eastAsia" w:ascii="宋体" w:hAnsi="宋体"/>
          <w:kern w:val="2"/>
          <w:sz w:val="28"/>
          <w:szCs w:val="28"/>
          <w:lang w:eastAsia="zh-CN"/>
        </w:rPr>
        <w:t>（</w:t>
      </w:r>
      <w:r>
        <w:rPr>
          <w:rFonts w:ascii="宋体" w:hAnsi="宋体"/>
          <w:kern w:val="2"/>
          <w:sz w:val="28"/>
          <w:szCs w:val="28"/>
          <w:lang w:eastAsia="zh-CN"/>
        </w:rPr>
        <w:t>2</w:t>
      </w:r>
      <w:r>
        <w:rPr>
          <w:rFonts w:hint="eastAsia" w:ascii="宋体" w:hAnsi="宋体"/>
          <w:kern w:val="2"/>
          <w:sz w:val="28"/>
          <w:szCs w:val="28"/>
          <w:lang w:eastAsia="zh-CN"/>
        </w:rPr>
        <w:t>）</w:t>
      </w:r>
      <w:r>
        <w:rPr>
          <w:rFonts w:ascii="宋体" w:hAnsi="宋体"/>
          <w:kern w:val="2"/>
          <w:sz w:val="28"/>
          <w:szCs w:val="28"/>
          <w:lang w:eastAsia="zh-CN"/>
        </w:rPr>
        <w:t>信访举报</w:t>
      </w:r>
    </w:p>
    <w:p w14:paraId="35C720B6">
      <w:pPr>
        <w:spacing w:line="520" w:lineRule="exact"/>
        <w:ind w:firstLine="560" w:firstLineChars="200"/>
        <w:jc w:val="both"/>
        <w:rPr>
          <w:rFonts w:ascii="宋体" w:hAnsi="宋体"/>
          <w:kern w:val="2"/>
          <w:sz w:val="28"/>
          <w:szCs w:val="28"/>
          <w:lang w:eastAsia="zh-CN"/>
        </w:rPr>
      </w:pPr>
      <w:r>
        <w:rPr>
          <w:rFonts w:ascii="宋体" w:hAnsi="宋体"/>
          <w:kern w:val="2"/>
          <w:sz w:val="28"/>
          <w:szCs w:val="28"/>
          <w:lang w:eastAsia="zh-CN"/>
        </w:rPr>
        <w:t>举报范围：招投标活动过程中涉嫌贪污贿赂、滥用职权、玩忽职守、权力寻租、利益输送、徇私舞弊以及浪费国家资财等问题的检举控告。</w:t>
      </w:r>
    </w:p>
    <w:p w14:paraId="67E89830">
      <w:pPr>
        <w:spacing w:line="520" w:lineRule="exact"/>
        <w:ind w:firstLine="560" w:firstLineChars="200"/>
        <w:jc w:val="both"/>
        <w:rPr>
          <w:rFonts w:ascii="宋体" w:hAnsi="宋体"/>
          <w:kern w:val="2"/>
          <w:sz w:val="28"/>
          <w:szCs w:val="28"/>
          <w:lang w:eastAsia="zh-CN"/>
        </w:rPr>
      </w:pPr>
      <w:r>
        <w:rPr>
          <w:rFonts w:ascii="宋体" w:hAnsi="宋体"/>
          <w:kern w:val="2"/>
          <w:sz w:val="28"/>
          <w:szCs w:val="28"/>
          <w:lang w:eastAsia="zh-CN"/>
        </w:rPr>
        <w:t>举报电话：010-85018750。</w:t>
      </w:r>
    </w:p>
    <w:p w14:paraId="3EF6FB2C">
      <w:pPr>
        <w:pStyle w:val="36"/>
        <w:spacing w:line="360" w:lineRule="auto"/>
        <w:ind w:firstLine="400"/>
        <w:rPr>
          <w:rFonts w:ascii="宋体" w:eastAsia="宋体"/>
          <w:lang w:eastAsia="zh-CN"/>
        </w:rPr>
      </w:pPr>
    </w:p>
    <w:p w14:paraId="59238A1C">
      <w:pPr>
        <w:pStyle w:val="36"/>
        <w:spacing w:line="360" w:lineRule="auto"/>
        <w:ind w:firstLine="400"/>
        <w:rPr>
          <w:rFonts w:ascii="宋体" w:eastAsia="宋体"/>
          <w:lang w:eastAsia="zh-CN"/>
        </w:rPr>
      </w:pPr>
    </w:p>
    <w:p w14:paraId="553BFE3B">
      <w:pPr>
        <w:pStyle w:val="36"/>
        <w:spacing w:line="360" w:lineRule="auto"/>
        <w:ind w:firstLine="400"/>
        <w:rPr>
          <w:rFonts w:ascii="宋体" w:eastAsia="宋体"/>
          <w:lang w:eastAsia="zh-CN"/>
        </w:rPr>
      </w:pPr>
    </w:p>
    <w:p w14:paraId="45EF46E7">
      <w:pPr>
        <w:spacing w:line="360" w:lineRule="auto"/>
        <w:ind w:firstLine="5244" w:firstLineChars="1873"/>
        <w:jc w:val="center"/>
        <w:rPr>
          <w:rFonts w:ascii="宋体" w:hAnsi="宋体"/>
          <w:kern w:val="2"/>
          <w:sz w:val="28"/>
          <w:szCs w:val="28"/>
          <w:lang w:eastAsia="zh-CN"/>
        </w:rPr>
      </w:pPr>
      <w:r>
        <w:rPr>
          <w:rFonts w:hint="eastAsia" w:ascii="宋体" w:hAnsi="宋体"/>
          <w:color w:val="auto"/>
          <w:kern w:val="2"/>
          <w:sz w:val="28"/>
          <w:szCs w:val="28"/>
          <w:lang w:eastAsia="zh-CN"/>
        </w:rPr>
        <w:t>中粮米业（</w:t>
      </w:r>
      <w:r>
        <w:rPr>
          <w:rFonts w:hint="eastAsia" w:ascii="宋体" w:hAnsi="宋体"/>
          <w:color w:val="auto"/>
          <w:kern w:val="2"/>
          <w:sz w:val="28"/>
          <w:szCs w:val="28"/>
          <w:lang w:val="en-US" w:eastAsia="zh-CN"/>
        </w:rPr>
        <w:t>五常</w:t>
      </w:r>
      <w:r>
        <w:rPr>
          <w:rFonts w:hint="eastAsia" w:ascii="宋体" w:hAnsi="宋体"/>
          <w:color w:val="auto"/>
          <w:kern w:val="2"/>
          <w:sz w:val="28"/>
          <w:szCs w:val="28"/>
          <w:lang w:eastAsia="zh-CN"/>
        </w:rPr>
        <w:t>)有限</w:t>
      </w:r>
      <w:r>
        <w:rPr>
          <w:rFonts w:hint="eastAsia" w:ascii="宋体" w:hAnsi="宋体"/>
          <w:kern w:val="2"/>
          <w:sz w:val="28"/>
          <w:szCs w:val="28"/>
          <w:lang w:eastAsia="zh-CN"/>
        </w:rPr>
        <w:t>公司</w:t>
      </w:r>
    </w:p>
    <w:bookmarkEnd w:id="1"/>
    <w:p w14:paraId="7291BA85">
      <w:pPr>
        <w:pStyle w:val="36"/>
        <w:ind w:firstLine="0" w:firstLineChars="0"/>
        <w:rPr>
          <w:lang w:eastAsia="zh-CN"/>
        </w:rPr>
        <w:sectPr>
          <w:pgSz w:w="11906" w:h="16838"/>
          <w:pgMar w:top="737" w:right="907" w:bottom="737" w:left="1304" w:header="624" w:footer="907" w:gutter="0"/>
          <w:cols w:space="425" w:num="1"/>
          <w:titlePg/>
          <w:docGrid w:linePitch="312" w:charSpace="0"/>
        </w:sectPr>
      </w:pPr>
    </w:p>
    <w:p w14:paraId="65EA1A16">
      <w:pPr>
        <w:spacing w:line="360" w:lineRule="auto"/>
        <w:jc w:val="both"/>
        <w:rPr>
          <w:rFonts w:ascii="宋体" w:hAnsi="宋体"/>
          <w:b/>
          <w:sz w:val="36"/>
          <w:lang w:eastAsia="zh-CN"/>
        </w:rPr>
      </w:pPr>
    </w:p>
    <w:p w14:paraId="46A73DF8">
      <w:pPr>
        <w:spacing w:line="360" w:lineRule="auto"/>
        <w:jc w:val="center"/>
        <w:rPr>
          <w:rFonts w:ascii="宋体" w:hAnsi="宋体"/>
          <w:sz w:val="36"/>
          <w:lang w:eastAsia="zh-CN"/>
        </w:rPr>
      </w:pPr>
      <w:r>
        <w:rPr>
          <w:rFonts w:hint="eastAsia" w:ascii="宋体" w:hAnsi="宋体"/>
          <w:b/>
          <w:sz w:val="36"/>
          <w:lang w:eastAsia="zh-CN"/>
        </w:rPr>
        <w:t>第二部分</w:t>
      </w:r>
      <w:r>
        <w:rPr>
          <w:rFonts w:hint="eastAsia" w:ascii="宋体" w:hAnsi="宋体" w:eastAsia="MS Mincho"/>
          <w:b/>
          <w:sz w:val="36"/>
          <w:lang w:val="en-US" w:eastAsia="ja-JP"/>
        </w:rPr>
        <w:t xml:space="preserve"> </w:t>
      </w:r>
      <w:r>
        <w:rPr>
          <w:rFonts w:hint="eastAsia" w:ascii="宋体" w:hAnsi="宋体"/>
          <w:b/>
          <w:sz w:val="36"/>
          <w:lang w:eastAsia="zh-CN"/>
        </w:rPr>
        <w:t>供应商须知</w:t>
      </w:r>
    </w:p>
    <w:p w14:paraId="30690275">
      <w:pPr>
        <w:spacing w:line="360" w:lineRule="auto"/>
        <w:ind w:firstLine="3654" w:firstLineChars="1300"/>
        <w:rPr>
          <w:rFonts w:ascii="黑体" w:hAnsi="黑体" w:eastAsia="黑体"/>
          <w:b/>
          <w:lang w:eastAsia="zh-CN"/>
        </w:rPr>
      </w:pPr>
      <w:r>
        <w:rPr>
          <w:rFonts w:ascii="黑体" w:hAnsi="黑体" w:eastAsia="黑体"/>
          <w:b/>
          <w:sz w:val="28"/>
          <w:lang w:eastAsia="zh-CN"/>
        </w:rPr>
        <w:t xml:space="preserve">A  </w:t>
      </w:r>
      <w:r>
        <w:rPr>
          <w:rFonts w:hint="eastAsia" w:ascii="黑体" w:hAnsi="黑体" w:eastAsia="黑体"/>
          <w:b/>
          <w:sz w:val="28"/>
          <w:lang w:eastAsia="zh-CN"/>
        </w:rPr>
        <w:t xml:space="preserve">说 </w:t>
      </w:r>
      <w:r>
        <w:rPr>
          <w:rFonts w:hint="eastAsia" w:ascii="黑体" w:hAnsi="黑体" w:eastAsia="黑体"/>
          <w:b/>
          <w:sz w:val="28"/>
          <w:lang w:val="en-US" w:eastAsia="zh-CN"/>
        </w:rPr>
        <w:t xml:space="preserve">  </w:t>
      </w:r>
      <w:r>
        <w:rPr>
          <w:rFonts w:hint="eastAsia" w:ascii="黑体" w:hAnsi="黑体" w:eastAsia="黑体"/>
          <w:b/>
          <w:sz w:val="28"/>
          <w:lang w:eastAsia="zh-CN"/>
        </w:rPr>
        <w:t>明</w:t>
      </w:r>
    </w:p>
    <w:p w14:paraId="4BDB3BCA">
      <w:pPr>
        <w:spacing w:line="360" w:lineRule="auto"/>
        <w:rPr>
          <w:rFonts w:ascii="宋体" w:hAnsi="宋体"/>
          <w:sz w:val="28"/>
          <w:szCs w:val="28"/>
          <w:lang w:eastAsia="zh-CN"/>
        </w:rPr>
      </w:pPr>
      <w:r>
        <w:rPr>
          <w:rFonts w:ascii="宋体" w:hAnsi="宋体"/>
          <w:b/>
          <w:sz w:val="28"/>
          <w:szCs w:val="28"/>
          <w:lang w:eastAsia="zh-CN"/>
        </w:rPr>
        <w:t>1</w:t>
      </w:r>
      <w:r>
        <w:rPr>
          <w:rFonts w:hint="eastAsia" w:ascii="宋体" w:hAnsi="宋体"/>
          <w:b/>
          <w:sz w:val="28"/>
          <w:szCs w:val="28"/>
          <w:lang w:eastAsia="zh-CN"/>
        </w:rPr>
        <w:t>. 委托</w:t>
      </w:r>
    </w:p>
    <w:p w14:paraId="2DA909BF">
      <w:pPr>
        <w:spacing w:line="360" w:lineRule="auto"/>
        <w:ind w:firstLine="560" w:firstLineChars="200"/>
        <w:rPr>
          <w:rFonts w:ascii="宋体" w:hAnsi="宋体"/>
          <w:sz w:val="28"/>
          <w:szCs w:val="28"/>
          <w:lang w:eastAsia="zh-CN"/>
        </w:rPr>
      </w:pPr>
      <w:r>
        <w:rPr>
          <w:rFonts w:hint="eastAsia" w:ascii="宋体" w:hAnsi="宋体"/>
          <w:sz w:val="28"/>
          <w:szCs w:val="28"/>
          <w:lang w:eastAsia="zh-CN"/>
        </w:rPr>
        <w:t>参与评审代表须持有《法定代表人授权委托书》。</w:t>
      </w:r>
    </w:p>
    <w:p w14:paraId="0EFE0A22">
      <w:pPr>
        <w:spacing w:line="360" w:lineRule="auto"/>
        <w:rPr>
          <w:rFonts w:ascii="宋体" w:hAnsi="宋体"/>
          <w:sz w:val="28"/>
          <w:szCs w:val="28"/>
          <w:lang w:eastAsia="zh-CN"/>
        </w:rPr>
      </w:pPr>
      <w:r>
        <w:rPr>
          <w:rFonts w:hint="eastAsia" w:ascii="宋体" w:hAnsi="宋体"/>
          <w:b/>
          <w:sz w:val="28"/>
          <w:szCs w:val="28"/>
          <w:lang w:val="en-US" w:eastAsia="zh-CN"/>
        </w:rPr>
        <w:t>2</w:t>
      </w:r>
      <w:r>
        <w:rPr>
          <w:rFonts w:hint="eastAsia" w:ascii="宋体" w:hAnsi="宋体"/>
          <w:b/>
          <w:sz w:val="28"/>
          <w:szCs w:val="28"/>
          <w:lang w:eastAsia="zh-CN"/>
        </w:rPr>
        <w:t>.费用</w:t>
      </w:r>
    </w:p>
    <w:p w14:paraId="3E8A6824">
      <w:pPr>
        <w:spacing w:line="360" w:lineRule="auto"/>
        <w:ind w:firstLine="560" w:firstLineChars="200"/>
        <w:rPr>
          <w:rFonts w:ascii="宋体" w:hAnsi="宋体"/>
          <w:sz w:val="28"/>
          <w:szCs w:val="28"/>
          <w:lang w:eastAsia="zh-CN"/>
        </w:rPr>
      </w:pPr>
      <w:r>
        <w:rPr>
          <w:rFonts w:hint="eastAsia" w:ascii="宋体" w:hAnsi="宋体"/>
          <w:sz w:val="28"/>
          <w:szCs w:val="28"/>
          <w:lang w:eastAsia="zh-CN"/>
        </w:rPr>
        <w:t>无论过程和结果如何，供应商自行承担所有与参加竞价采购有关的全部费用。</w:t>
      </w:r>
    </w:p>
    <w:p w14:paraId="25EC4738">
      <w:pPr>
        <w:spacing w:line="360" w:lineRule="auto"/>
        <w:ind w:firstLine="3654" w:firstLineChars="1300"/>
        <w:rPr>
          <w:rFonts w:ascii="黑体" w:hAnsi="黑体" w:eastAsia="黑体"/>
          <w:b/>
          <w:sz w:val="28"/>
          <w:lang w:eastAsia="zh-CN"/>
        </w:rPr>
      </w:pPr>
      <w:r>
        <w:rPr>
          <w:rFonts w:hint="eastAsia" w:ascii="黑体" w:hAnsi="黑体" w:eastAsia="黑体"/>
          <w:b/>
          <w:sz w:val="28"/>
          <w:lang w:eastAsia="zh-CN"/>
        </w:rPr>
        <w:t>B  响应文件</w:t>
      </w:r>
    </w:p>
    <w:p w14:paraId="61235412">
      <w:pPr>
        <w:spacing w:line="500" w:lineRule="exact"/>
        <w:rPr>
          <w:rFonts w:ascii="宋体" w:hAnsi="宋体"/>
          <w:sz w:val="28"/>
          <w:szCs w:val="28"/>
          <w:lang w:eastAsia="zh-CN"/>
        </w:rPr>
      </w:pPr>
      <w:r>
        <w:rPr>
          <w:rFonts w:hint="eastAsia" w:ascii="宋体" w:hAnsi="宋体"/>
          <w:b/>
          <w:sz w:val="28"/>
          <w:szCs w:val="28"/>
          <w:lang w:eastAsia="zh-CN"/>
        </w:rPr>
        <w:t>4. 响应文件及材料文件计量单位</w:t>
      </w:r>
    </w:p>
    <w:p w14:paraId="593582AF">
      <w:pPr>
        <w:tabs>
          <w:tab w:val="left" w:pos="7665"/>
        </w:tabs>
        <w:adjustRightInd w:val="0"/>
        <w:snapToGrid w:val="0"/>
        <w:spacing w:line="500" w:lineRule="exact"/>
        <w:ind w:firstLine="560" w:firstLineChars="200"/>
        <w:rPr>
          <w:rFonts w:ascii="宋体" w:hAnsi="宋体"/>
          <w:sz w:val="28"/>
          <w:szCs w:val="28"/>
          <w:lang w:eastAsia="zh-CN"/>
        </w:rPr>
      </w:pPr>
      <w:r>
        <w:rPr>
          <w:rFonts w:hint="eastAsia" w:ascii="宋体" w:hAnsi="宋体"/>
          <w:sz w:val="28"/>
          <w:szCs w:val="28"/>
          <w:lang w:eastAsia="zh-CN"/>
        </w:rPr>
        <w:t>除技术规范及要求中另有规定外，本项目均采用国家法定的计量单位。</w:t>
      </w:r>
    </w:p>
    <w:p w14:paraId="6CE60BF9">
      <w:pPr>
        <w:spacing w:line="500" w:lineRule="exact"/>
        <w:rPr>
          <w:rFonts w:ascii="宋体" w:hAnsi="宋体"/>
          <w:sz w:val="28"/>
          <w:szCs w:val="28"/>
          <w:lang w:eastAsia="zh-CN"/>
        </w:rPr>
      </w:pPr>
      <w:r>
        <w:rPr>
          <w:rFonts w:hint="eastAsia" w:ascii="宋体" w:hAnsi="宋体"/>
          <w:b/>
          <w:sz w:val="28"/>
          <w:szCs w:val="28"/>
          <w:lang w:eastAsia="zh-CN"/>
        </w:rPr>
        <w:t>5. 响应文件及材料的组成</w:t>
      </w:r>
    </w:p>
    <w:p w14:paraId="245D37CF">
      <w:pPr>
        <w:tabs>
          <w:tab w:val="left" w:pos="7665"/>
        </w:tabs>
        <w:adjustRightInd w:val="0"/>
        <w:snapToGrid w:val="0"/>
        <w:spacing w:line="500" w:lineRule="exact"/>
        <w:ind w:firstLine="560" w:firstLineChars="200"/>
        <w:rPr>
          <w:rFonts w:ascii="宋体" w:hAnsi="宋体"/>
          <w:color w:val="FF0000"/>
          <w:sz w:val="28"/>
          <w:szCs w:val="28"/>
          <w:lang w:eastAsia="zh-CN"/>
        </w:rPr>
      </w:pPr>
      <w:r>
        <w:rPr>
          <w:rFonts w:hint="eastAsia" w:ascii="宋体" w:hAnsi="宋体"/>
          <w:sz w:val="28"/>
          <w:szCs w:val="28"/>
          <w:lang w:eastAsia="zh-CN"/>
        </w:rPr>
        <w:t>5.1响应人应按照采购文件的规定和要求编制响应文件。响应人拟在中选后将中选项目的非主体、非关键性工作交由他人完成的，应当在响应文件中载明。</w:t>
      </w:r>
    </w:p>
    <w:p w14:paraId="10D8CC34">
      <w:pPr>
        <w:tabs>
          <w:tab w:val="left" w:pos="7665"/>
        </w:tabs>
        <w:adjustRightInd w:val="0"/>
        <w:snapToGrid w:val="0"/>
        <w:spacing w:line="500" w:lineRule="exact"/>
        <w:ind w:firstLine="560" w:firstLineChars="200"/>
        <w:rPr>
          <w:rFonts w:ascii="宋体" w:hAnsi="宋体"/>
          <w:sz w:val="28"/>
          <w:szCs w:val="28"/>
          <w:lang w:eastAsia="zh-CN"/>
        </w:rPr>
      </w:pPr>
      <w:r>
        <w:rPr>
          <w:rFonts w:hint="eastAsia" w:ascii="宋体" w:hAnsi="宋体"/>
          <w:sz w:val="28"/>
          <w:szCs w:val="28"/>
          <w:lang w:eastAsia="zh-CN"/>
        </w:rPr>
        <w:t>响应人按照采购文件要求做出的响应，</w:t>
      </w:r>
      <w:r>
        <w:rPr>
          <w:rFonts w:hint="eastAsia" w:ascii="宋体" w:hAnsi="宋体"/>
          <w:b/>
          <w:bCs/>
          <w:sz w:val="28"/>
          <w:szCs w:val="28"/>
          <w:lang w:eastAsia="zh-CN"/>
        </w:rPr>
        <w:t>主要是针对项目的技术指标、参数和商务要求做出的实质性响应和满足</w:t>
      </w:r>
      <w:r>
        <w:rPr>
          <w:rFonts w:hint="eastAsia" w:ascii="宋体" w:hAnsi="宋体"/>
          <w:sz w:val="28"/>
          <w:szCs w:val="28"/>
          <w:lang w:eastAsia="zh-CN"/>
        </w:rPr>
        <w:t>。</w:t>
      </w:r>
    </w:p>
    <w:p w14:paraId="3D2B6102">
      <w:pPr>
        <w:tabs>
          <w:tab w:val="left" w:pos="7665"/>
        </w:tabs>
        <w:adjustRightInd w:val="0"/>
        <w:snapToGrid w:val="0"/>
        <w:spacing w:line="500" w:lineRule="exact"/>
        <w:ind w:firstLine="560" w:firstLineChars="200"/>
        <w:rPr>
          <w:rFonts w:ascii="宋体" w:hAnsi="宋体"/>
          <w:sz w:val="28"/>
          <w:szCs w:val="28"/>
          <w:lang w:eastAsia="zh-CN"/>
        </w:rPr>
      </w:pPr>
      <w:r>
        <w:rPr>
          <w:rFonts w:hint="eastAsia" w:ascii="宋体" w:hAnsi="宋体"/>
          <w:sz w:val="28"/>
          <w:szCs w:val="28"/>
          <w:lang w:eastAsia="zh-CN"/>
        </w:rPr>
        <w:t>5.2响应报价</w:t>
      </w:r>
    </w:p>
    <w:p w14:paraId="0B4F39C7">
      <w:pPr>
        <w:tabs>
          <w:tab w:val="left" w:pos="7665"/>
        </w:tabs>
        <w:adjustRightInd w:val="0"/>
        <w:snapToGrid w:val="0"/>
        <w:spacing w:line="500" w:lineRule="exact"/>
        <w:ind w:firstLine="560" w:firstLineChars="200"/>
        <w:rPr>
          <w:rFonts w:ascii="宋体" w:hAnsi="宋体"/>
          <w:sz w:val="28"/>
          <w:szCs w:val="28"/>
          <w:lang w:eastAsia="zh-CN"/>
        </w:rPr>
      </w:pPr>
      <w:r>
        <w:rPr>
          <w:rFonts w:hint="eastAsia" w:ascii="宋体" w:hAnsi="宋体"/>
          <w:sz w:val="28"/>
          <w:szCs w:val="28"/>
          <w:lang w:eastAsia="zh-CN"/>
        </w:rPr>
        <w:t>响应人的报价是响应人响应项目要求的全部工作内容的价格体现，包括响应人完成本项目所需的一切费用。</w:t>
      </w:r>
    </w:p>
    <w:p w14:paraId="7EDA1C49">
      <w:pPr>
        <w:spacing w:line="500" w:lineRule="exact"/>
        <w:ind w:firstLine="560" w:firstLineChars="200"/>
        <w:rPr>
          <w:rFonts w:ascii="宋体" w:hAnsi="宋体"/>
          <w:sz w:val="28"/>
          <w:szCs w:val="28"/>
          <w:lang w:eastAsia="zh-CN"/>
        </w:rPr>
      </w:pPr>
      <w:r>
        <w:rPr>
          <w:rFonts w:hint="eastAsia" w:ascii="宋体" w:hAnsi="宋体"/>
          <w:sz w:val="28"/>
          <w:szCs w:val="28"/>
          <w:lang w:eastAsia="zh-CN"/>
        </w:rPr>
        <w:t>特别注明：设备包装费、运输费、装卸费、利润、税金等费用要求合理分摊到报价中。</w:t>
      </w:r>
    </w:p>
    <w:p w14:paraId="2B0846F7">
      <w:pPr>
        <w:spacing w:line="500" w:lineRule="exact"/>
        <w:ind w:firstLine="562" w:firstLineChars="200"/>
        <w:rPr>
          <w:rFonts w:ascii="宋体" w:hAnsi="宋体"/>
          <w:b/>
          <w:bCs/>
          <w:color w:val="FF0000"/>
          <w:sz w:val="28"/>
          <w:szCs w:val="28"/>
          <w:lang w:eastAsia="zh-CN"/>
        </w:rPr>
      </w:pPr>
      <w:r>
        <w:rPr>
          <w:rFonts w:hint="eastAsia" w:ascii="宋体" w:hAnsi="宋体"/>
          <w:b/>
          <w:bCs/>
          <w:color w:val="FF0000"/>
          <w:sz w:val="28"/>
          <w:szCs w:val="28"/>
          <w:lang w:eastAsia="zh-CN"/>
        </w:rPr>
        <w:t>发票必须为增值税专用发票，税率必须在报价中进行说明。</w:t>
      </w:r>
    </w:p>
    <w:p w14:paraId="64BD0A46">
      <w:pPr>
        <w:spacing w:line="500" w:lineRule="exact"/>
        <w:rPr>
          <w:rFonts w:ascii="宋体" w:hAnsi="宋体"/>
          <w:b/>
          <w:sz w:val="28"/>
          <w:szCs w:val="28"/>
          <w:lang w:eastAsia="zh-CN"/>
        </w:rPr>
      </w:pPr>
      <w:r>
        <w:rPr>
          <w:rFonts w:ascii="宋体" w:hAnsi="宋体"/>
          <w:b/>
          <w:sz w:val="28"/>
          <w:szCs w:val="28"/>
          <w:lang w:eastAsia="zh-CN"/>
        </w:rPr>
        <w:t>6</w:t>
      </w:r>
      <w:r>
        <w:rPr>
          <w:rFonts w:hint="eastAsia" w:ascii="宋体" w:hAnsi="宋体"/>
          <w:b/>
          <w:sz w:val="28"/>
          <w:szCs w:val="28"/>
          <w:lang w:eastAsia="zh-CN"/>
        </w:rPr>
        <w:t>. 报价</w:t>
      </w:r>
    </w:p>
    <w:p w14:paraId="637DA8DE">
      <w:pPr>
        <w:spacing w:line="500" w:lineRule="exact"/>
        <w:ind w:firstLine="560" w:firstLineChars="200"/>
        <w:rPr>
          <w:rFonts w:ascii="宋体" w:hAnsi="宋体"/>
          <w:sz w:val="28"/>
          <w:szCs w:val="28"/>
          <w:lang w:eastAsia="zh-CN"/>
        </w:rPr>
      </w:pPr>
      <w:r>
        <w:rPr>
          <w:rFonts w:ascii="宋体" w:hAnsi="宋体"/>
          <w:sz w:val="28"/>
          <w:szCs w:val="28"/>
          <w:lang w:eastAsia="zh-CN"/>
        </w:rPr>
        <w:t>6</w:t>
      </w:r>
      <w:r>
        <w:rPr>
          <w:rFonts w:hint="eastAsia" w:ascii="宋体" w:hAnsi="宋体"/>
          <w:sz w:val="28"/>
          <w:szCs w:val="28"/>
          <w:lang w:eastAsia="zh-CN"/>
        </w:rPr>
        <w:t>.1所有价格均以人民币报价。</w:t>
      </w:r>
    </w:p>
    <w:p w14:paraId="6A832822">
      <w:pPr>
        <w:spacing w:line="500" w:lineRule="exact"/>
        <w:ind w:firstLine="560" w:firstLineChars="200"/>
        <w:rPr>
          <w:rFonts w:ascii="宋体" w:hAnsi="宋体"/>
          <w:color w:val="000000"/>
          <w:sz w:val="28"/>
          <w:szCs w:val="28"/>
          <w:lang w:eastAsia="zh-CN"/>
        </w:rPr>
      </w:pPr>
      <w:r>
        <w:rPr>
          <w:rFonts w:ascii="宋体" w:hAnsi="宋体"/>
          <w:sz w:val="28"/>
          <w:szCs w:val="28"/>
          <w:lang w:eastAsia="zh-CN"/>
        </w:rPr>
        <w:t>6</w:t>
      </w:r>
      <w:r>
        <w:rPr>
          <w:rFonts w:hint="eastAsia" w:ascii="宋体" w:hAnsi="宋体"/>
          <w:sz w:val="28"/>
          <w:szCs w:val="28"/>
          <w:lang w:eastAsia="zh-CN"/>
        </w:rPr>
        <w:t>.2单项设备</w:t>
      </w:r>
      <w:r>
        <w:rPr>
          <w:rFonts w:hint="eastAsia" w:ascii="宋体" w:hAnsi="宋体"/>
          <w:color w:val="000000"/>
          <w:sz w:val="28"/>
          <w:szCs w:val="28"/>
          <w:lang w:eastAsia="zh-CN"/>
        </w:rPr>
        <w:t>最低报价不能作为被接受的唯一保证。</w:t>
      </w:r>
    </w:p>
    <w:p w14:paraId="0FD8B8E3">
      <w:pPr>
        <w:spacing w:line="500" w:lineRule="exact"/>
        <w:ind w:firstLine="560" w:firstLineChars="200"/>
        <w:rPr>
          <w:rFonts w:ascii="宋体" w:hAnsi="宋体"/>
          <w:sz w:val="28"/>
          <w:szCs w:val="28"/>
          <w:lang w:eastAsia="zh-CN"/>
        </w:rPr>
      </w:pPr>
      <w:r>
        <w:rPr>
          <w:rFonts w:ascii="宋体" w:hAnsi="宋体"/>
          <w:sz w:val="28"/>
          <w:szCs w:val="28"/>
          <w:lang w:eastAsia="zh-CN"/>
        </w:rPr>
        <w:t>6</w:t>
      </w:r>
      <w:r>
        <w:rPr>
          <w:rFonts w:hint="eastAsia" w:ascii="宋体" w:hAnsi="宋体"/>
          <w:sz w:val="28"/>
          <w:szCs w:val="28"/>
          <w:lang w:eastAsia="zh-CN"/>
        </w:rPr>
        <w:t>.3报价可对单价进行汇总，并对汇总后报价再进行让利、优惠等变动价格的调整。</w:t>
      </w:r>
    </w:p>
    <w:p w14:paraId="1DB2CD48">
      <w:pPr>
        <w:spacing w:line="500" w:lineRule="exact"/>
        <w:ind w:firstLine="560" w:firstLineChars="200"/>
        <w:rPr>
          <w:rFonts w:ascii="宋体" w:hAnsi="宋体"/>
          <w:sz w:val="28"/>
          <w:szCs w:val="28"/>
          <w:lang w:eastAsia="zh-CN"/>
        </w:rPr>
      </w:pPr>
      <w:r>
        <w:rPr>
          <w:rFonts w:ascii="宋体" w:hAnsi="宋体"/>
          <w:sz w:val="28"/>
          <w:szCs w:val="28"/>
          <w:lang w:eastAsia="zh-CN"/>
        </w:rPr>
        <w:t>6</w:t>
      </w:r>
      <w:r>
        <w:rPr>
          <w:rFonts w:hint="eastAsia" w:ascii="宋体" w:hAnsi="宋体"/>
          <w:sz w:val="28"/>
          <w:szCs w:val="28"/>
          <w:lang w:eastAsia="zh-CN"/>
        </w:rPr>
        <w:t>.4报价中应包括项目相关的所有税费，如营业税、城建税、教育附加费、运保费等。</w:t>
      </w:r>
    </w:p>
    <w:p w14:paraId="15BA70A9">
      <w:pPr>
        <w:spacing w:line="500" w:lineRule="exact"/>
        <w:rPr>
          <w:rFonts w:ascii="宋体" w:hAnsi="宋体"/>
          <w:b/>
          <w:sz w:val="28"/>
          <w:szCs w:val="28"/>
          <w:lang w:eastAsia="zh-CN"/>
        </w:rPr>
      </w:pPr>
      <w:r>
        <w:rPr>
          <w:rFonts w:ascii="宋体" w:hAnsi="宋体"/>
          <w:b/>
          <w:sz w:val="28"/>
          <w:szCs w:val="28"/>
          <w:lang w:eastAsia="zh-CN"/>
        </w:rPr>
        <w:t>7</w:t>
      </w:r>
      <w:r>
        <w:rPr>
          <w:rFonts w:hint="eastAsia" w:ascii="宋体" w:hAnsi="宋体"/>
          <w:b/>
          <w:sz w:val="28"/>
          <w:szCs w:val="28"/>
          <w:lang w:eastAsia="zh-CN"/>
        </w:rPr>
        <w:t>.响应文件的编制及送达</w:t>
      </w:r>
    </w:p>
    <w:p w14:paraId="520DB2CF">
      <w:pPr>
        <w:spacing w:line="500" w:lineRule="exact"/>
        <w:ind w:firstLine="560" w:firstLineChars="200"/>
        <w:rPr>
          <w:rFonts w:ascii="宋体" w:hAnsi="宋体"/>
          <w:sz w:val="28"/>
          <w:szCs w:val="28"/>
          <w:lang w:eastAsia="zh-CN"/>
        </w:rPr>
      </w:pPr>
      <w:r>
        <w:rPr>
          <w:rFonts w:hint="eastAsia" w:ascii="宋体" w:hAnsi="宋体"/>
          <w:sz w:val="28"/>
          <w:szCs w:val="28"/>
          <w:lang w:eastAsia="zh-CN"/>
        </w:rPr>
        <w:t>组成响应文件的各项资料均应遵守本条。</w:t>
      </w:r>
    </w:p>
    <w:p w14:paraId="7E3C903F">
      <w:pPr>
        <w:spacing w:line="500" w:lineRule="exact"/>
        <w:ind w:firstLine="560" w:firstLineChars="200"/>
        <w:rPr>
          <w:rFonts w:ascii="宋体" w:hAnsi="宋体"/>
          <w:sz w:val="28"/>
          <w:szCs w:val="28"/>
          <w:lang w:eastAsia="zh-CN"/>
        </w:rPr>
      </w:pPr>
      <w:r>
        <w:rPr>
          <w:rFonts w:ascii="宋体" w:hAnsi="宋体"/>
          <w:sz w:val="28"/>
          <w:szCs w:val="28"/>
          <w:lang w:eastAsia="zh-CN"/>
        </w:rPr>
        <w:t>7</w:t>
      </w:r>
      <w:r>
        <w:rPr>
          <w:rFonts w:hint="eastAsia" w:ascii="宋体" w:hAnsi="宋体"/>
          <w:sz w:val="28"/>
          <w:szCs w:val="28"/>
          <w:lang w:eastAsia="zh-CN"/>
        </w:rPr>
        <w:t>.</w:t>
      </w:r>
      <w:r>
        <w:rPr>
          <w:rFonts w:ascii="宋体" w:hAnsi="宋体"/>
          <w:sz w:val="28"/>
          <w:szCs w:val="28"/>
          <w:lang w:eastAsia="zh-CN"/>
        </w:rPr>
        <w:t>1</w:t>
      </w:r>
      <w:r>
        <w:rPr>
          <w:rFonts w:hint="eastAsia" w:ascii="宋体" w:hAnsi="宋体"/>
          <w:sz w:val="28"/>
          <w:szCs w:val="28"/>
          <w:lang w:eastAsia="zh-CN"/>
        </w:rPr>
        <w:t xml:space="preserve"> 响应单位应按本采购文件所提供的格式进行编制。 </w:t>
      </w:r>
    </w:p>
    <w:p w14:paraId="6DE2597F">
      <w:pPr>
        <w:spacing w:line="500" w:lineRule="exact"/>
        <w:ind w:firstLine="560" w:firstLineChars="200"/>
        <w:rPr>
          <w:rFonts w:ascii="宋体" w:hAnsi="宋体"/>
          <w:sz w:val="28"/>
          <w:szCs w:val="28"/>
          <w:lang w:eastAsia="zh-CN"/>
        </w:rPr>
      </w:pPr>
      <w:r>
        <w:rPr>
          <w:rFonts w:ascii="宋体" w:hAnsi="宋体"/>
          <w:sz w:val="28"/>
          <w:szCs w:val="28"/>
          <w:lang w:eastAsia="zh-CN"/>
        </w:rPr>
        <w:t>7</w:t>
      </w:r>
      <w:r>
        <w:rPr>
          <w:rFonts w:hint="eastAsia" w:ascii="宋体" w:hAnsi="宋体"/>
          <w:sz w:val="28"/>
          <w:szCs w:val="28"/>
          <w:lang w:eastAsia="zh-CN"/>
        </w:rPr>
        <w:t>.</w:t>
      </w:r>
      <w:r>
        <w:rPr>
          <w:rFonts w:ascii="宋体" w:hAnsi="宋体"/>
          <w:sz w:val="28"/>
          <w:szCs w:val="28"/>
          <w:lang w:eastAsia="zh-CN"/>
        </w:rPr>
        <w:t>2</w:t>
      </w:r>
      <w:r>
        <w:rPr>
          <w:rFonts w:hint="eastAsia" w:ascii="宋体" w:hAnsi="宋体"/>
          <w:sz w:val="28"/>
          <w:szCs w:val="28"/>
          <w:lang w:eastAsia="zh-CN"/>
        </w:rPr>
        <w:t xml:space="preserve"> 响应文件附件内容由供应商进行编制并按顺序进行装订； </w:t>
      </w:r>
    </w:p>
    <w:p w14:paraId="07EF73CD">
      <w:pPr>
        <w:spacing w:line="500" w:lineRule="exact"/>
        <w:ind w:firstLine="560" w:firstLineChars="200"/>
        <w:rPr>
          <w:rFonts w:ascii="宋体" w:hAnsi="宋体"/>
          <w:sz w:val="28"/>
          <w:szCs w:val="28"/>
          <w:lang w:eastAsia="zh-CN"/>
        </w:rPr>
      </w:pPr>
      <w:r>
        <w:rPr>
          <w:rFonts w:ascii="宋体" w:hAnsi="宋体"/>
          <w:sz w:val="28"/>
          <w:szCs w:val="28"/>
          <w:lang w:eastAsia="zh-CN"/>
        </w:rPr>
        <w:t>7</w:t>
      </w:r>
      <w:r>
        <w:rPr>
          <w:rFonts w:hint="eastAsia" w:ascii="宋体" w:hAnsi="宋体"/>
          <w:sz w:val="28"/>
          <w:szCs w:val="28"/>
          <w:lang w:eastAsia="zh-CN"/>
        </w:rPr>
        <w:t>.</w:t>
      </w:r>
      <w:r>
        <w:rPr>
          <w:rFonts w:ascii="宋体" w:hAnsi="宋体"/>
          <w:sz w:val="28"/>
          <w:szCs w:val="28"/>
          <w:lang w:eastAsia="zh-CN"/>
        </w:rPr>
        <w:t>3</w:t>
      </w:r>
      <w:r>
        <w:rPr>
          <w:rFonts w:hint="eastAsia" w:ascii="宋体" w:hAnsi="宋体"/>
          <w:sz w:val="28"/>
          <w:szCs w:val="28"/>
          <w:lang w:eastAsia="zh-CN"/>
        </w:rPr>
        <w:t>全套响应文件应无涂改或行间插字。</w:t>
      </w:r>
    </w:p>
    <w:p w14:paraId="5D030AE6">
      <w:pPr>
        <w:spacing w:line="500" w:lineRule="exact"/>
        <w:ind w:firstLine="560" w:firstLineChars="200"/>
        <w:rPr>
          <w:rFonts w:ascii="宋体" w:hAnsi="宋体"/>
          <w:color w:val="FF0000"/>
          <w:sz w:val="28"/>
          <w:szCs w:val="28"/>
          <w:lang w:eastAsia="zh-CN"/>
        </w:rPr>
      </w:pPr>
      <w:r>
        <w:rPr>
          <w:rFonts w:ascii="宋体" w:hAnsi="宋体"/>
          <w:color w:val="FF0000"/>
          <w:sz w:val="28"/>
          <w:szCs w:val="28"/>
          <w:lang w:eastAsia="zh-CN"/>
        </w:rPr>
        <w:t>7</w:t>
      </w:r>
      <w:r>
        <w:rPr>
          <w:rFonts w:hint="eastAsia" w:ascii="宋体" w:hAnsi="宋体"/>
          <w:color w:val="FF0000"/>
          <w:sz w:val="28"/>
          <w:szCs w:val="28"/>
          <w:lang w:eastAsia="zh-CN"/>
        </w:rPr>
        <w:t>.</w:t>
      </w:r>
      <w:r>
        <w:rPr>
          <w:rFonts w:ascii="宋体" w:hAnsi="宋体"/>
          <w:color w:val="FF0000"/>
          <w:sz w:val="28"/>
          <w:szCs w:val="28"/>
          <w:lang w:eastAsia="zh-CN"/>
        </w:rPr>
        <w:t>4</w:t>
      </w:r>
      <w:r>
        <w:rPr>
          <w:rFonts w:hint="eastAsia" w:ascii="宋体" w:hAnsi="宋体"/>
          <w:color w:val="FF0000"/>
          <w:sz w:val="28"/>
          <w:szCs w:val="28"/>
          <w:lang w:eastAsia="zh-CN"/>
        </w:rPr>
        <w:t>未按照规定的格式及要求填写或内容不全，视为无效文件。</w:t>
      </w:r>
    </w:p>
    <w:p w14:paraId="3EB8024B">
      <w:pPr>
        <w:spacing w:line="500" w:lineRule="exact"/>
        <w:ind w:firstLine="560" w:firstLineChars="200"/>
        <w:rPr>
          <w:rFonts w:ascii="宋体" w:hAnsi="宋体"/>
          <w:sz w:val="28"/>
          <w:szCs w:val="28"/>
          <w:lang w:eastAsia="zh-CN"/>
        </w:rPr>
      </w:pPr>
      <w:r>
        <w:rPr>
          <w:rFonts w:ascii="宋体" w:hAnsi="宋体"/>
          <w:sz w:val="28"/>
          <w:szCs w:val="28"/>
          <w:lang w:eastAsia="zh-CN"/>
        </w:rPr>
        <w:t>7</w:t>
      </w:r>
      <w:r>
        <w:rPr>
          <w:rFonts w:hint="eastAsia" w:ascii="宋体" w:hAnsi="宋体"/>
          <w:sz w:val="28"/>
          <w:szCs w:val="28"/>
          <w:lang w:eastAsia="zh-CN"/>
        </w:rPr>
        <w:t>.</w:t>
      </w:r>
      <w:r>
        <w:rPr>
          <w:rFonts w:ascii="宋体" w:hAnsi="宋体"/>
          <w:sz w:val="28"/>
          <w:szCs w:val="28"/>
          <w:lang w:eastAsia="zh-CN"/>
        </w:rPr>
        <w:t>5</w:t>
      </w:r>
      <w:r>
        <w:rPr>
          <w:rFonts w:hint="eastAsia" w:ascii="宋体" w:hAnsi="宋体"/>
          <w:sz w:val="28"/>
          <w:szCs w:val="28"/>
          <w:lang w:eastAsia="zh-CN"/>
        </w:rPr>
        <w:t xml:space="preserve"> 如果发送电子文件进行竞价采购响应必须加盖红色公章扫描件，符合本竞价采购文件相关要求。 </w:t>
      </w:r>
    </w:p>
    <w:p w14:paraId="603F51FF">
      <w:pPr>
        <w:spacing w:line="500" w:lineRule="exact"/>
        <w:ind w:firstLine="560" w:firstLineChars="200"/>
        <w:rPr>
          <w:rFonts w:ascii="宋体" w:hAnsi="宋体"/>
          <w:sz w:val="28"/>
          <w:szCs w:val="28"/>
          <w:lang w:eastAsia="zh-CN"/>
        </w:rPr>
      </w:pPr>
      <w:r>
        <w:rPr>
          <w:rFonts w:ascii="宋体" w:hAnsi="宋体"/>
          <w:sz w:val="28"/>
          <w:szCs w:val="28"/>
          <w:lang w:eastAsia="zh-CN"/>
        </w:rPr>
        <w:t>7</w:t>
      </w: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 xml:space="preserve"> </w:t>
      </w:r>
      <w:r>
        <w:rPr>
          <w:rFonts w:hint="eastAsia" w:ascii="宋体" w:hAnsi="宋体"/>
          <w:sz w:val="28"/>
          <w:szCs w:val="28"/>
          <w:lang w:val="en-US" w:eastAsia="zh-CN"/>
        </w:rPr>
        <w:t>报价</w:t>
      </w:r>
      <w:r>
        <w:rPr>
          <w:rFonts w:hint="eastAsia" w:ascii="宋体" w:hAnsi="宋体"/>
          <w:sz w:val="28"/>
          <w:szCs w:val="28"/>
          <w:lang w:eastAsia="zh-CN"/>
        </w:rPr>
        <w:t>书未在规定时间内报送或报送时未密封，视为无效文件。</w:t>
      </w:r>
    </w:p>
    <w:p w14:paraId="7908A6E2">
      <w:pPr>
        <w:spacing w:line="500" w:lineRule="exact"/>
        <w:rPr>
          <w:rFonts w:ascii="宋体" w:hAnsi="宋体"/>
          <w:b/>
          <w:sz w:val="28"/>
          <w:szCs w:val="28"/>
          <w:lang w:eastAsia="zh-CN"/>
        </w:rPr>
      </w:pPr>
      <w:r>
        <w:rPr>
          <w:rFonts w:hint="eastAsia" w:ascii="宋体" w:hAnsi="宋体"/>
          <w:b/>
          <w:sz w:val="28"/>
          <w:szCs w:val="28"/>
          <w:lang w:eastAsia="zh-CN"/>
        </w:rPr>
        <w:t xml:space="preserve">8. 响应文件的签署及规定 </w:t>
      </w:r>
    </w:p>
    <w:p w14:paraId="5D0542C6">
      <w:pPr>
        <w:spacing w:line="500" w:lineRule="exact"/>
        <w:ind w:firstLine="560" w:firstLineChars="200"/>
        <w:rPr>
          <w:rFonts w:ascii="宋体" w:hAnsi="宋体"/>
          <w:color w:val="auto"/>
          <w:sz w:val="28"/>
          <w:szCs w:val="28"/>
          <w:lang w:eastAsia="zh-CN"/>
        </w:rPr>
      </w:pPr>
      <w:r>
        <w:rPr>
          <w:rFonts w:hint="eastAsia" w:ascii="宋体" w:hAnsi="宋体"/>
          <w:color w:val="auto"/>
          <w:sz w:val="28"/>
          <w:szCs w:val="28"/>
          <w:lang w:eastAsia="zh-CN"/>
        </w:rPr>
        <w:t>8.</w:t>
      </w:r>
      <w:r>
        <w:rPr>
          <w:rFonts w:ascii="宋体" w:hAnsi="宋体"/>
          <w:color w:val="auto"/>
          <w:sz w:val="28"/>
          <w:szCs w:val="28"/>
          <w:lang w:eastAsia="zh-CN"/>
        </w:rPr>
        <w:t>1</w:t>
      </w:r>
      <w:r>
        <w:rPr>
          <w:rFonts w:hint="eastAsia" w:ascii="宋体" w:hAnsi="宋体"/>
          <w:color w:val="auto"/>
          <w:sz w:val="28"/>
          <w:szCs w:val="28"/>
          <w:lang w:eastAsia="zh-CN"/>
        </w:rPr>
        <w:t>供应商应填写全称、同时加盖印章。</w:t>
      </w:r>
    </w:p>
    <w:p w14:paraId="4231F273">
      <w:pPr>
        <w:spacing w:line="500" w:lineRule="exact"/>
        <w:ind w:firstLine="560" w:firstLineChars="200"/>
        <w:rPr>
          <w:rFonts w:ascii="宋体" w:hAnsi="宋体"/>
          <w:color w:val="auto"/>
          <w:sz w:val="28"/>
          <w:szCs w:val="28"/>
          <w:lang w:eastAsia="zh-CN"/>
        </w:rPr>
      </w:pPr>
      <w:r>
        <w:rPr>
          <w:rFonts w:hint="eastAsia" w:ascii="宋体" w:hAnsi="宋体"/>
          <w:color w:val="auto"/>
          <w:sz w:val="28"/>
          <w:szCs w:val="28"/>
          <w:lang w:eastAsia="zh-CN"/>
        </w:rPr>
        <w:t>8.</w:t>
      </w:r>
      <w:r>
        <w:rPr>
          <w:rFonts w:ascii="宋体" w:hAnsi="宋体"/>
          <w:color w:val="auto"/>
          <w:sz w:val="28"/>
          <w:szCs w:val="28"/>
          <w:lang w:eastAsia="zh-CN"/>
        </w:rPr>
        <w:t>2</w:t>
      </w:r>
      <w:r>
        <w:rPr>
          <w:rFonts w:hint="eastAsia" w:ascii="宋体" w:hAnsi="宋体"/>
          <w:color w:val="auto"/>
          <w:sz w:val="28"/>
          <w:szCs w:val="28"/>
          <w:lang w:eastAsia="zh-CN"/>
        </w:rPr>
        <w:t>供应商的响应文件必须由法人代表或授权代表签署。</w:t>
      </w:r>
    </w:p>
    <w:p w14:paraId="2C185A78">
      <w:pPr>
        <w:spacing w:line="500" w:lineRule="exact"/>
        <w:ind w:firstLine="560" w:firstLineChars="200"/>
        <w:rPr>
          <w:rFonts w:ascii="宋体" w:hAnsi="宋体"/>
          <w:color w:val="FF0000"/>
          <w:sz w:val="28"/>
          <w:szCs w:val="28"/>
          <w:lang w:eastAsia="zh-CN"/>
        </w:rPr>
      </w:pPr>
      <w:r>
        <w:rPr>
          <w:rFonts w:hint="eastAsia" w:ascii="宋体" w:hAnsi="宋体"/>
          <w:color w:val="FF0000"/>
          <w:sz w:val="28"/>
          <w:szCs w:val="28"/>
          <w:lang w:eastAsia="zh-CN"/>
        </w:rPr>
        <w:t>8.</w:t>
      </w:r>
      <w:r>
        <w:rPr>
          <w:rFonts w:ascii="宋体" w:hAnsi="宋体"/>
          <w:color w:val="FF0000"/>
          <w:sz w:val="28"/>
          <w:szCs w:val="28"/>
          <w:lang w:eastAsia="zh-CN"/>
        </w:rPr>
        <w:t>3</w:t>
      </w:r>
      <w:r>
        <w:rPr>
          <w:rFonts w:hint="eastAsia" w:ascii="宋体" w:hAnsi="宋体"/>
          <w:color w:val="FF0000"/>
          <w:sz w:val="28"/>
          <w:szCs w:val="28"/>
          <w:lang w:eastAsia="zh-CN"/>
        </w:rPr>
        <w:t>需加盖公章未加盖公章的文件，需签字未签字的文件，视为无效文件。</w:t>
      </w:r>
    </w:p>
    <w:p w14:paraId="6E570212">
      <w:pPr>
        <w:spacing w:line="500" w:lineRule="exact"/>
        <w:ind w:firstLine="560" w:firstLineChars="200"/>
        <w:rPr>
          <w:rFonts w:ascii="宋体" w:hAnsi="宋体"/>
          <w:sz w:val="28"/>
          <w:szCs w:val="28"/>
          <w:lang w:eastAsia="zh-CN"/>
        </w:rPr>
      </w:pPr>
      <w:r>
        <w:rPr>
          <w:rFonts w:hint="eastAsia" w:ascii="宋体" w:hAnsi="宋体"/>
          <w:sz w:val="28"/>
          <w:szCs w:val="28"/>
          <w:lang w:eastAsia="zh-CN"/>
        </w:rPr>
        <w:t>8.</w:t>
      </w:r>
      <w:r>
        <w:rPr>
          <w:rFonts w:hint="eastAsia" w:ascii="宋体" w:hAnsi="宋体"/>
          <w:sz w:val="28"/>
          <w:szCs w:val="28"/>
          <w:lang w:val="en-US" w:eastAsia="zh-CN"/>
        </w:rPr>
        <w:t>4</w:t>
      </w:r>
      <w:r>
        <w:rPr>
          <w:rFonts w:hint="eastAsia" w:ascii="宋体" w:hAnsi="宋体"/>
          <w:sz w:val="28"/>
          <w:szCs w:val="28"/>
          <w:lang w:eastAsia="zh-CN"/>
        </w:rPr>
        <w:t>响应文件不得涂改和增删，如有修改错漏处，必须由同一签署人签字或盖章。</w:t>
      </w:r>
    </w:p>
    <w:p w14:paraId="2D6F2AF1">
      <w:pPr>
        <w:spacing w:line="500" w:lineRule="exact"/>
        <w:ind w:firstLine="560" w:firstLineChars="200"/>
        <w:rPr>
          <w:rFonts w:hint="eastAsia" w:ascii="宋体" w:hAnsi="宋体"/>
          <w:sz w:val="28"/>
          <w:szCs w:val="28"/>
          <w:lang w:eastAsia="zh-CN"/>
        </w:rPr>
      </w:pPr>
      <w:r>
        <w:rPr>
          <w:rFonts w:hint="eastAsia" w:ascii="宋体" w:hAnsi="宋体"/>
          <w:sz w:val="28"/>
          <w:szCs w:val="28"/>
          <w:lang w:eastAsia="zh-CN"/>
        </w:rPr>
        <w:t>8.</w:t>
      </w:r>
      <w:r>
        <w:rPr>
          <w:rFonts w:hint="eastAsia" w:ascii="宋体" w:hAnsi="宋体"/>
          <w:sz w:val="28"/>
          <w:szCs w:val="28"/>
          <w:lang w:val="en-US" w:eastAsia="zh-CN"/>
        </w:rPr>
        <w:t>5</w:t>
      </w:r>
      <w:r>
        <w:rPr>
          <w:rFonts w:hint="eastAsia" w:ascii="宋体" w:hAnsi="宋体"/>
          <w:sz w:val="28"/>
          <w:szCs w:val="28"/>
          <w:lang w:eastAsia="zh-CN"/>
        </w:rPr>
        <w:t>响应文件因字迹潦草或表达不清所引起的后果由响应人负责。</w:t>
      </w:r>
    </w:p>
    <w:p w14:paraId="0F07E039">
      <w:pPr>
        <w:spacing w:line="500" w:lineRule="exact"/>
        <w:rPr>
          <w:rFonts w:hint="default" w:ascii="宋体" w:hAnsi="宋体"/>
          <w:sz w:val="28"/>
          <w:szCs w:val="28"/>
          <w:lang w:val="en-US" w:eastAsia="zh-CN"/>
        </w:rPr>
      </w:pPr>
      <w:r>
        <w:rPr>
          <w:rFonts w:hint="eastAsia" w:ascii="宋体" w:hAnsi="宋体"/>
          <w:b/>
          <w:sz w:val="28"/>
          <w:szCs w:val="28"/>
          <w:lang w:val="en-US" w:eastAsia="zh-CN"/>
        </w:rPr>
        <w:t>9.</w:t>
      </w:r>
      <w:r>
        <w:rPr>
          <w:rFonts w:hint="eastAsia" w:ascii="宋体" w:hAnsi="宋体"/>
          <w:b/>
          <w:sz w:val="28"/>
          <w:szCs w:val="28"/>
          <w:lang w:eastAsia="zh-CN"/>
        </w:rPr>
        <w:t xml:space="preserve"> 响应文件</w:t>
      </w:r>
      <w:r>
        <w:rPr>
          <w:rFonts w:hint="eastAsia" w:ascii="宋体" w:hAnsi="宋体"/>
          <w:b/>
          <w:sz w:val="28"/>
          <w:szCs w:val="28"/>
          <w:lang w:val="en-US" w:eastAsia="zh-CN"/>
        </w:rPr>
        <w:t>有效期</w:t>
      </w:r>
      <w:r>
        <w:rPr>
          <w:rFonts w:hint="eastAsia" w:ascii="宋体" w:hAnsi="宋体"/>
          <w:b/>
          <w:sz w:val="28"/>
          <w:szCs w:val="28"/>
          <w:lang w:eastAsia="zh-CN"/>
        </w:rPr>
        <w:t>：</w:t>
      </w:r>
      <w:r>
        <w:rPr>
          <w:rFonts w:hint="eastAsia" w:ascii="宋体" w:hAnsi="宋体"/>
          <w:b/>
          <w:sz w:val="28"/>
          <w:szCs w:val="28"/>
          <w:lang w:val="en-US" w:eastAsia="zh-CN"/>
        </w:rPr>
        <w:t>自编制之日起至项目验收结束。</w:t>
      </w:r>
    </w:p>
    <w:p w14:paraId="26A4F01C">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rPr>
          <w:rFonts w:ascii="宋体" w:hAnsi="宋体"/>
          <w:b/>
          <w:sz w:val="28"/>
          <w:szCs w:val="28"/>
          <w:lang w:eastAsia="zh-CN"/>
        </w:rPr>
      </w:pPr>
      <w:r>
        <w:rPr>
          <w:rFonts w:hint="eastAsia" w:ascii="黑体" w:hAnsi="黑体" w:eastAsia="黑体"/>
          <w:b/>
          <w:sz w:val="28"/>
          <w:lang w:eastAsia="zh-CN"/>
        </w:rPr>
        <w:t>C  采购评审办法</w:t>
      </w:r>
    </w:p>
    <w:p w14:paraId="7A566FDD">
      <w:pPr>
        <w:spacing w:line="500" w:lineRule="exact"/>
        <w:jc w:val="both"/>
        <w:rPr>
          <w:rFonts w:hint="default" w:ascii="宋体" w:hAnsi="宋体"/>
          <w:b/>
          <w:color w:val="000000"/>
          <w:sz w:val="28"/>
          <w:szCs w:val="28"/>
          <w:lang w:val="en-US" w:eastAsia="zh-CN"/>
        </w:rPr>
      </w:pPr>
      <w:r>
        <w:rPr>
          <w:rFonts w:ascii="宋体" w:hAnsi="宋体"/>
          <w:b/>
          <w:color w:val="000000"/>
          <w:sz w:val="28"/>
          <w:szCs w:val="28"/>
          <w:lang w:eastAsia="zh-CN"/>
        </w:rPr>
        <w:t>9</w:t>
      </w:r>
      <w:r>
        <w:rPr>
          <w:rFonts w:hint="eastAsia" w:ascii="宋体" w:hAnsi="宋体"/>
          <w:b/>
          <w:color w:val="000000"/>
          <w:sz w:val="28"/>
          <w:szCs w:val="28"/>
          <w:lang w:eastAsia="zh-CN"/>
        </w:rPr>
        <w:t>.采购评审小组（</w:t>
      </w:r>
      <w:r>
        <w:rPr>
          <w:rFonts w:hint="eastAsia" w:ascii="宋体" w:hAnsi="宋体"/>
          <w:b/>
          <w:color w:val="000000"/>
          <w:sz w:val="28"/>
          <w:szCs w:val="28"/>
          <w:lang w:val="en-US" w:eastAsia="zh-CN"/>
        </w:rPr>
        <w:t>若涉及则如此条）</w:t>
      </w:r>
    </w:p>
    <w:p w14:paraId="73B1F13C">
      <w:pPr>
        <w:spacing w:line="500" w:lineRule="exact"/>
        <w:ind w:firstLine="560" w:firstLineChars="200"/>
        <w:jc w:val="both"/>
        <w:rPr>
          <w:rFonts w:ascii="宋体" w:hAnsi="宋体"/>
          <w:color w:val="000000"/>
          <w:sz w:val="28"/>
          <w:szCs w:val="28"/>
          <w:lang w:eastAsia="zh-CN"/>
        </w:rPr>
      </w:pPr>
      <w:r>
        <w:rPr>
          <w:rFonts w:hint="eastAsia" w:ascii="宋体" w:hAnsi="宋体"/>
          <w:color w:val="000000"/>
          <w:sz w:val="28"/>
          <w:szCs w:val="28"/>
          <w:lang w:eastAsia="zh-CN"/>
        </w:rPr>
        <w:t>评审小组由</w:t>
      </w:r>
      <w:r>
        <w:rPr>
          <w:rFonts w:hint="eastAsia" w:ascii="宋体" w:hAnsi="宋体"/>
          <w:color w:val="000000"/>
          <w:sz w:val="28"/>
          <w:szCs w:val="28"/>
          <w:lang w:val="en-US" w:eastAsia="zh-CN"/>
        </w:rPr>
        <w:t>五常</w:t>
      </w:r>
      <w:r>
        <w:rPr>
          <w:rFonts w:hint="eastAsia" w:ascii="宋体" w:hAnsi="宋体"/>
          <w:color w:val="000000"/>
          <w:sz w:val="28"/>
          <w:szCs w:val="28"/>
          <w:lang w:eastAsia="zh-CN"/>
        </w:rPr>
        <w:t>米业非招标采购委员会成员组成 。</w:t>
      </w:r>
    </w:p>
    <w:p w14:paraId="2A161805">
      <w:pPr>
        <w:spacing w:line="500" w:lineRule="exact"/>
        <w:jc w:val="both"/>
        <w:rPr>
          <w:rFonts w:ascii="宋体" w:hAnsi="宋体"/>
          <w:b/>
          <w:sz w:val="28"/>
          <w:szCs w:val="28"/>
          <w:lang w:eastAsia="zh-CN"/>
        </w:rPr>
      </w:pPr>
      <w:r>
        <w:rPr>
          <w:rFonts w:hint="eastAsia" w:ascii="宋体" w:hAnsi="宋体"/>
          <w:b/>
          <w:sz w:val="28"/>
          <w:szCs w:val="28"/>
          <w:lang w:eastAsia="zh-CN"/>
        </w:rPr>
        <w:t>1</w:t>
      </w:r>
      <w:r>
        <w:rPr>
          <w:rFonts w:ascii="宋体" w:hAnsi="宋体"/>
          <w:b/>
          <w:sz w:val="28"/>
          <w:szCs w:val="28"/>
          <w:lang w:eastAsia="zh-CN"/>
        </w:rPr>
        <w:t>0</w:t>
      </w:r>
      <w:r>
        <w:rPr>
          <w:rFonts w:hint="eastAsia" w:ascii="宋体" w:hAnsi="宋体"/>
          <w:b/>
          <w:sz w:val="28"/>
          <w:szCs w:val="28"/>
          <w:lang w:eastAsia="zh-CN"/>
        </w:rPr>
        <w:t>. 对响应单位、响应文件评审（若涉及则如此条）</w:t>
      </w:r>
    </w:p>
    <w:p w14:paraId="52474D2C">
      <w:pPr>
        <w:spacing w:line="500" w:lineRule="exact"/>
        <w:ind w:firstLine="576"/>
        <w:jc w:val="both"/>
        <w:rPr>
          <w:rFonts w:ascii="宋体" w:hAnsi="宋体"/>
          <w:color w:val="auto"/>
          <w:sz w:val="28"/>
          <w:szCs w:val="28"/>
          <w:lang w:eastAsia="zh-CN"/>
        </w:rPr>
      </w:pPr>
      <w:r>
        <w:rPr>
          <w:rFonts w:ascii="宋体" w:hAnsi="宋体"/>
          <w:color w:val="000000"/>
          <w:sz w:val="28"/>
          <w:szCs w:val="28"/>
          <w:lang w:eastAsia="zh-CN"/>
        </w:rPr>
        <w:t>1</w:t>
      </w:r>
      <w:r>
        <w:rPr>
          <w:rFonts w:ascii="宋体" w:hAnsi="宋体"/>
          <w:color w:val="auto"/>
          <w:sz w:val="28"/>
          <w:szCs w:val="28"/>
          <w:lang w:eastAsia="zh-CN"/>
        </w:rPr>
        <w:t>0</w:t>
      </w:r>
      <w:r>
        <w:rPr>
          <w:rFonts w:hint="eastAsia" w:ascii="宋体" w:hAnsi="宋体"/>
          <w:color w:val="auto"/>
          <w:sz w:val="28"/>
          <w:szCs w:val="28"/>
          <w:lang w:eastAsia="zh-CN"/>
        </w:rPr>
        <w:t>.1参与竞价单位按采购文件规定的时间和地点递交或邮寄响应文件。</w:t>
      </w:r>
    </w:p>
    <w:p w14:paraId="3351957B">
      <w:pPr>
        <w:spacing w:line="500" w:lineRule="exact"/>
        <w:ind w:firstLine="560" w:firstLineChars="200"/>
        <w:jc w:val="both"/>
        <w:rPr>
          <w:rFonts w:ascii="宋体" w:hAnsi="宋体"/>
          <w:color w:val="auto"/>
          <w:sz w:val="28"/>
          <w:szCs w:val="28"/>
          <w:lang w:eastAsia="zh-CN"/>
        </w:rPr>
      </w:pPr>
      <w:r>
        <w:rPr>
          <w:rFonts w:hint="eastAsia" w:ascii="宋体" w:hAnsi="宋体"/>
          <w:color w:val="auto"/>
          <w:sz w:val="28"/>
          <w:szCs w:val="28"/>
          <w:lang w:eastAsia="zh-CN"/>
        </w:rPr>
        <w:t>1</w:t>
      </w:r>
      <w:r>
        <w:rPr>
          <w:rFonts w:ascii="宋体" w:hAnsi="宋体"/>
          <w:color w:val="auto"/>
          <w:sz w:val="28"/>
          <w:szCs w:val="28"/>
          <w:lang w:eastAsia="zh-CN"/>
        </w:rPr>
        <w:t>0</w:t>
      </w:r>
      <w:r>
        <w:rPr>
          <w:rFonts w:hint="eastAsia" w:ascii="宋体" w:hAnsi="宋体"/>
          <w:color w:val="auto"/>
          <w:sz w:val="28"/>
          <w:szCs w:val="28"/>
          <w:lang w:eastAsia="zh-CN"/>
        </w:rPr>
        <w:t>.</w:t>
      </w:r>
      <w:r>
        <w:rPr>
          <w:rFonts w:ascii="宋体" w:hAnsi="宋体"/>
          <w:color w:val="auto"/>
          <w:sz w:val="28"/>
          <w:szCs w:val="28"/>
          <w:lang w:eastAsia="zh-CN"/>
        </w:rPr>
        <w:t>2</w:t>
      </w:r>
      <w:r>
        <w:rPr>
          <w:rFonts w:hint="eastAsia" w:ascii="宋体" w:hAnsi="宋体"/>
          <w:color w:val="auto"/>
          <w:sz w:val="28"/>
          <w:szCs w:val="28"/>
          <w:lang w:eastAsia="zh-CN"/>
        </w:rPr>
        <w:t>在对响应文件进行详细评审之前，先评审文件密封情况等。</w:t>
      </w:r>
    </w:p>
    <w:p w14:paraId="795C795B">
      <w:pPr>
        <w:spacing w:line="500" w:lineRule="exact"/>
        <w:ind w:firstLine="560" w:firstLineChars="200"/>
        <w:rPr>
          <w:rFonts w:ascii="宋体" w:hAnsi="宋体"/>
          <w:b/>
          <w:bCs/>
          <w:color w:val="auto"/>
          <w:sz w:val="28"/>
          <w:szCs w:val="28"/>
          <w:lang w:eastAsia="zh-CN"/>
        </w:rPr>
      </w:pPr>
      <w:r>
        <w:rPr>
          <w:rFonts w:hint="eastAsia" w:ascii="宋体" w:hAnsi="宋体"/>
          <w:color w:val="auto"/>
          <w:sz w:val="28"/>
          <w:szCs w:val="28"/>
          <w:lang w:eastAsia="zh-CN"/>
        </w:rPr>
        <w:t>1</w:t>
      </w:r>
      <w:r>
        <w:rPr>
          <w:rFonts w:ascii="宋体" w:hAnsi="宋体"/>
          <w:color w:val="auto"/>
          <w:sz w:val="28"/>
          <w:szCs w:val="28"/>
          <w:lang w:eastAsia="zh-CN"/>
        </w:rPr>
        <w:t>0.3</w:t>
      </w:r>
      <w:r>
        <w:rPr>
          <w:rFonts w:hint="eastAsia" w:ascii="宋体" w:hAnsi="宋体"/>
          <w:color w:val="auto"/>
          <w:sz w:val="28"/>
          <w:szCs w:val="28"/>
          <w:lang w:eastAsia="zh-CN"/>
        </w:rPr>
        <w:t>评审小组对供应商进行</w:t>
      </w:r>
      <w:r>
        <w:rPr>
          <w:rFonts w:hint="eastAsia" w:ascii="宋体" w:hAnsi="宋体"/>
          <w:b/>
          <w:bCs/>
          <w:color w:val="auto"/>
          <w:sz w:val="28"/>
          <w:szCs w:val="28"/>
          <w:lang w:eastAsia="zh-CN"/>
        </w:rPr>
        <w:t>是否存续审核，关联关系审核；审核响应文件是否密封完好、是否完整、是否有效。若存在视为无效文件。</w:t>
      </w:r>
    </w:p>
    <w:p w14:paraId="31F8EFE8">
      <w:pPr>
        <w:spacing w:line="500" w:lineRule="exact"/>
        <w:ind w:firstLine="576"/>
        <w:jc w:val="both"/>
        <w:rPr>
          <w:rFonts w:ascii="宋体" w:hAnsi="宋体"/>
          <w:b/>
          <w:bCs/>
          <w:color w:val="auto"/>
          <w:sz w:val="28"/>
          <w:szCs w:val="28"/>
          <w:lang w:eastAsia="zh-CN"/>
        </w:rPr>
      </w:pPr>
      <w:r>
        <w:rPr>
          <w:rFonts w:hint="eastAsia" w:ascii="宋体" w:hAnsi="宋体"/>
          <w:color w:val="auto"/>
          <w:sz w:val="28"/>
          <w:szCs w:val="28"/>
          <w:lang w:eastAsia="zh-CN"/>
        </w:rPr>
        <w:t>1</w:t>
      </w:r>
      <w:r>
        <w:rPr>
          <w:rFonts w:ascii="宋体" w:hAnsi="宋体"/>
          <w:color w:val="auto"/>
          <w:sz w:val="28"/>
          <w:szCs w:val="28"/>
          <w:lang w:eastAsia="zh-CN"/>
        </w:rPr>
        <w:t>0.4</w:t>
      </w:r>
      <w:r>
        <w:rPr>
          <w:rFonts w:hint="eastAsia" w:ascii="宋体" w:hAnsi="宋体"/>
          <w:color w:val="auto"/>
          <w:sz w:val="28"/>
          <w:szCs w:val="28"/>
          <w:lang w:eastAsia="zh-CN"/>
        </w:rPr>
        <w:t>关联关系审核包括</w:t>
      </w:r>
      <w:r>
        <w:rPr>
          <w:rFonts w:hint="eastAsia" w:ascii="宋体" w:hAnsi="宋体"/>
          <w:b/>
          <w:bCs/>
          <w:color w:val="auto"/>
          <w:sz w:val="28"/>
          <w:szCs w:val="28"/>
          <w:lang w:eastAsia="zh-CN"/>
        </w:rPr>
        <w:t>:供应商企业邮箱、股东、联系方式、地址等信息相同，形成围串标的情况等。</w:t>
      </w:r>
    </w:p>
    <w:p w14:paraId="3C71A40C">
      <w:pPr>
        <w:spacing w:line="500" w:lineRule="exact"/>
        <w:jc w:val="both"/>
        <w:rPr>
          <w:rFonts w:ascii="宋体" w:hAnsi="宋体"/>
          <w:b/>
          <w:sz w:val="28"/>
          <w:szCs w:val="28"/>
          <w:lang w:eastAsia="zh-CN"/>
        </w:rPr>
      </w:pPr>
      <w:r>
        <w:rPr>
          <w:rFonts w:ascii="宋体" w:hAnsi="宋体"/>
          <w:b/>
          <w:sz w:val="28"/>
          <w:szCs w:val="28"/>
          <w:lang w:eastAsia="zh-CN"/>
        </w:rPr>
        <w:t>11</w:t>
      </w:r>
      <w:r>
        <w:rPr>
          <w:rFonts w:hint="eastAsia" w:ascii="宋体" w:hAnsi="宋体"/>
          <w:b/>
          <w:sz w:val="28"/>
          <w:szCs w:val="28"/>
          <w:lang w:eastAsia="zh-CN"/>
        </w:rPr>
        <w:t>. 评审（若涉及则如此条）</w:t>
      </w:r>
    </w:p>
    <w:p w14:paraId="3B24DBCE">
      <w:pPr>
        <w:spacing w:line="500" w:lineRule="exact"/>
        <w:ind w:firstLine="560" w:firstLineChars="200"/>
        <w:jc w:val="both"/>
        <w:rPr>
          <w:rFonts w:ascii="宋体" w:hAnsi="宋体"/>
          <w:color w:val="auto"/>
          <w:sz w:val="28"/>
          <w:szCs w:val="28"/>
          <w:lang w:eastAsia="zh-CN"/>
        </w:rPr>
      </w:pPr>
      <w:r>
        <w:rPr>
          <w:rFonts w:ascii="宋体" w:hAnsi="宋体"/>
          <w:color w:val="auto"/>
          <w:sz w:val="28"/>
          <w:szCs w:val="28"/>
          <w:lang w:eastAsia="zh-CN"/>
        </w:rPr>
        <w:t>11</w:t>
      </w:r>
      <w:r>
        <w:rPr>
          <w:rFonts w:hint="eastAsia" w:ascii="宋体" w:hAnsi="宋体"/>
          <w:color w:val="auto"/>
          <w:sz w:val="28"/>
          <w:szCs w:val="28"/>
          <w:lang w:eastAsia="zh-CN"/>
        </w:rPr>
        <w:t>.</w:t>
      </w:r>
      <w:r>
        <w:rPr>
          <w:rFonts w:ascii="宋体" w:hAnsi="宋体"/>
          <w:color w:val="auto"/>
          <w:sz w:val="28"/>
          <w:szCs w:val="28"/>
          <w:lang w:eastAsia="zh-CN"/>
        </w:rPr>
        <w:t>1</w:t>
      </w:r>
      <w:r>
        <w:rPr>
          <w:rFonts w:hint="eastAsia" w:ascii="宋体" w:hAnsi="宋体"/>
          <w:color w:val="auto"/>
          <w:sz w:val="28"/>
          <w:szCs w:val="28"/>
          <w:lang w:eastAsia="zh-CN"/>
        </w:rPr>
        <w:t xml:space="preserve"> 评审前，评审小组对所有报价文件进行整理（包括报价及相关响应内容材料）。</w:t>
      </w:r>
    </w:p>
    <w:p w14:paraId="58D2AAEE">
      <w:pPr>
        <w:spacing w:line="500" w:lineRule="exact"/>
        <w:ind w:firstLine="560" w:firstLineChars="200"/>
        <w:jc w:val="both"/>
        <w:rPr>
          <w:rFonts w:ascii="宋体" w:hAnsi="宋体"/>
          <w:color w:val="auto"/>
          <w:sz w:val="28"/>
          <w:szCs w:val="28"/>
          <w:lang w:eastAsia="zh-CN"/>
        </w:rPr>
      </w:pPr>
      <w:bookmarkStart w:id="4" w:name="_Hlk8737752"/>
      <w:r>
        <w:rPr>
          <w:rFonts w:hint="eastAsia" w:ascii="宋体" w:hAnsi="宋体"/>
          <w:color w:val="auto"/>
          <w:sz w:val="28"/>
          <w:szCs w:val="28"/>
          <w:lang w:eastAsia="zh-CN"/>
        </w:rPr>
        <w:t>1</w:t>
      </w:r>
      <w:r>
        <w:rPr>
          <w:rFonts w:ascii="宋体" w:hAnsi="宋体"/>
          <w:color w:val="auto"/>
          <w:sz w:val="28"/>
          <w:szCs w:val="28"/>
          <w:lang w:eastAsia="zh-CN"/>
        </w:rPr>
        <w:t>1</w:t>
      </w:r>
      <w:r>
        <w:rPr>
          <w:rFonts w:hint="eastAsia" w:ascii="宋体" w:hAnsi="宋体"/>
          <w:color w:val="auto"/>
          <w:sz w:val="28"/>
          <w:szCs w:val="28"/>
          <w:lang w:eastAsia="zh-CN"/>
        </w:rPr>
        <w:t>.</w:t>
      </w:r>
      <w:bookmarkEnd w:id="4"/>
      <w:r>
        <w:rPr>
          <w:rFonts w:ascii="宋体" w:hAnsi="宋体"/>
          <w:color w:val="auto"/>
          <w:sz w:val="28"/>
          <w:szCs w:val="28"/>
          <w:lang w:eastAsia="zh-CN"/>
        </w:rPr>
        <w:t>2</w:t>
      </w:r>
      <w:r>
        <w:rPr>
          <w:rFonts w:hint="eastAsia" w:ascii="宋体" w:hAnsi="宋体"/>
          <w:color w:val="auto"/>
          <w:sz w:val="28"/>
          <w:szCs w:val="28"/>
          <w:lang w:eastAsia="zh-CN"/>
        </w:rPr>
        <w:t>评审小组对响应文件是否对采购文件的要求做出了实质性的响应。实质性响应的报价及材料是指符合</w:t>
      </w:r>
      <w:r>
        <w:rPr>
          <w:rFonts w:hint="eastAsia" w:ascii="宋体" w:hAnsi="宋体"/>
          <w:color w:val="auto"/>
          <w:sz w:val="28"/>
          <w:szCs w:val="28"/>
          <w:lang w:val="en-US" w:eastAsia="zh-CN"/>
        </w:rPr>
        <w:t>竞价</w:t>
      </w:r>
      <w:r>
        <w:rPr>
          <w:rFonts w:hint="eastAsia" w:ascii="宋体" w:hAnsi="宋体"/>
          <w:color w:val="auto"/>
          <w:sz w:val="28"/>
          <w:szCs w:val="28"/>
          <w:lang w:eastAsia="zh-CN"/>
        </w:rPr>
        <w:t>文件的所有条款、条件和规定等。</w:t>
      </w:r>
    </w:p>
    <w:p w14:paraId="3CADB342">
      <w:pPr>
        <w:spacing w:line="500" w:lineRule="exact"/>
        <w:ind w:firstLine="560" w:firstLineChars="200"/>
        <w:jc w:val="both"/>
        <w:rPr>
          <w:rFonts w:ascii="宋体" w:hAnsi="宋体"/>
          <w:color w:val="auto"/>
          <w:sz w:val="28"/>
          <w:szCs w:val="28"/>
          <w:lang w:eastAsia="zh-CN"/>
        </w:rPr>
      </w:pPr>
      <w:r>
        <w:rPr>
          <w:rFonts w:ascii="宋体" w:hAnsi="宋体"/>
          <w:color w:val="auto"/>
          <w:sz w:val="28"/>
          <w:szCs w:val="28"/>
          <w:lang w:eastAsia="zh-CN"/>
        </w:rPr>
        <w:t>11</w:t>
      </w:r>
      <w:r>
        <w:rPr>
          <w:rFonts w:hint="eastAsia" w:ascii="宋体" w:hAnsi="宋体"/>
          <w:color w:val="auto"/>
          <w:sz w:val="28"/>
          <w:szCs w:val="28"/>
          <w:lang w:eastAsia="zh-CN"/>
        </w:rPr>
        <w:t>.</w:t>
      </w:r>
      <w:r>
        <w:rPr>
          <w:rFonts w:ascii="宋体" w:hAnsi="宋体"/>
          <w:color w:val="auto"/>
          <w:sz w:val="28"/>
          <w:szCs w:val="28"/>
          <w:lang w:eastAsia="zh-CN"/>
        </w:rPr>
        <w:t>3</w:t>
      </w:r>
      <w:r>
        <w:rPr>
          <w:rFonts w:hint="eastAsia" w:ascii="宋体" w:hAnsi="宋体"/>
          <w:color w:val="auto"/>
          <w:sz w:val="28"/>
          <w:szCs w:val="28"/>
          <w:lang w:eastAsia="zh-CN"/>
        </w:rPr>
        <w:t xml:space="preserve"> 评审小组将根据实际情况对供应商响应文件情况进行评审，按照报价文件最低价（</w:t>
      </w:r>
      <w:r>
        <w:rPr>
          <w:rFonts w:hint="eastAsia" w:ascii="宋体" w:hAnsi="宋体"/>
          <w:color w:val="auto"/>
          <w:sz w:val="28"/>
          <w:szCs w:val="28"/>
          <w:lang w:val="en-US" w:eastAsia="zh-CN"/>
        </w:rPr>
        <w:t>含税价）</w:t>
      </w:r>
      <w:r>
        <w:rPr>
          <w:rFonts w:hint="eastAsia" w:ascii="宋体" w:hAnsi="宋体"/>
          <w:color w:val="auto"/>
          <w:sz w:val="28"/>
          <w:szCs w:val="28"/>
          <w:lang w:eastAsia="zh-CN"/>
        </w:rPr>
        <w:t>确定成交供应商。</w:t>
      </w:r>
    </w:p>
    <w:p w14:paraId="32B4D98A">
      <w:pPr>
        <w:spacing w:line="500" w:lineRule="exact"/>
        <w:ind w:firstLine="560" w:firstLineChars="200"/>
        <w:jc w:val="both"/>
        <w:rPr>
          <w:rFonts w:ascii="宋体" w:hAnsi="宋体"/>
          <w:color w:val="auto"/>
          <w:sz w:val="28"/>
          <w:szCs w:val="28"/>
          <w:lang w:eastAsia="zh-CN"/>
        </w:rPr>
      </w:pPr>
      <w:r>
        <w:rPr>
          <w:rFonts w:hint="eastAsia" w:ascii="宋体" w:hAnsi="宋体"/>
          <w:color w:val="auto"/>
          <w:sz w:val="28"/>
          <w:szCs w:val="28"/>
          <w:lang w:eastAsia="zh-CN"/>
        </w:rPr>
        <w:t>1</w:t>
      </w:r>
      <w:r>
        <w:rPr>
          <w:rFonts w:ascii="宋体" w:hAnsi="宋体"/>
          <w:color w:val="auto"/>
          <w:sz w:val="28"/>
          <w:szCs w:val="28"/>
          <w:lang w:eastAsia="zh-CN"/>
        </w:rPr>
        <w:t>1</w:t>
      </w:r>
      <w:r>
        <w:rPr>
          <w:rFonts w:hint="eastAsia" w:ascii="宋体" w:hAnsi="宋体"/>
          <w:color w:val="auto"/>
          <w:sz w:val="28"/>
          <w:szCs w:val="28"/>
          <w:lang w:eastAsia="zh-CN"/>
        </w:rPr>
        <w:t>.</w:t>
      </w:r>
      <w:r>
        <w:rPr>
          <w:rFonts w:ascii="宋体" w:hAnsi="宋体"/>
          <w:color w:val="auto"/>
          <w:sz w:val="28"/>
          <w:szCs w:val="28"/>
          <w:lang w:eastAsia="zh-CN"/>
        </w:rPr>
        <w:t>4</w:t>
      </w:r>
      <w:r>
        <w:rPr>
          <w:rFonts w:hint="eastAsia" w:ascii="宋体" w:hAnsi="宋体"/>
          <w:color w:val="auto"/>
          <w:sz w:val="28"/>
          <w:szCs w:val="28"/>
          <w:lang w:eastAsia="zh-CN"/>
        </w:rPr>
        <w:t>评审小组允许修改报价文件中不构成重大偏离的微小的、非正规的、不一致或不规则的地方。</w:t>
      </w:r>
    </w:p>
    <w:p w14:paraId="559F1D7C">
      <w:pPr>
        <w:spacing w:line="500" w:lineRule="exact"/>
        <w:ind w:firstLine="560" w:firstLineChars="200"/>
        <w:jc w:val="both"/>
        <w:rPr>
          <w:rFonts w:ascii="宋体" w:hAnsi="宋体"/>
          <w:color w:val="000000"/>
          <w:sz w:val="28"/>
          <w:szCs w:val="28"/>
          <w:lang w:eastAsia="zh-CN"/>
        </w:rPr>
      </w:pPr>
      <w:r>
        <w:rPr>
          <w:rFonts w:ascii="宋体" w:hAnsi="宋体"/>
          <w:color w:val="000000"/>
          <w:sz w:val="28"/>
          <w:szCs w:val="28"/>
          <w:lang w:eastAsia="zh-CN"/>
        </w:rPr>
        <w:t>11</w:t>
      </w:r>
      <w:r>
        <w:rPr>
          <w:rFonts w:hint="eastAsia" w:ascii="宋体" w:hAnsi="宋体"/>
          <w:color w:val="000000"/>
          <w:sz w:val="28"/>
          <w:szCs w:val="28"/>
          <w:lang w:eastAsia="zh-CN"/>
        </w:rPr>
        <w:t>.</w:t>
      </w:r>
      <w:r>
        <w:rPr>
          <w:rFonts w:ascii="宋体" w:hAnsi="宋体"/>
          <w:color w:val="000000"/>
          <w:sz w:val="28"/>
          <w:szCs w:val="28"/>
          <w:lang w:eastAsia="zh-CN"/>
        </w:rPr>
        <w:t>5</w:t>
      </w:r>
      <w:r>
        <w:rPr>
          <w:rFonts w:hint="eastAsia" w:ascii="宋体" w:hAnsi="宋体"/>
          <w:color w:val="000000"/>
          <w:sz w:val="28"/>
          <w:szCs w:val="28"/>
          <w:lang w:eastAsia="zh-CN"/>
        </w:rPr>
        <w:t>文件中澄清调整的内容需记录并签字确认。</w:t>
      </w:r>
    </w:p>
    <w:p w14:paraId="695C23F6">
      <w:pPr>
        <w:spacing w:line="500" w:lineRule="exact"/>
        <w:jc w:val="both"/>
        <w:rPr>
          <w:rFonts w:ascii="宋体" w:hAnsi="宋体"/>
          <w:b/>
          <w:sz w:val="28"/>
          <w:szCs w:val="28"/>
          <w:lang w:eastAsia="zh-CN"/>
        </w:rPr>
      </w:pPr>
      <w:r>
        <w:rPr>
          <w:rFonts w:hint="eastAsia" w:ascii="宋体" w:hAnsi="宋体"/>
          <w:b/>
          <w:sz w:val="28"/>
          <w:szCs w:val="28"/>
          <w:lang w:eastAsia="zh-CN"/>
        </w:rPr>
        <w:t>12. 响应文件的澄清（若涉及则如此条）</w:t>
      </w:r>
    </w:p>
    <w:p w14:paraId="37AB046E">
      <w:pPr>
        <w:spacing w:line="500" w:lineRule="exact"/>
        <w:jc w:val="both"/>
        <w:rPr>
          <w:rFonts w:ascii="宋体" w:hAnsi="宋体"/>
          <w:sz w:val="28"/>
          <w:szCs w:val="28"/>
          <w:lang w:eastAsia="zh-CN"/>
        </w:rPr>
      </w:pPr>
      <w:r>
        <w:rPr>
          <w:rFonts w:hint="eastAsia" w:ascii="宋体" w:hAnsi="宋体"/>
          <w:sz w:val="28"/>
          <w:szCs w:val="28"/>
          <w:lang w:eastAsia="zh-CN"/>
        </w:rPr>
        <w:t xml:space="preserve">    12.1 评审小组对全部响应文件及相关材料进行审查、质疑、评估和比较。</w:t>
      </w:r>
    </w:p>
    <w:p w14:paraId="5EAC1D19">
      <w:pPr>
        <w:spacing w:line="500" w:lineRule="exact"/>
        <w:jc w:val="both"/>
        <w:rPr>
          <w:rFonts w:ascii="宋体" w:hAnsi="宋体"/>
          <w:color w:val="000000"/>
          <w:sz w:val="28"/>
          <w:szCs w:val="28"/>
          <w:lang w:eastAsia="zh-CN"/>
        </w:rPr>
      </w:pPr>
      <w:r>
        <w:rPr>
          <w:rFonts w:hint="eastAsia" w:ascii="宋体" w:hAnsi="宋体"/>
          <w:sz w:val="28"/>
          <w:szCs w:val="28"/>
          <w:lang w:eastAsia="zh-CN"/>
        </w:rPr>
        <w:t xml:space="preserve">    12.2 为了有助于对响应文件及相关材料进行审查、评估和比较，评审小组有权向供应商质疑，</w:t>
      </w:r>
      <w:r>
        <w:rPr>
          <w:rFonts w:hint="eastAsia" w:ascii="宋体" w:hAnsi="宋体"/>
          <w:color w:val="000000"/>
          <w:sz w:val="28"/>
          <w:szCs w:val="28"/>
          <w:lang w:eastAsia="zh-CN"/>
        </w:rPr>
        <w:t>请供应商澄清其报价内容。供应商有责任按评审小组通知的时间、地点指派专人进行答疑和澄清。</w:t>
      </w:r>
    </w:p>
    <w:p w14:paraId="01544AA9">
      <w:pPr>
        <w:spacing w:line="500" w:lineRule="exact"/>
        <w:jc w:val="both"/>
        <w:rPr>
          <w:rFonts w:ascii="宋体" w:hAnsi="宋体"/>
          <w:sz w:val="28"/>
          <w:szCs w:val="28"/>
          <w:lang w:eastAsia="zh-CN"/>
        </w:rPr>
      </w:pPr>
      <w:r>
        <w:rPr>
          <w:rFonts w:hint="eastAsia" w:ascii="宋体" w:hAnsi="宋体"/>
          <w:sz w:val="28"/>
          <w:szCs w:val="28"/>
          <w:lang w:eastAsia="zh-CN"/>
        </w:rPr>
        <w:t xml:space="preserve">    12.3 重要澄清答复应是书面的。</w:t>
      </w:r>
    </w:p>
    <w:p w14:paraId="2300ADA6">
      <w:pPr>
        <w:spacing w:line="500" w:lineRule="exact"/>
        <w:jc w:val="both"/>
        <w:rPr>
          <w:rFonts w:ascii="宋体" w:hAnsi="宋体"/>
          <w:sz w:val="28"/>
          <w:szCs w:val="28"/>
          <w:lang w:eastAsia="zh-CN"/>
        </w:rPr>
      </w:pPr>
      <w:r>
        <w:rPr>
          <w:rFonts w:hint="eastAsia" w:ascii="宋体" w:hAnsi="宋体"/>
          <w:sz w:val="28"/>
          <w:szCs w:val="28"/>
          <w:lang w:eastAsia="zh-CN"/>
        </w:rPr>
        <w:t xml:space="preserve">    12.4 此书面文件将构成响应文件的重要组成部分。</w:t>
      </w:r>
    </w:p>
    <w:p w14:paraId="4E4A7B33">
      <w:pPr>
        <w:spacing w:line="500" w:lineRule="exact"/>
        <w:jc w:val="both"/>
        <w:rPr>
          <w:rFonts w:ascii="宋体" w:hAnsi="宋体"/>
          <w:b/>
          <w:sz w:val="28"/>
          <w:szCs w:val="28"/>
          <w:lang w:eastAsia="zh-CN"/>
        </w:rPr>
      </w:pPr>
      <w:r>
        <w:rPr>
          <w:rFonts w:hint="eastAsia" w:ascii="宋体" w:hAnsi="宋体"/>
          <w:b/>
          <w:sz w:val="28"/>
          <w:szCs w:val="28"/>
          <w:lang w:eastAsia="zh-CN"/>
        </w:rPr>
        <w:t>13. 评审方法及原则（若涉及则如此条）</w:t>
      </w:r>
    </w:p>
    <w:p w14:paraId="0F25CF94">
      <w:pPr>
        <w:spacing w:line="500" w:lineRule="exact"/>
        <w:ind w:firstLine="560" w:firstLineChars="200"/>
        <w:jc w:val="both"/>
        <w:rPr>
          <w:rFonts w:ascii="宋体" w:hAnsi="宋体"/>
          <w:color w:val="auto"/>
          <w:sz w:val="28"/>
          <w:szCs w:val="28"/>
          <w:shd w:val="pct10" w:color="auto" w:fill="FFFFFF"/>
          <w:lang w:eastAsia="zh-CN"/>
        </w:rPr>
      </w:pPr>
      <w:r>
        <w:rPr>
          <w:rFonts w:hint="eastAsia" w:ascii="宋体" w:hAnsi="宋体"/>
          <w:color w:val="auto"/>
          <w:sz w:val="28"/>
          <w:szCs w:val="28"/>
          <w:lang w:eastAsia="zh-CN"/>
        </w:rPr>
        <w:t>13.1 原则：满足采购文件各项要求，报价（</w:t>
      </w:r>
      <w:r>
        <w:rPr>
          <w:rFonts w:hint="eastAsia" w:ascii="宋体" w:hAnsi="宋体"/>
          <w:color w:val="auto"/>
          <w:sz w:val="28"/>
          <w:szCs w:val="28"/>
          <w:lang w:val="en-US" w:eastAsia="zh-CN"/>
        </w:rPr>
        <w:t>含税）</w:t>
      </w:r>
      <w:r>
        <w:rPr>
          <w:rFonts w:hint="eastAsia" w:ascii="宋体" w:hAnsi="宋体"/>
          <w:color w:val="auto"/>
          <w:sz w:val="28"/>
          <w:szCs w:val="28"/>
          <w:lang w:eastAsia="zh-CN"/>
        </w:rPr>
        <w:t>最低的原则。</w:t>
      </w:r>
    </w:p>
    <w:p w14:paraId="4842D7CA">
      <w:pPr>
        <w:spacing w:line="500" w:lineRule="exact"/>
        <w:ind w:firstLine="570"/>
        <w:rPr>
          <w:rFonts w:hint="eastAsia" w:ascii="宋体" w:hAnsi="宋体"/>
          <w:color w:val="FF0000"/>
          <w:sz w:val="28"/>
          <w:szCs w:val="28"/>
          <w:lang w:eastAsia="zh-CN"/>
        </w:rPr>
      </w:pPr>
      <w:r>
        <w:rPr>
          <w:rFonts w:hint="eastAsia" w:ascii="宋体" w:hAnsi="宋体"/>
          <w:color w:val="auto"/>
          <w:sz w:val="28"/>
          <w:szCs w:val="28"/>
          <w:lang w:eastAsia="zh-CN"/>
        </w:rPr>
        <w:t>13.2 方法：评审小组经评审，在确定每家供应商的响应文件、提供的产品及相关材料均符合采购文件的要求后，针对货物或服务，确定报价（</w:t>
      </w:r>
      <w:r>
        <w:rPr>
          <w:rFonts w:hint="eastAsia" w:ascii="宋体" w:hAnsi="宋体"/>
          <w:color w:val="auto"/>
          <w:sz w:val="28"/>
          <w:szCs w:val="28"/>
          <w:lang w:val="en-US" w:eastAsia="zh-CN"/>
        </w:rPr>
        <w:t>含税）</w:t>
      </w:r>
      <w:r>
        <w:rPr>
          <w:rFonts w:hint="eastAsia" w:ascii="宋体" w:hAnsi="宋体"/>
          <w:color w:val="auto"/>
          <w:sz w:val="28"/>
          <w:szCs w:val="28"/>
          <w:lang w:eastAsia="zh-CN"/>
        </w:rPr>
        <w:t>最低者为成交商，评审结果获批后在响应文件有效期内向成交供应商发出成交通知书。</w:t>
      </w:r>
    </w:p>
    <w:p w14:paraId="2E6EBB58">
      <w:pPr>
        <w:spacing w:line="500" w:lineRule="exact"/>
        <w:jc w:val="both"/>
        <w:rPr>
          <w:rFonts w:hint="eastAsia" w:ascii="宋体" w:hAnsi="宋体"/>
          <w:b/>
          <w:sz w:val="28"/>
          <w:szCs w:val="28"/>
          <w:lang w:val="en-US" w:eastAsia="zh-CN"/>
        </w:rPr>
      </w:pPr>
      <w:r>
        <w:rPr>
          <w:rFonts w:hint="eastAsia" w:ascii="宋体" w:hAnsi="宋体"/>
          <w:b/>
          <w:sz w:val="28"/>
          <w:szCs w:val="28"/>
          <w:lang w:val="en-US" w:eastAsia="zh-CN"/>
        </w:rPr>
        <w:t>14.竞价规则</w:t>
      </w:r>
    </w:p>
    <w:p w14:paraId="06657248">
      <w:pPr>
        <w:spacing w:line="500" w:lineRule="exact"/>
        <w:jc w:val="both"/>
        <w:rPr>
          <w:rFonts w:hint="eastAsia" w:ascii="宋体" w:hAnsi="宋体"/>
          <w:b w:val="0"/>
          <w:bCs/>
          <w:sz w:val="28"/>
          <w:szCs w:val="28"/>
          <w:lang w:val="en-US" w:eastAsia="zh-CN"/>
        </w:rPr>
      </w:pPr>
      <w:r>
        <w:rPr>
          <w:rFonts w:hint="eastAsia" w:ascii="宋体" w:hAnsi="宋体"/>
          <w:b/>
          <w:sz w:val="28"/>
          <w:szCs w:val="28"/>
          <w:lang w:val="en-US" w:eastAsia="zh-CN"/>
        </w:rPr>
        <w:t xml:space="preserve">   </w:t>
      </w:r>
      <w:r>
        <w:rPr>
          <w:rFonts w:hint="eastAsia" w:ascii="宋体" w:hAnsi="宋体"/>
          <w:b w:val="0"/>
          <w:bCs/>
          <w:sz w:val="28"/>
          <w:szCs w:val="28"/>
          <w:lang w:val="en-US" w:eastAsia="zh-CN"/>
        </w:rPr>
        <w:t>14.1 竞价次数：1次报价；</w:t>
      </w:r>
    </w:p>
    <w:p w14:paraId="24CF4F89">
      <w:pPr>
        <w:spacing w:line="500" w:lineRule="exact"/>
        <w:jc w:val="both"/>
        <w:rPr>
          <w:rFonts w:hint="default" w:ascii="宋体" w:hAnsi="宋体"/>
          <w:b w:val="0"/>
          <w:bCs/>
          <w:sz w:val="28"/>
          <w:szCs w:val="28"/>
          <w:lang w:val="en-US" w:eastAsia="zh-CN"/>
        </w:rPr>
      </w:pPr>
      <w:r>
        <w:rPr>
          <w:rFonts w:hint="eastAsia" w:ascii="宋体" w:hAnsi="宋体"/>
          <w:b w:val="0"/>
          <w:bCs/>
          <w:sz w:val="28"/>
          <w:szCs w:val="28"/>
          <w:lang w:val="en-US" w:eastAsia="zh-CN"/>
        </w:rPr>
        <w:t xml:space="preserve">   14.2 竞价排名规则：满足采购文件各项要求，按照报价（含税）由低到高依次进行排序。</w:t>
      </w:r>
    </w:p>
    <w:p w14:paraId="56FA8193">
      <w:pPr>
        <w:spacing w:line="500" w:lineRule="exact"/>
        <w:jc w:val="both"/>
        <w:rPr>
          <w:rFonts w:ascii="宋体" w:hAnsi="宋体"/>
          <w:b/>
          <w:sz w:val="28"/>
          <w:szCs w:val="28"/>
          <w:lang w:eastAsia="zh-CN"/>
        </w:rPr>
      </w:pPr>
      <w:r>
        <w:rPr>
          <w:rFonts w:hint="eastAsia" w:ascii="宋体" w:hAnsi="宋体"/>
          <w:b/>
          <w:sz w:val="28"/>
          <w:szCs w:val="28"/>
          <w:lang w:val="en-US" w:eastAsia="zh-CN"/>
        </w:rPr>
        <w:t>15</w:t>
      </w:r>
      <w:r>
        <w:rPr>
          <w:rFonts w:hint="eastAsia" w:ascii="宋体" w:hAnsi="宋体"/>
          <w:b/>
          <w:sz w:val="28"/>
          <w:szCs w:val="28"/>
          <w:lang w:eastAsia="zh-CN"/>
        </w:rPr>
        <w:t>. 保密及其它注意事项（若涉及则如此条）</w:t>
      </w:r>
    </w:p>
    <w:p w14:paraId="569B26B8">
      <w:pPr>
        <w:spacing w:line="500" w:lineRule="exact"/>
        <w:jc w:val="both"/>
        <w:rPr>
          <w:rFonts w:ascii="宋体" w:hAnsi="宋体"/>
          <w:sz w:val="28"/>
          <w:szCs w:val="28"/>
          <w:lang w:eastAsia="zh-CN"/>
        </w:rPr>
      </w:pPr>
      <w:r>
        <w:rPr>
          <w:rFonts w:hint="eastAsia" w:ascii="宋体" w:hAnsi="宋体"/>
          <w:sz w:val="28"/>
          <w:szCs w:val="28"/>
          <w:lang w:eastAsia="zh-CN"/>
        </w:rPr>
        <w:t xml:space="preserve">    </w:t>
      </w:r>
      <w:r>
        <w:rPr>
          <w:rFonts w:hint="eastAsia" w:ascii="宋体" w:hAnsi="宋体"/>
          <w:sz w:val="28"/>
          <w:szCs w:val="28"/>
          <w:lang w:val="en-US" w:eastAsia="zh-CN"/>
        </w:rPr>
        <w:t>15</w:t>
      </w:r>
      <w:r>
        <w:rPr>
          <w:rFonts w:hint="eastAsia" w:ascii="宋体" w:hAnsi="宋体"/>
          <w:sz w:val="28"/>
          <w:szCs w:val="28"/>
          <w:lang w:eastAsia="zh-CN"/>
        </w:rPr>
        <w:t>.1从评审开始直到授予供应商合同为止，凡是属于审查、澄清、比较供应商的相关资料以及成交意向等，均不得向供应商或其他无关的人员透露。</w:t>
      </w:r>
    </w:p>
    <w:p w14:paraId="4A09B204">
      <w:pPr>
        <w:spacing w:line="500" w:lineRule="exact"/>
        <w:jc w:val="both"/>
        <w:rPr>
          <w:rFonts w:ascii="宋体" w:hAnsi="宋体"/>
          <w:sz w:val="28"/>
          <w:szCs w:val="28"/>
          <w:lang w:eastAsia="zh-CN"/>
        </w:rPr>
      </w:pPr>
      <w:r>
        <w:rPr>
          <w:rFonts w:hint="eastAsia" w:ascii="宋体" w:hAnsi="宋体"/>
          <w:sz w:val="28"/>
          <w:szCs w:val="28"/>
          <w:lang w:eastAsia="zh-CN"/>
        </w:rPr>
        <w:t xml:space="preserve">    </w:t>
      </w:r>
      <w:r>
        <w:rPr>
          <w:rFonts w:hint="eastAsia" w:ascii="宋体" w:hAnsi="宋体"/>
          <w:sz w:val="28"/>
          <w:szCs w:val="28"/>
          <w:lang w:val="en-US" w:eastAsia="zh-CN"/>
        </w:rPr>
        <w:t>15</w:t>
      </w:r>
      <w:r>
        <w:rPr>
          <w:rFonts w:hint="eastAsia" w:ascii="宋体" w:hAnsi="宋体"/>
          <w:sz w:val="28"/>
          <w:szCs w:val="28"/>
          <w:lang w:eastAsia="zh-CN"/>
        </w:rPr>
        <w:t>.2在评审期间，供应商企图影响比价方向的任何活动，将导致报价被拒绝，并承担相应的法律责任。</w:t>
      </w:r>
    </w:p>
    <w:p w14:paraId="449CA6D5">
      <w:pPr>
        <w:spacing w:line="500" w:lineRule="exact"/>
        <w:ind w:firstLine="480"/>
        <w:jc w:val="both"/>
        <w:rPr>
          <w:rFonts w:ascii="宋体" w:hAnsi="宋体"/>
          <w:sz w:val="28"/>
          <w:szCs w:val="28"/>
          <w:lang w:eastAsia="zh-CN"/>
        </w:rPr>
      </w:pPr>
      <w:r>
        <w:rPr>
          <w:rFonts w:hint="eastAsia" w:ascii="宋体" w:hAnsi="宋体"/>
          <w:sz w:val="28"/>
          <w:szCs w:val="28"/>
          <w:lang w:val="en-US" w:eastAsia="zh-CN"/>
        </w:rPr>
        <w:t>15</w:t>
      </w:r>
      <w:r>
        <w:rPr>
          <w:rFonts w:hint="eastAsia" w:ascii="宋体" w:hAnsi="宋体"/>
          <w:sz w:val="28"/>
          <w:szCs w:val="28"/>
          <w:lang w:eastAsia="zh-CN"/>
        </w:rPr>
        <w:t>.3根据评审情况，成交结果可能是一次形成，也不排除再次竞争的可能性。</w:t>
      </w:r>
    </w:p>
    <w:p w14:paraId="71173811">
      <w:pPr>
        <w:pStyle w:val="36"/>
        <w:ind w:firstLine="560"/>
        <w:rPr>
          <w:rFonts w:ascii="宋体" w:eastAsia="宋体"/>
          <w:sz w:val="28"/>
          <w:szCs w:val="28"/>
          <w:lang w:eastAsia="zh-CN"/>
        </w:rPr>
      </w:pPr>
    </w:p>
    <w:p w14:paraId="3DCED7FF">
      <w:pPr>
        <w:spacing w:line="360" w:lineRule="auto"/>
        <w:jc w:val="center"/>
        <w:rPr>
          <w:rFonts w:ascii="宋体" w:hAnsi="宋体"/>
          <w:b/>
          <w:sz w:val="36"/>
          <w:lang w:eastAsia="zh-CN"/>
        </w:rPr>
      </w:pPr>
      <w:r>
        <w:rPr>
          <w:rFonts w:hint="eastAsia" w:ascii="宋体" w:hAnsi="宋体"/>
          <w:b/>
          <w:sz w:val="36"/>
          <w:lang w:eastAsia="zh-CN"/>
        </w:rPr>
        <w:t>第三部分  采购</w:t>
      </w:r>
      <w:r>
        <w:rPr>
          <w:rFonts w:hint="eastAsia" w:ascii="宋体" w:hAnsi="宋体"/>
          <w:b/>
          <w:sz w:val="36"/>
          <w:lang w:val="en-US" w:eastAsia="zh-CN"/>
        </w:rPr>
        <w:t>需</w:t>
      </w:r>
      <w:r>
        <w:rPr>
          <w:rFonts w:hint="eastAsia" w:ascii="宋体" w:hAnsi="宋体"/>
          <w:b/>
          <w:sz w:val="36"/>
          <w:lang w:eastAsia="zh-CN"/>
        </w:rPr>
        <w:t>求</w:t>
      </w:r>
    </w:p>
    <w:p w14:paraId="46AACE3B">
      <w:pPr>
        <w:keepNext w:val="0"/>
        <w:keepLines w:val="0"/>
        <w:pageBreakBefore w:val="0"/>
        <w:widowControl/>
        <w:kinsoku/>
        <w:wordWrap/>
        <w:overflowPunct/>
        <w:topLinePunct w:val="0"/>
        <w:autoSpaceDE/>
        <w:autoSpaceDN/>
        <w:bidi w:val="0"/>
        <w:adjustRightInd/>
        <w:spacing w:line="360" w:lineRule="auto"/>
        <w:ind w:left="1695" w:leftChars="0" w:hanging="1695" w:hangingChars="603"/>
        <w:textAlignment w:val="auto"/>
        <w:rPr>
          <w:rFonts w:hint="default" w:ascii="宋体" w:hAnsi="宋体"/>
          <w:b/>
          <w:color w:val="auto"/>
          <w:sz w:val="28"/>
          <w:szCs w:val="28"/>
          <w:lang w:val="en-US" w:eastAsia="zh-CN"/>
        </w:rPr>
      </w:pPr>
      <w:r>
        <w:rPr>
          <w:rFonts w:hint="eastAsia" w:ascii="宋体" w:hAnsi="宋体"/>
          <w:b/>
          <w:sz w:val="28"/>
          <w:szCs w:val="28"/>
          <w:lang w:eastAsia="zh-CN"/>
        </w:rPr>
        <w:t>1、项目名称：有害生物防治业务项目</w:t>
      </w:r>
    </w:p>
    <w:p w14:paraId="7CF33C7E">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宋体" w:hAnsi="宋体"/>
          <w:kern w:val="2"/>
          <w:sz w:val="28"/>
          <w:szCs w:val="28"/>
          <w:lang w:val="en-US" w:eastAsia="zh-CN"/>
        </w:rPr>
      </w:pPr>
      <w:r>
        <w:rPr>
          <w:rFonts w:hint="eastAsia" w:ascii="宋体" w:hAnsi="宋体"/>
          <w:b/>
          <w:bCs/>
          <w:kern w:val="2"/>
          <w:sz w:val="28"/>
          <w:szCs w:val="28"/>
          <w:lang w:eastAsia="zh-CN"/>
        </w:rPr>
        <w:t>2、项目地点：</w:t>
      </w:r>
      <w:r>
        <w:rPr>
          <w:rFonts w:hint="eastAsia" w:ascii="宋体" w:hAnsi="宋体"/>
          <w:kern w:val="2"/>
          <w:sz w:val="28"/>
          <w:szCs w:val="28"/>
          <w:lang w:eastAsia="zh-CN"/>
        </w:rPr>
        <w:t>中粮</w:t>
      </w:r>
      <w:r>
        <w:rPr>
          <w:rFonts w:hint="eastAsia" w:ascii="宋体" w:hAnsi="宋体"/>
          <w:color w:val="auto"/>
          <w:kern w:val="2"/>
          <w:sz w:val="28"/>
          <w:szCs w:val="28"/>
          <w:lang w:eastAsia="zh-CN"/>
        </w:rPr>
        <w:t>米业（</w:t>
      </w:r>
      <w:r>
        <w:rPr>
          <w:rFonts w:hint="eastAsia" w:ascii="宋体" w:hAnsi="宋体"/>
          <w:color w:val="auto"/>
          <w:kern w:val="2"/>
          <w:sz w:val="28"/>
          <w:szCs w:val="28"/>
          <w:lang w:val="en-US" w:eastAsia="zh-CN"/>
        </w:rPr>
        <w:t>五常</w:t>
      </w:r>
      <w:r>
        <w:rPr>
          <w:rFonts w:hint="eastAsia" w:ascii="宋体" w:hAnsi="宋体"/>
          <w:color w:val="auto"/>
          <w:kern w:val="2"/>
          <w:sz w:val="28"/>
          <w:szCs w:val="28"/>
          <w:lang w:eastAsia="zh-CN"/>
        </w:rPr>
        <w:t>）</w:t>
      </w:r>
      <w:r>
        <w:rPr>
          <w:rFonts w:hint="eastAsia" w:ascii="宋体" w:hAnsi="宋体"/>
          <w:kern w:val="2"/>
          <w:sz w:val="28"/>
          <w:szCs w:val="28"/>
          <w:lang w:eastAsia="zh-CN"/>
        </w:rPr>
        <w:t>有限公司</w:t>
      </w:r>
      <w:r>
        <w:rPr>
          <w:rFonts w:hint="eastAsia" w:ascii="宋体" w:hAnsi="宋体"/>
          <w:kern w:val="2"/>
          <w:sz w:val="28"/>
          <w:szCs w:val="28"/>
          <w:lang w:val="en-US" w:eastAsia="zh-CN"/>
        </w:rPr>
        <w:t>厂区</w:t>
      </w:r>
    </w:p>
    <w:p w14:paraId="3B777431">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宋体" w:hAnsi="宋体"/>
          <w:sz w:val="28"/>
          <w:szCs w:val="28"/>
          <w:lang w:eastAsia="zh-CN"/>
        </w:rPr>
      </w:pPr>
      <w:r>
        <w:rPr>
          <w:rFonts w:hint="eastAsia" w:ascii="宋体" w:hAnsi="宋体"/>
          <w:b/>
          <w:bCs/>
          <w:kern w:val="2"/>
          <w:sz w:val="28"/>
          <w:szCs w:val="28"/>
          <w:lang w:eastAsia="zh-CN"/>
        </w:rPr>
        <w:t>3、项目概况及内容：</w:t>
      </w:r>
      <w:bookmarkStart w:id="5" w:name="_Hlk92950029"/>
      <w:bookmarkStart w:id="6" w:name="_Hlk67754839"/>
    </w:p>
    <w:p w14:paraId="07A5BDB8">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val="en-US" w:eastAsia="zh-CN"/>
        </w:rPr>
      </w:pPr>
      <w:r>
        <w:rPr>
          <w:rFonts w:hint="eastAsia" w:ascii="宋体" w:hAnsi="宋体"/>
          <w:sz w:val="28"/>
          <w:szCs w:val="28"/>
          <w:lang w:eastAsia="zh-CN"/>
        </w:rPr>
        <w:t>中粮米业（</w:t>
      </w:r>
      <w:r>
        <w:rPr>
          <w:rFonts w:hint="eastAsia" w:ascii="宋体" w:hAnsi="宋体"/>
          <w:sz w:val="28"/>
          <w:szCs w:val="28"/>
          <w:lang w:val="en-US" w:eastAsia="zh-CN"/>
        </w:rPr>
        <w:t>五常</w:t>
      </w:r>
      <w:r>
        <w:rPr>
          <w:rFonts w:hint="eastAsia" w:ascii="宋体" w:hAnsi="宋体"/>
          <w:sz w:val="28"/>
          <w:szCs w:val="28"/>
          <w:lang w:eastAsia="zh-CN"/>
        </w:rPr>
        <w:t>)有限公司</w:t>
      </w:r>
      <w:r>
        <w:rPr>
          <w:rFonts w:hint="eastAsia" w:ascii="宋体" w:hAnsi="宋体"/>
          <w:sz w:val="28"/>
          <w:szCs w:val="28"/>
          <w:lang w:val="en-US" w:eastAsia="zh-CN"/>
        </w:rPr>
        <w:t>厂区虫鼠害防治</w:t>
      </w:r>
      <w:r>
        <w:rPr>
          <w:rFonts w:hint="eastAsia" w:ascii="宋体" w:hAnsi="宋体"/>
          <w:sz w:val="28"/>
          <w:szCs w:val="28"/>
          <w:lang w:eastAsia="zh-CN"/>
        </w:rPr>
        <w:t>，</w:t>
      </w:r>
      <w:r>
        <w:rPr>
          <w:rFonts w:hint="eastAsia" w:ascii="宋体" w:hAnsi="宋体"/>
          <w:sz w:val="28"/>
          <w:szCs w:val="28"/>
          <w:lang w:val="en-US" w:eastAsia="zh-CN"/>
        </w:rPr>
        <w:t>公司现详细</w:t>
      </w:r>
      <w:bookmarkEnd w:id="5"/>
      <w:bookmarkEnd w:id="6"/>
      <w:r>
        <w:rPr>
          <w:rFonts w:hint="eastAsia" w:ascii="宋体" w:hAnsi="宋体"/>
          <w:sz w:val="28"/>
          <w:szCs w:val="28"/>
          <w:lang w:val="en-US" w:eastAsia="zh-CN"/>
        </w:rPr>
        <w:t>情况如下：</w:t>
      </w:r>
    </w:p>
    <w:p w14:paraId="2BC6B2C7">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宋体" w:hAnsi="宋体"/>
          <w:b/>
          <w:bCs/>
          <w:sz w:val="28"/>
          <w:szCs w:val="28"/>
          <w:lang w:eastAsia="zh-CN"/>
        </w:rPr>
      </w:pPr>
      <w:r>
        <w:rPr>
          <w:rFonts w:hint="eastAsia" w:ascii="宋体" w:hAnsi="宋体"/>
          <w:b/>
          <w:bCs/>
          <w:sz w:val="28"/>
          <w:szCs w:val="28"/>
          <w:lang w:eastAsia="zh-CN"/>
        </w:rPr>
        <w:t>目的：</w:t>
      </w:r>
    </w:p>
    <w:p w14:paraId="501749C5">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eastAsia" w:ascii="宋体" w:hAnsi="宋体"/>
          <w:sz w:val="28"/>
          <w:szCs w:val="28"/>
          <w:lang w:eastAsia="zh-CN"/>
        </w:rPr>
        <w:t>控制的目标有害生物：老鼠、蟑螂、</w:t>
      </w:r>
      <w:r>
        <w:rPr>
          <w:rFonts w:hint="eastAsia" w:ascii="宋体" w:hAnsi="宋体"/>
          <w:sz w:val="28"/>
          <w:szCs w:val="28"/>
          <w:lang w:val="en-US" w:eastAsia="zh-CN"/>
        </w:rPr>
        <w:t>飞虫</w:t>
      </w:r>
      <w:r>
        <w:rPr>
          <w:rFonts w:hint="eastAsia" w:ascii="宋体" w:hAnsi="宋体"/>
          <w:sz w:val="28"/>
          <w:szCs w:val="28"/>
          <w:lang w:eastAsia="zh-CN"/>
        </w:rPr>
        <w:t>（包括蚊蝇，不包括法老蚁、火蚁、白蚁和其它对木头有害的害虫）。</w:t>
      </w:r>
    </w:p>
    <w:p w14:paraId="3C681479">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宋体" w:hAnsi="宋体"/>
          <w:b/>
          <w:bCs/>
          <w:sz w:val="28"/>
          <w:szCs w:val="28"/>
          <w:lang w:eastAsia="zh-CN"/>
        </w:rPr>
      </w:pPr>
      <w:r>
        <w:rPr>
          <w:rFonts w:hint="eastAsia" w:ascii="宋体" w:hAnsi="宋体"/>
          <w:b/>
          <w:bCs/>
          <w:sz w:val="28"/>
          <w:szCs w:val="28"/>
          <w:lang w:eastAsia="zh-CN"/>
        </w:rPr>
        <w:t>内容：</w:t>
      </w:r>
    </w:p>
    <w:p w14:paraId="08994A91">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服务方在本协议约定的范围内对客户方明确指定的现场进行检查、预防及/或控制虫害蔓延；</w:t>
      </w:r>
    </w:p>
    <w:p w14:paraId="43AD7230">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由服务方根据现场检查情况，分析虫害来源，并对客户现场进行虫害风险评估；</w:t>
      </w:r>
    </w:p>
    <w:p w14:paraId="570A14DD">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服务方根据检查及评估结果，向客户方提供专业咨询建议及有害生物防治及控制实施方案；</w:t>
      </w:r>
    </w:p>
    <w:p w14:paraId="1DB3548B">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作为有害生物防治及控制方案的实施，服务方协助客户方提供以下针对性处理：</w:t>
      </w:r>
    </w:p>
    <w:p w14:paraId="011BDB52">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b/>
          <w:bCs/>
          <w:sz w:val="28"/>
          <w:szCs w:val="28"/>
          <w:lang w:eastAsia="zh-CN"/>
        </w:rPr>
      </w:pPr>
      <w:r>
        <w:rPr>
          <w:rFonts w:hint="default" w:ascii="宋体" w:hAnsi="宋体"/>
          <w:sz w:val="28"/>
          <w:szCs w:val="28"/>
          <w:lang w:val="en-US" w:eastAsia="zh-CN"/>
        </w:rPr>
        <w:t>1）</w:t>
      </w:r>
      <w:r>
        <w:rPr>
          <w:rFonts w:hint="eastAsia" w:ascii="宋体" w:hAnsi="宋体"/>
          <w:sz w:val="28"/>
          <w:szCs w:val="28"/>
          <w:lang w:eastAsia="zh-CN"/>
        </w:rPr>
        <w:t>服务频率：</w:t>
      </w:r>
      <w:r>
        <w:rPr>
          <w:rFonts w:hint="eastAsia" w:ascii="宋体" w:hAnsi="宋体"/>
          <w:b/>
          <w:bCs/>
          <w:sz w:val="28"/>
          <w:szCs w:val="28"/>
          <w:lang w:eastAsia="zh-CN"/>
        </w:rPr>
        <w:t>5月份-10月份：2次/月；11月份-4月份：1次/月</w:t>
      </w:r>
    </w:p>
    <w:p w14:paraId="6337B200">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default" w:ascii="宋体" w:hAnsi="宋体"/>
          <w:sz w:val="28"/>
          <w:szCs w:val="28"/>
          <w:lang w:val="en-US" w:eastAsia="zh-CN"/>
        </w:rPr>
        <w:t>2）</w:t>
      </w:r>
      <w:r>
        <w:rPr>
          <w:rFonts w:hint="eastAsia" w:ascii="宋体" w:hAnsi="宋体"/>
          <w:sz w:val="28"/>
          <w:szCs w:val="28"/>
          <w:lang w:eastAsia="zh-CN"/>
        </w:rPr>
        <w:t>服务区域：中粮米业（五常）有限公司现有建筑物内区域；</w:t>
      </w:r>
    </w:p>
    <w:p w14:paraId="5A35C445">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default" w:ascii="宋体" w:hAnsi="宋体"/>
          <w:sz w:val="28"/>
          <w:szCs w:val="28"/>
          <w:lang w:val="en-US" w:eastAsia="zh-CN"/>
        </w:rPr>
        <w:t>3）</w:t>
      </w:r>
      <w:r>
        <w:rPr>
          <w:rFonts w:hint="eastAsia" w:ascii="宋体" w:hAnsi="宋体"/>
          <w:sz w:val="28"/>
          <w:szCs w:val="28"/>
          <w:lang w:eastAsia="zh-CN"/>
        </w:rPr>
        <w:t>在客户方的建筑外围，服务方按照专业标准协助设置鼠控诱饵站，并在常规服务中定期更换诱饵并作记录；室内设置防鼠粘板，并在常规服务中定期检查及更换粘板，以控制及监测老鼠的侵害；</w:t>
      </w:r>
    </w:p>
    <w:p w14:paraId="14D85EBB">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default" w:ascii="宋体" w:hAnsi="宋体"/>
          <w:sz w:val="28"/>
          <w:szCs w:val="28"/>
          <w:lang w:val="en-US" w:eastAsia="zh-CN"/>
        </w:rPr>
        <w:t>4）</w:t>
      </w:r>
      <w:r>
        <w:rPr>
          <w:rFonts w:hint="eastAsia" w:ascii="宋体" w:hAnsi="宋体"/>
          <w:sz w:val="28"/>
          <w:szCs w:val="28"/>
          <w:lang w:eastAsia="zh-CN"/>
        </w:rPr>
        <w:t>在常规服务中，服务方将通过检查，对于容易造成鼠害侵害的建筑上的结构隐患，根据其专业经验向客户相关部门提出建议，以便客户方能及时加以修正；针对某些建筑的缺陷（包括建筑的局部密闭性），客户方可以要求服务方提供力所能及的修补，并支付相关费用，具体届时以双方协商为准；</w:t>
      </w:r>
    </w:p>
    <w:p w14:paraId="216D3A31">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default" w:ascii="宋体" w:hAnsi="宋体"/>
          <w:sz w:val="28"/>
          <w:szCs w:val="28"/>
          <w:lang w:val="en-US" w:eastAsia="zh-CN"/>
        </w:rPr>
        <w:t>5）</w:t>
      </w:r>
      <w:r>
        <w:rPr>
          <w:rFonts w:hint="eastAsia" w:ascii="宋体" w:hAnsi="宋体"/>
          <w:sz w:val="28"/>
          <w:szCs w:val="28"/>
          <w:lang w:eastAsia="zh-CN"/>
        </w:rPr>
        <w:t>在服务区域的建筑的外墙墙基处、出入口的外部等地方，服务方使用滞留处理方式提供预防措施；对于内部的虫害情况，服务方在客户方允许的前提下，使用定点处理、或缝隙处理等专业处理方式，消除已发现的有害生物，并提出相应的改善建议或措施；</w:t>
      </w:r>
    </w:p>
    <w:p w14:paraId="2CBC1DA2">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default" w:ascii="宋体" w:hAnsi="宋体"/>
          <w:sz w:val="28"/>
          <w:szCs w:val="28"/>
          <w:lang w:val="en-US" w:eastAsia="zh-CN"/>
        </w:rPr>
        <w:t>6）</w:t>
      </w:r>
      <w:r>
        <w:rPr>
          <w:rFonts w:hint="eastAsia" w:ascii="宋体" w:hAnsi="宋体"/>
          <w:sz w:val="28"/>
          <w:szCs w:val="28"/>
          <w:lang w:eastAsia="zh-CN"/>
        </w:rPr>
        <w:t>服务方将在客户方的相关部门设立除虫日志程序，以便于服务人员能及时有效地解决虫害问题；</w:t>
      </w:r>
    </w:p>
    <w:p w14:paraId="447E3715">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lang w:eastAsia="zh-CN"/>
        </w:rPr>
      </w:pPr>
      <w:r>
        <w:rPr>
          <w:rFonts w:hint="default" w:ascii="宋体" w:hAnsi="宋体"/>
          <w:sz w:val="28"/>
          <w:szCs w:val="28"/>
          <w:lang w:val="en-US" w:eastAsia="zh-CN"/>
        </w:rPr>
        <w:t>7）</w:t>
      </w:r>
      <w:r>
        <w:rPr>
          <w:rFonts w:hint="eastAsia" w:ascii="宋体" w:hAnsi="宋体"/>
          <w:sz w:val="28"/>
          <w:szCs w:val="28"/>
          <w:lang w:eastAsia="zh-CN"/>
        </w:rPr>
        <w:t>每次常规服务时，服务方会对服务区域作检查，对虫害侵害因素（包括建筑结构、环境卫生等方面）作详细的陈述并提出相关建议；</w:t>
      </w:r>
    </w:p>
    <w:p w14:paraId="58AC7E66">
      <w:pPr>
        <w:keepNext w:val="0"/>
        <w:keepLines w:val="0"/>
        <w:pageBreakBefore w:val="0"/>
        <w:widowControl/>
        <w:kinsoku/>
        <w:wordWrap/>
        <w:overflowPunct/>
        <w:topLinePunct w:val="0"/>
        <w:autoSpaceDE/>
        <w:autoSpaceDN/>
        <w:bidi w:val="0"/>
        <w:adjustRightInd/>
        <w:spacing w:line="360" w:lineRule="auto"/>
        <w:ind w:firstLine="560" w:firstLineChars="200"/>
        <w:jc w:val="both"/>
        <w:textAlignment w:val="auto"/>
        <w:rPr>
          <w:rFonts w:hint="eastAsia" w:ascii="宋体" w:hAnsi="宋体"/>
          <w:sz w:val="28"/>
          <w:szCs w:val="28"/>
          <w:highlight w:val="none"/>
          <w:lang w:val="en-US" w:eastAsia="zh-CN"/>
        </w:rPr>
      </w:pPr>
      <w:r>
        <w:rPr>
          <w:rFonts w:hint="default" w:ascii="宋体" w:hAnsi="宋体"/>
          <w:sz w:val="28"/>
          <w:szCs w:val="28"/>
          <w:lang w:val="en-US" w:eastAsia="zh-CN"/>
        </w:rPr>
        <w:t>8）</w:t>
      </w:r>
      <w:r>
        <w:rPr>
          <w:rFonts w:hint="eastAsia" w:ascii="宋体" w:hAnsi="宋体"/>
          <w:sz w:val="28"/>
          <w:szCs w:val="28"/>
          <w:lang w:eastAsia="zh-CN"/>
        </w:rPr>
        <w:t>每次服务完成后，服务方将提供完善的服务报告给客户方，并由客户方对服务方服务人员每次的服务给予评价；</w:t>
      </w:r>
    </w:p>
    <w:p w14:paraId="331DB9E8">
      <w:pPr>
        <w:keepNext w:val="0"/>
        <w:keepLines w:val="0"/>
        <w:pageBreakBefore w:val="0"/>
        <w:widowControl/>
        <w:numPr>
          <w:ilvl w:val="0"/>
          <w:numId w:val="1"/>
        </w:numPr>
        <w:kinsoku/>
        <w:wordWrap/>
        <w:overflowPunct/>
        <w:topLinePunct w:val="0"/>
        <w:autoSpaceDE/>
        <w:autoSpaceDN/>
        <w:bidi w:val="0"/>
        <w:adjustRightInd/>
        <w:spacing w:line="360" w:lineRule="auto"/>
        <w:jc w:val="both"/>
        <w:textAlignment w:val="auto"/>
        <w:rPr>
          <w:rFonts w:ascii="宋体" w:hAnsi="宋体"/>
          <w:sz w:val="28"/>
          <w:szCs w:val="28"/>
          <w:highlight w:val="none"/>
          <w:lang w:eastAsia="zh-CN"/>
        </w:rPr>
      </w:pPr>
      <w:r>
        <w:rPr>
          <w:rFonts w:hint="eastAsia" w:ascii="宋体" w:hAnsi="宋体"/>
          <w:b/>
          <w:bCs/>
          <w:sz w:val="28"/>
          <w:szCs w:val="28"/>
          <w:highlight w:val="none"/>
          <w:lang w:eastAsia="zh-CN"/>
        </w:rPr>
        <w:t>采购限价：</w:t>
      </w:r>
      <w:r>
        <w:rPr>
          <w:rFonts w:hint="eastAsia" w:ascii="宋体" w:hAnsi="宋体"/>
          <w:b/>
          <w:bCs/>
          <w:color w:val="FF0000"/>
          <w:sz w:val="28"/>
          <w:szCs w:val="28"/>
          <w:highlight w:val="none"/>
          <w:lang w:val="en-US" w:eastAsia="zh-CN"/>
        </w:rPr>
        <w:t>整体80000</w:t>
      </w:r>
      <w:r>
        <w:rPr>
          <w:rFonts w:hint="eastAsia" w:ascii="宋体" w:hAnsi="宋体"/>
          <w:b/>
          <w:bCs/>
          <w:color w:val="FF0000"/>
          <w:sz w:val="28"/>
          <w:szCs w:val="28"/>
          <w:highlight w:val="none"/>
          <w:lang w:eastAsia="zh-CN"/>
        </w:rPr>
        <w:t>元（</w:t>
      </w:r>
      <w:r>
        <w:rPr>
          <w:rFonts w:hint="eastAsia" w:ascii="宋体" w:hAnsi="宋体"/>
          <w:b/>
          <w:bCs/>
          <w:color w:val="FF0000"/>
          <w:sz w:val="28"/>
          <w:szCs w:val="28"/>
          <w:highlight w:val="none"/>
          <w:lang w:val="en-US" w:eastAsia="zh-CN"/>
        </w:rPr>
        <w:t>含税</w:t>
      </w:r>
      <w:r>
        <w:rPr>
          <w:rFonts w:hint="eastAsia" w:ascii="宋体" w:hAnsi="宋体"/>
          <w:b/>
          <w:bCs/>
          <w:color w:val="FF0000"/>
          <w:sz w:val="28"/>
          <w:szCs w:val="28"/>
          <w:highlight w:val="none"/>
          <w:lang w:eastAsia="zh-CN"/>
        </w:rPr>
        <w:t>）</w:t>
      </w:r>
      <w:r>
        <w:rPr>
          <w:rFonts w:hint="eastAsia" w:ascii="宋体" w:hAnsi="宋体"/>
          <w:sz w:val="28"/>
          <w:szCs w:val="28"/>
          <w:highlight w:val="none"/>
          <w:lang w:eastAsia="zh-CN"/>
        </w:rPr>
        <w:t>。</w:t>
      </w:r>
    </w:p>
    <w:p w14:paraId="5008B1C4">
      <w:pPr>
        <w:keepNext w:val="0"/>
        <w:keepLines w:val="0"/>
        <w:pageBreakBefore w:val="0"/>
        <w:widowControl/>
        <w:numPr>
          <w:ilvl w:val="0"/>
          <w:numId w:val="1"/>
        </w:numPr>
        <w:kinsoku/>
        <w:wordWrap/>
        <w:overflowPunct/>
        <w:topLinePunct w:val="0"/>
        <w:autoSpaceDE/>
        <w:autoSpaceDN/>
        <w:bidi w:val="0"/>
        <w:adjustRightInd/>
        <w:spacing w:line="360" w:lineRule="auto"/>
        <w:jc w:val="both"/>
        <w:textAlignment w:val="auto"/>
        <w:rPr>
          <w:rFonts w:ascii="宋体" w:hAnsi="宋体"/>
          <w:b/>
          <w:bCs/>
          <w:sz w:val="28"/>
          <w:szCs w:val="28"/>
          <w:lang w:eastAsia="zh-CN"/>
        </w:rPr>
      </w:pPr>
      <w:r>
        <w:rPr>
          <w:rFonts w:hint="eastAsia" w:ascii="宋体" w:hAnsi="宋体"/>
          <w:b/>
          <w:bCs/>
          <w:sz w:val="28"/>
          <w:szCs w:val="28"/>
          <w:lang w:eastAsia="zh-CN"/>
        </w:rPr>
        <w:t>项目付款方式：</w:t>
      </w:r>
      <w:r>
        <w:rPr>
          <w:rFonts w:hint="eastAsia" w:ascii="宋体" w:hAnsi="宋体"/>
          <w:bCs/>
          <w:color w:val="000000" w:themeColor="text1"/>
          <w:sz w:val="28"/>
          <w:szCs w:val="28"/>
          <w:lang w:eastAsia="zh-CN"/>
          <w14:textFill>
            <w14:solidFill>
              <w14:schemeClr w14:val="tx1"/>
            </w14:solidFill>
          </w14:textFill>
        </w:rPr>
        <w:t>付款方式为电汇或转账。</w:t>
      </w:r>
    </w:p>
    <w:p w14:paraId="6D52788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heme="minorEastAsia" w:hAnsiTheme="minorEastAsia" w:eastAsiaTheme="minorEastAsia"/>
          <w:b/>
          <w:position w:val="16"/>
          <w:sz w:val="36"/>
          <w:szCs w:val="36"/>
          <w:lang w:eastAsia="zh-CN"/>
        </w:rPr>
        <w:sectPr>
          <w:pgSz w:w="11906" w:h="16838"/>
          <w:pgMar w:top="737" w:right="907" w:bottom="737" w:left="1304" w:header="624" w:footer="907" w:gutter="0"/>
          <w:cols w:space="425" w:num="1"/>
          <w:titlePg/>
          <w:docGrid w:linePitch="312" w:charSpace="0"/>
        </w:sectPr>
      </w:pPr>
    </w:p>
    <w:p w14:paraId="53E777B3">
      <w:pPr>
        <w:snapToGrid w:val="0"/>
        <w:spacing w:line="360" w:lineRule="auto"/>
        <w:rPr>
          <w:rFonts w:asciiTheme="minorEastAsia" w:hAnsiTheme="minorEastAsia" w:eastAsiaTheme="minorEastAsia"/>
          <w:b/>
          <w:color w:val="FF0000"/>
          <w:position w:val="16"/>
          <w:sz w:val="28"/>
          <w:szCs w:val="28"/>
          <w:lang w:eastAsia="zh-CN"/>
        </w:rPr>
      </w:pPr>
      <w:r>
        <w:rPr>
          <w:rFonts w:hint="eastAsia" w:asciiTheme="minorEastAsia" w:hAnsiTheme="minorEastAsia" w:eastAsiaTheme="minorEastAsia"/>
          <w:b/>
          <w:position w:val="16"/>
          <w:sz w:val="28"/>
          <w:szCs w:val="28"/>
          <w:lang w:eastAsia="zh-CN"/>
        </w:rPr>
        <w:t>第四部分   拟签订协议主要条款</w:t>
      </w:r>
    </w:p>
    <w:p w14:paraId="1BB2B38C">
      <w:pPr>
        <w:tabs>
          <w:tab w:val="left" w:pos="513"/>
        </w:tabs>
        <w:rPr>
          <w:lang w:eastAsia="zh-CN"/>
        </w:rPr>
      </w:pPr>
    </w:p>
    <w:p w14:paraId="716648F1">
      <w:pPr>
        <w:jc w:val="center"/>
        <w:rPr>
          <w:rFonts w:hint="eastAsia" w:ascii="仿宋" w:hAnsi="仿宋" w:eastAsia="仿宋" w:cs="仿宋"/>
          <w:b/>
          <w:sz w:val="32"/>
          <w:szCs w:val="32"/>
        </w:rPr>
      </w:pPr>
      <w:r>
        <w:rPr>
          <w:rFonts w:hint="eastAsia" w:ascii="仿宋" w:hAnsi="仿宋" w:eastAsia="仿宋" w:cs="仿宋"/>
          <w:b/>
          <w:sz w:val="32"/>
          <w:szCs w:val="32"/>
          <w:lang w:eastAsia="zh-CN"/>
        </w:rPr>
        <w:t>中粮米业（</w:t>
      </w:r>
      <w:r>
        <w:rPr>
          <w:rFonts w:hint="eastAsia" w:ascii="仿宋" w:hAnsi="仿宋" w:eastAsia="仿宋" w:cs="仿宋"/>
          <w:b/>
          <w:sz w:val="32"/>
          <w:szCs w:val="32"/>
          <w:lang w:val="en-US" w:eastAsia="zh-CN"/>
        </w:rPr>
        <w:t>五常</w:t>
      </w:r>
      <w:r>
        <w:rPr>
          <w:rFonts w:hint="eastAsia" w:ascii="仿宋" w:hAnsi="仿宋" w:eastAsia="仿宋" w:cs="仿宋"/>
          <w:b/>
          <w:sz w:val="32"/>
          <w:szCs w:val="32"/>
          <w:lang w:eastAsia="zh-CN"/>
        </w:rPr>
        <w:t>)有限公司</w:t>
      </w:r>
      <w:r>
        <w:rPr>
          <w:rFonts w:hint="eastAsia" w:ascii="仿宋" w:hAnsi="仿宋" w:eastAsia="仿宋" w:cs="仿宋"/>
          <w:b/>
          <w:sz w:val="32"/>
          <w:szCs w:val="32"/>
          <w:lang w:val="en-US" w:eastAsia="zh-CN"/>
        </w:rPr>
        <w:t>有害生物防治业务</w:t>
      </w:r>
      <w:r>
        <w:rPr>
          <w:rFonts w:hint="eastAsia" w:ascii="仿宋" w:hAnsi="仿宋" w:eastAsia="仿宋" w:cs="仿宋"/>
          <w:b/>
          <w:sz w:val="32"/>
          <w:szCs w:val="32"/>
        </w:rPr>
        <w:t>合同</w:t>
      </w:r>
    </w:p>
    <w:p w14:paraId="2E8CC432">
      <w:pPr>
        <w:pStyle w:val="15"/>
        <w:ind w:left="1470" w:right="1470"/>
        <w:jc w:val="center"/>
        <w:rPr>
          <w:rFonts w:hint="eastAsia" w:ascii="仿宋" w:hAnsi="仿宋" w:eastAsia="仿宋" w:cs="仿宋"/>
          <w:sz w:val="21"/>
          <w:szCs w:val="21"/>
        </w:rPr>
      </w:pPr>
      <w:r>
        <w:rPr>
          <w:rFonts w:hint="default"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3514725</wp:posOffset>
                </wp:positionH>
                <wp:positionV relativeFrom="paragraph">
                  <wp:posOffset>254635</wp:posOffset>
                </wp:positionV>
                <wp:extent cx="2721610" cy="6673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21610" cy="667385"/>
                        </a:xfrm>
                        <a:prstGeom prst="rect">
                          <a:avLst/>
                        </a:prstGeom>
                        <a:noFill/>
                        <a:ln w="6350">
                          <a:noFill/>
                        </a:ln>
                      </wps:spPr>
                      <wps:txbx>
                        <w:txbxContent>
                          <w:p w14:paraId="720BA3F9">
                            <w:pPr>
                              <w:pStyle w:val="36"/>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合同编号：           </w:t>
                            </w:r>
                          </w:p>
                          <w:p w14:paraId="183170A9">
                            <w:pPr>
                              <w:pStyle w:val="36"/>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签订地点：           </w:t>
                            </w:r>
                          </w:p>
                          <w:p w14:paraId="7D46C0DC">
                            <w:pPr>
                              <w:pStyle w:val="36"/>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签订时间：           </w:t>
                            </w:r>
                          </w:p>
                          <w:p w14:paraId="436EE849">
                            <w:pPr>
                              <w:rPr>
                                <w:rFonts w:hint="eastAsia"/>
                                <w:sz w:val="21"/>
                                <w:szCs w:val="24"/>
                              </w:rPr>
                            </w:pPr>
                          </w:p>
                        </w:txbxContent>
                      </wps:txbx>
                      <wps:bodyPr vert="horz" wrap="square" anchor="t" anchorCtr="0" upright="1"/>
                    </wps:wsp>
                  </a:graphicData>
                </a:graphic>
              </wp:anchor>
            </w:drawing>
          </mc:Choice>
          <mc:Fallback>
            <w:pict>
              <v:shape id="文本框 2" o:spid="_x0000_s1026" o:spt="202" type="#_x0000_t202" style="position:absolute;left:0pt;margin-left:276.75pt;margin-top:20.05pt;height:52.55pt;width:214.3pt;z-index:251659264;mso-width-relative:page;mso-height-relative:page;" filled="f" stroked="f" coordsize="21600,21600" o:gfxdata="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Jz32LaAAAACgEAAA8AAAAAAAAAAQAg&#10;AAAAIgAAAGRycy9kb3ducmV2LnhtbFBLAQIUABQAAAAIAIdO4kB7oh8p0wEAAIoDAAAOAAAAAAAA&#10;AAEAIAAAACkBAABkcnMvZTJvRG9jLnhtbFBLBQYAAAAABgAGAFkBAABuBQAAAAA=&#10;">
                <v:fill on="f" focussize="0,0"/>
                <v:stroke on="f" weight="0.5pt"/>
                <v:imagedata o:title=""/>
                <o:lock v:ext="edit" aspectratio="f"/>
                <v:textbox>
                  <w:txbxContent>
                    <w:p w14:paraId="720BA3F9">
                      <w:pPr>
                        <w:pStyle w:val="36"/>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合同编号：           </w:t>
                      </w:r>
                    </w:p>
                    <w:p w14:paraId="183170A9">
                      <w:pPr>
                        <w:pStyle w:val="36"/>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签订地点：           </w:t>
                      </w:r>
                    </w:p>
                    <w:p w14:paraId="7D46C0DC">
                      <w:pPr>
                        <w:pStyle w:val="36"/>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签订时间：           </w:t>
                      </w:r>
                    </w:p>
                    <w:p w14:paraId="436EE849">
                      <w:pPr>
                        <w:rPr>
                          <w:rFonts w:hint="eastAsia"/>
                          <w:sz w:val="21"/>
                          <w:szCs w:val="24"/>
                        </w:rPr>
                      </w:pPr>
                    </w:p>
                  </w:txbxContent>
                </v:textbox>
              </v:shape>
            </w:pict>
          </mc:Fallback>
        </mc:AlternateContent>
      </w:r>
    </w:p>
    <w:p w14:paraId="479340CE">
      <w:pPr>
        <w:pStyle w:val="15"/>
        <w:ind w:left="1470" w:right="1470"/>
        <w:jc w:val="center"/>
        <w:rPr>
          <w:rFonts w:hint="eastAsia" w:ascii="仿宋" w:hAnsi="仿宋" w:eastAsia="仿宋" w:cs="仿宋"/>
          <w:sz w:val="21"/>
          <w:szCs w:val="21"/>
        </w:rPr>
      </w:pPr>
    </w:p>
    <w:p w14:paraId="66E8E1F1">
      <w:pPr>
        <w:pStyle w:val="15"/>
        <w:ind w:left="1470" w:right="1470"/>
        <w:jc w:val="center"/>
        <w:rPr>
          <w:rFonts w:hint="eastAsia" w:ascii="仿宋" w:hAnsi="仿宋" w:eastAsia="仿宋" w:cs="仿宋"/>
          <w:sz w:val="21"/>
          <w:szCs w:val="21"/>
        </w:rPr>
      </w:pPr>
    </w:p>
    <w:tbl>
      <w:tblPr>
        <w:tblStyle w:val="28"/>
        <w:tblpPr w:leftFromText="180" w:rightFromText="180" w:vertAnchor="text" w:horzAnchor="page" w:tblpX="1769" w:tblpY="389"/>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0"/>
        <w:gridCol w:w="4640"/>
      </w:tblGrid>
      <w:tr w14:paraId="76AA492D">
        <w:tblPrEx>
          <w:tblCellMar>
            <w:top w:w="0" w:type="dxa"/>
            <w:left w:w="108" w:type="dxa"/>
            <w:bottom w:w="0" w:type="dxa"/>
            <w:right w:w="108" w:type="dxa"/>
          </w:tblCellMar>
        </w:tblPrEx>
        <w:tc>
          <w:tcPr>
            <w:tcW w:w="4580" w:type="dxa"/>
            <w:tcBorders>
              <w:top w:val="nil"/>
              <w:left w:val="nil"/>
              <w:bottom w:val="nil"/>
              <w:right w:val="nil"/>
              <w:tl2br w:val="nil"/>
              <w:tr2bl w:val="nil"/>
            </w:tcBorders>
            <w:noWrap w:val="0"/>
            <w:vAlign w:val="top"/>
          </w:tcPr>
          <w:p w14:paraId="4D417A0D">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甲方：</w:t>
            </w:r>
          </w:p>
          <w:p w14:paraId="68CE70D8">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联系人：</w:t>
            </w:r>
          </w:p>
          <w:p w14:paraId="6DE39B90">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联系电话：</w:t>
            </w:r>
          </w:p>
          <w:p w14:paraId="7A4E238F">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地址：</w:t>
            </w:r>
          </w:p>
        </w:tc>
        <w:tc>
          <w:tcPr>
            <w:tcW w:w="4640" w:type="dxa"/>
            <w:tcBorders>
              <w:top w:val="nil"/>
              <w:left w:val="nil"/>
              <w:bottom w:val="nil"/>
              <w:right w:val="nil"/>
              <w:tl2br w:val="nil"/>
              <w:tr2bl w:val="nil"/>
            </w:tcBorders>
            <w:noWrap w:val="0"/>
            <w:vAlign w:val="top"/>
          </w:tcPr>
          <w:p w14:paraId="58EE4067">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乙方：</w:t>
            </w:r>
          </w:p>
          <w:p w14:paraId="1DB03498">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联系人：</w:t>
            </w:r>
          </w:p>
          <w:p w14:paraId="25310025">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联系电话：</w:t>
            </w:r>
          </w:p>
          <w:p w14:paraId="43CBE057">
            <w:pPr>
              <w:pStyle w:val="15"/>
              <w:keepNext w:val="0"/>
              <w:keepLines w:val="0"/>
              <w:widowControl/>
              <w:suppressLineNumbers w:val="0"/>
              <w:spacing w:before="0" w:beforeAutospacing="0" w:afterAutospacing="0"/>
              <w:ind w:left="0" w:leftChars="0" w:right="1470"/>
              <w:rPr>
                <w:rFonts w:hint="eastAsia" w:ascii="仿宋" w:hAnsi="仿宋" w:eastAsia="仿宋" w:cs="仿宋"/>
                <w:sz w:val="21"/>
                <w:szCs w:val="21"/>
              </w:rPr>
            </w:pPr>
            <w:r>
              <w:rPr>
                <w:rFonts w:hint="eastAsia" w:ascii="仿宋" w:hAnsi="仿宋" w:eastAsia="仿宋" w:cs="仿宋"/>
                <w:sz w:val="21"/>
                <w:szCs w:val="21"/>
              </w:rPr>
              <w:t>地址：</w:t>
            </w:r>
          </w:p>
        </w:tc>
      </w:tr>
    </w:tbl>
    <w:p w14:paraId="4192DCA3">
      <w:pPr>
        <w:rPr>
          <w:rFonts w:hint="eastAsia" w:ascii="仿宋" w:hAnsi="仿宋" w:eastAsia="仿宋" w:cs="仿宋"/>
          <w:sz w:val="21"/>
          <w:szCs w:val="24"/>
        </w:rPr>
      </w:pPr>
    </w:p>
    <w:p w14:paraId="0A230147">
      <w:pPr>
        <w:ind w:firstLine="480" w:firstLineChars="200"/>
        <w:rPr>
          <w:rFonts w:hint="eastAsia" w:ascii="仿宋" w:hAnsi="仿宋" w:eastAsia="仿宋" w:cs="仿宋"/>
          <w:lang w:eastAsia="zh-CN"/>
        </w:rPr>
      </w:pPr>
      <w:r>
        <w:rPr>
          <w:rFonts w:hint="eastAsia" w:ascii="仿宋" w:hAnsi="仿宋" w:eastAsia="仿宋" w:cs="仿宋"/>
          <w:lang w:eastAsia="zh-CN"/>
        </w:rPr>
        <w:t>根据《中华人民共和国民法典》相关法律规定，甲乙双方就本项目标的物采购事项签订本合同,以兹信守。</w:t>
      </w:r>
    </w:p>
    <w:p w14:paraId="7BF4C1C1">
      <w:pPr>
        <w:rPr>
          <w:rFonts w:hint="eastAsia" w:ascii="仿宋" w:hAnsi="仿宋" w:eastAsia="仿宋" w:cs="仿宋"/>
          <w:b/>
          <w:bCs/>
          <w:highlight w:val="none"/>
          <w:lang w:eastAsia="zh-CN"/>
        </w:rPr>
      </w:pPr>
      <w:r>
        <w:rPr>
          <w:rFonts w:hint="eastAsia" w:ascii="仿宋" w:hAnsi="仿宋" w:eastAsia="仿宋" w:cs="仿宋"/>
          <w:b/>
          <w:bCs/>
          <w:highlight w:val="none"/>
          <w:lang w:eastAsia="zh-CN"/>
        </w:rPr>
        <w:t>第一条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合同标的物及合同总价</w:t>
      </w:r>
    </w:p>
    <w:p w14:paraId="29C04B58">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合同标的</w:t>
      </w:r>
      <w:r>
        <w:rPr>
          <w:rFonts w:hint="eastAsia" w:ascii="仿宋" w:hAnsi="仿宋" w:eastAsia="仿宋" w:cs="仿宋"/>
          <w:highlight w:val="none"/>
          <w:lang w:val="en-US" w:eastAsia="zh-CN"/>
        </w:rPr>
        <w:t>服务</w:t>
      </w:r>
      <w:r>
        <w:rPr>
          <w:rFonts w:hint="eastAsia" w:ascii="仿宋" w:hAnsi="仿宋" w:eastAsia="仿宋" w:cs="仿宋"/>
          <w:highlight w:val="none"/>
          <w:lang w:eastAsia="zh-CN"/>
        </w:rPr>
        <w:t>基本情况：</w:t>
      </w:r>
    </w:p>
    <w:p w14:paraId="2A1742C2">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服务费用</w:t>
      </w:r>
      <w:r>
        <w:rPr>
          <w:rFonts w:hint="eastAsia" w:ascii="仿宋" w:hAnsi="仿宋" w:eastAsia="仿宋" w:cs="仿宋"/>
          <w:color w:val="auto"/>
          <w:sz w:val="24"/>
          <w:szCs w:val="24"/>
        </w:rPr>
        <w:t>包含</w:t>
      </w:r>
      <w:r>
        <w:rPr>
          <w:rFonts w:hint="eastAsia" w:ascii="仿宋" w:hAnsi="仿宋" w:eastAsia="仿宋" w:cs="仿宋"/>
          <w:color w:val="auto"/>
          <w:sz w:val="24"/>
          <w:szCs w:val="24"/>
          <w:lang w:val="en-US" w:eastAsia="zh-CN"/>
        </w:rPr>
        <w:t>虫鼠害服务的人工费用、设备、材料费</w:t>
      </w:r>
      <w:r>
        <w:rPr>
          <w:rFonts w:hint="eastAsia" w:ascii="仿宋" w:hAnsi="仿宋" w:eastAsia="仿宋" w:cs="仿宋"/>
          <w:color w:val="auto"/>
          <w:sz w:val="24"/>
          <w:szCs w:val="24"/>
          <w:highlight w:val="yellow"/>
          <w:lang w:val="en-US" w:eastAsia="zh-CN"/>
        </w:rPr>
        <w:t>用</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rPr>
        <w:t>增值税专用发票</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val="en-US" w:eastAsia="zh-CN"/>
        </w:rPr>
        <w:t>公众责任</w:t>
      </w:r>
      <w:r>
        <w:rPr>
          <w:rFonts w:hint="eastAsia" w:ascii="仿宋" w:hAnsi="仿宋" w:eastAsia="仿宋" w:cs="仿宋"/>
          <w:color w:val="auto"/>
          <w:sz w:val="24"/>
          <w:szCs w:val="24"/>
          <w:highlight w:val="none"/>
        </w:rPr>
        <w:t>保险费用）</w:t>
      </w:r>
      <w:r>
        <w:rPr>
          <w:rFonts w:hint="eastAsia" w:ascii="仿宋" w:hAnsi="仿宋" w:eastAsia="仿宋" w:cs="仿宋"/>
          <w:color w:val="auto"/>
          <w:sz w:val="24"/>
          <w:szCs w:val="24"/>
        </w:rPr>
        <w:t>。</w:t>
      </w:r>
    </w:p>
    <w:p w14:paraId="2E7D31DF">
      <w:pPr>
        <w:ind w:firstLine="480" w:firstLineChars="200"/>
        <w:rPr>
          <w:rFonts w:hint="eastAsia" w:ascii="仿宋" w:hAnsi="仿宋" w:eastAsia="仿宋" w:cs="仿宋"/>
          <w:highlight w:val="yellow"/>
          <w:lang w:eastAsia="zh-CN"/>
        </w:rPr>
      </w:pPr>
      <w:r>
        <w:rPr>
          <w:rFonts w:hint="eastAsia" w:ascii="仿宋" w:hAnsi="仿宋" w:eastAsia="仿宋" w:cs="仿宋"/>
          <w:color w:val="auto"/>
          <w:sz w:val="24"/>
          <w:szCs w:val="24"/>
          <w:highlight w:val="yellow"/>
          <w:lang w:val="en-US" w:eastAsia="zh-CN"/>
        </w:rPr>
        <w:t>服务费用</w:t>
      </w:r>
      <w:r>
        <w:rPr>
          <w:rFonts w:hint="eastAsia" w:ascii="仿宋" w:hAnsi="仿宋" w:eastAsia="仿宋" w:cs="仿宋"/>
          <w:color w:val="auto"/>
          <w:sz w:val="24"/>
          <w:szCs w:val="24"/>
          <w:highlight w:val="yellow"/>
        </w:rPr>
        <w:t>为：￥</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元，（其中不含税金额：</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元,增值税税额：</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元 ）人民币大写：</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u w:val="none"/>
        </w:rPr>
        <w:t xml:space="preserve">  </w:t>
      </w:r>
      <w:r>
        <w:rPr>
          <w:rFonts w:hint="eastAsia" w:ascii="仿宋" w:hAnsi="仿宋" w:eastAsia="仿宋" w:cs="仿宋"/>
          <w:color w:val="auto"/>
          <w:sz w:val="24"/>
          <w:szCs w:val="24"/>
          <w:highlight w:val="yellow"/>
          <w:u w:val="none"/>
          <w:lang w:eastAsia="zh-CN"/>
        </w:rPr>
        <w:t>。</w:t>
      </w:r>
    </w:p>
    <w:p w14:paraId="294AD88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color w:val="auto"/>
          <w:sz w:val="24"/>
          <w:szCs w:val="24"/>
        </w:rPr>
        <w:t>注：合同总价为固定总价，包含但不限于货物的价款、包装、运输、装卸、安装、调试、技术、指导、培训、咨询、服务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公众责任</w:t>
      </w:r>
      <w:r>
        <w:rPr>
          <w:rFonts w:hint="eastAsia" w:ascii="仿宋" w:hAnsi="仿宋" w:eastAsia="仿宋" w:cs="仿宋"/>
          <w:color w:val="auto"/>
          <w:sz w:val="24"/>
          <w:szCs w:val="24"/>
          <w:highlight w:val="none"/>
        </w:rPr>
        <w:t>保险费用、</w:t>
      </w:r>
      <w:r>
        <w:rPr>
          <w:rFonts w:hint="eastAsia" w:ascii="仿宋" w:hAnsi="仿宋" w:eastAsia="仿宋" w:cs="仿宋"/>
          <w:sz w:val="24"/>
          <w:szCs w:val="24"/>
        </w:rPr>
        <w:t>验收合格交付使用之前以及技术和售后服务等等或成本、利润、税收等其他各项有关费用，甲方无须向乙方另外支付本合同规定之外的任何费用。</w:t>
      </w:r>
    </w:p>
    <w:p w14:paraId="099CF887">
      <w:pPr>
        <w:rPr>
          <w:rFonts w:hint="eastAsia" w:ascii="仿宋" w:hAnsi="仿宋" w:eastAsia="仿宋" w:cs="仿宋"/>
          <w:highlight w:val="none"/>
          <w:lang w:eastAsia="zh-CN"/>
        </w:rPr>
      </w:pPr>
      <w:r>
        <w:rPr>
          <w:rFonts w:hint="eastAsia" w:ascii="仿宋" w:hAnsi="仿宋" w:eastAsia="仿宋" w:cs="仿宋"/>
          <w:b/>
          <w:bCs/>
          <w:highlight w:val="none"/>
          <w:lang w:eastAsia="zh-CN"/>
        </w:rPr>
        <w:t>第二条</w:t>
      </w:r>
      <w:r>
        <w:rPr>
          <w:rFonts w:hint="eastAsia" w:ascii="仿宋" w:hAnsi="仿宋" w:eastAsia="仿宋" w:cs="仿宋"/>
          <w:b/>
          <w:bCs/>
          <w:highlight w:val="none"/>
          <w:lang w:val="en-US" w:eastAsia="zh-CN"/>
        </w:rPr>
        <w:t xml:space="preserve"> 相关技术服务</w:t>
      </w:r>
    </w:p>
    <w:p w14:paraId="178695C6">
      <w:pPr>
        <w:ind w:firstLine="480" w:firstLineChars="200"/>
        <w:rPr>
          <w:rFonts w:hint="eastAsia" w:ascii="仿宋" w:hAnsi="仿宋" w:eastAsia="仿宋" w:cs="仿宋"/>
          <w:highlight w:val="none"/>
          <w:lang w:eastAsia="zh-CN"/>
        </w:rPr>
      </w:pPr>
      <w:r>
        <w:rPr>
          <w:rFonts w:hint="eastAsia" w:ascii="仿宋" w:hAnsi="仿宋" w:eastAsia="仿宋" w:cs="仿宋"/>
          <w:highlight w:val="yellow"/>
          <w:lang w:eastAsia="zh-CN"/>
        </w:rPr>
        <w:t>2.1</w:t>
      </w:r>
      <w:r>
        <w:rPr>
          <w:rFonts w:hint="eastAsia" w:ascii="仿宋" w:hAnsi="仿宋" w:eastAsia="仿宋" w:cs="仿宋"/>
          <w:highlight w:val="yellow"/>
          <w:lang w:val="en-US" w:eastAsia="zh-CN"/>
        </w:rPr>
        <w:t>服务</w:t>
      </w:r>
      <w:r>
        <w:rPr>
          <w:rFonts w:hint="eastAsia" w:ascii="仿宋" w:hAnsi="仿宋" w:eastAsia="仿宋" w:cs="仿宋"/>
          <w:highlight w:val="yellow"/>
          <w:lang w:eastAsia="zh-CN"/>
        </w:rPr>
        <w:t>期为：</w:t>
      </w:r>
      <w:r>
        <w:rPr>
          <w:rFonts w:hint="eastAsia" w:ascii="仿宋" w:hAnsi="仿宋" w:eastAsia="仿宋" w:cs="仿宋"/>
          <w:highlight w:val="yellow"/>
          <w:u w:val="single"/>
          <w:lang w:val="en-US" w:eastAsia="zh-CN"/>
        </w:rPr>
        <w:t xml:space="preserve">    </w:t>
      </w:r>
      <w:r>
        <w:rPr>
          <w:rFonts w:hint="eastAsia" w:ascii="仿宋" w:hAnsi="仿宋" w:eastAsia="仿宋" w:cs="仿宋"/>
          <w:sz w:val="24"/>
          <w:szCs w:val="24"/>
          <w:highlight w:val="yellow"/>
          <w:u w:val="single"/>
          <w:lang w:val="en-US" w:eastAsia="zh-CN"/>
        </w:rPr>
        <w:t xml:space="preserve">年   月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u w:val="single"/>
          <w:lang w:val="en-US" w:eastAsia="zh-CN"/>
        </w:rPr>
        <w:t>日</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rPr>
        <w:t>起至</w:t>
      </w:r>
      <w:r>
        <w:rPr>
          <w:rFonts w:hint="eastAsia" w:ascii="仿宋" w:hAnsi="仿宋" w:eastAsia="仿宋" w:cs="仿宋"/>
          <w:highlight w:val="yellow"/>
          <w:u w:val="single"/>
          <w:lang w:val="en-US" w:eastAsia="zh-CN"/>
        </w:rPr>
        <w:t xml:space="preserve">     </w:t>
      </w:r>
      <w:r>
        <w:rPr>
          <w:rFonts w:hint="eastAsia" w:ascii="仿宋" w:hAnsi="仿宋" w:eastAsia="仿宋" w:cs="仿宋"/>
          <w:sz w:val="24"/>
          <w:szCs w:val="24"/>
          <w:highlight w:val="yellow"/>
          <w:u w:val="single"/>
          <w:lang w:val="en-US" w:eastAsia="zh-CN"/>
        </w:rPr>
        <w:t xml:space="preserve">年   月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u w:val="single"/>
          <w:lang w:val="en-US" w:eastAsia="zh-CN"/>
        </w:rPr>
        <w:t>日</w:t>
      </w:r>
      <w:r>
        <w:rPr>
          <w:rFonts w:hint="eastAsia" w:ascii="仿宋" w:hAnsi="仿宋" w:eastAsia="仿宋" w:cs="仿宋"/>
          <w:sz w:val="24"/>
          <w:szCs w:val="24"/>
          <w:highlight w:val="yellow"/>
          <w:u w:val="single"/>
        </w:rPr>
        <w:t xml:space="preserve"> </w:t>
      </w:r>
      <w:r>
        <w:rPr>
          <w:rFonts w:hint="eastAsia" w:ascii="仿宋" w:hAnsi="仿宋" w:eastAsia="仿宋" w:cs="仿宋"/>
          <w:highlight w:val="none"/>
          <w:lang w:eastAsia="zh-CN"/>
        </w:rPr>
        <w:t>，到期后双方协商解决。</w:t>
      </w:r>
    </w:p>
    <w:p w14:paraId="5288198E">
      <w:pPr>
        <w:ind w:firstLine="480" w:firstLineChars="200"/>
        <w:rPr>
          <w:rFonts w:hint="default" w:ascii="仿宋" w:hAnsi="仿宋" w:eastAsia="仿宋" w:cs="仿宋"/>
          <w:highlight w:val="none"/>
          <w:u w:val="single"/>
          <w:lang w:val="en-US" w:eastAsia="zh-CN"/>
        </w:rPr>
      </w:pPr>
      <w:r>
        <w:rPr>
          <w:rFonts w:hint="eastAsia" w:ascii="仿宋" w:hAnsi="仿宋" w:eastAsia="仿宋" w:cs="仿宋"/>
          <w:highlight w:val="none"/>
          <w:lang w:eastAsia="zh-CN"/>
        </w:rPr>
        <w:t>2.2</w:t>
      </w:r>
      <w:r>
        <w:rPr>
          <w:rFonts w:hint="eastAsia" w:ascii="仿宋" w:hAnsi="仿宋" w:eastAsia="仿宋" w:cs="仿宋"/>
          <w:highlight w:val="none"/>
          <w:lang w:val="en-US" w:eastAsia="zh-CN"/>
        </w:rPr>
        <w:t>技术服务地点</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中粮米业（五常）有限公司厂区内</w:t>
      </w:r>
    </w:p>
    <w:p w14:paraId="4A493706">
      <w:pPr>
        <w:rPr>
          <w:rFonts w:hint="default" w:ascii="仿宋" w:hAnsi="仿宋" w:eastAsia="仿宋" w:cs="仿宋"/>
          <w:b/>
          <w:bCs/>
          <w:highlight w:val="none"/>
          <w:lang w:val="en-US" w:eastAsia="zh-CN"/>
        </w:rPr>
      </w:pPr>
      <w:r>
        <w:rPr>
          <w:rFonts w:hint="eastAsia" w:ascii="仿宋" w:hAnsi="仿宋" w:eastAsia="仿宋" w:cs="仿宋"/>
          <w:b/>
          <w:bCs/>
          <w:highlight w:val="none"/>
          <w:lang w:eastAsia="zh-CN"/>
        </w:rPr>
        <w:t>第三条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质量要求</w:t>
      </w:r>
      <w:r>
        <w:rPr>
          <w:rFonts w:hint="eastAsia" w:ascii="仿宋" w:hAnsi="仿宋" w:eastAsia="仿宋" w:cs="仿宋"/>
          <w:b/>
          <w:bCs/>
          <w:highlight w:val="none"/>
          <w:lang w:val="en-US" w:eastAsia="zh-CN"/>
        </w:rPr>
        <w:t>及服务要求</w:t>
      </w:r>
    </w:p>
    <w:p w14:paraId="0AA5A635">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3.1目的：</w:t>
      </w:r>
      <w:r>
        <w:rPr>
          <w:rFonts w:hint="eastAsia" w:ascii="仿宋" w:hAnsi="仿宋" w:eastAsia="仿宋" w:cs="仿宋"/>
          <w:highlight w:val="none"/>
          <w:lang w:eastAsia="zh-CN"/>
        </w:rPr>
        <w:t>控制的目标有害生物：老鼠、蟑螂、并在服务当日协助控制飞虫（包括蚊蝇，不包括法老蚁、火蚁、白蚁和其它对木头有害的害虫）。</w:t>
      </w:r>
    </w:p>
    <w:p w14:paraId="6019BD80">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3.2</w:t>
      </w:r>
      <w:r>
        <w:rPr>
          <w:rFonts w:hint="eastAsia" w:ascii="仿宋" w:hAnsi="仿宋" w:eastAsia="仿宋" w:cs="仿宋"/>
          <w:highlight w:val="none"/>
          <w:lang w:eastAsia="zh-CN"/>
        </w:rPr>
        <w:t>内容：</w:t>
      </w:r>
    </w:p>
    <w:p w14:paraId="226E9600">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3.2.1</w:t>
      </w:r>
      <w:r>
        <w:rPr>
          <w:rFonts w:hint="eastAsia" w:ascii="仿宋" w:hAnsi="仿宋" w:eastAsia="仿宋" w:cs="仿宋"/>
          <w:highlight w:val="none"/>
          <w:lang w:eastAsia="zh-CN"/>
        </w:rPr>
        <w:t>服务方在本协议约定的范围内对客户方明确指定的现场进行检查、预防及/或控制虫害蔓延；</w:t>
      </w:r>
    </w:p>
    <w:p w14:paraId="2A922B21">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3.2.2</w:t>
      </w:r>
      <w:r>
        <w:rPr>
          <w:rFonts w:hint="eastAsia" w:ascii="仿宋" w:hAnsi="仿宋" w:eastAsia="仿宋" w:cs="仿宋"/>
          <w:highlight w:val="none"/>
          <w:lang w:eastAsia="zh-CN"/>
        </w:rPr>
        <w:t>由服务方根据现场检查情况，分析虫害来源，并对客户现场进行虫害风险评估；</w:t>
      </w:r>
    </w:p>
    <w:p w14:paraId="7F508E1D">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3.2.3</w:t>
      </w:r>
      <w:r>
        <w:rPr>
          <w:rFonts w:hint="eastAsia" w:ascii="仿宋" w:hAnsi="仿宋" w:eastAsia="仿宋" w:cs="仿宋"/>
          <w:highlight w:val="none"/>
          <w:lang w:eastAsia="zh-CN"/>
        </w:rPr>
        <w:t>服务方根据检查及评估结果，向客户方提供专业咨询建议及有害生物防治及控制实施方案；</w:t>
      </w:r>
    </w:p>
    <w:p w14:paraId="54BCBC28">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3.2.4</w:t>
      </w:r>
      <w:r>
        <w:rPr>
          <w:rFonts w:hint="eastAsia" w:ascii="仿宋" w:hAnsi="仿宋" w:eastAsia="仿宋" w:cs="仿宋"/>
          <w:highlight w:val="none"/>
          <w:lang w:eastAsia="zh-CN"/>
        </w:rPr>
        <w:t>作为有害生物防治及控制方案的实施，服务方协助客户方提供以下针对性处理：</w:t>
      </w:r>
    </w:p>
    <w:p w14:paraId="5DBFBD1B">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1）</w:t>
      </w:r>
      <w:r>
        <w:rPr>
          <w:rFonts w:hint="eastAsia" w:ascii="仿宋" w:hAnsi="仿宋" w:eastAsia="仿宋" w:cs="仿宋"/>
          <w:highlight w:val="none"/>
          <w:lang w:eastAsia="zh-CN"/>
        </w:rPr>
        <w:t>服务频率：</w:t>
      </w:r>
      <w:r>
        <w:rPr>
          <w:rFonts w:hint="eastAsia" w:ascii="仿宋" w:hAnsi="仿宋" w:eastAsia="仿宋" w:cs="仿宋"/>
          <w:b/>
          <w:bCs/>
          <w:highlight w:val="none"/>
          <w:lang w:eastAsia="zh-CN"/>
        </w:rPr>
        <w:t>5月份-10月份：2次/月；11月份-4月份：1次/月</w:t>
      </w:r>
    </w:p>
    <w:p w14:paraId="06A21541">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2）</w:t>
      </w:r>
      <w:r>
        <w:rPr>
          <w:rFonts w:hint="eastAsia" w:ascii="仿宋" w:hAnsi="仿宋" w:eastAsia="仿宋" w:cs="仿宋"/>
          <w:highlight w:val="none"/>
          <w:lang w:eastAsia="zh-CN"/>
        </w:rPr>
        <w:t>服务区域：“中粮米业（五常）有限公司”现有建筑物内区域；</w:t>
      </w:r>
    </w:p>
    <w:p w14:paraId="07BDA57E">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3）</w:t>
      </w:r>
      <w:r>
        <w:rPr>
          <w:rFonts w:hint="eastAsia" w:ascii="仿宋" w:hAnsi="仿宋" w:eastAsia="仿宋" w:cs="仿宋"/>
          <w:highlight w:val="none"/>
          <w:lang w:eastAsia="zh-CN"/>
        </w:rPr>
        <w:t>在客户方的建筑外围，服务方按照专业标准协助设置鼠控诱饵站，并在常规服务中定期更换诱饵并作记录；室内设置防鼠粘板，并在常规服务中定期检查及更换粘板，以控制及监测老鼠的侵害；</w:t>
      </w:r>
    </w:p>
    <w:p w14:paraId="046768DF">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4）</w:t>
      </w:r>
      <w:r>
        <w:rPr>
          <w:rFonts w:hint="eastAsia" w:ascii="仿宋" w:hAnsi="仿宋" w:eastAsia="仿宋" w:cs="仿宋"/>
          <w:highlight w:val="none"/>
          <w:lang w:eastAsia="zh-CN"/>
        </w:rPr>
        <w:t>在常规服务中，服务方将通过检查，对于容易造成鼠害侵害的建筑上的结构隐患，根据其专业经验向客户相关部门提出建议，以便客户方能及时加以修正；针对某些建筑的缺陷（包括建筑的局部密闭性），客户方可以要求服务方提供力所能及的修补，并支付相关费用，具体届时以双方协商为准；</w:t>
      </w:r>
    </w:p>
    <w:p w14:paraId="42CCF646">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5）</w:t>
      </w:r>
      <w:r>
        <w:rPr>
          <w:rFonts w:hint="eastAsia" w:ascii="仿宋" w:hAnsi="仿宋" w:eastAsia="仿宋" w:cs="仿宋"/>
          <w:highlight w:val="none"/>
          <w:lang w:eastAsia="zh-CN"/>
        </w:rPr>
        <w:t>在服务区域的建筑的外墙墙基处、出入口的外部等地方，服务方使用滞留处理方式提供预防措施；对于内部的虫害情况，服务方在客户方允许的前提下，使用定点处理、或缝隙处理等专业处理方式，消除已发现的有害生物，并提出相应的改善建议或措施；</w:t>
      </w:r>
    </w:p>
    <w:p w14:paraId="3D1F550C">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6）</w:t>
      </w:r>
      <w:r>
        <w:rPr>
          <w:rFonts w:hint="eastAsia" w:ascii="仿宋" w:hAnsi="仿宋" w:eastAsia="仿宋" w:cs="仿宋"/>
          <w:highlight w:val="none"/>
          <w:lang w:eastAsia="zh-CN"/>
        </w:rPr>
        <w:t>服务方将在客户方的相关部门设立除虫日志程序，以便于服务人员能及时有效地解决虫害问题；</w:t>
      </w:r>
    </w:p>
    <w:p w14:paraId="0326A03C">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7）</w:t>
      </w:r>
      <w:r>
        <w:rPr>
          <w:rFonts w:hint="eastAsia" w:ascii="仿宋" w:hAnsi="仿宋" w:eastAsia="仿宋" w:cs="仿宋"/>
          <w:highlight w:val="none"/>
          <w:lang w:eastAsia="zh-CN"/>
        </w:rPr>
        <w:t>每次常规服务时，服务方会对服务区域作检查，对虫害侵害因素（包括建筑结构、环境卫生等方面）作详细的陈述并提出相关建议；</w:t>
      </w:r>
    </w:p>
    <w:p w14:paraId="44DE6BAC">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8）</w:t>
      </w:r>
      <w:r>
        <w:rPr>
          <w:rFonts w:hint="eastAsia" w:ascii="仿宋" w:hAnsi="仿宋" w:eastAsia="仿宋" w:cs="仿宋"/>
          <w:highlight w:val="none"/>
          <w:lang w:eastAsia="zh-CN"/>
        </w:rPr>
        <w:t>每次服务完成后，服务方将提供完善的服务报告给客户方，并由客户方对服务方服务人员每次的服务给予评价；</w:t>
      </w:r>
    </w:p>
    <w:p w14:paraId="145B861B">
      <w:pPr>
        <w:rPr>
          <w:rFonts w:hint="eastAsia" w:ascii="仿宋" w:hAnsi="仿宋" w:eastAsia="仿宋" w:cs="仿宋"/>
          <w:b/>
          <w:bCs/>
          <w:highlight w:val="none"/>
          <w:lang w:eastAsia="zh-CN"/>
        </w:rPr>
      </w:pPr>
      <w:r>
        <w:rPr>
          <w:rFonts w:hint="eastAsia" w:ascii="仿宋" w:hAnsi="仿宋" w:eastAsia="仿宋" w:cs="仿宋"/>
          <w:b/>
          <w:bCs/>
          <w:highlight w:val="none"/>
          <w:lang w:eastAsia="zh-CN"/>
        </w:rPr>
        <w:t>第四条</w:t>
      </w:r>
      <w:r>
        <w:rPr>
          <w:rFonts w:hint="eastAsia" w:ascii="仿宋" w:hAnsi="仿宋" w:eastAsia="仿宋" w:cs="仿宋"/>
          <w:b/>
          <w:bCs/>
          <w:highlight w:val="none"/>
          <w:lang w:val="en-US" w:eastAsia="zh-CN"/>
        </w:rPr>
        <w:t xml:space="preserve"> 后期</w:t>
      </w:r>
      <w:r>
        <w:rPr>
          <w:rFonts w:hint="eastAsia" w:ascii="仿宋" w:hAnsi="仿宋" w:eastAsia="仿宋" w:cs="仿宋"/>
          <w:b/>
          <w:bCs/>
          <w:highlight w:val="none"/>
          <w:lang w:eastAsia="zh-CN"/>
        </w:rPr>
        <w:t>服务</w:t>
      </w:r>
    </w:p>
    <w:p w14:paraId="3933BF86">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后期</w:t>
      </w:r>
      <w:r>
        <w:rPr>
          <w:rFonts w:hint="eastAsia" w:ascii="仿宋" w:hAnsi="仿宋" w:eastAsia="仿宋" w:cs="仿宋"/>
          <w:highlight w:val="none"/>
          <w:lang w:eastAsia="zh-CN"/>
        </w:rPr>
        <w:t>服务标准：</w:t>
      </w:r>
    </w:p>
    <w:p w14:paraId="5D9E725D">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1)</w:t>
      </w:r>
      <w:r>
        <w:rPr>
          <w:rFonts w:hint="eastAsia" w:ascii="仿宋" w:hAnsi="仿宋" w:eastAsia="仿宋" w:cs="仿宋"/>
          <w:highlight w:val="none"/>
          <w:lang w:eastAsia="zh-CN"/>
        </w:rPr>
        <w:t>鼠药的更换基准：脏、失效、被食、潮湿霉变情况下每次服务时需及时更换； 完整的药饵不脏、不失效的情况下按照检查频次要求更换；</w:t>
      </w:r>
    </w:p>
    <w:p w14:paraId="03B1E29A">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2)</w:t>
      </w:r>
      <w:r>
        <w:rPr>
          <w:rFonts w:hint="eastAsia" w:ascii="仿宋" w:hAnsi="仿宋" w:eastAsia="仿宋" w:cs="仿宋"/>
          <w:highlight w:val="none"/>
          <w:lang w:eastAsia="zh-CN"/>
        </w:rPr>
        <w:t>捕蝇灯粘纸的更换基准：捕蝇灯粘纸粘虫面积达到 2/3 则需更换。若浸湿、灰尘多、粘度不够等现象也应进行更换；</w:t>
      </w:r>
    </w:p>
    <w:p w14:paraId="3716AA88">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3)</w:t>
      </w:r>
      <w:r>
        <w:rPr>
          <w:rFonts w:hint="eastAsia" w:ascii="仿宋" w:hAnsi="仿宋" w:eastAsia="仿宋" w:cs="仿宋"/>
          <w:highlight w:val="none"/>
          <w:lang w:eastAsia="zh-CN"/>
        </w:rPr>
        <w:t>杀虫剂的选择：必须符合食品企业相关要求、符合标准及法规要求。若使用违规药剂，造成食品污染或审核不通过，则一切后果由虫害公司承担。</w:t>
      </w:r>
    </w:p>
    <w:p w14:paraId="42A74850">
      <w:pPr>
        <w:rPr>
          <w:rFonts w:hint="eastAsia" w:ascii="仿宋" w:hAnsi="仿宋" w:eastAsia="仿宋" w:cs="仿宋"/>
          <w:b/>
          <w:bCs/>
          <w:highlight w:val="none"/>
          <w:lang w:eastAsia="zh-CN"/>
        </w:rPr>
      </w:pPr>
      <w:r>
        <w:rPr>
          <w:rFonts w:hint="eastAsia" w:ascii="仿宋" w:hAnsi="仿宋" w:eastAsia="仿宋" w:cs="仿宋"/>
          <w:b/>
          <w:bCs/>
          <w:highlight w:val="none"/>
          <w:lang w:eastAsia="zh-CN"/>
        </w:rPr>
        <w:t>第五条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价款和支付方式</w:t>
      </w:r>
    </w:p>
    <w:p w14:paraId="268E0EA3">
      <w:pPr>
        <w:ind w:firstLine="480" w:firstLineChars="200"/>
        <w:rPr>
          <w:rFonts w:hint="eastAsia" w:ascii="仿宋" w:hAnsi="仿宋" w:eastAsia="仿宋" w:cs="仿宋"/>
          <w:highlight w:val="none"/>
          <w:lang w:eastAsia="zh-CN"/>
        </w:rPr>
      </w:pPr>
      <w:r>
        <w:rPr>
          <w:rFonts w:hint="eastAsia" w:ascii="仿宋" w:hAnsi="仿宋" w:eastAsia="仿宋" w:cs="仿宋"/>
          <w:highlight w:val="yellow"/>
          <w:lang w:eastAsia="zh-CN"/>
        </w:rPr>
        <w:t>5.1合同总价：￥</w:t>
      </w:r>
      <w:r>
        <w:rPr>
          <w:rFonts w:hint="eastAsia" w:ascii="仿宋" w:hAnsi="仿宋" w:eastAsia="仿宋" w:cs="仿宋"/>
          <w:highlight w:val="yellow"/>
          <w:u w:val="single"/>
          <w:lang w:eastAsia="zh-CN"/>
        </w:rPr>
        <w:t xml:space="preserve">        </w:t>
      </w:r>
      <w:r>
        <w:rPr>
          <w:rFonts w:hint="eastAsia" w:ascii="仿宋" w:hAnsi="仿宋" w:eastAsia="仿宋" w:cs="仿宋"/>
          <w:highlight w:val="yellow"/>
          <w:lang w:eastAsia="zh-CN"/>
        </w:rPr>
        <w:t>元（人民币大写：</w:t>
      </w:r>
      <w:r>
        <w:rPr>
          <w:rFonts w:hint="eastAsia" w:ascii="仿宋" w:hAnsi="仿宋" w:eastAsia="仿宋" w:cs="仿宋"/>
          <w:highlight w:val="yellow"/>
          <w:u w:val="single"/>
          <w:lang w:eastAsia="zh-CN"/>
        </w:rPr>
        <w:t xml:space="preserve">           </w:t>
      </w:r>
      <w:r>
        <w:rPr>
          <w:rFonts w:hint="eastAsia" w:ascii="仿宋" w:hAnsi="仿宋" w:eastAsia="仿宋" w:cs="仿宋"/>
          <w:highlight w:val="yellow"/>
          <w:lang w:eastAsia="zh-CN"/>
        </w:rPr>
        <w:t xml:space="preserve"> ）</w:t>
      </w:r>
      <w:r>
        <w:rPr>
          <w:rFonts w:hint="eastAsia" w:ascii="仿宋" w:hAnsi="仿宋" w:eastAsia="仿宋" w:cs="仿宋"/>
          <w:highlight w:val="none"/>
          <w:lang w:eastAsia="zh-CN"/>
        </w:rPr>
        <w:t xml:space="preserve"> 。</w:t>
      </w:r>
    </w:p>
    <w:p w14:paraId="0E0A3120">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5.</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付款方式为</w:t>
      </w:r>
      <w:r>
        <w:rPr>
          <w:rFonts w:hint="eastAsia" w:ascii="仿宋" w:hAnsi="仿宋" w:eastAsia="仿宋" w:cs="仿宋"/>
          <w:highlight w:val="none"/>
          <w:u w:val="single"/>
          <w:lang w:val="en-US" w:eastAsia="zh-CN"/>
        </w:rPr>
        <w:t>季度付款</w:t>
      </w:r>
      <w:r>
        <w:rPr>
          <w:rFonts w:hint="eastAsia" w:ascii="仿宋" w:hAnsi="仿宋" w:eastAsia="仿宋" w:cs="仿宋"/>
          <w:highlight w:val="none"/>
          <w:lang w:eastAsia="zh-CN"/>
        </w:rPr>
        <w:t>。具体如下：</w:t>
      </w:r>
    </w:p>
    <w:p w14:paraId="311C65F3">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乙方在每</w:t>
      </w:r>
      <w:r>
        <w:rPr>
          <w:rFonts w:hint="eastAsia" w:ascii="仿宋" w:hAnsi="仿宋" w:eastAsia="仿宋" w:cs="仿宋"/>
          <w:highlight w:val="none"/>
          <w:lang w:val="en-US" w:eastAsia="zh-CN"/>
        </w:rPr>
        <w:t>季度服务</w:t>
      </w:r>
      <w:r>
        <w:rPr>
          <w:rFonts w:hint="eastAsia" w:ascii="仿宋" w:hAnsi="仿宋" w:eastAsia="仿宋" w:cs="仿宋"/>
          <w:highlight w:val="none"/>
          <w:lang w:eastAsia="zh-CN"/>
        </w:rPr>
        <w:t>完毕后向</w:t>
      </w:r>
      <w:r>
        <w:rPr>
          <w:rFonts w:hint="eastAsia" w:ascii="仿宋" w:hAnsi="仿宋" w:eastAsia="仿宋" w:cs="仿宋"/>
          <w:highlight w:val="yellow"/>
          <w:lang w:eastAsia="zh-CN"/>
        </w:rPr>
        <w:t>甲方提供</w:t>
      </w:r>
      <w:r>
        <w:rPr>
          <w:rFonts w:hint="eastAsia" w:ascii="仿宋" w:hAnsi="仿宋" w:eastAsia="仿宋" w:cs="仿宋"/>
          <w:highlight w:val="yellow"/>
          <w:u w:val="single"/>
          <w:lang w:eastAsia="zh-CN"/>
        </w:rPr>
        <w:t xml:space="preserve"> </w:t>
      </w:r>
      <w:r>
        <w:rPr>
          <w:rFonts w:hint="eastAsia" w:ascii="仿宋" w:hAnsi="仿宋" w:eastAsia="仿宋" w:cs="仿宋"/>
          <w:highlight w:val="yellow"/>
          <w:u w:val="single"/>
          <w:lang w:val="en-US" w:eastAsia="zh-CN"/>
        </w:rPr>
        <w:t xml:space="preserve"> </w:t>
      </w:r>
      <w:r>
        <w:rPr>
          <w:rFonts w:hint="eastAsia" w:ascii="仿宋" w:hAnsi="仿宋" w:eastAsia="仿宋" w:cs="仿宋"/>
          <w:highlight w:val="yellow"/>
          <w:u w:val="single"/>
          <w:lang w:eastAsia="zh-CN"/>
        </w:rPr>
        <w:t xml:space="preserve">  </w:t>
      </w:r>
      <w:r>
        <w:rPr>
          <w:rFonts w:hint="eastAsia" w:ascii="仿宋" w:hAnsi="仿宋" w:eastAsia="仿宋" w:cs="仿宋"/>
          <w:highlight w:val="yellow"/>
          <w:u w:val="single"/>
          <w:lang w:val="en-US" w:eastAsia="zh-CN"/>
        </w:rPr>
        <w:t>%</w:t>
      </w:r>
      <w:r>
        <w:rPr>
          <w:rFonts w:hint="eastAsia" w:ascii="仿宋" w:hAnsi="仿宋" w:eastAsia="仿宋" w:cs="仿宋"/>
          <w:highlight w:val="none"/>
          <w:lang w:eastAsia="zh-CN"/>
        </w:rPr>
        <w:t>增值税发票，甲方在收到发票后，应于1个月内以银行转账的方式支付上述校准费用。</w:t>
      </w:r>
    </w:p>
    <w:p w14:paraId="79B044B0">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以上费用为全包费用，包括全部虫鼠害防治器材、药剂等有害生物防控等费用。</w:t>
      </w:r>
      <w:r>
        <w:rPr>
          <w:rFonts w:hint="eastAsia" w:ascii="仿宋" w:hAnsi="仿宋" w:eastAsia="仿宋" w:cs="仿宋"/>
          <w:highlight w:val="none"/>
          <w:lang w:eastAsia="zh-CN"/>
        </w:rPr>
        <w:t>未经服务方事先书面同意，客户方不得以任何理由直接从服务费中扣减任何金额。</w:t>
      </w:r>
    </w:p>
    <w:p w14:paraId="47D53D3D">
      <w:pPr>
        <w:pStyle w:val="16"/>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 xml:space="preserve">5.4乙方银行信息如下：                             </w:t>
      </w:r>
    </w:p>
    <w:p w14:paraId="5A9B3935">
      <w:pPr>
        <w:pStyle w:val="16"/>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开户行：</w:t>
      </w:r>
      <w:r>
        <w:rPr>
          <w:rFonts w:hint="eastAsia" w:ascii="仿宋" w:hAnsi="仿宋" w:eastAsia="仿宋" w:cs="仿宋"/>
          <w:sz w:val="24"/>
          <w:szCs w:val="24"/>
          <w:highlight w:val="yellow"/>
          <w:u w:val="single"/>
          <w:lang w:eastAsia="zh-CN"/>
        </w:rPr>
        <w:t xml:space="preserve">                             </w:t>
      </w:r>
      <w:r>
        <w:rPr>
          <w:rFonts w:hint="eastAsia" w:ascii="仿宋" w:hAnsi="仿宋" w:eastAsia="仿宋" w:cs="仿宋"/>
          <w:sz w:val="24"/>
          <w:szCs w:val="24"/>
          <w:highlight w:val="yellow"/>
          <w:lang w:eastAsia="zh-CN"/>
        </w:rPr>
        <w:t xml:space="preserve">         </w:t>
      </w:r>
      <w:r>
        <w:rPr>
          <w:rFonts w:hint="eastAsia" w:ascii="仿宋" w:hAnsi="仿宋" w:eastAsia="仿宋" w:cs="仿宋"/>
          <w:sz w:val="24"/>
          <w:szCs w:val="24"/>
          <w:highlight w:val="yellow"/>
          <w:lang w:eastAsia="zh-CN"/>
        </w:rPr>
        <w:tab/>
      </w:r>
      <w:r>
        <w:rPr>
          <w:rFonts w:hint="eastAsia" w:ascii="仿宋" w:hAnsi="仿宋" w:eastAsia="仿宋" w:cs="仿宋"/>
          <w:sz w:val="24"/>
          <w:szCs w:val="24"/>
          <w:highlight w:val="yellow"/>
          <w:lang w:eastAsia="zh-CN"/>
        </w:rPr>
        <w:tab/>
      </w:r>
    </w:p>
    <w:p w14:paraId="0FEE7D40">
      <w:pPr>
        <w:pStyle w:val="16"/>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户名：</w:t>
      </w:r>
      <w:r>
        <w:rPr>
          <w:rFonts w:hint="eastAsia" w:ascii="仿宋" w:hAnsi="仿宋" w:eastAsia="仿宋" w:cs="仿宋"/>
          <w:sz w:val="24"/>
          <w:szCs w:val="24"/>
          <w:highlight w:val="yellow"/>
          <w:u w:val="single"/>
          <w:lang w:eastAsia="zh-CN"/>
        </w:rPr>
        <w:t xml:space="preserve">                               </w:t>
      </w:r>
      <w:r>
        <w:rPr>
          <w:rFonts w:hint="eastAsia" w:ascii="仿宋" w:hAnsi="仿宋" w:eastAsia="仿宋" w:cs="仿宋"/>
          <w:sz w:val="24"/>
          <w:szCs w:val="24"/>
          <w:highlight w:val="yellow"/>
          <w:lang w:eastAsia="zh-CN"/>
        </w:rPr>
        <w:t xml:space="preserve">         </w:t>
      </w:r>
      <w:r>
        <w:rPr>
          <w:rFonts w:hint="eastAsia" w:ascii="仿宋" w:hAnsi="仿宋" w:eastAsia="仿宋" w:cs="仿宋"/>
          <w:sz w:val="24"/>
          <w:szCs w:val="24"/>
          <w:highlight w:val="yellow"/>
          <w:lang w:eastAsia="zh-CN"/>
        </w:rPr>
        <w:tab/>
      </w:r>
      <w:r>
        <w:rPr>
          <w:rFonts w:hint="eastAsia" w:ascii="仿宋" w:hAnsi="仿宋" w:eastAsia="仿宋" w:cs="仿宋"/>
          <w:sz w:val="24"/>
          <w:szCs w:val="24"/>
          <w:highlight w:val="yellow"/>
          <w:lang w:eastAsia="zh-CN"/>
        </w:rPr>
        <w:tab/>
      </w:r>
      <w:r>
        <w:rPr>
          <w:rFonts w:hint="eastAsia" w:ascii="仿宋" w:hAnsi="仿宋" w:eastAsia="仿宋" w:cs="仿宋"/>
          <w:sz w:val="24"/>
          <w:szCs w:val="24"/>
          <w:highlight w:val="yellow"/>
          <w:lang w:eastAsia="zh-CN"/>
        </w:rPr>
        <w:tab/>
      </w:r>
    </w:p>
    <w:p w14:paraId="4B47AF4E">
      <w:pPr>
        <w:pStyle w:val="16"/>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yellow"/>
          <w:lang w:eastAsia="zh-CN"/>
        </w:rPr>
        <w:t>银行账号：</w:t>
      </w:r>
      <w:r>
        <w:rPr>
          <w:rFonts w:hint="eastAsia" w:ascii="仿宋" w:hAnsi="仿宋" w:eastAsia="仿宋" w:cs="仿宋"/>
          <w:sz w:val="24"/>
          <w:szCs w:val="24"/>
          <w:highlight w:val="yellow"/>
          <w:u w:val="single"/>
          <w:lang w:eastAsia="zh-CN"/>
        </w:rPr>
        <w:t xml:space="preserve">                           </w:t>
      </w:r>
      <w:r>
        <w:rPr>
          <w:rFonts w:hint="eastAsia" w:ascii="仿宋" w:hAnsi="仿宋" w:eastAsia="仿宋" w:cs="仿宋"/>
          <w:sz w:val="24"/>
          <w:szCs w:val="24"/>
          <w:highlight w:val="yellow"/>
          <w:lang w:eastAsia="zh-CN"/>
        </w:rPr>
        <w:t xml:space="preserve"> </w:t>
      </w:r>
      <w:r>
        <w:rPr>
          <w:rFonts w:hint="eastAsia" w:ascii="仿宋" w:hAnsi="仿宋" w:eastAsia="仿宋" w:cs="仿宋"/>
          <w:sz w:val="24"/>
          <w:szCs w:val="24"/>
          <w:highlight w:val="none"/>
          <w:lang w:eastAsia="zh-CN"/>
        </w:rPr>
        <w:t xml:space="preserve">               </w:t>
      </w:r>
    </w:p>
    <w:p w14:paraId="6F3A2270">
      <w:pPr>
        <w:pStyle w:val="36"/>
        <w:numPr>
          <w:ilvl w:val="0"/>
          <w:numId w:val="0"/>
        </w:numPr>
        <w:ind w:left="0" w:leftChars="0" w:firstLine="480" w:firstLineChars="200"/>
        <w:rPr>
          <w:rFonts w:hint="eastAsia" w:ascii="仿宋" w:hAnsi="仿宋" w:eastAsia="仿宋" w:cs="仿宋"/>
          <w:kern w:val="2"/>
          <w:sz w:val="24"/>
          <w:szCs w:val="24"/>
          <w:highlight w:val="none"/>
          <w:lang w:val="en-US" w:eastAsia="zh-CN" w:bidi="en-US"/>
        </w:rPr>
      </w:pPr>
      <w:r>
        <w:rPr>
          <w:rFonts w:hint="eastAsia" w:ascii="仿宋" w:hAnsi="仿宋" w:eastAsia="仿宋" w:cs="仿宋"/>
          <w:kern w:val="2"/>
          <w:sz w:val="24"/>
          <w:szCs w:val="24"/>
          <w:highlight w:val="none"/>
          <w:lang w:val="en-US" w:eastAsia="zh-CN" w:bidi="en-US"/>
        </w:rPr>
        <w:t>5.5支付方式:</w:t>
      </w:r>
    </w:p>
    <w:p w14:paraId="7DEA84A2">
      <w:pPr>
        <w:pStyle w:val="36"/>
        <w:numPr>
          <w:ilvl w:val="0"/>
          <w:numId w:val="0"/>
        </w:numPr>
        <w:ind w:left="0" w:leftChars="0" w:firstLine="480" w:firstLineChars="200"/>
        <w:rPr>
          <w:rFonts w:hint="eastAsia" w:ascii="仿宋" w:hAnsi="仿宋" w:eastAsia="仿宋" w:cs="仿宋"/>
          <w:kern w:val="2"/>
          <w:sz w:val="24"/>
          <w:szCs w:val="24"/>
          <w:highlight w:val="none"/>
          <w:lang w:val="en-US" w:eastAsia="zh-CN" w:bidi="en-US"/>
        </w:rPr>
      </w:pPr>
      <w:r>
        <w:rPr>
          <w:rFonts w:hint="eastAsia" w:ascii="仿宋" w:hAnsi="仿宋" w:eastAsia="仿宋" w:cs="仿宋"/>
          <w:kern w:val="2"/>
          <w:sz w:val="24"/>
          <w:szCs w:val="24"/>
          <w:highlight w:val="none"/>
          <w:lang w:val="en-US" w:eastAsia="zh-CN" w:bidi="en-US"/>
        </w:rPr>
        <w:t>5.5.1合同签订后每三个月结算一次费用，</w:t>
      </w:r>
      <w:r>
        <w:rPr>
          <w:rFonts w:hint="eastAsia" w:ascii="仿宋" w:hAnsi="仿宋" w:eastAsia="仿宋" w:cs="仿宋"/>
          <w:kern w:val="2"/>
          <w:sz w:val="24"/>
          <w:szCs w:val="24"/>
          <w:highlight w:val="yellow"/>
          <w:lang w:val="en-US" w:eastAsia="zh-CN" w:bidi="en-US"/>
        </w:rPr>
        <w:t>结算费用为总金额的25%</w:t>
      </w:r>
      <w:r>
        <w:rPr>
          <w:rFonts w:hint="eastAsia" w:ascii="仿宋" w:hAnsi="仿宋" w:eastAsia="仿宋" w:cs="仿宋"/>
          <w:kern w:val="2"/>
          <w:sz w:val="24"/>
          <w:szCs w:val="24"/>
          <w:highlight w:val="none"/>
          <w:lang w:val="en-US" w:eastAsia="zh-CN" w:bidi="en-US"/>
        </w:rPr>
        <w:t>。。</w:t>
      </w:r>
    </w:p>
    <w:p w14:paraId="01AB7734">
      <w:pPr>
        <w:pStyle w:val="36"/>
        <w:numPr>
          <w:ilvl w:val="0"/>
          <w:numId w:val="0"/>
        </w:numPr>
        <w:ind w:left="0" w:leftChars="0" w:firstLine="480" w:firstLineChars="200"/>
        <w:rPr>
          <w:rFonts w:hint="eastAsia" w:ascii="仿宋" w:hAnsi="仿宋" w:eastAsia="仿宋" w:cs="仿宋"/>
          <w:highlight w:val="none"/>
          <w:lang w:eastAsia="zh-CN"/>
        </w:rPr>
      </w:pPr>
      <w:r>
        <w:rPr>
          <w:rFonts w:hint="eastAsia" w:ascii="仿宋" w:hAnsi="仿宋" w:eastAsia="仿宋" w:cs="仿宋"/>
          <w:kern w:val="2"/>
          <w:sz w:val="24"/>
          <w:szCs w:val="24"/>
          <w:highlight w:val="none"/>
          <w:lang w:val="en-US" w:eastAsia="zh-CN" w:bidi="en-US"/>
        </w:rPr>
        <w:t>5.5.2乙方开具税率</w:t>
      </w:r>
      <w:r>
        <w:rPr>
          <w:rFonts w:hint="eastAsia" w:ascii="仿宋" w:hAnsi="仿宋" w:eastAsia="仿宋" w:cs="仿宋"/>
          <w:kern w:val="2"/>
          <w:sz w:val="24"/>
          <w:szCs w:val="24"/>
          <w:highlight w:val="yellow"/>
          <w:lang w:val="en-US" w:eastAsia="zh-CN" w:bidi="en-US"/>
        </w:rPr>
        <w:t>为</w:t>
      </w:r>
      <w:r>
        <w:rPr>
          <w:rFonts w:hint="eastAsia" w:ascii="仿宋" w:hAnsi="仿宋" w:eastAsia="仿宋" w:cs="仿宋"/>
          <w:kern w:val="2"/>
          <w:sz w:val="24"/>
          <w:szCs w:val="24"/>
          <w:highlight w:val="yellow"/>
          <w:u w:val="single"/>
          <w:lang w:val="en-US" w:eastAsia="zh-CN" w:bidi="en-US"/>
        </w:rPr>
        <w:t xml:space="preserve">     </w:t>
      </w:r>
      <w:r>
        <w:rPr>
          <w:rFonts w:hint="eastAsia" w:ascii="仿宋" w:hAnsi="仿宋" w:eastAsia="仿宋" w:cs="仿宋"/>
          <w:kern w:val="2"/>
          <w:sz w:val="24"/>
          <w:szCs w:val="24"/>
          <w:highlight w:val="yellow"/>
          <w:lang w:val="en-US" w:eastAsia="zh-CN" w:bidi="en-US"/>
        </w:rPr>
        <w:t>%</w:t>
      </w:r>
      <w:r>
        <w:rPr>
          <w:rFonts w:hint="eastAsia" w:ascii="仿宋" w:hAnsi="仿宋" w:eastAsia="仿宋" w:cs="仿宋"/>
          <w:kern w:val="2"/>
          <w:sz w:val="24"/>
          <w:szCs w:val="24"/>
          <w:highlight w:val="none"/>
          <w:lang w:val="en-US" w:eastAsia="zh-CN" w:bidi="en-US"/>
        </w:rPr>
        <w:t xml:space="preserve">的增值税专用发票，甲方收到发票后根据结算方式规定结算服务费用。因乙方开具发票原因造成的甲方损失，由乙方全部承担，如遇国家财政政策调整，本合同含税价做相应调整。 </w:t>
      </w:r>
      <w:r>
        <w:rPr>
          <w:rFonts w:hint="eastAsia" w:ascii="仿宋" w:hAnsi="仿宋" w:eastAsia="仿宋" w:cs="仿宋"/>
          <w:sz w:val="24"/>
          <w:szCs w:val="24"/>
          <w:highlight w:val="none"/>
          <w:lang w:val="en-US" w:eastAsia="zh-CN" w:bidi="en-US"/>
        </w:rPr>
        <w:t xml:space="preserve"> </w:t>
      </w:r>
      <w:r>
        <w:rPr>
          <w:rFonts w:hint="eastAsia" w:ascii="仿宋" w:hAnsi="仿宋" w:eastAsia="仿宋" w:cs="仿宋"/>
          <w:kern w:val="2"/>
          <w:sz w:val="24"/>
          <w:szCs w:val="24"/>
          <w:highlight w:val="none"/>
          <w:lang w:val="en-US" w:eastAsia="zh-CN" w:bidi="en-US"/>
        </w:rPr>
        <w:t xml:space="preserve">   </w:t>
      </w:r>
      <w:r>
        <w:rPr>
          <w:rFonts w:hint="eastAsia" w:ascii="仿宋" w:hAnsi="仿宋" w:eastAsia="仿宋" w:cs="仿宋"/>
          <w:highlight w:val="none"/>
          <w:lang w:eastAsia="zh-CN"/>
        </w:rPr>
        <w:t xml:space="preserve">               </w:t>
      </w:r>
    </w:p>
    <w:p w14:paraId="61AD39DA">
      <w:pPr>
        <w:rPr>
          <w:rFonts w:hint="eastAsia" w:ascii="仿宋" w:hAnsi="仿宋" w:eastAsia="仿宋" w:cs="仿宋"/>
          <w:b/>
          <w:bCs/>
          <w:highlight w:val="none"/>
          <w:lang w:eastAsia="zh-CN"/>
        </w:rPr>
      </w:pPr>
      <w:r>
        <w:rPr>
          <w:rFonts w:hint="eastAsia" w:ascii="仿宋" w:hAnsi="仿宋" w:eastAsia="仿宋" w:cs="仿宋"/>
          <w:b/>
          <w:bCs/>
          <w:highlight w:val="none"/>
          <w:lang w:eastAsia="zh-CN"/>
        </w:rPr>
        <w:t>第</w:t>
      </w:r>
      <w:r>
        <w:rPr>
          <w:rFonts w:hint="eastAsia" w:ascii="仿宋" w:hAnsi="仿宋" w:eastAsia="仿宋" w:cs="仿宋"/>
          <w:b/>
          <w:bCs/>
          <w:highlight w:val="none"/>
          <w:lang w:val="en-US" w:eastAsia="zh-CN"/>
        </w:rPr>
        <w:t>六</w:t>
      </w:r>
      <w:r>
        <w:rPr>
          <w:rFonts w:hint="eastAsia" w:ascii="仿宋" w:hAnsi="仿宋" w:eastAsia="仿宋" w:cs="仿宋"/>
          <w:b/>
          <w:bCs/>
          <w:highlight w:val="none"/>
          <w:lang w:eastAsia="zh-CN"/>
        </w:rPr>
        <w:t>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双方的权利与义务</w:t>
      </w:r>
    </w:p>
    <w:p w14:paraId="7F59D149">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6.</w:t>
      </w:r>
      <w:r>
        <w:rPr>
          <w:rFonts w:hint="eastAsia" w:ascii="仿宋" w:hAnsi="仿宋" w:eastAsia="仿宋" w:cs="仿宋"/>
          <w:highlight w:val="none"/>
          <w:lang w:eastAsia="zh-CN"/>
        </w:rPr>
        <w:t>1乙方应为甲方所提供的技术情报和资料及非正式出版物等承担保密义务。</w:t>
      </w:r>
    </w:p>
    <w:p w14:paraId="44BBCA78">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6.</w:t>
      </w:r>
      <w:r>
        <w:rPr>
          <w:rFonts w:hint="eastAsia" w:ascii="仿宋" w:hAnsi="仿宋" w:eastAsia="仿宋" w:cs="仿宋"/>
          <w:highlight w:val="none"/>
          <w:lang w:eastAsia="zh-CN"/>
        </w:rPr>
        <w:t>2未经对方书面许可，任何一方不得向第三方泄露本合同的如下内容：合作范围、内容、方式、费用；双方权利、责任；争议处理的方式。</w:t>
      </w:r>
    </w:p>
    <w:p w14:paraId="6C1636AC">
      <w:pPr>
        <w:ind w:firstLine="480" w:firstLineChars="200"/>
        <w:rPr>
          <w:rFonts w:hint="eastAsia" w:ascii="仿宋" w:hAnsi="仿宋" w:eastAsia="仿宋" w:cs="仿宋"/>
          <w:highlight w:val="none"/>
          <w:lang w:val="en-US" w:eastAsia="zh-CN"/>
        </w:rPr>
      </w:pPr>
      <w:bookmarkStart w:id="7" w:name="OLE_LINK85"/>
      <w:bookmarkStart w:id="8" w:name="OLE_LINK84"/>
      <w:r>
        <w:rPr>
          <w:rFonts w:hint="eastAsia" w:ascii="仿宋" w:hAnsi="仿宋" w:eastAsia="仿宋" w:cs="仿宋"/>
          <w:highlight w:val="none"/>
          <w:lang w:val="en-US" w:eastAsia="zh-CN"/>
        </w:rPr>
        <w:t>6.3在客户方正常的清洁及食品安全的流程下，为显示虫害预防的重要性，服务方承诺所提供的服务有以下的保证：</w:t>
      </w:r>
    </w:p>
    <w:p w14:paraId="55805369">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6.3.1服务方保证，在服务区域内的建筑的内部消除老鼠筑巢或蟑螂大量繁殖的情形，此项保证不涉及建筑的外部；</w:t>
      </w:r>
    </w:p>
    <w:p w14:paraId="40F4E2C8">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6.3.2如果有目标有害生物出现，服务方将在收到客户方提供的信息后的24小时内做出反馈，并免费提供以消除现有的有害生物（但不包括处理结束后再入侵的有害生物）为主要目的之现场处理；</w:t>
      </w:r>
    </w:p>
    <w:p w14:paraId="6608A801">
      <w:pPr>
        <w:ind w:firstLine="480" w:firstLineChars="200"/>
        <w:rPr>
          <w:rFonts w:hint="eastAsia" w:ascii="仿宋" w:hAnsi="仿宋" w:eastAsia="仿宋" w:cs="仿宋"/>
          <w:highlight w:val="none"/>
          <w:lang w:val="en-US" w:eastAsia="zh-CN"/>
        </w:rPr>
      </w:pPr>
      <w:bookmarkStart w:id="9" w:name="OLE_LINK29"/>
      <w:bookmarkStart w:id="10" w:name="OLE_LINK28"/>
      <w:r>
        <w:rPr>
          <w:rFonts w:hint="eastAsia" w:ascii="仿宋" w:hAnsi="仿宋" w:eastAsia="仿宋" w:cs="仿宋"/>
          <w:highlight w:val="none"/>
          <w:lang w:val="en-US" w:eastAsia="zh-CN"/>
        </w:rPr>
        <w:t>6.3.3服务方保证以上服务内容中的各项服务将依据其专业技能、专业经验以及良好的服务态度提供；</w:t>
      </w:r>
    </w:p>
    <w:bookmarkEnd w:id="9"/>
    <w:bookmarkEnd w:id="10"/>
    <w:p w14:paraId="0AC92AF9">
      <w:pPr>
        <w:ind w:firstLine="480" w:firstLineChars="200"/>
        <w:rPr>
          <w:rFonts w:hint="eastAsia" w:ascii="仿宋" w:hAnsi="仿宋" w:eastAsia="仿宋" w:cs="仿宋"/>
          <w:highlight w:val="none"/>
          <w:lang w:val="en-US" w:eastAsia="zh-CN"/>
        </w:rPr>
      </w:pPr>
      <w:r>
        <w:rPr>
          <w:rFonts w:hint="default" w:ascii="仿宋" w:hAnsi="仿宋" w:eastAsia="仿宋" w:cs="仿宋"/>
          <w:highlight w:val="none"/>
          <w:lang w:val="en-US" w:eastAsia="zh-CN"/>
        </w:rPr>
        <w:t>1）</w:t>
      </w:r>
      <w:r>
        <w:rPr>
          <w:rFonts w:hint="eastAsia" w:ascii="仿宋" w:hAnsi="仿宋" w:eastAsia="仿宋" w:cs="仿宋"/>
          <w:highlight w:val="none"/>
          <w:lang w:val="en-US" w:eastAsia="zh-CN"/>
        </w:rPr>
        <w:t>如果客户方的付款未符合合约约定，则客户将相应推迟享有本协议约定权利；</w:t>
      </w:r>
    </w:p>
    <w:p w14:paraId="4E093E0C">
      <w:pPr>
        <w:ind w:firstLine="480" w:firstLineChars="200"/>
        <w:rPr>
          <w:rFonts w:hint="eastAsia" w:ascii="仿宋" w:hAnsi="仿宋" w:eastAsia="仿宋" w:cs="仿宋"/>
          <w:highlight w:val="none"/>
          <w:lang w:val="en-US" w:eastAsia="zh-CN"/>
        </w:rPr>
      </w:pPr>
      <w:r>
        <w:rPr>
          <w:rFonts w:hint="default" w:ascii="仿宋" w:hAnsi="仿宋" w:eastAsia="仿宋" w:cs="仿宋"/>
          <w:highlight w:val="none"/>
          <w:lang w:val="en-US" w:eastAsia="zh-CN"/>
        </w:rPr>
        <w:t>2）</w:t>
      </w:r>
      <w:r>
        <w:rPr>
          <w:rFonts w:hint="eastAsia" w:ascii="仿宋" w:hAnsi="仿宋" w:eastAsia="仿宋" w:cs="仿宋"/>
          <w:highlight w:val="none"/>
          <w:lang w:val="en-US" w:eastAsia="zh-CN"/>
        </w:rPr>
        <w:t>作为卫生协作关系的双方，客户方的紧密合作与配合工作将是本协议保证条款实施的基础；</w:t>
      </w:r>
    </w:p>
    <w:p w14:paraId="7F9A3991">
      <w:pPr>
        <w:ind w:firstLine="480" w:firstLineChars="200"/>
        <w:rPr>
          <w:rFonts w:hint="eastAsia" w:ascii="仿宋" w:hAnsi="仿宋" w:eastAsia="仿宋" w:cs="仿宋"/>
          <w:highlight w:val="none"/>
          <w:lang w:eastAsia="zh-CN"/>
        </w:rPr>
      </w:pPr>
      <w:r>
        <w:rPr>
          <w:rFonts w:hint="default" w:ascii="仿宋" w:hAnsi="仿宋" w:eastAsia="仿宋" w:cs="仿宋"/>
          <w:highlight w:val="none"/>
          <w:lang w:val="en-US" w:eastAsia="zh-CN"/>
        </w:rPr>
        <w:t>3）</w:t>
      </w:r>
      <w:r>
        <w:rPr>
          <w:rFonts w:hint="eastAsia" w:ascii="仿宋" w:hAnsi="仿宋" w:eastAsia="仿宋" w:cs="仿宋"/>
          <w:highlight w:val="yellow"/>
          <w:lang w:val="en-US" w:eastAsia="zh-CN"/>
        </w:rPr>
        <w:t>因客户方原实施方案而使用的一些设施，包括鼠控诱饵站140个、机械式捕鼠器50个、捕蝇灯48台、粘鼠板73块、飞蛾信息素2个，</w:t>
      </w:r>
      <w:r>
        <w:rPr>
          <w:rFonts w:hint="eastAsia" w:ascii="仿宋" w:hAnsi="仿宋" w:eastAsia="仿宋" w:cs="仿宋"/>
          <w:highlight w:val="none"/>
          <w:lang w:val="en-US" w:eastAsia="zh-CN"/>
        </w:rPr>
        <w:t>属于服务方所有。在合约期内，客户方不得自行拆除、移动、变卖或以任何方式进行处置；若本协议终止，或任何一方歇业、倒闭，所有现场设施均应无条件归还服务方，且客户方在此不可撤销地放弃针对这些服务因、不可抗力导致的虫害防治效果不佳，不在本协议保证范围内；</w:t>
      </w:r>
      <w:bookmarkEnd w:id="7"/>
      <w:bookmarkEnd w:id="8"/>
    </w:p>
    <w:p w14:paraId="4937428A">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6.</w:t>
      </w:r>
      <w:r>
        <w:rPr>
          <w:rFonts w:hint="eastAsia" w:ascii="仿宋" w:hAnsi="仿宋" w:eastAsia="仿宋" w:cs="仿宋"/>
          <w:highlight w:val="none"/>
          <w:lang w:eastAsia="zh-CN"/>
        </w:rPr>
        <w:t>4一旦一方泄密，则泄密方须承担相应的经济和法律责任。</w:t>
      </w:r>
    </w:p>
    <w:p w14:paraId="207DEC9D">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6.5在协议期内，如果服务方的服务不符合与客户方已经约定好的要求，客户方有权向服务方发出书面通知，服务方应在接到客户方书面通知后30日内进行改进；如果届时令客户方不满意的情况还没有得到改进，客户方可以保留取消合约的权利；</w:t>
      </w:r>
    </w:p>
    <w:p w14:paraId="51B258FD">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6.6在协议期内，如果客户方在协议约定的“控制的目标有害生物”范围内，因虫害危害需紧急服务，服务方应在48小时内到位并进行处理；</w:t>
      </w:r>
    </w:p>
    <w:p w14:paraId="498A44BA">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6.7如果服务因天气原因或其他特殊原因不能如期完成，服务方需同客户方协商，在获得客户方书面同意后另行尽快安排服务时间；</w:t>
      </w:r>
    </w:p>
    <w:p w14:paraId="6E80AE9C">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6.8如果客户方因故欲更改/取消已商定的服务时间，客户方应至少提前48小时通知服务方，另行商定服务时间；</w:t>
      </w:r>
    </w:p>
    <w:p w14:paraId="338FF3CF">
      <w:pPr>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 xml:space="preserve">6.9服务方执行服务任务时，使用的物料及采取的方法将依照本地适用的法律法规； </w:t>
      </w:r>
    </w:p>
    <w:p w14:paraId="7EF2C8CE">
      <w:pPr>
        <w:rPr>
          <w:rFonts w:hint="default" w:ascii="仿宋" w:hAnsi="仿宋" w:eastAsia="仿宋" w:cs="仿宋"/>
          <w:b/>
          <w:bCs/>
          <w:highlight w:val="none"/>
          <w:lang w:val="en-US" w:eastAsia="zh-CN"/>
        </w:rPr>
      </w:pPr>
      <w:r>
        <w:rPr>
          <w:rFonts w:hint="eastAsia" w:ascii="仿宋" w:hAnsi="仿宋" w:eastAsia="仿宋" w:cs="仿宋"/>
          <w:b/>
          <w:bCs/>
          <w:highlight w:val="none"/>
          <w:lang w:eastAsia="zh-CN"/>
        </w:rPr>
        <w:t>第</w:t>
      </w:r>
      <w:r>
        <w:rPr>
          <w:rFonts w:hint="eastAsia" w:ascii="仿宋" w:hAnsi="仿宋" w:eastAsia="仿宋" w:cs="仿宋"/>
          <w:b/>
          <w:bCs/>
          <w:highlight w:val="none"/>
          <w:lang w:val="en-US" w:eastAsia="zh-CN"/>
        </w:rPr>
        <w:t>七</w:t>
      </w:r>
      <w:r>
        <w:rPr>
          <w:rFonts w:hint="eastAsia" w:ascii="仿宋" w:hAnsi="仿宋" w:eastAsia="仿宋" w:cs="仿宋"/>
          <w:b/>
          <w:bCs/>
          <w:highlight w:val="none"/>
          <w:lang w:eastAsia="zh-CN"/>
        </w:rPr>
        <w:t>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不可抗力</w:t>
      </w:r>
      <w:r>
        <w:rPr>
          <w:rFonts w:hint="eastAsia" w:ascii="仿宋" w:hAnsi="仿宋" w:eastAsia="仿宋" w:cs="仿宋"/>
          <w:b/>
          <w:bCs/>
          <w:highlight w:val="none"/>
          <w:lang w:val="en-US" w:eastAsia="zh-CN"/>
        </w:rPr>
        <w:t>因素</w:t>
      </w:r>
    </w:p>
    <w:p w14:paraId="430E8CBC">
      <w:pPr>
        <w:tabs>
          <w:tab w:val="left" w:pos="4396"/>
        </w:tabs>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任何一方由于不可抗力的原因不能履行合同时，甲乙双方可进行协商，允许延期履行、部分履行或者不履行合同，并根据情况可部分或全部免于承担违约责任。</w:t>
      </w:r>
    </w:p>
    <w:p w14:paraId="664EB605">
      <w:pPr>
        <w:rPr>
          <w:rFonts w:hint="eastAsia" w:ascii="仿宋" w:hAnsi="仿宋" w:eastAsia="仿宋" w:cs="仿宋"/>
          <w:b/>
          <w:bCs/>
          <w:highlight w:val="none"/>
          <w:lang w:eastAsia="zh-CN"/>
        </w:rPr>
      </w:pPr>
      <w:r>
        <w:rPr>
          <w:rFonts w:hint="eastAsia" w:ascii="仿宋" w:hAnsi="仿宋" w:eastAsia="仿宋" w:cs="仿宋"/>
          <w:b/>
          <w:bCs/>
          <w:highlight w:val="none"/>
          <w:lang w:eastAsia="zh-CN"/>
        </w:rPr>
        <w:t>第</w:t>
      </w:r>
      <w:r>
        <w:rPr>
          <w:rFonts w:hint="eastAsia" w:ascii="仿宋" w:hAnsi="仿宋" w:eastAsia="仿宋" w:cs="仿宋"/>
          <w:b/>
          <w:bCs/>
          <w:highlight w:val="none"/>
          <w:lang w:val="en-US" w:eastAsia="zh-CN"/>
        </w:rPr>
        <w:t>八</w:t>
      </w:r>
      <w:r>
        <w:rPr>
          <w:rFonts w:hint="eastAsia" w:ascii="仿宋" w:hAnsi="仿宋" w:eastAsia="仿宋" w:cs="仿宋"/>
          <w:b/>
          <w:bCs/>
          <w:highlight w:val="none"/>
          <w:lang w:eastAsia="zh-CN"/>
        </w:rPr>
        <w:t>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合同的生效</w:t>
      </w:r>
    </w:p>
    <w:p w14:paraId="6EFBA8F0">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lang w:eastAsia="zh-CN"/>
        </w:rPr>
        <w:t>1本合同自双方单位盖章</w:t>
      </w:r>
      <w:r>
        <w:rPr>
          <w:rFonts w:hint="eastAsia" w:ascii="仿宋" w:hAnsi="仿宋" w:eastAsia="仿宋" w:cs="仿宋"/>
          <w:highlight w:val="none"/>
          <w:lang w:val="en-US" w:eastAsia="zh-CN"/>
        </w:rPr>
        <w:t>后</w:t>
      </w:r>
      <w:r>
        <w:rPr>
          <w:rFonts w:hint="eastAsia" w:ascii="仿宋" w:hAnsi="仿宋" w:eastAsia="仿宋" w:cs="仿宋"/>
          <w:highlight w:val="none"/>
          <w:lang w:eastAsia="zh-CN"/>
        </w:rPr>
        <w:t>生效，有效期</w:t>
      </w:r>
      <w:r>
        <w:rPr>
          <w:rFonts w:hint="eastAsia" w:ascii="仿宋" w:hAnsi="仿宋" w:eastAsia="仿宋" w:cs="仿宋"/>
          <w:highlight w:val="yellow"/>
          <w:lang w:eastAsia="zh-CN"/>
        </w:rPr>
        <w:t>限为</w:t>
      </w:r>
      <w:r>
        <w:rPr>
          <w:rFonts w:hint="eastAsia" w:ascii="仿宋" w:hAnsi="仿宋" w:eastAsia="仿宋" w:cs="仿宋"/>
          <w:highlight w:val="yellow"/>
          <w:u w:val="single"/>
          <w:lang w:val="en-US" w:eastAsia="zh-CN"/>
        </w:rPr>
        <w:t xml:space="preserve"> 壹 </w:t>
      </w:r>
      <w:r>
        <w:rPr>
          <w:rFonts w:hint="eastAsia" w:ascii="仿宋" w:hAnsi="仿宋" w:eastAsia="仿宋" w:cs="仿宋"/>
          <w:highlight w:val="none"/>
          <w:lang w:eastAsia="zh-CN"/>
        </w:rPr>
        <w:t>年。有效期满后，若双方未声明修改或取消本合同，则本合同继续有效，双方继续按照本合同内容续签及实施。</w:t>
      </w:r>
    </w:p>
    <w:p w14:paraId="2C021F4D">
      <w:pPr>
        <w:ind w:firstLine="480" w:firstLineChars="200"/>
        <w:rPr>
          <w:rFonts w:hint="eastAsia" w:ascii="仿宋" w:hAnsi="仿宋" w:eastAsia="仿宋" w:cs="仿宋"/>
          <w:lang w:eastAsia="zh-CN"/>
        </w:rPr>
      </w:pPr>
      <w:r>
        <w:rPr>
          <w:rFonts w:hint="eastAsia" w:ascii="仿宋" w:hAnsi="仿宋" w:eastAsia="仿宋" w:cs="仿宋"/>
          <w:highlight w:val="none"/>
          <w:lang w:val="en-US" w:eastAsia="zh-CN"/>
        </w:rPr>
        <w:t>8.2</w:t>
      </w:r>
      <w:r>
        <w:rPr>
          <w:rFonts w:hint="eastAsia" w:ascii="仿宋" w:hAnsi="仿宋" w:eastAsia="仿宋" w:cs="仿宋"/>
          <w:highlight w:val="none"/>
          <w:lang w:eastAsia="zh-CN"/>
        </w:rPr>
        <w:t>有关本合同条款的修改、补充</w:t>
      </w:r>
      <w:r>
        <w:rPr>
          <w:rFonts w:hint="eastAsia" w:ascii="仿宋" w:hAnsi="仿宋" w:eastAsia="仿宋" w:cs="仿宋"/>
          <w:lang w:eastAsia="zh-CN"/>
        </w:rPr>
        <w:t>和变更，均应以书面形式进行，经双方盖章后生效；由此形成的补充协议作为本合同的附件，与原合同具有相同法律效力。</w:t>
      </w:r>
    </w:p>
    <w:p w14:paraId="69E63203">
      <w:pPr>
        <w:ind w:firstLine="480" w:firstLineChars="200"/>
        <w:rPr>
          <w:rFonts w:hint="eastAsia" w:ascii="仿宋" w:hAnsi="仿宋" w:eastAsia="仿宋" w:cs="仿宋"/>
          <w:lang w:eastAsia="zh-CN"/>
        </w:rPr>
      </w:pPr>
      <w:r>
        <w:rPr>
          <w:rFonts w:hint="eastAsia" w:ascii="仿宋" w:hAnsi="仿宋" w:eastAsia="仿宋" w:cs="仿宋"/>
          <w:lang w:val="en-US" w:eastAsia="zh-CN"/>
        </w:rPr>
        <w:t>8.3</w:t>
      </w:r>
      <w:r>
        <w:rPr>
          <w:rFonts w:hint="eastAsia" w:ascii="仿宋" w:hAnsi="仿宋" w:eastAsia="仿宋" w:cs="仿宋"/>
          <w:lang w:eastAsia="zh-CN"/>
        </w:rPr>
        <w:t>本合同自双方盖章后生效。本合同一</w:t>
      </w:r>
      <w:r>
        <w:rPr>
          <w:rFonts w:hint="eastAsia" w:ascii="仿宋" w:hAnsi="仿宋" w:eastAsia="仿宋" w:cs="仿宋"/>
          <w:highlight w:val="yellow"/>
          <w:lang w:eastAsia="zh-CN"/>
        </w:rPr>
        <w:t>式</w:t>
      </w:r>
      <w:r>
        <w:rPr>
          <w:rFonts w:hint="eastAsia" w:ascii="仿宋" w:hAnsi="仿宋" w:eastAsia="仿宋" w:cs="仿宋"/>
          <w:highlight w:val="yellow"/>
          <w:u w:val="single"/>
          <w:lang w:val="en-US" w:eastAsia="zh-CN"/>
        </w:rPr>
        <w:t xml:space="preserve"> 贰 </w:t>
      </w:r>
      <w:r>
        <w:rPr>
          <w:rFonts w:hint="eastAsia" w:ascii="仿宋" w:hAnsi="仿宋" w:eastAsia="仿宋" w:cs="仿宋"/>
          <w:highlight w:val="yellow"/>
          <w:u w:val="none"/>
          <w:lang w:eastAsia="zh-CN"/>
        </w:rPr>
        <w:t>份</w:t>
      </w:r>
      <w:r>
        <w:rPr>
          <w:rFonts w:hint="eastAsia" w:ascii="仿宋" w:hAnsi="仿宋" w:eastAsia="仿宋" w:cs="仿宋"/>
          <w:highlight w:val="yellow"/>
          <w:lang w:eastAsia="zh-CN"/>
        </w:rPr>
        <w:t>，甲方执</w:t>
      </w:r>
      <w:r>
        <w:rPr>
          <w:rFonts w:hint="eastAsia" w:ascii="仿宋" w:hAnsi="仿宋" w:eastAsia="仿宋" w:cs="仿宋"/>
          <w:highlight w:val="yellow"/>
          <w:u w:val="single"/>
          <w:lang w:val="en-US" w:eastAsia="zh-CN"/>
        </w:rPr>
        <w:t xml:space="preserve"> 壹 </w:t>
      </w:r>
      <w:r>
        <w:rPr>
          <w:rFonts w:hint="eastAsia" w:ascii="仿宋" w:hAnsi="仿宋" w:eastAsia="仿宋" w:cs="仿宋"/>
          <w:highlight w:val="yellow"/>
          <w:u w:val="single"/>
          <w:lang w:eastAsia="zh-CN"/>
        </w:rPr>
        <w:t>份</w:t>
      </w:r>
      <w:r>
        <w:rPr>
          <w:rFonts w:hint="eastAsia" w:ascii="仿宋" w:hAnsi="仿宋" w:eastAsia="仿宋" w:cs="仿宋"/>
          <w:highlight w:val="yellow"/>
          <w:lang w:eastAsia="zh-CN"/>
        </w:rPr>
        <w:t>、乙方执</w:t>
      </w:r>
      <w:r>
        <w:rPr>
          <w:rFonts w:hint="eastAsia" w:ascii="仿宋" w:hAnsi="仿宋" w:eastAsia="仿宋" w:cs="仿宋"/>
          <w:highlight w:val="yellow"/>
          <w:u w:val="single"/>
          <w:lang w:val="en-US" w:eastAsia="zh-CN"/>
        </w:rPr>
        <w:t xml:space="preserve"> 壹 </w:t>
      </w:r>
      <w:r>
        <w:rPr>
          <w:rFonts w:hint="eastAsia" w:ascii="仿宋" w:hAnsi="仿宋" w:eastAsia="仿宋" w:cs="仿宋"/>
          <w:u w:val="single"/>
          <w:lang w:eastAsia="zh-CN"/>
        </w:rPr>
        <w:t>份</w:t>
      </w:r>
      <w:r>
        <w:rPr>
          <w:rFonts w:hint="eastAsia" w:ascii="仿宋" w:hAnsi="仿宋" w:eastAsia="仿宋" w:cs="仿宋"/>
          <w:lang w:eastAsia="zh-CN"/>
        </w:rPr>
        <w:t>。</w:t>
      </w:r>
    </w:p>
    <w:p w14:paraId="6F587181">
      <w:pPr>
        <w:ind w:firstLine="480" w:firstLineChars="200"/>
        <w:rPr>
          <w:rFonts w:hint="eastAsia" w:ascii="仿宋" w:hAnsi="仿宋" w:eastAsia="仿宋" w:cs="仿宋"/>
          <w:highlight w:val="none"/>
          <w:lang w:eastAsia="zh-CN"/>
        </w:rPr>
      </w:pPr>
      <w:r>
        <w:rPr>
          <w:rFonts w:hint="eastAsia" w:ascii="仿宋" w:hAnsi="仿宋" w:eastAsia="仿宋" w:cs="仿宋"/>
          <w:lang w:val="en-US" w:eastAsia="zh-CN"/>
        </w:rPr>
        <w:t>8.4</w:t>
      </w:r>
      <w:r>
        <w:rPr>
          <w:rFonts w:hint="eastAsia" w:ascii="仿宋" w:hAnsi="仿宋" w:eastAsia="仿宋" w:cs="仿宋"/>
          <w:lang w:eastAsia="zh-CN"/>
        </w:rPr>
        <w:t>合同的有效期为自生效之日起至甲乙双方权利义务履行完毕之日止。</w:t>
      </w:r>
    </w:p>
    <w:p w14:paraId="22BCC7E3">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8.5</w:t>
      </w:r>
      <w:r>
        <w:rPr>
          <w:rFonts w:hint="eastAsia" w:ascii="仿宋" w:hAnsi="仿宋" w:eastAsia="仿宋" w:cs="仿宋"/>
          <w:highlight w:val="none"/>
          <w:lang w:eastAsia="zh-CN"/>
        </w:rPr>
        <w:t>在合同履行过程中，经双方确认的其它规定、实施记录及有关备忘录均作为本合同的附件，与本合同具有同等效力。</w:t>
      </w:r>
    </w:p>
    <w:p w14:paraId="71F59715">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8.6</w:t>
      </w:r>
      <w:r>
        <w:rPr>
          <w:rFonts w:hint="eastAsia" w:ascii="仿宋" w:hAnsi="仿宋" w:eastAsia="仿宋" w:cs="仿宋"/>
          <w:highlight w:val="none"/>
          <w:lang w:eastAsia="zh-CN"/>
        </w:rPr>
        <w:t>在合同履行的过程中，双方如存在未尽事宜，可对以《补充协议》形式修改本合同，《补充协议》视为本合同的一部分。</w:t>
      </w:r>
    </w:p>
    <w:p w14:paraId="2D21E819">
      <w:pPr>
        <w:rPr>
          <w:rFonts w:hint="eastAsia" w:ascii="仿宋" w:hAnsi="仿宋" w:eastAsia="仿宋" w:cs="仿宋"/>
          <w:b/>
          <w:bCs/>
          <w:highlight w:val="none"/>
          <w:lang w:eastAsia="zh-CN"/>
        </w:rPr>
      </w:pPr>
      <w:r>
        <w:rPr>
          <w:rFonts w:hint="eastAsia" w:ascii="仿宋" w:hAnsi="仿宋" w:eastAsia="仿宋" w:cs="仿宋"/>
          <w:b/>
          <w:bCs/>
          <w:highlight w:val="none"/>
          <w:lang w:eastAsia="zh-CN"/>
        </w:rPr>
        <w:t>第</w:t>
      </w:r>
      <w:r>
        <w:rPr>
          <w:rFonts w:hint="eastAsia" w:ascii="仿宋" w:hAnsi="仿宋" w:eastAsia="仿宋" w:cs="仿宋"/>
          <w:b/>
          <w:bCs/>
          <w:highlight w:val="none"/>
          <w:lang w:val="en-US" w:eastAsia="zh-CN"/>
        </w:rPr>
        <w:t>九</w:t>
      </w:r>
      <w:r>
        <w:rPr>
          <w:rFonts w:hint="eastAsia" w:ascii="仿宋" w:hAnsi="仿宋" w:eastAsia="仿宋" w:cs="仿宋"/>
          <w:b/>
          <w:bCs/>
          <w:highlight w:val="none"/>
          <w:lang w:eastAsia="zh-CN"/>
        </w:rPr>
        <w:t>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合同的变更、中止、终止</w:t>
      </w:r>
    </w:p>
    <w:p w14:paraId="08D1D41D">
      <w:pPr>
        <w:ind w:firstLine="480" w:firstLineChars="200"/>
        <w:rPr>
          <w:rFonts w:hint="eastAsia" w:ascii="仿宋" w:hAnsi="仿宋" w:eastAsia="仿宋" w:cs="仿宋"/>
          <w:highlight w:val="none"/>
          <w:lang w:eastAsia="zh-CN"/>
        </w:rPr>
      </w:pPr>
      <w:r>
        <w:rPr>
          <w:rFonts w:hint="eastAsia" w:ascii="仿宋" w:hAnsi="仿宋" w:eastAsia="仿宋" w:cs="仿宋"/>
          <w:sz w:val="24"/>
          <w:szCs w:val="24"/>
        </w:rPr>
        <w:t>对本合同条款的任何变更、修改或增减，须经双方协商一致，以书面方式签署补充协议，并与本合同具有同等法律效力。招投标文件（若有）、甲方技术要求、产品参数等文件与本合同具有同等法律效力。</w:t>
      </w:r>
    </w:p>
    <w:p w14:paraId="74C30585">
      <w:pPr>
        <w:rPr>
          <w:rFonts w:hint="default" w:ascii="仿宋" w:hAnsi="仿宋" w:eastAsia="仿宋" w:cs="仿宋"/>
          <w:b/>
          <w:bCs/>
          <w:highlight w:val="none"/>
          <w:lang w:val="en-US" w:eastAsia="zh-CN"/>
        </w:rPr>
      </w:pPr>
      <w:r>
        <w:rPr>
          <w:rFonts w:hint="eastAsia" w:ascii="仿宋" w:hAnsi="仿宋" w:eastAsia="仿宋" w:cs="仿宋"/>
          <w:b/>
          <w:bCs/>
          <w:highlight w:val="none"/>
          <w:lang w:eastAsia="zh-CN"/>
        </w:rPr>
        <w:t>第十条</w:t>
      </w:r>
      <w:r>
        <w:rPr>
          <w:rFonts w:hint="eastAsia" w:ascii="仿宋" w:hAnsi="仿宋" w:eastAsia="仿宋" w:cs="仿宋"/>
          <w:b/>
          <w:bCs/>
          <w:highlight w:val="none"/>
          <w:lang w:val="en-US" w:eastAsia="zh-CN"/>
        </w:rPr>
        <w:t xml:space="preserve"> 其他条款</w:t>
      </w:r>
    </w:p>
    <w:p w14:paraId="37E104C2">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10.1</w:t>
      </w:r>
      <w:r>
        <w:rPr>
          <w:rFonts w:hint="eastAsia" w:ascii="仿宋" w:hAnsi="仿宋" w:eastAsia="仿宋" w:cs="仿宋"/>
          <w:highlight w:val="none"/>
          <w:lang w:eastAsia="zh-CN"/>
        </w:rPr>
        <w:t>如果服务方因不可抗力引起的限制，包括暴风、地震、禁运、罢工、自然灾害、交通事故、政府命令、燃料短缺等，以及其他意外情况，如意想不到的情形的发生等，阻止了服务方完成本协议条款下的义务，则服务方不承担责任并且本协议规定的服务方需履行的义务将被终止；</w:t>
      </w:r>
    </w:p>
    <w:p w14:paraId="1BE76989">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10.2</w:t>
      </w:r>
      <w:r>
        <w:rPr>
          <w:rFonts w:hint="eastAsia" w:ascii="仿宋" w:hAnsi="仿宋" w:eastAsia="仿宋" w:cs="仿宋"/>
          <w:highlight w:val="none"/>
          <w:lang w:eastAsia="zh-CN"/>
        </w:rPr>
        <w:t>如果客户方遗失服务方提供的发票而导致客户方不能及时付款，则客户方需提供当地主管税务局出具的《开具红字发票通知单》，或其它证明，服务方据此开具红票冲抵，然后开具金额相等的新发票。同时，客户方需支付服务方因重新开具发票发生的合理的额外费用，包括坏账损失、重新开具发票所需费用等；</w:t>
      </w:r>
    </w:p>
    <w:p w14:paraId="0393E34B">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10.3</w:t>
      </w:r>
      <w:r>
        <w:rPr>
          <w:rFonts w:hint="eastAsia" w:ascii="仿宋" w:hAnsi="仿宋" w:eastAsia="仿宋" w:cs="仿宋"/>
          <w:highlight w:val="none"/>
          <w:lang w:eastAsia="zh-CN"/>
        </w:rPr>
        <w:t>如果客户方不能以约定的方式付款，服务方有权延后服务日期直至客户方履行付款义务并有权要求客户按每日为应付未付数额的千分之一承担逾期付款违约金；如果客户方违约并且未能在服务方指定的期限内予以纠正的，服务方有权中止本协议，且客户方应支付已提供服务的费用以及合理的律师费和收款费用；</w:t>
      </w:r>
    </w:p>
    <w:p w14:paraId="6C8DFC43">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10.4</w:t>
      </w:r>
      <w:r>
        <w:rPr>
          <w:rFonts w:hint="eastAsia" w:ascii="仿宋" w:hAnsi="仿宋" w:eastAsia="仿宋" w:cs="仿宋"/>
          <w:highlight w:val="none"/>
          <w:lang w:eastAsia="zh-CN"/>
        </w:rPr>
        <w:t>客户方应针对服务方在服务单、卫生报告或服务质量审计报告中所指出的、导致虫害孳生的卫生情况及建筑结构隐患进行整改，如果服务方的专业建议连续两次不被对方采纳并实施，并由此造成虫害孳生，服务方将对每次额外服务收取相当于一次常规服务的费用；</w:t>
      </w:r>
    </w:p>
    <w:p w14:paraId="021AE029">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10.5</w:t>
      </w:r>
      <w:r>
        <w:rPr>
          <w:rFonts w:hint="eastAsia" w:ascii="仿宋" w:hAnsi="仿宋" w:eastAsia="仿宋" w:cs="仿宋"/>
          <w:highlight w:val="none"/>
          <w:lang w:eastAsia="zh-CN"/>
        </w:rPr>
        <w:t>凡因本合同的签署、履行有关的任何争议，双方均应秉承坦率、诚信和公平的精神协商解决。如双方未能协商解决争议，任何一方均有权向五常仲裁委员会提起仲裁，仲裁所做出裁决为终局的，甲乙双方均应按仲裁裁决书执行。</w:t>
      </w:r>
    </w:p>
    <w:p w14:paraId="3E317A8F">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10.6</w:t>
      </w:r>
      <w:r>
        <w:rPr>
          <w:rFonts w:hint="eastAsia" w:ascii="仿宋" w:hAnsi="仿宋" w:eastAsia="仿宋" w:cs="仿宋"/>
          <w:highlight w:val="none"/>
          <w:lang w:eastAsia="zh-CN"/>
        </w:rPr>
        <w:t>合同期内出现因乙方工作失误使甲方被相关政府职能部门处罚；根据情节轻重扣除质保金。合同期内出现因乙方工作失误使甲方被客户（合作伙伴）食品安全（HACCP、FSSC22000）体系等形式审核出现较大不符合项，每项或每分扣除质保金200元，甲方由此遭受的处罚或对第三方进行的赔偿由乙方承担。</w:t>
      </w:r>
    </w:p>
    <w:p w14:paraId="0E6D31DF">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10.7</w:t>
      </w:r>
      <w:r>
        <w:rPr>
          <w:rFonts w:hint="eastAsia" w:ascii="仿宋" w:hAnsi="仿宋" w:eastAsia="仿宋" w:cs="仿宋"/>
          <w:highlight w:val="none"/>
          <w:lang w:eastAsia="zh-CN"/>
        </w:rPr>
        <w:t>乙方在提供服务过程中及服务过后，应就所服务场所提出有关健康和安全方面的意见，确保甲方及甲方客户人身，健康及财产不受影响。否则，由此产生的一切损失及赔偿责任由乙方承担。乙方入厂作业时应遵守甲方对作业安全的要求，并在合同签订时，同时签署《安全管理协议》、《</w:t>
      </w:r>
      <w:r>
        <w:rPr>
          <w:rFonts w:hint="eastAsia" w:ascii="仿宋" w:hAnsi="仿宋" w:eastAsia="仿宋" w:cs="仿宋"/>
          <w:highlight w:val="none"/>
          <w:lang w:val="en-US" w:eastAsia="zh-CN"/>
        </w:rPr>
        <w:t>环境管理协议</w:t>
      </w:r>
      <w:r>
        <w:rPr>
          <w:rFonts w:hint="eastAsia" w:ascii="仿宋" w:hAnsi="仿宋" w:eastAsia="仿宋" w:cs="仿宋"/>
          <w:highlight w:val="none"/>
          <w:lang w:eastAsia="zh-CN"/>
        </w:rPr>
        <w:t>》，此协议与合同期限相同，具有相同的法律效力。</w:t>
      </w:r>
    </w:p>
    <w:p w14:paraId="38896DB0">
      <w:pPr>
        <w:rPr>
          <w:rFonts w:hint="default" w:ascii="仿宋" w:hAnsi="仿宋" w:eastAsia="仿宋" w:cs="仿宋"/>
          <w:highlight w:val="none"/>
          <w:lang w:val="en-US" w:eastAsia="zh-CN"/>
        </w:rPr>
      </w:pPr>
      <w:r>
        <w:rPr>
          <w:rFonts w:hint="eastAsia" w:ascii="仿宋" w:hAnsi="仿宋" w:eastAsia="仿宋" w:cs="仿宋"/>
          <w:b/>
          <w:bCs/>
          <w:highlight w:val="none"/>
          <w:lang w:eastAsia="zh-CN"/>
        </w:rPr>
        <w:t>第十</w:t>
      </w:r>
      <w:r>
        <w:rPr>
          <w:rFonts w:hint="eastAsia" w:ascii="仿宋" w:hAnsi="仿宋" w:eastAsia="仿宋" w:cs="仿宋"/>
          <w:b/>
          <w:bCs/>
          <w:highlight w:val="none"/>
          <w:lang w:val="en-US" w:eastAsia="zh-CN"/>
        </w:rPr>
        <w:t>一</w:t>
      </w:r>
      <w:r>
        <w:rPr>
          <w:rFonts w:hint="eastAsia" w:ascii="仿宋" w:hAnsi="仿宋" w:eastAsia="仿宋" w:cs="仿宋"/>
          <w:b/>
          <w:bCs/>
          <w:highlight w:val="none"/>
          <w:lang w:eastAsia="zh-CN"/>
        </w:rPr>
        <w:t>条</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lang w:eastAsia="zh-CN"/>
        </w:rPr>
        <w:t>其他</w:t>
      </w:r>
      <w:r>
        <w:rPr>
          <w:rFonts w:hint="eastAsia" w:ascii="仿宋" w:hAnsi="仿宋" w:eastAsia="仿宋" w:cs="仿宋"/>
          <w:b/>
          <w:bCs/>
          <w:highlight w:val="none"/>
          <w:lang w:val="en-US" w:eastAsia="zh-CN"/>
        </w:rPr>
        <w:t>附件</w:t>
      </w:r>
    </w:p>
    <w:p w14:paraId="560E9913">
      <w:pPr>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1</w:t>
      </w:r>
      <w:r>
        <w:rPr>
          <w:rFonts w:hint="eastAsia" w:ascii="仿宋" w:hAnsi="仿宋" w:eastAsia="仿宋" w:cs="仿宋"/>
          <w:highlight w:val="none"/>
          <w:lang w:val="en-US" w:eastAsia="zh-CN"/>
        </w:rPr>
        <w:t>.附件一：</w:t>
      </w:r>
      <w:r>
        <w:rPr>
          <w:rFonts w:hint="eastAsia" w:ascii="仿宋" w:hAnsi="仿宋" w:eastAsia="仿宋" w:cs="仿宋"/>
          <w:highlight w:val="none"/>
          <w:lang w:eastAsia="zh-CN"/>
        </w:rPr>
        <w:t>虫害设施数量及要求</w:t>
      </w:r>
    </w:p>
    <w:p w14:paraId="343F6C4E">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2.附件二：</w:t>
      </w:r>
      <w:r>
        <w:rPr>
          <w:rFonts w:hint="eastAsia" w:ascii="仿宋" w:hAnsi="仿宋" w:eastAsia="仿宋" w:cs="仿宋"/>
          <w:highlight w:val="none"/>
          <w:lang w:eastAsia="zh-CN"/>
        </w:rPr>
        <w:t>每年需要提供/更新的文件材料</w:t>
      </w:r>
    </w:p>
    <w:p w14:paraId="08494D54">
      <w:p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3.附件三：安全管理协议</w:t>
      </w:r>
    </w:p>
    <w:p w14:paraId="48FB001B">
      <w:pPr>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4.附件四：环境管理协议</w:t>
      </w:r>
    </w:p>
    <w:p w14:paraId="3D917325">
      <w:pPr>
        <w:ind w:firstLine="480" w:firstLineChars="200"/>
        <w:rPr>
          <w:rFonts w:hint="eastAsia" w:ascii="仿宋" w:hAnsi="仿宋" w:eastAsia="仿宋" w:cs="仿宋"/>
          <w:lang w:eastAsia="zh-CN"/>
        </w:rPr>
      </w:pPr>
    </w:p>
    <w:p w14:paraId="1C8D21C8">
      <w:pPr>
        <w:rPr>
          <w:rFonts w:hint="eastAsia" w:ascii="仿宋" w:hAnsi="仿宋" w:eastAsia="仿宋" w:cs="仿宋"/>
          <w:b/>
          <w:sz w:val="24"/>
          <w:szCs w:val="24"/>
        </w:rPr>
      </w:pPr>
    </w:p>
    <w:p w14:paraId="78D8B2AF">
      <w:pPr>
        <w:spacing w:line="48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13AB1CB2">
      <w:pPr>
        <w:spacing w:line="480" w:lineRule="auto"/>
        <w:rPr>
          <w:rFonts w:hint="eastAsia" w:ascii="仿宋" w:hAnsi="仿宋" w:eastAsia="仿宋" w:cs="仿宋"/>
          <w:sz w:val="24"/>
          <w:szCs w:val="24"/>
        </w:rPr>
      </w:pPr>
    </w:p>
    <w:p w14:paraId="2A6AB1C6">
      <w:pPr>
        <w:spacing w:line="480" w:lineRule="auto"/>
        <w:rPr>
          <w:rFonts w:hint="eastAsia" w:ascii="仿宋" w:hAnsi="仿宋" w:eastAsia="仿宋" w:cs="仿宋"/>
          <w:sz w:val="24"/>
          <w:szCs w:val="24"/>
        </w:rPr>
        <w:sectPr>
          <w:pgSz w:w="11906" w:h="16838"/>
          <w:pgMar w:top="737" w:right="907" w:bottom="737" w:left="1304" w:header="624" w:footer="907" w:gutter="0"/>
          <w:cols w:space="425" w:num="1"/>
          <w:titlePg/>
          <w:docGrid w:linePitch="312" w:charSpace="0"/>
        </w:sectPr>
      </w:pPr>
    </w:p>
    <w:p w14:paraId="5AAEB8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（虫害设施数量及要求）</w:t>
      </w:r>
    </w:p>
    <w:p w14:paraId="0E98B9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tbl>
      <w:tblPr>
        <w:tblStyle w:val="28"/>
        <w:tblW w:w="501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3"/>
        <w:gridCol w:w="1409"/>
        <w:gridCol w:w="1257"/>
        <w:gridCol w:w="3061"/>
        <w:gridCol w:w="1738"/>
        <w:gridCol w:w="1568"/>
      </w:tblGrid>
      <w:tr w14:paraId="2122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361" w:type="pct"/>
            <w:vAlign w:val="top"/>
          </w:tcPr>
          <w:p w14:paraId="4D2C237C">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169" w:leftChars="0" w:right="86" w:rightChars="0"/>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723" w:type="pct"/>
            <w:vAlign w:val="top"/>
          </w:tcPr>
          <w:p w14:paraId="3894D07E">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68" w:leftChars="0" w:right="65" w:rightChars="0"/>
              <w:jc w:val="center"/>
              <w:textAlignment w:val="auto"/>
              <w:rPr>
                <w:rFonts w:hint="eastAsia" w:ascii="仿宋" w:hAnsi="仿宋" w:eastAsia="仿宋" w:cs="仿宋"/>
                <w:b/>
                <w:sz w:val="21"/>
                <w:szCs w:val="21"/>
              </w:rPr>
            </w:pPr>
            <w:r>
              <w:rPr>
                <w:rFonts w:hint="eastAsia" w:ascii="仿宋" w:hAnsi="仿宋" w:eastAsia="仿宋" w:cs="仿宋"/>
                <w:b/>
                <w:sz w:val="21"/>
                <w:szCs w:val="21"/>
              </w:rPr>
              <w:t>虫害设施名称</w:t>
            </w:r>
          </w:p>
        </w:tc>
        <w:tc>
          <w:tcPr>
            <w:tcW w:w="645" w:type="pct"/>
            <w:vAlign w:val="top"/>
          </w:tcPr>
          <w:p w14:paraId="1B351E3E">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86" w:leftChars="0" w:right="1" w:rightChars="0"/>
              <w:jc w:val="center"/>
              <w:textAlignment w:val="auto"/>
              <w:rPr>
                <w:rFonts w:hint="eastAsia" w:ascii="仿宋" w:hAnsi="仿宋" w:eastAsia="仿宋" w:cs="仿宋"/>
                <w:b/>
                <w:sz w:val="21"/>
                <w:szCs w:val="21"/>
              </w:rPr>
            </w:pPr>
            <w:r>
              <w:rPr>
                <w:rFonts w:hint="eastAsia" w:ascii="仿宋" w:hAnsi="仿宋" w:eastAsia="仿宋" w:cs="仿宋"/>
                <w:b/>
                <w:sz w:val="21"/>
                <w:szCs w:val="21"/>
              </w:rPr>
              <w:t>数量</w:t>
            </w:r>
            <w:r>
              <w:rPr>
                <w:rFonts w:hint="eastAsia" w:ascii="仿宋" w:hAnsi="仿宋" w:eastAsia="仿宋" w:cs="仿宋"/>
                <w:b/>
                <w:i/>
                <w:sz w:val="21"/>
                <w:szCs w:val="21"/>
              </w:rPr>
              <w:t>/</w:t>
            </w:r>
            <w:r>
              <w:rPr>
                <w:rFonts w:hint="eastAsia" w:ascii="仿宋" w:hAnsi="仿宋" w:eastAsia="仿宋" w:cs="仿宋"/>
                <w:b/>
                <w:sz w:val="21"/>
                <w:szCs w:val="21"/>
              </w:rPr>
              <w:t>台</w:t>
            </w:r>
            <w:r>
              <w:rPr>
                <w:rFonts w:hint="eastAsia" w:ascii="仿宋" w:hAnsi="仿宋" w:eastAsia="仿宋" w:cs="仿宋"/>
                <w:b/>
                <w:i/>
                <w:sz w:val="21"/>
                <w:szCs w:val="21"/>
              </w:rPr>
              <w:t>/</w:t>
            </w:r>
            <w:r>
              <w:rPr>
                <w:rFonts w:hint="eastAsia" w:ascii="仿宋" w:hAnsi="仿宋" w:eastAsia="仿宋" w:cs="仿宋"/>
                <w:b/>
                <w:sz w:val="21"/>
                <w:szCs w:val="21"/>
              </w:rPr>
              <w:t>个</w:t>
            </w:r>
            <w:r>
              <w:rPr>
                <w:rFonts w:hint="eastAsia" w:ascii="仿宋" w:hAnsi="仿宋" w:eastAsia="仿宋" w:cs="仿宋"/>
                <w:b/>
                <w:i/>
                <w:sz w:val="21"/>
                <w:szCs w:val="21"/>
              </w:rPr>
              <w:t>/</w:t>
            </w:r>
            <w:r>
              <w:rPr>
                <w:rFonts w:hint="eastAsia" w:ascii="仿宋" w:hAnsi="仿宋" w:eastAsia="仿宋" w:cs="仿宋"/>
                <w:b/>
                <w:sz w:val="21"/>
                <w:szCs w:val="21"/>
              </w:rPr>
              <w:t>块</w:t>
            </w:r>
            <w:r>
              <w:rPr>
                <w:rFonts w:hint="eastAsia" w:ascii="仿宋" w:hAnsi="仿宋" w:eastAsia="仿宋" w:cs="仿宋"/>
                <w:b/>
                <w:i/>
                <w:sz w:val="21"/>
                <w:szCs w:val="21"/>
              </w:rPr>
              <w:t>/</w:t>
            </w:r>
            <w:r>
              <w:rPr>
                <w:rFonts w:hint="eastAsia" w:ascii="仿宋" w:hAnsi="仿宋" w:eastAsia="仿宋" w:cs="仿宋"/>
                <w:b/>
                <w:sz w:val="21"/>
                <w:szCs w:val="21"/>
              </w:rPr>
              <w:t>套</w:t>
            </w:r>
          </w:p>
        </w:tc>
        <w:tc>
          <w:tcPr>
            <w:tcW w:w="1571" w:type="pct"/>
            <w:vAlign w:val="top"/>
          </w:tcPr>
          <w:p w14:paraId="08337C6E">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957" w:leftChars="0" w:right="837" w:rightChars="0"/>
              <w:jc w:val="center"/>
              <w:textAlignment w:val="auto"/>
              <w:rPr>
                <w:rFonts w:hint="eastAsia" w:ascii="仿宋" w:hAnsi="仿宋" w:eastAsia="仿宋" w:cs="仿宋"/>
                <w:b/>
                <w:sz w:val="21"/>
                <w:szCs w:val="21"/>
              </w:rPr>
            </w:pPr>
            <w:r>
              <w:rPr>
                <w:rFonts w:hint="eastAsia" w:ascii="仿宋" w:hAnsi="仿宋" w:eastAsia="仿宋" w:cs="仿宋"/>
                <w:b/>
                <w:sz w:val="21"/>
                <w:szCs w:val="21"/>
              </w:rPr>
              <w:t>要求</w:t>
            </w:r>
          </w:p>
        </w:tc>
        <w:tc>
          <w:tcPr>
            <w:tcW w:w="892" w:type="pct"/>
            <w:vAlign w:val="top"/>
          </w:tcPr>
          <w:p w14:paraId="70E71A23">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0" w:right="0" w:rightChars="0"/>
              <w:jc w:val="center"/>
              <w:textAlignment w:val="auto"/>
              <w:rPr>
                <w:rFonts w:hint="eastAsia" w:ascii="仿宋" w:hAnsi="仿宋" w:eastAsia="仿宋" w:cs="仿宋"/>
                <w:b/>
                <w:sz w:val="21"/>
                <w:szCs w:val="21"/>
              </w:rPr>
            </w:pPr>
            <w:r>
              <w:rPr>
                <w:rFonts w:hint="eastAsia" w:ascii="仿宋" w:hAnsi="仿宋" w:eastAsia="仿宋" w:cs="仿宋"/>
                <w:b/>
                <w:sz w:val="21"/>
                <w:szCs w:val="21"/>
                <w:lang w:val="en-US" w:eastAsia="zh-CN"/>
              </w:rPr>
              <w:t>服务</w:t>
            </w:r>
            <w:r>
              <w:rPr>
                <w:rFonts w:hint="eastAsia" w:ascii="仿宋" w:hAnsi="仿宋" w:eastAsia="仿宋" w:cs="仿宋"/>
                <w:b/>
                <w:sz w:val="21"/>
                <w:szCs w:val="21"/>
              </w:rPr>
              <w:t>频次</w:t>
            </w:r>
          </w:p>
        </w:tc>
        <w:tc>
          <w:tcPr>
            <w:tcW w:w="805" w:type="pct"/>
            <w:vAlign w:val="top"/>
          </w:tcPr>
          <w:p w14:paraId="37004367">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623" w:leftChars="0" w:right="0" w:rightChars="0"/>
              <w:textAlignment w:val="auto"/>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价格</w:t>
            </w:r>
          </w:p>
        </w:tc>
      </w:tr>
      <w:tr w14:paraId="45EB4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361" w:type="pct"/>
            <w:vAlign w:val="center"/>
          </w:tcPr>
          <w:p w14:paraId="2AD9653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723" w:type="pct"/>
            <w:vAlign w:val="center"/>
          </w:tcPr>
          <w:p w14:paraId="463ADDD1">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65" w:rightChars="0"/>
              <w:jc w:val="both"/>
              <w:textAlignment w:val="auto"/>
              <w:rPr>
                <w:rFonts w:hint="eastAsia" w:ascii="仿宋" w:hAnsi="仿宋" w:eastAsia="仿宋" w:cs="仿宋"/>
                <w:sz w:val="21"/>
                <w:szCs w:val="21"/>
              </w:rPr>
            </w:pPr>
            <w:r>
              <w:rPr>
                <w:rFonts w:hint="eastAsia" w:ascii="仿宋" w:hAnsi="仿宋" w:eastAsia="仿宋" w:cs="仿宋"/>
                <w:sz w:val="21"/>
                <w:szCs w:val="21"/>
              </w:rPr>
              <w:t>诱饵站</w:t>
            </w:r>
          </w:p>
        </w:tc>
        <w:tc>
          <w:tcPr>
            <w:tcW w:w="645" w:type="pct"/>
            <w:vAlign w:val="center"/>
          </w:tcPr>
          <w:p w14:paraId="4A7A40EA">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1"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140</w:t>
            </w:r>
          </w:p>
        </w:tc>
        <w:tc>
          <w:tcPr>
            <w:tcW w:w="1571" w:type="pct"/>
            <w:vAlign w:val="center"/>
          </w:tcPr>
          <w:p w14:paraId="5DD55721">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鼠站上锁固定、鼠饵固定、设备编号、标识及记录卡等；</w:t>
            </w:r>
          </w:p>
          <w:p w14:paraId="04967D6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虫害公司提供并安装。</w:t>
            </w:r>
          </w:p>
        </w:tc>
        <w:tc>
          <w:tcPr>
            <w:tcW w:w="892" w:type="pct"/>
            <w:vAlign w:val="center"/>
          </w:tcPr>
          <w:p w14:paraId="72AA8433">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pacing w:val="0"/>
                <w:sz w:val="21"/>
                <w:szCs w:val="21"/>
              </w:rPr>
            </w:pPr>
            <w:r>
              <w:rPr>
                <w:rFonts w:hint="eastAsia" w:ascii="仿宋" w:hAnsi="仿宋" w:eastAsia="仿宋" w:cs="仿宋"/>
                <w:sz w:val="21"/>
                <w:szCs w:val="21"/>
              </w:rPr>
              <w:t>5-10</w:t>
            </w:r>
            <w:r>
              <w:rPr>
                <w:rFonts w:hint="eastAsia" w:ascii="仿宋" w:hAnsi="仿宋" w:eastAsia="仿宋" w:cs="仿宋"/>
                <w:spacing w:val="0"/>
                <w:sz w:val="21"/>
                <w:szCs w:val="21"/>
              </w:rPr>
              <w:t xml:space="preserve">月每月 </w:t>
            </w:r>
            <w:r>
              <w:rPr>
                <w:rFonts w:hint="eastAsia" w:ascii="仿宋" w:hAnsi="仿宋" w:eastAsia="仿宋" w:cs="仿宋"/>
                <w:sz w:val="21"/>
                <w:szCs w:val="21"/>
              </w:rPr>
              <w:t>2</w:t>
            </w:r>
            <w:r>
              <w:rPr>
                <w:rFonts w:hint="eastAsia" w:ascii="仿宋" w:hAnsi="仿宋" w:eastAsia="仿宋" w:cs="仿宋"/>
                <w:spacing w:val="0"/>
                <w:sz w:val="21"/>
                <w:szCs w:val="21"/>
              </w:rPr>
              <w:t>次；</w:t>
            </w:r>
          </w:p>
          <w:p w14:paraId="25797F16">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其他月份每月</w:t>
            </w:r>
            <w:r>
              <w:rPr>
                <w:rFonts w:hint="eastAsia" w:ascii="仿宋" w:hAnsi="仿宋" w:eastAsia="仿宋" w:cs="仿宋"/>
                <w:sz w:val="21"/>
                <w:szCs w:val="21"/>
              </w:rPr>
              <w:t>1</w:t>
            </w:r>
            <w:r>
              <w:rPr>
                <w:rFonts w:hint="eastAsia" w:ascii="仿宋" w:hAnsi="仿宋" w:eastAsia="仿宋" w:cs="仿宋"/>
                <w:spacing w:val="0"/>
                <w:sz w:val="21"/>
                <w:szCs w:val="21"/>
              </w:rPr>
              <w:t>次，</w:t>
            </w:r>
          </w:p>
          <w:p w14:paraId="5AA35888">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pacing w:val="0"/>
                <w:sz w:val="21"/>
                <w:szCs w:val="21"/>
              </w:rPr>
              <w:t>全年</w:t>
            </w:r>
            <w:r>
              <w:rPr>
                <w:rFonts w:hint="eastAsia" w:ascii="仿宋" w:hAnsi="仿宋" w:eastAsia="仿宋" w:cs="仿宋"/>
                <w:sz w:val="21"/>
                <w:szCs w:val="21"/>
              </w:rPr>
              <w:t>18</w:t>
            </w:r>
            <w:r>
              <w:rPr>
                <w:rFonts w:hint="eastAsia" w:ascii="仿宋" w:hAnsi="仿宋" w:eastAsia="仿宋" w:cs="仿宋"/>
                <w:spacing w:val="0"/>
                <w:sz w:val="21"/>
                <w:szCs w:val="21"/>
              </w:rPr>
              <w:t xml:space="preserve"> </w:t>
            </w:r>
            <w:r>
              <w:rPr>
                <w:rFonts w:hint="eastAsia" w:ascii="仿宋" w:hAnsi="仿宋" w:eastAsia="仿宋" w:cs="仿宋"/>
                <w:sz w:val="21"/>
                <w:szCs w:val="21"/>
              </w:rPr>
              <w:t>次</w:t>
            </w:r>
          </w:p>
        </w:tc>
        <w:tc>
          <w:tcPr>
            <w:tcW w:w="805" w:type="pct"/>
            <w:vAlign w:val="center"/>
          </w:tcPr>
          <w:p w14:paraId="06230EEA">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leftChars="0" w:right="0" w:rightChars="0"/>
              <w:jc w:val="both"/>
              <w:textAlignment w:val="auto"/>
              <w:rPr>
                <w:rFonts w:hint="eastAsia" w:ascii="仿宋" w:hAnsi="仿宋" w:eastAsia="仿宋" w:cs="仿宋"/>
                <w:spacing w:val="0"/>
                <w:sz w:val="21"/>
                <w:szCs w:val="21"/>
              </w:rPr>
            </w:pPr>
          </w:p>
        </w:tc>
      </w:tr>
      <w:tr w14:paraId="193B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9" w:hRule="atLeast"/>
        </w:trPr>
        <w:tc>
          <w:tcPr>
            <w:tcW w:w="361" w:type="pct"/>
            <w:vAlign w:val="center"/>
          </w:tcPr>
          <w:p w14:paraId="5095D2E8">
            <w:pPr>
              <w:pStyle w:val="77"/>
              <w:keepNext w:val="0"/>
              <w:keepLines w:val="0"/>
              <w:pageBreakBefore w:val="0"/>
              <w:widowControl w:val="0"/>
              <w:suppressLineNumbers w:val="0"/>
              <w:kinsoku/>
              <w:wordWrap/>
              <w:overflowPunct/>
              <w:topLinePunct w:val="0"/>
              <w:autoSpaceDE/>
              <w:autoSpaceDN/>
              <w:bidi w:val="0"/>
              <w:adjustRightInd/>
              <w:snapToGrid/>
              <w:spacing w:before="161"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723" w:type="pct"/>
            <w:vAlign w:val="center"/>
          </w:tcPr>
          <w:p w14:paraId="422FA3B0">
            <w:pPr>
              <w:pStyle w:val="77"/>
              <w:keepNext w:val="0"/>
              <w:keepLines w:val="0"/>
              <w:pageBreakBefore w:val="0"/>
              <w:widowControl w:val="0"/>
              <w:suppressLineNumbers w:val="0"/>
              <w:kinsoku/>
              <w:wordWrap/>
              <w:overflowPunct/>
              <w:topLinePunct w:val="0"/>
              <w:autoSpaceDE/>
              <w:autoSpaceDN/>
              <w:bidi w:val="0"/>
              <w:adjustRightInd/>
              <w:snapToGrid/>
              <w:spacing w:before="155" w:beforeAutospacing="0" w:after="0" w:afterAutospacing="0" w:line="240" w:lineRule="auto"/>
              <w:ind w:left="0" w:leftChars="0" w:right="65" w:right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捕蝇灯</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正面镂空款</w:t>
            </w:r>
            <w:r>
              <w:rPr>
                <w:rFonts w:hint="eastAsia" w:ascii="仿宋" w:hAnsi="仿宋" w:eastAsia="仿宋" w:cs="仿宋"/>
                <w:sz w:val="21"/>
                <w:szCs w:val="21"/>
                <w:lang w:eastAsia="zh-CN"/>
              </w:rPr>
              <w:t>）</w:t>
            </w:r>
          </w:p>
        </w:tc>
        <w:tc>
          <w:tcPr>
            <w:tcW w:w="645" w:type="pct"/>
            <w:vAlign w:val="center"/>
          </w:tcPr>
          <w:p w14:paraId="1BC0BBB4">
            <w:pPr>
              <w:pStyle w:val="77"/>
              <w:keepNext w:val="0"/>
              <w:keepLines w:val="0"/>
              <w:pageBreakBefore w:val="0"/>
              <w:widowControl w:val="0"/>
              <w:suppressLineNumbers w:val="0"/>
              <w:kinsoku/>
              <w:wordWrap/>
              <w:overflowPunct/>
              <w:topLinePunct w:val="0"/>
              <w:autoSpaceDE/>
              <w:autoSpaceDN/>
              <w:bidi w:val="0"/>
              <w:adjustRightInd/>
              <w:snapToGrid/>
              <w:spacing w:before="161" w:beforeAutospacing="0" w:after="0" w:afterAutospacing="0" w:line="240" w:lineRule="auto"/>
              <w:ind w:left="0" w:leftChars="0" w:right="0"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48</w:t>
            </w:r>
          </w:p>
        </w:tc>
        <w:tc>
          <w:tcPr>
            <w:tcW w:w="1571" w:type="pct"/>
            <w:vAlign w:val="center"/>
          </w:tcPr>
          <w:p w14:paraId="7A102910">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01" w:right="127"/>
              <w:jc w:val="both"/>
              <w:textAlignment w:val="auto"/>
              <w:rPr>
                <w:rFonts w:hint="eastAsia" w:ascii="仿宋" w:hAnsi="仿宋" w:eastAsia="仿宋" w:cs="仿宋"/>
                <w:sz w:val="21"/>
                <w:szCs w:val="21"/>
              </w:rPr>
            </w:pPr>
            <w:r>
              <w:rPr>
                <w:rFonts w:hint="eastAsia" w:ascii="仿宋" w:hAnsi="仿宋" w:eastAsia="仿宋" w:cs="仿宋"/>
                <w:spacing w:val="-10"/>
                <w:sz w:val="21"/>
                <w:szCs w:val="21"/>
              </w:rPr>
              <w:t xml:space="preserve">灯管每年更换 </w:t>
            </w:r>
            <w:r>
              <w:rPr>
                <w:rFonts w:hint="eastAsia" w:ascii="仿宋" w:hAnsi="仿宋" w:eastAsia="仿宋" w:cs="仿宋"/>
                <w:sz w:val="21"/>
                <w:szCs w:val="21"/>
              </w:rPr>
              <w:t xml:space="preserve">1 </w:t>
            </w:r>
            <w:r>
              <w:rPr>
                <w:rFonts w:hint="eastAsia" w:ascii="仿宋" w:hAnsi="仿宋" w:eastAsia="仿宋" w:cs="仿宋"/>
                <w:spacing w:val="-2"/>
                <w:sz w:val="21"/>
                <w:szCs w:val="21"/>
              </w:rPr>
              <w:t xml:space="preserve">次； </w:t>
            </w:r>
            <w:r>
              <w:rPr>
                <w:rFonts w:hint="eastAsia" w:ascii="仿宋" w:hAnsi="仿宋" w:eastAsia="仿宋" w:cs="仿宋"/>
                <w:spacing w:val="-9"/>
                <w:sz w:val="21"/>
                <w:szCs w:val="21"/>
              </w:rPr>
              <w:t xml:space="preserve">捕蝇灯粘纸粘满 </w:t>
            </w:r>
            <w:r>
              <w:rPr>
                <w:rFonts w:hint="eastAsia" w:ascii="仿宋" w:hAnsi="仿宋" w:eastAsia="仿宋" w:cs="仿宋"/>
                <w:spacing w:val="-19"/>
                <w:sz w:val="21"/>
                <w:szCs w:val="21"/>
              </w:rPr>
              <w:t xml:space="preserve">2/3 </w:t>
            </w:r>
            <w:r>
              <w:rPr>
                <w:rFonts w:hint="eastAsia" w:ascii="仿宋" w:hAnsi="仿宋" w:eastAsia="仿宋" w:cs="仿宋"/>
                <w:spacing w:val="-14"/>
                <w:sz w:val="21"/>
                <w:szCs w:val="21"/>
              </w:rPr>
              <w:t>时</w:t>
            </w:r>
            <w:r>
              <w:rPr>
                <w:rFonts w:hint="eastAsia" w:ascii="仿宋" w:hAnsi="仿宋" w:eastAsia="仿宋" w:cs="仿宋"/>
                <w:spacing w:val="-1"/>
                <w:sz w:val="21"/>
                <w:szCs w:val="21"/>
              </w:rPr>
              <w:t>需更换；</w:t>
            </w:r>
            <w:r>
              <w:rPr>
                <w:rFonts w:hint="eastAsia" w:ascii="仿宋" w:hAnsi="仿宋" w:eastAsia="仿宋" w:cs="仿宋"/>
                <w:sz w:val="21"/>
                <w:szCs w:val="21"/>
              </w:rPr>
              <w:t>虫害公司提供并安装，</w:t>
            </w:r>
          </w:p>
          <w:p w14:paraId="1B925DAC">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工厂配合接电。</w:t>
            </w:r>
          </w:p>
        </w:tc>
        <w:tc>
          <w:tcPr>
            <w:tcW w:w="892" w:type="pct"/>
            <w:vAlign w:val="center"/>
          </w:tcPr>
          <w:p w14:paraId="3A40A0E8">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5-10月每月2次；11-4月每月1次</w:t>
            </w:r>
          </w:p>
        </w:tc>
        <w:tc>
          <w:tcPr>
            <w:tcW w:w="805" w:type="pct"/>
            <w:vAlign w:val="center"/>
          </w:tcPr>
          <w:p w14:paraId="3B6EC6B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p>
        </w:tc>
      </w:tr>
      <w:tr w14:paraId="3710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361" w:type="pct"/>
            <w:vAlign w:val="center"/>
          </w:tcPr>
          <w:p w14:paraId="1B338C46">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723" w:type="pct"/>
            <w:vAlign w:val="center"/>
          </w:tcPr>
          <w:p w14:paraId="4B44951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捕鼠器</w:t>
            </w:r>
          </w:p>
        </w:tc>
        <w:tc>
          <w:tcPr>
            <w:tcW w:w="645" w:type="pct"/>
            <w:vAlign w:val="center"/>
          </w:tcPr>
          <w:p w14:paraId="2BCE40C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50</w:t>
            </w:r>
          </w:p>
        </w:tc>
        <w:tc>
          <w:tcPr>
            <w:tcW w:w="1571" w:type="pct"/>
            <w:vAlign w:val="center"/>
          </w:tcPr>
          <w:p w14:paraId="314C3442">
            <w:pPr>
              <w:pStyle w:val="77"/>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240" w:lineRule="auto"/>
              <w:ind w:left="101" w:leftChars="0" w:right="51" w:rightChars="0"/>
              <w:jc w:val="both"/>
              <w:textAlignment w:val="auto"/>
              <w:rPr>
                <w:rFonts w:hint="eastAsia" w:ascii="仿宋" w:hAnsi="仿宋" w:eastAsia="仿宋" w:cs="仿宋"/>
                <w:sz w:val="21"/>
                <w:szCs w:val="21"/>
              </w:rPr>
            </w:pPr>
            <w:r>
              <w:rPr>
                <w:rFonts w:hint="eastAsia" w:ascii="仿宋" w:hAnsi="仿宋" w:eastAsia="仿宋" w:cs="仿宋"/>
                <w:spacing w:val="-3"/>
                <w:sz w:val="21"/>
                <w:szCs w:val="21"/>
              </w:rPr>
              <w:t>可见机械式捕鼠器；</w:t>
            </w:r>
            <w:r>
              <w:rPr>
                <w:rFonts w:hint="eastAsia" w:ascii="仿宋" w:hAnsi="仿宋" w:eastAsia="仿宋" w:cs="仿宋"/>
                <w:spacing w:val="-5"/>
                <w:sz w:val="21"/>
                <w:szCs w:val="21"/>
              </w:rPr>
              <w:t>虫害公司提供并安装。</w:t>
            </w:r>
            <w:r>
              <w:rPr>
                <w:rFonts w:hint="eastAsia" w:ascii="仿宋" w:hAnsi="仿宋" w:eastAsia="仿宋" w:cs="仿宋"/>
                <w:sz w:val="21"/>
                <w:szCs w:val="21"/>
              </w:rPr>
              <w:t>工厂</w:t>
            </w:r>
            <w:r>
              <w:rPr>
                <w:rFonts w:hint="eastAsia" w:ascii="仿宋" w:hAnsi="仿宋" w:eastAsia="仿宋" w:cs="仿宋"/>
                <w:spacing w:val="-3"/>
                <w:sz w:val="21"/>
                <w:szCs w:val="21"/>
              </w:rPr>
              <w:t>自有捕鼠器虫害公司提供服务。</w:t>
            </w:r>
          </w:p>
        </w:tc>
        <w:tc>
          <w:tcPr>
            <w:tcW w:w="892" w:type="pct"/>
            <w:vAlign w:val="center"/>
          </w:tcPr>
          <w:p w14:paraId="620BDCB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5-10月每月2次；11-4月每月1次</w:t>
            </w:r>
          </w:p>
        </w:tc>
        <w:tc>
          <w:tcPr>
            <w:tcW w:w="805" w:type="pct"/>
            <w:vAlign w:val="center"/>
          </w:tcPr>
          <w:p w14:paraId="67EA8DF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p>
        </w:tc>
      </w:tr>
      <w:tr w14:paraId="5EAF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361" w:type="pct"/>
            <w:vAlign w:val="center"/>
          </w:tcPr>
          <w:p w14:paraId="6773D924">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723" w:type="pct"/>
            <w:vAlign w:val="center"/>
          </w:tcPr>
          <w:p w14:paraId="7870738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粘鼠板</w:t>
            </w:r>
          </w:p>
        </w:tc>
        <w:tc>
          <w:tcPr>
            <w:tcW w:w="645" w:type="pct"/>
            <w:vAlign w:val="center"/>
          </w:tcPr>
          <w:p w14:paraId="4D61EB0A">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1"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73</w:t>
            </w:r>
          </w:p>
        </w:tc>
        <w:tc>
          <w:tcPr>
            <w:tcW w:w="1571" w:type="pct"/>
            <w:vAlign w:val="center"/>
          </w:tcPr>
          <w:p w14:paraId="42F0E1C7">
            <w:pPr>
              <w:pStyle w:val="77"/>
              <w:keepNext w:val="0"/>
              <w:keepLines w:val="0"/>
              <w:pageBreakBefore w:val="0"/>
              <w:widowControl w:val="0"/>
              <w:suppressLineNumbers w:val="0"/>
              <w:kinsoku/>
              <w:wordWrap/>
              <w:overflowPunct/>
              <w:topLinePunct w:val="0"/>
              <w:autoSpaceDE/>
              <w:autoSpaceDN/>
              <w:bidi w:val="0"/>
              <w:adjustRightInd/>
              <w:snapToGrid/>
              <w:spacing w:before="13" w:beforeAutospacing="0" w:after="0" w:afterAutospacing="0" w:line="240" w:lineRule="auto"/>
              <w:ind w:left="101" w:leftChars="0" w:right="679" w:rightChars="0"/>
              <w:jc w:val="both"/>
              <w:textAlignment w:val="auto"/>
              <w:rPr>
                <w:rFonts w:hint="eastAsia" w:ascii="仿宋" w:hAnsi="仿宋" w:eastAsia="仿宋" w:cs="仿宋"/>
                <w:sz w:val="21"/>
                <w:szCs w:val="21"/>
              </w:rPr>
            </w:pPr>
            <w:r>
              <w:rPr>
                <w:rFonts w:hint="eastAsia" w:ascii="仿宋" w:hAnsi="仿宋" w:eastAsia="仿宋" w:cs="仿宋"/>
                <w:sz w:val="21"/>
                <w:szCs w:val="21"/>
              </w:rPr>
              <w:t>带有防尘功能；虫害公司提供。</w:t>
            </w:r>
          </w:p>
        </w:tc>
        <w:tc>
          <w:tcPr>
            <w:tcW w:w="892" w:type="pct"/>
            <w:vAlign w:val="center"/>
          </w:tcPr>
          <w:p w14:paraId="7549560E">
            <w:pPr>
              <w:pStyle w:val="77"/>
              <w:keepNext w:val="0"/>
              <w:keepLines w:val="0"/>
              <w:pageBreakBefore w:val="0"/>
              <w:widowControl w:val="0"/>
              <w:suppressLineNumbers w:val="0"/>
              <w:kinsoku/>
              <w:wordWrap/>
              <w:overflowPunct/>
              <w:topLinePunct w:val="0"/>
              <w:autoSpaceDE/>
              <w:autoSpaceDN/>
              <w:bidi w:val="0"/>
              <w:adjustRightInd/>
              <w:snapToGrid/>
              <w:spacing w:before="53"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w:t>
            </w:r>
          </w:p>
          <w:p w14:paraId="28DEC462">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11-4月每月1次</w:t>
            </w:r>
          </w:p>
        </w:tc>
        <w:tc>
          <w:tcPr>
            <w:tcW w:w="805" w:type="pct"/>
            <w:vAlign w:val="center"/>
          </w:tcPr>
          <w:p w14:paraId="5405C6DE">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leftChars="0" w:right="0" w:rightChars="0"/>
              <w:jc w:val="both"/>
              <w:textAlignment w:val="auto"/>
              <w:rPr>
                <w:rFonts w:hint="eastAsia" w:ascii="仿宋" w:hAnsi="仿宋" w:eastAsia="仿宋" w:cs="仿宋"/>
                <w:sz w:val="21"/>
                <w:szCs w:val="21"/>
              </w:rPr>
            </w:pPr>
          </w:p>
        </w:tc>
      </w:tr>
      <w:tr w14:paraId="140E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361" w:type="pct"/>
            <w:vAlign w:val="center"/>
          </w:tcPr>
          <w:p w14:paraId="68C8DB8B">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rPr>
              <w:t>5</w:t>
            </w:r>
          </w:p>
        </w:tc>
        <w:tc>
          <w:tcPr>
            <w:tcW w:w="723" w:type="pct"/>
            <w:vAlign w:val="center"/>
          </w:tcPr>
          <w:p w14:paraId="5C8724F9">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62" w:rightChars="0"/>
              <w:jc w:val="both"/>
              <w:textAlignment w:val="auto"/>
              <w:rPr>
                <w:rFonts w:hint="eastAsia" w:ascii="仿宋" w:hAnsi="仿宋" w:eastAsia="仿宋" w:cs="仿宋"/>
                <w:sz w:val="21"/>
                <w:szCs w:val="21"/>
              </w:rPr>
            </w:pPr>
            <w:r>
              <w:rPr>
                <w:rFonts w:hint="eastAsia" w:ascii="仿宋" w:hAnsi="仿宋" w:eastAsia="仿宋" w:cs="仿宋"/>
                <w:sz w:val="21"/>
                <w:szCs w:val="21"/>
              </w:rPr>
              <w:t>飞蛾信息素</w:t>
            </w:r>
          </w:p>
        </w:tc>
        <w:tc>
          <w:tcPr>
            <w:tcW w:w="645" w:type="pct"/>
            <w:vAlign w:val="center"/>
          </w:tcPr>
          <w:p w14:paraId="6BECCAD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571" w:type="pct"/>
            <w:vAlign w:val="center"/>
          </w:tcPr>
          <w:p w14:paraId="5736CC4F">
            <w:pPr>
              <w:pStyle w:val="77"/>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101" w:leftChars="0" w:right="50" w:rightChars="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虫害公司提供并指导投放。</w:t>
            </w:r>
          </w:p>
        </w:tc>
        <w:tc>
          <w:tcPr>
            <w:tcW w:w="892" w:type="pct"/>
            <w:vAlign w:val="center"/>
          </w:tcPr>
          <w:p w14:paraId="75EFA0DB">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w:t>
            </w:r>
          </w:p>
          <w:p w14:paraId="1D81C8B6">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11-4 </w:t>
            </w:r>
            <w:r>
              <w:rPr>
                <w:rFonts w:hint="eastAsia" w:ascii="仿宋" w:hAnsi="仿宋" w:eastAsia="仿宋" w:cs="仿宋"/>
                <w:sz w:val="21"/>
                <w:szCs w:val="21"/>
                <w:lang w:eastAsia="zh-CN"/>
              </w:rPr>
              <w:t>月</w:t>
            </w:r>
            <w:r>
              <w:rPr>
                <w:rFonts w:hint="eastAsia" w:ascii="仿宋" w:hAnsi="仿宋" w:eastAsia="仿宋" w:cs="仿宋"/>
                <w:sz w:val="21"/>
                <w:szCs w:val="21"/>
              </w:rPr>
              <w:t>每月</w:t>
            </w:r>
            <w:r>
              <w:rPr>
                <w:rFonts w:hint="eastAsia" w:ascii="仿宋" w:hAnsi="仿宋" w:eastAsia="仿宋" w:cs="仿宋"/>
                <w:sz w:val="21"/>
                <w:szCs w:val="21"/>
                <w:lang w:val="en-US" w:eastAsia="zh-CN"/>
              </w:rPr>
              <w:t>1</w:t>
            </w:r>
            <w:r>
              <w:rPr>
                <w:rFonts w:hint="eastAsia" w:ascii="仿宋" w:hAnsi="仿宋" w:eastAsia="仿宋" w:cs="仿宋"/>
                <w:sz w:val="21"/>
                <w:szCs w:val="21"/>
              </w:rPr>
              <w:t>次</w:t>
            </w:r>
          </w:p>
        </w:tc>
        <w:tc>
          <w:tcPr>
            <w:tcW w:w="805" w:type="pct"/>
            <w:vAlign w:val="center"/>
          </w:tcPr>
          <w:p w14:paraId="778CDEEF">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leftChars="0" w:right="0" w:rightChars="0"/>
              <w:jc w:val="both"/>
              <w:textAlignment w:val="auto"/>
              <w:rPr>
                <w:rFonts w:hint="eastAsia" w:ascii="仿宋" w:hAnsi="仿宋" w:eastAsia="仿宋" w:cs="仿宋"/>
                <w:sz w:val="21"/>
                <w:szCs w:val="21"/>
              </w:rPr>
            </w:pPr>
          </w:p>
        </w:tc>
      </w:tr>
      <w:tr w14:paraId="6B62A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361" w:type="pct"/>
            <w:vAlign w:val="center"/>
          </w:tcPr>
          <w:p w14:paraId="493FB63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rPr>
              <w:t>6</w:t>
            </w:r>
          </w:p>
        </w:tc>
        <w:tc>
          <w:tcPr>
            <w:tcW w:w="723" w:type="pct"/>
            <w:vAlign w:val="center"/>
          </w:tcPr>
          <w:p w14:paraId="68B05D37">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62" w:right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消杀</w:t>
            </w:r>
          </w:p>
        </w:tc>
        <w:tc>
          <w:tcPr>
            <w:tcW w:w="645" w:type="pct"/>
            <w:vAlign w:val="center"/>
          </w:tcPr>
          <w:p w14:paraId="156B924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29" w:rightChars="0"/>
              <w:jc w:val="both"/>
              <w:textAlignment w:val="auto"/>
              <w:rPr>
                <w:rFonts w:hint="eastAsia" w:ascii="仿宋" w:hAnsi="仿宋" w:eastAsia="仿宋" w:cs="仿宋"/>
                <w:sz w:val="21"/>
                <w:szCs w:val="21"/>
              </w:rPr>
            </w:pPr>
            <w:r>
              <w:rPr>
                <w:rFonts w:hint="eastAsia" w:ascii="仿宋" w:hAnsi="仿宋" w:eastAsia="仿宋" w:cs="仿宋"/>
                <w:spacing w:val="-2"/>
                <w:sz w:val="21"/>
                <w:szCs w:val="21"/>
                <w:lang w:eastAsia="zh-CN"/>
              </w:rPr>
              <w:t>车间内部及车间外围</w:t>
            </w:r>
            <w:r>
              <w:rPr>
                <w:rFonts w:hint="eastAsia" w:ascii="仿宋" w:hAnsi="仿宋" w:eastAsia="仿宋" w:cs="仿宋"/>
                <w:spacing w:val="-2"/>
                <w:sz w:val="21"/>
                <w:szCs w:val="21"/>
              </w:rPr>
              <w:t>；</w:t>
            </w:r>
          </w:p>
        </w:tc>
        <w:tc>
          <w:tcPr>
            <w:tcW w:w="1571" w:type="pct"/>
            <w:vAlign w:val="center"/>
          </w:tcPr>
          <w:p w14:paraId="1929BB18">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leftChars="0" w:right="51" w:rightChars="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采取控制虫害的方式，如</w:t>
            </w:r>
            <w:r>
              <w:rPr>
                <w:rFonts w:hint="eastAsia" w:ascii="仿宋" w:hAnsi="仿宋" w:eastAsia="仿宋" w:cs="仿宋"/>
                <w:sz w:val="21"/>
                <w:szCs w:val="21"/>
              </w:rPr>
              <w:t>热烟雾处理及空间、滞留喷洒</w:t>
            </w:r>
            <w:r>
              <w:rPr>
                <w:rFonts w:hint="eastAsia" w:ascii="仿宋" w:hAnsi="仿宋" w:eastAsia="仿宋" w:cs="仿宋"/>
                <w:sz w:val="21"/>
                <w:szCs w:val="21"/>
                <w:lang w:eastAsia="zh-CN"/>
              </w:rPr>
              <w:t>及其它</w:t>
            </w:r>
            <w:r>
              <w:rPr>
                <w:rFonts w:hint="eastAsia" w:ascii="仿宋" w:hAnsi="仿宋" w:eastAsia="仿宋" w:cs="仿宋"/>
                <w:sz w:val="21"/>
                <w:szCs w:val="21"/>
              </w:rPr>
              <w:t>处理；虫害公司提供。</w:t>
            </w:r>
          </w:p>
        </w:tc>
        <w:tc>
          <w:tcPr>
            <w:tcW w:w="892" w:type="pct"/>
            <w:vAlign w:val="center"/>
          </w:tcPr>
          <w:p w14:paraId="2AE942B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7" w:right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全年18次</w:t>
            </w:r>
          </w:p>
        </w:tc>
        <w:tc>
          <w:tcPr>
            <w:tcW w:w="805" w:type="pct"/>
            <w:vAlign w:val="center"/>
          </w:tcPr>
          <w:p w14:paraId="3A25934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7" w:rightChars="0"/>
              <w:jc w:val="both"/>
              <w:textAlignment w:val="auto"/>
              <w:rPr>
                <w:rFonts w:hint="eastAsia" w:ascii="仿宋" w:hAnsi="仿宋" w:eastAsia="仿宋" w:cs="仿宋"/>
                <w:sz w:val="21"/>
                <w:szCs w:val="21"/>
                <w:lang w:val="en-US" w:eastAsia="zh-CN"/>
              </w:rPr>
            </w:pPr>
          </w:p>
        </w:tc>
      </w:tr>
      <w:tr w14:paraId="0414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61" w:type="pct"/>
            <w:vMerge w:val="restart"/>
            <w:vAlign w:val="center"/>
          </w:tcPr>
          <w:p w14:paraId="06D2165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5B4E551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35DC07C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0D4F2AF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242FBF7E">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7E0BBE13">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71582145">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1FE9D11F">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2C89E6AA">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52477B46">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3242F299">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val="en-US"/>
              </w:rPr>
              <w:t>7</w:t>
            </w:r>
          </w:p>
        </w:tc>
        <w:tc>
          <w:tcPr>
            <w:tcW w:w="723" w:type="pct"/>
            <w:vAlign w:val="center"/>
          </w:tcPr>
          <w:p w14:paraId="2083E65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服务报告单</w:t>
            </w:r>
          </w:p>
        </w:tc>
        <w:tc>
          <w:tcPr>
            <w:tcW w:w="645" w:type="pct"/>
            <w:vAlign w:val="center"/>
          </w:tcPr>
          <w:p w14:paraId="591BA17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34880FB7">
            <w:pPr>
              <w:pStyle w:val="77"/>
              <w:keepNext w:val="0"/>
              <w:keepLines w:val="0"/>
              <w:pageBreakBefore w:val="0"/>
              <w:widowControl w:val="0"/>
              <w:suppressLineNumbers w:val="0"/>
              <w:kinsoku/>
              <w:wordWrap/>
              <w:overflowPunct/>
              <w:topLinePunct w:val="0"/>
              <w:autoSpaceDE/>
              <w:autoSpaceDN/>
              <w:bidi w:val="0"/>
              <w:adjustRightInd/>
              <w:snapToGrid/>
              <w:spacing w:before="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作业区域、使用药械名称使用量、作业方式、防治虫害种类、虫害趋势分析、双方单位及人员信息、作业情况、客户反馈、处理方式与结果、存在问题与建议。虫害公司提供服务。</w:t>
            </w:r>
          </w:p>
        </w:tc>
        <w:tc>
          <w:tcPr>
            <w:tcW w:w="892" w:type="pct"/>
            <w:vAlign w:val="center"/>
          </w:tcPr>
          <w:p w14:paraId="7D02145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每次</w:t>
            </w:r>
          </w:p>
        </w:tc>
        <w:tc>
          <w:tcPr>
            <w:tcW w:w="805" w:type="pct"/>
            <w:vAlign w:val="center"/>
          </w:tcPr>
          <w:p w14:paraId="0373D02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4C2A5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61" w:type="pct"/>
            <w:vMerge w:val="continue"/>
            <w:vAlign w:val="center"/>
          </w:tcPr>
          <w:p w14:paraId="241CEC76">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723" w:type="pct"/>
            <w:vAlign w:val="center"/>
          </w:tcPr>
          <w:p w14:paraId="6E40734F">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p>
          <w:p w14:paraId="3CFDE4AE">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综合虫害管理常规检查表</w:t>
            </w:r>
          </w:p>
        </w:tc>
        <w:tc>
          <w:tcPr>
            <w:tcW w:w="645" w:type="pct"/>
            <w:vAlign w:val="center"/>
          </w:tcPr>
          <w:p w14:paraId="3B4DFED2">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391ADAA6">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对厂区及建筑物内的环境、防御设施、虫鼠害隐匿所、虫鼠害迹象等进行综合检查(我司留档)；</w:t>
            </w:r>
          </w:p>
          <w:p w14:paraId="12425F7C">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虫害公司提供服务。</w:t>
            </w:r>
          </w:p>
        </w:tc>
        <w:tc>
          <w:tcPr>
            <w:tcW w:w="892" w:type="pct"/>
            <w:vAlign w:val="center"/>
          </w:tcPr>
          <w:p w14:paraId="1FC8A336">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每次</w:t>
            </w:r>
          </w:p>
        </w:tc>
        <w:tc>
          <w:tcPr>
            <w:tcW w:w="805" w:type="pct"/>
            <w:vAlign w:val="center"/>
          </w:tcPr>
          <w:p w14:paraId="32032320">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0956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0" w:hRule="atLeast"/>
        </w:trPr>
        <w:tc>
          <w:tcPr>
            <w:tcW w:w="361" w:type="pct"/>
            <w:vMerge w:val="continue"/>
            <w:vAlign w:val="center"/>
          </w:tcPr>
          <w:p w14:paraId="610C64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723" w:type="pct"/>
            <w:vAlign w:val="center"/>
          </w:tcPr>
          <w:p w14:paraId="32F3525E">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药械使用记录</w:t>
            </w:r>
          </w:p>
        </w:tc>
        <w:tc>
          <w:tcPr>
            <w:tcW w:w="645" w:type="pct"/>
            <w:vAlign w:val="center"/>
          </w:tcPr>
          <w:p w14:paraId="14F870AA">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00613A42">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right="-29"/>
              <w:jc w:val="both"/>
              <w:textAlignment w:val="auto"/>
              <w:rPr>
                <w:rFonts w:hint="eastAsia" w:ascii="仿宋" w:hAnsi="仿宋" w:eastAsia="仿宋" w:cs="仿宋"/>
                <w:sz w:val="21"/>
                <w:szCs w:val="21"/>
              </w:rPr>
            </w:pPr>
            <w:r>
              <w:rPr>
                <w:rFonts w:hint="eastAsia" w:ascii="仿宋" w:hAnsi="仿宋" w:eastAsia="仿宋" w:cs="仿宋"/>
                <w:spacing w:val="-3"/>
                <w:sz w:val="21"/>
                <w:szCs w:val="21"/>
              </w:rPr>
              <w:t>包括：日期、产品名称成分、使用浓度、使用场所、用药量、</w:t>
            </w:r>
            <w:r>
              <w:rPr>
                <w:rFonts w:hint="eastAsia" w:ascii="仿宋" w:hAnsi="仿宋" w:eastAsia="仿宋" w:cs="仿宋"/>
                <w:sz w:val="21"/>
                <w:szCs w:val="21"/>
              </w:rPr>
              <w:t>MSDS</w:t>
            </w:r>
            <w:r>
              <w:rPr>
                <w:rFonts w:hint="eastAsia" w:ascii="仿宋" w:hAnsi="仿宋" w:eastAsia="仿宋" w:cs="仿宋"/>
                <w:spacing w:val="-16"/>
                <w:sz w:val="21"/>
                <w:szCs w:val="21"/>
              </w:rPr>
              <w:t>、</w:t>
            </w:r>
            <w:r>
              <w:rPr>
                <w:rFonts w:hint="eastAsia" w:ascii="仿宋" w:hAnsi="仿宋" w:eastAsia="仿宋" w:cs="仿宋"/>
                <w:spacing w:val="-3"/>
                <w:sz w:val="21"/>
                <w:szCs w:val="21"/>
              </w:rPr>
              <w:t>防治对象、人员等（</w:t>
            </w:r>
            <w:r>
              <w:rPr>
                <w:rFonts w:hint="eastAsia" w:ascii="仿宋" w:hAnsi="仿宋" w:eastAsia="仿宋" w:cs="仿宋"/>
                <w:sz w:val="21"/>
                <w:szCs w:val="21"/>
              </w:rPr>
              <w:t>我</w:t>
            </w:r>
            <w:r>
              <w:rPr>
                <w:rFonts w:hint="eastAsia" w:ascii="仿宋" w:hAnsi="仿宋" w:eastAsia="仿宋" w:cs="仿宋"/>
                <w:spacing w:val="-1"/>
                <w:sz w:val="21"/>
                <w:szCs w:val="21"/>
              </w:rPr>
              <w:t>司留档</w:t>
            </w:r>
            <w:r>
              <w:rPr>
                <w:rFonts w:hint="eastAsia" w:ascii="仿宋" w:hAnsi="仿宋" w:eastAsia="仿宋" w:cs="仿宋"/>
                <w:sz w:val="21"/>
                <w:szCs w:val="21"/>
              </w:rPr>
              <w:t>）；</w:t>
            </w:r>
          </w:p>
          <w:p w14:paraId="43B2BA7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虫害公司提供服务</w:t>
            </w:r>
          </w:p>
        </w:tc>
        <w:tc>
          <w:tcPr>
            <w:tcW w:w="892" w:type="pct"/>
            <w:vAlign w:val="center"/>
          </w:tcPr>
          <w:p w14:paraId="6F54D9C6">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每次</w:t>
            </w:r>
          </w:p>
        </w:tc>
        <w:tc>
          <w:tcPr>
            <w:tcW w:w="805" w:type="pct"/>
            <w:vAlign w:val="center"/>
          </w:tcPr>
          <w:p w14:paraId="6D99F12E">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687D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trPr>
        <w:tc>
          <w:tcPr>
            <w:tcW w:w="361" w:type="pct"/>
            <w:vMerge w:val="continue"/>
            <w:vAlign w:val="center"/>
          </w:tcPr>
          <w:p w14:paraId="0D39D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723" w:type="pct"/>
            <w:vAlign w:val="center"/>
          </w:tcPr>
          <w:p w14:paraId="1DD4F74F">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1"/>
              <w:jc w:val="both"/>
              <w:textAlignment w:val="auto"/>
              <w:rPr>
                <w:rFonts w:hint="eastAsia" w:ascii="仿宋" w:hAnsi="仿宋" w:eastAsia="仿宋" w:cs="仿宋"/>
                <w:sz w:val="21"/>
                <w:szCs w:val="21"/>
              </w:rPr>
            </w:pPr>
            <w:r>
              <w:rPr>
                <w:rFonts w:hint="eastAsia" w:ascii="仿宋" w:hAnsi="仿宋" w:eastAsia="仿宋" w:cs="仿宋"/>
                <w:sz w:val="21"/>
                <w:szCs w:val="21"/>
              </w:rPr>
              <w:t>防治设施检查记录表</w:t>
            </w:r>
          </w:p>
        </w:tc>
        <w:tc>
          <w:tcPr>
            <w:tcW w:w="645" w:type="pct"/>
            <w:vAlign w:val="center"/>
          </w:tcPr>
          <w:p w14:paraId="7196C71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1D6AD74A">
            <w:pPr>
              <w:pStyle w:val="77"/>
              <w:keepNext w:val="0"/>
              <w:keepLines w:val="0"/>
              <w:pageBreakBefore w:val="0"/>
              <w:widowControl w:val="0"/>
              <w:suppressLineNumbers w:val="0"/>
              <w:kinsoku/>
              <w:wordWrap/>
              <w:overflowPunct/>
              <w:topLinePunct w:val="0"/>
              <w:autoSpaceDE/>
              <w:autoSpaceDN/>
              <w:bidi w:val="0"/>
              <w:adjustRightInd/>
              <w:snapToGrid/>
              <w:spacing w:before="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包括：鼠饵站检查记录捕鼠器检查记录、粘鼠板检查记录、灭蝇灯检查记录（我司留档）；虫害公司提供服务。</w:t>
            </w:r>
          </w:p>
        </w:tc>
        <w:tc>
          <w:tcPr>
            <w:tcW w:w="892" w:type="pct"/>
            <w:vAlign w:val="center"/>
          </w:tcPr>
          <w:p w14:paraId="650F8884">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每次</w:t>
            </w:r>
          </w:p>
        </w:tc>
        <w:tc>
          <w:tcPr>
            <w:tcW w:w="805" w:type="pct"/>
            <w:vAlign w:val="center"/>
          </w:tcPr>
          <w:p w14:paraId="7E8DCD84">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34B1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0" w:hRule="atLeast"/>
        </w:trPr>
        <w:tc>
          <w:tcPr>
            <w:tcW w:w="361" w:type="pct"/>
            <w:vMerge w:val="continue"/>
            <w:vAlign w:val="center"/>
          </w:tcPr>
          <w:p w14:paraId="5F2FF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723" w:type="pct"/>
            <w:vAlign w:val="center"/>
          </w:tcPr>
          <w:p w14:paraId="50C9F55A">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进出厂产品清单</w:t>
            </w:r>
          </w:p>
        </w:tc>
        <w:tc>
          <w:tcPr>
            <w:tcW w:w="645" w:type="pct"/>
            <w:vAlign w:val="center"/>
          </w:tcPr>
          <w:p w14:paraId="7CF8949E">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1AC22380">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3"/>
                <w:sz w:val="21"/>
                <w:szCs w:val="21"/>
                <w:lang w:val="en-US" w:eastAsia="zh-CN"/>
              </w:rPr>
              <w:t>.</w:t>
            </w:r>
            <w:r>
              <w:rPr>
                <w:rFonts w:hint="eastAsia" w:ascii="仿宋" w:hAnsi="仿宋" w:eastAsia="仿宋" w:cs="仿宋"/>
                <w:spacing w:val="-3"/>
                <w:sz w:val="21"/>
                <w:szCs w:val="21"/>
              </w:rPr>
              <w:t>产品名称</w:t>
            </w:r>
          </w:p>
          <w:p w14:paraId="05FFE364">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pacing w:val="-3"/>
                <w:sz w:val="21"/>
                <w:szCs w:val="21"/>
                <w:lang w:val="en-US" w:eastAsia="zh-CN"/>
              </w:rPr>
              <w:t>.</w:t>
            </w:r>
            <w:r>
              <w:rPr>
                <w:rFonts w:hint="eastAsia" w:ascii="仿宋" w:hAnsi="仿宋" w:eastAsia="仿宋" w:cs="仿宋"/>
                <w:spacing w:val="-3"/>
                <w:sz w:val="21"/>
                <w:szCs w:val="21"/>
              </w:rPr>
              <w:t>入厂数量</w:t>
            </w:r>
          </w:p>
          <w:p w14:paraId="2EC1B7CC">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服务使用数量</w:t>
            </w:r>
          </w:p>
          <w:p w14:paraId="32B2CA08">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剩余数量</w:t>
            </w:r>
          </w:p>
          <w:p w14:paraId="745CDD31">
            <w:pPr>
              <w:pStyle w:val="77"/>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240" w:lineRule="auto"/>
              <w:ind w:left="101" w:right="26"/>
              <w:jc w:val="both"/>
              <w:textAlignment w:val="auto"/>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w:t>
            </w:r>
            <w:r>
              <w:rPr>
                <w:rFonts w:hint="eastAsia" w:ascii="仿宋" w:hAnsi="仿宋" w:eastAsia="仿宋" w:cs="仿宋"/>
                <w:sz w:val="21"/>
                <w:szCs w:val="21"/>
              </w:rPr>
              <w:t>替换下数量(废弃)； 虫害公司提供服务。</w:t>
            </w:r>
          </w:p>
        </w:tc>
        <w:tc>
          <w:tcPr>
            <w:tcW w:w="892" w:type="pct"/>
            <w:vAlign w:val="center"/>
          </w:tcPr>
          <w:p w14:paraId="49CDDFA8">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每次</w:t>
            </w:r>
          </w:p>
        </w:tc>
        <w:tc>
          <w:tcPr>
            <w:tcW w:w="805" w:type="pct"/>
            <w:vAlign w:val="center"/>
          </w:tcPr>
          <w:p w14:paraId="4F23ED19">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152F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361" w:type="pct"/>
            <w:vAlign w:val="center"/>
          </w:tcPr>
          <w:p w14:paraId="1CA1D944">
            <w:pPr>
              <w:pStyle w:val="77"/>
              <w:keepNext w:val="0"/>
              <w:keepLines w:val="0"/>
              <w:pageBreakBefore w:val="0"/>
              <w:widowControl w:val="0"/>
              <w:suppressLineNumbers w:val="0"/>
              <w:kinsoku/>
              <w:wordWrap/>
              <w:overflowPunct/>
              <w:topLinePunct w:val="0"/>
              <w:autoSpaceDE/>
              <w:autoSpaceDN/>
              <w:bidi w:val="0"/>
              <w:adjustRightInd/>
              <w:snapToGrid/>
              <w:spacing w:before="139"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val="en-US"/>
              </w:rPr>
              <w:t>8</w:t>
            </w:r>
          </w:p>
        </w:tc>
        <w:tc>
          <w:tcPr>
            <w:tcW w:w="723" w:type="pct"/>
            <w:vAlign w:val="center"/>
          </w:tcPr>
          <w:p w14:paraId="6BC486DE">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风险评估</w:t>
            </w:r>
          </w:p>
        </w:tc>
        <w:tc>
          <w:tcPr>
            <w:tcW w:w="645" w:type="pct"/>
            <w:vAlign w:val="center"/>
          </w:tcPr>
          <w:p w14:paraId="686A2E91">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2BFA7512">
            <w:pPr>
              <w:pStyle w:val="77"/>
              <w:keepNext w:val="0"/>
              <w:keepLines w:val="0"/>
              <w:pageBreakBefore w:val="0"/>
              <w:widowControl w:val="0"/>
              <w:suppressLineNumbers w:val="0"/>
              <w:kinsoku/>
              <w:wordWrap/>
              <w:overflowPunct/>
              <w:topLinePunct w:val="0"/>
              <w:autoSpaceDE/>
              <w:autoSpaceDN/>
              <w:bidi w:val="0"/>
              <w:adjustRightInd/>
              <w:snapToGrid/>
              <w:spacing w:before="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pacing w:val="-5"/>
                <w:sz w:val="21"/>
                <w:szCs w:val="21"/>
              </w:rPr>
              <w:t>排查所属区域存在风险的区域，并以书面报告</w:t>
            </w:r>
            <w:r>
              <w:rPr>
                <w:rFonts w:hint="eastAsia" w:ascii="仿宋" w:hAnsi="仿宋" w:eastAsia="仿宋" w:cs="仿宋"/>
                <w:spacing w:val="-3"/>
                <w:sz w:val="21"/>
                <w:szCs w:val="21"/>
              </w:rPr>
              <w:t xml:space="preserve">形式提出整改意见； </w:t>
            </w:r>
            <w:r>
              <w:rPr>
                <w:rFonts w:hint="eastAsia" w:ascii="仿宋" w:hAnsi="仿宋" w:eastAsia="仿宋" w:cs="仿宋"/>
                <w:spacing w:val="-4"/>
                <w:sz w:val="21"/>
                <w:szCs w:val="21"/>
              </w:rPr>
              <w:t>虫害公司提供服务，并要求服务人员为主管级</w:t>
            </w:r>
            <w:r>
              <w:rPr>
                <w:rFonts w:hint="eastAsia" w:ascii="仿宋" w:hAnsi="仿宋" w:eastAsia="仿宋" w:cs="仿宋"/>
                <w:spacing w:val="-1"/>
                <w:sz w:val="21"/>
                <w:szCs w:val="21"/>
              </w:rPr>
              <w:t>以上级别</w:t>
            </w:r>
          </w:p>
        </w:tc>
        <w:tc>
          <w:tcPr>
            <w:tcW w:w="892" w:type="pct"/>
            <w:vAlign w:val="center"/>
          </w:tcPr>
          <w:p w14:paraId="2203A6B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每年不少于 2 次</w:t>
            </w:r>
          </w:p>
        </w:tc>
        <w:tc>
          <w:tcPr>
            <w:tcW w:w="805" w:type="pct"/>
            <w:vAlign w:val="center"/>
          </w:tcPr>
          <w:p w14:paraId="0E54846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0873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5" w:hRule="atLeast"/>
        </w:trPr>
        <w:tc>
          <w:tcPr>
            <w:tcW w:w="361" w:type="pct"/>
            <w:vAlign w:val="center"/>
          </w:tcPr>
          <w:p w14:paraId="4717C381">
            <w:pPr>
              <w:pStyle w:val="77"/>
              <w:keepNext w:val="0"/>
              <w:keepLines w:val="0"/>
              <w:pageBreakBefore w:val="0"/>
              <w:widowControl w:val="0"/>
              <w:suppressLineNumbers w:val="0"/>
              <w:kinsoku/>
              <w:wordWrap/>
              <w:overflowPunct/>
              <w:topLinePunct w:val="0"/>
              <w:autoSpaceDE/>
              <w:autoSpaceDN/>
              <w:bidi w:val="0"/>
              <w:adjustRightInd/>
              <w:snapToGrid/>
              <w:spacing w:before="137" w:beforeAutospacing="0" w:after="0" w:afterAutospacing="0" w:line="240" w:lineRule="auto"/>
              <w:ind w:left="0" w:right="68"/>
              <w:jc w:val="center"/>
              <w:textAlignment w:val="auto"/>
              <w:rPr>
                <w:rFonts w:hint="eastAsia" w:ascii="仿宋" w:hAnsi="仿宋" w:eastAsia="仿宋" w:cs="仿宋"/>
                <w:sz w:val="21"/>
                <w:szCs w:val="21"/>
              </w:rPr>
            </w:pPr>
            <w:r>
              <w:rPr>
                <w:rFonts w:hint="eastAsia" w:ascii="仿宋" w:hAnsi="仿宋" w:eastAsia="仿宋" w:cs="仿宋"/>
                <w:sz w:val="21"/>
                <w:szCs w:val="21"/>
                <w:lang w:val="en-US"/>
              </w:rPr>
              <w:t>9</w:t>
            </w:r>
          </w:p>
        </w:tc>
        <w:tc>
          <w:tcPr>
            <w:tcW w:w="723" w:type="pct"/>
            <w:vAlign w:val="center"/>
          </w:tcPr>
          <w:p w14:paraId="1D219738">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虫害趋势分析</w:t>
            </w:r>
          </w:p>
        </w:tc>
        <w:tc>
          <w:tcPr>
            <w:tcW w:w="645" w:type="pct"/>
            <w:vAlign w:val="center"/>
          </w:tcPr>
          <w:p w14:paraId="79584F11">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42755F72">
            <w:pPr>
              <w:pStyle w:val="77"/>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pacing w:val="-5"/>
                <w:sz w:val="21"/>
                <w:szCs w:val="21"/>
              </w:rPr>
              <w:t>根据虫害设施统计数据以及综合检查记录对本阶段的虫害密度图示及</w:t>
            </w:r>
            <w:r>
              <w:rPr>
                <w:rFonts w:hint="eastAsia" w:ascii="仿宋" w:hAnsi="仿宋" w:eastAsia="仿宋" w:cs="仿宋"/>
                <w:spacing w:val="-4"/>
                <w:sz w:val="21"/>
                <w:szCs w:val="21"/>
              </w:rPr>
              <w:t>分析原因、对下一步的</w:t>
            </w:r>
            <w:r>
              <w:rPr>
                <w:rFonts w:hint="eastAsia" w:ascii="仿宋" w:hAnsi="仿宋" w:eastAsia="仿宋" w:cs="仿宋"/>
                <w:spacing w:val="-3"/>
                <w:sz w:val="21"/>
                <w:szCs w:val="21"/>
              </w:rPr>
              <w:t>跟进措施进行阐述； 虫害公司提供服务。</w:t>
            </w:r>
          </w:p>
        </w:tc>
        <w:tc>
          <w:tcPr>
            <w:tcW w:w="892" w:type="pct"/>
            <w:vAlign w:val="center"/>
          </w:tcPr>
          <w:p w14:paraId="19DED72D">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每月</w:t>
            </w:r>
          </w:p>
        </w:tc>
        <w:tc>
          <w:tcPr>
            <w:tcW w:w="805" w:type="pct"/>
            <w:vAlign w:val="center"/>
          </w:tcPr>
          <w:p w14:paraId="080E3884">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525DC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 w:hRule="atLeast"/>
        </w:trPr>
        <w:tc>
          <w:tcPr>
            <w:tcW w:w="361" w:type="pct"/>
            <w:vAlign w:val="center"/>
          </w:tcPr>
          <w:p w14:paraId="0E4E210A">
            <w:pPr>
              <w:pStyle w:val="77"/>
              <w:keepNext w:val="0"/>
              <w:keepLines w:val="0"/>
              <w:pageBreakBefore w:val="0"/>
              <w:widowControl w:val="0"/>
              <w:suppressLineNumbers w:val="0"/>
              <w:kinsoku/>
              <w:wordWrap/>
              <w:overflowPunct/>
              <w:topLinePunct w:val="0"/>
              <w:autoSpaceDE/>
              <w:autoSpaceDN/>
              <w:bidi w:val="0"/>
              <w:adjustRightInd/>
              <w:snapToGrid/>
              <w:spacing w:before="139" w:beforeAutospacing="0" w:after="0" w:afterAutospacing="0" w:line="240" w:lineRule="auto"/>
              <w:ind w:left="0" w:right="68"/>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rPr>
              <w:t>10</w:t>
            </w:r>
          </w:p>
        </w:tc>
        <w:tc>
          <w:tcPr>
            <w:tcW w:w="723" w:type="pct"/>
            <w:vAlign w:val="center"/>
          </w:tcPr>
          <w:p w14:paraId="1D1E7F3F">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工厂员工培训</w:t>
            </w:r>
          </w:p>
        </w:tc>
        <w:tc>
          <w:tcPr>
            <w:tcW w:w="645" w:type="pct"/>
            <w:vAlign w:val="center"/>
          </w:tcPr>
          <w:p w14:paraId="2B8E0E2E">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15E0B2D8">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01" w:right="7"/>
              <w:jc w:val="both"/>
              <w:textAlignment w:val="auto"/>
              <w:rPr>
                <w:rFonts w:hint="eastAsia" w:ascii="仿宋" w:hAnsi="仿宋" w:eastAsia="仿宋" w:cs="仿宋"/>
                <w:sz w:val="21"/>
                <w:szCs w:val="21"/>
              </w:rPr>
            </w:pPr>
            <w:r>
              <w:rPr>
                <w:rFonts w:hint="eastAsia" w:ascii="仿宋" w:hAnsi="仿宋" w:eastAsia="仿宋" w:cs="仿宋"/>
                <w:spacing w:val="-3"/>
                <w:sz w:val="21"/>
                <w:szCs w:val="21"/>
              </w:rPr>
              <w:t>培训时间待定，大致在5</w:t>
            </w:r>
            <w:r>
              <w:rPr>
                <w:rFonts w:hint="eastAsia" w:ascii="仿宋" w:hAnsi="仿宋" w:eastAsia="仿宋" w:cs="仿宋"/>
                <w:spacing w:val="-2"/>
                <w:sz w:val="21"/>
                <w:szCs w:val="21"/>
              </w:rPr>
              <w:t>月—</w:t>
            </w:r>
            <w:r>
              <w:rPr>
                <w:rFonts w:hint="eastAsia" w:ascii="仿宋" w:hAnsi="仿宋" w:eastAsia="仿宋" w:cs="仿宋"/>
                <w:sz w:val="21"/>
                <w:szCs w:val="21"/>
              </w:rPr>
              <w:t>9</w:t>
            </w:r>
            <w:r>
              <w:rPr>
                <w:rFonts w:hint="eastAsia" w:ascii="仿宋" w:hAnsi="仿宋" w:eastAsia="仿宋" w:cs="仿宋"/>
                <w:spacing w:val="-13"/>
                <w:sz w:val="21"/>
                <w:szCs w:val="21"/>
              </w:rPr>
              <w:t>月，培训时长不</w:t>
            </w:r>
            <w:r>
              <w:rPr>
                <w:rFonts w:hint="eastAsia" w:ascii="仿宋" w:hAnsi="仿宋" w:eastAsia="仿宋" w:cs="仿宋"/>
                <w:spacing w:val="-19"/>
                <w:sz w:val="21"/>
                <w:szCs w:val="21"/>
              </w:rPr>
              <w:t xml:space="preserve">少于 </w:t>
            </w:r>
            <w:r>
              <w:rPr>
                <w:rFonts w:hint="eastAsia" w:ascii="仿宋" w:hAnsi="仿宋" w:eastAsia="仿宋" w:cs="仿宋"/>
                <w:sz w:val="21"/>
                <w:szCs w:val="21"/>
              </w:rPr>
              <w:t>3</w:t>
            </w:r>
            <w:r>
              <w:rPr>
                <w:rFonts w:hint="eastAsia" w:ascii="仿宋" w:hAnsi="仿宋" w:eastAsia="仿宋" w:cs="仿宋"/>
                <w:spacing w:val="-2"/>
                <w:sz w:val="21"/>
                <w:szCs w:val="21"/>
              </w:rPr>
              <w:t>小时；</w:t>
            </w:r>
          </w:p>
          <w:p w14:paraId="6A53EF9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虫害公司提供服务，要求服务人员为主管级以上级别。</w:t>
            </w:r>
          </w:p>
        </w:tc>
        <w:tc>
          <w:tcPr>
            <w:tcW w:w="892" w:type="pct"/>
            <w:vAlign w:val="center"/>
          </w:tcPr>
          <w:p w14:paraId="33462C1F">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每年不少于 1 次</w:t>
            </w:r>
          </w:p>
        </w:tc>
        <w:tc>
          <w:tcPr>
            <w:tcW w:w="805" w:type="pct"/>
            <w:vAlign w:val="center"/>
          </w:tcPr>
          <w:p w14:paraId="71C2D83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14:paraId="7F8A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 w:hRule="atLeast"/>
        </w:trPr>
        <w:tc>
          <w:tcPr>
            <w:tcW w:w="361" w:type="pct"/>
            <w:vAlign w:val="center"/>
          </w:tcPr>
          <w:p w14:paraId="7C053B2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8"/>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rPr>
              <w:t>11</w:t>
            </w:r>
          </w:p>
        </w:tc>
        <w:tc>
          <w:tcPr>
            <w:tcW w:w="723" w:type="pct"/>
            <w:vAlign w:val="center"/>
          </w:tcPr>
          <w:p w14:paraId="04C1566B">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定期沟通</w:t>
            </w:r>
          </w:p>
        </w:tc>
        <w:tc>
          <w:tcPr>
            <w:tcW w:w="645" w:type="pct"/>
            <w:vAlign w:val="center"/>
          </w:tcPr>
          <w:p w14:paraId="7C2C0228">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3"/>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1571" w:type="pct"/>
            <w:vAlign w:val="center"/>
          </w:tcPr>
          <w:p w14:paraId="150349CB">
            <w:pPr>
              <w:pStyle w:val="77"/>
              <w:keepNext w:val="0"/>
              <w:keepLines w:val="0"/>
              <w:pageBreakBefore w:val="0"/>
              <w:widowControl w:val="0"/>
              <w:suppressLineNumbers w:val="0"/>
              <w:kinsoku/>
              <w:wordWrap/>
              <w:overflowPunct/>
              <w:topLinePunct w:val="0"/>
              <w:autoSpaceDE/>
              <w:autoSpaceDN/>
              <w:bidi w:val="0"/>
              <w:adjustRightInd/>
              <w:snapToGrid/>
              <w:spacing w:before="10" w:beforeAutospacing="0" w:after="0" w:afterAutospacing="0" w:line="240" w:lineRule="auto"/>
              <w:ind w:left="0" w:right="50"/>
              <w:jc w:val="both"/>
              <w:textAlignment w:val="auto"/>
              <w:rPr>
                <w:rFonts w:hint="eastAsia" w:ascii="仿宋" w:hAnsi="仿宋" w:eastAsia="仿宋" w:cs="仿宋"/>
                <w:sz w:val="21"/>
                <w:szCs w:val="21"/>
              </w:rPr>
            </w:pPr>
            <w:r>
              <w:rPr>
                <w:rFonts w:hint="eastAsia" w:ascii="仿宋" w:hAnsi="仿宋" w:eastAsia="仿宋" w:cs="仿宋"/>
                <w:sz w:val="21"/>
                <w:szCs w:val="21"/>
              </w:rPr>
              <w:t>了解客诉诉求，协助客户解决问题；</w:t>
            </w:r>
          </w:p>
        </w:tc>
        <w:tc>
          <w:tcPr>
            <w:tcW w:w="892" w:type="pct"/>
            <w:vAlign w:val="center"/>
          </w:tcPr>
          <w:p w14:paraId="12E83B1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每年不少于 2 次</w:t>
            </w:r>
          </w:p>
        </w:tc>
        <w:tc>
          <w:tcPr>
            <w:tcW w:w="805" w:type="pct"/>
            <w:vAlign w:val="center"/>
          </w:tcPr>
          <w:p w14:paraId="6AC6F1F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bl>
    <w:p w14:paraId="6C110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4AA1C70F">
      <w:pPr>
        <w:spacing w:line="360" w:lineRule="auto"/>
        <w:jc w:val="both"/>
        <w:rPr>
          <w:rFonts w:hint="eastAsia" w:ascii="仿宋" w:hAnsi="仿宋" w:eastAsia="仿宋" w:cs="仿宋"/>
          <w:b/>
          <w:bCs/>
          <w:sz w:val="28"/>
          <w:szCs w:val="28"/>
          <w:lang w:val="zh-CN"/>
        </w:rPr>
      </w:pPr>
      <w:r>
        <w:rPr>
          <w:rFonts w:hint="eastAsia" w:ascii="仿宋" w:hAnsi="仿宋" w:eastAsia="仿宋" w:cs="仿宋"/>
          <w:b/>
          <w:bCs/>
          <w:sz w:val="28"/>
          <w:szCs w:val="28"/>
          <w:lang w:val="zh-CN"/>
        </w:rPr>
        <w:t>备注：</w:t>
      </w:r>
    </w:p>
    <w:p w14:paraId="0AD87C83">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（1）带锁式鼠饵站的清理基准：每次服务后鼠饵站内部不允许出现雨水、灰尘等杂物。</w:t>
      </w:r>
    </w:p>
    <w:p w14:paraId="7B25CAE3">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（2）带锁式鼠饵站内药饵的更换基准：脏、失效、被食、潮湿霉变情况下每次服务时需随即更换；完整的药饵不脏、不失效的情况下每一个月更换一次。</w:t>
      </w:r>
    </w:p>
    <w:p w14:paraId="14055D26">
      <w:pPr>
        <w:spacing w:line="360" w:lineRule="auto"/>
        <w:jc w:val="both"/>
        <w:rPr>
          <w:rFonts w:hint="eastAsia" w:ascii="仿宋" w:hAnsi="仿宋" w:eastAsia="仿宋" w:cs="仿宋"/>
          <w:b/>
          <w:bCs/>
          <w:sz w:val="24"/>
          <w:szCs w:val="24"/>
          <w:highlight w:val="yellow"/>
          <w:lang w:val="zh-CN"/>
        </w:rPr>
      </w:pPr>
      <w:r>
        <w:rPr>
          <w:rFonts w:hint="eastAsia" w:ascii="仿宋" w:hAnsi="仿宋" w:eastAsia="仿宋" w:cs="仿宋"/>
          <w:sz w:val="24"/>
          <w:szCs w:val="24"/>
          <w:lang w:val="zh-CN"/>
        </w:rPr>
        <w:t>（3）粘捕纸的更换基准：灭蝇纸粘虫面积达到70%必须更换；若浸湿、灰尘多、粘度不够等现象也应进行更换；</w:t>
      </w:r>
      <w:r>
        <w:rPr>
          <w:rFonts w:hint="eastAsia" w:ascii="仿宋" w:hAnsi="仿宋" w:eastAsia="仿宋" w:cs="仿宋"/>
          <w:b/>
          <w:bCs/>
          <w:sz w:val="24"/>
          <w:szCs w:val="24"/>
          <w:highlight w:val="yellow"/>
          <w:lang w:val="zh-CN"/>
        </w:rPr>
        <w:t>因夏季飞虫类有害生物较多，5-</w:t>
      </w:r>
      <w:r>
        <w:rPr>
          <w:rFonts w:hint="eastAsia" w:ascii="仿宋" w:hAnsi="仿宋" w:eastAsia="仿宋" w:cs="仿宋"/>
          <w:b/>
          <w:bCs/>
          <w:sz w:val="24"/>
          <w:szCs w:val="24"/>
          <w:highlight w:val="yellow"/>
          <w:lang w:val="en-US" w:eastAsia="zh-CN"/>
        </w:rPr>
        <w:t>10</w:t>
      </w:r>
      <w:r>
        <w:rPr>
          <w:rFonts w:hint="eastAsia" w:ascii="仿宋" w:hAnsi="仿宋" w:eastAsia="仿宋" w:cs="仿宋"/>
          <w:b/>
          <w:bCs/>
          <w:sz w:val="24"/>
          <w:szCs w:val="24"/>
          <w:highlight w:val="yellow"/>
          <w:lang w:val="zh-CN"/>
        </w:rPr>
        <w:t>月每月除按照服务频率更换，</w:t>
      </w:r>
      <w:r>
        <w:rPr>
          <w:rFonts w:hint="eastAsia" w:ascii="仿宋" w:hAnsi="仿宋" w:eastAsia="仿宋" w:cs="仿宋"/>
          <w:b/>
          <w:bCs/>
          <w:sz w:val="24"/>
          <w:szCs w:val="24"/>
          <w:highlight w:val="yellow"/>
          <w:lang w:val="en-US" w:eastAsia="zh-CN"/>
        </w:rPr>
        <w:t>应</w:t>
      </w:r>
      <w:r>
        <w:rPr>
          <w:rFonts w:hint="eastAsia" w:ascii="仿宋" w:hAnsi="仿宋" w:eastAsia="仿宋" w:cs="仿宋"/>
          <w:b/>
          <w:bCs/>
          <w:sz w:val="24"/>
          <w:szCs w:val="24"/>
          <w:highlight w:val="yellow"/>
          <w:lang w:val="zh-CN"/>
        </w:rPr>
        <w:t>额外提供</w:t>
      </w:r>
      <w:r>
        <w:rPr>
          <w:rFonts w:hint="eastAsia" w:ascii="仿宋" w:hAnsi="仿宋" w:eastAsia="仿宋" w:cs="仿宋"/>
          <w:b/>
          <w:bCs/>
          <w:sz w:val="24"/>
          <w:szCs w:val="24"/>
          <w:highlight w:val="yellow"/>
          <w:lang w:val="en-US" w:eastAsia="zh-CN"/>
        </w:rPr>
        <w:t>500张</w:t>
      </w:r>
      <w:r>
        <w:rPr>
          <w:rFonts w:hint="eastAsia" w:ascii="仿宋" w:hAnsi="仿宋" w:eastAsia="仿宋" w:cs="仿宋"/>
          <w:b/>
          <w:bCs/>
          <w:sz w:val="24"/>
          <w:szCs w:val="24"/>
          <w:highlight w:val="yellow"/>
          <w:lang w:val="zh-CN"/>
        </w:rPr>
        <w:t>粘捕纸供我司人员自行更换。</w:t>
      </w:r>
    </w:p>
    <w:p w14:paraId="5BB1569A">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（4）可见机械式捕鼠器的清理基准：每次服务后鼠饵站内部不允许出现雨水、灰尘等杂物。</w:t>
      </w:r>
    </w:p>
    <w:p w14:paraId="61EEF24A">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（5）粘鼠板更换基准：抓过</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只老鼠或灰尘布满时需随即更换。因夏季鼠类有害生物较多，</w:t>
      </w:r>
      <w:r>
        <w:rPr>
          <w:rFonts w:hint="eastAsia" w:ascii="仿宋" w:hAnsi="仿宋" w:eastAsia="仿宋" w:cs="仿宋"/>
          <w:b/>
          <w:bCs/>
          <w:sz w:val="24"/>
          <w:szCs w:val="24"/>
          <w:highlight w:val="yellow"/>
          <w:lang w:val="zh-CN"/>
        </w:rPr>
        <w:t>应额外提供</w:t>
      </w:r>
      <w:r>
        <w:rPr>
          <w:rFonts w:hint="eastAsia" w:ascii="仿宋" w:hAnsi="仿宋" w:eastAsia="仿宋" w:cs="仿宋"/>
          <w:b/>
          <w:bCs/>
          <w:sz w:val="24"/>
          <w:szCs w:val="24"/>
          <w:highlight w:val="yellow"/>
          <w:lang w:val="en-US" w:eastAsia="zh-CN"/>
        </w:rPr>
        <w:t>200个</w:t>
      </w:r>
      <w:r>
        <w:rPr>
          <w:rFonts w:hint="eastAsia" w:ascii="仿宋" w:hAnsi="仿宋" w:eastAsia="仿宋" w:cs="仿宋"/>
          <w:b/>
          <w:bCs/>
          <w:sz w:val="24"/>
          <w:szCs w:val="24"/>
          <w:highlight w:val="yellow"/>
          <w:lang w:val="zh-CN"/>
        </w:rPr>
        <w:t>粘鼠板供我司人员自行更换</w:t>
      </w:r>
      <w:r>
        <w:rPr>
          <w:rFonts w:hint="eastAsia" w:ascii="仿宋" w:hAnsi="仿宋" w:eastAsia="仿宋" w:cs="仿宋"/>
          <w:sz w:val="24"/>
          <w:szCs w:val="24"/>
          <w:lang w:val="zh-CN"/>
        </w:rPr>
        <w:t>。</w:t>
      </w:r>
    </w:p>
    <w:p w14:paraId="4785B10B">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（6）灭蝇灯灯管更换基准：灭蝇灯灯管损坏时需随即更换；未发生损坏的灯管每年更换一次，</w:t>
      </w:r>
      <w:r>
        <w:rPr>
          <w:rFonts w:hint="eastAsia" w:ascii="仿宋" w:hAnsi="仿宋" w:eastAsia="仿宋" w:cs="仿宋"/>
          <w:b/>
          <w:bCs/>
          <w:sz w:val="24"/>
          <w:szCs w:val="24"/>
          <w:highlight w:val="yellow"/>
          <w:lang w:val="en-US" w:eastAsia="zh-CN"/>
        </w:rPr>
        <w:t>另提供10个灯管供我司紧急情况时自行更换</w:t>
      </w:r>
      <w:r>
        <w:rPr>
          <w:rFonts w:hint="eastAsia" w:ascii="仿宋" w:hAnsi="仿宋" w:eastAsia="仿宋" w:cs="仿宋"/>
          <w:b/>
          <w:bCs/>
          <w:sz w:val="24"/>
          <w:szCs w:val="24"/>
          <w:highlight w:val="yellow"/>
          <w:lang w:val="zh-CN" w:eastAsia="zh-CN"/>
        </w:rPr>
        <w:t>。</w:t>
      </w:r>
    </w:p>
    <w:p w14:paraId="0CE674B5">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（7）鼠饵及杀虫剂的选择：必须符合食品企业适用要求、标准及法规要求。若使用违规药剂，造成食品污染或审核不通过，一切后果由服务单位承担。</w:t>
      </w:r>
    </w:p>
    <w:p w14:paraId="25FBB6C8">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val="zh-CN"/>
        </w:rPr>
        <w:t>）在合作期间若发生任何虫鼠害器械损坏，需及时免费更换。</w:t>
      </w:r>
    </w:p>
    <w:p w14:paraId="1CBBD2DE">
      <w:pPr>
        <w:spacing w:line="360" w:lineRule="auto"/>
        <w:jc w:val="both"/>
        <w:rPr>
          <w:rFonts w:hint="eastAsia" w:ascii="仿宋" w:hAnsi="仿宋" w:eastAsia="仿宋" w:cs="仿宋"/>
          <w:sz w:val="24"/>
          <w:szCs w:val="24"/>
          <w:lang w:val="zh-CN" w:eastAsia="zh-CN"/>
        </w:rPr>
      </w:pPr>
      <w:r>
        <w:rPr>
          <w:rFonts w:hint="eastAsia" w:ascii="仿宋" w:hAnsi="仿宋" w:eastAsia="仿宋" w:cs="仿宋"/>
          <w:sz w:val="24"/>
          <w:szCs w:val="24"/>
          <w:lang w:val="zh-CN"/>
        </w:rPr>
        <w:t>（8）如遇客户审核等情况，服务单位需配合竞价采购方对服务时间进行调整，陪审2次以上。</w:t>
      </w:r>
    </w:p>
    <w:p w14:paraId="541DBA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767F0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0B586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101060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22462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5B539C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18D854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6FA08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7EBED9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38A1CA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03CD9A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50ADF7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sectPr>
          <w:pgSz w:w="11906" w:h="16838"/>
          <w:pgMar w:top="737" w:right="907" w:bottom="737" w:left="1304" w:header="624" w:footer="907" w:gutter="0"/>
          <w:cols w:space="425" w:num="1"/>
          <w:titlePg/>
          <w:docGrid w:linePitch="312" w:charSpace="0"/>
        </w:sectPr>
      </w:pPr>
    </w:p>
    <w:p w14:paraId="4B521C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：（每年需要提供/更新的文件材料）</w:t>
      </w:r>
    </w:p>
    <w:p w14:paraId="3F8D0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rPr>
      </w:pPr>
    </w:p>
    <w:tbl>
      <w:tblPr>
        <w:tblStyle w:val="28"/>
        <w:tblW w:w="9987"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3183"/>
        <w:gridCol w:w="3930"/>
        <w:gridCol w:w="1912"/>
      </w:tblGrid>
      <w:tr w14:paraId="7979B42B">
        <w:tblPrEx>
          <w:tblCellMar>
            <w:top w:w="0" w:type="dxa"/>
            <w:left w:w="0" w:type="dxa"/>
            <w:bottom w:w="0" w:type="dxa"/>
            <w:right w:w="0" w:type="dxa"/>
          </w:tblCellMar>
        </w:tblPrEx>
        <w:trPr>
          <w:trHeight w:val="453" w:hRule="atLeast"/>
        </w:trPr>
        <w:tc>
          <w:tcPr>
            <w:tcW w:w="962" w:type="dxa"/>
            <w:tcBorders>
              <w:left w:val="single" w:color="000000" w:sz="6" w:space="0"/>
              <w:right w:val="single" w:color="000000" w:sz="6" w:space="0"/>
            </w:tcBorders>
          </w:tcPr>
          <w:p w14:paraId="3F2BFBC1">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27" w:right="53"/>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183" w:type="dxa"/>
            <w:tcBorders>
              <w:left w:val="single" w:color="000000" w:sz="6" w:space="0"/>
              <w:right w:val="single" w:color="000000" w:sz="6" w:space="0"/>
            </w:tcBorders>
          </w:tcPr>
          <w:p w14:paraId="09C27A13">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504" w:right="47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文档体系资料</w:t>
            </w:r>
          </w:p>
        </w:tc>
        <w:tc>
          <w:tcPr>
            <w:tcW w:w="3930" w:type="dxa"/>
            <w:tcBorders>
              <w:left w:val="single" w:color="000000" w:sz="6" w:space="0"/>
              <w:right w:val="single" w:color="000000" w:sz="6" w:space="0"/>
            </w:tcBorders>
          </w:tcPr>
          <w:p w14:paraId="0EB45B6C">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536" w:right="1521"/>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项目</w:t>
            </w:r>
          </w:p>
        </w:tc>
        <w:tc>
          <w:tcPr>
            <w:tcW w:w="1912" w:type="dxa"/>
            <w:tcBorders>
              <w:left w:val="single" w:color="000000" w:sz="6" w:space="0"/>
              <w:right w:val="single" w:color="000000" w:sz="6" w:space="0"/>
            </w:tcBorders>
          </w:tcPr>
          <w:p w14:paraId="2DFD571A">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201" w:right="21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频率</w:t>
            </w:r>
          </w:p>
        </w:tc>
      </w:tr>
      <w:tr w14:paraId="3011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62" w:type="dxa"/>
            <w:tcBorders>
              <w:left w:val="single" w:color="000000" w:sz="6" w:space="0"/>
              <w:bottom w:val="single" w:color="000000" w:sz="6" w:space="0"/>
              <w:right w:val="single" w:color="000000" w:sz="6" w:space="0"/>
            </w:tcBorders>
          </w:tcPr>
          <w:p w14:paraId="759E7587">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jc w:val="center"/>
              <w:textAlignment w:val="auto"/>
              <w:rPr>
                <w:rFonts w:hint="eastAsia" w:ascii="仿宋" w:hAnsi="仿宋" w:eastAsia="仿宋" w:cs="仿宋"/>
                <w:sz w:val="21"/>
                <w:szCs w:val="21"/>
              </w:rPr>
            </w:pPr>
          </w:p>
          <w:p w14:paraId="1CD8A32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183" w:type="dxa"/>
            <w:tcBorders>
              <w:left w:val="single" w:color="000000" w:sz="6" w:space="0"/>
              <w:bottom w:val="single" w:color="000000" w:sz="6" w:space="0"/>
              <w:right w:val="single" w:color="000000" w:sz="6" w:space="0"/>
            </w:tcBorders>
          </w:tcPr>
          <w:p w14:paraId="55AFACF2">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13A22FAF">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574" w:right="470"/>
              <w:jc w:val="center"/>
              <w:textAlignment w:val="auto"/>
              <w:rPr>
                <w:rFonts w:hint="eastAsia" w:ascii="仿宋" w:hAnsi="仿宋" w:eastAsia="仿宋" w:cs="仿宋"/>
                <w:sz w:val="21"/>
                <w:szCs w:val="21"/>
              </w:rPr>
            </w:pPr>
            <w:r>
              <w:rPr>
                <w:rFonts w:hint="eastAsia" w:ascii="仿宋" w:hAnsi="仿宋" w:eastAsia="仿宋" w:cs="仿宋"/>
                <w:sz w:val="21"/>
                <w:szCs w:val="21"/>
              </w:rPr>
              <w:t>有害生物防控方案</w:t>
            </w:r>
          </w:p>
        </w:tc>
        <w:tc>
          <w:tcPr>
            <w:tcW w:w="3930" w:type="dxa"/>
            <w:tcBorders>
              <w:left w:val="single" w:color="000000" w:sz="6" w:space="0"/>
              <w:bottom w:val="single" w:color="000000" w:sz="6" w:space="0"/>
              <w:right w:val="single" w:color="000000" w:sz="6" w:space="0"/>
            </w:tcBorders>
          </w:tcPr>
          <w:p w14:paraId="0806BB87">
            <w:pPr>
              <w:pStyle w:val="77"/>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112" w:right="9"/>
              <w:textAlignment w:val="auto"/>
              <w:rPr>
                <w:rFonts w:hint="eastAsia" w:ascii="仿宋" w:hAnsi="仿宋" w:eastAsia="仿宋" w:cs="仿宋"/>
                <w:sz w:val="21"/>
                <w:szCs w:val="21"/>
              </w:rPr>
            </w:pPr>
            <w:r>
              <w:rPr>
                <w:rFonts w:hint="eastAsia" w:ascii="仿宋" w:hAnsi="仿宋" w:eastAsia="仿宋" w:cs="仿宋"/>
                <w:sz w:val="21"/>
                <w:szCs w:val="21"/>
              </w:rPr>
              <w:t>防控理念、防控方案、防控团队、服务案例等</w:t>
            </w:r>
          </w:p>
        </w:tc>
        <w:tc>
          <w:tcPr>
            <w:tcW w:w="1912" w:type="dxa"/>
            <w:tcBorders>
              <w:left w:val="single" w:color="000000" w:sz="6" w:space="0"/>
              <w:bottom w:val="single" w:color="000000" w:sz="6" w:space="0"/>
              <w:right w:val="single" w:color="000000" w:sz="6" w:space="0"/>
            </w:tcBorders>
          </w:tcPr>
          <w:p w14:paraId="788935F2">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25307FFF">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199" w:right="210"/>
              <w:jc w:val="center"/>
              <w:textAlignment w:val="auto"/>
              <w:rPr>
                <w:rFonts w:hint="eastAsia" w:ascii="仿宋" w:hAnsi="仿宋" w:eastAsia="仿宋" w:cs="仿宋"/>
                <w:sz w:val="21"/>
                <w:szCs w:val="21"/>
              </w:rPr>
            </w:pPr>
            <w:r>
              <w:rPr>
                <w:rFonts w:hint="eastAsia" w:ascii="仿宋" w:hAnsi="仿宋" w:eastAsia="仿宋" w:cs="仿宋"/>
                <w:sz w:val="21"/>
                <w:szCs w:val="21"/>
              </w:rPr>
              <w:t>一年一次</w:t>
            </w:r>
          </w:p>
        </w:tc>
      </w:tr>
      <w:tr w14:paraId="1432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62" w:type="dxa"/>
            <w:tcBorders>
              <w:top w:val="single" w:color="000000" w:sz="6" w:space="0"/>
              <w:left w:val="single" w:color="000000" w:sz="6" w:space="0"/>
              <w:bottom w:val="single" w:color="000000" w:sz="6" w:space="0"/>
              <w:right w:val="single" w:color="000000" w:sz="6" w:space="0"/>
            </w:tcBorders>
          </w:tcPr>
          <w:p w14:paraId="7FF033C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jc w:val="center"/>
              <w:textAlignment w:val="auto"/>
              <w:rPr>
                <w:rFonts w:hint="eastAsia" w:ascii="仿宋" w:hAnsi="仿宋" w:eastAsia="仿宋" w:cs="仿宋"/>
                <w:sz w:val="21"/>
                <w:szCs w:val="21"/>
              </w:rPr>
            </w:pPr>
          </w:p>
          <w:p w14:paraId="5F8FF078">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183" w:type="dxa"/>
            <w:tcBorders>
              <w:top w:val="single" w:color="000000" w:sz="6" w:space="0"/>
              <w:left w:val="single" w:color="000000" w:sz="6" w:space="0"/>
              <w:bottom w:val="single" w:color="000000" w:sz="6" w:space="0"/>
              <w:right w:val="single" w:color="000000" w:sz="6" w:space="0"/>
            </w:tcBorders>
          </w:tcPr>
          <w:p w14:paraId="5E2582C9">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4A31594C">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573" w:right="470"/>
              <w:jc w:val="center"/>
              <w:textAlignment w:val="auto"/>
              <w:rPr>
                <w:rFonts w:hint="eastAsia" w:ascii="仿宋" w:hAnsi="仿宋" w:eastAsia="仿宋" w:cs="仿宋"/>
                <w:sz w:val="21"/>
                <w:szCs w:val="21"/>
              </w:rPr>
            </w:pPr>
            <w:r>
              <w:rPr>
                <w:rFonts w:hint="eastAsia" w:ascii="仿宋" w:hAnsi="仿宋" w:eastAsia="仿宋" w:cs="仿宋"/>
                <w:sz w:val="21"/>
                <w:szCs w:val="21"/>
              </w:rPr>
              <w:t>资质文件</w:t>
            </w:r>
          </w:p>
        </w:tc>
        <w:tc>
          <w:tcPr>
            <w:tcW w:w="3930" w:type="dxa"/>
            <w:tcBorders>
              <w:top w:val="single" w:color="000000" w:sz="6" w:space="0"/>
              <w:left w:val="single" w:color="000000" w:sz="6" w:space="0"/>
              <w:bottom w:val="single" w:color="000000" w:sz="6" w:space="0"/>
              <w:right w:val="single" w:color="000000" w:sz="6" w:space="0"/>
            </w:tcBorders>
          </w:tcPr>
          <w:p w14:paraId="05363973">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1、营业执照(五证合一)</w:t>
            </w:r>
          </w:p>
          <w:p w14:paraId="2A8CBAB3">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2、行业资质证书/认证证书</w:t>
            </w:r>
          </w:p>
        </w:tc>
        <w:tc>
          <w:tcPr>
            <w:tcW w:w="1912" w:type="dxa"/>
            <w:tcBorders>
              <w:top w:val="single" w:color="000000" w:sz="6" w:space="0"/>
              <w:left w:val="single" w:color="000000" w:sz="6" w:space="0"/>
              <w:bottom w:val="single" w:color="000000" w:sz="6" w:space="0"/>
              <w:right w:val="single" w:color="000000" w:sz="6" w:space="0"/>
            </w:tcBorders>
          </w:tcPr>
          <w:p w14:paraId="0019E0F4">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60A6325D">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199" w:right="210"/>
              <w:jc w:val="center"/>
              <w:textAlignment w:val="auto"/>
              <w:rPr>
                <w:rFonts w:hint="eastAsia" w:ascii="仿宋" w:hAnsi="仿宋" w:eastAsia="仿宋" w:cs="仿宋"/>
                <w:sz w:val="21"/>
                <w:szCs w:val="21"/>
              </w:rPr>
            </w:pPr>
            <w:r>
              <w:rPr>
                <w:rFonts w:hint="eastAsia" w:ascii="仿宋" w:hAnsi="仿宋" w:eastAsia="仿宋" w:cs="仿宋"/>
                <w:sz w:val="21"/>
                <w:szCs w:val="21"/>
              </w:rPr>
              <w:t>及时更新</w:t>
            </w:r>
          </w:p>
        </w:tc>
      </w:tr>
      <w:tr w14:paraId="1666C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62" w:type="dxa"/>
            <w:tcBorders>
              <w:top w:val="single" w:color="000000" w:sz="6" w:space="0"/>
              <w:left w:val="single" w:color="000000" w:sz="6" w:space="0"/>
              <w:bottom w:val="single" w:color="000000" w:sz="6" w:space="0"/>
              <w:right w:val="single" w:color="000000" w:sz="6" w:space="0"/>
            </w:tcBorders>
          </w:tcPr>
          <w:p w14:paraId="62D9E50D">
            <w:pPr>
              <w:pStyle w:val="77"/>
              <w:keepNext w:val="0"/>
              <w:keepLines w:val="0"/>
              <w:pageBreakBefore w:val="0"/>
              <w:widowControl w:val="0"/>
              <w:suppressLineNumbers w:val="0"/>
              <w:kinsoku/>
              <w:wordWrap/>
              <w:overflowPunct/>
              <w:topLinePunct w:val="0"/>
              <w:autoSpaceDE/>
              <w:autoSpaceDN/>
              <w:bidi w:val="0"/>
              <w:adjustRightInd/>
              <w:snapToGrid/>
              <w:spacing w:before="10" w:beforeAutospacing="0" w:after="0" w:afterAutospacing="0" w:line="240" w:lineRule="auto"/>
              <w:ind w:left="0" w:right="0"/>
              <w:textAlignment w:val="auto"/>
              <w:rPr>
                <w:rFonts w:hint="eastAsia" w:ascii="仿宋" w:hAnsi="仿宋" w:eastAsia="仿宋" w:cs="仿宋"/>
                <w:sz w:val="21"/>
                <w:szCs w:val="21"/>
              </w:rPr>
            </w:pPr>
          </w:p>
          <w:p w14:paraId="6A6238F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183" w:type="dxa"/>
            <w:tcBorders>
              <w:top w:val="single" w:color="000000" w:sz="6" w:space="0"/>
              <w:left w:val="single" w:color="000000" w:sz="6" w:space="0"/>
              <w:bottom w:val="single" w:color="000000" w:sz="6" w:space="0"/>
              <w:right w:val="single" w:color="000000" w:sz="6" w:space="0"/>
            </w:tcBorders>
          </w:tcPr>
          <w:p w14:paraId="5824303D">
            <w:pPr>
              <w:pStyle w:val="77"/>
              <w:keepNext w:val="0"/>
              <w:keepLines w:val="0"/>
              <w:pageBreakBefore w:val="0"/>
              <w:widowControl w:val="0"/>
              <w:suppressLineNumbers w:val="0"/>
              <w:kinsoku/>
              <w:wordWrap/>
              <w:overflowPunct/>
              <w:topLinePunct w:val="0"/>
              <w:autoSpaceDE/>
              <w:autoSpaceDN/>
              <w:bidi w:val="0"/>
              <w:adjustRightInd/>
              <w:snapToGrid/>
              <w:spacing w:before="10" w:beforeAutospacing="0" w:after="0" w:afterAutospacing="0" w:line="240" w:lineRule="auto"/>
              <w:ind w:left="0" w:right="0"/>
              <w:textAlignment w:val="auto"/>
              <w:rPr>
                <w:rFonts w:hint="eastAsia" w:ascii="仿宋" w:hAnsi="仿宋" w:eastAsia="仿宋" w:cs="仿宋"/>
                <w:sz w:val="21"/>
                <w:szCs w:val="21"/>
              </w:rPr>
            </w:pPr>
          </w:p>
          <w:p w14:paraId="5A8825C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71" w:right="470"/>
              <w:jc w:val="center"/>
              <w:textAlignment w:val="auto"/>
              <w:rPr>
                <w:rFonts w:hint="eastAsia" w:ascii="仿宋" w:hAnsi="仿宋" w:eastAsia="仿宋" w:cs="仿宋"/>
                <w:sz w:val="21"/>
                <w:szCs w:val="21"/>
              </w:rPr>
            </w:pPr>
            <w:r>
              <w:rPr>
                <w:rFonts w:hint="eastAsia" w:ascii="仿宋" w:hAnsi="仿宋" w:eastAsia="仿宋" w:cs="仿宋"/>
                <w:sz w:val="21"/>
                <w:szCs w:val="21"/>
              </w:rPr>
              <w:t>保险单</w:t>
            </w:r>
          </w:p>
        </w:tc>
        <w:tc>
          <w:tcPr>
            <w:tcW w:w="3930" w:type="dxa"/>
            <w:tcBorders>
              <w:top w:val="single" w:color="000000" w:sz="6" w:space="0"/>
              <w:left w:val="single" w:color="000000" w:sz="6" w:space="0"/>
              <w:bottom w:val="single" w:color="000000" w:sz="6" w:space="0"/>
              <w:right w:val="single" w:color="000000" w:sz="6" w:space="0"/>
            </w:tcBorders>
          </w:tcPr>
          <w:p w14:paraId="7E16844E">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1、公众责任险/产品责任险</w:t>
            </w:r>
          </w:p>
          <w:p w14:paraId="140145C7">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2、雇主责任险</w:t>
            </w:r>
          </w:p>
          <w:p w14:paraId="6C2BA293">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3、施药人员意外保险</w:t>
            </w:r>
          </w:p>
        </w:tc>
        <w:tc>
          <w:tcPr>
            <w:tcW w:w="1912" w:type="dxa"/>
            <w:tcBorders>
              <w:top w:val="single" w:color="000000" w:sz="6" w:space="0"/>
              <w:left w:val="single" w:color="000000" w:sz="6" w:space="0"/>
              <w:bottom w:val="single" w:color="000000" w:sz="6" w:space="0"/>
              <w:right w:val="single" w:color="000000" w:sz="6" w:space="0"/>
            </w:tcBorders>
          </w:tcPr>
          <w:p w14:paraId="53D2BE95">
            <w:pPr>
              <w:pStyle w:val="77"/>
              <w:keepNext w:val="0"/>
              <w:keepLines w:val="0"/>
              <w:pageBreakBefore w:val="0"/>
              <w:widowControl w:val="0"/>
              <w:suppressLineNumbers w:val="0"/>
              <w:kinsoku/>
              <w:wordWrap/>
              <w:overflowPunct/>
              <w:topLinePunct w:val="0"/>
              <w:autoSpaceDE/>
              <w:autoSpaceDN/>
              <w:bidi w:val="0"/>
              <w:adjustRightInd/>
              <w:snapToGrid/>
              <w:spacing w:before="10" w:beforeAutospacing="0" w:after="0" w:afterAutospacing="0" w:line="240" w:lineRule="auto"/>
              <w:ind w:left="0" w:right="0"/>
              <w:textAlignment w:val="auto"/>
              <w:rPr>
                <w:rFonts w:hint="eastAsia" w:ascii="仿宋" w:hAnsi="仿宋" w:eastAsia="仿宋" w:cs="仿宋"/>
                <w:sz w:val="21"/>
                <w:szCs w:val="21"/>
              </w:rPr>
            </w:pPr>
          </w:p>
          <w:p w14:paraId="4318BC4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01" w:right="210"/>
              <w:jc w:val="center"/>
              <w:textAlignment w:val="auto"/>
              <w:rPr>
                <w:rFonts w:hint="eastAsia" w:ascii="仿宋" w:hAnsi="仿宋" w:eastAsia="仿宋" w:cs="仿宋"/>
                <w:sz w:val="21"/>
                <w:szCs w:val="21"/>
              </w:rPr>
            </w:pPr>
            <w:r>
              <w:rPr>
                <w:rFonts w:hint="eastAsia" w:ascii="仿宋" w:hAnsi="仿宋" w:eastAsia="仿宋" w:cs="仿宋"/>
                <w:sz w:val="21"/>
                <w:szCs w:val="21"/>
              </w:rPr>
              <w:t>每年</w:t>
            </w:r>
          </w:p>
        </w:tc>
      </w:tr>
      <w:tr w14:paraId="4D849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62" w:type="dxa"/>
            <w:tcBorders>
              <w:top w:val="single" w:color="000000" w:sz="6" w:space="0"/>
              <w:left w:val="single" w:color="000000" w:sz="6" w:space="0"/>
              <w:bottom w:val="single" w:color="000000" w:sz="6" w:space="0"/>
              <w:right w:val="single" w:color="000000" w:sz="6" w:space="0"/>
            </w:tcBorders>
          </w:tcPr>
          <w:p w14:paraId="69223FDD">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2FFE62D0">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7" w:right="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3183" w:type="dxa"/>
            <w:tcBorders>
              <w:top w:val="single" w:color="000000" w:sz="6" w:space="0"/>
              <w:left w:val="single" w:color="000000" w:sz="6" w:space="0"/>
              <w:bottom w:val="single" w:color="000000" w:sz="6" w:space="0"/>
              <w:right w:val="single" w:color="000000" w:sz="6" w:space="0"/>
            </w:tcBorders>
          </w:tcPr>
          <w:p w14:paraId="1F246C3B">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7190CF6B">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573" w:right="470"/>
              <w:jc w:val="center"/>
              <w:textAlignment w:val="auto"/>
              <w:rPr>
                <w:rFonts w:hint="eastAsia" w:ascii="仿宋" w:hAnsi="仿宋" w:eastAsia="仿宋" w:cs="仿宋"/>
                <w:sz w:val="21"/>
                <w:szCs w:val="21"/>
              </w:rPr>
            </w:pPr>
            <w:r>
              <w:rPr>
                <w:rFonts w:hint="eastAsia" w:ascii="仿宋" w:hAnsi="仿宋" w:eastAsia="仿宋" w:cs="仿宋"/>
                <w:sz w:val="21"/>
                <w:szCs w:val="21"/>
              </w:rPr>
              <w:t>人员资质</w:t>
            </w:r>
          </w:p>
        </w:tc>
        <w:tc>
          <w:tcPr>
            <w:tcW w:w="3930" w:type="dxa"/>
            <w:tcBorders>
              <w:top w:val="single" w:color="000000" w:sz="6" w:space="0"/>
              <w:left w:val="single" w:color="000000" w:sz="6" w:space="0"/>
              <w:bottom w:val="single" w:color="000000" w:sz="6" w:space="0"/>
              <w:right w:val="single" w:color="000000" w:sz="6" w:space="0"/>
            </w:tcBorders>
          </w:tcPr>
          <w:p w14:paraId="084FBC99">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1、有害生物防治上岗证</w:t>
            </w:r>
          </w:p>
          <w:p w14:paraId="0F78D7BB">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2、健康证</w:t>
            </w:r>
          </w:p>
        </w:tc>
        <w:tc>
          <w:tcPr>
            <w:tcW w:w="1912" w:type="dxa"/>
            <w:tcBorders>
              <w:top w:val="single" w:color="000000" w:sz="6" w:space="0"/>
              <w:left w:val="single" w:color="000000" w:sz="6" w:space="0"/>
              <w:bottom w:val="single" w:color="000000" w:sz="6" w:space="0"/>
              <w:right w:val="single" w:color="000000" w:sz="6" w:space="0"/>
            </w:tcBorders>
          </w:tcPr>
          <w:p w14:paraId="57F5CE64">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25EC9073">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199" w:right="210"/>
              <w:jc w:val="center"/>
              <w:textAlignment w:val="auto"/>
              <w:rPr>
                <w:rFonts w:hint="eastAsia" w:ascii="仿宋" w:hAnsi="仿宋" w:eastAsia="仿宋" w:cs="仿宋"/>
                <w:sz w:val="21"/>
                <w:szCs w:val="21"/>
              </w:rPr>
            </w:pPr>
            <w:r>
              <w:rPr>
                <w:rFonts w:hint="eastAsia" w:ascii="仿宋" w:hAnsi="仿宋" w:eastAsia="仿宋" w:cs="仿宋"/>
                <w:sz w:val="21"/>
                <w:szCs w:val="21"/>
              </w:rPr>
              <w:t>及时更新</w:t>
            </w:r>
          </w:p>
        </w:tc>
      </w:tr>
      <w:tr w14:paraId="1DC7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962" w:type="dxa"/>
            <w:tcBorders>
              <w:top w:val="single" w:color="000000" w:sz="6" w:space="0"/>
              <w:left w:val="single" w:color="000000" w:sz="6" w:space="0"/>
              <w:bottom w:val="single" w:color="000000" w:sz="6" w:space="0"/>
              <w:right w:val="single" w:color="000000" w:sz="6" w:space="0"/>
            </w:tcBorders>
          </w:tcPr>
          <w:p w14:paraId="5BA5C69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0A1ACCD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2D72FA4A">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33569EA7">
            <w:pPr>
              <w:pStyle w:val="77"/>
              <w:keepNext w:val="0"/>
              <w:keepLines w:val="0"/>
              <w:pageBreakBefore w:val="0"/>
              <w:widowControl w:val="0"/>
              <w:suppressLineNumbers w:val="0"/>
              <w:kinsoku/>
              <w:wordWrap/>
              <w:overflowPunct/>
              <w:topLinePunct w:val="0"/>
              <w:autoSpaceDE/>
              <w:autoSpaceDN/>
              <w:bidi w:val="0"/>
              <w:adjustRightInd/>
              <w:snapToGrid/>
              <w:spacing w:before="6" w:beforeAutospacing="0" w:after="0" w:afterAutospacing="0" w:line="240" w:lineRule="auto"/>
              <w:ind w:left="0" w:right="0"/>
              <w:textAlignment w:val="auto"/>
              <w:rPr>
                <w:rFonts w:hint="eastAsia" w:ascii="仿宋" w:hAnsi="仿宋" w:eastAsia="仿宋" w:cs="仿宋"/>
                <w:sz w:val="21"/>
                <w:szCs w:val="21"/>
              </w:rPr>
            </w:pPr>
          </w:p>
          <w:p w14:paraId="33C3AA7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9" w:right="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3183" w:type="dxa"/>
            <w:tcBorders>
              <w:top w:val="single" w:color="000000" w:sz="6" w:space="0"/>
              <w:left w:val="single" w:color="000000" w:sz="6" w:space="0"/>
              <w:bottom w:val="single" w:color="000000" w:sz="6" w:space="0"/>
              <w:right w:val="single" w:color="000000" w:sz="6" w:space="0"/>
            </w:tcBorders>
          </w:tcPr>
          <w:p w14:paraId="0F62A54B">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5BFC644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39EAA71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73DFB92D">
            <w:pPr>
              <w:pStyle w:val="77"/>
              <w:keepNext w:val="0"/>
              <w:keepLines w:val="0"/>
              <w:pageBreakBefore w:val="0"/>
              <w:widowControl w:val="0"/>
              <w:suppressLineNumbers w:val="0"/>
              <w:kinsoku/>
              <w:wordWrap/>
              <w:overflowPunct/>
              <w:topLinePunct w:val="0"/>
              <w:autoSpaceDE/>
              <w:autoSpaceDN/>
              <w:bidi w:val="0"/>
              <w:adjustRightInd/>
              <w:snapToGrid/>
              <w:spacing w:before="6" w:beforeAutospacing="0" w:after="0" w:afterAutospacing="0" w:line="240" w:lineRule="auto"/>
              <w:ind w:left="0" w:right="0"/>
              <w:textAlignment w:val="auto"/>
              <w:rPr>
                <w:rFonts w:hint="eastAsia" w:ascii="仿宋" w:hAnsi="仿宋" w:eastAsia="仿宋" w:cs="仿宋"/>
                <w:sz w:val="21"/>
                <w:szCs w:val="21"/>
              </w:rPr>
            </w:pPr>
          </w:p>
          <w:p w14:paraId="4B92218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73" w:right="470"/>
              <w:jc w:val="center"/>
              <w:textAlignment w:val="auto"/>
              <w:rPr>
                <w:rFonts w:hint="eastAsia" w:ascii="仿宋" w:hAnsi="仿宋" w:eastAsia="仿宋" w:cs="仿宋"/>
                <w:sz w:val="21"/>
                <w:szCs w:val="21"/>
              </w:rPr>
            </w:pPr>
            <w:r>
              <w:rPr>
                <w:rFonts w:hint="eastAsia" w:ascii="仿宋" w:hAnsi="仿宋" w:eastAsia="仿宋" w:cs="仿宋"/>
                <w:sz w:val="21"/>
                <w:szCs w:val="21"/>
              </w:rPr>
              <w:t>药品清单</w:t>
            </w:r>
          </w:p>
        </w:tc>
        <w:tc>
          <w:tcPr>
            <w:tcW w:w="3930" w:type="dxa"/>
            <w:tcBorders>
              <w:top w:val="single" w:color="000000" w:sz="6" w:space="0"/>
              <w:left w:val="single" w:color="000000" w:sz="6" w:space="0"/>
              <w:bottom w:val="single" w:color="000000" w:sz="6" w:space="0"/>
              <w:right w:val="single" w:color="000000" w:sz="6" w:space="0"/>
            </w:tcBorders>
          </w:tcPr>
          <w:p w14:paraId="1C5D3074">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pacing w:val="14"/>
                <w:sz w:val="21"/>
                <w:szCs w:val="21"/>
              </w:rPr>
              <w:t>、</w:t>
            </w:r>
            <w:r>
              <w:rPr>
                <w:rFonts w:hint="eastAsia" w:ascii="仿宋" w:hAnsi="仿宋" w:eastAsia="仿宋" w:cs="仿宋"/>
                <w:spacing w:val="-1"/>
                <w:sz w:val="21"/>
                <w:szCs w:val="21"/>
              </w:rPr>
              <w:t>药品名称</w:t>
            </w:r>
          </w:p>
          <w:p w14:paraId="69E37FA6">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pacing w:val="14"/>
                <w:sz w:val="21"/>
                <w:szCs w:val="21"/>
              </w:rPr>
              <w:t>、</w:t>
            </w:r>
            <w:r>
              <w:rPr>
                <w:rFonts w:hint="eastAsia" w:ascii="仿宋" w:hAnsi="仿宋" w:eastAsia="仿宋" w:cs="仿宋"/>
                <w:spacing w:val="-1"/>
                <w:sz w:val="21"/>
                <w:szCs w:val="21"/>
              </w:rPr>
              <w:t>有效成分</w:t>
            </w:r>
          </w:p>
          <w:p w14:paraId="63C3A5A2">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pacing w:val="-3"/>
                <w:sz w:val="21"/>
                <w:szCs w:val="21"/>
              </w:rPr>
              <w:t>、生产厂家</w:t>
            </w:r>
          </w:p>
          <w:p w14:paraId="11BE0C18">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pacing w:val="-3"/>
                <w:sz w:val="21"/>
                <w:szCs w:val="21"/>
              </w:rPr>
              <w:t>、使用浓度</w:t>
            </w:r>
          </w:p>
          <w:p w14:paraId="33459A36">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pacing w:val="-3"/>
                <w:sz w:val="21"/>
                <w:szCs w:val="21"/>
              </w:rPr>
              <w:t>、靶标害虫</w:t>
            </w:r>
          </w:p>
          <w:p w14:paraId="10D46545">
            <w:pPr>
              <w:pStyle w:val="77"/>
              <w:keepNext w:val="0"/>
              <w:keepLines w:val="0"/>
              <w:pageBreakBefore w:val="0"/>
              <w:widowControl w:val="0"/>
              <w:suppressLineNumbers w:val="0"/>
              <w:kinsoku/>
              <w:wordWrap/>
              <w:overflowPunct/>
              <w:topLinePunct w:val="0"/>
              <w:autoSpaceDE/>
              <w:autoSpaceDN/>
              <w:bidi w:val="0"/>
              <w:adjustRightInd/>
              <w:snapToGrid/>
              <w:spacing w:before="42"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6</w:t>
            </w:r>
            <w:r>
              <w:rPr>
                <w:rFonts w:hint="eastAsia" w:ascii="仿宋" w:hAnsi="仿宋" w:eastAsia="仿宋" w:cs="仿宋"/>
                <w:spacing w:val="-3"/>
                <w:sz w:val="21"/>
                <w:szCs w:val="21"/>
              </w:rPr>
              <w:t>、使用方式</w:t>
            </w:r>
          </w:p>
          <w:p w14:paraId="3E07D4CB">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spacing w:val="-3"/>
                <w:sz w:val="21"/>
                <w:szCs w:val="21"/>
              </w:rPr>
              <w:t>、使用位置</w:t>
            </w:r>
          </w:p>
        </w:tc>
        <w:tc>
          <w:tcPr>
            <w:tcW w:w="1912" w:type="dxa"/>
            <w:tcBorders>
              <w:top w:val="single" w:color="000000" w:sz="6" w:space="0"/>
              <w:left w:val="single" w:color="000000" w:sz="6" w:space="0"/>
              <w:bottom w:val="single" w:color="000000" w:sz="6" w:space="0"/>
              <w:right w:val="single" w:color="000000" w:sz="6" w:space="0"/>
            </w:tcBorders>
          </w:tcPr>
          <w:p w14:paraId="6A3327A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731C2B1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6624431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p>
          <w:p w14:paraId="227393A1">
            <w:pPr>
              <w:pStyle w:val="77"/>
              <w:keepNext w:val="0"/>
              <w:keepLines w:val="0"/>
              <w:pageBreakBefore w:val="0"/>
              <w:widowControl w:val="0"/>
              <w:suppressLineNumbers w:val="0"/>
              <w:kinsoku/>
              <w:wordWrap/>
              <w:overflowPunct/>
              <w:topLinePunct w:val="0"/>
              <w:autoSpaceDE/>
              <w:autoSpaceDN/>
              <w:bidi w:val="0"/>
              <w:adjustRightInd/>
              <w:snapToGrid/>
              <w:spacing w:before="6" w:beforeAutospacing="0" w:after="0" w:afterAutospacing="0" w:line="240" w:lineRule="auto"/>
              <w:ind w:left="0" w:right="0"/>
              <w:textAlignment w:val="auto"/>
              <w:rPr>
                <w:rFonts w:hint="eastAsia" w:ascii="仿宋" w:hAnsi="仿宋" w:eastAsia="仿宋" w:cs="仿宋"/>
                <w:sz w:val="21"/>
                <w:szCs w:val="21"/>
              </w:rPr>
            </w:pPr>
          </w:p>
          <w:p w14:paraId="41D1D407">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67" w:right="210"/>
              <w:jc w:val="center"/>
              <w:textAlignment w:val="auto"/>
              <w:rPr>
                <w:rFonts w:hint="eastAsia" w:ascii="仿宋" w:hAnsi="仿宋" w:eastAsia="仿宋" w:cs="仿宋"/>
                <w:sz w:val="21"/>
                <w:szCs w:val="21"/>
              </w:rPr>
            </w:pPr>
            <w:r>
              <w:rPr>
                <w:rFonts w:hint="eastAsia" w:ascii="仿宋" w:hAnsi="仿宋" w:eastAsia="仿宋" w:cs="仿宋"/>
                <w:sz w:val="21"/>
                <w:szCs w:val="21"/>
              </w:rPr>
              <w:t>及时更新</w:t>
            </w:r>
          </w:p>
        </w:tc>
      </w:tr>
      <w:tr w14:paraId="0F69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962" w:type="dxa"/>
            <w:tcBorders>
              <w:top w:val="single" w:color="000000" w:sz="6" w:space="0"/>
              <w:left w:val="single" w:color="000000" w:sz="6" w:space="0"/>
              <w:bottom w:val="single" w:color="000000" w:sz="6" w:space="0"/>
              <w:right w:val="single" w:color="000000" w:sz="6" w:space="0"/>
            </w:tcBorders>
          </w:tcPr>
          <w:p w14:paraId="2E1E2507">
            <w:pPr>
              <w:pStyle w:val="77"/>
              <w:keepNext w:val="0"/>
              <w:keepLines w:val="0"/>
              <w:pageBreakBefore w:val="0"/>
              <w:widowControl w:val="0"/>
              <w:suppressLineNumbers w:val="0"/>
              <w:kinsoku/>
              <w:wordWrap/>
              <w:overflowPunct/>
              <w:topLinePunct w:val="0"/>
              <w:autoSpaceDE/>
              <w:autoSpaceDN/>
              <w:bidi w:val="0"/>
              <w:adjustRightInd/>
              <w:snapToGrid/>
              <w:spacing w:before="12" w:beforeAutospacing="0" w:after="0" w:afterAutospacing="0" w:line="240" w:lineRule="auto"/>
              <w:ind w:left="0" w:right="0"/>
              <w:textAlignment w:val="auto"/>
              <w:rPr>
                <w:rFonts w:hint="eastAsia" w:ascii="仿宋" w:hAnsi="仿宋" w:eastAsia="仿宋" w:cs="仿宋"/>
                <w:sz w:val="21"/>
                <w:szCs w:val="21"/>
              </w:rPr>
            </w:pPr>
          </w:p>
          <w:p w14:paraId="18A39E5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9" w:right="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3183" w:type="dxa"/>
            <w:tcBorders>
              <w:top w:val="single" w:color="000000" w:sz="6" w:space="0"/>
              <w:left w:val="single" w:color="000000" w:sz="6" w:space="0"/>
              <w:bottom w:val="single" w:color="000000" w:sz="6" w:space="0"/>
              <w:right w:val="single" w:color="000000" w:sz="6" w:space="0"/>
            </w:tcBorders>
          </w:tcPr>
          <w:p w14:paraId="111009CE">
            <w:pPr>
              <w:pStyle w:val="77"/>
              <w:keepNext w:val="0"/>
              <w:keepLines w:val="0"/>
              <w:pageBreakBefore w:val="0"/>
              <w:widowControl w:val="0"/>
              <w:suppressLineNumbers w:val="0"/>
              <w:kinsoku/>
              <w:wordWrap/>
              <w:overflowPunct/>
              <w:topLinePunct w:val="0"/>
              <w:autoSpaceDE/>
              <w:autoSpaceDN/>
              <w:bidi w:val="0"/>
              <w:adjustRightInd/>
              <w:snapToGrid/>
              <w:spacing w:before="12" w:beforeAutospacing="0" w:after="0" w:afterAutospacing="0" w:line="240" w:lineRule="auto"/>
              <w:ind w:left="0" w:right="0"/>
              <w:textAlignment w:val="auto"/>
              <w:rPr>
                <w:rFonts w:hint="eastAsia" w:ascii="仿宋" w:hAnsi="仿宋" w:eastAsia="仿宋" w:cs="仿宋"/>
                <w:sz w:val="21"/>
                <w:szCs w:val="21"/>
              </w:rPr>
            </w:pPr>
          </w:p>
          <w:p w14:paraId="21D86CE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73" w:right="470"/>
              <w:jc w:val="center"/>
              <w:textAlignment w:val="auto"/>
              <w:rPr>
                <w:rFonts w:hint="eastAsia" w:ascii="仿宋" w:hAnsi="仿宋" w:eastAsia="仿宋" w:cs="仿宋"/>
                <w:sz w:val="21"/>
                <w:szCs w:val="21"/>
              </w:rPr>
            </w:pPr>
            <w:r>
              <w:rPr>
                <w:rFonts w:hint="eastAsia" w:ascii="仿宋" w:hAnsi="仿宋" w:eastAsia="仿宋" w:cs="仿宋"/>
                <w:sz w:val="21"/>
                <w:szCs w:val="21"/>
              </w:rPr>
              <w:t>药剂资料</w:t>
            </w:r>
          </w:p>
        </w:tc>
        <w:tc>
          <w:tcPr>
            <w:tcW w:w="3930" w:type="dxa"/>
            <w:tcBorders>
              <w:top w:val="single" w:color="000000" w:sz="6" w:space="0"/>
              <w:left w:val="single" w:color="000000" w:sz="6" w:space="0"/>
              <w:bottom w:val="single" w:color="000000" w:sz="6" w:space="0"/>
              <w:right w:val="single" w:color="000000" w:sz="6" w:space="0"/>
            </w:tcBorders>
          </w:tcPr>
          <w:p w14:paraId="2CADE567">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1、药品登记证</w:t>
            </w:r>
          </w:p>
          <w:p w14:paraId="67EFEEB5">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2、MSDS (安全技术说明书)</w:t>
            </w:r>
          </w:p>
          <w:p w14:paraId="0CCA47E6">
            <w:pPr>
              <w:pStyle w:val="77"/>
              <w:keepNext w:val="0"/>
              <w:keepLines w:val="0"/>
              <w:pageBreakBefore w:val="0"/>
              <w:widowControl w:val="0"/>
              <w:suppressLineNumbers w:val="0"/>
              <w:kinsoku/>
              <w:wordWrap/>
              <w:overflowPunct/>
              <w:topLinePunct w:val="0"/>
              <w:autoSpaceDE/>
              <w:autoSpaceDN/>
              <w:bidi w:val="0"/>
              <w:adjustRightInd/>
              <w:snapToGrid/>
              <w:spacing w:before="48"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3、药剂标签</w:t>
            </w:r>
          </w:p>
        </w:tc>
        <w:tc>
          <w:tcPr>
            <w:tcW w:w="1912" w:type="dxa"/>
            <w:tcBorders>
              <w:top w:val="single" w:color="000000" w:sz="6" w:space="0"/>
              <w:left w:val="single" w:color="000000" w:sz="6" w:space="0"/>
              <w:bottom w:val="single" w:color="000000" w:sz="6" w:space="0"/>
              <w:right w:val="single" w:color="000000" w:sz="6" w:space="0"/>
            </w:tcBorders>
          </w:tcPr>
          <w:p w14:paraId="76171F8F">
            <w:pPr>
              <w:pStyle w:val="77"/>
              <w:keepNext w:val="0"/>
              <w:keepLines w:val="0"/>
              <w:pageBreakBefore w:val="0"/>
              <w:widowControl w:val="0"/>
              <w:suppressLineNumbers w:val="0"/>
              <w:kinsoku/>
              <w:wordWrap/>
              <w:overflowPunct/>
              <w:topLinePunct w:val="0"/>
              <w:autoSpaceDE/>
              <w:autoSpaceDN/>
              <w:bidi w:val="0"/>
              <w:adjustRightInd/>
              <w:snapToGrid/>
              <w:spacing w:before="12" w:beforeAutospacing="0" w:after="0" w:afterAutospacing="0" w:line="240" w:lineRule="auto"/>
              <w:ind w:left="0" w:right="0"/>
              <w:textAlignment w:val="auto"/>
              <w:rPr>
                <w:rFonts w:hint="eastAsia" w:ascii="仿宋" w:hAnsi="仿宋" w:eastAsia="仿宋" w:cs="仿宋"/>
                <w:sz w:val="21"/>
                <w:szCs w:val="21"/>
              </w:rPr>
            </w:pPr>
          </w:p>
          <w:p w14:paraId="46DFC7E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67" w:right="210"/>
              <w:jc w:val="center"/>
              <w:textAlignment w:val="auto"/>
              <w:rPr>
                <w:rFonts w:hint="eastAsia" w:ascii="仿宋" w:hAnsi="仿宋" w:eastAsia="仿宋" w:cs="仿宋"/>
                <w:sz w:val="21"/>
                <w:szCs w:val="21"/>
              </w:rPr>
            </w:pPr>
            <w:r>
              <w:rPr>
                <w:rFonts w:hint="eastAsia" w:ascii="仿宋" w:hAnsi="仿宋" w:eastAsia="仿宋" w:cs="仿宋"/>
                <w:sz w:val="21"/>
                <w:szCs w:val="21"/>
              </w:rPr>
              <w:t>及时更新</w:t>
            </w:r>
          </w:p>
        </w:tc>
      </w:tr>
      <w:tr w14:paraId="5898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62" w:type="dxa"/>
            <w:tcBorders>
              <w:top w:val="single" w:color="000000" w:sz="6" w:space="0"/>
              <w:left w:val="single" w:color="000000" w:sz="6" w:space="0"/>
              <w:bottom w:val="single" w:color="000000" w:sz="6" w:space="0"/>
              <w:right w:val="single" w:color="000000" w:sz="6" w:space="0"/>
            </w:tcBorders>
          </w:tcPr>
          <w:p w14:paraId="2E4A9307">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001B045E">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79" w:right="0"/>
              <w:jc w:val="center"/>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3183" w:type="dxa"/>
            <w:tcBorders>
              <w:top w:val="single" w:color="000000" w:sz="6" w:space="0"/>
              <w:left w:val="single" w:color="000000" w:sz="6" w:space="0"/>
              <w:bottom w:val="single" w:color="000000" w:sz="6" w:space="0"/>
              <w:right w:val="single" w:color="000000" w:sz="6" w:space="0"/>
            </w:tcBorders>
          </w:tcPr>
          <w:p w14:paraId="31584A32">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1C3C0E2E">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571" w:right="470"/>
              <w:jc w:val="center"/>
              <w:textAlignment w:val="auto"/>
              <w:rPr>
                <w:rFonts w:hint="eastAsia" w:ascii="仿宋" w:hAnsi="仿宋" w:eastAsia="仿宋" w:cs="仿宋"/>
                <w:sz w:val="21"/>
                <w:szCs w:val="21"/>
              </w:rPr>
            </w:pPr>
            <w:r>
              <w:rPr>
                <w:rFonts w:hint="eastAsia" w:ascii="仿宋" w:hAnsi="仿宋" w:eastAsia="仿宋" w:cs="仿宋"/>
                <w:sz w:val="21"/>
                <w:szCs w:val="21"/>
              </w:rPr>
              <w:t>固定设施平面图</w:t>
            </w:r>
          </w:p>
        </w:tc>
        <w:tc>
          <w:tcPr>
            <w:tcW w:w="3930" w:type="dxa"/>
            <w:tcBorders>
              <w:top w:val="single" w:color="000000" w:sz="6" w:space="0"/>
              <w:left w:val="single" w:color="000000" w:sz="6" w:space="0"/>
              <w:bottom w:val="single" w:color="000000" w:sz="6" w:space="0"/>
              <w:right w:val="single" w:color="000000" w:sz="6" w:space="0"/>
            </w:tcBorders>
          </w:tcPr>
          <w:p w14:paraId="6ADA6057">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1、总图</w:t>
            </w:r>
          </w:p>
          <w:p w14:paraId="5D53E2F5">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2、各区域分图</w:t>
            </w:r>
          </w:p>
        </w:tc>
        <w:tc>
          <w:tcPr>
            <w:tcW w:w="1912" w:type="dxa"/>
            <w:tcBorders>
              <w:top w:val="single" w:color="000000" w:sz="6" w:space="0"/>
              <w:left w:val="single" w:color="000000" w:sz="6" w:space="0"/>
              <w:bottom w:val="single" w:color="000000" w:sz="6" w:space="0"/>
              <w:right w:val="single" w:color="000000" w:sz="6" w:space="0"/>
            </w:tcBorders>
          </w:tcPr>
          <w:p w14:paraId="324EDA7F">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44C6FA35">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267" w:right="210"/>
              <w:jc w:val="center"/>
              <w:textAlignment w:val="auto"/>
              <w:rPr>
                <w:rFonts w:hint="eastAsia" w:ascii="仿宋" w:hAnsi="仿宋" w:eastAsia="仿宋" w:cs="仿宋"/>
                <w:sz w:val="21"/>
                <w:szCs w:val="21"/>
              </w:rPr>
            </w:pPr>
            <w:r>
              <w:rPr>
                <w:rFonts w:hint="eastAsia" w:ascii="仿宋" w:hAnsi="仿宋" w:eastAsia="仿宋" w:cs="仿宋"/>
                <w:sz w:val="21"/>
                <w:szCs w:val="21"/>
              </w:rPr>
              <w:t>每年一更新</w:t>
            </w:r>
          </w:p>
        </w:tc>
      </w:tr>
      <w:tr w14:paraId="3C80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62" w:type="dxa"/>
            <w:tcBorders>
              <w:top w:val="single" w:color="000000" w:sz="6" w:space="0"/>
              <w:left w:val="single" w:color="000000" w:sz="6" w:space="0"/>
              <w:bottom w:val="single" w:color="000000" w:sz="6" w:space="0"/>
              <w:right w:val="single" w:color="000000" w:sz="6" w:space="0"/>
            </w:tcBorders>
          </w:tcPr>
          <w:p w14:paraId="27EB0A8D">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56DFF1EC">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79" w:right="0"/>
              <w:jc w:val="center"/>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3183" w:type="dxa"/>
            <w:tcBorders>
              <w:top w:val="single" w:color="000000" w:sz="6" w:space="0"/>
              <w:left w:val="single" w:color="000000" w:sz="6" w:space="0"/>
              <w:bottom w:val="single" w:color="000000" w:sz="6" w:space="0"/>
              <w:right w:val="single" w:color="000000" w:sz="6" w:space="0"/>
            </w:tcBorders>
            <w:vAlign w:val="center"/>
          </w:tcPr>
          <w:p w14:paraId="643012CF">
            <w:pPr>
              <w:pStyle w:val="77"/>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115" w:right="124"/>
              <w:jc w:val="center"/>
              <w:textAlignment w:val="auto"/>
              <w:rPr>
                <w:rFonts w:hint="eastAsia" w:ascii="仿宋" w:hAnsi="仿宋" w:eastAsia="仿宋" w:cs="仿宋"/>
                <w:sz w:val="21"/>
                <w:szCs w:val="21"/>
              </w:rPr>
            </w:pPr>
            <w:r>
              <w:rPr>
                <w:rFonts w:hint="eastAsia" w:ascii="仿宋" w:hAnsi="仿宋" w:eastAsia="仿宋" w:cs="仿宋"/>
                <w:sz w:val="21"/>
                <w:szCs w:val="21"/>
              </w:rPr>
              <w:t>应急预案及紧急联络人清单</w:t>
            </w:r>
          </w:p>
          <w:p w14:paraId="13FD21CC">
            <w:pPr>
              <w:pStyle w:val="77"/>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115" w:right="124"/>
              <w:jc w:val="center"/>
              <w:textAlignment w:val="auto"/>
              <w:rPr>
                <w:rFonts w:hint="eastAsia" w:ascii="仿宋" w:hAnsi="仿宋" w:eastAsia="仿宋" w:cs="仿宋"/>
                <w:sz w:val="21"/>
                <w:szCs w:val="21"/>
              </w:rPr>
            </w:pPr>
            <w:r>
              <w:rPr>
                <w:rFonts w:hint="eastAsia" w:ascii="仿宋" w:hAnsi="仿宋" w:eastAsia="仿宋" w:cs="仿宋"/>
                <w:sz w:val="21"/>
                <w:szCs w:val="21"/>
              </w:rPr>
              <w:t>操作人员行为规范</w:t>
            </w:r>
          </w:p>
        </w:tc>
        <w:tc>
          <w:tcPr>
            <w:tcW w:w="3930" w:type="dxa"/>
            <w:tcBorders>
              <w:top w:val="single" w:color="000000" w:sz="6" w:space="0"/>
              <w:left w:val="single" w:color="000000" w:sz="6" w:space="0"/>
              <w:bottom w:val="single" w:color="000000" w:sz="6" w:space="0"/>
              <w:right w:val="single" w:color="000000" w:sz="6" w:space="0"/>
            </w:tcBorders>
          </w:tcPr>
          <w:p w14:paraId="6AB2E2F5">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、《应急预案》</w:t>
            </w:r>
          </w:p>
          <w:p w14:paraId="0D547591">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12" w:right="0"/>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《操作人员行为规范》</w:t>
            </w:r>
          </w:p>
        </w:tc>
        <w:tc>
          <w:tcPr>
            <w:tcW w:w="1912" w:type="dxa"/>
            <w:tcBorders>
              <w:top w:val="single" w:color="000000" w:sz="6" w:space="0"/>
              <w:left w:val="single" w:color="000000" w:sz="6" w:space="0"/>
              <w:bottom w:val="single" w:color="000000" w:sz="6" w:space="0"/>
              <w:right w:val="single" w:color="000000" w:sz="6" w:space="0"/>
            </w:tcBorders>
          </w:tcPr>
          <w:p w14:paraId="6DD891A8">
            <w:pPr>
              <w:pStyle w:val="77"/>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textAlignment w:val="auto"/>
              <w:rPr>
                <w:rFonts w:hint="eastAsia" w:ascii="仿宋" w:hAnsi="仿宋" w:eastAsia="仿宋" w:cs="仿宋"/>
                <w:sz w:val="21"/>
                <w:szCs w:val="21"/>
              </w:rPr>
            </w:pPr>
          </w:p>
          <w:p w14:paraId="64956A99">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267" w:right="210"/>
              <w:jc w:val="center"/>
              <w:textAlignment w:val="auto"/>
              <w:rPr>
                <w:rFonts w:hint="eastAsia" w:ascii="仿宋" w:hAnsi="仿宋" w:eastAsia="仿宋" w:cs="仿宋"/>
                <w:sz w:val="21"/>
                <w:szCs w:val="21"/>
              </w:rPr>
            </w:pPr>
            <w:r>
              <w:rPr>
                <w:rFonts w:hint="eastAsia" w:ascii="仿宋" w:hAnsi="仿宋" w:eastAsia="仿宋" w:cs="仿宋"/>
                <w:sz w:val="21"/>
                <w:szCs w:val="21"/>
              </w:rPr>
              <w:t>每年一更新</w:t>
            </w:r>
          </w:p>
        </w:tc>
      </w:tr>
    </w:tbl>
    <w:p w14:paraId="4AD1C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7258B10A">
      <w:pPr>
        <w:spacing w:line="360" w:lineRule="auto"/>
        <w:jc w:val="both"/>
        <w:rPr>
          <w:rFonts w:hint="eastAsia" w:ascii="仿宋" w:hAnsi="仿宋" w:eastAsia="仿宋" w:cs="仿宋"/>
          <w:b/>
          <w:bCs/>
          <w:sz w:val="28"/>
          <w:szCs w:val="28"/>
          <w:lang w:val="zh-CN"/>
        </w:rPr>
      </w:pPr>
      <w:r>
        <w:rPr>
          <w:rFonts w:hint="eastAsia" w:ascii="仿宋" w:hAnsi="仿宋" w:eastAsia="仿宋" w:cs="仿宋"/>
          <w:b/>
          <w:bCs/>
          <w:sz w:val="28"/>
          <w:szCs w:val="28"/>
          <w:lang w:val="zh-CN"/>
        </w:rPr>
        <w:t>备注：</w:t>
      </w:r>
    </w:p>
    <w:p w14:paraId="664F6F7D">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rPr>
        <w:t>（</w:t>
      </w:r>
      <w:r>
        <w:rPr>
          <w:rFonts w:hint="eastAsia" w:ascii="仿宋" w:hAnsi="仿宋" w:eastAsia="仿宋" w:cs="仿宋"/>
          <w:sz w:val="24"/>
          <w:szCs w:val="24"/>
          <w:lang w:val="zh-CN"/>
        </w:rPr>
        <w:t>1）纸张需干净整洁，不可有水印、褶皱等；</w:t>
      </w:r>
    </w:p>
    <w:p w14:paraId="12D86895">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（2）书写版纸质材料书写时应清晰明了，不可肆意更改、涂抹；</w:t>
      </w:r>
    </w:p>
    <w:p w14:paraId="31FA8FE8">
      <w:pPr>
        <w:spacing w:line="360" w:lineRule="auto"/>
        <w:jc w:val="both"/>
        <w:rPr>
          <w:rFonts w:hint="eastAsia" w:ascii="仿宋" w:hAnsi="仿宋" w:eastAsia="仿宋" w:cs="仿宋"/>
          <w:sz w:val="21"/>
          <w:szCs w:val="21"/>
        </w:rPr>
      </w:pPr>
      <w:r>
        <w:rPr>
          <w:rFonts w:hint="eastAsia" w:ascii="仿宋" w:hAnsi="仿宋" w:eastAsia="仿宋" w:cs="仿宋"/>
          <w:sz w:val="24"/>
          <w:szCs w:val="24"/>
          <w:lang w:val="zh-CN"/>
        </w:rPr>
        <w:t>（3）打印版纸质材料应保证数据真实有效，数据内容与书写版纸质材料一一对应，可追溯查询。</w:t>
      </w:r>
    </w:p>
    <w:p w14:paraId="43F42E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14:paraId="017AB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甲方（即客户方）：中粮米业（</w:t>
      </w:r>
      <w:r>
        <w:rPr>
          <w:rFonts w:hint="eastAsia" w:ascii="仿宋" w:hAnsi="仿宋" w:eastAsia="仿宋" w:cs="仿宋"/>
          <w:b/>
          <w:sz w:val="28"/>
          <w:szCs w:val="28"/>
          <w:lang w:eastAsia="zh-CN"/>
        </w:rPr>
        <w:t>五常</w:t>
      </w:r>
      <w:r>
        <w:rPr>
          <w:rFonts w:hint="eastAsia" w:ascii="仿宋" w:hAnsi="仿宋" w:eastAsia="仿宋" w:cs="仿宋"/>
          <w:b/>
          <w:sz w:val="28"/>
          <w:szCs w:val="28"/>
        </w:rPr>
        <w:t xml:space="preserve">）有限公司   </w:t>
      </w:r>
    </w:p>
    <w:p w14:paraId="05E775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rPr>
      </w:pPr>
    </w:p>
    <w:p w14:paraId="086C5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rPr>
      </w:pPr>
    </w:p>
    <w:p w14:paraId="77474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rPr>
      </w:pPr>
    </w:p>
    <w:p w14:paraId="6647B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1"/>
          <w:szCs w:val="21"/>
        </w:rPr>
      </w:pPr>
      <w:r>
        <w:rPr>
          <w:rFonts w:hint="eastAsia" w:ascii="仿宋" w:hAnsi="仿宋" w:eastAsia="仿宋" w:cs="仿宋"/>
          <w:b/>
          <w:sz w:val="28"/>
          <w:szCs w:val="28"/>
        </w:rPr>
        <w:t>乙方</w:t>
      </w:r>
      <w:r>
        <w:rPr>
          <w:rFonts w:hint="eastAsia" w:ascii="仿宋" w:hAnsi="仿宋" w:eastAsia="仿宋" w:cs="仿宋"/>
          <w:b/>
          <w:sz w:val="28"/>
          <w:szCs w:val="28"/>
          <w:lang w:eastAsia="zh-CN"/>
        </w:rPr>
        <w:t>（即</w:t>
      </w:r>
      <w:r>
        <w:rPr>
          <w:rFonts w:hint="eastAsia" w:ascii="仿宋" w:hAnsi="仿宋" w:eastAsia="仿宋" w:cs="仿宋"/>
          <w:b/>
          <w:sz w:val="28"/>
          <w:szCs w:val="28"/>
        </w:rPr>
        <w:t>服务方</w:t>
      </w:r>
      <w:r>
        <w:rPr>
          <w:rFonts w:hint="eastAsia" w:ascii="仿宋" w:hAnsi="仿宋" w:eastAsia="仿宋" w:cs="仿宋"/>
          <w:b/>
          <w:sz w:val="28"/>
          <w:szCs w:val="28"/>
          <w:lang w:eastAsia="zh-CN"/>
        </w:rPr>
        <w:t>）</w:t>
      </w:r>
      <w:r>
        <w:rPr>
          <w:rFonts w:hint="eastAsia" w:ascii="仿宋" w:hAnsi="仿宋" w:eastAsia="仿宋" w:cs="仿宋"/>
          <w:b/>
          <w:sz w:val="28"/>
          <w:szCs w:val="28"/>
        </w:rPr>
        <w:t>：</w:t>
      </w:r>
      <w:r>
        <w:rPr>
          <w:rFonts w:hint="eastAsia" w:ascii="仿宋" w:hAnsi="仿宋" w:eastAsia="仿宋" w:cs="仿宋"/>
          <w:b/>
          <w:color w:val="000000"/>
          <w:sz w:val="28"/>
          <w:szCs w:val="28"/>
        </w:rPr>
        <w:t xml:space="preserve"> </w:t>
      </w:r>
      <w:r>
        <w:rPr>
          <w:rFonts w:hint="eastAsia" w:ascii="仿宋" w:hAnsi="仿宋" w:eastAsia="仿宋" w:cs="仿宋"/>
          <w:b/>
          <w:color w:val="000000"/>
          <w:sz w:val="24"/>
        </w:rPr>
        <w:t xml:space="preserve"> </w:t>
      </w:r>
    </w:p>
    <w:p w14:paraId="1526AD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1"/>
          <w:szCs w:val="21"/>
        </w:rPr>
      </w:pPr>
    </w:p>
    <w:p w14:paraId="6D603C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1"/>
          <w:szCs w:val="21"/>
        </w:rPr>
      </w:pPr>
    </w:p>
    <w:p w14:paraId="78ABC5DB">
      <w:pPr>
        <w:spacing w:line="360" w:lineRule="auto"/>
        <w:rPr>
          <w:rFonts w:hint="eastAsia" w:ascii="仿宋" w:hAnsi="仿宋" w:eastAsia="仿宋" w:cs="仿宋"/>
          <w:b/>
          <w:bCs/>
          <w:sz w:val="24"/>
        </w:rPr>
      </w:pPr>
    </w:p>
    <w:p w14:paraId="2336C8F6">
      <w:pPr>
        <w:spacing w:line="360" w:lineRule="auto"/>
        <w:rPr>
          <w:rFonts w:hint="eastAsia" w:ascii="仿宋" w:hAnsi="仿宋" w:eastAsia="仿宋" w:cs="仿宋"/>
          <w:b/>
          <w:bCs/>
          <w:sz w:val="24"/>
        </w:rPr>
      </w:pPr>
    </w:p>
    <w:p w14:paraId="3D4B8477">
      <w:pPr>
        <w:spacing w:line="360" w:lineRule="auto"/>
        <w:rPr>
          <w:rFonts w:hint="eastAsia" w:ascii="仿宋" w:hAnsi="仿宋" w:eastAsia="仿宋" w:cs="仿宋"/>
          <w:b/>
          <w:bCs/>
          <w:sz w:val="24"/>
        </w:rPr>
      </w:pPr>
    </w:p>
    <w:p w14:paraId="55FC48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 xml:space="preserve">：                                               </w:t>
      </w:r>
    </w:p>
    <w:p w14:paraId="4AEBEABC">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安全管理协议</w:t>
      </w:r>
    </w:p>
    <w:p w14:paraId="73312891">
      <w:pPr>
        <w:spacing w:line="360" w:lineRule="auto"/>
        <w:ind w:right="-1"/>
        <w:rPr>
          <w:rFonts w:ascii="仿宋" w:hAnsi="仿宋" w:eastAsia="仿宋" w:cs="仿宋"/>
          <w:b/>
          <w:color w:val="000000"/>
          <w:sz w:val="24"/>
        </w:rPr>
      </w:pPr>
      <w:r>
        <w:rPr>
          <w:rFonts w:hint="eastAsia" w:ascii="仿宋" w:hAnsi="仿宋" w:eastAsia="仿宋" w:cs="仿宋"/>
          <w:b/>
          <w:color w:val="000000"/>
          <w:sz w:val="24"/>
        </w:rPr>
        <w:t>甲方：中粮米业（</w:t>
      </w:r>
      <w:r>
        <w:rPr>
          <w:rFonts w:hint="eastAsia" w:ascii="仿宋" w:hAnsi="仿宋" w:eastAsia="仿宋" w:cs="仿宋"/>
          <w:b/>
          <w:color w:val="000000"/>
          <w:sz w:val="24"/>
          <w:lang w:eastAsia="zh-CN"/>
        </w:rPr>
        <w:t>五常</w:t>
      </w:r>
      <w:r>
        <w:rPr>
          <w:rFonts w:hint="eastAsia" w:ascii="仿宋" w:hAnsi="仿宋" w:eastAsia="仿宋" w:cs="仿宋"/>
          <w:b/>
          <w:color w:val="000000"/>
          <w:sz w:val="24"/>
        </w:rPr>
        <w:t xml:space="preserve">）有限公司        </w:t>
      </w:r>
    </w:p>
    <w:p w14:paraId="459A0327">
      <w:pPr>
        <w:rPr>
          <w:rFonts w:ascii="仿宋" w:hAnsi="仿宋" w:eastAsia="仿宋" w:cs="仿宋"/>
          <w:b/>
          <w:color w:val="000000"/>
          <w:sz w:val="24"/>
        </w:rPr>
      </w:pPr>
      <w:r>
        <w:rPr>
          <w:rFonts w:hint="eastAsia" w:ascii="仿宋" w:hAnsi="仿宋" w:eastAsia="仿宋" w:cs="仿宋"/>
          <w:b/>
          <w:color w:val="000000"/>
          <w:sz w:val="24"/>
        </w:rPr>
        <w:t xml:space="preserve">乙方：           </w:t>
      </w:r>
    </w:p>
    <w:p w14:paraId="4C8B98A2">
      <w:pPr>
        <w:pStyle w:val="2"/>
        <w:shd w:val="clear" w:color="auto" w:fill="FFFFFF"/>
        <w:snapToGrid w:val="0"/>
        <w:spacing w:before="0" w:beforeAutospacing="0" w:after="0" w:afterAutospacing="0" w:line="575" w:lineRule="exact"/>
        <w:ind w:firstLine="480" w:firstLineChars="200"/>
        <w:jc w:val="both"/>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为了确保虫鼠害服务项目全过程的安全管理，杜绝发生安全生产事故，根据《安全生产法》、《民法典》、《建设工程安全生产管理条例》等法律法规和甲方承包商制度要求，经双方友好协商，对甲乙双方的安全生产责任、权利规定如下：</w:t>
      </w:r>
    </w:p>
    <w:p w14:paraId="119AE43A">
      <w:pPr>
        <w:adjustRightInd w:val="0"/>
        <w:snapToGrid w:val="0"/>
        <w:spacing w:line="575" w:lineRule="exac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 甲方的职责、权利</w:t>
      </w:r>
    </w:p>
    <w:p w14:paraId="0A6B8002">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1.1 甲方职责</w:t>
      </w:r>
    </w:p>
    <w:p w14:paraId="2E4BED02">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甲方有责任监督指导乙方按照甲方的信息化管理系统进行承包商全生命周期管理，确保乙方正确理解和应用该系统并遵循相关要求。</w:t>
      </w:r>
    </w:p>
    <w:p w14:paraId="466619B0">
      <w:pPr>
        <w:numPr>
          <w:ilvl w:val="2"/>
          <w:numId w:val="0"/>
        </w:numPr>
        <w:snapToGrid w:val="0"/>
        <w:spacing w:line="575" w:lineRule="exact"/>
        <w:ind w:left="1720" w:leftChars="0" w:hanging="1080" w:firstLineChars="0"/>
        <w:rPr>
          <w:rFonts w:hint="eastAsia" w:ascii="仿宋" w:hAnsi="仿宋" w:eastAsia="仿宋" w:cs="仿宋"/>
          <w:b w:val="0"/>
          <w:bCs w:val="0"/>
          <w:kern w:val="0"/>
          <w:sz w:val="24"/>
          <w:szCs w:val="24"/>
          <w:highlight w:val="none"/>
          <w:lang w:val="en-US" w:eastAsia="zh-CN" w:bidi="en-US"/>
        </w:rPr>
      </w:pPr>
      <w:r>
        <w:rPr>
          <w:rFonts w:hint="default" w:ascii="仿宋" w:hAnsi="仿宋" w:eastAsia="仿宋" w:cs="仿宋"/>
          <w:b w:val="0"/>
          <w:bCs w:val="0"/>
          <w:kern w:val="0"/>
          <w:sz w:val="24"/>
          <w:szCs w:val="24"/>
          <w:highlight w:val="none"/>
          <w:lang w:val="en-US" w:eastAsia="zh-CN" w:bidi="en-US"/>
        </w:rPr>
        <w:t>1.1.1</w:t>
      </w:r>
      <w:r>
        <w:rPr>
          <w:rFonts w:hint="eastAsia" w:ascii="仿宋" w:hAnsi="仿宋" w:eastAsia="仿宋" w:cs="仿宋"/>
          <w:b w:val="0"/>
          <w:bCs w:val="0"/>
          <w:kern w:val="0"/>
          <w:sz w:val="24"/>
          <w:szCs w:val="24"/>
          <w:highlight w:val="none"/>
          <w:lang w:val="en-US" w:eastAsia="zh-CN" w:bidi="en-US"/>
        </w:rPr>
        <w:t>作业前管理要求</w:t>
      </w:r>
    </w:p>
    <w:p w14:paraId="43BC518A">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zh-CN" w:eastAsia="zh-CN" w:bidi="en-US"/>
        </w:rPr>
        <w:t>开展作业前准入资质核验，</w:t>
      </w:r>
      <w:r>
        <w:rPr>
          <w:rFonts w:hint="eastAsia" w:ascii="仿宋" w:hAnsi="仿宋" w:eastAsia="仿宋" w:cs="仿宋"/>
          <w:b w:val="0"/>
          <w:bCs w:val="0"/>
          <w:kern w:val="0"/>
          <w:sz w:val="24"/>
          <w:szCs w:val="24"/>
          <w:highlight w:val="none"/>
          <w:lang w:val="en-US" w:eastAsia="zh-CN" w:bidi="en-US"/>
        </w:rPr>
        <w:t>审查验证乙方作业安全条件，对乙方人员进行进场安全交底。</w:t>
      </w:r>
    </w:p>
    <w:p w14:paraId="4B27AF66">
      <w:pPr>
        <w:widowControl/>
        <w:spacing w:line="575" w:lineRule="exact"/>
        <w:ind w:firstLine="554" w:firstLineChars="231"/>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——负责审核乙方承包资质证件及提供的各类无事故证明、保险、安全培训、作业方案、现场处置方案等文件资料。</w:t>
      </w:r>
    </w:p>
    <w:p w14:paraId="26BC1431">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——核验乙方安全管理机构及人员配备情况及相应安全（特种作业）资格证书；</w:t>
      </w:r>
    </w:p>
    <w:p w14:paraId="7F612907">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——核验乙方作业设备设施、工具、物料、劳动保护用品等与乙方承包项目的匹配性以及安全性等；</w:t>
      </w:r>
    </w:p>
    <w:p w14:paraId="5410571C">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——负责对乙方人员进行安全风险交底；</w:t>
      </w:r>
    </w:p>
    <w:p w14:paraId="74D21A76">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——提供必要的工作条件；</w:t>
      </w:r>
    </w:p>
    <w:p w14:paraId="106C233C">
      <w:pPr>
        <w:snapToGrid w:val="0"/>
        <w:spacing w:line="575" w:lineRule="exact"/>
        <w:ind w:left="72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1.1.2 作业中管理要求</w:t>
      </w:r>
    </w:p>
    <w:p w14:paraId="2080B6C0">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建立信息交流机制，对乙方提报的工作计划或作业任务进行确认，开展作业监督检查，监督办理危险作业等作业许可，指导协调应急处置。</w:t>
      </w:r>
    </w:p>
    <w:p w14:paraId="5B8681E5">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——负责审查乙方提报的《每日作业计划》；</w:t>
      </w:r>
    </w:p>
    <w:p w14:paraId="56C54CAB">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——监督检查乙方风险管控措施和危大工程的方案落实情况，并督促整改闭环。</w:t>
      </w:r>
    </w:p>
    <w:p w14:paraId="2B85288E">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——负责指挥协调乙方现场安全生产事故应急救援工作，充分调动甲乙双方的应急资源。</w:t>
      </w:r>
    </w:p>
    <w:p w14:paraId="7B5D4CC6">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——对承包商危险作业实施许可管理；按照变更作业相关制度实施变更作业管理；</w:t>
      </w:r>
    </w:p>
    <w:p w14:paraId="63DB649C">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14:paraId="186DEF74">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1.1.3作业后管理要求</w:t>
      </w:r>
    </w:p>
    <w:p w14:paraId="361A2C90">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组织对乙方按照甲方考核评价相关制度进行考核评价，开展项目验收。</w:t>
      </w:r>
    </w:p>
    <w:p w14:paraId="0AFDCE6F">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1.2 权利</w:t>
      </w:r>
    </w:p>
    <w:p w14:paraId="0433A841">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1.2.1 有权否决乙方的分包方案。</w:t>
      </w:r>
    </w:p>
    <w:p w14:paraId="7693AA53">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1.2.2 有权对乙方现场安全工作不称职的现场负责人、安全管理负责人和作业人员，提出约谈、警告、调离岗位、直至撤换等要求。</w:t>
      </w:r>
    </w:p>
    <w:p w14:paraId="7C0FD0F3">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1.2.3 有权制止并纠正乙方作业现场的“三违”行为，遇到危及安全生产的紧急情况，有权下令停止作业。</w:t>
      </w:r>
    </w:p>
    <w:p w14:paraId="6C5A43DE">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1.2.4 乙方实施过程中违反国家有关法律法规的，甲方有权决定解除与乙方之间的合同及本协议。</w:t>
      </w:r>
    </w:p>
    <w:p w14:paraId="2039148E">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1.2.5 有权要求乙方遵守并执行甲方制定或发布的全部的安全方面的管理制度和要求。</w:t>
      </w:r>
    </w:p>
    <w:p w14:paraId="5DDCE815">
      <w:pPr>
        <w:adjustRightInd w:val="0"/>
        <w:snapToGrid w:val="0"/>
        <w:spacing w:line="575" w:lineRule="exac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2 乙方的职责、权利</w:t>
      </w:r>
    </w:p>
    <w:p w14:paraId="256AE9BA">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 xml:space="preserve">2.1 乙方责任 </w:t>
      </w:r>
    </w:p>
    <w:p w14:paraId="216CCF92">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乙方按照甲方承包商管理制度及信息化管理系统要求，提供、上传相关资料文件，对资料的真实性、有效性、合法性负责。安全合规有序开展作业，确保项目满足质量及使用要求。</w:t>
      </w:r>
    </w:p>
    <w:p w14:paraId="1B2CB879">
      <w:pPr>
        <w:snapToGrid w:val="0"/>
        <w:spacing w:line="575" w:lineRule="exact"/>
        <w:ind w:firstLine="540" w:firstLineChars="225"/>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2.1.1作业前工作要求</w:t>
      </w:r>
    </w:p>
    <w:p w14:paraId="7057F95C">
      <w:pPr>
        <w:snapToGrid w:val="0"/>
        <w:spacing w:line="575" w:lineRule="exact"/>
        <w:ind w:firstLine="540" w:firstLineChars="225"/>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提供企业相关信息，签订安全协议，接受安全条件审查，开展安全培训交底工作。</w:t>
      </w:r>
    </w:p>
    <w:p w14:paraId="5A0011F0">
      <w:pPr>
        <w:widowControl/>
        <w:spacing w:line="575" w:lineRule="exact"/>
        <w:ind w:firstLine="554" w:firstLineChars="231"/>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——提交资质证件、无事故证明、人员保险、人员资格证书、安全培训、作业方案、现场处置方案等文件资料，并对真实性、有效性和合法性负责。</w:t>
      </w:r>
    </w:p>
    <w:p w14:paraId="046631EC">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——配备安全管理机构及人员；</w:t>
      </w:r>
    </w:p>
    <w:p w14:paraId="5EE55FF4">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——配备作业设备设施、工具、物料、劳动保护用品等物品，并对符合性、安全性和完好性负责；</w:t>
      </w:r>
    </w:p>
    <w:p w14:paraId="6F4EEF87">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——负责对乙方作业人员进行安全风险交底；</w:t>
      </w:r>
    </w:p>
    <w:p w14:paraId="40F973CC">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——严禁违法分包和挂靠资质。如违反，则甲方有权决定解除与乙方之间的合同及本协议。</w:t>
      </w:r>
    </w:p>
    <w:p w14:paraId="0E84F843">
      <w:pPr>
        <w:snapToGrid w:val="0"/>
        <w:spacing w:line="575" w:lineRule="exact"/>
        <w:ind w:left="72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2.1.2作业中管理要求</w:t>
      </w:r>
    </w:p>
    <w:p w14:paraId="7DF2F569">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按照甲方要求参加值班例会或项目例会，按时提报的工作计划或作业任务，定期开展安全检查并整改关闭，按照规定办理危险作业等作业许可，开展安全事故应急处置。</w:t>
      </w:r>
    </w:p>
    <w:p w14:paraId="2783F79E">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禁止擅自改变每日作业活动的性质、范围和条件，禁止在作业任务规定时间之外开展作业，禁止在无人监管的情况下开展作业。</w:t>
      </w:r>
    </w:p>
    <w:p w14:paraId="2AC45A32">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——负责提报的《每日作业计划》；</w:t>
      </w:r>
    </w:p>
    <w:p w14:paraId="69784683">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——按照施工方案落实风险管控措施；</w:t>
      </w:r>
    </w:p>
    <w:p w14:paraId="34BFB16A">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——负责指挥现场安全生产事故应急救援工作，并及时向甲方报告，并积极配合甲方的应急指挥、协调事故救援工作。</w:t>
      </w:r>
    </w:p>
    <w:p w14:paraId="67CEB2C6">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——按照甲方制度要求，危险作业办理许可方可作业；按照甲方变更作业相关制度实施变更作业管理；</w:t>
      </w:r>
    </w:p>
    <w:p w14:paraId="26B3C298">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——特种作业人员须持有与作业相应的、合格的特种作业证，特种设备操作人员需持有效的特种设备操作员证；</w:t>
      </w:r>
    </w:p>
    <w:p w14:paraId="387A95A2">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——现场存在交叉作业时，应服从甲方协调、指挥。</w:t>
      </w:r>
    </w:p>
    <w:p w14:paraId="54E00AA9">
      <w:pPr>
        <w:snapToGrid w:val="0"/>
        <w:spacing w:line="575" w:lineRule="exact"/>
        <w:ind w:firstLine="540" w:firstLineChars="225"/>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——施工过程中，存在重大变更（方案、工具、人员等）或重大隐患、事故征兆以及事故的情况，应及时、如实报告甲方。</w:t>
      </w:r>
    </w:p>
    <w:p w14:paraId="45B993D2">
      <w:pPr>
        <w:widowControl/>
        <w:ind w:firstLine="480" w:firstLineChars="200"/>
        <w:jc w:val="lef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——涉及危大工程的，根据《危险性较大的分部分项工程安全管理规定》及甲方相关制度标准，组织编制危大工程专项施工方案。</w:t>
      </w:r>
    </w:p>
    <w:p w14:paraId="671293E8">
      <w:pPr>
        <w:widowControl/>
        <w:ind w:firstLine="480" w:firstLineChars="200"/>
        <w:jc w:val="lef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——作业过程中违反国家有关法律法规造成损失的，承担相应责任，若因此给甲方造成损失或处罚的，承担经济损失。</w:t>
      </w:r>
    </w:p>
    <w:p w14:paraId="5D1407C7">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——作业过程中严禁使用国家明令禁止使用或耗能大、对环境造成较大破坏的设备设施，运输车辆需符合排放标准要求，作业现场需做好防扬撒措施，规范处置作业过程中产生的固废、危废。</w:t>
      </w:r>
    </w:p>
    <w:p w14:paraId="1F2B0D89">
      <w:pPr>
        <w:snapToGrid w:val="0"/>
        <w:spacing w:line="575" w:lineRule="exact"/>
        <w:ind w:left="72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2.1.3作业后管理要求</w:t>
      </w:r>
    </w:p>
    <w:p w14:paraId="595CD49F">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对甲方提供的技术资料保密，并提供真实有效的竣工验收资料。</w:t>
      </w:r>
    </w:p>
    <w:p w14:paraId="1A622EBE">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——对甲方提供的技术资料的保密性负责；</w:t>
      </w:r>
    </w:p>
    <w:p w14:paraId="6C60A85D">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——对提交竣工验收相关资料的真实性负责。</w:t>
      </w:r>
    </w:p>
    <w:p w14:paraId="28B628C7">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2.2 权利</w:t>
      </w:r>
    </w:p>
    <w:p w14:paraId="49685B99">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2.2.1 有权拒绝甲方的违章指挥、强令冒险作业要求。</w:t>
      </w:r>
    </w:p>
    <w:p w14:paraId="378AB62C">
      <w:pPr>
        <w:adjustRightInd w:val="0"/>
        <w:snapToGrid w:val="0"/>
        <w:spacing w:line="575" w:lineRule="exac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3 违约追偿</w:t>
      </w:r>
    </w:p>
    <w:p w14:paraId="4789BFEC">
      <w:pPr>
        <w:snapToGrid w:val="0"/>
        <w:spacing w:line="575" w:lineRule="exact"/>
        <w:ind w:firstLine="480" w:firstLineChars="200"/>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乙方如违反相关规定、约定，甲方有权按照违约事项，要求乙方在规定的期限内支付违约金并承担违约责任，如甲方要求的期限内未上交违约金的，甲方有权在工程款中双倍扣除；因乙方责任造成的任何经济损失，乙方都应照价赔偿。违约事项及违约金标准详见附表《安全文明施工现场违约情形及违约金》。</w:t>
      </w:r>
    </w:p>
    <w:p w14:paraId="252075E5">
      <w:pPr>
        <w:adjustRightInd w:val="0"/>
        <w:snapToGrid w:val="0"/>
        <w:spacing w:line="575" w:lineRule="exac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4 协议有效期</w:t>
      </w:r>
    </w:p>
    <w:p w14:paraId="3DDFA971">
      <w:pPr>
        <w:pStyle w:val="27"/>
        <w:snapToGrid w:val="0"/>
        <w:spacing w:after="0" w:line="575" w:lineRule="exact"/>
        <w:ind w:firstLine="511" w:firstLineChars="213"/>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本协议有效期与合同一致，到期后双方尚有合同的权利义务未履行完毕的，协议有效期延续至合同履行完毕时止。</w:t>
      </w:r>
    </w:p>
    <w:p w14:paraId="48C719BD">
      <w:pPr>
        <w:adjustRightInd w:val="0"/>
        <w:snapToGrid w:val="0"/>
        <w:spacing w:line="575" w:lineRule="exact"/>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5 协议效力</w:t>
      </w:r>
    </w:p>
    <w:p w14:paraId="31CFE893">
      <w:pPr>
        <w:snapToGrid w:val="0"/>
        <w:spacing w:line="575" w:lineRule="exact"/>
        <w:ind w:firstLine="511" w:firstLineChars="213"/>
        <w:rPr>
          <w:rFonts w:hint="eastAsia" w:ascii="仿宋" w:hAnsi="仿宋" w:eastAsia="仿宋" w:cs="仿宋"/>
          <w:b w:val="0"/>
          <w:bCs w:val="0"/>
          <w:kern w:val="0"/>
          <w:sz w:val="24"/>
          <w:szCs w:val="24"/>
          <w:highlight w:val="none"/>
          <w:lang w:val="en-US" w:eastAsia="zh-CN" w:bidi="en-US"/>
        </w:rPr>
      </w:pPr>
      <w:r>
        <w:rPr>
          <w:rFonts w:hint="eastAsia" w:ascii="仿宋" w:hAnsi="仿宋" w:eastAsia="仿宋" w:cs="仿宋"/>
          <w:b w:val="0"/>
          <w:bCs w:val="0"/>
          <w:kern w:val="0"/>
          <w:sz w:val="24"/>
          <w:szCs w:val="24"/>
          <w:highlight w:val="none"/>
          <w:lang w:val="en-US" w:eastAsia="zh-CN" w:bidi="en-US"/>
        </w:rPr>
        <w:t>本协议与合同具有同等效力。本协议一式两份，甲、乙双方各持一份，双方盖章后生效，具有同等的法律效力。</w:t>
      </w:r>
    </w:p>
    <w:p w14:paraId="1F702660">
      <w:pPr>
        <w:spacing w:line="360" w:lineRule="auto"/>
        <w:ind w:left="120" w:leftChars="50" w:right="588"/>
        <w:rPr>
          <w:rFonts w:ascii="仿宋" w:hAnsi="仿宋" w:eastAsia="仿宋" w:cs="仿宋"/>
          <w:color w:val="000000"/>
          <w:sz w:val="24"/>
        </w:rPr>
      </w:pPr>
    </w:p>
    <w:p w14:paraId="425105F8">
      <w:pPr>
        <w:spacing w:line="360" w:lineRule="auto"/>
        <w:ind w:left="120" w:leftChars="50" w:right="588"/>
        <w:rPr>
          <w:rFonts w:ascii="仿宋" w:hAnsi="仿宋" w:eastAsia="仿宋" w:cs="仿宋"/>
          <w:color w:val="000000"/>
          <w:sz w:val="24"/>
        </w:rPr>
      </w:pPr>
    </w:p>
    <w:p w14:paraId="46EC2705">
      <w:pPr>
        <w:spacing w:line="360" w:lineRule="auto"/>
        <w:ind w:right="588"/>
        <w:rPr>
          <w:rFonts w:hint="default" w:ascii="仿宋" w:hAnsi="仿宋" w:eastAsia="仿宋" w:cs="仿宋"/>
          <w:b/>
          <w:color w:val="000000"/>
          <w:sz w:val="28"/>
          <w:szCs w:val="28"/>
          <w:lang w:val="en-US" w:eastAsia="zh-CN"/>
        </w:rPr>
      </w:pPr>
      <w:r>
        <w:rPr>
          <w:rFonts w:hint="eastAsia" w:ascii="仿宋" w:hAnsi="仿宋" w:eastAsia="仿宋" w:cs="仿宋"/>
          <w:color w:val="000000"/>
          <w:sz w:val="28"/>
          <w:szCs w:val="28"/>
        </w:rPr>
        <w:t>甲方（盖章）：</w:t>
      </w:r>
      <w:r>
        <w:rPr>
          <w:rFonts w:hint="eastAsia" w:ascii="仿宋" w:hAnsi="仿宋" w:eastAsia="仿宋" w:cs="仿宋"/>
          <w:b/>
          <w:color w:val="000000"/>
          <w:sz w:val="28"/>
          <w:szCs w:val="28"/>
        </w:rPr>
        <w:t>中粮米业（</w:t>
      </w:r>
      <w:r>
        <w:rPr>
          <w:rFonts w:hint="eastAsia" w:ascii="仿宋" w:hAnsi="仿宋" w:eastAsia="仿宋" w:cs="仿宋"/>
          <w:b/>
          <w:color w:val="000000"/>
          <w:sz w:val="28"/>
          <w:szCs w:val="28"/>
          <w:lang w:eastAsia="zh-CN"/>
        </w:rPr>
        <w:t>五常</w:t>
      </w:r>
      <w:r>
        <w:rPr>
          <w:rFonts w:hint="eastAsia" w:ascii="仿宋" w:hAnsi="仿宋" w:eastAsia="仿宋" w:cs="仿宋"/>
          <w:b/>
          <w:color w:val="000000"/>
          <w:sz w:val="28"/>
          <w:szCs w:val="28"/>
        </w:rPr>
        <w:t xml:space="preserve">）有限公司 </w:t>
      </w:r>
      <w:r>
        <w:rPr>
          <w:rFonts w:hint="eastAsia" w:ascii="仿宋" w:hAnsi="仿宋" w:eastAsia="仿宋" w:cs="仿宋"/>
          <w:color w:val="000000"/>
          <w:sz w:val="28"/>
          <w:szCs w:val="28"/>
        </w:rPr>
        <w:t xml:space="preserve">                 </w:t>
      </w:r>
    </w:p>
    <w:p w14:paraId="744C8288">
      <w:pPr>
        <w:spacing w:line="360" w:lineRule="auto"/>
        <w:ind w:left="120" w:leftChars="50" w:right="58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78349831">
      <w:pPr>
        <w:spacing w:line="360" w:lineRule="auto"/>
        <w:ind w:left="120" w:leftChars="50" w:right="588"/>
        <w:rPr>
          <w:rFonts w:ascii="仿宋" w:hAnsi="仿宋" w:eastAsia="仿宋" w:cs="仿宋"/>
          <w:sz w:val="28"/>
          <w:szCs w:val="28"/>
        </w:rPr>
      </w:pPr>
      <w:r>
        <w:rPr>
          <w:rFonts w:hint="eastAsia" w:ascii="仿宋" w:hAnsi="仿宋" w:eastAsia="仿宋" w:cs="仿宋"/>
          <w:color w:val="000000"/>
          <w:sz w:val="28"/>
          <w:szCs w:val="28"/>
        </w:rPr>
        <w:t xml:space="preserve">      </w:t>
      </w:r>
    </w:p>
    <w:p w14:paraId="6DF287EA">
      <w:pPr>
        <w:pStyle w:val="15"/>
        <w:ind w:left="0" w:leftChars="0" w:right="1470"/>
        <w:rPr>
          <w:rFonts w:ascii="仿宋" w:hAnsi="仿宋" w:eastAsia="仿宋" w:cs="仿宋"/>
          <w:sz w:val="28"/>
          <w:szCs w:val="28"/>
        </w:rPr>
      </w:pPr>
      <w:r>
        <w:rPr>
          <w:rFonts w:hint="eastAsia" w:ascii="仿宋" w:hAnsi="仿宋" w:eastAsia="仿宋" w:cs="仿宋"/>
          <w:color w:val="000000"/>
          <w:sz w:val="28"/>
          <w:szCs w:val="28"/>
        </w:rPr>
        <w:t>乙方（盖章）：</w:t>
      </w:r>
    </w:p>
    <w:p w14:paraId="618533C6">
      <w:pPr>
        <w:pStyle w:val="15"/>
        <w:ind w:left="0" w:leftChars="0" w:right="1470"/>
        <w:rPr>
          <w:rFonts w:ascii="仿宋" w:hAnsi="仿宋" w:eastAsia="仿宋" w:cs="仿宋"/>
          <w:sz w:val="24"/>
        </w:rPr>
        <w:sectPr>
          <w:pgSz w:w="11906" w:h="16838"/>
          <w:pgMar w:top="737" w:right="907" w:bottom="737" w:left="1304" w:header="624" w:footer="907" w:gutter="0"/>
          <w:cols w:space="425" w:num="1"/>
          <w:titlePg/>
          <w:docGrid w:linePitch="312" w:charSpace="0"/>
        </w:sectPr>
      </w:pPr>
    </w:p>
    <w:p w14:paraId="4FE8CADA">
      <w:pPr>
        <w:snapToGrid w:val="0"/>
        <w:spacing w:line="575" w:lineRule="exact"/>
        <w:rPr>
          <w:rFonts w:hint="eastAsia" w:ascii="仿宋_GB2312" w:hAnsi="仿宋" w:eastAsia="仿宋_GB2312" w:cs="仿宋"/>
          <w:b/>
          <w:bCs/>
          <w:sz w:val="32"/>
          <w:szCs w:val="32"/>
        </w:rPr>
      </w:pPr>
      <w:r>
        <w:rPr>
          <w:rFonts w:hint="eastAsia" w:ascii="仿宋" w:hAnsi="仿宋" w:eastAsia="仿宋" w:cs="仿宋"/>
          <w:b/>
          <w:bCs/>
          <w:sz w:val="28"/>
          <w:szCs w:val="28"/>
        </w:rPr>
        <w:t>附表</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：安全文明施工现场违约情形及违约金</w:t>
      </w:r>
    </w:p>
    <w:tbl>
      <w:tblPr>
        <w:tblStyle w:val="28"/>
        <w:tblW w:w="993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6184"/>
        <w:gridCol w:w="2088"/>
      </w:tblGrid>
      <w:tr w14:paraId="09328770">
        <w:tblPrEx>
          <w:tblCellMar>
            <w:top w:w="0" w:type="dxa"/>
            <w:left w:w="108" w:type="dxa"/>
            <w:bottom w:w="0" w:type="dxa"/>
            <w:right w:w="108" w:type="dxa"/>
          </w:tblCellMar>
        </w:tblPrEx>
        <w:trPr>
          <w:trHeight w:val="420" w:hRule="atLeast"/>
        </w:trPr>
        <w:tc>
          <w:tcPr>
            <w:tcW w:w="1666" w:type="dxa"/>
            <w:noWrap w:val="0"/>
            <w:vAlign w:val="center"/>
          </w:tcPr>
          <w:p w14:paraId="0CAC5999">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rPr>
              <w:t>项目</w:t>
            </w:r>
          </w:p>
        </w:tc>
        <w:tc>
          <w:tcPr>
            <w:tcW w:w="6184" w:type="dxa"/>
            <w:noWrap w:val="0"/>
            <w:vAlign w:val="center"/>
          </w:tcPr>
          <w:p w14:paraId="41024670">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rPr>
              <w:t>违反文明安全施工行为</w:t>
            </w:r>
          </w:p>
        </w:tc>
        <w:tc>
          <w:tcPr>
            <w:tcW w:w="2088" w:type="dxa"/>
            <w:noWrap w:val="0"/>
            <w:vAlign w:val="center"/>
          </w:tcPr>
          <w:p w14:paraId="49DFF085">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rPr>
              <w:t>违约金</w:t>
            </w:r>
          </w:p>
        </w:tc>
      </w:tr>
      <w:tr w14:paraId="2D79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restart"/>
            <w:noWrap w:val="0"/>
            <w:vAlign w:val="center"/>
          </w:tcPr>
          <w:p w14:paraId="1BDD14DF">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一、安全防护</w:t>
            </w:r>
          </w:p>
        </w:tc>
        <w:tc>
          <w:tcPr>
            <w:tcW w:w="6184" w:type="dxa"/>
            <w:noWrap w:val="0"/>
            <w:vAlign w:val="center"/>
          </w:tcPr>
          <w:p w14:paraId="32735841">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1、作业时未穿戴相应合规的防护用品</w:t>
            </w:r>
          </w:p>
        </w:tc>
        <w:tc>
          <w:tcPr>
            <w:tcW w:w="2088" w:type="dxa"/>
            <w:noWrap w:val="0"/>
            <w:vAlign w:val="center"/>
          </w:tcPr>
          <w:p w14:paraId="4B033DAF">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0554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145AA1C0">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5FC3D41B">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2、脚手架拆装无防护措施；</w:t>
            </w:r>
          </w:p>
        </w:tc>
        <w:tc>
          <w:tcPr>
            <w:tcW w:w="2088" w:type="dxa"/>
            <w:noWrap w:val="0"/>
            <w:vAlign w:val="center"/>
          </w:tcPr>
          <w:p w14:paraId="35F51A89">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14F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71027759">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5590F0F5">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3、使用未检验合格的防护用品或防护用品失效；</w:t>
            </w:r>
          </w:p>
        </w:tc>
        <w:tc>
          <w:tcPr>
            <w:tcW w:w="2088" w:type="dxa"/>
            <w:noWrap w:val="0"/>
            <w:vAlign w:val="center"/>
          </w:tcPr>
          <w:p w14:paraId="4DE93571">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1BFE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dxa"/>
            <w:vMerge w:val="continue"/>
            <w:noWrap w:val="0"/>
            <w:vAlign w:val="center"/>
          </w:tcPr>
          <w:p w14:paraId="0A4A316B">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0EC98656">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4、临边洞口无防护措施；</w:t>
            </w:r>
          </w:p>
        </w:tc>
        <w:tc>
          <w:tcPr>
            <w:tcW w:w="2088" w:type="dxa"/>
            <w:noWrap w:val="0"/>
            <w:vAlign w:val="center"/>
          </w:tcPr>
          <w:p w14:paraId="1AE68062">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B1E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restart"/>
            <w:noWrap w:val="0"/>
            <w:vAlign w:val="center"/>
          </w:tcPr>
          <w:p w14:paraId="76D001F2">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二、文明施工</w:t>
            </w:r>
          </w:p>
        </w:tc>
        <w:tc>
          <w:tcPr>
            <w:tcW w:w="6184" w:type="dxa"/>
            <w:noWrap w:val="0"/>
            <w:vAlign w:val="center"/>
          </w:tcPr>
          <w:p w14:paraId="4BD4781B">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5、在厂区内吸烟的；</w:t>
            </w:r>
          </w:p>
        </w:tc>
        <w:tc>
          <w:tcPr>
            <w:tcW w:w="2088" w:type="dxa"/>
            <w:noWrap w:val="0"/>
            <w:vAlign w:val="center"/>
          </w:tcPr>
          <w:p w14:paraId="26543EEA">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0D75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66" w:type="dxa"/>
            <w:vMerge w:val="continue"/>
            <w:noWrap w:val="0"/>
            <w:vAlign w:val="center"/>
          </w:tcPr>
          <w:p w14:paraId="6501D953">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177E248E">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6、不文明作业（如：随地大小便、酒后上岗、吵骂打架、随意占用、堵塞道路、通道的）</w:t>
            </w:r>
          </w:p>
        </w:tc>
        <w:tc>
          <w:tcPr>
            <w:tcW w:w="2088" w:type="dxa"/>
            <w:noWrap w:val="0"/>
            <w:vAlign w:val="center"/>
          </w:tcPr>
          <w:p w14:paraId="1155F5DE">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6ACB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66" w:type="dxa"/>
            <w:vMerge w:val="continue"/>
            <w:noWrap w:val="0"/>
            <w:vAlign w:val="center"/>
          </w:tcPr>
          <w:p w14:paraId="020CDF75">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5D711CAB">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7、驾驶车辆超速的（门口及转弯处5公里/小时，厂内道路10公里/小时，厂前路20公里/小时）；</w:t>
            </w:r>
          </w:p>
        </w:tc>
        <w:tc>
          <w:tcPr>
            <w:tcW w:w="2088" w:type="dxa"/>
            <w:noWrap w:val="0"/>
            <w:vAlign w:val="center"/>
          </w:tcPr>
          <w:p w14:paraId="35E61CE6">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42C8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5E195526">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566CFD65">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8、施工现场杂乱(如：严重脏、乱、差、垃圾未及时清理的</w:t>
            </w:r>
          </w:p>
        </w:tc>
        <w:tc>
          <w:tcPr>
            <w:tcW w:w="2088" w:type="dxa"/>
            <w:noWrap w:val="0"/>
            <w:vAlign w:val="center"/>
          </w:tcPr>
          <w:p w14:paraId="750BE363">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792D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66" w:type="dxa"/>
            <w:vMerge w:val="continue"/>
            <w:noWrap w:val="0"/>
            <w:vAlign w:val="center"/>
          </w:tcPr>
          <w:p w14:paraId="6544873E">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035037F2">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9、未经许可，随意进入生产区域的；</w:t>
            </w:r>
          </w:p>
        </w:tc>
        <w:tc>
          <w:tcPr>
            <w:tcW w:w="2088" w:type="dxa"/>
            <w:noWrap w:val="0"/>
            <w:vAlign w:val="center"/>
          </w:tcPr>
          <w:p w14:paraId="2A059D23">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1637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restart"/>
            <w:noWrap w:val="0"/>
            <w:vAlign w:val="center"/>
          </w:tcPr>
          <w:p w14:paraId="361BAD19">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三、现场管理</w:t>
            </w:r>
          </w:p>
        </w:tc>
        <w:tc>
          <w:tcPr>
            <w:tcW w:w="6184" w:type="dxa"/>
            <w:noWrap w:val="0"/>
            <w:vAlign w:val="center"/>
          </w:tcPr>
          <w:p w14:paraId="277B08DE">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10、现场安全隐患未定期整改的；</w:t>
            </w:r>
          </w:p>
        </w:tc>
        <w:tc>
          <w:tcPr>
            <w:tcW w:w="2088" w:type="dxa"/>
            <w:noWrap w:val="0"/>
            <w:vAlign w:val="center"/>
          </w:tcPr>
          <w:p w14:paraId="0B5A0C54">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372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dxa"/>
            <w:vMerge w:val="continue"/>
            <w:noWrap w:val="0"/>
            <w:vAlign w:val="center"/>
          </w:tcPr>
          <w:p w14:paraId="7368CBC7">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475BC797">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11、现场作业未开具作业证就动工作业的（包含动火、吊装、高处、受限空间、临时用电等）；</w:t>
            </w:r>
          </w:p>
        </w:tc>
        <w:tc>
          <w:tcPr>
            <w:tcW w:w="2088" w:type="dxa"/>
            <w:noWrap w:val="0"/>
            <w:vAlign w:val="center"/>
          </w:tcPr>
          <w:p w14:paraId="0BF33C4F">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F13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27E83A78">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6166F8BC">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12、特种作业人员及特殊工种人员未持证上岗的；</w:t>
            </w:r>
          </w:p>
        </w:tc>
        <w:tc>
          <w:tcPr>
            <w:tcW w:w="2088" w:type="dxa"/>
            <w:noWrap w:val="0"/>
            <w:vAlign w:val="center"/>
          </w:tcPr>
          <w:p w14:paraId="41BE8E61">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882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66" w:type="dxa"/>
            <w:vMerge w:val="restart"/>
            <w:noWrap w:val="0"/>
            <w:vAlign w:val="center"/>
          </w:tcPr>
          <w:p w14:paraId="22B4794A">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四、电气安全</w:t>
            </w:r>
          </w:p>
        </w:tc>
        <w:tc>
          <w:tcPr>
            <w:tcW w:w="6184" w:type="dxa"/>
            <w:noWrap w:val="0"/>
            <w:vAlign w:val="center"/>
          </w:tcPr>
          <w:p w14:paraId="7FFBB2B8">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 xml:space="preserve">13 临时用电未采用三级配电、三相五线制、二级漏电保护系统；                                       </w:t>
            </w:r>
          </w:p>
        </w:tc>
        <w:tc>
          <w:tcPr>
            <w:tcW w:w="2088" w:type="dxa"/>
            <w:noWrap w:val="0"/>
            <w:vAlign w:val="center"/>
          </w:tcPr>
          <w:p w14:paraId="159C51B3">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138A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5665382E">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2FEB239F">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14、未执行“一机、一闸、一漏”的规定；</w:t>
            </w:r>
          </w:p>
        </w:tc>
        <w:tc>
          <w:tcPr>
            <w:tcW w:w="2088" w:type="dxa"/>
            <w:noWrap w:val="0"/>
            <w:vAlign w:val="center"/>
          </w:tcPr>
          <w:p w14:paraId="484B1303">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6658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61C30465">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268FF150">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15、分配电箱与开关箱距离大于30米，开关箱与用电设备距离大于3米；</w:t>
            </w:r>
          </w:p>
        </w:tc>
        <w:tc>
          <w:tcPr>
            <w:tcW w:w="2088" w:type="dxa"/>
            <w:noWrap w:val="0"/>
            <w:vAlign w:val="center"/>
          </w:tcPr>
          <w:p w14:paraId="312B46B9">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3DF8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restart"/>
            <w:noWrap w:val="0"/>
            <w:vAlign w:val="center"/>
          </w:tcPr>
          <w:p w14:paraId="033FF258">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五、消防安全</w:t>
            </w:r>
          </w:p>
        </w:tc>
        <w:tc>
          <w:tcPr>
            <w:tcW w:w="6184" w:type="dxa"/>
            <w:noWrap w:val="0"/>
            <w:vAlign w:val="center"/>
          </w:tcPr>
          <w:p w14:paraId="19815239">
            <w:pPr>
              <w:keepNext w:val="0"/>
              <w:keepLines w:val="0"/>
              <w:widowControl/>
              <w:suppressLineNumbers w:val="0"/>
              <w:spacing w:before="0" w:beforeAutospacing="0" w:after="0" w:afterAutospacing="0"/>
              <w:ind w:left="0" w:right="0"/>
              <w:rPr>
                <w:rFonts w:hint="eastAsia" w:ascii="仿宋_GB2312" w:eastAsia="仿宋_GB2312"/>
                <w:szCs w:val="21"/>
                <w:lang w:eastAsia="zh-CN"/>
              </w:rPr>
            </w:pPr>
            <w:r>
              <w:rPr>
                <w:rFonts w:hint="eastAsia" w:ascii="仿宋_GB2312" w:eastAsia="仿宋_GB2312"/>
                <w:szCs w:val="21"/>
              </w:rPr>
              <w:t>16、氧气瓶与乙炔气瓶距离小于5米，二者距火源小于10米</w:t>
            </w:r>
            <w:r>
              <w:rPr>
                <w:rFonts w:hint="eastAsia" w:ascii="仿宋_GB2312" w:eastAsia="仿宋_GB2312"/>
                <w:szCs w:val="21"/>
                <w:lang w:eastAsia="zh-CN"/>
              </w:rPr>
              <w:t>；</w:t>
            </w:r>
          </w:p>
        </w:tc>
        <w:tc>
          <w:tcPr>
            <w:tcW w:w="2088" w:type="dxa"/>
            <w:noWrap w:val="0"/>
            <w:vAlign w:val="center"/>
          </w:tcPr>
          <w:p w14:paraId="2650C26D">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04F7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0AED7D25">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70CCC45C">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17、动用明火未配置消防器材的；</w:t>
            </w:r>
          </w:p>
        </w:tc>
        <w:tc>
          <w:tcPr>
            <w:tcW w:w="2088" w:type="dxa"/>
            <w:noWrap w:val="0"/>
            <w:vAlign w:val="center"/>
          </w:tcPr>
          <w:p w14:paraId="2ACDF49C">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0FE0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2AA1809E">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3B56F53D">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18、氧气、乙炔瓶阳光下直晒；</w:t>
            </w:r>
          </w:p>
        </w:tc>
        <w:tc>
          <w:tcPr>
            <w:tcW w:w="2088" w:type="dxa"/>
            <w:noWrap w:val="0"/>
            <w:vAlign w:val="center"/>
          </w:tcPr>
          <w:p w14:paraId="42712312">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AAE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783DF563">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1A6E71C1">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19、乙炔气瓶平放；</w:t>
            </w:r>
          </w:p>
        </w:tc>
        <w:tc>
          <w:tcPr>
            <w:tcW w:w="2088" w:type="dxa"/>
            <w:noWrap w:val="0"/>
            <w:vAlign w:val="center"/>
          </w:tcPr>
          <w:p w14:paraId="4DB6CEBA">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0CED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2A640968">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425F754C">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20、气瓶压力表损坏或失准；</w:t>
            </w:r>
          </w:p>
        </w:tc>
        <w:tc>
          <w:tcPr>
            <w:tcW w:w="2088" w:type="dxa"/>
            <w:noWrap w:val="0"/>
            <w:vAlign w:val="center"/>
          </w:tcPr>
          <w:p w14:paraId="16A4CD6E">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7B74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6C267CAA">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407D6B73">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21、非紧急情况私自动用公司消防器材、消防水的；</w:t>
            </w:r>
          </w:p>
        </w:tc>
        <w:tc>
          <w:tcPr>
            <w:tcW w:w="2088" w:type="dxa"/>
            <w:noWrap w:val="0"/>
            <w:vAlign w:val="center"/>
          </w:tcPr>
          <w:p w14:paraId="6AD925AA">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7B91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center"/>
          </w:tcPr>
          <w:p w14:paraId="25CFB8BB">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0A6D6971">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22、未按规定配置合规灭火器材的</w:t>
            </w:r>
          </w:p>
        </w:tc>
        <w:tc>
          <w:tcPr>
            <w:tcW w:w="2088" w:type="dxa"/>
            <w:noWrap w:val="0"/>
            <w:vAlign w:val="center"/>
          </w:tcPr>
          <w:p w14:paraId="1753CE25">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0C8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66" w:type="dxa"/>
            <w:vMerge w:val="restart"/>
            <w:noWrap w:val="0"/>
            <w:vAlign w:val="center"/>
          </w:tcPr>
          <w:p w14:paraId="2EC79470">
            <w:pPr>
              <w:keepNext w:val="0"/>
              <w:keepLines w:val="0"/>
              <w:widowControl/>
              <w:suppressLineNumbers w:val="0"/>
              <w:spacing w:before="0" w:beforeAutospacing="0" w:after="0" w:afterAutospacing="0"/>
              <w:ind w:left="0" w:right="0"/>
              <w:rPr>
                <w:rFonts w:hint="default" w:ascii="仿宋_GB2312" w:eastAsia="仿宋_GB2312"/>
                <w:szCs w:val="21"/>
                <w:lang w:val="en-US" w:eastAsia="zh-CN"/>
              </w:rPr>
            </w:pPr>
            <w:r>
              <w:rPr>
                <w:rFonts w:hint="eastAsia" w:ascii="仿宋_GB2312" w:eastAsia="仿宋_GB2312"/>
                <w:szCs w:val="21"/>
                <w:lang w:val="en-US" w:eastAsia="zh-CN"/>
              </w:rPr>
              <w:t>六、事故管理</w:t>
            </w:r>
          </w:p>
        </w:tc>
        <w:tc>
          <w:tcPr>
            <w:tcW w:w="6184" w:type="dxa"/>
            <w:noWrap w:val="0"/>
            <w:vAlign w:val="center"/>
          </w:tcPr>
          <w:p w14:paraId="2B41192D">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23、</w:t>
            </w:r>
            <w:r>
              <w:rPr>
                <w:rFonts w:hint="eastAsia" w:ascii="仿宋_GB2312" w:eastAsia="仿宋_GB2312"/>
                <w:szCs w:val="21"/>
              </w:rPr>
              <w:t>发生</w:t>
            </w:r>
            <w:r>
              <w:rPr>
                <w:rFonts w:hint="eastAsia" w:ascii="仿宋_GB2312" w:eastAsia="仿宋_GB2312"/>
                <w:szCs w:val="21"/>
                <w:lang w:val="en-US" w:eastAsia="zh-CN"/>
              </w:rPr>
              <w:t>中粮集团一级、二级、三级安全生产事故的；</w:t>
            </w:r>
          </w:p>
        </w:tc>
        <w:tc>
          <w:tcPr>
            <w:tcW w:w="2088" w:type="dxa"/>
            <w:noWrap w:val="0"/>
            <w:vAlign w:val="center"/>
          </w:tcPr>
          <w:p w14:paraId="5844B15F">
            <w:pPr>
              <w:keepNext w:val="0"/>
              <w:keepLines w:val="0"/>
              <w:widowControl/>
              <w:suppressLineNumbers w:val="0"/>
              <w:spacing w:before="0" w:beforeAutospacing="0" w:after="0" w:afterAutospacing="0"/>
              <w:ind w:left="0" w:right="0"/>
              <w:jc w:val="center"/>
              <w:rPr>
                <w:rFonts w:hint="default" w:ascii="仿宋_GB2312" w:eastAsia="仿宋_GB2312"/>
                <w:szCs w:val="21"/>
                <w:lang w:val="en-US" w:eastAsia="zh-CN"/>
              </w:rPr>
            </w:pPr>
            <w:r>
              <w:rPr>
                <w:rFonts w:hint="eastAsia" w:ascii="仿宋_GB2312" w:eastAsia="仿宋_GB2312"/>
                <w:szCs w:val="21"/>
                <w:lang w:val="en-US" w:eastAsia="zh-CN"/>
              </w:rPr>
              <w:t>由公司安委会研究后处罚</w:t>
            </w:r>
          </w:p>
        </w:tc>
      </w:tr>
      <w:tr w14:paraId="4EB3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6" w:type="dxa"/>
            <w:vMerge w:val="continue"/>
            <w:noWrap w:val="0"/>
            <w:vAlign w:val="center"/>
          </w:tcPr>
          <w:p w14:paraId="5FE6B0A3">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48F1A1EB">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24、</w:t>
            </w:r>
            <w:r>
              <w:rPr>
                <w:rFonts w:hint="eastAsia" w:ascii="仿宋_GB2312" w:eastAsia="仿宋_GB2312"/>
                <w:szCs w:val="21"/>
              </w:rPr>
              <w:t>发生</w:t>
            </w:r>
            <w:r>
              <w:rPr>
                <w:rFonts w:hint="eastAsia" w:ascii="仿宋_GB2312" w:eastAsia="仿宋_GB2312"/>
                <w:szCs w:val="21"/>
                <w:lang w:val="en-US" w:eastAsia="zh-CN"/>
              </w:rPr>
              <w:t>中粮集团四级安全生产事故的；</w:t>
            </w:r>
          </w:p>
        </w:tc>
        <w:tc>
          <w:tcPr>
            <w:tcW w:w="2088" w:type="dxa"/>
            <w:noWrap w:val="0"/>
            <w:vAlign w:val="center"/>
          </w:tcPr>
          <w:p w14:paraId="4BDE95E0">
            <w:pPr>
              <w:keepNext w:val="0"/>
              <w:keepLines w:val="0"/>
              <w:widowControl/>
              <w:suppressLineNumbers w:val="0"/>
              <w:spacing w:before="0" w:beforeAutospacing="0" w:after="0" w:afterAutospacing="0"/>
              <w:ind w:left="0" w:right="0"/>
              <w:jc w:val="center"/>
              <w:rPr>
                <w:rFonts w:hint="default" w:ascii="仿宋_GB2312" w:eastAsia="仿宋_GB2312"/>
                <w:szCs w:val="21"/>
                <w:lang w:val="en-US" w:eastAsia="zh-CN"/>
              </w:rPr>
            </w:pPr>
            <w:r>
              <w:rPr>
                <w:rFonts w:hint="eastAsia" w:ascii="仿宋_GB2312" w:eastAsia="仿宋_GB2312"/>
                <w:szCs w:val="21"/>
                <w:lang w:val="en-US" w:eastAsia="zh-CN"/>
              </w:rPr>
              <w:t>50000元/项</w:t>
            </w:r>
          </w:p>
        </w:tc>
      </w:tr>
      <w:tr w14:paraId="0393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6" w:type="dxa"/>
            <w:vMerge w:val="continue"/>
            <w:noWrap w:val="0"/>
            <w:vAlign w:val="center"/>
          </w:tcPr>
          <w:p w14:paraId="3D5CA9B8">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01BD577C">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25、</w:t>
            </w:r>
            <w:r>
              <w:rPr>
                <w:rFonts w:hint="eastAsia" w:ascii="仿宋_GB2312" w:eastAsia="仿宋_GB2312"/>
                <w:szCs w:val="21"/>
              </w:rPr>
              <w:t>发生</w:t>
            </w:r>
            <w:r>
              <w:rPr>
                <w:rFonts w:hint="eastAsia" w:ascii="仿宋_GB2312" w:eastAsia="仿宋_GB2312"/>
                <w:szCs w:val="21"/>
                <w:lang w:val="en-US" w:eastAsia="zh-CN"/>
              </w:rPr>
              <w:t>中粮集团五级安全生产事故的；</w:t>
            </w:r>
          </w:p>
        </w:tc>
        <w:tc>
          <w:tcPr>
            <w:tcW w:w="2088" w:type="dxa"/>
            <w:noWrap w:val="0"/>
            <w:vAlign w:val="center"/>
          </w:tcPr>
          <w:p w14:paraId="215F18BA">
            <w:pPr>
              <w:keepNext w:val="0"/>
              <w:keepLines w:val="0"/>
              <w:widowControl/>
              <w:suppressLineNumbers w:val="0"/>
              <w:spacing w:before="0" w:beforeAutospacing="0" w:after="0" w:afterAutospacing="0"/>
              <w:ind w:left="0" w:right="0"/>
              <w:jc w:val="center"/>
              <w:rPr>
                <w:rFonts w:hint="eastAsia" w:ascii="仿宋_GB2312" w:eastAsia="微软雅黑"/>
                <w:szCs w:val="21"/>
                <w:lang w:val="en-US" w:eastAsia="zh-CN"/>
              </w:rPr>
            </w:pPr>
            <w:r>
              <w:rPr>
                <w:rFonts w:hint="eastAsia" w:ascii="仿宋_GB2312" w:eastAsia="仿宋_GB2312"/>
                <w:szCs w:val="21"/>
                <w:lang w:val="en-US" w:eastAsia="zh-CN"/>
              </w:rPr>
              <w:t>40000</w:t>
            </w:r>
            <w:r>
              <w:rPr>
                <w:rFonts w:hint="eastAsia" w:ascii="仿宋_GB2312" w:hAnsi="Times New Roman" w:eastAsia="仿宋_GB2312" w:cs="Times New Roman"/>
                <w:szCs w:val="21"/>
                <w:lang w:val="en-US" w:eastAsia="zh-CN"/>
              </w:rPr>
              <w:t>元/项</w:t>
            </w:r>
          </w:p>
        </w:tc>
      </w:tr>
      <w:tr w14:paraId="6ECA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6" w:type="dxa"/>
            <w:vMerge w:val="continue"/>
            <w:noWrap w:val="0"/>
            <w:vAlign w:val="center"/>
          </w:tcPr>
          <w:p w14:paraId="7424212B">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4A7B33AE">
            <w:pPr>
              <w:keepNext w:val="0"/>
              <w:keepLines w:val="0"/>
              <w:widowControl/>
              <w:suppressLineNumbers w:val="0"/>
              <w:spacing w:before="0" w:beforeAutospacing="0" w:after="0" w:afterAutospacing="0"/>
              <w:ind w:left="0" w:right="0"/>
              <w:rPr>
                <w:rFonts w:hint="eastAsia" w:ascii="仿宋_GB2312" w:eastAsia="仿宋_GB2312"/>
                <w:kern w:val="2"/>
                <w:sz w:val="21"/>
                <w:szCs w:val="21"/>
                <w:lang w:val="en-US" w:eastAsia="zh-CN" w:bidi="ar-SA"/>
              </w:rPr>
            </w:pPr>
            <w:r>
              <w:rPr>
                <w:rFonts w:hint="eastAsia" w:ascii="仿宋_GB2312" w:eastAsia="仿宋_GB2312"/>
                <w:szCs w:val="21"/>
                <w:lang w:val="en-US" w:eastAsia="zh-CN"/>
              </w:rPr>
              <w:t>26、</w:t>
            </w:r>
            <w:r>
              <w:rPr>
                <w:rFonts w:hint="eastAsia" w:ascii="仿宋_GB2312" w:eastAsia="仿宋_GB2312"/>
                <w:szCs w:val="21"/>
              </w:rPr>
              <w:t>发生</w:t>
            </w:r>
            <w:r>
              <w:rPr>
                <w:rFonts w:hint="eastAsia" w:ascii="仿宋_GB2312" w:eastAsia="仿宋_GB2312"/>
                <w:szCs w:val="21"/>
                <w:lang w:val="en-US" w:eastAsia="zh-CN"/>
              </w:rPr>
              <w:t>中粮集团六级安全生产事故的；</w:t>
            </w:r>
          </w:p>
        </w:tc>
        <w:tc>
          <w:tcPr>
            <w:tcW w:w="2088" w:type="dxa"/>
            <w:noWrap w:val="0"/>
            <w:vAlign w:val="center"/>
          </w:tcPr>
          <w:p w14:paraId="430ED477">
            <w:pPr>
              <w:keepNext w:val="0"/>
              <w:keepLines w:val="0"/>
              <w:widowControl/>
              <w:suppressLineNumbers w:val="0"/>
              <w:spacing w:before="0" w:beforeAutospacing="0" w:after="0" w:afterAutospacing="0"/>
              <w:ind w:left="0" w:right="0"/>
              <w:jc w:val="center"/>
              <w:rPr>
                <w:rFonts w:hint="eastAsia" w:ascii="仿宋_GB2312" w:eastAsia="微软雅黑"/>
                <w:kern w:val="2"/>
                <w:sz w:val="21"/>
                <w:szCs w:val="21"/>
                <w:lang w:val="en-US" w:eastAsia="zh-CN" w:bidi="ar-SA"/>
              </w:rPr>
            </w:pPr>
            <w:r>
              <w:rPr>
                <w:rFonts w:hint="eastAsia" w:ascii="仿宋_GB2312" w:eastAsia="仿宋_GB2312"/>
                <w:szCs w:val="21"/>
                <w:lang w:val="en-US" w:eastAsia="zh-CN"/>
              </w:rPr>
              <w:t>20000</w:t>
            </w:r>
            <w:r>
              <w:rPr>
                <w:rFonts w:hint="eastAsia" w:ascii="仿宋_GB2312" w:hAnsi="Times New Roman" w:eastAsia="仿宋_GB2312" w:cs="Times New Roman"/>
                <w:szCs w:val="21"/>
                <w:lang w:val="en-US" w:eastAsia="zh-CN"/>
              </w:rPr>
              <w:t>元/项</w:t>
            </w:r>
          </w:p>
        </w:tc>
      </w:tr>
      <w:tr w14:paraId="57CB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6" w:type="dxa"/>
            <w:vMerge w:val="continue"/>
            <w:noWrap w:val="0"/>
            <w:vAlign w:val="center"/>
          </w:tcPr>
          <w:p w14:paraId="533534EC">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02D8887E">
            <w:pPr>
              <w:keepNext w:val="0"/>
              <w:keepLines w:val="0"/>
              <w:widowControl/>
              <w:suppressLineNumbers w:val="0"/>
              <w:spacing w:before="0" w:beforeAutospacing="0" w:after="0" w:afterAutospacing="0"/>
              <w:ind w:left="0" w:right="0"/>
              <w:rPr>
                <w:rFonts w:hint="eastAsia" w:ascii="仿宋_GB2312" w:eastAsia="仿宋_GB2312"/>
                <w:kern w:val="2"/>
                <w:sz w:val="21"/>
                <w:szCs w:val="21"/>
                <w:lang w:val="en-US" w:eastAsia="zh-CN" w:bidi="ar-SA"/>
              </w:rPr>
            </w:pPr>
            <w:r>
              <w:rPr>
                <w:rFonts w:hint="eastAsia" w:ascii="仿宋_GB2312" w:eastAsia="仿宋_GB2312"/>
                <w:szCs w:val="21"/>
                <w:lang w:val="en-US" w:eastAsia="zh-CN"/>
              </w:rPr>
              <w:t>27、</w:t>
            </w:r>
            <w:r>
              <w:rPr>
                <w:rFonts w:hint="eastAsia" w:ascii="仿宋_GB2312" w:eastAsia="仿宋_GB2312"/>
                <w:szCs w:val="21"/>
              </w:rPr>
              <w:t>发生</w:t>
            </w:r>
            <w:r>
              <w:rPr>
                <w:rFonts w:hint="eastAsia" w:ascii="仿宋_GB2312" w:eastAsia="仿宋_GB2312"/>
                <w:szCs w:val="21"/>
                <w:lang w:val="en-US" w:eastAsia="zh-CN"/>
              </w:rPr>
              <w:t>中粮集团七级安全生产事故的；</w:t>
            </w:r>
          </w:p>
        </w:tc>
        <w:tc>
          <w:tcPr>
            <w:tcW w:w="2088" w:type="dxa"/>
            <w:noWrap w:val="0"/>
            <w:vAlign w:val="center"/>
          </w:tcPr>
          <w:p w14:paraId="55341508">
            <w:pPr>
              <w:keepNext w:val="0"/>
              <w:keepLines w:val="0"/>
              <w:widowControl/>
              <w:suppressLineNumbers w:val="0"/>
              <w:spacing w:before="0" w:beforeAutospacing="0" w:after="0" w:afterAutospacing="0"/>
              <w:ind w:left="0" w:right="0"/>
              <w:jc w:val="center"/>
              <w:rPr>
                <w:rFonts w:hint="eastAsia" w:ascii="仿宋_GB2312" w:eastAsia="微软雅黑"/>
                <w:kern w:val="2"/>
                <w:sz w:val="21"/>
                <w:szCs w:val="21"/>
                <w:lang w:val="en-US" w:eastAsia="zh-CN" w:bidi="ar-SA"/>
              </w:rPr>
            </w:pPr>
            <w:r>
              <w:rPr>
                <w:rFonts w:hint="eastAsia" w:ascii="仿宋_GB2312" w:eastAsia="仿宋_GB2312"/>
                <w:szCs w:val="21"/>
                <w:lang w:val="en-US" w:eastAsia="zh-CN"/>
              </w:rPr>
              <w:t>10000</w:t>
            </w:r>
            <w:r>
              <w:rPr>
                <w:rFonts w:hint="eastAsia" w:ascii="仿宋_GB2312" w:hAnsi="Times New Roman" w:eastAsia="仿宋_GB2312" w:cs="Times New Roman"/>
                <w:szCs w:val="21"/>
                <w:lang w:val="en-US" w:eastAsia="zh-CN"/>
              </w:rPr>
              <w:t>元/项</w:t>
            </w:r>
          </w:p>
        </w:tc>
      </w:tr>
      <w:tr w14:paraId="790E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6" w:type="dxa"/>
            <w:vMerge w:val="continue"/>
            <w:noWrap w:val="0"/>
            <w:vAlign w:val="center"/>
          </w:tcPr>
          <w:p w14:paraId="12D67057">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53B23205">
            <w:pPr>
              <w:keepNext w:val="0"/>
              <w:keepLines w:val="0"/>
              <w:widowControl/>
              <w:suppressLineNumbers w:val="0"/>
              <w:spacing w:before="0" w:beforeAutospacing="0" w:after="0" w:afterAutospacing="0"/>
              <w:ind w:left="0" w:right="0"/>
              <w:rPr>
                <w:rFonts w:hint="eastAsia" w:ascii="仿宋_GB2312" w:eastAsia="仿宋_GB2312"/>
                <w:kern w:val="2"/>
                <w:sz w:val="21"/>
                <w:szCs w:val="21"/>
                <w:lang w:val="en-US" w:eastAsia="zh-CN" w:bidi="ar-SA"/>
              </w:rPr>
            </w:pPr>
            <w:r>
              <w:rPr>
                <w:rFonts w:hint="eastAsia" w:ascii="仿宋_GB2312" w:eastAsia="仿宋_GB2312"/>
                <w:szCs w:val="21"/>
                <w:lang w:val="en-US" w:eastAsia="zh-CN"/>
              </w:rPr>
              <w:t>28、</w:t>
            </w:r>
            <w:r>
              <w:rPr>
                <w:rFonts w:hint="eastAsia" w:ascii="仿宋_GB2312" w:eastAsia="仿宋_GB2312"/>
                <w:szCs w:val="21"/>
              </w:rPr>
              <w:t>发生</w:t>
            </w:r>
            <w:r>
              <w:rPr>
                <w:rFonts w:hint="eastAsia" w:ascii="仿宋_GB2312" w:eastAsia="仿宋_GB2312"/>
                <w:szCs w:val="21"/>
                <w:lang w:val="en-US" w:eastAsia="zh-CN"/>
              </w:rPr>
              <w:t>中粮集团八级安全生产事故的；</w:t>
            </w:r>
          </w:p>
        </w:tc>
        <w:tc>
          <w:tcPr>
            <w:tcW w:w="2088" w:type="dxa"/>
            <w:noWrap w:val="0"/>
            <w:vAlign w:val="center"/>
          </w:tcPr>
          <w:p w14:paraId="1EF78E9B">
            <w:pPr>
              <w:keepNext w:val="0"/>
              <w:keepLines w:val="0"/>
              <w:widowControl/>
              <w:suppressLineNumbers w:val="0"/>
              <w:spacing w:before="0" w:beforeAutospacing="0" w:after="0" w:afterAutospacing="0"/>
              <w:ind w:left="0" w:right="0"/>
              <w:jc w:val="center"/>
              <w:rPr>
                <w:rFonts w:hint="eastAsia" w:ascii="仿宋_GB2312" w:eastAsia="微软雅黑"/>
                <w:kern w:val="2"/>
                <w:sz w:val="21"/>
                <w:szCs w:val="21"/>
                <w:lang w:val="en-US" w:eastAsia="zh-CN" w:bidi="ar-SA"/>
              </w:rPr>
            </w:pPr>
            <w:r>
              <w:rPr>
                <w:rFonts w:hint="eastAsia" w:ascii="仿宋_GB2312" w:eastAsia="仿宋_GB2312"/>
                <w:szCs w:val="21"/>
                <w:lang w:val="en-US" w:eastAsia="zh-CN"/>
              </w:rPr>
              <w:t>5000</w:t>
            </w:r>
            <w:r>
              <w:rPr>
                <w:rFonts w:hint="eastAsia" w:ascii="仿宋_GB2312" w:hAnsi="Times New Roman" w:eastAsia="仿宋_GB2312" w:cs="Times New Roman"/>
                <w:szCs w:val="21"/>
                <w:lang w:val="en-US" w:eastAsia="zh-CN"/>
              </w:rPr>
              <w:t>元/项</w:t>
            </w:r>
          </w:p>
        </w:tc>
      </w:tr>
      <w:tr w14:paraId="20C9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restart"/>
            <w:noWrap w:val="0"/>
            <w:vAlign w:val="center"/>
          </w:tcPr>
          <w:p w14:paraId="314CE999">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七</w:t>
            </w:r>
            <w:r>
              <w:rPr>
                <w:rFonts w:hint="eastAsia" w:ascii="仿宋_GB2312" w:eastAsia="仿宋_GB2312"/>
                <w:szCs w:val="21"/>
              </w:rPr>
              <w:t>、其他</w:t>
            </w:r>
          </w:p>
        </w:tc>
        <w:tc>
          <w:tcPr>
            <w:tcW w:w="6184" w:type="dxa"/>
            <w:noWrap w:val="0"/>
            <w:vAlign w:val="center"/>
          </w:tcPr>
          <w:p w14:paraId="5D64E0D3">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29</w:t>
            </w:r>
            <w:r>
              <w:rPr>
                <w:rFonts w:hint="eastAsia" w:ascii="仿宋_GB2312" w:eastAsia="仿宋_GB2312"/>
                <w:szCs w:val="21"/>
              </w:rPr>
              <w:t>、随意动用公司物品及标志牌造成损坏的；</w:t>
            </w:r>
          </w:p>
        </w:tc>
        <w:tc>
          <w:tcPr>
            <w:tcW w:w="2088" w:type="dxa"/>
            <w:noWrap w:val="0"/>
            <w:vAlign w:val="center"/>
          </w:tcPr>
          <w:p w14:paraId="3B459223">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8CD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top"/>
          </w:tcPr>
          <w:p w14:paraId="10E6B9FB">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1854E0B7">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30</w:t>
            </w:r>
            <w:r>
              <w:rPr>
                <w:rFonts w:hint="eastAsia" w:ascii="仿宋_GB2312" w:eastAsia="仿宋_GB2312"/>
                <w:szCs w:val="21"/>
              </w:rPr>
              <w:t>、偷盗公司物品的每次给予相关单位违约追偿处理，严重者交公安机关处理；</w:t>
            </w:r>
          </w:p>
        </w:tc>
        <w:tc>
          <w:tcPr>
            <w:tcW w:w="2088" w:type="dxa"/>
            <w:noWrap w:val="0"/>
            <w:vAlign w:val="center"/>
          </w:tcPr>
          <w:p w14:paraId="07030E49">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2DB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top"/>
          </w:tcPr>
          <w:p w14:paraId="27DDCB49">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22FD2B27">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31</w:t>
            </w:r>
            <w:r>
              <w:rPr>
                <w:rFonts w:hint="eastAsia" w:ascii="仿宋_GB2312" w:eastAsia="仿宋_GB2312"/>
                <w:szCs w:val="21"/>
              </w:rPr>
              <w:t>、施工方案或安全措施方案未经批准擅自施工和操作；</w:t>
            </w:r>
          </w:p>
        </w:tc>
        <w:tc>
          <w:tcPr>
            <w:tcW w:w="2088" w:type="dxa"/>
            <w:noWrap w:val="0"/>
            <w:vAlign w:val="center"/>
          </w:tcPr>
          <w:p w14:paraId="2EFE9338">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7A21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top"/>
          </w:tcPr>
          <w:p w14:paraId="4854E545">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38B90328">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32</w:t>
            </w:r>
            <w:r>
              <w:rPr>
                <w:rFonts w:hint="eastAsia" w:ascii="仿宋_GB2312" w:eastAsia="仿宋_GB2312"/>
                <w:szCs w:val="21"/>
              </w:rPr>
              <w:t>、安排未经过培训教育、安全交底人员进入现场作业，随意更换未备案作业人员进厂作业；</w:t>
            </w:r>
          </w:p>
        </w:tc>
        <w:tc>
          <w:tcPr>
            <w:tcW w:w="2088" w:type="dxa"/>
            <w:noWrap w:val="0"/>
            <w:vAlign w:val="center"/>
          </w:tcPr>
          <w:p w14:paraId="00FC689C">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354B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top"/>
          </w:tcPr>
          <w:p w14:paraId="6971B342">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677023B0">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33</w:t>
            </w:r>
            <w:r>
              <w:rPr>
                <w:rFonts w:hint="eastAsia" w:ascii="仿宋_GB2312" w:eastAsia="仿宋_GB2312"/>
                <w:szCs w:val="21"/>
              </w:rPr>
              <w:t>、危险作业监护人不在现场；</w:t>
            </w:r>
          </w:p>
        </w:tc>
        <w:tc>
          <w:tcPr>
            <w:tcW w:w="2088" w:type="dxa"/>
            <w:noWrap w:val="0"/>
            <w:vAlign w:val="center"/>
          </w:tcPr>
          <w:p w14:paraId="4ED61C3C">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61D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666" w:type="dxa"/>
            <w:vMerge w:val="continue"/>
            <w:noWrap w:val="0"/>
            <w:vAlign w:val="top"/>
          </w:tcPr>
          <w:p w14:paraId="505DAF20">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111EE3C9">
            <w:pPr>
              <w:keepNext w:val="0"/>
              <w:keepLines w:val="0"/>
              <w:widowControl/>
              <w:suppressLineNumbers w:val="0"/>
              <w:spacing w:before="0" w:beforeAutospacing="0" w:after="0" w:afterAutospacing="0"/>
              <w:ind w:left="0" w:right="0"/>
              <w:rPr>
                <w:rFonts w:hint="eastAsia" w:ascii="仿宋_GB2312" w:eastAsia="仿宋_GB2312"/>
                <w:szCs w:val="21"/>
                <w:lang w:eastAsia="zh-CN"/>
              </w:rPr>
            </w:pPr>
            <w:r>
              <w:rPr>
                <w:rFonts w:hint="eastAsia" w:ascii="仿宋_GB2312" w:eastAsia="仿宋_GB2312"/>
                <w:szCs w:val="21"/>
                <w:lang w:val="en-US" w:eastAsia="zh-CN"/>
              </w:rPr>
              <w:t>34</w:t>
            </w:r>
            <w:r>
              <w:rPr>
                <w:rFonts w:hint="eastAsia" w:ascii="仿宋_GB2312" w:eastAsia="仿宋_GB2312"/>
                <w:szCs w:val="21"/>
              </w:rPr>
              <w:t>、未按时参加甲方组织的安全活动(安全会议、安全检查等)</w:t>
            </w:r>
            <w:r>
              <w:rPr>
                <w:rFonts w:hint="eastAsia" w:ascii="仿宋_GB2312" w:eastAsia="仿宋_GB2312"/>
                <w:szCs w:val="21"/>
                <w:lang w:eastAsia="zh-CN"/>
              </w:rPr>
              <w:t>；</w:t>
            </w:r>
          </w:p>
        </w:tc>
        <w:tc>
          <w:tcPr>
            <w:tcW w:w="2088" w:type="dxa"/>
            <w:noWrap w:val="0"/>
            <w:vAlign w:val="center"/>
          </w:tcPr>
          <w:p w14:paraId="10AA5005">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14:paraId="22A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66" w:type="dxa"/>
            <w:vMerge w:val="continue"/>
            <w:noWrap w:val="0"/>
            <w:vAlign w:val="top"/>
          </w:tcPr>
          <w:p w14:paraId="3E5376D5">
            <w:pPr>
              <w:keepNext w:val="0"/>
              <w:keepLines w:val="0"/>
              <w:widowControl/>
              <w:suppressLineNumbers w:val="0"/>
              <w:spacing w:before="0" w:beforeAutospacing="0" w:after="0" w:afterAutospacing="0"/>
              <w:ind w:left="0" w:right="0"/>
              <w:rPr>
                <w:rFonts w:hint="eastAsia" w:ascii="仿宋_GB2312" w:eastAsia="仿宋_GB2312"/>
                <w:szCs w:val="21"/>
              </w:rPr>
            </w:pPr>
          </w:p>
        </w:tc>
        <w:tc>
          <w:tcPr>
            <w:tcW w:w="6184" w:type="dxa"/>
            <w:noWrap w:val="0"/>
            <w:vAlign w:val="center"/>
          </w:tcPr>
          <w:p w14:paraId="708A090C">
            <w:pPr>
              <w:keepNext w:val="0"/>
              <w:keepLines w:val="0"/>
              <w:widowControl/>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lang w:val="en-US" w:eastAsia="zh-CN"/>
              </w:rPr>
              <w:t>35</w:t>
            </w:r>
            <w:r>
              <w:rPr>
                <w:rFonts w:hint="eastAsia" w:ascii="仿宋_GB2312" w:eastAsia="仿宋_GB2312"/>
                <w:szCs w:val="21"/>
              </w:rPr>
              <w:t>、其他安全隐患或不文明作业现象、足以引发事故的。</w:t>
            </w:r>
          </w:p>
        </w:tc>
        <w:tc>
          <w:tcPr>
            <w:tcW w:w="2088" w:type="dxa"/>
            <w:noWrap w:val="0"/>
            <w:vAlign w:val="center"/>
          </w:tcPr>
          <w:p w14:paraId="45241F65">
            <w:pPr>
              <w:keepNext w:val="0"/>
              <w:keepLines w:val="0"/>
              <w:widowControl/>
              <w:suppressLineNumbers w:val="0"/>
              <w:spacing w:before="0" w:beforeAutospacing="0" w:after="0" w:afterAutospacing="0"/>
              <w:ind w:left="0" w:right="0"/>
              <w:jc w:val="center"/>
              <w:rPr>
                <w:rFonts w:hint="eastAsia" w:ascii="仿宋_GB2312" w:eastAsia="仿宋_GB2312"/>
                <w:szCs w:val="21"/>
              </w:rPr>
            </w:pPr>
            <w:r>
              <w:rPr>
                <w:rFonts w:hint="eastAsia" w:ascii="仿宋_GB2312" w:eastAsia="仿宋_GB2312"/>
                <w:szCs w:val="21"/>
                <w:lang w:val="en-US" w:eastAsia="zh-CN"/>
              </w:rPr>
              <w:t>300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bl>
    <w:p w14:paraId="1E919254">
      <w:pPr>
        <w:widowControl/>
        <w:snapToGrid w:val="0"/>
        <w:spacing w:line="575" w:lineRule="exact"/>
        <w:ind w:left="-480" w:leftChars="-200" w:firstLine="0" w:firstLineChars="0"/>
        <w:jc w:val="left"/>
        <w:rPr>
          <w:rFonts w:hint="eastAsia" w:ascii="仿宋_GB2312" w:hAnsi="仿宋" w:eastAsia="仿宋_GB2312" w:cs="仿宋"/>
          <w:kern w:val="0"/>
          <w:sz w:val="28"/>
          <w:szCs w:val="24"/>
        </w:rPr>
        <w:sectPr>
          <w:pgSz w:w="11906" w:h="16838"/>
          <w:pgMar w:top="737" w:right="907" w:bottom="737" w:left="1304" w:header="624" w:footer="907" w:gutter="0"/>
          <w:cols w:space="425" w:num="1"/>
          <w:titlePg/>
          <w:docGrid w:linePitch="312" w:charSpace="0"/>
        </w:sectPr>
      </w:pPr>
      <w:r>
        <w:rPr>
          <w:rFonts w:hint="eastAsia" w:ascii="仿宋_GB2312" w:hAnsi="仿宋" w:eastAsia="仿宋_GB2312" w:cs="仿宋"/>
          <w:kern w:val="0"/>
          <w:sz w:val="28"/>
          <w:szCs w:val="24"/>
        </w:rPr>
        <w:t>备注：不限于以上内容，可根据</w:t>
      </w:r>
      <w:r>
        <w:rPr>
          <w:rFonts w:hint="eastAsia" w:ascii="仿宋_GB2312" w:hAnsi="仿宋" w:eastAsia="仿宋_GB2312" w:cs="仿宋"/>
          <w:kern w:val="0"/>
          <w:sz w:val="28"/>
          <w:szCs w:val="24"/>
          <w:lang w:val="en-US" w:eastAsia="zh-CN"/>
        </w:rPr>
        <w:t>中粮米业（五常）有限公司相关安全管理制度</w:t>
      </w:r>
      <w:r>
        <w:rPr>
          <w:rFonts w:hint="eastAsia" w:ascii="仿宋_GB2312" w:hAnsi="仿宋" w:eastAsia="仿宋_GB2312" w:cs="仿宋"/>
          <w:kern w:val="0"/>
          <w:sz w:val="28"/>
          <w:szCs w:val="24"/>
        </w:rPr>
        <w:t>进行</w:t>
      </w:r>
      <w:r>
        <w:rPr>
          <w:rFonts w:hint="eastAsia" w:ascii="仿宋_GB2312" w:hAnsi="仿宋" w:eastAsia="仿宋_GB2312" w:cs="仿宋"/>
          <w:kern w:val="0"/>
          <w:sz w:val="28"/>
          <w:szCs w:val="24"/>
          <w:lang w:val="en-US" w:eastAsia="zh-CN"/>
        </w:rPr>
        <w:t>考核</w:t>
      </w:r>
      <w:r>
        <w:rPr>
          <w:rFonts w:hint="eastAsia" w:ascii="仿宋_GB2312" w:hAnsi="仿宋" w:eastAsia="仿宋_GB2312" w:cs="仿宋"/>
          <w:kern w:val="0"/>
          <w:sz w:val="28"/>
          <w:szCs w:val="24"/>
        </w:rPr>
        <w:t>。</w:t>
      </w:r>
    </w:p>
    <w:p w14:paraId="3EBE677D">
      <w:pPr>
        <w:snapToGrid w:val="0"/>
        <w:spacing w:line="575"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附表2：中粮集团生产安全事故分为以下等级</w:t>
      </w:r>
    </w:p>
    <w:tbl>
      <w:tblPr>
        <w:tblStyle w:val="7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8"/>
        <w:gridCol w:w="2458"/>
        <w:gridCol w:w="1702"/>
        <w:gridCol w:w="4599"/>
        <w:gridCol w:w="20"/>
      </w:tblGrid>
      <w:tr w14:paraId="7876EAC1">
        <w:tblPrEx>
          <w:tblCellMar>
            <w:top w:w="0" w:type="dxa"/>
            <w:left w:w="0" w:type="dxa"/>
            <w:bottom w:w="0" w:type="dxa"/>
            <w:right w:w="0" w:type="dxa"/>
          </w:tblCellMar>
        </w:tblPrEx>
        <w:trPr>
          <w:gridAfter w:val="1"/>
          <w:wAfter w:w="20" w:type="dxa"/>
          <w:trHeight w:val="440" w:hRule="atLeast"/>
          <w:jc w:val="center"/>
        </w:trPr>
        <w:tc>
          <w:tcPr>
            <w:tcW w:w="1468" w:type="dxa"/>
            <w:vMerge w:val="restart"/>
            <w:tcBorders>
              <w:top w:val="single" w:color="000000" w:sz="2" w:space="0"/>
              <w:left w:val="single" w:color="000000" w:sz="2" w:space="0"/>
              <w:bottom w:val="single" w:color="000000" w:sz="2" w:space="0"/>
              <w:right w:val="single" w:color="000000" w:sz="2" w:space="0"/>
            </w:tcBorders>
            <w:noWrap w:val="0"/>
            <w:vAlign w:val="center"/>
          </w:tcPr>
          <w:p w14:paraId="58214D57">
            <w:pPr>
              <w:jc w:val="center"/>
              <w:rPr>
                <w:rFonts w:hint="default" w:ascii="仿宋_GB2312" w:hAnsi="Times New Roman" w:eastAsia="仿宋_GB2312" w:cs="Times New Roman"/>
                <w:b/>
                <w:bCs/>
                <w:szCs w:val="21"/>
                <w:lang w:val="en-US" w:eastAsia="zh-CN"/>
              </w:rPr>
            </w:pPr>
            <w:r>
              <w:rPr>
                <w:rFonts w:hint="eastAsia" w:ascii="仿宋_GB2312" w:hAnsi="Times New Roman" w:eastAsia="仿宋_GB2312" w:cs="Times New Roman"/>
                <w:b/>
                <w:bCs/>
                <w:szCs w:val="21"/>
                <w:lang w:val="en-US" w:eastAsia="zh-CN"/>
              </w:rPr>
              <w:t>级别</w:t>
            </w:r>
          </w:p>
        </w:tc>
        <w:tc>
          <w:tcPr>
            <w:tcW w:w="8759" w:type="dxa"/>
            <w:gridSpan w:val="3"/>
            <w:tcBorders>
              <w:top w:val="single" w:color="000000" w:sz="2" w:space="0"/>
              <w:left w:val="nil"/>
              <w:bottom w:val="single" w:color="000000" w:sz="2" w:space="0"/>
              <w:right w:val="single" w:color="000000" w:sz="2" w:space="0"/>
            </w:tcBorders>
            <w:noWrap w:val="0"/>
            <w:vAlign w:val="center"/>
          </w:tcPr>
          <w:p w14:paraId="29ADD7CF">
            <w:pPr>
              <w:jc w:val="center"/>
              <w:rPr>
                <w:rFonts w:hint="default" w:ascii="仿宋_GB2312" w:hAnsi="Times New Roman" w:eastAsia="仿宋_GB2312" w:cs="Times New Roman"/>
                <w:b/>
                <w:bCs/>
                <w:szCs w:val="21"/>
                <w:lang w:val="en-US" w:eastAsia="zh-CN"/>
              </w:rPr>
            </w:pPr>
            <w:r>
              <w:rPr>
                <w:rFonts w:hint="eastAsia" w:ascii="仿宋_GB2312" w:hAnsi="Times New Roman" w:eastAsia="仿宋_GB2312" w:cs="Times New Roman"/>
                <w:b/>
                <w:bCs/>
                <w:szCs w:val="21"/>
                <w:lang w:val="en-US" w:eastAsia="zh-CN"/>
              </w:rPr>
              <w:t>影响后果</w:t>
            </w:r>
            <w:r>
              <w:rPr>
                <w:rFonts w:hint="default" w:ascii="仿宋_GB2312" w:hAnsi="Times New Roman" w:eastAsia="仿宋_GB2312" w:cs="Times New Roman"/>
                <w:b/>
                <w:bCs/>
                <w:szCs w:val="21"/>
                <w:lang w:val="en-US" w:eastAsia="zh-CN"/>
              </w:rPr>
              <w:t>(</w:t>
            </w:r>
            <w:r>
              <w:rPr>
                <w:rFonts w:hint="eastAsia" w:ascii="仿宋_GB2312" w:hAnsi="Times New Roman" w:eastAsia="仿宋_GB2312" w:cs="Times New Roman"/>
                <w:b/>
                <w:bCs/>
                <w:szCs w:val="21"/>
                <w:lang w:val="en-US" w:eastAsia="zh-CN"/>
              </w:rPr>
              <w:t>符合下列情形之一即可分级</w:t>
            </w:r>
            <w:r>
              <w:rPr>
                <w:rFonts w:hint="default" w:ascii="仿宋_GB2312" w:hAnsi="Times New Roman" w:eastAsia="仿宋_GB2312" w:cs="Times New Roman"/>
                <w:b/>
                <w:bCs/>
                <w:szCs w:val="21"/>
                <w:lang w:val="en-US" w:eastAsia="zh-CN"/>
              </w:rPr>
              <w:t>)</w:t>
            </w:r>
          </w:p>
        </w:tc>
      </w:tr>
      <w:tr w14:paraId="3662B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468" w:type="dxa"/>
            <w:vMerge w:val="continue"/>
            <w:tcBorders>
              <w:top w:val="single" w:color="000000" w:sz="2" w:space="0"/>
              <w:left w:val="single" w:color="000000" w:sz="2" w:space="0"/>
              <w:bottom w:val="single" w:color="000000" w:sz="2" w:space="0"/>
              <w:right w:val="single" w:color="000000" w:sz="2" w:space="0"/>
            </w:tcBorders>
            <w:noWrap w:val="0"/>
            <w:vAlign w:val="center"/>
          </w:tcPr>
          <w:p w14:paraId="5D7A8C90">
            <w:pPr>
              <w:jc w:val="center"/>
              <w:rPr>
                <w:rFonts w:hint="default" w:ascii="仿宋_GB2312" w:hAnsi="Times New Roman" w:eastAsia="仿宋_GB2312" w:cs="Times New Roman"/>
                <w:b/>
                <w:bCs/>
                <w:szCs w:val="21"/>
                <w:lang w:val="en-US" w:eastAsia="zh-CN"/>
              </w:rPr>
            </w:pPr>
          </w:p>
        </w:tc>
        <w:tc>
          <w:tcPr>
            <w:tcW w:w="2458" w:type="dxa"/>
            <w:tcBorders>
              <w:top w:val="single" w:color="000000" w:sz="2" w:space="0"/>
              <w:left w:val="nil"/>
              <w:bottom w:val="single" w:color="000000" w:sz="2" w:space="0"/>
              <w:right w:val="single" w:color="000000" w:sz="2" w:space="0"/>
            </w:tcBorders>
            <w:noWrap w:val="0"/>
            <w:vAlign w:val="center"/>
          </w:tcPr>
          <w:p w14:paraId="3F872505">
            <w:pPr>
              <w:jc w:val="center"/>
              <w:rPr>
                <w:rFonts w:hint="default" w:ascii="仿宋_GB2312" w:hAnsi="Times New Roman" w:eastAsia="仿宋_GB2312" w:cs="Times New Roman"/>
                <w:b/>
                <w:bCs/>
                <w:szCs w:val="21"/>
                <w:lang w:val="en-US" w:eastAsia="zh-CN"/>
              </w:rPr>
            </w:pPr>
            <w:r>
              <w:rPr>
                <w:rFonts w:hint="eastAsia" w:ascii="仿宋_GB2312" w:hAnsi="Times New Roman" w:eastAsia="仿宋_GB2312" w:cs="Times New Roman"/>
                <w:b/>
                <w:bCs/>
                <w:szCs w:val="21"/>
                <w:lang w:val="en-US" w:eastAsia="zh-CN"/>
              </w:rPr>
              <w:t>人员伤亡</w:t>
            </w:r>
          </w:p>
        </w:tc>
        <w:tc>
          <w:tcPr>
            <w:tcW w:w="1702" w:type="dxa"/>
            <w:tcBorders>
              <w:top w:val="single" w:color="000000" w:sz="2" w:space="0"/>
              <w:left w:val="nil"/>
              <w:bottom w:val="single" w:color="000000" w:sz="2" w:space="0"/>
              <w:right w:val="single" w:color="000000" w:sz="2" w:space="0"/>
            </w:tcBorders>
            <w:noWrap w:val="0"/>
            <w:vAlign w:val="center"/>
          </w:tcPr>
          <w:p w14:paraId="546F6925">
            <w:pPr>
              <w:jc w:val="center"/>
              <w:rPr>
                <w:rFonts w:hint="default" w:ascii="仿宋_GB2312" w:hAnsi="Times New Roman" w:eastAsia="仿宋_GB2312" w:cs="Times New Roman"/>
                <w:b/>
                <w:bCs/>
                <w:szCs w:val="21"/>
                <w:lang w:val="en-US" w:eastAsia="zh-CN"/>
              </w:rPr>
            </w:pPr>
            <w:r>
              <w:rPr>
                <w:rFonts w:hint="eastAsia" w:ascii="仿宋_GB2312" w:hAnsi="Times New Roman" w:eastAsia="仿宋_GB2312" w:cs="Times New Roman"/>
                <w:b/>
                <w:bCs/>
                <w:szCs w:val="21"/>
                <w:lang w:val="en-US" w:eastAsia="zh-CN"/>
              </w:rPr>
              <w:t>直接经济损失</w:t>
            </w:r>
          </w:p>
        </w:tc>
        <w:tc>
          <w:tcPr>
            <w:tcW w:w="4619" w:type="dxa"/>
            <w:gridSpan w:val="2"/>
            <w:tcBorders>
              <w:top w:val="single" w:color="000000" w:sz="2" w:space="0"/>
              <w:left w:val="nil"/>
              <w:bottom w:val="single" w:color="000000" w:sz="2" w:space="0"/>
              <w:right w:val="single" w:color="000000" w:sz="2" w:space="0"/>
            </w:tcBorders>
            <w:noWrap w:val="0"/>
            <w:vAlign w:val="center"/>
          </w:tcPr>
          <w:p w14:paraId="57B8A0FD">
            <w:pPr>
              <w:jc w:val="center"/>
              <w:rPr>
                <w:rFonts w:hint="default" w:ascii="仿宋_GB2312" w:hAnsi="Times New Roman" w:eastAsia="仿宋_GB2312" w:cs="Times New Roman"/>
                <w:b/>
                <w:bCs/>
                <w:szCs w:val="21"/>
                <w:lang w:val="en-US" w:eastAsia="zh-CN"/>
              </w:rPr>
            </w:pPr>
            <w:r>
              <w:rPr>
                <w:rFonts w:hint="eastAsia" w:ascii="仿宋_GB2312" w:hAnsi="Times New Roman" w:eastAsia="仿宋_GB2312" w:cs="Times New Roman"/>
                <w:b/>
                <w:bCs/>
                <w:szCs w:val="21"/>
                <w:lang w:val="en-US" w:eastAsia="zh-CN"/>
              </w:rPr>
              <w:t>社会影响</w:t>
            </w:r>
          </w:p>
        </w:tc>
      </w:tr>
      <w:tr w14:paraId="39672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779F6DFE">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一级</w:t>
            </w:r>
          </w:p>
        </w:tc>
        <w:tc>
          <w:tcPr>
            <w:tcW w:w="2458" w:type="dxa"/>
            <w:tcBorders>
              <w:top w:val="single" w:color="000000" w:sz="2" w:space="0"/>
              <w:left w:val="nil"/>
              <w:bottom w:val="single" w:color="000000" w:sz="2" w:space="0"/>
              <w:right w:val="single" w:color="000000" w:sz="2" w:space="0"/>
            </w:tcBorders>
            <w:noWrap w:val="0"/>
            <w:vAlign w:val="center"/>
          </w:tcPr>
          <w:p w14:paraId="28B79AB6">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 xml:space="preserve">死亡 </w:t>
            </w:r>
            <w:r>
              <w:rPr>
                <w:rFonts w:hint="default" w:ascii="仿宋_GB2312" w:hAnsi="Times New Roman" w:eastAsia="仿宋_GB2312" w:cs="Times New Roman"/>
                <w:szCs w:val="21"/>
                <w:lang w:val="en-US" w:eastAsia="zh-CN"/>
              </w:rPr>
              <w:t>3</w:t>
            </w:r>
            <w:r>
              <w:rPr>
                <w:rFonts w:hint="eastAsia" w:ascii="仿宋_GB2312" w:hAnsi="Times New Roman" w:eastAsia="仿宋_GB2312" w:cs="Times New Roman"/>
                <w:szCs w:val="21"/>
                <w:lang w:val="en-US" w:eastAsia="zh-CN"/>
              </w:rPr>
              <w:t>人及以上</w:t>
            </w:r>
          </w:p>
          <w:p w14:paraId="30F08BAD">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重伤</w:t>
            </w:r>
            <w:r>
              <w:rPr>
                <w:rFonts w:hint="default" w:ascii="仿宋_GB2312" w:hAnsi="Times New Roman" w:eastAsia="仿宋_GB2312" w:cs="Times New Roman"/>
                <w:szCs w:val="21"/>
                <w:lang w:val="en-US" w:eastAsia="zh-CN"/>
              </w:rPr>
              <w:t xml:space="preserve"> 10 </w:t>
            </w:r>
            <w:r>
              <w:rPr>
                <w:rFonts w:hint="eastAsia" w:ascii="仿宋_GB2312" w:hAnsi="Times New Roman" w:eastAsia="仿宋_GB2312" w:cs="Times New Roman"/>
                <w:szCs w:val="21"/>
                <w:lang w:val="en-US" w:eastAsia="zh-CN"/>
              </w:rPr>
              <w:t>人及以上</w:t>
            </w:r>
          </w:p>
          <w:p w14:paraId="2EF84627">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w:t>
            </w:r>
            <w:r>
              <w:rPr>
                <w:rFonts w:hint="eastAsia" w:ascii="仿宋_GB2312" w:hAnsi="Times New Roman" w:eastAsia="仿宋_GB2312" w:cs="Times New Roman"/>
                <w:szCs w:val="21"/>
                <w:lang w:val="en-US" w:eastAsia="zh-CN"/>
              </w:rPr>
              <w:t>死亡、重伤、失踪失联累计达到</w:t>
            </w:r>
            <w:r>
              <w:rPr>
                <w:rFonts w:hint="default" w:ascii="仿宋_GB2312" w:hAnsi="Times New Roman" w:eastAsia="仿宋_GB2312" w:cs="Times New Roman"/>
                <w:szCs w:val="21"/>
                <w:lang w:val="en-US" w:eastAsia="zh-CN"/>
              </w:rPr>
              <w:t>9</w:t>
            </w:r>
            <w:r>
              <w:rPr>
                <w:rFonts w:hint="eastAsia" w:ascii="仿宋_GB2312" w:hAnsi="Times New Roman" w:eastAsia="仿宋_GB2312" w:cs="Times New Roman"/>
                <w:szCs w:val="21"/>
                <w:lang w:val="en-US" w:eastAsia="zh-CN"/>
              </w:rPr>
              <w:t>人及以上</w:t>
            </w:r>
          </w:p>
          <w:p w14:paraId="2552101F">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4.</w:t>
            </w: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20</w:t>
            </w:r>
            <w:r>
              <w:rPr>
                <w:rFonts w:hint="eastAsia" w:ascii="仿宋_GB2312" w:hAnsi="Times New Roman" w:eastAsia="仿宋_GB2312" w:cs="Times New Roman"/>
                <w:szCs w:val="21"/>
                <w:lang w:val="en-US" w:eastAsia="zh-CN"/>
              </w:rPr>
              <w:t>人以上</w:t>
            </w:r>
          </w:p>
        </w:tc>
        <w:tc>
          <w:tcPr>
            <w:tcW w:w="1702" w:type="dxa"/>
            <w:tcBorders>
              <w:top w:val="single" w:color="000000" w:sz="2" w:space="0"/>
              <w:left w:val="nil"/>
              <w:bottom w:val="single" w:color="000000" w:sz="2" w:space="0"/>
              <w:right w:val="single" w:color="000000" w:sz="2" w:space="0"/>
            </w:tcBorders>
            <w:noWrap w:val="0"/>
            <w:vAlign w:val="center"/>
          </w:tcPr>
          <w:p w14:paraId="1AD42522">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1000</w:t>
            </w:r>
            <w:r>
              <w:rPr>
                <w:rFonts w:hint="eastAsia" w:ascii="仿宋_GB2312" w:hAnsi="Times New Roman" w:eastAsia="仿宋_GB2312" w:cs="Times New Roman"/>
                <w:szCs w:val="21"/>
                <w:lang w:val="en-US" w:eastAsia="zh-CN"/>
              </w:rPr>
              <w:t>万元以上</w:t>
            </w:r>
          </w:p>
        </w:tc>
        <w:tc>
          <w:tcPr>
            <w:tcW w:w="4619" w:type="dxa"/>
            <w:gridSpan w:val="2"/>
            <w:tcBorders>
              <w:top w:val="single" w:color="000000" w:sz="2" w:space="0"/>
              <w:left w:val="nil"/>
              <w:bottom w:val="single" w:color="000000" w:sz="2" w:space="0"/>
              <w:right w:val="single" w:color="000000" w:sz="2" w:space="0"/>
            </w:tcBorders>
            <w:noWrap w:val="0"/>
            <w:vAlign w:val="center"/>
          </w:tcPr>
          <w:p w14:paraId="4CB1DDA0">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党中央、国务院领导高度关注，并有明确批示或者指示的事故；</w:t>
            </w:r>
          </w:p>
          <w:p w14:paraId="35E7A31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对集团公司造成重大负面社会影响的事故。</w:t>
            </w:r>
          </w:p>
        </w:tc>
      </w:tr>
      <w:tr w14:paraId="6BAA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236F83FE">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二级</w:t>
            </w:r>
          </w:p>
        </w:tc>
        <w:tc>
          <w:tcPr>
            <w:tcW w:w="2458" w:type="dxa"/>
            <w:tcBorders>
              <w:top w:val="single" w:color="000000" w:sz="2" w:space="0"/>
              <w:left w:val="nil"/>
              <w:bottom w:val="single" w:color="000000" w:sz="2" w:space="0"/>
              <w:right w:val="single" w:color="000000" w:sz="2" w:space="0"/>
            </w:tcBorders>
            <w:noWrap w:val="0"/>
            <w:vAlign w:val="center"/>
          </w:tcPr>
          <w:p w14:paraId="30B03186">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死亡</w:t>
            </w: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人</w:t>
            </w:r>
          </w:p>
          <w:p w14:paraId="4D5F0F34">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重伤</w:t>
            </w:r>
            <w:r>
              <w:rPr>
                <w:rFonts w:hint="default" w:ascii="仿宋_GB2312" w:hAnsi="Times New Roman" w:eastAsia="仿宋_GB2312" w:cs="Times New Roman"/>
                <w:szCs w:val="21"/>
                <w:lang w:val="en-US" w:eastAsia="zh-CN"/>
              </w:rPr>
              <w:t xml:space="preserve"> 5-9 </w:t>
            </w:r>
            <w:r>
              <w:rPr>
                <w:rFonts w:hint="eastAsia" w:ascii="仿宋_GB2312" w:hAnsi="Times New Roman" w:eastAsia="仿宋_GB2312" w:cs="Times New Roman"/>
                <w:szCs w:val="21"/>
                <w:lang w:val="en-US" w:eastAsia="zh-CN"/>
              </w:rPr>
              <w:t>人</w:t>
            </w:r>
          </w:p>
          <w:p w14:paraId="2ABC3F1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w:t>
            </w:r>
            <w:r>
              <w:rPr>
                <w:rFonts w:hint="eastAsia" w:ascii="仿宋_GB2312" w:hAnsi="Times New Roman" w:eastAsia="仿宋_GB2312" w:cs="Times New Roman"/>
                <w:szCs w:val="21"/>
                <w:lang w:val="en-US" w:eastAsia="zh-CN"/>
              </w:rPr>
              <w:t>死亡</w:t>
            </w: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人，同时重伤</w:t>
            </w:r>
            <w:r>
              <w:rPr>
                <w:rFonts w:hint="default" w:ascii="仿宋_GB2312" w:hAnsi="Times New Roman" w:eastAsia="仿宋_GB2312" w:cs="Times New Roman"/>
                <w:szCs w:val="21"/>
                <w:lang w:val="en-US" w:eastAsia="zh-CN"/>
              </w:rPr>
              <w:t>2-4</w:t>
            </w:r>
            <w:r>
              <w:rPr>
                <w:rFonts w:hint="eastAsia" w:ascii="仿宋_GB2312" w:hAnsi="Times New Roman" w:eastAsia="仿宋_GB2312" w:cs="Times New Roman"/>
                <w:szCs w:val="21"/>
                <w:lang w:val="en-US" w:eastAsia="zh-CN"/>
              </w:rPr>
              <w:t>人的</w:t>
            </w:r>
          </w:p>
          <w:p w14:paraId="1852CBAF">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4.</w:t>
            </w: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10-19</w:t>
            </w:r>
            <w:r>
              <w:rPr>
                <w:rFonts w:hint="eastAsia" w:ascii="仿宋_GB2312" w:hAnsi="Times New Roman" w:eastAsia="仿宋_GB2312" w:cs="Times New Roman"/>
                <w:szCs w:val="21"/>
                <w:lang w:val="en-US" w:eastAsia="zh-CN"/>
              </w:rPr>
              <w:t>人</w:t>
            </w:r>
          </w:p>
        </w:tc>
        <w:tc>
          <w:tcPr>
            <w:tcW w:w="1702" w:type="dxa"/>
            <w:tcBorders>
              <w:top w:val="single" w:color="000000" w:sz="2" w:space="0"/>
              <w:left w:val="nil"/>
              <w:bottom w:val="single" w:color="000000" w:sz="2" w:space="0"/>
              <w:right w:val="single" w:color="000000" w:sz="2" w:space="0"/>
            </w:tcBorders>
            <w:noWrap w:val="0"/>
            <w:vAlign w:val="center"/>
          </w:tcPr>
          <w:p w14:paraId="50BF2F9C">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500</w:t>
            </w:r>
            <w:r>
              <w:rPr>
                <w:rFonts w:hint="eastAsia" w:ascii="仿宋_GB2312" w:hAnsi="Times New Roman" w:eastAsia="仿宋_GB2312" w:cs="Times New Roman"/>
                <w:szCs w:val="21"/>
                <w:lang w:val="en-US" w:eastAsia="zh-CN"/>
              </w:rPr>
              <w:t>万元</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含</w:t>
            </w:r>
            <w:r>
              <w:rPr>
                <w:rFonts w:hint="default" w:ascii="仿宋_GB2312" w:hAnsi="Times New Roman" w:eastAsia="仿宋_GB2312" w:cs="Times New Roman"/>
                <w:szCs w:val="21"/>
                <w:lang w:val="en-US" w:eastAsia="zh-CN"/>
              </w:rPr>
              <w:t>) - 1000</w:t>
            </w:r>
            <w:r>
              <w:rPr>
                <w:rFonts w:hint="eastAsia" w:ascii="仿宋_GB2312" w:hAnsi="Times New Roman" w:eastAsia="仿宋_GB2312" w:cs="Times New Roman"/>
                <w:szCs w:val="21"/>
                <w:lang w:val="en-US" w:eastAsia="zh-CN"/>
              </w:rPr>
              <w:t>万元</w:t>
            </w:r>
          </w:p>
        </w:tc>
        <w:tc>
          <w:tcPr>
            <w:tcW w:w="4619" w:type="dxa"/>
            <w:gridSpan w:val="2"/>
            <w:tcBorders>
              <w:top w:val="single" w:color="000000" w:sz="2" w:space="0"/>
              <w:left w:val="nil"/>
              <w:bottom w:val="single" w:color="000000" w:sz="2" w:space="0"/>
              <w:right w:val="single" w:color="000000" w:sz="2" w:space="0"/>
            </w:tcBorders>
            <w:noWrap w:val="0"/>
            <w:vAlign w:val="center"/>
          </w:tcPr>
          <w:p w14:paraId="2C319970">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国家有关主管部门高度关注；</w:t>
            </w:r>
          </w:p>
          <w:p w14:paraId="0A646D0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在当地造成重大社会负面影响的。</w:t>
            </w:r>
          </w:p>
        </w:tc>
      </w:tr>
      <w:tr w14:paraId="4C9E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02F5A72F">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三级</w:t>
            </w:r>
          </w:p>
        </w:tc>
        <w:tc>
          <w:tcPr>
            <w:tcW w:w="2458" w:type="dxa"/>
            <w:tcBorders>
              <w:top w:val="single" w:color="000000" w:sz="2" w:space="0"/>
              <w:left w:val="nil"/>
              <w:bottom w:val="single" w:color="000000" w:sz="2" w:space="0"/>
              <w:right w:val="single" w:color="000000" w:sz="2" w:space="0"/>
            </w:tcBorders>
            <w:noWrap w:val="0"/>
            <w:vAlign w:val="center"/>
          </w:tcPr>
          <w:p w14:paraId="425C0925">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 xml:space="preserve">死亡 </w:t>
            </w:r>
            <w:r>
              <w:rPr>
                <w:rFonts w:hint="default" w:ascii="仿宋_GB2312" w:hAnsi="Times New Roman" w:eastAsia="仿宋_GB2312" w:cs="Times New Roman"/>
                <w:szCs w:val="21"/>
                <w:lang w:val="en-US" w:eastAsia="zh-CN"/>
              </w:rPr>
              <w:t xml:space="preserve">1 </w:t>
            </w:r>
            <w:r>
              <w:rPr>
                <w:rFonts w:hint="eastAsia" w:ascii="仿宋_GB2312" w:hAnsi="Times New Roman" w:eastAsia="仿宋_GB2312" w:cs="Times New Roman"/>
                <w:szCs w:val="21"/>
                <w:lang w:val="en-US" w:eastAsia="zh-CN"/>
              </w:rPr>
              <w:t>人</w:t>
            </w:r>
          </w:p>
          <w:p w14:paraId="6AEF1CE6">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 xml:space="preserve">重伤 </w:t>
            </w:r>
            <w:r>
              <w:rPr>
                <w:rFonts w:hint="default" w:ascii="仿宋_GB2312" w:hAnsi="Times New Roman" w:eastAsia="仿宋_GB2312" w:cs="Times New Roman"/>
                <w:szCs w:val="21"/>
                <w:lang w:val="en-US" w:eastAsia="zh-CN"/>
              </w:rPr>
              <w:t xml:space="preserve">2-4 </w:t>
            </w:r>
            <w:r>
              <w:rPr>
                <w:rFonts w:hint="eastAsia" w:ascii="仿宋_GB2312" w:hAnsi="Times New Roman" w:eastAsia="仿宋_GB2312" w:cs="Times New Roman"/>
                <w:szCs w:val="21"/>
                <w:lang w:val="en-US" w:eastAsia="zh-CN"/>
              </w:rPr>
              <w:t>人</w:t>
            </w:r>
          </w:p>
          <w:p w14:paraId="5465ED96">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w:t>
            </w: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3-9</w:t>
            </w:r>
            <w:r>
              <w:rPr>
                <w:rFonts w:hint="eastAsia" w:ascii="仿宋_GB2312" w:hAnsi="Times New Roman" w:eastAsia="仿宋_GB2312" w:cs="Times New Roman"/>
                <w:szCs w:val="21"/>
                <w:lang w:val="en-US" w:eastAsia="zh-CN"/>
              </w:rPr>
              <w:t>人</w:t>
            </w:r>
          </w:p>
        </w:tc>
        <w:tc>
          <w:tcPr>
            <w:tcW w:w="1702" w:type="dxa"/>
            <w:tcBorders>
              <w:top w:val="single" w:color="000000" w:sz="2" w:space="0"/>
              <w:left w:val="nil"/>
              <w:bottom w:val="single" w:color="000000" w:sz="2" w:space="0"/>
              <w:right w:val="single" w:color="000000" w:sz="2" w:space="0"/>
            </w:tcBorders>
            <w:noWrap w:val="0"/>
            <w:vAlign w:val="center"/>
          </w:tcPr>
          <w:p w14:paraId="023E5C3C">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100</w:t>
            </w:r>
            <w:r>
              <w:rPr>
                <w:rFonts w:hint="eastAsia" w:ascii="仿宋_GB2312" w:hAnsi="Times New Roman" w:eastAsia="仿宋_GB2312" w:cs="Times New Roman"/>
                <w:szCs w:val="21"/>
                <w:lang w:val="en-US" w:eastAsia="zh-CN"/>
              </w:rPr>
              <w:t>万元</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含</w:t>
            </w:r>
            <w:r>
              <w:rPr>
                <w:rFonts w:hint="default" w:ascii="仿宋_GB2312" w:hAnsi="Times New Roman" w:eastAsia="仿宋_GB2312" w:cs="Times New Roman"/>
                <w:szCs w:val="21"/>
                <w:lang w:val="en-US" w:eastAsia="zh-CN"/>
              </w:rPr>
              <w:t>) - 500</w:t>
            </w:r>
            <w:r>
              <w:rPr>
                <w:rFonts w:hint="eastAsia" w:ascii="仿宋_GB2312" w:hAnsi="Times New Roman" w:eastAsia="仿宋_GB2312" w:cs="Times New Roman"/>
                <w:szCs w:val="21"/>
                <w:lang w:val="en-US" w:eastAsia="zh-CN"/>
              </w:rPr>
              <w:t>万元</w:t>
            </w:r>
          </w:p>
        </w:tc>
        <w:tc>
          <w:tcPr>
            <w:tcW w:w="4619" w:type="dxa"/>
            <w:gridSpan w:val="2"/>
            <w:tcBorders>
              <w:top w:val="single" w:color="000000" w:sz="2" w:space="0"/>
              <w:left w:val="nil"/>
              <w:bottom w:val="single" w:color="000000" w:sz="2" w:space="0"/>
              <w:right w:val="single" w:color="000000" w:sz="2" w:space="0"/>
            </w:tcBorders>
            <w:noWrap w:val="0"/>
            <w:vAlign w:val="center"/>
          </w:tcPr>
          <w:p w14:paraId="4720CB79">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获当地省市级政府当地级政府高度关注；</w:t>
            </w:r>
          </w:p>
          <w:p w14:paraId="71B6651F">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在当地造成较大社会负面影响的。</w:t>
            </w:r>
          </w:p>
        </w:tc>
      </w:tr>
      <w:tr w14:paraId="77435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1E0A3A6A">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四级</w:t>
            </w:r>
          </w:p>
        </w:tc>
        <w:tc>
          <w:tcPr>
            <w:tcW w:w="2458" w:type="dxa"/>
            <w:tcBorders>
              <w:top w:val="single" w:color="000000" w:sz="2" w:space="0"/>
              <w:left w:val="nil"/>
              <w:bottom w:val="single" w:color="000000" w:sz="2" w:space="0"/>
              <w:right w:val="single" w:color="000000" w:sz="2" w:space="0"/>
            </w:tcBorders>
            <w:noWrap w:val="0"/>
            <w:vAlign w:val="center"/>
          </w:tcPr>
          <w:p w14:paraId="2C84830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 xml:space="preserve">重伤 </w:t>
            </w:r>
            <w:r>
              <w:rPr>
                <w:rFonts w:hint="default" w:ascii="仿宋_GB2312" w:hAnsi="Times New Roman" w:eastAsia="仿宋_GB2312" w:cs="Times New Roman"/>
                <w:szCs w:val="21"/>
                <w:lang w:val="en-US" w:eastAsia="zh-CN"/>
              </w:rPr>
              <w:t xml:space="preserve">1 </w:t>
            </w:r>
            <w:r>
              <w:rPr>
                <w:rFonts w:hint="eastAsia" w:ascii="仿宋_GB2312" w:hAnsi="Times New Roman" w:eastAsia="仿宋_GB2312" w:cs="Times New Roman"/>
                <w:szCs w:val="21"/>
                <w:lang w:val="en-US" w:eastAsia="zh-CN"/>
              </w:rPr>
              <w:t>人</w:t>
            </w:r>
          </w:p>
          <w:p w14:paraId="071E6213">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人</w:t>
            </w:r>
          </w:p>
        </w:tc>
        <w:tc>
          <w:tcPr>
            <w:tcW w:w="1702" w:type="dxa"/>
            <w:tcBorders>
              <w:top w:val="single" w:color="000000" w:sz="2" w:space="0"/>
              <w:left w:val="nil"/>
              <w:bottom w:val="single" w:color="000000" w:sz="2" w:space="0"/>
              <w:right w:val="single" w:color="000000" w:sz="2" w:space="0"/>
            </w:tcBorders>
            <w:noWrap w:val="0"/>
            <w:vAlign w:val="center"/>
          </w:tcPr>
          <w:p w14:paraId="02370A1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10</w:t>
            </w:r>
            <w:r>
              <w:rPr>
                <w:rFonts w:hint="eastAsia" w:ascii="仿宋_GB2312" w:hAnsi="Times New Roman" w:eastAsia="仿宋_GB2312" w:cs="Times New Roman"/>
                <w:szCs w:val="21"/>
                <w:lang w:val="en-US" w:eastAsia="zh-CN"/>
              </w:rPr>
              <w:t>万元</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含</w:t>
            </w:r>
            <w:r>
              <w:rPr>
                <w:rFonts w:hint="default" w:ascii="仿宋_GB2312" w:hAnsi="Times New Roman" w:eastAsia="仿宋_GB2312" w:cs="Times New Roman"/>
                <w:szCs w:val="21"/>
                <w:lang w:val="en-US" w:eastAsia="zh-CN"/>
              </w:rPr>
              <w:t>) - 100</w:t>
            </w:r>
            <w:r>
              <w:rPr>
                <w:rFonts w:hint="eastAsia" w:ascii="仿宋_GB2312" w:hAnsi="Times New Roman" w:eastAsia="仿宋_GB2312" w:cs="Times New Roman"/>
                <w:szCs w:val="21"/>
                <w:lang w:val="en-US" w:eastAsia="zh-CN"/>
              </w:rPr>
              <w:t>万元</w:t>
            </w:r>
          </w:p>
        </w:tc>
        <w:tc>
          <w:tcPr>
            <w:tcW w:w="4619" w:type="dxa"/>
            <w:gridSpan w:val="2"/>
            <w:tcBorders>
              <w:top w:val="single" w:color="000000" w:sz="2" w:space="0"/>
              <w:left w:val="nil"/>
              <w:bottom w:val="single" w:color="000000" w:sz="2" w:space="0"/>
              <w:right w:val="single" w:color="000000" w:sz="2" w:space="0"/>
            </w:tcBorders>
            <w:noWrap w:val="0"/>
            <w:vAlign w:val="center"/>
          </w:tcPr>
          <w:p w14:paraId="620D4C75">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造成局部损毁的爆炸事故；</w:t>
            </w:r>
          </w:p>
          <w:p w14:paraId="6D3547A2">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val="en-US" w:eastAsia="zh-CN"/>
              </w:rPr>
              <w:t>其他造成一定社会影响的情况。</w:t>
            </w:r>
          </w:p>
        </w:tc>
      </w:tr>
      <w:tr w14:paraId="6411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7F352032">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五级</w:t>
            </w:r>
          </w:p>
        </w:tc>
        <w:tc>
          <w:tcPr>
            <w:tcW w:w="2458" w:type="dxa"/>
            <w:tcBorders>
              <w:top w:val="single" w:color="000000" w:sz="2" w:space="0"/>
              <w:left w:val="nil"/>
              <w:bottom w:val="single" w:color="000000" w:sz="2" w:space="0"/>
              <w:right w:val="single" w:color="000000" w:sz="2" w:space="0"/>
            </w:tcBorders>
            <w:noWrap w:val="0"/>
            <w:vAlign w:val="center"/>
          </w:tcPr>
          <w:p w14:paraId="4C36630A">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 xml:space="preserve"> 1 </w:t>
            </w:r>
            <w:r>
              <w:rPr>
                <w:rFonts w:hint="eastAsia" w:ascii="仿宋_GB2312" w:hAnsi="Times New Roman" w:eastAsia="仿宋_GB2312" w:cs="Times New Roman"/>
                <w:szCs w:val="21"/>
                <w:lang w:val="en-US" w:eastAsia="zh-CN"/>
              </w:rPr>
              <w:t xml:space="preserve">人，且损失工作日 </w:t>
            </w:r>
            <w:r>
              <w:rPr>
                <w:rFonts w:hint="default" w:ascii="仿宋_GB2312" w:hAnsi="Times New Roman" w:eastAsia="仿宋_GB2312" w:cs="Times New Roman"/>
                <w:szCs w:val="21"/>
                <w:lang w:val="en-US" w:eastAsia="zh-CN"/>
              </w:rPr>
              <w:t>105</w:t>
            </w:r>
            <w:r>
              <w:rPr>
                <w:rFonts w:hint="eastAsia" w:ascii="仿宋_GB2312" w:hAnsi="Times New Roman" w:eastAsia="仿宋_GB2312" w:cs="Times New Roman"/>
                <w:szCs w:val="21"/>
                <w:lang w:val="en-US" w:eastAsia="zh-CN"/>
              </w:rPr>
              <w:t>日以下，</w:t>
            </w:r>
            <w:r>
              <w:rPr>
                <w:rFonts w:hint="default" w:ascii="仿宋_GB2312" w:hAnsi="Times New Roman" w:eastAsia="仿宋_GB2312" w:cs="Times New Roman"/>
                <w:szCs w:val="21"/>
                <w:lang w:val="en-US" w:eastAsia="zh-CN"/>
              </w:rPr>
              <w:t>30</w:t>
            </w:r>
            <w:r>
              <w:rPr>
                <w:rFonts w:hint="eastAsia" w:ascii="仿宋_GB2312" w:hAnsi="Times New Roman" w:eastAsia="仿宋_GB2312" w:cs="Times New Roman"/>
                <w:szCs w:val="21"/>
                <w:lang w:val="en-US" w:eastAsia="zh-CN"/>
              </w:rPr>
              <w:t>日以上</w:t>
            </w:r>
          </w:p>
        </w:tc>
        <w:tc>
          <w:tcPr>
            <w:tcW w:w="1702" w:type="dxa"/>
            <w:tcBorders>
              <w:top w:val="single" w:color="000000" w:sz="2" w:space="0"/>
              <w:left w:val="nil"/>
              <w:bottom w:val="single" w:color="000000" w:sz="2" w:space="0"/>
              <w:right w:val="single" w:color="000000" w:sz="2" w:space="0"/>
            </w:tcBorders>
            <w:noWrap w:val="0"/>
            <w:vAlign w:val="center"/>
          </w:tcPr>
          <w:p w14:paraId="16311F89">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10</w:t>
            </w:r>
            <w:r>
              <w:rPr>
                <w:rFonts w:hint="eastAsia" w:ascii="仿宋_GB2312" w:hAnsi="Times New Roman" w:eastAsia="仿宋_GB2312" w:cs="Times New Roman"/>
                <w:szCs w:val="21"/>
                <w:lang w:val="en-US" w:eastAsia="zh-CN"/>
              </w:rPr>
              <w:t>万元以下</w:t>
            </w:r>
          </w:p>
          <w:p w14:paraId="1C316E26">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万元以上</w:t>
            </w:r>
          </w:p>
        </w:tc>
        <w:tc>
          <w:tcPr>
            <w:tcW w:w="4619" w:type="dxa"/>
            <w:gridSpan w:val="2"/>
            <w:tcBorders>
              <w:top w:val="single" w:color="000000" w:sz="2" w:space="0"/>
              <w:left w:val="nil"/>
              <w:bottom w:val="single" w:color="000000" w:sz="2" w:space="0"/>
              <w:right w:val="single" w:color="000000" w:sz="2" w:space="0"/>
            </w:tcBorders>
            <w:noWrap w:val="0"/>
            <w:vAlign w:val="center"/>
          </w:tcPr>
          <w:p w14:paraId="78EC435C">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其他造成轻微社会影响的情况。</w:t>
            </w:r>
          </w:p>
        </w:tc>
      </w:tr>
      <w:tr w14:paraId="70CF6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22CB65F4">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六级</w:t>
            </w:r>
          </w:p>
        </w:tc>
        <w:tc>
          <w:tcPr>
            <w:tcW w:w="2458" w:type="dxa"/>
            <w:tcBorders>
              <w:top w:val="single" w:color="000000" w:sz="2" w:space="0"/>
              <w:left w:val="nil"/>
              <w:bottom w:val="single" w:color="000000" w:sz="2" w:space="0"/>
              <w:right w:val="single" w:color="000000" w:sz="2" w:space="0"/>
            </w:tcBorders>
            <w:noWrap w:val="0"/>
            <w:vAlign w:val="center"/>
          </w:tcPr>
          <w:p w14:paraId="718D6310">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 xml:space="preserve"> 1 </w:t>
            </w:r>
            <w:r>
              <w:rPr>
                <w:rFonts w:hint="eastAsia" w:ascii="仿宋_GB2312" w:hAnsi="Times New Roman" w:eastAsia="仿宋_GB2312" w:cs="Times New Roman"/>
                <w:szCs w:val="21"/>
                <w:lang w:val="en-US" w:eastAsia="zh-CN"/>
              </w:rPr>
              <w:t xml:space="preserve">人，且损失工作日 </w:t>
            </w:r>
            <w:r>
              <w:rPr>
                <w:rFonts w:hint="default" w:ascii="仿宋_GB2312" w:hAnsi="Times New Roman" w:eastAsia="仿宋_GB2312" w:cs="Times New Roman"/>
                <w:szCs w:val="21"/>
                <w:lang w:val="en-US" w:eastAsia="zh-CN"/>
              </w:rPr>
              <w:t>30</w:t>
            </w:r>
            <w:r>
              <w:rPr>
                <w:rFonts w:hint="eastAsia" w:ascii="仿宋_GB2312" w:hAnsi="Times New Roman" w:eastAsia="仿宋_GB2312" w:cs="Times New Roman"/>
                <w:szCs w:val="21"/>
                <w:lang w:val="en-US" w:eastAsia="zh-CN"/>
              </w:rPr>
              <w:t>日以下，</w:t>
            </w:r>
            <w:r>
              <w:rPr>
                <w:rFonts w:hint="default" w:ascii="仿宋_GB2312" w:hAnsi="Times New Roman" w:eastAsia="仿宋_GB2312" w:cs="Times New Roman"/>
                <w:szCs w:val="21"/>
                <w:lang w:val="en-US" w:eastAsia="zh-CN"/>
              </w:rPr>
              <w:t>10</w:t>
            </w:r>
            <w:r>
              <w:rPr>
                <w:rFonts w:hint="eastAsia" w:ascii="仿宋_GB2312" w:hAnsi="Times New Roman" w:eastAsia="仿宋_GB2312" w:cs="Times New Roman"/>
                <w:szCs w:val="21"/>
                <w:lang w:val="en-US" w:eastAsia="zh-CN"/>
              </w:rPr>
              <w:t>日以上</w:t>
            </w:r>
          </w:p>
        </w:tc>
        <w:tc>
          <w:tcPr>
            <w:tcW w:w="1702" w:type="dxa"/>
            <w:tcBorders>
              <w:top w:val="single" w:color="000000" w:sz="2" w:space="0"/>
              <w:left w:val="nil"/>
              <w:bottom w:val="single" w:color="000000" w:sz="2" w:space="0"/>
              <w:right w:val="single" w:color="000000" w:sz="2" w:space="0"/>
            </w:tcBorders>
            <w:noWrap w:val="0"/>
            <w:vAlign w:val="center"/>
          </w:tcPr>
          <w:p w14:paraId="5DDAA2F9">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w:t>
            </w:r>
            <w:r>
              <w:rPr>
                <w:rFonts w:hint="eastAsia" w:ascii="仿宋_GB2312" w:hAnsi="Times New Roman" w:eastAsia="仿宋_GB2312" w:cs="Times New Roman"/>
                <w:szCs w:val="21"/>
                <w:lang w:val="en-US" w:eastAsia="zh-CN"/>
              </w:rPr>
              <w:t>万元以下</w:t>
            </w:r>
          </w:p>
          <w:p w14:paraId="0DE42EC2">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0.1</w:t>
            </w:r>
            <w:r>
              <w:rPr>
                <w:rFonts w:hint="eastAsia" w:ascii="仿宋_GB2312" w:hAnsi="Times New Roman" w:eastAsia="仿宋_GB2312" w:cs="Times New Roman"/>
                <w:szCs w:val="21"/>
                <w:lang w:val="en-US" w:eastAsia="zh-CN"/>
              </w:rPr>
              <w:t>万元以上</w:t>
            </w:r>
          </w:p>
        </w:tc>
        <w:tc>
          <w:tcPr>
            <w:tcW w:w="4619" w:type="dxa"/>
            <w:gridSpan w:val="2"/>
            <w:tcBorders>
              <w:top w:val="single" w:color="000000" w:sz="2" w:space="0"/>
              <w:left w:val="nil"/>
              <w:bottom w:val="single" w:color="000000" w:sz="2" w:space="0"/>
              <w:right w:val="single" w:color="000000" w:sz="2" w:space="0"/>
            </w:tcBorders>
            <w:noWrap w:val="0"/>
            <w:vAlign w:val="center"/>
          </w:tcPr>
          <w:p w14:paraId="54FB7640">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w:t>
            </w:r>
          </w:p>
        </w:tc>
      </w:tr>
      <w:tr w14:paraId="625C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216DA78A">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七级</w:t>
            </w:r>
          </w:p>
        </w:tc>
        <w:tc>
          <w:tcPr>
            <w:tcW w:w="2458" w:type="dxa"/>
            <w:tcBorders>
              <w:top w:val="single" w:color="000000" w:sz="2" w:space="0"/>
              <w:left w:val="nil"/>
              <w:bottom w:val="single" w:color="000000" w:sz="2" w:space="0"/>
              <w:right w:val="single" w:color="000000" w:sz="2" w:space="0"/>
            </w:tcBorders>
            <w:noWrap w:val="0"/>
            <w:vAlign w:val="center"/>
          </w:tcPr>
          <w:p w14:paraId="2AEA3E8C">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轻伤</w:t>
            </w:r>
            <w:r>
              <w:rPr>
                <w:rFonts w:hint="default" w:ascii="仿宋_GB2312" w:hAnsi="Times New Roman" w:eastAsia="仿宋_GB2312" w:cs="Times New Roman"/>
                <w:szCs w:val="21"/>
                <w:lang w:val="en-US" w:eastAsia="zh-CN"/>
              </w:rPr>
              <w:t xml:space="preserve"> 1 </w:t>
            </w:r>
            <w:r>
              <w:rPr>
                <w:rFonts w:hint="eastAsia" w:ascii="仿宋_GB2312" w:hAnsi="Times New Roman" w:eastAsia="仿宋_GB2312" w:cs="Times New Roman"/>
                <w:szCs w:val="21"/>
                <w:lang w:val="en-US" w:eastAsia="zh-CN"/>
              </w:rPr>
              <w:t xml:space="preserve">人，损失工作日 </w:t>
            </w:r>
            <w:r>
              <w:rPr>
                <w:rFonts w:hint="default" w:ascii="仿宋_GB2312" w:hAnsi="Times New Roman" w:eastAsia="仿宋_GB2312" w:cs="Times New Roman"/>
                <w:szCs w:val="21"/>
                <w:lang w:val="en-US" w:eastAsia="zh-CN"/>
              </w:rPr>
              <w:t>10</w:t>
            </w:r>
            <w:r>
              <w:rPr>
                <w:rFonts w:hint="eastAsia" w:ascii="仿宋_GB2312" w:hAnsi="Times New Roman" w:eastAsia="仿宋_GB2312" w:cs="Times New Roman"/>
                <w:szCs w:val="21"/>
                <w:lang w:val="en-US" w:eastAsia="zh-CN"/>
              </w:rPr>
              <w:t>日以下</w:t>
            </w:r>
          </w:p>
        </w:tc>
        <w:tc>
          <w:tcPr>
            <w:tcW w:w="1702" w:type="dxa"/>
            <w:tcBorders>
              <w:top w:val="single" w:color="000000" w:sz="2" w:space="0"/>
              <w:left w:val="nil"/>
              <w:bottom w:val="single" w:color="000000" w:sz="2" w:space="0"/>
              <w:right w:val="single" w:color="000000" w:sz="2" w:space="0"/>
            </w:tcBorders>
            <w:noWrap w:val="0"/>
            <w:vAlign w:val="center"/>
          </w:tcPr>
          <w:p w14:paraId="63C02730">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0.1</w:t>
            </w:r>
            <w:r>
              <w:rPr>
                <w:rFonts w:hint="eastAsia" w:ascii="仿宋_GB2312" w:hAnsi="Times New Roman" w:eastAsia="仿宋_GB2312" w:cs="Times New Roman"/>
                <w:szCs w:val="21"/>
                <w:lang w:val="en-US" w:eastAsia="zh-CN"/>
              </w:rPr>
              <w:t>万元以下</w:t>
            </w:r>
          </w:p>
        </w:tc>
        <w:tc>
          <w:tcPr>
            <w:tcW w:w="4619" w:type="dxa"/>
            <w:gridSpan w:val="2"/>
            <w:tcBorders>
              <w:top w:val="single" w:color="000000" w:sz="2" w:space="0"/>
              <w:left w:val="nil"/>
              <w:bottom w:val="single" w:color="000000" w:sz="2" w:space="0"/>
              <w:right w:val="single" w:color="000000" w:sz="2" w:space="0"/>
            </w:tcBorders>
            <w:noWrap w:val="0"/>
            <w:vAlign w:val="center"/>
          </w:tcPr>
          <w:p w14:paraId="12804C34">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w:t>
            </w:r>
          </w:p>
        </w:tc>
      </w:tr>
      <w:tr w14:paraId="356AB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468" w:type="dxa"/>
            <w:tcBorders>
              <w:top w:val="single" w:color="000000" w:sz="2" w:space="0"/>
              <w:left w:val="single" w:color="000000" w:sz="2" w:space="0"/>
              <w:bottom w:val="single" w:color="000000" w:sz="2" w:space="0"/>
              <w:right w:val="single" w:color="000000" w:sz="2" w:space="0"/>
            </w:tcBorders>
            <w:noWrap w:val="0"/>
            <w:vAlign w:val="center"/>
          </w:tcPr>
          <w:p w14:paraId="3D683E69">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八级</w:t>
            </w:r>
          </w:p>
        </w:tc>
        <w:tc>
          <w:tcPr>
            <w:tcW w:w="2458" w:type="dxa"/>
            <w:tcBorders>
              <w:top w:val="single" w:color="000000" w:sz="2" w:space="0"/>
              <w:left w:val="nil"/>
              <w:bottom w:val="single" w:color="000000" w:sz="2" w:space="0"/>
              <w:right w:val="single" w:color="000000" w:sz="2" w:space="0"/>
            </w:tcBorders>
            <w:noWrap w:val="0"/>
            <w:vAlign w:val="center"/>
          </w:tcPr>
          <w:p w14:paraId="0877A63B">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未遂事故</w:t>
            </w:r>
          </w:p>
        </w:tc>
        <w:tc>
          <w:tcPr>
            <w:tcW w:w="1702" w:type="dxa"/>
            <w:tcBorders>
              <w:top w:val="single" w:color="000000" w:sz="2" w:space="0"/>
              <w:left w:val="nil"/>
              <w:bottom w:val="single" w:color="000000" w:sz="2" w:space="0"/>
              <w:right w:val="single" w:color="000000" w:sz="2" w:space="0"/>
            </w:tcBorders>
            <w:noWrap w:val="0"/>
            <w:vAlign w:val="center"/>
          </w:tcPr>
          <w:p w14:paraId="20D137A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w:t>
            </w:r>
          </w:p>
        </w:tc>
        <w:tc>
          <w:tcPr>
            <w:tcW w:w="4619" w:type="dxa"/>
            <w:gridSpan w:val="2"/>
            <w:tcBorders>
              <w:top w:val="single" w:color="000000" w:sz="2" w:space="0"/>
              <w:left w:val="nil"/>
              <w:bottom w:val="single" w:color="000000" w:sz="2" w:space="0"/>
              <w:right w:val="single" w:color="000000" w:sz="2" w:space="0"/>
            </w:tcBorders>
            <w:noWrap w:val="0"/>
            <w:vAlign w:val="center"/>
          </w:tcPr>
          <w:p w14:paraId="2C331F6B">
            <w:pP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w:t>
            </w:r>
          </w:p>
        </w:tc>
      </w:tr>
    </w:tbl>
    <w:p w14:paraId="3E111D6C">
      <w:pPr>
        <w:widowControl/>
        <w:snapToGrid w:val="0"/>
        <w:spacing w:line="575" w:lineRule="exact"/>
        <w:ind w:left="-480" w:leftChars="-200" w:firstLine="643" w:firstLineChars="200"/>
        <w:jc w:val="left"/>
        <w:rPr>
          <w:rFonts w:hint="eastAsia" w:ascii="仿宋_GB2312" w:hAnsi="仿宋" w:eastAsia="仿宋_GB2312" w:cs="仿宋"/>
          <w:b/>
          <w:bCs/>
          <w:sz w:val="32"/>
          <w:szCs w:val="32"/>
          <w:lang w:val="en-US" w:eastAsia="zh-CN"/>
        </w:rPr>
      </w:pPr>
    </w:p>
    <w:p w14:paraId="43B0DADA">
      <w:pPr>
        <w:pStyle w:val="15"/>
        <w:ind w:left="0" w:leftChars="0" w:right="1470"/>
        <w:rPr>
          <w:rFonts w:ascii="仿宋" w:hAnsi="仿宋" w:eastAsia="仿宋" w:cs="仿宋"/>
          <w:sz w:val="24"/>
        </w:rPr>
      </w:pPr>
    </w:p>
    <w:p w14:paraId="451E6E7F">
      <w:pPr>
        <w:pStyle w:val="15"/>
        <w:ind w:left="0" w:leftChars="0" w:right="1470"/>
        <w:rPr>
          <w:rFonts w:ascii="仿宋" w:hAnsi="仿宋" w:eastAsia="仿宋" w:cs="仿宋"/>
          <w:sz w:val="24"/>
        </w:rPr>
      </w:pPr>
    </w:p>
    <w:p w14:paraId="512236CD">
      <w:pPr>
        <w:pStyle w:val="15"/>
        <w:ind w:left="0" w:leftChars="0" w:right="1470"/>
        <w:rPr>
          <w:rFonts w:ascii="仿宋" w:hAnsi="仿宋" w:eastAsia="仿宋" w:cs="仿宋"/>
          <w:sz w:val="24"/>
        </w:rPr>
      </w:pPr>
    </w:p>
    <w:p w14:paraId="1A60AC8C">
      <w:pPr>
        <w:pStyle w:val="15"/>
        <w:ind w:left="0" w:leftChars="0" w:right="1470"/>
        <w:rPr>
          <w:rFonts w:ascii="仿宋" w:hAnsi="仿宋" w:eastAsia="仿宋" w:cs="仿宋"/>
          <w:sz w:val="24"/>
        </w:rPr>
      </w:pPr>
    </w:p>
    <w:p w14:paraId="32EE59DD">
      <w:pPr>
        <w:pStyle w:val="15"/>
        <w:ind w:left="0" w:leftChars="0" w:right="1470"/>
        <w:rPr>
          <w:rFonts w:ascii="仿宋" w:hAnsi="仿宋" w:eastAsia="仿宋" w:cs="仿宋"/>
          <w:sz w:val="24"/>
        </w:rPr>
      </w:pPr>
    </w:p>
    <w:p w14:paraId="7C1FB5FF">
      <w:pPr>
        <w:spacing w:line="360" w:lineRule="auto"/>
        <w:rPr>
          <w:rFonts w:ascii="仿宋" w:hAnsi="仿宋" w:eastAsia="仿宋" w:cs="仿宋"/>
          <w:b/>
          <w:bCs/>
          <w:sz w:val="24"/>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 xml:space="preserve">   </w:t>
      </w:r>
      <w:r>
        <w:rPr>
          <w:rFonts w:hint="eastAsia" w:ascii="仿宋" w:hAnsi="仿宋" w:eastAsia="仿宋" w:cs="仿宋"/>
          <w:b/>
          <w:bCs/>
          <w:sz w:val="24"/>
        </w:rPr>
        <w:t xml:space="preserve">                               </w:t>
      </w:r>
    </w:p>
    <w:p w14:paraId="5FFFDF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环境管理协议</w:t>
      </w:r>
    </w:p>
    <w:p w14:paraId="2BAF811E">
      <w:pPr>
        <w:spacing w:line="360" w:lineRule="auto"/>
        <w:ind w:right="-1"/>
        <w:rPr>
          <w:rFonts w:ascii="仿宋" w:hAnsi="仿宋" w:eastAsia="仿宋" w:cs="仿宋"/>
          <w:b/>
          <w:color w:val="000000"/>
          <w:sz w:val="24"/>
        </w:rPr>
      </w:pPr>
      <w:r>
        <w:rPr>
          <w:rFonts w:hint="eastAsia" w:ascii="仿宋" w:hAnsi="仿宋" w:eastAsia="仿宋" w:cs="仿宋"/>
          <w:b/>
          <w:color w:val="000000"/>
          <w:sz w:val="24"/>
        </w:rPr>
        <w:t>甲方：中粮米业（</w:t>
      </w:r>
      <w:r>
        <w:rPr>
          <w:rFonts w:hint="eastAsia" w:ascii="仿宋" w:hAnsi="仿宋" w:eastAsia="仿宋" w:cs="仿宋"/>
          <w:b/>
          <w:color w:val="000000"/>
          <w:sz w:val="24"/>
          <w:lang w:eastAsia="zh-CN"/>
        </w:rPr>
        <w:t>五常</w:t>
      </w:r>
      <w:r>
        <w:rPr>
          <w:rFonts w:hint="eastAsia" w:ascii="仿宋" w:hAnsi="仿宋" w:eastAsia="仿宋" w:cs="仿宋"/>
          <w:b/>
          <w:color w:val="000000"/>
          <w:sz w:val="24"/>
        </w:rPr>
        <w:t xml:space="preserve">）有限公司        </w:t>
      </w:r>
    </w:p>
    <w:p w14:paraId="2FBAD218">
      <w:pPr>
        <w:rPr>
          <w:rFonts w:hint="eastAsia" w:ascii="仿宋" w:hAnsi="仿宋" w:eastAsia="仿宋" w:cs="仿宋"/>
          <w:b/>
          <w:color w:val="000000"/>
          <w:sz w:val="24"/>
          <w:lang w:val="en-US" w:eastAsia="zh-CN"/>
        </w:rPr>
      </w:pPr>
      <w:r>
        <w:rPr>
          <w:rFonts w:hint="eastAsia" w:ascii="仿宋" w:hAnsi="仿宋" w:eastAsia="仿宋" w:cs="仿宋"/>
          <w:b/>
          <w:color w:val="000000"/>
          <w:sz w:val="24"/>
        </w:rPr>
        <w:t>乙方：</w:t>
      </w:r>
      <w:r>
        <w:rPr>
          <w:rFonts w:hint="eastAsia" w:ascii="仿宋" w:hAnsi="仿宋" w:eastAsia="仿宋" w:cs="仿宋"/>
          <w:b/>
          <w:color w:val="000000"/>
          <w:sz w:val="24"/>
          <w:lang w:val="en-US" w:eastAsia="zh-CN"/>
        </w:rPr>
        <w:t xml:space="preserve"> </w:t>
      </w:r>
    </w:p>
    <w:p w14:paraId="091BD52E">
      <w:pPr>
        <w:rPr>
          <w:rFonts w:ascii="仿宋" w:hAnsi="仿宋" w:eastAsia="仿宋" w:cs="仿宋"/>
          <w:b/>
          <w:color w:val="000000"/>
          <w:sz w:val="24"/>
        </w:rPr>
      </w:pPr>
      <w:r>
        <w:rPr>
          <w:rFonts w:hint="eastAsia" w:ascii="仿宋" w:hAnsi="仿宋" w:eastAsia="仿宋" w:cs="仿宋"/>
          <w:b/>
          <w:color w:val="000000"/>
          <w:sz w:val="24"/>
        </w:rPr>
        <w:t xml:space="preserve">          </w:t>
      </w:r>
    </w:p>
    <w:p w14:paraId="7F8761E7">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一、乙方在施工期间，应该遵守甲方以下的环境管理要求，具体内容如下：</w:t>
      </w:r>
    </w:p>
    <w:p w14:paraId="30A79F64">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1、未经公司允许，外来人员不得进入工厂。</w:t>
      </w:r>
    </w:p>
    <w:p w14:paraId="112063B3">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2、外来人员需登记之后方可进入工厂内。</w:t>
      </w:r>
    </w:p>
    <w:p w14:paraId="6A0E7F52">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3、未经公司允许，外来人员不得在工厂内随意参观。</w:t>
      </w:r>
    </w:p>
    <w:p w14:paraId="5A26D155">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4、外来人员保持工厂内的清洁，不要乱扔杂物。</w:t>
      </w:r>
    </w:p>
    <w:p w14:paraId="709DAEDA">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5、外来人员在厂区内严禁吸烟，不得动火。</w:t>
      </w:r>
    </w:p>
    <w:p w14:paraId="170D4983">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6、外来车辆登记后，方可进入工厂内，车速限为小于20Km/小时，车辆运行噪声排放符合国家声环境质量标准（GB3906-2008），白天不超过65分贝，夜间不超过55分贝。</w:t>
      </w:r>
    </w:p>
    <w:p w14:paraId="2B5FE65F">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7、进入生产操作区域，需经公司主管人员同意。</w:t>
      </w:r>
    </w:p>
    <w:p w14:paraId="439D1932">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8、来访客人进入工厂时需有公司人员陪同。</w:t>
      </w:r>
    </w:p>
    <w:p w14:paraId="46BED4CC">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9、外来车辆车容整洁，不能有滴漏现象。</w:t>
      </w:r>
    </w:p>
    <w:p w14:paraId="5CCF730F">
      <w:pPr>
        <w:tabs>
          <w:tab w:val="left" w:pos="3420"/>
        </w:tabs>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10、外来车辆不得装載可能对厂区环境造成污染的物品，装载货物注意防扬尘。</w:t>
      </w:r>
    </w:p>
    <w:p w14:paraId="6A7F0780">
      <w:pPr>
        <w:spacing w:line="360" w:lineRule="auto"/>
        <w:ind w:firstLine="504"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11、相关方作业时，噪声排放符合国家声环境质量标准（GB3906-2008），白天不超过65分贝，夜间不超过55分贝，夜间频繁突发的噪声（如排气噪声），其峰值不准超过标准值10分贝，夜间偶然突发的噪声（如短促鸣笛声），其峰值不准超过标准值15分贝。</w:t>
      </w:r>
    </w:p>
    <w:p w14:paraId="584D695B">
      <w:pPr>
        <w:tabs>
          <w:tab w:val="left" w:pos="3420"/>
        </w:tabs>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12、相关方作业，不得使用国家禁止使用的原材料（非环保材料）。</w:t>
      </w:r>
    </w:p>
    <w:p w14:paraId="0AEE965E">
      <w:pPr>
        <w:tabs>
          <w:tab w:val="left" w:pos="3420"/>
        </w:tabs>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13、相关方作业活动中，所产生的建筑垃圾（生活垃圾）和危险废弃物等，不得随意排放，按着公司要求进行排放。</w:t>
      </w:r>
    </w:p>
    <w:p w14:paraId="22F18718">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14、按着公司要求用电、用水等，注意节约，避免能源浪费。</w:t>
      </w:r>
    </w:p>
    <w:p w14:paraId="3081E99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15、相关方进入工厂进行作业时，要遵守我司各项制度和国家法律法规及相关规定。</w:t>
      </w:r>
    </w:p>
    <w:p w14:paraId="7CD8BD9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二、乙方扬尘污染防治责任：</w:t>
      </w:r>
    </w:p>
    <w:p w14:paraId="445A4121">
      <w:pPr>
        <w:spacing w:line="360" w:lineRule="auto"/>
        <w:ind w:firstLine="504" w:firstLineChars="200"/>
        <w:rPr>
          <w:rFonts w:hint="eastAsia" w:ascii="仿宋" w:hAnsi="仿宋" w:eastAsia="仿宋" w:cs="仿宋"/>
          <w:color w:val="000000"/>
          <w:spacing w:val="6"/>
          <w:sz w:val="24"/>
          <w:szCs w:val="24"/>
          <w:shd w:val="clear" w:color="auto" w:fill="FFFFFF"/>
        </w:rPr>
      </w:pPr>
      <w:r>
        <w:rPr>
          <w:rFonts w:hint="eastAsia" w:ascii="仿宋" w:hAnsi="仿宋" w:eastAsia="仿宋" w:cs="仿宋"/>
          <w:color w:val="000000"/>
          <w:spacing w:val="6"/>
          <w:sz w:val="24"/>
          <w:szCs w:val="24"/>
          <w:shd w:val="clear" w:color="auto" w:fill="FFFFFF"/>
        </w:rPr>
        <w:t>（一）现场负责人</w:t>
      </w:r>
    </w:p>
    <w:p w14:paraId="74236438">
      <w:pPr>
        <w:spacing w:line="360" w:lineRule="auto"/>
        <w:ind w:firstLine="504" w:firstLineChars="200"/>
        <w:rPr>
          <w:rFonts w:hint="eastAsia" w:ascii="仿宋" w:hAnsi="仿宋" w:eastAsia="仿宋" w:cs="仿宋"/>
          <w:color w:val="000000"/>
          <w:spacing w:val="6"/>
          <w:sz w:val="24"/>
          <w:szCs w:val="24"/>
          <w:shd w:val="clear" w:color="auto" w:fill="FFFFFF"/>
        </w:rPr>
      </w:pPr>
      <w:r>
        <w:rPr>
          <w:rFonts w:hint="eastAsia" w:ascii="仿宋" w:hAnsi="仿宋" w:eastAsia="仿宋" w:cs="仿宋"/>
          <w:color w:val="000000"/>
          <w:spacing w:val="6"/>
          <w:sz w:val="24"/>
          <w:szCs w:val="24"/>
          <w:shd w:val="clear" w:color="auto" w:fill="FFFFFF"/>
        </w:rPr>
        <w:t>1、负责组织本项目关于扬尘污染防治法律、法规、规章的学习，组织宣扬扬尘污染防治知识，不断提高全体员工的环保意识和文明素质水平。</w:t>
      </w:r>
    </w:p>
    <w:p w14:paraId="50413F40">
      <w:pPr>
        <w:spacing w:line="360" w:lineRule="auto"/>
        <w:ind w:firstLine="504" w:firstLineChars="200"/>
        <w:rPr>
          <w:rFonts w:hint="eastAsia" w:ascii="仿宋" w:hAnsi="仿宋" w:eastAsia="仿宋" w:cs="仿宋"/>
          <w:color w:val="000000"/>
          <w:spacing w:val="6"/>
          <w:sz w:val="24"/>
          <w:szCs w:val="24"/>
          <w:shd w:val="clear" w:color="auto" w:fill="FFFFFF"/>
        </w:rPr>
      </w:pPr>
      <w:r>
        <w:rPr>
          <w:rFonts w:hint="eastAsia" w:ascii="仿宋" w:hAnsi="仿宋" w:eastAsia="仿宋" w:cs="仿宋"/>
          <w:color w:val="000000"/>
          <w:spacing w:val="6"/>
          <w:sz w:val="24"/>
          <w:szCs w:val="24"/>
          <w:shd w:val="clear" w:color="auto" w:fill="FFFFFF"/>
        </w:rPr>
        <w:t>2、负责组织制订和实施扬尘污染防治方案，向各部门下达扬尘污染防治任务，对完成各项扬尘污染防治任务负责。</w:t>
      </w:r>
    </w:p>
    <w:p w14:paraId="69244978">
      <w:pPr>
        <w:spacing w:line="360" w:lineRule="auto"/>
        <w:ind w:firstLine="504" w:firstLineChars="200"/>
        <w:rPr>
          <w:rFonts w:hint="eastAsia" w:ascii="仿宋" w:hAnsi="仿宋" w:eastAsia="仿宋" w:cs="仿宋"/>
          <w:color w:val="000000"/>
          <w:spacing w:val="6"/>
          <w:sz w:val="24"/>
          <w:szCs w:val="24"/>
          <w:shd w:val="clear" w:color="auto" w:fill="FFFFFF"/>
        </w:rPr>
      </w:pPr>
      <w:r>
        <w:rPr>
          <w:rFonts w:hint="eastAsia" w:ascii="仿宋" w:hAnsi="仿宋" w:eastAsia="仿宋" w:cs="仿宋"/>
          <w:color w:val="000000"/>
          <w:spacing w:val="6"/>
          <w:sz w:val="24"/>
          <w:szCs w:val="24"/>
          <w:shd w:val="clear" w:color="auto" w:fill="FFFFFF"/>
        </w:rPr>
        <w:t>3、负责组织本项目对执行扬尘污染防治方案工作的检查，根据检查情况，肯定成绩，激励先进，发现问题，落实措施，不断巩固，提高本单位扬尘污染防治工作的水平。</w:t>
      </w:r>
    </w:p>
    <w:p w14:paraId="16BC4E81">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4、组织技术攻关，采用先进技术，不断提高扬尘污染防治的技术水平，提高扬尘污染控制的效率。</w:t>
      </w:r>
    </w:p>
    <w:p w14:paraId="488B2DA8">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（二）现在作业人员</w:t>
      </w:r>
    </w:p>
    <w:p w14:paraId="0859FD99">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1、协助现场负责人制订扬尘污染防治方案。</w:t>
      </w:r>
    </w:p>
    <w:p w14:paraId="081418A8">
      <w:pPr>
        <w:spacing w:line="360" w:lineRule="auto"/>
        <w:ind w:firstLine="504" w:firstLineChars="200"/>
        <w:rPr>
          <w:rFonts w:hint="eastAsia" w:ascii="仿宋" w:hAnsi="仿宋" w:eastAsia="仿宋" w:cs="仿宋"/>
          <w:b/>
          <w:color w:val="000000"/>
          <w:spacing w:val="6"/>
          <w:sz w:val="24"/>
          <w:szCs w:val="24"/>
        </w:rPr>
      </w:pPr>
      <w:r>
        <w:rPr>
          <w:rFonts w:hint="eastAsia" w:ascii="仿宋" w:hAnsi="仿宋" w:eastAsia="仿宋" w:cs="仿宋"/>
          <w:color w:val="000000"/>
          <w:spacing w:val="6"/>
          <w:sz w:val="24"/>
          <w:szCs w:val="24"/>
        </w:rPr>
        <w:t>2、严格执行制订的扬尘污染防治方案中的各项措施，定期进行检查记录。</w:t>
      </w:r>
    </w:p>
    <w:p w14:paraId="04B6BF15">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3、结合施工防护安全架和脚手架，在施工范围外侧设置密目隔尘网。</w:t>
      </w:r>
    </w:p>
    <w:p w14:paraId="435C6F4E">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4、场内地面道路每天清扫，及时洒水，保持清洁干净，防止尘土飞扬。</w:t>
      </w:r>
    </w:p>
    <w:p w14:paraId="0FBDAF1A">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5、运输、施工作业的车辆在离开施工作业场地前，对车辆的轮胎、车厢、车身进行全面清洗，防止泥浆在车辆行驶过程中对外界道路的影响。</w:t>
      </w:r>
    </w:p>
    <w:p w14:paraId="3A31C182">
      <w:pPr>
        <w:spacing w:line="360" w:lineRule="auto"/>
        <w:ind w:firstLine="504" w:firstLineChars="200"/>
        <w:rPr>
          <w:rFonts w:hint="eastAsia" w:ascii="仿宋" w:hAnsi="仿宋" w:eastAsia="仿宋" w:cs="仿宋"/>
          <w:color w:val="000000"/>
          <w:spacing w:val="6"/>
          <w:sz w:val="24"/>
          <w:szCs w:val="24"/>
        </w:rPr>
      </w:pPr>
      <w:r>
        <w:rPr>
          <w:rFonts w:hint="eastAsia" w:ascii="仿宋" w:hAnsi="仿宋" w:eastAsia="仿宋" w:cs="仿宋"/>
          <w:bCs/>
          <w:color w:val="000000"/>
          <w:spacing w:val="6"/>
          <w:sz w:val="24"/>
          <w:szCs w:val="24"/>
        </w:rPr>
        <w:t>6、根据工作安排，并做好记录台账</w:t>
      </w:r>
      <w:r>
        <w:rPr>
          <w:rFonts w:hint="eastAsia" w:ascii="仿宋" w:hAnsi="仿宋" w:eastAsia="仿宋" w:cs="仿宋"/>
          <w:color w:val="000000"/>
          <w:spacing w:val="6"/>
          <w:sz w:val="24"/>
          <w:szCs w:val="24"/>
        </w:rPr>
        <w:t>。</w:t>
      </w:r>
    </w:p>
    <w:p w14:paraId="153603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三、本合同生效后，即成为原合同不可分割的组成部分，与原合同具有同等的法律效力。除本协议所做的明确修改条款外，原合同的其余部分继续有效。</w:t>
      </w:r>
    </w:p>
    <w:p w14:paraId="5B8BFF2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四、本协议一式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w:t>
      </w:r>
      <w:r>
        <w:rPr>
          <w:rFonts w:hint="eastAsia" w:ascii="仿宋" w:hAnsi="仿宋" w:eastAsia="仿宋" w:cs="仿宋"/>
          <w:sz w:val="24"/>
          <w:szCs w:val="24"/>
          <w:lang w:val="en-US" w:eastAsia="zh-CN"/>
        </w:rPr>
        <w:t>方持叁份，</w:t>
      </w:r>
      <w:r>
        <w:rPr>
          <w:rFonts w:hint="eastAsia" w:ascii="仿宋" w:hAnsi="仿宋" w:eastAsia="仿宋" w:cs="仿宋"/>
          <w:sz w:val="24"/>
          <w:szCs w:val="24"/>
        </w:rPr>
        <w:t>乙方执</w:t>
      </w:r>
      <w:r>
        <w:rPr>
          <w:rFonts w:hint="eastAsia" w:ascii="仿宋" w:hAnsi="仿宋" w:eastAsia="仿宋" w:cs="仿宋"/>
          <w:sz w:val="24"/>
          <w:szCs w:val="24"/>
          <w:lang w:val="en-US" w:eastAsia="zh-CN"/>
        </w:rPr>
        <w:t>壹</w:t>
      </w:r>
      <w:r>
        <w:rPr>
          <w:rFonts w:hint="eastAsia" w:ascii="仿宋" w:hAnsi="仿宋" w:eastAsia="仿宋" w:cs="仿宋"/>
          <w:sz w:val="24"/>
          <w:szCs w:val="24"/>
        </w:rPr>
        <w:t>份，具有相同法律效力。</w:t>
      </w:r>
      <w:r>
        <w:rPr>
          <w:rFonts w:hint="eastAsia" w:ascii="仿宋" w:hAnsi="仿宋" w:eastAsia="仿宋" w:cs="仿宋"/>
          <w:color w:val="000000"/>
          <w:sz w:val="24"/>
          <w:szCs w:val="24"/>
        </w:rPr>
        <w:t>双方盖章后生效。</w:t>
      </w:r>
    </w:p>
    <w:p w14:paraId="09672772">
      <w:pPr>
        <w:spacing w:line="360" w:lineRule="auto"/>
        <w:ind w:firstLine="504" w:firstLineChars="200"/>
        <w:rPr>
          <w:rFonts w:hint="eastAsia" w:ascii="仿宋" w:hAnsi="仿宋" w:eastAsia="仿宋" w:cs="仿宋"/>
          <w:spacing w:val="6"/>
          <w:sz w:val="24"/>
        </w:rPr>
      </w:pPr>
    </w:p>
    <w:p w14:paraId="6B148780">
      <w:pPr>
        <w:pStyle w:val="15"/>
        <w:ind w:left="1470" w:right="1470"/>
        <w:rPr>
          <w:rFonts w:ascii="仿宋" w:hAnsi="仿宋" w:eastAsia="仿宋" w:cs="仿宋"/>
          <w:sz w:val="24"/>
        </w:rPr>
      </w:pPr>
    </w:p>
    <w:p w14:paraId="5E4ED2BD">
      <w:pPr>
        <w:pStyle w:val="15"/>
        <w:ind w:left="1470" w:right="1470"/>
        <w:rPr>
          <w:rFonts w:ascii="仿宋" w:hAnsi="仿宋" w:eastAsia="仿宋" w:cs="仿宋"/>
          <w:sz w:val="24"/>
        </w:rPr>
      </w:pPr>
    </w:p>
    <w:p w14:paraId="2BC30657">
      <w:pPr>
        <w:rPr>
          <w:rFonts w:hint="default" w:ascii="仿宋" w:hAnsi="仿宋" w:eastAsia="仿宋" w:cs="仿宋"/>
          <w:sz w:val="24"/>
          <w:lang w:val="en-US" w:eastAsia="zh-CN"/>
        </w:rPr>
      </w:pPr>
      <w:r>
        <w:rPr>
          <w:rFonts w:hint="eastAsia" w:ascii="仿宋" w:hAnsi="仿宋" w:eastAsia="仿宋" w:cs="仿宋"/>
          <w:sz w:val="24"/>
        </w:rPr>
        <w:t>甲方（盖章）：</w:t>
      </w:r>
      <w:r>
        <w:rPr>
          <w:rFonts w:hint="eastAsia" w:ascii="仿宋" w:hAnsi="仿宋" w:eastAsia="仿宋" w:cs="仿宋"/>
          <w:sz w:val="24"/>
          <w:lang w:val="en-US" w:eastAsia="zh-CN"/>
        </w:rPr>
        <w:t xml:space="preserve">                         </w:t>
      </w:r>
      <w:r>
        <w:rPr>
          <w:rFonts w:hint="eastAsia" w:ascii="仿宋" w:hAnsi="仿宋" w:eastAsia="仿宋" w:cs="仿宋"/>
          <w:sz w:val="24"/>
        </w:rPr>
        <w:t xml:space="preserve"> 乙方（盖章）：</w:t>
      </w:r>
      <w:r>
        <w:rPr>
          <w:rFonts w:hint="eastAsia" w:ascii="仿宋" w:hAnsi="仿宋" w:eastAsia="仿宋" w:cs="仿宋"/>
          <w:sz w:val="24"/>
          <w:lang w:val="en-US" w:eastAsia="zh-CN"/>
        </w:rPr>
        <w:t xml:space="preserve"> </w:t>
      </w:r>
    </w:p>
    <w:p w14:paraId="5410AA17">
      <w:pPr>
        <w:rPr>
          <w:rFonts w:hint="eastAsia" w:ascii="仿宋" w:hAnsi="仿宋" w:eastAsia="仿宋" w:cs="仿宋"/>
          <w:b/>
          <w:color w:val="000000"/>
          <w:sz w:val="24"/>
        </w:rPr>
      </w:pPr>
    </w:p>
    <w:p w14:paraId="2A06DD78">
      <w:r>
        <w:rPr>
          <w:rFonts w:hint="eastAsia" w:ascii="仿宋" w:hAnsi="仿宋" w:eastAsia="仿宋" w:cs="仿宋"/>
          <w:b/>
          <w:color w:val="000000"/>
          <w:sz w:val="24"/>
        </w:rPr>
        <w:t>中粮米业（</w:t>
      </w:r>
      <w:r>
        <w:rPr>
          <w:rFonts w:hint="eastAsia" w:ascii="仿宋" w:hAnsi="仿宋" w:eastAsia="仿宋" w:cs="仿宋"/>
          <w:b/>
          <w:color w:val="000000"/>
          <w:sz w:val="24"/>
          <w:lang w:eastAsia="zh-CN"/>
        </w:rPr>
        <w:t>五常</w:t>
      </w:r>
      <w:r>
        <w:rPr>
          <w:rFonts w:hint="eastAsia" w:ascii="仿宋" w:hAnsi="仿宋" w:eastAsia="仿宋" w:cs="仿宋"/>
          <w:b/>
          <w:color w:val="000000"/>
          <w:sz w:val="24"/>
        </w:rPr>
        <w:t>）有限公司</w:t>
      </w:r>
      <w:r>
        <w:rPr>
          <w:rFonts w:hint="eastAsia" w:ascii="仿宋" w:hAnsi="仿宋" w:eastAsia="仿宋" w:cs="仿宋"/>
          <w:b/>
          <w:color w:val="000000"/>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p>
    <w:p w14:paraId="60289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1"/>
          <w:szCs w:val="21"/>
        </w:rPr>
      </w:pPr>
    </w:p>
    <w:p w14:paraId="17B3A103">
      <w:pPr>
        <w:spacing w:line="48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6FD7A6AD">
      <w:pPr>
        <w:tabs>
          <w:tab w:val="left" w:pos="513"/>
        </w:tabs>
        <w:rPr>
          <w:lang w:eastAsia="zh-CN"/>
        </w:rPr>
        <w:sectPr>
          <w:pgSz w:w="11906" w:h="16838"/>
          <w:pgMar w:top="737" w:right="907" w:bottom="737" w:left="1304" w:header="624" w:footer="907" w:gutter="0"/>
          <w:cols w:space="425" w:num="1"/>
          <w:titlePg/>
          <w:docGrid w:linePitch="312" w:charSpace="0"/>
        </w:sectPr>
      </w:pPr>
    </w:p>
    <w:p w14:paraId="4122CC16">
      <w:pPr>
        <w:rPr>
          <w:rFonts w:ascii="黑体" w:hAnsi="黑体" w:eastAsia="黑体"/>
          <w:color w:val="000000"/>
          <w:sz w:val="32"/>
          <w:szCs w:val="22"/>
          <w:lang w:eastAsia="zh-CN"/>
        </w:rPr>
      </w:pPr>
      <w:r>
        <w:rPr>
          <w:rFonts w:hint="eastAsia" w:ascii="黑体" w:hAnsi="黑体" w:eastAsia="黑体"/>
          <w:color w:val="000000"/>
          <w:sz w:val="32"/>
          <w:szCs w:val="22"/>
          <w:lang w:eastAsia="zh-CN"/>
        </w:rPr>
        <w:t>第五部分  附件</w:t>
      </w:r>
      <w:r>
        <w:rPr>
          <w:rFonts w:ascii="黑体" w:hAnsi="黑体" w:eastAsia="黑体"/>
          <w:color w:val="000000"/>
          <w:sz w:val="32"/>
          <w:szCs w:val="22"/>
          <w:lang w:eastAsia="zh-CN"/>
        </w:rPr>
        <w:t>—</w:t>
      </w:r>
      <w:r>
        <w:rPr>
          <w:rFonts w:hint="eastAsia" w:ascii="黑体" w:hAnsi="黑体" w:eastAsia="黑体"/>
          <w:color w:val="000000"/>
          <w:sz w:val="32"/>
          <w:szCs w:val="22"/>
          <w:lang w:eastAsia="zh-CN"/>
        </w:rPr>
        <w:t>响应文件格式</w:t>
      </w:r>
    </w:p>
    <w:p w14:paraId="5305D891">
      <w:pPr>
        <w:spacing w:line="480" w:lineRule="exact"/>
        <w:jc w:val="center"/>
        <w:rPr>
          <w:rFonts w:ascii="宋体" w:hAnsi="宋体"/>
          <w:b/>
          <w:lang w:eastAsia="zh-CN"/>
        </w:rPr>
      </w:pPr>
    </w:p>
    <w:p w14:paraId="2DE4AF60">
      <w:pPr>
        <w:spacing w:line="480" w:lineRule="exact"/>
        <w:jc w:val="center"/>
        <w:rPr>
          <w:rFonts w:ascii="宋体" w:hAnsi="宋体"/>
          <w:b/>
          <w:lang w:eastAsia="zh-CN"/>
        </w:rPr>
      </w:pPr>
    </w:p>
    <w:p w14:paraId="095FEBAD">
      <w:pPr>
        <w:pStyle w:val="36"/>
        <w:ind w:firstLine="400"/>
        <w:rPr>
          <w:lang w:eastAsia="zh-CN"/>
        </w:rPr>
      </w:pPr>
    </w:p>
    <w:p w14:paraId="7D8A813B">
      <w:pPr>
        <w:pStyle w:val="36"/>
        <w:ind w:firstLine="400"/>
        <w:rPr>
          <w:lang w:eastAsia="zh-CN"/>
        </w:rPr>
      </w:pPr>
    </w:p>
    <w:p w14:paraId="681EDCD9">
      <w:pPr>
        <w:pStyle w:val="36"/>
        <w:ind w:firstLine="400"/>
        <w:rPr>
          <w:rFonts w:ascii="宋体" w:eastAsia="宋体"/>
          <w:lang w:eastAsia="zh-CN"/>
        </w:rPr>
      </w:pPr>
    </w:p>
    <w:p w14:paraId="49152ACE">
      <w:pPr>
        <w:pStyle w:val="36"/>
        <w:ind w:firstLine="400"/>
        <w:rPr>
          <w:rFonts w:ascii="宋体" w:eastAsia="宋体"/>
          <w:color w:val="000000" w:themeColor="text1"/>
          <w:lang w:eastAsia="zh-CN"/>
          <w14:textFill>
            <w14:solidFill>
              <w14:schemeClr w14:val="tx1"/>
            </w14:solidFill>
          </w14:textFill>
        </w:rPr>
      </w:pPr>
    </w:p>
    <w:p w14:paraId="73C59ED6">
      <w:pPr>
        <w:spacing w:line="480" w:lineRule="auto"/>
        <w:jc w:val="center"/>
        <w:rPr>
          <w:rFonts w:ascii="宋体" w:hAnsi="宋体"/>
          <w:b/>
          <w:color w:val="000000" w:themeColor="text1"/>
          <w:sz w:val="44"/>
          <w:szCs w:val="44"/>
          <w:lang w:eastAsia="zh-CN"/>
          <w14:textFill>
            <w14:solidFill>
              <w14:schemeClr w14:val="tx1"/>
            </w14:solidFill>
          </w14:textFill>
        </w:rPr>
      </w:pPr>
      <w:r>
        <w:rPr>
          <w:rFonts w:hint="eastAsia" w:ascii="宋体" w:hAnsi="宋体"/>
          <w:b/>
          <w:color w:val="000000" w:themeColor="text1"/>
          <w:sz w:val="44"/>
          <w:szCs w:val="44"/>
          <w:lang w:eastAsia="zh-CN"/>
          <w14:textFill>
            <w14:solidFill>
              <w14:schemeClr w14:val="tx1"/>
            </w14:solidFill>
          </w14:textFill>
        </w:rPr>
        <w:t>中粮米业（</w:t>
      </w:r>
      <w:r>
        <w:rPr>
          <w:rFonts w:hint="eastAsia" w:ascii="宋体" w:hAnsi="宋体"/>
          <w:b/>
          <w:color w:val="000000" w:themeColor="text1"/>
          <w:sz w:val="44"/>
          <w:szCs w:val="44"/>
          <w:lang w:val="en-US" w:eastAsia="zh-CN"/>
          <w14:textFill>
            <w14:solidFill>
              <w14:schemeClr w14:val="tx1"/>
            </w14:solidFill>
          </w14:textFill>
        </w:rPr>
        <w:t>五常</w:t>
      </w:r>
      <w:r>
        <w:rPr>
          <w:rFonts w:hint="eastAsia" w:ascii="宋体" w:hAnsi="宋体"/>
          <w:b/>
          <w:color w:val="000000" w:themeColor="text1"/>
          <w:sz w:val="44"/>
          <w:szCs w:val="44"/>
          <w:lang w:eastAsia="zh-CN"/>
          <w14:textFill>
            <w14:solidFill>
              <w14:schemeClr w14:val="tx1"/>
            </w14:solidFill>
          </w14:textFill>
        </w:rPr>
        <w:t>)有限公司</w:t>
      </w:r>
    </w:p>
    <w:p w14:paraId="15155EBD">
      <w:pPr>
        <w:spacing w:line="360" w:lineRule="auto"/>
        <w:jc w:val="center"/>
        <w:rPr>
          <w:rFonts w:hint="default" w:ascii="宋体" w:hAnsi="宋体"/>
          <w:b/>
          <w:color w:val="000000" w:themeColor="text1"/>
          <w:sz w:val="36"/>
          <w:szCs w:val="36"/>
          <w:lang w:val="en-US" w:eastAsia="zh-CN"/>
          <w14:textFill>
            <w14:solidFill>
              <w14:schemeClr w14:val="tx1"/>
            </w14:solidFill>
          </w14:textFill>
        </w:rPr>
      </w:pPr>
    </w:p>
    <w:p w14:paraId="11C0D4CE">
      <w:pPr>
        <w:spacing w:line="360" w:lineRule="auto"/>
        <w:jc w:val="center"/>
        <w:rPr>
          <w:rFonts w:ascii="宋体" w:hAnsi="宋体"/>
          <w:b/>
          <w:sz w:val="52"/>
          <w:szCs w:val="52"/>
          <w:lang w:eastAsia="zh-CN"/>
        </w:rPr>
      </w:pPr>
      <w:r>
        <w:rPr>
          <w:rFonts w:hint="eastAsia" w:ascii="宋体" w:hAnsi="宋体"/>
          <w:b/>
          <w:sz w:val="52"/>
          <w:szCs w:val="52"/>
          <w:lang w:eastAsia="zh-CN"/>
        </w:rPr>
        <w:t>响  应  文  件</w:t>
      </w:r>
    </w:p>
    <w:p w14:paraId="61F0FE23">
      <w:pPr>
        <w:spacing w:line="360" w:lineRule="auto"/>
        <w:jc w:val="center"/>
        <w:rPr>
          <w:rFonts w:ascii="宋体" w:hAnsi="宋体"/>
          <w:b/>
          <w:sz w:val="52"/>
          <w:szCs w:val="52"/>
          <w:lang w:eastAsia="zh-CN"/>
        </w:rPr>
      </w:pPr>
      <w:r>
        <w:rPr>
          <w:rFonts w:hint="eastAsia" w:ascii="宋体" w:hAnsi="宋体"/>
          <w:b/>
          <w:sz w:val="52"/>
          <w:szCs w:val="52"/>
          <w:lang w:eastAsia="zh-CN"/>
        </w:rPr>
        <w:t>（正/副本）</w:t>
      </w:r>
    </w:p>
    <w:p w14:paraId="6A8C8492">
      <w:pPr>
        <w:spacing w:line="360" w:lineRule="auto"/>
        <w:ind w:left="2278" w:leftChars="354" w:hanging="1428" w:hangingChars="510"/>
        <w:rPr>
          <w:rFonts w:ascii="宋体" w:hAnsi="宋体"/>
          <w:sz w:val="28"/>
          <w:szCs w:val="28"/>
          <w:lang w:eastAsia="zh-CN"/>
        </w:rPr>
      </w:pPr>
    </w:p>
    <w:p w14:paraId="1018C84A">
      <w:pPr>
        <w:spacing w:line="360" w:lineRule="auto"/>
        <w:jc w:val="center"/>
        <w:rPr>
          <w:rFonts w:hint="eastAsia" w:ascii="宋体" w:hAnsi="宋体"/>
          <w:b/>
          <w:color w:val="FF0000"/>
          <w:sz w:val="72"/>
          <w:szCs w:val="72"/>
          <w:lang w:eastAsia="zh-CN"/>
        </w:rPr>
      </w:pPr>
      <w:r>
        <w:rPr>
          <w:rFonts w:hint="eastAsia" w:ascii="宋体" w:hAnsi="宋体"/>
          <w:b/>
          <w:color w:val="auto"/>
          <w:sz w:val="72"/>
          <w:szCs w:val="72"/>
          <w:lang w:eastAsia="zh-CN"/>
        </w:rPr>
        <w:t>有害生物防治业务项目</w:t>
      </w:r>
    </w:p>
    <w:p w14:paraId="15489F6F">
      <w:pPr>
        <w:spacing w:line="360" w:lineRule="auto"/>
        <w:ind w:left="2278" w:leftChars="354" w:hanging="1428" w:hangingChars="510"/>
        <w:rPr>
          <w:rFonts w:ascii="宋体" w:hAnsi="宋体"/>
          <w:sz w:val="28"/>
          <w:szCs w:val="28"/>
          <w:lang w:eastAsia="zh-CN"/>
        </w:rPr>
      </w:pPr>
    </w:p>
    <w:p w14:paraId="17492554">
      <w:pPr>
        <w:spacing w:line="360" w:lineRule="auto"/>
        <w:rPr>
          <w:rFonts w:hint="default" w:ascii="宋体" w:hAnsi="宋体"/>
          <w:b/>
          <w:color w:val="000000" w:themeColor="text1"/>
          <w:sz w:val="36"/>
          <w:szCs w:val="36"/>
          <w:lang w:val="en-US" w:eastAsia="zh-CN"/>
          <w14:textFill>
            <w14:solidFill>
              <w14:schemeClr w14:val="tx1"/>
            </w14:solidFill>
          </w14:textFill>
        </w:rPr>
      </w:pPr>
    </w:p>
    <w:p w14:paraId="4B178017">
      <w:pPr>
        <w:pStyle w:val="36"/>
        <w:ind w:left="0" w:leftChars="0" w:firstLine="0" w:firstLineChars="0"/>
        <w:rPr>
          <w:lang w:eastAsia="zh-CN"/>
        </w:rPr>
      </w:pPr>
    </w:p>
    <w:p w14:paraId="22D56A6E">
      <w:pPr>
        <w:pStyle w:val="36"/>
        <w:ind w:left="0" w:leftChars="0" w:firstLine="0" w:firstLineChars="0"/>
        <w:rPr>
          <w:lang w:eastAsia="zh-CN"/>
        </w:rPr>
      </w:pPr>
    </w:p>
    <w:p w14:paraId="2629066D">
      <w:pPr>
        <w:spacing w:line="480" w:lineRule="exact"/>
        <w:rPr>
          <w:rFonts w:ascii="宋体" w:hAnsi="宋体"/>
          <w:lang w:eastAsia="zh-CN"/>
        </w:rPr>
      </w:pPr>
    </w:p>
    <w:p w14:paraId="2CEC2372">
      <w:pPr>
        <w:spacing w:line="480" w:lineRule="exact"/>
        <w:rPr>
          <w:rFonts w:ascii="宋体" w:hAnsi="宋体"/>
          <w:b/>
          <w:sz w:val="36"/>
          <w:lang w:eastAsia="zh-CN"/>
        </w:rPr>
      </w:pPr>
      <w:r>
        <w:rPr>
          <w:rFonts w:hint="eastAsia" w:ascii="宋体" w:hAnsi="宋体"/>
          <w:b/>
          <w:sz w:val="36"/>
          <w:lang w:eastAsia="zh-CN"/>
        </w:rPr>
        <w:t xml:space="preserve">供应商名称(加盖公章)： </w:t>
      </w:r>
    </w:p>
    <w:p w14:paraId="4EB1B661">
      <w:pPr>
        <w:spacing w:line="480" w:lineRule="exact"/>
        <w:ind w:firstLine="994" w:firstLineChars="275"/>
        <w:rPr>
          <w:rFonts w:ascii="宋体" w:hAnsi="宋体"/>
          <w:b/>
          <w:sz w:val="36"/>
          <w:lang w:eastAsia="zh-CN"/>
        </w:rPr>
      </w:pPr>
    </w:p>
    <w:p w14:paraId="5433DE11">
      <w:pPr>
        <w:spacing w:line="480" w:lineRule="exact"/>
        <w:jc w:val="left"/>
        <w:rPr>
          <w:rFonts w:ascii="宋体" w:hAnsi="宋体"/>
          <w:b/>
          <w:sz w:val="36"/>
          <w:lang w:eastAsia="zh-CN"/>
        </w:rPr>
      </w:pPr>
      <w:r>
        <w:rPr>
          <w:rFonts w:hint="eastAsia" w:ascii="宋体" w:hAnsi="宋体"/>
          <w:b/>
          <w:sz w:val="36"/>
          <w:lang w:eastAsia="zh-CN"/>
        </w:rPr>
        <w:t>日期 ：</w:t>
      </w:r>
    </w:p>
    <w:p w14:paraId="100E3A38">
      <w:pPr>
        <w:spacing w:line="480" w:lineRule="exact"/>
        <w:jc w:val="center"/>
        <w:rPr>
          <w:rFonts w:ascii="宋体" w:hAnsi="宋体"/>
          <w:lang w:eastAsia="zh-CN"/>
        </w:rPr>
      </w:pPr>
    </w:p>
    <w:p w14:paraId="3C22178E">
      <w:pPr>
        <w:spacing w:line="360" w:lineRule="auto"/>
        <w:jc w:val="center"/>
        <w:rPr>
          <w:rFonts w:ascii="黑体" w:hAnsi="黑体" w:eastAsia="黑体"/>
          <w:b/>
          <w:sz w:val="40"/>
          <w:lang w:eastAsia="zh-CN"/>
        </w:rPr>
        <w:sectPr>
          <w:pgSz w:w="11906" w:h="16838"/>
          <w:pgMar w:top="1361" w:right="1588" w:bottom="1134" w:left="1588" w:header="794" w:footer="851" w:gutter="0"/>
          <w:cols w:space="720" w:num="1"/>
          <w:titlePg/>
          <w:docGrid w:linePitch="312" w:charSpace="0"/>
        </w:sectPr>
      </w:pPr>
    </w:p>
    <w:p w14:paraId="77ED9F57">
      <w:pPr>
        <w:spacing w:line="360" w:lineRule="auto"/>
        <w:jc w:val="center"/>
        <w:rPr>
          <w:rFonts w:ascii="黑体" w:hAnsi="黑体" w:eastAsia="黑体"/>
          <w:b/>
          <w:sz w:val="40"/>
          <w:lang w:eastAsia="zh-CN"/>
        </w:rPr>
      </w:pPr>
      <w:r>
        <w:rPr>
          <w:rFonts w:hint="eastAsia" w:ascii="黑体" w:hAnsi="黑体" w:eastAsia="黑体"/>
          <w:b/>
          <w:sz w:val="40"/>
          <w:lang w:eastAsia="zh-CN"/>
        </w:rPr>
        <w:t>响 应 函</w:t>
      </w:r>
    </w:p>
    <w:p w14:paraId="161286D4">
      <w:pPr>
        <w:spacing w:line="360" w:lineRule="auto"/>
        <w:textAlignment w:val="baseline"/>
        <w:rPr>
          <w:rFonts w:ascii="宋体" w:hAnsi="宋体"/>
          <w:bCs/>
          <w:color w:val="auto"/>
          <w:spacing w:val="16"/>
          <w:szCs w:val="22"/>
          <w:u w:val="single"/>
          <w:lang w:eastAsia="zh-CN"/>
        </w:rPr>
      </w:pPr>
      <w:r>
        <w:rPr>
          <w:rFonts w:hint="eastAsia" w:ascii="宋体" w:hAnsi="宋体"/>
          <w:bCs/>
          <w:color w:val="auto"/>
          <w:spacing w:val="16"/>
          <w:szCs w:val="22"/>
          <w:lang w:eastAsia="zh-CN"/>
        </w:rPr>
        <w:t>致：</w:t>
      </w:r>
      <w:r>
        <w:rPr>
          <w:rFonts w:hint="eastAsia" w:ascii="宋体" w:hAnsi="宋体" w:cs="宋体"/>
          <w:bCs/>
          <w:color w:val="auto"/>
          <w:szCs w:val="22"/>
          <w:u w:val="single"/>
          <w:lang w:eastAsia="zh-CN"/>
        </w:rPr>
        <w:t>中粮米业（</w:t>
      </w:r>
      <w:r>
        <w:rPr>
          <w:rFonts w:hint="eastAsia" w:ascii="宋体" w:hAnsi="宋体" w:cs="宋体"/>
          <w:bCs/>
          <w:color w:val="auto"/>
          <w:szCs w:val="22"/>
          <w:u w:val="single"/>
          <w:lang w:val="en-US" w:eastAsia="zh-CN"/>
        </w:rPr>
        <w:t>五常</w:t>
      </w:r>
      <w:r>
        <w:rPr>
          <w:rFonts w:hint="eastAsia" w:ascii="宋体" w:hAnsi="宋体" w:cs="宋体"/>
          <w:bCs/>
          <w:color w:val="auto"/>
          <w:szCs w:val="22"/>
          <w:u w:val="single"/>
          <w:lang w:eastAsia="zh-CN"/>
        </w:rPr>
        <w:t>)有限公司</w:t>
      </w:r>
    </w:p>
    <w:p w14:paraId="5FF75BD4">
      <w:pPr>
        <w:spacing w:line="360" w:lineRule="auto"/>
        <w:ind w:firstLine="360" w:firstLineChars="150"/>
        <w:textAlignment w:val="baseline"/>
        <w:rPr>
          <w:rFonts w:hint="eastAsia" w:ascii="宋体" w:hAnsi="宋体" w:cs="宋体"/>
          <w:bCs/>
          <w:color w:val="auto"/>
          <w:szCs w:val="22"/>
          <w:lang w:eastAsia="zh-CN"/>
        </w:rPr>
      </w:pPr>
      <w:r>
        <w:rPr>
          <w:rFonts w:hint="eastAsia" w:ascii="宋体" w:hAnsi="宋体"/>
          <w:bCs/>
          <w:color w:val="auto"/>
          <w:szCs w:val="22"/>
          <w:lang w:eastAsia="zh-CN"/>
        </w:rPr>
        <w:t>我单位</w:t>
      </w:r>
      <w:r>
        <w:rPr>
          <w:rFonts w:hint="eastAsia" w:ascii="宋体" w:hAnsi="宋体"/>
          <w:bCs/>
          <w:color w:val="auto"/>
          <w:szCs w:val="22"/>
          <w:u w:val="single"/>
          <w:lang w:eastAsia="zh-CN"/>
        </w:rPr>
        <w:t xml:space="preserve">    （响应人全称）        </w:t>
      </w:r>
      <w:r>
        <w:rPr>
          <w:rFonts w:hint="eastAsia" w:ascii="宋体" w:hAnsi="宋体"/>
          <w:bCs/>
          <w:color w:val="auto"/>
          <w:szCs w:val="22"/>
          <w:lang w:eastAsia="zh-CN"/>
        </w:rPr>
        <w:t>经研究了</w:t>
      </w:r>
      <w:r>
        <w:rPr>
          <w:rFonts w:hint="eastAsia" w:ascii="宋体" w:hAnsi="宋体" w:cs="宋体"/>
          <w:bCs/>
          <w:color w:val="auto"/>
          <w:szCs w:val="22"/>
          <w:u w:val="single"/>
          <w:lang w:eastAsia="zh-CN"/>
        </w:rPr>
        <w:t>中粮米业（</w:t>
      </w:r>
      <w:r>
        <w:rPr>
          <w:rFonts w:hint="eastAsia" w:ascii="宋体" w:hAnsi="宋体" w:cs="宋体"/>
          <w:bCs/>
          <w:color w:val="auto"/>
          <w:szCs w:val="22"/>
          <w:u w:val="single"/>
          <w:lang w:val="en-US" w:eastAsia="zh-CN"/>
        </w:rPr>
        <w:t>五常</w:t>
      </w:r>
      <w:r>
        <w:rPr>
          <w:rFonts w:hint="eastAsia" w:ascii="宋体" w:hAnsi="宋体" w:cs="宋体"/>
          <w:bCs/>
          <w:color w:val="auto"/>
          <w:szCs w:val="22"/>
          <w:u w:val="single"/>
          <w:lang w:eastAsia="zh-CN"/>
        </w:rPr>
        <w:t>)有限公司—</w:t>
      </w:r>
      <w:bookmarkStart w:id="14" w:name="_GoBack"/>
      <w:bookmarkEnd w:id="14"/>
      <w:r>
        <w:rPr>
          <w:rFonts w:hint="eastAsia" w:ascii="宋体" w:hAnsi="宋体" w:cs="宋体"/>
          <w:bCs/>
          <w:color w:val="auto"/>
          <w:szCs w:val="22"/>
          <w:u w:val="single"/>
          <w:lang w:val="en-US" w:eastAsia="zh-CN"/>
        </w:rPr>
        <w:t>有害生物防治</w:t>
      </w:r>
      <w:r>
        <w:rPr>
          <w:rFonts w:hint="eastAsia" w:ascii="宋体" w:hAnsi="宋体" w:cs="宋体"/>
          <w:bCs/>
          <w:color w:val="auto"/>
          <w:szCs w:val="22"/>
          <w:lang w:eastAsia="zh-CN"/>
        </w:rPr>
        <w:t>采购文件</w:t>
      </w:r>
      <w:r>
        <w:rPr>
          <w:rFonts w:hint="eastAsia" w:ascii="宋体" w:hAnsi="宋体"/>
          <w:bCs/>
          <w:color w:val="auto"/>
          <w:szCs w:val="22"/>
          <w:lang w:eastAsia="zh-CN"/>
        </w:rPr>
        <w:t>后</w:t>
      </w:r>
      <w:r>
        <w:rPr>
          <w:rFonts w:hint="eastAsia" w:ascii="宋体" w:hAnsi="宋体" w:cs="宋体"/>
          <w:bCs/>
          <w:color w:val="auto"/>
          <w:szCs w:val="22"/>
          <w:lang w:eastAsia="zh-CN"/>
        </w:rPr>
        <w:t>，做如下响应申请：</w:t>
      </w:r>
    </w:p>
    <w:p w14:paraId="693AE3B0">
      <w:pPr>
        <w:spacing w:line="360" w:lineRule="auto"/>
        <w:ind w:firstLine="480"/>
        <w:rPr>
          <w:lang w:eastAsia="zh-CN"/>
        </w:rPr>
      </w:pPr>
      <w:r>
        <w:rPr>
          <w:rFonts w:hint="eastAsia" w:ascii="宋体" w:hAnsi="宋体" w:cs="宋体"/>
          <w:b/>
          <w:sz w:val="28"/>
          <w:lang w:eastAsia="zh-CN"/>
        </w:rPr>
        <w:t>报价：总价为（大写）：</w:t>
      </w:r>
      <w:r>
        <w:rPr>
          <w:rFonts w:hint="eastAsia" w:ascii="宋体" w:hAnsi="宋体" w:cs="宋体"/>
          <w:b/>
          <w:sz w:val="28"/>
          <w:u w:val="single"/>
          <w:lang w:val="en-US" w:eastAsia="zh-CN"/>
        </w:rPr>
        <w:t xml:space="preserve">      </w:t>
      </w:r>
      <w:r>
        <w:rPr>
          <w:rFonts w:hint="eastAsia" w:ascii="宋体" w:hAnsi="宋体" w:cs="宋体"/>
          <w:b/>
          <w:sz w:val="28"/>
          <w:u w:val="none"/>
          <w:lang w:eastAsia="zh-CN"/>
        </w:rPr>
        <w:t>元人民币</w:t>
      </w:r>
      <w:r>
        <w:rPr>
          <w:rFonts w:hint="eastAsia" w:ascii="宋体" w:hAnsi="宋体" w:cs="宋体"/>
          <w:b/>
          <w:sz w:val="28"/>
          <w:lang w:eastAsia="zh-CN"/>
        </w:rPr>
        <w:t>，小写</w:t>
      </w:r>
      <w:r>
        <w:rPr>
          <w:rFonts w:hint="eastAsia" w:ascii="宋体" w:hAnsi="宋体" w:cs="宋体"/>
          <w:b/>
          <w:sz w:val="28"/>
          <w:lang w:val="en-US" w:eastAsia="zh-CN"/>
        </w:rPr>
        <w:t xml:space="preserve"> </w:t>
      </w:r>
      <w:r>
        <w:rPr>
          <w:rFonts w:hint="eastAsia" w:ascii="宋体" w:hAnsi="宋体" w:cs="宋体"/>
          <w:b/>
          <w:sz w:val="28"/>
          <w:u w:val="single"/>
          <w:lang w:val="en-US" w:eastAsia="zh-CN"/>
        </w:rPr>
        <w:t xml:space="preserve">         </w:t>
      </w:r>
      <w:r>
        <w:rPr>
          <w:rFonts w:hint="eastAsia" w:ascii="宋体" w:hAnsi="宋体" w:cs="宋体"/>
          <w:b/>
          <w:sz w:val="28"/>
          <w:lang w:eastAsia="zh-CN"/>
        </w:rPr>
        <w:t>元。</w:t>
      </w:r>
    </w:p>
    <w:p w14:paraId="392B6DFB">
      <w:pPr>
        <w:spacing w:line="360" w:lineRule="auto"/>
        <w:ind w:firstLine="480"/>
        <w:rPr>
          <w:rFonts w:ascii="宋体" w:hAnsi="宋体" w:cs="宋体"/>
          <w:b/>
          <w:sz w:val="28"/>
          <w:lang w:eastAsia="zh-CN"/>
        </w:rPr>
      </w:pPr>
      <w:r>
        <w:rPr>
          <w:rFonts w:hint="eastAsia" w:ascii="宋体" w:hAnsi="宋体" w:cs="宋体"/>
          <w:b/>
          <w:sz w:val="28"/>
          <w:lang w:eastAsia="zh-CN"/>
        </w:rPr>
        <w:t>发票：类型</w:t>
      </w:r>
      <w:r>
        <w:rPr>
          <w:rFonts w:hint="eastAsia" w:ascii="宋体" w:hAnsi="宋体" w:cs="宋体"/>
          <w:b/>
          <w:color w:val="FF0000"/>
          <w:sz w:val="28"/>
          <w:u w:val="single"/>
          <w:lang w:eastAsia="zh-CN"/>
        </w:rPr>
        <w:t>增值税专用发票</w:t>
      </w:r>
      <w:r>
        <w:rPr>
          <w:rFonts w:hint="eastAsia" w:ascii="宋体" w:hAnsi="宋体" w:cs="宋体"/>
          <w:b/>
          <w:sz w:val="28"/>
          <w:lang w:eastAsia="zh-CN"/>
        </w:rPr>
        <w:t>，税率：</w:t>
      </w:r>
      <w:r>
        <w:rPr>
          <w:rFonts w:hint="eastAsia" w:ascii="宋体" w:hAnsi="宋体" w:cs="宋体"/>
          <w:b/>
          <w:sz w:val="28"/>
          <w:u w:val="single"/>
          <w:lang w:val="en-US" w:eastAsia="zh-CN"/>
        </w:rPr>
        <w:t xml:space="preserve">    </w:t>
      </w:r>
      <w:r>
        <w:rPr>
          <w:rFonts w:hint="eastAsia" w:ascii="宋体" w:hAnsi="宋体" w:cs="宋体"/>
          <w:b/>
          <w:sz w:val="28"/>
          <w:u w:val="single"/>
          <w:lang w:eastAsia="zh-CN"/>
        </w:rPr>
        <w:t>%</w:t>
      </w:r>
      <w:r>
        <w:rPr>
          <w:rFonts w:hint="eastAsia" w:ascii="宋体" w:hAnsi="宋体" w:cs="宋体"/>
          <w:b/>
          <w:sz w:val="28"/>
          <w:lang w:eastAsia="zh-CN"/>
        </w:rPr>
        <w:t>。</w:t>
      </w:r>
    </w:p>
    <w:p w14:paraId="224F754A">
      <w:pPr>
        <w:spacing w:line="360" w:lineRule="auto"/>
        <w:ind w:firstLine="480"/>
        <w:rPr>
          <w:rFonts w:ascii="宋体" w:hAnsi="宋体" w:cs="宋体"/>
          <w:b/>
          <w:sz w:val="28"/>
          <w:highlight w:val="none"/>
          <w:lang w:eastAsia="zh-CN"/>
        </w:rPr>
      </w:pPr>
      <w:r>
        <w:rPr>
          <w:rFonts w:hint="eastAsia" w:ascii="宋体" w:hAnsi="宋体" w:cs="宋体"/>
          <w:b/>
          <w:sz w:val="28"/>
          <w:highlight w:val="none"/>
          <w:lang w:val="en-US" w:eastAsia="zh-CN"/>
        </w:rPr>
        <w:t>服务</w:t>
      </w:r>
      <w:r>
        <w:rPr>
          <w:rFonts w:hint="eastAsia" w:ascii="宋体" w:hAnsi="宋体" w:cs="宋体"/>
          <w:b/>
          <w:sz w:val="28"/>
          <w:highlight w:val="none"/>
          <w:lang w:eastAsia="zh-CN"/>
        </w:rPr>
        <w:t>期：</w:t>
      </w:r>
      <w:r>
        <w:rPr>
          <w:rFonts w:hint="eastAsia" w:ascii="宋体" w:hAnsi="宋体" w:eastAsia="MS Mincho" w:cs="宋体"/>
          <w:b/>
          <w:color w:val="FF0000"/>
          <w:sz w:val="28"/>
          <w:highlight w:val="none"/>
          <w:lang w:val="en-US" w:eastAsia="ja-JP"/>
        </w:rPr>
        <w:t>1</w:t>
      </w:r>
      <w:r>
        <w:rPr>
          <w:rFonts w:hint="eastAsia" w:ascii="宋体" w:hAnsi="宋体" w:eastAsia="宋体" w:cs="宋体"/>
          <w:b/>
          <w:color w:val="FF0000"/>
          <w:sz w:val="28"/>
          <w:highlight w:val="none"/>
          <w:lang w:val="en-US" w:eastAsia="zh-CN"/>
        </w:rPr>
        <w:t>年</w:t>
      </w:r>
      <w:r>
        <w:rPr>
          <w:rFonts w:hint="eastAsia" w:ascii="宋体" w:hAnsi="宋体" w:cs="宋体"/>
          <w:b/>
          <w:sz w:val="28"/>
          <w:highlight w:val="none"/>
          <w:lang w:eastAsia="zh-CN"/>
        </w:rPr>
        <w:t>。</w:t>
      </w:r>
    </w:p>
    <w:p w14:paraId="60C01D4E">
      <w:pPr>
        <w:spacing w:line="276" w:lineRule="auto"/>
        <w:ind w:firstLine="480" w:firstLineChars="200"/>
        <w:rPr>
          <w:rFonts w:ascii="宋体" w:hAnsi="宋体"/>
          <w:lang w:eastAsia="zh-CN"/>
        </w:rPr>
      </w:pPr>
      <w:r>
        <w:rPr>
          <w:rFonts w:hint="eastAsia" w:ascii="宋体" w:hAnsi="宋体"/>
          <w:lang w:eastAsia="zh-CN"/>
        </w:rPr>
        <w:t>1．我方承诺在有效期内不修改、撤销响应文件；</w:t>
      </w:r>
    </w:p>
    <w:p w14:paraId="6AC8526E">
      <w:pPr>
        <w:spacing w:line="276" w:lineRule="auto"/>
        <w:ind w:firstLine="480" w:firstLineChars="200"/>
        <w:rPr>
          <w:rFonts w:ascii="宋体" w:hAnsi="宋体"/>
          <w:lang w:eastAsia="zh-CN"/>
        </w:rPr>
      </w:pPr>
      <w:r>
        <w:rPr>
          <w:rFonts w:hint="eastAsia" w:ascii="宋体" w:hAnsi="宋体"/>
          <w:lang w:eastAsia="zh-CN"/>
        </w:rPr>
        <w:t>2. 如我方中选：</w:t>
      </w:r>
    </w:p>
    <w:p w14:paraId="6FEF74D5">
      <w:pPr>
        <w:spacing w:line="276" w:lineRule="auto"/>
        <w:ind w:firstLine="480" w:firstLineChars="200"/>
        <w:rPr>
          <w:rFonts w:ascii="宋体" w:hAnsi="宋体"/>
          <w:lang w:eastAsia="zh-CN"/>
        </w:rPr>
      </w:pPr>
      <w:r>
        <w:rPr>
          <w:rFonts w:hint="eastAsia" w:ascii="宋体" w:hAnsi="宋体"/>
          <w:lang w:eastAsia="zh-CN"/>
        </w:rPr>
        <w:t>(l）我方承诺在收到中选通知书后，在中选通知书规定的期限内与你方签订合同。</w:t>
      </w:r>
    </w:p>
    <w:p w14:paraId="618A8E6C">
      <w:pPr>
        <w:spacing w:line="276" w:lineRule="auto"/>
        <w:ind w:firstLine="480" w:firstLineChars="200"/>
        <w:rPr>
          <w:rFonts w:ascii="宋体" w:hAnsi="宋体"/>
          <w:lang w:eastAsia="zh-CN"/>
        </w:rPr>
      </w:pPr>
      <w:r>
        <w:rPr>
          <w:rFonts w:hint="eastAsia" w:ascii="宋体" w:hAnsi="宋体"/>
          <w:lang w:eastAsia="zh-CN"/>
        </w:rPr>
        <w:t>(2）申请函附录属于合同文件的组成部分。</w:t>
      </w:r>
    </w:p>
    <w:p w14:paraId="7264AC4D">
      <w:pPr>
        <w:spacing w:line="276" w:lineRule="auto"/>
        <w:ind w:firstLine="480" w:firstLineChars="200"/>
        <w:rPr>
          <w:rFonts w:ascii="宋体" w:hAnsi="宋体"/>
          <w:lang w:eastAsia="zh-CN"/>
        </w:rPr>
      </w:pPr>
      <w:r>
        <w:rPr>
          <w:rFonts w:hint="eastAsia" w:ascii="宋体" w:hAnsi="宋体"/>
          <w:lang w:eastAsia="zh-CN"/>
        </w:rPr>
        <w:t>(3）我方承诺按照采购文件规定向你方递交履约担保。</w:t>
      </w:r>
    </w:p>
    <w:p w14:paraId="7C4BFA94">
      <w:pPr>
        <w:spacing w:line="276" w:lineRule="auto"/>
        <w:ind w:firstLine="480" w:firstLineChars="200"/>
        <w:rPr>
          <w:rFonts w:ascii="宋体" w:hAnsi="宋体"/>
          <w:lang w:eastAsia="zh-CN"/>
        </w:rPr>
      </w:pPr>
      <w:r>
        <w:rPr>
          <w:rFonts w:hint="eastAsia" w:ascii="宋体" w:hAnsi="宋体"/>
          <w:lang w:eastAsia="zh-CN"/>
        </w:rPr>
        <w:t>(4）我方承诺在合同约定的期限内完成并移交全部合同内容。</w:t>
      </w:r>
    </w:p>
    <w:p w14:paraId="19E59182">
      <w:pPr>
        <w:spacing w:line="276" w:lineRule="auto"/>
        <w:ind w:firstLine="480" w:firstLineChars="200"/>
        <w:rPr>
          <w:rFonts w:ascii="宋体" w:hAnsi="宋体"/>
          <w:lang w:eastAsia="zh-CN"/>
        </w:rPr>
      </w:pPr>
      <w:r>
        <w:rPr>
          <w:rFonts w:ascii="宋体" w:hAnsi="宋体"/>
          <w:lang w:eastAsia="zh-CN"/>
        </w:rPr>
        <w:t>3</w:t>
      </w:r>
      <w:r>
        <w:rPr>
          <w:rFonts w:hint="eastAsia" w:ascii="宋体" w:hAnsi="宋体"/>
          <w:lang w:eastAsia="zh-CN"/>
        </w:rPr>
        <w:t>．我方在此声明，所递交的响应文件及有关资料内容完整、真实和准确，不存在虚假（或隐瞒）。</w:t>
      </w:r>
    </w:p>
    <w:p w14:paraId="14C5B556">
      <w:pPr>
        <w:spacing w:line="276" w:lineRule="auto"/>
        <w:ind w:firstLine="480" w:firstLineChars="200"/>
        <w:rPr>
          <w:rFonts w:ascii="宋体" w:hAnsi="宋体"/>
          <w:lang w:eastAsia="zh-CN"/>
        </w:rPr>
      </w:pPr>
      <w:r>
        <w:rPr>
          <w:rFonts w:ascii="宋体" w:hAnsi="宋体"/>
          <w:lang w:eastAsia="zh-CN"/>
        </w:rPr>
        <w:t>4</w:t>
      </w:r>
      <w:r>
        <w:rPr>
          <w:rFonts w:hint="eastAsia" w:ascii="宋体" w:hAnsi="宋体"/>
          <w:lang w:eastAsia="zh-CN"/>
        </w:rPr>
        <w:t>. 我方承诺：</w:t>
      </w:r>
    </w:p>
    <w:p w14:paraId="4E8236AC">
      <w:pPr>
        <w:spacing w:line="276" w:lineRule="auto"/>
        <w:ind w:firstLine="480" w:firstLineChars="200"/>
        <w:rPr>
          <w:rFonts w:ascii="宋体" w:hAnsi="宋体"/>
          <w:lang w:eastAsia="zh-CN"/>
        </w:rPr>
      </w:pPr>
      <w:r>
        <w:rPr>
          <w:rFonts w:hint="eastAsia" w:ascii="宋体" w:hAnsi="宋体"/>
          <w:lang w:eastAsia="zh-CN"/>
        </w:rPr>
        <w:t>（1）具有独立承担民事责任的能力；</w:t>
      </w:r>
    </w:p>
    <w:p w14:paraId="74388B91">
      <w:pPr>
        <w:spacing w:line="276" w:lineRule="auto"/>
        <w:ind w:firstLine="480" w:firstLineChars="200"/>
        <w:rPr>
          <w:rFonts w:ascii="宋体" w:hAnsi="宋体"/>
          <w:lang w:eastAsia="zh-CN"/>
        </w:rPr>
      </w:pPr>
      <w:r>
        <w:rPr>
          <w:rFonts w:hint="eastAsia" w:ascii="宋体" w:hAnsi="宋体"/>
          <w:lang w:eastAsia="zh-CN"/>
        </w:rPr>
        <w:t>（2）具有良好的商业信誉和健全的财务会计制度；</w:t>
      </w:r>
    </w:p>
    <w:p w14:paraId="245440FF">
      <w:pPr>
        <w:spacing w:line="276" w:lineRule="auto"/>
        <w:ind w:firstLine="480" w:firstLineChars="200"/>
        <w:rPr>
          <w:rFonts w:ascii="宋体" w:hAnsi="宋体"/>
          <w:lang w:eastAsia="zh-CN"/>
        </w:rPr>
      </w:pPr>
      <w:r>
        <w:rPr>
          <w:rFonts w:hint="eastAsia" w:ascii="宋体" w:hAnsi="宋体"/>
          <w:lang w:eastAsia="zh-CN"/>
        </w:rPr>
        <w:t>（3）具有履行合同所必须的设备和专业技术能力；</w:t>
      </w:r>
    </w:p>
    <w:p w14:paraId="6EC28447">
      <w:pPr>
        <w:spacing w:line="276" w:lineRule="auto"/>
        <w:ind w:firstLine="480" w:firstLineChars="200"/>
        <w:rPr>
          <w:rFonts w:ascii="宋体" w:hAnsi="宋体"/>
          <w:lang w:eastAsia="zh-CN"/>
        </w:rPr>
      </w:pPr>
      <w:r>
        <w:rPr>
          <w:rFonts w:hint="eastAsia" w:ascii="宋体" w:hAnsi="宋体"/>
          <w:lang w:eastAsia="zh-CN"/>
        </w:rPr>
        <w:t>（4）具有依法缴纳税收和社会保障资金的良好记录；</w:t>
      </w:r>
    </w:p>
    <w:p w14:paraId="27A1F74D">
      <w:pPr>
        <w:spacing w:line="276" w:lineRule="auto"/>
        <w:ind w:firstLine="480" w:firstLineChars="200"/>
        <w:rPr>
          <w:rFonts w:ascii="宋体" w:hAnsi="宋体"/>
          <w:lang w:eastAsia="zh-CN"/>
        </w:rPr>
      </w:pPr>
      <w:r>
        <w:rPr>
          <w:rFonts w:hint="eastAsia" w:ascii="宋体" w:hAnsi="宋体"/>
          <w:lang w:eastAsia="zh-CN"/>
        </w:rPr>
        <w:t>（5）参加本次采购活动前三年内，在经营活动中没有重大违法记录；</w:t>
      </w:r>
    </w:p>
    <w:p w14:paraId="6DEF6990">
      <w:pPr>
        <w:spacing w:line="276" w:lineRule="auto"/>
        <w:ind w:firstLine="480" w:firstLineChars="200"/>
        <w:rPr>
          <w:rFonts w:ascii="宋体" w:hAnsi="宋体"/>
          <w:lang w:eastAsia="zh-CN"/>
        </w:rPr>
      </w:pPr>
      <w:r>
        <w:rPr>
          <w:rFonts w:hint="eastAsia" w:ascii="宋体" w:hAnsi="宋体"/>
          <w:lang w:eastAsia="zh-CN"/>
        </w:rPr>
        <w:t>（6）满足法律、行政法规规定的其他条件。</w:t>
      </w:r>
    </w:p>
    <w:p w14:paraId="15F7A297">
      <w:pPr>
        <w:spacing w:line="276" w:lineRule="auto"/>
        <w:ind w:firstLine="480" w:firstLineChars="200"/>
        <w:rPr>
          <w:rFonts w:ascii="宋体" w:hAnsi="宋体"/>
          <w:lang w:eastAsia="zh-CN"/>
        </w:rPr>
      </w:pPr>
      <w:r>
        <w:rPr>
          <w:rFonts w:ascii="宋体" w:hAnsi="宋体"/>
          <w:lang w:eastAsia="zh-CN"/>
        </w:rPr>
        <w:t>5</w:t>
      </w:r>
      <w:r>
        <w:rPr>
          <w:rFonts w:hint="eastAsia" w:ascii="宋体" w:hAnsi="宋体"/>
          <w:lang w:eastAsia="zh-CN"/>
        </w:rPr>
        <w:t>.（其他补充说明）。</w:t>
      </w:r>
    </w:p>
    <w:p w14:paraId="66F8C626">
      <w:pPr>
        <w:rPr>
          <w:rFonts w:ascii="宋体" w:hAnsi="宋体"/>
          <w:lang w:eastAsia="zh-CN"/>
        </w:rPr>
      </w:pPr>
    </w:p>
    <w:p w14:paraId="75D4218D">
      <w:pPr>
        <w:spacing w:line="360" w:lineRule="auto"/>
        <w:ind w:firstLine="480" w:firstLineChars="200"/>
        <w:textAlignment w:val="baseline"/>
        <w:rPr>
          <w:rFonts w:ascii="宋体" w:hAnsi="宋体"/>
          <w:bCs/>
          <w:lang w:eastAsia="zh-CN"/>
        </w:rPr>
      </w:pPr>
      <w:r>
        <w:rPr>
          <w:rFonts w:hint="eastAsia" w:ascii="宋体" w:hAnsi="宋体"/>
          <w:bCs/>
          <w:lang w:eastAsia="zh-CN"/>
        </w:rPr>
        <w:t>响应人：（盖章）</w:t>
      </w:r>
    </w:p>
    <w:p w14:paraId="6789C33D">
      <w:pPr>
        <w:spacing w:line="360" w:lineRule="auto"/>
        <w:ind w:firstLine="480" w:firstLineChars="200"/>
        <w:textAlignment w:val="baseline"/>
        <w:rPr>
          <w:rFonts w:ascii="宋体" w:hAnsi="宋体"/>
          <w:bCs/>
          <w:lang w:eastAsia="zh-CN"/>
        </w:rPr>
      </w:pPr>
      <w:r>
        <w:rPr>
          <w:rFonts w:hint="eastAsia" w:ascii="宋体" w:hAnsi="宋体"/>
          <w:bCs/>
          <w:lang w:eastAsia="zh-CN"/>
        </w:rPr>
        <w:t>法定代表人或委托代理人：（签字）</w:t>
      </w:r>
    </w:p>
    <w:p w14:paraId="218F8ED8">
      <w:pPr>
        <w:spacing w:line="360" w:lineRule="auto"/>
        <w:ind w:firstLine="480" w:firstLineChars="200"/>
        <w:textAlignment w:val="baseline"/>
        <w:rPr>
          <w:rFonts w:ascii="宋体" w:hAnsi="宋体"/>
          <w:bCs/>
          <w:lang w:eastAsia="zh-CN"/>
        </w:rPr>
      </w:pPr>
      <w:r>
        <w:rPr>
          <w:rFonts w:hint="eastAsia" w:ascii="宋体" w:hAnsi="宋体"/>
          <w:bCs/>
          <w:lang w:eastAsia="zh-CN"/>
        </w:rPr>
        <w:t>日 期：</w:t>
      </w:r>
      <w:r>
        <w:rPr>
          <w:rFonts w:hint="eastAsia" w:ascii="宋体" w:hAnsi="宋体"/>
          <w:bCs/>
          <w:lang w:val="en-US" w:eastAsia="zh-CN"/>
        </w:rPr>
        <w:t xml:space="preserve">      </w:t>
      </w:r>
      <w:r>
        <w:rPr>
          <w:rFonts w:hint="eastAsia" w:ascii="宋体" w:hAnsi="宋体"/>
          <w:bCs/>
          <w:lang w:eastAsia="zh-CN"/>
        </w:rPr>
        <w:t>年</w:t>
      </w:r>
      <w:r>
        <w:rPr>
          <w:rFonts w:hint="eastAsia" w:ascii="宋体" w:hAnsi="宋体"/>
          <w:bCs/>
          <w:lang w:val="en-US" w:eastAsia="zh-CN"/>
        </w:rPr>
        <w:t xml:space="preserve">    </w:t>
      </w:r>
      <w:r>
        <w:rPr>
          <w:rFonts w:hint="eastAsia" w:ascii="宋体" w:hAnsi="宋体"/>
          <w:bCs/>
          <w:lang w:eastAsia="zh-CN"/>
        </w:rPr>
        <w:t>月</w:t>
      </w:r>
      <w:r>
        <w:rPr>
          <w:rFonts w:hint="eastAsia" w:ascii="宋体" w:hAnsi="宋体"/>
          <w:bCs/>
          <w:lang w:val="en-US" w:eastAsia="zh-CN"/>
        </w:rPr>
        <w:t xml:space="preserve">    </w:t>
      </w:r>
      <w:r>
        <w:rPr>
          <w:rFonts w:hint="eastAsia" w:ascii="宋体" w:hAnsi="宋体"/>
          <w:bCs/>
          <w:lang w:eastAsia="zh-CN"/>
        </w:rPr>
        <w:t>日</w:t>
      </w:r>
    </w:p>
    <w:p w14:paraId="2AB05490">
      <w:pPr>
        <w:spacing w:line="360" w:lineRule="auto"/>
        <w:ind w:firstLine="480" w:firstLineChars="200"/>
        <w:textAlignment w:val="baseline"/>
        <w:rPr>
          <w:rFonts w:ascii="宋体" w:hAnsi="宋体"/>
          <w:bCs/>
          <w:u w:val="single"/>
          <w:lang w:eastAsia="zh-CN"/>
        </w:rPr>
      </w:pPr>
      <w:r>
        <w:rPr>
          <w:rFonts w:hint="eastAsia" w:ascii="宋体" w:hAnsi="宋体"/>
          <w:bCs/>
          <w:lang w:eastAsia="zh-CN"/>
        </w:rPr>
        <w:t>地 址：</w:t>
      </w:r>
    </w:p>
    <w:p w14:paraId="0DBD7B3D">
      <w:pPr>
        <w:spacing w:line="360" w:lineRule="auto"/>
        <w:ind w:firstLine="480" w:firstLineChars="200"/>
        <w:textAlignment w:val="baseline"/>
        <w:rPr>
          <w:rFonts w:ascii="宋体" w:hAnsi="宋体"/>
          <w:bCs/>
          <w:u w:val="single"/>
          <w:lang w:eastAsia="zh-CN"/>
        </w:rPr>
      </w:pPr>
      <w:r>
        <w:rPr>
          <w:rFonts w:hint="eastAsia" w:ascii="宋体" w:hAnsi="宋体"/>
          <w:bCs/>
          <w:lang w:eastAsia="zh-CN"/>
        </w:rPr>
        <w:t>电</w:t>
      </w:r>
      <w:r>
        <w:rPr>
          <w:rFonts w:hint="eastAsia" w:ascii="宋体" w:hAnsi="宋体"/>
          <w:bCs/>
          <w:lang w:val="en-US" w:eastAsia="zh-CN"/>
        </w:rPr>
        <w:t xml:space="preserve"> </w:t>
      </w:r>
      <w:r>
        <w:rPr>
          <w:rFonts w:hint="eastAsia" w:ascii="宋体" w:hAnsi="宋体"/>
          <w:bCs/>
          <w:lang w:eastAsia="zh-CN"/>
        </w:rPr>
        <w:t>话：</w:t>
      </w:r>
    </w:p>
    <w:p w14:paraId="771B8232">
      <w:pPr>
        <w:spacing w:line="360" w:lineRule="auto"/>
        <w:ind w:firstLine="562" w:firstLineChars="200"/>
        <w:textAlignment w:val="baseline"/>
        <w:rPr>
          <w:rFonts w:ascii="宋体" w:hAnsi="宋体"/>
          <w:b/>
          <w:sz w:val="28"/>
          <w:szCs w:val="28"/>
          <w:lang w:eastAsia="zh-CN"/>
        </w:rPr>
        <w:sectPr>
          <w:pgSz w:w="11906" w:h="16838"/>
          <w:pgMar w:top="1361" w:right="1588" w:bottom="1134" w:left="1588" w:header="794" w:footer="851" w:gutter="0"/>
          <w:cols w:space="720" w:num="1"/>
          <w:titlePg/>
          <w:docGrid w:linePitch="312" w:charSpace="0"/>
        </w:sectPr>
      </w:pPr>
    </w:p>
    <w:p w14:paraId="7C618C71">
      <w:pPr>
        <w:spacing w:line="360" w:lineRule="auto"/>
        <w:rPr>
          <w:rFonts w:ascii="宋体" w:hAnsi="宋体"/>
          <w:b/>
          <w:sz w:val="28"/>
          <w:szCs w:val="20"/>
          <w:lang w:eastAsia="zh-CN"/>
        </w:rPr>
      </w:pPr>
      <w:r>
        <w:rPr>
          <w:rFonts w:hint="eastAsia" w:ascii="宋体" w:hAnsi="宋体"/>
          <w:b/>
          <w:sz w:val="28"/>
          <w:szCs w:val="20"/>
          <w:lang w:eastAsia="zh-CN"/>
        </w:rPr>
        <w:t>附件</w:t>
      </w:r>
      <w:r>
        <w:rPr>
          <w:rFonts w:ascii="宋体" w:hAnsi="宋体"/>
          <w:b/>
          <w:sz w:val="28"/>
          <w:szCs w:val="20"/>
          <w:lang w:eastAsia="zh-CN"/>
        </w:rPr>
        <w:t>1</w:t>
      </w:r>
    </w:p>
    <w:p w14:paraId="299C13B2">
      <w:pPr>
        <w:spacing w:line="360" w:lineRule="auto"/>
        <w:jc w:val="center"/>
        <w:rPr>
          <w:rFonts w:ascii="宋体" w:hAnsi="宋体"/>
          <w:b/>
          <w:sz w:val="36"/>
          <w:szCs w:val="28"/>
          <w:lang w:eastAsia="zh-CN"/>
        </w:rPr>
      </w:pPr>
    </w:p>
    <w:p w14:paraId="09727A64">
      <w:pPr>
        <w:spacing w:line="360" w:lineRule="auto"/>
        <w:jc w:val="center"/>
        <w:rPr>
          <w:rFonts w:ascii="黑体" w:hAnsi="黑体" w:eastAsia="黑体"/>
          <w:b/>
          <w:sz w:val="40"/>
          <w:lang w:eastAsia="zh-CN"/>
        </w:rPr>
      </w:pPr>
      <w:r>
        <w:rPr>
          <w:rFonts w:ascii="黑体" w:hAnsi="黑体" w:eastAsia="黑体"/>
          <w:b/>
          <w:sz w:val="40"/>
          <w:lang w:eastAsia="zh-CN"/>
        </w:rPr>
        <w:t>法定代表人身份证明</w:t>
      </w:r>
    </w:p>
    <w:p w14:paraId="12CAC69B">
      <w:pPr>
        <w:spacing w:line="360" w:lineRule="auto"/>
        <w:ind w:firstLine="480" w:firstLineChars="200"/>
        <w:rPr>
          <w:rFonts w:ascii="宋体" w:hAnsi="宋体"/>
          <w:szCs w:val="21"/>
          <w:lang w:eastAsia="zh-CN"/>
        </w:rPr>
      </w:pPr>
    </w:p>
    <w:p w14:paraId="37D6940E">
      <w:pPr>
        <w:spacing w:line="360" w:lineRule="auto"/>
        <w:ind w:firstLine="480" w:firstLineChars="200"/>
        <w:rPr>
          <w:rFonts w:ascii="宋体" w:hAnsi="宋体"/>
          <w:lang w:eastAsia="zh-CN"/>
        </w:rPr>
      </w:pPr>
      <w:r>
        <w:rPr>
          <w:rFonts w:hint="eastAsia" w:ascii="宋体" w:hAnsi="宋体"/>
          <w:lang w:eastAsia="zh-CN"/>
        </w:rPr>
        <w:t>响应人</w:t>
      </w:r>
      <w:r>
        <w:rPr>
          <w:rFonts w:ascii="宋体" w:hAnsi="宋体"/>
          <w:lang w:eastAsia="zh-CN"/>
        </w:rPr>
        <w:t>名称：</w:t>
      </w:r>
    </w:p>
    <w:p w14:paraId="54DC0537">
      <w:pPr>
        <w:spacing w:line="360" w:lineRule="auto"/>
        <w:ind w:firstLine="480" w:firstLineChars="200"/>
        <w:rPr>
          <w:rFonts w:ascii="宋体" w:hAnsi="宋体"/>
          <w:lang w:eastAsia="zh-CN"/>
        </w:rPr>
      </w:pPr>
      <w:r>
        <w:rPr>
          <w:rFonts w:ascii="宋体" w:hAnsi="宋体"/>
          <w:lang w:eastAsia="zh-CN"/>
        </w:rPr>
        <w:t>单位性质：</w:t>
      </w:r>
    </w:p>
    <w:p w14:paraId="4183CF3D">
      <w:pPr>
        <w:spacing w:line="360" w:lineRule="auto"/>
        <w:ind w:firstLine="480" w:firstLineChars="200"/>
        <w:rPr>
          <w:rFonts w:hint="default" w:ascii="宋体" w:hAnsi="宋体"/>
          <w:lang w:val="en-US" w:eastAsia="zh-CN"/>
        </w:rPr>
      </w:pPr>
      <w:r>
        <w:rPr>
          <w:rFonts w:ascii="宋体" w:hAnsi="宋体"/>
          <w:lang w:eastAsia="zh-CN"/>
        </w:rPr>
        <w:t>地址：</w:t>
      </w:r>
      <w:r>
        <w:rPr>
          <w:rFonts w:hint="eastAsia" w:ascii="宋体" w:hAnsi="宋体"/>
          <w:lang w:val="en-US" w:eastAsia="zh-CN"/>
        </w:rPr>
        <w:t xml:space="preserve"> </w:t>
      </w:r>
    </w:p>
    <w:p w14:paraId="38832FD3">
      <w:pPr>
        <w:spacing w:line="360" w:lineRule="auto"/>
        <w:ind w:firstLine="480" w:firstLineChars="200"/>
        <w:rPr>
          <w:rFonts w:ascii="宋体" w:hAnsi="宋体"/>
          <w:lang w:eastAsia="zh-CN"/>
        </w:rPr>
      </w:pPr>
      <w:r>
        <w:rPr>
          <w:rFonts w:ascii="宋体" w:hAnsi="宋体"/>
          <w:lang w:eastAsia="zh-CN"/>
        </w:rPr>
        <w:t>成立时间：年</w:t>
      </w:r>
      <w:r>
        <w:rPr>
          <w:rFonts w:hint="eastAsia" w:ascii="宋体" w:hAnsi="宋体"/>
          <w:lang w:val="en-US" w:eastAsia="zh-CN"/>
        </w:rPr>
        <w:t xml:space="preserve">  </w:t>
      </w:r>
      <w:r>
        <w:rPr>
          <w:rFonts w:ascii="宋体" w:hAnsi="宋体"/>
          <w:lang w:eastAsia="zh-CN"/>
        </w:rPr>
        <w:t>月</w:t>
      </w:r>
      <w:r>
        <w:rPr>
          <w:rFonts w:hint="eastAsia" w:ascii="宋体" w:hAnsi="宋体"/>
          <w:lang w:val="en-US" w:eastAsia="zh-CN"/>
        </w:rPr>
        <w:t xml:space="preserve"> </w:t>
      </w:r>
      <w:r>
        <w:rPr>
          <w:rFonts w:ascii="宋体" w:hAnsi="宋体"/>
          <w:lang w:eastAsia="zh-CN"/>
        </w:rPr>
        <w:t>日</w:t>
      </w:r>
    </w:p>
    <w:p w14:paraId="773AE3DB">
      <w:pPr>
        <w:spacing w:line="360" w:lineRule="auto"/>
        <w:ind w:firstLine="480" w:firstLineChars="200"/>
        <w:rPr>
          <w:rFonts w:ascii="宋体" w:hAnsi="宋体"/>
          <w:lang w:eastAsia="zh-CN"/>
        </w:rPr>
      </w:pPr>
      <w:r>
        <w:rPr>
          <w:rFonts w:ascii="宋体" w:hAnsi="宋体"/>
          <w:lang w:eastAsia="zh-CN"/>
        </w:rPr>
        <w:t>经营期限：</w:t>
      </w:r>
    </w:p>
    <w:p w14:paraId="625511AC">
      <w:pPr>
        <w:spacing w:line="360" w:lineRule="auto"/>
        <w:ind w:firstLine="480" w:firstLineChars="200"/>
        <w:rPr>
          <w:rFonts w:ascii="宋体" w:hAnsi="宋体"/>
          <w:lang w:eastAsia="zh-CN"/>
        </w:rPr>
      </w:pPr>
      <w:r>
        <w:rPr>
          <w:rFonts w:ascii="宋体" w:hAnsi="宋体"/>
          <w:lang w:eastAsia="zh-CN"/>
        </w:rPr>
        <w:t>姓名：</w:t>
      </w:r>
      <w:r>
        <w:rPr>
          <w:rFonts w:hint="eastAsia" w:ascii="宋体" w:hAnsi="宋体"/>
          <w:lang w:val="en-US" w:eastAsia="zh-CN"/>
        </w:rPr>
        <w:t xml:space="preserve"> </w:t>
      </w:r>
      <w:r>
        <w:rPr>
          <w:rFonts w:ascii="宋体" w:hAnsi="宋体"/>
          <w:lang w:eastAsia="zh-CN"/>
        </w:rPr>
        <w:t>性别：</w:t>
      </w:r>
      <w:r>
        <w:rPr>
          <w:rFonts w:hint="eastAsia" w:ascii="宋体" w:hAnsi="宋体"/>
          <w:lang w:val="en-US" w:eastAsia="zh-CN"/>
        </w:rPr>
        <w:t xml:space="preserve"> </w:t>
      </w:r>
      <w:r>
        <w:rPr>
          <w:rFonts w:ascii="宋体" w:hAnsi="宋体"/>
          <w:lang w:eastAsia="zh-CN"/>
        </w:rPr>
        <w:t>年龄：</w:t>
      </w:r>
      <w:r>
        <w:rPr>
          <w:rFonts w:hint="eastAsia" w:ascii="宋体" w:hAnsi="宋体"/>
          <w:lang w:val="en-US" w:eastAsia="zh-CN"/>
        </w:rPr>
        <w:t xml:space="preserve">  </w:t>
      </w:r>
      <w:r>
        <w:rPr>
          <w:rFonts w:ascii="宋体" w:hAnsi="宋体"/>
          <w:lang w:eastAsia="zh-CN"/>
        </w:rPr>
        <w:t>职务：</w:t>
      </w:r>
    </w:p>
    <w:p w14:paraId="12AB6FB9">
      <w:pPr>
        <w:spacing w:line="360" w:lineRule="auto"/>
        <w:ind w:firstLine="480" w:firstLineChars="200"/>
        <w:rPr>
          <w:rFonts w:ascii="宋体" w:hAnsi="宋体"/>
          <w:lang w:eastAsia="zh-CN"/>
        </w:rPr>
      </w:pPr>
      <w:r>
        <w:rPr>
          <w:rFonts w:ascii="宋体" w:hAnsi="宋体"/>
          <w:lang w:eastAsia="zh-CN"/>
        </w:rPr>
        <w:t>系（</w:t>
      </w:r>
      <w:r>
        <w:rPr>
          <w:rFonts w:hint="eastAsia" w:ascii="宋体" w:hAnsi="宋体"/>
          <w:lang w:eastAsia="zh-CN"/>
        </w:rPr>
        <w:t>响应人</w:t>
      </w:r>
      <w:r>
        <w:rPr>
          <w:rFonts w:ascii="宋体" w:hAnsi="宋体"/>
          <w:lang w:eastAsia="zh-CN"/>
        </w:rPr>
        <w:t>名称）的法定代表人。</w:t>
      </w:r>
    </w:p>
    <w:p w14:paraId="4C3C9A5F">
      <w:pPr>
        <w:spacing w:line="360" w:lineRule="auto"/>
        <w:ind w:firstLine="960" w:firstLineChars="400"/>
        <w:rPr>
          <w:rFonts w:ascii="宋体" w:hAnsi="宋体"/>
          <w:lang w:eastAsia="zh-CN"/>
        </w:rPr>
      </w:pPr>
      <w:r>
        <w:rPr>
          <w:rFonts w:ascii="宋体" w:hAnsi="宋体"/>
          <w:lang w:eastAsia="zh-CN"/>
        </w:rPr>
        <w:t>特此证明。</w:t>
      </w:r>
    </w:p>
    <w:p w14:paraId="6E311950">
      <w:pPr>
        <w:spacing w:line="360" w:lineRule="auto"/>
        <w:ind w:firstLine="480" w:firstLineChars="200"/>
        <w:rPr>
          <w:rFonts w:ascii="宋体" w:hAnsi="宋体"/>
          <w:lang w:eastAsia="zh-CN"/>
        </w:rPr>
      </w:pPr>
    </w:p>
    <w:p w14:paraId="17B2543D">
      <w:pPr>
        <w:spacing w:line="360" w:lineRule="auto"/>
        <w:ind w:firstLine="482" w:firstLineChars="200"/>
        <w:rPr>
          <w:rFonts w:ascii="宋体" w:hAnsi="宋体"/>
          <w:b/>
          <w:bCs/>
          <w:lang w:eastAsia="zh-CN"/>
        </w:rPr>
      </w:pPr>
      <w:r>
        <w:rPr>
          <w:rFonts w:hint="eastAsia" w:ascii="宋体" w:hAnsi="宋体"/>
          <w:b/>
          <w:bCs/>
          <w:lang w:eastAsia="zh-CN"/>
        </w:rPr>
        <w:t>附：法定代表人身份证复印件</w:t>
      </w:r>
    </w:p>
    <w:p w14:paraId="0A4F69C9">
      <w:pPr>
        <w:spacing w:line="360" w:lineRule="auto"/>
        <w:rPr>
          <w:rFonts w:ascii="宋体" w:hAnsi="宋体"/>
          <w:lang w:eastAsia="zh-CN"/>
        </w:rPr>
      </w:pPr>
    </w:p>
    <w:p w14:paraId="34C0BE5B">
      <w:pPr>
        <w:pStyle w:val="36"/>
        <w:ind w:firstLine="0" w:firstLineChars="0"/>
        <w:rPr>
          <w:lang w:eastAsia="zh-CN"/>
        </w:rPr>
      </w:pPr>
    </w:p>
    <w:p w14:paraId="6EB83C49">
      <w:pPr>
        <w:pStyle w:val="36"/>
        <w:ind w:firstLine="0" w:firstLineChars="0"/>
        <w:rPr>
          <w:lang w:eastAsia="zh-CN"/>
        </w:rPr>
      </w:pPr>
    </w:p>
    <w:p w14:paraId="19967F09">
      <w:pPr>
        <w:pStyle w:val="36"/>
        <w:ind w:firstLine="0" w:firstLineChars="0"/>
        <w:rPr>
          <w:lang w:eastAsia="zh-CN"/>
        </w:rPr>
      </w:pPr>
    </w:p>
    <w:p w14:paraId="0DB2B724">
      <w:pPr>
        <w:pStyle w:val="36"/>
        <w:ind w:firstLine="0" w:firstLineChars="0"/>
        <w:rPr>
          <w:lang w:eastAsia="zh-CN"/>
        </w:rPr>
      </w:pPr>
    </w:p>
    <w:p w14:paraId="6C65278E">
      <w:pPr>
        <w:pStyle w:val="36"/>
        <w:ind w:firstLine="0" w:firstLineChars="0"/>
        <w:rPr>
          <w:lang w:eastAsia="zh-CN"/>
        </w:rPr>
      </w:pPr>
    </w:p>
    <w:p w14:paraId="443D8B1F">
      <w:pPr>
        <w:pStyle w:val="36"/>
        <w:ind w:firstLine="0" w:firstLineChars="0"/>
        <w:rPr>
          <w:lang w:eastAsia="zh-CN"/>
        </w:rPr>
      </w:pPr>
    </w:p>
    <w:p w14:paraId="55858D3F">
      <w:pPr>
        <w:spacing w:line="360" w:lineRule="auto"/>
        <w:rPr>
          <w:rFonts w:ascii="宋体" w:hAnsi="宋体"/>
          <w:lang w:eastAsia="zh-CN"/>
        </w:rPr>
      </w:pPr>
    </w:p>
    <w:p w14:paraId="61052884">
      <w:pPr>
        <w:spacing w:line="360" w:lineRule="auto"/>
        <w:rPr>
          <w:rFonts w:ascii="宋体" w:hAnsi="宋体"/>
          <w:lang w:eastAsia="zh-CN"/>
        </w:rPr>
      </w:pPr>
    </w:p>
    <w:p w14:paraId="573D5316">
      <w:pPr>
        <w:spacing w:line="360" w:lineRule="auto"/>
        <w:ind w:firstLine="3542" w:firstLineChars="1476"/>
        <w:rPr>
          <w:rFonts w:ascii="宋体" w:hAnsi="宋体"/>
          <w:lang w:eastAsia="zh-CN"/>
        </w:rPr>
      </w:pPr>
      <w:r>
        <w:rPr>
          <w:rFonts w:hint="eastAsia" w:ascii="宋体" w:hAnsi="宋体"/>
          <w:lang w:eastAsia="zh-CN"/>
        </w:rPr>
        <w:t>响应人：</w:t>
      </w:r>
      <w:r>
        <w:rPr>
          <w:rFonts w:hint="eastAsia" w:ascii="宋体" w:hAnsi="宋体"/>
          <w:u w:val="single"/>
          <w:lang w:eastAsia="zh-CN"/>
        </w:rPr>
        <w:t xml:space="preserve">（全称、加盖公章） </w:t>
      </w:r>
    </w:p>
    <w:p w14:paraId="7AEE4DC6">
      <w:pPr>
        <w:spacing w:line="360" w:lineRule="auto"/>
        <w:ind w:right="-30" w:firstLine="3542" w:firstLineChars="1476"/>
        <w:rPr>
          <w:rFonts w:ascii="宋体" w:hAnsi="宋体"/>
          <w:u w:val="single"/>
          <w:lang w:eastAsia="zh-CN"/>
        </w:rPr>
      </w:pPr>
    </w:p>
    <w:p w14:paraId="7C3C0D53">
      <w:pPr>
        <w:spacing w:line="360" w:lineRule="auto"/>
        <w:ind w:right="-30" w:firstLine="3542" w:firstLineChars="1476"/>
        <w:rPr>
          <w:rFonts w:ascii="宋体" w:hAnsi="宋体"/>
          <w:lang w:eastAsia="zh-CN"/>
        </w:rPr>
      </w:pPr>
      <w:r>
        <w:rPr>
          <w:rFonts w:hint="eastAsia" w:ascii="宋体" w:hAnsi="宋体"/>
          <w:lang w:eastAsia="zh-CN"/>
        </w:rPr>
        <w:t>日 期：</w:t>
      </w:r>
      <w:r>
        <w:rPr>
          <w:rFonts w:hint="eastAsia" w:ascii="宋体" w:hAnsi="宋体"/>
          <w:lang w:val="en-US" w:eastAsia="zh-CN"/>
        </w:rPr>
        <w:t xml:space="preserve">     </w:t>
      </w:r>
      <w:r>
        <w:rPr>
          <w:rFonts w:hint="eastAsia" w:ascii="宋体" w:hAnsi="宋体"/>
          <w:lang w:eastAsia="zh-CN"/>
        </w:rPr>
        <w:t>年</w:t>
      </w:r>
      <w:r>
        <w:rPr>
          <w:rFonts w:hint="eastAsia" w:ascii="宋体" w:hAnsi="宋体"/>
          <w:lang w:val="en-US" w:eastAsia="zh-CN"/>
        </w:rPr>
        <w:t xml:space="preserve">    </w:t>
      </w:r>
      <w:r>
        <w:rPr>
          <w:rFonts w:hint="eastAsia" w:ascii="宋体" w:hAnsi="宋体"/>
          <w:lang w:eastAsia="zh-CN"/>
        </w:rPr>
        <w:t>月</w:t>
      </w:r>
      <w:r>
        <w:rPr>
          <w:rFonts w:hint="eastAsia" w:ascii="宋体" w:hAnsi="宋体"/>
          <w:lang w:val="en-US" w:eastAsia="zh-CN"/>
        </w:rPr>
        <w:t xml:space="preserve">    </w:t>
      </w:r>
      <w:r>
        <w:rPr>
          <w:rFonts w:hint="eastAsia" w:ascii="宋体" w:hAnsi="宋体"/>
          <w:lang w:eastAsia="zh-CN"/>
        </w:rPr>
        <w:t>日</w:t>
      </w:r>
    </w:p>
    <w:p w14:paraId="52D27C4F">
      <w:pPr>
        <w:spacing w:line="360" w:lineRule="auto"/>
        <w:jc w:val="center"/>
        <w:rPr>
          <w:rFonts w:ascii="宋体" w:hAnsi="宋体"/>
          <w:b/>
          <w:lang w:eastAsia="zh-CN"/>
        </w:rPr>
      </w:pPr>
      <w:r>
        <w:rPr>
          <w:rFonts w:ascii="宋体" w:hAnsi="宋体"/>
          <w:b/>
          <w:lang w:eastAsia="zh-CN"/>
        </w:rPr>
        <w:br w:type="page"/>
      </w:r>
    </w:p>
    <w:p w14:paraId="67F99244">
      <w:pPr>
        <w:spacing w:line="360" w:lineRule="auto"/>
        <w:rPr>
          <w:rFonts w:ascii="宋体" w:hAnsi="宋体"/>
          <w:b/>
          <w:sz w:val="28"/>
          <w:szCs w:val="20"/>
          <w:lang w:eastAsia="zh-CN"/>
        </w:rPr>
      </w:pPr>
      <w:r>
        <w:rPr>
          <w:rFonts w:hint="eastAsia" w:ascii="宋体" w:hAnsi="宋体"/>
          <w:b/>
          <w:sz w:val="28"/>
          <w:szCs w:val="20"/>
          <w:lang w:eastAsia="zh-CN"/>
        </w:rPr>
        <w:t>附件</w:t>
      </w:r>
      <w:r>
        <w:rPr>
          <w:rFonts w:ascii="宋体" w:hAnsi="宋体"/>
          <w:b/>
          <w:sz w:val="28"/>
          <w:szCs w:val="20"/>
          <w:lang w:eastAsia="zh-CN"/>
        </w:rPr>
        <w:t>2</w:t>
      </w:r>
    </w:p>
    <w:p w14:paraId="75DEB562">
      <w:pPr>
        <w:spacing w:line="360" w:lineRule="auto"/>
        <w:jc w:val="center"/>
        <w:rPr>
          <w:rFonts w:ascii="黑体" w:hAnsi="黑体" w:eastAsia="黑体"/>
          <w:b/>
          <w:sz w:val="40"/>
          <w:lang w:eastAsia="zh-CN"/>
        </w:rPr>
      </w:pPr>
      <w:r>
        <w:rPr>
          <w:rFonts w:hint="eastAsia" w:ascii="黑体" w:hAnsi="黑体" w:eastAsia="黑体"/>
          <w:b/>
          <w:sz w:val="40"/>
          <w:lang w:eastAsia="zh-CN"/>
        </w:rPr>
        <w:t>法定代表人授权委托书</w:t>
      </w:r>
    </w:p>
    <w:p w14:paraId="649279AC">
      <w:pPr>
        <w:spacing w:line="360" w:lineRule="auto"/>
        <w:rPr>
          <w:rFonts w:ascii="宋体" w:hAnsi="宋体"/>
          <w:szCs w:val="21"/>
          <w:lang w:eastAsia="zh-CN"/>
        </w:rPr>
      </w:pPr>
    </w:p>
    <w:p w14:paraId="32E22FE7">
      <w:pPr>
        <w:spacing w:line="360" w:lineRule="auto"/>
        <w:ind w:firstLine="480" w:firstLineChars="200"/>
        <w:rPr>
          <w:rFonts w:ascii="宋体" w:hAnsi="宋体"/>
          <w:szCs w:val="21"/>
          <w:lang w:eastAsia="zh-CN"/>
        </w:rPr>
      </w:pPr>
      <w:r>
        <w:rPr>
          <w:rFonts w:hint="eastAsia" w:ascii="宋体" w:hAnsi="宋体"/>
          <w:szCs w:val="21"/>
          <w:lang w:eastAsia="zh-CN"/>
        </w:rPr>
        <w:t>委托单位名称：</w:t>
      </w:r>
    </w:p>
    <w:p w14:paraId="38CE6FA9">
      <w:pPr>
        <w:spacing w:line="360" w:lineRule="auto"/>
        <w:ind w:firstLine="480" w:firstLineChars="200"/>
        <w:rPr>
          <w:rFonts w:ascii="宋体" w:hAnsi="宋体"/>
          <w:szCs w:val="21"/>
          <w:u w:val="single"/>
          <w:lang w:eastAsia="zh-CN"/>
        </w:rPr>
      </w:pPr>
      <w:r>
        <w:rPr>
          <w:rFonts w:hint="eastAsia" w:ascii="宋体" w:hAnsi="宋体"/>
          <w:szCs w:val="21"/>
          <w:lang w:eastAsia="zh-CN"/>
        </w:rPr>
        <w:t>法定代表人：</w:t>
      </w:r>
      <w:r>
        <w:rPr>
          <w:rFonts w:hint="eastAsia" w:ascii="宋体" w:hAnsi="宋体"/>
          <w:b/>
          <w:bCs/>
          <w:color w:val="FF0000"/>
          <w:u w:val="single"/>
          <w:lang w:eastAsia="zh-CN"/>
        </w:rPr>
        <w:t xml:space="preserve">（签字或盖名章：） </w:t>
      </w:r>
    </w:p>
    <w:p w14:paraId="5BCB573E">
      <w:pPr>
        <w:spacing w:line="360" w:lineRule="auto"/>
        <w:ind w:firstLine="480" w:firstLineChars="200"/>
        <w:rPr>
          <w:rFonts w:ascii="宋体" w:hAnsi="宋体"/>
          <w:lang w:eastAsia="zh-CN"/>
        </w:rPr>
      </w:pPr>
      <w:r>
        <w:rPr>
          <w:rFonts w:hint="eastAsia" w:ascii="宋体" w:hAnsi="宋体"/>
          <w:szCs w:val="21"/>
          <w:lang w:eastAsia="zh-CN"/>
        </w:rPr>
        <w:t>身份证号码：</w:t>
      </w:r>
    </w:p>
    <w:p w14:paraId="164E870C">
      <w:pPr>
        <w:spacing w:line="360" w:lineRule="auto"/>
        <w:ind w:firstLine="480" w:firstLineChars="200"/>
        <w:rPr>
          <w:rFonts w:ascii="宋体" w:hAnsi="宋体"/>
          <w:szCs w:val="21"/>
          <w:u w:val="single"/>
          <w:lang w:eastAsia="zh-CN"/>
        </w:rPr>
      </w:pPr>
      <w:r>
        <w:rPr>
          <w:rFonts w:hint="eastAsia" w:ascii="宋体" w:hAnsi="宋体"/>
          <w:szCs w:val="21"/>
          <w:lang w:eastAsia="zh-CN"/>
        </w:rPr>
        <w:t xml:space="preserve">受委托人： </w:t>
      </w:r>
      <w:r>
        <w:rPr>
          <w:rFonts w:hint="eastAsia" w:ascii="宋体" w:hAnsi="宋体"/>
          <w:b/>
          <w:bCs/>
          <w:color w:val="FF0000"/>
          <w:u w:val="single"/>
          <w:lang w:eastAsia="zh-CN"/>
        </w:rPr>
        <w:t xml:space="preserve">（签字或盖名章：） </w:t>
      </w:r>
    </w:p>
    <w:p w14:paraId="0A764EF8">
      <w:pPr>
        <w:spacing w:line="360" w:lineRule="auto"/>
        <w:ind w:firstLine="480" w:firstLineChars="200"/>
        <w:rPr>
          <w:rFonts w:ascii="宋体" w:hAnsi="宋体"/>
          <w:lang w:eastAsia="zh-CN"/>
        </w:rPr>
      </w:pPr>
      <w:r>
        <w:rPr>
          <w:rFonts w:hint="eastAsia" w:ascii="宋体" w:hAnsi="宋体"/>
          <w:szCs w:val="21"/>
          <w:lang w:eastAsia="zh-CN"/>
        </w:rPr>
        <w:t>身份证号码：</w:t>
      </w:r>
    </w:p>
    <w:p w14:paraId="132D3A11">
      <w:pPr>
        <w:spacing w:line="360" w:lineRule="auto"/>
        <w:ind w:firstLine="480" w:firstLineChars="200"/>
        <w:rPr>
          <w:rFonts w:ascii="宋体" w:hAnsi="宋体"/>
          <w:lang w:eastAsia="zh-CN"/>
        </w:rPr>
      </w:pPr>
      <w:r>
        <w:rPr>
          <w:rFonts w:hint="eastAsia" w:ascii="宋体" w:hAnsi="宋体"/>
          <w:szCs w:val="21"/>
          <w:lang w:eastAsia="zh-CN"/>
        </w:rPr>
        <w:t xml:space="preserve">工作单位： </w:t>
      </w:r>
    </w:p>
    <w:p w14:paraId="19FF2124">
      <w:pPr>
        <w:spacing w:line="360" w:lineRule="auto"/>
        <w:ind w:firstLine="480" w:firstLineChars="200"/>
        <w:rPr>
          <w:rFonts w:ascii="宋体" w:hAnsi="宋体"/>
          <w:szCs w:val="21"/>
          <w:u w:val="single"/>
          <w:lang w:eastAsia="zh-CN"/>
        </w:rPr>
      </w:pPr>
      <w:r>
        <w:rPr>
          <w:rFonts w:hint="eastAsia" w:ascii="宋体" w:hAnsi="宋体"/>
          <w:szCs w:val="21"/>
          <w:lang w:eastAsia="zh-CN"/>
        </w:rPr>
        <w:t>联系方式：</w:t>
      </w:r>
      <w:r>
        <w:rPr>
          <w:rFonts w:hint="eastAsia" w:ascii="宋体" w:hAnsi="宋体"/>
          <w:szCs w:val="21"/>
          <w:lang w:val="en-US" w:eastAsia="zh-CN"/>
        </w:rPr>
        <w:t xml:space="preserve">    </w:t>
      </w:r>
      <w:r>
        <w:rPr>
          <w:rFonts w:hint="eastAsia" w:ascii="宋体" w:hAnsi="宋体"/>
          <w:szCs w:val="21"/>
          <w:lang w:eastAsia="zh-CN"/>
        </w:rPr>
        <w:t xml:space="preserve"> </w:t>
      </w:r>
    </w:p>
    <w:p w14:paraId="6B8C8B1D">
      <w:pPr>
        <w:spacing w:line="360" w:lineRule="auto"/>
        <w:ind w:firstLine="480" w:firstLineChars="200"/>
        <w:rPr>
          <w:rFonts w:ascii="宋体" w:hAnsi="宋体"/>
          <w:szCs w:val="21"/>
          <w:lang w:eastAsia="zh-CN"/>
        </w:rPr>
      </w:pPr>
    </w:p>
    <w:p w14:paraId="3DF7F36E">
      <w:pPr>
        <w:spacing w:line="360" w:lineRule="auto"/>
        <w:ind w:firstLine="480" w:firstLineChars="200"/>
        <w:rPr>
          <w:rFonts w:ascii="宋体" w:hAnsi="宋体"/>
          <w:szCs w:val="21"/>
          <w:lang w:eastAsia="zh-CN"/>
        </w:rPr>
      </w:pPr>
      <w:r>
        <w:rPr>
          <w:rFonts w:hint="eastAsia" w:ascii="宋体" w:hAnsi="宋体"/>
          <w:szCs w:val="21"/>
          <w:lang w:eastAsia="zh-CN"/>
        </w:rPr>
        <w:t>本授权书声明</w:t>
      </w:r>
      <w:r>
        <w:rPr>
          <w:rFonts w:hint="eastAsia" w:ascii="宋体" w:hAnsi="宋体"/>
          <w:lang w:eastAsia="zh-CN"/>
        </w:rPr>
        <w:t>：注册于（注册地点）的（供应商名称）的（</w:t>
      </w:r>
      <w:r>
        <w:rPr>
          <w:rFonts w:hint="eastAsia" w:ascii="宋体" w:hAnsi="宋体"/>
          <w:u w:val="single"/>
          <w:lang w:eastAsia="zh-CN"/>
        </w:rPr>
        <w:t>法定代表人姓名</w:t>
      </w:r>
      <w:r>
        <w:rPr>
          <w:rFonts w:hint="eastAsia" w:ascii="宋体" w:hAnsi="宋体"/>
          <w:lang w:eastAsia="zh-CN"/>
        </w:rPr>
        <w:t>）代表本公司授权</w:t>
      </w:r>
      <w:r>
        <w:rPr>
          <w:rFonts w:hint="eastAsia" w:ascii="宋体" w:hAnsi="宋体"/>
          <w:u w:val="single"/>
          <w:lang w:eastAsia="zh-CN"/>
        </w:rPr>
        <w:t>（供应商名称）</w:t>
      </w:r>
      <w:r>
        <w:rPr>
          <w:rFonts w:hint="eastAsia" w:ascii="宋体" w:hAnsi="宋体"/>
          <w:lang w:eastAsia="zh-CN"/>
        </w:rPr>
        <w:t>的</w:t>
      </w:r>
      <w:r>
        <w:rPr>
          <w:rFonts w:hint="eastAsia" w:ascii="宋体" w:hAnsi="宋体"/>
          <w:u w:val="single"/>
          <w:lang w:eastAsia="zh-CN"/>
        </w:rPr>
        <w:t>（被授权人的职务与姓名）</w:t>
      </w:r>
      <w:r>
        <w:rPr>
          <w:rFonts w:hint="eastAsia" w:ascii="宋体" w:hAnsi="宋体"/>
          <w:lang w:eastAsia="zh-CN"/>
        </w:rPr>
        <w:t>为本公司的合法代理人。现就</w:t>
      </w:r>
      <w:r>
        <w:rPr>
          <w:rFonts w:hint="eastAsia" w:ascii="宋体" w:hAnsi="宋体" w:cs="宋体"/>
          <w:bCs/>
          <w:szCs w:val="22"/>
          <w:u w:val="single"/>
          <w:lang w:eastAsia="zh-CN"/>
        </w:rPr>
        <w:t>中粮米业（</w:t>
      </w:r>
      <w:r>
        <w:rPr>
          <w:rFonts w:hint="eastAsia" w:ascii="宋体" w:hAnsi="宋体" w:cs="宋体"/>
          <w:bCs/>
          <w:color w:val="FF0000"/>
          <w:szCs w:val="22"/>
          <w:u w:val="single"/>
          <w:lang w:val="en-US" w:eastAsia="zh-CN"/>
        </w:rPr>
        <w:t>五常</w:t>
      </w:r>
      <w:r>
        <w:rPr>
          <w:rFonts w:hint="eastAsia" w:ascii="宋体" w:hAnsi="宋体" w:cs="宋体"/>
          <w:bCs/>
          <w:szCs w:val="22"/>
          <w:u w:val="single"/>
          <w:lang w:eastAsia="zh-CN"/>
        </w:rPr>
        <w:t>)有限公司</w:t>
      </w:r>
      <w:r>
        <w:rPr>
          <w:rFonts w:hint="eastAsia" w:ascii="宋体" w:hAnsi="宋体" w:cs="宋体"/>
          <w:bCs/>
          <w:color w:val="FF0000"/>
          <w:szCs w:val="22"/>
          <w:u w:val="single"/>
          <w:lang w:val="en-US" w:eastAsia="zh-CN"/>
        </w:rPr>
        <w:t>虫鼠害服务</w:t>
      </w:r>
      <w:r>
        <w:rPr>
          <w:rFonts w:hint="eastAsia" w:ascii="宋体" w:hAnsi="宋体"/>
          <w:szCs w:val="21"/>
          <w:lang w:eastAsia="zh-CN"/>
        </w:rPr>
        <w:t>的响应文件及合同的响应、洽谈、签约、执行、完成、服务和保修等全权负责，以本公司名义处理与之有关的一切事务，并对报价文件中所提供的授权书及相关证明材料的真实性承担法律责任。本授权书的法定代表人签字为我本人亲笔签名。</w:t>
      </w:r>
    </w:p>
    <w:p w14:paraId="6E67AF95">
      <w:pPr>
        <w:spacing w:line="360" w:lineRule="auto"/>
        <w:ind w:firstLine="480" w:firstLineChars="200"/>
        <w:rPr>
          <w:rFonts w:ascii="宋体" w:hAnsi="宋体"/>
          <w:szCs w:val="21"/>
          <w:lang w:eastAsia="zh-CN"/>
        </w:rPr>
      </w:pPr>
      <w:r>
        <w:rPr>
          <w:rFonts w:hint="eastAsia" w:ascii="宋体" w:hAnsi="宋体"/>
          <w:szCs w:val="21"/>
          <w:lang w:eastAsia="zh-CN"/>
        </w:rPr>
        <w:t>代理人无转委托权，特此声明。</w:t>
      </w:r>
    </w:p>
    <w:p w14:paraId="3C9E2A96">
      <w:pPr>
        <w:spacing w:line="480" w:lineRule="exact"/>
        <w:jc w:val="center"/>
        <w:rPr>
          <w:rFonts w:ascii="宋体" w:hAnsi="宋体"/>
          <w:b/>
          <w:lang w:eastAsia="zh-CN"/>
        </w:rPr>
      </w:pPr>
      <w:r>
        <w:rPr>
          <w:rFonts w:hint="eastAsia" w:ascii="宋体" w:hAnsi="宋体"/>
          <w:b/>
          <w:lang w:eastAsia="zh-CN"/>
        </w:rPr>
        <w:t>（※此处请粘贴被授权人身份证复印件※）</w:t>
      </w:r>
    </w:p>
    <w:p w14:paraId="07601BD0">
      <w:pPr>
        <w:spacing w:line="480" w:lineRule="exact"/>
        <w:jc w:val="center"/>
        <w:rPr>
          <w:rFonts w:ascii="宋体" w:hAnsi="宋体"/>
          <w:b/>
          <w:lang w:eastAsia="zh-CN"/>
        </w:rPr>
      </w:pPr>
    </w:p>
    <w:p w14:paraId="123A14AA">
      <w:pPr>
        <w:spacing w:line="480" w:lineRule="exact"/>
        <w:jc w:val="center"/>
        <w:rPr>
          <w:rFonts w:ascii="宋体" w:hAnsi="宋体"/>
          <w:b/>
          <w:lang w:eastAsia="zh-CN"/>
        </w:rPr>
      </w:pPr>
    </w:p>
    <w:p w14:paraId="3857A287">
      <w:pPr>
        <w:spacing w:line="480" w:lineRule="exact"/>
        <w:jc w:val="center"/>
        <w:rPr>
          <w:rFonts w:ascii="宋体" w:hAnsi="宋体"/>
          <w:b/>
          <w:lang w:eastAsia="zh-CN"/>
        </w:rPr>
      </w:pPr>
    </w:p>
    <w:p w14:paraId="4DBE4C14">
      <w:pPr>
        <w:spacing w:line="480" w:lineRule="exact"/>
        <w:jc w:val="center"/>
        <w:rPr>
          <w:rFonts w:ascii="宋体" w:hAnsi="宋体"/>
          <w:b/>
          <w:lang w:eastAsia="zh-CN"/>
        </w:rPr>
      </w:pPr>
    </w:p>
    <w:p w14:paraId="5AD3B6F6">
      <w:pPr>
        <w:spacing w:line="480" w:lineRule="exact"/>
        <w:jc w:val="center"/>
        <w:rPr>
          <w:rFonts w:ascii="宋体" w:hAnsi="宋体"/>
          <w:b/>
          <w:lang w:eastAsia="zh-CN"/>
        </w:rPr>
      </w:pPr>
    </w:p>
    <w:p w14:paraId="02EA74B7">
      <w:pPr>
        <w:spacing w:line="480" w:lineRule="auto"/>
        <w:ind w:left="5760" w:leftChars="1950" w:right="561" w:hanging="1080" w:hangingChars="450"/>
        <w:rPr>
          <w:rFonts w:ascii="宋体" w:hAnsi="宋体" w:cs="Lucida Sans Unicode"/>
          <w:lang w:eastAsia="zh-CN"/>
        </w:rPr>
      </w:pPr>
      <w:r>
        <w:rPr>
          <w:rFonts w:hint="eastAsia" w:ascii="宋体" w:hAnsi="宋体" w:cs="Lucida Sans Unicode"/>
          <w:lang w:eastAsia="zh-CN"/>
        </w:rPr>
        <w:t>委托单位名称（</w:t>
      </w:r>
      <w:r>
        <w:rPr>
          <w:rFonts w:hint="eastAsia" w:ascii="宋体" w:hAnsi="宋体" w:cs="Lucida Sans Unicode"/>
          <w:lang w:val="en-US" w:eastAsia="zh-CN"/>
        </w:rPr>
        <w:t>全称、</w:t>
      </w:r>
      <w:r>
        <w:rPr>
          <w:rFonts w:hint="eastAsia" w:ascii="宋体" w:hAnsi="宋体" w:cs="Lucida Sans Unicode"/>
          <w:lang w:eastAsia="zh-CN"/>
        </w:rPr>
        <w:t xml:space="preserve">加盖公章）：  </w:t>
      </w:r>
    </w:p>
    <w:p w14:paraId="2F5A845B">
      <w:pPr>
        <w:spacing w:line="600" w:lineRule="exact"/>
        <w:ind w:left="5760" w:leftChars="2200" w:right="561" w:hanging="480" w:hangingChars="200"/>
        <w:rPr>
          <w:rFonts w:ascii="宋体" w:hAnsi="宋体" w:cs="Lucida Sans Unicode"/>
          <w:lang w:eastAsia="zh-CN"/>
        </w:rPr>
      </w:pPr>
      <w:r>
        <w:rPr>
          <w:rFonts w:hint="eastAsia" w:ascii="宋体" w:hAnsi="宋体" w:cs="Lucida Sans Unicode"/>
          <w:lang w:eastAsia="zh-CN"/>
        </w:rPr>
        <w:t xml:space="preserve">   年    月 </w:t>
      </w:r>
      <w:r>
        <w:rPr>
          <w:rFonts w:hint="eastAsia" w:ascii="宋体" w:hAnsi="宋体" w:cs="Lucida Sans Unicode"/>
          <w:lang w:val="en-US" w:eastAsia="zh-CN"/>
        </w:rPr>
        <w:t xml:space="preserve">   </w:t>
      </w:r>
      <w:r>
        <w:rPr>
          <w:rFonts w:hint="eastAsia" w:ascii="宋体" w:hAnsi="宋体" w:cs="Lucida Sans Unicode"/>
          <w:lang w:eastAsia="zh-CN"/>
        </w:rPr>
        <w:t xml:space="preserve">日   </w:t>
      </w:r>
    </w:p>
    <w:p w14:paraId="121F4056">
      <w:pPr>
        <w:spacing w:line="360" w:lineRule="auto"/>
        <w:jc w:val="center"/>
        <w:rPr>
          <w:rFonts w:ascii="宋体" w:hAnsi="宋体"/>
          <w:lang w:eastAsia="zh-CN"/>
        </w:rPr>
      </w:pPr>
      <w:r>
        <w:rPr>
          <w:rFonts w:ascii="宋体" w:hAnsi="宋体"/>
          <w:lang w:eastAsia="zh-CN"/>
        </w:rPr>
        <w:br w:type="page"/>
      </w:r>
      <w:bookmarkStart w:id="11" w:name="_Toc217446088"/>
    </w:p>
    <w:p w14:paraId="2612738E">
      <w:pPr>
        <w:spacing w:line="360" w:lineRule="auto"/>
        <w:rPr>
          <w:rFonts w:ascii="宋体" w:hAnsi="宋体"/>
          <w:b/>
          <w:color w:val="000000"/>
          <w:position w:val="16"/>
          <w:sz w:val="32"/>
          <w:lang w:eastAsia="zh-CN"/>
        </w:rPr>
      </w:pPr>
      <w:r>
        <w:rPr>
          <w:rFonts w:hint="eastAsia" w:ascii="宋体" w:hAnsi="宋体"/>
          <w:b/>
          <w:sz w:val="28"/>
          <w:szCs w:val="20"/>
          <w:lang w:eastAsia="zh-CN"/>
        </w:rPr>
        <w:t>附件</w:t>
      </w:r>
      <w:r>
        <w:rPr>
          <w:rFonts w:ascii="宋体" w:hAnsi="宋体"/>
          <w:b/>
          <w:sz w:val="28"/>
          <w:szCs w:val="20"/>
          <w:lang w:eastAsia="zh-CN"/>
        </w:rPr>
        <w:t>3</w:t>
      </w:r>
      <w:bookmarkEnd w:id="11"/>
    </w:p>
    <w:p w14:paraId="3120F6A2">
      <w:pPr>
        <w:spacing w:line="360" w:lineRule="auto"/>
        <w:jc w:val="center"/>
        <w:rPr>
          <w:rFonts w:ascii="宋体" w:hAnsi="宋体"/>
          <w:color w:val="000000"/>
          <w:position w:val="16"/>
          <w:lang w:eastAsia="zh-CN"/>
        </w:rPr>
      </w:pPr>
      <w:r>
        <w:rPr>
          <w:rFonts w:hint="eastAsia" w:ascii="黑体" w:hAnsi="黑体" w:eastAsia="黑体"/>
          <w:b/>
          <w:sz w:val="40"/>
          <w:lang w:eastAsia="zh-CN"/>
        </w:rPr>
        <w:t>报价一览表</w:t>
      </w:r>
    </w:p>
    <w:p w14:paraId="5D0F20C9">
      <w:pPr>
        <w:spacing w:line="360" w:lineRule="auto"/>
        <w:jc w:val="both"/>
        <w:rPr>
          <w:rFonts w:hint="eastAsia" w:ascii="宋体" w:hAnsi="宋体"/>
          <w:sz w:val="28"/>
          <w:szCs w:val="28"/>
          <w:highlight w:val="none"/>
          <w:lang w:eastAsia="zh-CN"/>
        </w:rPr>
      </w:pPr>
      <w:r>
        <w:rPr>
          <w:rFonts w:hint="eastAsia" w:ascii="宋体" w:hAnsi="宋体"/>
          <w:sz w:val="28"/>
          <w:szCs w:val="28"/>
          <w:highlight w:val="none"/>
          <w:lang w:eastAsia="zh-CN"/>
        </w:rPr>
        <w:t>项目名称：</w:t>
      </w:r>
      <w:r>
        <w:rPr>
          <w:rFonts w:hint="eastAsia" w:ascii="宋体" w:hAnsi="宋体"/>
          <w:sz w:val="28"/>
          <w:szCs w:val="28"/>
          <w:highlight w:val="none"/>
          <w:u w:val="single"/>
          <w:lang w:eastAsia="zh-CN"/>
        </w:rPr>
        <w:t>中粮米业（</w:t>
      </w:r>
      <w:r>
        <w:rPr>
          <w:rFonts w:hint="eastAsia" w:ascii="宋体" w:hAnsi="宋体"/>
          <w:sz w:val="28"/>
          <w:szCs w:val="28"/>
          <w:highlight w:val="none"/>
          <w:u w:val="single"/>
          <w:lang w:val="en-US" w:eastAsia="zh-CN"/>
        </w:rPr>
        <w:t>五常</w:t>
      </w:r>
      <w:r>
        <w:rPr>
          <w:rFonts w:hint="eastAsia" w:ascii="宋体" w:hAnsi="宋体"/>
          <w:sz w:val="28"/>
          <w:szCs w:val="28"/>
          <w:highlight w:val="none"/>
          <w:u w:val="single"/>
          <w:lang w:eastAsia="zh-CN"/>
        </w:rPr>
        <w:t>)有限公司</w:t>
      </w:r>
      <w:r>
        <w:rPr>
          <w:rFonts w:hint="eastAsia" w:ascii="宋体" w:hAnsi="宋体"/>
          <w:sz w:val="28"/>
          <w:szCs w:val="28"/>
          <w:highlight w:val="none"/>
          <w:u w:val="single"/>
          <w:lang w:val="en-US" w:eastAsia="zh-CN"/>
        </w:rPr>
        <w:t>—虫鼠害防治</w:t>
      </w:r>
      <w:r>
        <w:rPr>
          <w:rFonts w:hint="eastAsia" w:ascii="宋体" w:hAnsi="宋体"/>
          <w:sz w:val="28"/>
          <w:szCs w:val="28"/>
          <w:highlight w:val="none"/>
          <w:lang w:eastAsia="zh-CN"/>
        </w:rPr>
        <w:t xml:space="preserve"> </w:t>
      </w:r>
    </w:p>
    <w:p w14:paraId="222EFE83">
      <w:pPr>
        <w:spacing w:line="360" w:lineRule="auto"/>
        <w:jc w:val="both"/>
        <w:rPr>
          <w:rFonts w:hint="eastAsia" w:ascii="宋体" w:hAnsi="宋体"/>
          <w:sz w:val="28"/>
          <w:szCs w:val="28"/>
          <w:highlight w:val="none"/>
          <w:lang w:eastAsia="zh-CN"/>
        </w:rPr>
      </w:pPr>
      <w:r>
        <w:rPr>
          <w:rFonts w:hint="eastAsia" w:ascii="宋体" w:hAnsi="宋体"/>
          <w:sz w:val="28"/>
          <w:szCs w:val="28"/>
          <w:highlight w:val="none"/>
          <w:lang w:eastAsia="zh-CN"/>
        </w:rPr>
        <w:t>本项目报价主要清单如下：</w:t>
      </w:r>
    </w:p>
    <w:p w14:paraId="41FC111E">
      <w:pPr>
        <w:spacing w:line="360" w:lineRule="auto"/>
        <w:jc w:val="both"/>
        <w:rPr>
          <w:rFonts w:hint="eastAsia" w:ascii="宋体" w:hAnsi="宋体"/>
          <w:sz w:val="28"/>
          <w:szCs w:val="28"/>
          <w:highlight w:val="none"/>
          <w:lang w:eastAsia="zh-CN"/>
        </w:rPr>
      </w:pPr>
      <w:r>
        <w:rPr>
          <w:rFonts w:hint="eastAsia" w:ascii="仿宋" w:hAnsi="仿宋" w:eastAsia="仿宋" w:cs="仿宋"/>
          <w:b/>
          <w:bCs/>
          <w:sz w:val="28"/>
          <w:szCs w:val="28"/>
        </w:rPr>
        <w:t>1.</w:t>
      </w:r>
      <w:r>
        <w:rPr>
          <w:rFonts w:hint="eastAsia" w:ascii="仿宋" w:hAnsi="仿宋" w:eastAsia="仿宋" w:cs="仿宋"/>
          <w:b/>
          <w:bCs/>
          <w:sz w:val="28"/>
          <w:szCs w:val="28"/>
          <w:lang w:val="zh-CN"/>
        </w:rPr>
        <w:t>生产</w:t>
      </w:r>
      <w:r>
        <w:rPr>
          <w:rFonts w:hint="eastAsia" w:ascii="仿宋" w:hAnsi="仿宋" w:eastAsia="仿宋" w:cs="仿宋"/>
          <w:b/>
          <w:bCs/>
          <w:sz w:val="28"/>
          <w:szCs w:val="28"/>
        </w:rPr>
        <w:t>车间、仓储库房、厂区</w:t>
      </w:r>
      <w:r>
        <w:rPr>
          <w:rFonts w:hint="eastAsia" w:ascii="仿宋" w:hAnsi="仿宋" w:eastAsia="仿宋" w:cs="仿宋"/>
          <w:b/>
          <w:bCs/>
          <w:sz w:val="28"/>
          <w:szCs w:val="28"/>
          <w:lang w:val="zh-CN"/>
        </w:rPr>
        <w:t>内的鼠、蝇、蚊、飞虫的控制</w:t>
      </w:r>
    </w:p>
    <w:tbl>
      <w:tblPr>
        <w:tblStyle w:val="28"/>
        <w:tblW w:w="504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05"/>
        <w:gridCol w:w="974"/>
        <w:gridCol w:w="1085"/>
        <w:gridCol w:w="3393"/>
        <w:gridCol w:w="2126"/>
        <w:gridCol w:w="1200"/>
      </w:tblGrid>
      <w:tr w14:paraId="5F757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272" w:type="pct"/>
          </w:tcPr>
          <w:p w14:paraId="6AEA7F7F">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169" w:right="86"/>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524" w:type="pct"/>
          </w:tcPr>
          <w:p w14:paraId="1219AAC6">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68" w:right="65"/>
              <w:jc w:val="center"/>
              <w:textAlignment w:val="auto"/>
              <w:rPr>
                <w:rFonts w:hint="eastAsia" w:ascii="仿宋" w:hAnsi="仿宋" w:eastAsia="仿宋" w:cs="仿宋"/>
                <w:b/>
                <w:sz w:val="21"/>
                <w:szCs w:val="21"/>
              </w:rPr>
            </w:pPr>
            <w:r>
              <w:rPr>
                <w:rFonts w:hint="eastAsia" w:ascii="仿宋" w:hAnsi="仿宋" w:eastAsia="仿宋" w:cs="仿宋"/>
                <w:b/>
                <w:sz w:val="21"/>
                <w:szCs w:val="21"/>
              </w:rPr>
              <w:t>虫害设施名称</w:t>
            </w:r>
          </w:p>
        </w:tc>
        <w:tc>
          <w:tcPr>
            <w:tcW w:w="584" w:type="pct"/>
          </w:tcPr>
          <w:p w14:paraId="2B52D380">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86" w:right="1"/>
              <w:jc w:val="center"/>
              <w:textAlignment w:val="auto"/>
              <w:rPr>
                <w:rFonts w:hint="eastAsia" w:ascii="仿宋" w:hAnsi="仿宋" w:eastAsia="仿宋" w:cs="仿宋"/>
                <w:b/>
                <w:sz w:val="21"/>
                <w:szCs w:val="21"/>
              </w:rPr>
            </w:pPr>
            <w:r>
              <w:rPr>
                <w:rFonts w:hint="eastAsia" w:ascii="仿宋" w:hAnsi="仿宋" w:eastAsia="仿宋" w:cs="仿宋"/>
                <w:b/>
                <w:sz w:val="21"/>
                <w:szCs w:val="21"/>
              </w:rPr>
              <w:t>数量</w:t>
            </w:r>
            <w:r>
              <w:rPr>
                <w:rFonts w:hint="eastAsia" w:ascii="仿宋" w:hAnsi="仿宋" w:eastAsia="仿宋" w:cs="仿宋"/>
                <w:b/>
                <w:i/>
                <w:sz w:val="21"/>
                <w:szCs w:val="21"/>
              </w:rPr>
              <w:t>/</w:t>
            </w:r>
            <w:r>
              <w:rPr>
                <w:rFonts w:hint="eastAsia" w:ascii="仿宋" w:hAnsi="仿宋" w:eastAsia="仿宋" w:cs="仿宋"/>
                <w:b/>
                <w:sz w:val="21"/>
                <w:szCs w:val="21"/>
              </w:rPr>
              <w:t>台</w:t>
            </w:r>
            <w:r>
              <w:rPr>
                <w:rFonts w:hint="eastAsia" w:ascii="仿宋" w:hAnsi="仿宋" w:eastAsia="仿宋" w:cs="仿宋"/>
                <w:b/>
                <w:i/>
                <w:sz w:val="21"/>
                <w:szCs w:val="21"/>
              </w:rPr>
              <w:t>/</w:t>
            </w:r>
            <w:r>
              <w:rPr>
                <w:rFonts w:hint="eastAsia" w:ascii="仿宋" w:hAnsi="仿宋" w:eastAsia="仿宋" w:cs="仿宋"/>
                <w:b/>
                <w:sz w:val="21"/>
                <w:szCs w:val="21"/>
              </w:rPr>
              <w:t>个</w:t>
            </w:r>
            <w:r>
              <w:rPr>
                <w:rFonts w:hint="eastAsia" w:ascii="仿宋" w:hAnsi="仿宋" w:eastAsia="仿宋" w:cs="仿宋"/>
                <w:b/>
                <w:i/>
                <w:sz w:val="21"/>
                <w:szCs w:val="21"/>
              </w:rPr>
              <w:t>/</w:t>
            </w:r>
            <w:r>
              <w:rPr>
                <w:rFonts w:hint="eastAsia" w:ascii="仿宋" w:hAnsi="仿宋" w:eastAsia="仿宋" w:cs="仿宋"/>
                <w:b/>
                <w:sz w:val="21"/>
                <w:szCs w:val="21"/>
              </w:rPr>
              <w:t>块</w:t>
            </w:r>
            <w:r>
              <w:rPr>
                <w:rFonts w:hint="eastAsia" w:ascii="仿宋" w:hAnsi="仿宋" w:eastAsia="仿宋" w:cs="仿宋"/>
                <w:b/>
                <w:i/>
                <w:sz w:val="21"/>
                <w:szCs w:val="21"/>
              </w:rPr>
              <w:t>/</w:t>
            </w:r>
            <w:r>
              <w:rPr>
                <w:rFonts w:hint="eastAsia" w:ascii="仿宋" w:hAnsi="仿宋" w:eastAsia="仿宋" w:cs="仿宋"/>
                <w:b/>
                <w:sz w:val="21"/>
                <w:szCs w:val="21"/>
              </w:rPr>
              <w:t>套</w:t>
            </w:r>
          </w:p>
        </w:tc>
        <w:tc>
          <w:tcPr>
            <w:tcW w:w="1826" w:type="pct"/>
          </w:tcPr>
          <w:p w14:paraId="0E7E3B78">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957" w:right="837"/>
              <w:jc w:val="center"/>
              <w:textAlignment w:val="auto"/>
              <w:rPr>
                <w:rFonts w:hint="eastAsia" w:ascii="仿宋" w:hAnsi="仿宋" w:eastAsia="仿宋" w:cs="仿宋"/>
                <w:b/>
                <w:sz w:val="21"/>
                <w:szCs w:val="21"/>
              </w:rPr>
            </w:pPr>
            <w:r>
              <w:rPr>
                <w:rFonts w:hint="eastAsia" w:ascii="仿宋" w:hAnsi="仿宋" w:eastAsia="仿宋" w:cs="仿宋"/>
                <w:b/>
                <w:sz w:val="21"/>
                <w:szCs w:val="21"/>
              </w:rPr>
              <w:t>要求</w:t>
            </w:r>
          </w:p>
        </w:tc>
        <w:tc>
          <w:tcPr>
            <w:tcW w:w="1144" w:type="pct"/>
          </w:tcPr>
          <w:p w14:paraId="254DEE42">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623" w:right="0"/>
              <w:textAlignment w:val="auto"/>
              <w:rPr>
                <w:rFonts w:hint="eastAsia" w:ascii="仿宋" w:hAnsi="仿宋" w:eastAsia="仿宋" w:cs="仿宋"/>
                <w:b/>
                <w:sz w:val="21"/>
                <w:szCs w:val="21"/>
              </w:rPr>
            </w:pPr>
            <w:r>
              <w:rPr>
                <w:rFonts w:hint="eastAsia" w:ascii="仿宋" w:hAnsi="仿宋" w:eastAsia="仿宋" w:cs="仿宋"/>
                <w:b/>
                <w:sz w:val="21"/>
                <w:szCs w:val="21"/>
                <w:lang w:val="en-US" w:eastAsia="zh-CN"/>
              </w:rPr>
              <w:t>服务</w:t>
            </w:r>
            <w:r>
              <w:rPr>
                <w:rFonts w:hint="eastAsia" w:ascii="仿宋" w:hAnsi="仿宋" w:eastAsia="仿宋" w:cs="仿宋"/>
                <w:b/>
                <w:sz w:val="21"/>
                <w:szCs w:val="21"/>
              </w:rPr>
              <w:t>频次</w:t>
            </w:r>
          </w:p>
        </w:tc>
        <w:tc>
          <w:tcPr>
            <w:tcW w:w="646" w:type="pct"/>
          </w:tcPr>
          <w:p w14:paraId="696E5600">
            <w:pPr>
              <w:pStyle w:val="77"/>
              <w:keepNext w:val="0"/>
              <w:keepLines w:val="0"/>
              <w:pageBreakBefore w:val="0"/>
              <w:widowControl w:val="0"/>
              <w:suppressLineNumbers w:val="0"/>
              <w:kinsoku/>
              <w:wordWrap/>
              <w:overflowPunct/>
              <w:topLinePunct w:val="0"/>
              <w:autoSpaceDE/>
              <w:autoSpaceDN/>
              <w:bidi w:val="0"/>
              <w:adjustRightInd/>
              <w:snapToGrid/>
              <w:spacing w:before="157" w:beforeAutospacing="0" w:after="0" w:afterAutospacing="0" w:line="240" w:lineRule="auto"/>
              <w:ind w:left="0" w:right="0"/>
              <w:jc w:val="center"/>
              <w:textAlignment w:val="auto"/>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价格</w:t>
            </w:r>
          </w:p>
        </w:tc>
      </w:tr>
      <w:tr w14:paraId="4227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272" w:type="pct"/>
            <w:vAlign w:val="center"/>
          </w:tcPr>
          <w:p w14:paraId="7FC163D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524" w:type="pct"/>
            <w:vAlign w:val="center"/>
          </w:tcPr>
          <w:p w14:paraId="1C776286">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65" w:rightChars="0"/>
              <w:jc w:val="both"/>
              <w:textAlignment w:val="auto"/>
              <w:rPr>
                <w:rFonts w:hint="eastAsia" w:ascii="仿宋" w:hAnsi="仿宋" w:eastAsia="仿宋" w:cs="仿宋"/>
                <w:sz w:val="21"/>
                <w:szCs w:val="21"/>
              </w:rPr>
            </w:pPr>
            <w:r>
              <w:rPr>
                <w:rFonts w:hint="eastAsia" w:ascii="仿宋" w:hAnsi="仿宋" w:eastAsia="仿宋" w:cs="仿宋"/>
                <w:sz w:val="21"/>
                <w:szCs w:val="21"/>
              </w:rPr>
              <w:t>诱饵站</w:t>
            </w:r>
          </w:p>
        </w:tc>
        <w:tc>
          <w:tcPr>
            <w:tcW w:w="584" w:type="pct"/>
            <w:vAlign w:val="center"/>
          </w:tcPr>
          <w:p w14:paraId="53B8BE1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1"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140</w:t>
            </w:r>
          </w:p>
        </w:tc>
        <w:tc>
          <w:tcPr>
            <w:tcW w:w="1826" w:type="pct"/>
            <w:vAlign w:val="center"/>
          </w:tcPr>
          <w:p w14:paraId="526B9CA0">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鼠站上锁固定、鼠饵固定、设备编号、标识及记录卡等；</w:t>
            </w:r>
          </w:p>
          <w:p w14:paraId="15AA816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虫害公司提供并安装。</w:t>
            </w:r>
          </w:p>
        </w:tc>
        <w:tc>
          <w:tcPr>
            <w:tcW w:w="1144" w:type="pct"/>
            <w:vAlign w:val="center"/>
          </w:tcPr>
          <w:p w14:paraId="135F9387">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pacing w:val="0"/>
                <w:sz w:val="21"/>
                <w:szCs w:val="21"/>
              </w:rPr>
            </w:pPr>
            <w:r>
              <w:rPr>
                <w:rFonts w:hint="eastAsia" w:ascii="仿宋" w:hAnsi="仿宋" w:eastAsia="仿宋" w:cs="仿宋"/>
                <w:sz w:val="21"/>
                <w:szCs w:val="21"/>
              </w:rPr>
              <w:t>5-10</w:t>
            </w:r>
            <w:r>
              <w:rPr>
                <w:rFonts w:hint="eastAsia" w:ascii="仿宋" w:hAnsi="仿宋" w:eastAsia="仿宋" w:cs="仿宋"/>
                <w:spacing w:val="0"/>
                <w:sz w:val="21"/>
                <w:szCs w:val="21"/>
              </w:rPr>
              <w:t xml:space="preserve">月每月 </w:t>
            </w:r>
            <w:r>
              <w:rPr>
                <w:rFonts w:hint="eastAsia" w:ascii="仿宋" w:hAnsi="仿宋" w:eastAsia="仿宋" w:cs="仿宋"/>
                <w:sz w:val="21"/>
                <w:szCs w:val="21"/>
              </w:rPr>
              <w:t>2</w:t>
            </w:r>
            <w:r>
              <w:rPr>
                <w:rFonts w:hint="eastAsia" w:ascii="仿宋" w:hAnsi="仿宋" w:eastAsia="仿宋" w:cs="仿宋"/>
                <w:spacing w:val="0"/>
                <w:sz w:val="21"/>
                <w:szCs w:val="21"/>
              </w:rPr>
              <w:t>次；</w:t>
            </w:r>
          </w:p>
          <w:p w14:paraId="7CCDD38E">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其他月份每月</w:t>
            </w:r>
            <w:r>
              <w:rPr>
                <w:rFonts w:hint="eastAsia" w:ascii="仿宋" w:hAnsi="仿宋" w:eastAsia="仿宋" w:cs="仿宋"/>
                <w:sz w:val="21"/>
                <w:szCs w:val="21"/>
              </w:rPr>
              <w:t>1</w:t>
            </w:r>
            <w:r>
              <w:rPr>
                <w:rFonts w:hint="eastAsia" w:ascii="仿宋" w:hAnsi="仿宋" w:eastAsia="仿宋" w:cs="仿宋"/>
                <w:spacing w:val="0"/>
                <w:sz w:val="21"/>
                <w:szCs w:val="21"/>
              </w:rPr>
              <w:t>次，</w:t>
            </w:r>
          </w:p>
          <w:p w14:paraId="048CA800">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pacing w:val="0"/>
                <w:sz w:val="21"/>
                <w:szCs w:val="21"/>
              </w:rPr>
              <w:t>全年</w:t>
            </w:r>
            <w:r>
              <w:rPr>
                <w:rFonts w:hint="eastAsia" w:ascii="仿宋" w:hAnsi="仿宋" w:eastAsia="仿宋" w:cs="仿宋"/>
                <w:sz w:val="21"/>
                <w:szCs w:val="21"/>
              </w:rPr>
              <w:t>18</w:t>
            </w:r>
            <w:r>
              <w:rPr>
                <w:rFonts w:hint="eastAsia" w:ascii="仿宋" w:hAnsi="仿宋" w:eastAsia="仿宋" w:cs="仿宋"/>
                <w:spacing w:val="0"/>
                <w:sz w:val="21"/>
                <w:szCs w:val="21"/>
              </w:rPr>
              <w:t xml:space="preserve"> </w:t>
            </w:r>
            <w:r>
              <w:rPr>
                <w:rFonts w:hint="eastAsia" w:ascii="仿宋" w:hAnsi="仿宋" w:eastAsia="仿宋" w:cs="仿宋"/>
                <w:sz w:val="21"/>
                <w:szCs w:val="21"/>
              </w:rPr>
              <w:t>次</w:t>
            </w:r>
          </w:p>
        </w:tc>
        <w:tc>
          <w:tcPr>
            <w:tcW w:w="646" w:type="pct"/>
            <w:vAlign w:val="center"/>
          </w:tcPr>
          <w:p w14:paraId="7AC7ABD7">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pacing w:val="0"/>
                <w:sz w:val="21"/>
                <w:szCs w:val="21"/>
              </w:rPr>
            </w:pPr>
          </w:p>
        </w:tc>
      </w:tr>
      <w:tr w14:paraId="28066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0" w:hRule="atLeast"/>
        </w:trPr>
        <w:tc>
          <w:tcPr>
            <w:tcW w:w="272" w:type="pct"/>
            <w:vAlign w:val="center"/>
          </w:tcPr>
          <w:p w14:paraId="31931FEC">
            <w:pPr>
              <w:pStyle w:val="77"/>
              <w:keepNext w:val="0"/>
              <w:keepLines w:val="0"/>
              <w:pageBreakBefore w:val="0"/>
              <w:widowControl w:val="0"/>
              <w:suppressLineNumbers w:val="0"/>
              <w:kinsoku/>
              <w:wordWrap/>
              <w:overflowPunct/>
              <w:topLinePunct w:val="0"/>
              <w:autoSpaceDE/>
              <w:autoSpaceDN/>
              <w:bidi w:val="0"/>
              <w:adjustRightInd/>
              <w:snapToGrid/>
              <w:spacing w:before="161"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524" w:type="pct"/>
            <w:vAlign w:val="center"/>
          </w:tcPr>
          <w:p w14:paraId="5DC1E887">
            <w:pPr>
              <w:pStyle w:val="77"/>
              <w:keepNext w:val="0"/>
              <w:keepLines w:val="0"/>
              <w:pageBreakBefore w:val="0"/>
              <w:widowControl w:val="0"/>
              <w:suppressLineNumbers w:val="0"/>
              <w:kinsoku/>
              <w:wordWrap/>
              <w:overflowPunct/>
              <w:topLinePunct w:val="0"/>
              <w:autoSpaceDE/>
              <w:autoSpaceDN/>
              <w:bidi w:val="0"/>
              <w:adjustRightInd/>
              <w:snapToGrid/>
              <w:spacing w:before="155" w:beforeAutospacing="0" w:after="0" w:afterAutospacing="0" w:line="240" w:lineRule="auto"/>
              <w:ind w:left="0" w:leftChars="0" w:right="65" w:rightChars="0"/>
              <w:jc w:val="both"/>
              <w:textAlignment w:val="auto"/>
              <w:rPr>
                <w:rFonts w:hint="eastAsia" w:ascii="仿宋" w:hAnsi="仿宋" w:eastAsia="仿宋" w:cs="仿宋"/>
                <w:sz w:val="21"/>
                <w:szCs w:val="21"/>
              </w:rPr>
            </w:pPr>
            <w:r>
              <w:rPr>
                <w:rFonts w:hint="eastAsia" w:ascii="仿宋" w:hAnsi="仿宋" w:eastAsia="仿宋" w:cs="仿宋"/>
                <w:sz w:val="21"/>
                <w:szCs w:val="21"/>
              </w:rPr>
              <w:t>捕蝇灯</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正面镂空款</w:t>
            </w:r>
            <w:r>
              <w:rPr>
                <w:rFonts w:hint="eastAsia" w:ascii="仿宋" w:hAnsi="仿宋" w:eastAsia="仿宋" w:cs="仿宋"/>
                <w:sz w:val="21"/>
                <w:szCs w:val="21"/>
                <w:lang w:eastAsia="zh-CN"/>
              </w:rPr>
              <w:t>）</w:t>
            </w:r>
          </w:p>
        </w:tc>
        <w:tc>
          <w:tcPr>
            <w:tcW w:w="584" w:type="pct"/>
            <w:vAlign w:val="center"/>
          </w:tcPr>
          <w:p w14:paraId="398925F2">
            <w:pPr>
              <w:pStyle w:val="77"/>
              <w:keepNext w:val="0"/>
              <w:keepLines w:val="0"/>
              <w:pageBreakBefore w:val="0"/>
              <w:widowControl w:val="0"/>
              <w:suppressLineNumbers w:val="0"/>
              <w:kinsoku/>
              <w:wordWrap/>
              <w:overflowPunct/>
              <w:topLinePunct w:val="0"/>
              <w:autoSpaceDE/>
              <w:autoSpaceDN/>
              <w:bidi w:val="0"/>
              <w:adjustRightInd/>
              <w:snapToGrid/>
              <w:spacing w:before="161" w:beforeAutospacing="0" w:after="0" w:afterAutospacing="0" w:line="240" w:lineRule="auto"/>
              <w:ind w:left="0" w:leftChars="0" w:right="0"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48</w:t>
            </w:r>
          </w:p>
        </w:tc>
        <w:tc>
          <w:tcPr>
            <w:tcW w:w="1826" w:type="pct"/>
            <w:vAlign w:val="center"/>
          </w:tcPr>
          <w:p w14:paraId="57D794E0">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01" w:right="127"/>
              <w:jc w:val="both"/>
              <w:textAlignment w:val="auto"/>
              <w:rPr>
                <w:rFonts w:hint="eastAsia" w:ascii="仿宋" w:hAnsi="仿宋" w:eastAsia="仿宋" w:cs="仿宋"/>
                <w:sz w:val="21"/>
                <w:szCs w:val="21"/>
              </w:rPr>
            </w:pPr>
            <w:r>
              <w:rPr>
                <w:rFonts w:hint="eastAsia" w:ascii="仿宋" w:hAnsi="仿宋" w:eastAsia="仿宋" w:cs="仿宋"/>
                <w:spacing w:val="-10"/>
                <w:sz w:val="21"/>
                <w:szCs w:val="21"/>
              </w:rPr>
              <w:t xml:space="preserve">灯管每年更换 </w:t>
            </w:r>
            <w:r>
              <w:rPr>
                <w:rFonts w:hint="eastAsia" w:ascii="仿宋" w:hAnsi="仿宋" w:eastAsia="仿宋" w:cs="仿宋"/>
                <w:sz w:val="21"/>
                <w:szCs w:val="21"/>
              </w:rPr>
              <w:t xml:space="preserve">1 </w:t>
            </w:r>
            <w:r>
              <w:rPr>
                <w:rFonts w:hint="eastAsia" w:ascii="仿宋" w:hAnsi="仿宋" w:eastAsia="仿宋" w:cs="仿宋"/>
                <w:spacing w:val="-2"/>
                <w:sz w:val="21"/>
                <w:szCs w:val="21"/>
              </w:rPr>
              <w:t xml:space="preserve">次； </w:t>
            </w:r>
            <w:r>
              <w:rPr>
                <w:rFonts w:hint="eastAsia" w:ascii="仿宋" w:hAnsi="仿宋" w:eastAsia="仿宋" w:cs="仿宋"/>
                <w:spacing w:val="-9"/>
                <w:sz w:val="21"/>
                <w:szCs w:val="21"/>
              </w:rPr>
              <w:t xml:space="preserve">捕蝇灯粘纸粘满 </w:t>
            </w:r>
            <w:r>
              <w:rPr>
                <w:rFonts w:hint="eastAsia" w:ascii="仿宋" w:hAnsi="仿宋" w:eastAsia="仿宋" w:cs="仿宋"/>
                <w:spacing w:val="-19"/>
                <w:sz w:val="21"/>
                <w:szCs w:val="21"/>
              </w:rPr>
              <w:t xml:space="preserve">2/3 </w:t>
            </w:r>
            <w:r>
              <w:rPr>
                <w:rFonts w:hint="eastAsia" w:ascii="仿宋" w:hAnsi="仿宋" w:eastAsia="仿宋" w:cs="仿宋"/>
                <w:spacing w:val="-14"/>
                <w:sz w:val="21"/>
                <w:szCs w:val="21"/>
              </w:rPr>
              <w:t>时</w:t>
            </w:r>
            <w:r>
              <w:rPr>
                <w:rFonts w:hint="eastAsia" w:ascii="仿宋" w:hAnsi="仿宋" w:eastAsia="仿宋" w:cs="仿宋"/>
                <w:spacing w:val="-1"/>
                <w:sz w:val="21"/>
                <w:szCs w:val="21"/>
              </w:rPr>
              <w:t>需更换；</w:t>
            </w:r>
            <w:r>
              <w:rPr>
                <w:rFonts w:hint="eastAsia" w:ascii="仿宋" w:hAnsi="仿宋" w:eastAsia="仿宋" w:cs="仿宋"/>
                <w:sz w:val="21"/>
                <w:szCs w:val="21"/>
              </w:rPr>
              <w:t>虫害公司提供并安装，</w:t>
            </w:r>
          </w:p>
          <w:p w14:paraId="401442F6">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工厂配合接电。</w:t>
            </w:r>
          </w:p>
        </w:tc>
        <w:tc>
          <w:tcPr>
            <w:tcW w:w="1144" w:type="pct"/>
            <w:vAlign w:val="center"/>
          </w:tcPr>
          <w:p w14:paraId="4D4D05A8">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5-10月每月2次；11-4月每月1次</w:t>
            </w:r>
          </w:p>
        </w:tc>
        <w:tc>
          <w:tcPr>
            <w:tcW w:w="646" w:type="pct"/>
            <w:vAlign w:val="center"/>
          </w:tcPr>
          <w:p w14:paraId="5735BE7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p>
        </w:tc>
      </w:tr>
      <w:tr w14:paraId="6ABC1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72" w:type="pct"/>
            <w:vAlign w:val="center"/>
          </w:tcPr>
          <w:p w14:paraId="5AA20A9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524" w:type="pct"/>
            <w:vAlign w:val="center"/>
          </w:tcPr>
          <w:p w14:paraId="0666B8B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捕鼠器</w:t>
            </w:r>
          </w:p>
        </w:tc>
        <w:tc>
          <w:tcPr>
            <w:tcW w:w="584" w:type="pct"/>
            <w:vAlign w:val="center"/>
          </w:tcPr>
          <w:p w14:paraId="52DF3027">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50</w:t>
            </w:r>
          </w:p>
        </w:tc>
        <w:tc>
          <w:tcPr>
            <w:tcW w:w="1826" w:type="pct"/>
            <w:vAlign w:val="center"/>
          </w:tcPr>
          <w:p w14:paraId="16A9EF99">
            <w:pPr>
              <w:pStyle w:val="77"/>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240" w:lineRule="auto"/>
              <w:ind w:left="101" w:right="51"/>
              <w:jc w:val="both"/>
              <w:textAlignment w:val="auto"/>
              <w:rPr>
                <w:rFonts w:hint="eastAsia" w:ascii="仿宋" w:hAnsi="仿宋" w:eastAsia="仿宋" w:cs="仿宋"/>
                <w:sz w:val="21"/>
                <w:szCs w:val="21"/>
              </w:rPr>
            </w:pPr>
            <w:r>
              <w:rPr>
                <w:rFonts w:hint="eastAsia" w:ascii="仿宋" w:hAnsi="仿宋" w:eastAsia="仿宋" w:cs="仿宋"/>
                <w:spacing w:val="-3"/>
                <w:sz w:val="21"/>
                <w:szCs w:val="21"/>
              </w:rPr>
              <w:t>可见机械式捕鼠器；</w:t>
            </w:r>
            <w:r>
              <w:rPr>
                <w:rFonts w:hint="eastAsia" w:ascii="仿宋" w:hAnsi="仿宋" w:eastAsia="仿宋" w:cs="仿宋"/>
                <w:spacing w:val="-5"/>
                <w:sz w:val="21"/>
                <w:szCs w:val="21"/>
              </w:rPr>
              <w:t>虫害公司提供并安装。</w:t>
            </w:r>
            <w:r>
              <w:rPr>
                <w:rFonts w:hint="eastAsia" w:ascii="仿宋" w:hAnsi="仿宋" w:eastAsia="仿宋" w:cs="仿宋"/>
                <w:sz w:val="21"/>
                <w:szCs w:val="21"/>
              </w:rPr>
              <w:t>工厂</w:t>
            </w:r>
            <w:r>
              <w:rPr>
                <w:rFonts w:hint="eastAsia" w:ascii="仿宋" w:hAnsi="仿宋" w:eastAsia="仿宋" w:cs="仿宋"/>
                <w:spacing w:val="-3"/>
                <w:sz w:val="21"/>
                <w:szCs w:val="21"/>
              </w:rPr>
              <w:t>自有捕鼠器虫害公司提供服务。</w:t>
            </w:r>
          </w:p>
        </w:tc>
        <w:tc>
          <w:tcPr>
            <w:tcW w:w="1144" w:type="pct"/>
            <w:vAlign w:val="center"/>
          </w:tcPr>
          <w:p w14:paraId="706406B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5-10月每月2次；11-4月每月1次</w:t>
            </w:r>
          </w:p>
        </w:tc>
        <w:tc>
          <w:tcPr>
            <w:tcW w:w="646" w:type="pct"/>
            <w:vAlign w:val="center"/>
          </w:tcPr>
          <w:p w14:paraId="64E5121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p>
        </w:tc>
      </w:tr>
      <w:tr w14:paraId="21E4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272" w:type="pct"/>
            <w:vAlign w:val="center"/>
          </w:tcPr>
          <w:p w14:paraId="7222C0C7">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524" w:type="pct"/>
            <w:vAlign w:val="center"/>
          </w:tcPr>
          <w:p w14:paraId="1E82402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粘鼠板</w:t>
            </w:r>
          </w:p>
        </w:tc>
        <w:tc>
          <w:tcPr>
            <w:tcW w:w="584" w:type="pct"/>
            <w:vAlign w:val="center"/>
          </w:tcPr>
          <w:p w14:paraId="0DEF6F3C">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1" w:rightChars="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73</w:t>
            </w:r>
          </w:p>
        </w:tc>
        <w:tc>
          <w:tcPr>
            <w:tcW w:w="1826" w:type="pct"/>
            <w:vAlign w:val="center"/>
          </w:tcPr>
          <w:p w14:paraId="0DAE3428">
            <w:pPr>
              <w:pStyle w:val="77"/>
              <w:keepNext w:val="0"/>
              <w:keepLines w:val="0"/>
              <w:pageBreakBefore w:val="0"/>
              <w:widowControl w:val="0"/>
              <w:suppressLineNumbers w:val="0"/>
              <w:kinsoku/>
              <w:wordWrap/>
              <w:overflowPunct/>
              <w:topLinePunct w:val="0"/>
              <w:autoSpaceDE/>
              <w:autoSpaceDN/>
              <w:bidi w:val="0"/>
              <w:adjustRightInd/>
              <w:snapToGrid/>
              <w:spacing w:before="13" w:beforeAutospacing="0" w:after="0" w:afterAutospacing="0" w:line="240" w:lineRule="auto"/>
              <w:ind w:left="101" w:right="679"/>
              <w:jc w:val="both"/>
              <w:textAlignment w:val="auto"/>
              <w:rPr>
                <w:rFonts w:hint="eastAsia" w:ascii="仿宋" w:hAnsi="仿宋" w:eastAsia="仿宋" w:cs="仿宋"/>
                <w:sz w:val="21"/>
                <w:szCs w:val="21"/>
              </w:rPr>
            </w:pPr>
            <w:r>
              <w:rPr>
                <w:rFonts w:hint="eastAsia" w:ascii="仿宋" w:hAnsi="仿宋" w:eastAsia="仿宋" w:cs="仿宋"/>
                <w:sz w:val="21"/>
                <w:szCs w:val="21"/>
              </w:rPr>
              <w:t>带有防尘功能；虫害公司提供。</w:t>
            </w:r>
          </w:p>
        </w:tc>
        <w:tc>
          <w:tcPr>
            <w:tcW w:w="1144" w:type="pct"/>
            <w:vAlign w:val="center"/>
          </w:tcPr>
          <w:p w14:paraId="54A5DB1A">
            <w:pPr>
              <w:pStyle w:val="77"/>
              <w:keepNext w:val="0"/>
              <w:keepLines w:val="0"/>
              <w:pageBreakBefore w:val="0"/>
              <w:widowControl w:val="0"/>
              <w:suppressLineNumbers w:val="0"/>
              <w:kinsoku/>
              <w:wordWrap/>
              <w:overflowPunct/>
              <w:topLinePunct w:val="0"/>
              <w:autoSpaceDE/>
              <w:autoSpaceDN/>
              <w:bidi w:val="0"/>
              <w:adjustRightInd/>
              <w:snapToGrid/>
              <w:spacing w:before="53"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w:t>
            </w:r>
          </w:p>
          <w:p w14:paraId="4E8D24E9">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11-4月每月1次</w:t>
            </w:r>
          </w:p>
        </w:tc>
        <w:tc>
          <w:tcPr>
            <w:tcW w:w="646" w:type="pct"/>
            <w:vAlign w:val="center"/>
          </w:tcPr>
          <w:p w14:paraId="0ED2F257">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right="0"/>
              <w:jc w:val="both"/>
              <w:textAlignment w:val="auto"/>
              <w:rPr>
                <w:rFonts w:hint="eastAsia" w:ascii="仿宋" w:hAnsi="仿宋" w:eastAsia="仿宋" w:cs="仿宋"/>
                <w:sz w:val="21"/>
                <w:szCs w:val="21"/>
              </w:rPr>
            </w:pPr>
          </w:p>
        </w:tc>
      </w:tr>
      <w:tr w14:paraId="53C3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272" w:type="pct"/>
            <w:vAlign w:val="center"/>
          </w:tcPr>
          <w:p w14:paraId="0EE4876B">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rPr>
              <w:t>5</w:t>
            </w:r>
          </w:p>
        </w:tc>
        <w:tc>
          <w:tcPr>
            <w:tcW w:w="524" w:type="pct"/>
            <w:vAlign w:val="center"/>
          </w:tcPr>
          <w:p w14:paraId="02747FAE">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62" w:rightChars="0"/>
              <w:jc w:val="both"/>
              <w:textAlignment w:val="auto"/>
              <w:rPr>
                <w:rFonts w:hint="eastAsia" w:ascii="仿宋" w:hAnsi="仿宋" w:eastAsia="仿宋" w:cs="仿宋"/>
                <w:sz w:val="21"/>
                <w:szCs w:val="21"/>
              </w:rPr>
            </w:pPr>
            <w:r>
              <w:rPr>
                <w:rFonts w:hint="eastAsia" w:ascii="仿宋" w:hAnsi="仿宋" w:eastAsia="仿宋" w:cs="仿宋"/>
                <w:sz w:val="21"/>
                <w:szCs w:val="21"/>
              </w:rPr>
              <w:t>飞蛾信息素</w:t>
            </w:r>
          </w:p>
        </w:tc>
        <w:tc>
          <w:tcPr>
            <w:tcW w:w="584" w:type="pct"/>
            <w:vAlign w:val="center"/>
          </w:tcPr>
          <w:p w14:paraId="4E05C12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826" w:type="pct"/>
            <w:vAlign w:val="center"/>
          </w:tcPr>
          <w:p w14:paraId="294AC581">
            <w:pPr>
              <w:pStyle w:val="77"/>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虫害公司提供并指导投放。</w:t>
            </w:r>
          </w:p>
        </w:tc>
        <w:tc>
          <w:tcPr>
            <w:tcW w:w="1144" w:type="pct"/>
            <w:vAlign w:val="center"/>
          </w:tcPr>
          <w:p w14:paraId="222FF75D">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5-10月每月2次；</w:t>
            </w:r>
          </w:p>
          <w:p w14:paraId="20E382CB">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11-4 </w:t>
            </w:r>
            <w:r>
              <w:rPr>
                <w:rFonts w:hint="eastAsia" w:ascii="仿宋" w:hAnsi="仿宋" w:eastAsia="仿宋" w:cs="仿宋"/>
                <w:sz w:val="21"/>
                <w:szCs w:val="21"/>
                <w:lang w:eastAsia="zh-CN"/>
              </w:rPr>
              <w:t>月</w:t>
            </w:r>
            <w:r>
              <w:rPr>
                <w:rFonts w:hint="eastAsia" w:ascii="仿宋" w:hAnsi="仿宋" w:eastAsia="仿宋" w:cs="仿宋"/>
                <w:sz w:val="21"/>
                <w:szCs w:val="21"/>
              </w:rPr>
              <w:t>每月</w:t>
            </w:r>
            <w:r>
              <w:rPr>
                <w:rFonts w:hint="eastAsia" w:ascii="仿宋" w:hAnsi="仿宋" w:eastAsia="仿宋" w:cs="仿宋"/>
                <w:sz w:val="21"/>
                <w:szCs w:val="21"/>
                <w:lang w:val="en-US" w:eastAsia="zh-CN"/>
              </w:rPr>
              <w:t>1</w:t>
            </w:r>
            <w:r>
              <w:rPr>
                <w:rFonts w:hint="eastAsia" w:ascii="仿宋" w:hAnsi="仿宋" w:eastAsia="仿宋" w:cs="仿宋"/>
                <w:sz w:val="21"/>
                <w:szCs w:val="21"/>
              </w:rPr>
              <w:t>次</w:t>
            </w:r>
          </w:p>
        </w:tc>
        <w:tc>
          <w:tcPr>
            <w:tcW w:w="646" w:type="pct"/>
            <w:vAlign w:val="center"/>
          </w:tcPr>
          <w:p w14:paraId="33F63E84">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0" w:right="0"/>
              <w:jc w:val="both"/>
              <w:textAlignment w:val="auto"/>
              <w:rPr>
                <w:rFonts w:hint="eastAsia" w:ascii="仿宋" w:hAnsi="仿宋" w:eastAsia="仿宋" w:cs="仿宋"/>
                <w:sz w:val="21"/>
                <w:szCs w:val="21"/>
              </w:rPr>
            </w:pPr>
          </w:p>
        </w:tc>
      </w:tr>
      <w:tr w14:paraId="45DAB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272" w:type="pct"/>
            <w:vAlign w:val="center"/>
          </w:tcPr>
          <w:p w14:paraId="5E84803E">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rPr>
              <w:t>6</w:t>
            </w:r>
          </w:p>
        </w:tc>
        <w:tc>
          <w:tcPr>
            <w:tcW w:w="524" w:type="pct"/>
            <w:vAlign w:val="center"/>
          </w:tcPr>
          <w:p w14:paraId="35F8F202">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leftChars="0" w:right="62" w:rightChars="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消杀</w:t>
            </w:r>
          </w:p>
        </w:tc>
        <w:tc>
          <w:tcPr>
            <w:tcW w:w="584" w:type="pct"/>
            <w:vAlign w:val="center"/>
          </w:tcPr>
          <w:p w14:paraId="73B9BE0F">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29" w:rightChars="0"/>
              <w:jc w:val="both"/>
              <w:textAlignment w:val="auto"/>
              <w:rPr>
                <w:rFonts w:hint="eastAsia" w:ascii="仿宋" w:hAnsi="仿宋" w:eastAsia="仿宋" w:cs="仿宋"/>
                <w:sz w:val="21"/>
                <w:szCs w:val="21"/>
              </w:rPr>
            </w:pPr>
            <w:r>
              <w:rPr>
                <w:rFonts w:hint="eastAsia" w:ascii="仿宋" w:hAnsi="仿宋" w:eastAsia="仿宋" w:cs="仿宋"/>
                <w:spacing w:val="-2"/>
                <w:sz w:val="21"/>
                <w:szCs w:val="21"/>
                <w:lang w:eastAsia="zh-CN"/>
              </w:rPr>
              <w:t>车间内部及车间外围</w:t>
            </w:r>
            <w:r>
              <w:rPr>
                <w:rFonts w:hint="eastAsia" w:ascii="仿宋" w:hAnsi="仿宋" w:eastAsia="仿宋" w:cs="仿宋"/>
                <w:spacing w:val="-2"/>
                <w:sz w:val="21"/>
                <w:szCs w:val="21"/>
              </w:rPr>
              <w:t>；</w:t>
            </w:r>
          </w:p>
        </w:tc>
        <w:tc>
          <w:tcPr>
            <w:tcW w:w="1826" w:type="pct"/>
            <w:vAlign w:val="center"/>
          </w:tcPr>
          <w:p w14:paraId="009B4FB9">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leftChars="0" w:right="51" w:rightChars="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采取控制虫害的方式，如</w:t>
            </w:r>
            <w:r>
              <w:rPr>
                <w:rFonts w:hint="eastAsia" w:ascii="仿宋" w:hAnsi="仿宋" w:eastAsia="仿宋" w:cs="仿宋"/>
                <w:sz w:val="21"/>
                <w:szCs w:val="21"/>
              </w:rPr>
              <w:t>热烟雾处理及空间、滞留喷洒</w:t>
            </w:r>
            <w:r>
              <w:rPr>
                <w:rFonts w:hint="eastAsia" w:ascii="仿宋" w:hAnsi="仿宋" w:eastAsia="仿宋" w:cs="仿宋"/>
                <w:sz w:val="21"/>
                <w:szCs w:val="21"/>
                <w:lang w:eastAsia="zh-CN"/>
              </w:rPr>
              <w:t>及其它</w:t>
            </w:r>
            <w:r>
              <w:rPr>
                <w:rFonts w:hint="eastAsia" w:ascii="仿宋" w:hAnsi="仿宋" w:eastAsia="仿宋" w:cs="仿宋"/>
                <w:sz w:val="21"/>
                <w:szCs w:val="21"/>
              </w:rPr>
              <w:t>处理；虫害公司提供。</w:t>
            </w:r>
          </w:p>
        </w:tc>
        <w:tc>
          <w:tcPr>
            <w:tcW w:w="1144" w:type="pct"/>
            <w:vAlign w:val="center"/>
          </w:tcPr>
          <w:p w14:paraId="2795A0A0">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7" w:rightChars="0"/>
              <w:jc w:val="both"/>
              <w:textAlignment w:val="auto"/>
              <w:rPr>
                <w:rFonts w:hint="default" w:ascii="仿宋" w:hAnsi="仿宋" w:eastAsia="仿宋" w:cs="仿宋"/>
                <w:sz w:val="21"/>
                <w:szCs w:val="21"/>
                <w:lang w:val="en-US"/>
              </w:rPr>
            </w:pPr>
            <w:r>
              <w:rPr>
                <w:rFonts w:hint="eastAsia" w:ascii="仿宋" w:hAnsi="仿宋" w:eastAsia="仿宋" w:cs="仿宋"/>
                <w:sz w:val="21"/>
                <w:szCs w:val="21"/>
                <w:lang w:val="en-US" w:eastAsia="zh-CN"/>
              </w:rPr>
              <w:t>全年18次</w:t>
            </w:r>
          </w:p>
        </w:tc>
        <w:tc>
          <w:tcPr>
            <w:tcW w:w="646" w:type="pct"/>
            <w:vAlign w:val="center"/>
          </w:tcPr>
          <w:p w14:paraId="00AEA357">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7" w:rightChars="0"/>
              <w:jc w:val="both"/>
              <w:textAlignment w:val="auto"/>
              <w:rPr>
                <w:rFonts w:hint="eastAsia" w:ascii="仿宋" w:hAnsi="仿宋" w:eastAsia="仿宋" w:cs="仿宋"/>
                <w:sz w:val="21"/>
                <w:szCs w:val="21"/>
                <w:lang w:val="en-US" w:eastAsia="zh-CN"/>
              </w:rPr>
            </w:pPr>
          </w:p>
        </w:tc>
      </w:tr>
    </w:tbl>
    <w:p w14:paraId="7137E8A0">
      <w:pPr>
        <w:spacing w:line="360" w:lineRule="auto"/>
        <w:jc w:val="both"/>
        <w:rPr>
          <w:rFonts w:hint="eastAsia" w:ascii="仿宋" w:hAnsi="仿宋" w:eastAsia="仿宋" w:cs="仿宋"/>
          <w:b/>
          <w:bCs/>
          <w:sz w:val="28"/>
          <w:szCs w:val="28"/>
          <w:lang w:val="zh-CN"/>
        </w:rPr>
      </w:pPr>
      <w:r>
        <w:rPr>
          <w:rFonts w:hint="eastAsia" w:ascii="仿宋" w:hAnsi="仿宋" w:eastAsia="仿宋" w:cs="仿宋"/>
          <w:b/>
          <w:bCs/>
          <w:sz w:val="28"/>
          <w:szCs w:val="28"/>
          <w:lang w:val="zh-CN"/>
        </w:rPr>
        <w:t>备注：</w:t>
      </w:r>
    </w:p>
    <w:p w14:paraId="78C96E9F">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（1）带锁式鼠饵站的清理基准：每次服务后鼠饵站内部不允许出现雨水、灰尘等杂物。</w:t>
      </w:r>
    </w:p>
    <w:p w14:paraId="2886D7C3">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（2）带锁式鼠饵站内药饵的更换基准：脏、失效、被食、潮湿霉变情况下每次服务时需随即更换；完整的药饵不脏、不失效的情况下每一个月更换一次。</w:t>
      </w:r>
    </w:p>
    <w:p w14:paraId="52EA28B5">
      <w:pPr>
        <w:spacing w:line="360" w:lineRule="auto"/>
        <w:jc w:val="both"/>
        <w:rPr>
          <w:rFonts w:hint="eastAsia" w:ascii="仿宋" w:hAnsi="仿宋" w:eastAsia="仿宋" w:cs="仿宋"/>
          <w:b/>
          <w:bCs/>
          <w:sz w:val="24"/>
          <w:szCs w:val="24"/>
          <w:highlight w:val="yellow"/>
          <w:lang w:val="zh-CN"/>
        </w:rPr>
      </w:pPr>
      <w:r>
        <w:rPr>
          <w:rFonts w:hint="eastAsia" w:ascii="仿宋" w:hAnsi="仿宋" w:eastAsia="仿宋" w:cs="仿宋"/>
          <w:sz w:val="24"/>
          <w:szCs w:val="24"/>
          <w:lang w:val="zh-CN"/>
        </w:rPr>
        <w:t>（3）粘捕纸的更换基准：灭蝇纸粘虫面积达到70%必须更换；若浸湿、灰尘多、粘度不够等现象也应进行更换；</w:t>
      </w:r>
      <w:r>
        <w:rPr>
          <w:rFonts w:hint="eastAsia" w:ascii="仿宋" w:hAnsi="仿宋" w:eastAsia="仿宋" w:cs="仿宋"/>
          <w:b/>
          <w:bCs/>
          <w:sz w:val="24"/>
          <w:szCs w:val="24"/>
          <w:highlight w:val="yellow"/>
          <w:lang w:val="zh-CN"/>
        </w:rPr>
        <w:t>因夏季飞虫类有害生物较多，5-</w:t>
      </w:r>
      <w:r>
        <w:rPr>
          <w:rFonts w:hint="eastAsia" w:ascii="仿宋" w:hAnsi="仿宋" w:eastAsia="仿宋" w:cs="仿宋"/>
          <w:b/>
          <w:bCs/>
          <w:sz w:val="24"/>
          <w:szCs w:val="24"/>
          <w:highlight w:val="yellow"/>
          <w:lang w:val="en-US" w:eastAsia="zh-CN"/>
        </w:rPr>
        <w:t>10</w:t>
      </w:r>
      <w:r>
        <w:rPr>
          <w:rFonts w:hint="eastAsia" w:ascii="仿宋" w:hAnsi="仿宋" w:eastAsia="仿宋" w:cs="仿宋"/>
          <w:b/>
          <w:bCs/>
          <w:sz w:val="24"/>
          <w:szCs w:val="24"/>
          <w:highlight w:val="yellow"/>
          <w:lang w:val="zh-CN"/>
        </w:rPr>
        <w:t>月每月除按照服务频率更换，</w:t>
      </w:r>
      <w:r>
        <w:rPr>
          <w:rFonts w:hint="eastAsia" w:ascii="仿宋" w:hAnsi="仿宋" w:eastAsia="仿宋" w:cs="仿宋"/>
          <w:b/>
          <w:bCs/>
          <w:sz w:val="24"/>
          <w:szCs w:val="24"/>
          <w:highlight w:val="yellow"/>
          <w:lang w:val="en-US" w:eastAsia="zh-CN"/>
        </w:rPr>
        <w:t>应</w:t>
      </w:r>
      <w:r>
        <w:rPr>
          <w:rFonts w:hint="eastAsia" w:ascii="仿宋" w:hAnsi="仿宋" w:eastAsia="仿宋" w:cs="仿宋"/>
          <w:b/>
          <w:bCs/>
          <w:sz w:val="24"/>
          <w:szCs w:val="24"/>
          <w:highlight w:val="yellow"/>
          <w:lang w:val="zh-CN"/>
        </w:rPr>
        <w:t>额外提供</w:t>
      </w:r>
      <w:r>
        <w:rPr>
          <w:rFonts w:hint="eastAsia" w:ascii="仿宋" w:hAnsi="仿宋" w:eastAsia="仿宋" w:cs="仿宋"/>
          <w:b/>
          <w:bCs/>
          <w:sz w:val="24"/>
          <w:szCs w:val="24"/>
          <w:highlight w:val="yellow"/>
          <w:lang w:val="en-US" w:eastAsia="zh-CN"/>
        </w:rPr>
        <w:t>500</w:t>
      </w:r>
      <w:r>
        <w:rPr>
          <w:rFonts w:hint="eastAsia" w:ascii="仿宋" w:hAnsi="仿宋" w:eastAsia="仿宋" w:cs="仿宋"/>
          <w:b/>
          <w:bCs/>
          <w:sz w:val="24"/>
          <w:szCs w:val="24"/>
          <w:highlight w:val="yellow"/>
          <w:lang w:val="zh-CN"/>
        </w:rPr>
        <w:t>张粘捕纸供我司人员自行更换。</w:t>
      </w:r>
    </w:p>
    <w:p w14:paraId="10619C82">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（4）可见机械式捕鼠器的清理基准：每次服务后鼠饵站内部不允许出现雨水、灰尘等杂物。</w:t>
      </w:r>
    </w:p>
    <w:p w14:paraId="72CA8DC0">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（5）粘鼠板更换基准：抓过3只老鼠或灰尘布满时需随即更换。因夏季鼠类有害生物较多，</w:t>
      </w:r>
      <w:r>
        <w:rPr>
          <w:rFonts w:hint="eastAsia" w:ascii="仿宋" w:hAnsi="仿宋" w:eastAsia="仿宋" w:cs="仿宋"/>
          <w:b/>
          <w:bCs/>
          <w:sz w:val="24"/>
          <w:szCs w:val="24"/>
          <w:highlight w:val="yellow"/>
          <w:lang w:val="zh-CN"/>
        </w:rPr>
        <w:t>应额外提供</w:t>
      </w:r>
      <w:r>
        <w:rPr>
          <w:rFonts w:hint="eastAsia" w:ascii="仿宋" w:hAnsi="仿宋" w:eastAsia="仿宋" w:cs="仿宋"/>
          <w:b/>
          <w:bCs/>
          <w:sz w:val="24"/>
          <w:szCs w:val="24"/>
          <w:highlight w:val="yellow"/>
          <w:lang w:val="en-US" w:eastAsia="zh-CN"/>
        </w:rPr>
        <w:t>200个</w:t>
      </w:r>
      <w:r>
        <w:rPr>
          <w:rFonts w:hint="eastAsia" w:ascii="仿宋" w:hAnsi="仿宋" w:eastAsia="仿宋" w:cs="仿宋"/>
          <w:b/>
          <w:bCs/>
          <w:sz w:val="24"/>
          <w:szCs w:val="24"/>
          <w:highlight w:val="yellow"/>
          <w:lang w:val="zh-CN"/>
        </w:rPr>
        <w:t>粘鼠板供我司人员自行更换</w:t>
      </w:r>
      <w:r>
        <w:rPr>
          <w:rFonts w:hint="eastAsia" w:ascii="仿宋" w:hAnsi="仿宋" w:eastAsia="仿宋" w:cs="仿宋"/>
          <w:sz w:val="24"/>
          <w:szCs w:val="24"/>
          <w:lang w:val="zh-CN"/>
        </w:rPr>
        <w:t>。</w:t>
      </w:r>
    </w:p>
    <w:p w14:paraId="134667DD">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（6）灭蝇灯灯管更换基准：灭蝇灯灯管损坏时需随即更换；未发生损坏的灯管每年更换一次，</w:t>
      </w:r>
      <w:r>
        <w:rPr>
          <w:rFonts w:hint="eastAsia" w:ascii="仿宋" w:hAnsi="仿宋" w:eastAsia="仿宋" w:cs="仿宋"/>
          <w:b/>
          <w:bCs/>
          <w:sz w:val="24"/>
          <w:szCs w:val="24"/>
          <w:highlight w:val="yellow"/>
          <w:lang w:val="en-US" w:eastAsia="zh-CN"/>
        </w:rPr>
        <w:t>另提供10个灯管供我司紧急情况时自行更换</w:t>
      </w:r>
      <w:r>
        <w:rPr>
          <w:rFonts w:hint="eastAsia" w:ascii="仿宋" w:hAnsi="仿宋" w:eastAsia="仿宋" w:cs="仿宋"/>
          <w:b/>
          <w:bCs/>
          <w:sz w:val="24"/>
          <w:szCs w:val="24"/>
          <w:highlight w:val="yellow"/>
          <w:lang w:val="zh-CN" w:eastAsia="zh-CN"/>
        </w:rPr>
        <w:t>。</w:t>
      </w:r>
      <w:r>
        <w:rPr>
          <w:rFonts w:hint="eastAsia" w:ascii="仿宋" w:hAnsi="仿宋" w:eastAsia="仿宋" w:cs="仿宋"/>
          <w:sz w:val="24"/>
          <w:szCs w:val="24"/>
          <w:lang w:val="zh-CN"/>
        </w:rPr>
        <w:t>。</w:t>
      </w:r>
    </w:p>
    <w:p w14:paraId="7A62D36A">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（7）鼠饵及杀虫剂的选择：必须符合食品企业适用要求、标准及法规要求。若使用违规药剂，造成食品污染或审核不通过，一切后果由服务单位承担。</w:t>
      </w:r>
    </w:p>
    <w:p w14:paraId="45B7B0C1">
      <w:pPr>
        <w:spacing w:line="360" w:lineRule="auto"/>
        <w:jc w:val="both"/>
        <w:rPr>
          <w:rFonts w:hint="eastAsia" w:ascii="仿宋" w:hAnsi="仿宋" w:eastAsia="仿宋" w:cs="仿宋"/>
          <w:sz w:val="24"/>
          <w:szCs w:val="24"/>
          <w:lang w:val="zh-CN" w:eastAsia="zh-CN"/>
        </w:rPr>
      </w:pPr>
      <w:r>
        <w:rPr>
          <w:rFonts w:hint="eastAsia" w:ascii="仿宋" w:hAnsi="仿宋" w:eastAsia="仿宋" w:cs="仿宋"/>
          <w:sz w:val="24"/>
          <w:szCs w:val="24"/>
          <w:lang w:val="zh-CN"/>
        </w:rPr>
        <w:t>（8）如遇客户审核等情况，服务单位需配合竞价采购方对服务时间进行调整，陪审2次以上。</w:t>
      </w:r>
    </w:p>
    <w:p w14:paraId="3443BE24">
      <w:pPr>
        <w:spacing w:line="360" w:lineRule="auto"/>
        <w:jc w:val="both"/>
        <w:rPr>
          <w:rFonts w:hint="eastAsia" w:ascii="仿宋" w:hAnsi="仿宋" w:eastAsia="仿宋" w:cs="仿宋"/>
          <w:b/>
          <w:bCs/>
          <w:sz w:val="28"/>
          <w:szCs w:val="28"/>
          <w:lang w:eastAsia="zh-CN"/>
        </w:rPr>
      </w:pPr>
      <w:r>
        <w:rPr>
          <w:rFonts w:hint="eastAsia" w:ascii="仿宋" w:hAnsi="仿宋" w:eastAsia="仿宋" w:cs="仿宋"/>
          <w:b/>
          <w:bCs/>
          <w:sz w:val="28"/>
          <w:szCs w:val="28"/>
        </w:rPr>
        <w:t>2.虫鼠害防治服务材料的提供</w:t>
      </w:r>
    </w:p>
    <w:tbl>
      <w:tblPr>
        <w:tblStyle w:val="28"/>
        <w:tblW w:w="9818" w:type="dxa"/>
        <w:tblInd w:w="-2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3"/>
        <w:gridCol w:w="1766"/>
        <w:gridCol w:w="1197"/>
        <w:gridCol w:w="4424"/>
        <w:gridCol w:w="1548"/>
      </w:tblGrid>
      <w:tr w14:paraId="59E7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83" w:type="dxa"/>
            <w:vMerge w:val="restart"/>
            <w:vAlign w:val="center"/>
          </w:tcPr>
          <w:p w14:paraId="7256274C">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7908903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7AC8E8EF">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65ABB26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13788310">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3E372C85">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4B818232">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43E93A72">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64F59F8A">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3110E708">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99" w:right="0"/>
              <w:jc w:val="center"/>
              <w:textAlignment w:val="auto"/>
              <w:rPr>
                <w:rFonts w:hint="eastAsia" w:ascii="仿宋" w:hAnsi="仿宋" w:eastAsia="仿宋" w:cs="仿宋"/>
                <w:sz w:val="21"/>
                <w:szCs w:val="21"/>
                <w:lang w:val="en-US"/>
              </w:rPr>
            </w:pPr>
          </w:p>
          <w:p w14:paraId="555591CE">
            <w:pPr>
              <w:pStyle w:val="77"/>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766" w:type="dxa"/>
            <w:vAlign w:val="center"/>
          </w:tcPr>
          <w:p w14:paraId="66EE7492">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服务报告单</w:t>
            </w:r>
          </w:p>
        </w:tc>
        <w:tc>
          <w:tcPr>
            <w:tcW w:w="1197" w:type="dxa"/>
            <w:vAlign w:val="center"/>
          </w:tcPr>
          <w:p w14:paraId="0CDD0CF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
              <w:jc w:val="both"/>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7289DF8A">
            <w:pPr>
              <w:pStyle w:val="77"/>
              <w:keepNext w:val="0"/>
              <w:keepLines w:val="0"/>
              <w:pageBreakBefore w:val="0"/>
              <w:widowControl w:val="0"/>
              <w:suppressLineNumbers w:val="0"/>
              <w:kinsoku/>
              <w:wordWrap/>
              <w:overflowPunct/>
              <w:topLinePunct w:val="0"/>
              <w:autoSpaceDE/>
              <w:autoSpaceDN/>
              <w:bidi w:val="0"/>
              <w:adjustRightInd/>
              <w:snapToGrid/>
              <w:spacing w:before="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作业区域、使用药械名称使用量、作业方式、防治虫害种类、虫害趋势分析、双方单位及人员信息、作业情况、客户反馈、处理方式与结果、存在问题与建议。虫害公司提供服务。</w:t>
            </w:r>
          </w:p>
        </w:tc>
        <w:tc>
          <w:tcPr>
            <w:tcW w:w="1548" w:type="dxa"/>
            <w:vAlign w:val="center"/>
          </w:tcPr>
          <w:p w14:paraId="3AF50761">
            <w:pPr>
              <w:pStyle w:val="77"/>
              <w:keepNext w:val="0"/>
              <w:keepLines w:val="0"/>
              <w:pageBreakBefore w:val="0"/>
              <w:widowControl w:val="0"/>
              <w:suppressLineNumbers w:val="0"/>
              <w:tabs>
                <w:tab w:val="left" w:pos="192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p w14:paraId="6F13AB03">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每次</w:t>
            </w:r>
          </w:p>
        </w:tc>
      </w:tr>
      <w:tr w14:paraId="7DE5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83" w:type="dxa"/>
            <w:vMerge w:val="continue"/>
            <w:vAlign w:val="center"/>
          </w:tcPr>
          <w:p w14:paraId="2995966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1766" w:type="dxa"/>
            <w:vAlign w:val="center"/>
          </w:tcPr>
          <w:p w14:paraId="0CDB1547">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p>
          <w:p w14:paraId="4CFAEA4F">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综合虫害管理常规检查表</w:t>
            </w:r>
          </w:p>
        </w:tc>
        <w:tc>
          <w:tcPr>
            <w:tcW w:w="1197" w:type="dxa"/>
            <w:vAlign w:val="center"/>
          </w:tcPr>
          <w:p w14:paraId="2B86C195">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6CFAF586">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对厂区及建筑物内的环境、防御设施、虫鼠害隐匿所、虫鼠害迹象等进行综合检查(我司留档)；</w:t>
            </w:r>
          </w:p>
          <w:p w14:paraId="16BAE6DD">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虫害公司提供服务。</w:t>
            </w:r>
          </w:p>
        </w:tc>
        <w:tc>
          <w:tcPr>
            <w:tcW w:w="1548" w:type="dxa"/>
            <w:vAlign w:val="center"/>
          </w:tcPr>
          <w:p w14:paraId="7E4ADE7C">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每次</w:t>
            </w:r>
          </w:p>
        </w:tc>
      </w:tr>
      <w:tr w14:paraId="0876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0" w:hRule="atLeast"/>
        </w:trPr>
        <w:tc>
          <w:tcPr>
            <w:tcW w:w="883" w:type="dxa"/>
            <w:vMerge w:val="continue"/>
            <w:vAlign w:val="center"/>
          </w:tcPr>
          <w:p w14:paraId="1E0FD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1766" w:type="dxa"/>
            <w:vAlign w:val="center"/>
          </w:tcPr>
          <w:p w14:paraId="635CD0DB">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药械使用记录</w:t>
            </w:r>
          </w:p>
        </w:tc>
        <w:tc>
          <w:tcPr>
            <w:tcW w:w="1197" w:type="dxa"/>
            <w:vAlign w:val="center"/>
          </w:tcPr>
          <w:p w14:paraId="3F479956">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6AE6B5F8">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right="-29"/>
              <w:jc w:val="both"/>
              <w:textAlignment w:val="auto"/>
              <w:rPr>
                <w:rFonts w:hint="eastAsia" w:ascii="仿宋" w:hAnsi="仿宋" w:eastAsia="仿宋" w:cs="仿宋"/>
                <w:sz w:val="21"/>
                <w:szCs w:val="21"/>
              </w:rPr>
            </w:pPr>
            <w:r>
              <w:rPr>
                <w:rFonts w:hint="eastAsia" w:ascii="仿宋" w:hAnsi="仿宋" w:eastAsia="仿宋" w:cs="仿宋"/>
                <w:spacing w:val="-3"/>
                <w:sz w:val="21"/>
                <w:szCs w:val="21"/>
              </w:rPr>
              <w:t>包括：日期、产品名称成分、使用浓度、使用场所、用药量、</w:t>
            </w:r>
            <w:r>
              <w:rPr>
                <w:rFonts w:hint="eastAsia" w:ascii="仿宋" w:hAnsi="仿宋" w:eastAsia="仿宋" w:cs="仿宋"/>
                <w:sz w:val="21"/>
                <w:szCs w:val="21"/>
              </w:rPr>
              <w:t>MSDS</w:t>
            </w:r>
            <w:r>
              <w:rPr>
                <w:rFonts w:hint="eastAsia" w:ascii="仿宋" w:hAnsi="仿宋" w:eastAsia="仿宋" w:cs="仿宋"/>
                <w:spacing w:val="-16"/>
                <w:sz w:val="21"/>
                <w:szCs w:val="21"/>
              </w:rPr>
              <w:t>、</w:t>
            </w:r>
            <w:r>
              <w:rPr>
                <w:rFonts w:hint="eastAsia" w:ascii="仿宋" w:hAnsi="仿宋" w:eastAsia="仿宋" w:cs="仿宋"/>
                <w:spacing w:val="-3"/>
                <w:sz w:val="21"/>
                <w:szCs w:val="21"/>
              </w:rPr>
              <w:t>防治对象、人员等（</w:t>
            </w:r>
            <w:r>
              <w:rPr>
                <w:rFonts w:hint="eastAsia" w:ascii="仿宋" w:hAnsi="仿宋" w:eastAsia="仿宋" w:cs="仿宋"/>
                <w:sz w:val="21"/>
                <w:szCs w:val="21"/>
              </w:rPr>
              <w:t>我</w:t>
            </w:r>
            <w:r>
              <w:rPr>
                <w:rFonts w:hint="eastAsia" w:ascii="仿宋" w:hAnsi="仿宋" w:eastAsia="仿宋" w:cs="仿宋"/>
                <w:spacing w:val="-1"/>
                <w:sz w:val="21"/>
                <w:szCs w:val="21"/>
              </w:rPr>
              <w:t>司留档</w:t>
            </w:r>
            <w:r>
              <w:rPr>
                <w:rFonts w:hint="eastAsia" w:ascii="仿宋" w:hAnsi="仿宋" w:eastAsia="仿宋" w:cs="仿宋"/>
                <w:sz w:val="21"/>
                <w:szCs w:val="21"/>
              </w:rPr>
              <w:t>）；</w:t>
            </w:r>
          </w:p>
          <w:p w14:paraId="692F53C9">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虫害公司提供服务</w:t>
            </w:r>
          </w:p>
        </w:tc>
        <w:tc>
          <w:tcPr>
            <w:tcW w:w="1548" w:type="dxa"/>
            <w:vAlign w:val="center"/>
          </w:tcPr>
          <w:p w14:paraId="63020B21">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每次</w:t>
            </w:r>
          </w:p>
        </w:tc>
      </w:tr>
      <w:tr w14:paraId="2F6E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trPr>
        <w:tc>
          <w:tcPr>
            <w:tcW w:w="883" w:type="dxa"/>
            <w:vMerge w:val="continue"/>
            <w:vAlign w:val="center"/>
          </w:tcPr>
          <w:p w14:paraId="3E004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1766" w:type="dxa"/>
            <w:vAlign w:val="center"/>
          </w:tcPr>
          <w:p w14:paraId="66A02FC4">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1"/>
              <w:jc w:val="both"/>
              <w:textAlignment w:val="auto"/>
              <w:rPr>
                <w:rFonts w:hint="eastAsia" w:ascii="仿宋" w:hAnsi="仿宋" w:eastAsia="仿宋" w:cs="仿宋"/>
                <w:sz w:val="21"/>
                <w:szCs w:val="21"/>
              </w:rPr>
            </w:pPr>
            <w:r>
              <w:rPr>
                <w:rFonts w:hint="eastAsia" w:ascii="仿宋" w:hAnsi="仿宋" w:eastAsia="仿宋" w:cs="仿宋"/>
                <w:sz w:val="21"/>
                <w:szCs w:val="21"/>
              </w:rPr>
              <w:t>防治设施检查记录表</w:t>
            </w:r>
          </w:p>
        </w:tc>
        <w:tc>
          <w:tcPr>
            <w:tcW w:w="1197" w:type="dxa"/>
            <w:vAlign w:val="center"/>
          </w:tcPr>
          <w:p w14:paraId="7669FF9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48890299">
            <w:pPr>
              <w:pStyle w:val="77"/>
              <w:keepNext w:val="0"/>
              <w:keepLines w:val="0"/>
              <w:pageBreakBefore w:val="0"/>
              <w:widowControl w:val="0"/>
              <w:suppressLineNumbers w:val="0"/>
              <w:kinsoku/>
              <w:wordWrap/>
              <w:overflowPunct/>
              <w:topLinePunct w:val="0"/>
              <w:autoSpaceDE/>
              <w:autoSpaceDN/>
              <w:bidi w:val="0"/>
              <w:adjustRightInd/>
              <w:snapToGrid/>
              <w:spacing w:before="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z w:val="21"/>
                <w:szCs w:val="21"/>
              </w:rPr>
              <w:t>包括：鼠饵站检查记录捕鼠器检查记录、粘鼠板检查记录、灭蝇灯检查记录（我司留档）；虫害公司提供服务。</w:t>
            </w:r>
          </w:p>
        </w:tc>
        <w:tc>
          <w:tcPr>
            <w:tcW w:w="1548" w:type="dxa"/>
            <w:vAlign w:val="center"/>
          </w:tcPr>
          <w:p w14:paraId="552C166C">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每次</w:t>
            </w:r>
          </w:p>
        </w:tc>
      </w:tr>
      <w:tr w14:paraId="5C1B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0" w:hRule="atLeast"/>
        </w:trPr>
        <w:tc>
          <w:tcPr>
            <w:tcW w:w="883" w:type="dxa"/>
            <w:vMerge w:val="continue"/>
            <w:vAlign w:val="center"/>
          </w:tcPr>
          <w:p w14:paraId="31623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p>
        </w:tc>
        <w:tc>
          <w:tcPr>
            <w:tcW w:w="1766" w:type="dxa"/>
            <w:vAlign w:val="center"/>
          </w:tcPr>
          <w:p w14:paraId="0276EF5F">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进出厂产品清单</w:t>
            </w:r>
          </w:p>
        </w:tc>
        <w:tc>
          <w:tcPr>
            <w:tcW w:w="1197" w:type="dxa"/>
            <w:vAlign w:val="center"/>
          </w:tcPr>
          <w:p w14:paraId="3442466D">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0212BF67">
            <w:pPr>
              <w:pStyle w:val="77"/>
              <w:keepNext w:val="0"/>
              <w:keepLines w:val="0"/>
              <w:pageBreakBefore w:val="0"/>
              <w:widowControl w:val="0"/>
              <w:suppressLineNumbers w:val="0"/>
              <w:kinsoku/>
              <w:wordWrap/>
              <w:overflowPunct/>
              <w:topLinePunct w:val="0"/>
              <w:autoSpaceDE/>
              <w:autoSpaceDN/>
              <w:bidi w:val="0"/>
              <w:adjustRightInd/>
              <w:snapToGrid/>
              <w:spacing w:before="41"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3"/>
                <w:sz w:val="21"/>
                <w:szCs w:val="21"/>
                <w:lang w:val="en-US" w:eastAsia="zh-CN"/>
              </w:rPr>
              <w:t>.</w:t>
            </w:r>
            <w:r>
              <w:rPr>
                <w:rFonts w:hint="eastAsia" w:ascii="仿宋" w:hAnsi="仿宋" w:eastAsia="仿宋" w:cs="仿宋"/>
                <w:spacing w:val="-3"/>
                <w:sz w:val="21"/>
                <w:szCs w:val="21"/>
              </w:rPr>
              <w:t>产品名称</w:t>
            </w:r>
          </w:p>
          <w:p w14:paraId="68D27F80">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pacing w:val="-3"/>
                <w:sz w:val="21"/>
                <w:szCs w:val="21"/>
                <w:lang w:val="en-US" w:eastAsia="zh-CN"/>
              </w:rPr>
              <w:t>.</w:t>
            </w:r>
            <w:r>
              <w:rPr>
                <w:rFonts w:hint="eastAsia" w:ascii="仿宋" w:hAnsi="仿宋" w:eastAsia="仿宋" w:cs="仿宋"/>
                <w:spacing w:val="-3"/>
                <w:sz w:val="21"/>
                <w:szCs w:val="21"/>
              </w:rPr>
              <w:t>入厂数量</w:t>
            </w:r>
          </w:p>
          <w:p w14:paraId="52DD87A1">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服务使用数量</w:t>
            </w:r>
          </w:p>
          <w:p w14:paraId="387D47A6">
            <w:pPr>
              <w:pStyle w:val="77"/>
              <w:keepNext w:val="0"/>
              <w:keepLines w:val="0"/>
              <w:pageBreakBefore w:val="0"/>
              <w:widowControl w:val="0"/>
              <w:suppressLineNumbers w:val="0"/>
              <w:kinsoku/>
              <w:wordWrap/>
              <w:overflowPunct/>
              <w:topLinePunct w:val="0"/>
              <w:autoSpaceDE/>
              <w:autoSpaceDN/>
              <w:bidi w:val="0"/>
              <w:adjustRightInd/>
              <w:snapToGrid/>
              <w:spacing w:before="43"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剩余数量</w:t>
            </w:r>
          </w:p>
          <w:p w14:paraId="1B85241F">
            <w:pPr>
              <w:pStyle w:val="77"/>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240" w:lineRule="auto"/>
              <w:ind w:left="101" w:right="26"/>
              <w:jc w:val="both"/>
              <w:textAlignment w:val="auto"/>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w:t>
            </w:r>
            <w:r>
              <w:rPr>
                <w:rFonts w:hint="eastAsia" w:ascii="仿宋" w:hAnsi="仿宋" w:eastAsia="仿宋" w:cs="仿宋"/>
                <w:sz w:val="21"/>
                <w:szCs w:val="21"/>
              </w:rPr>
              <w:t>替换下数量(废弃)； 虫害公司提供服务。</w:t>
            </w:r>
          </w:p>
        </w:tc>
        <w:tc>
          <w:tcPr>
            <w:tcW w:w="1548" w:type="dxa"/>
            <w:vAlign w:val="center"/>
          </w:tcPr>
          <w:p w14:paraId="72B36B9D">
            <w:pPr>
              <w:pStyle w:val="77"/>
              <w:keepNext w:val="0"/>
              <w:keepLines w:val="0"/>
              <w:pageBreakBefore w:val="0"/>
              <w:widowControl w:val="0"/>
              <w:suppressLineNumbers w:val="0"/>
              <w:kinsoku/>
              <w:wordWrap/>
              <w:overflowPunct/>
              <w:topLinePunct w:val="0"/>
              <w:autoSpaceDE/>
              <w:autoSpaceDN/>
              <w:bidi w:val="0"/>
              <w:adjustRightInd/>
              <w:snapToGrid/>
              <w:spacing w:before="131"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每次</w:t>
            </w:r>
          </w:p>
        </w:tc>
      </w:tr>
      <w:tr w14:paraId="68DF5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883" w:type="dxa"/>
            <w:vAlign w:val="center"/>
          </w:tcPr>
          <w:p w14:paraId="19107BDE">
            <w:pPr>
              <w:pStyle w:val="77"/>
              <w:keepNext w:val="0"/>
              <w:keepLines w:val="0"/>
              <w:pageBreakBefore w:val="0"/>
              <w:widowControl w:val="0"/>
              <w:suppressLineNumbers w:val="0"/>
              <w:kinsoku/>
              <w:wordWrap/>
              <w:overflowPunct/>
              <w:topLinePunct w:val="0"/>
              <w:autoSpaceDE/>
              <w:autoSpaceDN/>
              <w:bidi w:val="0"/>
              <w:adjustRightInd/>
              <w:snapToGrid/>
              <w:spacing w:before="139" w:beforeAutospacing="0" w:after="0" w:afterAutospacing="0" w:line="240" w:lineRule="auto"/>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766" w:type="dxa"/>
            <w:vAlign w:val="center"/>
          </w:tcPr>
          <w:p w14:paraId="4C0AD2C3">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风险评估</w:t>
            </w:r>
          </w:p>
        </w:tc>
        <w:tc>
          <w:tcPr>
            <w:tcW w:w="1197" w:type="dxa"/>
            <w:vAlign w:val="center"/>
          </w:tcPr>
          <w:p w14:paraId="57745AE4">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085B87E4">
            <w:pPr>
              <w:pStyle w:val="77"/>
              <w:keepNext w:val="0"/>
              <w:keepLines w:val="0"/>
              <w:pageBreakBefore w:val="0"/>
              <w:widowControl w:val="0"/>
              <w:suppressLineNumbers w:val="0"/>
              <w:kinsoku/>
              <w:wordWrap/>
              <w:overflowPunct/>
              <w:topLinePunct w:val="0"/>
              <w:autoSpaceDE/>
              <w:autoSpaceDN/>
              <w:bidi w:val="0"/>
              <w:adjustRightInd/>
              <w:snapToGrid/>
              <w:spacing w:before="4"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pacing w:val="-5"/>
                <w:sz w:val="21"/>
                <w:szCs w:val="21"/>
              </w:rPr>
              <w:t>排查所属区域存在风险的区域，并以书面报告</w:t>
            </w:r>
            <w:r>
              <w:rPr>
                <w:rFonts w:hint="eastAsia" w:ascii="仿宋" w:hAnsi="仿宋" w:eastAsia="仿宋" w:cs="仿宋"/>
                <w:spacing w:val="-3"/>
                <w:sz w:val="21"/>
                <w:szCs w:val="21"/>
              </w:rPr>
              <w:t xml:space="preserve">形式提出整改意见； </w:t>
            </w:r>
            <w:r>
              <w:rPr>
                <w:rFonts w:hint="eastAsia" w:ascii="仿宋" w:hAnsi="仿宋" w:eastAsia="仿宋" w:cs="仿宋"/>
                <w:spacing w:val="-4"/>
                <w:sz w:val="21"/>
                <w:szCs w:val="21"/>
              </w:rPr>
              <w:t>虫害公司提供服务，并要求服务人员为主管级</w:t>
            </w:r>
            <w:r>
              <w:rPr>
                <w:rFonts w:hint="eastAsia" w:ascii="仿宋" w:hAnsi="仿宋" w:eastAsia="仿宋" w:cs="仿宋"/>
                <w:spacing w:val="-1"/>
                <w:sz w:val="21"/>
                <w:szCs w:val="21"/>
              </w:rPr>
              <w:t>以上级别</w:t>
            </w:r>
          </w:p>
        </w:tc>
        <w:tc>
          <w:tcPr>
            <w:tcW w:w="1548" w:type="dxa"/>
            <w:vAlign w:val="center"/>
          </w:tcPr>
          <w:p w14:paraId="702F8B6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每年不少于2次</w:t>
            </w:r>
          </w:p>
        </w:tc>
      </w:tr>
      <w:tr w14:paraId="7F51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5" w:hRule="atLeast"/>
        </w:trPr>
        <w:tc>
          <w:tcPr>
            <w:tcW w:w="883" w:type="dxa"/>
            <w:vAlign w:val="center"/>
          </w:tcPr>
          <w:p w14:paraId="10E762E1">
            <w:pPr>
              <w:pStyle w:val="77"/>
              <w:keepNext w:val="0"/>
              <w:keepLines w:val="0"/>
              <w:pageBreakBefore w:val="0"/>
              <w:widowControl w:val="0"/>
              <w:suppressLineNumbers w:val="0"/>
              <w:kinsoku/>
              <w:wordWrap/>
              <w:overflowPunct/>
              <w:topLinePunct w:val="0"/>
              <w:autoSpaceDE/>
              <w:autoSpaceDN/>
              <w:bidi w:val="0"/>
              <w:adjustRightInd/>
              <w:snapToGrid/>
              <w:spacing w:before="137" w:beforeAutospacing="0" w:after="0" w:afterAutospacing="0" w:line="240" w:lineRule="auto"/>
              <w:ind w:left="0" w:right="68"/>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766" w:type="dxa"/>
            <w:vAlign w:val="center"/>
          </w:tcPr>
          <w:p w14:paraId="70824104">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虫害趋势分析</w:t>
            </w:r>
          </w:p>
        </w:tc>
        <w:tc>
          <w:tcPr>
            <w:tcW w:w="1197" w:type="dxa"/>
            <w:vAlign w:val="center"/>
          </w:tcPr>
          <w:p w14:paraId="47169403">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371379B5">
            <w:pPr>
              <w:pStyle w:val="77"/>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240" w:lineRule="auto"/>
              <w:ind w:left="101" w:right="50"/>
              <w:jc w:val="both"/>
              <w:textAlignment w:val="auto"/>
              <w:rPr>
                <w:rFonts w:hint="eastAsia" w:ascii="仿宋" w:hAnsi="仿宋" w:eastAsia="仿宋" w:cs="仿宋"/>
                <w:sz w:val="21"/>
                <w:szCs w:val="21"/>
              </w:rPr>
            </w:pPr>
            <w:r>
              <w:rPr>
                <w:rFonts w:hint="eastAsia" w:ascii="仿宋" w:hAnsi="仿宋" w:eastAsia="仿宋" w:cs="仿宋"/>
                <w:spacing w:val="-5"/>
                <w:sz w:val="21"/>
                <w:szCs w:val="21"/>
              </w:rPr>
              <w:t>根据虫害设施统计数据以及综合检查记录对本阶段的虫害密度图示及</w:t>
            </w:r>
            <w:r>
              <w:rPr>
                <w:rFonts w:hint="eastAsia" w:ascii="仿宋" w:hAnsi="仿宋" w:eastAsia="仿宋" w:cs="仿宋"/>
                <w:spacing w:val="-4"/>
                <w:sz w:val="21"/>
                <w:szCs w:val="21"/>
              </w:rPr>
              <w:t>分析原因、对下一步的</w:t>
            </w:r>
            <w:r>
              <w:rPr>
                <w:rFonts w:hint="eastAsia" w:ascii="仿宋" w:hAnsi="仿宋" w:eastAsia="仿宋" w:cs="仿宋"/>
                <w:spacing w:val="-3"/>
                <w:sz w:val="21"/>
                <w:szCs w:val="21"/>
              </w:rPr>
              <w:t>跟进措施进行阐述； 虫害公司提供服务。</w:t>
            </w:r>
          </w:p>
        </w:tc>
        <w:tc>
          <w:tcPr>
            <w:tcW w:w="1548" w:type="dxa"/>
            <w:vAlign w:val="center"/>
          </w:tcPr>
          <w:p w14:paraId="227B2D88">
            <w:pPr>
              <w:pStyle w:val="77"/>
              <w:keepNext w:val="0"/>
              <w:keepLines w:val="0"/>
              <w:pageBreakBefore w:val="0"/>
              <w:widowControl w:val="0"/>
              <w:suppressLineNumbers w:val="0"/>
              <w:kinsoku/>
              <w:wordWrap/>
              <w:overflowPunct/>
              <w:topLinePunct w:val="0"/>
              <w:autoSpaceDE/>
              <w:autoSpaceDN/>
              <w:bidi w:val="0"/>
              <w:adjustRightInd/>
              <w:snapToGrid/>
              <w:spacing w:before="132"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每月</w:t>
            </w:r>
          </w:p>
        </w:tc>
      </w:tr>
      <w:tr w14:paraId="6D5D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 w:hRule="atLeast"/>
        </w:trPr>
        <w:tc>
          <w:tcPr>
            <w:tcW w:w="883" w:type="dxa"/>
            <w:vAlign w:val="center"/>
          </w:tcPr>
          <w:p w14:paraId="5344302A">
            <w:pPr>
              <w:pStyle w:val="77"/>
              <w:keepNext w:val="0"/>
              <w:keepLines w:val="0"/>
              <w:pageBreakBefore w:val="0"/>
              <w:widowControl w:val="0"/>
              <w:suppressLineNumbers w:val="0"/>
              <w:kinsoku/>
              <w:wordWrap/>
              <w:overflowPunct/>
              <w:topLinePunct w:val="0"/>
              <w:autoSpaceDE/>
              <w:autoSpaceDN/>
              <w:bidi w:val="0"/>
              <w:adjustRightInd/>
              <w:snapToGrid/>
              <w:spacing w:before="139" w:beforeAutospacing="0" w:after="0" w:afterAutospacing="0" w:line="240" w:lineRule="auto"/>
              <w:ind w:left="0" w:right="68"/>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766" w:type="dxa"/>
            <w:vAlign w:val="center"/>
          </w:tcPr>
          <w:p w14:paraId="46266D86">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5"/>
              <w:jc w:val="both"/>
              <w:textAlignment w:val="auto"/>
              <w:rPr>
                <w:rFonts w:hint="eastAsia" w:ascii="仿宋" w:hAnsi="仿宋" w:eastAsia="仿宋" w:cs="仿宋"/>
                <w:sz w:val="21"/>
                <w:szCs w:val="21"/>
              </w:rPr>
            </w:pPr>
            <w:r>
              <w:rPr>
                <w:rFonts w:hint="eastAsia" w:ascii="仿宋" w:hAnsi="仿宋" w:eastAsia="仿宋" w:cs="仿宋"/>
                <w:sz w:val="21"/>
                <w:szCs w:val="21"/>
              </w:rPr>
              <w:t>工厂员工培训</w:t>
            </w:r>
          </w:p>
        </w:tc>
        <w:tc>
          <w:tcPr>
            <w:tcW w:w="1197" w:type="dxa"/>
            <w:vAlign w:val="center"/>
          </w:tcPr>
          <w:p w14:paraId="6D61E191">
            <w:pPr>
              <w:pStyle w:val="77"/>
              <w:keepNext w:val="0"/>
              <w:keepLines w:val="0"/>
              <w:pageBreakBefore w:val="0"/>
              <w:widowControl w:val="0"/>
              <w:suppressLineNumbers w:val="0"/>
              <w:kinsoku/>
              <w:wordWrap/>
              <w:overflowPunct/>
              <w:topLinePunct w:val="0"/>
              <w:autoSpaceDE/>
              <w:autoSpaceDN/>
              <w:bidi w:val="0"/>
              <w:adjustRightInd/>
              <w:snapToGrid/>
              <w:spacing w:before="134"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1BA05591">
            <w:pPr>
              <w:pStyle w:val="77"/>
              <w:keepNext w:val="0"/>
              <w:keepLines w:val="0"/>
              <w:pageBreakBefore w:val="0"/>
              <w:widowControl w:val="0"/>
              <w:suppressLineNumbers w:val="0"/>
              <w:kinsoku/>
              <w:wordWrap/>
              <w:overflowPunct/>
              <w:topLinePunct w:val="0"/>
              <w:autoSpaceDE/>
              <w:autoSpaceDN/>
              <w:bidi w:val="0"/>
              <w:adjustRightInd/>
              <w:snapToGrid/>
              <w:spacing w:before="44" w:beforeAutospacing="0" w:after="0" w:afterAutospacing="0" w:line="240" w:lineRule="auto"/>
              <w:ind w:left="101" w:right="7"/>
              <w:jc w:val="both"/>
              <w:textAlignment w:val="auto"/>
              <w:rPr>
                <w:rFonts w:hint="eastAsia" w:ascii="仿宋" w:hAnsi="仿宋" w:eastAsia="仿宋" w:cs="仿宋"/>
                <w:sz w:val="21"/>
                <w:szCs w:val="21"/>
              </w:rPr>
            </w:pPr>
            <w:r>
              <w:rPr>
                <w:rFonts w:hint="eastAsia" w:ascii="仿宋" w:hAnsi="仿宋" w:eastAsia="仿宋" w:cs="仿宋"/>
                <w:spacing w:val="-3"/>
                <w:sz w:val="21"/>
                <w:szCs w:val="21"/>
              </w:rPr>
              <w:t>培训时间待定，大致在5</w:t>
            </w:r>
            <w:r>
              <w:rPr>
                <w:rFonts w:hint="eastAsia" w:ascii="仿宋" w:hAnsi="仿宋" w:eastAsia="仿宋" w:cs="仿宋"/>
                <w:spacing w:val="-2"/>
                <w:sz w:val="21"/>
                <w:szCs w:val="21"/>
              </w:rPr>
              <w:t>月—</w:t>
            </w:r>
            <w:r>
              <w:rPr>
                <w:rFonts w:hint="eastAsia" w:ascii="仿宋" w:hAnsi="仿宋" w:eastAsia="仿宋" w:cs="仿宋"/>
                <w:sz w:val="21"/>
                <w:szCs w:val="21"/>
              </w:rPr>
              <w:t>9</w:t>
            </w:r>
            <w:r>
              <w:rPr>
                <w:rFonts w:hint="eastAsia" w:ascii="仿宋" w:hAnsi="仿宋" w:eastAsia="仿宋" w:cs="仿宋"/>
                <w:spacing w:val="-13"/>
                <w:sz w:val="21"/>
                <w:szCs w:val="21"/>
              </w:rPr>
              <w:t>月，培训时长不</w:t>
            </w:r>
            <w:r>
              <w:rPr>
                <w:rFonts w:hint="eastAsia" w:ascii="仿宋" w:hAnsi="仿宋" w:eastAsia="仿宋" w:cs="仿宋"/>
                <w:spacing w:val="-19"/>
                <w:sz w:val="21"/>
                <w:szCs w:val="21"/>
              </w:rPr>
              <w:t xml:space="preserve">少于 </w:t>
            </w:r>
            <w:r>
              <w:rPr>
                <w:rFonts w:hint="eastAsia" w:ascii="仿宋" w:hAnsi="仿宋" w:eastAsia="仿宋" w:cs="仿宋"/>
                <w:sz w:val="21"/>
                <w:szCs w:val="21"/>
              </w:rPr>
              <w:t>3</w:t>
            </w:r>
            <w:r>
              <w:rPr>
                <w:rFonts w:hint="eastAsia" w:ascii="仿宋" w:hAnsi="仿宋" w:eastAsia="仿宋" w:cs="仿宋"/>
                <w:spacing w:val="-2"/>
                <w:sz w:val="21"/>
                <w:szCs w:val="21"/>
              </w:rPr>
              <w:t>小时；</w:t>
            </w:r>
          </w:p>
          <w:p w14:paraId="6547BA4E">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1" w:right="0"/>
              <w:jc w:val="both"/>
              <w:textAlignment w:val="auto"/>
              <w:rPr>
                <w:rFonts w:hint="eastAsia" w:ascii="仿宋" w:hAnsi="仿宋" w:eastAsia="仿宋" w:cs="仿宋"/>
                <w:sz w:val="21"/>
                <w:szCs w:val="21"/>
              </w:rPr>
            </w:pPr>
            <w:r>
              <w:rPr>
                <w:rFonts w:hint="eastAsia" w:ascii="仿宋" w:hAnsi="仿宋" w:eastAsia="仿宋" w:cs="仿宋"/>
                <w:sz w:val="21"/>
                <w:szCs w:val="21"/>
              </w:rPr>
              <w:t>虫害公司提供服务，要求服务人员为主管级以上级别。</w:t>
            </w:r>
          </w:p>
        </w:tc>
        <w:tc>
          <w:tcPr>
            <w:tcW w:w="1548" w:type="dxa"/>
            <w:vAlign w:val="center"/>
          </w:tcPr>
          <w:p w14:paraId="4A8B9A15">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每年不少于1次</w:t>
            </w:r>
          </w:p>
        </w:tc>
      </w:tr>
      <w:tr w14:paraId="4EB2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 w:hRule="atLeast"/>
        </w:trPr>
        <w:tc>
          <w:tcPr>
            <w:tcW w:w="883" w:type="dxa"/>
            <w:vAlign w:val="center"/>
          </w:tcPr>
          <w:p w14:paraId="04467FCE">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8"/>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66" w:type="dxa"/>
            <w:vAlign w:val="center"/>
          </w:tcPr>
          <w:p w14:paraId="67B1553E">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
              <w:jc w:val="both"/>
              <w:textAlignment w:val="auto"/>
              <w:rPr>
                <w:rFonts w:hint="eastAsia" w:ascii="仿宋" w:hAnsi="仿宋" w:eastAsia="仿宋" w:cs="仿宋"/>
                <w:sz w:val="21"/>
                <w:szCs w:val="21"/>
              </w:rPr>
            </w:pPr>
            <w:r>
              <w:rPr>
                <w:rFonts w:hint="eastAsia" w:ascii="仿宋" w:hAnsi="仿宋" w:eastAsia="仿宋" w:cs="仿宋"/>
                <w:sz w:val="21"/>
                <w:szCs w:val="21"/>
              </w:rPr>
              <w:t>定期沟通</w:t>
            </w:r>
          </w:p>
        </w:tc>
        <w:tc>
          <w:tcPr>
            <w:tcW w:w="1197" w:type="dxa"/>
            <w:vAlign w:val="center"/>
          </w:tcPr>
          <w:p w14:paraId="308DED11">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3"/>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424" w:type="dxa"/>
            <w:vAlign w:val="center"/>
          </w:tcPr>
          <w:p w14:paraId="77FA6C20">
            <w:pPr>
              <w:pStyle w:val="77"/>
              <w:keepNext w:val="0"/>
              <w:keepLines w:val="0"/>
              <w:pageBreakBefore w:val="0"/>
              <w:widowControl w:val="0"/>
              <w:suppressLineNumbers w:val="0"/>
              <w:kinsoku/>
              <w:wordWrap/>
              <w:overflowPunct/>
              <w:topLinePunct w:val="0"/>
              <w:autoSpaceDE/>
              <w:autoSpaceDN/>
              <w:bidi w:val="0"/>
              <w:adjustRightInd/>
              <w:snapToGrid/>
              <w:spacing w:before="10" w:beforeAutospacing="0" w:after="0" w:afterAutospacing="0" w:line="240" w:lineRule="auto"/>
              <w:ind w:left="0" w:right="50"/>
              <w:jc w:val="both"/>
              <w:textAlignment w:val="auto"/>
              <w:rPr>
                <w:rFonts w:hint="eastAsia" w:ascii="仿宋" w:hAnsi="仿宋" w:eastAsia="仿宋" w:cs="仿宋"/>
                <w:sz w:val="21"/>
                <w:szCs w:val="21"/>
              </w:rPr>
            </w:pPr>
            <w:r>
              <w:rPr>
                <w:rFonts w:hint="eastAsia" w:ascii="仿宋" w:hAnsi="仿宋" w:eastAsia="仿宋" w:cs="仿宋"/>
                <w:sz w:val="21"/>
                <w:szCs w:val="21"/>
              </w:rPr>
              <w:t>了解客诉诉求，协助客户解决问题；</w:t>
            </w:r>
          </w:p>
        </w:tc>
        <w:tc>
          <w:tcPr>
            <w:tcW w:w="1548" w:type="dxa"/>
            <w:vAlign w:val="center"/>
          </w:tcPr>
          <w:p w14:paraId="1A4E00EC">
            <w:pPr>
              <w:pStyle w:val="7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rPr>
              <w:t>每年不少于2次</w:t>
            </w:r>
          </w:p>
        </w:tc>
      </w:tr>
    </w:tbl>
    <w:p w14:paraId="48AA1460">
      <w:pPr>
        <w:spacing w:line="360" w:lineRule="auto"/>
        <w:jc w:val="both"/>
        <w:rPr>
          <w:rFonts w:hint="eastAsia" w:ascii="仿宋" w:hAnsi="仿宋" w:eastAsia="仿宋" w:cs="仿宋"/>
          <w:b/>
          <w:bCs/>
          <w:sz w:val="28"/>
          <w:szCs w:val="28"/>
          <w:lang w:val="zh-CN"/>
        </w:rPr>
      </w:pPr>
      <w:r>
        <w:rPr>
          <w:rFonts w:hint="eastAsia" w:ascii="仿宋" w:hAnsi="仿宋" w:eastAsia="仿宋" w:cs="仿宋"/>
          <w:b/>
          <w:bCs/>
          <w:sz w:val="28"/>
          <w:szCs w:val="28"/>
          <w:lang w:val="zh-CN"/>
        </w:rPr>
        <w:t>备注：</w:t>
      </w:r>
    </w:p>
    <w:p w14:paraId="73C7F2EE">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rPr>
        <w:t>（</w:t>
      </w:r>
      <w:r>
        <w:rPr>
          <w:rFonts w:hint="eastAsia" w:ascii="仿宋" w:hAnsi="仿宋" w:eastAsia="仿宋" w:cs="仿宋"/>
          <w:sz w:val="24"/>
          <w:szCs w:val="24"/>
          <w:lang w:val="zh-CN"/>
        </w:rPr>
        <w:t>1）纸张需干净整洁，不可有水印、褶皱等；</w:t>
      </w:r>
    </w:p>
    <w:p w14:paraId="75C4F149">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（2）书写版纸质材料书写时应清晰明了，不可肆意更改、涂抹；</w:t>
      </w:r>
    </w:p>
    <w:p w14:paraId="2C85719F">
      <w:pPr>
        <w:spacing w:line="360" w:lineRule="auto"/>
        <w:jc w:val="both"/>
        <w:rPr>
          <w:rFonts w:hint="eastAsia" w:ascii="仿宋" w:hAnsi="仿宋" w:eastAsia="仿宋" w:cs="仿宋"/>
          <w:sz w:val="24"/>
          <w:szCs w:val="24"/>
          <w:lang w:val="zh-CN"/>
        </w:rPr>
      </w:pPr>
      <w:r>
        <w:rPr>
          <w:rFonts w:hint="eastAsia" w:ascii="仿宋" w:hAnsi="仿宋" w:eastAsia="仿宋" w:cs="仿宋"/>
          <w:sz w:val="24"/>
          <w:szCs w:val="24"/>
          <w:lang w:val="zh-CN"/>
        </w:rPr>
        <w:t>（3）打印版纸质材料应保证数据真实有效，数据内容与书写版纸质材料一一对应，可追溯查询。</w:t>
      </w:r>
    </w:p>
    <w:p w14:paraId="6D8D8F0B">
      <w:pPr>
        <w:spacing w:line="360" w:lineRule="auto"/>
        <w:jc w:val="both"/>
        <w:rPr>
          <w:rFonts w:hint="eastAsia" w:ascii="仿宋" w:hAnsi="仿宋" w:eastAsia="仿宋" w:cs="仿宋"/>
          <w:sz w:val="28"/>
          <w:szCs w:val="28"/>
          <w:lang w:val="zh-CN" w:eastAsia="zh-CN"/>
        </w:rPr>
      </w:pPr>
    </w:p>
    <w:p w14:paraId="46E288BE">
      <w:pPr>
        <w:pStyle w:val="11"/>
        <w:ind w:firstLine="0" w:firstLineChars="0"/>
        <w:jc w:val="left"/>
        <w:rPr>
          <w:rFonts w:hint="eastAsia" w:ascii="宋体" w:hAnsi="宋体" w:cs="宋体"/>
          <w:b/>
          <w:bCs/>
          <w:color w:val="000000"/>
          <w:position w:val="16"/>
          <w:sz w:val="24"/>
          <w:highlight w:val="none"/>
          <w:u w:val="single"/>
          <w:lang w:val="en-US" w:eastAsia="zh-CN"/>
        </w:rPr>
      </w:pPr>
      <w:bookmarkStart w:id="12" w:name="_Hlk92950396"/>
      <w:r>
        <w:rPr>
          <w:rFonts w:hint="eastAsia" w:ascii="宋体" w:hAnsi="宋体" w:cs="宋体"/>
          <w:b/>
          <w:bCs/>
          <w:color w:val="000000"/>
          <w:position w:val="16"/>
          <w:sz w:val="24"/>
          <w:highlight w:val="none"/>
          <w:lang w:val="en-US" w:eastAsia="zh-CN"/>
        </w:rPr>
        <w:t>总价（含税）为：</w:t>
      </w:r>
      <w:r>
        <w:rPr>
          <w:rFonts w:hint="eastAsia" w:ascii="宋体" w:hAnsi="宋体" w:cs="宋体"/>
          <w:b/>
          <w:bCs/>
          <w:color w:val="000000"/>
          <w:position w:val="16"/>
          <w:sz w:val="24"/>
          <w:highlight w:val="none"/>
          <w:u w:val="single"/>
          <w:lang w:val="en-US" w:eastAsia="zh-CN"/>
        </w:rPr>
        <w:t xml:space="preserve">               元</w:t>
      </w:r>
    </w:p>
    <w:p w14:paraId="74C7291E">
      <w:pPr>
        <w:pStyle w:val="11"/>
        <w:ind w:firstLine="0" w:firstLineChars="0"/>
        <w:jc w:val="left"/>
        <w:rPr>
          <w:rFonts w:hint="eastAsia" w:ascii="宋体" w:hAnsi="宋体" w:cs="宋体"/>
          <w:b/>
          <w:bCs/>
          <w:color w:val="000000"/>
          <w:position w:val="16"/>
          <w:sz w:val="24"/>
          <w:highlight w:val="none"/>
          <w:u w:val="single"/>
          <w:lang w:val="en-US" w:eastAsia="zh-CN"/>
        </w:rPr>
      </w:pPr>
      <w:r>
        <w:rPr>
          <w:rFonts w:hint="eastAsia" w:ascii="宋体" w:hAnsi="宋体" w:cs="宋体"/>
          <w:b/>
          <w:bCs/>
          <w:color w:val="000000"/>
          <w:position w:val="16"/>
          <w:sz w:val="24"/>
          <w:highlight w:val="none"/>
          <w:u w:val="none"/>
          <w:lang w:val="en-US" w:eastAsia="zh-CN"/>
        </w:rPr>
        <w:t>不含税价：</w:t>
      </w:r>
      <w:r>
        <w:rPr>
          <w:rFonts w:hint="eastAsia" w:ascii="宋体" w:hAnsi="宋体" w:cs="宋体"/>
          <w:b/>
          <w:bCs/>
          <w:color w:val="000000"/>
          <w:position w:val="16"/>
          <w:sz w:val="24"/>
          <w:highlight w:val="none"/>
          <w:u w:val="single"/>
          <w:lang w:val="en-US" w:eastAsia="zh-CN"/>
        </w:rPr>
        <w:t xml:space="preserve">                     元</w:t>
      </w:r>
    </w:p>
    <w:p w14:paraId="5E8F2AEB">
      <w:pPr>
        <w:pStyle w:val="11"/>
        <w:ind w:firstLine="0" w:firstLineChars="0"/>
        <w:jc w:val="left"/>
        <w:rPr>
          <w:rFonts w:hint="default" w:ascii="宋体" w:hAnsi="宋体" w:cs="宋体"/>
          <w:b/>
          <w:bCs/>
          <w:color w:val="000000"/>
          <w:position w:val="16"/>
          <w:sz w:val="24"/>
          <w:highlight w:val="none"/>
          <w:u w:val="single"/>
          <w:lang w:val="en-US" w:eastAsia="zh-CN"/>
        </w:rPr>
      </w:pPr>
      <w:r>
        <w:rPr>
          <w:rFonts w:hint="eastAsia" w:ascii="宋体" w:hAnsi="宋体" w:cs="宋体"/>
          <w:b/>
          <w:bCs/>
          <w:color w:val="000000"/>
          <w:position w:val="16"/>
          <w:sz w:val="24"/>
          <w:highlight w:val="none"/>
          <w:u w:val="none"/>
          <w:lang w:val="en-US" w:eastAsia="zh-CN"/>
        </w:rPr>
        <w:t>税额：</w:t>
      </w:r>
      <w:r>
        <w:rPr>
          <w:rFonts w:hint="eastAsia" w:ascii="宋体" w:hAnsi="宋体" w:cs="宋体"/>
          <w:b/>
          <w:bCs/>
          <w:color w:val="000000"/>
          <w:position w:val="16"/>
          <w:sz w:val="24"/>
          <w:highlight w:val="none"/>
          <w:u w:val="single"/>
          <w:lang w:val="en-US" w:eastAsia="zh-CN"/>
        </w:rPr>
        <w:t xml:space="preserve">                         元</w:t>
      </w:r>
    </w:p>
    <w:p w14:paraId="442B9152">
      <w:pPr>
        <w:pStyle w:val="11"/>
        <w:ind w:firstLine="0" w:firstLineChars="0"/>
        <w:jc w:val="left"/>
        <w:rPr>
          <w:rFonts w:ascii="宋体" w:hAnsi="宋体" w:cs="宋体"/>
          <w:color w:val="000000"/>
          <w:position w:val="16"/>
          <w:sz w:val="24"/>
          <w:lang w:eastAsia="zh-CN"/>
        </w:rPr>
      </w:pPr>
      <w:r>
        <w:rPr>
          <w:rFonts w:hint="eastAsia" w:ascii="宋体" w:hAnsi="宋体" w:cs="宋体"/>
          <w:color w:val="000000"/>
          <w:position w:val="16"/>
          <w:sz w:val="24"/>
          <w:lang w:eastAsia="zh-CN"/>
        </w:rPr>
        <w:t>备注：</w:t>
      </w:r>
    </w:p>
    <w:p w14:paraId="635FD43E">
      <w:pPr>
        <w:pStyle w:val="11"/>
        <w:ind w:firstLine="0" w:firstLineChars="0"/>
        <w:jc w:val="left"/>
        <w:rPr>
          <w:rFonts w:ascii="宋体" w:hAnsi="宋体" w:cs="宋体"/>
          <w:color w:val="000000"/>
          <w:position w:val="16"/>
          <w:sz w:val="24"/>
          <w:lang w:eastAsia="zh-CN"/>
        </w:rPr>
      </w:pPr>
      <w:r>
        <w:rPr>
          <w:rFonts w:hint="eastAsia" w:ascii="宋体" w:hAnsi="宋体" w:cs="宋体"/>
          <w:color w:val="000000"/>
          <w:position w:val="16"/>
          <w:sz w:val="24"/>
          <w:lang w:eastAsia="zh-CN"/>
        </w:rPr>
        <w:t>1、</w:t>
      </w:r>
      <w:r>
        <w:rPr>
          <w:rFonts w:hint="eastAsia" w:ascii="宋体" w:hAnsi="宋体" w:cs="宋体"/>
          <w:color w:val="000000"/>
          <w:kern w:val="0"/>
          <w:position w:val="16"/>
          <w:sz w:val="24"/>
          <w:lang w:eastAsia="zh-CN"/>
        </w:rPr>
        <w:t>以上价格为固定总价，非采购人原因价格不予调整。</w:t>
      </w:r>
      <w:bookmarkEnd w:id="12"/>
    </w:p>
    <w:p w14:paraId="209D13F5">
      <w:pPr>
        <w:spacing w:line="360" w:lineRule="auto"/>
        <w:jc w:val="both"/>
        <w:rPr>
          <w:rFonts w:ascii="宋体" w:hAnsi="宋体"/>
          <w:sz w:val="28"/>
          <w:szCs w:val="28"/>
          <w:lang w:eastAsia="zh-CN"/>
        </w:rPr>
      </w:pPr>
    </w:p>
    <w:p w14:paraId="16FFB09D">
      <w:pPr>
        <w:rPr>
          <w:rFonts w:ascii="宋体" w:hAnsi="宋体" w:cs="Arial"/>
          <w:u w:val="single"/>
          <w:lang w:eastAsia="zh-CN"/>
        </w:rPr>
      </w:pPr>
      <w:r>
        <w:rPr>
          <w:rFonts w:hint="eastAsia" w:ascii="宋体" w:hAnsi="宋体" w:cs="Arial"/>
          <w:lang w:eastAsia="zh-CN"/>
        </w:rPr>
        <w:t>供应商名称：</w:t>
      </w:r>
    </w:p>
    <w:p w14:paraId="23A83DF4">
      <w:pPr>
        <w:rPr>
          <w:rFonts w:ascii="宋体" w:hAnsi="宋体" w:cs="Arial"/>
          <w:u w:val="single"/>
          <w:lang w:eastAsia="zh-CN"/>
        </w:rPr>
      </w:pPr>
    </w:p>
    <w:p w14:paraId="484C4646">
      <w:pPr>
        <w:rPr>
          <w:rFonts w:ascii="宋体" w:hAnsi="宋体" w:cs="Arial"/>
          <w:u w:val="single"/>
          <w:lang w:eastAsia="zh-CN"/>
        </w:rPr>
      </w:pPr>
      <w:r>
        <w:rPr>
          <w:rFonts w:hint="eastAsia" w:ascii="宋体" w:hAnsi="宋体" w:cs="Arial"/>
          <w:lang w:eastAsia="zh-CN"/>
        </w:rPr>
        <w:t xml:space="preserve">盖章:  </w:t>
      </w:r>
    </w:p>
    <w:p w14:paraId="5A1D9471">
      <w:pPr>
        <w:rPr>
          <w:rFonts w:ascii="宋体" w:hAnsi="宋体" w:cs="Arial"/>
          <w:u w:val="single"/>
          <w:lang w:eastAsia="zh-CN"/>
        </w:rPr>
      </w:pPr>
    </w:p>
    <w:p w14:paraId="35A7A913">
      <w:pPr>
        <w:rPr>
          <w:rFonts w:ascii="宋体" w:hAnsi="宋体" w:cs="Arial"/>
          <w:u w:val="single"/>
          <w:lang w:eastAsia="zh-CN"/>
        </w:rPr>
      </w:pPr>
      <w:r>
        <w:rPr>
          <w:rFonts w:hint="eastAsia" w:ascii="宋体" w:hAnsi="宋体" w:cs="Arial"/>
          <w:lang w:eastAsia="zh-CN"/>
        </w:rPr>
        <w:t xml:space="preserve">法定代表人或授权代表签字： </w:t>
      </w:r>
    </w:p>
    <w:p w14:paraId="018F15AB">
      <w:pPr>
        <w:jc w:val="right"/>
        <w:rPr>
          <w:rFonts w:ascii="宋体" w:hAnsi="宋体"/>
          <w:b/>
          <w:color w:val="000000"/>
          <w:position w:val="16"/>
          <w:lang w:eastAsia="zh-CN"/>
        </w:rPr>
      </w:pPr>
    </w:p>
    <w:p w14:paraId="369352D3">
      <w:pPr>
        <w:spacing w:line="360" w:lineRule="auto"/>
        <w:rPr>
          <w:rFonts w:ascii="宋体" w:hAnsi="宋体"/>
          <w:b/>
          <w:sz w:val="28"/>
          <w:szCs w:val="20"/>
          <w:lang w:eastAsia="zh-CN"/>
        </w:rPr>
        <w:sectPr>
          <w:headerReference r:id="rId6" w:type="first"/>
          <w:headerReference r:id="rId5" w:type="default"/>
          <w:pgSz w:w="11906" w:h="16838"/>
          <w:pgMar w:top="1304" w:right="1361" w:bottom="1361" w:left="1361" w:header="851" w:footer="992" w:gutter="0"/>
          <w:cols w:space="720" w:num="1"/>
          <w:docGrid w:linePitch="312" w:charSpace="0"/>
        </w:sectPr>
      </w:pPr>
    </w:p>
    <w:p w14:paraId="46B3C3A8">
      <w:pPr>
        <w:spacing w:line="360" w:lineRule="auto"/>
        <w:rPr>
          <w:rFonts w:ascii="宋体" w:hAnsi="宋体"/>
          <w:b/>
          <w:sz w:val="28"/>
          <w:szCs w:val="20"/>
          <w:lang w:eastAsia="zh-CN"/>
        </w:rPr>
      </w:pPr>
      <w:r>
        <w:rPr>
          <w:rFonts w:hint="eastAsia" w:ascii="宋体" w:hAnsi="宋体"/>
          <w:b/>
          <w:sz w:val="28"/>
          <w:szCs w:val="20"/>
          <w:lang w:eastAsia="zh-CN"/>
        </w:rPr>
        <w:t>附件</w:t>
      </w:r>
      <w:r>
        <w:rPr>
          <w:rFonts w:ascii="宋体" w:hAnsi="宋体"/>
          <w:b/>
          <w:sz w:val="28"/>
          <w:szCs w:val="20"/>
          <w:lang w:eastAsia="zh-CN"/>
        </w:rPr>
        <w:t>4</w:t>
      </w:r>
      <w:bookmarkStart w:id="13" w:name="_Hlk103666928"/>
    </w:p>
    <w:p w14:paraId="1C405536">
      <w:pPr>
        <w:jc w:val="center"/>
        <w:rPr>
          <w:rFonts w:hint="eastAsia" w:ascii="宋体" w:hAnsi="宋体"/>
          <w:b/>
          <w:color w:val="000000"/>
          <w:position w:val="16"/>
          <w:sz w:val="32"/>
          <w:lang w:eastAsia="zh-CN"/>
        </w:rPr>
      </w:pPr>
      <w:r>
        <w:rPr>
          <w:rFonts w:hint="eastAsia" w:ascii="宋体" w:hAnsi="宋体"/>
          <w:b/>
          <w:color w:val="000000"/>
          <w:position w:val="16"/>
          <w:sz w:val="32"/>
          <w:lang w:eastAsia="zh-CN"/>
        </w:rPr>
        <w:t>重大违法记录的声明函</w:t>
      </w:r>
    </w:p>
    <w:p w14:paraId="545F42AC">
      <w:pPr>
        <w:widowControl w:val="0"/>
        <w:spacing w:line="480" w:lineRule="auto"/>
        <w:jc w:val="both"/>
        <w:rPr>
          <w:rFonts w:hint="eastAsia" w:asciiTheme="majorEastAsia" w:hAnsiTheme="majorEastAsia" w:eastAsiaTheme="majorEastAsia" w:cstheme="majorEastAsia"/>
          <w:spacing w:val="6"/>
          <w:kern w:val="2"/>
          <w:sz w:val="24"/>
          <w:szCs w:val="24"/>
          <w:u w:val="single"/>
          <w:lang w:eastAsia="zh-CN"/>
        </w:rPr>
      </w:pPr>
      <w:r>
        <w:rPr>
          <w:rFonts w:hint="eastAsia" w:asciiTheme="majorEastAsia" w:hAnsiTheme="majorEastAsia" w:eastAsiaTheme="majorEastAsia" w:cstheme="majorEastAsia"/>
          <w:spacing w:val="6"/>
          <w:kern w:val="2"/>
          <w:sz w:val="24"/>
          <w:szCs w:val="24"/>
          <w:lang w:eastAsia="zh-CN"/>
        </w:rPr>
        <w:t>致：</w:t>
      </w:r>
    </w:p>
    <w:p w14:paraId="62E6E7C4">
      <w:pPr>
        <w:widowControl w:val="0"/>
        <w:spacing w:line="480" w:lineRule="auto"/>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根据国家相关法律、法规规定，本公司郑重声明：本公司近三年内，在经营活动中严格遵守国家有关法律、法规及相关政策，参加本次</w:t>
      </w:r>
      <w:r>
        <w:rPr>
          <w:rFonts w:hint="eastAsia" w:asciiTheme="majorEastAsia" w:hAnsiTheme="majorEastAsia" w:eastAsiaTheme="majorEastAsia" w:cstheme="majorEastAsia"/>
          <w:spacing w:val="6"/>
          <w:kern w:val="2"/>
          <w:sz w:val="24"/>
          <w:szCs w:val="24"/>
          <w:lang w:val="en-US" w:eastAsia="zh-CN"/>
        </w:rPr>
        <w:t>报价</w:t>
      </w:r>
      <w:r>
        <w:rPr>
          <w:rFonts w:hint="eastAsia" w:asciiTheme="majorEastAsia" w:hAnsiTheme="majorEastAsia" w:eastAsiaTheme="majorEastAsia" w:cstheme="majorEastAsia"/>
          <w:spacing w:val="6"/>
          <w:kern w:val="2"/>
          <w:sz w:val="24"/>
          <w:szCs w:val="24"/>
          <w:lang w:eastAsia="zh-CN"/>
        </w:rPr>
        <w:t>前，在经营活动中没有重大违法记录（</w:t>
      </w:r>
      <w:r>
        <w:rPr>
          <w:rFonts w:hint="eastAsia" w:asciiTheme="majorEastAsia" w:hAnsiTheme="majorEastAsia" w:eastAsiaTheme="majorEastAsia" w:cstheme="majorEastAsia"/>
          <w:kern w:val="2"/>
          <w:sz w:val="24"/>
          <w:szCs w:val="24"/>
          <w:lang w:eastAsia="zh-CN"/>
        </w:rPr>
        <w:t>重大违法记录，是指供应商因违法经营受到刑事处罚或者责令停产停业、吊销许可证或者执照、较大数额罚款等行政处罚</w:t>
      </w:r>
      <w:r>
        <w:rPr>
          <w:rFonts w:hint="eastAsia" w:asciiTheme="majorEastAsia" w:hAnsiTheme="majorEastAsia" w:eastAsiaTheme="majorEastAsia" w:cstheme="majorEastAsia"/>
          <w:spacing w:val="6"/>
          <w:kern w:val="2"/>
          <w:sz w:val="24"/>
          <w:szCs w:val="24"/>
          <w:lang w:eastAsia="zh-CN"/>
        </w:rPr>
        <w:t>）。</w:t>
      </w:r>
    </w:p>
    <w:p w14:paraId="301CAE45">
      <w:pPr>
        <w:widowControl w:val="0"/>
        <w:spacing w:line="480" w:lineRule="auto"/>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本公司对上述声明的真实性负责。如有虚假，将依法承担相应责任。</w:t>
      </w:r>
    </w:p>
    <w:p w14:paraId="7B8ED46E">
      <w:pPr>
        <w:widowControl w:val="0"/>
        <w:spacing w:line="480" w:lineRule="auto"/>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特此承诺</w:t>
      </w:r>
    </w:p>
    <w:p w14:paraId="187C23F6">
      <w:pPr>
        <w:widowControl w:val="0"/>
        <w:spacing w:line="480" w:lineRule="auto"/>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 xml:space="preserve"> </w:t>
      </w:r>
    </w:p>
    <w:p w14:paraId="4FADF057">
      <w:pPr>
        <w:widowControl w:val="0"/>
        <w:spacing w:line="480" w:lineRule="auto"/>
        <w:ind w:firstLine="504" w:firstLineChars="200"/>
        <w:jc w:val="both"/>
        <w:rPr>
          <w:rFonts w:hint="eastAsia" w:asciiTheme="majorEastAsia" w:hAnsiTheme="majorEastAsia" w:eastAsiaTheme="majorEastAsia" w:cstheme="majorEastAsia"/>
          <w:spacing w:val="6"/>
          <w:kern w:val="2"/>
          <w:sz w:val="24"/>
          <w:szCs w:val="24"/>
          <w:lang w:eastAsia="zh-CN"/>
        </w:rPr>
      </w:pPr>
    </w:p>
    <w:p w14:paraId="1A13DA19">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法定代表人（签字盖章）：</w:t>
      </w:r>
    </w:p>
    <w:p w14:paraId="46D6E871">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 xml:space="preserve"> </w:t>
      </w:r>
    </w:p>
    <w:p w14:paraId="78C6984E">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p>
    <w:p w14:paraId="47884187">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授权</w:t>
      </w:r>
      <w:r>
        <w:rPr>
          <w:rFonts w:hint="eastAsia" w:asciiTheme="majorEastAsia" w:hAnsiTheme="majorEastAsia" w:eastAsiaTheme="majorEastAsia" w:cstheme="majorEastAsia"/>
          <w:spacing w:val="6"/>
          <w:kern w:val="2"/>
          <w:sz w:val="24"/>
          <w:szCs w:val="24"/>
          <w:lang w:val="en-US" w:eastAsia="zh-CN"/>
        </w:rPr>
        <w:t>报价</w:t>
      </w:r>
      <w:r>
        <w:rPr>
          <w:rFonts w:hint="eastAsia" w:asciiTheme="majorEastAsia" w:hAnsiTheme="majorEastAsia" w:eastAsiaTheme="majorEastAsia" w:cstheme="majorEastAsia"/>
          <w:spacing w:val="6"/>
          <w:kern w:val="2"/>
          <w:sz w:val="24"/>
          <w:szCs w:val="24"/>
          <w:lang w:eastAsia="zh-CN"/>
        </w:rPr>
        <w:t>代表签字（</w:t>
      </w:r>
      <w:r>
        <w:rPr>
          <w:rFonts w:hint="eastAsia" w:asciiTheme="majorEastAsia" w:hAnsiTheme="majorEastAsia" w:eastAsiaTheme="majorEastAsia" w:cstheme="majorEastAsia"/>
          <w:spacing w:val="6"/>
          <w:kern w:val="2"/>
          <w:sz w:val="24"/>
          <w:szCs w:val="24"/>
          <w:lang w:val="en-US" w:eastAsia="zh-CN"/>
        </w:rPr>
        <w:t>若涉及）</w:t>
      </w:r>
      <w:r>
        <w:rPr>
          <w:rFonts w:hint="eastAsia" w:asciiTheme="majorEastAsia" w:hAnsiTheme="majorEastAsia" w:eastAsiaTheme="majorEastAsia" w:cstheme="majorEastAsia"/>
          <w:spacing w:val="6"/>
          <w:kern w:val="2"/>
          <w:sz w:val="24"/>
          <w:szCs w:val="24"/>
          <w:lang w:eastAsia="zh-CN"/>
        </w:rPr>
        <w:t>：</w:t>
      </w:r>
    </w:p>
    <w:p w14:paraId="56E681B0">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 xml:space="preserve"> </w:t>
      </w:r>
    </w:p>
    <w:p w14:paraId="0F8569D9">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p>
    <w:p w14:paraId="4613B020">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val="en-US" w:eastAsia="zh-CN"/>
        </w:rPr>
        <w:t>报价</w:t>
      </w:r>
      <w:r>
        <w:rPr>
          <w:rFonts w:hint="eastAsia" w:asciiTheme="majorEastAsia" w:hAnsiTheme="majorEastAsia" w:eastAsiaTheme="majorEastAsia" w:cstheme="majorEastAsia"/>
          <w:spacing w:val="6"/>
          <w:kern w:val="2"/>
          <w:sz w:val="24"/>
          <w:szCs w:val="24"/>
          <w:lang w:eastAsia="zh-CN"/>
        </w:rPr>
        <w:t xml:space="preserve">供应商名称（盖章）： </w:t>
      </w:r>
    </w:p>
    <w:p w14:paraId="24964C44">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r>
        <w:rPr>
          <w:rFonts w:hint="eastAsia" w:asciiTheme="majorEastAsia" w:hAnsiTheme="majorEastAsia" w:eastAsiaTheme="majorEastAsia" w:cstheme="majorEastAsia"/>
          <w:spacing w:val="6"/>
          <w:kern w:val="2"/>
          <w:sz w:val="24"/>
          <w:szCs w:val="24"/>
          <w:lang w:eastAsia="zh-CN"/>
        </w:rPr>
        <w:t xml:space="preserve"> </w:t>
      </w:r>
    </w:p>
    <w:p w14:paraId="73A94426">
      <w:pPr>
        <w:widowControl w:val="0"/>
        <w:ind w:firstLine="504" w:firstLineChars="200"/>
        <w:jc w:val="both"/>
        <w:rPr>
          <w:rFonts w:hint="eastAsia" w:asciiTheme="majorEastAsia" w:hAnsiTheme="majorEastAsia" w:eastAsiaTheme="majorEastAsia" w:cstheme="majorEastAsia"/>
          <w:spacing w:val="6"/>
          <w:kern w:val="2"/>
          <w:sz w:val="24"/>
          <w:szCs w:val="24"/>
          <w:lang w:eastAsia="zh-CN"/>
        </w:rPr>
      </w:pPr>
    </w:p>
    <w:p w14:paraId="5493E8AD">
      <w:pPr>
        <w:widowControl w:val="0"/>
        <w:ind w:firstLine="504" w:firstLineChars="200"/>
        <w:jc w:val="both"/>
        <w:rPr>
          <w:rFonts w:hint="eastAsia" w:asciiTheme="majorEastAsia" w:hAnsiTheme="majorEastAsia" w:eastAsiaTheme="majorEastAsia" w:cstheme="majorEastAsia"/>
          <w:spacing w:val="6"/>
          <w:kern w:val="2"/>
          <w:sz w:val="24"/>
          <w:szCs w:val="24"/>
        </w:rPr>
      </w:pPr>
      <w:r>
        <w:rPr>
          <w:rFonts w:hint="eastAsia" w:asciiTheme="majorEastAsia" w:hAnsiTheme="majorEastAsia" w:eastAsiaTheme="majorEastAsia" w:cstheme="majorEastAsia"/>
          <w:spacing w:val="6"/>
          <w:kern w:val="2"/>
          <w:sz w:val="24"/>
          <w:szCs w:val="24"/>
        </w:rPr>
        <w:t xml:space="preserve">日  期：   </w:t>
      </w:r>
      <w:bookmarkEnd w:id="13"/>
    </w:p>
    <w:p w14:paraId="16858160">
      <w:pPr>
        <w:spacing w:line="600" w:lineRule="exact"/>
        <w:ind w:right="561"/>
        <w:rPr>
          <w:rFonts w:hint="eastAsia" w:asciiTheme="majorEastAsia" w:hAnsiTheme="majorEastAsia" w:eastAsiaTheme="majorEastAsia" w:cstheme="majorEastAsia"/>
          <w:sz w:val="28"/>
          <w:szCs w:val="28"/>
          <w:lang w:eastAsia="zh-CN"/>
        </w:rPr>
      </w:pPr>
    </w:p>
    <w:p w14:paraId="6E9BC028">
      <w:pPr>
        <w:spacing w:line="360" w:lineRule="auto"/>
        <w:rPr>
          <w:rFonts w:ascii="宋体" w:hAnsi="宋体"/>
          <w:b/>
          <w:sz w:val="28"/>
          <w:szCs w:val="20"/>
          <w:lang w:eastAsia="zh-CN"/>
        </w:rPr>
        <w:sectPr>
          <w:pgSz w:w="11906" w:h="16838"/>
          <w:pgMar w:top="1304" w:right="1361" w:bottom="1361" w:left="1361" w:header="851" w:footer="992" w:gutter="0"/>
          <w:cols w:space="720" w:num="1"/>
          <w:docGrid w:linePitch="312" w:charSpace="0"/>
        </w:sectPr>
      </w:pPr>
    </w:p>
    <w:p w14:paraId="5BECAEFC">
      <w:pPr>
        <w:spacing w:line="480" w:lineRule="exact"/>
        <w:jc w:val="center"/>
        <w:rPr>
          <w:rFonts w:hint="eastAsia" w:ascii="宋体" w:hAnsi="宋体"/>
          <w:b/>
          <w:lang w:eastAsia="zh-CN"/>
        </w:rPr>
      </w:pPr>
    </w:p>
    <w:p w14:paraId="6CCD7888">
      <w:pPr>
        <w:spacing w:line="360" w:lineRule="auto"/>
        <w:rPr>
          <w:rFonts w:hint="default" w:ascii="宋体" w:hAnsi="宋体"/>
          <w:b/>
          <w:sz w:val="28"/>
          <w:szCs w:val="20"/>
          <w:lang w:val="en-US" w:eastAsia="zh-CN"/>
        </w:rPr>
      </w:pPr>
      <w:r>
        <w:rPr>
          <w:rFonts w:hint="eastAsia" w:ascii="宋体" w:hAnsi="宋体"/>
          <w:b/>
          <w:sz w:val="28"/>
          <w:szCs w:val="20"/>
          <w:lang w:eastAsia="zh-CN"/>
        </w:rPr>
        <w:t>附件</w:t>
      </w:r>
      <w:r>
        <w:rPr>
          <w:rFonts w:hint="eastAsia" w:ascii="宋体" w:hAnsi="宋体"/>
          <w:b/>
          <w:sz w:val="28"/>
          <w:szCs w:val="20"/>
          <w:lang w:val="en-US" w:eastAsia="zh-CN"/>
        </w:rPr>
        <w:t>5</w:t>
      </w:r>
    </w:p>
    <w:p w14:paraId="3A9DE60B">
      <w:pPr>
        <w:spacing w:line="480" w:lineRule="exact"/>
        <w:jc w:val="left"/>
        <w:rPr>
          <w:rFonts w:ascii="宋体" w:hAnsi="宋体"/>
          <w:b/>
          <w:sz w:val="32"/>
          <w:szCs w:val="32"/>
          <w:lang w:eastAsia="zh-CN"/>
        </w:rPr>
      </w:pPr>
      <w:r>
        <w:rPr>
          <w:rFonts w:hint="eastAsia" w:ascii="宋体" w:hAnsi="宋体"/>
          <w:b/>
          <w:sz w:val="32"/>
          <w:szCs w:val="32"/>
          <w:lang w:eastAsia="zh-CN"/>
        </w:rPr>
        <w:t>（※此处粘贴营业执照复印件、资质证明性文件</w:t>
      </w:r>
      <w:r>
        <w:rPr>
          <w:rFonts w:hint="eastAsia" w:ascii="宋体" w:hAnsi="宋体"/>
          <w:b/>
          <w:sz w:val="32"/>
          <w:szCs w:val="32"/>
          <w:lang w:val="en-US" w:eastAsia="zh-CN"/>
        </w:rPr>
        <w:t>、公众责任保险</w:t>
      </w:r>
      <w:r>
        <w:rPr>
          <w:rFonts w:hint="eastAsia" w:ascii="宋体" w:hAnsi="宋体"/>
          <w:b/>
          <w:sz w:val="32"/>
          <w:szCs w:val="32"/>
          <w:lang w:eastAsia="zh-CN"/>
        </w:rPr>
        <w:t>※）</w:t>
      </w:r>
    </w:p>
    <w:p w14:paraId="045C734C">
      <w:pPr>
        <w:ind w:firstLine="478"/>
        <w:rPr>
          <w:lang w:eastAsia="zh-CN"/>
        </w:rPr>
      </w:pPr>
    </w:p>
    <w:sectPr>
      <w:pgSz w:w="11906" w:h="16838"/>
      <w:pgMar w:top="737" w:right="907" w:bottom="737" w:left="1304" w:header="624" w:footer="907"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3BE2DC-E464-4E16-BCBD-5A8385532715}"/>
  </w:font>
  <w:font w:name="黑体">
    <w:panose1 w:val="02010609060101010101"/>
    <w:charset w:val="86"/>
    <w:family w:val="auto"/>
    <w:pitch w:val="default"/>
    <w:sig w:usb0="800002BF" w:usb1="38CF7CFA" w:usb2="00000016" w:usb3="00000000" w:csb0="00040001" w:csb1="00000000"/>
    <w:embedRegular r:id="rId2" w:fontKey="{BEEBD87F-51A6-4ADC-B16B-B1D59D9153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7DA93AA9-46D1-446B-8ECC-5D7014645DEE}"/>
  </w:font>
  <w:font w:name="MS Mincho">
    <w:altName w:val="MS UI Gothic"/>
    <w:panose1 w:val="02020609040205080304"/>
    <w:charset w:val="80"/>
    <w:family w:val="auto"/>
    <w:pitch w:val="default"/>
    <w:sig w:usb0="00000000" w:usb1="00000000" w:usb2="08000012" w:usb3="00000000" w:csb0="4002009F" w:csb1="DFD70000"/>
    <w:embedRegular r:id="rId4" w:fontKey="{17B97B30-BB83-4849-8138-12044FE3633B}"/>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embedRegular r:id="rId5" w:fontKey="{0E96A153-B341-4157-BC59-F48B1CB96ED1}"/>
  </w:font>
  <w:font w:name="仿宋_GB2312">
    <w:altName w:val="仿宋"/>
    <w:panose1 w:val="02010609030101010101"/>
    <w:charset w:val="86"/>
    <w:family w:val="modern"/>
    <w:pitch w:val="default"/>
    <w:sig w:usb0="00000000" w:usb1="00000000" w:usb2="00000000" w:usb3="00000000" w:csb0="00040000" w:csb1="00000000"/>
    <w:embedRegular r:id="rId6" w:fontKey="{F562702C-425B-4078-A893-404F34A970E9}"/>
  </w:font>
  <w:font w:name="微软雅黑">
    <w:panose1 w:val="020B0503020204020204"/>
    <w:charset w:val="86"/>
    <w:family w:val="auto"/>
    <w:pitch w:val="default"/>
    <w:sig w:usb0="80000287" w:usb1="2ACF3C50" w:usb2="00000016" w:usb3="00000000" w:csb0="0004001F" w:csb1="00000000"/>
    <w:embedRegular r:id="rId7" w:fontKey="{4661D929-0A13-4787-99A3-3EB50BFCC19F}"/>
  </w:font>
  <w:font w:name="Lucida Sans Unicode">
    <w:panose1 w:val="020B0602030504020204"/>
    <w:charset w:val="00"/>
    <w:family w:val="swiss"/>
    <w:pitch w:val="default"/>
    <w:sig w:usb0="80001AFF" w:usb1="0000396B" w:usb2="00000000" w:usb3="00000000" w:csb0="200000BF" w:csb1="D7F70000"/>
    <w:embedRegular r:id="rId8" w:fontKey="{0D2DBE1B-C07E-44B2-AF01-27C10527D4F1}"/>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441F">
    <w:pPr>
      <w:pStyle w:val="20"/>
      <w:jc w:val="both"/>
      <w:rPr>
        <w:rFonts w:ascii="黑体" w:eastAsia="黑体"/>
        <w:snapToGrid w:val="0"/>
        <w:spacing w:val="100"/>
        <w:sz w:val="24"/>
      </w:rPr>
    </w:pPr>
    <w:r>
      <w:rPr>
        <w:rFonts w:hint="eastAsia" w:ascii="黑体" w:eastAsia="黑体"/>
        <w:snapToGrid w:val="0"/>
        <w:spacing w:val="100"/>
        <w:sz w:val="24"/>
      </w:rPr>
      <w:t xml:space="preserve">              </w:t>
    </w:r>
    <w:r>
      <w:fldChar w:fldCharType="begin"/>
    </w:r>
    <w:r>
      <w:rPr>
        <w:rStyle w:val="32"/>
      </w:rPr>
      <w:instrText xml:space="preserve"> PAGE </w:instrText>
    </w:r>
    <w:r>
      <w:fldChar w:fldCharType="separate"/>
    </w:r>
    <w:r>
      <w:rPr>
        <w:rStyle w:val="32"/>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F5C7">
    <w:pPr>
      <w:pStyle w:val="20"/>
      <w:jc w:val="both"/>
      <w:rPr>
        <w:rFonts w:ascii="黑体" w:eastAsia="黑体"/>
        <w:snapToGrid w:val="0"/>
        <w:spacing w:val="100"/>
        <w:sz w:val="24"/>
      </w:rPr>
    </w:pPr>
    <w:r>
      <w:fldChar w:fldCharType="begin"/>
    </w:r>
    <w:r>
      <w:rPr>
        <w:rStyle w:val="32"/>
      </w:rPr>
      <w:instrText xml:space="preserve"> PAGE </w:instrText>
    </w:r>
    <w:r>
      <w:fldChar w:fldCharType="separate"/>
    </w:r>
    <w:r>
      <w:rPr>
        <w:rStyle w:val="32"/>
      </w:rPr>
      <w:t>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D4F4">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66A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8E66E"/>
    <w:multiLevelType w:val="singleLevel"/>
    <w:tmpl w:val="D108E66E"/>
    <w:lvl w:ilvl="0" w:tentative="0">
      <w:start w:val="4"/>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5"/>
  <w:drawingGridHorizontalSpacing w:val="120"/>
  <w:drawingGridVerticalSpacing w:val="10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ZWI4NTJmOWM4MDA2OTlhYzJmMjk4MDI0M2FhYmQifQ=="/>
    <w:docVar w:name="KSO_WPS_MARK_KEY" w:val="9ad4bcd0-86d2-46b9-b779-d7bee55e716d"/>
  </w:docVars>
  <w:rsids>
    <w:rsidRoot w:val="00172A27"/>
    <w:rsid w:val="00002969"/>
    <w:rsid w:val="000057C3"/>
    <w:rsid w:val="00007EFD"/>
    <w:rsid w:val="00010881"/>
    <w:rsid w:val="00013FA9"/>
    <w:rsid w:val="0001701A"/>
    <w:rsid w:val="0002049A"/>
    <w:rsid w:val="00020962"/>
    <w:rsid w:val="00020C8A"/>
    <w:rsid w:val="000255ED"/>
    <w:rsid w:val="00027A67"/>
    <w:rsid w:val="00033DE1"/>
    <w:rsid w:val="00034402"/>
    <w:rsid w:val="000371B4"/>
    <w:rsid w:val="000375F7"/>
    <w:rsid w:val="00042A7C"/>
    <w:rsid w:val="0004739C"/>
    <w:rsid w:val="00047BF3"/>
    <w:rsid w:val="000516B8"/>
    <w:rsid w:val="00051950"/>
    <w:rsid w:val="000519CC"/>
    <w:rsid w:val="00056C46"/>
    <w:rsid w:val="00056F2E"/>
    <w:rsid w:val="00057480"/>
    <w:rsid w:val="00064302"/>
    <w:rsid w:val="00070613"/>
    <w:rsid w:val="000729A8"/>
    <w:rsid w:val="0007678A"/>
    <w:rsid w:val="00083206"/>
    <w:rsid w:val="00086981"/>
    <w:rsid w:val="00087ECD"/>
    <w:rsid w:val="00087F37"/>
    <w:rsid w:val="0009275B"/>
    <w:rsid w:val="00092D96"/>
    <w:rsid w:val="00094CBD"/>
    <w:rsid w:val="00097585"/>
    <w:rsid w:val="000A36EA"/>
    <w:rsid w:val="000B2476"/>
    <w:rsid w:val="000B35F1"/>
    <w:rsid w:val="000B3E89"/>
    <w:rsid w:val="000C19A1"/>
    <w:rsid w:val="000C5605"/>
    <w:rsid w:val="000C587D"/>
    <w:rsid w:val="000C6245"/>
    <w:rsid w:val="000C6D7B"/>
    <w:rsid w:val="000D09DF"/>
    <w:rsid w:val="000D1A02"/>
    <w:rsid w:val="000D3F59"/>
    <w:rsid w:val="000D6648"/>
    <w:rsid w:val="000D72C4"/>
    <w:rsid w:val="000E2CA1"/>
    <w:rsid w:val="000E5978"/>
    <w:rsid w:val="000F1B1A"/>
    <w:rsid w:val="000F350C"/>
    <w:rsid w:val="000F3EE4"/>
    <w:rsid w:val="000F57F1"/>
    <w:rsid w:val="000F7C5A"/>
    <w:rsid w:val="00100BD0"/>
    <w:rsid w:val="00102FBE"/>
    <w:rsid w:val="00104A21"/>
    <w:rsid w:val="00105840"/>
    <w:rsid w:val="00111EC8"/>
    <w:rsid w:val="0011331D"/>
    <w:rsid w:val="00114204"/>
    <w:rsid w:val="00115DE7"/>
    <w:rsid w:val="001205BF"/>
    <w:rsid w:val="00121216"/>
    <w:rsid w:val="0012195C"/>
    <w:rsid w:val="0012335B"/>
    <w:rsid w:val="00130AFB"/>
    <w:rsid w:val="001333EF"/>
    <w:rsid w:val="001341B4"/>
    <w:rsid w:val="00140789"/>
    <w:rsid w:val="001437F3"/>
    <w:rsid w:val="001507E1"/>
    <w:rsid w:val="00152229"/>
    <w:rsid w:val="00154C5D"/>
    <w:rsid w:val="00160C1C"/>
    <w:rsid w:val="00161AAB"/>
    <w:rsid w:val="00165B76"/>
    <w:rsid w:val="00170D7E"/>
    <w:rsid w:val="00172A27"/>
    <w:rsid w:val="0017400B"/>
    <w:rsid w:val="00176AC0"/>
    <w:rsid w:val="001873F5"/>
    <w:rsid w:val="00187A70"/>
    <w:rsid w:val="00190AFB"/>
    <w:rsid w:val="00192BDC"/>
    <w:rsid w:val="00192FFF"/>
    <w:rsid w:val="001938F5"/>
    <w:rsid w:val="00193DF0"/>
    <w:rsid w:val="00193E65"/>
    <w:rsid w:val="00195720"/>
    <w:rsid w:val="001A05DA"/>
    <w:rsid w:val="001A073F"/>
    <w:rsid w:val="001B2770"/>
    <w:rsid w:val="001B37C5"/>
    <w:rsid w:val="001B5183"/>
    <w:rsid w:val="001C192D"/>
    <w:rsid w:val="001C74C3"/>
    <w:rsid w:val="001D5DE8"/>
    <w:rsid w:val="001E1B4D"/>
    <w:rsid w:val="001E49C2"/>
    <w:rsid w:val="001F37C1"/>
    <w:rsid w:val="001F7C03"/>
    <w:rsid w:val="00200495"/>
    <w:rsid w:val="002005B4"/>
    <w:rsid w:val="0020086F"/>
    <w:rsid w:val="0020206C"/>
    <w:rsid w:val="00204431"/>
    <w:rsid w:val="002073F9"/>
    <w:rsid w:val="00212DD2"/>
    <w:rsid w:val="00214E16"/>
    <w:rsid w:val="00215474"/>
    <w:rsid w:val="00215F6E"/>
    <w:rsid w:val="00221C70"/>
    <w:rsid w:val="00227573"/>
    <w:rsid w:val="00230393"/>
    <w:rsid w:val="00234D90"/>
    <w:rsid w:val="00235239"/>
    <w:rsid w:val="002410F4"/>
    <w:rsid w:val="00243094"/>
    <w:rsid w:val="00246B6C"/>
    <w:rsid w:val="00251F88"/>
    <w:rsid w:val="002532B6"/>
    <w:rsid w:val="00255AF2"/>
    <w:rsid w:val="00260D19"/>
    <w:rsid w:val="00263E83"/>
    <w:rsid w:val="00273F66"/>
    <w:rsid w:val="0027538D"/>
    <w:rsid w:val="00281238"/>
    <w:rsid w:val="00286877"/>
    <w:rsid w:val="0029089C"/>
    <w:rsid w:val="002929A9"/>
    <w:rsid w:val="00294F17"/>
    <w:rsid w:val="00297BC6"/>
    <w:rsid w:val="002A027C"/>
    <w:rsid w:val="002A24AB"/>
    <w:rsid w:val="002A62CA"/>
    <w:rsid w:val="002A7F32"/>
    <w:rsid w:val="002B0384"/>
    <w:rsid w:val="002B2425"/>
    <w:rsid w:val="002B2A64"/>
    <w:rsid w:val="002B3590"/>
    <w:rsid w:val="002B48EC"/>
    <w:rsid w:val="002B4F90"/>
    <w:rsid w:val="002B5EA0"/>
    <w:rsid w:val="002B65F3"/>
    <w:rsid w:val="002B67E0"/>
    <w:rsid w:val="002C5811"/>
    <w:rsid w:val="002C6DFB"/>
    <w:rsid w:val="002C7B53"/>
    <w:rsid w:val="002C7F34"/>
    <w:rsid w:val="002D0254"/>
    <w:rsid w:val="002D1E0D"/>
    <w:rsid w:val="002D556C"/>
    <w:rsid w:val="002E1E41"/>
    <w:rsid w:val="002E2FE1"/>
    <w:rsid w:val="002E383E"/>
    <w:rsid w:val="002F1CA1"/>
    <w:rsid w:val="002F3214"/>
    <w:rsid w:val="002F3608"/>
    <w:rsid w:val="002F59E5"/>
    <w:rsid w:val="003014E1"/>
    <w:rsid w:val="00302351"/>
    <w:rsid w:val="00307BB1"/>
    <w:rsid w:val="00311ED6"/>
    <w:rsid w:val="00312218"/>
    <w:rsid w:val="00315D09"/>
    <w:rsid w:val="00316530"/>
    <w:rsid w:val="00320393"/>
    <w:rsid w:val="00323877"/>
    <w:rsid w:val="00326939"/>
    <w:rsid w:val="0032752F"/>
    <w:rsid w:val="00330A3A"/>
    <w:rsid w:val="003359CF"/>
    <w:rsid w:val="00343E04"/>
    <w:rsid w:val="00351036"/>
    <w:rsid w:val="003525AF"/>
    <w:rsid w:val="00352704"/>
    <w:rsid w:val="00352B77"/>
    <w:rsid w:val="00353705"/>
    <w:rsid w:val="003550AC"/>
    <w:rsid w:val="0036008B"/>
    <w:rsid w:val="003642C7"/>
    <w:rsid w:val="003647CA"/>
    <w:rsid w:val="003718F0"/>
    <w:rsid w:val="00371A01"/>
    <w:rsid w:val="00373A4A"/>
    <w:rsid w:val="00373E17"/>
    <w:rsid w:val="00377232"/>
    <w:rsid w:val="0038080A"/>
    <w:rsid w:val="003834DA"/>
    <w:rsid w:val="00383CB3"/>
    <w:rsid w:val="00384376"/>
    <w:rsid w:val="00386179"/>
    <w:rsid w:val="0038710A"/>
    <w:rsid w:val="00392BA7"/>
    <w:rsid w:val="00395E28"/>
    <w:rsid w:val="00397215"/>
    <w:rsid w:val="00397B18"/>
    <w:rsid w:val="003A1383"/>
    <w:rsid w:val="003B06DE"/>
    <w:rsid w:val="003B09A8"/>
    <w:rsid w:val="003B3902"/>
    <w:rsid w:val="003B4075"/>
    <w:rsid w:val="003B638C"/>
    <w:rsid w:val="003B6B9B"/>
    <w:rsid w:val="003B7067"/>
    <w:rsid w:val="003B7F43"/>
    <w:rsid w:val="003C417E"/>
    <w:rsid w:val="003C62C2"/>
    <w:rsid w:val="003D14C3"/>
    <w:rsid w:val="003D250F"/>
    <w:rsid w:val="003D343F"/>
    <w:rsid w:val="003D6565"/>
    <w:rsid w:val="003D6FD1"/>
    <w:rsid w:val="003E029E"/>
    <w:rsid w:val="003E0505"/>
    <w:rsid w:val="003E2CEB"/>
    <w:rsid w:val="003E33A8"/>
    <w:rsid w:val="003E5D75"/>
    <w:rsid w:val="003E749B"/>
    <w:rsid w:val="003E7655"/>
    <w:rsid w:val="003F2A16"/>
    <w:rsid w:val="003F6065"/>
    <w:rsid w:val="00403415"/>
    <w:rsid w:val="0040364F"/>
    <w:rsid w:val="00404FC8"/>
    <w:rsid w:val="004075E7"/>
    <w:rsid w:val="004133F3"/>
    <w:rsid w:val="00413D52"/>
    <w:rsid w:val="00416077"/>
    <w:rsid w:val="00420A4F"/>
    <w:rsid w:val="00421812"/>
    <w:rsid w:val="004259DC"/>
    <w:rsid w:val="004264B5"/>
    <w:rsid w:val="00427375"/>
    <w:rsid w:val="00430670"/>
    <w:rsid w:val="004307F5"/>
    <w:rsid w:val="00430BCB"/>
    <w:rsid w:val="00435182"/>
    <w:rsid w:val="004365EC"/>
    <w:rsid w:val="00436CD1"/>
    <w:rsid w:val="0044074B"/>
    <w:rsid w:val="00446E5C"/>
    <w:rsid w:val="00447CCD"/>
    <w:rsid w:val="004500DF"/>
    <w:rsid w:val="00450C6E"/>
    <w:rsid w:val="00451AD6"/>
    <w:rsid w:val="00451AF1"/>
    <w:rsid w:val="00453E87"/>
    <w:rsid w:val="0045525F"/>
    <w:rsid w:val="00455DDE"/>
    <w:rsid w:val="00465F9B"/>
    <w:rsid w:val="00474D2C"/>
    <w:rsid w:val="0047553A"/>
    <w:rsid w:val="00476918"/>
    <w:rsid w:val="00480A23"/>
    <w:rsid w:val="00480DDE"/>
    <w:rsid w:val="004869DE"/>
    <w:rsid w:val="00490C10"/>
    <w:rsid w:val="00490EE0"/>
    <w:rsid w:val="0049484E"/>
    <w:rsid w:val="004949F0"/>
    <w:rsid w:val="004A1473"/>
    <w:rsid w:val="004A429E"/>
    <w:rsid w:val="004A5267"/>
    <w:rsid w:val="004B1612"/>
    <w:rsid w:val="004B3237"/>
    <w:rsid w:val="004B470F"/>
    <w:rsid w:val="004B4C8C"/>
    <w:rsid w:val="004B4E25"/>
    <w:rsid w:val="004B5778"/>
    <w:rsid w:val="004C27B6"/>
    <w:rsid w:val="004C367E"/>
    <w:rsid w:val="004C6FFE"/>
    <w:rsid w:val="004D076A"/>
    <w:rsid w:val="004D2D77"/>
    <w:rsid w:val="004D590E"/>
    <w:rsid w:val="004E4FAD"/>
    <w:rsid w:val="004F5439"/>
    <w:rsid w:val="004F5DF4"/>
    <w:rsid w:val="004F6627"/>
    <w:rsid w:val="00500BFE"/>
    <w:rsid w:val="005033BA"/>
    <w:rsid w:val="00505D65"/>
    <w:rsid w:val="00506105"/>
    <w:rsid w:val="005113E7"/>
    <w:rsid w:val="00516010"/>
    <w:rsid w:val="00517419"/>
    <w:rsid w:val="0051770C"/>
    <w:rsid w:val="0052234A"/>
    <w:rsid w:val="0052289C"/>
    <w:rsid w:val="00524003"/>
    <w:rsid w:val="005248B2"/>
    <w:rsid w:val="005310C1"/>
    <w:rsid w:val="00533A35"/>
    <w:rsid w:val="00535E4F"/>
    <w:rsid w:val="00536379"/>
    <w:rsid w:val="0053707A"/>
    <w:rsid w:val="00540B30"/>
    <w:rsid w:val="005459C7"/>
    <w:rsid w:val="0055463D"/>
    <w:rsid w:val="00554C4F"/>
    <w:rsid w:val="00557C18"/>
    <w:rsid w:val="0056193B"/>
    <w:rsid w:val="00563758"/>
    <w:rsid w:val="005669CC"/>
    <w:rsid w:val="00573778"/>
    <w:rsid w:val="005741D8"/>
    <w:rsid w:val="0058336A"/>
    <w:rsid w:val="0059016F"/>
    <w:rsid w:val="005A4BFE"/>
    <w:rsid w:val="005A74B8"/>
    <w:rsid w:val="005B22C8"/>
    <w:rsid w:val="005B32CA"/>
    <w:rsid w:val="005B32CC"/>
    <w:rsid w:val="005B3D6E"/>
    <w:rsid w:val="005C12BF"/>
    <w:rsid w:val="005C1892"/>
    <w:rsid w:val="005C2A72"/>
    <w:rsid w:val="005C3ACB"/>
    <w:rsid w:val="005C6754"/>
    <w:rsid w:val="005C7671"/>
    <w:rsid w:val="005D2657"/>
    <w:rsid w:val="005D4163"/>
    <w:rsid w:val="005D58A9"/>
    <w:rsid w:val="005E1BEE"/>
    <w:rsid w:val="005E2A03"/>
    <w:rsid w:val="005E5ECB"/>
    <w:rsid w:val="005E78FB"/>
    <w:rsid w:val="005F067C"/>
    <w:rsid w:val="005F1F54"/>
    <w:rsid w:val="005F4185"/>
    <w:rsid w:val="005F6946"/>
    <w:rsid w:val="00602B5F"/>
    <w:rsid w:val="00606204"/>
    <w:rsid w:val="00606495"/>
    <w:rsid w:val="006112CB"/>
    <w:rsid w:val="00616335"/>
    <w:rsid w:val="00616FFF"/>
    <w:rsid w:val="00617915"/>
    <w:rsid w:val="00622F53"/>
    <w:rsid w:val="00626889"/>
    <w:rsid w:val="0062730F"/>
    <w:rsid w:val="006313C2"/>
    <w:rsid w:val="00632EE4"/>
    <w:rsid w:val="0063304A"/>
    <w:rsid w:val="00633FDA"/>
    <w:rsid w:val="00634F64"/>
    <w:rsid w:val="006351E8"/>
    <w:rsid w:val="00635347"/>
    <w:rsid w:val="00635DDA"/>
    <w:rsid w:val="006361FD"/>
    <w:rsid w:val="00645AA4"/>
    <w:rsid w:val="006472AD"/>
    <w:rsid w:val="006536BA"/>
    <w:rsid w:val="006621C2"/>
    <w:rsid w:val="00662A10"/>
    <w:rsid w:val="006631D8"/>
    <w:rsid w:val="006643CB"/>
    <w:rsid w:val="00665E4B"/>
    <w:rsid w:val="00667276"/>
    <w:rsid w:val="00667AAD"/>
    <w:rsid w:val="006706E4"/>
    <w:rsid w:val="00672CFC"/>
    <w:rsid w:val="00677267"/>
    <w:rsid w:val="00677D5B"/>
    <w:rsid w:val="00682EC2"/>
    <w:rsid w:val="00683FD1"/>
    <w:rsid w:val="00685125"/>
    <w:rsid w:val="0069017C"/>
    <w:rsid w:val="0069499A"/>
    <w:rsid w:val="00695DDC"/>
    <w:rsid w:val="00696D79"/>
    <w:rsid w:val="006A166C"/>
    <w:rsid w:val="006A44E6"/>
    <w:rsid w:val="006A7C1A"/>
    <w:rsid w:val="006B2494"/>
    <w:rsid w:val="006B2637"/>
    <w:rsid w:val="006B2731"/>
    <w:rsid w:val="006B4CC8"/>
    <w:rsid w:val="006B5A55"/>
    <w:rsid w:val="006B6E9C"/>
    <w:rsid w:val="006B793B"/>
    <w:rsid w:val="006B7F6A"/>
    <w:rsid w:val="006C0118"/>
    <w:rsid w:val="006C2132"/>
    <w:rsid w:val="006C2292"/>
    <w:rsid w:val="006C31E1"/>
    <w:rsid w:val="006C36BB"/>
    <w:rsid w:val="006C6B24"/>
    <w:rsid w:val="006E0283"/>
    <w:rsid w:val="006E1A22"/>
    <w:rsid w:val="006E2DE9"/>
    <w:rsid w:val="006E5308"/>
    <w:rsid w:val="006F0581"/>
    <w:rsid w:val="006F4693"/>
    <w:rsid w:val="006F7AA5"/>
    <w:rsid w:val="00704FA8"/>
    <w:rsid w:val="0071209F"/>
    <w:rsid w:val="0071365C"/>
    <w:rsid w:val="00723235"/>
    <w:rsid w:val="00724008"/>
    <w:rsid w:val="007252AE"/>
    <w:rsid w:val="00725597"/>
    <w:rsid w:val="0073059E"/>
    <w:rsid w:val="00735046"/>
    <w:rsid w:val="00737242"/>
    <w:rsid w:val="0074180B"/>
    <w:rsid w:val="00743E0C"/>
    <w:rsid w:val="00744065"/>
    <w:rsid w:val="007469B0"/>
    <w:rsid w:val="00750884"/>
    <w:rsid w:val="007516F7"/>
    <w:rsid w:val="00756F6E"/>
    <w:rsid w:val="00761F23"/>
    <w:rsid w:val="007632D9"/>
    <w:rsid w:val="0076360F"/>
    <w:rsid w:val="00773000"/>
    <w:rsid w:val="00775336"/>
    <w:rsid w:val="00782C97"/>
    <w:rsid w:val="00790E60"/>
    <w:rsid w:val="00795FB2"/>
    <w:rsid w:val="0079787E"/>
    <w:rsid w:val="007A07F5"/>
    <w:rsid w:val="007A0834"/>
    <w:rsid w:val="007B0E8D"/>
    <w:rsid w:val="007B18E8"/>
    <w:rsid w:val="007B4309"/>
    <w:rsid w:val="007B5D30"/>
    <w:rsid w:val="007C01A0"/>
    <w:rsid w:val="007C1FE4"/>
    <w:rsid w:val="007C20D1"/>
    <w:rsid w:val="007D21FA"/>
    <w:rsid w:val="007D2D1F"/>
    <w:rsid w:val="007D344F"/>
    <w:rsid w:val="007D62B1"/>
    <w:rsid w:val="007D6FE8"/>
    <w:rsid w:val="007D7D37"/>
    <w:rsid w:val="007E35ED"/>
    <w:rsid w:val="007E3946"/>
    <w:rsid w:val="007E6357"/>
    <w:rsid w:val="007E7E09"/>
    <w:rsid w:val="007F0DB3"/>
    <w:rsid w:val="007F5D9B"/>
    <w:rsid w:val="008000AE"/>
    <w:rsid w:val="00800DBC"/>
    <w:rsid w:val="00802786"/>
    <w:rsid w:val="00810185"/>
    <w:rsid w:val="00810E64"/>
    <w:rsid w:val="00813AA2"/>
    <w:rsid w:val="00815534"/>
    <w:rsid w:val="00815DF4"/>
    <w:rsid w:val="00821C78"/>
    <w:rsid w:val="008240DC"/>
    <w:rsid w:val="008240F1"/>
    <w:rsid w:val="00826BAA"/>
    <w:rsid w:val="00826DF8"/>
    <w:rsid w:val="00827928"/>
    <w:rsid w:val="00835ADB"/>
    <w:rsid w:val="008377A0"/>
    <w:rsid w:val="008404FE"/>
    <w:rsid w:val="008453E8"/>
    <w:rsid w:val="00846033"/>
    <w:rsid w:val="0084623E"/>
    <w:rsid w:val="00851A9C"/>
    <w:rsid w:val="00851E02"/>
    <w:rsid w:val="00853DE6"/>
    <w:rsid w:val="00855FFB"/>
    <w:rsid w:val="00870AF1"/>
    <w:rsid w:val="00873962"/>
    <w:rsid w:val="0087434F"/>
    <w:rsid w:val="008745DC"/>
    <w:rsid w:val="00875883"/>
    <w:rsid w:val="00882B7D"/>
    <w:rsid w:val="00882E97"/>
    <w:rsid w:val="00882FFE"/>
    <w:rsid w:val="008838CD"/>
    <w:rsid w:val="00890263"/>
    <w:rsid w:val="00891176"/>
    <w:rsid w:val="00895895"/>
    <w:rsid w:val="008A0B90"/>
    <w:rsid w:val="008A1B2A"/>
    <w:rsid w:val="008A223D"/>
    <w:rsid w:val="008A2933"/>
    <w:rsid w:val="008B1763"/>
    <w:rsid w:val="008C338F"/>
    <w:rsid w:val="008D169E"/>
    <w:rsid w:val="008D2AE3"/>
    <w:rsid w:val="008D5048"/>
    <w:rsid w:val="008D54A1"/>
    <w:rsid w:val="008D5EA5"/>
    <w:rsid w:val="008E0628"/>
    <w:rsid w:val="008F04EC"/>
    <w:rsid w:val="008F1A3E"/>
    <w:rsid w:val="008F34EF"/>
    <w:rsid w:val="008F788A"/>
    <w:rsid w:val="009003DC"/>
    <w:rsid w:val="009050C9"/>
    <w:rsid w:val="00912599"/>
    <w:rsid w:val="00913CF0"/>
    <w:rsid w:val="009168CB"/>
    <w:rsid w:val="0092396D"/>
    <w:rsid w:val="00924064"/>
    <w:rsid w:val="00927404"/>
    <w:rsid w:val="0093384A"/>
    <w:rsid w:val="0093548D"/>
    <w:rsid w:val="0094272D"/>
    <w:rsid w:val="009451E6"/>
    <w:rsid w:val="00945B68"/>
    <w:rsid w:val="00946AB9"/>
    <w:rsid w:val="00952741"/>
    <w:rsid w:val="009577C2"/>
    <w:rsid w:val="00972BF3"/>
    <w:rsid w:val="00974005"/>
    <w:rsid w:val="00976BA1"/>
    <w:rsid w:val="00981B79"/>
    <w:rsid w:val="00982A5F"/>
    <w:rsid w:val="00982F2E"/>
    <w:rsid w:val="00984723"/>
    <w:rsid w:val="00990007"/>
    <w:rsid w:val="00991AA5"/>
    <w:rsid w:val="009950C7"/>
    <w:rsid w:val="009952A9"/>
    <w:rsid w:val="0099702C"/>
    <w:rsid w:val="009A4AFC"/>
    <w:rsid w:val="009B0587"/>
    <w:rsid w:val="009B07DB"/>
    <w:rsid w:val="009B2860"/>
    <w:rsid w:val="009B2971"/>
    <w:rsid w:val="009B35EC"/>
    <w:rsid w:val="009B7C6A"/>
    <w:rsid w:val="009C21FF"/>
    <w:rsid w:val="009C7975"/>
    <w:rsid w:val="009D01EC"/>
    <w:rsid w:val="009D07E5"/>
    <w:rsid w:val="009D25BD"/>
    <w:rsid w:val="009D2DBD"/>
    <w:rsid w:val="009D457F"/>
    <w:rsid w:val="009D6586"/>
    <w:rsid w:val="009E0592"/>
    <w:rsid w:val="009E1E39"/>
    <w:rsid w:val="009E2AFC"/>
    <w:rsid w:val="00A0263E"/>
    <w:rsid w:val="00A02F2F"/>
    <w:rsid w:val="00A03911"/>
    <w:rsid w:val="00A03ECD"/>
    <w:rsid w:val="00A05B6D"/>
    <w:rsid w:val="00A079C2"/>
    <w:rsid w:val="00A07B05"/>
    <w:rsid w:val="00A159BB"/>
    <w:rsid w:val="00A15AD3"/>
    <w:rsid w:val="00A16EBF"/>
    <w:rsid w:val="00A175BA"/>
    <w:rsid w:val="00A2255C"/>
    <w:rsid w:val="00A30F41"/>
    <w:rsid w:val="00A3350F"/>
    <w:rsid w:val="00A355E4"/>
    <w:rsid w:val="00A35972"/>
    <w:rsid w:val="00A3640C"/>
    <w:rsid w:val="00A36E90"/>
    <w:rsid w:val="00A4224C"/>
    <w:rsid w:val="00A42C21"/>
    <w:rsid w:val="00A50ECF"/>
    <w:rsid w:val="00A52164"/>
    <w:rsid w:val="00A61305"/>
    <w:rsid w:val="00A61358"/>
    <w:rsid w:val="00A632D4"/>
    <w:rsid w:val="00A64BC2"/>
    <w:rsid w:val="00A6581E"/>
    <w:rsid w:val="00A76BE5"/>
    <w:rsid w:val="00A81AF9"/>
    <w:rsid w:val="00A83664"/>
    <w:rsid w:val="00A86834"/>
    <w:rsid w:val="00A92FA7"/>
    <w:rsid w:val="00A97A74"/>
    <w:rsid w:val="00AA3256"/>
    <w:rsid w:val="00AA7346"/>
    <w:rsid w:val="00AB0593"/>
    <w:rsid w:val="00AB6223"/>
    <w:rsid w:val="00AC5680"/>
    <w:rsid w:val="00AD47DC"/>
    <w:rsid w:val="00AE09F4"/>
    <w:rsid w:val="00AE0CCB"/>
    <w:rsid w:val="00AE1CB2"/>
    <w:rsid w:val="00AE4B53"/>
    <w:rsid w:val="00AE75B9"/>
    <w:rsid w:val="00AF77F3"/>
    <w:rsid w:val="00B00BAE"/>
    <w:rsid w:val="00B014AE"/>
    <w:rsid w:val="00B04B2D"/>
    <w:rsid w:val="00B077B2"/>
    <w:rsid w:val="00B07D57"/>
    <w:rsid w:val="00B12AE8"/>
    <w:rsid w:val="00B1583F"/>
    <w:rsid w:val="00B16658"/>
    <w:rsid w:val="00B16EDB"/>
    <w:rsid w:val="00B17C19"/>
    <w:rsid w:val="00B218FC"/>
    <w:rsid w:val="00B234EB"/>
    <w:rsid w:val="00B26596"/>
    <w:rsid w:val="00B30792"/>
    <w:rsid w:val="00B34DDF"/>
    <w:rsid w:val="00B36658"/>
    <w:rsid w:val="00B36803"/>
    <w:rsid w:val="00B40D54"/>
    <w:rsid w:val="00B40F1B"/>
    <w:rsid w:val="00B45D1D"/>
    <w:rsid w:val="00B53AE1"/>
    <w:rsid w:val="00B66939"/>
    <w:rsid w:val="00B6698D"/>
    <w:rsid w:val="00B66D62"/>
    <w:rsid w:val="00B67BF1"/>
    <w:rsid w:val="00B73A77"/>
    <w:rsid w:val="00B73DCB"/>
    <w:rsid w:val="00B762E9"/>
    <w:rsid w:val="00B832FC"/>
    <w:rsid w:val="00B85D3C"/>
    <w:rsid w:val="00B97220"/>
    <w:rsid w:val="00BA10FA"/>
    <w:rsid w:val="00BA185A"/>
    <w:rsid w:val="00BA22FA"/>
    <w:rsid w:val="00BA4333"/>
    <w:rsid w:val="00BA7974"/>
    <w:rsid w:val="00BB273F"/>
    <w:rsid w:val="00BB32F4"/>
    <w:rsid w:val="00BB5156"/>
    <w:rsid w:val="00BB5B3D"/>
    <w:rsid w:val="00BB6158"/>
    <w:rsid w:val="00BB6FE1"/>
    <w:rsid w:val="00BC43AD"/>
    <w:rsid w:val="00BC43E5"/>
    <w:rsid w:val="00BC7DDD"/>
    <w:rsid w:val="00BD0F20"/>
    <w:rsid w:val="00BD1077"/>
    <w:rsid w:val="00BD4777"/>
    <w:rsid w:val="00BD48D1"/>
    <w:rsid w:val="00BD78AE"/>
    <w:rsid w:val="00BD7FAD"/>
    <w:rsid w:val="00BE0B50"/>
    <w:rsid w:val="00BE1600"/>
    <w:rsid w:val="00BE2190"/>
    <w:rsid w:val="00BE59D5"/>
    <w:rsid w:val="00BE68DB"/>
    <w:rsid w:val="00BE7E83"/>
    <w:rsid w:val="00BF1AC6"/>
    <w:rsid w:val="00BF26F7"/>
    <w:rsid w:val="00BF4669"/>
    <w:rsid w:val="00BF695C"/>
    <w:rsid w:val="00C009A7"/>
    <w:rsid w:val="00C02100"/>
    <w:rsid w:val="00C17169"/>
    <w:rsid w:val="00C20FFC"/>
    <w:rsid w:val="00C2178D"/>
    <w:rsid w:val="00C217DE"/>
    <w:rsid w:val="00C307C0"/>
    <w:rsid w:val="00C32312"/>
    <w:rsid w:val="00C3514E"/>
    <w:rsid w:val="00C374F4"/>
    <w:rsid w:val="00C37A15"/>
    <w:rsid w:val="00C42A2A"/>
    <w:rsid w:val="00C44567"/>
    <w:rsid w:val="00C56B3D"/>
    <w:rsid w:val="00C57541"/>
    <w:rsid w:val="00C6099E"/>
    <w:rsid w:val="00C6105A"/>
    <w:rsid w:val="00C647DF"/>
    <w:rsid w:val="00C656B7"/>
    <w:rsid w:val="00C66705"/>
    <w:rsid w:val="00C702CC"/>
    <w:rsid w:val="00C710E3"/>
    <w:rsid w:val="00C71DB1"/>
    <w:rsid w:val="00C74994"/>
    <w:rsid w:val="00C755E6"/>
    <w:rsid w:val="00C769A3"/>
    <w:rsid w:val="00C77989"/>
    <w:rsid w:val="00C80B18"/>
    <w:rsid w:val="00C82990"/>
    <w:rsid w:val="00C83325"/>
    <w:rsid w:val="00C85838"/>
    <w:rsid w:val="00C87B1F"/>
    <w:rsid w:val="00C91C16"/>
    <w:rsid w:val="00C93C78"/>
    <w:rsid w:val="00C96135"/>
    <w:rsid w:val="00CA2F7C"/>
    <w:rsid w:val="00CA5FC1"/>
    <w:rsid w:val="00CA60AC"/>
    <w:rsid w:val="00CA754C"/>
    <w:rsid w:val="00CB0254"/>
    <w:rsid w:val="00CB6E06"/>
    <w:rsid w:val="00CC4E10"/>
    <w:rsid w:val="00CC6B97"/>
    <w:rsid w:val="00CC73DB"/>
    <w:rsid w:val="00CD23DF"/>
    <w:rsid w:val="00CD5BEB"/>
    <w:rsid w:val="00CF008D"/>
    <w:rsid w:val="00CF3A44"/>
    <w:rsid w:val="00CF4872"/>
    <w:rsid w:val="00CF56A8"/>
    <w:rsid w:val="00D03272"/>
    <w:rsid w:val="00D0361E"/>
    <w:rsid w:val="00D051AF"/>
    <w:rsid w:val="00D152F2"/>
    <w:rsid w:val="00D15398"/>
    <w:rsid w:val="00D16312"/>
    <w:rsid w:val="00D205EA"/>
    <w:rsid w:val="00D21639"/>
    <w:rsid w:val="00D26D9F"/>
    <w:rsid w:val="00D3258F"/>
    <w:rsid w:val="00D3539E"/>
    <w:rsid w:val="00D35C39"/>
    <w:rsid w:val="00D37E1C"/>
    <w:rsid w:val="00D42994"/>
    <w:rsid w:val="00D44579"/>
    <w:rsid w:val="00D4766C"/>
    <w:rsid w:val="00D5505F"/>
    <w:rsid w:val="00D6010A"/>
    <w:rsid w:val="00D60128"/>
    <w:rsid w:val="00D6131F"/>
    <w:rsid w:val="00D665B6"/>
    <w:rsid w:val="00D700DF"/>
    <w:rsid w:val="00D70BC1"/>
    <w:rsid w:val="00D732F6"/>
    <w:rsid w:val="00D73FDB"/>
    <w:rsid w:val="00D74525"/>
    <w:rsid w:val="00D77445"/>
    <w:rsid w:val="00D77D3C"/>
    <w:rsid w:val="00D812D8"/>
    <w:rsid w:val="00D81848"/>
    <w:rsid w:val="00D81F86"/>
    <w:rsid w:val="00D82B00"/>
    <w:rsid w:val="00D836A5"/>
    <w:rsid w:val="00D845B4"/>
    <w:rsid w:val="00D86BDD"/>
    <w:rsid w:val="00D8759A"/>
    <w:rsid w:val="00D9170E"/>
    <w:rsid w:val="00D93E52"/>
    <w:rsid w:val="00D9656A"/>
    <w:rsid w:val="00D968CF"/>
    <w:rsid w:val="00D97933"/>
    <w:rsid w:val="00D97F4B"/>
    <w:rsid w:val="00DA5C03"/>
    <w:rsid w:val="00DA6AC6"/>
    <w:rsid w:val="00DB339D"/>
    <w:rsid w:val="00DB74F3"/>
    <w:rsid w:val="00DC1657"/>
    <w:rsid w:val="00DC3245"/>
    <w:rsid w:val="00DD1C40"/>
    <w:rsid w:val="00DD31BA"/>
    <w:rsid w:val="00DD3ACD"/>
    <w:rsid w:val="00DD72DA"/>
    <w:rsid w:val="00DD79F2"/>
    <w:rsid w:val="00DD7DD5"/>
    <w:rsid w:val="00DE141D"/>
    <w:rsid w:val="00DE15F8"/>
    <w:rsid w:val="00DE2AA0"/>
    <w:rsid w:val="00DE31BB"/>
    <w:rsid w:val="00DE4CB4"/>
    <w:rsid w:val="00DE5332"/>
    <w:rsid w:val="00DE735C"/>
    <w:rsid w:val="00DF41D1"/>
    <w:rsid w:val="00DF4D73"/>
    <w:rsid w:val="00DF6529"/>
    <w:rsid w:val="00E0060B"/>
    <w:rsid w:val="00E03A10"/>
    <w:rsid w:val="00E121DC"/>
    <w:rsid w:val="00E144B3"/>
    <w:rsid w:val="00E15F38"/>
    <w:rsid w:val="00E162B6"/>
    <w:rsid w:val="00E1638A"/>
    <w:rsid w:val="00E30A83"/>
    <w:rsid w:val="00E33142"/>
    <w:rsid w:val="00E4765E"/>
    <w:rsid w:val="00E62075"/>
    <w:rsid w:val="00E6431E"/>
    <w:rsid w:val="00E7085C"/>
    <w:rsid w:val="00E76C0C"/>
    <w:rsid w:val="00E828F9"/>
    <w:rsid w:val="00E83F19"/>
    <w:rsid w:val="00E8678D"/>
    <w:rsid w:val="00E90105"/>
    <w:rsid w:val="00E9136F"/>
    <w:rsid w:val="00E9318E"/>
    <w:rsid w:val="00E93768"/>
    <w:rsid w:val="00E93880"/>
    <w:rsid w:val="00E93F52"/>
    <w:rsid w:val="00E959C5"/>
    <w:rsid w:val="00E95A4F"/>
    <w:rsid w:val="00E97903"/>
    <w:rsid w:val="00EA16A6"/>
    <w:rsid w:val="00EA1EDD"/>
    <w:rsid w:val="00EA35C5"/>
    <w:rsid w:val="00EA4F72"/>
    <w:rsid w:val="00EA6C3A"/>
    <w:rsid w:val="00EB0E06"/>
    <w:rsid w:val="00EB14BB"/>
    <w:rsid w:val="00EB19E5"/>
    <w:rsid w:val="00EB3565"/>
    <w:rsid w:val="00EB3A30"/>
    <w:rsid w:val="00EB3E2E"/>
    <w:rsid w:val="00EB47E3"/>
    <w:rsid w:val="00EB5643"/>
    <w:rsid w:val="00EC0D43"/>
    <w:rsid w:val="00EC1238"/>
    <w:rsid w:val="00EC6D80"/>
    <w:rsid w:val="00EC70C8"/>
    <w:rsid w:val="00EC7F95"/>
    <w:rsid w:val="00ED2E2C"/>
    <w:rsid w:val="00ED44F3"/>
    <w:rsid w:val="00ED468C"/>
    <w:rsid w:val="00EE1754"/>
    <w:rsid w:val="00EE26F1"/>
    <w:rsid w:val="00EE2B57"/>
    <w:rsid w:val="00EE3BAB"/>
    <w:rsid w:val="00EE7EB9"/>
    <w:rsid w:val="00EE7FD6"/>
    <w:rsid w:val="00EF0D9B"/>
    <w:rsid w:val="00EF1DF8"/>
    <w:rsid w:val="00EF1E3E"/>
    <w:rsid w:val="00EF39D7"/>
    <w:rsid w:val="00EF4ECD"/>
    <w:rsid w:val="00EF6A12"/>
    <w:rsid w:val="00EF704D"/>
    <w:rsid w:val="00F00D48"/>
    <w:rsid w:val="00F0193E"/>
    <w:rsid w:val="00F04384"/>
    <w:rsid w:val="00F06ABC"/>
    <w:rsid w:val="00F0726E"/>
    <w:rsid w:val="00F200FF"/>
    <w:rsid w:val="00F20BDF"/>
    <w:rsid w:val="00F21659"/>
    <w:rsid w:val="00F21765"/>
    <w:rsid w:val="00F21A71"/>
    <w:rsid w:val="00F2347E"/>
    <w:rsid w:val="00F27B32"/>
    <w:rsid w:val="00F37B79"/>
    <w:rsid w:val="00F40670"/>
    <w:rsid w:val="00F40857"/>
    <w:rsid w:val="00F40B3B"/>
    <w:rsid w:val="00F4147D"/>
    <w:rsid w:val="00F424AD"/>
    <w:rsid w:val="00F43589"/>
    <w:rsid w:val="00F4726E"/>
    <w:rsid w:val="00F473D0"/>
    <w:rsid w:val="00F478EB"/>
    <w:rsid w:val="00F5353B"/>
    <w:rsid w:val="00F5504C"/>
    <w:rsid w:val="00F55DCD"/>
    <w:rsid w:val="00F57EE5"/>
    <w:rsid w:val="00F62884"/>
    <w:rsid w:val="00F653E7"/>
    <w:rsid w:val="00F65D0F"/>
    <w:rsid w:val="00F722AC"/>
    <w:rsid w:val="00F73F1C"/>
    <w:rsid w:val="00F76EEF"/>
    <w:rsid w:val="00F83219"/>
    <w:rsid w:val="00F84622"/>
    <w:rsid w:val="00F8567E"/>
    <w:rsid w:val="00F85BEF"/>
    <w:rsid w:val="00F861DB"/>
    <w:rsid w:val="00F866D6"/>
    <w:rsid w:val="00F8676E"/>
    <w:rsid w:val="00F93F87"/>
    <w:rsid w:val="00F94BE9"/>
    <w:rsid w:val="00F97485"/>
    <w:rsid w:val="00F9753C"/>
    <w:rsid w:val="00F97ED9"/>
    <w:rsid w:val="00FA10C0"/>
    <w:rsid w:val="00FA2DCB"/>
    <w:rsid w:val="00FC03F1"/>
    <w:rsid w:val="00FC062C"/>
    <w:rsid w:val="00FC1487"/>
    <w:rsid w:val="00FC2114"/>
    <w:rsid w:val="00FC24B4"/>
    <w:rsid w:val="00FC6FCA"/>
    <w:rsid w:val="00FC773A"/>
    <w:rsid w:val="00FC7E95"/>
    <w:rsid w:val="00FD31B5"/>
    <w:rsid w:val="00FD47D5"/>
    <w:rsid w:val="00FE138E"/>
    <w:rsid w:val="00FE28C3"/>
    <w:rsid w:val="00FF1E23"/>
    <w:rsid w:val="00FF3DE8"/>
    <w:rsid w:val="00FF4D1E"/>
    <w:rsid w:val="010F51E7"/>
    <w:rsid w:val="015B2AD7"/>
    <w:rsid w:val="015C2B0C"/>
    <w:rsid w:val="016B6721"/>
    <w:rsid w:val="01A00920"/>
    <w:rsid w:val="01DB6127"/>
    <w:rsid w:val="021533E7"/>
    <w:rsid w:val="025D08EA"/>
    <w:rsid w:val="02685C0C"/>
    <w:rsid w:val="02830AFC"/>
    <w:rsid w:val="02BE582C"/>
    <w:rsid w:val="03190CB5"/>
    <w:rsid w:val="033664C6"/>
    <w:rsid w:val="033B6E7D"/>
    <w:rsid w:val="035B12CD"/>
    <w:rsid w:val="03BD3568"/>
    <w:rsid w:val="03C93874"/>
    <w:rsid w:val="04844854"/>
    <w:rsid w:val="049031F8"/>
    <w:rsid w:val="04934A97"/>
    <w:rsid w:val="049A5E25"/>
    <w:rsid w:val="04DC4690"/>
    <w:rsid w:val="051A6F66"/>
    <w:rsid w:val="05257DE5"/>
    <w:rsid w:val="059C7A38"/>
    <w:rsid w:val="05BA63D1"/>
    <w:rsid w:val="05C07B0D"/>
    <w:rsid w:val="05FB416F"/>
    <w:rsid w:val="061439B5"/>
    <w:rsid w:val="063E28D9"/>
    <w:rsid w:val="06865D60"/>
    <w:rsid w:val="06A91D9D"/>
    <w:rsid w:val="073E6F3C"/>
    <w:rsid w:val="078608E3"/>
    <w:rsid w:val="07CD4764"/>
    <w:rsid w:val="07D059A1"/>
    <w:rsid w:val="07ED2710"/>
    <w:rsid w:val="080C528C"/>
    <w:rsid w:val="08275C22"/>
    <w:rsid w:val="084F59DE"/>
    <w:rsid w:val="085617BD"/>
    <w:rsid w:val="08687FE8"/>
    <w:rsid w:val="08B502DB"/>
    <w:rsid w:val="08BA0844"/>
    <w:rsid w:val="08E23A12"/>
    <w:rsid w:val="09095327"/>
    <w:rsid w:val="096802A0"/>
    <w:rsid w:val="09B80B61"/>
    <w:rsid w:val="09C3197A"/>
    <w:rsid w:val="09D45935"/>
    <w:rsid w:val="09F52CC9"/>
    <w:rsid w:val="0A195A3E"/>
    <w:rsid w:val="0A486323"/>
    <w:rsid w:val="0A51342A"/>
    <w:rsid w:val="0A560A40"/>
    <w:rsid w:val="0AA11D43"/>
    <w:rsid w:val="0AA51080"/>
    <w:rsid w:val="0AA95014"/>
    <w:rsid w:val="0ABB6B50"/>
    <w:rsid w:val="0ABD510B"/>
    <w:rsid w:val="0AC0235E"/>
    <w:rsid w:val="0AF049F1"/>
    <w:rsid w:val="0B127368"/>
    <w:rsid w:val="0B297F03"/>
    <w:rsid w:val="0B4765DB"/>
    <w:rsid w:val="0B753148"/>
    <w:rsid w:val="0B906A0A"/>
    <w:rsid w:val="0B951349"/>
    <w:rsid w:val="0BD065D0"/>
    <w:rsid w:val="0BE45BD8"/>
    <w:rsid w:val="0BEA7692"/>
    <w:rsid w:val="0C3703FE"/>
    <w:rsid w:val="0CB952B6"/>
    <w:rsid w:val="0CCA1272"/>
    <w:rsid w:val="0CCF0636"/>
    <w:rsid w:val="0CD520F0"/>
    <w:rsid w:val="0CD8788F"/>
    <w:rsid w:val="0D5474C6"/>
    <w:rsid w:val="0D8E04F1"/>
    <w:rsid w:val="0D9A0C44"/>
    <w:rsid w:val="0DA25D4B"/>
    <w:rsid w:val="0DAB10A3"/>
    <w:rsid w:val="0DC46C62"/>
    <w:rsid w:val="0DD31934"/>
    <w:rsid w:val="0DF5231E"/>
    <w:rsid w:val="0DFB7F09"/>
    <w:rsid w:val="0E31106C"/>
    <w:rsid w:val="0E455FB4"/>
    <w:rsid w:val="0E5E6115"/>
    <w:rsid w:val="0E7D2A40"/>
    <w:rsid w:val="0E87566C"/>
    <w:rsid w:val="0EA038C1"/>
    <w:rsid w:val="0F101EC2"/>
    <w:rsid w:val="0F302298"/>
    <w:rsid w:val="0F56503F"/>
    <w:rsid w:val="0F580DB7"/>
    <w:rsid w:val="0F5B308E"/>
    <w:rsid w:val="0FB6788B"/>
    <w:rsid w:val="0FD77F2D"/>
    <w:rsid w:val="10042CED"/>
    <w:rsid w:val="100B7BD7"/>
    <w:rsid w:val="100D1BA1"/>
    <w:rsid w:val="100E76C7"/>
    <w:rsid w:val="108261BC"/>
    <w:rsid w:val="10A735CE"/>
    <w:rsid w:val="10EA3C90"/>
    <w:rsid w:val="11230F50"/>
    <w:rsid w:val="115D26B4"/>
    <w:rsid w:val="11672EEF"/>
    <w:rsid w:val="11A958FA"/>
    <w:rsid w:val="11AA3420"/>
    <w:rsid w:val="11C07301"/>
    <w:rsid w:val="11C10E95"/>
    <w:rsid w:val="11D712C6"/>
    <w:rsid w:val="122359BE"/>
    <w:rsid w:val="12307DC9"/>
    <w:rsid w:val="126D6927"/>
    <w:rsid w:val="12AB56A1"/>
    <w:rsid w:val="12CD73C6"/>
    <w:rsid w:val="12D93FBD"/>
    <w:rsid w:val="131274CE"/>
    <w:rsid w:val="13367661"/>
    <w:rsid w:val="139F6FB4"/>
    <w:rsid w:val="13C54541"/>
    <w:rsid w:val="13DA20FF"/>
    <w:rsid w:val="13DB3D64"/>
    <w:rsid w:val="13E64BE3"/>
    <w:rsid w:val="142D163E"/>
    <w:rsid w:val="143C2909"/>
    <w:rsid w:val="1456747C"/>
    <w:rsid w:val="14740441"/>
    <w:rsid w:val="147E306D"/>
    <w:rsid w:val="14977C8B"/>
    <w:rsid w:val="14EC01A8"/>
    <w:rsid w:val="15190FE8"/>
    <w:rsid w:val="152A0AFF"/>
    <w:rsid w:val="153E45AB"/>
    <w:rsid w:val="156130DF"/>
    <w:rsid w:val="157955E3"/>
    <w:rsid w:val="157D50D3"/>
    <w:rsid w:val="157E709D"/>
    <w:rsid w:val="158C5316"/>
    <w:rsid w:val="159363BA"/>
    <w:rsid w:val="15AA1C40"/>
    <w:rsid w:val="15D373E9"/>
    <w:rsid w:val="15DB0F7A"/>
    <w:rsid w:val="16000664"/>
    <w:rsid w:val="1681389E"/>
    <w:rsid w:val="16906DC3"/>
    <w:rsid w:val="1699418F"/>
    <w:rsid w:val="16AF39B2"/>
    <w:rsid w:val="16B9038D"/>
    <w:rsid w:val="17312619"/>
    <w:rsid w:val="17D64F6F"/>
    <w:rsid w:val="17D93250"/>
    <w:rsid w:val="17DA4A5F"/>
    <w:rsid w:val="17E2378B"/>
    <w:rsid w:val="180047A6"/>
    <w:rsid w:val="18251A52"/>
    <w:rsid w:val="183E20D4"/>
    <w:rsid w:val="1844012A"/>
    <w:rsid w:val="184E2432"/>
    <w:rsid w:val="186E164B"/>
    <w:rsid w:val="187F2071"/>
    <w:rsid w:val="18814EDA"/>
    <w:rsid w:val="188C387F"/>
    <w:rsid w:val="18A4506D"/>
    <w:rsid w:val="18EF1C85"/>
    <w:rsid w:val="191A0E8B"/>
    <w:rsid w:val="192B12EA"/>
    <w:rsid w:val="1945415A"/>
    <w:rsid w:val="194B7296"/>
    <w:rsid w:val="195D6770"/>
    <w:rsid w:val="198F7ACB"/>
    <w:rsid w:val="19946E8F"/>
    <w:rsid w:val="19B25567"/>
    <w:rsid w:val="19FF69FF"/>
    <w:rsid w:val="1A4C1518"/>
    <w:rsid w:val="1A645AE6"/>
    <w:rsid w:val="1A911ABB"/>
    <w:rsid w:val="1A9A0701"/>
    <w:rsid w:val="1ABD41C4"/>
    <w:rsid w:val="1ABF618E"/>
    <w:rsid w:val="1B3E5305"/>
    <w:rsid w:val="1B7B0307"/>
    <w:rsid w:val="1B8A22F8"/>
    <w:rsid w:val="1B9238A2"/>
    <w:rsid w:val="1BC872C4"/>
    <w:rsid w:val="1BF34341"/>
    <w:rsid w:val="1BF402FF"/>
    <w:rsid w:val="1C1442B7"/>
    <w:rsid w:val="1C242B5B"/>
    <w:rsid w:val="1C8B457A"/>
    <w:rsid w:val="1C8E406A"/>
    <w:rsid w:val="1C8E4FA2"/>
    <w:rsid w:val="1CDF2E36"/>
    <w:rsid w:val="1D254D4C"/>
    <w:rsid w:val="1D6372A4"/>
    <w:rsid w:val="1D644686"/>
    <w:rsid w:val="1DDE7065"/>
    <w:rsid w:val="1DFB128B"/>
    <w:rsid w:val="1E1B36DB"/>
    <w:rsid w:val="1E480DAA"/>
    <w:rsid w:val="1E775645"/>
    <w:rsid w:val="1E965458"/>
    <w:rsid w:val="1EBF49AE"/>
    <w:rsid w:val="1EDC05B1"/>
    <w:rsid w:val="1EF67CA4"/>
    <w:rsid w:val="1F861028"/>
    <w:rsid w:val="1FAF3928"/>
    <w:rsid w:val="20600741"/>
    <w:rsid w:val="20AE4CDA"/>
    <w:rsid w:val="20B87907"/>
    <w:rsid w:val="20CB79F3"/>
    <w:rsid w:val="210963B5"/>
    <w:rsid w:val="21222FD3"/>
    <w:rsid w:val="212A2260"/>
    <w:rsid w:val="213A656E"/>
    <w:rsid w:val="21511DA6"/>
    <w:rsid w:val="21535882"/>
    <w:rsid w:val="215F4227"/>
    <w:rsid w:val="21ED1832"/>
    <w:rsid w:val="22001566"/>
    <w:rsid w:val="226D7F2F"/>
    <w:rsid w:val="22780484"/>
    <w:rsid w:val="228C5874"/>
    <w:rsid w:val="22925F36"/>
    <w:rsid w:val="229D6DB5"/>
    <w:rsid w:val="22A44A31"/>
    <w:rsid w:val="22B1460E"/>
    <w:rsid w:val="22E22A19"/>
    <w:rsid w:val="233B65CE"/>
    <w:rsid w:val="233E01B0"/>
    <w:rsid w:val="2392748C"/>
    <w:rsid w:val="24015121"/>
    <w:rsid w:val="24614A27"/>
    <w:rsid w:val="2480698E"/>
    <w:rsid w:val="24BC729A"/>
    <w:rsid w:val="24F353B2"/>
    <w:rsid w:val="24F353CE"/>
    <w:rsid w:val="25421E95"/>
    <w:rsid w:val="25551BC9"/>
    <w:rsid w:val="25553977"/>
    <w:rsid w:val="259049AF"/>
    <w:rsid w:val="25C45A53"/>
    <w:rsid w:val="25DE1BBE"/>
    <w:rsid w:val="26B66697"/>
    <w:rsid w:val="26B96187"/>
    <w:rsid w:val="26D44D6F"/>
    <w:rsid w:val="26FE1DEC"/>
    <w:rsid w:val="27404012"/>
    <w:rsid w:val="276845B5"/>
    <w:rsid w:val="277B51EB"/>
    <w:rsid w:val="278E3170"/>
    <w:rsid w:val="27C47214"/>
    <w:rsid w:val="27F136FF"/>
    <w:rsid w:val="280F7CEF"/>
    <w:rsid w:val="284369F5"/>
    <w:rsid w:val="28883B68"/>
    <w:rsid w:val="29015BC3"/>
    <w:rsid w:val="290877C9"/>
    <w:rsid w:val="2920604A"/>
    <w:rsid w:val="29363E61"/>
    <w:rsid w:val="29E259F5"/>
    <w:rsid w:val="29F12B5D"/>
    <w:rsid w:val="29F169C9"/>
    <w:rsid w:val="2A1C0F07"/>
    <w:rsid w:val="2A461AE0"/>
    <w:rsid w:val="2A4C52C1"/>
    <w:rsid w:val="2A4D7312"/>
    <w:rsid w:val="2B0D4CF3"/>
    <w:rsid w:val="2B312790"/>
    <w:rsid w:val="2B326508"/>
    <w:rsid w:val="2B633C48"/>
    <w:rsid w:val="2B7B0381"/>
    <w:rsid w:val="2BA07916"/>
    <w:rsid w:val="2BA20511"/>
    <w:rsid w:val="2BD17ACF"/>
    <w:rsid w:val="2C2220D9"/>
    <w:rsid w:val="2C622E1D"/>
    <w:rsid w:val="2C994A91"/>
    <w:rsid w:val="2C9F5E1F"/>
    <w:rsid w:val="2CAD5E46"/>
    <w:rsid w:val="2CFE2B46"/>
    <w:rsid w:val="2D016192"/>
    <w:rsid w:val="2D371B98"/>
    <w:rsid w:val="2D4A1CFC"/>
    <w:rsid w:val="2D6706EB"/>
    <w:rsid w:val="2D7E77E3"/>
    <w:rsid w:val="2D80355B"/>
    <w:rsid w:val="2E3A7BAD"/>
    <w:rsid w:val="2EAC07E6"/>
    <w:rsid w:val="2EE6563F"/>
    <w:rsid w:val="2F2A5E74"/>
    <w:rsid w:val="2F2B74F6"/>
    <w:rsid w:val="2FC80091"/>
    <w:rsid w:val="2FDB716E"/>
    <w:rsid w:val="2FF43D8C"/>
    <w:rsid w:val="3002124E"/>
    <w:rsid w:val="30036368"/>
    <w:rsid w:val="300C37CC"/>
    <w:rsid w:val="30656A38"/>
    <w:rsid w:val="307A6987"/>
    <w:rsid w:val="30823707"/>
    <w:rsid w:val="31836B7D"/>
    <w:rsid w:val="31886E82"/>
    <w:rsid w:val="3199108F"/>
    <w:rsid w:val="322F37A1"/>
    <w:rsid w:val="32A777DC"/>
    <w:rsid w:val="32B67A1F"/>
    <w:rsid w:val="32F04CDF"/>
    <w:rsid w:val="32F81DE5"/>
    <w:rsid w:val="3317670F"/>
    <w:rsid w:val="33260700"/>
    <w:rsid w:val="33423060"/>
    <w:rsid w:val="33E87F0F"/>
    <w:rsid w:val="34842449"/>
    <w:rsid w:val="34873421"/>
    <w:rsid w:val="34E06670"/>
    <w:rsid w:val="351B1DBB"/>
    <w:rsid w:val="35357321"/>
    <w:rsid w:val="35702107"/>
    <w:rsid w:val="357F67EE"/>
    <w:rsid w:val="358856A2"/>
    <w:rsid w:val="3589141A"/>
    <w:rsid w:val="360F2FFF"/>
    <w:rsid w:val="360F7B72"/>
    <w:rsid w:val="36431440"/>
    <w:rsid w:val="364F4412"/>
    <w:rsid w:val="36517252"/>
    <w:rsid w:val="366C6D72"/>
    <w:rsid w:val="366E1A56"/>
    <w:rsid w:val="36721EAF"/>
    <w:rsid w:val="368034A5"/>
    <w:rsid w:val="368A544A"/>
    <w:rsid w:val="369938DF"/>
    <w:rsid w:val="36C50230"/>
    <w:rsid w:val="36FF1994"/>
    <w:rsid w:val="37152F66"/>
    <w:rsid w:val="3747333B"/>
    <w:rsid w:val="376D61FF"/>
    <w:rsid w:val="377F50FD"/>
    <w:rsid w:val="37BA4003"/>
    <w:rsid w:val="37F16590"/>
    <w:rsid w:val="37F60FE9"/>
    <w:rsid w:val="38275CCC"/>
    <w:rsid w:val="38673C95"/>
    <w:rsid w:val="38895D5B"/>
    <w:rsid w:val="388D2FD0"/>
    <w:rsid w:val="38B13162"/>
    <w:rsid w:val="38F848ED"/>
    <w:rsid w:val="390E5EBF"/>
    <w:rsid w:val="39395A0D"/>
    <w:rsid w:val="397C551E"/>
    <w:rsid w:val="39D32C64"/>
    <w:rsid w:val="39D8471E"/>
    <w:rsid w:val="3A282FB0"/>
    <w:rsid w:val="3A575643"/>
    <w:rsid w:val="3A5F274A"/>
    <w:rsid w:val="3A6A409B"/>
    <w:rsid w:val="3A7206CF"/>
    <w:rsid w:val="3AED7D56"/>
    <w:rsid w:val="3B003F2D"/>
    <w:rsid w:val="3B520BDD"/>
    <w:rsid w:val="3B556027"/>
    <w:rsid w:val="3B5A16C6"/>
    <w:rsid w:val="3B8E1539"/>
    <w:rsid w:val="3B9E56B5"/>
    <w:rsid w:val="3BA42B0A"/>
    <w:rsid w:val="3BAF1C17"/>
    <w:rsid w:val="3C0A155E"/>
    <w:rsid w:val="3C0E2679"/>
    <w:rsid w:val="3C2F4ACA"/>
    <w:rsid w:val="3C394AD5"/>
    <w:rsid w:val="3C432323"/>
    <w:rsid w:val="3C720E5A"/>
    <w:rsid w:val="3C8666B4"/>
    <w:rsid w:val="3C8D18CF"/>
    <w:rsid w:val="3CAD59EE"/>
    <w:rsid w:val="3CE024F1"/>
    <w:rsid w:val="3D536596"/>
    <w:rsid w:val="3D6647F9"/>
    <w:rsid w:val="3DB619EB"/>
    <w:rsid w:val="3DB86D41"/>
    <w:rsid w:val="3DFD0601"/>
    <w:rsid w:val="3E3143FD"/>
    <w:rsid w:val="3E7569E0"/>
    <w:rsid w:val="3EF40773"/>
    <w:rsid w:val="3F277CDA"/>
    <w:rsid w:val="3F636838"/>
    <w:rsid w:val="3F6A088B"/>
    <w:rsid w:val="3FE45BCB"/>
    <w:rsid w:val="40026D79"/>
    <w:rsid w:val="400718BA"/>
    <w:rsid w:val="40582115"/>
    <w:rsid w:val="405A40DF"/>
    <w:rsid w:val="406B3BF6"/>
    <w:rsid w:val="407231D7"/>
    <w:rsid w:val="408353E4"/>
    <w:rsid w:val="40AE7F87"/>
    <w:rsid w:val="40E340D5"/>
    <w:rsid w:val="41D35EF7"/>
    <w:rsid w:val="41F119E4"/>
    <w:rsid w:val="425608D6"/>
    <w:rsid w:val="42641245"/>
    <w:rsid w:val="426A59D3"/>
    <w:rsid w:val="42725710"/>
    <w:rsid w:val="42884F34"/>
    <w:rsid w:val="43996CCD"/>
    <w:rsid w:val="43AC4C52"/>
    <w:rsid w:val="43C30844"/>
    <w:rsid w:val="43CF0940"/>
    <w:rsid w:val="43D02809"/>
    <w:rsid w:val="442526E9"/>
    <w:rsid w:val="4439400C"/>
    <w:rsid w:val="4453331F"/>
    <w:rsid w:val="446C618F"/>
    <w:rsid w:val="447A08AC"/>
    <w:rsid w:val="44906321"/>
    <w:rsid w:val="44BF09B5"/>
    <w:rsid w:val="44D37FBC"/>
    <w:rsid w:val="4521341D"/>
    <w:rsid w:val="45390767"/>
    <w:rsid w:val="45C142B9"/>
    <w:rsid w:val="45C472EB"/>
    <w:rsid w:val="45EE2EBF"/>
    <w:rsid w:val="462211FB"/>
    <w:rsid w:val="462C5BD6"/>
    <w:rsid w:val="4645313C"/>
    <w:rsid w:val="465F41FD"/>
    <w:rsid w:val="467523B1"/>
    <w:rsid w:val="46D70238"/>
    <w:rsid w:val="471F398D"/>
    <w:rsid w:val="47745A86"/>
    <w:rsid w:val="478F28C0"/>
    <w:rsid w:val="47906638"/>
    <w:rsid w:val="47E30E5E"/>
    <w:rsid w:val="48223734"/>
    <w:rsid w:val="4843672B"/>
    <w:rsid w:val="48677399"/>
    <w:rsid w:val="487A57A0"/>
    <w:rsid w:val="48877A3B"/>
    <w:rsid w:val="48B819A3"/>
    <w:rsid w:val="48D16F09"/>
    <w:rsid w:val="48E7672C"/>
    <w:rsid w:val="490E3CB9"/>
    <w:rsid w:val="491F1A22"/>
    <w:rsid w:val="49507E2D"/>
    <w:rsid w:val="4989217A"/>
    <w:rsid w:val="49926698"/>
    <w:rsid w:val="499A72FA"/>
    <w:rsid w:val="49A60395"/>
    <w:rsid w:val="49B72B37"/>
    <w:rsid w:val="49D56585"/>
    <w:rsid w:val="49E113CD"/>
    <w:rsid w:val="4A527BD5"/>
    <w:rsid w:val="4ACE54AE"/>
    <w:rsid w:val="4AD8632C"/>
    <w:rsid w:val="4ADD1B95"/>
    <w:rsid w:val="4B3F63AB"/>
    <w:rsid w:val="4B5D2CD5"/>
    <w:rsid w:val="4B5F6A4E"/>
    <w:rsid w:val="4B9479E6"/>
    <w:rsid w:val="4BCF3BD3"/>
    <w:rsid w:val="4BD550C8"/>
    <w:rsid w:val="4BDB2DF3"/>
    <w:rsid w:val="4BF47196"/>
    <w:rsid w:val="4C771B75"/>
    <w:rsid w:val="4C8449BE"/>
    <w:rsid w:val="4C934C01"/>
    <w:rsid w:val="4CAD0BB5"/>
    <w:rsid w:val="4CF11927"/>
    <w:rsid w:val="4D2F46D0"/>
    <w:rsid w:val="4D3857A8"/>
    <w:rsid w:val="4D44414D"/>
    <w:rsid w:val="4D467EC5"/>
    <w:rsid w:val="4D73014C"/>
    <w:rsid w:val="4DA12D0B"/>
    <w:rsid w:val="4DBA61BD"/>
    <w:rsid w:val="4DD92AE7"/>
    <w:rsid w:val="4DE46738"/>
    <w:rsid w:val="4DF72F6D"/>
    <w:rsid w:val="4E2647B7"/>
    <w:rsid w:val="4E414A0E"/>
    <w:rsid w:val="4E5466E1"/>
    <w:rsid w:val="4EAD5D22"/>
    <w:rsid w:val="4EF456FF"/>
    <w:rsid w:val="4F132029"/>
    <w:rsid w:val="4F3B332E"/>
    <w:rsid w:val="4F90367A"/>
    <w:rsid w:val="4F9E0326"/>
    <w:rsid w:val="4F9F6CFC"/>
    <w:rsid w:val="4FEC63D6"/>
    <w:rsid w:val="4FF23545"/>
    <w:rsid w:val="50506965"/>
    <w:rsid w:val="508B5BEF"/>
    <w:rsid w:val="50BA373B"/>
    <w:rsid w:val="51363DAD"/>
    <w:rsid w:val="518E3BE9"/>
    <w:rsid w:val="51A719CE"/>
    <w:rsid w:val="51AE0D2F"/>
    <w:rsid w:val="51E43809"/>
    <w:rsid w:val="520E3DD0"/>
    <w:rsid w:val="525941F7"/>
    <w:rsid w:val="526D1A50"/>
    <w:rsid w:val="52903990"/>
    <w:rsid w:val="52AB141A"/>
    <w:rsid w:val="52B729E6"/>
    <w:rsid w:val="52EA312C"/>
    <w:rsid w:val="52F61A46"/>
    <w:rsid w:val="53285977"/>
    <w:rsid w:val="53C9162F"/>
    <w:rsid w:val="53D61877"/>
    <w:rsid w:val="53DF24DA"/>
    <w:rsid w:val="546B1FBF"/>
    <w:rsid w:val="549459BA"/>
    <w:rsid w:val="549F5BB5"/>
    <w:rsid w:val="54AD082A"/>
    <w:rsid w:val="55162409"/>
    <w:rsid w:val="55632664"/>
    <w:rsid w:val="55794BB0"/>
    <w:rsid w:val="55AE4859"/>
    <w:rsid w:val="55B300C2"/>
    <w:rsid w:val="55BB0D24"/>
    <w:rsid w:val="55CC1CC4"/>
    <w:rsid w:val="55CC7640"/>
    <w:rsid w:val="55F94148"/>
    <w:rsid w:val="560C1580"/>
    <w:rsid w:val="562C39D0"/>
    <w:rsid w:val="56494582"/>
    <w:rsid w:val="56813D1C"/>
    <w:rsid w:val="56C41520"/>
    <w:rsid w:val="57803FD4"/>
    <w:rsid w:val="57A300D8"/>
    <w:rsid w:val="57AE0B41"/>
    <w:rsid w:val="57E427B4"/>
    <w:rsid w:val="5822790B"/>
    <w:rsid w:val="58B8154B"/>
    <w:rsid w:val="58DE2AF2"/>
    <w:rsid w:val="590F3861"/>
    <w:rsid w:val="59107F3D"/>
    <w:rsid w:val="59260BAB"/>
    <w:rsid w:val="59505A0D"/>
    <w:rsid w:val="59527BF2"/>
    <w:rsid w:val="598F6750"/>
    <w:rsid w:val="59E940B2"/>
    <w:rsid w:val="5A753B98"/>
    <w:rsid w:val="5A933C3C"/>
    <w:rsid w:val="5A9D4E9D"/>
    <w:rsid w:val="5AB67A8E"/>
    <w:rsid w:val="5ACD5782"/>
    <w:rsid w:val="5AED7BD2"/>
    <w:rsid w:val="5AFA0E61"/>
    <w:rsid w:val="5B0E7B48"/>
    <w:rsid w:val="5BBB7CD0"/>
    <w:rsid w:val="5C6C4B26"/>
    <w:rsid w:val="5C7F0CFE"/>
    <w:rsid w:val="5CCB3F43"/>
    <w:rsid w:val="5CE93B74"/>
    <w:rsid w:val="5CF50636"/>
    <w:rsid w:val="5D691457"/>
    <w:rsid w:val="5DC32E6C"/>
    <w:rsid w:val="5DFE3042"/>
    <w:rsid w:val="5E1249F4"/>
    <w:rsid w:val="5E525F9E"/>
    <w:rsid w:val="5EA22A81"/>
    <w:rsid w:val="5EE72B8A"/>
    <w:rsid w:val="5EF3152F"/>
    <w:rsid w:val="5F2B2A77"/>
    <w:rsid w:val="5F337B7D"/>
    <w:rsid w:val="5F3C0959"/>
    <w:rsid w:val="5F443B39"/>
    <w:rsid w:val="5F557AF4"/>
    <w:rsid w:val="5F677827"/>
    <w:rsid w:val="5FAE5456"/>
    <w:rsid w:val="5FD27ED2"/>
    <w:rsid w:val="5FFF1C1F"/>
    <w:rsid w:val="60433DF0"/>
    <w:rsid w:val="60765F74"/>
    <w:rsid w:val="60B60A66"/>
    <w:rsid w:val="60BD6710"/>
    <w:rsid w:val="611D2893"/>
    <w:rsid w:val="61237226"/>
    <w:rsid w:val="61271964"/>
    <w:rsid w:val="6173696E"/>
    <w:rsid w:val="6199377A"/>
    <w:rsid w:val="61A55B52"/>
    <w:rsid w:val="61A84853"/>
    <w:rsid w:val="61AD3C17"/>
    <w:rsid w:val="61B825BC"/>
    <w:rsid w:val="61C176C2"/>
    <w:rsid w:val="61CA2A1B"/>
    <w:rsid w:val="61D31FCE"/>
    <w:rsid w:val="61EB473F"/>
    <w:rsid w:val="62157A0E"/>
    <w:rsid w:val="62426A55"/>
    <w:rsid w:val="62917095"/>
    <w:rsid w:val="62AA63A9"/>
    <w:rsid w:val="62CE0EFD"/>
    <w:rsid w:val="62F31AFE"/>
    <w:rsid w:val="632443AD"/>
    <w:rsid w:val="6381535B"/>
    <w:rsid w:val="63A23524"/>
    <w:rsid w:val="63A96874"/>
    <w:rsid w:val="63C96D02"/>
    <w:rsid w:val="63D25AF4"/>
    <w:rsid w:val="63E458EA"/>
    <w:rsid w:val="63E61662"/>
    <w:rsid w:val="63F7386F"/>
    <w:rsid w:val="645667E8"/>
    <w:rsid w:val="645C36D2"/>
    <w:rsid w:val="650D542D"/>
    <w:rsid w:val="65A76BCF"/>
    <w:rsid w:val="65FD004A"/>
    <w:rsid w:val="66171FA7"/>
    <w:rsid w:val="661A55F3"/>
    <w:rsid w:val="662143A8"/>
    <w:rsid w:val="6624317D"/>
    <w:rsid w:val="668F4233"/>
    <w:rsid w:val="66A17AC3"/>
    <w:rsid w:val="66A465A8"/>
    <w:rsid w:val="66DC0AFB"/>
    <w:rsid w:val="670047E9"/>
    <w:rsid w:val="670D5158"/>
    <w:rsid w:val="67277FC8"/>
    <w:rsid w:val="67770A2F"/>
    <w:rsid w:val="67966EFB"/>
    <w:rsid w:val="681A7B2C"/>
    <w:rsid w:val="68525518"/>
    <w:rsid w:val="6870599E"/>
    <w:rsid w:val="68A5389A"/>
    <w:rsid w:val="68AB4C28"/>
    <w:rsid w:val="68B166E3"/>
    <w:rsid w:val="68C63810"/>
    <w:rsid w:val="68F021D6"/>
    <w:rsid w:val="69126A56"/>
    <w:rsid w:val="69286279"/>
    <w:rsid w:val="692C0D0B"/>
    <w:rsid w:val="695F613F"/>
    <w:rsid w:val="69B53FB1"/>
    <w:rsid w:val="69B628DC"/>
    <w:rsid w:val="69D1246D"/>
    <w:rsid w:val="69F66598"/>
    <w:rsid w:val="6A2D7FEB"/>
    <w:rsid w:val="6A595337"/>
    <w:rsid w:val="6AF428B7"/>
    <w:rsid w:val="6B120F8F"/>
    <w:rsid w:val="6B2C02A3"/>
    <w:rsid w:val="6B6D177C"/>
    <w:rsid w:val="6B981494"/>
    <w:rsid w:val="6BC71D79"/>
    <w:rsid w:val="6BF3491C"/>
    <w:rsid w:val="6C0C59DE"/>
    <w:rsid w:val="6C41086F"/>
    <w:rsid w:val="6C627CF4"/>
    <w:rsid w:val="6C7D3833"/>
    <w:rsid w:val="6C9C3CB3"/>
    <w:rsid w:val="6CD04C5E"/>
    <w:rsid w:val="6CDF1345"/>
    <w:rsid w:val="6D305A25"/>
    <w:rsid w:val="6D317DF2"/>
    <w:rsid w:val="6D723F67"/>
    <w:rsid w:val="6DA305C4"/>
    <w:rsid w:val="6DC84F61"/>
    <w:rsid w:val="6DF1132F"/>
    <w:rsid w:val="6DF61B9B"/>
    <w:rsid w:val="6E647D53"/>
    <w:rsid w:val="6F395F05"/>
    <w:rsid w:val="6F593630"/>
    <w:rsid w:val="6FA26D85"/>
    <w:rsid w:val="701F6DB0"/>
    <w:rsid w:val="703B2D36"/>
    <w:rsid w:val="70757FF6"/>
    <w:rsid w:val="70D6480D"/>
    <w:rsid w:val="70F57389"/>
    <w:rsid w:val="718A7AD1"/>
    <w:rsid w:val="718F6AA3"/>
    <w:rsid w:val="722C6DDA"/>
    <w:rsid w:val="72343EE1"/>
    <w:rsid w:val="723D2D95"/>
    <w:rsid w:val="726447C6"/>
    <w:rsid w:val="726A7902"/>
    <w:rsid w:val="727A5D97"/>
    <w:rsid w:val="727F515C"/>
    <w:rsid w:val="72991C29"/>
    <w:rsid w:val="72A72905"/>
    <w:rsid w:val="72B648F6"/>
    <w:rsid w:val="731A4E85"/>
    <w:rsid w:val="731B072C"/>
    <w:rsid w:val="733A1083"/>
    <w:rsid w:val="73552361"/>
    <w:rsid w:val="737F0F2C"/>
    <w:rsid w:val="739E1612"/>
    <w:rsid w:val="74033B6B"/>
    <w:rsid w:val="7442304A"/>
    <w:rsid w:val="744B38B2"/>
    <w:rsid w:val="74744A68"/>
    <w:rsid w:val="74DA0D6F"/>
    <w:rsid w:val="750C5276"/>
    <w:rsid w:val="7544268D"/>
    <w:rsid w:val="75652C32"/>
    <w:rsid w:val="756E1499"/>
    <w:rsid w:val="75792336"/>
    <w:rsid w:val="76120095"/>
    <w:rsid w:val="76765214"/>
    <w:rsid w:val="768865A9"/>
    <w:rsid w:val="77444BC6"/>
    <w:rsid w:val="77567736"/>
    <w:rsid w:val="77594071"/>
    <w:rsid w:val="776B3F01"/>
    <w:rsid w:val="77B1211A"/>
    <w:rsid w:val="77B51620"/>
    <w:rsid w:val="787209BA"/>
    <w:rsid w:val="78724FEE"/>
    <w:rsid w:val="78842D15"/>
    <w:rsid w:val="78872FBC"/>
    <w:rsid w:val="788C54F2"/>
    <w:rsid w:val="789B0816"/>
    <w:rsid w:val="78C31B1A"/>
    <w:rsid w:val="79052133"/>
    <w:rsid w:val="7939368D"/>
    <w:rsid w:val="79556C16"/>
    <w:rsid w:val="797177C8"/>
    <w:rsid w:val="797F1EE5"/>
    <w:rsid w:val="79A47B9E"/>
    <w:rsid w:val="79AE27CB"/>
    <w:rsid w:val="79CF7354"/>
    <w:rsid w:val="7A4A42A1"/>
    <w:rsid w:val="7A523156"/>
    <w:rsid w:val="7AEA15E0"/>
    <w:rsid w:val="7AFD57B8"/>
    <w:rsid w:val="7B580C40"/>
    <w:rsid w:val="7B6E2211"/>
    <w:rsid w:val="7B8E01BE"/>
    <w:rsid w:val="7BA14395"/>
    <w:rsid w:val="7BA33E1D"/>
    <w:rsid w:val="7BD4407A"/>
    <w:rsid w:val="7BF81ADB"/>
    <w:rsid w:val="7BFD5343"/>
    <w:rsid w:val="7C286BB9"/>
    <w:rsid w:val="7C362457"/>
    <w:rsid w:val="7CA73C2D"/>
    <w:rsid w:val="7CA95998"/>
    <w:rsid w:val="7CD460A4"/>
    <w:rsid w:val="7CD46991"/>
    <w:rsid w:val="7CDC13FD"/>
    <w:rsid w:val="7D6A4C5A"/>
    <w:rsid w:val="7D6C2781"/>
    <w:rsid w:val="7DD32800"/>
    <w:rsid w:val="7E4B07DF"/>
    <w:rsid w:val="7EA06B86"/>
    <w:rsid w:val="7EBC14E6"/>
    <w:rsid w:val="7EDC56E4"/>
    <w:rsid w:val="7EEA25C1"/>
    <w:rsid w:val="7F121106"/>
    <w:rsid w:val="7F2552DD"/>
    <w:rsid w:val="7F461023"/>
    <w:rsid w:val="7F515E18"/>
    <w:rsid w:val="7F567244"/>
    <w:rsid w:val="FA399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en-US"/>
    </w:rPr>
  </w:style>
  <w:style w:type="paragraph" w:styleId="2">
    <w:name w:val="heading 1"/>
    <w:basedOn w:val="1"/>
    <w:link w:val="43"/>
    <w:qFormat/>
    <w:uiPriority w:val="9"/>
    <w:pPr>
      <w:keepNext/>
      <w:spacing w:before="240" w:after="60"/>
      <w:outlineLvl w:val="0"/>
    </w:pPr>
    <w:rPr>
      <w:rFonts w:ascii="Cambria" w:hAnsi="Cambria"/>
      <w:b/>
      <w:bCs/>
      <w:kern w:val="32"/>
      <w:sz w:val="32"/>
      <w:szCs w:val="32"/>
      <w:lang w:bidi="ar-SA"/>
    </w:rPr>
  </w:style>
  <w:style w:type="paragraph" w:styleId="3">
    <w:name w:val="heading 2"/>
    <w:basedOn w:val="1"/>
    <w:next w:val="1"/>
    <w:link w:val="52"/>
    <w:qFormat/>
    <w:uiPriority w:val="9"/>
    <w:pPr>
      <w:keepNext/>
      <w:spacing w:before="240" w:after="60"/>
      <w:outlineLvl w:val="1"/>
    </w:pPr>
    <w:rPr>
      <w:rFonts w:ascii="Cambria" w:hAnsi="Cambria"/>
      <w:b/>
      <w:bCs/>
      <w:i/>
      <w:iCs/>
      <w:sz w:val="28"/>
      <w:szCs w:val="28"/>
      <w:lang w:bidi="ar-SA"/>
    </w:rPr>
  </w:style>
  <w:style w:type="paragraph" w:styleId="4">
    <w:name w:val="heading 3"/>
    <w:basedOn w:val="1"/>
    <w:next w:val="1"/>
    <w:link w:val="49"/>
    <w:qFormat/>
    <w:uiPriority w:val="9"/>
    <w:pPr>
      <w:keepNext/>
      <w:spacing w:before="240" w:after="60"/>
      <w:outlineLvl w:val="2"/>
    </w:pPr>
    <w:rPr>
      <w:rFonts w:ascii="Cambria" w:hAnsi="Cambria"/>
      <w:b/>
      <w:bCs/>
      <w:sz w:val="26"/>
      <w:szCs w:val="26"/>
      <w:lang w:bidi="ar-SA"/>
    </w:rPr>
  </w:style>
  <w:style w:type="paragraph" w:styleId="5">
    <w:name w:val="heading 4"/>
    <w:basedOn w:val="1"/>
    <w:next w:val="1"/>
    <w:link w:val="50"/>
    <w:qFormat/>
    <w:uiPriority w:val="9"/>
    <w:pPr>
      <w:keepNext/>
      <w:spacing w:before="240" w:after="60"/>
      <w:outlineLvl w:val="3"/>
    </w:pPr>
    <w:rPr>
      <w:b/>
      <w:bCs/>
      <w:sz w:val="28"/>
      <w:szCs w:val="28"/>
      <w:lang w:bidi="ar-SA"/>
    </w:rPr>
  </w:style>
  <w:style w:type="paragraph" w:styleId="6">
    <w:name w:val="heading 5"/>
    <w:basedOn w:val="1"/>
    <w:next w:val="1"/>
    <w:link w:val="53"/>
    <w:qFormat/>
    <w:uiPriority w:val="9"/>
    <w:pPr>
      <w:spacing w:before="240" w:after="60"/>
      <w:outlineLvl w:val="4"/>
    </w:pPr>
    <w:rPr>
      <w:b/>
      <w:bCs/>
      <w:i/>
      <w:iCs/>
      <w:sz w:val="26"/>
      <w:szCs w:val="26"/>
      <w:lang w:bidi="ar-SA"/>
    </w:rPr>
  </w:style>
  <w:style w:type="paragraph" w:styleId="7">
    <w:name w:val="heading 6"/>
    <w:basedOn w:val="1"/>
    <w:next w:val="1"/>
    <w:link w:val="41"/>
    <w:qFormat/>
    <w:uiPriority w:val="9"/>
    <w:pPr>
      <w:spacing w:before="240" w:after="60"/>
      <w:outlineLvl w:val="5"/>
    </w:pPr>
    <w:rPr>
      <w:b/>
      <w:bCs/>
      <w:sz w:val="20"/>
      <w:szCs w:val="20"/>
      <w:lang w:bidi="ar-SA"/>
    </w:rPr>
  </w:style>
  <w:style w:type="paragraph" w:styleId="8">
    <w:name w:val="heading 7"/>
    <w:basedOn w:val="1"/>
    <w:next w:val="1"/>
    <w:link w:val="54"/>
    <w:qFormat/>
    <w:uiPriority w:val="9"/>
    <w:pPr>
      <w:spacing w:before="240" w:after="60"/>
      <w:outlineLvl w:val="6"/>
    </w:pPr>
    <w:rPr>
      <w:lang w:bidi="ar-SA"/>
    </w:rPr>
  </w:style>
  <w:style w:type="paragraph" w:styleId="9">
    <w:name w:val="heading 8"/>
    <w:basedOn w:val="1"/>
    <w:next w:val="1"/>
    <w:link w:val="51"/>
    <w:qFormat/>
    <w:uiPriority w:val="9"/>
    <w:pPr>
      <w:spacing w:before="240" w:after="60"/>
      <w:outlineLvl w:val="7"/>
    </w:pPr>
    <w:rPr>
      <w:i/>
      <w:iCs/>
      <w:lang w:bidi="ar-SA"/>
    </w:rPr>
  </w:style>
  <w:style w:type="paragraph" w:styleId="10">
    <w:name w:val="heading 9"/>
    <w:basedOn w:val="1"/>
    <w:next w:val="1"/>
    <w:link w:val="48"/>
    <w:qFormat/>
    <w:uiPriority w:val="9"/>
    <w:pPr>
      <w:spacing w:before="240" w:after="60"/>
      <w:outlineLvl w:val="8"/>
    </w:pPr>
    <w:rPr>
      <w:rFonts w:ascii="Cambria" w:hAnsi="Cambria"/>
      <w:sz w:val="20"/>
      <w:szCs w:val="20"/>
      <w:lang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76"/>
    <w:qFormat/>
    <w:uiPriority w:val="0"/>
    <w:pPr>
      <w:ind w:firstLine="420" w:firstLineChars="200"/>
      <w:jc w:val="both"/>
    </w:pPr>
    <w:rPr>
      <w:kern w:val="2"/>
      <w:sz w:val="21"/>
    </w:rPr>
  </w:style>
  <w:style w:type="paragraph" w:styleId="12">
    <w:name w:val="annotation text"/>
    <w:basedOn w:val="1"/>
    <w:qFormat/>
    <w:uiPriority w:val="0"/>
  </w:style>
  <w:style w:type="paragraph" w:styleId="13">
    <w:name w:val="Body Text"/>
    <w:basedOn w:val="1"/>
    <w:qFormat/>
    <w:uiPriority w:val="0"/>
    <w:pPr>
      <w:autoSpaceDE w:val="0"/>
      <w:autoSpaceDN w:val="0"/>
      <w:spacing w:line="560" w:lineRule="exact"/>
      <w:jc w:val="both"/>
    </w:pPr>
    <w:rPr>
      <w:rFonts w:hAnsi="宋体"/>
      <w:kern w:val="2"/>
      <w:sz w:val="32"/>
    </w:rPr>
  </w:style>
  <w:style w:type="paragraph" w:styleId="14">
    <w:name w:val="Body Text Indent"/>
    <w:basedOn w:val="1"/>
    <w:qFormat/>
    <w:uiPriority w:val="0"/>
    <w:pPr>
      <w:ind w:firstLine="420" w:firstLineChars="200"/>
      <w:jc w:val="both"/>
    </w:pPr>
    <w:rPr>
      <w:kern w:val="2"/>
      <w:sz w:val="21"/>
    </w:rPr>
  </w:style>
  <w:style w:type="paragraph" w:styleId="15">
    <w:name w:val="Block Text"/>
    <w:basedOn w:val="1"/>
    <w:unhideWhenUsed/>
    <w:qFormat/>
    <w:uiPriority w:val="0"/>
    <w:pPr>
      <w:spacing w:after="120"/>
      <w:ind w:left="1440" w:leftChars="700" w:right="1440" w:rightChars="700"/>
    </w:pPr>
    <w:rPr>
      <w:rFonts w:hint="eastAsia"/>
      <w:sz w:val="21"/>
      <w:szCs w:val="24"/>
    </w:rPr>
  </w:style>
  <w:style w:type="paragraph" w:styleId="16">
    <w:name w:val="Plain Text"/>
    <w:basedOn w:val="1"/>
    <w:qFormat/>
    <w:uiPriority w:val="0"/>
    <w:pPr>
      <w:jc w:val="both"/>
    </w:pPr>
    <w:rPr>
      <w:rFonts w:hAnsi="Courier New" w:cs="楷体"/>
      <w:kern w:val="2"/>
      <w:sz w:val="21"/>
      <w:szCs w:val="21"/>
    </w:rPr>
  </w:style>
  <w:style w:type="paragraph" w:styleId="17">
    <w:name w:val="Date"/>
    <w:basedOn w:val="1"/>
    <w:next w:val="1"/>
    <w:link w:val="69"/>
    <w:qFormat/>
    <w:uiPriority w:val="0"/>
    <w:pPr>
      <w:ind w:left="100" w:leftChars="2500"/>
    </w:pPr>
    <w:rPr>
      <w:b/>
      <w:bCs/>
      <w:snapToGrid w:val="0"/>
      <w:sz w:val="36"/>
    </w:rPr>
  </w:style>
  <w:style w:type="paragraph" w:styleId="18">
    <w:name w:val="Body Text Indent 2"/>
    <w:basedOn w:val="1"/>
    <w:qFormat/>
    <w:uiPriority w:val="0"/>
    <w:pPr>
      <w:ind w:left="480" w:hanging="480" w:hangingChars="200"/>
    </w:pPr>
    <w:rPr>
      <w:position w:val="16"/>
    </w:r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pacing w:line="240" w:lineRule="atLeast"/>
    </w:pPr>
    <w:rPr>
      <w:sz w:val="18"/>
    </w:rPr>
  </w:style>
  <w:style w:type="paragraph" w:styleId="21">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45"/>
    <w:qFormat/>
    <w:uiPriority w:val="11"/>
    <w:pPr>
      <w:spacing w:after="60"/>
      <w:jc w:val="center"/>
      <w:outlineLvl w:val="1"/>
    </w:pPr>
    <w:rPr>
      <w:rFonts w:ascii="Cambria" w:hAnsi="Cambria"/>
      <w:lang w:bidi="ar-SA"/>
    </w:rPr>
  </w:style>
  <w:style w:type="paragraph" w:styleId="23">
    <w:name w:val="Body Text Indent 3"/>
    <w:basedOn w:val="1"/>
    <w:qFormat/>
    <w:uiPriority w:val="0"/>
    <w:pPr>
      <w:snapToGrid w:val="0"/>
      <w:spacing w:line="360" w:lineRule="auto"/>
      <w:ind w:left="480"/>
    </w:pPr>
    <w:rPr>
      <w:rFonts w:hAnsi="宋体"/>
      <w:position w:val="12"/>
    </w:rPr>
  </w:style>
  <w:style w:type="paragraph" w:styleId="24">
    <w:name w:val="Body Text 2"/>
    <w:basedOn w:val="1"/>
    <w:qFormat/>
    <w:uiPriority w:val="0"/>
    <w:pPr>
      <w:ind w:right="291"/>
      <w:jc w:val="both"/>
    </w:pPr>
    <w:rPr>
      <w:kern w:val="2"/>
      <w:sz w:val="28"/>
    </w:rPr>
  </w:style>
  <w:style w:type="paragraph" w:styleId="25">
    <w:name w:val="Normal (Web)"/>
    <w:basedOn w:val="1"/>
    <w:unhideWhenUsed/>
    <w:qFormat/>
    <w:uiPriority w:val="99"/>
    <w:pPr>
      <w:spacing w:before="100" w:beforeAutospacing="1" w:after="100" w:afterAutospacing="1"/>
    </w:pPr>
    <w:rPr>
      <w:rFonts w:ascii="宋体" w:hAnsi="宋体" w:cs="宋体"/>
      <w:lang w:eastAsia="zh-CN" w:bidi="ar-SA"/>
    </w:rPr>
  </w:style>
  <w:style w:type="paragraph" w:styleId="26">
    <w:name w:val="Title"/>
    <w:basedOn w:val="1"/>
    <w:next w:val="1"/>
    <w:link w:val="44"/>
    <w:qFormat/>
    <w:uiPriority w:val="10"/>
    <w:pPr>
      <w:spacing w:before="240" w:after="60"/>
      <w:jc w:val="center"/>
      <w:outlineLvl w:val="0"/>
    </w:pPr>
    <w:rPr>
      <w:rFonts w:ascii="Cambria" w:hAnsi="Cambria"/>
      <w:b/>
      <w:bCs/>
      <w:kern w:val="28"/>
      <w:sz w:val="32"/>
      <w:szCs w:val="32"/>
      <w:lang w:bidi="ar-SA"/>
    </w:rPr>
  </w:style>
  <w:style w:type="paragraph" w:styleId="27">
    <w:name w:val="Body Text First Indent"/>
    <w:basedOn w:val="13"/>
    <w:unhideWhenUsed/>
    <w:qFormat/>
    <w:uiPriority w:val="99"/>
    <w:pPr>
      <w:ind w:firstLine="420" w:firstLineChars="100"/>
    </w:pPr>
    <w:rPr>
      <w:rFonts w:ascii="Calibri" w:hAnsi="Calibri"/>
      <w:szCs w:val="22"/>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rFonts w:ascii="Calibri" w:hAnsi="Calibri"/>
      <w:b/>
      <w:i/>
      <w:iCs/>
    </w:rPr>
  </w:style>
  <w:style w:type="character" w:styleId="34">
    <w:name w:val="Hyperlink"/>
    <w:qFormat/>
    <w:uiPriority w:val="0"/>
    <w:rPr>
      <w:color w:val="0000FF"/>
      <w:u w:val="single"/>
    </w:rPr>
  </w:style>
  <w:style w:type="character" w:styleId="35">
    <w:name w:val="annotation reference"/>
    <w:basedOn w:val="30"/>
    <w:semiHidden/>
    <w:unhideWhenUsed/>
    <w:qFormat/>
    <w:uiPriority w:val="0"/>
    <w:rPr>
      <w:sz w:val="21"/>
      <w:szCs w:val="21"/>
    </w:rPr>
  </w:style>
  <w:style w:type="paragraph" w:customStyle="1" w:styleId="36">
    <w:name w:val="首行缩进"/>
    <w:basedOn w:val="1"/>
    <w:qFormat/>
    <w:uiPriority w:val="99"/>
    <w:pPr>
      <w:spacing w:line="300" w:lineRule="auto"/>
      <w:ind w:firstLine="200" w:firstLineChars="200"/>
    </w:pPr>
    <w:rPr>
      <w:rFonts w:hAnsi="宋体" w:eastAsia="方正书宋简体"/>
      <w:sz w:val="20"/>
    </w:rPr>
  </w:style>
  <w:style w:type="character" w:customStyle="1" w:styleId="37">
    <w:name w:val="不明显强调1"/>
    <w:qFormat/>
    <w:uiPriority w:val="19"/>
    <w:rPr>
      <w:i/>
      <w:color w:val="5A5A5A"/>
    </w:rPr>
  </w:style>
  <w:style w:type="character" w:customStyle="1" w:styleId="38">
    <w:name w:val="明显强调1"/>
    <w:qFormat/>
    <w:uiPriority w:val="21"/>
    <w:rPr>
      <w:b/>
      <w:i/>
      <w:sz w:val="24"/>
      <w:szCs w:val="24"/>
      <w:u w:val="single"/>
    </w:rPr>
  </w:style>
  <w:style w:type="character" w:customStyle="1" w:styleId="39">
    <w:name w:val="不明显参考1"/>
    <w:qFormat/>
    <w:uiPriority w:val="31"/>
    <w:rPr>
      <w:sz w:val="24"/>
      <w:szCs w:val="24"/>
      <w:u w:val="single"/>
    </w:rPr>
  </w:style>
  <w:style w:type="character" w:customStyle="1" w:styleId="40">
    <w:name w:val="明显参考1"/>
    <w:qFormat/>
    <w:uiPriority w:val="32"/>
    <w:rPr>
      <w:b/>
      <w:sz w:val="24"/>
      <w:u w:val="single"/>
    </w:rPr>
  </w:style>
  <w:style w:type="character" w:customStyle="1" w:styleId="41">
    <w:name w:val="标题 6 Char"/>
    <w:link w:val="7"/>
    <w:qFormat/>
    <w:uiPriority w:val="9"/>
    <w:rPr>
      <w:b/>
      <w:bCs/>
    </w:rPr>
  </w:style>
  <w:style w:type="character" w:customStyle="1" w:styleId="42">
    <w:name w:val="书籍标题1"/>
    <w:qFormat/>
    <w:uiPriority w:val="33"/>
    <w:rPr>
      <w:rFonts w:ascii="Cambria" w:hAnsi="Cambria" w:eastAsia="宋体"/>
      <w:b/>
      <w:i/>
      <w:sz w:val="24"/>
      <w:szCs w:val="24"/>
    </w:rPr>
  </w:style>
  <w:style w:type="character" w:customStyle="1" w:styleId="43">
    <w:name w:val="标题 1 Char"/>
    <w:link w:val="2"/>
    <w:qFormat/>
    <w:uiPriority w:val="9"/>
    <w:rPr>
      <w:rFonts w:ascii="Cambria" w:hAnsi="Cambria" w:eastAsia="宋体"/>
      <w:b/>
      <w:bCs/>
      <w:kern w:val="32"/>
      <w:sz w:val="32"/>
      <w:szCs w:val="32"/>
    </w:rPr>
  </w:style>
  <w:style w:type="character" w:customStyle="1" w:styleId="44">
    <w:name w:val="标题 Char"/>
    <w:link w:val="26"/>
    <w:qFormat/>
    <w:uiPriority w:val="10"/>
    <w:rPr>
      <w:rFonts w:ascii="Cambria" w:hAnsi="Cambria" w:eastAsia="宋体"/>
      <w:b/>
      <w:bCs/>
      <w:kern w:val="28"/>
      <w:sz w:val="32"/>
      <w:szCs w:val="32"/>
    </w:rPr>
  </w:style>
  <w:style w:type="character" w:customStyle="1" w:styleId="45">
    <w:name w:val="副标题 Char"/>
    <w:link w:val="22"/>
    <w:qFormat/>
    <w:uiPriority w:val="11"/>
    <w:rPr>
      <w:rFonts w:ascii="Cambria" w:hAnsi="Cambria" w:eastAsia="宋体"/>
      <w:sz w:val="24"/>
      <w:szCs w:val="24"/>
    </w:rPr>
  </w:style>
  <w:style w:type="character" w:customStyle="1" w:styleId="46">
    <w:name w:val="引用 Char"/>
    <w:link w:val="47"/>
    <w:qFormat/>
    <w:uiPriority w:val="29"/>
    <w:rPr>
      <w:i/>
      <w:sz w:val="24"/>
      <w:szCs w:val="24"/>
    </w:rPr>
  </w:style>
  <w:style w:type="paragraph" w:styleId="47">
    <w:name w:val="Quote"/>
    <w:basedOn w:val="1"/>
    <w:next w:val="1"/>
    <w:link w:val="46"/>
    <w:qFormat/>
    <w:uiPriority w:val="29"/>
    <w:rPr>
      <w:i/>
      <w:lang w:bidi="ar-SA"/>
    </w:rPr>
  </w:style>
  <w:style w:type="character" w:customStyle="1" w:styleId="48">
    <w:name w:val="标题 9 Char"/>
    <w:link w:val="10"/>
    <w:qFormat/>
    <w:uiPriority w:val="9"/>
    <w:rPr>
      <w:rFonts w:ascii="Cambria" w:hAnsi="Cambria" w:eastAsia="宋体"/>
    </w:rPr>
  </w:style>
  <w:style w:type="character" w:customStyle="1" w:styleId="49">
    <w:name w:val="标题 3 Char"/>
    <w:link w:val="4"/>
    <w:qFormat/>
    <w:uiPriority w:val="9"/>
    <w:rPr>
      <w:rFonts w:ascii="Cambria" w:hAnsi="Cambria" w:eastAsia="宋体"/>
      <w:b/>
      <w:bCs/>
      <w:sz w:val="26"/>
      <w:szCs w:val="26"/>
    </w:rPr>
  </w:style>
  <w:style w:type="character" w:customStyle="1" w:styleId="50">
    <w:name w:val="标题 4 Char"/>
    <w:link w:val="5"/>
    <w:qFormat/>
    <w:uiPriority w:val="9"/>
    <w:rPr>
      <w:b/>
      <w:bCs/>
      <w:sz w:val="28"/>
      <w:szCs w:val="28"/>
    </w:rPr>
  </w:style>
  <w:style w:type="character" w:customStyle="1" w:styleId="51">
    <w:name w:val="标题 8 Char"/>
    <w:link w:val="9"/>
    <w:qFormat/>
    <w:uiPriority w:val="9"/>
    <w:rPr>
      <w:i/>
      <w:iCs/>
      <w:sz w:val="24"/>
      <w:szCs w:val="24"/>
    </w:rPr>
  </w:style>
  <w:style w:type="character" w:customStyle="1" w:styleId="52">
    <w:name w:val="标题 2 Char"/>
    <w:link w:val="3"/>
    <w:qFormat/>
    <w:uiPriority w:val="9"/>
    <w:rPr>
      <w:rFonts w:ascii="Cambria" w:hAnsi="Cambria" w:eastAsia="宋体"/>
      <w:b/>
      <w:bCs/>
      <w:i/>
      <w:iCs/>
      <w:sz w:val="28"/>
      <w:szCs w:val="28"/>
    </w:rPr>
  </w:style>
  <w:style w:type="character" w:customStyle="1" w:styleId="53">
    <w:name w:val="标题 5 Char"/>
    <w:link w:val="6"/>
    <w:semiHidden/>
    <w:qFormat/>
    <w:uiPriority w:val="9"/>
    <w:rPr>
      <w:b/>
      <w:bCs/>
      <w:i/>
      <w:iCs/>
      <w:sz w:val="26"/>
      <w:szCs w:val="26"/>
    </w:rPr>
  </w:style>
  <w:style w:type="character" w:customStyle="1" w:styleId="54">
    <w:name w:val="标题 7 Char"/>
    <w:link w:val="8"/>
    <w:qFormat/>
    <w:uiPriority w:val="9"/>
    <w:rPr>
      <w:sz w:val="24"/>
      <w:szCs w:val="24"/>
    </w:rPr>
  </w:style>
  <w:style w:type="character" w:customStyle="1" w:styleId="55">
    <w:name w:val="明显引用 Char"/>
    <w:link w:val="56"/>
    <w:qFormat/>
    <w:uiPriority w:val="30"/>
    <w:rPr>
      <w:b/>
      <w:i/>
      <w:sz w:val="24"/>
    </w:rPr>
  </w:style>
  <w:style w:type="paragraph" w:styleId="56">
    <w:name w:val="Intense Quote"/>
    <w:basedOn w:val="1"/>
    <w:next w:val="1"/>
    <w:link w:val="55"/>
    <w:qFormat/>
    <w:uiPriority w:val="30"/>
    <w:pPr>
      <w:ind w:left="720" w:right="720"/>
    </w:pPr>
    <w:rPr>
      <w:b/>
      <w:i/>
      <w:szCs w:val="20"/>
      <w:lang w:bidi="ar-SA"/>
    </w:rPr>
  </w:style>
  <w:style w:type="paragraph" w:customStyle="1" w:styleId="57">
    <w:name w:val="Char Char Char"/>
    <w:basedOn w:val="1"/>
    <w:qFormat/>
    <w:uiPriority w:val="0"/>
    <w:pPr>
      <w:jc w:val="both"/>
    </w:pPr>
    <w:rPr>
      <w:rFonts w:ascii="Tahoma" w:hAnsi="Tahoma"/>
      <w:b/>
      <w:sz w:val="28"/>
    </w:rPr>
  </w:style>
  <w:style w:type="paragraph" w:customStyle="1" w:styleId="58">
    <w:name w:val="_Style 18"/>
    <w:basedOn w:val="1"/>
    <w:next w:val="18"/>
    <w:qFormat/>
    <w:uiPriority w:val="0"/>
    <w:pPr>
      <w:spacing w:line="360" w:lineRule="auto"/>
      <w:ind w:left="420" w:firstLine="420"/>
      <w:jc w:val="both"/>
    </w:pPr>
    <w:rPr>
      <w:kern w:val="2"/>
      <w:sz w:val="21"/>
    </w:rPr>
  </w:style>
  <w:style w:type="paragraph" w:styleId="59">
    <w:name w:val="List Paragraph"/>
    <w:basedOn w:val="1"/>
    <w:qFormat/>
    <w:uiPriority w:val="34"/>
    <w:pPr>
      <w:ind w:left="720"/>
      <w:contextualSpacing/>
    </w:pPr>
  </w:style>
  <w:style w:type="paragraph" w:customStyle="1" w:styleId="60">
    <w:name w:val="样式1"/>
    <w:basedOn w:val="1"/>
    <w:qFormat/>
    <w:uiPriority w:val="0"/>
    <w:pPr>
      <w:spacing w:before="120" w:after="120" w:line="300" w:lineRule="auto"/>
      <w:jc w:val="both"/>
    </w:pPr>
    <w:rPr>
      <w:rFonts w:hAnsi="宋体"/>
      <w:b/>
      <w:kern w:val="2"/>
    </w:rPr>
  </w:style>
  <w:style w:type="paragraph" w:customStyle="1" w:styleId="61">
    <w:name w:val="List 1A"/>
    <w:qFormat/>
    <w:uiPriority w:val="0"/>
    <w:pPr>
      <w:tabs>
        <w:tab w:val="decimal" w:pos="8280"/>
      </w:tabs>
      <w:spacing w:after="200" w:line="276" w:lineRule="auto"/>
      <w:ind w:left="706" w:hanging="360"/>
    </w:pPr>
    <w:rPr>
      <w:rFonts w:ascii="Arial" w:hAnsi="Arial" w:eastAsia="宋体" w:cs="Arial"/>
      <w:sz w:val="22"/>
      <w:szCs w:val="22"/>
      <w:lang w:val="en-US" w:eastAsia="en-US" w:bidi="ar-SA"/>
    </w:rPr>
  </w:style>
  <w:style w:type="paragraph" w:customStyle="1" w:styleId="62">
    <w:name w:val="Char1 Char Char Char"/>
    <w:basedOn w:val="1"/>
    <w:qFormat/>
    <w:uiPriority w:val="0"/>
    <w:pPr>
      <w:jc w:val="both"/>
    </w:pPr>
  </w:style>
  <w:style w:type="paragraph" w:customStyle="1" w:styleId="63">
    <w:name w:val="List 1"/>
    <w:qFormat/>
    <w:uiPriority w:val="0"/>
    <w:pPr>
      <w:tabs>
        <w:tab w:val="left" w:pos="360"/>
      </w:tabs>
      <w:spacing w:after="200" w:line="276" w:lineRule="auto"/>
      <w:ind w:left="360" w:hanging="360"/>
    </w:pPr>
    <w:rPr>
      <w:rFonts w:ascii="Arial" w:hAnsi="Arial" w:eastAsia="宋体" w:cs="Times New Roman"/>
      <w:sz w:val="22"/>
      <w:szCs w:val="22"/>
      <w:lang w:val="en-US" w:eastAsia="en-US" w:bidi="ar-SA"/>
    </w:rPr>
  </w:style>
  <w:style w:type="paragraph" w:customStyle="1" w:styleId="64">
    <w:name w:val="TOC 标题1"/>
    <w:basedOn w:val="2"/>
    <w:next w:val="1"/>
    <w:qFormat/>
    <w:uiPriority w:val="39"/>
    <w:pPr>
      <w:outlineLvl w:val="9"/>
    </w:pPr>
  </w:style>
  <w:style w:type="paragraph" w:customStyle="1" w:styleId="65">
    <w:name w:val="Char1 Char Char Char1"/>
    <w:basedOn w:val="1"/>
    <w:qFormat/>
    <w:uiPriority w:val="0"/>
    <w:pPr>
      <w:jc w:val="both"/>
    </w:pPr>
    <w:rPr>
      <w:kern w:val="2"/>
      <w:sz w:val="21"/>
    </w:rPr>
  </w:style>
  <w:style w:type="paragraph" w:styleId="66">
    <w:name w:val="No Spacing"/>
    <w:basedOn w:val="1"/>
    <w:qFormat/>
    <w:uiPriority w:val="1"/>
    <w:rPr>
      <w:szCs w:val="32"/>
    </w:rPr>
  </w:style>
  <w:style w:type="paragraph" w:customStyle="1" w:styleId="67">
    <w:name w:val="xl34"/>
    <w:basedOn w:val="1"/>
    <w:qFormat/>
    <w:uiPriority w:val="0"/>
    <w:pPr>
      <w:pBdr>
        <w:left w:val="single" w:color="auto" w:sz="4" w:space="0"/>
        <w:right w:val="single" w:color="auto" w:sz="4" w:space="0"/>
      </w:pBdr>
      <w:spacing w:before="100" w:beforeAutospacing="1" w:after="100" w:afterAutospacing="1"/>
      <w:jc w:val="center"/>
      <w:textAlignment w:val="center"/>
    </w:pPr>
    <w:rPr>
      <w:rFonts w:hAnsi="宋体"/>
    </w:rPr>
  </w:style>
  <w:style w:type="character" w:customStyle="1" w:styleId="68">
    <w:name w:val="页眉 Char"/>
    <w:link w:val="21"/>
    <w:qFormat/>
    <w:uiPriority w:val="0"/>
    <w:rPr>
      <w:sz w:val="18"/>
      <w:szCs w:val="18"/>
      <w:lang w:eastAsia="en-US" w:bidi="en-US"/>
    </w:rPr>
  </w:style>
  <w:style w:type="character" w:customStyle="1" w:styleId="69">
    <w:name w:val="日期 Char"/>
    <w:basedOn w:val="30"/>
    <w:link w:val="17"/>
    <w:qFormat/>
    <w:uiPriority w:val="0"/>
    <w:rPr>
      <w:b/>
      <w:bCs/>
      <w:snapToGrid w:val="0"/>
      <w:sz w:val="36"/>
      <w:szCs w:val="24"/>
      <w:lang w:eastAsia="en-US" w:bidi="en-US"/>
    </w:rPr>
  </w:style>
  <w:style w:type="character" w:customStyle="1" w:styleId="70">
    <w:name w:val="font31"/>
    <w:basedOn w:val="30"/>
    <w:qFormat/>
    <w:uiPriority w:val="0"/>
    <w:rPr>
      <w:rFonts w:hint="eastAsia" w:ascii="宋体" w:hAnsi="宋体" w:eastAsia="宋体" w:cs="宋体"/>
      <w:color w:val="000000"/>
      <w:sz w:val="22"/>
      <w:szCs w:val="22"/>
      <w:u w:val="single"/>
    </w:rPr>
  </w:style>
  <w:style w:type="character" w:customStyle="1" w:styleId="71">
    <w:name w:val="font01"/>
    <w:basedOn w:val="30"/>
    <w:qFormat/>
    <w:uiPriority w:val="0"/>
    <w:rPr>
      <w:rFonts w:hint="eastAsia" w:ascii="宋体" w:hAnsi="宋体" w:eastAsia="宋体" w:cs="宋体"/>
      <w:color w:val="000000"/>
      <w:sz w:val="22"/>
      <w:szCs w:val="22"/>
      <w:u w:val="none"/>
    </w:rPr>
  </w:style>
  <w:style w:type="paragraph" w:customStyle="1" w:styleId="72">
    <w:name w:val="样式 正文首行缩进两字符 + 宋体 小四 左 首行缩进:  2 字符 行距: 最小值 12 磅"/>
    <w:basedOn w:val="1"/>
    <w:qFormat/>
    <w:uiPriority w:val="0"/>
    <w:pPr>
      <w:widowControl w:val="0"/>
      <w:spacing w:line="240" w:lineRule="exact"/>
      <w:ind w:firstLine="200" w:firstLineChars="200"/>
    </w:pPr>
    <w:rPr>
      <w:rFonts w:ascii="宋体" w:hAnsi="宋体" w:cs="宋体"/>
      <w:kern w:val="2"/>
      <w:szCs w:val="20"/>
      <w:lang w:eastAsia="zh-CN" w:bidi="ar-SA"/>
    </w:rPr>
  </w:style>
  <w:style w:type="character" w:customStyle="1" w:styleId="73">
    <w:name w:val="font41"/>
    <w:basedOn w:val="30"/>
    <w:qFormat/>
    <w:uiPriority w:val="0"/>
    <w:rPr>
      <w:rFonts w:hint="eastAsia" w:ascii="宋体" w:hAnsi="宋体" w:eastAsia="宋体" w:cs="宋体"/>
      <w:color w:val="000000"/>
      <w:sz w:val="18"/>
      <w:szCs w:val="18"/>
      <w:u w:val="none"/>
    </w:rPr>
  </w:style>
  <w:style w:type="character" w:customStyle="1" w:styleId="74">
    <w:name w:val="font61"/>
    <w:basedOn w:val="30"/>
    <w:qFormat/>
    <w:uiPriority w:val="0"/>
    <w:rPr>
      <w:rFonts w:hint="eastAsia" w:ascii="新宋体" w:hAnsi="新宋体" w:eastAsia="新宋体" w:cs="新宋体"/>
      <w:b/>
      <w:bCs/>
      <w:color w:val="000000"/>
      <w:sz w:val="18"/>
      <w:szCs w:val="18"/>
      <w:u w:val="single"/>
    </w:rPr>
  </w:style>
  <w:style w:type="character" w:customStyle="1" w:styleId="75">
    <w:name w:val="font21"/>
    <w:basedOn w:val="30"/>
    <w:qFormat/>
    <w:uiPriority w:val="0"/>
    <w:rPr>
      <w:rFonts w:hint="eastAsia" w:ascii="新宋体" w:hAnsi="新宋体" w:eastAsia="新宋体" w:cs="新宋体"/>
      <w:b/>
      <w:bCs/>
      <w:color w:val="000000"/>
      <w:sz w:val="18"/>
      <w:szCs w:val="18"/>
      <w:u w:val="none"/>
    </w:rPr>
  </w:style>
  <w:style w:type="character" w:customStyle="1" w:styleId="76">
    <w:name w:val="正文缩进 Char"/>
    <w:link w:val="11"/>
    <w:qFormat/>
    <w:uiPriority w:val="0"/>
    <w:rPr>
      <w:kern w:val="2"/>
      <w:sz w:val="21"/>
      <w:szCs w:val="24"/>
      <w:lang w:eastAsia="en-US" w:bidi="en-US"/>
    </w:rPr>
  </w:style>
  <w:style w:type="paragraph" w:customStyle="1" w:styleId="77">
    <w:name w:val="Table Paragraph"/>
    <w:basedOn w:val="1"/>
    <w:autoRedefine/>
    <w:qFormat/>
    <w:uiPriority w:val="1"/>
    <w:rPr>
      <w:rFonts w:ascii="宋体" w:hAnsi="宋体" w:cs="宋体"/>
      <w:lang w:val="zh-CN" w:bidi="zh-CN"/>
    </w:rPr>
  </w:style>
  <w:style w:type="table" w:customStyle="1" w:styleId="7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6B7C1-2716-49AC-A844-68922A5187C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7675</Words>
  <Characters>8081</Characters>
  <Lines>1</Lines>
  <Paragraphs>1</Paragraphs>
  <TotalTime>8</TotalTime>
  <ScaleCrop>false</ScaleCrop>
  <LinksUpToDate>false</LinksUpToDate>
  <CharactersWithSpaces>8469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2025-04-23T17:01:00Z</dcterms:created>
  <dc:creator>王 滨 洪</dc:creator>
  <cp:lastModifiedBy>ZD.Shuang</cp:lastModifiedBy>
  <cp:lastPrinted>2025-07-07T22:05:00Z</cp:lastPrinted>
  <dcterms:modified xsi:type="dcterms:W3CDTF">2026-04-14T07:55:29Z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3D0F0EA86BA6CFD3EC7BCB698730C41B_43</vt:lpwstr>
  </property>
  <property fmtid="{D5CDD505-2E9C-101B-9397-08002B2CF9AE}" pid="4" name="KSOTemplateDocerSaveRecord">
    <vt:lpwstr>eyJoZGlkIjoiNWVkOGJmN2ZhZjNhZDU0NzJmY2FiMTZlMmYyNmNjYjEiLCJ1c2VySWQiOiI1NDYwNjc0MTYifQ==</vt:lpwstr>
  </property>
</Properties>
</file>