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C355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吉安县城区公共外环境病媒生物防制服务项目竞价</w:t>
      </w:r>
      <w:r>
        <w:rPr>
          <w:rFonts w:hint="eastAsia" w:ascii="方正小标宋简体" w:hAnsi="方正小标宋简体" w:eastAsia="方正小标宋简体" w:cs="方正小标宋简体"/>
          <w:sz w:val="44"/>
          <w:szCs w:val="44"/>
        </w:rPr>
        <w:t>公告</w:t>
      </w:r>
    </w:p>
    <w:p w14:paraId="2B14BE7B">
      <w:pPr>
        <w:widowControl w:val="0"/>
        <w:autoSpaceDE w:val="0"/>
        <w:autoSpaceDN w:val="0"/>
        <w:spacing w:line="560" w:lineRule="exact"/>
        <w:ind w:firstLine="482" w:firstLineChars="200"/>
        <w:rPr>
          <w:rFonts w:ascii="宋体" w:hAnsi="宋体" w:eastAsia="宋体" w:cs="宋体"/>
          <w:b/>
          <w:bCs/>
          <w:u w:val="single"/>
          <w:lang w:eastAsia="zh-CN"/>
        </w:rPr>
      </w:pPr>
    </w:p>
    <w:p w14:paraId="7FB95A8D">
      <w:pPr>
        <w:numPr>
          <w:ilvl w:val="0"/>
          <w:numId w:val="1"/>
        </w:numPr>
        <w:kinsoku w:val="0"/>
        <w:autoSpaceDE w:val="0"/>
        <w:autoSpaceDN w:val="0"/>
        <w:adjustRightInd w:val="0"/>
        <w:snapToGrid w:val="0"/>
        <w:spacing w:line="500" w:lineRule="exact"/>
        <w:ind w:firstLine="624" w:firstLineChars="200"/>
        <w:jc w:val="both"/>
        <w:textAlignment w:val="baseline"/>
        <w:rPr>
          <w:rFonts w:ascii="黑体" w:hAnsi="黑体" w:eastAsia="黑体" w:cs="黑体"/>
          <w:spacing w:val="-4"/>
          <w:sz w:val="32"/>
          <w:szCs w:val="32"/>
        </w:rPr>
      </w:pPr>
      <w:r>
        <w:rPr>
          <w:rFonts w:hint="eastAsia" w:ascii="黑体" w:hAnsi="黑体" w:eastAsia="黑体" w:cs="黑体"/>
          <w:spacing w:val="-4"/>
          <w:sz w:val="32"/>
          <w:szCs w:val="32"/>
        </w:rPr>
        <w:t>项目基本信息</w:t>
      </w:r>
    </w:p>
    <w:p w14:paraId="0A06714D">
      <w:pPr>
        <w:pStyle w:val="5"/>
        <w:kinsoku w:val="0"/>
        <w:autoSpaceDE w:val="0"/>
        <w:autoSpaceDN w:val="0"/>
        <w:adjustRightInd w:val="0"/>
        <w:snapToGrid w:val="0"/>
        <w:spacing w:line="500" w:lineRule="exact"/>
        <w:ind w:firstLine="632" w:firstLineChars="200"/>
        <w:jc w:val="both"/>
        <w:textAlignment w:val="baseline"/>
        <w:rPr>
          <w:rFonts w:ascii="仿宋" w:hAnsi="仿宋" w:eastAsia="仿宋" w:cs="仿宋"/>
          <w:sz w:val="32"/>
          <w:szCs w:val="32"/>
          <w:u w:val="single"/>
          <w:lang w:eastAsia="zh-CN"/>
        </w:rPr>
      </w:pPr>
      <w:r>
        <w:rPr>
          <w:rFonts w:hint="eastAsia" w:ascii="仿宋" w:hAnsi="仿宋" w:eastAsia="仿宋" w:cs="仿宋"/>
          <w:spacing w:val="-2"/>
          <w:sz w:val="32"/>
          <w:szCs w:val="32"/>
          <w:lang w:eastAsia="zh-CN"/>
        </w:rPr>
        <w:t>1、项目名称：</w:t>
      </w:r>
      <w:r>
        <w:rPr>
          <w:rFonts w:hint="eastAsia" w:ascii="仿宋" w:hAnsi="仿宋" w:eastAsia="仿宋" w:cs="仿宋"/>
          <w:sz w:val="32"/>
          <w:szCs w:val="32"/>
          <w:u w:val="single"/>
          <w:lang w:eastAsia="zh-CN"/>
        </w:rPr>
        <w:t>吉安县城区公共外环境病媒生物防制服务项目</w:t>
      </w:r>
    </w:p>
    <w:p w14:paraId="0AFE1AA3">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2、期望总价：29.8万元</w:t>
      </w:r>
    </w:p>
    <w:p w14:paraId="197D5351">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3、采购方式：电子卖场竞价，报价金额低于期望总价</w:t>
      </w:r>
    </w:p>
    <w:p w14:paraId="6A3A8855">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且符合我方要求的为有效报价,符合全部响应的供应商中最</w:t>
      </w:r>
    </w:p>
    <w:p w14:paraId="35D146A7">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低报价中标。</w:t>
      </w:r>
    </w:p>
    <w:p w14:paraId="4F0A1D3E">
      <w:pPr>
        <w:spacing w:line="500" w:lineRule="exact"/>
        <w:ind w:firstLine="624" w:firstLineChars="200"/>
        <w:jc w:val="both"/>
        <w:rPr>
          <w:rFonts w:ascii="仿宋" w:hAnsi="仿宋" w:eastAsia="仿宋" w:cs="仿宋"/>
          <w:b/>
          <w:bCs/>
          <w:spacing w:val="-4"/>
          <w:sz w:val="32"/>
          <w:szCs w:val="32"/>
          <w:lang w:eastAsia="zh-CN"/>
        </w:rPr>
      </w:pPr>
      <w:r>
        <w:rPr>
          <w:rFonts w:hint="eastAsia" w:ascii="黑体" w:hAnsi="黑体" w:eastAsia="黑体" w:cs="黑体"/>
          <w:spacing w:val="-4"/>
          <w:sz w:val="32"/>
          <w:szCs w:val="32"/>
          <w:lang w:eastAsia="zh-CN"/>
        </w:rPr>
        <w:t>二、项目采购需求</w:t>
      </w:r>
    </w:p>
    <w:p w14:paraId="33A41D3E">
      <w:pPr>
        <w:widowControl w:val="0"/>
        <w:spacing w:line="500" w:lineRule="exact"/>
        <w:ind w:firstLine="643" w:firstLineChars="200"/>
        <w:jc w:val="both"/>
        <w:rPr>
          <w:rFonts w:ascii="仿宋" w:hAnsi="仿宋" w:eastAsia="仿宋" w:cs="仿宋"/>
          <w:b/>
          <w:color w:val="000000"/>
          <w:sz w:val="32"/>
          <w:szCs w:val="32"/>
          <w:lang w:eastAsia="zh-CN"/>
        </w:rPr>
      </w:pPr>
      <w:r>
        <w:rPr>
          <w:rFonts w:hint="eastAsia" w:ascii="仿宋" w:hAnsi="仿宋" w:eastAsia="仿宋" w:cs="仿宋"/>
          <w:b/>
          <w:color w:val="000000"/>
          <w:sz w:val="32"/>
          <w:szCs w:val="32"/>
          <w:lang w:eastAsia="zh-CN"/>
        </w:rPr>
        <w:t>（一）</w:t>
      </w:r>
      <w:r>
        <w:rPr>
          <w:rFonts w:hint="eastAsia" w:ascii="仿宋" w:hAnsi="仿宋" w:eastAsia="仿宋" w:cs="仿宋"/>
          <w:b/>
          <w:color w:val="000000"/>
          <w:sz w:val="32"/>
          <w:szCs w:val="32"/>
        </w:rPr>
        <w:t>基本情况</w:t>
      </w:r>
      <w:r>
        <w:rPr>
          <w:rFonts w:hint="eastAsia" w:ascii="仿宋" w:hAnsi="仿宋" w:eastAsia="仿宋" w:cs="仿宋"/>
          <w:b/>
          <w:color w:val="000000"/>
          <w:sz w:val="32"/>
          <w:szCs w:val="32"/>
          <w:lang w:eastAsia="zh-CN"/>
        </w:rPr>
        <w:t>内容</w:t>
      </w:r>
    </w:p>
    <w:p w14:paraId="2731B4C7">
      <w:pPr>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lang w:eastAsia="zh-CN"/>
        </w:rPr>
        <w:t>拟对县城区范围内公共外环境的病媒生物进行防制工作，切实降低鼠、蟑、蚊、蝇等病媒生物密度，预防病媒生物传播疾病，保障群众身体健康和群众满意度；</w:t>
      </w:r>
      <w:r>
        <w:rPr>
          <w:rFonts w:hint="eastAsia" w:ascii="仿宋" w:hAnsi="仿宋" w:eastAsia="仿宋" w:cs="仿宋"/>
          <w:color w:val="000000"/>
          <w:sz w:val="32"/>
          <w:szCs w:val="32"/>
        </w:rPr>
        <w:t>确保</w:t>
      </w:r>
      <w:r>
        <w:rPr>
          <w:rFonts w:hint="eastAsia" w:ascii="仿宋" w:hAnsi="仿宋" w:eastAsia="仿宋" w:cs="仿宋"/>
          <w:color w:val="000000"/>
          <w:sz w:val="32"/>
          <w:szCs w:val="32"/>
          <w:lang w:eastAsia="zh-CN"/>
        </w:rPr>
        <w:t>公共外环境</w:t>
      </w:r>
      <w:r>
        <w:rPr>
          <w:rFonts w:hint="eastAsia" w:ascii="仿宋" w:hAnsi="仿宋" w:eastAsia="仿宋" w:cs="仿宋"/>
          <w:color w:val="000000"/>
          <w:sz w:val="32"/>
          <w:szCs w:val="32"/>
        </w:rPr>
        <w:t>范围内的病媒生物密度标准达到国家标准</w:t>
      </w:r>
      <w:r>
        <w:rPr>
          <w:rFonts w:hint="eastAsia" w:ascii="仿宋" w:hAnsi="仿宋" w:eastAsia="仿宋" w:cs="仿宋"/>
          <w:color w:val="000000"/>
          <w:sz w:val="32"/>
          <w:szCs w:val="32"/>
          <w:lang w:eastAsia="zh-CN"/>
        </w:rPr>
        <w:t>C级及以上</w:t>
      </w:r>
      <w:r>
        <w:rPr>
          <w:rFonts w:hint="eastAsia" w:ascii="仿宋" w:hAnsi="仿宋" w:eastAsia="仿宋" w:cs="仿宋"/>
          <w:color w:val="000000"/>
          <w:sz w:val="32"/>
          <w:szCs w:val="32"/>
        </w:rPr>
        <w:t>。</w:t>
      </w:r>
    </w:p>
    <w:p w14:paraId="63C0F8A2">
      <w:pPr>
        <w:spacing w:line="500" w:lineRule="exact"/>
        <w:ind w:firstLine="643" w:firstLineChars="200"/>
        <w:jc w:val="both"/>
        <w:rPr>
          <w:rFonts w:ascii="仿宋" w:hAnsi="仿宋" w:eastAsia="仿宋" w:cs="仿宋"/>
          <w:b/>
          <w:color w:val="000000"/>
          <w:sz w:val="32"/>
          <w:szCs w:val="32"/>
        </w:rPr>
      </w:pPr>
      <w:r>
        <w:rPr>
          <w:rFonts w:hint="eastAsia" w:ascii="仿宋" w:hAnsi="仿宋" w:eastAsia="仿宋" w:cs="仿宋"/>
          <w:b/>
          <w:color w:val="000000"/>
          <w:sz w:val="32"/>
          <w:szCs w:val="32"/>
          <w:lang w:eastAsia="zh-CN"/>
        </w:rPr>
        <w:t>（二）</w:t>
      </w:r>
      <w:r>
        <w:rPr>
          <w:rFonts w:hint="eastAsia" w:ascii="仿宋" w:hAnsi="仿宋" w:eastAsia="仿宋" w:cs="仿宋"/>
          <w:b/>
          <w:color w:val="000000"/>
          <w:sz w:val="32"/>
          <w:szCs w:val="32"/>
        </w:rPr>
        <w:t>项目</w:t>
      </w:r>
      <w:r>
        <w:rPr>
          <w:rFonts w:hint="eastAsia" w:ascii="仿宋" w:hAnsi="仿宋" w:eastAsia="仿宋" w:cs="仿宋"/>
          <w:b/>
          <w:color w:val="000000"/>
          <w:sz w:val="32"/>
          <w:szCs w:val="32"/>
          <w:lang w:eastAsia="zh-CN"/>
        </w:rPr>
        <w:t>需求</w:t>
      </w:r>
      <w:r>
        <w:rPr>
          <w:rFonts w:hint="eastAsia" w:ascii="仿宋" w:hAnsi="仿宋" w:eastAsia="仿宋" w:cs="仿宋"/>
          <w:b/>
          <w:color w:val="000000"/>
          <w:sz w:val="32"/>
          <w:szCs w:val="32"/>
        </w:rPr>
        <w:t>计划：</w:t>
      </w:r>
    </w:p>
    <w:p w14:paraId="19EB45E8">
      <w:pPr>
        <w:spacing w:line="500" w:lineRule="exact"/>
        <w:ind w:firstLine="640" w:firstLineChars="200"/>
        <w:jc w:val="both"/>
        <w:rPr>
          <w:rFonts w:ascii="仿宋" w:hAnsi="仿宋" w:eastAsia="仿宋" w:cs="仿宋"/>
          <w:b/>
          <w:color w:val="000000"/>
          <w:sz w:val="32"/>
          <w:szCs w:val="32"/>
        </w:rPr>
      </w:pPr>
      <w:r>
        <w:rPr>
          <w:rFonts w:hint="eastAsia" w:ascii="仿宋" w:hAnsi="仿宋" w:eastAsia="仿宋" w:cs="仿宋"/>
          <w:bCs/>
          <w:color w:val="000000"/>
          <w:sz w:val="32"/>
          <w:szCs w:val="32"/>
          <w:lang w:eastAsia="zh-CN"/>
        </w:rPr>
        <w:t>1、</w:t>
      </w:r>
      <w:r>
        <w:rPr>
          <w:rFonts w:hint="eastAsia" w:ascii="仿宋" w:hAnsi="仿宋" w:eastAsia="仿宋" w:cs="仿宋"/>
          <w:bCs/>
          <w:color w:val="000000"/>
          <w:sz w:val="32"/>
          <w:szCs w:val="32"/>
        </w:rPr>
        <w:t>本</w:t>
      </w:r>
      <w:r>
        <w:rPr>
          <w:rFonts w:hint="eastAsia" w:ascii="仿宋" w:hAnsi="仿宋" w:eastAsia="仿宋" w:cs="仿宋"/>
          <w:bCs/>
          <w:color w:val="000000"/>
          <w:sz w:val="32"/>
          <w:szCs w:val="32"/>
          <w:lang w:eastAsia="zh-CN"/>
        </w:rPr>
        <w:t>地</w:t>
      </w:r>
      <w:r>
        <w:rPr>
          <w:rFonts w:hint="eastAsia" w:ascii="仿宋" w:hAnsi="仿宋" w:eastAsia="仿宋" w:cs="仿宋"/>
          <w:bCs/>
          <w:color w:val="000000"/>
          <w:sz w:val="32"/>
          <w:szCs w:val="32"/>
        </w:rPr>
        <w:t>和孳生地调查：</w:t>
      </w:r>
    </w:p>
    <w:p w14:paraId="53211B71">
      <w:pPr>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为科学有效制订病媒生物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工作计划，切合实际有效展开相关综合防</w:t>
      </w:r>
      <w:r>
        <w:rPr>
          <w:rFonts w:hint="eastAsia" w:ascii="仿宋" w:hAnsi="仿宋" w:eastAsia="仿宋" w:cs="仿宋"/>
          <w:color w:val="000000"/>
          <w:sz w:val="32"/>
          <w:szCs w:val="32"/>
          <w:lang w:eastAsia="zh-CN"/>
        </w:rPr>
        <w:t>制</w:t>
      </w:r>
      <w:r>
        <w:rPr>
          <w:rFonts w:hint="eastAsia" w:ascii="仿宋" w:hAnsi="仿宋" w:eastAsia="仿宋" w:cs="仿宋"/>
          <w:color w:val="000000"/>
          <w:sz w:val="32"/>
          <w:szCs w:val="32"/>
        </w:rPr>
        <w:t>工作，在开始病媒生物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服务消杀工作之前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必须先开展以上范围病媒生物密度和孳生地调查，在消杀过程中自评防</w:t>
      </w:r>
      <w:r>
        <w:rPr>
          <w:rFonts w:hint="eastAsia" w:ascii="仿宋" w:hAnsi="仿宋" w:eastAsia="仿宋" w:cs="仿宋"/>
          <w:color w:val="000000"/>
          <w:sz w:val="32"/>
          <w:szCs w:val="32"/>
          <w:lang w:eastAsia="zh-CN"/>
        </w:rPr>
        <w:t>制</w:t>
      </w:r>
      <w:r>
        <w:rPr>
          <w:rFonts w:hint="eastAsia" w:ascii="仿宋" w:hAnsi="仿宋" w:eastAsia="仿宋" w:cs="仿宋"/>
          <w:color w:val="000000"/>
          <w:sz w:val="32"/>
          <w:szCs w:val="32"/>
        </w:rPr>
        <w:t>效果，并依据评估情况进行及时纠偏，确保综合</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效果。同时形成病媒生物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台账资料，收集归档。</w:t>
      </w:r>
    </w:p>
    <w:p w14:paraId="4273833E">
      <w:pPr>
        <w:spacing w:line="500" w:lineRule="exact"/>
        <w:ind w:firstLine="640" w:firstLineChars="200"/>
        <w:jc w:val="both"/>
        <w:rPr>
          <w:rFonts w:ascii="仿宋" w:hAnsi="仿宋" w:eastAsia="仿宋" w:cs="仿宋"/>
          <w:bCs/>
          <w:color w:val="000000"/>
          <w:sz w:val="32"/>
          <w:szCs w:val="32"/>
        </w:rPr>
      </w:pPr>
      <w:r>
        <w:rPr>
          <w:rFonts w:hint="eastAsia" w:ascii="仿宋" w:hAnsi="仿宋" w:eastAsia="仿宋" w:cs="仿宋"/>
          <w:bCs/>
          <w:color w:val="000000"/>
          <w:sz w:val="32"/>
          <w:szCs w:val="32"/>
          <w:lang w:eastAsia="zh-CN"/>
        </w:rPr>
        <w:t>2、</w:t>
      </w:r>
      <w:r>
        <w:rPr>
          <w:rFonts w:hint="eastAsia" w:ascii="仿宋" w:hAnsi="仿宋" w:eastAsia="仿宋" w:cs="仿宋"/>
          <w:bCs/>
          <w:color w:val="000000"/>
          <w:sz w:val="32"/>
          <w:szCs w:val="32"/>
        </w:rPr>
        <w:t>消杀范围</w:t>
      </w:r>
      <w:r>
        <w:rPr>
          <w:rFonts w:hint="eastAsia" w:ascii="仿宋" w:hAnsi="仿宋" w:eastAsia="仿宋" w:cs="仿宋"/>
          <w:bCs/>
          <w:color w:val="000000"/>
          <w:sz w:val="32"/>
          <w:szCs w:val="32"/>
          <w:lang w:eastAsia="zh-CN"/>
        </w:rPr>
        <w:t>、</w:t>
      </w:r>
      <w:r>
        <w:rPr>
          <w:rFonts w:hint="eastAsia" w:ascii="仿宋" w:hAnsi="仿宋" w:eastAsia="仿宋" w:cs="仿宋"/>
          <w:color w:val="000000"/>
          <w:sz w:val="32"/>
          <w:szCs w:val="32"/>
        </w:rPr>
        <w:t>规模</w:t>
      </w:r>
      <w:r>
        <w:rPr>
          <w:rFonts w:hint="eastAsia" w:ascii="仿宋" w:hAnsi="仿宋" w:eastAsia="仿宋" w:cs="仿宋"/>
          <w:bCs/>
          <w:color w:val="000000"/>
          <w:sz w:val="32"/>
          <w:szCs w:val="32"/>
          <w:lang w:eastAsia="zh-CN"/>
        </w:rPr>
        <w:t>及对象</w:t>
      </w:r>
      <w:r>
        <w:rPr>
          <w:rFonts w:hint="eastAsia" w:ascii="仿宋" w:hAnsi="仿宋" w:eastAsia="仿宋" w:cs="仿宋"/>
          <w:bCs/>
          <w:color w:val="000000"/>
          <w:sz w:val="32"/>
          <w:szCs w:val="32"/>
        </w:rPr>
        <w:t>：</w:t>
      </w:r>
    </w:p>
    <w:p w14:paraId="67EBFFB0">
      <w:pPr>
        <w:widowControl w:val="0"/>
        <w:spacing w:line="500" w:lineRule="exact"/>
        <w:ind w:firstLine="640" w:firstLineChars="200"/>
        <w:jc w:val="both"/>
        <w:rPr>
          <w:rFonts w:ascii="仿宋_GB2312" w:hAnsi="仿宋_GB2312" w:eastAsia="仿宋_GB2312" w:cs="仿宋_GB2312"/>
          <w:w w:val="95"/>
          <w:sz w:val="32"/>
          <w:szCs w:val="32"/>
          <w:lang w:eastAsia="zh-CN"/>
        </w:rPr>
      </w:pPr>
      <w:r>
        <w:rPr>
          <w:rFonts w:hint="eastAsia" w:ascii="仿宋" w:hAnsi="仿宋" w:eastAsia="仿宋" w:cs="仿宋"/>
          <w:color w:val="000000"/>
          <w:sz w:val="32"/>
          <w:szCs w:val="32"/>
          <w:lang w:eastAsia="zh-CN"/>
        </w:rPr>
        <w:t>消杀范围：</w:t>
      </w:r>
      <w:r>
        <w:rPr>
          <w:rFonts w:hint="eastAsia" w:ascii="仿宋_GB2312" w:hAnsi="仿宋_GB2312" w:eastAsia="仿宋_GB2312" w:cs="仿宋_GB2312"/>
          <w:w w:val="95"/>
          <w:sz w:val="32"/>
          <w:szCs w:val="32"/>
        </w:rPr>
        <w:t>城区范围内的</w:t>
      </w:r>
      <w:r>
        <w:rPr>
          <w:rFonts w:hint="eastAsia" w:ascii="仿宋_GB2312" w:hAnsi="仿宋_GB2312" w:eastAsia="仿宋_GB2312" w:cs="仿宋_GB2312"/>
          <w:w w:val="95"/>
          <w:sz w:val="32"/>
          <w:szCs w:val="32"/>
          <w:lang w:eastAsia="zh-CN"/>
        </w:rPr>
        <w:t>各级道路（含水体堤岸道路）、下水道、城中村、城乡结合部、背街小巷、公园、广场、汽车站、农贸市场、公共绿化带、蚊虫孳生水体、苍蝇孳生地、无物业管理居民小区以及县卫健委指定的其他公共外环境。</w:t>
      </w:r>
    </w:p>
    <w:p w14:paraId="719A7B95">
      <w:pPr>
        <w:widowControl w:val="0"/>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消杀规模：约13平方公里。</w:t>
      </w:r>
    </w:p>
    <w:p w14:paraId="2D7340E0">
      <w:pPr>
        <w:widowControl w:val="0"/>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消杀对象为灭鼠、蟑螂、蚊、蝇消杀（蚊子、苍蝇）。</w:t>
      </w:r>
    </w:p>
    <w:p w14:paraId="2169D54D">
      <w:pPr>
        <w:spacing w:line="500" w:lineRule="exact"/>
        <w:ind w:firstLine="643" w:firstLineChars="200"/>
        <w:jc w:val="both"/>
        <w:rPr>
          <w:rFonts w:ascii="仿宋" w:hAnsi="仿宋" w:eastAsia="仿宋" w:cs="仿宋"/>
          <w:b/>
          <w:color w:val="000000"/>
          <w:sz w:val="32"/>
          <w:szCs w:val="32"/>
        </w:rPr>
      </w:pPr>
      <w:r>
        <w:rPr>
          <w:rFonts w:hint="eastAsia" w:ascii="仿宋" w:hAnsi="仿宋" w:eastAsia="仿宋" w:cs="仿宋"/>
          <w:b/>
          <w:color w:val="000000"/>
          <w:sz w:val="32"/>
          <w:szCs w:val="32"/>
          <w:lang w:eastAsia="zh-CN"/>
        </w:rPr>
        <w:t>（三）</w:t>
      </w:r>
      <w:r>
        <w:rPr>
          <w:rFonts w:hint="eastAsia" w:ascii="仿宋" w:hAnsi="仿宋" w:eastAsia="仿宋" w:cs="仿宋"/>
          <w:b/>
          <w:color w:val="000000"/>
          <w:sz w:val="32"/>
          <w:szCs w:val="32"/>
        </w:rPr>
        <w:t>病媒生物</w:t>
      </w:r>
      <w:r>
        <w:rPr>
          <w:rFonts w:hint="eastAsia" w:ascii="仿宋" w:hAnsi="仿宋" w:eastAsia="仿宋" w:cs="仿宋"/>
          <w:b/>
          <w:color w:val="000000"/>
          <w:sz w:val="32"/>
          <w:szCs w:val="32"/>
          <w:lang w:eastAsia="zh-CN"/>
        </w:rPr>
        <w:t>防制</w:t>
      </w:r>
      <w:r>
        <w:rPr>
          <w:rFonts w:hint="eastAsia" w:ascii="仿宋" w:hAnsi="仿宋" w:eastAsia="仿宋" w:cs="仿宋"/>
          <w:b/>
          <w:color w:val="000000"/>
          <w:sz w:val="32"/>
          <w:szCs w:val="32"/>
        </w:rPr>
        <w:t>服务要求及质量标准：</w:t>
      </w:r>
    </w:p>
    <w:p w14:paraId="079AE6BF">
      <w:pPr>
        <w:pStyle w:val="2"/>
        <w:spacing w:before="0" w:after="0" w:line="500" w:lineRule="exact"/>
        <w:ind w:firstLine="640" w:firstLineChars="200"/>
        <w:jc w:val="both"/>
        <w:rPr>
          <w:rFonts w:ascii="仿宋" w:hAnsi="仿宋" w:eastAsia="仿宋" w:cs="仿宋"/>
          <w:b w:val="0"/>
          <w:bCs w:val="0"/>
          <w:color w:val="000000"/>
          <w:lang w:eastAsia="zh-CN"/>
        </w:rPr>
      </w:pPr>
      <w:r>
        <w:rPr>
          <w:rFonts w:hint="eastAsia" w:ascii="仿宋" w:hAnsi="仿宋" w:eastAsia="仿宋" w:cs="仿宋"/>
          <w:b w:val="0"/>
          <w:bCs w:val="0"/>
          <w:color w:val="000000"/>
          <w:lang w:eastAsia="zh-CN"/>
        </w:rPr>
        <w:t>1、病媒生物防制质量标准：</w:t>
      </w:r>
    </w:p>
    <w:p w14:paraId="7A8DD9C6">
      <w:pPr>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(1)监测标准：《中华人民共和国国家标（GB/T23796-2009）病媒生物密度监测方法蝇类》、《中华人民共和国国家标准（GB/T23797）-2009》病媒生物密度监测方法蚊虫》、《中华人民共和国国家标准（GB/T23798-2009）病媒生物密度监测方法鼠类》、《中华人民共和国国家标准（GB/T23795-2009）病媒生物密度监测方法蜚蠊》。</w:t>
      </w:r>
    </w:p>
    <w:p w14:paraId="5E2E6BEE">
      <w:pPr>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(2)控制水平标准：《中华人民共和国国家标准（GB/T27773-2011）病媒生物密度控制水平蜚蠊》、《中华人民共和国国家标准（GB/T27772-2011）病媒生物密度控制水平蝇类》、《中华人民共和国国家标准（GB/T27771-2011）病媒生物密度控制水平蚊虫》、《中华人民共和国国家标准（GB/T27770-2011）病媒生物密度控制水平鼠类》。</w:t>
      </w:r>
    </w:p>
    <w:p w14:paraId="6663D3F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2、一般灭鼠要求</w:t>
      </w:r>
    </w:p>
    <w:p w14:paraId="3D143C9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每次根据工作计划表投药，第一次因老鼠密度较高，投药量应加大，投药时内外部所有老鼠经常出入的地方，应重点投放，数量视具体面积和鼠害的程度而定，投放的诱饵根据范围制定相应的编号，以便于对所投放药的工作情况有所反馈；每次施药须进行彻底性的灭鼠、杀虫服务。</w:t>
      </w:r>
    </w:p>
    <w:p w14:paraId="3DBD782A">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为了更好地对老鼠加以监控，消杀公司必须定期派出质检员进行检查，须检查诱饵是否存在，或者更换诱饵以及诱饵的位置是否合理。</w:t>
      </w:r>
    </w:p>
    <w:p w14:paraId="56B4FAB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3、灭鼠方法：</w:t>
      </w:r>
    </w:p>
    <w:p w14:paraId="288A268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要摸清鼠种情况，明确重点灭鼠方向。鼠情调查可采用粉迹、鼠夹法和投放诱饵法，也可根据实际情况安放一定数量布夹式布粉，要做好相应的编号，注意观察并做好统计。</w:t>
      </w:r>
    </w:p>
    <w:p w14:paraId="1DD08B3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首次调查结果作为基础鼠密度，同时对夹到的鼠尸要进行分类，根据不同鼠种采用不同的毒饵型灭鼠。</w:t>
      </w:r>
    </w:p>
    <w:p w14:paraId="1FD2F616">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根据基础调查的结果，要实施全方位灭鼠，方法可采用毒饵控制法、物理控制法，药剂：立克命追踪粉、大隆、敌鼠隆（Brodifacoum）或同类产品。</w:t>
      </w:r>
    </w:p>
    <w:p w14:paraId="7B81A03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器具：诱饵、盒子、管子、纸盘、粘鼠板方式（药物投放须不显眼的地方或立体放药）。</w:t>
      </w:r>
    </w:p>
    <w:p w14:paraId="76C5514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4、灭鼠标准：</w:t>
      </w:r>
    </w:p>
    <w:p w14:paraId="6C57A9E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达到国家规定的标准，如发现有老鼠必须8小时内来处理。</w:t>
      </w:r>
    </w:p>
    <w:p w14:paraId="4ED56E1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重点楼层/区域灭鼠要求：</w:t>
      </w:r>
    </w:p>
    <w:p w14:paraId="1BC57F3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外围：沿建筑物外墙所有老鼠出入的地方放置老鼠诱饵盒，并进行药物喷洒以控制外围的虫害。</w:t>
      </w:r>
    </w:p>
    <w:p w14:paraId="2F8886F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公共区域可采用毒鼠盒投放于墙壁四周，距离间隔约20~30米。</w:t>
      </w:r>
    </w:p>
    <w:p w14:paraId="4656AF3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对容易产生虫害的地方要定期进行药物喷洒。</w:t>
      </w:r>
    </w:p>
    <w:p w14:paraId="2BB351A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对室内外公共区域等进行立体投药。</w:t>
      </w:r>
    </w:p>
    <w:p w14:paraId="115CB66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5、爬虫控制要求</w:t>
      </w:r>
    </w:p>
    <w:p w14:paraId="359DA56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消杀公司根据计划对公共区域等范围进行害虫防制工作，如因密度高，须及时增加防制次数。</w:t>
      </w:r>
    </w:p>
    <w:p w14:paraId="366D416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药物喷洒场所为垃圾堆放处，下水道有蟑螂活动频繁的地方。</w:t>
      </w:r>
    </w:p>
    <w:p w14:paraId="6BBBD16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对一些不能喷洒的场所须放置小颗粒药物。</w:t>
      </w:r>
    </w:p>
    <w:p w14:paraId="2BA61B8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6、灭蟑螂方法：</w:t>
      </w:r>
    </w:p>
    <w:p w14:paraId="75BEA9E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定期采用灭蟑胶饵、菊酯类的药物进行滞留性缝隙喷洒，下水道可采取快速热烟雾方法快速杀灭蟑螂。</w:t>
      </w:r>
    </w:p>
    <w:p w14:paraId="060C968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采用药剂：灭蟑胶饵、溴氰菊酯Deltamethrin Ec或同类菊酯类产品。</w:t>
      </w:r>
    </w:p>
    <w:p w14:paraId="69C90BB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采用设备：电力喷雾器，用扇形喷嘴，浓缩电动喷雾器，超微粒喷洒。</w:t>
      </w:r>
    </w:p>
    <w:p w14:paraId="16E7384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灭蟑螂标准：达到国家规定的标准，如发现蟑螂滋生8小时内马上进行处理。</w:t>
      </w:r>
    </w:p>
    <w:p w14:paraId="03A8896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7、飞虫控制要求</w:t>
      </w:r>
    </w:p>
    <w:p w14:paraId="5B45E07A">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根据工作计划为主（视天气的具体情况而定），可使用药物喷洒进行消杀。</w:t>
      </w:r>
    </w:p>
    <w:p w14:paraId="5DC42A0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消杀公司应视具体情况加强灭蚊灭蝇的防制工作。</w:t>
      </w:r>
    </w:p>
    <w:p w14:paraId="362A0A2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采用药剂：溴氰菊酯Deltamethrin Ec或同类菊酯类产品。</w:t>
      </w:r>
    </w:p>
    <w:p w14:paraId="01AE32A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采用设备：超微粒喷洒、扇形喷嘴、常量喷雾器（外环境），粘板。</w:t>
      </w:r>
    </w:p>
    <w:p w14:paraId="1066D636">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8、控制蚊蝇滋生源</w:t>
      </w:r>
    </w:p>
    <w:p w14:paraId="11CA018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虫害服务专业人员应负责在该区域进行固定滋生地处理和药物喷洒，投放缓释剂、等方法杀虫，其中包括四周垃圾堆放处等。</w:t>
      </w:r>
    </w:p>
    <w:p w14:paraId="6405213A">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除害工作可根据气候、气温、虫种的变化而定，必要时突击喷洒，以采购人要求为准。</w:t>
      </w:r>
    </w:p>
    <w:p w14:paraId="251929E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9、灭蚊标准:达到国家规定的标准，如果发现有蚊子8小时内应马上处理。</w:t>
      </w:r>
    </w:p>
    <w:p w14:paraId="45E113F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10、灭蝇标准：达到国家规定的标准，如果发现有苍蝇8小时内马上处理。</w:t>
      </w:r>
    </w:p>
    <w:p w14:paraId="18C5AC5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11、灭虫害标准</w:t>
      </w:r>
    </w:p>
    <w:p w14:paraId="6C8AEA6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首先对树木，草坪，木质结构进行药物喷洒。达到国家规定的标准，如果发现虫害马上处理。</w:t>
      </w:r>
    </w:p>
    <w:p w14:paraId="5403D0D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12、虫害控制药物，器具，设备配置</w:t>
      </w:r>
    </w:p>
    <w:p w14:paraId="1545904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非化学：选择机械、物理、电子和生物学方法预防虫害发生和蔓延诱饵和管子、盒子、纸盘、粘鼠板、粉迹、超微粒喷洒、常量喷雾器（外环境用）、机械喷雾器。</w:t>
      </w:r>
    </w:p>
    <w:p w14:paraId="2B5BAB4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13、选择对人和环境安全的杀虫剂控制虫害密度</w:t>
      </w:r>
    </w:p>
    <w:p w14:paraId="1BF4FBB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药物使用</w:t>
      </w:r>
    </w:p>
    <w:tbl>
      <w:tblPr>
        <w:tblStyle w:val="9"/>
        <w:tblpPr w:leftFromText="180" w:rightFromText="180" w:vertAnchor="text" w:horzAnchor="margin" w:tblpXSpec="center" w:tblpY="435"/>
        <w:tblOverlap w:val="never"/>
        <w:tblW w:w="9632" w:type="dxa"/>
        <w:jc w:val="center"/>
        <w:tblLayout w:type="fixed"/>
        <w:tblCellMar>
          <w:top w:w="0" w:type="dxa"/>
          <w:left w:w="108" w:type="dxa"/>
          <w:bottom w:w="0" w:type="dxa"/>
          <w:right w:w="108" w:type="dxa"/>
        </w:tblCellMar>
      </w:tblPr>
      <w:tblGrid>
        <w:gridCol w:w="511"/>
        <w:gridCol w:w="2355"/>
        <w:gridCol w:w="1425"/>
        <w:gridCol w:w="1215"/>
        <w:gridCol w:w="1605"/>
        <w:gridCol w:w="2521"/>
      </w:tblGrid>
      <w:tr w14:paraId="4060784F">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shd w:val="clear" w:color="FFFFFF" w:fill="D9D9D9"/>
            <w:vAlign w:val="center"/>
          </w:tcPr>
          <w:p w14:paraId="64A72F0E">
            <w:pPr>
              <w:spacing w:line="500" w:lineRule="exact"/>
              <w:jc w:val="center"/>
            </w:pPr>
            <w:r>
              <w:rPr>
                <w:rFonts w:ascii="宋体" w:hAnsi="宋体" w:cs="宋体"/>
                <w:b/>
                <w:bCs/>
              </w:rPr>
              <w:t>序号</w:t>
            </w:r>
          </w:p>
        </w:tc>
        <w:tc>
          <w:tcPr>
            <w:tcW w:w="2355" w:type="dxa"/>
            <w:tcBorders>
              <w:top w:val="single" w:color="auto" w:sz="4" w:space="0"/>
              <w:left w:val="single" w:color="auto" w:sz="4" w:space="0"/>
              <w:bottom w:val="single" w:color="auto" w:sz="4" w:space="0"/>
              <w:right w:val="single" w:color="auto" w:sz="4" w:space="0"/>
            </w:tcBorders>
            <w:shd w:val="clear" w:color="FFFFFF" w:fill="D9D9D9"/>
            <w:vAlign w:val="center"/>
          </w:tcPr>
          <w:p w14:paraId="670D8480">
            <w:pPr>
              <w:spacing w:line="500" w:lineRule="exact"/>
              <w:jc w:val="center"/>
              <w:rPr>
                <w:rFonts w:eastAsia="宋体"/>
                <w:lang w:eastAsia="zh-CN"/>
              </w:rPr>
            </w:pPr>
            <w:r>
              <w:rPr>
                <w:rFonts w:ascii="宋体" w:hAnsi="宋体" w:cs="宋体"/>
                <w:b/>
                <w:bCs/>
              </w:rPr>
              <w:t>药品</w:t>
            </w:r>
            <w:r>
              <w:rPr>
                <w:rFonts w:hint="eastAsia" w:ascii="宋体" w:hAnsi="宋体" w:eastAsia="宋体" w:cs="宋体"/>
                <w:b/>
                <w:bCs/>
                <w:lang w:eastAsia="zh-CN"/>
              </w:rPr>
              <w:t>名称</w:t>
            </w:r>
          </w:p>
        </w:tc>
        <w:tc>
          <w:tcPr>
            <w:tcW w:w="1425" w:type="dxa"/>
            <w:tcBorders>
              <w:top w:val="single" w:color="auto" w:sz="4" w:space="0"/>
              <w:left w:val="single" w:color="auto" w:sz="4" w:space="0"/>
              <w:bottom w:val="single" w:color="auto" w:sz="4" w:space="0"/>
              <w:right w:val="single" w:color="auto" w:sz="4" w:space="0"/>
            </w:tcBorders>
            <w:shd w:val="clear" w:color="FFFFFF" w:fill="D9D9D9"/>
            <w:vAlign w:val="center"/>
          </w:tcPr>
          <w:p w14:paraId="4862E3F7">
            <w:pPr>
              <w:spacing w:line="500" w:lineRule="exact"/>
              <w:jc w:val="center"/>
              <w:rPr>
                <w:rFonts w:eastAsia="宋体"/>
                <w:lang w:eastAsia="zh-CN"/>
              </w:rPr>
            </w:pPr>
            <w:r>
              <w:rPr>
                <w:rFonts w:hint="eastAsia" w:ascii="宋体" w:hAnsi="宋体" w:eastAsia="宋体" w:cs="宋体"/>
                <w:b/>
                <w:bCs/>
                <w:spacing w:val="-20"/>
                <w:lang w:eastAsia="zh-CN"/>
              </w:rPr>
              <w:t>药品有效成分</w:t>
            </w:r>
          </w:p>
        </w:tc>
        <w:tc>
          <w:tcPr>
            <w:tcW w:w="1215" w:type="dxa"/>
            <w:tcBorders>
              <w:top w:val="single" w:color="auto" w:sz="4" w:space="0"/>
              <w:left w:val="single" w:color="auto" w:sz="4" w:space="0"/>
              <w:bottom w:val="single" w:color="auto" w:sz="4" w:space="0"/>
              <w:right w:val="single" w:color="auto" w:sz="4" w:space="0"/>
            </w:tcBorders>
            <w:shd w:val="clear" w:color="FFFFFF" w:fill="D9D9D9"/>
            <w:vAlign w:val="center"/>
          </w:tcPr>
          <w:p w14:paraId="0A3A6871">
            <w:pPr>
              <w:spacing w:line="500" w:lineRule="exact"/>
              <w:jc w:val="both"/>
            </w:pPr>
            <w:r>
              <w:rPr>
                <w:rFonts w:ascii="宋体" w:hAnsi="宋体" w:cs="宋体"/>
                <w:b/>
                <w:bCs/>
              </w:rPr>
              <w:t>灭治对象</w:t>
            </w:r>
          </w:p>
        </w:tc>
        <w:tc>
          <w:tcPr>
            <w:tcW w:w="1605" w:type="dxa"/>
            <w:tcBorders>
              <w:top w:val="single" w:color="auto" w:sz="4" w:space="0"/>
              <w:left w:val="single" w:color="auto" w:sz="4" w:space="0"/>
              <w:bottom w:val="single" w:color="auto" w:sz="4" w:space="0"/>
              <w:right w:val="single" w:color="auto" w:sz="4" w:space="0"/>
            </w:tcBorders>
            <w:shd w:val="clear" w:color="FFFFFF" w:fill="D9D9D9"/>
            <w:vAlign w:val="center"/>
          </w:tcPr>
          <w:p w14:paraId="38AB6542">
            <w:pPr>
              <w:spacing w:line="500" w:lineRule="exact"/>
              <w:jc w:val="center"/>
            </w:pPr>
            <w:r>
              <w:rPr>
                <w:rFonts w:ascii="宋体" w:hAnsi="宋体" w:cs="宋体"/>
                <w:b/>
                <w:bCs/>
              </w:rPr>
              <w:t>使用方法</w:t>
            </w:r>
          </w:p>
        </w:tc>
        <w:tc>
          <w:tcPr>
            <w:tcW w:w="2521" w:type="dxa"/>
            <w:tcBorders>
              <w:top w:val="single" w:color="auto" w:sz="4" w:space="0"/>
              <w:left w:val="single" w:color="auto" w:sz="4" w:space="0"/>
              <w:bottom w:val="single" w:color="auto" w:sz="4" w:space="0"/>
              <w:right w:val="single" w:color="auto" w:sz="4" w:space="0"/>
            </w:tcBorders>
            <w:shd w:val="clear" w:color="FFFFFF" w:fill="D9D9D9"/>
            <w:vAlign w:val="center"/>
          </w:tcPr>
          <w:p w14:paraId="380406B5">
            <w:pPr>
              <w:spacing w:line="500" w:lineRule="exact"/>
              <w:jc w:val="center"/>
              <w:rPr>
                <w:rFonts w:ascii="宋体" w:hAnsi="宋体" w:cs="宋体"/>
                <w:b/>
                <w:bCs/>
              </w:rPr>
            </w:pPr>
            <w:r>
              <w:rPr>
                <w:rFonts w:hint="eastAsia" w:ascii="宋体" w:hAnsi="宋体" w:eastAsia="宋体" w:cs="宋体"/>
                <w:b/>
                <w:bCs/>
                <w:lang w:eastAsia="zh-CN"/>
              </w:rPr>
              <w:t>生产厂家要求</w:t>
            </w:r>
          </w:p>
        </w:tc>
      </w:tr>
      <w:tr w14:paraId="212720C6">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28391F35">
            <w:pPr>
              <w:spacing w:line="500" w:lineRule="exact"/>
              <w:jc w:val="center"/>
            </w:pPr>
            <w:r>
              <w:rPr>
                <w:rFonts w:ascii="宋体" w:hAnsi="宋体" w:cs="宋体"/>
                <w:b/>
                <w:bCs/>
              </w:rPr>
              <w:t>1</w:t>
            </w:r>
          </w:p>
        </w:tc>
        <w:tc>
          <w:tcPr>
            <w:tcW w:w="2355" w:type="dxa"/>
            <w:tcBorders>
              <w:top w:val="single" w:color="auto" w:sz="4" w:space="0"/>
              <w:left w:val="single" w:color="auto" w:sz="4" w:space="0"/>
              <w:bottom w:val="single" w:color="auto" w:sz="4" w:space="0"/>
              <w:right w:val="single" w:color="auto" w:sz="4" w:space="0"/>
            </w:tcBorders>
            <w:vAlign w:val="center"/>
          </w:tcPr>
          <w:p w14:paraId="6112F058">
            <w:pPr>
              <w:spacing w:line="500" w:lineRule="exact"/>
              <w:jc w:val="center"/>
            </w:pPr>
            <w:r>
              <w:rPr>
                <w:rFonts w:hint="eastAsia" w:ascii="宋体" w:hAnsi="宋体" w:cs="宋体"/>
                <w:lang w:eastAsia="zh-CN"/>
              </w:rPr>
              <w:t>溴敌隆毒饵</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E93B793">
            <w:pPr>
              <w:spacing w:beforeLines="30" w:afterLines="30" w:line="440" w:lineRule="atLeast"/>
              <w:jc w:val="center"/>
            </w:pPr>
            <w:r>
              <w:rPr>
                <w:rFonts w:ascii="宋体" w:hAnsi="宋体" w:cs="宋体"/>
              </w:rPr>
              <w:t>≥0.005%</w:t>
            </w:r>
          </w:p>
        </w:tc>
        <w:tc>
          <w:tcPr>
            <w:tcW w:w="1215" w:type="dxa"/>
            <w:tcBorders>
              <w:top w:val="single" w:color="auto" w:sz="4" w:space="0"/>
              <w:left w:val="single" w:color="auto" w:sz="4" w:space="0"/>
              <w:bottom w:val="single" w:color="auto" w:sz="4" w:space="0"/>
              <w:right w:val="single" w:color="auto" w:sz="4" w:space="0"/>
            </w:tcBorders>
            <w:vAlign w:val="center"/>
          </w:tcPr>
          <w:p w14:paraId="5020CA73">
            <w:pPr>
              <w:spacing w:line="500" w:lineRule="exact"/>
              <w:jc w:val="center"/>
            </w:pPr>
            <w:r>
              <w:rPr>
                <w:rFonts w:ascii="宋体" w:hAnsi="宋体" w:cs="宋体"/>
              </w:rPr>
              <w:t>鼠</w:t>
            </w:r>
          </w:p>
        </w:tc>
        <w:tc>
          <w:tcPr>
            <w:tcW w:w="1605" w:type="dxa"/>
            <w:tcBorders>
              <w:top w:val="single" w:color="auto" w:sz="4" w:space="0"/>
              <w:left w:val="single" w:color="auto" w:sz="4" w:space="0"/>
              <w:bottom w:val="single" w:color="auto" w:sz="4" w:space="0"/>
              <w:right w:val="single" w:color="auto" w:sz="4" w:space="0"/>
            </w:tcBorders>
            <w:vAlign w:val="center"/>
          </w:tcPr>
          <w:p w14:paraId="1E41E9A5">
            <w:pPr>
              <w:spacing w:line="500" w:lineRule="exact"/>
              <w:jc w:val="center"/>
              <w:rPr>
                <w:lang w:eastAsia="zh-CN"/>
              </w:rPr>
            </w:pPr>
            <w:r>
              <w:rPr>
                <w:rFonts w:hint="eastAsia" w:ascii="宋体" w:hAnsi="宋体" w:cs="宋体"/>
                <w:lang w:eastAsia="zh-CN"/>
              </w:rPr>
              <w:t>投饵</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0A54DA8C">
            <w:pPr>
              <w:spacing w:line="500" w:lineRule="exact"/>
              <w:jc w:val="both"/>
              <w:rPr>
                <w:lang w:eastAsia="zh-CN"/>
              </w:rPr>
            </w:pPr>
            <w:r>
              <w:rPr>
                <w:rFonts w:hint="eastAsia" w:ascii="仿宋" w:hAnsi="仿宋" w:eastAsia="仿宋" w:cs="仿宋"/>
                <w:lang w:eastAsia="zh-CN"/>
              </w:rPr>
              <w:t>国内合格厂家，三证齐全出具完整书面资料</w:t>
            </w:r>
          </w:p>
        </w:tc>
      </w:tr>
      <w:tr w14:paraId="6104D94D">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3542ACF2">
            <w:pPr>
              <w:spacing w:line="500" w:lineRule="exact"/>
              <w:jc w:val="center"/>
              <w:rPr>
                <w:rFonts w:ascii="宋体" w:hAnsi="宋体" w:cs="宋体"/>
                <w:b/>
                <w:bCs/>
              </w:rPr>
            </w:pPr>
            <w:r>
              <w:rPr>
                <w:rFonts w:ascii="宋体" w:hAnsi="宋体" w:cs="宋体"/>
                <w:b/>
                <w:bCs/>
              </w:rPr>
              <w:t>2</w:t>
            </w:r>
          </w:p>
        </w:tc>
        <w:tc>
          <w:tcPr>
            <w:tcW w:w="2355" w:type="dxa"/>
            <w:tcBorders>
              <w:top w:val="single" w:color="auto" w:sz="4" w:space="0"/>
              <w:left w:val="single" w:color="auto" w:sz="4" w:space="0"/>
              <w:bottom w:val="single" w:color="auto" w:sz="4" w:space="0"/>
              <w:right w:val="single" w:color="auto" w:sz="4" w:space="0"/>
            </w:tcBorders>
            <w:vAlign w:val="center"/>
          </w:tcPr>
          <w:p w14:paraId="2570B1BA">
            <w:pPr>
              <w:spacing w:line="500" w:lineRule="exact"/>
              <w:jc w:val="center"/>
              <w:rPr>
                <w:lang w:eastAsia="zh-CN"/>
              </w:rPr>
            </w:pPr>
            <w:r>
              <w:rPr>
                <w:rFonts w:hint="eastAsia"/>
                <w:lang w:eastAsia="zh-CN"/>
              </w:rPr>
              <w:t>烯丙·氯菊酯水乳剂</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92A884D">
            <w:pPr>
              <w:spacing w:beforeLines="30" w:afterLines="30" w:line="440" w:lineRule="atLeast"/>
              <w:jc w:val="center"/>
              <w:rPr>
                <w:rFonts w:ascii="宋体" w:hAnsi="宋体" w:cs="宋体"/>
              </w:rPr>
            </w:pPr>
            <w:r>
              <w:rPr>
                <w:rFonts w:ascii="宋体" w:hAnsi="宋体" w:cs="宋体"/>
              </w:rPr>
              <w:t>≥</w:t>
            </w:r>
            <w:r>
              <w:rPr>
                <w:rFonts w:hint="eastAsia" w:ascii="宋体" w:hAnsi="宋体" w:cs="宋体"/>
                <w:lang w:eastAsia="zh-CN"/>
              </w:rPr>
              <w:t>12</w:t>
            </w:r>
            <w:r>
              <w:rPr>
                <w:rFonts w:ascii="宋体" w:hAnsi="宋体" w:cs="宋体"/>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14:paraId="30CF3D70">
            <w:pPr>
              <w:spacing w:line="500" w:lineRule="exact"/>
              <w:jc w:val="center"/>
              <w:rPr>
                <w:rFonts w:ascii="宋体" w:hAnsi="宋体" w:cs="宋体"/>
              </w:rPr>
            </w:pPr>
            <w:r>
              <w:rPr>
                <w:rFonts w:hint="eastAsia" w:ascii="宋体" w:hAnsi="宋体" w:cs="宋体"/>
                <w:lang w:eastAsia="zh-CN"/>
              </w:rPr>
              <w:t>蚊、蝇</w:t>
            </w:r>
          </w:p>
        </w:tc>
        <w:tc>
          <w:tcPr>
            <w:tcW w:w="1605" w:type="dxa"/>
            <w:tcBorders>
              <w:top w:val="single" w:color="auto" w:sz="4" w:space="0"/>
              <w:left w:val="single" w:color="auto" w:sz="4" w:space="0"/>
              <w:bottom w:val="single" w:color="auto" w:sz="4" w:space="0"/>
              <w:right w:val="single" w:color="auto" w:sz="4" w:space="0"/>
            </w:tcBorders>
            <w:vAlign w:val="center"/>
          </w:tcPr>
          <w:p w14:paraId="2F5776E9">
            <w:pPr>
              <w:spacing w:line="500" w:lineRule="exact"/>
              <w:jc w:val="center"/>
              <w:rPr>
                <w:rFonts w:ascii="宋体" w:hAnsi="宋体" w:cs="宋体"/>
              </w:rPr>
            </w:pPr>
            <w:r>
              <w:rPr>
                <w:rFonts w:hint="eastAsia" w:ascii="宋体" w:hAnsi="宋体" w:cs="宋体"/>
                <w:lang w:eastAsia="zh-CN"/>
              </w:rPr>
              <w:t>超低容量喷雾</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43EB03A8">
            <w:pPr>
              <w:spacing w:line="500" w:lineRule="exact"/>
              <w:jc w:val="both"/>
              <w:rPr>
                <w:rFonts w:ascii="宋体" w:hAnsi="宋体" w:cs="宋体"/>
                <w:lang w:eastAsia="zh-CN"/>
              </w:rPr>
            </w:pPr>
            <w:r>
              <w:rPr>
                <w:rFonts w:hint="eastAsia" w:ascii="仿宋" w:hAnsi="仿宋" w:eastAsia="仿宋" w:cs="仿宋"/>
                <w:lang w:eastAsia="zh-CN"/>
              </w:rPr>
              <w:t>国内合格厂家，三证齐全出具完整书面资料</w:t>
            </w:r>
          </w:p>
        </w:tc>
      </w:tr>
      <w:tr w14:paraId="598EBA75">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15D36CA5">
            <w:pPr>
              <w:spacing w:line="500" w:lineRule="exact"/>
              <w:jc w:val="center"/>
              <w:rPr>
                <w:rFonts w:ascii="宋体" w:hAnsi="宋体" w:cs="宋体"/>
                <w:b/>
                <w:bCs/>
                <w:lang w:eastAsia="zh-CN"/>
              </w:rPr>
            </w:pPr>
            <w:r>
              <w:rPr>
                <w:rFonts w:hint="eastAsia" w:ascii="宋体" w:hAnsi="宋体" w:cs="宋体"/>
                <w:b/>
                <w:bCs/>
                <w:lang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14:paraId="78B87897">
            <w:pPr>
              <w:spacing w:line="500" w:lineRule="exact"/>
              <w:jc w:val="center"/>
              <w:rPr>
                <w:lang w:eastAsia="zh-CN"/>
              </w:rPr>
            </w:pPr>
            <w:r>
              <w:rPr>
                <w:rFonts w:hint="eastAsia"/>
                <w:lang w:eastAsia="zh-CN"/>
              </w:rPr>
              <w:t>高氯</w:t>
            </w:r>
            <w:r>
              <w:rPr>
                <w:rFonts w:hint="eastAsia" w:ascii="仿宋" w:hAnsi="仿宋" w:eastAsia="仿宋" w:cs="仿宋"/>
                <w:lang w:eastAsia="zh-CN"/>
              </w:rPr>
              <w:t>·</w:t>
            </w:r>
            <w:r>
              <w:rPr>
                <w:rFonts w:hint="eastAsia"/>
                <w:lang w:eastAsia="zh-CN"/>
              </w:rPr>
              <w:t>残杀威悬浮剂</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3AD465C">
            <w:pPr>
              <w:spacing w:beforeLines="30" w:afterLines="30" w:line="440" w:lineRule="atLeast"/>
              <w:jc w:val="center"/>
              <w:rPr>
                <w:rFonts w:ascii="宋体" w:hAnsi="宋体" w:cs="宋体"/>
                <w:lang w:eastAsia="zh-CN"/>
              </w:rPr>
            </w:pPr>
            <w:r>
              <w:rPr>
                <w:rFonts w:ascii="宋体" w:hAnsi="宋体" w:cs="宋体"/>
              </w:rPr>
              <w:t>≥</w:t>
            </w:r>
            <w:r>
              <w:rPr>
                <w:rFonts w:hint="eastAsia" w:ascii="宋体" w:hAnsi="宋体" w:eastAsia="宋体" w:cs="宋体"/>
                <w:lang w:eastAsia="zh-CN"/>
              </w:rPr>
              <w:t>10</w:t>
            </w:r>
            <w:r>
              <w:rPr>
                <w:rFonts w:ascii="宋体" w:hAnsi="宋体" w:cs="宋体"/>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14:paraId="05A496A9">
            <w:pPr>
              <w:spacing w:line="500" w:lineRule="exact"/>
              <w:jc w:val="center"/>
              <w:rPr>
                <w:rFonts w:ascii="宋体" w:hAnsi="宋体" w:cs="宋体"/>
                <w:lang w:eastAsia="zh-CN"/>
              </w:rPr>
            </w:pPr>
            <w:r>
              <w:rPr>
                <w:rFonts w:hint="eastAsia" w:ascii="宋体" w:hAnsi="宋体" w:cs="宋体"/>
                <w:lang w:eastAsia="zh-CN"/>
              </w:rPr>
              <w:t>蚊、蝇、蟑螂</w:t>
            </w:r>
          </w:p>
        </w:tc>
        <w:tc>
          <w:tcPr>
            <w:tcW w:w="1605" w:type="dxa"/>
            <w:tcBorders>
              <w:top w:val="single" w:color="auto" w:sz="4" w:space="0"/>
              <w:left w:val="single" w:color="auto" w:sz="4" w:space="0"/>
              <w:bottom w:val="single" w:color="auto" w:sz="4" w:space="0"/>
              <w:right w:val="single" w:color="auto" w:sz="4" w:space="0"/>
            </w:tcBorders>
            <w:vAlign w:val="center"/>
          </w:tcPr>
          <w:p w14:paraId="7F88D94F">
            <w:pPr>
              <w:spacing w:line="500" w:lineRule="exact"/>
              <w:jc w:val="center"/>
              <w:rPr>
                <w:rFonts w:ascii="宋体" w:hAnsi="宋体" w:cs="宋体"/>
                <w:lang w:eastAsia="zh-CN"/>
              </w:rPr>
            </w:pPr>
            <w:r>
              <w:rPr>
                <w:rFonts w:hint="eastAsia" w:ascii="宋体" w:hAnsi="宋体" w:cs="宋体"/>
                <w:lang w:eastAsia="zh-CN"/>
              </w:rPr>
              <w:t>滞留喷洒</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7EF850B5">
            <w:pPr>
              <w:spacing w:line="500" w:lineRule="exact"/>
              <w:jc w:val="both"/>
              <w:rPr>
                <w:rFonts w:ascii="宋体" w:hAnsi="宋体" w:cs="宋体"/>
                <w:lang w:eastAsia="zh-CN"/>
              </w:rPr>
            </w:pPr>
            <w:r>
              <w:rPr>
                <w:rFonts w:hint="eastAsia" w:ascii="仿宋" w:hAnsi="仿宋" w:eastAsia="仿宋" w:cs="仿宋"/>
                <w:lang w:eastAsia="zh-CN"/>
              </w:rPr>
              <w:t>国内合格厂家，三证齐全出具完整书面资料</w:t>
            </w:r>
          </w:p>
        </w:tc>
      </w:tr>
      <w:tr w14:paraId="5E4F1607">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16AA8BA5">
            <w:pPr>
              <w:spacing w:line="500" w:lineRule="exact"/>
              <w:jc w:val="center"/>
            </w:pPr>
            <w:r>
              <w:rPr>
                <w:rFonts w:hint="eastAsia"/>
                <w:lang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14:paraId="3DD37226">
            <w:pPr>
              <w:spacing w:line="500" w:lineRule="exact"/>
              <w:jc w:val="center"/>
            </w:pPr>
            <w:r>
              <w:t>吡丙醚颗粒剂</w:t>
            </w:r>
          </w:p>
        </w:tc>
        <w:tc>
          <w:tcPr>
            <w:tcW w:w="1425" w:type="dxa"/>
            <w:tcBorders>
              <w:top w:val="single" w:color="auto" w:sz="4" w:space="0"/>
              <w:left w:val="single" w:color="auto" w:sz="4" w:space="0"/>
              <w:bottom w:val="single" w:color="auto" w:sz="4" w:space="0"/>
              <w:right w:val="single" w:color="auto" w:sz="4" w:space="0"/>
            </w:tcBorders>
            <w:vAlign w:val="center"/>
          </w:tcPr>
          <w:p w14:paraId="73E7C402">
            <w:pPr>
              <w:spacing w:beforeLines="30" w:afterLines="30" w:line="440" w:lineRule="atLeast"/>
              <w:ind w:firstLine="120" w:firstLineChars="50"/>
              <w:jc w:val="center"/>
            </w:pPr>
            <w:r>
              <w:rPr>
                <w:rFonts w:ascii="宋体" w:hAnsi="宋体" w:cs="宋体"/>
              </w:rPr>
              <w:t>≥</w:t>
            </w:r>
            <w:r>
              <w:rPr>
                <w:rFonts w:hint="eastAsia" w:ascii="宋体" w:hAnsi="宋体" w:eastAsia="宋体" w:cs="宋体"/>
                <w:lang w:eastAsia="zh-CN"/>
              </w:rPr>
              <w:t>0.5</w:t>
            </w:r>
            <w:r>
              <w:rPr>
                <w:rFonts w:ascii="宋体" w:hAnsi="宋体" w:cs="宋体"/>
              </w:rPr>
              <w:t>%</w:t>
            </w:r>
          </w:p>
        </w:tc>
        <w:tc>
          <w:tcPr>
            <w:tcW w:w="1215" w:type="dxa"/>
            <w:tcBorders>
              <w:top w:val="single" w:color="auto" w:sz="4" w:space="0"/>
              <w:left w:val="single" w:color="auto" w:sz="4" w:space="0"/>
              <w:bottom w:val="single" w:color="auto" w:sz="4" w:space="0"/>
              <w:right w:val="single" w:color="auto" w:sz="4" w:space="0"/>
            </w:tcBorders>
            <w:vAlign w:val="center"/>
          </w:tcPr>
          <w:p w14:paraId="28E54504">
            <w:pPr>
              <w:spacing w:line="500" w:lineRule="exact"/>
              <w:jc w:val="center"/>
              <w:rPr>
                <w:rFonts w:eastAsia="宋体"/>
                <w:lang w:eastAsia="zh-CN"/>
              </w:rPr>
            </w:pPr>
            <w:r>
              <w:rPr>
                <w:rFonts w:hint="eastAsia" w:eastAsia="宋体"/>
                <w:lang w:eastAsia="zh-CN"/>
              </w:rPr>
              <w:t>蚊蚴</w:t>
            </w:r>
          </w:p>
        </w:tc>
        <w:tc>
          <w:tcPr>
            <w:tcW w:w="1605" w:type="dxa"/>
            <w:tcBorders>
              <w:top w:val="single" w:color="auto" w:sz="4" w:space="0"/>
              <w:left w:val="single" w:color="auto" w:sz="4" w:space="0"/>
              <w:bottom w:val="single" w:color="auto" w:sz="4" w:space="0"/>
              <w:right w:val="single" w:color="auto" w:sz="4" w:space="0"/>
            </w:tcBorders>
            <w:vAlign w:val="center"/>
          </w:tcPr>
          <w:p w14:paraId="5D9F2A48">
            <w:pPr>
              <w:spacing w:line="500" w:lineRule="exact"/>
              <w:jc w:val="center"/>
            </w:pPr>
            <w:r>
              <w:rPr>
                <w:rFonts w:ascii="宋体" w:hAnsi="宋体" w:cs="宋体"/>
              </w:rPr>
              <w:t>撒施</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49081E08">
            <w:pPr>
              <w:spacing w:line="500" w:lineRule="exact"/>
              <w:jc w:val="both"/>
            </w:pPr>
            <w:r>
              <w:rPr>
                <w:rFonts w:hint="eastAsia" w:ascii="仿宋" w:hAnsi="仿宋" w:eastAsia="仿宋" w:cs="仿宋"/>
                <w:lang w:eastAsia="zh-CN"/>
              </w:rPr>
              <w:t>国内合格厂家，三证齐全出具完整书面资料</w:t>
            </w:r>
          </w:p>
        </w:tc>
      </w:tr>
      <w:tr w14:paraId="5C06E9E1">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0779CBB3">
            <w:pPr>
              <w:spacing w:line="500" w:lineRule="exact"/>
              <w:jc w:val="center"/>
            </w:pPr>
            <w:r>
              <w:rPr>
                <w:rFonts w:hint="eastAsia"/>
                <w:lang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14:paraId="0401109E">
            <w:pPr>
              <w:spacing w:line="500" w:lineRule="exact"/>
              <w:jc w:val="center"/>
              <w:rPr>
                <w:rFonts w:eastAsia="宋体"/>
                <w:lang w:eastAsia="zh-CN"/>
              </w:rPr>
            </w:pPr>
            <w:r>
              <w:rPr>
                <w:rFonts w:hint="eastAsia" w:eastAsia="宋体"/>
                <w:lang w:eastAsia="zh-CN"/>
              </w:rPr>
              <w:t>杀虫热雾剂</w:t>
            </w:r>
          </w:p>
        </w:tc>
        <w:tc>
          <w:tcPr>
            <w:tcW w:w="1425" w:type="dxa"/>
            <w:tcBorders>
              <w:top w:val="single" w:color="auto" w:sz="4" w:space="0"/>
              <w:left w:val="single" w:color="auto" w:sz="4" w:space="0"/>
              <w:bottom w:val="single" w:color="auto" w:sz="4" w:space="0"/>
              <w:right w:val="single" w:color="auto" w:sz="4" w:space="0"/>
            </w:tcBorders>
            <w:vAlign w:val="center"/>
          </w:tcPr>
          <w:p w14:paraId="184FEC68">
            <w:pPr>
              <w:spacing w:beforeLines="30" w:afterLines="30" w:line="440" w:lineRule="atLeast"/>
              <w:ind w:firstLine="120" w:firstLineChars="50"/>
              <w:jc w:val="both"/>
              <w:rPr>
                <w:rFonts w:eastAsia="宋体"/>
                <w:lang w:eastAsia="zh-CN"/>
              </w:rPr>
            </w:pPr>
            <w:r>
              <w:rPr>
                <w:rFonts w:ascii="宋体" w:hAnsi="宋体" w:cs="宋体"/>
              </w:rPr>
              <w:t>≥</w:t>
            </w:r>
            <w:r>
              <w:rPr>
                <w:rFonts w:hint="eastAsia" w:ascii="宋体" w:hAnsi="宋体" w:eastAsia="宋体" w:cs="宋体"/>
                <w:lang w:eastAsia="zh-CN"/>
              </w:rPr>
              <w:t>2.5%</w:t>
            </w:r>
          </w:p>
        </w:tc>
        <w:tc>
          <w:tcPr>
            <w:tcW w:w="1215" w:type="dxa"/>
            <w:tcBorders>
              <w:top w:val="single" w:color="auto" w:sz="4" w:space="0"/>
              <w:left w:val="single" w:color="auto" w:sz="4" w:space="0"/>
              <w:bottom w:val="single" w:color="auto" w:sz="4" w:space="0"/>
              <w:right w:val="single" w:color="auto" w:sz="4" w:space="0"/>
            </w:tcBorders>
            <w:vAlign w:val="center"/>
          </w:tcPr>
          <w:p w14:paraId="0B4CB944">
            <w:pPr>
              <w:spacing w:line="500" w:lineRule="exact"/>
              <w:jc w:val="center"/>
            </w:pPr>
            <w:r>
              <w:rPr>
                <w:rFonts w:hint="eastAsia" w:ascii="宋体" w:hAnsi="宋体" w:cs="宋体"/>
                <w:lang w:eastAsia="zh-CN"/>
              </w:rPr>
              <w:t>蚊、蝇、蟑螂</w:t>
            </w:r>
          </w:p>
        </w:tc>
        <w:tc>
          <w:tcPr>
            <w:tcW w:w="1605" w:type="dxa"/>
            <w:tcBorders>
              <w:top w:val="single" w:color="auto" w:sz="4" w:space="0"/>
              <w:left w:val="single" w:color="auto" w:sz="4" w:space="0"/>
              <w:bottom w:val="single" w:color="auto" w:sz="4" w:space="0"/>
              <w:right w:val="single" w:color="auto" w:sz="4" w:space="0"/>
            </w:tcBorders>
            <w:vAlign w:val="center"/>
          </w:tcPr>
          <w:p w14:paraId="0C67429D">
            <w:pPr>
              <w:spacing w:line="500" w:lineRule="exact"/>
              <w:jc w:val="center"/>
              <w:rPr>
                <w:rFonts w:eastAsia="宋体"/>
                <w:lang w:eastAsia="zh-CN"/>
              </w:rPr>
            </w:pPr>
            <w:r>
              <w:rPr>
                <w:rFonts w:hint="eastAsia" w:eastAsia="宋体"/>
                <w:lang w:eastAsia="zh-CN"/>
              </w:rPr>
              <w:t>下水道和绿化带喷洒</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063B7BD7">
            <w:pPr>
              <w:spacing w:line="500" w:lineRule="exact"/>
              <w:jc w:val="both"/>
            </w:pPr>
            <w:r>
              <w:rPr>
                <w:rFonts w:hint="eastAsia" w:ascii="仿宋" w:hAnsi="仿宋" w:eastAsia="仿宋" w:cs="仿宋"/>
                <w:lang w:eastAsia="zh-CN"/>
              </w:rPr>
              <w:t>国内合格厂家，三证齐全出具完整书面资料</w:t>
            </w:r>
          </w:p>
        </w:tc>
      </w:tr>
      <w:tr w14:paraId="36978618">
        <w:tblPrEx>
          <w:tblCellMar>
            <w:top w:w="0" w:type="dxa"/>
            <w:left w:w="108" w:type="dxa"/>
            <w:bottom w:w="0" w:type="dxa"/>
            <w:right w:w="108" w:type="dxa"/>
          </w:tblCellMar>
        </w:tblPrEx>
        <w:trPr>
          <w:trHeight w:val="2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594BA813">
            <w:pPr>
              <w:spacing w:line="500" w:lineRule="exact"/>
              <w:jc w:val="center"/>
              <w:rPr>
                <w:lang w:eastAsia="zh-CN"/>
              </w:rPr>
            </w:pPr>
            <w:r>
              <w:rPr>
                <w:rFonts w:hint="eastAsia"/>
                <w:lang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14:paraId="72D39C34">
            <w:pPr>
              <w:spacing w:line="500" w:lineRule="exact"/>
              <w:jc w:val="center"/>
              <w:rPr>
                <w:rFonts w:ascii="宋体" w:hAnsi="宋体" w:cs="宋体"/>
              </w:rPr>
            </w:pPr>
            <w:r>
              <w:rPr>
                <w:rFonts w:ascii="宋体" w:hAnsi="宋体" w:cs="宋体"/>
                <w:lang w:eastAsia="zh-CN"/>
              </w:rPr>
              <w:t>高效氯氰菊酯</w:t>
            </w:r>
          </w:p>
          <w:p w14:paraId="37C1BA77">
            <w:pPr>
              <w:spacing w:line="500" w:lineRule="exact"/>
              <w:jc w:val="center"/>
              <w:rPr>
                <w:rFonts w:ascii="宋体" w:hAnsi="宋体" w:eastAsia="宋体" w:cs="宋体"/>
                <w:lang w:eastAsia="zh-CN"/>
              </w:rPr>
            </w:pPr>
            <w:r>
              <w:rPr>
                <w:rFonts w:hint="eastAsia" w:ascii="宋体" w:hAnsi="宋体" w:eastAsia="宋体" w:cs="宋体"/>
                <w:lang w:eastAsia="zh-CN"/>
              </w:rPr>
              <w:t>悬浮剂</w:t>
            </w:r>
          </w:p>
        </w:tc>
        <w:tc>
          <w:tcPr>
            <w:tcW w:w="1425" w:type="dxa"/>
            <w:tcBorders>
              <w:top w:val="single" w:color="auto" w:sz="4" w:space="0"/>
              <w:left w:val="single" w:color="auto" w:sz="4" w:space="0"/>
              <w:bottom w:val="single" w:color="auto" w:sz="4" w:space="0"/>
              <w:right w:val="single" w:color="auto" w:sz="4" w:space="0"/>
            </w:tcBorders>
            <w:vAlign w:val="center"/>
          </w:tcPr>
          <w:p w14:paraId="6A4315A9">
            <w:pPr>
              <w:spacing w:line="500" w:lineRule="exact"/>
              <w:ind w:firstLine="240" w:firstLineChars="100"/>
              <w:jc w:val="center"/>
              <w:rPr>
                <w:rFonts w:ascii="仿宋" w:hAnsi="仿宋" w:eastAsia="仿宋" w:cs="仿宋"/>
                <w:lang w:eastAsia="zh-CN"/>
              </w:rPr>
            </w:pPr>
            <w:r>
              <w:rPr>
                <w:rFonts w:ascii="宋体" w:hAnsi="宋体" w:cs="宋体"/>
              </w:rPr>
              <w:t>≥</w:t>
            </w:r>
            <w:r>
              <w:rPr>
                <w:rFonts w:hint="eastAsia" w:ascii="宋体" w:hAnsi="宋体" w:cs="宋体"/>
                <w:lang w:eastAsia="zh-CN"/>
              </w:rPr>
              <w:t>5</w:t>
            </w:r>
            <w:r>
              <w:rPr>
                <w:rFonts w:ascii="宋体" w:hAnsi="宋体" w:cs="宋体"/>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14:paraId="0C8C0DE1">
            <w:pPr>
              <w:spacing w:line="500" w:lineRule="exact"/>
              <w:jc w:val="center"/>
              <w:rPr>
                <w:rFonts w:ascii="宋体" w:hAnsi="宋体" w:eastAsia="宋体" w:cs="宋体"/>
                <w:lang w:eastAsia="zh-CN"/>
              </w:rPr>
            </w:pPr>
            <w:r>
              <w:rPr>
                <w:rFonts w:hint="eastAsia" w:ascii="宋体" w:hAnsi="宋体" w:eastAsia="宋体" w:cs="宋体"/>
                <w:lang w:eastAsia="zh-CN"/>
              </w:rPr>
              <w:t>蚊、蝇、蟑螂</w:t>
            </w:r>
          </w:p>
        </w:tc>
        <w:tc>
          <w:tcPr>
            <w:tcW w:w="1605" w:type="dxa"/>
            <w:tcBorders>
              <w:top w:val="single" w:color="auto" w:sz="4" w:space="0"/>
              <w:left w:val="single" w:color="auto" w:sz="4" w:space="0"/>
              <w:bottom w:val="single" w:color="auto" w:sz="4" w:space="0"/>
              <w:right w:val="single" w:color="auto" w:sz="4" w:space="0"/>
            </w:tcBorders>
            <w:vAlign w:val="center"/>
          </w:tcPr>
          <w:p w14:paraId="1185FF8B">
            <w:pPr>
              <w:spacing w:line="500" w:lineRule="exact"/>
              <w:jc w:val="center"/>
              <w:rPr>
                <w:rFonts w:ascii="宋体" w:hAnsi="宋体" w:eastAsia="宋体" w:cs="宋体"/>
                <w:lang w:eastAsia="zh-CN"/>
              </w:rPr>
            </w:pPr>
            <w:r>
              <w:rPr>
                <w:rFonts w:hint="eastAsia" w:ascii="宋体" w:hAnsi="宋体" w:cs="宋体"/>
                <w:lang w:eastAsia="zh-CN"/>
              </w:rPr>
              <w:t>滞留喷洒</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14:paraId="4E3A4CE8">
            <w:pPr>
              <w:spacing w:line="500" w:lineRule="exact"/>
              <w:jc w:val="both"/>
              <w:rPr>
                <w:rFonts w:ascii="仿宋" w:hAnsi="仿宋" w:eastAsia="仿宋" w:cs="仿宋"/>
                <w:lang w:eastAsia="zh-CN"/>
              </w:rPr>
            </w:pPr>
            <w:r>
              <w:rPr>
                <w:rFonts w:hint="eastAsia" w:ascii="仿宋" w:hAnsi="仿宋" w:eastAsia="仿宋" w:cs="仿宋"/>
                <w:lang w:eastAsia="zh-CN"/>
              </w:rPr>
              <w:t>国内合格厂家，三证齐全出具完整书面资料</w:t>
            </w:r>
          </w:p>
        </w:tc>
      </w:tr>
    </w:tbl>
    <w:p w14:paraId="636BEC29">
      <w:pPr>
        <w:wordWrap w:val="0"/>
        <w:spacing w:line="500" w:lineRule="exact"/>
        <w:ind w:firstLine="647" w:firstLineChars="200"/>
        <w:jc w:val="both"/>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注：供应商所投药品需满足以上有效成分、含量及剂型，响应文件中须提供农业部颁发的农药登记证、农药生产许可证、企业标准信息公共服务平台备案的企业标准复印件并加盖公章佐证，保证进货渠道正规，无过期产品，否则做无效投标处理。</w:t>
      </w:r>
    </w:p>
    <w:p w14:paraId="2DABB5D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用化学与物理结合运用适当的设备测定相应的害虫习性，使用相应的器械杀灭虫害并以此进行害虫控制和防制。</w:t>
      </w:r>
    </w:p>
    <w:p w14:paraId="3931D48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病媒生物防制所用药品及投放方式应符合国家和地方有关法律、法规和政策的规定，药物生产证书齐全且不会影响安全，保证所用的药品具有安全资料或国家农业农村部颁发的许可证并符合相关标准。</w:t>
      </w:r>
    </w:p>
    <w:p w14:paraId="55630AB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14、防制频率：（根据采购方要求进行调整）</w:t>
      </w:r>
    </w:p>
    <w:p w14:paraId="38530C87">
      <w:pPr>
        <w:pStyle w:val="13"/>
        <w:spacing w:line="560" w:lineRule="exact"/>
        <w:ind w:firstLine="640"/>
        <w:jc w:val="left"/>
        <w:rPr>
          <w:rFonts w:ascii="仿宋" w:hAnsi="仿宋" w:eastAsia="仿宋" w:cs="仿宋"/>
          <w:bCs/>
          <w:sz w:val="32"/>
          <w:szCs w:val="32"/>
        </w:rPr>
      </w:pPr>
      <w:r>
        <w:rPr>
          <w:rFonts w:hint="eastAsia" w:ascii="仿宋" w:hAnsi="仿宋" w:eastAsia="仿宋" w:cs="仿宋"/>
          <w:bCs/>
          <w:sz w:val="32"/>
          <w:szCs w:val="32"/>
        </w:rPr>
        <w:t>每年开展大面积集中消杀不少于4次，全面完成鼠、蚊、蝇、蟑四害消杀作业；同时配合采购方因重大活动或突发疫情需指定开展的专项大面积集中消杀，相关工作不额外收取费用，每次集中消杀企业投入工作人员不少于5人。消杀作业前，每年开展蚊蝇孳生地调查与监测工作不少于4次，同步建立吉安县城区蚊蝇孳生地管理台账。</w:t>
      </w:r>
    </w:p>
    <w:p w14:paraId="1E4ED56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（四）工作责任及安全措施</w:t>
      </w:r>
    </w:p>
    <w:p w14:paraId="3040561A">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1、应坚持科学及合理用药，确保区域内的全面积的老鼠、蚊子、蟑螂、苍蝇、的密度有明显降低。</w:t>
      </w:r>
      <w:r>
        <w:rPr>
          <w:rFonts w:hint="eastAsia" w:ascii="仿宋" w:hAnsi="仿宋" w:eastAsia="仿宋" w:cs="仿宋"/>
          <w:spacing w:val="1"/>
          <w:sz w:val="32"/>
          <w:szCs w:val="32"/>
          <w:lang w:eastAsia="zh-CN"/>
        </w:rPr>
        <w:tab/>
      </w:r>
      <w:r>
        <w:rPr>
          <w:rFonts w:hint="eastAsia" w:ascii="仿宋" w:hAnsi="仿宋" w:eastAsia="仿宋" w:cs="仿宋"/>
          <w:spacing w:val="1"/>
          <w:sz w:val="32"/>
          <w:szCs w:val="32"/>
          <w:lang w:eastAsia="zh-CN"/>
        </w:rPr>
        <w:tab/>
      </w:r>
    </w:p>
    <w:p w14:paraId="17BA690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平时应做好各类环境的清洁卫生，疏通沟渠，清除积水，合理的处理好垃圾、杂物，做好相关部位的防鼠、防蚊、防蝇设施，消除有害生物的孳生隐蔽场所，减少老鼠、蚊子、苍蝇、蟑螂等有害生物的孳生繁殖，从而巩固灭杀的效果。</w:t>
      </w:r>
    </w:p>
    <w:p w14:paraId="5E62FAF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双方应共同做好灭杀行动的安全措施，相关人员应密切配合施药技术人员的工作，落实安全措施，消杀公司应选用高效低毒，对环境无污染，对人畜比较安全的广谱卫生用药，以确保区域内的人身安全。施工操作期间成交服务商应加强安全意识，应有专人看护防止意外发生，不得造成危害人生安全或中毒现象。</w:t>
      </w:r>
    </w:p>
    <w:p w14:paraId="51D4D6B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（五）其他要求</w:t>
      </w:r>
    </w:p>
    <w:p w14:paraId="0AD43CA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1、成交服务商落实区域的公共外环境病媒生物防制工作，确保按计划在各区域进行全方位的灭鼠、灭蚊、灭蝇、灭蟑螂作业，确保达到国家标准和采购人要求。</w:t>
      </w:r>
    </w:p>
    <w:p w14:paraId="1697ACA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坚持“预防为主，综合防制”的消杀方针，确保使用国家规定或爱卫会认定和推荐的药物。对病媒生物防制药物建立进出登记台账。病媒生物防制作业时要注意安全用药，废弃药物及死鼠等要妥善处理，防止污染。</w:t>
      </w:r>
    </w:p>
    <w:p w14:paraId="550C816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3、病媒生物防制工作人员需经培训后，按照病媒生物防制工作的法规标准，规范操作。作业时必须统一标准，做到安全作业、文明作业。</w:t>
      </w:r>
    </w:p>
    <w:p w14:paraId="35F328C6">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4、做好每次病媒生物防制工作的记录，登记时间、处理位置、用药量等数据，并拍摄现场照片。</w:t>
      </w:r>
    </w:p>
    <w:p w14:paraId="28BFC98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5、在调研、暗访和明查期间，根据通知对重点病媒生物防制和突击制理工作。</w:t>
      </w:r>
    </w:p>
    <w:p w14:paraId="50BB746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6、合同期间应配合采购人组织的大规模环境整制行动，在行动前或突击、应急检查前配合做好病媒生物防制工作。</w:t>
      </w:r>
    </w:p>
    <w:p w14:paraId="23BF48E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7、完成采购人要求的其他工作。</w:t>
      </w:r>
    </w:p>
    <w:p w14:paraId="295FD69F">
      <w:pPr>
        <w:wordWrap w:val="0"/>
        <w:spacing w:line="500" w:lineRule="exact"/>
        <w:ind w:firstLine="644" w:firstLineChars="200"/>
        <w:jc w:val="both"/>
        <w:rPr>
          <w:rFonts w:ascii="黑体" w:hAnsi="黑体" w:eastAsia="黑体" w:cs="黑体"/>
          <w:spacing w:val="1"/>
          <w:sz w:val="32"/>
          <w:szCs w:val="32"/>
          <w:lang w:eastAsia="zh-CN"/>
        </w:rPr>
      </w:pPr>
      <w:r>
        <w:rPr>
          <w:rFonts w:hint="eastAsia" w:ascii="黑体" w:hAnsi="黑体" w:eastAsia="黑体" w:cs="黑体"/>
          <w:spacing w:val="1"/>
          <w:sz w:val="32"/>
          <w:szCs w:val="32"/>
          <w:lang w:eastAsia="zh-CN"/>
        </w:rPr>
        <w:t>三、商务条款</w:t>
      </w:r>
    </w:p>
    <w:p w14:paraId="0FD0F30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1.服务期限：一年。</w:t>
      </w:r>
    </w:p>
    <w:p w14:paraId="0B91CFB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2.服务地点：采购人指定地点。</w:t>
      </w:r>
    </w:p>
    <w:p w14:paraId="5C2BCFFA">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3.响应时间：为了售后服务方便及时，并在服务期间及服务期后提供免费的咨询服务，接到业主通知后服务商须在2小时以内响应并到达项目所在地。</w:t>
      </w:r>
    </w:p>
    <w:p w14:paraId="6013A07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4.付款方式：合同到期病媒生物防制服务工作全部完成，经采购人验收合格之后一次性付清，不计利息。</w:t>
      </w:r>
    </w:p>
    <w:p w14:paraId="5FFD59B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5.若有成交服务商不履行签订合同或不能完成其合同履行义务的，在项目实施过程中，如发现有挂靠、转包、违法分包并经查实，采购人项目实施单位将依法处理，有权终止合同并拉入政府采购黑名单。</w:t>
      </w:r>
    </w:p>
    <w:p w14:paraId="5A0EF29B">
      <w:pPr>
        <w:pStyle w:val="5"/>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6.保证金缴纳：在正式合同签署之前，应缴纳本项目履约保证金2万元（不计利息），保证金以银行转账方式转入指定的账户中，</w:t>
      </w:r>
      <w:r>
        <w:rPr>
          <w:rFonts w:hint="eastAsia" w:ascii="仿宋" w:hAnsi="仿宋" w:eastAsia="仿宋" w:cs="仿宋"/>
          <w:sz w:val="32"/>
          <w:szCs w:val="32"/>
          <w:lang w:eastAsia="zh-CN"/>
        </w:rPr>
        <w:t>户名：吉安县卫生健康委员会，开户行：九江银行股份有限公司吉安支行，账号：757129100000015940，</w:t>
      </w:r>
      <w:r>
        <w:rPr>
          <w:rFonts w:hint="eastAsia" w:ascii="仿宋" w:hAnsi="仿宋" w:eastAsia="仿宋" w:cs="仿宋"/>
          <w:spacing w:val="1"/>
          <w:sz w:val="32"/>
          <w:szCs w:val="32"/>
          <w:lang w:eastAsia="zh-CN"/>
        </w:rPr>
        <w:t>须注明为本项目履约保证金。</w:t>
      </w:r>
    </w:p>
    <w:p w14:paraId="5298AE27">
      <w:pPr>
        <w:spacing w:line="500" w:lineRule="exact"/>
        <w:ind w:firstLine="775" w:firstLineChars="250"/>
        <w:jc w:val="both"/>
        <w:rPr>
          <w:rFonts w:ascii="黑体" w:hAnsi="黑体" w:eastAsia="黑体" w:cs="黑体"/>
          <w:sz w:val="32"/>
          <w:szCs w:val="32"/>
          <w:lang w:eastAsia="zh-CN"/>
        </w:rPr>
      </w:pPr>
      <w:r>
        <w:rPr>
          <w:rFonts w:hint="eastAsia" w:ascii="黑体" w:hAnsi="黑体" w:eastAsia="黑体" w:cs="黑体"/>
          <w:spacing w:val="-5"/>
          <w:sz w:val="32"/>
          <w:szCs w:val="32"/>
          <w:lang w:eastAsia="zh-CN"/>
        </w:rPr>
        <w:t>四、服务商的资格要求</w:t>
      </w:r>
    </w:p>
    <w:p w14:paraId="171C0D29">
      <w:pPr>
        <w:pStyle w:val="5"/>
        <w:spacing w:line="500" w:lineRule="exact"/>
        <w:ind w:firstLine="616" w:firstLineChars="200"/>
        <w:jc w:val="both"/>
        <w:rPr>
          <w:rFonts w:ascii="仿宋" w:hAnsi="仿宋" w:eastAsia="仿宋" w:cs="仿宋"/>
          <w:sz w:val="32"/>
          <w:szCs w:val="32"/>
          <w:lang w:eastAsia="zh-CN"/>
        </w:rPr>
      </w:pPr>
      <w:r>
        <w:rPr>
          <w:rFonts w:hint="eastAsia" w:ascii="仿宋" w:hAnsi="仿宋" w:eastAsia="仿宋" w:cs="仿宋"/>
          <w:spacing w:val="-6"/>
          <w:sz w:val="32"/>
          <w:szCs w:val="32"/>
          <w:lang w:eastAsia="zh-CN"/>
        </w:rPr>
        <w:t>1.服务商根据单位性质提供相应</w:t>
      </w:r>
      <w:r>
        <w:rPr>
          <w:rFonts w:hint="eastAsia" w:ascii="仿宋" w:hAnsi="仿宋" w:eastAsia="仿宋" w:cs="仿宋"/>
          <w:spacing w:val="-7"/>
          <w:sz w:val="32"/>
          <w:szCs w:val="32"/>
          <w:lang w:eastAsia="zh-CN"/>
        </w:rPr>
        <w:t>的证明：</w:t>
      </w:r>
      <w:r>
        <w:rPr>
          <w:rFonts w:hint="eastAsia" w:ascii="仿宋" w:hAnsi="仿宋" w:eastAsia="仿宋" w:cs="仿宋"/>
          <w:sz w:val="32"/>
          <w:szCs w:val="32"/>
          <w:lang w:eastAsia="zh-CN"/>
        </w:rPr>
        <w:t>如营业执照、民办非企业证、统一社会信用代码证书或自然人的身份证等，提</w:t>
      </w:r>
      <w:r>
        <w:rPr>
          <w:rFonts w:hint="eastAsia" w:ascii="仿宋" w:hAnsi="仿宋" w:eastAsia="仿宋" w:cs="仿宋"/>
          <w:spacing w:val="-2"/>
          <w:sz w:val="32"/>
          <w:szCs w:val="32"/>
          <w:lang w:eastAsia="zh-CN"/>
        </w:rPr>
        <w:t>供原件或复印件加盖单位公章</w:t>
      </w:r>
      <w:r>
        <w:rPr>
          <w:rFonts w:hint="eastAsia" w:ascii="仿宋" w:hAnsi="仿宋" w:eastAsia="仿宋" w:cs="仿宋"/>
          <w:sz w:val="32"/>
          <w:szCs w:val="32"/>
          <w:lang w:eastAsia="zh-CN"/>
        </w:rPr>
        <w:t>；</w:t>
      </w:r>
    </w:p>
    <w:p w14:paraId="014D9C6E">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2.具有履行合同所必须的设备、人员配备和专业技术服务能力（提供承诺函及设备、人员资质、专业技术服务能力相关佐证材料并加盖公章</w:t>
      </w:r>
      <w:r>
        <w:rPr>
          <w:rFonts w:hint="eastAsia" w:ascii="仿宋" w:hAnsi="仿宋" w:eastAsia="仿宋" w:cs="仿宋"/>
          <w:spacing w:val="-46"/>
          <w:sz w:val="32"/>
          <w:szCs w:val="32"/>
          <w:lang w:eastAsia="zh-CN"/>
        </w:rPr>
        <w:t>）；</w:t>
      </w:r>
    </w:p>
    <w:p w14:paraId="3343BF43">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3.公司所有人员具有依法缴纳税收和社会保险费的良好记录（提供承诺函及依法缴纳税收及社会保险费缴纳证明复印件加盖公章</w:t>
      </w:r>
      <w:r>
        <w:rPr>
          <w:rFonts w:hint="eastAsia" w:ascii="仿宋" w:hAnsi="仿宋" w:eastAsia="仿宋" w:cs="仿宋"/>
          <w:spacing w:val="-46"/>
          <w:sz w:val="32"/>
          <w:szCs w:val="32"/>
          <w:lang w:eastAsia="zh-CN"/>
        </w:rPr>
        <w:t>）；</w:t>
      </w:r>
    </w:p>
    <w:p w14:paraId="4FABCE09">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4.具有良好的商业信誉和健全的财务会计制度（提供承诺函及相关佐证材料并加盖公章</w:t>
      </w:r>
      <w:r>
        <w:rPr>
          <w:rFonts w:hint="eastAsia" w:ascii="仿宋" w:hAnsi="仿宋" w:eastAsia="仿宋" w:cs="仿宋"/>
          <w:spacing w:val="-46"/>
          <w:sz w:val="32"/>
          <w:szCs w:val="32"/>
          <w:lang w:eastAsia="zh-CN"/>
        </w:rPr>
        <w:t>）；</w:t>
      </w:r>
    </w:p>
    <w:p w14:paraId="1EAE7A2D">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5.参加本次采购活动前三年内,在经营活动中没有违法违规记录（提供承诺函相关佐证材料并加盖公章）；</w:t>
      </w:r>
    </w:p>
    <w:p w14:paraId="5DCEC94F">
      <w:pPr>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服务商被“信用中国”网站列入失信被执行人和重大税收违法案件当事人名单的、被“中国政府采购网”网站列入政府采购严重违法失信行为记录名单(处罚期限尚未届满的)，不得参与本项目的采购活动。必须提供至开标截止前服务商信用证明或查询截图。</w:t>
      </w:r>
    </w:p>
    <w:p w14:paraId="7B9A9039">
      <w:pPr>
        <w:pStyle w:val="2"/>
        <w:spacing w:before="0" w:after="0" w:line="240" w:lineRule="auto"/>
        <w:ind w:firstLine="640" w:firstLineChars="200"/>
        <w:jc w:val="both"/>
        <w:rPr>
          <w:b w:val="0"/>
          <w:bCs w:val="0"/>
          <w:lang w:eastAsia="zh-CN"/>
        </w:rPr>
      </w:pPr>
      <w:r>
        <w:rPr>
          <w:rFonts w:hint="eastAsia" w:ascii="仿宋" w:hAnsi="仿宋" w:eastAsia="仿宋" w:cs="仿宋"/>
          <w:b w:val="0"/>
          <w:bCs w:val="0"/>
          <w:lang w:eastAsia="zh-CN"/>
        </w:rPr>
        <w:t>以上1-6项资格要求作为承诺函的附件资料，在现场勘查时一并提交。</w:t>
      </w:r>
    </w:p>
    <w:p w14:paraId="147CD698">
      <w:pPr>
        <w:spacing w:line="500" w:lineRule="exact"/>
        <w:ind w:firstLine="624" w:firstLineChars="200"/>
        <w:jc w:val="both"/>
        <w:rPr>
          <w:rFonts w:ascii="黑体" w:hAnsi="黑体" w:eastAsia="黑体" w:cs="黑体"/>
          <w:sz w:val="32"/>
          <w:szCs w:val="32"/>
          <w:lang w:eastAsia="zh-CN"/>
        </w:rPr>
      </w:pPr>
      <w:r>
        <w:rPr>
          <w:rFonts w:hint="eastAsia" w:ascii="黑体" w:hAnsi="黑体" w:eastAsia="黑体" w:cs="黑体"/>
          <w:spacing w:val="-4"/>
          <w:sz w:val="32"/>
          <w:szCs w:val="32"/>
          <w:lang w:eastAsia="zh-CN"/>
        </w:rPr>
        <w:t>五、服务商响应附件要求</w:t>
      </w:r>
    </w:p>
    <w:p w14:paraId="72E4D32E">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1.承诺函</w:t>
      </w:r>
    </w:p>
    <w:p w14:paraId="3B5458EC">
      <w:pPr>
        <w:pStyle w:val="5"/>
        <w:spacing w:line="500" w:lineRule="exact"/>
        <w:ind w:firstLine="640" w:firstLineChars="200"/>
        <w:jc w:val="both"/>
        <w:rPr>
          <w:rFonts w:ascii="仿宋" w:hAnsi="仿宋" w:eastAsia="仿宋" w:cs="仿宋"/>
          <w:spacing w:val="-1"/>
          <w:sz w:val="32"/>
          <w:szCs w:val="32"/>
          <w:lang w:eastAsia="zh-CN"/>
        </w:rPr>
      </w:pPr>
      <w:r>
        <w:rPr>
          <w:rFonts w:hint="eastAsia" w:ascii="仿宋" w:hAnsi="仿宋" w:eastAsia="仿宋" w:cs="仿宋"/>
          <w:sz w:val="32"/>
          <w:szCs w:val="32"/>
          <w:lang w:eastAsia="zh-CN"/>
        </w:rPr>
        <w:t>2.营业执照、民办非企业证或组织机构代码证复印件（经营范围需符合项目需要或单位</w:t>
      </w:r>
      <w:r>
        <w:rPr>
          <w:rFonts w:hint="eastAsia" w:ascii="仿宋" w:hAnsi="仿宋" w:eastAsia="仿宋" w:cs="仿宋"/>
          <w:spacing w:val="-1"/>
          <w:sz w:val="32"/>
          <w:szCs w:val="32"/>
          <w:lang w:eastAsia="zh-CN"/>
        </w:rPr>
        <w:t>职责符合项目需求，加盖服务商公章）；</w:t>
      </w:r>
    </w:p>
    <w:p w14:paraId="7D3002F8">
      <w:pPr>
        <w:pStyle w:val="5"/>
        <w:spacing w:line="500" w:lineRule="exact"/>
        <w:ind w:firstLine="636"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3.所投药品农业部颁发的农药登记证、农药生产许可证、企业标准信息公共服务平台备案的企业标准</w:t>
      </w:r>
      <w:r>
        <w:rPr>
          <w:rFonts w:hint="eastAsia" w:ascii="仿宋" w:hAnsi="仿宋" w:eastAsia="仿宋" w:cs="仿宋"/>
          <w:spacing w:val="-2"/>
          <w:sz w:val="32"/>
          <w:szCs w:val="32"/>
          <w:lang w:eastAsia="zh-CN"/>
        </w:rPr>
        <w:t>；</w:t>
      </w:r>
    </w:p>
    <w:p w14:paraId="55E8EC48">
      <w:pPr>
        <w:pStyle w:val="5"/>
        <w:spacing w:line="500" w:lineRule="exact"/>
        <w:ind w:firstLine="640" w:firstLineChars="200"/>
        <w:jc w:val="both"/>
        <w:rPr>
          <w:rFonts w:ascii="仿宋" w:hAnsi="仿宋" w:eastAsia="仿宋" w:cs="仿宋"/>
          <w:spacing w:val="-2"/>
          <w:sz w:val="32"/>
          <w:szCs w:val="32"/>
          <w:lang w:eastAsia="zh-CN"/>
        </w:rPr>
      </w:pPr>
      <w:r>
        <w:rPr>
          <w:rFonts w:hint="eastAsia" w:ascii="仿宋" w:hAnsi="仿宋" w:eastAsia="仿宋" w:cs="仿宋"/>
          <w:sz w:val="32"/>
          <w:szCs w:val="32"/>
          <w:lang w:eastAsia="zh-CN"/>
        </w:rPr>
        <w:t>4.法定代表人身份证或授权委托书（复印件加盖服务商</w:t>
      </w:r>
      <w:r>
        <w:rPr>
          <w:rFonts w:hint="eastAsia" w:ascii="仿宋" w:hAnsi="仿宋" w:eastAsia="仿宋" w:cs="仿宋"/>
          <w:spacing w:val="-2"/>
          <w:sz w:val="32"/>
          <w:szCs w:val="32"/>
          <w:lang w:eastAsia="zh-CN"/>
        </w:rPr>
        <w:t>公章）；</w:t>
      </w:r>
    </w:p>
    <w:p w14:paraId="632B8290">
      <w:pPr>
        <w:pStyle w:val="5"/>
        <w:spacing w:line="500" w:lineRule="exact"/>
        <w:ind w:firstLine="632" w:firstLineChars="200"/>
        <w:jc w:val="both"/>
        <w:rPr>
          <w:rFonts w:ascii="仿宋" w:hAnsi="仿宋" w:eastAsia="仿宋" w:cs="仿宋"/>
          <w:spacing w:val="-2"/>
          <w:sz w:val="32"/>
          <w:szCs w:val="32"/>
          <w:lang w:eastAsia="zh-CN"/>
        </w:rPr>
      </w:pPr>
      <w:r>
        <w:rPr>
          <w:rFonts w:hint="eastAsia" w:ascii="仿宋" w:hAnsi="仿宋" w:eastAsia="仿宋" w:cs="仿宋"/>
          <w:spacing w:val="-2"/>
          <w:sz w:val="32"/>
          <w:szCs w:val="32"/>
          <w:lang w:eastAsia="zh-CN"/>
        </w:rPr>
        <w:t>5.提供公共外环境病媒生物防制A级资质证书，且需提供近三年做过县级及以上同类项目的业绩合同(复印件并加盖服务商公章)。</w:t>
      </w:r>
    </w:p>
    <w:p w14:paraId="0FD033B9">
      <w:pPr>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6.现场勘查证明。</w:t>
      </w:r>
    </w:p>
    <w:p w14:paraId="0E1FE507">
      <w:pPr>
        <w:spacing w:line="500" w:lineRule="exact"/>
        <w:ind w:firstLine="623" w:firstLineChars="200"/>
        <w:jc w:val="both"/>
        <w:rPr>
          <w:rFonts w:ascii="仿宋" w:hAnsi="仿宋" w:eastAsia="仿宋" w:cs="仿宋"/>
          <w:sz w:val="32"/>
          <w:szCs w:val="32"/>
          <w:lang w:eastAsia="zh-CN"/>
        </w:rPr>
      </w:pPr>
      <w:r>
        <w:rPr>
          <w:rFonts w:hint="eastAsia" w:ascii="仿宋" w:hAnsi="仿宋" w:eastAsia="仿宋" w:cs="仿宋"/>
          <w:b/>
          <w:bCs/>
          <w:spacing w:val="-5"/>
          <w:sz w:val="32"/>
          <w:szCs w:val="32"/>
          <w:lang w:eastAsia="zh-CN"/>
        </w:rPr>
        <w:t>以上</w:t>
      </w:r>
      <w:r>
        <w:rPr>
          <w:rFonts w:hint="eastAsia" w:ascii="仿宋" w:hAnsi="仿宋" w:eastAsia="仿宋" w:cs="仿宋"/>
          <w:spacing w:val="-45"/>
          <w:sz w:val="32"/>
          <w:szCs w:val="32"/>
          <w:lang w:eastAsia="zh-CN"/>
        </w:rPr>
        <w:t xml:space="preserve"> </w:t>
      </w:r>
      <w:r>
        <w:rPr>
          <w:rFonts w:hint="eastAsia" w:ascii="仿宋" w:hAnsi="仿宋" w:eastAsia="仿宋" w:cs="仿宋"/>
          <w:b/>
          <w:bCs/>
          <w:spacing w:val="-5"/>
          <w:sz w:val="32"/>
          <w:szCs w:val="32"/>
          <w:lang w:eastAsia="zh-CN"/>
        </w:rPr>
        <w:t>1</w:t>
      </w:r>
      <w:r>
        <w:rPr>
          <w:rFonts w:hint="eastAsia" w:ascii="仿宋" w:hAnsi="仿宋" w:eastAsia="仿宋" w:cs="仿宋"/>
          <w:spacing w:val="-50"/>
          <w:sz w:val="32"/>
          <w:szCs w:val="32"/>
          <w:lang w:eastAsia="zh-CN"/>
        </w:rPr>
        <w:t xml:space="preserve"> </w:t>
      </w:r>
      <w:r>
        <w:rPr>
          <w:rFonts w:hint="eastAsia" w:ascii="仿宋" w:hAnsi="仿宋" w:eastAsia="仿宋" w:cs="仿宋"/>
          <w:b/>
          <w:bCs/>
          <w:spacing w:val="-5"/>
          <w:sz w:val="32"/>
          <w:szCs w:val="32"/>
          <w:lang w:eastAsia="zh-CN"/>
        </w:rPr>
        <w:t>至</w:t>
      </w:r>
      <w:r>
        <w:rPr>
          <w:rFonts w:hint="eastAsia" w:ascii="仿宋" w:hAnsi="仿宋" w:eastAsia="仿宋" w:cs="仿宋"/>
          <w:spacing w:val="-45"/>
          <w:sz w:val="32"/>
          <w:szCs w:val="32"/>
          <w:lang w:eastAsia="zh-CN"/>
        </w:rPr>
        <w:t xml:space="preserve"> </w:t>
      </w:r>
      <w:r>
        <w:rPr>
          <w:rFonts w:hint="eastAsia" w:ascii="仿宋" w:hAnsi="仿宋" w:eastAsia="仿宋" w:cs="仿宋"/>
          <w:b/>
          <w:bCs/>
          <w:spacing w:val="-5"/>
          <w:sz w:val="32"/>
          <w:szCs w:val="32"/>
          <w:lang w:eastAsia="zh-CN"/>
        </w:rPr>
        <w:t>6项资料按要求盖章后上传扫描件作为</w:t>
      </w:r>
      <w:r>
        <w:rPr>
          <w:rFonts w:hint="eastAsia" w:ascii="仿宋" w:hAnsi="仿宋" w:eastAsia="仿宋" w:cs="仿宋"/>
          <w:b/>
          <w:bCs/>
          <w:spacing w:val="-6"/>
          <w:sz w:val="32"/>
          <w:szCs w:val="32"/>
          <w:lang w:eastAsia="zh-CN"/>
        </w:rPr>
        <w:t>服务商响应附件，未提供或提供不符合要求作无效投标处理。</w:t>
      </w:r>
    </w:p>
    <w:p w14:paraId="1C11671F">
      <w:pPr>
        <w:spacing w:line="500" w:lineRule="exact"/>
        <w:ind w:firstLine="620" w:firstLineChars="200"/>
        <w:jc w:val="both"/>
        <w:rPr>
          <w:rFonts w:ascii="黑体" w:hAnsi="黑体" w:eastAsia="黑体" w:cs="黑体"/>
          <w:sz w:val="32"/>
          <w:szCs w:val="32"/>
          <w:lang w:eastAsia="zh-CN"/>
        </w:rPr>
      </w:pPr>
      <w:r>
        <w:rPr>
          <w:rFonts w:hint="eastAsia" w:ascii="黑体" w:hAnsi="黑体" w:eastAsia="黑体" w:cs="黑体"/>
          <w:spacing w:val="-5"/>
          <w:sz w:val="32"/>
          <w:szCs w:val="32"/>
          <w:lang w:eastAsia="zh-CN"/>
        </w:rPr>
        <w:t>六、其他补充事宜</w:t>
      </w:r>
    </w:p>
    <w:p w14:paraId="4B30BAD0">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1、本项目不接受联合体竞标，不能转包分包。</w:t>
      </w:r>
    </w:p>
    <w:p w14:paraId="71445505">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2、如服务商使用虚假材料参与竞标或中标后无故拒绝履行竞价承诺，将</w:t>
      </w:r>
      <w:r>
        <w:rPr>
          <w:rFonts w:hint="eastAsia" w:ascii="仿宋" w:hAnsi="仿宋" w:eastAsia="仿宋" w:cs="仿宋"/>
          <w:spacing w:val="-1"/>
          <w:sz w:val="32"/>
          <w:szCs w:val="32"/>
          <w:lang w:eastAsia="zh-CN"/>
        </w:rPr>
        <w:t>被禁止参与此后我单位的一切采购活动。</w:t>
      </w:r>
    </w:p>
    <w:p w14:paraId="77DA0F7A">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3、本采购文件发出后，采购人因无法预见的情况改变、取消采购计划，采购人有权自行进行调整，且不承担因以上变更导致的一切经济或法律责任。</w:t>
      </w:r>
    </w:p>
    <w:p w14:paraId="2274908D">
      <w:pPr>
        <w:pStyle w:val="5"/>
        <w:numPr>
          <w:ilvl w:val="0"/>
          <w:numId w:val="2"/>
        </w:numPr>
        <w:kinsoku w:val="0"/>
        <w:wordWrap w:val="0"/>
        <w:autoSpaceDE w:val="0"/>
        <w:autoSpaceDN w:val="0"/>
        <w:adjustRightInd w:val="0"/>
        <w:snapToGrid w:val="0"/>
        <w:spacing w:line="500" w:lineRule="exact"/>
        <w:ind w:firstLine="640" w:firstLineChars="200"/>
        <w:jc w:val="both"/>
        <w:textAlignment w:val="baseline"/>
        <w:rPr>
          <w:rFonts w:ascii="仿宋" w:hAnsi="仿宋" w:eastAsia="仿宋" w:cs="仿宋"/>
          <w:color w:val="FF0000"/>
          <w:sz w:val="32"/>
          <w:szCs w:val="32"/>
          <w:lang w:eastAsia="zh-CN"/>
        </w:rPr>
      </w:pPr>
      <w:r>
        <w:rPr>
          <w:rFonts w:hint="eastAsia" w:ascii="仿宋" w:hAnsi="仿宋" w:eastAsia="仿宋" w:cs="仿宋"/>
          <w:sz w:val="32"/>
          <w:szCs w:val="32"/>
          <w:lang w:eastAsia="zh-CN"/>
        </w:rPr>
        <w:t>全部响应要求，上传扫描件且加盖公章作为服务商响应附件，必须上传，未提供或提供不符合要求作无效投标处理。</w:t>
      </w:r>
    </w:p>
    <w:p w14:paraId="4A3F9732">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5、参与报价的服务商须在规定的时间内到达勘查现场，地址：吉安县卫生健康委员会二楼会议室，时间：2026年4月2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上</w:t>
      </w:r>
      <w:r>
        <w:rPr>
          <w:rFonts w:hint="eastAsia" w:ascii="仿宋" w:hAnsi="仿宋" w:eastAsia="仿宋" w:cs="仿宋"/>
          <w:sz w:val="32"/>
          <w:szCs w:val="32"/>
          <w:lang w:eastAsia="zh-CN"/>
        </w:rPr>
        <w:t>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：00-1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：00（不得</w:t>
      </w:r>
      <w:bookmarkStart w:id="0" w:name="_GoBack"/>
      <w:bookmarkEnd w:id="0"/>
      <w:r>
        <w:rPr>
          <w:rFonts w:hint="eastAsia" w:ascii="仿宋" w:hAnsi="仿宋" w:eastAsia="仿宋" w:cs="仿宋"/>
          <w:sz w:val="32"/>
          <w:szCs w:val="32"/>
          <w:lang w:eastAsia="zh-CN"/>
        </w:rPr>
        <w:t>逾期），联系人：周女士，联系电话：13970630075，参加现场勘查人员必须为服务商公司法人或法定代表授权人，且服务商法定代表人需提供法人身份证，法人授权书（含被授权人身份证）、公司为其购买的社保证明材料并加盖公章和法人章，勘查时须向采购人提供公司营业执照、所有资质原件的扫描件进行审查，服务商在勘查前需向采购人了解清楚项目具体要求，并做好详细的勘查资料。</w:t>
      </w:r>
    </w:p>
    <w:p w14:paraId="075D64BC">
      <w:pPr>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6、服务商需根据勘查资料并充分考虑实际情况，提供详细且符合采购人需求的技术服务方案，并交与采购人审核确认，否则报价无效。</w:t>
      </w:r>
    </w:p>
    <w:p w14:paraId="43606618">
      <w:pPr>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7、如服务商使用虚假材料参与竞标或中标后无故拒绝履行竞价承诺，将被扣除本项目的投标保证金并禁止参与此后我单位的一切采购活动。</w:t>
      </w:r>
    </w:p>
    <w:p w14:paraId="347204FD">
      <w:pPr>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 xml:space="preserve">8、服务商应将响应文件（上述1-6项资料）密封至同一个密封袋内。封装袋应写明项目名称、项目编号、服务商名称并于封口处加盖骑缝章。 响应文件未按上述规定密封或加写标记，响应文件将被拒收。 </w:t>
      </w:r>
    </w:p>
    <w:p w14:paraId="0C4094F6">
      <w:pPr>
        <w:wordWrap w:val="0"/>
        <w:spacing w:line="500" w:lineRule="exact"/>
        <w:ind w:firstLine="640" w:firstLineChars="200"/>
        <w:jc w:val="both"/>
        <w:rPr>
          <w:lang w:eastAsia="zh-CN"/>
        </w:rPr>
      </w:pPr>
      <w:r>
        <w:rPr>
          <w:rFonts w:hint="eastAsia" w:ascii="仿宋" w:hAnsi="仿宋" w:eastAsia="仿宋" w:cs="仿宋"/>
          <w:sz w:val="32"/>
          <w:szCs w:val="32"/>
          <w:lang w:eastAsia="zh-CN"/>
        </w:rPr>
        <w:t>9、本文件发出后，采购人因无法预见的情况改变取消采购计划，采购人有权自行进行调整，且不承担因以上变更导致的一切经济或法律责任。</w:t>
      </w:r>
    </w:p>
    <w:p w14:paraId="6FEA6710">
      <w:pPr>
        <w:rPr>
          <w:lang w:eastAsia="zh-CN"/>
        </w:rPr>
      </w:pPr>
    </w:p>
    <w:p w14:paraId="784007DF">
      <w:pPr>
        <w:tabs>
          <w:tab w:val="left" w:pos="5475"/>
        </w:tabs>
        <w:jc w:val="right"/>
        <w:rPr>
          <w:rFonts w:ascii="仿宋" w:hAnsi="仿宋" w:eastAsia="仿宋" w:cs="仿宋"/>
          <w:sz w:val="32"/>
          <w:szCs w:val="32"/>
          <w:lang w:eastAsia="zh-CN"/>
        </w:rPr>
      </w:pPr>
      <w:r>
        <w:rPr>
          <w:rFonts w:hint="eastAsia"/>
          <w:lang w:eastAsia="zh-CN"/>
        </w:rPr>
        <w:t xml:space="preserve"> </w:t>
      </w:r>
      <w:r>
        <w:rPr>
          <w:rFonts w:hint="eastAsia" w:ascii="仿宋" w:hAnsi="仿宋" w:eastAsia="仿宋" w:cs="仿宋"/>
          <w:sz w:val="32"/>
          <w:szCs w:val="32"/>
          <w:lang w:eastAsia="zh-CN"/>
        </w:rPr>
        <w:t xml:space="preserve">吉安县卫生健康委员会  </w:t>
      </w:r>
    </w:p>
    <w:p w14:paraId="1834BC5C">
      <w:pPr>
        <w:tabs>
          <w:tab w:val="left" w:pos="5475"/>
        </w:tabs>
        <w:ind w:firstLine="6400" w:firstLineChars="2000"/>
        <w:rPr>
          <w:rFonts w:ascii="仿宋" w:hAnsi="仿宋" w:eastAsia="仿宋" w:cs="仿宋"/>
          <w:sz w:val="36"/>
          <w:szCs w:val="36"/>
        </w:rPr>
      </w:pPr>
      <w:r>
        <w:rPr>
          <w:rFonts w:hint="eastAsia" w:ascii="仿宋" w:hAnsi="仿宋" w:eastAsia="仿宋" w:cs="仿宋"/>
          <w:sz w:val="32"/>
          <w:szCs w:val="32"/>
          <w:lang w:eastAsia="zh-CN"/>
        </w:rPr>
        <w:t>2026年4月14日</w:t>
      </w:r>
    </w:p>
    <w:p w14:paraId="6DF2A418">
      <w:pPr>
        <w:pStyle w:val="3"/>
        <w:spacing w:after="0" w:line="240" w:lineRule="auto"/>
        <w:ind w:left="0" w:firstLine="0"/>
        <w:jc w:val="center"/>
        <w:rPr>
          <w:rFonts w:ascii="仿宋" w:hAnsi="仿宋" w:eastAsia="仿宋" w:cs="仿宋"/>
          <w:b/>
          <w:bCs/>
          <w:sz w:val="36"/>
          <w:szCs w:val="36"/>
        </w:rPr>
      </w:pPr>
    </w:p>
    <w:p w14:paraId="7A865793">
      <w:pPr>
        <w:pStyle w:val="3"/>
        <w:spacing w:after="0" w:line="240" w:lineRule="auto"/>
        <w:ind w:left="0" w:firstLine="0"/>
        <w:jc w:val="center"/>
        <w:rPr>
          <w:rFonts w:ascii="仿宋" w:hAnsi="仿宋" w:eastAsia="仿宋" w:cs="仿宋"/>
          <w:b/>
          <w:bCs/>
          <w:sz w:val="36"/>
          <w:szCs w:val="36"/>
        </w:rPr>
      </w:pPr>
    </w:p>
    <w:p w14:paraId="497C5B27">
      <w:pPr>
        <w:pStyle w:val="3"/>
        <w:spacing w:after="0" w:line="240" w:lineRule="auto"/>
        <w:ind w:left="0" w:firstLine="0"/>
        <w:jc w:val="center"/>
        <w:rPr>
          <w:rFonts w:ascii="仿宋" w:hAnsi="仿宋" w:eastAsia="仿宋" w:cs="仿宋"/>
          <w:b/>
          <w:bCs/>
          <w:sz w:val="36"/>
          <w:szCs w:val="36"/>
        </w:rPr>
      </w:pPr>
    </w:p>
    <w:p w14:paraId="3A8B294A">
      <w:pPr>
        <w:pStyle w:val="3"/>
        <w:spacing w:after="0" w:line="240" w:lineRule="auto"/>
        <w:ind w:left="0" w:firstLine="0"/>
        <w:jc w:val="center"/>
        <w:rPr>
          <w:sz w:val="24"/>
          <w:szCs w:val="24"/>
        </w:rPr>
      </w:pPr>
      <w:r>
        <w:rPr>
          <w:rFonts w:ascii="仿宋" w:hAnsi="仿宋" w:eastAsia="仿宋" w:cs="仿宋"/>
          <w:b/>
          <w:bCs/>
          <w:sz w:val="36"/>
          <w:szCs w:val="36"/>
        </w:rPr>
        <w:t>承 诺 函</w:t>
      </w:r>
    </w:p>
    <w:p w14:paraId="54CBBAF3">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致：</w:t>
      </w:r>
    </w:p>
    <w:p w14:paraId="45809065">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我公司承诺参与本次投标活动中：</w:t>
      </w:r>
    </w:p>
    <w:p w14:paraId="369FBD0A">
      <w:pPr>
        <w:spacing w:after="29" w:line="375" w:lineRule="auto"/>
        <w:ind w:firstLine="280" w:firstLineChars="100"/>
        <w:rPr>
          <w:rFonts w:ascii="仿宋" w:hAnsi="仿宋" w:eastAsia="仿宋" w:cs="仿宋"/>
          <w:sz w:val="28"/>
          <w:szCs w:val="28"/>
          <w:lang w:eastAsia="zh-CN"/>
        </w:rPr>
      </w:pPr>
      <w:r>
        <w:rPr>
          <w:rFonts w:hint="eastAsia" w:ascii="仿宋" w:hAnsi="仿宋" w:eastAsia="仿宋" w:cs="仿宋"/>
          <w:sz w:val="28"/>
          <w:szCs w:val="28"/>
          <w:lang w:eastAsia="zh-CN"/>
        </w:rPr>
        <w:t>1、具有履行合同所必须的设备和专业技术能力，能够完全按照采购文件要求、商务条款及响应文件中所响应的所有条款完成全部服务内容；</w:t>
      </w:r>
    </w:p>
    <w:p w14:paraId="53DADDF5">
      <w:pPr>
        <w:spacing w:after="29" w:line="375" w:lineRule="auto"/>
        <w:ind w:firstLine="276" w:firstLineChars="100"/>
        <w:rPr>
          <w:rFonts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2、有依法缴纳税收和社会保障资金的良好记录；</w:t>
      </w:r>
    </w:p>
    <w:p w14:paraId="59E9376D">
      <w:pPr>
        <w:spacing w:after="29" w:line="375" w:lineRule="auto"/>
        <w:ind w:firstLine="276" w:firstLineChars="100"/>
        <w:rPr>
          <w:rFonts w:ascii="仿宋" w:hAnsi="仿宋" w:eastAsia="仿宋" w:cs="仿宋"/>
          <w:sz w:val="28"/>
          <w:szCs w:val="28"/>
          <w:lang w:eastAsia="zh-CN"/>
        </w:rPr>
      </w:pPr>
      <w:r>
        <w:rPr>
          <w:rFonts w:hint="eastAsia" w:ascii="仿宋" w:hAnsi="仿宋" w:eastAsia="仿宋" w:cs="仿宋"/>
          <w:color w:val="000000"/>
          <w:spacing w:val="-2"/>
          <w:sz w:val="28"/>
          <w:szCs w:val="28"/>
          <w:lang w:eastAsia="zh-CN"/>
        </w:rPr>
        <w:t>3、具有良好的商业信誉和健全的财务会计制度；</w:t>
      </w:r>
    </w:p>
    <w:p w14:paraId="0909ADB4">
      <w:pPr>
        <w:spacing w:line="384" w:lineRule="auto"/>
        <w:ind w:right="113" w:firstLine="280" w:firstLineChars="100"/>
        <w:jc w:val="both"/>
        <w:rPr>
          <w:rFonts w:ascii="仿宋" w:hAnsi="仿宋" w:eastAsia="仿宋" w:cs="仿宋"/>
          <w:sz w:val="28"/>
          <w:szCs w:val="28"/>
          <w:lang w:eastAsia="zh-CN"/>
        </w:rPr>
      </w:pPr>
      <w:r>
        <w:rPr>
          <w:rFonts w:hint="eastAsia" w:ascii="仿宋" w:hAnsi="仿宋" w:eastAsia="仿宋" w:cs="仿宋"/>
          <w:sz w:val="28"/>
          <w:szCs w:val="28"/>
          <w:lang w:eastAsia="zh-CN"/>
        </w:rPr>
        <w:t>4、参加本次采购活动前三年内,在经营活动中没有违法违规记录.</w:t>
      </w:r>
    </w:p>
    <w:p w14:paraId="36511046">
      <w:pPr>
        <w:spacing w:line="384" w:lineRule="auto"/>
        <w:ind w:right="113" w:firstLine="280" w:firstLineChars="100"/>
        <w:jc w:val="both"/>
        <w:rPr>
          <w:rFonts w:ascii="仿宋" w:hAnsi="仿宋" w:eastAsia="仿宋" w:cs="仿宋"/>
          <w:sz w:val="28"/>
          <w:szCs w:val="28"/>
          <w:lang w:eastAsia="zh-CN"/>
        </w:rPr>
      </w:pPr>
      <w:r>
        <w:rPr>
          <w:rFonts w:hint="eastAsia" w:ascii="仿宋" w:hAnsi="仿宋" w:eastAsia="仿宋" w:cs="仿宋"/>
          <w:sz w:val="28"/>
          <w:szCs w:val="28"/>
          <w:lang w:eastAsia="zh-CN"/>
        </w:rPr>
        <w:t>如我公司提供虚假信息，将承担虚假应标及违约的全部责任，并按《中华人民共和国政府采购法》、《中华人民共和国民法典》相关法律、法规规定接 受处罚。</w:t>
      </w:r>
    </w:p>
    <w:p w14:paraId="6811A58C">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特此承诺。服务商名称（盖章）：</w:t>
      </w:r>
    </w:p>
    <w:p w14:paraId="53DCFDA5">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法人代表或授权代表（签字）：</w:t>
      </w:r>
    </w:p>
    <w:p w14:paraId="2142C8ED">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日期：</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年</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月</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日</w:t>
      </w:r>
    </w:p>
    <w:p w14:paraId="30F5F335">
      <w:pPr>
        <w:rPr>
          <w:rFonts w:ascii="等线 Light" w:hAnsi="等线 Light" w:eastAsia="等线 Light"/>
          <w:b/>
          <w:bCs/>
          <w:sz w:val="32"/>
          <w:szCs w:val="32"/>
          <w:lang w:eastAsia="zh-CN"/>
        </w:rPr>
      </w:pPr>
    </w:p>
    <w:p w14:paraId="52F7C527">
      <w:pPr>
        <w:ind w:firstLine="3433" w:firstLineChars="950"/>
      </w:pPr>
      <w:r>
        <w:rPr>
          <w:rFonts w:ascii="楷体_GB2312" w:hAnsi="宋体" w:eastAsia="楷体_GB2312" w:cs="楷体_GB2312"/>
          <w:b/>
          <w:bCs/>
          <w:color w:val="000000"/>
          <w:sz w:val="36"/>
          <w:szCs w:val="36"/>
          <w:lang w:eastAsia="zh-CN"/>
        </w:rPr>
        <w:t>现场勘察证明</w:t>
      </w:r>
    </w:p>
    <w:p w14:paraId="3F063898">
      <w:pPr>
        <w:ind w:firstLine="620" w:firstLineChars="200"/>
        <w:rPr>
          <w:rFonts w:ascii="仿宋_GB2312" w:hAnsi="宋体" w:eastAsia="仿宋_GB2312" w:cs="仿宋_GB2312"/>
          <w:color w:val="000000"/>
          <w:sz w:val="31"/>
          <w:szCs w:val="31"/>
          <w:lang w:eastAsia="zh-CN"/>
        </w:rPr>
      </w:pPr>
    </w:p>
    <w:p w14:paraId="279059A0">
      <w:pPr>
        <w:ind w:firstLine="620" w:firstLineChars="200"/>
      </w:pPr>
      <w:r>
        <w:rPr>
          <w:rFonts w:hint="eastAsia" w:ascii="仿宋_GB2312" w:hAnsi="宋体" w:eastAsia="仿宋_GB2312" w:cs="仿宋_GB2312"/>
          <w:color w:val="000000"/>
          <w:sz w:val="31"/>
          <w:szCs w:val="31"/>
          <w:lang w:eastAsia="zh-CN"/>
        </w:rPr>
        <w:t>兹有我单位（</w:t>
      </w:r>
      <w:r>
        <w:rPr>
          <w:rFonts w:hint="eastAsia" w:ascii="Wingdings 2" w:hAnsi="Wingdings 2" w:eastAsia="Wingdings 2" w:cs="Wingdings 2"/>
          <w:color w:val="000000"/>
          <w:sz w:val="31"/>
          <w:szCs w:val="31"/>
          <w:lang w:eastAsia="zh-CN"/>
        </w:rPr>
        <w:sym w:font="Wingdings" w:char="00A8"/>
      </w:r>
      <w:r>
        <w:rPr>
          <w:rFonts w:hint="eastAsia" w:ascii="仿宋_GB2312" w:hAnsi="宋体" w:eastAsia="仿宋_GB2312" w:cs="仿宋_GB2312"/>
          <w:color w:val="000000"/>
          <w:sz w:val="31"/>
          <w:szCs w:val="31"/>
          <w:lang w:eastAsia="zh-CN"/>
        </w:rPr>
        <w:t xml:space="preserve">法定代表人 </w:t>
      </w:r>
      <w:r>
        <w:rPr>
          <w:rFonts w:ascii="Wingdings 2" w:hAnsi="Wingdings 2" w:eastAsia="Wingdings 2" w:cs="Wingdings 2"/>
          <w:color w:val="000000"/>
          <w:sz w:val="31"/>
          <w:szCs w:val="31"/>
          <w:lang w:eastAsia="zh-CN"/>
        </w:rPr>
        <w:sym w:font="Wingdings" w:char="00A8"/>
      </w:r>
      <w:r>
        <w:rPr>
          <w:rFonts w:hint="eastAsia" w:ascii="仿宋_GB2312" w:hAnsi="宋体" w:eastAsia="仿宋_GB2312" w:cs="仿宋_GB2312"/>
          <w:color w:val="000000"/>
          <w:sz w:val="31"/>
          <w:szCs w:val="31"/>
          <w:lang w:eastAsia="zh-CN"/>
        </w:rPr>
        <w:t xml:space="preserve">委托代理人）于   年  月 日对吉安县城区公共外环境病媒生物防制服务项目进行现场勘察，经详细了解已熟悉项目内容、采购需求及项目实施相关条件等状况。 </w:t>
      </w:r>
    </w:p>
    <w:p w14:paraId="1F2F1F72">
      <w:pPr>
        <w:jc w:val="center"/>
      </w:pPr>
      <w:r>
        <w:rPr>
          <w:rFonts w:hint="eastAsia" w:ascii="仿宋_GB2312" w:hAnsi="宋体" w:eastAsia="仿宋_GB2312" w:cs="仿宋_GB2312"/>
          <w:color w:val="000000"/>
          <w:sz w:val="31"/>
          <w:szCs w:val="31"/>
          <w:lang w:eastAsia="zh-CN"/>
        </w:rPr>
        <w:t>特此证明！</w:t>
      </w:r>
    </w:p>
    <w:p w14:paraId="78AE8FAC">
      <w:pPr>
        <w:rPr>
          <w:rFonts w:ascii="仿宋_GB2312" w:hAnsi="宋体" w:eastAsia="仿宋_GB2312" w:cs="仿宋_GB2312"/>
          <w:color w:val="000000"/>
          <w:sz w:val="31"/>
          <w:szCs w:val="31"/>
          <w:lang w:eastAsia="zh-CN"/>
        </w:rPr>
      </w:pPr>
    </w:p>
    <w:p w14:paraId="1F54021B">
      <w:pPr>
        <w:rPr>
          <w:rFonts w:ascii="仿宋_GB2312" w:hAnsi="宋体" w:eastAsia="仿宋_GB2312" w:cs="仿宋_GB2312"/>
          <w:color w:val="000000"/>
          <w:sz w:val="31"/>
          <w:szCs w:val="31"/>
          <w:lang w:eastAsia="zh-CN"/>
        </w:rPr>
      </w:pPr>
    </w:p>
    <w:p w14:paraId="293933D2">
      <w:r>
        <w:rPr>
          <w:rFonts w:hint="eastAsia" w:ascii="仿宋_GB2312" w:hAnsi="宋体" w:eastAsia="仿宋_GB2312" w:cs="仿宋_GB2312"/>
          <w:color w:val="000000"/>
          <w:sz w:val="31"/>
          <w:szCs w:val="31"/>
          <w:lang w:eastAsia="zh-CN"/>
        </w:rPr>
        <w:t xml:space="preserve">勘察单位（盖章）： </w:t>
      </w:r>
    </w:p>
    <w:p w14:paraId="1E03E406">
      <w:pPr>
        <w:rPr>
          <w:rFonts w:ascii="仿宋_GB2312" w:hAnsi="宋体" w:eastAsia="仿宋_GB2312" w:cs="仿宋_GB2312"/>
          <w:color w:val="000000"/>
          <w:sz w:val="31"/>
          <w:szCs w:val="31"/>
          <w:lang w:eastAsia="zh-CN"/>
        </w:rPr>
      </w:pPr>
    </w:p>
    <w:p w14:paraId="43152B28">
      <w:r>
        <w:rPr>
          <w:rFonts w:hint="eastAsia" w:ascii="仿宋_GB2312" w:hAnsi="宋体" w:eastAsia="仿宋_GB2312" w:cs="仿宋_GB2312"/>
          <w:color w:val="000000"/>
          <w:sz w:val="31"/>
          <w:szCs w:val="31"/>
          <w:lang w:eastAsia="zh-CN"/>
        </w:rPr>
        <w:t xml:space="preserve">现场勘察人（签字）： </w:t>
      </w:r>
    </w:p>
    <w:p w14:paraId="6CFB99A8">
      <w:pPr>
        <w:rPr>
          <w:rFonts w:ascii="仿宋_GB2312" w:hAnsi="宋体" w:eastAsia="仿宋_GB2312" w:cs="仿宋_GB2312"/>
          <w:color w:val="000000"/>
          <w:sz w:val="31"/>
          <w:szCs w:val="31"/>
          <w:lang w:eastAsia="zh-CN"/>
        </w:rPr>
      </w:pPr>
    </w:p>
    <w:p w14:paraId="6312438D">
      <w:r>
        <w:rPr>
          <w:rFonts w:hint="eastAsia" w:ascii="仿宋_GB2312" w:hAnsi="宋体" w:eastAsia="仿宋_GB2312" w:cs="仿宋_GB2312"/>
          <w:color w:val="000000"/>
          <w:sz w:val="31"/>
          <w:szCs w:val="31"/>
          <w:lang w:eastAsia="zh-CN"/>
        </w:rPr>
        <w:t xml:space="preserve">联系电话： </w:t>
      </w:r>
    </w:p>
    <w:p w14:paraId="39E2AE0A">
      <w:pPr>
        <w:rPr>
          <w:rFonts w:ascii="仿宋_GB2312" w:hAnsi="宋体" w:eastAsia="仿宋_GB2312" w:cs="仿宋_GB2312"/>
          <w:color w:val="000000"/>
          <w:sz w:val="31"/>
          <w:szCs w:val="31"/>
          <w:lang w:eastAsia="zh-CN"/>
        </w:rPr>
      </w:pPr>
    </w:p>
    <w:p w14:paraId="56256611">
      <w:r>
        <w:rPr>
          <w:rFonts w:hint="eastAsia" w:ascii="仿宋_GB2312" w:hAnsi="宋体" w:eastAsia="仿宋_GB2312" w:cs="仿宋_GB2312"/>
          <w:color w:val="000000"/>
          <w:sz w:val="31"/>
          <w:szCs w:val="31"/>
          <w:lang w:eastAsia="zh-CN"/>
        </w:rPr>
        <w:t xml:space="preserve">日期： </w:t>
      </w:r>
    </w:p>
    <w:p w14:paraId="63FA32A0">
      <w:pPr>
        <w:rPr>
          <w:rFonts w:ascii="仿宋_GB2312" w:hAnsi="宋体" w:eastAsia="仿宋_GB2312" w:cs="仿宋_GB2312"/>
          <w:color w:val="000000"/>
          <w:sz w:val="31"/>
          <w:szCs w:val="31"/>
          <w:lang w:eastAsia="zh-CN"/>
        </w:rPr>
      </w:pPr>
    </w:p>
    <w:p w14:paraId="044ADF4D">
      <w:pPr>
        <w:rPr>
          <w:rFonts w:ascii="仿宋_GB2312" w:hAnsi="宋体" w:eastAsia="仿宋_GB2312" w:cs="仿宋_GB2312"/>
          <w:color w:val="000000"/>
          <w:sz w:val="31"/>
          <w:szCs w:val="31"/>
          <w:lang w:eastAsia="zh-CN"/>
        </w:rPr>
      </w:pPr>
    </w:p>
    <w:p w14:paraId="6B9BC391">
      <w:pPr>
        <w:rPr>
          <w:rFonts w:ascii="仿宋_GB2312" w:hAnsi="宋体" w:eastAsia="仿宋_GB2312" w:cs="仿宋_GB2312"/>
          <w:color w:val="000000"/>
          <w:sz w:val="31"/>
          <w:szCs w:val="31"/>
          <w:lang w:eastAsia="zh-CN"/>
        </w:rPr>
      </w:pPr>
    </w:p>
    <w:p w14:paraId="69F0F38F">
      <w:r>
        <w:rPr>
          <w:rFonts w:hint="eastAsia" w:ascii="仿宋_GB2312" w:hAnsi="宋体" w:eastAsia="仿宋_GB2312" w:cs="仿宋_GB2312"/>
          <w:color w:val="000000"/>
          <w:sz w:val="31"/>
          <w:szCs w:val="31"/>
          <w:lang w:eastAsia="zh-CN"/>
        </w:rPr>
        <w:t xml:space="preserve">业主单位（盖章）： </w:t>
      </w:r>
    </w:p>
    <w:p w14:paraId="4E7931ED">
      <w:pPr>
        <w:rPr>
          <w:rFonts w:ascii="仿宋_GB2312" w:hAnsi="宋体" w:eastAsia="仿宋_GB2312" w:cs="仿宋_GB2312"/>
          <w:color w:val="000000"/>
          <w:sz w:val="31"/>
          <w:szCs w:val="31"/>
          <w:lang w:eastAsia="zh-CN"/>
        </w:rPr>
      </w:pPr>
    </w:p>
    <w:p w14:paraId="1E790F11">
      <w:pPr>
        <w:rPr>
          <w:rFonts w:eastAsiaTheme="minorEastAsia"/>
          <w:lang w:eastAsia="zh-CN"/>
        </w:rPr>
      </w:pPr>
      <w:r>
        <w:rPr>
          <w:rFonts w:hint="eastAsia" w:ascii="仿宋_GB2312" w:hAnsi="宋体" w:eastAsia="仿宋_GB2312" w:cs="仿宋_GB2312"/>
          <w:color w:val="000000"/>
          <w:sz w:val="31"/>
          <w:szCs w:val="31"/>
          <w:lang w:eastAsia="zh-CN"/>
        </w:rPr>
        <w:t>日期： 年 月 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Ђˎ̥">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4D905"/>
    <w:multiLevelType w:val="singleLevel"/>
    <w:tmpl w:val="A1A4D905"/>
    <w:lvl w:ilvl="0" w:tentative="0">
      <w:start w:val="4"/>
      <w:numFmt w:val="decimal"/>
      <w:suff w:val="nothing"/>
      <w:lvlText w:val="%1、"/>
      <w:lvlJc w:val="left"/>
      <w:rPr>
        <w:rFonts w:hint="default"/>
        <w:color w:val="auto"/>
      </w:rPr>
    </w:lvl>
  </w:abstractNum>
  <w:abstractNum w:abstractNumId="1">
    <w:nsid w:val="B450E781"/>
    <w:multiLevelType w:val="singleLevel"/>
    <w:tmpl w:val="B450E7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NDE4NGI5ZWUwZjUxMGZmZWVkN2Y0OTkxODhlYjAifQ=="/>
    <w:docVar w:name="KSO_WPS_MARK_KEY" w:val="82de6552-0da7-4c25-a259-f6ae9f4ee782"/>
  </w:docVars>
  <w:rsids>
    <w:rsidRoot w:val="00582219"/>
    <w:rsid w:val="00066A96"/>
    <w:rsid w:val="001F424A"/>
    <w:rsid w:val="00296B24"/>
    <w:rsid w:val="002B7B7A"/>
    <w:rsid w:val="00504B9E"/>
    <w:rsid w:val="00582219"/>
    <w:rsid w:val="005F39CD"/>
    <w:rsid w:val="00603138"/>
    <w:rsid w:val="006C20EA"/>
    <w:rsid w:val="00703154"/>
    <w:rsid w:val="00716B30"/>
    <w:rsid w:val="00755EAC"/>
    <w:rsid w:val="00775EE8"/>
    <w:rsid w:val="00896E66"/>
    <w:rsid w:val="00B71B82"/>
    <w:rsid w:val="00B7284D"/>
    <w:rsid w:val="00D2245B"/>
    <w:rsid w:val="00D3070B"/>
    <w:rsid w:val="00D701F6"/>
    <w:rsid w:val="02083868"/>
    <w:rsid w:val="06996598"/>
    <w:rsid w:val="06D557F7"/>
    <w:rsid w:val="087B0B34"/>
    <w:rsid w:val="088D57EE"/>
    <w:rsid w:val="097139BC"/>
    <w:rsid w:val="09AA280D"/>
    <w:rsid w:val="0B1431E3"/>
    <w:rsid w:val="0B322D5E"/>
    <w:rsid w:val="0B474070"/>
    <w:rsid w:val="0C0A519B"/>
    <w:rsid w:val="0D0B25BC"/>
    <w:rsid w:val="0F860F7E"/>
    <w:rsid w:val="108F2717"/>
    <w:rsid w:val="11E22BBA"/>
    <w:rsid w:val="12257CE2"/>
    <w:rsid w:val="13EE6005"/>
    <w:rsid w:val="176C350F"/>
    <w:rsid w:val="180265F2"/>
    <w:rsid w:val="1B6A0525"/>
    <w:rsid w:val="1B6A4B84"/>
    <w:rsid w:val="1F4B03DB"/>
    <w:rsid w:val="200230AF"/>
    <w:rsid w:val="205C32C4"/>
    <w:rsid w:val="20B15441"/>
    <w:rsid w:val="20DC38D1"/>
    <w:rsid w:val="2298205F"/>
    <w:rsid w:val="237023C7"/>
    <w:rsid w:val="24B052C6"/>
    <w:rsid w:val="24E3358F"/>
    <w:rsid w:val="254A57DC"/>
    <w:rsid w:val="26E74D78"/>
    <w:rsid w:val="2A622692"/>
    <w:rsid w:val="2B4A1C32"/>
    <w:rsid w:val="2C342555"/>
    <w:rsid w:val="2DBB07F0"/>
    <w:rsid w:val="2EAD65D1"/>
    <w:rsid w:val="2FF26266"/>
    <w:rsid w:val="306C7DC6"/>
    <w:rsid w:val="309D0E76"/>
    <w:rsid w:val="31E97395"/>
    <w:rsid w:val="36703D6C"/>
    <w:rsid w:val="37E847F0"/>
    <w:rsid w:val="3D9E4CC6"/>
    <w:rsid w:val="3E4575C6"/>
    <w:rsid w:val="3FAD4598"/>
    <w:rsid w:val="3FB73305"/>
    <w:rsid w:val="3FD97D81"/>
    <w:rsid w:val="412042CF"/>
    <w:rsid w:val="426B6885"/>
    <w:rsid w:val="42ED122D"/>
    <w:rsid w:val="44BC1969"/>
    <w:rsid w:val="455626F7"/>
    <w:rsid w:val="45D1217E"/>
    <w:rsid w:val="45D21567"/>
    <w:rsid w:val="47214F43"/>
    <w:rsid w:val="47C6292D"/>
    <w:rsid w:val="485E4EEC"/>
    <w:rsid w:val="493A42A6"/>
    <w:rsid w:val="4B1A46A7"/>
    <w:rsid w:val="4F1965D3"/>
    <w:rsid w:val="4FEC63D6"/>
    <w:rsid w:val="538916F6"/>
    <w:rsid w:val="53EE6BC1"/>
    <w:rsid w:val="55AF05D2"/>
    <w:rsid w:val="55B50B41"/>
    <w:rsid w:val="565F1079"/>
    <w:rsid w:val="566317E8"/>
    <w:rsid w:val="573F603A"/>
    <w:rsid w:val="5A4A6096"/>
    <w:rsid w:val="5A852D41"/>
    <w:rsid w:val="5BA86040"/>
    <w:rsid w:val="5C8C4D23"/>
    <w:rsid w:val="5D2E6280"/>
    <w:rsid w:val="5D48700D"/>
    <w:rsid w:val="61BD04AA"/>
    <w:rsid w:val="63F140B7"/>
    <w:rsid w:val="643149CF"/>
    <w:rsid w:val="65F54B95"/>
    <w:rsid w:val="68545198"/>
    <w:rsid w:val="69EB05D4"/>
    <w:rsid w:val="6DD307E3"/>
    <w:rsid w:val="71847D99"/>
    <w:rsid w:val="71A566B9"/>
    <w:rsid w:val="71D21EFE"/>
    <w:rsid w:val="728F5CE4"/>
    <w:rsid w:val="74BF3F35"/>
    <w:rsid w:val="75AE3C79"/>
    <w:rsid w:val="762B3777"/>
    <w:rsid w:val="7A134CE1"/>
    <w:rsid w:val="7C6C7550"/>
    <w:rsid w:val="7D2D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next w:val="1"/>
    <w:qFormat/>
    <w:uiPriority w:val="9"/>
    <w:pPr>
      <w:keepNext/>
      <w:keepLines/>
      <w:spacing w:after="3" w:line="265" w:lineRule="auto"/>
      <w:ind w:left="701" w:hanging="10"/>
      <w:outlineLvl w:val="0"/>
    </w:pPr>
    <w:rPr>
      <w:rFonts w:ascii="黑体" w:hAnsi="黑体" w:eastAsia="黑体" w:cs="黑体"/>
      <w:color w:val="000000"/>
      <w:kern w:val="2"/>
      <w:sz w:val="28"/>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style>
  <w:style w:type="paragraph" w:styleId="6">
    <w:name w:val="Plain Text"/>
    <w:basedOn w:val="1"/>
    <w:qFormat/>
    <w:uiPriority w:val="0"/>
    <w:pPr>
      <w:spacing w:line="360" w:lineRule="auto"/>
    </w:pPr>
    <w:rPr>
      <w:rFonts w:ascii="楷体_GB2312" w:eastAsia="楷体_GB2312"/>
    </w:r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mu"/>
    <w:basedOn w:val="1"/>
    <w:qFormat/>
    <w:uiPriority w:val="0"/>
    <w:pPr>
      <w:spacing w:before="280" w:after="280"/>
    </w:pPr>
    <w:rPr>
      <w:rFonts w:ascii="Ђˎ̥"/>
      <w:sz w:val="21"/>
    </w:rPr>
  </w:style>
  <w:style w:type="paragraph" w:styleId="13">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lang w:eastAsia="zh-CN"/>
    </w:rPr>
  </w:style>
  <w:style w:type="character" w:customStyle="1" w:styleId="14">
    <w:name w:val="页眉 Char"/>
    <w:basedOn w:val="10"/>
    <w:link w:val="8"/>
    <w:qFormat/>
    <w:uiPriority w:val="0"/>
    <w:rPr>
      <w:rFonts w:eastAsia="Times New Roman"/>
      <w:sz w:val="18"/>
      <w:szCs w:val="18"/>
      <w:lang w:eastAsia="en-US"/>
    </w:rPr>
  </w:style>
  <w:style w:type="character" w:customStyle="1" w:styleId="15">
    <w:name w:val="页脚 Char"/>
    <w:basedOn w:val="10"/>
    <w:link w:val="7"/>
    <w:qFormat/>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519CFD-1470-409F-83C9-3A680CFEDF3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5555</Words>
  <Characters>5788</Characters>
  <Lines>42</Lines>
  <Paragraphs>12</Paragraphs>
  <TotalTime>7</TotalTime>
  <ScaleCrop>false</ScaleCrop>
  <LinksUpToDate>false</LinksUpToDate>
  <CharactersWithSpaces>5825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2026-04-09T01:10:00Z</dcterms:created>
  <dc:creator>Administrator</dc:creator>
  <cp:lastModifiedBy>曾宪桦13576840546</cp:lastModifiedBy>
  <cp:lastPrinted>2025-01-09T00:28:00Z</cp:lastPrinted>
  <dcterms:modified xsi:type="dcterms:W3CDTF">2026-04-15T00:32:39Z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6C29DFCEF5204BC29DE6EF0181C136A8_13</vt:lpwstr>
  </property>
  <property fmtid="{D5CDD505-2E9C-101B-9397-08002B2CF9AE}" pid="4" name="KSOTemplateDocerSaveRecord">
    <vt:lpwstr>eyJoZGlkIjoiYzNlNWQ4MzUxODhkZWMyN2VhZGFhYTllMjRhZjg2YjkiLCJ1c2VySWQiOiI0Mzk4NjAyNzEifQ==</vt:lpwstr>
  </property>
</Properties>
</file>