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AB824">
      <w:pPr>
        <w:spacing w:before="312" w:beforeLines="100" w:after="312" w:afterLines="100"/>
        <w:jc w:val="center"/>
        <w:rPr>
          <w:rFonts w:ascii="宋体" w:hAnsi="宋体"/>
          <w:sz w:val="28"/>
          <w:szCs w:val="28"/>
        </w:rPr>
      </w:pPr>
    </w:p>
    <w:p w14:paraId="7F29C521">
      <w:pPr>
        <w:spacing w:before="312" w:beforeLines="100" w:after="312" w:afterLines="100"/>
        <w:jc w:val="center"/>
        <w:rPr>
          <w:rFonts w:ascii="宋体" w:hAnsi="宋体"/>
          <w:sz w:val="28"/>
          <w:szCs w:val="28"/>
        </w:rPr>
      </w:pPr>
    </w:p>
    <w:p w14:paraId="03957C49">
      <w:pPr>
        <w:spacing w:before="624" w:beforeLines="200" w:after="624" w:afterLines="200"/>
        <w:jc w:val="center"/>
        <w:rPr>
          <w:rFonts w:ascii="宋体" w:hAnsi="宋体"/>
          <w:b/>
          <w:bCs/>
          <w:color w:val="0000FF"/>
          <w:sz w:val="40"/>
          <w:szCs w:val="40"/>
        </w:rPr>
      </w:pPr>
      <w:r>
        <w:rPr>
          <w:rFonts w:hint="eastAsia" w:ascii="宋体" w:hAnsi="宋体"/>
          <w:b/>
          <w:bCs/>
          <w:color w:val="000000" w:themeColor="text1"/>
          <w:sz w:val="40"/>
          <w:szCs w:val="40"/>
          <w14:textFill>
            <w14:solidFill>
              <w14:schemeClr w14:val="tx1"/>
            </w14:solidFill>
          </w14:textFill>
        </w:rPr>
        <w:t>【</w:t>
      </w:r>
      <w:r>
        <w:rPr>
          <w:rFonts w:hint="eastAsia" w:ascii="宋体" w:hAnsi="宋体"/>
          <w:b/>
          <w:bCs/>
          <w:color w:val="000000" w:themeColor="text1"/>
          <w:sz w:val="40"/>
          <w:szCs w:val="40"/>
          <w:lang w:val="en-US" w:eastAsia="zh-CN"/>
          <w14:textFill>
            <w14:solidFill>
              <w14:schemeClr w14:val="tx1"/>
            </w14:solidFill>
          </w14:textFill>
        </w:rPr>
        <w:t>济南工厂</w:t>
      </w:r>
      <w:r>
        <w:rPr>
          <w:rFonts w:hint="eastAsia" w:ascii="宋体" w:hAnsi="宋体"/>
          <w:b/>
          <w:bCs/>
          <w:color w:val="000000" w:themeColor="text1"/>
          <w:sz w:val="40"/>
          <w:szCs w:val="40"/>
          <w:lang w:eastAsia="zh-CN"/>
          <w14:textFill>
            <w14:solidFill>
              <w14:schemeClr w14:val="tx1"/>
            </w14:solidFill>
          </w14:textFill>
        </w:rPr>
        <w:t>202</w:t>
      </w:r>
      <w:r>
        <w:rPr>
          <w:rFonts w:hint="eastAsia" w:ascii="宋体" w:hAnsi="宋体"/>
          <w:b/>
          <w:bCs/>
          <w:color w:val="000000" w:themeColor="text1"/>
          <w:sz w:val="40"/>
          <w:szCs w:val="40"/>
          <w:lang w:val="en-US" w:eastAsia="zh-CN"/>
          <w14:textFill>
            <w14:solidFill>
              <w14:schemeClr w14:val="tx1"/>
            </w14:solidFill>
          </w14:textFill>
        </w:rPr>
        <w:t>6-2027</w:t>
      </w:r>
      <w:r>
        <w:rPr>
          <w:rFonts w:hint="eastAsia" w:ascii="宋体" w:hAnsi="宋体"/>
          <w:b/>
          <w:bCs/>
          <w:color w:val="000000" w:themeColor="text1"/>
          <w:sz w:val="40"/>
          <w:szCs w:val="40"/>
          <w14:textFill>
            <w14:solidFill>
              <w14:schemeClr w14:val="tx1"/>
            </w14:solidFill>
          </w14:textFill>
        </w:rPr>
        <w:t>年度</w:t>
      </w:r>
      <w:r>
        <w:rPr>
          <w:rFonts w:hint="eastAsia" w:ascii="宋体" w:hAnsi="宋体"/>
          <w:b/>
          <w:bCs/>
          <w:color w:val="000000" w:themeColor="text1"/>
          <w:sz w:val="40"/>
          <w:szCs w:val="40"/>
          <w:lang w:val="en-US" w:eastAsia="zh-CN"/>
          <w14:textFill>
            <w14:solidFill>
              <w14:schemeClr w14:val="tx1"/>
            </w14:solidFill>
          </w14:textFill>
        </w:rPr>
        <w:t>消杀服务</w:t>
      </w:r>
      <w:r>
        <w:rPr>
          <w:rFonts w:hint="eastAsia" w:ascii="宋体" w:hAnsi="宋体"/>
          <w:b/>
          <w:bCs/>
          <w:color w:val="000000" w:themeColor="text1"/>
          <w:sz w:val="40"/>
          <w:szCs w:val="40"/>
          <w14:textFill>
            <w14:solidFill>
              <w14:schemeClr w14:val="tx1"/>
            </w14:solidFill>
          </w14:textFill>
        </w:rPr>
        <w:t>项目</w:t>
      </w:r>
      <w:r>
        <w:rPr>
          <w:rFonts w:hint="eastAsia" w:ascii="宋体" w:hAnsi="宋体"/>
          <w:b/>
          <w:bCs/>
          <w:sz w:val="40"/>
          <w:szCs w:val="40"/>
        </w:rPr>
        <w:t>】</w:t>
      </w:r>
    </w:p>
    <w:p w14:paraId="7574A186">
      <w:pPr>
        <w:spacing w:before="624" w:beforeLines="200" w:after="624" w:afterLines="200"/>
        <w:jc w:val="center"/>
        <w:rPr>
          <w:rFonts w:ascii="宋体" w:hAnsi="宋体"/>
          <w:b/>
          <w:bCs/>
          <w:sz w:val="96"/>
          <w:szCs w:val="96"/>
        </w:rPr>
      </w:pPr>
      <w:r>
        <w:rPr>
          <w:rFonts w:hint="eastAsia" w:ascii="宋体" w:hAnsi="宋体"/>
          <w:b/>
          <w:bCs/>
          <w:sz w:val="96"/>
          <w:szCs w:val="96"/>
        </w:rPr>
        <w:t>采购文件</w:t>
      </w:r>
    </w:p>
    <w:p w14:paraId="4ABE2FD3">
      <w:pPr>
        <w:spacing w:before="312" w:beforeLines="100" w:after="312" w:afterLines="100"/>
        <w:jc w:val="center"/>
        <w:rPr>
          <w:rFonts w:ascii="宋体" w:hAnsi="宋体"/>
          <w:sz w:val="28"/>
          <w:szCs w:val="28"/>
        </w:rPr>
      </w:pPr>
    </w:p>
    <w:p w14:paraId="6267FD0E">
      <w:pPr>
        <w:spacing w:before="312" w:beforeLines="100" w:after="312" w:afterLines="100"/>
        <w:rPr>
          <w:rFonts w:ascii="宋体" w:hAnsi="宋体"/>
          <w:sz w:val="28"/>
          <w:szCs w:val="28"/>
        </w:rPr>
      </w:pPr>
    </w:p>
    <w:p w14:paraId="7E24F9A0">
      <w:pPr>
        <w:spacing w:line="440" w:lineRule="exact"/>
        <w:ind w:left="1440" w:leftChars="600"/>
        <w:jc w:val="left"/>
        <w:rPr>
          <w:rFonts w:ascii="宋体" w:hAnsi="宋体"/>
        </w:rPr>
      </w:pPr>
      <w:r>
        <w:rPr>
          <w:rFonts w:hint="eastAsia" w:ascii="宋体" w:hAnsi="宋体"/>
        </w:rPr>
        <w:t xml:space="preserve">采 </w:t>
      </w:r>
      <w:r>
        <w:rPr>
          <w:rFonts w:ascii="宋体" w:hAnsi="宋体"/>
        </w:rPr>
        <w:t xml:space="preserve">  </w:t>
      </w:r>
      <w:r>
        <w:rPr>
          <w:rFonts w:hint="eastAsia" w:ascii="宋体" w:hAnsi="宋体"/>
        </w:rPr>
        <w:t xml:space="preserve">购  </w:t>
      </w:r>
      <w:r>
        <w:rPr>
          <w:rFonts w:ascii="宋体" w:hAnsi="宋体"/>
        </w:rPr>
        <w:t xml:space="preserve"> </w:t>
      </w:r>
      <w:r>
        <w:rPr>
          <w:rFonts w:hint="eastAsia" w:ascii="宋体" w:hAnsi="宋体"/>
        </w:rPr>
        <w:t>人：</w:t>
      </w:r>
      <w:r>
        <w:rPr>
          <w:rFonts w:hint="eastAsia" w:ascii="宋体" w:hAnsi="宋体" w:eastAsia="宋体" w:cs="宋体"/>
          <w:color w:val="auto"/>
          <w:sz w:val="24"/>
          <w:szCs w:val="32"/>
          <w:highlight w:val="white"/>
          <w:lang w:val="en-US" w:eastAsia="zh-CN"/>
        </w:rPr>
        <w:t>雪花啤酒（济南）有限公司</w:t>
      </w:r>
    </w:p>
    <w:p w14:paraId="0E21C4D2">
      <w:pPr>
        <w:spacing w:line="440" w:lineRule="exact"/>
        <w:ind w:left="1440" w:leftChars="600"/>
        <w:rPr>
          <w:rFonts w:ascii="宋体" w:hAnsi="宋体"/>
        </w:rPr>
      </w:pPr>
      <w:r>
        <w:rPr>
          <w:rFonts w:hint="eastAsia" w:ascii="宋体" w:hAnsi="宋体"/>
        </w:rPr>
        <w:t>电子采购平台：华润集团守正电子招标采购平台</w:t>
      </w:r>
    </w:p>
    <w:p w14:paraId="13FA5E33">
      <w:pPr>
        <w:spacing w:line="440" w:lineRule="exact"/>
        <w:jc w:val="center"/>
        <w:rPr>
          <w:rFonts w:ascii="宋体" w:hAnsi="宋体"/>
          <w:sz w:val="28"/>
          <w:szCs w:val="28"/>
        </w:rPr>
      </w:pPr>
      <w:r>
        <w:rPr>
          <w:rFonts w:hint="eastAsia" w:ascii="宋体" w:hAnsi="宋体"/>
          <w:color w:val="auto"/>
          <w:lang w:val="en-US" w:eastAsia="zh-CN"/>
        </w:rPr>
        <w:t>2026</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w:t>
      </w:r>
      <w:r>
        <w:rPr>
          <w:rFonts w:hint="eastAsia" w:ascii="宋体" w:hAnsi="宋体"/>
          <w:color w:val="auto"/>
          <w:lang w:val="en-US" w:eastAsia="zh-CN"/>
        </w:rPr>
        <w:t>26</w:t>
      </w:r>
      <w:r>
        <w:rPr>
          <w:rFonts w:hint="eastAsia" w:ascii="宋体" w:hAnsi="宋体"/>
          <w:color w:val="auto"/>
        </w:rPr>
        <w:t>日</w:t>
      </w:r>
      <w:r>
        <w:rPr>
          <w:rFonts w:ascii="宋体" w:hAnsi="宋体"/>
          <w:sz w:val="28"/>
          <w:szCs w:val="28"/>
        </w:rPr>
        <w:br w:type="page"/>
      </w:r>
    </w:p>
    <w:p w14:paraId="10A5E870">
      <w:pPr>
        <w:spacing w:line="440" w:lineRule="exact"/>
        <w:jc w:val="center"/>
        <w:rPr>
          <w:rFonts w:ascii="宋体" w:hAnsi="宋体"/>
          <w:b/>
          <w:bCs/>
          <w:szCs w:val="24"/>
        </w:rPr>
      </w:pPr>
    </w:p>
    <w:p w14:paraId="5C65E5C7">
      <w:pPr>
        <w:spacing w:line="440" w:lineRule="exact"/>
        <w:jc w:val="center"/>
        <w:rPr>
          <w:rFonts w:ascii="宋体" w:hAnsi="宋体"/>
          <w:b/>
          <w:bCs/>
          <w:sz w:val="32"/>
          <w:szCs w:val="24"/>
        </w:rPr>
      </w:pPr>
      <w:r>
        <w:rPr>
          <w:rFonts w:hint="eastAsia" w:ascii="宋体" w:hAnsi="宋体"/>
          <w:b/>
          <w:bCs/>
          <w:sz w:val="32"/>
          <w:szCs w:val="24"/>
        </w:rPr>
        <w:t xml:space="preserve">目 </w:t>
      </w:r>
      <w:r>
        <w:rPr>
          <w:rFonts w:ascii="宋体" w:hAnsi="宋体"/>
          <w:b/>
          <w:bCs/>
          <w:sz w:val="32"/>
          <w:szCs w:val="24"/>
        </w:rPr>
        <w:t xml:space="preserve"> </w:t>
      </w:r>
      <w:r>
        <w:rPr>
          <w:rFonts w:hint="eastAsia" w:ascii="宋体" w:hAnsi="宋体"/>
          <w:b/>
          <w:bCs/>
          <w:sz w:val="32"/>
          <w:szCs w:val="24"/>
        </w:rPr>
        <w:t>录</w:t>
      </w:r>
    </w:p>
    <w:p w14:paraId="760608AC">
      <w:pPr>
        <w:spacing w:line="440" w:lineRule="exact"/>
        <w:jc w:val="center"/>
        <w:rPr>
          <w:rFonts w:ascii="宋体" w:hAnsi="宋体"/>
          <w:szCs w:val="24"/>
        </w:rPr>
      </w:pPr>
    </w:p>
    <w:p w14:paraId="675BAB9C">
      <w:pPr>
        <w:spacing w:before="156" w:beforeLines="50" w:after="156" w:afterLines="50" w:line="440" w:lineRule="exact"/>
        <w:ind w:left="2640" w:leftChars="1100"/>
        <w:rPr>
          <w:rFonts w:ascii="宋体" w:hAnsi="宋体"/>
          <w:szCs w:val="24"/>
        </w:rPr>
      </w:pPr>
      <w:r>
        <w:rPr>
          <w:rFonts w:hint="eastAsia" w:ascii="宋体" w:hAnsi="宋体"/>
          <w:szCs w:val="24"/>
        </w:rPr>
        <w:t xml:space="preserve">第一卷 </w:t>
      </w:r>
      <w:r>
        <w:rPr>
          <w:rFonts w:ascii="宋体" w:hAnsi="宋体"/>
          <w:szCs w:val="24"/>
        </w:rPr>
        <w:t xml:space="preserve">  </w:t>
      </w:r>
      <w:r>
        <w:rPr>
          <w:rFonts w:hint="eastAsia" w:ascii="宋体" w:hAnsi="宋体"/>
          <w:szCs w:val="24"/>
        </w:rPr>
        <w:t>供应商须知</w:t>
      </w:r>
    </w:p>
    <w:p w14:paraId="1B8D5E61">
      <w:pPr>
        <w:spacing w:before="156" w:beforeLines="50" w:after="156" w:afterLines="50" w:line="440" w:lineRule="exact"/>
        <w:ind w:left="2640" w:leftChars="1100"/>
        <w:rPr>
          <w:rFonts w:ascii="宋体" w:hAnsi="宋体"/>
          <w:szCs w:val="24"/>
        </w:rPr>
      </w:pPr>
      <w:r>
        <w:rPr>
          <w:rFonts w:hint="eastAsia" w:ascii="宋体" w:hAnsi="宋体"/>
          <w:szCs w:val="24"/>
        </w:rPr>
        <w:t xml:space="preserve">第二卷 </w:t>
      </w:r>
      <w:r>
        <w:rPr>
          <w:rFonts w:ascii="宋体" w:hAnsi="宋体"/>
          <w:szCs w:val="24"/>
        </w:rPr>
        <w:t xml:space="preserve"> </w:t>
      </w:r>
      <w:r>
        <w:rPr>
          <w:rFonts w:hint="eastAsia" w:ascii="宋体" w:hAnsi="宋体"/>
          <w:szCs w:val="24"/>
        </w:rPr>
        <w:t xml:space="preserve"> 响应文件格式</w:t>
      </w:r>
    </w:p>
    <w:p w14:paraId="61FD4095">
      <w:pPr>
        <w:spacing w:before="156" w:beforeLines="50" w:after="156" w:afterLines="50" w:line="440" w:lineRule="exact"/>
        <w:ind w:left="2640" w:leftChars="1100"/>
        <w:rPr>
          <w:rFonts w:ascii="宋体" w:hAnsi="宋体"/>
          <w:szCs w:val="24"/>
        </w:rPr>
      </w:pPr>
      <w:r>
        <w:rPr>
          <w:rFonts w:hint="eastAsia" w:ascii="宋体" w:hAnsi="宋体"/>
          <w:szCs w:val="24"/>
        </w:rPr>
        <w:t xml:space="preserve">第三卷 </w:t>
      </w:r>
      <w:r>
        <w:rPr>
          <w:rFonts w:ascii="宋体" w:hAnsi="宋体"/>
          <w:szCs w:val="24"/>
        </w:rPr>
        <w:t xml:space="preserve">  </w:t>
      </w:r>
      <w:r>
        <w:rPr>
          <w:rFonts w:hint="eastAsia" w:ascii="宋体" w:hAnsi="宋体"/>
          <w:szCs w:val="24"/>
        </w:rPr>
        <w:t>评审方法</w:t>
      </w:r>
    </w:p>
    <w:p w14:paraId="04FCD664">
      <w:pPr>
        <w:spacing w:before="156" w:beforeLines="50" w:after="156" w:afterLines="50" w:line="440" w:lineRule="exact"/>
        <w:ind w:left="2640" w:leftChars="1100"/>
        <w:rPr>
          <w:rFonts w:ascii="宋体" w:hAnsi="宋体"/>
          <w:szCs w:val="24"/>
        </w:rPr>
      </w:pPr>
      <w:r>
        <w:rPr>
          <w:rFonts w:hint="eastAsia" w:ascii="宋体" w:hAnsi="宋体"/>
          <w:szCs w:val="24"/>
        </w:rPr>
        <w:t xml:space="preserve">第四卷 </w:t>
      </w:r>
      <w:r>
        <w:rPr>
          <w:rFonts w:ascii="宋体" w:hAnsi="宋体"/>
          <w:szCs w:val="24"/>
        </w:rPr>
        <w:t xml:space="preserve">  </w:t>
      </w:r>
      <w:r>
        <w:rPr>
          <w:rFonts w:hint="eastAsia" w:ascii="宋体" w:hAnsi="宋体"/>
          <w:szCs w:val="24"/>
        </w:rPr>
        <w:t>合同条款及格式</w:t>
      </w:r>
    </w:p>
    <w:p w14:paraId="65BE07FE">
      <w:pPr>
        <w:spacing w:before="156" w:beforeLines="50" w:after="156" w:afterLines="50" w:line="440" w:lineRule="exact"/>
        <w:ind w:left="2640" w:leftChars="1100"/>
        <w:rPr>
          <w:rFonts w:ascii="宋体" w:hAnsi="宋体"/>
          <w:szCs w:val="24"/>
        </w:rPr>
      </w:pPr>
      <w:r>
        <w:rPr>
          <w:rFonts w:hint="eastAsia" w:ascii="宋体" w:hAnsi="宋体"/>
          <w:szCs w:val="24"/>
        </w:rPr>
        <w:t xml:space="preserve">第五卷 </w:t>
      </w:r>
      <w:r>
        <w:rPr>
          <w:rFonts w:ascii="宋体" w:hAnsi="宋体"/>
          <w:szCs w:val="24"/>
        </w:rPr>
        <w:t xml:space="preserve">  </w:t>
      </w:r>
      <w:r>
        <w:rPr>
          <w:rFonts w:hint="eastAsia" w:ascii="宋体" w:hAnsi="宋体"/>
          <w:szCs w:val="24"/>
        </w:rPr>
        <w:t>采购需求</w:t>
      </w:r>
    </w:p>
    <w:p w14:paraId="60555B7E">
      <w:pPr>
        <w:spacing w:line="440" w:lineRule="exact"/>
        <w:ind w:left="3120" w:leftChars="1300"/>
        <w:rPr>
          <w:rFonts w:ascii="宋体" w:hAnsi="宋体"/>
          <w:szCs w:val="24"/>
        </w:rPr>
      </w:pPr>
    </w:p>
    <w:p w14:paraId="0DEF63F8">
      <w:pPr>
        <w:spacing w:after="312" w:afterLines="100" w:line="440" w:lineRule="exact"/>
        <w:jc w:val="center"/>
        <w:outlineLvl w:val="0"/>
        <w:rPr>
          <w:rFonts w:ascii="宋体" w:hAnsi="宋体"/>
          <w:b/>
          <w:bCs/>
          <w:sz w:val="32"/>
          <w:szCs w:val="24"/>
        </w:rPr>
      </w:pPr>
      <w:r>
        <w:rPr>
          <w:rFonts w:ascii="宋体" w:hAnsi="宋体"/>
          <w:szCs w:val="24"/>
        </w:rPr>
        <w:br w:type="page"/>
      </w:r>
      <w:r>
        <w:rPr>
          <w:rFonts w:hint="eastAsia" w:ascii="宋体" w:hAnsi="宋体"/>
          <w:b/>
          <w:bCs/>
          <w:sz w:val="32"/>
          <w:szCs w:val="24"/>
        </w:rPr>
        <w:t>第一卷 供应商须知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5"/>
        <w:gridCol w:w="5475"/>
      </w:tblGrid>
      <w:tr w14:paraId="34E0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vAlign w:val="center"/>
          </w:tcPr>
          <w:p w14:paraId="07F201DA">
            <w:pPr>
              <w:spacing w:line="440" w:lineRule="exact"/>
              <w:jc w:val="center"/>
              <w:rPr>
                <w:rFonts w:ascii="宋体" w:hAnsi="宋体"/>
                <w:b/>
                <w:bCs/>
                <w:szCs w:val="24"/>
              </w:rPr>
            </w:pPr>
            <w:r>
              <w:rPr>
                <w:rFonts w:hint="eastAsia" w:ascii="宋体" w:hAnsi="宋体"/>
                <w:b/>
                <w:bCs/>
                <w:szCs w:val="24"/>
              </w:rPr>
              <w:t>序号</w:t>
            </w:r>
          </w:p>
        </w:tc>
        <w:tc>
          <w:tcPr>
            <w:tcW w:w="1975" w:type="dxa"/>
            <w:vAlign w:val="center"/>
          </w:tcPr>
          <w:p w14:paraId="0CD0D112">
            <w:pPr>
              <w:spacing w:line="440" w:lineRule="exact"/>
              <w:jc w:val="center"/>
              <w:rPr>
                <w:rFonts w:ascii="宋体" w:hAnsi="宋体"/>
                <w:b/>
                <w:bCs/>
                <w:szCs w:val="24"/>
              </w:rPr>
            </w:pPr>
            <w:r>
              <w:rPr>
                <w:rFonts w:hint="eastAsia" w:ascii="宋体" w:hAnsi="宋体"/>
                <w:b/>
                <w:bCs/>
                <w:szCs w:val="24"/>
              </w:rPr>
              <w:t>名称</w:t>
            </w:r>
          </w:p>
        </w:tc>
        <w:tc>
          <w:tcPr>
            <w:tcW w:w="5475" w:type="dxa"/>
            <w:vAlign w:val="center"/>
          </w:tcPr>
          <w:p w14:paraId="05C9FE5C">
            <w:pPr>
              <w:spacing w:line="440" w:lineRule="exact"/>
              <w:jc w:val="center"/>
              <w:rPr>
                <w:rFonts w:ascii="宋体" w:hAnsi="宋体"/>
                <w:b/>
                <w:bCs/>
                <w:szCs w:val="24"/>
              </w:rPr>
            </w:pPr>
            <w:r>
              <w:rPr>
                <w:rFonts w:hint="eastAsia" w:ascii="宋体" w:hAnsi="宋体"/>
                <w:b/>
                <w:bCs/>
                <w:szCs w:val="24"/>
              </w:rPr>
              <w:t>内容</w:t>
            </w:r>
          </w:p>
        </w:tc>
      </w:tr>
      <w:tr w14:paraId="41F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395DB00">
            <w:pPr>
              <w:pStyle w:val="8"/>
              <w:numPr>
                <w:ilvl w:val="0"/>
                <w:numId w:val="1"/>
              </w:numPr>
              <w:spacing w:line="440" w:lineRule="exact"/>
              <w:ind w:firstLineChars="0"/>
              <w:jc w:val="center"/>
              <w:rPr>
                <w:rFonts w:ascii="宋体" w:hAnsi="宋体"/>
                <w:szCs w:val="24"/>
              </w:rPr>
            </w:pPr>
          </w:p>
        </w:tc>
        <w:tc>
          <w:tcPr>
            <w:tcW w:w="1975" w:type="dxa"/>
            <w:vAlign w:val="center"/>
          </w:tcPr>
          <w:p w14:paraId="53605CCE">
            <w:pPr>
              <w:spacing w:line="440" w:lineRule="exact"/>
              <w:jc w:val="center"/>
              <w:rPr>
                <w:rFonts w:ascii="宋体" w:hAnsi="宋体"/>
                <w:szCs w:val="24"/>
              </w:rPr>
            </w:pPr>
            <w:r>
              <w:rPr>
                <w:rFonts w:hint="eastAsia" w:ascii="宋体" w:hAnsi="宋体"/>
                <w:szCs w:val="24"/>
              </w:rPr>
              <w:t>采购人</w:t>
            </w:r>
          </w:p>
        </w:tc>
        <w:tc>
          <w:tcPr>
            <w:tcW w:w="5475" w:type="dxa"/>
            <w:vAlign w:val="center"/>
          </w:tcPr>
          <w:p w14:paraId="72ADF09A">
            <w:pPr>
              <w:spacing w:line="440" w:lineRule="exact"/>
              <w:rPr>
                <w:rFonts w:ascii="宋体" w:hAnsi="宋体" w:eastAsia="宋体"/>
                <w:color w:val="auto"/>
                <w:sz w:val="24"/>
                <w:szCs w:val="24"/>
              </w:rPr>
            </w:pPr>
            <w:r>
              <w:rPr>
                <w:rFonts w:hint="eastAsia" w:ascii="宋体" w:hAnsi="宋体" w:eastAsia="宋体"/>
                <w:color w:val="auto"/>
                <w:sz w:val="24"/>
                <w:szCs w:val="24"/>
              </w:rPr>
              <w:t>名称：</w:t>
            </w:r>
            <w:r>
              <w:rPr>
                <w:rFonts w:hint="eastAsia" w:ascii="宋体" w:hAnsi="宋体" w:eastAsia="宋体" w:cs="宋体"/>
                <w:color w:val="auto"/>
                <w:sz w:val="24"/>
                <w:szCs w:val="24"/>
                <w:lang w:val="en-US" w:eastAsia="zh-CN"/>
              </w:rPr>
              <w:t>雪花啤酒（济南）有限公司</w:t>
            </w:r>
          </w:p>
          <w:p w14:paraId="444D9D85">
            <w:pPr>
              <w:spacing w:line="440" w:lineRule="exact"/>
              <w:rPr>
                <w:rFonts w:ascii="宋体" w:hAnsi="宋体" w:eastAsia="宋体"/>
                <w:color w:val="auto"/>
                <w:sz w:val="24"/>
                <w:szCs w:val="24"/>
              </w:rPr>
            </w:pPr>
            <w:r>
              <w:rPr>
                <w:rFonts w:hint="eastAsia" w:ascii="宋体" w:hAnsi="宋体" w:eastAsia="宋体"/>
                <w:color w:val="auto"/>
                <w:sz w:val="24"/>
                <w:szCs w:val="24"/>
              </w:rPr>
              <w:t>地址：山东省济南市章丘区枣园街道雪花街2699号</w:t>
            </w:r>
          </w:p>
          <w:p w14:paraId="3D5D803B">
            <w:pPr>
              <w:spacing w:line="440" w:lineRule="exact"/>
              <w:rPr>
                <w:rFonts w:ascii="宋体" w:hAnsi="宋体" w:eastAsia="宋体"/>
                <w:color w:val="auto"/>
                <w:sz w:val="24"/>
                <w:szCs w:val="24"/>
              </w:rPr>
            </w:pPr>
            <w:r>
              <w:rPr>
                <w:rFonts w:hint="eastAsia" w:ascii="宋体" w:hAnsi="宋体" w:eastAsia="宋体"/>
                <w:color w:val="auto"/>
                <w:sz w:val="24"/>
                <w:szCs w:val="24"/>
              </w:rPr>
              <w:t>联系人：</w:t>
            </w:r>
            <w:r>
              <w:rPr>
                <w:rFonts w:hint="eastAsia" w:ascii="宋体" w:hAnsi="宋体" w:eastAsia="宋体" w:cs="宋体"/>
                <w:color w:val="auto"/>
                <w:sz w:val="24"/>
                <w:szCs w:val="24"/>
                <w:lang w:val="en-US" w:eastAsia="zh-CN"/>
              </w:rPr>
              <w:t>王云瑞</w:t>
            </w:r>
          </w:p>
          <w:p w14:paraId="5E30BAF8">
            <w:pPr>
              <w:spacing w:line="440" w:lineRule="exact"/>
              <w:rPr>
                <w:rFonts w:ascii="宋体" w:hAnsi="宋体" w:eastAsia="宋体"/>
                <w:color w:val="auto"/>
                <w:sz w:val="24"/>
                <w:szCs w:val="24"/>
              </w:rPr>
            </w:pPr>
            <w:r>
              <w:rPr>
                <w:rFonts w:hint="eastAsia" w:ascii="宋体" w:hAnsi="宋体" w:eastAsia="宋体"/>
                <w:color w:val="auto"/>
                <w:sz w:val="24"/>
                <w:szCs w:val="24"/>
              </w:rPr>
              <w:t>电话：</w:t>
            </w:r>
            <w:r>
              <w:rPr>
                <w:rFonts w:hint="eastAsia" w:ascii="宋体" w:hAnsi="宋体" w:eastAsia="宋体" w:cs="宋体"/>
                <w:color w:val="auto"/>
                <w:sz w:val="24"/>
                <w:szCs w:val="24"/>
                <w:lang w:val="en-US" w:eastAsia="zh-CN"/>
              </w:rPr>
              <w:t>18366164669</w:t>
            </w:r>
          </w:p>
          <w:p w14:paraId="2C068A0D">
            <w:pPr>
              <w:spacing w:line="440" w:lineRule="exact"/>
              <w:rPr>
                <w:rFonts w:ascii="宋体" w:hAnsi="宋体"/>
                <w:szCs w:val="24"/>
              </w:rPr>
            </w:pPr>
            <w:r>
              <w:rPr>
                <w:rFonts w:hint="eastAsia" w:ascii="宋体" w:hAnsi="宋体" w:eastAsia="宋体"/>
                <w:color w:val="auto"/>
                <w:sz w:val="24"/>
                <w:szCs w:val="24"/>
              </w:rPr>
              <w:t>邮箱：</w:t>
            </w:r>
            <w:r>
              <w:rPr>
                <w:rFonts w:hint="eastAsia" w:ascii="宋体" w:hAnsi="宋体" w:eastAsia="宋体" w:cs="宋体"/>
                <w:color w:val="auto"/>
                <w:sz w:val="24"/>
                <w:szCs w:val="24"/>
                <w:lang w:val="en-US" w:eastAsia="zh-CN"/>
              </w:rPr>
              <w:t>wangyunrui</w:t>
            </w:r>
            <w:r>
              <w:rPr>
                <w:rFonts w:hint="eastAsia" w:ascii="宋体" w:hAnsi="宋体" w:eastAsia="宋体" w:cs="宋体"/>
                <w:color w:val="auto"/>
                <w:sz w:val="24"/>
                <w:szCs w:val="24"/>
              </w:rPr>
              <w:t>@crb.cn</w:t>
            </w:r>
          </w:p>
        </w:tc>
      </w:tr>
      <w:tr w14:paraId="46C1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E2FEB6">
            <w:pPr>
              <w:pStyle w:val="8"/>
              <w:numPr>
                <w:ilvl w:val="0"/>
                <w:numId w:val="1"/>
              </w:numPr>
              <w:spacing w:line="440" w:lineRule="exact"/>
              <w:ind w:firstLineChars="0"/>
              <w:jc w:val="center"/>
              <w:rPr>
                <w:rFonts w:ascii="宋体" w:hAnsi="宋体"/>
                <w:szCs w:val="24"/>
              </w:rPr>
            </w:pPr>
          </w:p>
        </w:tc>
        <w:tc>
          <w:tcPr>
            <w:tcW w:w="1975" w:type="dxa"/>
            <w:shd w:val="clear" w:color="auto" w:fill="auto"/>
            <w:vAlign w:val="center"/>
          </w:tcPr>
          <w:p w14:paraId="5851DCDA">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szCs w:val="24"/>
              </w:rPr>
              <w:t>采购范围</w:t>
            </w:r>
          </w:p>
        </w:tc>
        <w:tc>
          <w:tcPr>
            <w:tcW w:w="5475" w:type="dxa"/>
            <w:shd w:val="clear" w:color="auto" w:fill="auto"/>
            <w:vAlign w:val="center"/>
          </w:tcPr>
          <w:p w14:paraId="17907536">
            <w:pPr>
              <w:spacing w:line="440" w:lineRule="exact"/>
              <w:rPr>
                <w:rFonts w:hint="eastAsia" w:ascii="宋体" w:hAnsi="宋体" w:eastAsia="宋体" w:cs="Times New Roman"/>
                <w:kern w:val="2"/>
                <w:sz w:val="24"/>
                <w:szCs w:val="24"/>
                <w:lang w:val="en-US" w:eastAsia="zh-CN" w:bidi="ar-SA"/>
              </w:rPr>
            </w:pPr>
            <w:r>
              <w:rPr>
                <w:rFonts w:hint="eastAsia" w:ascii="宋体" w:hAnsi="宋体"/>
                <w:szCs w:val="24"/>
              </w:rPr>
              <w:t>详见第五卷采购需求</w:t>
            </w:r>
          </w:p>
        </w:tc>
      </w:tr>
      <w:tr w14:paraId="4AB7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49DB04F">
            <w:pPr>
              <w:pStyle w:val="8"/>
              <w:numPr>
                <w:ilvl w:val="0"/>
                <w:numId w:val="1"/>
              </w:numPr>
              <w:spacing w:line="440" w:lineRule="exact"/>
              <w:ind w:firstLineChars="0"/>
              <w:jc w:val="center"/>
              <w:rPr>
                <w:rFonts w:ascii="宋体" w:hAnsi="宋体"/>
                <w:szCs w:val="24"/>
              </w:rPr>
            </w:pPr>
          </w:p>
        </w:tc>
        <w:tc>
          <w:tcPr>
            <w:tcW w:w="1975" w:type="dxa"/>
            <w:vAlign w:val="center"/>
          </w:tcPr>
          <w:p w14:paraId="4A717E07">
            <w:pPr>
              <w:spacing w:line="440" w:lineRule="exact"/>
              <w:jc w:val="center"/>
              <w:rPr>
                <w:rFonts w:ascii="宋体" w:hAnsi="宋体"/>
                <w:szCs w:val="24"/>
              </w:rPr>
            </w:pPr>
            <w:r>
              <w:rPr>
                <w:rFonts w:hint="eastAsia" w:ascii="宋体" w:hAnsi="宋体"/>
                <w:szCs w:val="24"/>
              </w:rPr>
              <w:t>采购方式</w:t>
            </w:r>
          </w:p>
        </w:tc>
        <w:tc>
          <w:tcPr>
            <w:tcW w:w="5475" w:type="dxa"/>
            <w:vAlign w:val="center"/>
          </w:tcPr>
          <w:p w14:paraId="25F5D4C3">
            <w:pPr>
              <w:rPr>
                <w:rFonts w:eastAsia="MS Song"/>
                <w:kern w:val="0"/>
                <w:sz w:val="22"/>
                <w:szCs w:val="22"/>
              </w:rPr>
            </w:pPr>
            <w:sdt>
              <w:sdtPr>
                <w:rPr>
                  <w:rFonts w:hint="eastAsia" w:ascii="宋体" w:hAnsi="宋体"/>
                  <w:szCs w:val="24"/>
                </w:rPr>
                <w:id w:val="147479065"/>
                <w14:checkbox>
                  <w14:checked w14:val="1"/>
                  <w14:checkedState w14:val="25A0" w14:font="等线"/>
                  <w14:uncheckedState w14:val="2610" w14:font="MS Gothic"/>
                </w14:checkbox>
              </w:sdtPr>
              <w:sdtEndPr>
                <w:rPr>
                  <w:rFonts w:hint="eastAsia" w:ascii="宋体" w:hAnsi="宋体"/>
                  <w:szCs w:val="24"/>
                </w:rPr>
              </w:sdtEndPr>
              <w:sdtContent>
                <w:r>
                  <w:rPr>
                    <w:rFonts w:hint="eastAsia" w:ascii="等线" w:hAnsi="等线" w:eastAsia="MS Gothic" w:cs="Times New Roman"/>
                    <w:kern w:val="2"/>
                    <w:sz w:val="24"/>
                    <w:szCs w:val="24"/>
                    <w:lang w:val="en-US" w:eastAsia="zh-CN" w:bidi="ar-SA"/>
                  </w:rPr>
                  <w:t>■</w:t>
                </w:r>
              </w:sdtContent>
            </w:sdt>
            <w:r>
              <w:rPr>
                <w:rFonts w:hint="eastAsia" w:ascii="宋体" w:hAnsi="宋体"/>
                <w:szCs w:val="24"/>
                <w:lang w:val="en-US" w:eastAsia="zh-CN"/>
              </w:rPr>
              <w:t>公开询比</w:t>
            </w:r>
            <w:r>
              <w:rPr>
                <w:rFonts w:hint="eastAsia" w:ascii="宋体" w:hAnsi="宋体"/>
                <w:szCs w:val="24"/>
                <w:lang w:eastAsia="zh-CN"/>
              </w:rPr>
              <w:t>；</w:t>
            </w:r>
          </w:p>
        </w:tc>
      </w:tr>
      <w:tr w14:paraId="4206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28DD7DE">
            <w:pPr>
              <w:pStyle w:val="8"/>
              <w:numPr>
                <w:ilvl w:val="0"/>
                <w:numId w:val="1"/>
              </w:numPr>
              <w:spacing w:line="440" w:lineRule="exact"/>
              <w:ind w:firstLineChars="0"/>
              <w:jc w:val="center"/>
              <w:rPr>
                <w:rFonts w:ascii="宋体" w:hAnsi="宋体"/>
                <w:szCs w:val="24"/>
              </w:rPr>
            </w:pPr>
          </w:p>
        </w:tc>
        <w:tc>
          <w:tcPr>
            <w:tcW w:w="1975" w:type="dxa"/>
            <w:vAlign w:val="center"/>
          </w:tcPr>
          <w:p w14:paraId="0DF54FE3">
            <w:pPr>
              <w:spacing w:line="440" w:lineRule="exact"/>
              <w:jc w:val="center"/>
              <w:rPr>
                <w:rFonts w:ascii="宋体" w:hAnsi="宋体"/>
                <w:szCs w:val="24"/>
              </w:rPr>
            </w:pPr>
            <w:r>
              <w:rPr>
                <w:rFonts w:hint="eastAsia" w:ascii="宋体" w:hAnsi="宋体"/>
                <w:szCs w:val="24"/>
              </w:rPr>
              <w:t>评审办法</w:t>
            </w:r>
          </w:p>
        </w:tc>
        <w:tc>
          <w:tcPr>
            <w:tcW w:w="5475" w:type="dxa"/>
            <w:vAlign w:val="center"/>
          </w:tcPr>
          <w:p w14:paraId="77C060A3">
            <w:pPr>
              <w:spacing w:line="440" w:lineRule="exact"/>
              <w:rPr>
                <w:rFonts w:hint="default" w:ascii="宋体" w:hAnsi="宋体" w:eastAsia="宋体"/>
                <w:szCs w:val="24"/>
                <w:lang w:val="en-US" w:eastAsia="zh-CN"/>
              </w:rPr>
            </w:pPr>
            <w:sdt>
              <w:sdtPr>
                <w:rPr>
                  <w:rFonts w:hint="eastAsia" w:ascii="宋体" w:hAnsi="宋体"/>
                  <w:bCs/>
                  <w:iCs/>
                  <w:color w:val="auto"/>
                  <w:sz w:val="24"/>
                  <w:szCs w:val="24"/>
                </w:rPr>
                <w:id w:val="147472962"/>
                <w14:checkbox>
                  <w14:checked w14:val="1"/>
                  <w14:checkedState w14:val="25A0" w14:font="等线"/>
                  <w14:uncheckedState w14:val="2610" w14:font="MS Gothic"/>
                </w14:checkbox>
              </w:sdtPr>
              <w:sdtEndPr>
                <w:rPr>
                  <w:rFonts w:hint="eastAsia" w:ascii="宋体" w:hAnsi="宋体"/>
                  <w:bCs/>
                  <w:iCs/>
                  <w:color w:val="auto"/>
                  <w:sz w:val="24"/>
                  <w:szCs w:val="24"/>
                </w:rPr>
              </w:sdtEndPr>
              <w:sdtContent>
                <w:r>
                  <w:rPr>
                    <w:rFonts w:hint="eastAsia" w:ascii="等线" w:hAnsi="等线" w:eastAsia="等线" w:cs="Times New Roman"/>
                    <w:bCs/>
                    <w:iCs/>
                    <w:color w:val="auto"/>
                    <w:kern w:val="2"/>
                    <w:sz w:val="24"/>
                    <w:szCs w:val="24"/>
                    <w:lang w:val="en-US" w:eastAsia="zh-CN" w:bidi="ar-SA"/>
                  </w:rPr>
                  <w:t>■</w:t>
                </w:r>
              </w:sdtContent>
            </w:sdt>
            <w:r>
              <w:rPr>
                <w:rFonts w:hint="eastAsia" w:ascii="宋体" w:hAnsi="宋体"/>
                <w:szCs w:val="24"/>
              </w:rPr>
              <w:t>最低价评审法</w:t>
            </w:r>
            <w:r>
              <w:rPr>
                <w:rFonts w:hint="eastAsia" w:ascii="宋体" w:hAnsi="宋体"/>
                <w:szCs w:val="24"/>
                <w:lang w:eastAsia="zh-CN"/>
              </w:rPr>
              <w:t>；</w:t>
            </w:r>
          </w:p>
        </w:tc>
      </w:tr>
      <w:tr w14:paraId="1A22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00C6119">
            <w:pPr>
              <w:pStyle w:val="8"/>
              <w:numPr>
                <w:ilvl w:val="0"/>
                <w:numId w:val="1"/>
              </w:numPr>
              <w:spacing w:line="440" w:lineRule="exact"/>
              <w:ind w:firstLineChars="0"/>
              <w:jc w:val="center"/>
              <w:rPr>
                <w:rFonts w:ascii="宋体" w:hAnsi="宋体"/>
                <w:szCs w:val="24"/>
              </w:rPr>
            </w:pPr>
          </w:p>
        </w:tc>
        <w:tc>
          <w:tcPr>
            <w:tcW w:w="1975" w:type="dxa"/>
            <w:vAlign w:val="center"/>
          </w:tcPr>
          <w:p w14:paraId="079D5B34">
            <w:pPr>
              <w:spacing w:line="440" w:lineRule="exact"/>
              <w:jc w:val="center"/>
              <w:rPr>
                <w:rFonts w:ascii="宋体" w:hAnsi="宋体"/>
                <w:szCs w:val="24"/>
              </w:rPr>
            </w:pPr>
            <w:r>
              <w:rPr>
                <w:rFonts w:hint="eastAsia" w:ascii="宋体" w:hAnsi="宋体"/>
                <w:szCs w:val="24"/>
              </w:rPr>
              <w:t>服务期限</w:t>
            </w:r>
          </w:p>
        </w:tc>
        <w:tc>
          <w:tcPr>
            <w:tcW w:w="5475" w:type="dxa"/>
            <w:vAlign w:val="center"/>
          </w:tcPr>
          <w:p w14:paraId="787A26FB">
            <w:pPr>
              <w:spacing w:line="440" w:lineRule="exact"/>
              <w:rPr>
                <w:rFonts w:ascii="宋体" w:hAnsi="宋体"/>
                <w:szCs w:val="24"/>
              </w:rPr>
            </w:pPr>
            <w:r>
              <w:rPr>
                <w:rFonts w:hint="eastAsia" w:ascii="宋体" w:hAnsi="宋体"/>
                <w:color w:val="auto"/>
                <w:sz w:val="24"/>
                <w:szCs w:val="24"/>
                <w:u w:val="none"/>
                <w:lang w:val="en-US" w:eastAsia="zh-CN"/>
              </w:rPr>
              <w:t>2026</w:t>
            </w:r>
            <w:r>
              <w:rPr>
                <w:rFonts w:hint="eastAsia" w:ascii="宋体" w:hAnsi="宋体"/>
                <w:iCs/>
                <w:color w:val="auto"/>
                <w:sz w:val="24"/>
                <w:szCs w:val="24"/>
                <w:u w:val="none"/>
                <w:lang w:val="en-US" w:eastAsia="zh-CN"/>
              </w:rPr>
              <w:t>年</w:t>
            </w:r>
            <w:r>
              <w:rPr>
                <w:rFonts w:hint="eastAsia" w:ascii="宋体" w:hAnsi="宋体"/>
                <w:color w:val="auto"/>
                <w:sz w:val="24"/>
                <w:szCs w:val="24"/>
                <w:u w:val="none"/>
                <w:lang w:val="en-US" w:eastAsia="zh-CN"/>
              </w:rPr>
              <w:t>5</w:t>
            </w:r>
            <w:r>
              <w:rPr>
                <w:rFonts w:hint="eastAsia" w:ascii="宋体" w:hAnsi="宋体"/>
                <w:iCs/>
                <w:color w:val="auto"/>
                <w:sz w:val="24"/>
                <w:szCs w:val="24"/>
                <w:u w:val="none"/>
                <w:lang w:val="en-US" w:eastAsia="zh-CN"/>
              </w:rPr>
              <w:t>月1日至</w:t>
            </w:r>
            <w:r>
              <w:rPr>
                <w:rFonts w:hint="eastAsia" w:ascii="宋体" w:hAnsi="宋体"/>
                <w:color w:val="auto"/>
                <w:sz w:val="24"/>
                <w:szCs w:val="24"/>
                <w:u w:val="none"/>
                <w:lang w:val="en-US" w:eastAsia="zh-CN"/>
              </w:rPr>
              <w:t>2027</w:t>
            </w:r>
            <w:r>
              <w:rPr>
                <w:rFonts w:hint="eastAsia" w:ascii="宋体" w:hAnsi="宋体"/>
                <w:iCs/>
                <w:color w:val="auto"/>
                <w:sz w:val="24"/>
                <w:szCs w:val="24"/>
                <w:u w:val="none"/>
                <w:lang w:val="en-US" w:eastAsia="zh-CN"/>
              </w:rPr>
              <w:t>年</w:t>
            </w:r>
            <w:r>
              <w:rPr>
                <w:rFonts w:hint="eastAsia" w:ascii="宋体" w:hAnsi="宋体"/>
                <w:color w:val="auto"/>
                <w:sz w:val="24"/>
                <w:szCs w:val="24"/>
                <w:u w:val="none"/>
                <w:lang w:val="en-US" w:eastAsia="zh-CN"/>
              </w:rPr>
              <w:t>4</w:t>
            </w:r>
            <w:r>
              <w:rPr>
                <w:rFonts w:hint="eastAsia" w:ascii="宋体" w:hAnsi="宋体"/>
                <w:iCs/>
                <w:color w:val="auto"/>
                <w:sz w:val="24"/>
                <w:szCs w:val="24"/>
                <w:u w:val="none"/>
                <w:lang w:val="en-US" w:eastAsia="zh-CN"/>
              </w:rPr>
              <w:t>月</w:t>
            </w:r>
            <w:r>
              <w:rPr>
                <w:rFonts w:hint="eastAsia" w:ascii="宋体" w:hAnsi="宋体"/>
                <w:color w:val="auto"/>
                <w:sz w:val="24"/>
                <w:szCs w:val="24"/>
                <w:u w:val="none"/>
                <w:lang w:val="en-US" w:eastAsia="zh-CN"/>
              </w:rPr>
              <w:t>30</w:t>
            </w:r>
            <w:r>
              <w:rPr>
                <w:rFonts w:hint="eastAsia" w:ascii="宋体" w:hAnsi="宋体"/>
                <w:iCs/>
                <w:color w:val="auto"/>
                <w:sz w:val="24"/>
                <w:szCs w:val="24"/>
                <w:u w:val="none"/>
                <w:lang w:val="en-US" w:eastAsia="zh-CN"/>
              </w:rPr>
              <w:t>日</w:t>
            </w:r>
          </w:p>
        </w:tc>
      </w:tr>
      <w:tr w14:paraId="2B88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2BD455">
            <w:pPr>
              <w:pStyle w:val="8"/>
              <w:numPr>
                <w:ilvl w:val="0"/>
                <w:numId w:val="1"/>
              </w:numPr>
              <w:spacing w:line="440" w:lineRule="exact"/>
              <w:ind w:firstLineChars="0"/>
              <w:jc w:val="center"/>
              <w:rPr>
                <w:rFonts w:ascii="宋体" w:hAnsi="宋体"/>
                <w:szCs w:val="24"/>
              </w:rPr>
            </w:pPr>
          </w:p>
        </w:tc>
        <w:tc>
          <w:tcPr>
            <w:tcW w:w="1975" w:type="dxa"/>
            <w:vAlign w:val="center"/>
          </w:tcPr>
          <w:p w14:paraId="3D09B002">
            <w:pPr>
              <w:spacing w:line="440" w:lineRule="exact"/>
              <w:jc w:val="center"/>
              <w:rPr>
                <w:rFonts w:ascii="宋体" w:hAnsi="宋体"/>
                <w:szCs w:val="24"/>
              </w:rPr>
            </w:pPr>
            <w:r>
              <w:rPr>
                <w:rFonts w:hint="eastAsia" w:ascii="宋体" w:hAnsi="宋体"/>
                <w:szCs w:val="24"/>
              </w:rPr>
              <w:t>计价模式</w:t>
            </w:r>
          </w:p>
        </w:tc>
        <w:tc>
          <w:tcPr>
            <w:tcW w:w="5475" w:type="dxa"/>
            <w:vAlign w:val="center"/>
          </w:tcPr>
          <w:p w14:paraId="59DED99C">
            <w:pPr>
              <w:spacing w:line="440" w:lineRule="exact"/>
              <w:rPr>
                <w:rFonts w:hint="default" w:ascii="宋体" w:hAnsi="宋体" w:eastAsia="宋体"/>
                <w:szCs w:val="24"/>
                <w:lang w:val="en-US" w:eastAsia="zh-CN"/>
              </w:rPr>
            </w:pPr>
            <w:sdt>
              <w:sdtPr>
                <w:rPr>
                  <w:rFonts w:hint="eastAsia" w:ascii="宋体" w:hAnsi="宋体"/>
                  <w:bCs/>
                  <w:iCs/>
                  <w:color w:val="auto"/>
                  <w:sz w:val="24"/>
                  <w:szCs w:val="24"/>
                </w:rPr>
                <w:id w:val="147462691"/>
                <w14:checkbox>
                  <w14:checked w14:val="1"/>
                  <w14:checkedState w14:val="25A0" w14:font="等线"/>
                  <w14:uncheckedState w14:val="2610" w14:font="MS Gothic"/>
                </w14:checkbox>
              </w:sdtPr>
              <w:sdtEndPr>
                <w:rPr>
                  <w:rFonts w:hint="eastAsia" w:ascii="宋体" w:hAnsi="宋体"/>
                  <w:bCs/>
                  <w:iCs/>
                  <w:color w:val="auto"/>
                  <w:sz w:val="24"/>
                  <w:szCs w:val="24"/>
                </w:rPr>
              </w:sdtEndPr>
              <w:sdtContent>
                <w:r>
                  <w:rPr>
                    <w:rFonts w:hint="eastAsia" w:ascii="等线" w:hAnsi="等线" w:eastAsia="等线" w:cs="Times New Roman"/>
                    <w:bCs/>
                    <w:iCs/>
                    <w:color w:val="auto"/>
                    <w:kern w:val="2"/>
                    <w:sz w:val="24"/>
                    <w:szCs w:val="24"/>
                    <w:lang w:val="en-US" w:eastAsia="zh-CN" w:bidi="ar-SA"/>
                  </w:rPr>
                  <w:t>■</w:t>
                </w:r>
              </w:sdtContent>
            </w:sdt>
            <w:r>
              <w:rPr>
                <w:rFonts w:hint="eastAsia" w:ascii="宋体" w:hAnsi="宋体"/>
                <w:bCs/>
                <w:iCs/>
                <w:color w:val="auto"/>
                <w:sz w:val="24"/>
                <w:szCs w:val="24"/>
                <w:lang w:val="en-US" w:eastAsia="zh-CN"/>
              </w:rPr>
              <w:t>总价模式</w:t>
            </w:r>
          </w:p>
        </w:tc>
      </w:tr>
      <w:tr w14:paraId="5F7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52AA076">
            <w:pPr>
              <w:pStyle w:val="8"/>
              <w:numPr>
                <w:ilvl w:val="0"/>
                <w:numId w:val="1"/>
              </w:numPr>
              <w:spacing w:line="440" w:lineRule="exact"/>
              <w:ind w:firstLineChars="0"/>
              <w:jc w:val="center"/>
              <w:rPr>
                <w:rFonts w:ascii="宋体" w:hAnsi="宋体"/>
                <w:szCs w:val="24"/>
              </w:rPr>
            </w:pPr>
          </w:p>
        </w:tc>
        <w:tc>
          <w:tcPr>
            <w:tcW w:w="1975" w:type="dxa"/>
            <w:vAlign w:val="center"/>
          </w:tcPr>
          <w:p w14:paraId="0CC4B7B0">
            <w:pPr>
              <w:spacing w:line="440" w:lineRule="exact"/>
              <w:jc w:val="center"/>
              <w:rPr>
                <w:rFonts w:ascii="宋体" w:hAnsi="宋体"/>
                <w:szCs w:val="24"/>
              </w:rPr>
            </w:pPr>
            <w:r>
              <w:rPr>
                <w:rFonts w:hint="eastAsia" w:ascii="宋体" w:hAnsi="宋体"/>
                <w:szCs w:val="24"/>
              </w:rPr>
              <w:t>付款办法</w:t>
            </w:r>
          </w:p>
        </w:tc>
        <w:tc>
          <w:tcPr>
            <w:tcW w:w="5475" w:type="dxa"/>
            <w:vAlign w:val="center"/>
          </w:tcPr>
          <w:p w14:paraId="6142DED9">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440" w:lineRule="exact"/>
              <w:ind w:right="0" w:rightChars="0"/>
              <w:jc w:val="both"/>
              <w:textAlignment w:val="auto"/>
              <w:rPr>
                <w:rFonts w:hint="eastAsia" w:ascii="宋体" w:hAnsi="宋体" w:eastAsia="宋体" w:cs="Times New Roman"/>
                <w:b w:val="0"/>
                <w:bCs w:val="0"/>
                <w:color w:val="000000"/>
                <w:kern w:val="2"/>
                <w:sz w:val="24"/>
                <w:szCs w:val="24"/>
              </w:rPr>
            </w:pPr>
            <w:r>
              <w:rPr>
                <w:rFonts w:hint="eastAsia" w:ascii="宋体" w:hAnsi="宋体" w:eastAsia="宋体" w:cs="Times New Roman"/>
                <w:b w:val="0"/>
                <w:bCs w:val="0"/>
                <w:color w:val="000000"/>
                <w:kern w:val="2"/>
                <w:sz w:val="24"/>
                <w:szCs w:val="24"/>
                <w:lang w:val="en-US" w:eastAsia="zh-CN" w:bidi="ar-SA"/>
              </w:rPr>
              <w:t>（一）</w:t>
            </w:r>
            <w:r>
              <w:rPr>
                <w:rFonts w:hint="eastAsia" w:ascii="宋体" w:hAnsi="宋体" w:eastAsia="宋体" w:cs="宋体"/>
                <w:b w:val="0"/>
                <w:bCs w:val="0"/>
                <w:color w:val="000000"/>
                <w:kern w:val="2"/>
                <w:sz w:val="24"/>
                <w:szCs w:val="24"/>
                <w:lang w:val="en-US" w:eastAsia="zh-CN" w:bidi="ar"/>
              </w:rPr>
              <w:t>按自然月份结算虫害消杀服务费；</w:t>
            </w:r>
          </w:p>
          <w:p w14:paraId="3318080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rPr>
                <w:rFonts w:hint="default" w:ascii="宋体" w:hAnsi="宋体"/>
                <w:szCs w:val="24"/>
                <w:lang w:val="en-US"/>
              </w:rPr>
            </w:pPr>
            <w:r>
              <w:rPr>
                <w:rFonts w:hint="default" w:ascii="宋体" w:hAnsi="宋体" w:eastAsia="宋体" w:cs="Times New Roman"/>
                <w:kern w:val="2"/>
                <w:sz w:val="24"/>
                <w:szCs w:val="32"/>
                <w:lang w:val="en-US" w:eastAsia="zh-CN" w:bidi="ar-SA"/>
              </w:rPr>
              <w:t>（二）</w:t>
            </w:r>
            <w:r>
              <w:rPr>
                <w:rFonts w:hint="default" w:ascii="宋体" w:hAnsi="宋体" w:eastAsia="宋体"/>
                <w:sz w:val="24"/>
                <w:lang w:val="en-US" w:eastAsia="zh-CN"/>
              </w:rPr>
              <w:t>乙方应于每月 5 日之前向甲方开具上个月合法有效的增值税专用发票（税率 3 %</w:t>
            </w:r>
            <w:r>
              <w:rPr>
                <w:rFonts w:hint="eastAsia" w:ascii="宋体" w:hAnsi="宋体" w:eastAsia="宋体"/>
                <w:sz w:val="24"/>
                <w:lang w:val="en-US" w:eastAsia="zh-CN"/>
              </w:rPr>
              <w:t>/6%，税目*现代服务*</w:t>
            </w:r>
            <w:r>
              <w:rPr>
                <w:rFonts w:hint="default" w:ascii="宋体" w:hAnsi="宋体" w:eastAsia="宋体"/>
                <w:sz w:val="24"/>
                <w:lang w:val="en-US" w:eastAsia="zh-CN"/>
              </w:rPr>
              <w:t>），甲方收到乙方开具的增值税专用发票并确认无误，扣除乙方应支付的违约金、赔偿金后的 30个工作日内向乙方支付上个月价款。若遇支付日为法定节假日或财务结账日（每月 1-3 日），则顺延至下一工作日支付。如遇国家税率调整，不含税金额不变，含税金额按新税率计算相应调整。</w:t>
            </w:r>
          </w:p>
        </w:tc>
      </w:tr>
      <w:tr w14:paraId="02A3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27C327">
            <w:pPr>
              <w:pStyle w:val="8"/>
              <w:numPr>
                <w:ilvl w:val="0"/>
                <w:numId w:val="1"/>
              </w:numPr>
              <w:spacing w:line="440" w:lineRule="exact"/>
              <w:ind w:firstLineChars="0"/>
              <w:jc w:val="center"/>
              <w:rPr>
                <w:rFonts w:ascii="宋体" w:hAnsi="宋体"/>
                <w:szCs w:val="24"/>
              </w:rPr>
            </w:pPr>
          </w:p>
        </w:tc>
        <w:tc>
          <w:tcPr>
            <w:tcW w:w="1975" w:type="dxa"/>
            <w:vAlign w:val="center"/>
          </w:tcPr>
          <w:p w14:paraId="7E4FAD7B">
            <w:pPr>
              <w:spacing w:line="440" w:lineRule="exact"/>
              <w:jc w:val="center"/>
              <w:rPr>
                <w:rFonts w:ascii="宋体" w:hAnsi="宋体"/>
                <w:szCs w:val="24"/>
              </w:rPr>
            </w:pPr>
            <w:r>
              <w:rPr>
                <w:rFonts w:hint="eastAsia" w:ascii="宋体" w:hAnsi="宋体"/>
                <w:szCs w:val="24"/>
              </w:rPr>
              <w:t>供应商资格要求</w:t>
            </w:r>
          </w:p>
        </w:tc>
        <w:tc>
          <w:tcPr>
            <w:tcW w:w="5475" w:type="dxa"/>
            <w:vAlign w:val="center"/>
          </w:tcPr>
          <w:p w14:paraId="69B71508">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eastAsia" w:ascii="宋体" w:hAnsi="宋体" w:eastAsia="宋体"/>
                <w:b w:val="0"/>
                <w:bCs w:val="0"/>
                <w:color w:val="000000" w:themeColor="text1"/>
                <w:sz w:val="24"/>
                <w:szCs w:val="24"/>
                <w:lang w:val="en-US" w:eastAsia="zh-CN"/>
                <w14:textFill>
                  <w14:solidFill>
                    <w14:schemeClr w14:val="tx1"/>
                  </w14:solidFill>
                </w14:textFill>
              </w:rPr>
            </w:pPr>
            <w:r>
              <w:rPr>
                <w:rFonts w:hint="eastAsia" w:ascii="宋体" w:hAnsi="宋体" w:eastAsia="宋体"/>
                <w:b w:val="0"/>
                <w:bCs w:val="0"/>
                <w:color w:val="000000" w:themeColor="text1"/>
                <w:sz w:val="24"/>
                <w:szCs w:val="24"/>
                <w:lang w:val="en-US" w:eastAsia="zh-CN"/>
                <w14:textFill>
                  <w14:solidFill>
                    <w14:schemeClr w14:val="tx1"/>
                  </w14:solidFill>
                </w14:textFill>
              </w:rPr>
              <w:t>（一）报价方提供有效营业执照与服务资质A级；</w:t>
            </w:r>
          </w:p>
          <w:p w14:paraId="701E1279">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eastAsia" w:ascii="宋体" w:hAnsi="宋体" w:eastAsia="宋体"/>
                <w:b w:val="0"/>
                <w:bCs w:val="0"/>
                <w:color w:val="000000" w:themeColor="text1"/>
                <w:sz w:val="24"/>
                <w:szCs w:val="24"/>
                <w:lang w:val="en-US" w:eastAsia="zh-CN"/>
                <w14:textFill>
                  <w14:solidFill>
                    <w14:schemeClr w14:val="tx1"/>
                  </w14:solidFill>
                </w14:textFill>
              </w:rPr>
            </w:pPr>
            <w:r>
              <w:rPr>
                <w:rFonts w:hint="eastAsia" w:ascii="宋体" w:hAnsi="宋体" w:eastAsia="宋体"/>
                <w:b w:val="0"/>
                <w:bCs w:val="0"/>
                <w:color w:val="000000" w:themeColor="text1"/>
                <w:sz w:val="24"/>
                <w:szCs w:val="24"/>
                <w:lang w:val="en-US" w:eastAsia="zh-CN"/>
                <w14:textFill>
                  <w14:solidFill>
                    <w14:schemeClr w14:val="tx1"/>
                  </w14:solidFill>
                </w14:textFill>
              </w:rPr>
              <w:t>（二）具有独立法人资格；</w:t>
            </w:r>
          </w:p>
          <w:p w14:paraId="6E39CCB4">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eastAsia" w:ascii="宋体" w:hAnsi="宋体" w:eastAsia="宋体"/>
                <w:b w:val="0"/>
                <w:bCs w:val="0"/>
                <w:color w:val="000000" w:themeColor="text1"/>
                <w:sz w:val="24"/>
                <w:szCs w:val="24"/>
                <w:lang w:val="en-US" w:eastAsia="zh-CN"/>
                <w14:textFill>
                  <w14:solidFill>
                    <w14:schemeClr w14:val="tx1"/>
                  </w14:solidFill>
                </w14:textFill>
              </w:rPr>
            </w:pPr>
            <w:r>
              <w:rPr>
                <w:rFonts w:hint="eastAsia" w:ascii="宋体" w:hAnsi="宋体" w:eastAsia="宋体"/>
                <w:b w:val="0"/>
                <w:bCs w:val="0"/>
                <w:color w:val="000000" w:themeColor="text1"/>
                <w:sz w:val="24"/>
                <w:szCs w:val="24"/>
                <w:lang w:val="en-US" w:eastAsia="zh-CN"/>
                <w14:textFill>
                  <w14:solidFill>
                    <w14:schemeClr w14:val="tx1"/>
                  </w14:solidFill>
                </w14:textFill>
              </w:rPr>
              <w:t>（三）作业人员需具备有害生物防制资格证书；</w:t>
            </w:r>
          </w:p>
          <w:p w14:paraId="67A32F1E">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default" w:ascii="宋体" w:hAnsi="宋体" w:eastAsia="宋体"/>
                <w:b w:val="0"/>
                <w:bCs w:val="0"/>
                <w:color w:val="000000" w:themeColor="text1"/>
                <w:sz w:val="24"/>
                <w:szCs w:val="24"/>
                <w:lang w:val="en-US" w:eastAsia="zh-CN"/>
                <w14:textFill>
                  <w14:solidFill>
                    <w14:schemeClr w14:val="tx1"/>
                  </w14:solidFill>
                </w14:textFill>
              </w:rPr>
            </w:pPr>
            <w:r>
              <w:rPr>
                <w:rFonts w:hint="eastAsia" w:ascii="宋体" w:hAnsi="宋体" w:eastAsia="宋体"/>
                <w:b w:val="0"/>
                <w:bCs w:val="0"/>
                <w:color w:val="000000" w:themeColor="text1"/>
                <w:sz w:val="24"/>
                <w:szCs w:val="24"/>
                <w:lang w:val="en-US" w:eastAsia="zh-CN"/>
                <w14:textFill>
                  <w14:solidFill>
                    <w14:schemeClr w14:val="tx1"/>
                  </w14:solidFill>
                </w14:textFill>
              </w:rPr>
              <w:t>（四）可提供杀虫剂资质，符合《中华人民共和国农药管理条例》的要求；</w:t>
            </w:r>
          </w:p>
          <w:p w14:paraId="04D58E41">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eastAsia" w:ascii="宋体" w:hAnsi="宋体" w:eastAsia="宋体"/>
                <w:b w:val="0"/>
                <w:bCs w:val="0"/>
                <w:color w:val="000000" w:themeColor="text1"/>
                <w:sz w:val="24"/>
                <w:szCs w:val="24"/>
                <w:lang w:val="en-US" w:eastAsia="zh-CN"/>
                <w14:textFill>
                  <w14:solidFill>
                    <w14:schemeClr w14:val="tx1"/>
                  </w14:solidFill>
                </w14:textFill>
              </w:rPr>
            </w:pPr>
            <w:r>
              <w:rPr>
                <w:rFonts w:hint="eastAsia" w:ascii="宋体" w:hAnsi="宋体" w:eastAsia="宋体"/>
                <w:b w:val="0"/>
                <w:bCs w:val="0"/>
                <w:color w:val="000000" w:themeColor="text1"/>
                <w:sz w:val="24"/>
                <w:szCs w:val="24"/>
                <w:lang w:val="en-US" w:eastAsia="zh-CN"/>
                <w14:textFill>
                  <w14:solidFill>
                    <w14:schemeClr w14:val="tx1"/>
                  </w14:solidFill>
                </w14:textFill>
              </w:rPr>
              <w:t>（五）能够提供增值税发票（提供发票扫描件），对应业务开票内容要符合当地税务机关要求；</w:t>
            </w:r>
          </w:p>
          <w:p w14:paraId="378C65D6">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eastAsia="宋体"/>
                <w:b w:val="0"/>
                <w:bCs w:val="0"/>
                <w:color w:val="000000" w:themeColor="text1"/>
                <w:sz w:val="24"/>
                <w:szCs w:val="24"/>
                <w:lang w:val="en-US" w:eastAsia="zh-CN"/>
                <w14:textFill>
                  <w14:solidFill>
                    <w14:schemeClr w14:val="tx1"/>
                  </w14:solidFill>
                </w14:textFill>
              </w:rPr>
              <w:t>（六）信誉要求：投标人近三年无税收违法案件，且未被列入失信被执行人名录、政府采购违法失信行为记录名单。投标人参与本次采购活动时，需通过“信用中国”网站、国家企业信用信息公示系统进行查询，并将查询结果网页截图打印随投标所有文件上传守正平台。</w:t>
            </w:r>
          </w:p>
        </w:tc>
      </w:tr>
      <w:tr w14:paraId="6106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DC88F82">
            <w:pPr>
              <w:pStyle w:val="8"/>
              <w:numPr>
                <w:ilvl w:val="0"/>
                <w:numId w:val="1"/>
              </w:numPr>
              <w:spacing w:line="440" w:lineRule="exact"/>
              <w:ind w:firstLineChars="0"/>
              <w:jc w:val="center"/>
              <w:rPr>
                <w:rFonts w:ascii="宋体" w:hAnsi="宋体"/>
                <w:szCs w:val="24"/>
              </w:rPr>
            </w:pPr>
          </w:p>
        </w:tc>
        <w:tc>
          <w:tcPr>
            <w:tcW w:w="1975" w:type="dxa"/>
            <w:vAlign w:val="center"/>
          </w:tcPr>
          <w:p w14:paraId="5647F5BB">
            <w:pPr>
              <w:spacing w:line="440" w:lineRule="exact"/>
              <w:jc w:val="center"/>
              <w:rPr>
                <w:rFonts w:hint="default" w:ascii="宋体" w:hAnsi="宋体" w:eastAsia="宋体"/>
                <w:szCs w:val="24"/>
                <w:lang w:val="en-US" w:eastAsia="zh-CN"/>
              </w:rPr>
            </w:pPr>
            <w:r>
              <w:rPr>
                <w:rFonts w:hint="eastAsia" w:ascii="宋体" w:hAnsi="宋体"/>
                <w:szCs w:val="24"/>
                <w:lang w:val="en-US" w:eastAsia="zh-CN"/>
              </w:rPr>
              <w:t>最高限价</w:t>
            </w:r>
          </w:p>
        </w:tc>
        <w:tc>
          <w:tcPr>
            <w:tcW w:w="5475" w:type="dxa"/>
            <w:vAlign w:val="center"/>
          </w:tcPr>
          <w:p w14:paraId="3640E25D">
            <w:pPr>
              <w:spacing w:line="440" w:lineRule="exac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iCs/>
                <w:color w:val="000000" w:themeColor="text1"/>
                <w:sz w:val="24"/>
                <w:szCs w:val="24"/>
                <w:lang w:val="en-US" w:eastAsia="zh-CN"/>
                <w14:textFill>
                  <w14:solidFill>
                    <w14:schemeClr w14:val="tx1"/>
                  </w14:solidFill>
                </w14:textFill>
              </w:rPr>
              <w:t>无</w:t>
            </w:r>
          </w:p>
        </w:tc>
      </w:tr>
      <w:tr w14:paraId="23A5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F38FD63">
            <w:pPr>
              <w:pStyle w:val="8"/>
              <w:numPr>
                <w:ilvl w:val="0"/>
                <w:numId w:val="1"/>
              </w:numPr>
              <w:spacing w:line="440" w:lineRule="exact"/>
              <w:ind w:firstLineChars="0"/>
              <w:jc w:val="center"/>
              <w:rPr>
                <w:rFonts w:ascii="宋体" w:hAnsi="宋体"/>
                <w:szCs w:val="24"/>
              </w:rPr>
            </w:pPr>
          </w:p>
        </w:tc>
        <w:tc>
          <w:tcPr>
            <w:tcW w:w="1975" w:type="dxa"/>
            <w:vAlign w:val="center"/>
          </w:tcPr>
          <w:p w14:paraId="020B3DFA">
            <w:pPr>
              <w:spacing w:line="440" w:lineRule="exact"/>
              <w:jc w:val="center"/>
              <w:rPr>
                <w:rFonts w:ascii="宋体" w:hAnsi="宋体"/>
                <w:szCs w:val="24"/>
              </w:rPr>
            </w:pPr>
            <w:r>
              <w:rPr>
                <w:rFonts w:hint="eastAsia" w:ascii="宋体" w:hAnsi="宋体"/>
                <w:szCs w:val="24"/>
              </w:rPr>
              <w:t>响应有效期</w:t>
            </w:r>
          </w:p>
        </w:tc>
        <w:tc>
          <w:tcPr>
            <w:tcW w:w="5475" w:type="dxa"/>
            <w:vAlign w:val="center"/>
          </w:tcPr>
          <w:p w14:paraId="728C0BA6">
            <w:pPr>
              <w:spacing w:line="44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自提交响应文件截止之日起</w:t>
            </w:r>
            <w:r>
              <w:rPr>
                <w:rFonts w:hint="eastAsia"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u w:val="single"/>
                <w14:textFill>
                  <w14:solidFill>
                    <w14:schemeClr w14:val="tx1"/>
                  </w14:solidFill>
                </w14:textFill>
              </w:rPr>
              <w:t xml:space="preserve">60 </w:t>
            </w:r>
            <w:r>
              <w:rPr>
                <w:rFonts w:hint="eastAsia" w:ascii="宋体" w:hAnsi="宋体"/>
                <w:color w:val="000000" w:themeColor="text1"/>
                <w:szCs w:val="24"/>
                <w14:textFill>
                  <w14:solidFill>
                    <w14:schemeClr w14:val="tx1"/>
                  </w14:solidFill>
                </w14:textFill>
              </w:rPr>
              <w:t>日历天</w:t>
            </w:r>
          </w:p>
        </w:tc>
      </w:tr>
      <w:tr w14:paraId="6896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DE4AC2A">
            <w:pPr>
              <w:pStyle w:val="8"/>
              <w:numPr>
                <w:ilvl w:val="0"/>
                <w:numId w:val="1"/>
              </w:numPr>
              <w:spacing w:line="440" w:lineRule="exact"/>
              <w:ind w:firstLineChars="0"/>
              <w:jc w:val="center"/>
              <w:rPr>
                <w:rFonts w:ascii="宋体" w:hAnsi="宋体"/>
                <w:szCs w:val="24"/>
              </w:rPr>
            </w:pPr>
          </w:p>
        </w:tc>
        <w:tc>
          <w:tcPr>
            <w:tcW w:w="1975" w:type="dxa"/>
            <w:vAlign w:val="center"/>
          </w:tcPr>
          <w:p w14:paraId="7FF1D07E">
            <w:pPr>
              <w:spacing w:line="440" w:lineRule="exact"/>
              <w:jc w:val="center"/>
              <w:rPr>
                <w:rFonts w:ascii="宋体" w:hAnsi="宋体"/>
                <w:szCs w:val="24"/>
              </w:rPr>
            </w:pPr>
            <w:r>
              <w:rPr>
                <w:rFonts w:hint="eastAsia" w:ascii="宋体" w:hAnsi="宋体"/>
                <w:szCs w:val="24"/>
              </w:rPr>
              <w:t>提交响应文件的方式和截止时间</w:t>
            </w:r>
          </w:p>
        </w:tc>
        <w:tc>
          <w:tcPr>
            <w:tcW w:w="5475" w:type="dxa"/>
            <w:vAlign w:val="center"/>
          </w:tcPr>
          <w:p w14:paraId="7D3A97F4">
            <w:pPr>
              <w:spacing w:line="440" w:lineRule="exac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见采购公告/邀请书</w:t>
            </w:r>
          </w:p>
        </w:tc>
      </w:tr>
      <w:tr w14:paraId="27A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CF5360D">
            <w:pPr>
              <w:pStyle w:val="8"/>
              <w:numPr>
                <w:ilvl w:val="0"/>
                <w:numId w:val="1"/>
              </w:numPr>
              <w:spacing w:line="440" w:lineRule="exact"/>
              <w:ind w:firstLineChars="0"/>
              <w:jc w:val="center"/>
              <w:rPr>
                <w:rFonts w:ascii="宋体" w:hAnsi="宋体"/>
                <w:szCs w:val="24"/>
              </w:rPr>
            </w:pPr>
          </w:p>
        </w:tc>
        <w:tc>
          <w:tcPr>
            <w:tcW w:w="1975" w:type="dxa"/>
            <w:vAlign w:val="center"/>
          </w:tcPr>
          <w:p w14:paraId="4E5F669F">
            <w:pPr>
              <w:spacing w:line="440" w:lineRule="exact"/>
              <w:jc w:val="center"/>
              <w:rPr>
                <w:rFonts w:hint="eastAsia" w:ascii="宋体" w:hAnsi="宋体"/>
                <w:szCs w:val="24"/>
              </w:rPr>
            </w:pPr>
            <w:r>
              <w:rPr>
                <w:rFonts w:hint="eastAsia" w:ascii="宋体" w:hAnsi="宋体" w:eastAsia="宋体"/>
                <w:sz w:val="24"/>
                <w:szCs w:val="24"/>
              </w:rPr>
              <w:t>响应保证金</w:t>
            </w:r>
          </w:p>
        </w:tc>
        <w:tc>
          <w:tcPr>
            <w:tcW w:w="5475" w:type="dxa"/>
            <w:vAlign w:val="center"/>
          </w:tcPr>
          <w:p w14:paraId="43C1872F">
            <w:pPr>
              <w:spacing w:line="440" w:lineRule="exact"/>
              <w:rPr>
                <w:rFonts w:hint="default" w:ascii="宋体" w:hAnsi="宋体" w:eastAsia="宋体"/>
                <w:color w:val="000000" w:themeColor="text1"/>
                <w:szCs w:val="24"/>
                <w:lang w:val="en-US" w:eastAsia="zh-CN"/>
                <w14:textFill>
                  <w14:solidFill>
                    <w14:schemeClr w14:val="tx1"/>
                  </w14:solidFill>
                </w14:textFill>
              </w:rPr>
            </w:pPr>
            <w:r>
              <w:rPr>
                <w:rFonts w:hint="eastAsia" w:ascii="宋体" w:hAnsi="宋体" w:eastAsia="宋体"/>
                <w:iCs/>
                <w:color w:val="000000" w:themeColor="text1"/>
                <w:sz w:val="24"/>
                <w:szCs w:val="24"/>
                <w14:textFill>
                  <w14:solidFill>
                    <w14:schemeClr w14:val="tx1"/>
                  </w14:solidFill>
                </w14:textFill>
              </w:rPr>
              <w:t>响应保证金金额：</w:t>
            </w:r>
            <w:r>
              <w:rPr>
                <w:rFonts w:hint="eastAsia" w:ascii="宋体" w:hAnsi="宋体"/>
                <w:iCs/>
                <w:color w:val="000000" w:themeColor="text1"/>
                <w:sz w:val="24"/>
                <w:szCs w:val="24"/>
                <w:lang w:val="en-US" w:eastAsia="zh-CN"/>
                <w14:textFill>
                  <w14:solidFill>
                    <w14:schemeClr w14:val="tx1"/>
                  </w14:solidFill>
                </w14:textFill>
              </w:rPr>
              <w:t>不收取</w:t>
            </w:r>
          </w:p>
        </w:tc>
      </w:tr>
      <w:tr w14:paraId="0238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EE90589">
            <w:pPr>
              <w:pStyle w:val="8"/>
              <w:numPr>
                <w:ilvl w:val="0"/>
                <w:numId w:val="1"/>
              </w:numPr>
              <w:spacing w:line="440" w:lineRule="exact"/>
              <w:ind w:firstLineChars="0"/>
              <w:jc w:val="center"/>
              <w:rPr>
                <w:rFonts w:ascii="宋体" w:hAnsi="宋体"/>
                <w:szCs w:val="24"/>
              </w:rPr>
            </w:pPr>
          </w:p>
        </w:tc>
        <w:tc>
          <w:tcPr>
            <w:tcW w:w="1975" w:type="dxa"/>
            <w:shd w:val="clear" w:color="auto" w:fill="auto"/>
            <w:vAlign w:val="center"/>
          </w:tcPr>
          <w:p w14:paraId="25ADC1B2">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eastAsia="宋体"/>
                <w:sz w:val="24"/>
                <w:szCs w:val="24"/>
              </w:rPr>
              <w:t>履约保证金</w:t>
            </w:r>
          </w:p>
        </w:tc>
        <w:tc>
          <w:tcPr>
            <w:tcW w:w="5475" w:type="dxa"/>
            <w:shd w:val="clear" w:color="auto" w:fill="auto"/>
            <w:vAlign w:val="center"/>
          </w:tcPr>
          <w:p w14:paraId="4CC6FBAD">
            <w:pPr>
              <w:spacing w:line="440" w:lineRule="exact"/>
              <w:rPr>
                <w:rFonts w:hint="eastAsia" w:ascii="宋体" w:hAnsi="宋体" w:eastAsia="宋体"/>
                <w:iCs/>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履约保证金的金额：</w:t>
            </w:r>
            <w:r>
              <w:rPr>
                <w:rFonts w:hint="eastAsia" w:ascii="宋体" w:hAnsi="宋体"/>
                <w:iCs/>
                <w:color w:val="000000" w:themeColor="text1"/>
                <w:sz w:val="24"/>
                <w:szCs w:val="24"/>
                <w:lang w:val="en-US" w:eastAsia="zh-CN"/>
                <w14:textFill>
                  <w14:solidFill>
                    <w14:schemeClr w14:val="tx1"/>
                  </w14:solidFill>
                </w14:textFill>
              </w:rPr>
              <w:t>不收取</w:t>
            </w:r>
          </w:p>
        </w:tc>
      </w:tr>
      <w:tr w14:paraId="3488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ABDFE92">
            <w:pPr>
              <w:pStyle w:val="8"/>
              <w:numPr>
                <w:ilvl w:val="0"/>
                <w:numId w:val="1"/>
              </w:numPr>
              <w:spacing w:line="440" w:lineRule="exact"/>
              <w:ind w:firstLineChars="0"/>
              <w:jc w:val="center"/>
              <w:rPr>
                <w:rFonts w:ascii="宋体" w:hAnsi="宋体"/>
                <w:szCs w:val="24"/>
              </w:rPr>
            </w:pPr>
          </w:p>
        </w:tc>
        <w:tc>
          <w:tcPr>
            <w:tcW w:w="1975" w:type="dxa"/>
            <w:vAlign w:val="center"/>
          </w:tcPr>
          <w:p w14:paraId="16276B4E">
            <w:pPr>
              <w:spacing w:line="440" w:lineRule="exact"/>
              <w:jc w:val="center"/>
              <w:rPr>
                <w:rFonts w:ascii="宋体" w:hAnsi="宋体"/>
                <w:szCs w:val="24"/>
              </w:rPr>
            </w:pPr>
            <w:r>
              <w:rPr>
                <w:rFonts w:hint="eastAsia" w:ascii="宋体" w:hAnsi="宋体"/>
                <w:szCs w:val="24"/>
              </w:rPr>
              <w:t>其他事项</w:t>
            </w:r>
          </w:p>
        </w:tc>
        <w:tc>
          <w:tcPr>
            <w:tcW w:w="5475" w:type="dxa"/>
            <w:vAlign w:val="center"/>
          </w:tcPr>
          <w:p w14:paraId="1B614A36">
            <w:pPr>
              <w:pStyle w:val="8"/>
              <w:numPr>
                <w:ilvl w:val="0"/>
                <w:numId w:val="2"/>
              </w:numPr>
              <w:spacing w:line="440" w:lineRule="exact"/>
              <w:ind w:left="0" w:firstLine="0" w:firstLineChars="0"/>
              <w:rPr>
                <w:rFonts w:ascii="宋体" w:hAnsi="宋体" w:eastAsia="宋体"/>
                <w:sz w:val="24"/>
                <w:szCs w:val="24"/>
              </w:rPr>
            </w:pPr>
            <w:r>
              <w:rPr>
                <w:rFonts w:hint="eastAsia" w:ascii="宋体" w:hAnsi="宋体" w:eastAsia="宋体"/>
                <w:sz w:val="24"/>
                <w:szCs w:val="24"/>
              </w:rPr>
              <w:t>供应商应当遵守附件“廉洁合规承诺书”的规定。</w:t>
            </w:r>
          </w:p>
          <w:p w14:paraId="2923B170">
            <w:pPr>
              <w:pStyle w:val="8"/>
              <w:numPr>
                <w:ilvl w:val="0"/>
                <w:numId w:val="2"/>
              </w:numPr>
              <w:spacing w:line="440" w:lineRule="exact"/>
              <w:ind w:left="0" w:firstLine="0" w:firstLineChars="0"/>
              <w:rPr>
                <w:rFonts w:ascii="宋体" w:hAnsi="宋体" w:eastAsia="宋体"/>
                <w:sz w:val="24"/>
                <w:szCs w:val="24"/>
              </w:rPr>
            </w:pPr>
            <w:r>
              <w:rPr>
                <w:rFonts w:ascii="宋体" w:hAnsi="宋体" w:eastAsia="宋体"/>
                <w:sz w:val="24"/>
                <w:szCs w:val="24"/>
              </w:rPr>
              <w:t>本项目采购通过</w:t>
            </w:r>
            <w:r>
              <w:rPr>
                <w:rFonts w:hint="eastAsia" w:ascii="宋体" w:hAnsi="宋体" w:eastAsia="宋体"/>
                <w:sz w:val="24"/>
                <w:szCs w:val="24"/>
              </w:rPr>
              <w:t>华润集团守正电子招标采购平台（简称平台）</w:t>
            </w:r>
            <w:r>
              <w:rPr>
                <w:rFonts w:ascii="宋体" w:hAnsi="宋体" w:eastAsia="宋体"/>
                <w:sz w:val="24"/>
                <w:szCs w:val="24"/>
              </w:rPr>
              <w:t>线上进行，供应商需</w:t>
            </w:r>
            <w:r>
              <w:rPr>
                <w:rFonts w:hint="eastAsia" w:ascii="宋体" w:hAnsi="宋体" w:eastAsia="宋体"/>
                <w:sz w:val="24"/>
                <w:szCs w:val="24"/>
              </w:rPr>
              <w:t>在</w:t>
            </w:r>
            <w:r>
              <w:rPr>
                <w:rFonts w:ascii="宋体" w:hAnsi="宋体" w:eastAsia="宋体"/>
                <w:sz w:val="24"/>
                <w:szCs w:val="24"/>
              </w:rPr>
              <w:t>平台注册，通过平台递交响应文件</w:t>
            </w:r>
            <w:r>
              <w:rPr>
                <w:rFonts w:hint="eastAsia" w:ascii="宋体" w:hAnsi="宋体" w:eastAsia="宋体"/>
                <w:sz w:val="24"/>
                <w:szCs w:val="24"/>
              </w:rPr>
              <w:t>和</w:t>
            </w:r>
            <w:r>
              <w:rPr>
                <w:rFonts w:ascii="宋体" w:hAnsi="宋体" w:eastAsia="宋体"/>
                <w:sz w:val="24"/>
                <w:szCs w:val="24"/>
              </w:rPr>
              <w:t>报价</w:t>
            </w:r>
            <w:r>
              <w:rPr>
                <w:rFonts w:hint="eastAsia" w:ascii="宋体" w:hAnsi="宋体" w:eastAsia="宋体"/>
                <w:sz w:val="24"/>
                <w:szCs w:val="24"/>
              </w:rPr>
              <w:t>。</w:t>
            </w:r>
            <w:r>
              <w:rPr>
                <w:rFonts w:ascii="宋体" w:hAnsi="宋体" w:eastAsia="宋体"/>
                <w:sz w:val="24"/>
                <w:szCs w:val="24"/>
              </w:rPr>
              <w:t>具体操作步骤可查阅</w:t>
            </w:r>
            <w:r>
              <w:rPr>
                <w:rFonts w:hint="eastAsia" w:ascii="宋体" w:hAnsi="宋体" w:eastAsia="宋体"/>
                <w:sz w:val="24"/>
                <w:szCs w:val="24"/>
              </w:rPr>
              <w:t>平台</w:t>
            </w:r>
            <w:r>
              <w:rPr>
                <w:rFonts w:ascii="宋体" w:hAnsi="宋体" w:eastAsia="宋体"/>
                <w:sz w:val="24"/>
                <w:szCs w:val="24"/>
              </w:rPr>
              <w:t>网站首页帮助中心的操作手册，也可联系守正客服。</w:t>
            </w:r>
          </w:p>
          <w:p w14:paraId="28C615AD">
            <w:pPr>
              <w:pStyle w:val="8"/>
              <w:numPr>
                <w:ilvl w:val="0"/>
                <w:numId w:val="2"/>
              </w:numPr>
              <w:spacing w:line="440" w:lineRule="exact"/>
              <w:ind w:left="0" w:firstLine="0" w:firstLineChars="0"/>
              <w:rPr>
                <w:rFonts w:ascii="宋体" w:hAnsi="宋体" w:eastAsia="宋体"/>
                <w:sz w:val="24"/>
                <w:szCs w:val="24"/>
              </w:rPr>
            </w:pPr>
            <w:r>
              <w:rPr>
                <w:rFonts w:hint="eastAsia" w:ascii="宋体" w:hAnsi="宋体" w:eastAsia="宋体"/>
                <w:sz w:val="24"/>
                <w:szCs w:val="24"/>
              </w:rPr>
              <w:t>标前</w:t>
            </w:r>
            <w:r>
              <w:rPr>
                <w:rFonts w:ascii="宋体" w:hAnsi="宋体" w:eastAsia="宋体"/>
                <w:sz w:val="24"/>
                <w:szCs w:val="24"/>
              </w:rPr>
              <w:t>答疑澄清</w:t>
            </w:r>
            <w:r>
              <w:rPr>
                <w:rFonts w:hint="eastAsia" w:ascii="宋体" w:hAnsi="宋体" w:eastAsia="宋体"/>
                <w:sz w:val="24"/>
                <w:szCs w:val="24"/>
              </w:rPr>
              <w:t>文件、评审澄清文件、成交通知书、成交结果通知、成交结果公告</w:t>
            </w:r>
            <w:r>
              <w:rPr>
                <w:rFonts w:ascii="宋体" w:hAnsi="宋体" w:eastAsia="宋体"/>
                <w:sz w:val="24"/>
                <w:szCs w:val="24"/>
              </w:rPr>
              <w:t>等文件一经平台</w:t>
            </w:r>
            <w:r>
              <w:rPr>
                <w:rFonts w:hint="eastAsia" w:ascii="宋体" w:hAnsi="宋体" w:eastAsia="宋体"/>
                <w:sz w:val="24"/>
                <w:szCs w:val="24"/>
              </w:rPr>
              <w:t>发送/</w:t>
            </w:r>
            <w:r>
              <w:rPr>
                <w:rFonts w:ascii="宋体" w:hAnsi="宋体" w:eastAsia="宋体"/>
                <w:sz w:val="24"/>
                <w:szCs w:val="24"/>
              </w:rPr>
              <w:t>发布，视为已</w:t>
            </w:r>
            <w:r>
              <w:rPr>
                <w:rFonts w:hint="eastAsia" w:ascii="宋体" w:hAnsi="宋体" w:eastAsia="宋体"/>
                <w:sz w:val="24"/>
                <w:szCs w:val="24"/>
              </w:rPr>
              <w:t>送达</w:t>
            </w:r>
            <w:r>
              <w:rPr>
                <w:rFonts w:ascii="宋体" w:hAnsi="宋体" w:eastAsia="宋体"/>
                <w:sz w:val="24"/>
                <w:szCs w:val="24"/>
              </w:rPr>
              <w:t>给相应供应商，请</w:t>
            </w:r>
            <w:r>
              <w:rPr>
                <w:rFonts w:hint="eastAsia" w:ascii="宋体" w:hAnsi="宋体" w:eastAsia="宋体"/>
                <w:sz w:val="24"/>
                <w:szCs w:val="24"/>
              </w:rPr>
              <w:t>供应商</w:t>
            </w:r>
            <w:r>
              <w:rPr>
                <w:rFonts w:ascii="宋体" w:hAnsi="宋体" w:eastAsia="宋体"/>
                <w:sz w:val="24"/>
                <w:szCs w:val="24"/>
              </w:rPr>
              <w:t>随时关注平台发布的相关信息，并及时查阅和处理。</w:t>
            </w:r>
          </w:p>
          <w:p w14:paraId="2C23631D">
            <w:pPr>
              <w:pStyle w:val="8"/>
              <w:numPr>
                <w:ilvl w:val="0"/>
                <w:numId w:val="2"/>
              </w:numPr>
              <w:spacing w:line="440" w:lineRule="exact"/>
              <w:ind w:left="0" w:firstLine="0" w:firstLineChars="0"/>
              <w:rPr>
                <w:rFonts w:ascii="宋体" w:hAnsi="宋体" w:eastAsia="宋体"/>
                <w:sz w:val="24"/>
                <w:szCs w:val="24"/>
              </w:rPr>
            </w:pPr>
            <w:r>
              <w:rPr>
                <w:rFonts w:hint="eastAsia" w:ascii="宋体" w:hAnsi="宋体" w:eastAsia="宋体"/>
                <w:sz w:val="24"/>
                <w:szCs w:val="24"/>
              </w:rPr>
              <w:t>供应商应在规定的报价截止时间前，按照规定的方式提交响应文件和报价。供应商未在规定的截止时间前完成响应文件和报价提交，将被视为放弃参与。</w:t>
            </w:r>
          </w:p>
          <w:p w14:paraId="17FEB4B2">
            <w:pPr>
              <w:pStyle w:val="8"/>
              <w:numPr>
                <w:ilvl w:val="0"/>
                <w:numId w:val="2"/>
              </w:numPr>
              <w:spacing w:line="440" w:lineRule="exact"/>
              <w:ind w:left="0" w:firstLine="0" w:firstLineChars="0"/>
              <w:rPr>
                <w:rFonts w:ascii="宋体" w:hAnsi="宋体" w:eastAsia="宋体"/>
                <w:sz w:val="24"/>
                <w:szCs w:val="24"/>
              </w:rPr>
            </w:pPr>
            <w:r>
              <w:rPr>
                <w:rFonts w:hint="eastAsia" w:ascii="宋体" w:hAnsi="宋体" w:eastAsia="宋体"/>
                <w:sz w:val="24"/>
                <w:szCs w:val="24"/>
              </w:rPr>
              <w:t>若供应商出现</w:t>
            </w:r>
            <w:r>
              <w:rPr>
                <w:rFonts w:ascii="宋体" w:hAnsi="宋体" w:eastAsia="宋体"/>
                <w:sz w:val="24"/>
                <w:szCs w:val="24"/>
              </w:rPr>
              <w:t>串通报价、弄虚作假、行贿、以他人名义参与采购活动等不诚信行为</w:t>
            </w:r>
            <w:r>
              <w:rPr>
                <w:rFonts w:hint="eastAsia" w:ascii="宋体" w:hAnsi="宋体" w:eastAsia="宋体"/>
                <w:sz w:val="24"/>
                <w:szCs w:val="24"/>
              </w:rPr>
              <w:t>，或者成交后无正当理由放弃成交或不签约，或者在签订合同时提出采购人不能接受的附加条件，或者不按照采购文件要求提交履约保证金等情况，采购人有权</w:t>
            </w:r>
            <w:r>
              <w:rPr>
                <w:rFonts w:hint="eastAsia" w:ascii="宋体" w:hAnsi="宋体" w:eastAsia="宋体"/>
                <w:sz w:val="24"/>
                <w:szCs w:val="24"/>
                <w:lang w:val="en-US" w:eastAsia="zh-CN"/>
              </w:rPr>
              <w:t>取消其成交资格，并</w:t>
            </w:r>
            <w:r>
              <w:rPr>
                <w:rFonts w:hint="eastAsia" w:ascii="宋体" w:hAnsi="宋体" w:eastAsia="宋体"/>
                <w:sz w:val="24"/>
                <w:szCs w:val="24"/>
              </w:rPr>
              <w:t>将其列入供应商黑名单。</w:t>
            </w:r>
          </w:p>
          <w:p w14:paraId="56486990">
            <w:pPr>
              <w:pStyle w:val="8"/>
              <w:numPr>
                <w:ilvl w:val="0"/>
                <w:numId w:val="2"/>
              </w:numPr>
              <w:spacing w:line="440" w:lineRule="exact"/>
              <w:ind w:left="0" w:firstLine="0" w:firstLineChars="0"/>
              <w:rPr>
                <w:rFonts w:ascii="宋体" w:hAnsi="宋体" w:eastAsia="宋体"/>
                <w:sz w:val="24"/>
                <w:szCs w:val="24"/>
              </w:rPr>
            </w:pPr>
            <w:r>
              <w:rPr>
                <w:rFonts w:hint="eastAsia" w:ascii="宋体" w:hAnsi="宋体" w:eastAsia="宋体"/>
                <w:sz w:val="24"/>
                <w:szCs w:val="24"/>
                <w:lang w:val="en-US" w:eastAsia="zh-CN"/>
              </w:rPr>
              <w:t>若联合体、代理商、贸易商、</w:t>
            </w:r>
            <w:r>
              <w:rPr>
                <w:rFonts w:ascii="宋体" w:hAnsi="宋体" w:eastAsia="宋体"/>
                <w:sz w:val="24"/>
                <w:szCs w:val="24"/>
                <w:lang w:val="en-US" w:eastAsia="zh-CN"/>
              </w:rPr>
              <w:t>非利用/处置单位</w:t>
            </w:r>
            <w:r>
              <w:rPr>
                <w:rFonts w:hint="eastAsia" w:ascii="宋体" w:hAnsi="宋体" w:eastAsia="宋体"/>
                <w:sz w:val="24"/>
                <w:szCs w:val="24"/>
                <w:lang w:val="en-US" w:eastAsia="zh-CN"/>
              </w:rPr>
              <w:t>等供应商</w:t>
            </w:r>
            <w:r>
              <w:rPr>
                <w:rFonts w:ascii="宋体" w:hAnsi="宋体" w:eastAsia="宋体"/>
                <w:sz w:val="24"/>
                <w:szCs w:val="24"/>
                <w:lang w:val="en-US" w:eastAsia="zh-CN"/>
              </w:rPr>
              <w:t>参与报价</w:t>
            </w:r>
            <w:r>
              <w:rPr>
                <w:rFonts w:hint="eastAsia" w:ascii="宋体" w:hAnsi="宋体" w:eastAsia="宋体"/>
                <w:sz w:val="24"/>
                <w:szCs w:val="24"/>
                <w:lang w:val="en-US" w:eastAsia="zh-CN"/>
              </w:rPr>
              <w:t>（若采购文件允许其参与）</w:t>
            </w:r>
            <w:r>
              <w:rPr>
                <w:rFonts w:ascii="宋体" w:hAnsi="宋体" w:eastAsia="宋体"/>
                <w:sz w:val="24"/>
                <w:szCs w:val="24"/>
                <w:lang w:val="en-US" w:eastAsia="zh-CN"/>
              </w:rPr>
              <w:t>，应</w:t>
            </w:r>
            <w:r>
              <w:rPr>
                <w:rFonts w:hint="eastAsia" w:ascii="宋体" w:hAnsi="宋体" w:eastAsia="宋体"/>
                <w:sz w:val="24"/>
                <w:szCs w:val="24"/>
                <w:lang w:val="en-US" w:eastAsia="zh-CN"/>
              </w:rPr>
              <w:t>对其所提供联合体成员、生产厂家、</w:t>
            </w:r>
            <w:r>
              <w:rPr>
                <w:rFonts w:ascii="宋体" w:hAnsi="宋体" w:eastAsia="宋体"/>
                <w:sz w:val="24"/>
                <w:szCs w:val="24"/>
                <w:lang w:val="en-US" w:eastAsia="zh-CN"/>
              </w:rPr>
              <w:t>利用/处置单位</w:t>
            </w:r>
            <w:r>
              <w:rPr>
                <w:rFonts w:hint="eastAsia" w:ascii="宋体" w:hAnsi="宋体" w:eastAsia="宋体"/>
                <w:sz w:val="24"/>
                <w:szCs w:val="24"/>
                <w:lang w:val="en-US" w:eastAsia="zh-CN"/>
              </w:rPr>
              <w:t>的资质证书、检验报告、奖项或业绩等资料文件，</w:t>
            </w:r>
            <w:r>
              <w:rPr>
                <w:rFonts w:ascii="宋体" w:hAnsi="宋体" w:eastAsia="宋体"/>
                <w:sz w:val="24"/>
                <w:szCs w:val="24"/>
                <w:lang w:val="en-US" w:eastAsia="zh-CN"/>
              </w:rPr>
              <w:t>承担审核义务，</w:t>
            </w:r>
            <w:r>
              <w:rPr>
                <w:rFonts w:hint="eastAsia" w:ascii="宋体" w:hAnsi="宋体" w:eastAsia="宋体"/>
                <w:sz w:val="24"/>
                <w:szCs w:val="24"/>
                <w:lang w:val="en-US" w:eastAsia="zh-CN"/>
              </w:rPr>
              <w:t>出现上述资料文件造假的</w:t>
            </w:r>
            <w:r>
              <w:rPr>
                <w:rFonts w:ascii="宋体" w:hAnsi="宋体" w:eastAsia="宋体"/>
                <w:sz w:val="24"/>
                <w:szCs w:val="24"/>
                <w:lang w:val="en-US" w:eastAsia="zh-CN"/>
              </w:rPr>
              <w:t>，视为</w:t>
            </w:r>
            <w:r>
              <w:rPr>
                <w:rFonts w:hint="eastAsia" w:ascii="宋体" w:hAnsi="宋体" w:eastAsia="宋体"/>
                <w:sz w:val="24"/>
                <w:szCs w:val="24"/>
                <w:lang w:val="en-US" w:eastAsia="zh-CN"/>
              </w:rPr>
              <w:t>参与报价的该供应商</w:t>
            </w:r>
            <w:r>
              <w:rPr>
                <w:rFonts w:ascii="宋体" w:hAnsi="宋体" w:eastAsia="宋体"/>
                <w:sz w:val="24"/>
                <w:szCs w:val="24"/>
                <w:lang w:val="en-US" w:eastAsia="zh-CN"/>
              </w:rPr>
              <w:t>弄虚作假</w:t>
            </w:r>
            <w:r>
              <w:rPr>
                <w:rFonts w:hint="eastAsia" w:ascii="宋体" w:hAnsi="宋体" w:eastAsia="宋体"/>
                <w:sz w:val="24"/>
                <w:szCs w:val="24"/>
                <w:lang w:val="en-US" w:eastAsia="zh-CN"/>
              </w:rPr>
              <w:t>，该供应商将承担相关罚则。</w:t>
            </w:r>
          </w:p>
          <w:p w14:paraId="7E7FE820">
            <w:pPr>
              <w:pStyle w:val="8"/>
              <w:numPr>
                <w:ilvl w:val="0"/>
                <w:numId w:val="2"/>
              </w:numPr>
              <w:spacing w:line="440" w:lineRule="exact"/>
              <w:ind w:left="0" w:firstLine="0" w:firstLineChars="0"/>
              <w:rPr>
                <w:rFonts w:ascii="宋体" w:hAnsi="宋体" w:eastAsia="宋体"/>
                <w:iCs/>
                <w:color w:val="000000" w:themeColor="text1"/>
                <w:sz w:val="24"/>
                <w:szCs w:val="24"/>
                <w14:textFill>
                  <w14:solidFill>
                    <w14:schemeClr w14:val="tx1"/>
                  </w14:solidFill>
                </w14:textFill>
              </w:rPr>
            </w:pPr>
            <w:r>
              <w:rPr>
                <w:rFonts w:hint="eastAsia" w:ascii="宋体" w:hAnsi="宋体" w:eastAsia="宋体"/>
                <w:b/>
                <w:sz w:val="24"/>
                <w:szCs w:val="24"/>
              </w:rPr>
              <w:t>供应商需要在响应文件中明确开具的发票是增值税专用发票，还是增值税普通发票。</w:t>
            </w:r>
          </w:p>
          <w:p w14:paraId="4315CBFB">
            <w:pPr>
              <w:pStyle w:val="8"/>
              <w:numPr>
                <w:ilvl w:val="1"/>
                <w:numId w:val="2"/>
              </w:numPr>
              <w:spacing w:line="440" w:lineRule="exact"/>
              <w:ind w:firstLineChars="0"/>
              <w:rPr>
                <w:rFonts w:ascii="宋体" w:hAnsi="宋体" w:eastAsia="宋体"/>
                <w:iCs/>
                <w:color w:val="000000" w:themeColor="text1"/>
                <w:sz w:val="24"/>
                <w:szCs w:val="24"/>
                <w14:textFill>
                  <w14:solidFill>
                    <w14:schemeClr w14:val="tx1"/>
                  </w14:solidFill>
                </w14:textFill>
              </w:rPr>
            </w:pPr>
            <w:r>
              <w:rPr>
                <w:rFonts w:hint="eastAsia" w:ascii="宋体" w:hAnsi="宋体" w:eastAsia="宋体"/>
                <w:sz w:val="24"/>
                <w:szCs w:val="24"/>
              </w:rPr>
              <w:t>若供应商开具增值税专用发票，则以扣除税金的价格作为评审价格，即 评审价格=含税价</w:t>
            </w:r>
            <w:r>
              <w:rPr>
                <w:rFonts w:ascii="宋体" w:hAnsi="宋体" w:eastAsia="宋体"/>
                <w:sz w:val="24"/>
                <w:szCs w:val="24"/>
              </w:rPr>
              <w:t>÷</w:t>
            </w: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税率）。</w:t>
            </w:r>
          </w:p>
          <w:p w14:paraId="54CB3191">
            <w:pPr>
              <w:pStyle w:val="8"/>
              <w:spacing w:line="440" w:lineRule="exact"/>
              <w:ind w:firstLine="0" w:firstLineChars="0"/>
              <w:rPr>
                <w:rFonts w:ascii="宋体" w:hAnsi="宋体"/>
                <w:iCs/>
                <w:color w:val="000000"/>
                <w:szCs w:val="24"/>
              </w:rPr>
            </w:pPr>
            <w:r>
              <w:rPr>
                <w:rFonts w:hint="eastAsia" w:ascii="宋体" w:hAnsi="宋体" w:eastAsia="宋体"/>
                <w:sz w:val="24"/>
                <w:szCs w:val="24"/>
              </w:rPr>
              <w:t>若供应商开具增值税普通发票，则以含税价作为评审价格。</w:t>
            </w:r>
          </w:p>
        </w:tc>
      </w:tr>
    </w:tbl>
    <w:p w14:paraId="6F549537">
      <w:pPr>
        <w:spacing w:line="440" w:lineRule="exact"/>
        <w:rPr>
          <w:rFonts w:ascii="宋体" w:hAnsi="宋体"/>
          <w:szCs w:val="24"/>
        </w:rPr>
      </w:pPr>
      <w:r>
        <w:rPr>
          <w:rFonts w:ascii="宋体" w:hAnsi="宋体"/>
          <w:szCs w:val="24"/>
        </w:rPr>
        <w:br w:type="page"/>
      </w:r>
    </w:p>
    <w:p w14:paraId="49E8F089">
      <w:pPr>
        <w:spacing w:after="312" w:afterLines="100" w:line="440" w:lineRule="exact"/>
        <w:jc w:val="center"/>
        <w:outlineLvl w:val="0"/>
        <w:rPr>
          <w:rFonts w:ascii="宋体" w:hAnsi="宋体"/>
          <w:b/>
          <w:bCs/>
          <w:sz w:val="32"/>
          <w:szCs w:val="24"/>
        </w:rPr>
      </w:pPr>
      <w:r>
        <w:rPr>
          <w:rFonts w:hint="eastAsia" w:ascii="宋体" w:hAnsi="宋体"/>
          <w:b/>
          <w:bCs/>
          <w:sz w:val="32"/>
          <w:szCs w:val="24"/>
        </w:rPr>
        <w:t>第二卷 响应文件格式</w:t>
      </w:r>
    </w:p>
    <w:p w14:paraId="26CEC2AB">
      <w:pPr>
        <w:pStyle w:val="8"/>
        <w:numPr>
          <w:ilvl w:val="0"/>
          <w:numId w:val="3"/>
        </w:numPr>
        <w:spacing w:line="440" w:lineRule="exact"/>
        <w:ind w:left="0" w:firstLine="482"/>
        <w:rPr>
          <w:rFonts w:hint="eastAsia" w:ascii="宋体" w:hAnsi="宋体"/>
          <w:bCs/>
        </w:rPr>
      </w:pPr>
      <w:r>
        <w:rPr>
          <w:rFonts w:hint="eastAsia" w:ascii="宋体" w:hAnsi="宋体"/>
          <w:b/>
          <w:iCs/>
          <w:szCs w:val="24"/>
        </w:rPr>
        <w:t>报价表</w:t>
      </w:r>
      <w:bookmarkStart w:id="0" w:name="_Toc296686970"/>
      <w:r>
        <w:rPr>
          <w:rFonts w:ascii="宋体" w:hAnsi="宋体"/>
          <w:bCs/>
        </w:rPr>
        <w:t xml:space="preserve">             </w:t>
      </w:r>
      <w:bookmarkEnd w:id="0"/>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14:paraId="0A66C8C8">
      <w:pPr>
        <w:pStyle w:val="8"/>
        <w:tabs>
          <w:tab w:val="left" w:pos="993"/>
        </w:tabs>
        <w:spacing w:line="440" w:lineRule="exact"/>
        <w:ind w:left="0" w:leftChars="0" w:firstLine="0" w:firstLineChars="0"/>
        <w:rPr>
          <w:rFonts w:hint="eastAsia" w:ascii="宋体" w:hAnsi="宋体" w:eastAsia="宋体" w:cs="宋体"/>
          <w:color w:val="FF0000"/>
          <w:kern w:val="0"/>
          <w:sz w:val="24"/>
          <w:szCs w:val="24"/>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6"/>
        <w:gridCol w:w="757"/>
        <w:gridCol w:w="658"/>
        <w:gridCol w:w="975"/>
        <w:gridCol w:w="769"/>
        <w:gridCol w:w="960"/>
        <w:gridCol w:w="884"/>
      </w:tblGrid>
      <w:tr w14:paraId="4D72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2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9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9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7D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不含税金额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B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E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含税总金额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25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016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AFD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济南工厂2026-2027年度消杀服务</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2977">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项</w:t>
            </w:r>
            <w:r>
              <w:rPr>
                <w:rFonts w:hint="eastAsia" w:ascii="宋体" w:hAnsi="宋体" w:cs="宋体"/>
                <w:b w:val="0"/>
                <w:bCs w:val="0"/>
                <w:i w:val="0"/>
                <w:iCs w:val="0"/>
                <w:color w:val="000000"/>
                <w:kern w:val="0"/>
                <w:sz w:val="22"/>
                <w:szCs w:val="22"/>
                <w:u w:val="none"/>
                <w:lang w:val="en-US" w:eastAsia="zh-CN" w:bidi="ar"/>
              </w:rPr>
              <w:t>目</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70A0">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E1B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CD5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3B6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710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9FD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BC9B">
            <w:pPr>
              <w:keepNext w:val="0"/>
              <w:keepLines w:val="0"/>
              <w:widowControl/>
              <w:suppressLineNumbers w:val="0"/>
              <w:jc w:val="both"/>
              <w:textAlignment w:val="center"/>
              <w:rPr>
                <w:rFonts w:hint="default" w:asciiTheme="minorEastAsia" w:hAnsiTheme="minorEastAsia" w:cstheme="minorEastAsia"/>
                <w:b w:val="0"/>
                <w:bCs/>
                <w:sz w:val="22"/>
                <w:szCs w:val="22"/>
                <w:u w:val="none"/>
                <w:lang w:val="en-US" w:eastAsia="zh-CN"/>
              </w:rPr>
            </w:pPr>
            <w:r>
              <w:rPr>
                <w:rFonts w:hint="eastAsia" w:asciiTheme="minorEastAsia" w:hAnsiTheme="minorEastAsia" w:eastAsiaTheme="minorEastAsia" w:cstheme="minorEastAsia"/>
                <w:b w:val="0"/>
                <w:bCs/>
                <w:sz w:val="22"/>
                <w:szCs w:val="22"/>
                <w:u w:val="none"/>
                <w:lang w:val="en-US" w:eastAsia="zh-CN"/>
              </w:rPr>
              <w:t>说明：</w:t>
            </w:r>
            <w:r>
              <w:rPr>
                <w:rFonts w:hint="eastAsia" w:asciiTheme="minorEastAsia" w:hAnsiTheme="minorEastAsia" w:cstheme="minorEastAsia"/>
                <w:b w:val="0"/>
                <w:bCs/>
                <w:sz w:val="22"/>
                <w:szCs w:val="22"/>
                <w:u w:val="none"/>
                <w:lang w:val="en-US" w:eastAsia="zh-CN"/>
              </w:rPr>
              <w:t>1.</w:t>
            </w:r>
            <w:r>
              <w:rPr>
                <w:rFonts w:hint="eastAsia" w:asciiTheme="minorEastAsia" w:hAnsiTheme="minorEastAsia" w:eastAsiaTheme="minorEastAsia" w:cstheme="minorEastAsia"/>
                <w:b w:val="0"/>
                <w:bCs/>
                <w:sz w:val="22"/>
                <w:szCs w:val="22"/>
                <w:u w:val="none"/>
                <w:lang w:val="en-US" w:eastAsia="zh-CN"/>
              </w:rPr>
              <w:t>供应商需要明确开具的发票是增值税专用发票，还是增值税普通发票</w:t>
            </w:r>
            <w:r>
              <w:rPr>
                <w:rFonts w:hint="eastAsia" w:asciiTheme="minorEastAsia" w:hAnsiTheme="minorEastAsia" w:cstheme="minorEastAsia"/>
                <w:b w:val="0"/>
                <w:bCs/>
                <w:sz w:val="22"/>
                <w:szCs w:val="22"/>
                <w:u w:val="none"/>
                <w:lang w:val="en-US" w:eastAsia="zh-CN"/>
              </w:rPr>
              <w:t>；</w:t>
            </w:r>
          </w:p>
        </w:tc>
      </w:tr>
    </w:tbl>
    <w:p w14:paraId="0AC5FB46">
      <w:pPr>
        <w:pStyle w:val="8"/>
        <w:tabs>
          <w:tab w:val="left" w:pos="993"/>
        </w:tabs>
        <w:spacing w:line="440" w:lineRule="exact"/>
        <w:ind w:left="0" w:leftChars="0" w:firstLine="480" w:firstLineChars="200"/>
        <w:rPr>
          <w:rFonts w:hint="eastAsia" w:ascii="宋体" w:hAnsi="宋体" w:eastAsia="宋体" w:cs="宋体"/>
          <w:color w:val="FF0000"/>
          <w:kern w:val="0"/>
          <w:sz w:val="24"/>
          <w:szCs w:val="24"/>
        </w:rPr>
      </w:pPr>
    </w:p>
    <w:p w14:paraId="3D02B756">
      <w:pPr>
        <w:pStyle w:val="8"/>
        <w:tabs>
          <w:tab w:val="left" w:pos="993"/>
        </w:tabs>
        <w:spacing w:line="440" w:lineRule="exact"/>
        <w:ind w:left="0" w:leftChars="0" w:firstLine="480" w:firstLineChars="200"/>
        <w:rPr>
          <w:rFonts w:hint="eastAsia" w:ascii="宋体" w:hAnsi="宋体" w:eastAsia="宋体" w:cs="宋体"/>
          <w:color w:val="FF0000"/>
          <w:kern w:val="0"/>
          <w:sz w:val="24"/>
          <w:szCs w:val="24"/>
        </w:rPr>
      </w:pPr>
    </w:p>
    <w:p w14:paraId="25C91D3F">
      <w:pPr>
        <w:pStyle w:val="8"/>
        <w:numPr>
          <w:ilvl w:val="0"/>
          <w:numId w:val="0"/>
        </w:numPr>
        <w:spacing w:line="440" w:lineRule="exact"/>
        <w:ind w:leftChars="200"/>
        <w:rPr>
          <w:rStyle w:val="9"/>
          <w:rFonts w:hint="default" w:ascii="宋体" w:hAnsi="宋体"/>
          <w:b/>
          <w:bCs/>
          <w:kern w:val="2"/>
          <w:lang w:val="en-US" w:eastAsia="zh-CN"/>
        </w:rPr>
      </w:pPr>
    </w:p>
    <w:p w14:paraId="36E220B8">
      <w:pPr>
        <w:pStyle w:val="8"/>
        <w:numPr>
          <w:ilvl w:val="0"/>
          <w:numId w:val="3"/>
        </w:numPr>
        <w:spacing w:line="440" w:lineRule="exact"/>
        <w:ind w:left="0" w:firstLine="482"/>
        <w:rPr>
          <w:rFonts w:hint="eastAsia" w:ascii="宋体" w:hAnsi="宋体" w:eastAsia="宋体"/>
          <w:b/>
          <w:iCs/>
          <w:szCs w:val="24"/>
          <w:lang w:val="en-US" w:eastAsia="zh-CN"/>
        </w:rPr>
      </w:pPr>
      <w:r>
        <w:rPr>
          <w:rFonts w:hint="eastAsia" w:ascii="宋体" w:hAnsi="宋体"/>
          <w:b/>
          <w:iCs/>
          <w:szCs w:val="24"/>
        </w:rPr>
        <w:t>资格审查资料表</w:t>
      </w:r>
      <w:r>
        <w:rPr>
          <w:rFonts w:hint="eastAsia" w:ascii="宋体" w:hAnsi="宋体"/>
          <w:b/>
          <w:iCs/>
          <w:color w:val="auto"/>
          <w:szCs w:val="24"/>
          <w:lang w:eastAsia="zh-CN"/>
        </w:rPr>
        <w:t>（</w:t>
      </w:r>
      <w:r>
        <w:rPr>
          <w:rFonts w:hint="eastAsia" w:ascii="宋体" w:hAnsi="宋体"/>
          <w:b/>
          <w:iCs/>
          <w:color w:val="auto"/>
          <w:szCs w:val="24"/>
          <w:lang w:val="en-US" w:eastAsia="zh-CN"/>
        </w:rPr>
        <w:t>按需填写</w:t>
      </w:r>
      <w:r>
        <w:rPr>
          <w:rFonts w:hint="eastAsia" w:ascii="宋体" w:hAnsi="宋体"/>
          <w:b/>
          <w:iCs/>
          <w:color w:val="auto"/>
          <w:szCs w:val="24"/>
          <w:lang w:eastAsia="zh-CN"/>
        </w:rPr>
        <w:t>）</w:t>
      </w:r>
    </w:p>
    <w:p w14:paraId="4587E353">
      <w:pPr>
        <w:pStyle w:val="8"/>
        <w:numPr>
          <w:numId w:val="0"/>
        </w:numPr>
        <w:spacing w:line="440" w:lineRule="exact"/>
        <w:ind w:leftChars="200"/>
        <w:rPr>
          <w:rFonts w:hint="eastAsia" w:ascii="宋体" w:hAnsi="宋体" w:eastAsia="宋体"/>
          <w:b/>
          <w:iCs/>
          <w:szCs w:val="24"/>
          <w:lang w:val="en-US" w:eastAsia="zh-CN"/>
        </w:rPr>
      </w:pPr>
    </w:p>
    <w:p w14:paraId="562B826B">
      <w:pPr>
        <w:pStyle w:val="8"/>
        <w:numPr>
          <w:ilvl w:val="0"/>
          <w:numId w:val="0"/>
        </w:numPr>
        <w:spacing w:line="440" w:lineRule="exact"/>
        <w:ind w:leftChars="200"/>
        <w:rPr>
          <w:rFonts w:hint="eastAsia" w:ascii="宋体" w:hAnsi="宋体"/>
          <w:b/>
          <w:iCs/>
          <w:szCs w:val="24"/>
        </w:rPr>
      </w:pPr>
    </w:p>
    <w:p w14:paraId="6D7A1304">
      <w:pPr>
        <w:pStyle w:val="8"/>
        <w:numPr>
          <w:ilvl w:val="0"/>
          <w:numId w:val="0"/>
        </w:numPr>
        <w:spacing w:line="440" w:lineRule="exact"/>
        <w:ind w:leftChars="200"/>
        <w:rPr>
          <w:rFonts w:hint="eastAsia" w:ascii="宋体" w:hAnsi="宋体"/>
          <w:b/>
          <w:iCs/>
          <w:szCs w:val="24"/>
        </w:rPr>
      </w:pPr>
    </w:p>
    <w:p w14:paraId="338B6FDE">
      <w:pPr>
        <w:pStyle w:val="8"/>
        <w:numPr>
          <w:ilvl w:val="0"/>
          <w:numId w:val="0"/>
        </w:numPr>
        <w:spacing w:line="440" w:lineRule="exact"/>
        <w:ind w:leftChars="200"/>
        <w:rPr>
          <w:rFonts w:hint="eastAsia" w:ascii="宋体" w:hAnsi="宋体"/>
          <w:b/>
          <w:iCs/>
          <w:szCs w:val="24"/>
          <w:lang w:val="en-US" w:eastAsia="zh-CN"/>
        </w:rPr>
      </w:pPr>
    </w:p>
    <w:p w14:paraId="09073BB2">
      <w:pPr>
        <w:pStyle w:val="8"/>
        <w:numPr>
          <w:ilvl w:val="0"/>
          <w:numId w:val="3"/>
        </w:numPr>
        <w:spacing w:line="440" w:lineRule="exact"/>
        <w:ind w:left="0" w:firstLine="482"/>
        <w:rPr>
          <w:rFonts w:hint="eastAsia" w:ascii="宋体" w:hAnsi="宋体" w:eastAsia="宋体"/>
          <w:b/>
          <w:iCs/>
          <w:szCs w:val="24"/>
          <w:lang w:val="en-US" w:eastAsia="zh-CN"/>
        </w:rPr>
      </w:pPr>
      <w:r>
        <w:rPr>
          <w:rFonts w:hint="eastAsia" w:ascii="宋体" w:hAnsi="宋体"/>
          <w:b/>
          <w:iCs/>
          <w:szCs w:val="24"/>
          <w:lang w:val="en-US" w:eastAsia="zh-CN"/>
        </w:rPr>
        <w:t>业绩证明材料一览表</w:t>
      </w:r>
      <w:r>
        <w:rPr>
          <w:rFonts w:hint="eastAsia" w:ascii="宋体" w:hAnsi="宋体"/>
          <w:b/>
          <w:iCs/>
          <w:color w:val="auto"/>
          <w:szCs w:val="24"/>
          <w:lang w:eastAsia="zh-CN"/>
        </w:rPr>
        <w:t>（</w:t>
      </w:r>
      <w:r>
        <w:rPr>
          <w:rFonts w:hint="eastAsia" w:ascii="宋体" w:hAnsi="宋体"/>
          <w:b/>
          <w:iCs/>
          <w:color w:val="auto"/>
          <w:szCs w:val="24"/>
          <w:lang w:val="en-US" w:eastAsia="zh-CN"/>
        </w:rPr>
        <w:t>按需填写</w:t>
      </w:r>
      <w:r>
        <w:rPr>
          <w:rFonts w:hint="eastAsia" w:ascii="宋体" w:hAnsi="宋体"/>
          <w:b/>
          <w:iCs/>
          <w:color w:val="auto"/>
          <w:szCs w:val="24"/>
          <w:lang w:eastAsia="zh-CN"/>
        </w:rPr>
        <w:t>）</w:t>
      </w:r>
    </w:p>
    <w:p w14:paraId="1795AE7B">
      <w:pPr>
        <w:pStyle w:val="8"/>
        <w:numPr>
          <w:numId w:val="0"/>
        </w:numPr>
        <w:spacing w:line="440" w:lineRule="exact"/>
        <w:ind w:leftChars="200"/>
        <w:rPr>
          <w:rFonts w:hint="eastAsia" w:ascii="宋体" w:hAnsi="宋体" w:eastAsia="宋体"/>
          <w:b/>
          <w:iCs/>
          <w:szCs w:val="24"/>
          <w:lang w:val="en-US" w:eastAsia="zh-CN"/>
        </w:rPr>
      </w:pPr>
    </w:p>
    <w:p w14:paraId="7EA7BE13">
      <w:pPr>
        <w:pStyle w:val="8"/>
        <w:numPr>
          <w:ilvl w:val="0"/>
          <w:numId w:val="0"/>
        </w:numPr>
        <w:spacing w:line="440" w:lineRule="exact"/>
        <w:ind w:leftChars="200"/>
        <w:rPr>
          <w:rFonts w:hint="eastAsia" w:ascii="宋体" w:hAnsi="宋体"/>
          <w:b/>
          <w:iCs/>
          <w:szCs w:val="24"/>
          <w:lang w:val="en-US" w:eastAsia="zh-CN"/>
        </w:rPr>
      </w:pPr>
    </w:p>
    <w:p w14:paraId="7BF889D3">
      <w:pPr>
        <w:pStyle w:val="8"/>
        <w:numPr>
          <w:ilvl w:val="0"/>
          <w:numId w:val="0"/>
        </w:numPr>
        <w:spacing w:line="440" w:lineRule="exact"/>
        <w:ind w:leftChars="200"/>
        <w:rPr>
          <w:rFonts w:hint="eastAsia" w:ascii="宋体" w:hAnsi="宋体"/>
          <w:b/>
          <w:iCs/>
          <w:szCs w:val="24"/>
          <w:lang w:val="en-US" w:eastAsia="zh-CN"/>
        </w:rPr>
      </w:pPr>
    </w:p>
    <w:p w14:paraId="7A871967">
      <w:pPr>
        <w:pStyle w:val="8"/>
        <w:numPr>
          <w:ilvl w:val="0"/>
          <w:numId w:val="0"/>
        </w:numPr>
        <w:spacing w:line="440" w:lineRule="exact"/>
        <w:ind w:leftChars="200"/>
        <w:rPr>
          <w:rFonts w:hint="eastAsia" w:ascii="宋体" w:hAnsi="宋体"/>
          <w:b/>
          <w:iCs/>
          <w:szCs w:val="24"/>
          <w:lang w:val="en-US" w:eastAsia="zh-CN"/>
        </w:rPr>
      </w:pPr>
    </w:p>
    <w:p w14:paraId="6A7DCEAA">
      <w:pPr>
        <w:pStyle w:val="8"/>
        <w:numPr>
          <w:ilvl w:val="0"/>
          <w:numId w:val="3"/>
        </w:numPr>
        <w:spacing w:line="440" w:lineRule="exact"/>
        <w:ind w:left="0" w:firstLine="482"/>
        <w:rPr>
          <w:rStyle w:val="9"/>
          <w:rFonts w:hint="default" w:ascii="宋体" w:hAnsi="宋体" w:eastAsia="宋体"/>
          <w:b/>
          <w:bCs/>
          <w:kern w:val="2"/>
          <w:lang w:val="en-US" w:eastAsia="zh-CN"/>
        </w:rPr>
      </w:pPr>
      <w:r>
        <w:rPr>
          <w:rStyle w:val="9"/>
          <w:rFonts w:hint="eastAsia" w:ascii="宋体" w:hAnsi="宋体"/>
          <w:b/>
          <w:bCs/>
          <w:kern w:val="2"/>
          <w:lang w:val="en-US" w:eastAsia="zh-CN"/>
        </w:rPr>
        <w:t>差异表</w:t>
      </w:r>
    </w:p>
    <w:p w14:paraId="3F50FC43">
      <w:pPr>
        <w:pStyle w:val="10"/>
        <w:spacing w:before="156" w:beforeLines="50" w:line="360" w:lineRule="auto"/>
        <w:ind w:firstLine="480" w:firstLineChars="200"/>
        <w:rPr>
          <w:rStyle w:val="9"/>
          <w:rFonts w:ascii="宋体" w:hAnsi="宋体"/>
          <w:kern w:val="2"/>
        </w:rPr>
      </w:pPr>
      <w:r>
        <w:rPr>
          <w:rStyle w:val="9"/>
          <w:rFonts w:hint="eastAsia" w:ascii="宋体" w:hAnsi="宋体"/>
          <w:kern w:val="2"/>
        </w:rPr>
        <w:t>若供应商对质量标准、技术要求、合同条款等采购文件内容提出偏差，应通过差异表提出。评审小组对差异内容评审，对重大偏差的供应商予以否决。若未提出偏差，则视为供应商接受采购文件条款。</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659"/>
        <w:gridCol w:w="2803"/>
        <w:gridCol w:w="659"/>
        <w:gridCol w:w="3641"/>
      </w:tblGrid>
      <w:tr w14:paraId="1D1F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9F0FE92">
            <w:pPr>
              <w:pStyle w:val="10"/>
              <w:spacing w:line="360" w:lineRule="auto"/>
              <w:ind w:firstLine="640"/>
              <w:jc w:val="center"/>
              <w:rPr>
                <w:rStyle w:val="9"/>
                <w:rFonts w:ascii="宋体" w:hAnsi="宋体"/>
                <w:kern w:val="2"/>
              </w:rPr>
            </w:pPr>
            <w:r>
              <w:rPr>
                <w:rStyle w:val="9"/>
                <w:rFonts w:hint="eastAsia" w:ascii="宋体" w:hAnsi="宋体"/>
                <w:kern w:val="2"/>
              </w:rPr>
              <w:t>差异表</w:t>
            </w:r>
          </w:p>
        </w:tc>
      </w:tr>
      <w:tr w14:paraId="4890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45" w:type="pct"/>
            <w:vMerge w:val="restart"/>
            <w:tcBorders>
              <w:top w:val="nil"/>
              <w:left w:val="single" w:color="auto" w:sz="4" w:space="0"/>
              <w:bottom w:val="single" w:color="auto" w:sz="4" w:space="0"/>
              <w:right w:val="single" w:color="auto" w:sz="4" w:space="0"/>
            </w:tcBorders>
            <w:vAlign w:val="center"/>
          </w:tcPr>
          <w:p w14:paraId="746C478B">
            <w:pPr>
              <w:pStyle w:val="10"/>
              <w:jc w:val="center"/>
              <w:rPr>
                <w:rStyle w:val="9"/>
                <w:rFonts w:ascii="宋体" w:hAnsi="宋体"/>
                <w:kern w:val="2"/>
              </w:rPr>
            </w:pPr>
            <w:r>
              <w:rPr>
                <w:rStyle w:val="9"/>
                <w:rFonts w:hint="eastAsia" w:ascii="宋体" w:hAnsi="宋体"/>
                <w:kern w:val="2"/>
              </w:rPr>
              <w:t>序号</w:t>
            </w:r>
          </w:p>
        </w:tc>
        <w:tc>
          <w:tcPr>
            <w:tcW w:w="2031" w:type="pct"/>
            <w:gridSpan w:val="2"/>
            <w:tcBorders>
              <w:top w:val="single" w:color="auto" w:sz="4" w:space="0"/>
              <w:left w:val="single" w:color="auto" w:sz="4" w:space="0"/>
              <w:bottom w:val="single" w:color="auto" w:sz="4" w:space="0"/>
              <w:right w:val="single" w:color="auto" w:sz="4" w:space="0"/>
            </w:tcBorders>
            <w:vAlign w:val="center"/>
          </w:tcPr>
          <w:p w14:paraId="1DF48271">
            <w:pPr>
              <w:pStyle w:val="10"/>
              <w:jc w:val="center"/>
              <w:rPr>
                <w:rStyle w:val="9"/>
                <w:rFonts w:ascii="宋体" w:hAnsi="宋体"/>
                <w:kern w:val="2"/>
              </w:rPr>
            </w:pPr>
            <w:r>
              <w:rPr>
                <w:rStyle w:val="9"/>
                <w:rFonts w:hint="eastAsia" w:ascii="宋体" w:hAnsi="宋体"/>
                <w:kern w:val="2"/>
              </w:rPr>
              <w:t>采购文件</w:t>
            </w:r>
          </w:p>
        </w:tc>
        <w:tc>
          <w:tcPr>
            <w:tcW w:w="2523" w:type="pct"/>
            <w:gridSpan w:val="2"/>
            <w:tcBorders>
              <w:top w:val="single" w:color="auto" w:sz="4" w:space="0"/>
              <w:left w:val="single" w:color="auto" w:sz="4" w:space="0"/>
              <w:bottom w:val="single" w:color="auto" w:sz="4" w:space="0"/>
              <w:right w:val="single" w:color="auto" w:sz="4" w:space="0"/>
            </w:tcBorders>
            <w:vAlign w:val="center"/>
          </w:tcPr>
          <w:p w14:paraId="39CAA9BB">
            <w:pPr>
              <w:pStyle w:val="10"/>
              <w:jc w:val="center"/>
              <w:rPr>
                <w:rStyle w:val="9"/>
                <w:rFonts w:ascii="宋体" w:hAnsi="宋体"/>
                <w:kern w:val="2"/>
              </w:rPr>
            </w:pPr>
            <w:r>
              <w:rPr>
                <w:rStyle w:val="9"/>
                <w:rFonts w:hint="eastAsia" w:ascii="宋体" w:hAnsi="宋体"/>
                <w:kern w:val="2"/>
              </w:rPr>
              <w:t>响应文件</w:t>
            </w:r>
          </w:p>
        </w:tc>
      </w:tr>
      <w:tr w14:paraId="29C8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45" w:type="pct"/>
            <w:vMerge w:val="continue"/>
            <w:tcBorders>
              <w:top w:val="nil"/>
              <w:left w:val="single" w:color="auto" w:sz="4" w:space="0"/>
              <w:bottom w:val="single" w:color="auto" w:sz="4" w:space="0"/>
              <w:right w:val="single" w:color="auto" w:sz="4" w:space="0"/>
            </w:tcBorders>
            <w:vAlign w:val="center"/>
          </w:tcPr>
          <w:p w14:paraId="3D5358CD">
            <w:pPr>
              <w:rPr>
                <w:rStyle w:val="9"/>
                <w:rFonts w:ascii="宋体" w:hAnsi="宋体" w:eastAsia="宋体"/>
                <w:sz w:val="24"/>
                <w:szCs w:val="24"/>
              </w:rPr>
            </w:pPr>
          </w:p>
        </w:tc>
        <w:tc>
          <w:tcPr>
            <w:tcW w:w="386" w:type="pct"/>
            <w:tcBorders>
              <w:top w:val="single" w:color="auto" w:sz="4" w:space="0"/>
              <w:left w:val="single" w:color="auto" w:sz="4" w:space="0"/>
              <w:bottom w:val="single" w:color="auto" w:sz="4" w:space="0"/>
              <w:right w:val="single" w:color="auto" w:sz="4" w:space="0"/>
            </w:tcBorders>
            <w:vAlign w:val="center"/>
          </w:tcPr>
          <w:p w14:paraId="6F5CF7E4">
            <w:pPr>
              <w:pStyle w:val="10"/>
              <w:jc w:val="center"/>
              <w:rPr>
                <w:rStyle w:val="9"/>
                <w:rFonts w:ascii="宋体" w:hAnsi="宋体"/>
                <w:kern w:val="2"/>
              </w:rPr>
            </w:pPr>
            <w:r>
              <w:rPr>
                <w:rStyle w:val="9"/>
                <w:rFonts w:hint="eastAsia" w:ascii="宋体" w:hAnsi="宋体"/>
                <w:kern w:val="2"/>
              </w:rPr>
              <w:t>条目</w:t>
            </w:r>
          </w:p>
        </w:tc>
        <w:tc>
          <w:tcPr>
            <w:tcW w:w="1644" w:type="pct"/>
            <w:tcBorders>
              <w:top w:val="single" w:color="auto" w:sz="4" w:space="0"/>
              <w:left w:val="single" w:color="auto" w:sz="4" w:space="0"/>
              <w:bottom w:val="single" w:color="auto" w:sz="4" w:space="0"/>
              <w:right w:val="single" w:color="auto" w:sz="4" w:space="0"/>
            </w:tcBorders>
            <w:vAlign w:val="center"/>
          </w:tcPr>
          <w:p w14:paraId="798EF081">
            <w:pPr>
              <w:pStyle w:val="10"/>
              <w:jc w:val="center"/>
              <w:rPr>
                <w:rStyle w:val="9"/>
                <w:rFonts w:ascii="宋体" w:hAnsi="宋体"/>
                <w:kern w:val="2"/>
              </w:rPr>
            </w:pPr>
            <w:r>
              <w:rPr>
                <w:rStyle w:val="9"/>
                <w:rFonts w:hint="eastAsia" w:ascii="宋体" w:hAnsi="宋体"/>
                <w:kern w:val="2"/>
              </w:rPr>
              <w:t>简要内容</w:t>
            </w:r>
          </w:p>
        </w:tc>
        <w:tc>
          <w:tcPr>
            <w:tcW w:w="386" w:type="pct"/>
            <w:tcBorders>
              <w:top w:val="single" w:color="auto" w:sz="4" w:space="0"/>
              <w:left w:val="single" w:color="auto" w:sz="4" w:space="0"/>
              <w:bottom w:val="single" w:color="auto" w:sz="4" w:space="0"/>
              <w:right w:val="single" w:color="auto" w:sz="4" w:space="0"/>
            </w:tcBorders>
            <w:vAlign w:val="center"/>
          </w:tcPr>
          <w:p w14:paraId="5835C514">
            <w:pPr>
              <w:pStyle w:val="10"/>
              <w:jc w:val="center"/>
              <w:rPr>
                <w:rStyle w:val="9"/>
                <w:rFonts w:ascii="宋体" w:hAnsi="宋体"/>
                <w:kern w:val="2"/>
              </w:rPr>
            </w:pPr>
            <w:r>
              <w:rPr>
                <w:rStyle w:val="9"/>
                <w:rFonts w:hint="eastAsia" w:ascii="宋体" w:hAnsi="宋体"/>
                <w:kern w:val="2"/>
              </w:rPr>
              <w:t>条目</w:t>
            </w:r>
          </w:p>
        </w:tc>
        <w:tc>
          <w:tcPr>
            <w:tcW w:w="2136" w:type="pct"/>
            <w:tcBorders>
              <w:top w:val="single" w:color="auto" w:sz="4" w:space="0"/>
              <w:left w:val="single" w:color="auto" w:sz="4" w:space="0"/>
              <w:bottom w:val="single" w:color="auto" w:sz="4" w:space="0"/>
              <w:right w:val="single" w:color="auto" w:sz="4" w:space="0"/>
            </w:tcBorders>
            <w:vAlign w:val="center"/>
          </w:tcPr>
          <w:p w14:paraId="3D08DCA1">
            <w:pPr>
              <w:pStyle w:val="10"/>
              <w:jc w:val="center"/>
              <w:rPr>
                <w:rStyle w:val="9"/>
                <w:rFonts w:ascii="宋体" w:hAnsi="宋体"/>
                <w:kern w:val="2"/>
              </w:rPr>
            </w:pPr>
            <w:r>
              <w:rPr>
                <w:rStyle w:val="9"/>
                <w:rFonts w:hint="eastAsia" w:ascii="宋体" w:hAnsi="宋体"/>
                <w:kern w:val="2"/>
              </w:rPr>
              <w:t>简要内容</w:t>
            </w:r>
          </w:p>
        </w:tc>
      </w:tr>
      <w:tr w14:paraId="212F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45" w:type="pct"/>
            <w:tcBorders>
              <w:top w:val="single" w:color="auto" w:sz="4" w:space="0"/>
              <w:left w:val="single" w:color="auto" w:sz="4" w:space="0"/>
              <w:bottom w:val="single" w:color="auto" w:sz="4" w:space="0"/>
              <w:right w:val="single" w:color="auto" w:sz="4" w:space="0"/>
            </w:tcBorders>
            <w:vAlign w:val="center"/>
          </w:tcPr>
          <w:p w14:paraId="1284A10E">
            <w:pPr>
              <w:pStyle w:val="10"/>
              <w:jc w:val="center"/>
              <w:rPr>
                <w:rStyle w:val="9"/>
                <w:rFonts w:ascii="宋体" w:hAnsi="宋体"/>
                <w:kern w:val="2"/>
              </w:rPr>
            </w:pPr>
          </w:p>
        </w:tc>
        <w:tc>
          <w:tcPr>
            <w:tcW w:w="386" w:type="pct"/>
            <w:tcBorders>
              <w:top w:val="single" w:color="auto" w:sz="4" w:space="0"/>
              <w:left w:val="single" w:color="auto" w:sz="4" w:space="0"/>
              <w:bottom w:val="single" w:color="auto" w:sz="4" w:space="0"/>
              <w:right w:val="single" w:color="auto" w:sz="4" w:space="0"/>
            </w:tcBorders>
            <w:vAlign w:val="center"/>
          </w:tcPr>
          <w:p w14:paraId="075070A3">
            <w:pPr>
              <w:pStyle w:val="10"/>
              <w:jc w:val="center"/>
              <w:rPr>
                <w:rStyle w:val="9"/>
                <w:rFonts w:ascii="宋体" w:hAnsi="宋体"/>
                <w:kern w:val="2"/>
              </w:rPr>
            </w:pPr>
          </w:p>
        </w:tc>
        <w:tc>
          <w:tcPr>
            <w:tcW w:w="1644" w:type="pct"/>
            <w:tcBorders>
              <w:top w:val="single" w:color="auto" w:sz="4" w:space="0"/>
              <w:left w:val="single" w:color="auto" w:sz="4" w:space="0"/>
              <w:bottom w:val="single" w:color="auto" w:sz="4" w:space="0"/>
              <w:right w:val="single" w:color="auto" w:sz="4" w:space="0"/>
            </w:tcBorders>
            <w:vAlign w:val="center"/>
          </w:tcPr>
          <w:p w14:paraId="63FA4782">
            <w:pPr>
              <w:pStyle w:val="10"/>
              <w:rPr>
                <w:rStyle w:val="9"/>
                <w:rFonts w:ascii="宋体" w:hAnsi="宋体"/>
                <w:kern w:val="2"/>
              </w:rPr>
            </w:pPr>
          </w:p>
        </w:tc>
        <w:tc>
          <w:tcPr>
            <w:tcW w:w="386" w:type="pct"/>
            <w:tcBorders>
              <w:top w:val="single" w:color="auto" w:sz="4" w:space="0"/>
              <w:left w:val="single" w:color="auto" w:sz="4" w:space="0"/>
              <w:bottom w:val="single" w:color="auto" w:sz="4" w:space="0"/>
              <w:right w:val="single" w:color="auto" w:sz="4" w:space="0"/>
            </w:tcBorders>
            <w:vAlign w:val="center"/>
          </w:tcPr>
          <w:p w14:paraId="76685631">
            <w:pPr>
              <w:pStyle w:val="10"/>
              <w:jc w:val="center"/>
              <w:rPr>
                <w:rStyle w:val="9"/>
                <w:rFonts w:ascii="宋体" w:hAnsi="宋体"/>
                <w:kern w:val="2"/>
              </w:rPr>
            </w:pPr>
          </w:p>
        </w:tc>
        <w:tc>
          <w:tcPr>
            <w:tcW w:w="2136" w:type="pct"/>
            <w:tcBorders>
              <w:top w:val="single" w:color="auto" w:sz="4" w:space="0"/>
              <w:left w:val="single" w:color="auto" w:sz="4" w:space="0"/>
              <w:bottom w:val="single" w:color="auto" w:sz="4" w:space="0"/>
              <w:right w:val="single" w:color="auto" w:sz="4" w:space="0"/>
            </w:tcBorders>
            <w:vAlign w:val="center"/>
          </w:tcPr>
          <w:p w14:paraId="0AE008B1">
            <w:pPr>
              <w:pStyle w:val="10"/>
              <w:rPr>
                <w:rStyle w:val="9"/>
                <w:rFonts w:ascii="宋体" w:hAnsi="宋体"/>
                <w:kern w:val="2"/>
              </w:rPr>
            </w:pPr>
          </w:p>
        </w:tc>
      </w:tr>
      <w:tr w14:paraId="1752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45" w:type="pct"/>
            <w:tcBorders>
              <w:top w:val="single" w:color="auto" w:sz="4" w:space="0"/>
              <w:left w:val="single" w:color="auto" w:sz="4" w:space="0"/>
              <w:bottom w:val="single" w:color="auto" w:sz="4" w:space="0"/>
              <w:right w:val="single" w:color="auto" w:sz="4" w:space="0"/>
            </w:tcBorders>
            <w:vAlign w:val="center"/>
          </w:tcPr>
          <w:p w14:paraId="363963AF">
            <w:pPr>
              <w:pStyle w:val="10"/>
              <w:jc w:val="center"/>
              <w:rPr>
                <w:rStyle w:val="9"/>
                <w:rFonts w:ascii="宋体" w:hAnsi="宋体"/>
                <w:kern w:val="2"/>
              </w:rPr>
            </w:pPr>
          </w:p>
        </w:tc>
        <w:tc>
          <w:tcPr>
            <w:tcW w:w="386" w:type="pct"/>
            <w:tcBorders>
              <w:top w:val="single" w:color="auto" w:sz="4" w:space="0"/>
              <w:left w:val="single" w:color="auto" w:sz="4" w:space="0"/>
              <w:bottom w:val="single" w:color="auto" w:sz="4" w:space="0"/>
              <w:right w:val="single" w:color="auto" w:sz="4" w:space="0"/>
            </w:tcBorders>
            <w:vAlign w:val="center"/>
          </w:tcPr>
          <w:p w14:paraId="037844D7">
            <w:pPr>
              <w:pStyle w:val="10"/>
              <w:jc w:val="center"/>
              <w:rPr>
                <w:rStyle w:val="9"/>
                <w:rFonts w:ascii="宋体" w:hAnsi="宋体"/>
                <w:kern w:val="2"/>
              </w:rPr>
            </w:pPr>
          </w:p>
        </w:tc>
        <w:tc>
          <w:tcPr>
            <w:tcW w:w="1644" w:type="pct"/>
            <w:tcBorders>
              <w:top w:val="single" w:color="auto" w:sz="4" w:space="0"/>
              <w:left w:val="single" w:color="auto" w:sz="4" w:space="0"/>
              <w:bottom w:val="single" w:color="auto" w:sz="4" w:space="0"/>
              <w:right w:val="single" w:color="auto" w:sz="4" w:space="0"/>
            </w:tcBorders>
            <w:vAlign w:val="center"/>
          </w:tcPr>
          <w:p w14:paraId="2FB1EB87">
            <w:pPr>
              <w:pStyle w:val="10"/>
              <w:rPr>
                <w:rStyle w:val="9"/>
                <w:rFonts w:ascii="宋体" w:hAnsi="宋体"/>
                <w:kern w:val="2"/>
              </w:rPr>
            </w:pPr>
          </w:p>
        </w:tc>
        <w:tc>
          <w:tcPr>
            <w:tcW w:w="386" w:type="pct"/>
            <w:tcBorders>
              <w:top w:val="single" w:color="auto" w:sz="4" w:space="0"/>
              <w:left w:val="single" w:color="auto" w:sz="4" w:space="0"/>
              <w:bottom w:val="single" w:color="auto" w:sz="4" w:space="0"/>
              <w:right w:val="single" w:color="auto" w:sz="4" w:space="0"/>
            </w:tcBorders>
            <w:vAlign w:val="center"/>
          </w:tcPr>
          <w:p w14:paraId="13195224">
            <w:pPr>
              <w:pStyle w:val="10"/>
              <w:jc w:val="center"/>
              <w:rPr>
                <w:rStyle w:val="9"/>
                <w:rFonts w:ascii="宋体" w:hAnsi="宋体"/>
                <w:kern w:val="2"/>
              </w:rPr>
            </w:pPr>
          </w:p>
        </w:tc>
        <w:tc>
          <w:tcPr>
            <w:tcW w:w="2136" w:type="pct"/>
            <w:tcBorders>
              <w:top w:val="single" w:color="auto" w:sz="4" w:space="0"/>
              <w:left w:val="single" w:color="auto" w:sz="4" w:space="0"/>
              <w:bottom w:val="single" w:color="auto" w:sz="4" w:space="0"/>
              <w:right w:val="single" w:color="auto" w:sz="4" w:space="0"/>
            </w:tcBorders>
            <w:vAlign w:val="center"/>
          </w:tcPr>
          <w:p w14:paraId="526C1292">
            <w:pPr>
              <w:pStyle w:val="10"/>
              <w:rPr>
                <w:rStyle w:val="9"/>
                <w:rFonts w:ascii="宋体" w:hAnsi="宋体"/>
                <w:kern w:val="2"/>
              </w:rPr>
            </w:pPr>
          </w:p>
        </w:tc>
      </w:tr>
      <w:tr w14:paraId="0938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DBFA60A">
            <w:pPr>
              <w:pStyle w:val="10"/>
              <w:ind w:firstLine="440"/>
              <w:rPr>
                <w:rStyle w:val="9"/>
                <w:rFonts w:ascii="宋体" w:hAnsi="宋体"/>
                <w:kern w:val="2"/>
              </w:rPr>
            </w:pPr>
            <w:r>
              <w:rPr>
                <w:rStyle w:val="9"/>
                <w:rFonts w:hint="eastAsia" w:ascii="宋体" w:hAnsi="宋体"/>
                <w:kern w:val="2"/>
              </w:rPr>
              <w:t>说明：</w:t>
            </w:r>
          </w:p>
          <w:p w14:paraId="46D1F263">
            <w:pPr>
              <w:pStyle w:val="10"/>
              <w:ind w:firstLine="480" w:firstLineChars="200"/>
              <w:rPr>
                <w:rStyle w:val="9"/>
                <w:rFonts w:ascii="宋体" w:hAnsi="宋体"/>
                <w:kern w:val="2"/>
              </w:rPr>
            </w:pPr>
            <w:r>
              <w:rPr>
                <w:rStyle w:val="9"/>
                <w:rFonts w:hint="eastAsia" w:ascii="宋体" w:hAnsi="宋体"/>
                <w:kern w:val="2"/>
              </w:rPr>
              <w:t>（</w:t>
            </w:r>
            <w:r>
              <w:rPr>
                <w:rStyle w:val="9"/>
                <w:rFonts w:ascii="宋体" w:hAnsi="宋体"/>
                <w:kern w:val="2"/>
              </w:rPr>
              <w:t>1）若</w:t>
            </w:r>
            <w:r>
              <w:rPr>
                <w:rStyle w:val="9"/>
                <w:rFonts w:hint="eastAsia" w:ascii="宋体" w:hAnsi="宋体"/>
                <w:kern w:val="2"/>
              </w:rPr>
              <w:t>响应文件与采购文件有差异，无论多么细微，必须在差异表中说明；</w:t>
            </w:r>
          </w:p>
          <w:p w14:paraId="3930F6BA">
            <w:pPr>
              <w:pStyle w:val="10"/>
              <w:ind w:firstLine="480" w:firstLineChars="200"/>
              <w:rPr>
                <w:rStyle w:val="9"/>
                <w:rFonts w:ascii="宋体" w:hAnsi="宋体"/>
                <w:kern w:val="2"/>
              </w:rPr>
            </w:pPr>
            <w:r>
              <w:rPr>
                <w:rStyle w:val="9"/>
                <w:rFonts w:hint="eastAsia" w:ascii="宋体" w:hAnsi="宋体"/>
                <w:kern w:val="2"/>
              </w:rPr>
              <w:t>（</w:t>
            </w:r>
            <w:r>
              <w:rPr>
                <w:rStyle w:val="9"/>
                <w:rFonts w:ascii="宋体" w:hAnsi="宋体"/>
                <w:kern w:val="2"/>
              </w:rPr>
              <w:t>2</w:t>
            </w:r>
            <w:r>
              <w:rPr>
                <w:rStyle w:val="9"/>
                <w:rFonts w:hint="eastAsia" w:ascii="宋体" w:hAnsi="宋体"/>
                <w:kern w:val="2"/>
              </w:rPr>
              <w:t>）响应文件未提供差异表、或差异表内无具体内容、或未在差异表中申明的内容，均视同供应商接受采购文件的条款。</w:t>
            </w:r>
          </w:p>
        </w:tc>
      </w:tr>
    </w:tbl>
    <w:p w14:paraId="52C65D9E">
      <w:pPr>
        <w:numPr>
          <w:ilvl w:val="0"/>
          <w:numId w:val="0"/>
        </w:numPr>
        <w:spacing w:line="440" w:lineRule="exact"/>
        <w:rPr>
          <w:rFonts w:hint="eastAsia" w:ascii="宋体" w:hAnsi="宋体" w:cs="宋体"/>
          <w:iCs/>
          <w:color w:val="0070C0"/>
          <w:szCs w:val="24"/>
        </w:rPr>
      </w:pPr>
    </w:p>
    <w:p w14:paraId="51F18B1B">
      <w:pPr>
        <w:spacing w:line="440" w:lineRule="exact"/>
        <w:rPr>
          <w:rFonts w:hint="eastAsia" w:ascii="宋体" w:hAnsi="宋体" w:eastAsia="宋体"/>
          <w:iCs/>
          <w:color w:val="FF0000"/>
          <w:sz w:val="24"/>
          <w:szCs w:val="24"/>
        </w:rPr>
      </w:pPr>
    </w:p>
    <w:p w14:paraId="4297DF26">
      <w:pPr>
        <w:spacing w:after="312" w:afterLines="100"/>
        <w:jc w:val="center"/>
        <w:outlineLvl w:val="0"/>
        <w:rPr>
          <w:rFonts w:hint="eastAsia" w:ascii="宋体" w:hAnsi="宋体"/>
          <w:b/>
          <w:bCs/>
          <w:sz w:val="32"/>
          <w:szCs w:val="24"/>
        </w:rPr>
      </w:pPr>
    </w:p>
    <w:p w14:paraId="72B2946C">
      <w:pPr>
        <w:spacing w:after="312" w:afterLines="100"/>
        <w:jc w:val="center"/>
        <w:outlineLvl w:val="0"/>
        <w:rPr>
          <w:rFonts w:hint="eastAsia" w:ascii="宋体" w:hAnsi="宋体"/>
          <w:b/>
          <w:bCs/>
          <w:sz w:val="32"/>
          <w:szCs w:val="24"/>
        </w:rPr>
      </w:pPr>
    </w:p>
    <w:p w14:paraId="08565D70">
      <w:pPr>
        <w:spacing w:after="312" w:afterLines="100"/>
        <w:jc w:val="center"/>
        <w:outlineLvl w:val="0"/>
        <w:rPr>
          <w:rFonts w:hint="eastAsia" w:ascii="宋体" w:hAnsi="宋体"/>
          <w:b/>
          <w:bCs/>
          <w:sz w:val="32"/>
          <w:szCs w:val="24"/>
        </w:rPr>
      </w:pPr>
    </w:p>
    <w:p w14:paraId="53950A64">
      <w:pPr>
        <w:spacing w:after="312" w:afterLines="100"/>
        <w:jc w:val="center"/>
        <w:outlineLvl w:val="0"/>
        <w:rPr>
          <w:rFonts w:hint="eastAsia" w:ascii="宋体" w:hAnsi="宋体"/>
          <w:b/>
          <w:bCs/>
          <w:sz w:val="32"/>
          <w:szCs w:val="24"/>
        </w:rPr>
      </w:pPr>
    </w:p>
    <w:p w14:paraId="3FE215E8">
      <w:pPr>
        <w:spacing w:after="312" w:afterLines="100"/>
        <w:jc w:val="center"/>
        <w:outlineLvl w:val="0"/>
        <w:rPr>
          <w:rFonts w:hint="eastAsia" w:ascii="宋体" w:hAnsi="宋体"/>
          <w:b/>
          <w:bCs/>
          <w:sz w:val="32"/>
          <w:szCs w:val="24"/>
        </w:rPr>
      </w:pPr>
    </w:p>
    <w:p w14:paraId="2747CF92">
      <w:pPr>
        <w:spacing w:after="312" w:afterLines="100"/>
        <w:jc w:val="center"/>
        <w:outlineLvl w:val="0"/>
        <w:rPr>
          <w:rFonts w:hint="eastAsia" w:ascii="宋体" w:hAnsi="宋体"/>
          <w:b/>
          <w:bCs/>
          <w:sz w:val="32"/>
          <w:szCs w:val="24"/>
        </w:rPr>
      </w:pPr>
    </w:p>
    <w:p w14:paraId="404896FD">
      <w:pPr>
        <w:spacing w:after="312" w:afterLines="100"/>
        <w:jc w:val="center"/>
        <w:outlineLvl w:val="0"/>
        <w:rPr>
          <w:rFonts w:hint="eastAsia" w:ascii="宋体" w:hAnsi="宋体"/>
          <w:b/>
          <w:bCs/>
          <w:sz w:val="32"/>
          <w:szCs w:val="24"/>
        </w:rPr>
      </w:pPr>
    </w:p>
    <w:p w14:paraId="496973D6">
      <w:pPr>
        <w:spacing w:after="312" w:afterLines="100"/>
        <w:jc w:val="center"/>
        <w:outlineLvl w:val="0"/>
        <w:rPr>
          <w:rFonts w:hint="eastAsia" w:ascii="宋体" w:hAnsi="宋体"/>
          <w:b/>
          <w:bCs/>
          <w:sz w:val="32"/>
          <w:szCs w:val="24"/>
        </w:rPr>
      </w:pPr>
    </w:p>
    <w:p w14:paraId="7A4C86BE">
      <w:pPr>
        <w:spacing w:after="312" w:afterLines="100"/>
        <w:jc w:val="center"/>
        <w:outlineLvl w:val="0"/>
        <w:rPr>
          <w:rFonts w:hint="eastAsia" w:ascii="宋体" w:hAnsi="宋体"/>
          <w:b/>
          <w:bCs/>
          <w:sz w:val="32"/>
          <w:szCs w:val="24"/>
        </w:rPr>
      </w:pPr>
    </w:p>
    <w:p w14:paraId="131137B3">
      <w:pPr>
        <w:spacing w:after="312" w:afterLines="100"/>
        <w:jc w:val="center"/>
        <w:outlineLvl w:val="0"/>
        <w:rPr>
          <w:rFonts w:hint="eastAsia" w:ascii="宋体" w:hAnsi="宋体"/>
          <w:b/>
          <w:bCs/>
          <w:sz w:val="32"/>
          <w:szCs w:val="24"/>
        </w:rPr>
      </w:pPr>
    </w:p>
    <w:p w14:paraId="4BD8ABFA">
      <w:pPr>
        <w:spacing w:after="312" w:afterLines="100"/>
        <w:jc w:val="center"/>
        <w:outlineLvl w:val="0"/>
        <w:rPr>
          <w:rFonts w:hint="eastAsia" w:ascii="宋体" w:hAnsi="宋体"/>
          <w:b/>
          <w:bCs/>
          <w:sz w:val="32"/>
          <w:szCs w:val="24"/>
        </w:rPr>
      </w:pPr>
    </w:p>
    <w:p w14:paraId="14EEFC4F">
      <w:pPr>
        <w:spacing w:after="312" w:afterLines="100"/>
        <w:jc w:val="center"/>
        <w:outlineLvl w:val="0"/>
        <w:rPr>
          <w:rFonts w:hint="eastAsia" w:ascii="宋体" w:hAnsi="宋体"/>
          <w:b/>
          <w:bCs/>
          <w:sz w:val="32"/>
          <w:szCs w:val="24"/>
        </w:rPr>
      </w:pPr>
      <w:r>
        <w:rPr>
          <w:rFonts w:hint="eastAsia" w:ascii="宋体" w:hAnsi="宋体"/>
          <w:b/>
          <w:bCs/>
          <w:sz w:val="32"/>
          <w:szCs w:val="24"/>
        </w:rPr>
        <w:t>第三卷 评审方法</w:t>
      </w:r>
    </w:p>
    <w:p w14:paraId="27F53EE9">
      <w:pPr>
        <w:spacing w:line="440" w:lineRule="exact"/>
        <w:ind w:firstLine="482" w:firstLineChars="200"/>
        <w:outlineLvl w:val="1"/>
        <w:rPr>
          <w:rFonts w:ascii="宋体" w:hAnsi="宋体" w:eastAsia="宋体"/>
          <w:b/>
          <w:iCs/>
          <w:color w:val="auto"/>
          <w:sz w:val="24"/>
          <w:szCs w:val="24"/>
        </w:rPr>
      </w:pPr>
      <w:r>
        <w:rPr>
          <w:rFonts w:hint="eastAsia" w:ascii="宋体" w:hAnsi="宋体" w:eastAsia="宋体"/>
          <w:b/>
          <w:iCs/>
          <w:color w:val="auto"/>
          <w:sz w:val="24"/>
          <w:szCs w:val="24"/>
        </w:rPr>
        <w:t>最低价评审法前附表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7070"/>
      </w:tblGrid>
      <w:tr w14:paraId="395C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Merge w:val="restart"/>
            <w:vAlign w:val="center"/>
          </w:tcPr>
          <w:p w14:paraId="1461BEE6">
            <w:pPr>
              <w:spacing w:line="440" w:lineRule="exact"/>
              <w:rPr>
                <w:rFonts w:ascii="宋体" w:hAnsi="宋体" w:eastAsia="宋体"/>
                <w:iCs/>
                <w:color w:val="auto"/>
                <w:sz w:val="24"/>
                <w:szCs w:val="24"/>
              </w:rPr>
            </w:pPr>
            <w:r>
              <w:rPr>
                <w:rFonts w:hint="eastAsia" w:ascii="宋体" w:hAnsi="宋体" w:eastAsia="宋体"/>
                <w:iCs/>
                <w:color w:val="auto"/>
                <w:sz w:val="24"/>
                <w:szCs w:val="24"/>
              </w:rPr>
              <w:t>初步评审</w:t>
            </w:r>
          </w:p>
        </w:tc>
        <w:tc>
          <w:tcPr>
            <w:tcW w:w="4148" w:type="pct"/>
            <w:vAlign w:val="center"/>
          </w:tcPr>
          <w:p w14:paraId="0C6C115D">
            <w:pPr>
              <w:spacing w:line="440" w:lineRule="exact"/>
              <w:rPr>
                <w:rFonts w:ascii="宋体" w:hAnsi="宋体" w:eastAsia="宋体"/>
                <w:iCs/>
                <w:color w:val="auto"/>
                <w:sz w:val="24"/>
                <w:szCs w:val="24"/>
              </w:rPr>
            </w:pPr>
            <w:r>
              <w:rPr>
                <w:rFonts w:hint="eastAsia" w:ascii="宋体" w:hAnsi="宋体" w:eastAsia="宋体"/>
                <w:iCs/>
                <w:color w:val="auto"/>
                <w:sz w:val="24"/>
                <w:szCs w:val="24"/>
              </w:rPr>
              <w:t>供应商资格要求：</w:t>
            </w:r>
          </w:p>
          <w:p w14:paraId="678B5218">
            <w:pPr>
              <w:spacing w:line="440" w:lineRule="exact"/>
              <w:rPr>
                <w:rFonts w:ascii="宋体" w:hAnsi="宋体" w:eastAsia="宋体"/>
                <w:iCs/>
                <w:color w:val="auto"/>
                <w:sz w:val="24"/>
                <w:szCs w:val="24"/>
              </w:rPr>
            </w:pPr>
            <w:r>
              <w:rPr>
                <w:rFonts w:hint="eastAsia" w:ascii="宋体" w:hAnsi="宋体" w:eastAsia="宋体"/>
                <w:iCs/>
                <w:color w:val="auto"/>
                <w:sz w:val="24"/>
                <w:szCs w:val="24"/>
              </w:rPr>
              <w:t>详见按照“第一卷供应商须知”的“供应商资格要求”</w:t>
            </w:r>
          </w:p>
        </w:tc>
      </w:tr>
      <w:tr w14:paraId="6C06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Merge w:val="continue"/>
            <w:vAlign w:val="center"/>
          </w:tcPr>
          <w:p w14:paraId="77DFB39D">
            <w:pPr>
              <w:spacing w:line="440" w:lineRule="exact"/>
              <w:rPr>
                <w:rFonts w:ascii="宋体" w:hAnsi="宋体" w:eastAsia="宋体"/>
                <w:iCs/>
                <w:color w:val="auto"/>
                <w:sz w:val="24"/>
                <w:szCs w:val="24"/>
              </w:rPr>
            </w:pPr>
          </w:p>
        </w:tc>
        <w:tc>
          <w:tcPr>
            <w:tcW w:w="4148" w:type="pct"/>
            <w:vAlign w:val="center"/>
          </w:tcPr>
          <w:p w14:paraId="3335CE41">
            <w:pPr>
              <w:spacing w:line="440" w:lineRule="exact"/>
              <w:rPr>
                <w:rFonts w:hint="eastAsia" w:ascii="宋体" w:hAnsi="宋体" w:eastAsia="宋体"/>
                <w:iCs/>
                <w:color w:val="auto"/>
                <w:sz w:val="24"/>
                <w:szCs w:val="24"/>
                <w:lang w:eastAsia="zh-CN"/>
              </w:rPr>
            </w:pPr>
            <w:r>
              <w:rPr>
                <w:rFonts w:hint="eastAsia" w:ascii="宋体" w:hAnsi="宋体" w:eastAsia="宋体"/>
                <w:iCs/>
                <w:color w:val="auto"/>
                <w:sz w:val="24"/>
                <w:szCs w:val="24"/>
              </w:rPr>
              <w:t>其他评审因素和标准：</w:t>
            </w:r>
            <w:r>
              <w:rPr>
                <w:rFonts w:hint="eastAsia" w:ascii="宋体" w:hAnsi="宋体"/>
                <w:iCs/>
                <w:color w:val="auto"/>
                <w:sz w:val="24"/>
                <w:szCs w:val="24"/>
                <w:lang w:val="en-US" w:eastAsia="zh-CN"/>
              </w:rPr>
              <w:t>无</w:t>
            </w:r>
          </w:p>
        </w:tc>
      </w:tr>
      <w:tr w14:paraId="1C76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0D1C151F">
            <w:pPr>
              <w:spacing w:line="440" w:lineRule="exact"/>
              <w:rPr>
                <w:rFonts w:ascii="宋体" w:hAnsi="宋体" w:eastAsia="宋体"/>
                <w:iCs/>
                <w:color w:val="auto"/>
                <w:sz w:val="24"/>
                <w:szCs w:val="24"/>
              </w:rPr>
            </w:pPr>
            <w:r>
              <w:rPr>
                <w:rFonts w:hint="eastAsia" w:ascii="宋体" w:hAnsi="宋体" w:eastAsia="宋体"/>
                <w:iCs/>
                <w:color w:val="auto"/>
                <w:sz w:val="24"/>
                <w:szCs w:val="24"/>
              </w:rPr>
              <w:t>价格修正原则</w:t>
            </w:r>
          </w:p>
        </w:tc>
        <w:tc>
          <w:tcPr>
            <w:tcW w:w="4148" w:type="pct"/>
            <w:vAlign w:val="center"/>
          </w:tcPr>
          <w:p w14:paraId="6B877336">
            <w:pPr>
              <w:spacing w:line="440" w:lineRule="exact"/>
              <w:ind w:firstLine="480" w:firstLineChars="200"/>
              <w:rPr>
                <w:rFonts w:ascii="宋体" w:hAnsi="宋体" w:eastAsia="宋体"/>
                <w:iCs/>
                <w:color w:val="auto"/>
                <w:sz w:val="24"/>
                <w:szCs w:val="24"/>
              </w:rPr>
            </w:pPr>
            <w:r>
              <w:rPr>
                <w:rFonts w:hint="eastAsia" w:ascii="宋体" w:hAnsi="宋体" w:eastAsia="宋体"/>
                <w:iCs/>
                <w:color w:val="auto"/>
                <w:sz w:val="24"/>
                <w:szCs w:val="24"/>
              </w:rPr>
              <w:t>若供应商报价格式、内容不满足采购文件的实质性要求，有重大偏差，则否决其报价。</w:t>
            </w:r>
          </w:p>
          <w:p w14:paraId="783527A7">
            <w:pPr>
              <w:spacing w:line="440" w:lineRule="exact"/>
              <w:ind w:firstLine="480" w:firstLineChars="200"/>
              <w:rPr>
                <w:rFonts w:ascii="宋体" w:hAnsi="宋体" w:eastAsia="宋体"/>
                <w:iCs/>
                <w:color w:val="auto"/>
                <w:sz w:val="24"/>
                <w:szCs w:val="24"/>
              </w:rPr>
            </w:pPr>
            <w:r>
              <w:rPr>
                <w:rFonts w:hint="eastAsia" w:ascii="宋体" w:hAnsi="宋体" w:eastAsia="宋体" w:cs="宋体"/>
                <w:color w:val="auto"/>
                <w:kern w:val="0"/>
                <w:sz w:val="24"/>
                <w:szCs w:val="20"/>
                <w:highlight w:val="white"/>
              </w:rPr>
              <w:t>若有效供应商报价出现</w:t>
            </w:r>
            <w:r>
              <w:rPr>
                <w:rFonts w:hint="eastAsia" w:ascii="宋体" w:hAnsi="宋体" w:eastAsia="宋体" w:cs="宋体"/>
                <w:color w:val="auto"/>
                <w:kern w:val="0"/>
                <w:sz w:val="24"/>
                <w:szCs w:val="20"/>
              </w:rPr>
              <w:t>以下情况，且</w:t>
            </w:r>
            <w:r>
              <w:rPr>
                <w:rFonts w:hint="eastAsia" w:ascii="宋体" w:hAnsi="宋体" w:eastAsia="宋体" w:cs="宋体"/>
                <w:color w:val="auto"/>
                <w:kern w:val="0"/>
                <w:sz w:val="24"/>
                <w:szCs w:val="20"/>
                <w:highlight w:val="white"/>
              </w:rPr>
              <w:t>不属于重大偏差的，</w:t>
            </w:r>
            <w:r>
              <w:rPr>
                <w:rFonts w:hint="eastAsia" w:ascii="宋体" w:hAnsi="宋体" w:eastAsia="宋体"/>
                <w:iCs/>
                <w:color w:val="auto"/>
                <w:sz w:val="24"/>
                <w:szCs w:val="24"/>
              </w:rPr>
              <w:t>则按照下列原则修正供应商报价：</w:t>
            </w:r>
          </w:p>
          <w:p w14:paraId="2A3F1D7E">
            <w:pPr>
              <w:pStyle w:val="8"/>
              <w:numPr>
                <w:ilvl w:val="0"/>
                <w:numId w:val="4"/>
              </w:numPr>
              <w:spacing w:line="440" w:lineRule="exact"/>
              <w:ind w:firstLineChars="0"/>
              <w:rPr>
                <w:rFonts w:ascii="宋体" w:hAnsi="宋体" w:eastAsia="宋体"/>
                <w:iCs/>
                <w:color w:val="auto"/>
                <w:sz w:val="24"/>
                <w:szCs w:val="24"/>
              </w:rPr>
            </w:pPr>
            <w:r>
              <w:rPr>
                <w:rFonts w:ascii="宋体" w:hAnsi="宋体" w:eastAsia="宋体"/>
                <w:iCs/>
                <w:color w:val="auto"/>
                <w:sz w:val="24"/>
                <w:szCs w:val="24"/>
              </w:rPr>
              <w:t>大写金额和小写金额不一致的，以大写金额为准；</w:t>
            </w:r>
          </w:p>
          <w:p w14:paraId="525B2CEF">
            <w:pPr>
              <w:pStyle w:val="8"/>
              <w:numPr>
                <w:ilvl w:val="0"/>
                <w:numId w:val="4"/>
              </w:numPr>
              <w:spacing w:line="440" w:lineRule="exact"/>
              <w:ind w:firstLineChars="0"/>
              <w:rPr>
                <w:rFonts w:ascii="宋体" w:hAnsi="宋体" w:eastAsia="宋体"/>
                <w:iCs/>
                <w:color w:val="auto"/>
                <w:sz w:val="24"/>
                <w:szCs w:val="24"/>
              </w:rPr>
            </w:pPr>
            <w:r>
              <w:rPr>
                <w:rFonts w:ascii="宋体" w:hAnsi="宋体" w:eastAsia="宋体"/>
                <w:iCs/>
                <w:color w:val="auto"/>
                <w:sz w:val="24"/>
                <w:szCs w:val="24"/>
              </w:rPr>
              <w:t>金额小数点或者百分比有明显错位的，</w:t>
            </w:r>
            <w:r>
              <w:rPr>
                <w:rFonts w:hint="eastAsia" w:ascii="宋体" w:hAnsi="宋体" w:eastAsia="宋体"/>
                <w:iCs/>
                <w:color w:val="auto"/>
                <w:sz w:val="24"/>
                <w:szCs w:val="24"/>
              </w:rPr>
              <w:t>以合乎常理的小数点位置为准，修正价格</w:t>
            </w:r>
            <w:r>
              <w:rPr>
                <w:rFonts w:ascii="宋体" w:hAnsi="宋体" w:eastAsia="宋体"/>
                <w:iCs/>
                <w:color w:val="auto"/>
                <w:sz w:val="24"/>
                <w:szCs w:val="24"/>
              </w:rPr>
              <w:t>；</w:t>
            </w:r>
          </w:p>
          <w:p w14:paraId="0ED7B594">
            <w:pPr>
              <w:pStyle w:val="8"/>
              <w:numPr>
                <w:ilvl w:val="0"/>
                <w:numId w:val="4"/>
              </w:numPr>
              <w:spacing w:line="440" w:lineRule="exact"/>
              <w:ind w:firstLineChars="0"/>
              <w:rPr>
                <w:rFonts w:ascii="宋体" w:hAnsi="宋体" w:eastAsia="宋体"/>
                <w:iCs/>
                <w:color w:val="auto"/>
                <w:sz w:val="24"/>
                <w:szCs w:val="24"/>
              </w:rPr>
            </w:pPr>
            <w:r>
              <w:rPr>
                <w:rFonts w:ascii="宋体" w:hAnsi="宋体" w:eastAsia="宋体"/>
                <w:iCs/>
                <w:color w:val="auto"/>
                <w:sz w:val="24"/>
                <w:szCs w:val="24"/>
              </w:rPr>
              <w:t>总价金额与依据单价计算出的结果不一致的，以依据单价计算出的结果为准。</w:t>
            </w:r>
          </w:p>
          <w:p w14:paraId="472DCC6C">
            <w:pPr>
              <w:pStyle w:val="8"/>
              <w:numPr>
                <w:ilvl w:val="0"/>
                <w:numId w:val="4"/>
              </w:numPr>
              <w:spacing w:line="440" w:lineRule="exact"/>
              <w:ind w:firstLineChars="0"/>
              <w:rPr>
                <w:iCs/>
                <w:color w:val="auto"/>
                <w:sz w:val="24"/>
                <w:szCs w:val="24"/>
              </w:rPr>
            </w:pPr>
            <w:r>
              <w:rPr>
                <w:rFonts w:hint="eastAsia" w:ascii="宋体" w:hAnsi="宋体" w:eastAsia="宋体"/>
                <w:iCs/>
                <w:color w:val="auto"/>
                <w:sz w:val="24"/>
                <w:szCs w:val="24"/>
              </w:rPr>
              <w:t>采购文件提供报价表格式，列明了各报价分项项目和需求数量，且不需要供应商扩展报价分项的，若出现以下情况，则按照下列原则修正供应商报价：</w:t>
            </w:r>
          </w:p>
          <w:p w14:paraId="167D26CB">
            <w:pPr>
              <w:pStyle w:val="13"/>
              <w:numPr>
                <w:ilvl w:val="0"/>
                <w:numId w:val="5"/>
              </w:numPr>
              <w:adjustRightInd w:val="0"/>
              <w:snapToGrid w:val="0"/>
              <w:spacing w:line="360" w:lineRule="auto"/>
              <w:jc w:val="left"/>
              <w:rPr>
                <w:color w:val="auto"/>
                <w:sz w:val="24"/>
                <w:highlight w:val="white"/>
              </w:rPr>
            </w:pPr>
            <w:r>
              <w:rPr>
                <w:rFonts w:hint="eastAsia"/>
                <w:color w:val="auto"/>
                <w:sz w:val="24"/>
                <w:highlight w:val="white"/>
              </w:rPr>
              <w:t>若供应商报价表的工程量/</w:t>
            </w:r>
            <w:r>
              <w:rPr>
                <w:color w:val="auto"/>
                <w:sz w:val="24"/>
                <w:highlight w:val="white"/>
              </w:rPr>
              <w:t>数量</w:t>
            </w:r>
            <w:r>
              <w:rPr>
                <w:rFonts w:hint="eastAsia"/>
                <w:color w:val="auto"/>
                <w:sz w:val="24"/>
                <w:highlight w:val="white"/>
              </w:rPr>
              <w:t>与采购文件不符，则按其单价与采购文件规定的工程量/</w:t>
            </w:r>
            <w:r>
              <w:rPr>
                <w:color w:val="auto"/>
                <w:sz w:val="24"/>
                <w:highlight w:val="white"/>
              </w:rPr>
              <w:t>数量</w:t>
            </w:r>
            <w:r>
              <w:rPr>
                <w:rFonts w:hint="eastAsia"/>
                <w:color w:val="auto"/>
                <w:sz w:val="24"/>
                <w:highlight w:val="white"/>
              </w:rPr>
              <w:t>的乘积，予以修正；</w:t>
            </w:r>
          </w:p>
          <w:p w14:paraId="1E64A791">
            <w:pPr>
              <w:pStyle w:val="13"/>
              <w:numPr>
                <w:ilvl w:val="0"/>
                <w:numId w:val="5"/>
              </w:numPr>
              <w:adjustRightInd w:val="0"/>
              <w:snapToGrid w:val="0"/>
              <w:spacing w:line="360" w:lineRule="auto"/>
              <w:jc w:val="left"/>
              <w:rPr>
                <w:color w:val="auto"/>
                <w:sz w:val="24"/>
                <w:highlight w:val="white"/>
              </w:rPr>
            </w:pPr>
            <w:r>
              <w:rPr>
                <w:color w:val="auto"/>
                <w:sz w:val="24"/>
                <w:highlight w:val="white"/>
              </w:rPr>
              <w:t>对</w:t>
            </w:r>
            <w:r>
              <w:rPr>
                <w:rFonts w:hint="eastAsia"/>
                <w:color w:val="auto"/>
                <w:sz w:val="24"/>
                <w:highlight w:val="white"/>
              </w:rPr>
              <w:t>供应商报价表</w:t>
            </w:r>
            <w:r>
              <w:rPr>
                <w:color w:val="auto"/>
                <w:sz w:val="24"/>
                <w:highlight w:val="white"/>
              </w:rPr>
              <w:t>有分项项目，但该项目未填写报价金额或填写为“0”或填写“已含”</w:t>
            </w:r>
            <w:r>
              <w:rPr>
                <w:rFonts w:hint="eastAsia"/>
                <w:color w:val="auto"/>
                <w:sz w:val="24"/>
                <w:highlight w:val="white"/>
              </w:rPr>
              <w:t>或其他</w:t>
            </w:r>
            <w:r>
              <w:rPr>
                <w:color w:val="auto"/>
                <w:sz w:val="24"/>
                <w:highlight w:val="white"/>
              </w:rPr>
              <w:t>相同含义文字的，视为报价已含在总价或其他分项中，价格不予</w:t>
            </w:r>
            <w:r>
              <w:rPr>
                <w:rFonts w:hint="eastAsia"/>
                <w:color w:val="auto"/>
                <w:sz w:val="24"/>
                <w:highlight w:val="white"/>
              </w:rPr>
              <w:t>修正；</w:t>
            </w:r>
            <w:r>
              <w:rPr>
                <w:color w:val="auto"/>
                <w:sz w:val="24"/>
                <w:highlight w:val="white"/>
              </w:rPr>
              <w:t>除</w:t>
            </w:r>
            <w:r>
              <w:rPr>
                <w:rFonts w:hint="eastAsia"/>
                <w:color w:val="auto"/>
                <w:sz w:val="24"/>
                <w:highlight w:val="white"/>
              </w:rPr>
              <w:t>上述情况</w:t>
            </w:r>
            <w:r>
              <w:rPr>
                <w:color w:val="auto"/>
                <w:sz w:val="24"/>
                <w:highlight w:val="white"/>
              </w:rPr>
              <w:t>外的未报项目，视为报价漏报项目，按其</w:t>
            </w:r>
            <w:r>
              <w:rPr>
                <w:rFonts w:hint="eastAsia"/>
                <w:color w:val="auto"/>
                <w:sz w:val="24"/>
                <w:highlight w:val="white"/>
              </w:rPr>
              <w:t>他供应商</w:t>
            </w:r>
            <w:r>
              <w:rPr>
                <w:color w:val="auto"/>
                <w:sz w:val="24"/>
                <w:highlight w:val="white"/>
              </w:rPr>
              <w:t>相应项目最</w:t>
            </w:r>
            <w:r>
              <w:rPr>
                <w:rFonts w:hint="eastAsia"/>
                <w:color w:val="auto"/>
                <w:sz w:val="24"/>
                <w:highlight w:val="white"/>
              </w:rPr>
              <w:t>低</w:t>
            </w:r>
            <w:r>
              <w:rPr>
                <w:color w:val="auto"/>
                <w:sz w:val="24"/>
                <w:highlight w:val="white"/>
              </w:rPr>
              <w:t>报价计算</w:t>
            </w:r>
            <w:r>
              <w:rPr>
                <w:rFonts w:hint="eastAsia"/>
                <w:color w:val="auto"/>
                <w:sz w:val="24"/>
                <w:highlight w:val="white"/>
              </w:rPr>
              <w:t>；若</w:t>
            </w:r>
            <w:r>
              <w:rPr>
                <w:color w:val="auto"/>
                <w:sz w:val="24"/>
                <w:highlight w:val="white"/>
              </w:rPr>
              <w:t>漏报的部分，其他</w:t>
            </w:r>
            <w:r>
              <w:rPr>
                <w:rFonts w:hint="eastAsia"/>
                <w:color w:val="auto"/>
                <w:sz w:val="24"/>
                <w:highlight w:val="white"/>
              </w:rPr>
              <w:t>供应商</w:t>
            </w:r>
            <w:r>
              <w:rPr>
                <w:color w:val="auto"/>
                <w:sz w:val="24"/>
                <w:highlight w:val="white"/>
              </w:rPr>
              <w:t>没有相应的价格，则可以其他项目相当的价格估算计入。</w:t>
            </w:r>
          </w:p>
          <w:p w14:paraId="3652AAFA">
            <w:pPr>
              <w:spacing w:line="440" w:lineRule="exact"/>
              <w:ind w:firstLine="480" w:firstLineChars="200"/>
              <w:rPr>
                <w:rFonts w:ascii="宋体" w:hAnsi="宋体" w:eastAsia="宋体"/>
                <w:iCs/>
                <w:color w:val="auto"/>
                <w:sz w:val="24"/>
                <w:szCs w:val="24"/>
              </w:rPr>
            </w:pPr>
            <w:r>
              <w:rPr>
                <w:rFonts w:hint="eastAsia" w:ascii="宋体" w:hAnsi="宋体" w:eastAsia="宋体"/>
                <w:iCs/>
                <w:color w:val="auto"/>
                <w:sz w:val="24"/>
                <w:szCs w:val="24"/>
              </w:rPr>
              <w:t>同时出现两种及以上不一致的，按照上述顺序从上到下</w:t>
            </w:r>
            <w:r>
              <w:rPr>
                <w:rFonts w:ascii="宋体" w:hAnsi="宋体" w:eastAsia="宋体"/>
                <w:iCs/>
                <w:color w:val="auto"/>
                <w:sz w:val="24"/>
                <w:szCs w:val="24"/>
              </w:rPr>
              <w:t>依次修正。</w:t>
            </w:r>
          </w:p>
        </w:tc>
      </w:tr>
      <w:tr w14:paraId="05E4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20A830C1">
            <w:pPr>
              <w:spacing w:line="440" w:lineRule="exact"/>
              <w:rPr>
                <w:rFonts w:ascii="宋体" w:hAnsi="宋体" w:eastAsia="宋体"/>
                <w:iCs/>
                <w:color w:val="auto"/>
                <w:sz w:val="24"/>
                <w:szCs w:val="24"/>
              </w:rPr>
            </w:pPr>
            <w:r>
              <w:rPr>
                <w:rFonts w:hint="eastAsia" w:ascii="宋体" w:hAnsi="宋体" w:eastAsia="宋体"/>
                <w:iCs/>
                <w:color w:val="auto"/>
                <w:sz w:val="24"/>
                <w:szCs w:val="24"/>
              </w:rPr>
              <w:t>评审价格调整条款</w:t>
            </w:r>
          </w:p>
        </w:tc>
        <w:tc>
          <w:tcPr>
            <w:tcW w:w="4148" w:type="pct"/>
            <w:vAlign w:val="center"/>
          </w:tcPr>
          <w:p w14:paraId="15AA3B84">
            <w:pPr>
              <w:spacing w:line="440" w:lineRule="exact"/>
              <w:ind w:firstLine="482" w:firstLineChars="200"/>
              <w:rPr>
                <w:rFonts w:ascii="宋体" w:hAnsi="宋体" w:eastAsia="宋体"/>
                <w:b/>
                <w:iCs/>
                <w:color w:val="auto"/>
                <w:sz w:val="24"/>
                <w:szCs w:val="24"/>
              </w:rPr>
            </w:pPr>
            <w:r>
              <w:rPr>
                <w:rFonts w:hint="eastAsia" w:ascii="宋体" w:hAnsi="宋体" w:eastAsia="宋体"/>
                <w:b/>
                <w:iCs/>
                <w:color w:val="auto"/>
                <w:sz w:val="24"/>
                <w:szCs w:val="24"/>
              </w:rPr>
              <w:t>若供应商开具增值税专用发票，则以扣除税金的价格作为评审价格，即 评审价格=含税价</w:t>
            </w:r>
            <w:r>
              <w:rPr>
                <w:rFonts w:ascii="宋体" w:hAnsi="宋体" w:eastAsia="宋体"/>
                <w:b/>
                <w:iCs/>
                <w:color w:val="auto"/>
                <w:sz w:val="24"/>
                <w:szCs w:val="24"/>
              </w:rPr>
              <w:t>÷</w:t>
            </w:r>
            <w:r>
              <w:rPr>
                <w:rFonts w:hint="eastAsia" w:ascii="宋体" w:hAnsi="宋体" w:eastAsia="宋体"/>
                <w:b/>
                <w:iCs/>
                <w:color w:val="auto"/>
                <w:sz w:val="24"/>
                <w:szCs w:val="24"/>
              </w:rPr>
              <w:t>（1</w:t>
            </w:r>
            <w:r>
              <w:rPr>
                <w:rFonts w:ascii="宋体" w:hAnsi="宋体" w:eastAsia="宋体"/>
                <w:b/>
                <w:iCs/>
                <w:color w:val="auto"/>
                <w:sz w:val="24"/>
                <w:szCs w:val="24"/>
              </w:rPr>
              <w:t>+</w:t>
            </w:r>
            <w:r>
              <w:rPr>
                <w:rFonts w:hint="eastAsia" w:ascii="宋体" w:hAnsi="宋体" w:eastAsia="宋体"/>
                <w:b/>
                <w:iCs/>
                <w:color w:val="auto"/>
                <w:sz w:val="24"/>
                <w:szCs w:val="24"/>
              </w:rPr>
              <w:t>税率）。</w:t>
            </w:r>
          </w:p>
          <w:p w14:paraId="5F8B8148">
            <w:pPr>
              <w:spacing w:line="440" w:lineRule="exact"/>
              <w:ind w:firstLine="482" w:firstLineChars="200"/>
              <w:rPr>
                <w:rFonts w:ascii="宋体" w:hAnsi="宋体" w:eastAsia="宋体"/>
                <w:b/>
                <w:iCs/>
                <w:color w:val="auto"/>
                <w:sz w:val="24"/>
                <w:szCs w:val="24"/>
              </w:rPr>
            </w:pPr>
            <w:r>
              <w:rPr>
                <w:rFonts w:hint="eastAsia" w:ascii="宋体" w:hAnsi="宋体" w:eastAsia="宋体"/>
                <w:b/>
                <w:iCs/>
                <w:color w:val="auto"/>
                <w:sz w:val="24"/>
                <w:szCs w:val="24"/>
              </w:rPr>
              <w:t>若供应商开具增值税普通发票，则以含税价作为评审价格。</w:t>
            </w:r>
          </w:p>
          <w:p w14:paraId="3D8B0CB7">
            <w:pPr>
              <w:spacing w:line="440" w:lineRule="exact"/>
              <w:ind w:firstLine="480" w:firstLineChars="200"/>
              <w:rPr>
                <w:rFonts w:ascii="宋体" w:hAnsi="宋体" w:eastAsia="宋体"/>
                <w:b/>
                <w:iCs/>
                <w:color w:val="auto"/>
                <w:sz w:val="24"/>
                <w:szCs w:val="24"/>
              </w:rPr>
            </w:pPr>
            <w:r>
              <w:rPr>
                <w:rFonts w:hint="eastAsia" w:ascii="宋体" w:hAnsi="宋体" w:eastAsia="宋体" w:cs="宋体"/>
                <w:color w:val="auto"/>
                <w:kern w:val="0"/>
                <w:sz w:val="24"/>
                <w:szCs w:val="20"/>
                <w:highlight w:val="white"/>
              </w:rPr>
              <w:t>在修正价格基础上，对出现以下情况的，按下列条款调整评审价格：</w:t>
            </w:r>
          </w:p>
          <w:p w14:paraId="4AE05169">
            <w:pPr>
              <w:pStyle w:val="13"/>
              <w:numPr>
                <w:ilvl w:val="0"/>
                <w:numId w:val="6"/>
              </w:numPr>
              <w:adjustRightInd w:val="0"/>
              <w:snapToGrid w:val="0"/>
              <w:spacing w:line="360" w:lineRule="auto"/>
              <w:jc w:val="left"/>
              <w:rPr>
                <w:color w:val="auto"/>
                <w:sz w:val="24"/>
              </w:rPr>
            </w:pPr>
            <w:r>
              <w:rPr>
                <w:rFonts w:hint="eastAsia"/>
                <w:color w:val="auto"/>
                <w:sz w:val="24"/>
                <w:highlight w:val="white"/>
              </w:rPr>
              <w:t>对价款支付条款提出偏差的，若偏差较小，</w:t>
            </w:r>
            <w:r>
              <w:rPr>
                <w:rFonts w:hint="eastAsia"/>
                <w:color w:val="auto"/>
                <w:sz w:val="24"/>
              </w:rPr>
              <w:t>评审小组认为可接受的，则评审时按照中国人民银行最新公布的贷款利率，将评审价格折算至同一基准；若偏差较大，评审小组认为不可接受，则否决其报价。</w:t>
            </w:r>
          </w:p>
        </w:tc>
      </w:tr>
      <w:tr w14:paraId="1A50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2F533D93">
            <w:pPr>
              <w:spacing w:line="440" w:lineRule="exact"/>
              <w:rPr>
                <w:rFonts w:ascii="宋体" w:hAnsi="宋体" w:eastAsia="宋体"/>
                <w:iCs/>
                <w:color w:val="auto"/>
                <w:sz w:val="24"/>
                <w:szCs w:val="24"/>
              </w:rPr>
            </w:pPr>
            <w:r>
              <w:rPr>
                <w:rFonts w:hint="eastAsia" w:ascii="宋体" w:hAnsi="宋体" w:eastAsia="宋体"/>
                <w:iCs/>
                <w:color w:val="auto"/>
                <w:sz w:val="24"/>
                <w:szCs w:val="24"/>
              </w:rPr>
              <w:t>否决供应商的情形</w:t>
            </w:r>
          </w:p>
        </w:tc>
        <w:tc>
          <w:tcPr>
            <w:tcW w:w="4148" w:type="pct"/>
            <w:vAlign w:val="center"/>
          </w:tcPr>
          <w:p w14:paraId="45930AA7">
            <w:pPr>
              <w:spacing w:line="440" w:lineRule="exact"/>
              <w:ind w:firstLine="480" w:firstLineChars="200"/>
              <w:rPr>
                <w:rFonts w:ascii="宋体" w:hAnsi="宋体" w:eastAsia="宋体"/>
                <w:iCs/>
                <w:color w:val="auto"/>
                <w:sz w:val="24"/>
                <w:szCs w:val="24"/>
              </w:rPr>
            </w:pPr>
            <w:r>
              <w:rPr>
                <w:rFonts w:hint="eastAsia" w:ascii="宋体" w:hAnsi="宋体" w:eastAsia="宋体"/>
                <w:iCs/>
                <w:color w:val="auto"/>
                <w:sz w:val="24"/>
                <w:szCs w:val="24"/>
              </w:rPr>
              <w:t>经评审，若评审小组认定供应商存在以下情形之一，则予以否决。</w:t>
            </w:r>
          </w:p>
          <w:p w14:paraId="2C5E5116">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工期</w:t>
            </w:r>
            <w:r>
              <w:rPr>
                <w:rFonts w:ascii="宋体" w:hAnsi="宋体" w:eastAsia="宋体"/>
                <w:iCs/>
                <w:color w:val="auto"/>
                <w:sz w:val="24"/>
                <w:szCs w:val="24"/>
              </w:rPr>
              <w:t>/交货期/服务期不满足</w:t>
            </w:r>
            <w:r>
              <w:rPr>
                <w:rFonts w:hint="eastAsia" w:ascii="宋体" w:hAnsi="宋体" w:eastAsia="宋体"/>
                <w:iCs/>
                <w:color w:val="auto"/>
                <w:sz w:val="24"/>
                <w:szCs w:val="24"/>
              </w:rPr>
              <w:t>采购</w:t>
            </w:r>
            <w:r>
              <w:rPr>
                <w:rFonts w:ascii="宋体" w:hAnsi="宋体" w:eastAsia="宋体"/>
                <w:iCs/>
                <w:color w:val="auto"/>
                <w:sz w:val="24"/>
                <w:szCs w:val="24"/>
              </w:rPr>
              <w:t>文件要求</w:t>
            </w:r>
            <w:r>
              <w:rPr>
                <w:rFonts w:hint="eastAsia" w:ascii="宋体" w:hAnsi="宋体" w:eastAsia="宋体"/>
                <w:iCs/>
                <w:color w:val="auto"/>
                <w:sz w:val="24"/>
                <w:szCs w:val="24"/>
              </w:rPr>
              <w:t>。</w:t>
            </w:r>
          </w:p>
          <w:p w14:paraId="395984AC">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响应有效期不满足采购文件要求。</w:t>
            </w:r>
          </w:p>
          <w:p w14:paraId="4A7EE9C7">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供应商不符合国家或者采购文件规定的资格要求。</w:t>
            </w:r>
          </w:p>
          <w:p w14:paraId="01DB4B71">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同一供应商提交两个或以上不同的报价，且不接受按既定规则处理的，但采购文件要求提交备选方案的除外。</w:t>
            </w:r>
          </w:p>
          <w:p w14:paraId="54E9E0DA">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报价格式、内容不满足采购文件的实质性要求，有重大偏差。</w:t>
            </w:r>
          </w:p>
          <w:p w14:paraId="2B63EAE2">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供应商报价属于存在重大履约风险的异常报价，或者高于采购文件设定的任何一项最高限价（分项最高限价或总价最高限价）。</w:t>
            </w:r>
          </w:p>
          <w:p w14:paraId="52F8C1B5">
            <w:pPr>
              <w:pStyle w:val="8"/>
              <w:numPr>
                <w:ilvl w:val="0"/>
                <w:numId w:val="7"/>
              </w:numPr>
              <w:spacing w:line="440" w:lineRule="exact"/>
              <w:ind w:firstLineChars="0"/>
              <w:rPr>
                <w:rFonts w:ascii="宋体" w:hAnsi="宋体" w:eastAsia="宋体"/>
                <w:iCs/>
                <w:color w:val="auto"/>
                <w:sz w:val="24"/>
                <w:szCs w:val="24"/>
              </w:rPr>
            </w:pPr>
            <w:r>
              <w:rPr>
                <w:rFonts w:ascii="宋体" w:hAnsi="宋体" w:eastAsia="宋体"/>
                <w:iCs/>
                <w:color w:val="auto"/>
                <w:sz w:val="24"/>
                <w:szCs w:val="24"/>
              </w:rPr>
              <w:t>供应商</w:t>
            </w:r>
            <w:r>
              <w:rPr>
                <w:rFonts w:hint="eastAsia" w:ascii="宋体" w:hAnsi="宋体" w:eastAsia="宋体"/>
                <w:iCs/>
                <w:color w:val="auto"/>
                <w:sz w:val="24"/>
                <w:szCs w:val="24"/>
              </w:rPr>
              <w:t>在本项目采购活动中</w:t>
            </w:r>
            <w:r>
              <w:rPr>
                <w:rFonts w:ascii="宋体" w:hAnsi="宋体" w:eastAsia="宋体"/>
                <w:iCs/>
                <w:color w:val="auto"/>
                <w:sz w:val="24"/>
                <w:szCs w:val="24"/>
              </w:rPr>
              <w:t>有串通报价、弄虚作假、行贿、以他人名义参与采购活动等不诚信行为的，包括但不限于：《招标投标法》及其配套法规政策规定的串通投标情形适用于本采购项目对供应商串通报价行为的认定。</w:t>
            </w:r>
          </w:p>
          <w:p w14:paraId="352EB714">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供应商在报价截止时间后撤销响应文件的。</w:t>
            </w:r>
          </w:p>
          <w:p w14:paraId="5C324352">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供应商在提交响应文件截止时间后对响应文件提出实质性修改的。</w:t>
            </w:r>
          </w:p>
          <w:p w14:paraId="6BA6462D">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对按照价格修正原则修正后的价格，或者按照评审价格条款调整后的价格，供应商不接受的。</w:t>
            </w:r>
          </w:p>
          <w:p w14:paraId="59B52DEE">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未按照采购文件规定的响应保证金要求，提交响应保证金。</w:t>
            </w:r>
          </w:p>
          <w:p w14:paraId="2858CAB6">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供应商被</w:t>
            </w:r>
            <w:r>
              <w:rPr>
                <w:rFonts w:hint="eastAsia" w:ascii="宋体" w:hAnsi="宋体" w:eastAsia="宋体"/>
                <w:iCs/>
                <w:color w:val="auto"/>
                <w:sz w:val="24"/>
                <w:szCs w:val="24"/>
                <w:lang w:val="en-US" w:eastAsia="zh-CN"/>
              </w:rPr>
              <w:t>采购人</w:t>
            </w:r>
            <w:r>
              <w:rPr>
                <w:rFonts w:hint="eastAsia" w:ascii="宋体" w:hAnsi="宋体" w:eastAsia="宋体"/>
                <w:iCs/>
                <w:color w:val="auto"/>
                <w:sz w:val="24"/>
                <w:szCs w:val="24"/>
              </w:rPr>
              <w:t>或上级单位列入供应商黑名单，且在规定期限内的，其报价将按无效处理。</w:t>
            </w:r>
            <w:r>
              <w:rPr>
                <w:rFonts w:hint="eastAsia" w:ascii="宋体" w:hAnsi="宋体" w:eastAsia="宋体"/>
                <w:color w:val="auto"/>
                <w:sz w:val="24"/>
                <w:szCs w:val="24"/>
              </w:rPr>
              <w:t>在签订采购合同前，若供应商被</w:t>
            </w:r>
            <w:r>
              <w:rPr>
                <w:rFonts w:hint="eastAsia" w:ascii="宋体" w:hAnsi="宋体" w:eastAsia="宋体"/>
                <w:color w:val="auto"/>
                <w:sz w:val="24"/>
                <w:szCs w:val="24"/>
                <w:lang w:val="en-US" w:eastAsia="zh-CN"/>
              </w:rPr>
              <w:t>采购人</w:t>
            </w:r>
            <w:r>
              <w:rPr>
                <w:rFonts w:hint="eastAsia" w:ascii="宋体" w:hAnsi="宋体" w:eastAsia="宋体"/>
                <w:color w:val="auto"/>
                <w:sz w:val="24"/>
                <w:szCs w:val="24"/>
              </w:rPr>
              <w:t>或上级单位列入黑名单，其成交资格将被取消</w:t>
            </w:r>
            <w:r>
              <w:rPr>
                <w:rFonts w:hint="eastAsia" w:ascii="宋体" w:hAnsi="宋体" w:eastAsia="宋体"/>
                <w:iCs/>
                <w:color w:val="auto"/>
                <w:sz w:val="24"/>
                <w:szCs w:val="24"/>
              </w:rPr>
              <w:t>。</w:t>
            </w:r>
          </w:p>
          <w:p w14:paraId="2E0A5087">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单</w:t>
            </w:r>
            <w:r>
              <w:rPr>
                <w:rFonts w:ascii="宋体" w:hAnsi="宋体" w:eastAsia="宋体"/>
                <w:iCs/>
                <w:color w:val="auto"/>
                <w:sz w:val="24"/>
                <w:szCs w:val="24"/>
              </w:rPr>
              <w:t>位负责人为同一人</w:t>
            </w:r>
            <w:r>
              <w:rPr>
                <w:rFonts w:hint="eastAsia" w:ascii="宋体" w:hAnsi="宋体" w:eastAsia="宋体"/>
                <w:iCs/>
                <w:color w:val="auto"/>
                <w:sz w:val="24"/>
                <w:szCs w:val="24"/>
              </w:rPr>
              <w:t>，</w:t>
            </w:r>
            <w:r>
              <w:rPr>
                <w:rFonts w:ascii="宋体" w:hAnsi="宋体" w:eastAsia="宋体"/>
                <w:iCs/>
                <w:color w:val="auto"/>
                <w:sz w:val="24"/>
                <w:szCs w:val="24"/>
              </w:rPr>
              <w:t>或者存在控股、管理关系的不同供应商，参与同一标段的相同分项项目</w:t>
            </w:r>
            <w:r>
              <w:rPr>
                <w:rFonts w:hint="eastAsia" w:ascii="宋体" w:hAnsi="宋体" w:eastAsia="宋体"/>
                <w:iCs/>
                <w:color w:val="auto"/>
                <w:sz w:val="24"/>
                <w:szCs w:val="24"/>
              </w:rPr>
              <w:t>/物品行</w:t>
            </w:r>
            <w:r>
              <w:rPr>
                <w:rFonts w:ascii="宋体" w:hAnsi="宋体" w:eastAsia="宋体"/>
                <w:iCs/>
                <w:color w:val="auto"/>
                <w:sz w:val="24"/>
                <w:szCs w:val="24"/>
              </w:rPr>
              <w:t>报价的。</w:t>
            </w:r>
          </w:p>
          <w:p w14:paraId="4BDD8959">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供应商被政府部门、司法机关责令停业的，或者被暂停或取消投标资格的，或者财产被接管或冻结的</w:t>
            </w:r>
            <w:r>
              <w:rPr>
                <w:rFonts w:hint="eastAsia" w:ascii="宋体" w:hAnsi="宋体" w:eastAsia="宋体"/>
                <w:iCs/>
                <w:color w:val="auto"/>
                <w:sz w:val="24"/>
                <w:szCs w:val="24"/>
                <w:lang w:eastAsia="zh-CN"/>
              </w:rPr>
              <w:t>，</w:t>
            </w:r>
            <w:r>
              <w:rPr>
                <w:rFonts w:hint="eastAsia" w:ascii="宋体" w:hAnsi="宋体" w:eastAsia="宋体"/>
                <w:iCs/>
                <w:color w:val="auto"/>
                <w:sz w:val="24"/>
                <w:szCs w:val="24"/>
                <w:lang w:val="en-US" w:eastAsia="zh-CN"/>
              </w:rPr>
              <w:t>且在规定期限内</w:t>
            </w:r>
            <w:r>
              <w:rPr>
                <w:rFonts w:hint="eastAsia" w:ascii="宋体" w:hAnsi="宋体" w:eastAsia="宋体"/>
                <w:iCs/>
                <w:color w:val="auto"/>
                <w:sz w:val="24"/>
                <w:szCs w:val="24"/>
              </w:rPr>
              <w:t>。</w:t>
            </w:r>
          </w:p>
          <w:p w14:paraId="18DB3D2E">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kern w:val="0"/>
                <w:sz w:val="24"/>
                <w:szCs w:val="24"/>
              </w:rPr>
              <w:t>若接受联合体报价，供应商采用联合体形式报价，但没有提交联合体协议或共同报价协议的；或者若联合体各方在同一标段中以自己名义单独报价或者参加其他联合体报价的；或者若资格预审后联合体增减、更换成员的，均按无效处理</w:t>
            </w:r>
            <w:r>
              <w:rPr>
                <w:rFonts w:hint="eastAsia" w:ascii="宋体" w:hAnsi="宋体" w:eastAsia="宋体"/>
                <w:iCs/>
                <w:color w:val="auto"/>
                <w:sz w:val="24"/>
                <w:szCs w:val="24"/>
              </w:rPr>
              <w:t>。</w:t>
            </w:r>
          </w:p>
          <w:p w14:paraId="3EE8939B">
            <w:pPr>
              <w:pStyle w:val="8"/>
              <w:numPr>
                <w:ilvl w:val="0"/>
                <w:numId w:val="7"/>
              </w:numPr>
              <w:spacing w:line="440" w:lineRule="exact"/>
              <w:ind w:firstLineChars="0"/>
              <w:rPr>
                <w:rFonts w:ascii="宋体" w:hAnsi="宋体" w:eastAsia="宋体"/>
                <w:iCs/>
                <w:color w:val="auto"/>
                <w:sz w:val="24"/>
                <w:szCs w:val="24"/>
              </w:rPr>
            </w:pPr>
            <w:r>
              <w:rPr>
                <w:rFonts w:hint="eastAsia" w:ascii="宋体" w:hAnsi="宋体" w:eastAsia="宋体"/>
                <w:iCs/>
                <w:color w:val="auto"/>
                <w:sz w:val="24"/>
                <w:szCs w:val="24"/>
              </w:rPr>
              <w:t>响应文件没有对采购文件的实质性要求和条件作出响应。</w:t>
            </w:r>
          </w:p>
        </w:tc>
      </w:tr>
      <w:tr w14:paraId="4A10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72BF6134">
            <w:pPr>
              <w:spacing w:line="440" w:lineRule="exact"/>
              <w:rPr>
                <w:rFonts w:ascii="宋体" w:hAnsi="宋体" w:eastAsia="宋体"/>
                <w:iCs/>
                <w:color w:val="auto"/>
                <w:sz w:val="24"/>
                <w:szCs w:val="24"/>
              </w:rPr>
            </w:pPr>
            <w:r>
              <w:rPr>
                <w:rFonts w:hint="eastAsia" w:ascii="宋体" w:hAnsi="宋体" w:eastAsia="宋体"/>
                <w:iCs/>
                <w:color w:val="auto"/>
                <w:sz w:val="24"/>
                <w:szCs w:val="24"/>
              </w:rPr>
              <w:t>评审价格相同时的排序规则</w:t>
            </w:r>
          </w:p>
        </w:tc>
        <w:tc>
          <w:tcPr>
            <w:tcW w:w="4148" w:type="pct"/>
            <w:vAlign w:val="center"/>
          </w:tcPr>
          <w:p w14:paraId="2D0B1177">
            <w:pPr>
              <w:pStyle w:val="8"/>
              <w:numPr>
                <w:ilvl w:val="0"/>
                <w:numId w:val="0"/>
              </w:numPr>
              <w:tabs>
                <w:tab w:val="left" w:pos="993"/>
              </w:tabs>
              <w:spacing w:line="440" w:lineRule="exact"/>
              <w:jc w:val="left"/>
              <w:rPr>
                <w:rFonts w:hint="eastAsia" w:cs="宋体" w:asciiTheme="minorEastAsia" w:hAnsiTheme="minorEastAsia"/>
                <w:color w:val="auto"/>
                <w:sz w:val="24"/>
                <w:szCs w:val="24"/>
                <w:lang w:val="en-US" w:eastAsia="zh-CN"/>
              </w:rPr>
            </w:pPr>
            <w:r>
              <w:rPr>
                <w:rFonts w:hint="eastAsia" w:cs="宋体" w:asciiTheme="minorEastAsia" w:hAnsiTheme="minorEastAsia"/>
                <w:color w:val="auto"/>
                <w:sz w:val="24"/>
                <w:szCs w:val="24"/>
                <w:lang w:val="en-US" w:eastAsia="zh-CN"/>
              </w:rPr>
              <w:t>1.合作良好的上期合同合作方优先；</w:t>
            </w:r>
          </w:p>
          <w:p w14:paraId="2BB5FFD6">
            <w:pPr>
              <w:pStyle w:val="8"/>
              <w:numPr>
                <w:ilvl w:val="0"/>
                <w:numId w:val="0"/>
              </w:numPr>
              <w:tabs>
                <w:tab w:val="left" w:pos="993"/>
              </w:tabs>
              <w:spacing w:line="440" w:lineRule="exact"/>
              <w:jc w:val="left"/>
              <w:rPr>
                <w:rFonts w:ascii="宋体" w:hAnsi="宋体" w:eastAsia="宋体"/>
                <w:iCs/>
                <w:color w:val="auto"/>
                <w:sz w:val="24"/>
                <w:szCs w:val="24"/>
              </w:rPr>
            </w:pPr>
            <w:r>
              <w:rPr>
                <w:rFonts w:hint="eastAsia" w:cs="宋体" w:asciiTheme="minorEastAsia" w:hAnsiTheme="minorEastAsia"/>
                <w:color w:val="auto"/>
                <w:sz w:val="24"/>
                <w:szCs w:val="24"/>
                <w:lang w:val="en-US" w:eastAsia="zh-CN"/>
              </w:rPr>
              <w:t>2.若历史合作情况类似，则评审小组结合采购项目特点和实际需求，综合考虑，集体决议。</w:t>
            </w:r>
          </w:p>
        </w:tc>
      </w:tr>
      <w:tr w14:paraId="1FEE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1E81DE50">
            <w:pPr>
              <w:spacing w:line="440" w:lineRule="exact"/>
              <w:rPr>
                <w:rFonts w:ascii="宋体" w:hAnsi="宋体" w:eastAsia="宋体"/>
                <w:iCs/>
                <w:color w:val="auto"/>
                <w:sz w:val="24"/>
                <w:szCs w:val="24"/>
              </w:rPr>
            </w:pPr>
            <w:r>
              <w:rPr>
                <w:rFonts w:hint="eastAsia" w:ascii="宋体" w:hAnsi="宋体" w:eastAsia="宋体"/>
                <w:iCs/>
                <w:color w:val="auto"/>
                <w:sz w:val="24"/>
                <w:szCs w:val="24"/>
              </w:rPr>
              <w:t>其他情况说明</w:t>
            </w:r>
          </w:p>
        </w:tc>
        <w:tc>
          <w:tcPr>
            <w:tcW w:w="4148" w:type="pct"/>
            <w:vAlign w:val="center"/>
          </w:tcPr>
          <w:p w14:paraId="13A0EE9D">
            <w:pPr>
              <w:spacing w:line="440" w:lineRule="exact"/>
              <w:rPr>
                <w:rFonts w:hint="eastAsia" w:ascii="宋体" w:hAnsi="宋体" w:eastAsia="宋体"/>
                <w:iCs/>
                <w:color w:val="auto"/>
                <w:sz w:val="24"/>
                <w:szCs w:val="24"/>
                <w:lang w:eastAsia="zh-CN"/>
              </w:rPr>
            </w:pPr>
            <w:r>
              <w:rPr>
                <w:rFonts w:hint="eastAsia" w:ascii="宋体" w:hAnsi="宋体"/>
                <w:iCs/>
                <w:color w:val="auto"/>
                <w:sz w:val="24"/>
                <w:szCs w:val="24"/>
                <w:lang w:val="en-US" w:eastAsia="zh-CN"/>
              </w:rPr>
              <w:t>无</w:t>
            </w:r>
          </w:p>
        </w:tc>
      </w:tr>
    </w:tbl>
    <w:p w14:paraId="08597CAB">
      <w:pPr>
        <w:spacing w:before="156" w:beforeLines="50" w:line="440" w:lineRule="exact"/>
        <w:ind w:firstLine="480" w:firstLineChars="200"/>
        <w:rPr>
          <w:rFonts w:hint="eastAsia" w:ascii="宋体" w:hAnsi="宋体"/>
          <w:iCs/>
          <w:color w:val="000000" w:themeColor="text1"/>
          <w:szCs w:val="24"/>
          <w14:textFill>
            <w14:solidFill>
              <w14:schemeClr w14:val="tx1"/>
            </w14:solidFill>
          </w14:textFill>
        </w:rPr>
      </w:pPr>
      <w:sdt>
        <w:sdtPr>
          <w:rPr>
            <w:rFonts w:hint="eastAsia" w:ascii="宋体" w:hAnsi="宋体" w:eastAsia="宋体" w:cs="Times New Roman"/>
            <w:iCs/>
            <w:color w:val="000000" w:themeColor="text1"/>
            <w:kern w:val="2"/>
            <w:sz w:val="24"/>
            <w:szCs w:val="24"/>
            <w:lang w:val="en-US" w:eastAsia="zh-CN" w:bidi="ar-SA"/>
            <w14:textFill>
              <w14:solidFill>
                <w14:schemeClr w14:val="tx1"/>
              </w14:solidFill>
            </w14:textFill>
          </w:rPr>
          <w:id w:val="147475264"/>
          <w14:checkbox>
            <w14:checked w14:val="1"/>
            <w14:checkedState w14:val="00A2" w14:font="Wingdings 2"/>
            <w14:uncheckedState w14:val="2610" w14:font="MS Gothic"/>
          </w14:checkbox>
        </w:sdtPr>
        <w:sdtEndPr>
          <w:rPr>
            <w:rFonts w:hint="eastAsia" w:ascii="宋体" w:hAnsi="宋体" w:eastAsia="宋体" w:cs="Times New Roman"/>
            <w:iCs/>
            <w:color w:val="000000" w:themeColor="text1"/>
            <w:kern w:val="2"/>
            <w:sz w:val="24"/>
            <w:szCs w:val="24"/>
            <w:lang w:val="en-US" w:eastAsia="zh-CN" w:bidi="ar-SA"/>
            <w14:textFill>
              <w14:solidFill>
                <w14:schemeClr w14:val="tx1"/>
              </w14:solidFill>
            </w14:textFill>
          </w:rPr>
        </w:sdtEndPr>
        <w:sdtContent>
          <w:r>
            <w:rPr>
              <w:rFonts w:ascii="Wingdings 2" w:hAnsi="Wingdings 2" w:eastAsia="宋体" w:cs="Times New Roman"/>
              <w:color w:val="000000" w:themeColor="text1"/>
              <w:kern w:val="2"/>
              <w:sz w:val="24"/>
              <w:szCs w:val="32"/>
              <w:lang w:val="en-US" w:eastAsia="zh-CN" w:bidi="ar-SA"/>
              <w14:textFill>
                <w14:solidFill>
                  <w14:schemeClr w14:val="tx1"/>
                </w14:solidFill>
              </w14:textFill>
            </w:rPr>
            <w:t>¢</w:t>
          </w:r>
        </w:sdtContent>
      </w:sdt>
      <w:r>
        <w:rPr>
          <w:rFonts w:hint="eastAsia" w:ascii="宋体" w:hAnsi="宋体"/>
          <w:iCs/>
          <w:color w:val="000000" w:themeColor="text1"/>
          <w:szCs w:val="24"/>
          <w14:textFill>
            <w14:solidFill>
              <w14:schemeClr w14:val="tx1"/>
            </w14:solidFill>
          </w14:textFill>
        </w:rPr>
        <w:t>本项目采用</w:t>
      </w:r>
      <w:r>
        <w:rPr>
          <w:rFonts w:hint="eastAsia" w:ascii="宋体" w:hAnsi="宋体"/>
          <w:iCs/>
          <w:color w:val="000000" w:themeColor="text1"/>
          <w:szCs w:val="24"/>
          <w:u w:val="single"/>
          <w14:textFill>
            <w14:solidFill>
              <w14:schemeClr w14:val="tx1"/>
            </w14:solidFill>
          </w14:textFill>
        </w:rPr>
        <w:t>最低价评审法</w:t>
      </w:r>
      <w:r>
        <w:rPr>
          <w:rFonts w:hint="eastAsia" w:ascii="宋体" w:hAnsi="宋体"/>
          <w:iCs/>
          <w:color w:val="000000" w:themeColor="text1"/>
          <w:szCs w:val="24"/>
          <w14:textFill>
            <w14:solidFill>
              <w14:schemeClr w14:val="tx1"/>
            </w14:solidFill>
          </w14:textFill>
        </w:rPr>
        <w:t>。主要实施程序包括初步评审、价格评审、评审澄清、“否决供应商情形”的评审、出具评审报告、确定采购结果。</w:t>
      </w:r>
    </w:p>
    <w:p w14:paraId="0EDB1329">
      <w:pPr>
        <w:pStyle w:val="8"/>
        <w:numPr>
          <w:ilvl w:val="0"/>
          <w:numId w:val="8"/>
        </w:numPr>
        <w:spacing w:line="440" w:lineRule="exact"/>
        <w:ind w:firstLineChars="0"/>
        <w:rPr>
          <w:rFonts w:ascii="宋体" w:hAnsi="宋体"/>
          <w:b/>
          <w:iCs/>
          <w:szCs w:val="24"/>
        </w:rPr>
      </w:pPr>
      <w:r>
        <w:rPr>
          <w:rFonts w:ascii="宋体" w:hAnsi="宋体"/>
          <w:b/>
          <w:iCs/>
          <w:szCs w:val="24"/>
        </w:rPr>
        <w:t>初步评审</w:t>
      </w:r>
    </w:p>
    <w:p w14:paraId="1DA2C11D">
      <w:pPr>
        <w:spacing w:line="440" w:lineRule="exact"/>
        <w:ind w:firstLine="480" w:firstLineChars="200"/>
        <w:rPr>
          <w:rFonts w:ascii="宋体" w:hAnsi="宋体"/>
          <w:iCs/>
          <w:szCs w:val="24"/>
        </w:rPr>
      </w:pPr>
      <w:r>
        <w:rPr>
          <w:rFonts w:hint="eastAsia" w:ascii="宋体" w:hAnsi="宋体"/>
          <w:iCs/>
          <w:szCs w:val="24"/>
        </w:rPr>
        <w:t>对供应商的资格条件等因素进行初步评审，“供应商资格要求”详见“第一卷供应商须知”的“供应商资格要求”，其他评审因素详见评审方法前附表“初步评审”。</w:t>
      </w:r>
    </w:p>
    <w:p w14:paraId="6D7E9637">
      <w:pPr>
        <w:spacing w:line="440" w:lineRule="exact"/>
        <w:ind w:firstLine="480" w:firstLineChars="200"/>
        <w:rPr>
          <w:rFonts w:ascii="宋体" w:hAnsi="宋体"/>
          <w:iCs/>
          <w:szCs w:val="24"/>
        </w:rPr>
      </w:pPr>
      <w:r>
        <w:rPr>
          <w:rFonts w:hint="eastAsia" w:ascii="宋体" w:hAnsi="宋体"/>
          <w:iCs/>
          <w:szCs w:val="24"/>
        </w:rPr>
        <w:t>通过初步评审的供应商进入下一环节评审，对不满足初步评审要求的供应商予以否决。</w:t>
      </w:r>
    </w:p>
    <w:p w14:paraId="2F56753A">
      <w:pPr>
        <w:pStyle w:val="8"/>
        <w:numPr>
          <w:ilvl w:val="0"/>
          <w:numId w:val="8"/>
        </w:numPr>
        <w:spacing w:line="440" w:lineRule="exact"/>
        <w:ind w:firstLineChars="0"/>
        <w:rPr>
          <w:rFonts w:ascii="宋体" w:hAnsi="宋体"/>
          <w:b/>
          <w:iCs/>
          <w:szCs w:val="24"/>
        </w:rPr>
      </w:pPr>
      <w:r>
        <w:rPr>
          <w:rFonts w:ascii="宋体" w:hAnsi="宋体"/>
          <w:b/>
          <w:iCs/>
          <w:szCs w:val="24"/>
        </w:rPr>
        <w:t>价格评审</w:t>
      </w:r>
    </w:p>
    <w:p w14:paraId="225E6536">
      <w:pPr>
        <w:spacing w:line="440" w:lineRule="exact"/>
        <w:ind w:firstLine="480" w:firstLineChars="200"/>
        <w:rPr>
          <w:rFonts w:ascii="宋体" w:hAnsi="宋体"/>
          <w:iCs/>
          <w:szCs w:val="24"/>
        </w:rPr>
      </w:pPr>
      <w:r>
        <w:rPr>
          <w:rFonts w:hint="eastAsia" w:ascii="宋体" w:hAnsi="宋体"/>
          <w:iCs/>
          <w:szCs w:val="24"/>
        </w:rPr>
        <w:t>对通过初步评审的供应商进行价格评审。按照报价修正原则修正供应商报价；在修正价格基础上，按照评审价格调整条款计算评审价格，分析供应商报价的合理性，按照评审价格排序。</w:t>
      </w:r>
    </w:p>
    <w:p w14:paraId="2045B53A">
      <w:pPr>
        <w:pStyle w:val="8"/>
        <w:numPr>
          <w:ilvl w:val="0"/>
          <w:numId w:val="9"/>
        </w:numPr>
        <w:spacing w:line="440" w:lineRule="exact"/>
        <w:ind w:left="0" w:firstLine="482"/>
        <w:rPr>
          <w:rFonts w:ascii="宋体" w:hAnsi="宋体"/>
          <w:b/>
          <w:iCs/>
          <w:szCs w:val="24"/>
        </w:rPr>
      </w:pPr>
      <w:r>
        <w:rPr>
          <w:rFonts w:ascii="宋体" w:hAnsi="宋体"/>
          <w:b/>
          <w:iCs/>
          <w:szCs w:val="24"/>
        </w:rPr>
        <w:t>报价修正原则</w:t>
      </w:r>
    </w:p>
    <w:p w14:paraId="5815E923">
      <w:pPr>
        <w:spacing w:line="440" w:lineRule="exact"/>
        <w:ind w:firstLine="480" w:firstLineChars="200"/>
        <w:rPr>
          <w:rFonts w:ascii="宋体" w:hAnsi="宋体"/>
          <w:iCs/>
          <w:szCs w:val="24"/>
        </w:rPr>
      </w:pPr>
      <w:r>
        <w:rPr>
          <w:rFonts w:hint="eastAsia" w:ascii="宋体" w:hAnsi="宋体"/>
          <w:iCs/>
          <w:szCs w:val="24"/>
        </w:rPr>
        <w:t>供应商报价的修正原则详见评审方法前附表“报价修正原则”。供应商报价出现“报价修正原则”规定情形的，则按规定原则进行修正。</w:t>
      </w:r>
    </w:p>
    <w:p w14:paraId="6CC11DDC">
      <w:pPr>
        <w:spacing w:line="440" w:lineRule="exact"/>
        <w:ind w:firstLine="480" w:firstLineChars="200"/>
        <w:rPr>
          <w:rFonts w:ascii="宋体" w:hAnsi="宋体"/>
          <w:iCs/>
          <w:szCs w:val="24"/>
        </w:rPr>
      </w:pPr>
      <w:r>
        <w:rPr>
          <w:rFonts w:ascii="宋体" w:hAnsi="宋体"/>
          <w:iCs/>
          <w:szCs w:val="24"/>
        </w:rPr>
        <w:t>按</w:t>
      </w:r>
      <w:r>
        <w:rPr>
          <w:rFonts w:hint="eastAsia" w:ascii="宋体" w:hAnsi="宋体"/>
          <w:iCs/>
          <w:szCs w:val="24"/>
        </w:rPr>
        <w:t>规定</w:t>
      </w:r>
      <w:r>
        <w:rPr>
          <w:rFonts w:ascii="宋体" w:hAnsi="宋体"/>
          <w:iCs/>
          <w:szCs w:val="24"/>
        </w:rPr>
        <w:t>原则修正后的报价对供应商产生约束力。</w:t>
      </w:r>
      <w:r>
        <w:rPr>
          <w:rFonts w:hint="eastAsia" w:ascii="宋体" w:hAnsi="宋体"/>
          <w:iCs/>
          <w:szCs w:val="24"/>
        </w:rPr>
        <w:t>供应商成交</w:t>
      </w:r>
      <w:r>
        <w:rPr>
          <w:rFonts w:ascii="宋体" w:hAnsi="宋体"/>
          <w:iCs/>
          <w:szCs w:val="24"/>
        </w:rPr>
        <w:t>后</w:t>
      </w:r>
      <w:r>
        <w:rPr>
          <w:rFonts w:hint="eastAsia" w:ascii="宋体" w:hAnsi="宋体"/>
          <w:iCs/>
          <w:szCs w:val="24"/>
        </w:rPr>
        <w:t>，应当按照修正价格（即成交价）签订合同。若供应商</w:t>
      </w:r>
      <w:r>
        <w:rPr>
          <w:rFonts w:ascii="宋体" w:hAnsi="宋体"/>
          <w:iCs/>
          <w:szCs w:val="24"/>
        </w:rPr>
        <w:t>不接受修正价格，</w:t>
      </w:r>
      <w:r>
        <w:rPr>
          <w:rFonts w:hint="eastAsia" w:ascii="宋体" w:hAnsi="宋体"/>
          <w:iCs/>
          <w:szCs w:val="24"/>
        </w:rPr>
        <w:t>则予以</w:t>
      </w:r>
      <w:r>
        <w:rPr>
          <w:rFonts w:ascii="宋体" w:hAnsi="宋体"/>
          <w:iCs/>
          <w:szCs w:val="24"/>
        </w:rPr>
        <w:t>否决。</w:t>
      </w:r>
    </w:p>
    <w:p w14:paraId="7CEE5B59">
      <w:pPr>
        <w:pStyle w:val="8"/>
        <w:numPr>
          <w:ilvl w:val="0"/>
          <w:numId w:val="9"/>
        </w:numPr>
        <w:spacing w:line="440" w:lineRule="exact"/>
        <w:ind w:left="0" w:firstLine="482"/>
        <w:rPr>
          <w:rFonts w:ascii="宋体" w:hAnsi="宋体"/>
          <w:b/>
          <w:iCs/>
          <w:szCs w:val="24"/>
        </w:rPr>
      </w:pPr>
      <w:r>
        <w:rPr>
          <w:rFonts w:ascii="宋体" w:hAnsi="宋体"/>
          <w:b/>
          <w:iCs/>
          <w:szCs w:val="24"/>
        </w:rPr>
        <w:t>价格</w:t>
      </w:r>
      <w:r>
        <w:rPr>
          <w:rFonts w:hint="eastAsia" w:ascii="宋体" w:hAnsi="宋体"/>
          <w:b/>
          <w:iCs/>
          <w:szCs w:val="24"/>
        </w:rPr>
        <w:t>评审</w:t>
      </w:r>
    </w:p>
    <w:p w14:paraId="0F6C3B81">
      <w:pPr>
        <w:spacing w:line="440" w:lineRule="exact"/>
        <w:ind w:firstLine="480" w:firstLineChars="200"/>
        <w:rPr>
          <w:rFonts w:ascii="宋体" w:hAnsi="宋体"/>
          <w:iCs/>
          <w:szCs w:val="24"/>
        </w:rPr>
      </w:pPr>
      <w:r>
        <w:rPr>
          <w:rFonts w:ascii="宋体" w:hAnsi="宋体"/>
          <w:iCs/>
          <w:szCs w:val="24"/>
        </w:rPr>
        <w:t>以有效</w:t>
      </w:r>
      <w:r>
        <w:rPr>
          <w:rFonts w:hint="eastAsia" w:ascii="宋体" w:hAnsi="宋体"/>
          <w:iCs/>
          <w:szCs w:val="24"/>
        </w:rPr>
        <w:t>供应商</w:t>
      </w:r>
      <w:r>
        <w:rPr>
          <w:rFonts w:ascii="宋体" w:hAnsi="宋体"/>
          <w:iCs/>
          <w:szCs w:val="24"/>
        </w:rPr>
        <w:t>的修正后的价格为基础，计算</w:t>
      </w:r>
      <w:r>
        <w:rPr>
          <w:rFonts w:hint="eastAsia" w:ascii="宋体" w:hAnsi="宋体"/>
          <w:iCs/>
          <w:szCs w:val="24"/>
        </w:rPr>
        <w:t>评审</w:t>
      </w:r>
      <w:r>
        <w:rPr>
          <w:rFonts w:ascii="宋体" w:hAnsi="宋体"/>
          <w:iCs/>
          <w:szCs w:val="24"/>
        </w:rPr>
        <w:t>价格</w:t>
      </w:r>
      <w:r>
        <w:rPr>
          <w:rFonts w:hint="eastAsia" w:ascii="宋体" w:hAnsi="宋体"/>
          <w:iCs/>
          <w:szCs w:val="24"/>
        </w:rPr>
        <w:t>。评审价格调整的情形详见评审方法前附表“评审价格调整条款”，若供应商报价出现“评审价格调整条款”规定情形的，则按规定调整评审价格</w:t>
      </w:r>
      <w:r>
        <w:rPr>
          <w:rFonts w:ascii="宋体" w:hAnsi="宋体"/>
          <w:iCs/>
          <w:szCs w:val="24"/>
        </w:rPr>
        <w:t>。</w:t>
      </w:r>
      <w:r>
        <w:rPr>
          <w:rFonts w:hint="eastAsia" w:ascii="宋体" w:hAnsi="宋体"/>
          <w:iCs/>
          <w:szCs w:val="24"/>
        </w:rPr>
        <w:t>根据采购项目特点和市场行情，分析供应商价格合理性。按照调整后的评审价格由低到高进行排序。</w:t>
      </w:r>
    </w:p>
    <w:p w14:paraId="781492F6">
      <w:pPr>
        <w:spacing w:line="440" w:lineRule="exact"/>
        <w:ind w:firstLine="480" w:firstLineChars="200"/>
        <w:rPr>
          <w:rFonts w:ascii="宋体" w:hAnsi="宋体"/>
          <w:iCs/>
          <w:szCs w:val="24"/>
        </w:rPr>
      </w:pPr>
      <w:r>
        <w:rPr>
          <w:rFonts w:hint="eastAsia" w:ascii="宋体" w:hAnsi="宋体"/>
          <w:iCs/>
          <w:szCs w:val="24"/>
        </w:rPr>
        <w:t>若评审价格相同，则按照评审方法前附表“评审价格相同时的排序规则”进行排序。</w:t>
      </w:r>
    </w:p>
    <w:p w14:paraId="590685B6">
      <w:pPr>
        <w:pStyle w:val="8"/>
        <w:numPr>
          <w:ilvl w:val="0"/>
          <w:numId w:val="8"/>
        </w:numPr>
        <w:spacing w:line="440" w:lineRule="exact"/>
        <w:ind w:firstLineChars="0"/>
        <w:rPr>
          <w:rFonts w:ascii="宋体" w:hAnsi="宋体"/>
          <w:b/>
          <w:iCs/>
          <w:szCs w:val="24"/>
        </w:rPr>
      </w:pPr>
      <w:r>
        <w:rPr>
          <w:rFonts w:hint="eastAsia" w:ascii="宋体" w:hAnsi="宋体"/>
          <w:b/>
          <w:iCs/>
          <w:szCs w:val="24"/>
        </w:rPr>
        <w:t>评审澄清</w:t>
      </w:r>
    </w:p>
    <w:p w14:paraId="0816314F">
      <w:pPr>
        <w:spacing w:line="440" w:lineRule="exact"/>
        <w:ind w:firstLine="480" w:firstLineChars="200"/>
        <w:rPr>
          <w:rFonts w:ascii="宋体" w:hAnsi="宋体"/>
          <w:iCs/>
          <w:szCs w:val="24"/>
        </w:rPr>
      </w:pPr>
      <w:r>
        <w:rPr>
          <w:rFonts w:hint="eastAsia" w:ascii="宋体" w:hAnsi="宋体"/>
          <w:iCs/>
          <w:szCs w:val="24"/>
        </w:rPr>
        <w:t>评审期间，评审小组可以视情况要求供应商进行必要的澄清或说明。供应商的澄清或说明通过平台回复。供应商的澄清和说明内容属于响应文件的组成部分。不接受供应商主动提出的澄清或说明。</w:t>
      </w:r>
    </w:p>
    <w:p w14:paraId="148951F2">
      <w:pPr>
        <w:pStyle w:val="8"/>
        <w:numPr>
          <w:ilvl w:val="0"/>
          <w:numId w:val="8"/>
        </w:numPr>
        <w:spacing w:line="440" w:lineRule="exact"/>
        <w:ind w:firstLineChars="0"/>
        <w:rPr>
          <w:rFonts w:ascii="宋体" w:hAnsi="宋体"/>
          <w:b/>
          <w:iCs/>
          <w:szCs w:val="24"/>
        </w:rPr>
      </w:pPr>
      <w:r>
        <w:rPr>
          <w:rFonts w:hint="eastAsia" w:ascii="宋体" w:hAnsi="宋体"/>
          <w:b/>
          <w:iCs/>
          <w:szCs w:val="24"/>
        </w:rPr>
        <w:t>“否决供应商情形”的评审</w:t>
      </w:r>
    </w:p>
    <w:p w14:paraId="081D763D">
      <w:pPr>
        <w:spacing w:line="440" w:lineRule="exact"/>
        <w:ind w:firstLine="480" w:firstLineChars="200"/>
        <w:rPr>
          <w:rFonts w:ascii="宋体" w:hAnsi="宋体"/>
          <w:iCs/>
          <w:szCs w:val="24"/>
        </w:rPr>
      </w:pPr>
      <w:r>
        <w:rPr>
          <w:rFonts w:hint="eastAsia" w:ascii="宋体" w:hAnsi="宋体"/>
          <w:iCs/>
          <w:szCs w:val="24"/>
        </w:rPr>
        <w:t>初步评审和价格评审等阶段均涉及“否决供应商情形”的评审，详见评审方法前附表“否决供应商的情形”。经评审，若认定供应商存在“否决供应商的情形”，则予以否决。</w:t>
      </w:r>
    </w:p>
    <w:p w14:paraId="0CF93E6A">
      <w:pPr>
        <w:pStyle w:val="8"/>
        <w:numPr>
          <w:ilvl w:val="0"/>
          <w:numId w:val="8"/>
        </w:numPr>
        <w:spacing w:line="440" w:lineRule="exact"/>
        <w:ind w:firstLineChars="0"/>
        <w:rPr>
          <w:rFonts w:ascii="宋体" w:hAnsi="宋体"/>
          <w:b/>
          <w:iCs/>
          <w:szCs w:val="24"/>
        </w:rPr>
      </w:pPr>
      <w:r>
        <w:rPr>
          <w:rFonts w:hint="eastAsia" w:ascii="宋体" w:hAnsi="宋体"/>
          <w:b/>
          <w:iCs/>
          <w:szCs w:val="24"/>
        </w:rPr>
        <w:t>出具评审报告</w:t>
      </w:r>
    </w:p>
    <w:p w14:paraId="11DED373">
      <w:pPr>
        <w:spacing w:line="440" w:lineRule="exact"/>
        <w:ind w:firstLine="480" w:firstLineChars="200"/>
        <w:rPr>
          <w:rFonts w:ascii="宋体" w:hAnsi="宋体"/>
          <w:iCs/>
          <w:szCs w:val="24"/>
        </w:rPr>
      </w:pPr>
      <w:r>
        <w:rPr>
          <w:rFonts w:hint="eastAsia" w:ascii="宋体" w:hAnsi="宋体"/>
          <w:iCs/>
          <w:szCs w:val="24"/>
        </w:rPr>
        <w:t>根据供应商排序情况，推荐成交候选人，并出具评审报告，报请审批。</w:t>
      </w:r>
    </w:p>
    <w:p w14:paraId="00878A36">
      <w:pPr>
        <w:pStyle w:val="8"/>
        <w:numPr>
          <w:ilvl w:val="0"/>
          <w:numId w:val="8"/>
        </w:numPr>
        <w:spacing w:line="440" w:lineRule="exact"/>
        <w:ind w:firstLineChars="0"/>
        <w:rPr>
          <w:rFonts w:ascii="宋体" w:hAnsi="宋体"/>
          <w:b/>
          <w:iCs/>
          <w:szCs w:val="24"/>
        </w:rPr>
      </w:pPr>
      <w:r>
        <w:rPr>
          <w:rFonts w:hint="eastAsia" w:ascii="宋体" w:hAnsi="宋体"/>
          <w:b/>
          <w:iCs/>
          <w:szCs w:val="24"/>
        </w:rPr>
        <w:t>确定采购结果</w:t>
      </w:r>
    </w:p>
    <w:p w14:paraId="30EFC3D4">
      <w:pPr>
        <w:spacing w:line="440" w:lineRule="exact"/>
        <w:ind w:firstLine="480" w:firstLineChars="200"/>
        <w:rPr>
          <w:rFonts w:ascii="宋体" w:hAnsi="宋体"/>
          <w:iCs/>
          <w:color w:val="FF0000"/>
          <w:szCs w:val="24"/>
        </w:rPr>
      </w:pPr>
      <w:r>
        <w:rPr>
          <w:rFonts w:hint="eastAsia" w:ascii="宋体" w:hAnsi="宋体"/>
          <w:iCs/>
          <w:szCs w:val="24"/>
        </w:rPr>
        <w:t>采购人向成交人发出成交通知书</w:t>
      </w:r>
      <w:r>
        <w:rPr>
          <w:rFonts w:hint="eastAsia" w:ascii="宋体" w:hAnsi="宋体"/>
          <w:iCs/>
          <w:color w:val="FF0000"/>
          <w:szCs w:val="24"/>
        </w:rPr>
        <w:t>。</w:t>
      </w:r>
    </w:p>
    <w:p w14:paraId="67521233">
      <w:pPr>
        <w:spacing w:line="440" w:lineRule="exact"/>
        <w:ind w:firstLine="480" w:firstLineChars="200"/>
        <w:rPr>
          <w:rFonts w:ascii="宋体" w:hAnsi="宋体"/>
          <w:iCs/>
          <w:szCs w:val="24"/>
        </w:rPr>
      </w:pPr>
      <w:r>
        <w:rPr>
          <w:rFonts w:hint="eastAsia" w:ascii="宋体" w:hAnsi="宋体"/>
          <w:iCs/>
          <w:szCs w:val="24"/>
        </w:rPr>
        <w:t>发出成交通知书后，若首选成交人不符合成交条件，且采购人在响应有效期内向备选成交人发出成交通知书（启用备选成交人的），则备选成交人作为新的成交人。</w:t>
      </w:r>
    </w:p>
    <w:p w14:paraId="1B8B5E3E">
      <w:pPr>
        <w:spacing w:line="440" w:lineRule="exact"/>
        <w:ind w:firstLine="480" w:firstLineChars="200"/>
        <w:rPr>
          <w:rFonts w:ascii="宋体" w:hAnsi="宋体"/>
          <w:iCs/>
          <w:szCs w:val="24"/>
        </w:rPr>
      </w:pPr>
      <w:r>
        <w:rPr>
          <w:rFonts w:hint="eastAsia" w:ascii="宋体" w:hAnsi="宋体"/>
          <w:iCs/>
          <w:szCs w:val="24"/>
        </w:rPr>
        <w:t>采购人与成交人按照采购文件和成交人响应文件的实质性内容订立书面合同。</w:t>
      </w:r>
    </w:p>
    <w:p w14:paraId="67B938E5">
      <w:pPr>
        <w:pStyle w:val="8"/>
        <w:numPr>
          <w:ilvl w:val="0"/>
          <w:numId w:val="8"/>
        </w:numPr>
        <w:spacing w:line="440" w:lineRule="exact"/>
        <w:ind w:firstLineChars="0"/>
        <w:rPr>
          <w:rFonts w:ascii="宋体" w:hAnsi="宋体"/>
          <w:b/>
          <w:iCs/>
          <w:szCs w:val="24"/>
        </w:rPr>
      </w:pPr>
      <w:r>
        <w:rPr>
          <w:rFonts w:hint="eastAsia" w:ascii="宋体" w:hAnsi="宋体"/>
          <w:b/>
          <w:iCs/>
          <w:szCs w:val="24"/>
        </w:rPr>
        <w:t>异常情况处理</w:t>
      </w:r>
    </w:p>
    <w:p w14:paraId="5B2DF6D1">
      <w:pPr>
        <w:tabs>
          <w:tab w:val="left" w:pos="993"/>
        </w:tabs>
        <w:spacing w:line="440" w:lineRule="exact"/>
        <w:ind w:firstLine="480" w:firstLineChars="200"/>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采用公开询比采购的，若供应商数量不足，采购人可按照以下规则处理（采购方式转换规则）：</w:t>
      </w:r>
    </w:p>
    <w:p w14:paraId="5C5050EC">
      <w:pPr>
        <w:numPr>
          <w:ilvl w:val="0"/>
          <w:numId w:val="10"/>
        </w:numPr>
        <w:tabs>
          <w:tab w:val="left" w:pos="993"/>
          <w:tab w:val="clear" w:pos="420"/>
        </w:tabs>
        <w:spacing w:line="440" w:lineRule="exact"/>
        <w:ind w:left="845" w:hanging="425" w:firstLineChars="0"/>
        <w:rPr>
          <w:rFonts w:hint="eastAsia" w:ascii="宋体" w:hAnsi="宋体" w:eastAsia="宋体"/>
          <w:bCs/>
          <w:color w:val="000000" w:themeColor="text1"/>
          <w:sz w:val="24"/>
          <w:szCs w:val="24"/>
          <w:lang w:val="en-US" w:eastAsia="zh-CN"/>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在开标阶段，参与的供应商数量不足3家的，可选择流标；或者转变采购方式，对参与的供应商开启响应文件，按谈判和评审程序实施；其中供应商数量2家的，可转为谈判采购；供应商数量1家的，可转为直接采购。</w:t>
      </w:r>
    </w:p>
    <w:p w14:paraId="36203CF7">
      <w:pPr>
        <w:numPr>
          <w:ilvl w:val="0"/>
          <w:numId w:val="10"/>
        </w:numPr>
        <w:tabs>
          <w:tab w:val="left" w:pos="993"/>
          <w:tab w:val="clear" w:pos="420"/>
        </w:tabs>
        <w:spacing w:line="440" w:lineRule="exact"/>
        <w:ind w:left="845" w:hanging="425" w:firstLineChars="0"/>
        <w:rPr>
          <w:rFonts w:hint="eastAsia" w:ascii="宋体" w:hAnsi="宋体" w:eastAsia="宋体"/>
          <w:bCs/>
          <w:iCs w:val="0"/>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lang w:val="en-US" w:eastAsia="zh-CN"/>
          <w14:textFill>
            <w14:solidFill>
              <w14:schemeClr w14:val="tx1"/>
            </w14:solidFill>
          </w14:textFill>
        </w:rPr>
        <w:t>在评审阶段，有效供应商不足3家的，可选择流标；或者在有效供应商原报价基础上，转换采购方式，按谈判和评审程序实施；其中有效供应商数量2家的，可转为谈判采购；有效供应商数量1家的，可转为直接采购。</w:t>
      </w:r>
    </w:p>
    <w:p w14:paraId="34D1BC64">
      <w:pPr>
        <w:jc w:val="center"/>
        <w:outlineLvl w:val="0"/>
        <w:rPr>
          <w:rFonts w:ascii="宋体" w:hAnsi="宋体"/>
          <w:b/>
          <w:bCs/>
          <w:sz w:val="32"/>
          <w:szCs w:val="24"/>
        </w:rPr>
      </w:pPr>
      <w:r>
        <w:rPr>
          <w:rFonts w:ascii="宋体" w:hAnsi="宋体"/>
          <w:b/>
          <w:iCs/>
          <w:szCs w:val="24"/>
        </w:rPr>
        <w:br w:type="page"/>
      </w:r>
      <w:r>
        <w:rPr>
          <w:rFonts w:hint="eastAsia" w:ascii="宋体" w:hAnsi="宋体"/>
          <w:b/>
          <w:bCs/>
          <w:sz w:val="32"/>
          <w:szCs w:val="24"/>
        </w:rPr>
        <w:t>第四卷 合同条款及格式</w:t>
      </w:r>
    </w:p>
    <w:p w14:paraId="6493EDE6">
      <w:pPr>
        <w:widowControl/>
        <w:snapToGrid w:val="0"/>
        <w:spacing w:line="400" w:lineRule="exact"/>
        <w:jc w:val="left"/>
        <w:rPr>
          <w:rFonts w:ascii="宋体" w:hAnsi="宋体" w:cs="Arial"/>
          <w:kern w:val="0"/>
          <w:szCs w:val="21"/>
        </w:rPr>
      </w:pPr>
      <w:r>
        <w:rPr>
          <w:rFonts w:hint="eastAsia" w:ascii="宋体" w:hAnsi="宋体" w:cs="Arial"/>
          <w:b/>
          <w:bCs/>
          <w:kern w:val="0"/>
          <w:szCs w:val="21"/>
        </w:rPr>
        <w:t>甲方：</w:t>
      </w:r>
      <w:bookmarkStart w:id="1" w:name="firstParty"/>
      <w:bookmarkEnd w:id="1"/>
    </w:p>
    <w:p w14:paraId="75F9AAFA">
      <w:pPr>
        <w:widowControl/>
        <w:snapToGrid w:val="0"/>
        <w:spacing w:line="400" w:lineRule="exact"/>
        <w:jc w:val="left"/>
        <w:rPr>
          <w:rFonts w:ascii="宋体" w:hAnsi="宋体" w:cs="Arial"/>
          <w:kern w:val="0"/>
          <w:szCs w:val="21"/>
        </w:rPr>
      </w:pPr>
      <w:r>
        <w:rPr>
          <w:rFonts w:hint="eastAsia" w:ascii="宋体" w:hAnsi="宋体" w:cs="Arial"/>
          <w:kern w:val="0"/>
          <w:szCs w:val="21"/>
        </w:rPr>
        <w:t>注册地址：</w:t>
      </w:r>
      <w:bookmarkStart w:id="2" w:name="firstRegisteredAddress"/>
      <w:bookmarkEnd w:id="2"/>
      <w:r>
        <w:rPr>
          <w:rFonts w:ascii="宋体" w:hAnsi="宋体" w:cs="Arial"/>
          <w:kern w:val="0"/>
          <w:szCs w:val="21"/>
        </w:rPr>
        <w:t xml:space="preserve"> </w:t>
      </w:r>
    </w:p>
    <w:p w14:paraId="3D619321">
      <w:pPr>
        <w:widowControl/>
        <w:snapToGrid w:val="0"/>
        <w:spacing w:line="400" w:lineRule="exact"/>
        <w:jc w:val="left"/>
        <w:rPr>
          <w:rFonts w:ascii="宋体" w:hAnsi="宋体" w:cs="Arial"/>
          <w:kern w:val="0"/>
          <w:szCs w:val="21"/>
        </w:rPr>
      </w:pPr>
      <w:r>
        <w:rPr>
          <w:rFonts w:hint="eastAsia" w:ascii="宋体" w:hAnsi="宋体" w:cs="Arial"/>
          <w:kern w:val="0"/>
          <w:szCs w:val="21"/>
        </w:rPr>
        <w:t>联系人：</w:t>
      </w:r>
      <w:bookmarkStart w:id="3" w:name="firstLinkman"/>
      <w:bookmarkEnd w:id="3"/>
      <w:r>
        <w:rPr>
          <w:rFonts w:ascii="宋体" w:hAnsi="宋体" w:cs="Arial"/>
          <w:kern w:val="0"/>
          <w:szCs w:val="21"/>
        </w:rPr>
        <w:t xml:space="preserve"> </w:t>
      </w:r>
    </w:p>
    <w:p w14:paraId="0BA0E991">
      <w:pPr>
        <w:widowControl/>
        <w:snapToGrid w:val="0"/>
        <w:spacing w:line="400" w:lineRule="exact"/>
        <w:jc w:val="left"/>
        <w:rPr>
          <w:rFonts w:ascii="宋体" w:hAnsi="宋体" w:cs="Arial"/>
          <w:kern w:val="0"/>
          <w:szCs w:val="21"/>
        </w:rPr>
      </w:pPr>
      <w:r>
        <w:rPr>
          <w:rFonts w:hint="eastAsia" w:ascii="宋体" w:hAnsi="宋体" w:cs="Arial"/>
          <w:kern w:val="0"/>
          <w:szCs w:val="21"/>
        </w:rPr>
        <w:t>电话：</w:t>
      </w:r>
      <w:bookmarkStart w:id="4" w:name="firstTelephone"/>
      <w:bookmarkEnd w:id="4"/>
    </w:p>
    <w:p w14:paraId="6B399044">
      <w:pPr>
        <w:widowControl/>
        <w:snapToGrid w:val="0"/>
        <w:spacing w:before="156" w:beforeLines="50" w:line="400" w:lineRule="exact"/>
        <w:jc w:val="left"/>
        <w:rPr>
          <w:rFonts w:ascii="宋体" w:hAnsi="宋体" w:cs="Arial"/>
          <w:b/>
          <w:bCs/>
          <w:kern w:val="0"/>
          <w:szCs w:val="21"/>
        </w:rPr>
      </w:pPr>
      <w:r>
        <w:rPr>
          <w:rFonts w:hint="eastAsia" w:ascii="宋体" w:hAnsi="宋体" w:cs="Arial"/>
          <w:b/>
          <w:bCs/>
          <w:kern w:val="0"/>
          <w:szCs w:val="21"/>
        </w:rPr>
        <w:t xml:space="preserve">乙方： </w:t>
      </w:r>
      <w:bookmarkStart w:id="5" w:name="secondParty"/>
      <w:bookmarkEnd w:id="5"/>
    </w:p>
    <w:p w14:paraId="5D03C5AD">
      <w:pPr>
        <w:widowControl/>
        <w:snapToGrid w:val="0"/>
        <w:spacing w:line="400" w:lineRule="exact"/>
        <w:jc w:val="left"/>
        <w:rPr>
          <w:rFonts w:ascii="宋体" w:hAnsi="宋体" w:cs="Arial"/>
          <w:kern w:val="0"/>
          <w:szCs w:val="21"/>
        </w:rPr>
      </w:pPr>
      <w:r>
        <w:rPr>
          <w:rFonts w:hint="eastAsia" w:ascii="宋体" w:hAnsi="宋体" w:cs="Arial"/>
          <w:kern w:val="0"/>
          <w:szCs w:val="21"/>
        </w:rPr>
        <w:t>注册地址：</w:t>
      </w:r>
      <w:bookmarkStart w:id="6" w:name="secondRegisteredAddress"/>
      <w:bookmarkEnd w:id="6"/>
      <w:r>
        <w:rPr>
          <w:rFonts w:ascii="宋体" w:hAnsi="宋体" w:cs="Arial"/>
          <w:kern w:val="0"/>
          <w:szCs w:val="21"/>
        </w:rPr>
        <w:t xml:space="preserve"> </w:t>
      </w:r>
      <w:r>
        <w:rPr>
          <w:rFonts w:hint="eastAsia" w:ascii="宋体" w:hAnsi="宋体" w:cs="Arial"/>
          <w:kern w:val="0"/>
          <w:szCs w:val="21"/>
        </w:rPr>
        <w:t xml:space="preserve"> </w:t>
      </w:r>
    </w:p>
    <w:p w14:paraId="5DD9E677">
      <w:pPr>
        <w:widowControl/>
        <w:snapToGrid w:val="0"/>
        <w:spacing w:line="400" w:lineRule="exact"/>
        <w:jc w:val="left"/>
        <w:rPr>
          <w:rFonts w:ascii="宋体" w:hAnsi="宋体" w:cs="Arial"/>
          <w:kern w:val="0"/>
          <w:szCs w:val="21"/>
        </w:rPr>
      </w:pPr>
      <w:r>
        <w:rPr>
          <w:rFonts w:hint="eastAsia" w:ascii="宋体" w:hAnsi="宋体" w:cs="Arial"/>
          <w:kern w:val="0"/>
          <w:szCs w:val="21"/>
        </w:rPr>
        <w:t>业务代表：</w:t>
      </w:r>
      <w:bookmarkStart w:id="7" w:name="secondLegalRepresentative"/>
      <w:bookmarkEnd w:id="7"/>
    </w:p>
    <w:p w14:paraId="63BD4362">
      <w:pPr>
        <w:widowControl/>
        <w:tabs>
          <w:tab w:val="left" w:pos="6810"/>
        </w:tabs>
        <w:snapToGrid w:val="0"/>
        <w:spacing w:line="400" w:lineRule="exact"/>
        <w:jc w:val="left"/>
        <w:rPr>
          <w:rFonts w:ascii="宋体" w:hAnsi="宋体" w:cs="Arial"/>
          <w:kern w:val="0"/>
          <w:szCs w:val="21"/>
        </w:rPr>
      </w:pPr>
      <w:r>
        <w:rPr>
          <w:rFonts w:hint="eastAsia" w:ascii="宋体" w:hAnsi="宋体" w:cs="Arial"/>
          <w:kern w:val="0"/>
          <w:szCs w:val="21"/>
        </w:rPr>
        <w:t>电话：</w:t>
      </w:r>
      <w:bookmarkStart w:id="8" w:name="telephone"/>
      <w:bookmarkEnd w:id="8"/>
    </w:p>
    <w:p w14:paraId="5883FC34">
      <w:pPr>
        <w:widowControl/>
        <w:snapToGrid w:val="0"/>
        <w:spacing w:line="400" w:lineRule="exact"/>
        <w:jc w:val="left"/>
        <w:rPr>
          <w:rFonts w:ascii="宋体" w:hAnsi="宋体" w:cs="Arial"/>
          <w:kern w:val="0"/>
          <w:szCs w:val="21"/>
        </w:rPr>
      </w:pPr>
      <w:r>
        <w:rPr>
          <w:rFonts w:hint="eastAsia" w:ascii="宋体" w:hAnsi="宋体" w:cs="Arial"/>
          <w:kern w:val="0"/>
          <w:szCs w:val="21"/>
        </w:rPr>
        <w:t>收款银行：</w:t>
      </w:r>
      <w:bookmarkStart w:id="9" w:name="bankName"/>
      <w:bookmarkEnd w:id="9"/>
      <w:r>
        <w:rPr>
          <w:rFonts w:ascii="宋体" w:hAnsi="宋体" w:cs="Arial"/>
          <w:kern w:val="0"/>
          <w:szCs w:val="21"/>
        </w:rPr>
        <w:t xml:space="preserve"> </w:t>
      </w:r>
    </w:p>
    <w:p w14:paraId="32412C99">
      <w:pPr>
        <w:widowControl/>
        <w:snapToGrid w:val="0"/>
        <w:spacing w:line="400" w:lineRule="exact"/>
        <w:jc w:val="left"/>
        <w:rPr>
          <w:rFonts w:ascii="宋体" w:hAnsi="宋体" w:cs="Arial"/>
          <w:kern w:val="0"/>
          <w:szCs w:val="21"/>
        </w:rPr>
      </w:pPr>
      <w:r>
        <w:rPr>
          <w:rFonts w:hint="eastAsia" w:ascii="宋体" w:hAnsi="宋体" w:cs="Arial"/>
          <w:kern w:val="0"/>
          <w:szCs w:val="21"/>
        </w:rPr>
        <w:t>账号：</w:t>
      </w:r>
      <w:bookmarkStart w:id="10" w:name="bankAccount"/>
      <w:bookmarkEnd w:id="10"/>
    </w:p>
    <w:p w14:paraId="048163B1">
      <w:pPr>
        <w:widowControl/>
        <w:snapToGrid w:val="0"/>
        <w:spacing w:line="400" w:lineRule="exact"/>
        <w:jc w:val="left"/>
        <w:rPr>
          <w:rFonts w:ascii="宋体" w:hAnsi="宋体" w:cs="Arial"/>
          <w:kern w:val="0"/>
          <w:szCs w:val="21"/>
        </w:rPr>
      </w:pPr>
      <w:r>
        <w:rPr>
          <w:rFonts w:hint="eastAsia" w:ascii="宋体" w:hAnsi="宋体" w:cs="Arial"/>
          <w:kern w:val="0"/>
          <w:szCs w:val="21"/>
        </w:rPr>
        <w:t>税号/统一社会信用代码：</w:t>
      </w:r>
      <w:bookmarkStart w:id="11" w:name="identityNo"/>
      <w:bookmarkEnd w:id="11"/>
    </w:p>
    <w:p w14:paraId="4635AAC3">
      <w:pPr>
        <w:widowControl/>
        <w:tabs>
          <w:tab w:val="left" w:pos="6810"/>
        </w:tabs>
        <w:snapToGrid w:val="0"/>
        <w:spacing w:line="400" w:lineRule="exact"/>
        <w:jc w:val="left"/>
        <w:rPr>
          <w:rFonts w:ascii="宋体" w:hAnsi="宋体" w:cs="Arial"/>
          <w:kern w:val="0"/>
          <w:szCs w:val="21"/>
        </w:rPr>
      </w:pPr>
    </w:p>
    <w:p w14:paraId="49AD0C6B">
      <w:pPr>
        <w:adjustRightInd w:val="0"/>
        <w:snapToGrid w:val="0"/>
        <w:spacing w:line="400" w:lineRule="exact"/>
        <w:ind w:firstLine="480" w:firstLineChars="200"/>
        <w:jc w:val="left"/>
        <w:textAlignment w:val="baseline"/>
        <w:rPr>
          <w:rFonts w:asciiTheme="minorEastAsia" w:hAnsiTheme="minorEastAsia"/>
          <w:szCs w:val="21"/>
        </w:rPr>
      </w:pPr>
      <w:r>
        <w:rPr>
          <w:rFonts w:hint="eastAsia" w:asciiTheme="minorEastAsia" w:hAnsiTheme="minorEastAsia"/>
          <w:szCs w:val="21"/>
        </w:rPr>
        <w:t>根据《中华人民共和国民法典》及其他相关法律、行政法规，就乙方为甲方提供有害生物防治服务相关事宜，经双方协商一致，签订本合同。</w:t>
      </w:r>
    </w:p>
    <w:p w14:paraId="407093B1">
      <w:pPr>
        <w:adjustRightInd w:val="0"/>
        <w:snapToGrid w:val="0"/>
        <w:spacing w:line="400" w:lineRule="exact"/>
        <w:jc w:val="left"/>
        <w:textAlignment w:val="baseline"/>
        <w:rPr>
          <w:rFonts w:asciiTheme="minorEastAsia" w:hAnsiTheme="minorEastAsia"/>
          <w:b/>
          <w:szCs w:val="21"/>
        </w:rPr>
      </w:pPr>
    </w:p>
    <w:p w14:paraId="5E069421">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1、服务内容、范围和方式</w:t>
      </w:r>
    </w:p>
    <w:p w14:paraId="1E553F66">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xml:space="preserve">1.1服务内容、范围：厂区公共区域、食堂、洗手间、宿舍生活区、绿化带、（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等区域的有害生物防治，面积约（）平方米。乙方在签订本合同前已经对所服务区域进行过深入考察，已经清楚并了解所要服务的具体事项及工作量；本合同未明确提出的但按照通常理解应该属于服务内容的事项，乙方也应该提供相应服务；</w:t>
      </w:r>
    </w:p>
    <w:p w14:paraId="04DA59F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1.2服务频率：详见合同附件2《服务要求》，</w:t>
      </w:r>
      <w:r>
        <w:rPr>
          <w:rFonts w:ascii="宋体" w:hAnsi="宋体"/>
          <w:szCs w:val="21"/>
        </w:rPr>
        <w:t xml:space="preserve"> </w:t>
      </w:r>
      <w:r>
        <w:rPr>
          <w:rFonts w:hint="eastAsia" w:ascii="宋体" w:hAnsi="宋体"/>
          <w:szCs w:val="21"/>
        </w:rPr>
        <w:t>甲方有权调整服务频率，甲方需至少提前</w:t>
      </w:r>
      <w:r>
        <w:rPr>
          <w:rFonts w:ascii="宋体" w:hAnsi="宋体"/>
          <w:szCs w:val="21"/>
        </w:rPr>
        <w:t>12</w:t>
      </w:r>
      <w:r>
        <w:rPr>
          <w:rFonts w:hint="eastAsia" w:ascii="宋体" w:hAnsi="宋体"/>
          <w:szCs w:val="21"/>
        </w:rPr>
        <w:t>小时通知乙方，乙方应给予配合；如因天气原因或其他特殊原因不能如期开展，乙方应提前与甲方协商，在征得甲方同意后另行安排服务时间；</w:t>
      </w:r>
    </w:p>
    <w:p w14:paraId="0E10750A">
      <w:pPr>
        <w:adjustRightInd w:val="0"/>
        <w:snapToGrid w:val="0"/>
        <w:spacing w:line="400" w:lineRule="exact"/>
        <w:ind w:left="372" w:hanging="424" w:hangingChars="177"/>
        <w:jc w:val="left"/>
        <w:textAlignment w:val="baseline"/>
        <w:rPr>
          <w:rFonts w:ascii="宋体" w:hAnsi="宋体"/>
          <w:szCs w:val="21"/>
        </w:rPr>
      </w:pPr>
      <w:r>
        <w:rPr>
          <w:rFonts w:ascii="宋体" w:hAnsi="宋体"/>
          <w:szCs w:val="21"/>
        </w:rPr>
        <w:t>1.3</w:t>
      </w:r>
      <w:r>
        <w:rPr>
          <w:rFonts w:hint="eastAsia" w:ascii="宋体" w:hAnsi="宋体"/>
          <w:szCs w:val="21"/>
        </w:rPr>
        <w:t>服务方式：包工包料。</w:t>
      </w:r>
    </w:p>
    <w:p w14:paraId="7C6EF3AE">
      <w:pPr>
        <w:adjustRightInd w:val="0"/>
        <w:snapToGrid w:val="0"/>
        <w:spacing w:line="400" w:lineRule="exact"/>
        <w:jc w:val="left"/>
        <w:textAlignment w:val="baseline"/>
        <w:rPr>
          <w:rFonts w:ascii="宋体" w:hAnsi="宋体"/>
          <w:b/>
          <w:szCs w:val="21"/>
        </w:rPr>
      </w:pPr>
    </w:p>
    <w:p w14:paraId="79EE5D3C">
      <w:pPr>
        <w:adjustRightInd w:val="0"/>
        <w:snapToGrid w:val="0"/>
        <w:spacing w:line="400" w:lineRule="exact"/>
        <w:ind w:left="373" w:hanging="426" w:hangingChars="177"/>
        <w:jc w:val="left"/>
        <w:textAlignment w:val="baseline"/>
        <w:rPr>
          <w:rFonts w:ascii="宋体" w:hAnsi="宋体"/>
          <w:b/>
          <w:szCs w:val="21"/>
        </w:rPr>
      </w:pPr>
      <w:r>
        <w:rPr>
          <w:rFonts w:hint="eastAsia" w:ascii="宋体" w:hAnsi="宋体"/>
          <w:b/>
          <w:szCs w:val="21"/>
        </w:rPr>
        <w:t>2、服务要求</w:t>
      </w:r>
    </w:p>
    <w:p w14:paraId="250384BB">
      <w:pPr>
        <w:adjustRightInd w:val="0"/>
        <w:snapToGrid w:val="0"/>
        <w:spacing w:line="400" w:lineRule="exact"/>
        <w:ind w:left="372" w:hanging="424" w:hangingChars="177"/>
        <w:jc w:val="left"/>
        <w:textAlignment w:val="baseline"/>
        <w:rPr>
          <w:rFonts w:ascii="宋体" w:hAnsi="宋体"/>
          <w:szCs w:val="21"/>
        </w:rPr>
      </w:pPr>
      <w:r>
        <w:rPr>
          <w:rFonts w:ascii="宋体" w:hAnsi="宋体"/>
          <w:szCs w:val="21"/>
        </w:rPr>
        <w:t xml:space="preserve">  </w:t>
      </w:r>
      <w:r>
        <w:rPr>
          <w:rFonts w:hint="eastAsia" w:ascii="宋体" w:hAnsi="宋体"/>
          <w:szCs w:val="21"/>
        </w:rPr>
        <w:t>详见合同附件2《服务要求》</w:t>
      </w:r>
      <w:r>
        <w:rPr>
          <w:rFonts w:ascii="宋体" w:hAnsi="宋体"/>
          <w:szCs w:val="21"/>
        </w:rPr>
        <w:t xml:space="preserve"> </w:t>
      </w:r>
      <w:r>
        <w:rPr>
          <w:rFonts w:hint="eastAsia" w:ascii="宋体" w:hAnsi="宋体"/>
          <w:szCs w:val="21"/>
        </w:rPr>
        <w:t>。</w:t>
      </w:r>
    </w:p>
    <w:p w14:paraId="336ECAFC">
      <w:pPr>
        <w:tabs>
          <w:tab w:val="left" w:pos="720"/>
        </w:tabs>
        <w:snapToGrid w:val="0"/>
        <w:spacing w:line="400" w:lineRule="exact"/>
        <w:rPr>
          <w:rFonts w:ascii="宋体" w:hAnsi="宋体"/>
          <w:b/>
          <w:szCs w:val="21"/>
        </w:rPr>
      </w:pPr>
    </w:p>
    <w:p w14:paraId="04D35793">
      <w:pPr>
        <w:tabs>
          <w:tab w:val="left" w:pos="720"/>
        </w:tabs>
        <w:snapToGrid w:val="0"/>
        <w:spacing w:line="400" w:lineRule="exact"/>
        <w:rPr>
          <w:rFonts w:ascii="宋体" w:hAnsi="宋体"/>
          <w:b/>
          <w:szCs w:val="21"/>
        </w:rPr>
      </w:pPr>
      <w:r>
        <w:rPr>
          <w:rFonts w:hint="eastAsia" w:ascii="宋体" w:hAnsi="宋体"/>
          <w:b/>
          <w:szCs w:val="21"/>
        </w:rPr>
        <w:t>3、甲方权利义务</w:t>
      </w:r>
    </w:p>
    <w:p w14:paraId="509A210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3</w:t>
      </w:r>
      <w:r>
        <w:rPr>
          <w:rFonts w:ascii="宋体" w:hAnsi="宋体"/>
          <w:szCs w:val="21"/>
        </w:rPr>
        <w:t>.1 </w:t>
      </w:r>
      <w:r>
        <w:rPr>
          <w:rFonts w:hint="eastAsia" w:ascii="宋体" w:hAnsi="宋体"/>
          <w:szCs w:val="21"/>
        </w:rPr>
        <w:t>合同期间内，乙方服务如达不到合同约定标准的，甲方有权向乙方提出整改建议并要求乙方在接到甲方通知后</w:t>
      </w:r>
      <w:r>
        <w:rPr>
          <w:rFonts w:ascii="宋体" w:hAnsi="宋体"/>
          <w:szCs w:val="21"/>
        </w:rPr>
        <w:t>24</w:t>
      </w:r>
      <w:r>
        <w:rPr>
          <w:rFonts w:hint="eastAsia" w:ascii="宋体" w:hAnsi="宋体"/>
          <w:szCs w:val="21"/>
        </w:rPr>
        <w:t>小时内给予整改；</w:t>
      </w:r>
    </w:p>
    <w:p w14:paraId="7FA84E94">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甲方对乙方的管理和工作事项有权随时检查监督；</w:t>
      </w:r>
    </w:p>
    <w:p w14:paraId="61AD7AD0">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在乙方完成本合同项下服务后，按本合同约定向乙方支付服务费；</w:t>
      </w:r>
    </w:p>
    <w:p w14:paraId="740D5AC0">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服务所需的水、电由甲方提供，费用由甲方承担。</w:t>
      </w:r>
    </w:p>
    <w:p w14:paraId="388CB8B3">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p>
    <w:p w14:paraId="103AF3B6">
      <w:pPr>
        <w:tabs>
          <w:tab w:val="left" w:pos="7560"/>
          <w:tab w:val="left" w:pos="7920"/>
          <w:tab w:val="left" w:pos="8100"/>
        </w:tabs>
        <w:adjustRightInd w:val="0"/>
        <w:snapToGrid w:val="0"/>
        <w:spacing w:line="400" w:lineRule="exact"/>
        <w:ind w:left="422" w:hanging="482" w:hangingChars="200"/>
      </w:pPr>
      <w:r>
        <w:rPr>
          <w:rFonts w:hint="eastAsia" w:ascii="宋体" w:hAnsi="宋体"/>
          <w:b/>
          <w:szCs w:val="21"/>
        </w:rPr>
        <w:t>4、乙方权利义务</w:t>
      </w:r>
    </w:p>
    <w:p w14:paraId="3886516C">
      <w:pPr>
        <w:pStyle w:val="8"/>
        <w:numPr>
          <w:ilvl w:val="1"/>
          <w:numId w:val="11"/>
        </w:numPr>
        <w:adjustRightInd w:val="0"/>
        <w:snapToGrid w:val="0"/>
        <w:spacing w:line="400" w:lineRule="exact"/>
        <w:ind w:left="426" w:hanging="426"/>
        <w:rPr>
          <w:rFonts w:ascii="宋体" w:hAnsi="宋体"/>
          <w:szCs w:val="21"/>
        </w:rPr>
      </w:pPr>
      <w:r>
        <w:rPr>
          <w:rFonts w:hint="eastAsia" w:ascii="宋体" w:hAnsi="宋体"/>
        </w:rPr>
        <w:t>乙方保证其自身及提供服务的相应人员具有并良好保持所有根据适用法律法规履行本合同项下义务所需的有效证照、登记、许可、资质等，且签订和履行本合同不违反任何适用的法律法规、国家标准的规定；</w:t>
      </w:r>
      <w:r>
        <w:rPr>
          <w:rFonts w:ascii="宋体" w:hAnsi="宋体"/>
        </w:rPr>
        <w:t>合同履行期间如乙方发生资质证照</w:t>
      </w:r>
      <w:r>
        <w:rPr>
          <w:rFonts w:hint="eastAsia" w:ascii="宋体" w:hAnsi="宋体"/>
        </w:rPr>
        <w:t>等</w:t>
      </w:r>
      <w:r>
        <w:rPr>
          <w:rFonts w:ascii="宋体" w:hAnsi="宋体"/>
        </w:rPr>
        <w:t>变更的，须提前</w:t>
      </w:r>
      <w:r>
        <w:rPr>
          <w:rFonts w:hint="eastAsia" w:ascii="宋体" w:hAnsi="宋体"/>
        </w:rPr>
        <w:t xml:space="preserve"> </w:t>
      </w:r>
      <w:r>
        <w:rPr>
          <w:rFonts w:ascii="宋体" w:hAnsi="宋体"/>
        </w:rPr>
        <w:t xml:space="preserve">  日通知甲方，且须在取得新证照后</w:t>
      </w:r>
      <w:r>
        <w:rPr>
          <w:rFonts w:hint="eastAsia" w:ascii="宋体" w:hAnsi="宋体"/>
        </w:rPr>
        <w:t xml:space="preserve"> </w:t>
      </w:r>
      <w:r>
        <w:rPr>
          <w:rFonts w:ascii="宋体" w:hAnsi="宋体"/>
        </w:rPr>
        <w:t xml:space="preserve">   日内向甲方提供加盖乙方公章的复印件；</w:t>
      </w:r>
    </w:p>
    <w:p w14:paraId="513ED3D1">
      <w:pPr>
        <w:pStyle w:val="8"/>
        <w:numPr>
          <w:ilvl w:val="1"/>
          <w:numId w:val="11"/>
        </w:numPr>
        <w:adjustRightInd w:val="0"/>
        <w:snapToGrid w:val="0"/>
        <w:spacing w:line="400" w:lineRule="exact"/>
        <w:ind w:left="426" w:hanging="426"/>
        <w:rPr>
          <w:rFonts w:ascii="宋体" w:hAnsi="宋体"/>
          <w:szCs w:val="21"/>
        </w:rPr>
      </w:pPr>
      <w:r>
        <w:rPr>
          <w:rFonts w:hint="eastAsia" w:ascii="宋体" w:hAnsi="宋体"/>
          <w:szCs w:val="21"/>
        </w:rPr>
        <w:t>乙方应确保在服务中使用的药物符合国家食品行业安全环保等相关要求，不会对甲方环境造成污染或对人体造成任何伤害，否则因此给甲方及其员工或第三方人身、财产造成损害的，由乙方承担所有责任；</w:t>
      </w:r>
    </w:p>
    <w:p w14:paraId="2609B713">
      <w:pPr>
        <w:pStyle w:val="8"/>
        <w:numPr>
          <w:ilvl w:val="1"/>
          <w:numId w:val="11"/>
        </w:numPr>
        <w:adjustRightInd w:val="0"/>
        <w:snapToGrid w:val="0"/>
        <w:spacing w:line="400" w:lineRule="exact"/>
        <w:ind w:left="426" w:hanging="426"/>
        <w:rPr>
          <w:rFonts w:ascii="宋体" w:hAnsi="宋体"/>
          <w:szCs w:val="21"/>
        </w:rPr>
      </w:pPr>
      <w:r>
        <w:rPr>
          <w:rFonts w:hint="eastAsia" w:ascii="宋体" w:hAnsi="宋体"/>
          <w:szCs w:val="21"/>
        </w:rPr>
        <w:t>乙方进行现场服务，应提前告知甲方，并须做好现场的安全防范和警示措施。若因乙方原因造成了包括但不限于甲方及其员工或第三方财产损失、人身伤害或引起投诉等，由乙方承担所有责任；</w:t>
      </w:r>
    </w:p>
    <w:p w14:paraId="2C1E5FF0">
      <w:pPr>
        <w:pStyle w:val="8"/>
        <w:numPr>
          <w:ilvl w:val="1"/>
          <w:numId w:val="11"/>
        </w:numPr>
        <w:adjustRightInd w:val="0"/>
        <w:snapToGrid w:val="0"/>
        <w:spacing w:line="400" w:lineRule="exact"/>
        <w:ind w:left="426" w:hanging="426"/>
        <w:rPr>
          <w:rFonts w:ascii="宋体" w:hAnsi="宋体"/>
          <w:szCs w:val="21"/>
        </w:rPr>
      </w:pPr>
      <w:r>
        <w:rPr>
          <w:rFonts w:hint="eastAsia" w:ascii="宋体" w:hAnsi="宋体"/>
          <w:szCs w:val="21"/>
        </w:rPr>
        <w:t>乙方服务人员应持证上岗，文明作业，严格按规范流程开展服务工作；</w:t>
      </w:r>
    </w:p>
    <w:p w14:paraId="12FF9BF3">
      <w:pPr>
        <w:pStyle w:val="8"/>
        <w:numPr>
          <w:ilvl w:val="1"/>
          <w:numId w:val="11"/>
        </w:numPr>
        <w:adjustRightInd w:val="0"/>
        <w:snapToGrid w:val="0"/>
        <w:spacing w:line="400" w:lineRule="exact"/>
        <w:ind w:left="426" w:hanging="426"/>
        <w:rPr>
          <w:rFonts w:ascii="宋体" w:hAnsi="宋体"/>
          <w:szCs w:val="21"/>
        </w:rPr>
      </w:pPr>
      <w:r>
        <w:rPr>
          <w:rFonts w:hint="eastAsia" w:ascii="宋体" w:hAnsi="宋体"/>
          <w:szCs w:val="21"/>
        </w:rPr>
        <w:t>乙方服务人员在开展服务工作时，应遵守甲方的相关规章制度，根据甲方安排有序开展服务工作，不得随意动用甲方的设备、设施，非开展服务原因不得进入甲方的车间、仓库、办公室等重要区域，若因此给甲方造成损失的，乙方应全额赔偿；</w:t>
      </w:r>
    </w:p>
    <w:p w14:paraId="0EC2088F">
      <w:pPr>
        <w:pStyle w:val="8"/>
        <w:numPr>
          <w:ilvl w:val="1"/>
          <w:numId w:val="11"/>
        </w:numPr>
        <w:adjustRightInd w:val="0"/>
        <w:snapToGrid w:val="0"/>
        <w:spacing w:line="400" w:lineRule="exact"/>
        <w:ind w:left="426" w:hanging="426"/>
        <w:rPr>
          <w:rFonts w:ascii="宋体" w:hAnsi="宋体"/>
          <w:szCs w:val="21"/>
        </w:rPr>
      </w:pPr>
      <w:r>
        <w:rPr>
          <w:rFonts w:hint="eastAsia" w:ascii="宋体" w:hAnsi="宋体"/>
          <w:szCs w:val="21"/>
        </w:rPr>
        <w:t>为了满足服务工作的管理和质量要求，乙方须指定专门的对接人员，严格按照要求执行现场各项管理、指导监督、检查、协调沟通工作，做好相关记录，以备查验；</w:t>
      </w:r>
    </w:p>
    <w:p w14:paraId="4D01797A">
      <w:pPr>
        <w:pStyle w:val="8"/>
        <w:numPr>
          <w:ilvl w:val="1"/>
          <w:numId w:val="11"/>
        </w:numPr>
        <w:adjustRightInd w:val="0"/>
        <w:snapToGrid w:val="0"/>
        <w:spacing w:line="400" w:lineRule="exact"/>
        <w:ind w:left="426" w:hanging="426"/>
        <w:rPr>
          <w:rFonts w:ascii="宋体" w:hAnsi="宋体"/>
          <w:szCs w:val="21"/>
        </w:rPr>
      </w:pPr>
      <w:r>
        <w:rPr>
          <w:rFonts w:hint="eastAsia" w:ascii="宋体" w:hAnsi="宋体"/>
          <w:szCs w:val="21"/>
        </w:rPr>
        <w:t>乙方服务人员的食宿及其他任何费用由乙方自行承担，甲方概不负责；</w:t>
      </w:r>
    </w:p>
    <w:p w14:paraId="43A128AC">
      <w:pPr>
        <w:pStyle w:val="8"/>
        <w:numPr>
          <w:ilvl w:val="1"/>
          <w:numId w:val="11"/>
        </w:numPr>
        <w:adjustRightInd w:val="0"/>
        <w:snapToGrid w:val="0"/>
        <w:spacing w:line="400" w:lineRule="exact"/>
        <w:ind w:left="426" w:hanging="426"/>
        <w:rPr>
          <w:rFonts w:ascii="宋体" w:hAnsi="宋体"/>
          <w:szCs w:val="21"/>
        </w:rPr>
      </w:pPr>
      <w:r>
        <w:rPr>
          <w:rFonts w:hint="eastAsia" w:ascii="宋体" w:hAnsi="宋体"/>
          <w:szCs w:val="21"/>
        </w:rPr>
        <w:t>乙方首次开展服务前，有权要求甲方人员陪同至指定服务场地并告知应注意事项；</w:t>
      </w:r>
    </w:p>
    <w:p w14:paraId="09944395">
      <w:pPr>
        <w:pStyle w:val="8"/>
        <w:numPr>
          <w:ilvl w:val="1"/>
          <w:numId w:val="11"/>
        </w:numPr>
        <w:adjustRightInd w:val="0"/>
        <w:snapToGrid w:val="0"/>
        <w:spacing w:line="400" w:lineRule="exact"/>
        <w:ind w:left="426" w:hanging="426"/>
        <w:rPr>
          <w:rFonts w:ascii="宋体" w:hAnsi="宋体"/>
          <w:szCs w:val="21"/>
        </w:rPr>
      </w:pPr>
      <w:r>
        <w:rPr>
          <w:rFonts w:hint="eastAsia" w:ascii="宋体" w:hAnsi="宋体"/>
          <w:szCs w:val="21"/>
        </w:rPr>
        <w:t>乙方应以自己技术、设备和人力完成本合同项下服务，不得转包给第三方；未经甲方书面同意不得分包给第三方；经甲方书面同意分包的，乙方应审查并确保第三方具备履行本合同的资格和能力且资质证照齐全、合法有效，并做好第三方的管理和统筹工作；如果因乙方和/或第三方用工不合规给甲方造成损失的，甲方有权向乙方追偿，并且不受本合同期限的限制；甲方对乙方分包的确认并非减轻或免除乙方的任何责任和义务，且甲方不因此承担任何义务和责任。</w:t>
      </w:r>
    </w:p>
    <w:p w14:paraId="50FC3458">
      <w:pPr>
        <w:tabs>
          <w:tab w:val="left" w:pos="720"/>
          <w:tab w:val="left" w:pos="7560"/>
          <w:tab w:val="left" w:pos="7920"/>
          <w:tab w:val="left" w:pos="8100"/>
        </w:tabs>
        <w:adjustRightInd w:val="0"/>
        <w:snapToGrid w:val="0"/>
        <w:spacing w:line="400" w:lineRule="exact"/>
        <w:rPr>
          <w:rFonts w:ascii="宋体" w:hAnsi="宋体"/>
          <w:szCs w:val="21"/>
        </w:rPr>
      </w:pPr>
    </w:p>
    <w:p w14:paraId="63696171">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5、服务验收（根据实际业务情况在[]中打√选择）</w:t>
      </w:r>
    </w:p>
    <w:p w14:paraId="2182107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5.1乙方服务考评标准：详见合同附件3《服务考核/验收标准》；甲方依据合同附件3《服务考核/验收标准》对乙方予以考评，考评基准分数100分，在基准分数基础上依据标准予以考评，具体考核规则为：月度考核，每次考核每扣1分的，扣收乙方服务费（）元作为违约金；不足1分的，违约金按比例据实扣减；合同有效期内考核累计（）个月低于（）分的，甲方有权单方解除合同，同时乙方需另行向甲方支付违约金人民币（）元。</w:t>
      </w:r>
    </w:p>
    <w:p w14:paraId="5A6E4052">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]5</w:t>
      </w:r>
      <w:r>
        <w:rPr>
          <w:rFonts w:ascii="宋体" w:hAnsi="宋体"/>
          <w:szCs w:val="21"/>
        </w:rPr>
        <w:t>.</w:t>
      </w:r>
      <w:r>
        <w:rPr>
          <w:rFonts w:hint="eastAsia" w:ascii="宋体" w:hAnsi="宋体"/>
          <w:szCs w:val="21"/>
        </w:rPr>
        <w:t>1甲方依据本合同第2条的约定对乙方服务质量进行验收。验收结果由甲乙双方书面签字确认，作为双方结算的依据之一。验收方式如下：详见合同附件3《服务考核/验收标准》</w:t>
      </w:r>
    </w:p>
    <w:p w14:paraId="222E62A3">
      <w:pPr>
        <w:tabs>
          <w:tab w:val="left" w:pos="720"/>
          <w:tab w:val="left" w:pos="7560"/>
          <w:tab w:val="left" w:pos="7920"/>
          <w:tab w:val="left" w:pos="8100"/>
        </w:tabs>
        <w:adjustRightInd w:val="0"/>
        <w:snapToGrid w:val="0"/>
        <w:spacing w:line="400" w:lineRule="exact"/>
        <w:rPr>
          <w:rFonts w:ascii="宋体" w:hAnsi="宋体"/>
          <w:szCs w:val="21"/>
        </w:rPr>
      </w:pPr>
    </w:p>
    <w:p w14:paraId="4FBDC9FC">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6、价款和结算</w:t>
      </w:r>
    </w:p>
    <w:p w14:paraId="04413F2D">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6.1本合同项下含税总价款为：</w:t>
      </w:r>
      <w:r>
        <w:rPr>
          <w:rFonts w:ascii="宋体" w:hAnsi="宋体"/>
          <w:szCs w:val="21"/>
        </w:rPr>
        <w:t>人民币</w:t>
      </w:r>
      <w:bookmarkStart w:id="12" w:name="amount"/>
      <w:bookmarkEnd w:id="12"/>
      <w:r>
        <w:rPr>
          <w:rFonts w:ascii="宋体" w:hAnsi="宋体"/>
          <w:szCs w:val="21"/>
        </w:rPr>
        <w:t>元</w:t>
      </w:r>
      <w:r>
        <w:rPr>
          <w:rFonts w:hint="eastAsia" w:ascii="宋体" w:hAnsi="宋体"/>
          <w:szCs w:val="21"/>
        </w:rPr>
        <w:t>，大写</w:t>
      </w:r>
      <w:bookmarkStart w:id="13" w:name="amountCh"/>
      <w:bookmarkEnd w:id="13"/>
      <w:r>
        <w:rPr>
          <w:rFonts w:hint="eastAsia" w:ascii="宋体" w:hAnsi="宋体"/>
          <w:szCs w:val="21"/>
        </w:rPr>
        <w:t xml:space="preserve">元，其中不含税价款    元，税额   元； </w:t>
      </w:r>
    </w:p>
    <w:p w14:paraId="0D6A4AA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6.2以上合同总价款包含人工费、材料费、设备费、交通费、保险费、税费、管理费等相关所有一切费用在内，除此之外，甲方不再向乙方支付其他任何款项；</w:t>
      </w:r>
    </w:p>
    <w:p w14:paraId="6742FD3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xml:space="preserve">6.3发票税率  </w:t>
      </w:r>
      <w:r>
        <w:rPr>
          <w:rFonts w:ascii="宋体" w:hAnsi="宋体"/>
          <w:szCs w:val="21"/>
        </w:rPr>
        <w:t xml:space="preserve"> </w:t>
      </w:r>
      <w:r>
        <w:rPr>
          <w:rFonts w:hint="eastAsia" w:ascii="宋体" w:hAnsi="宋体"/>
          <w:szCs w:val="21"/>
        </w:rPr>
        <w:t>%，如遇国家税务政策调整，不含税金额不变，含税金额按新税率计算相应调整；</w:t>
      </w:r>
    </w:p>
    <w:p w14:paraId="7E931C1B">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6.4开票信息：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299"/>
        <w:gridCol w:w="1717"/>
        <w:gridCol w:w="2431"/>
      </w:tblGrid>
      <w:tr w14:paraId="16DD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522" w:type="dxa"/>
            <w:gridSpan w:val="4"/>
            <w:shd w:val="clear" w:color="auto" w:fill="auto"/>
            <w:vAlign w:val="center"/>
          </w:tcPr>
          <w:p w14:paraId="2260B89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xml:space="preserve">开票内容：    </w:t>
            </w:r>
            <w:r>
              <w:rPr>
                <w:rFonts w:ascii="宋体" w:hAnsi="宋体"/>
                <w:szCs w:val="21"/>
              </w:rPr>
              <w:t xml:space="preserve"> </w:t>
            </w:r>
          </w:p>
        </w:tc>
      </w:tr>
      <w:tr w14:paraId="7AE3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shd w:val="clear" w:color="auto" w:fill="auto"/>
            <w:vAlign w:val="center"/>
          </w:tcPr>
          <w:p w14:paraId="31512ABD">
            <w:pPr>
              <w:tabs>
                <w:tab w:val="left" w:pos="720"/>
                <w:tab w:val="left" w:pos="7560"/>
                <w:tab w:val="left" w:pos="7920"/>
                <w:tab w:val="left" w:pos="8100"/>
              </w:tabs>
              <w:adjustRightInd w:val="0"/>
              <w:snapToGrid w:val="0"/>
              <w:spacing w:line="400" w:lineRule="exact"/>
              <w:jc w:val="center"/>
              <w:rPr>
                <w:rFonts w:ascii="宋体" w:hAnsi="宋体"/>
                <w:szCs w:val="21"/>
              </w:rPr>
            </w:pPr>
            <w:r>
              <w:rPr>
                <w:rFonts w:hint="eastAsia" w:ascii="宋体" w:hAnsi="宋体"/>
                <w:szCs w:val="21"/>
              </w:rPr>
              <w:t>购买方</w:t>
            </w:r>
          </w:p>
        </w:tc>
      </w:tr>
      <w:tr w14:paraId="745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shd w:val="clear" w:color="auto" w:fill="auto"/>
            <w:vAlign w:val="center"/>
          </w:tcPr>
          <w:p w14:paraId="0C01910E">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ascii="宋体" w:hAnsi="宋体"/>
                <w:szCs w:val="21"/>
              </w:rPr>
              <w:t>公司名称</w:t>
            </w:r>
          </w:p>
        </w:tc>
        <w:tc>
          <w:tcPr>
            <w:tcW w:w="2299" w:type="dxa"/>
            <w:shd w:val="clear" w:color="auto" w:fill="auto"/>
            <w:vAlign w:val="center"/>
          </w:tcPr>
          <w:p w14:paraId="731DFE1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4" w:name="firstParty1"/>
            <w:bookmarkEnd w:id="14"/>
          </w:p>
        </w:tc>
        <w:tc>
          <w:tcPr>
            <w:tcW w:w="1717" w:type="dxa"/>
            <w:shd w:val="clear" w:color="auto" w:fill="auto"/>
            <w:vAlign w:val="center"/>
          </w:tcPr>
          <w:p w14:paraId="7E251617">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ascii="宋体" w:hAnsi="宋体"/>
                <w:szCs w:val="21"/>
              </w:rPr>
              <w:t>纳税人识别号</w:t>
            </w:r>
          </w:p>
        </w:tc>
        <w:tc>
          <w:tcPr>
            <w:tcW w:w="2431" w:type="dxa"/>
            <w:shd w:val="clear" w:color="auto" w:fill="auto"/>
            <w:vAlign w:val="center"/>
          </w:tcPr>
          <w:p w14:paraId="743F7756">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5" w:name="firstIdentityNo"/>
            <w:bookmarkEnd w:id="15"/>
          </w:p>
        </w:tc>
      </w:tr>
      <w:tr w14:paraId="5CC7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shd w:val="clear" w:color="auto" w:fill="auto"/>
            <w:vAlign w:val="center"/>
          </w:tcPr>
          <w:p w14:paraId="7C83037F">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ascii="宋体" w:hAnsi="宋体"/>
                <w:szCs w:val="21"/>
              </w:rPr>
              <w:t>地址</w:t>
            </w:r>
          </w:p>
        </w:tc>
        <w:tc>
          <w:tcPr>
            <w:tcW w:w="2299" w:type="dxa"/>
            <w:shd w:val="clear" w:color="auto" w:fill="auto"/>
            <w:vAlign w:val="center"/>
          </w:tcPr>
          <w:p w14:paraId="33E7DA6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6" w:name="firstRegisteredAddress1"/>
            <w:bookmarkEnd w:id="16"/>
          </w:p>
        </w:tc>
        <w:tc>
          <w:tcPr>
            <w:tcW w:w="1717" w:type="dxa"/>
            <w:shd w:val="clear" w:color="auto" w:fill="auto"/>
            <w:vAlign w:val="center"/>
          </w:tcPr>
          <w:p w14:paraId="35FB2B1F">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ascii="宋体" w:hAnsi="宋体"/>
                <w:szCs w:val="21"/>
              </w:rPr>
              <w:t>电话</w:t>
            </w:r>
          </w:p>
        </w:tc>
        <w:tc>
          <w:tcPr>
            <w:tcW w:w="2431" w:type="dxa"/>
            <w:shd w:val="clear" w:color="auto" w:fill="auto"/>
            <w:vAlign w:val="center"/>
          </w:tcPr>
          <w:p w14:paraId="6ECCF3AD">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p>
        </w:tc>
      </w:tr>
      <w:tr w14:paraId="46B9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shd w:val="clear" w:color="auto" w:fill="auto"/>
            <w:vAlign w:val="center"/>
          </w:tcPr>
          <w:p w14:paraId="1D327E48">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rPr>
              <w:t>开户行</w:t>
            </w:r>
          </w:p>
        </w:tc>
        <w:tc>
          <w:tcPr>
            <w:tcW w:w="2299" w:type="dxa"/>
            <w:shd w:val="clear" w:color="auto" w:fill="auto"/>
            <w:vAlign w:val="center"/>
          </w:tcPr>
          <w:p w14:paraId="55A3A34F">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7" w:name="firstBankName"/>
            <w:bookmarkEnd w:id="17"/>
          </w:p>
        </w:tc>
        <w:tc>
          <w:tcPr>
            <w:tcW w:w="1717" w:type="dxa"/>
            <w:shd w:val="clear" w:color="auto" w:fill="auto"/>
            <w:vAlign w:val="center"/>
          </w:tcPr>
          <w:p w14:paraId="3373E449">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ascii="宋体" w:hAnsi="宋体"/>
                <w:szCs w:val="21"/>
              </w:rPr>
              <w:t>账号</w:t>
            </w:r>
          </w:p>
        </w:tc>
        <w:tc>
          <w:tcPr>
            <w:tcW w:w="2431" w:type="dxa"/>
            <w:shd w:val="clear" w:color="auto" w:fill="auto"/>
            <w:vAlign w:val="center"/>
          </w:tcPr>
          <w:p w14:paraId="19F4D1B5">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8" w:name="firstBankAccount"/>
            <w:bookmarkEnd w:id="18"/>
          </w:p>
        </w:tc>
      </w:tr>
      <w:tr w14:paraId="52B2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shd w:val="clear" w:color="auto" w:fill="auto"/>
            <w:vAlign w:val="center"/>
          </w:tcPr>
          <w:p w14:paraId="5AB6E2DB">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ascii="宋体" w:hAnsi="宋体"/>
                <w:szCs w:val="21"/>
              </w:rPr>
              <w:t>销售方</w:t>
            </w:r>
            <w:r>
              <w:rPr>
                <w:rFonts w:hint="eastAsia" w:ascii="宋体" w:hAnsi="宋体"/>
                <w:szCs w:val="21"/>
              </w:rPr>
              <w:t>（开票）</w:t>
            </w:r>
          </w:p>
        </w:tc>
      </w:tr>
      <w:tr w14:paraId="39EB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shd w:val="clear" w:color="auto" w:fill="auto"/>
            <w:vAlign w:val="center"/>
          </w:tcPr>
          <w:p w14:paraId="5D721D44">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ascii="宋体" w:hAnsi="宋体"/>
                <w:szCs w:val="21"/>
              </w:rPr>
              <w:t>公司名称</w:t>
            </w:r>
          </w:p>
        </w:tc>
        <w:tc>
          <w:tcPr>
            <w:tcW w:w="2299" w:type="dxa"/>
            <w:shd w:val="clear" w:color="auto" w:fill="auto"/>
            <w:vAlign w:val="center"/>
          </w:tcPr>
          <w:p w14:paraId="4BC5E289">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9" w:name="secondParty1"/>
            <w:bookmarkEnd w:id="19"/>
          </w:p>
        </w:tc>
        <w:tc>
          <w:tcPr>
            <w:tcW w:w="1717" w:type="dxa"/>
            <w:shd w:val="clear" w:color="auto" w:fill="auto"/>
            <w:vAlign w:val="center"/>
          </w:tcPr>
          <w:p w14:paraId="73BBF85E">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rPr>
              <w:t>纳税人识别号</w:t>
            </w:r>
          </w:p>
        </w:tc>
        <w:tc>
          <w:tcPr>
            <w:tcW w:w="2431" w:type="dxa"/>
            <w:shd w:val="clear" w:color="auto" w:fill="auto"/>
            <w:vAlign w:val="center"/>
          </w:tcPr>
          <w:p w14:paraId="3F583129">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20" w:name="identityNo1"/>
            <w:bookmarkEnd w:id="20"/>
          </w:p>
        </w:tc>
      </w:tr>
    </w:tbl>
    <w:p w14:paraId="146F194F">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6.5每月/季度（）日前，甲、乙双方依据合同第5条验收的结果，汇总核算上月度/季度的服务费，核算结果由双方书面签字确认。双方确认服务费后（）个工作日内，乙方向甲方开具合法有效的全额增值税专用发票（税率  %）。甲方收到乙方开具的增值税专用发票并审核无误，扣除乙方应支付的违约金、赔偿金后的（ ）天内向乙方支付相应款项。因开发票产生的各种附加税或费均由乙方承担，增值税税金由甲方承担。若遇支付日为法定休假日或财务结账日（每月1-3日），则顺延至下一工作日支付；</w:t>
      </w:r>
    </w:p>
    <w:p w14:paraId="4B5975E6">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6.6甲方仅按本合同约定的乙方收款银行及账号向乙方结算价款。乙方企业名称变更和/或收款银行、账号发生变更的，乙方应按甲方要求（包括按甲方格式要求出具变更收款账户信息的公函）提出变更申请，经甲方审核同意后，方可在后续付款时由甲方按照该公函中确定的付款路径付款。甲方不接受乙方委托或指定第三方收款的要求；</w:t>
      </w:r>
    </w:p>
    <w:p w14:paraId="30B979E4">
      <w:pPr>
        <w:tabs>
          <w:tab w:val="left" w:pos="720"/>
          <w:tab w:val="left" w:pos="7560"/>
          <w:tab w:val="left" w:pos="7920"/>
          <w:tab w:val="left" w:pos="8100"/>
        </w:tabs>
        <w:adjustRightInd w:val="0"/>
        <w:snapToGrid w:val="0"/>
        <w:spacing w:line="400" w:lineRule="exact"/>
        <w:ind w:left="422" w:hanging="482" w:hangingChars="200"/>
        <w:rPr>
          <w:rFonts w:ascii="黑体" w:hAnsi="黑体" w:eastAsia="黑体"/>
          <w:b/>
          <w:szCs w:val="21"/>
        </w:rPr>
      </w:pPr>
      <w:r>
        <w:rPr>
          <w:rFonts w:hint="eastAsia" w:ascii="黑体" w:hAnsi="黑体" w:eastAsia="黑体"/>
          <w:b/>
          <w:szCs w:val="21"/>
        </w:rPr>
        <w:t>6.7合同约定由乙方先提供发票、甲方收到发票后付款的，甲方在收到乙方开具的发票前，有权拒绝支付任何款项；</w:t>
      </w:r>
    </w:p>
    <w:p w14:paraId="6720F9C6">
      <w:pPr>
        <w:tabs>
          <w:tab w:val="left" w:pos="720"/>
          <w:tab w:val="left" w:pos="7560"/>
          <w:tab w:val="left" w:pos="7920"/>
          <w:tab w:val="left" w:pos="8100"/>
        </w:tabs>
        <w:adjustRightInd w:val="0"/>
        <w:snapToGrid w:val="0"/>
        <w:spacing w:line="400" w:lineRule="exact"/>
        <w:ind w:left="422" w:hanging="482" w:hangingChars="200"/>
        <w:rPr>
          <w:rFonts w:ascii="黑体" w:hAnsi="黑体" w:eastAsia="黑体"/>
          <w:b/>
          <w:szCs w:val="21"/>
        </w:rPr>
      </w:pPr>
      <w:r>
        <w:rPr>
          <w:rFonts w:hint="eastAsia" w:ascii="黑体" w:hAnsi="黑体" w:eastAsia="黑体"/>
          <w:b/>
          <w:szCs w:val="21"/>
        </w:rPr>
        <w:t>6.8甲方在合同履行过程中发现乙方提供的服务不符合本合同约定的且双方因此发生争议的，在争议处理完毕前，甲方有权暂停支付包括本合同和其他合同在内的，所有以甲方为付款人、乙方为收款人的待付价款且不视为违约。</w:t>
      </w:r>
    </w:p>
    <w:p w14:paraId="11C4DB4B">
      <w:pPr>
        <w:tabs>
          <w:tab w:val="left" w:pos="720"/>
          <w:tab w:val="left" w:pos="7560"/>
          <w:tab w:val="left" w:pos="7920"/>
          <w:tab w:val="left" w:pos="8100"/>
        </w:tabs>
        <w:adjustRightInd w:val="0"/>
        <w:snapToGrid w:val="0"/>
        <w:spacing w:line="400" w:lineRule="exact"/>
        <w:ind w:left="422" w:hanging="482" w:hangingChars="200"/>
        <w:rPr>
          <w:rFonts w:ascii="黑体" w:hAnsi="黑体" w:eastAsia="黑体"/>
          <w:b/>
          <w:szCs w:val="21"/>
        </w:rPr>
      </w:pPr>
    </w:p>
    <w:p w14:paraId="5C21A43D">
      <w:pPr>
        <w:tabs>
          <w:tab w:val="left" w:pos="720"/>
          <w:tab w:val="left" w:pos="7560"/>
          <w:tab w:val="left" w:pos="7920"/>
          <w:tab w:val="left" w:pos="8100"/>
        </w:tabs>
        <w:adjustRightInd w:val="0"/>
        <w:snapToGrid w:val="0"/>
        <w:spacing w:line="400" w:lineRule="exact"/>
        <w:ind w:left="422" w:hanging="482" w:hangingChars="200"/>
        <w:jc w:val="left"/>
        <w:rPr>
          <w:rFonts w:asciiTheme="minorEastAsia" w:hAnsiTheme="minorEastAsia"/>
          <w:b/>
          <w:szCs w:val="21"/>
        </w:rPr>
      </w:pPr>
      <w:r>
        <w:rPr>
          <w:rFonts w:hint="eastAsia" w:asciiTheme="minorEastAsia" w:hAnsiTheme="minorEastAsia"/>
          <w:b/>
          <w:szCs w:val="21"/>
        </w:rPr>
        <w:t>7、违约责任</w:t>
      </w:r>
    </w:p>
    <w:p w14:paraId="0337F52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甲方未按本合同第6条约定付款的，乙方应给予甲方30日的宽限期，宽限期届满后，甲方仍不能给付的，自宽限期满，由甲方就延迟付款部分和迟延期间，按中国人民银行授权的全国银行间同业拆借中心公布的合同订立时1年期贷款市场报价利率计算利息作为违约金支付给乙方。本合同生效后甲方不履行合同的，由甲方赔偿乙方因此而致的直接损失；</w:t>
      </w:r>
    </w:p>
    <w:p w14:paraId="351F65B9">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7.2乙方与甲方相关人员应保持正常、健康的工作关系，乙方不得向甲方相关人员进行行贿或变相行贿，如有发生，乙方应承担人民币20000元的违约金，情况严重者，甲方有权单方解除本合同；</w:t>
      </w:r>
    </w:p>
    <w:p w14:paraId="02029866">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7.3若在本合同履行期间，乙方丧失第4.1款约定的法律资格或条件致使合同无法继续履行的，视为乙方严重违约，乙方应向甲方退还甲方已支付的全部费用并向承担合同总价款20%的违约金，且甲方有权解除本合同；</w:t>
      </w:r>
    </w:p>
    <w:p w14:paraId="0FEB58F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7.4乙方违反本合同第4</w:t>
      </w:r>
      <w:r>
        <w:rPr>
          <w:rFonts w:ascii="宋体" w:hAnsi="宋体"/>
          <w:szCs w:val="21"/>
        </w:rPr>
        <w:t>.2</w:t>
      </w:r>
      <w:r>
        <w:rPr>
          <w:rFonts w:hint="eastAsia" w:ascii="宋体" w:hAnsi="宋体"/>
          <w:szCs w:val="21"/>
        </w:rPr>
        <w:t>款约定，有下列情形之一，乙方应承担全部损失和责任，且甲方有权单方解除合同：</w:t>
      </w:r>
    </w:p>
    <w:p w14:paraId="2F6398A5">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7.4.1</w:t>
      </w:r>
      <w:r>
        <w:rPr>
          <w:rFonts w:hint="eastAsia" w:ascii="宋体" w:hAnsi="宋体"/>
          <w:szCs w:val="21"/>
        </w:rPr>
        <w:t>致使甲方及其员工或第三方人员出现药物过敏或中毒情况的；</w:t>
      </w:r>
    </w:p>
    <w:p w14:paraId="27A64660">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7.4.2</w:t>
      </w:r>
      <w:r>
        <w:rPr>
          <w:rFonts w:hint="eastAsia" w:ascii="宋体" w:hAnsi="宋体"/>
          <w:szCs w:val="21"/>
        </w:rPr>
        <w:t>造成甲方产品受污染的；</w:t>
      </w:r>
    </w:p>
    <w:p w14:paraId="22E929CD">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7.4.3</w:t>
      </w:r>
      <w:r>
        <w:rPr>
          <w:rFonts w:hint="eastAsia" w:ascii="宋体" w:hAnsi="宋体"/>
          <w:szCs w:val="21"/>
        </w:rPr>
        <w:t>因受污染产品流入市场，发生消费者中毒事件的；</w:t>
      </w:r>
    </w:p>
    <w:p w14:paraId="4696DDD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w:t>
      </w:r>
      <w:r>
        <w:rPr>
          <w:rFonts w:ascii="宋体" w:hAnsi="宋体"/>
          <w:szCs w:val="21"/>
        </w:rPr>
        <w:t>.4.4</w:t>
      </w:r>
      <w:r>
        <w:rPr>
          <w:rFonts w:hint="eastAsia" w:ascii="宋体" w:hAnsi="宋体"/>
          <w:szCs w:val="21"/>
        </w:rPr>
        <w:t>可能造成甲方品牌形象受损的；</w:t>
      </w:r>
    </w:p>
    <w:p w14:paraId="127312D5">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7.5乙方未按甲方要求整改或整改不符合本合同约定的，每延误1日，乙方应向甲方支付本合同总价款的</w:t>
      </w:r>
      <w:r>
        <w:rPr>
          <w:rFonts w:ascii="宋体" w:hAnsi="宋体"/>
          <w:szCs w:val="21"/>
        </w:rPr>
        <w:t>0.5</w:t>
      </w:r>
      <w:r>
        <w:rPr>
          <w:rFonts w:hint="eastAsia" w:ascii="宋体" w:hAnsi="宋体"/>
          <w:szCs w:val="21"/>
        </w:rPr>
        <w:t xml:space="preserve"> %计算的违约金，逾期达</w:t>
      </w:r>
      <w:r>
        <w:rPr>
          <w:rFonts w:ascii="宋体" w:hAnsi="宋体"/>
          <w:szCs w:val="21"/>
        </w:rPr>
        <w:t>10</w:t>
      </w:r>
      <w:r>
        <w:rPr>
          <w:rFonts w:hint="eastAsia" w:ascii="宋体" w:hAnsi="宋体"/>
          <w:szCs w:val="21"/>
        </w:rPr>
        <w:t>日的，乙方应向甲方支付本合同总价款的</w:t>
      </w:r>
      <w:r>
        <w:rPr>
          <w:rFonts w:ascii="宋体" w:hAnsi="宋体"/>
          <w:szCs w:val="21"/>
        </w:rPr>
        <w:t>20</w:t>
      </w:r>
      <w:r>
        <w:rPr>
          <w:rFonts w:hint="eastAsia" w:ascii="宋体" w:hAnsi="宋体"/>
          <w:szCs w:val="21"/>
        </w:rPr>
        <w:t>%计算的违约金，且甲方有权单方解除本合同；</w:t>
      </w:r>
    </w:p>
    <w:p w14:paraId="3035C92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7.6乙方违反本合同第4.9款约定，将合同项下服务转包给第三方或未经甲方书面同意将合同项下服务分包给第三方的，应向甲方承担合同总价款20%的元违约金，同时甲方有权解除合同且无须承担任何责任；</w:t>
      </w:r>
    </w:p>
    <w:p w14:paraId="72A4B3F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7.7合同有效期内，乙方负责防治的有害生物未达到国家或甲方所在地相关部门规定的有害生物防制相关标准，造成甲方因厂区内有害生物密度超标等情形受到处罚的，由乙方支付罚款并向甲方支付合同总价款的（20）%作为违约金；</w:t>
      </w:r>
    </w:p>
    <w:p w14:paraId="0D394744">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7.8</w:t>
      </w:r>
      <w:r>
        <w:rPr>
          <w:rFonts w:ascii="宋体" w:hAnsi="宋体"/>
          <w:szCs w:val="21"/>
        </w:rPr>
        <w:t>乙方违反本合同约定</w:t>
      </w:r>
      <w:r>
        <w:rPr>
          <w:rFonts w:hint="eastAsia" w:ascii="宋体" w:hAnsi="宋体"/>
          <w:szCs w:val="21"/>
        </w:rPr>
        <w:t>给甲方及其员工或第三人造成人身、财产损害的，乙方应向甲方支付本合同总价款的</w:t>
      </w:r>
      <w:r>
        <w:rPr>
          <w:rFonts w:ascii="宋体" w:hAnsi="宋体"/>
          <w:szCs w:val="21"/>
        </w:rPr>
        <w:t>20</w:t>
      </w:r>
      <w:r>
        <w:rPr>
          <w:rFonts w:hint="eastAsia" w:ascii="宋体" w:hAnsi="宋体"/>
          <w:szCs w:val="21"/>
        </w:rPr>
        <w:t>%计算的违约金；</w:t>
      </w:r>
    </w:p>
    <w:p w14:paraId="7BDE4AA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7.9除本合同另有约定外，乙方若单方解除本合同，或因不能履行本合同被甲方单方解除的，应向甲方支付本合同总价款20%的违约金；</w:t>
      </w:r>
    </w:p>
    <w:p w14:paraId="265280C7">
      <w:pPr>
        <w:tabs>
          <w:tab w:val="left" w:pos="720"/>
          <w:tab w:val="left" w:pos="7560"/>
          <w:tab w:val="left" w:pos="7920"/>
          <w:tab w:val="left" w:pos="8100"/>
        </w:tabs>
        <w:adjustRightInd w:val="0"/>
        <w:snapToGrid w:val="0"/>
        <w:spacing w:line="400" w:lineRule="exact"/>
        <w:ind w:left="422" w:hanging="482" w:hangingChars="200"/>
        <w:rPr>
          <w:rFonts w:ascii="宋体" w:hAnsi="宋体" w:cs="宋体"/>
          <w:b/>
          <w:szCs w:val="21"/>
        </w:rPr>
      </w:pPr>
      <w:r>
        <w:rPr>
          <w:rFonts w:hint="eastAsia" w:ascii="宋体" w:hAnsi="宋体" w:cs="宋体"/>
          <w:b/>
          <w:szCs w:val="21"/>
        </w:rPr>
        <w:t>7.10</w:t>
      </w:r>
      <w:r>
        <w:rPr>
          <w:rFonts w:hint="eastAsia" w:ascii="宋体" w:hAnsi="宋体" w:cs="宋体"/>
          <w:b/>
          <w:bCs/>
          <w:szCs w:val="21"/>
        </w:rPr>
        <w:t>如乙方未经甲方书面同意，擅自将本合同项下权利全部或部分转让或质押给第三人，属于乙方根本违约，乙方应向甲方按转让债权数额或质押担保的主债权数额的20%支付违约金。甲方有权就其享有乙方的下列债权从应付乙方且乙方转让或质押的债权中抵销：①因本合同产生的已到期或未到期债权（包括但不限于本款约定的违约金、乙方根据本合同其他约定应向甲方支付的违约金/赔偿金）；②非因本合同产生的先于乙方转让或质押的债权到期或同时到期的债权。此外，甲方有权解除本合同，并有权停止支付应付乙方且乙方未转让或质押的合同款项，用于担保乙方因擅自转让或质押合同权利而可能给甲方造成的前述违约金不足以弥补的甲方损失的相关赔偿责任，直至甲方认为因乙方前述违约行为给甲方可能造成的风险完全消除时止；停止支付合同款项期间甲方无需向乙方支付利息</w:t>
      </w:r>
      <w:r>
        <w:rPr>
          <w:rFonts w:hint="eastAsia" w:ascii="宋体" w:hAnsi="宋体" w:cs="宋体"/>
          <w:b/>
          <w:szCs w:val="21"/>
        </w:rPr>
        <w:t>；</w:t>
      </w:r>
    </w:p>
    <w:p w14:paraId="359EE46B">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7.11如乙方</w:t>
      </w:r>
      <w:r>
        <w:rPr>
          <w:rFonts w:ascii="宋体" w:hAnsi="宋体"/>
          <w:szCs w:val="21"/>
        </w:rPr>
        <w:t>违反本合同约定，开具不符合规定发票，则应按以下方式赔偿甲方因此受到的损失</w:t>
      </w:r>
      <w:r>
        <w:rPr>
          <w:rFonts w:hint="eastAsia" w:ascii="宋体" w:hAnsi="宋体"/>
          <w:szCs w:val="21"/>
        </w:rPr>
        <w:t>：</w:t>
      </w:r>
    </w:p>
    <w:p w14:paraId="5E74244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7.11</w:t>
      </w:r>
      <w:r>
        <w:rPr>
          <w:rFonts w:ascii="宋体" w:hAnsi="宋体"/>
          <w:szCs w:val="21"/>
        </w:rPr>
        <w:t>.1应提供发票而未提供的或只提供企业自制收据的或出具不符合规定的发票、《销售货物或者提供应税劳务清单》</w:t>
      </w:r>
      <w:r>
        <w:rPr>
          <w:rFonts w:hint="eastAsia" w:ascii="宋体" w:hAnsi="宋体"/>
          <w:szCs w:val="21"/>
        </w:rPr>
        <w:t>的</w:t>
      </w:r>
      <w:r>
        <w:rPr>
          <w:rFonts w:ascii="宋体" w:hAnsi="宋体"/>
          <w:szCs w:val="21"/>
        </w:rPr>
        <w:t>，造成甲方增值税不能抵扣或申报抵扣后被税务机关检查要求转出的，乙方应向甲方赔偿增值税及相关损失</w:t>
      </w:r>
      <w:r>
        <w:rPr>
          <w:rFonts w:hint="eastAsia" w:ascii="宋体" w:hAnsi="宋体"/>
          <w:szCs w:val="21"/>
        </w:rPr>
        <w:t>。</w:t>
      </w:r>
      <w:r>
        <w:rPr>
          <w:rFonts w:ascii="宋体" w:hAnsi="宋体"/>
          <w:szCs w:val="21"/>
        </w:rPr>
        <w:t>即：（1）增值税损失=按照约定应开票含税结算额/（1+适用税率）*适用税率 - 实收票面可抵扣进项税；（2）城建税及附加损失：按损失的增值税损失金额*（城建税税率+教育附加费率+地方教育费附加费率）；（3）包括但不限于税务机关对甲方执行的滞纳金及罚款；</w:t>
      </w:r>
    </w:p>
    <w:p w14:paraId="46BCB8AD">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7.11</w:t>
      </w:r>
      <w:r>
        <w:rPr>
          <w:rFonts w:ascii="宋体" w:hAnsi="宋体"/>
          <w:szCs w:val="21"/>
        </w:rPr>
        <w:t>.2应提供发票而未提供的或只提供企业自制收据的或出具不符合规定发票的，造成甲方</w:t>
      </w:r>
      <w:r>
        <w:rPr>
          <w:rFonts w:hint="eastAsia" w:ascii="宋体" w:hAnsi="宋体"/>
          <w:szCs w:val="21"/>
        </w:rPr>
        <w:t>企业</w:t>
      </w:r>
      <w:r>
        <w:rPr>
          <w:rFonts w:ascii="宋体" w:hAnsi="宋体"/>
          <w:szCs w:val="21"/>
        </w:rPr>
        <w:t>所得税损失的，乙方需按25%的税率向甲方承担企业所得税费用损失：（1）所得税损失=按照约定应开票据金额（含税金额）*25%；（2）包括但不限于税务机关对甲方执行的滞纳金及罚款</w:t>
      </w:r>
      <w:r>
        <w:rPr>
          <w:rFonts w:hint="eastAsia" w:ascii="宋体" w:hAnsi="宋体"/>
          <w:szCs w:val="21"/>
        </w:rPr>
        <w:t>；</w:t>
      </w:r>
    </w:p>
    <w:p w14:paraId="3C939703">
      <w:pPr>
        <w:spacing w:line="400" w:lineRule="exact"/>
        <w:ind w:left="372" w:hanging="424" w:hangingChars="177"/>
        <w:rPr>
          <w:rFonts w:ascii="宋体" w:hAnsi="宋体"/>
          <w:szCs w:val="21"/>
        </w:rPr>
      </w:pPr>
      <w:r>
        <w:rPr>
          <w:rFonts w:ascii="宋体" w:hAnsi="宋体"/>
          <w:szCs w:val="21"/>
        </w:rPr>
        <w:t>7</w:t>
      </w:r>
      <w:r>
        <w:rPr>
          <w:rFonts w:hint="eastAsia" w:ascii="宋体" w:hAnsi="宋体"/>
          <w:szCs w:val="21"/>
        </w:rPr>
        <w:t>.11.3乙方除按前两项承担甲方相应损失外，还应赔偿甲方由此产生的资金时间损失。资金时间损失金额＝按照约定应开票据金额（含税金额）*全国银行间同业拆借中心公布的最近一期贷款市场报价利率（延迟时间1年以内（含一年）按照1年期IPR，超过1年按照5年期LPR执行）*延迟天数（从约定开票之日起至实际开票日）/360；</w:t>
      </w:r>
    </w:p>
    <w:p w14:paraId="754E5762">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7.12乙方须签署《廉洁合规承诺书》（详见合同附件1）并严格遵守，在本合同订立、合作过程中如有违反廉洁合规承诺书行为或甲方根据有关资料认为乙方可能存在上述情形的，甲方有权单方解除本合同且无需承担任何责任，并将乙方列入不合作供应商；</w:t>
      </w:r>
    </w:p>
    <w:p w14:paraId="3799A58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w:t>
      </w:r>
      <w:r>
        <w:rPr>
          <w:rFonts w:ascii="宋体" w:hAnsi="宋体"/>
          <w:szCs w:val="21"/>
        </w:rPr>
        <w:t>.1</w:t>
      </w:r>
      <w:r>
        <w:rPr>
          <w:rFonts w:hint="eastAsia" w:ascii="宋体" w:hAnsi="宋体"/>
          <w:szCs w:val="21"/>
        </w:rPr>
        <w:t>3其他违约责任：/；</w:t>
      </w:r>
    </w:p>
    <w:p w14:paraId="44DA73A4">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7.14上述约定外，乙方违反本合同其他约定的，应当向甲方支付人民币贰仟元/次的违约金；</w:t>
      </w:r>
    </w:p>
    <w:p w14:paraId="762C607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7.1</w:t>
      </w:r>
      <w:r>
        <w:rPr>
          <w:rFonts w:hint="eastAsia" w:ascii="宋体" w:hAnsi="宋体"/>
          <w:szCs w:val="21"/>
        </w:rPr>
        <w:t>5</w:t>
      </w:r>
      <w:r>
        <w:rPr>
          <w:rFonts w:hint="eastAsia" w:asciiTheme="minorEastAsia" w:hAnsiTheme="minorEastAsia"/>
          <w:szCs w:val="21"/>
        </w:rPr>
        <w:t>若本合同约定的违约金不足以补偿甲方遭受的损失的，对于甲方遭受的损失（包括但不限于由此造成的诉讼费、差旅费、律师费、保全费、保全担保费、鉴定费、公证费、本合同第</w:t>
      </w:r>
      <w:r>
        <w:rPr>
          <w:rFonts w:asciiTheme="minorEastAsia" w:hAnsiTheme="minorEastAsia"/>
          <w:szCs w:val="21"/>
        </w:rPr>
        <w:t>7.</w:t>
      </w:r>
      <w:r>
        <w:rPr>
          <w:rFonts w:hint="eastAsia" w:asciiTheme="minorEastAsia" w:hAnsiTheme="minorEastAsia"/>
          <w:szCs w:val="21"/>
        </w:rPr>
        <w:t>11款约定的甲方被依法确认给付或赔偿给应收账款受让人或质权人的款项或损失赔偿费），</w:t>
      </w:r>
      <w:r>
        <w:rPr>
          <w:rFonts w:hint="eastAsia" w:ascii="宋体" w:hAnsi="宋体" w:cs="宋体"/>
          <w:szCs w:val="21"/>
        </w:rPr>
        <w:t>以及因乙方违约导致甲方的停产损失和向第三方采购的替代交易价差损失），</w:t>
      </w:r>
      <w:r>
        <w:rPr>
          <w:rFonts w:hint="eastAsia" w:asciiTheme="minorEastAsia" w:hAnsiTheme="minorEastAsia"/>
          <w:szCs w:val="21"/>
        </w:rPr>
        <w:t>甲方有权进一步向乙方追偿；</w:t>
      </w:r>
    </w:p>
    <w:p w14:paraId="77CAD694">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w:t>
      </w:r>
      <w:r>
        <w:rPr>
          <w:rFonts w:hint="eastAsia" w:ascii="宋体" w:hAnsi="宋体"/>
          <w:szCs w:val="21"/>
        </w:rPr>
        <w:t>.16本合同主文中和/或合同附件中就同一事项或同一违约行为的约定不一致的，甲方有权选择适用；</w:t>
      </w:r>
    </w:p>
    <w:p w14:paraId="5F34B8AD">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7.17甲方有权直接从待付的合同价款中扣除违约金和赔偿金及其他应付费用，如待付的合同价款不足扣除的，乙方应另行向甲方支付。如果甲方在支付本合同第6.5款约定的合同价款时未扣除乙方应支付的违约金、赔偿金或其他应付费用的，并不代表甲方放弃对乙方的追索，甲方仍有权继续追索。</w:t>
      </w:r>
    </w:p>
    <w:p w14:paraId="347F6D81">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p>
    <w:p w14:paraId="65D45ACC">
      <w:pPr>
        <w:tabs>
          <w:tab w:val="left" w:pos="720"/>
          <w:tab w:val="left" w:pos="7560"/>
          <w:tab w:val="left" w:pos="7920"/>
          <w:tab w:val="left" w:pos="8100"/>
        </w:tabs>
        <w:adjustRightInd w:val="0"/>
        <w:snapToGrid w:val="0"/>
        <w:spacing w:line="400" w:lineRule="exact"/>
        <w:ind w:left="422" w:hanging="482" w:hangingChars="200"/>
        <w:rPr>
          <w:rFonts w:ascii="宋体" w:hAnsi="宋体"/>
          <w:b/>
          <w:szCs w:val="21"/>
        </w:rPr>
      </w:pPr>
      <w:r>
        <w:rPr>
          <w:rFonts w:hint="eastAsia" w:ascii="宋体" w:hAnsi="宋体"/>
          <w:b/>
          <w:szCs w:val="21"/>
        </w:rPr>
        <w:t>8、不可抗力</w:t>
      </w:r>
    </w:p>
    <w:p w14:paraId="0A853E2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8.1本合同约定的不可抗力指甲乙双方任何一方在签订本合同时不可预见的、遭受影响的一方不能克服和不能避免的，并对本合同的履行产生影响的事件；</w:t>
      </w:r>
    </w:p>
    <w:p w14:paraId="7C86AA6C">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8.2如果一方因不可抗力导致合同不能履行的，应及时通知另一方，并在发生不可抗力后15日内提供证明；双方可就合同的履行、变更或终止达成协议。</w:t>
      </w:r>
    </w:p>
    <w:p w14:paraId="62F754E9">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p>
    <w:p w14:paraId="5BEEDFE4">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9、争议解决</w:t>
      </w:r>
    </w:p>
    <w:p w14:paraId="00B3B1EE">
      <w:pPr>
        <w:spacing w:line="400" w:lineRule="exact"/>
        <w:ind w:left="420" w:hanging="480" w:hangingChars="200"/>
        <w:rPr>
          <w:rFonts w:ascii="宋体" w:hAnsi="宋体"/>
          <w:szCs w:val="21"/>
        </w:rPr>
      </w:pPr>
      <w:r>
        <w:rPr>
          <w:rFonts w:hint="eastAsia" w:ascii="宋体" w:hAnsi="宋体"/>
          <w:szCs w:val="21"/>
        </w:rPr>
        <w:t>9.1凡有关本合同或执行本合同时发生的争议双方可协商解决，协商不成任何一方起诉时均应由甲方住所地有管辖权的人民法院管辖。本合同签订后，如甲方住所地变更的，任何一方提起诉讼时，由甲方变更后的住所地有管辖权的人民法院管辖。</w:t>
      </w:r>
    </w:p>
    <w:p w14:paraId="729D80E5">
      <w:pPr>
        <w:tabs>
          <w:tab w:val="left" w:pos="720"/>
          <w:tab w:val="left" w:pos="7560"/>
          <w:tab w:val="left" w:pos="7920"/>
          <w:tab w:val="left" w:pos="8100"/>
        </w:tabs>
        <w:adjustRightInd w:val="0"/>
        <w:snapToGrid w:val="0"/>
        <w:spacing w:line="400" w:lineRule="exact"/>
        <w:rPr>
          <w:rFonts w:ascii="宋体" w:hAnsi="宋体"/>
          <w:szCs w:val="21"/>
        </w:rPr>
      </w:pPr>
    </w:p>
    <w:p w14:paraId="1063D117">
      <w:pPr>
        <w:pStyle w:val="14"/>
        <w:spacing w:before="0" w:after="0" w:line="400" w:lineRule="exact"/>
        <w:ind w:left="422" w:right="0" w:hanging="422" w:hangingChars="200"/>
        <w:rPr>
          <w:rFonts w:ascii="宋体" w:hAnsi="宋体" w:cs="宋体"/>
          <w:b/>
          <w:sz w:val="21"/>
          <w:szCs w:val="21"/>
        </w:rPr>
      </w:pPr>
      <w:r>
        <w:rPr>
          <w:rFonts w:hint="eastAsia" w:ascii="宋体" w:hAnsi="宋体" w:cs="宋体"/>
          <w:b/>
          <w:sz w:val="21"/>
          <w:szCs w:val="21"/>
        </w:rPr>
        <w:t>10、合同变更与转让</w:t>
      </w:r>
    </w:p>
    <w:p w14:paraId="1724EDE0">
      <w:pPr>
        <w:tabs>
          <w:tab w:val="left" w:pos="720"/>
          <w:tab w:val="left" w:pos="7560"/>
          <w:tab w:val="left" w:pos="7920"/>
          <w:tab w:val="left" w:pos="8100"/>
        </w:tabs>
        <w:adjustRightInd w:val="0"/>
        <w:snapToGrid w:val="0"/>
        <w:spacing w:line="400" w:lineRule="exact"/>
        <w:ind w:left="422" w:hanging="482" w:hangingChars="200"/>
        <w:rPr>
          <w:rFonts w:ascii="宋体" w:hAnsi="宋体" w:cs="宋体"/>
          <w:b/>
          <w:szCs w:val="21"/>
        </w:rPr>
      </w:pPr>
      <w:r>
        <w:rPr>
          <w:rFonts w:hint="eastAsia" w:ascii="宋体" w:hAnsi="宋体" w:cs="宋体"/>
          <w:b/>
          <w:szCs w:val="21"/>
        </w:rPr>
        <w:t>10.1未经甲方书面同意乙方不得擅自转让本合同，不得将本合同的应收账款全部或者部分转让或质押给第三人；</w:t>
      </w:r>
    </w:p>
    <w:p w14:paraId="14160898">
      <w:pPr>
        <w:tabs>
          <w:tab w:val="left" w:pos="720"/>
          <w:tab w:val="left" w:pos="7560"/>
          <w:tab w:val="left" w:pos="7920"/>
          <w:tab w:val="left" w:pos="8100"/>
        </w:tabs>
        <w:adjustRightInd w:val="0"/>
        <w:snapToGrid w:val="0"/>
        <w:spacing w:line="400" w:lineRule="exact"/>
        <w:ind w:left="422" w:hanging="482" w:hangingChars="200"/>
        <w:rPr>
          <w:rFonts w:ascii="宋体" w:hAnsi="宋体" w:cs="宋体"/>
          <w:b/>
          <w:szCs w:val="21"/>
        </w:rPr>
      </w:pPr>
      <w:r>
        <w:rPr>
          <w:rFonts w:hint="eastAsia" w:ascii="宋体" w:hAnsi="宋体" w:cs="宋体"/>
          <w:b/>
          <w:szCs w:val="21"/>
        </w:rPr>
        <w:t>10.2乙方发生合并、分立、改组、转让、经营权变更等变更情况的，必须事先通知甲方，甲方有权决定是否终止本合同;</w:t>
      </w:r>
    </w:p>
    <w:p w14:paraId="417528EC">
      <w:pPr>
        <w:tabs>
          <w:tab w:val="left" w:pos="720"/>
          <w:tab w:val="left" w:pos="7560"/>
          <w:tab w:val="left" w:pos="7920"/>
          <w:tab w:val="left" w:pos="8100"/>
        </w:tabs>
        <w:adjustRightInd w:val="0"/>
        <w:snapToGrid w:val="0"/>
        <w:spacing w:line="400" w:lineRule="exact"/>
        <w:ind w:left="420" w:hanging="480" w:hangingChars="200"/>
        <w:rPr>
          <w:rFonts w:ascii="宋体" w:hAnsi="宋体" w:cs="宋体"/>
          <w:bCs/>
          <w:szCs w:val="21"/>
        </w:rPr>
      </w:pPr>
      <w:r>
        <w:rPr>
          <w:rFonts w:hint="eastAsia" w:ascii="宋体" w:hAnsi="宋体" w:cs="宋体"/>
          <w:bCs/>
          <w:szCs w:val="21"/>
        </w:rPr>
        <w:t>10.3除本合同另有约定外，甲乙双方变更企业名称、开户行及账号、注册地址、法定代表人、业务经办人、通知/送达条款的，应以本合同约定的方式通知对方，双方无需为此签订变更协议；</w:t>
      </w:r>
    </w:p>
    <w:p w14:paraId="0C17BFC6">
      <w:pPr>
        <w:tabs>
          <w:tab w:val="left" w:pos="720"/>
          <w:tab w:val="left" w:pos="7560"/>
          <w:tab w:val="left" w:pos="7920"/>
          <w:tab w:val="left" w:pos="8100"/>
        </w:tabs>
        <w:adjustRightInd w:val="0"/>
        <w:snapToGrid w:val="0"/>
        <w:spacing w:line="400" w:lineRule="exact"/>
        <w:ind w:left="420" w:hanging="480" w:hangingChars="200"/>
        <w:rPr>
          <w:rFonts w:ascii="宋体" w:hAnsi="宋体" w:cs="宋体"/>
          <w:bCs/>
          <w:szCs w:val="21"/>
        </w:rPr>
      </w:pPr>
      <w:r>
        <w:rPr>
          <w:rFonts w:hint="eastAsia" w:ascii="宋体" w:hAnsi="宋体" w:cs="宋体"/>
          <w:bCs/>
          <w:szCs w:val="21"/>
        </w:rPr>
        <w:t>10.4合同履行过程中，甲方发现继续履行合同将损害国家利益或社会公共利益的，甲方有权中止或解除合同；甲方选择解除合同的无需承担任何责任；甲方选择中止合同的，双方须在15日内就继续履行合同达成一致，否则甲方有权单方解除合同且无需承担任何责任。</w:t>
      </w:r>
    </w:p>
    <w:p w14:paraId="1DF5E5B0">
      <w:pPr>
        <w:tabs>
          <w:tab w:val="left" w:pos="720"/>
          <w:tab w:val="left" w:pos="7560"/>
          <w:tab w:val="left" w:pos="7920"/>
          <w:tab w:val="left" w:pos="8100"/>
        </w:tabs>
        <w:adjustRightInd w:val="0"/>
        <w:snapToGrid w:val="0"/>
        <w:spacing w:line="400" w:lineRule="exact"/>
        <w:ind w:left="420" w:hanging="480" w:hangingChars="200"/>
        <w:rPr>
          <w:rFonts w:ascii="宋体" w:hAnsi="宋体" w:cs="宋体"/>
          <w:bCs/>
          <w:szCs w:val="21"/>
        </w:rPr>
      </w:pPr>
    </w:p>
    <w:p w14:paraId="0E6FD999">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11、合同有效期</w:t>
      </w:r>
    </w:p>
    <w:p w14:paraId="0083298B">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.1本合同须经双方盖章，</w:t>
      </w:r>
      <w:r>
        <w:rPr>
          <w:rFonts w:hint="eastAsia"/>
          <w:szCs w:val="21"/>
        </w:rPr>
        <w:t>自最后一方盖章之日起生效，至</w:t>
      </w:r>
      <w:r>
        <w:rPr>
          <w:szCs w:val="21"/>
        </w:rPr>
        <w:t>_____</w:t>
      </w:r>
      <w:r>
        <w:rPr>
          <w:rFonts w:hint="eastAsia"/>
          <w:szCs w:val="21"/>
        </w:rPr>
        <w:t>年</w:t>
      </w:r>
      <w:r>
        <w:rPr>
          <w:szCs w:val="21"/>
        </w:rPr>
        <w:t>___</w:t>
      </w:r>
      <w:r>
        <w:rPr>
          <w:rFonts w:hint="eastAsia"/>
          <w:szCs w:val="21"/>
        </w:rPr>
        <w:t>月</w:t>
      </w:r>
      <w:r>
        <w:rPr>
          <w:szCs w:val="21"/>
        </w:rPr>
        <w:t>___</w:t>
      </w:r>
      <w:r>
        <w:rPr>
          <w:rFonts w:hint="eastAsia"/>
          <w:szCs w:val="21"/>
        </w:rPr>
        <w:t>日终止；</w:t>
      </w:r>
    </w:p>
    <w:p w14:paraId="01E65A53">
      <w:pPr>
        <w:tabs>
          <w:tab w:val="left" w:pos="720"/>
          <w:tab w:val="left" w:pos="7560"/>
          <w:tab w:val="left" w:pos="7920"/>
          <w:tab w:val="left" w:pos="8100"/>
        </w:tabs>
        <w:adjustRightInd w:val="0"/>
        <w:snapToGrid w:val="0"/>
        <w:spacing w:line="400" w:lineRule="exact"/>
        <w:ind w:left="420" w:hanging="480" w:hangingChars="200"/>
        <w:rPr>
          <w:rFonts w:asciiTheme="minorEastAsia" w:hAnsiTheme="minorEastAsia"/>
          <w:szCs w:val="21"/>
        </w:rPr>
      </w:pPr>
      <w:r>
        <w:rPr>
          <w:rFonts w:hint="eastAsia" w:asciiTheme="minorEastAsia" w:hAnsiTheme="minorEastAsia"/>
          <w:szCs w:val="21"/>
        </w:rPr>
        <w:t>11.2甲乙双方可以使用数据电文形式或纸质形式签订本合同。采用纸质形式签订合同的，应加盖实体印章；采用数据电文形式签订合同的，应在双方共同确认的电子签章平台（E签宝）进行，一方在合同任意位置加盖电子签章，即视为对包括附件在内的合同所有内容的确认。</w:t>
      </w:r>
    </w:p>
    <w:p w14:paraId="248B3BCD">
      <w:pPr>
        <w:tabs>
          <w:tab w:val="left" w:pos="720"/>
          <w:tab w:val="left" w:pos="7560"/>
          <w:tab w:val="left" w:pos="7920"/>
          <w:tab w:val="left" w:pos="8100"/>
        </w:tabs>
        <w:adjustRightInd w:val="0"/>
        <w:snapToGrid w:val="0"/>
        <w:spacing w:line="400" w:lineRule="exact"/>
        <w:ind w:left="420" w:hanging="480" w:hangingChars="200"/>
        <w:rPr>
          <w:rFonts w:asciiTheme="minorEastAsia" w:hAnsiTheme="minorEastAsia"/>
          <w:szCs w:val="21"/>
        </w:rPr>
      </w:pPr>
    </w:p>
    <w:p w14:paraId="2022F8D4">
      <w:pPr>
        <w:tabs>
          <w:tab w:val="left" w:pos="993"/>
        </w:tabs>
        <w:snapToGrid w:val="0"/>
        <w:spacing w:line="400" w:lineRule="exact"/>
        <w:rPr>
          <w:rFonts w:asciiTheme="minorEastAsia" w:hAnsiTheme="minorEastAsia"/>
          <w:b/>
          <w:szCs w:val="21"/>
        </w:rPr>
      </w:pPr>
      <w:r>
        <w:rPr>
          <w:rFonts w:hint="eastAsia" w:asciiTheme="minorEastAsia" w:hAnsiTheme="minorEastAsia"/>
          <w:b/>
          <w:szCs w:val="21"/>
        </w:rPr>
        <w:t>12、通知条款</w:t>
      </w:r>
    </w:p>
    <w:p w14:paraId="72B8F7C2">
      <w:pPr>
        <w:snapToGrid w:val="0"/>
        <w:spacing w:line="400" w:lineRule="exact"/>
        <w:ind w:left="478" w:leftChars="-1" w:hanging="480" w:hangingChars="200"/>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.1甲乙双方就合同中涉及各类通知、协议等文件以及就合同发生纠纷时相关文件和法律文书送达时的送达地址及法律后果确认如下：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798"/>
      </w:tblGrid>
      <w:tr w14:paraId="66B1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2118FDB">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甲方</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04525877">
            <w:pPr>
              <w:adjustRightInd w:val="0"/>
              <w:snapToGrid w:val="0"/>
              <w:spacing w:line="400" w:lineRule="exact"/>
              <w:ind w:left="478" w:leftChars="-1" w:hanging="480" w:hangingChars="200"/>
              <w:jc w:val="left"/>
              <w:rPr>
                <w:rFonts w:ascii="宋体" w:hAnsi="宋体" w:cs="宋体"/>
                <w:szCs w:val="21"/>
                <w:lang w:bidi="ar"/>
              </w:rPr>
            </w:pPr>
            <w:r>
              <w:rPr>
                <w:rFonts w:hint="eastAsia" w:ascii="宋体" w:hAnsi="宋体" w:cs="宋体"/>
                <w:szCs w:val="21"/>
                <w:lang w:bidi="ar"/>
              </w:rPr>
              <w:t>收件人：</w:t>
            </w:r>
            <w:r>
              <w:rPr>
                <w:rFonts w:ascii="宋体" w:hAnsi="宋体" w:cs="宋体"/>
                <w:szCs w:val="21"/>
                <w:lang w:bidi="ar"/>
              </w:rPr>
              <w:t xml:space="preserve">              </w:t>
            </w:r>
          </w:p>
          <w:p w14:paraId="06697716">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联系电话：</w:t>
            </w:r>
          </w:p>
          <w:p w14:paraId="449257C7">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邮寄地址：</w:t>
            </w:r>
          </w:p>
          <w:p w14:paraId="393D4166">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电子邮件：</w:t>
            </w:r>
          </w:p>
        </w:tc>
      </w:tr>
      <w:tr w14:paraId="68B8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F398166">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乙方</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5A71BC18">
            <w:pPr>
              <w:adjustRightInd w:val="0"/>
              <w:snapToGrid w:val="0"/>
              <w:spacing w:line="400" w:lineRule="exact"/>
              <w:ind w:left="478" w:leftChars="-1" w:hanging="480" w:hangingChars="200"/>
              <w:jc w:val="left"/>
              <w:rPr>
                <w:rFonts w:ascii="宋体" w:hAnsi="宋体" w:cs="宋体"/>
                <w:szCs w:val="21"/>
                <w:lang w:bidi="ar"/>
              </w:rPr>
            </w:pPr>
            <w:r>
              <w:rPr>
                <w:rFonts w:hint="eastAsia" w:ascii="宋体" w:hAnsi="宋体" w:cs="宋体"/>
                <w:szCs w:val="21"/>
                <w:lang w:bidi="ar"/>
              </w:rPr>
              <w:t>收件人：</w:t>
            </w:r>
            <w:r>
              <w:rPr>
                <w:rFonts w:ascii="宋体" w:hAnsi="宋体" w:cs="宋体"/>
                <w:szCs w:val="21"/>
                <w:lang w:bidi="ar"/>
              </w:rPr>
              <w:t xml:space="preserve">                </w:t>
            </w:r>
          </w:p>
          <w:p w14:paraId="5EFF4D9D">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联系电话：</w:t>
            </w:r>
          </w:p>
          <w:p w14:paraId="13C2A411">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邮寄地址：</w:t>
            </w:r>
            <w:r>
              <w:rPr>
                <w:rFonts w:ascii="宋体" w:hAnsi="宋体" w:cs="宋体"/>
                <w:szCs w:val="21"/>
                <w:lang w:bidi="ar"/>
              </w:rPr>
              <w:t xml:space="preserve"> </w:t>
            </w:r>
          </w:p>
          <w:p w14:paraId="101A3BA2">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电子邮件：</w:t>
            </w:r>
          </w:p>
        </w:tc>
      </w:tr>
    </w:tbl>
    <w:p w14:paraId="4ECB0735">
      <w:pPr>
        <w:snapToGrid w:val="0"/>
        <w:spacing w:line="400" w:lineRule="exact"/>
        <w:ind w:left="478" w:leftChars="-1" w:hanging="480" w:hangingChars="200"/>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.2各方送达地址适用范围包括合同签订及履行过程中的合同及相关文件、合同纠纷处理往来文件及诉讼过程中法律文书的送达；如果向法院提交的诉讼文书的送达地址与</w:t>
      </w:r>
      <w:r>
        <w:rPr>
          <w:rFonts w:hint="eastAsia" w:ascii="宋体" w:hAnsi="宋体"/>
          <w:szCs w:val="21"/>
        </w:rPr>
        <w:t>上款</w:t>
      </w:r>
      <w:r>
        <w:rPr>
          <w:rFonts w:hint="eastAsia" w:asciiTheme="minorEastAsia" w:hAnsiTheme="minorEastAsia"/>
          <w:szCs w:val="21"/>
        </w:rPr>
        <w:t>的约定不符，诉讼过程中法律文书的送达以向法院提交的送达地址为准；</w:t>
      </w:r>
    </w:p>
    <w:p w14:paraId="429F49CF">
      <w:pPr>
        <w:spacing w:line="400" w:lineRule="exact"/>
        <w:ind w:left="420" w:hanging="480" w:hangingChars="200"/>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.3 一方的送达地址需要变更时应当书面通知对方，如果一方未履行通知义务，双方所确认的送达地址仍视为有效送达地址。如果当事人提供或者确认的送达地址不准确、送达地址变更后未及时依程序告知对方和法院、当事人或指定的接收人拒绝签收，导致文件未能被当事人实际接收的，邮寄送达的，以文件退回之日视为送达之日。</w:t>
      </w:r>
    </w:p>
    <w:p w14:paraId="5B2205AB">
      <w:pPr>
        <w:tabs>
          <w:tab w:val="left" w:pos="993"/>
        </w:tabs>
        <w:snapToGrid w:val="0"/>
        <w:spacing w:line="400" w:lineRule="exact"/>
        <w:rPr>
          <w:rFonts w:ascii="宋体" w:hAnsi="宋体"/>
          <w:szCs w:val="21"/>
        </w:rPr>
      </w:pPr>
    </w:p>
    <w:p w14:paraId="04D8B4D5">
      <w:pPr>
        <w:adjustRightInd w:val="0"/>
        <w:snapToGrid w:val="0"/>
        <w:spacing w:line="400" w:lineRule="exact"/>
        <w:jc w:val="left"/>
        <w:textAlignment w:val="baseline"/>
        <w:rPr>
          <w:rFonts w:ascii="黑体" w:hAnsi="黑体" w:eastAsia="黑体"/>
          <w:b/>
          <w:szCs w:val="21"/>
        </w:rPr>
      </w:pPr>
      <w:r>
        <w:rPr>
          <w:rFonts w:hint="eastAsia" w:ascii="黑体" w:hAnsi="黑体" w:eastAsia="黑体"/>
          <w:b/>
          <w:szCs w:val="21"/>
        </w:rPr>
        <w:t>13、其它约定</w:t>
      </w:r>
    </w:p>
    <w:p w14:paraId="31515DCF">
      <w:pPr>
        <w:tabs>
          <w:tab w:val="left" w:pos="720"/>
          <w:tab w:val="left" w:pos="7560"/>
          <w:tab w:val="left" w:pos="7920"/>
          <w:tab w:val="left" w:pos="8100"/>
        </w:tabs>
        <w:adjustRightInd w:val="0"/>
        <w:snapToGrid w:val="0"/>
        <w:spacing w:line="400" w:lineRule="exact"/>
        <w:ind w:left="422" w:hanging="482" w:hangingChars="200"/>
        <w:rPr>
          <w:rFonts w:ascii="黑体" w:hAnsi="黑体" w:eastAsia="黑体"/>
          <w:b/>
          <w:bCs/>
          <w:szCs w:val="21"/>
        </w:rPr>
      </w:pPr>
      <w:r>
        <w:rPr>
          <w:rFonts w:hint="eastAsia" w:ascii="黑体" w:hAnsi="黑体" w:eastAsia="黑体"/>
          <w:b/>
          <w:bCs/>
          <w:szCs w:val="21"/>
        </w:rPr>
        <w:t>13.1甲方任何员工的言论和书面文件在经甲方书面确认之前均不代表甲方，甲方的任何书面文件均需加盖甲方公章方为有效；</w:t>
      </w:r>
    </w:p>
    <w:p w14:paraId="0079F32F">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13.2合同一方因与对方员工发生的私人经济往来而产生的任何损失，由该方自行承担，合同对方不负任何责任；</w:t>
      </w:r>
    </w:p>
    <w:p w14:paraId="60E0E484">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13.3本合同有效期内，以及在其终止或期满后的任何时候，乙方不得向任何第三方披露在履行合同过程中所获得的甲方的任何经营信息；</w:t>
      </w:r>
    </w:p>
    <w:p w14:paraId="54A28AE8">
      <w:pPr>
        <w:tabs>
          <w:tab w:val="left" w:pos="720"/>
          <w:tab w:val="left" w:pos="7560"/>
          <w:tab w:val="left" w:pos="7920"/>
          <w:tab w:val="left" w:pos="8100"/>
        </w:tabs>
        <w:adjustRightInd w:val="0"/>
        <w:snapToGrid w:val="0"/>
        <w:spacing w:line="400" w:lineRule="exact"/>
        <w:ind w:left="420" w:hanging="480" w:hangingChars="200"/>
        <w:rPr>
          <w:rFonts w:ascii="宋体" w:hAnsi="宋体"/>
          <w:bCs/>
          <w:szCs w:val="21"/>
        </w:rPr>
      </w:pPr>
      <w:r>
        <w:rPr>
          <w:rFonts w:hint="eastAsia" w:ascii="宋体" w:hAnsi="宋体"/>
          <w:bCs/>
          <w:szCs w:val="21"/>
        </w:rPr>
        <w:t>13</w:t>
      </w:r>
      <w:r>
        <w:rPr>
          <w:rFonts w:ascii="宋体" w:hAnsi="宋体"/>
          <w:bCs/>
          <w:szCs w:val="21"/>
        </w:rPr>
        <w:t>.4</w:t>
      </w:r>
      <w:r>
        <w:rPr>
          <w:rFonts w:hint="eastAsia" w:ascii="宋体" w:hAnsi="宋体"/>
          <w:bCs/>
          <w:szCs w:val="21"/>
        </w:rPr>
        <w:t>本合同有效期内，如甲方决定提前解散、注销或长期停产停业的，甲方应当书面通知乙方，自通知送达之日起满15日时，本合同自动终止，双方互不因此承担违约或赔偿责任；</w:t>
      </w:r>
    </w:p>
    <w:p w14:paraId="0B0AE522">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13.5其他未尽约定：/；</w:t>
      </w:r>
    </w:p>
    <w:p w14:paraId="76C9CFEF">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13.6本合同未尽事宜，双方应友好协商，签订补充协议，补充协议与本合同具有同等的法律效力；</w:t>
      </w:r>
    </w:p>
    <w:p w14:paraId="05187B4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13.7</w:t>
      </w:r>
      <w:r>
        <w:rPr>
          <w:rFonts w:ascii="宋体" w:hAnsi="宋体"/>
          <w:szCs w:val="21"/>
        </w:rPr>
        <w:t>本合同附件是合同的组成部分，与合同具有同等的法律效力，本合同附件有：</w:t>
      </w:r>
    </w:p>
    <w:p w14:paraId="52CEFAE0">
      <w:pPr>
        <w:tabs>
          <w:tab w:val="left" w:pos="720"/>
          <w:tab w:val="left" w:pos="7560"/>
          <w:tab w:val="left" w:pos="7920"/>
          <w:tab w:val="left" w:pos="8100"/>
        </w:tabs>
        <w:adjustRightInd w:val="0"/>
        <w:snapToGrid w:val="0"/>
        <w:spacing w:line="400" w:lineRule="exact"/>
        <w:ind w:left="420" w:firstLine="4" w:firstLineChars="2"/>
        <w:rPr>
          <w:rFonts w:ascii="宋体" w:hAnsi="宋体"/>
          <w:szCs w:val="21"/>
        </w:rPr>
      </w:pPr>
      <w:r>
        <w:rPr>
          <w:rFonts w:ascii="宋体" w:hAnsi="宋体"/>
          <w:szCs w:val="21"/>
        </w:rPr>
        <w:t>合同附件1《</w:t>
      </w:r>
      <w:r>
        <w:rPr>
          <w:rFonts w:hint="eastAsia" w:ascii="宋体" w:hAnsi="宋体"/>
          <w:szCs w:val="21"/>
        </w:rPr>
        <w:t>廉洁合规承诺书</w:t>
      </w:r>
      <w:r>
        <w:rPr>
          <w:rFonts w:ascii="宋体" w:hAnsi="宋体"/>
          <w:szCs w:val="21"/>
        </w:rPr>
        <w:t>》；</w:t>
      </w:r>
    </w:p>
    <w:p w14:paraId="5033BA09">
      <w:pPr>
        <w:tabs>
          <w:tab w:val="left" w:pos="720"/>
          <w:tab w:val="left" w:pos="7560"/>
          <w:tab w:val="left" w:pos="7920"/>
          <w:tab w:val="left" w:pos="8100"/>
        </w:tabs>
        <w:adjustRightInd w:val="0"/>
        <w:snapToGrid w:val="0"/>
        <w:spacing w:line="400" w:lineRule="exact"/>
        <w:ind w:left="480" w:leftChars="200" w:firstLine="4" w:firstLineChars="2"/>
        <w:rPr>
          <w:rFonts w:ascii="宋体" w:hAnsi="宋体"/>
          <w:szCs w:val="21"/>
        </w:rPr>
      </w:pPr>
      <w:r>
        <w:rPr>
          <w:rFonts w:ascii="宋体" w:hAnsi="宋体"/>
          <w:szCs w:val="21"/>
        </w:rPr>
        <w:t>合同附件2</w:t>
      </w:r>
      <w:r>
        <w:rPr>
          <w:rFonts w:hint="eastAsia" w:ascii="宋体" w:hAnsi="宋体"/>
          <w:szCs w:val="21"/>
        </w:rPr>
        <w:t>《服务要求》</w:t>
      </w:r>
      <w:r>
        <w:rPr>
          <w:rFonts w:ascii="宋体" w:hAnsi="宋体"/>
          <w:szCs w:val="21"/>
        </w:rPr>
        <w:t>；</w:t>
      </w:r>
    </w:p>
    <w:p w14:paraId="29E50041">
      <w:pPr>
        <w:tabs>
          <w:tab w:val="left" w:pos="720"/>
          <w:tab w:val="left" w:pos="7560"/>
          <w:tab w:val="left" w:pos="7920"/>
          <w:tab w:val="left" w:pos="8100"/>
        </w:tabs>
        <w:adjustRightInd w:val="0"/>
        <w:snapToGrid w:val="0"/>
        <w:spacing w:line="400" w:lineRule="exact"/>
        <w:ind w:left="480" w:leftChars="200" w:firstLine="4" w:firstLineChars="2"/>
        <w:rPr>
          <w:rFonts w:ascii="宋体" w:hAnsi="宋体"/>
          <w:szCs w:val="21"/>
        </w:rPr>
      </w:pPr>
      <w:r>
        <w:rPr>
          <w:rFonts w:hint="eastAsia" w:ascii="宋体" w:hAnsi="宋体"/>
          <w:szCs w:val="21"/>
        </w:rPr>
        <w:t>合同附件3</w:t>
      </w:r>
      <w:r>
        <w:rPr>
          <w:rFonts w:ascii="宋体" w:hAnsi="宋体"/>
          <w:szCs w:val="21"/>
        </w:rPr>
        <w:t>《</w:t>
      </w:r>
      <w:r>
        <w:rPr>
          <w:rFonts w:hint="eastAsia" w:ascii="宋体" w:hAnsi="宋体"/>
          <w:szCs w:val="21"/>
        </w:rPr>
        <w:t>服务考核/验收标准</w:t>
      </w:r>
      <w:r>
        <w:rPr>
          <w:rFonts w:ascii="宋体" w:hAnsi="宋体"/>
          <w:szCs w:val="21"/>
        </w:rPr>
        <w:t>》</w:t>
      </w:r>
      <w:r>
        <w:rPr>
          <w:rFonts w:hint="eastAsia" w:ascii="宋体" w:hAnsi="宋体"/>
          <w:szCs w:val="21"/>
        </w:rPr>
        <w:t>；</w:t>
      </w:r>
    </w:p>
    <w:p w14:paraId="173FE765">
      <w:pPr>
        <w:tabs>
          <w:tab w:val="left" w:pos="720"/>
          <w:tab w:val="left" w:pos="7560"/>
          <w:tab w:val="left" w:pos="7920"/>
          <w:tab w:val="left" w:pos="8100"/>
        </w:tabs>
        <w:adjustRightInd w:val="0"/>
        <w:snapToGrid w:val="0"/>
        <w:spacing w:line="400" w:lineRule="exact"/>
        <w:ind w:left="480" w:leftChars="200" w:firstLine="4" w:firstLineChars="2"/>
        <w:rPr>
          <w:rFonts w:ascii="宋体" w:hAnsi="宋体"/>
          <w:szCs w:val="21"/>
        </w:rPr>
      </w:pPr>
      <w:r>
        <w:rPr>
          <w:rFonts w:hint="eastAsia" w:ascii="宋体" w:hAnsi="宋体"/>
          <w:szCs w:val="21"/>
        </w:rPr>
        <w:t>合同附件4《承包商安全协议》；</w:t>
      </w:r>
    </w:p>
    <w:p w14:paraId="177C0A7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13.8本合同一式肆份，双方各执贰份，均具有同等法律效力。</w:t>
      </w:r>
    </w:p>
    <w:p w14:paraId="6E24DC26">
      <w:pPr>
        <w:tabs>
          <w:tab w:val="left" w:pos="720"/>
          <w:tab w:val="left" w:pos="7560"/>
          <w:tab w:val="left" w:pos="7920"/>
          <w:tab w:val="left" w:pos="8100"/>
        </w:tabs>
        <w:adjustRightInd w:val="0"/>
        <w:snapToGrid w:val="0"/>
        <w:spacing w:line="400" w:lineRule="exact"/>
        <w:ind w:left="422" w:hanging="482" w:hangingChars="200"/>
        <w:rPr>
          <w:rFonts w:ascii="宋体" w:hAnsi="宋体"/>
          <w:b/>
          <w:bCs/>
          <w:szCs w:val="21"/>
        </w:rPr>
      </w:pPr>
      <w:r>
        <w:rPr>
          <w:rFonts w:hint="eastAsia" w:ascii="宋体" w:hAnsi="宋体"/>
          <w:b/>
          <w:bCs/>
          <w:szCs w:val="21"/>
        </w:rPr>
        <w:t>（以下无正文）</w:t>
      </w:r>
    </w:p>
    <w:p w14:paraId="04E757E8">
      <w:pPr>
        <w:tabs>
          <w:tab w:val="left" w:pos="720"/>
          <w:tab w:val="left" w:pos="7560"/>
          <w:tab w:val="left" w:pos="7920"/>
          <w:tab w:val="left" w:pos="8100"/>
        </w:tabs>
        <w:adjustRightInd w:val="0"/>
        <w:snapToGrid w:val="0"/>
        <w:spacing w:line="400" w:lineRule="exact"/>
        <w:ind w:left="422" w:hanging="482" w:hangingChars="200"/>
        <w:rPr>
          <w:rFonts w:ascii="宋体" w:hAnsi="宋体"/>
          <w:b/>
          <w:bCs/>
          <w:szCs w:val="21"/>
        </w:rPr>
      </w:pPr>
    </w:p>
    <w:p w14:paraId="25BD1ECA">
      <w:pPr>
        <w:adjustRightInd w:val="0"/>
        <w:snapToGrid w:val="0"/>
        <w:spacing w:line="400" w:lineRule="exact"/>
        <w:ind w:left="478" w:leftChars="-1" w:hanging="480" w:hangingChars="200"/>
        <w:jc w:val="left"/>
        <w:rPr>
          <w:rFonts w:ascii="宋体" w:hAnsi="宋体"/>
          <w:szCs w:val="21"/>
        </w:rPr>
      </w:pPr>
    </w:p>
    <w:p w14:paraId="7E401D3D">
      <w:pPr>
        <w:tabs>
          <w:tab w:val="left" w:pos="720"/>
          <w:tab w:val="left" w:pos="7560"/>
          <w:tab w:val="left" w:pos="7920"/>
          <w:tab w:val="left" w:pos="8100"/>
        </w:tabs>
        <w:adjustRightInd w:val="0"/>
        <w:snapToGrid w:val="0"/>
        <w:spacing w:line="400" w:lineRule="exact"/>
        <w:ind w:left="422" w:hanging="482" w:hangingChars="200"/>
        <w:rPr>
          <w:rFonts w:ascii="宋体" w:hAnsi="宋体"/>
          <w:b/>
          <w:bCs/>
          <w:szCs w:val="21"/>
        </w:rPr>
      </w:pPr>
    </w:p>
    <w:p w14:paraId="51A3DFC9">
      <w:pPr>
        <w:spacing w:line="400" w:lineRule="exact"/>
        <w:rPr>
          <w:rFonts w:ascii="宋体" w:hAnsi="宋体"/>
          <w:b/>
          <w:szCs w:val="21"/>
        </w:rPr>
      </w:pPr>
      <w:r>
        <w:rPr>
          <w:rFonts w:hint="eastAsia" w:ascii="宋体" w:hAnsi="宋体"/>
          <w:b/>
          <w:szCs w:val="21"/>
        </w:rPr>
        <w:t>甲方：</w:t>
      </w:r>
      <w:bookmarkStart w:id="21" w:name="firstParty2"/>
      <w:bookmarkEnd w:id="21"/>
      <w:r>
        <w:rPr>
          <w:rFonts w:hint="eastAsia" w:ascii="宋体" w:hAnsi="宋体"/>
          <w:b/>
          <w:szCs w:val="21"/>
        </w:rPr>
        <w:t xml:space="preserve">  </w:t>
      </w:r>
      <w:r>
        <w:rPr>
          <w:rFonts w:ascii="宋体" w:hAnsi="宋体"/>
        </w:rPr>
        <w:t xml:space="preserve"> </w:t>
      </w:r>
      <w:r>
        <w:rPr>
          <w:rFonts w:hint="eastAsia" w:ascii="宋体" w:hAnsi="宋体"/>
          <w:b/>
          <w:szCs w:val="21"/>
        </w:rPr>
        <w:t>（盖章）</w:t>
      </w:r>
    </w:p>
    <w:p w14:paraId="41AD45A7">
      <w:pPr>
        <w:spacing w:line="400" w:lineRule="exact"/>
        <w:rPr>
          <w:rFonts w:ascii="宋体" w:hAnsi="宋体"/>
        </w:rPr>
      </w:pPr>
    </w:p>
    <w:p w14:paraId="20C43191">
      <w:pPr>
        <w:spacing w:line="400" w:lineRule="exact"/>
        <w:ind w:firstLine="2640" w:firstLineChars="1100"/>
        <w:rPr>
          <w:rFonts w:ascii="宋体" w:hAnsi="宋体"/>
          <w:b/>
          <w:szCs w:val="21"/>
        </w:rPr>
      </w:pPr>
      <w:r>
        <w:rPr>
          <w:rFonts w:ascii="宋体" w:hAnsi="宋体"/>
        </w:rPr>
        <w:t xml:space="preserve"> </w:t>
      </w:r>
      <w:r>
        <w:rPr>
          <w:rFonts w:hint="eastAsia" w:ascii="宋体" w:hAnsi="宋体"/>
          <w:b/>
          <w:szCs w:val="21"/>
        </w:rPr>
        <w:t>年</w:t>
      </w:r>
      <w:r>
        <w:rPr>
          <w:rFonts w:hint="eastAsia" w:ascii="宋体" w:hAnsi="宋体"/>
        </w:rPr>
        <w:t xml:space="preserve"> </w:t>
      </w:r>
      <w:r>
        <w:rPr>
          <w:rFonts w:ascii="宋体" w:hAnsi="宋体"/>
        </w:rPr>
        <w:t xml:space="preserve">  </w:t>
      </w:r>
      <w:r>
        <w:rPr>
          <w:rFonts w:hint="eastAsia" w:ascii="宋体" w:hAnsi="宋体"/>
          <w:b/>
          <w:szCs w:val="21"/>
        </w:rPr>
        <w:t>月</w:t>
      </w:r>
      <w:r>
        <w:rPr>
          <w:rFonts w:hint="eastAsia" w:ascii="宋体" w:hAnsi="宋体"/>
        </w:rPr>
        <w:t xml:space="preserve"> </w:t>
      </w:r>
      <w:r>
        <w:rPr>
          <w:rFonts w:ascii="宋体" w:hAnsi="宋体"/>
        </w:rPr>
        <w:t xml:space="preserve">  </w:t>
      </w:r>
      <w:r>
        <w:rPr>
          <w:rFonts w:hint="eastAsia" w:ascii="宋体" w:hAnsi="宋体"/>
          <w:b/>
          <w:szCs w:val="21"/>
        </w:rPr>
        <w:t>日</w:t>
      </w:r>
    </w:p>
    <w:p w14:paraId="2846CD59">
      <w:pPr>
        <w:spacing w:line="400" w:lineRule="exact"/>
        <w:rPr>
          <w:rFonts w:ascii="宋体" w:hAnsi="宋体"/>
          <w:b/>
          <w:szCs w:val="21"/>
        </w:rPr>
      </w:pPr>
      <w:r>
        <w:rPr>
          <w:rFonts w:hint="eastAsia" w:ascii="宋体" w:hAnsi="宋体"/>
          <w:b/>
          <w:szCs w:val="21"/>
        </w:rPr>
        <w:t xml:space="preserve">乙方: </w:t>
      </w:r>
      <w:bookmarkStart w:id="22" w:name="secondParty2"/>
      <w:bookmarkEnd w:id="22"/>
      <w:r>
        <w:rPr>
          <w:rFonts w:hint="eastAsia" w:ascii="宋体" w:hAnsi="宋体"/>
          <w:b/>
          <w:szCs w:val="21"/>
        </w:rPr>
        <w:t xml:space="preserve"> </w:t>
      </w:r>
      <w:r>
        <w:rPr>
          <w:rFonts w:ascii="宋体" w:hAnsi="宋体"/>
          <w:b/>
        </w:rPr>
        <w:t xml:space="preserve"> </w:t>
      </w:r>
      <w:r>
        <w:rPr>
          <w:rFonts w:hint="eastAsia" w:ascii="宋体" w:hAnsi="宋体"/>
          <w:b/>
          <w:szCs w:val="21"/>
        </w:rPr>
        <w:t>（盖章）</w:t>
      </w:r>
      <w:r>
        <w:rPr>
          <w:rFonts w:ascii="宋体" w:hAnsi="宋体"/>
          <w:b/>
          <w:szCs w:val="21"/>
        </w:rPr>
        <w:tab/>
      </w:r>
    </w:p>
    <w:p w14:paraId="1D894595">
      <w:pPr>
        <w:spacing w:line="400" w:lineRule="exact"/>
        <w:rPr>
          <w:rFonts w:ascii="宋体" w:hAnsi="宋体"/>
          <w:b/>
          <w:szCs w:val="21"/>
        </w:rPr>
      </w:pPr>
    </w:p>
    <w:p w14:paraId="205A0768">
      <w:pPr>
        <w:spacing w:line="400" w:lineRule="exact"/>
        <w:ind w:firstLine="2640" w:firstLineChars="1100"/>
        <w:rPr>
          <w:rFonts w:ascii="宋体" w:hAnsi="宋体"/>
          <w:b/>
          <w:szCs w:val="21"/>
        </w:rPr>
      </w:pPr>
      <w:r>
        <w:rPr>
          <w:rFonts w:ascii="宋体" w:hAnsi="宋体"/>
        </w:rPr>
        <w:t xml:space="preserve"> </w:t>
      </w:r>
      <w:r>
        <w:rPr>
          <w:rFonts w:hint="eastAsia" w:ascii="宋体" w:hAnsi="宋体"/>
          <w:b/>
          <w:szCs w:val="21"/>
        </w:rPr>
        <w:t>年</w:t>
      </w:r>
      <w:r>
        <w:rPr>
          <w:rFonts w:hint="eastAsia" w:ascii="宋体" w:hAnsi="宋体"/>
        </w:rPr>
        <w:t xml:space="preserve"> </w:t>
      </w:r>
      <w:r>
        <w:rPr>
          <w:rFonts w:ascii="宋体" w:hAnsi="宋体"/>
        </w:rPr>
        <w:t xml:space="preserve">  </w:t>
      </w:r>
      <w:r>
        <w:rPr>
          <w:rFonts w:hint="eastAsia" w:ascii="宋体" w:hAnsi="宋体"/>
          <w:b/>
          <w:szCs w:val="21"/>
        </w:rPr>
        <w:t>月</w:t>
      </w:r>
      <w:r>
        <w:rPr>
          <w:rFonts w:hint="eastAsia" w:ascii="宋体" w:hAnsi="宋体"/>
        </w:rPr>
        <w:t xml:space="preserve"> </w:t>
      </w:r>
      <w:r>
        <w:rPr>
          <w:rFonts w:ascii="宋体" w:hAnsi="宋体"/>
        </w:rPr>
        <w:t xml:space="preserve">  </w:t>
      </w:r>
      <w:r>
        <w:rPr>
          <w:rFonts w:hint="eastAsia" w:ascii="宋体" w:hAnsi="宋体"/>
          <w:b/>
          <w:szCs w:val="21"/>
        </w:rPr>
        <w:t>日</w:t>
      </w:r>
    </w:p>
    <w:p w14:paraId="3A1FCFBC">
      <w:pPr>
        <w:spacing w:line="440" w:lineRule="exact"/>
        <w:rPr>
          <w:rFonts w:hint="eastAsia" w:ascii="宋体" w:hAnsi="宋体" w:eastAsia="宋体"/>
          <w:iCs/>
          <w:color w:val="FF0000"/>
          <w:sz w:val="24"/>
          <w:szCs w:val="24"/>
        </w:rPr>
      </w:pPr>
    </w:p>
    <w:p w14:paraId="4036939A">
      <w:pPr>
        <w:spacing w:line="440" w:lineRule="exact"/>
        <w:jc w:val="center"/>
        <w:rPr>
          <w:rFonts w:hint="eastAsia" w:ascii="宋体" w:hAnsi="宋体"/>
          <w:b/>
          <w:bCs/>
          <w:szCs w:val="24"/>
        </w:rPr>
      </w:pPr>
    </w:p>
    <w:p w14:paraId="631EDE4F">
      <w:pPr>
        <w:spacing w:line="440" w:lineRule="exact"/>
        <w:jc w:val="center"/>
        <w:rPr>
          <w:rFonts w:hint="eastAsia" w:ascii="宋体" w:hAnsi="宋体"/>
          <w:b/>
          <w:bCs/>
          <w:szCs w:val="24"/>
        </w:rPr>
      </w:pPr>
    </w:p>
    <w:p w14:paraId="111CAC77">
      <w:pPr>
        <w:spacing w:line="440" w:lineRule="exact"/>
        <w:jc w:val="center"/>
        <w:rPr>
          <w:rFonts w:hint="eastAsia" w:ascii="宋体" w:hAnsi="宋体"/>
          <w:b/>
          <w:bCs/>
          <w:szCs w:val="24"/>
        </w:rPr>
      </w:pPr>
    </w:p>
    <w:p w14:paraId="378CDA06">
      <w:pPr>
        <w:spacing w:line="440" w:lineRule="exact"/>
        <w:jc w:val="center"/>
        <w:rPr>
          <w:rFonts w:hint="eastAsia" w:ascii="宋体" w:hAnsi="宋体"/>
          <w:b/>
          <w:bCs/>
          <w:szCs w:val="24"/>
        </w:rPr>
      </w:pPr>
    </w:p>
    <w:p w14:paraId="142602A7">
      <w:pPr>
        <w:spacing w:line="440" w:lineRule="exact"/>
        <w:jc w:val="center"/>
        <w:rPr>
          <w:rFonts w:hint="eastAsia" w:ascii="宋体" w:hAnsi="宋体"/>
          <w:b/>
          <w:bCs/>
          <w:szCs w:val="24"/>
        </w:rPr>
      </w:pPr>
    </w:p>
    <w:p w14:paraId="48B759B4">
      <w:pPr>
        <w:spacing w:line="440" w:lineRule="exact"/>
        <w:jc w:val="center"/>
        <w:rPr>
          <w:rFonts w:hint="eastAsia" w:ascii="宋体" w:hAnsi="宋体"/>
          <w:b/>
          <w:bCs/>
          <w:szCs w:val="24"/>
        </w:rPr>
      </w:pPr>
    </w:p>
    <w:p w14:paraId="701CC1BF">
      <w:pPr>
        <w:spacing w:line="440" w:lineRule="exact"/>
        <w:jc w:val="center"/>
        <w:rPr>
          <w:rFonts w:hint="eastAsia" w:ascii="宋体" w:hAnsi="宋体"/>
          <w:b/>
          <w:bCs/>
          <w:szCs w:val="24"/>
        </w:rPr>
      </w:pPr>
    </w:p>
    <w:p w14:paraId="1A0FB2AF">
      <w:pPr>
        <w:spacing w:line="440" w:lineRule="exact"/>
        <w:jc w:val="center"/>
        <w:rPr>
          <w:rFonts w:hint="eastAsia" w:ascii="宋体" w:hAnsi="宋体"/>
          <w:b/>
          <w:bCs/>
          <w:szCs w:val="24"/>
        </w:rPr>
      </w:pPr>
    </w:p>
    <w:p w14:paraId="0C502E1B">
      <w:pPr>
        <w:spacing w:line="440" w:lineRule="exact"/>
        <w:jc w:val="center"/>
        <w:rPr>
          <w:rFonts w:hint="eastAsia" w:ascii="宋体" w:hAnsi="宋体"/>
          <w:b/>
          <w:bCs/>
          <w:szCs w:val="24"/>
        </w:rPr>
      </w:pPr>
    </w:p>
    <w:p w14:paraId="0737BB1E">
      <w:pPr>
        <w:spacing w:line="440" w:lineRule="exact"/>
        <w:jc w:val="center"/>
        <w:rPr>
          <w:rFonts w:hint="eastAsia" w:ascii="宋体" w:hAnsi="宋体"/>
          <w:b/>
          <w:bCs/>
          <w:szCs w:val="24"/>
        </w:rPr>
      </w:pPr>
    </w:p>
    <w:p w14:paraId="256AEF7B">
      <w:pPr>
        <w:spacing w:line="440" w:lineRule="exact"/>
        <w:jc w:val="center"/>
        <w:rPr>
          <w:rFonts w:hint="eastAsia" w:ascii="宋体" w:hAnsi="宋体"/>
          <w:b/>
          <w:bCs/>
          <w:szCs w:val="24"/>
        </w:rPr>
      </w:pPr>
    </w:p>
    <w:p w14:paraId="3760B1FE">
      <w:pPr>
        <w:spacing w:line="440" w:lineRule="exact"/>
        <w:jc w:val="center"/>
        <w:rPr>
          <w:rFonts w:hint="eastAsia" w:ascii="宋体" w:hAnsi="宋体"/>
          <w:b/>
          <w:bCs/>
          <w:szCs w:val="24"/>
        </w:rPr>
      </w:pPr>
    </w:p>
    <w:p w14:paraId="7D880F7C">
      <w:pPr>
        <w:spacing w:line="440" w:lineRule="exact"/>
        <w:jc w:val="center"/>
        <w:rPr>
          <w:rFonts w:hint="eastAsia" w:ascii="宋体" w:hAnsi="宋体"/>
          <w:b/>
          <w:bCs/>
          <w:szCs w:val="24"/>
        </w:rPr>
      </w:pPr>
    </w:p>
    <w:p w14:paraId="5654EC67">
      <w:pPr>
        <w:spacing w:line="440" w:lineRule="exact"/>
        <w:jc w:val="center"/>
        <w:rPr>
          <w:rFonts w:hint="eastAsia" w:ascii="宋体" w:hAnsi="宋体"/>
          <w:b/>
          <w:bCs/>
          <w:szCs w:val="24"/>
        </w:rPr>
      </w:pPr>
    </w:p>
    <w:p w14:paraId="385BA912">
      <w:pPr>
        <w:spacing w:line="440" w:lineRule="exact"/>
        <w:jc w:val="center"/>
        <w:rPr>
          <w:rFonts w:hint="eastAsia" w:ascii="宋体" w:hAnsi="宋体"/>
          <w:b/>
          <w:bCs/>
          <w:szCs w:val="24"/>
        </w:rPr>
      </w:pPr>
    </w:p>
    <w:p w14:paraId="018737A9">
      <w:pPr>
        <w:spacing w:line="440" w:lineRule="exact"/>
        <w:jc w:val="center"/>
        <w:rPr>
          <w:rFonts w:hint="eastAsia" w:ascii="宋体" w:hAnsi="宋体"/>
          <w:b/>
          <w:bCs/>
          <w:szCs w:val="24"/>
        </w:rPr>
      </w:pPr>
    </w:p>
    <w:p w14:paraId="41F38E9C">
      <w:pPr>
        <w:spacing w:line="440" w:lineRule="exact"/>
        <w:jc w:val="center"/>
        <w:rPr>
          <w:rFonts w:hint="eastAsia" w:ascii="宋体" w:hAnsi="宋体"/>
          <w:b/>
          <w:bCs/>
          <w:szCs w:val="24"/>
        </w:rPr>
      </w:pPr>
    </w:p>
    <w:p w14:paraId="69C76E3F">
      <w:pPr>
        <w:spacing w:line="440" w:lineRule="exact"/>
        <w:jc w:val="center"/>
        <w:rPr>
          <w:rFonts w:hint="eastAsia" w:ascii="宋体" w:hAnsi="宋体"/>
          <w:b/>
          <w:bCs/>
          <w:szCs w:val="24"/>
        </w:rPr>
      </w:pPr>
    </w:p>
    <w:p w14:paraId="57718C5A">
      <w:pPr>
        <w:spacing w:line="440" w:lineRule="exact"/>
        <w:jc w:val="center"/>
        <w:rPr>
          <w:rFonts w:hint="eastAsia" w:ascii="宋体" w:hAnsi="宋体"/>
          <w:b/>
          <w:bCs/>
          <w:szCs w:val="24"/>
        </w:rPr>
      </w:pPr>
    </w:p>
    <w:p w14:paraId="1D99C866">
      <w:pPr>
        <w:spacing w:line="440" w:lineRule="exact"/>
        <w:jc w:val="both"/>
        <w:rPr>
          <w:rFonts w:hint="eastAsia" w:ascii="宋体" w:hAnsi="宋体"/>
          <w:b/>
          <w:bCs/>
          <w:szCs w:val="24"/>
        </w:rPr>
      </w:pPr>
    </w:p>
    <w:p w14:paraId="4C7DA253">
      <w:pPr>
        <w:spacing w:after="312" w:afterLines="100" w:line="440" w:lineRule="exact"/>
        <w:jc w:val="center"/>
        <w:outlineLvl w:val="0"/>
        <w:rPr>
          <w:rFonts w:ascii="宋体" w:hAnsi="宋体"/>
          <w:iCs/>
          <w:szCs w:val="24"/>
        </w:rPr>
      </w:pPr>
      <w:r>
        <w:rPr>
          <w:rFonts w:hint="eastAsia" w:ascii="宋体" w:hAnsi="宋体"/>
          <w:b/>
          <w:bCs/>
          <w:sz w:val="32"/>
          <w:szCs w:val="24"/>
        </w:rPr>
        <w:t>第五卷 采购需求</w:t>
      </w:r>
    </w:p>
    <w:p w14:paraId="04D5A33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Chars="0" w:right="0" w:rightChars="0" w:firstLine="482"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cs="宋体"/>
          <w:b/>
          <w:bCs/>
          <w:kern w:val="2"/>
          <w:sz w:val="24"/>
          <w:szCs w:val="24"/>
          <w:lang w:val="en-US" w:eastAsia="zh-CN" w:bidi="ar"/>
        </w:rPr>
        <w:t>一</w:t>
      </w:r>
      <w:r>
        <w:rPr>
          <w:rFonts w:hint="eastAsia" w:ascii="宋体" w:hAnsi="宋体" w:eastAsia="宋体" w:cs="宋体"/>
          <w:b/>
          <w:bCs/>
          <w:kern w:val="2"/>
          <w:sz w:val="24"/>
          <w:szCs w:val="24"/>
          <w:lang w:val="en-US" w:eastAsia="zh-CN" w:bidi="ar"/>
        </w:rPr>
        <w:t>、采购内容</w:t>
      </w:r>
    </w:p>
    <w:p w14:paraId="07F6DE97">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一</w:t>
      </w:r>
      <w:r>
        <w:rPr>
          <w:rFonts w:hint="eastAsia" w:ascii="宋体" w:hAnsi="宋体" w:eastAsia="宋体"/>
          <w:sz w:val="24"/>
          <w:lang w:eastAsia="zh-CN"/>
        </w:rPr>
        <w:t>）</w:t>
      </w:r>
      <w:r>
        <w:rPr>
          <w:rFonts w:hint="eastAsia" w:ascii="宋体" w:hAnsi="宋体" w:eastAsia="宋体"/>
          <w:sz w:val="24"/>
        </w:rPr>
        <w:t>消杀服务业务范围</w:t>
      </w:r>
    </w:p>
    <w:p w14:paraId="33F61BB6">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包装部</w:t>
      </w:r>
      <w:r>
        <w:rPr>
          <w:rFonts w:hint="eastAsia" w:ascii="宋体" w:hAnsi="宋体" w:eastAsia="宋体"/>
          <w:sz w:val="24"/>
        </w:rPr>
        <w:t>：车间、办公室、更衣室、维修室、工具间、设备间、库房、</w:t>
      </w:r>
      <w:r>
        <w:rPr>
          <w:rFonts w:hint="eastAsia" w:ascii="宋体" w:hAnsi="宋体" w:eastAsia="宋体"/>
          <w:sz w:val="24"/>
          <w:lang w:val="en-US" w:eastAsia="zh-CN"/>
        </w:rPr>
        <w:t>地沟、</w:t>
      </w:r>
      <w:r>
        <w:rPr>
          <w:rFonts w:hint="eastAsia" w:ascii="宋体" w:hAnsi="宋体" w:eastAsia="宋体"/>
          <w:sz w:val="24"/>
        </w:rPr>
        <w:t>卫生间、走梯通道、出入口等</w:t>
      </w:r>
      <w:r>
        <w:rPr>
          <w:rFonts w:hint="eastAsia" w:ascii="宋体" w:hAnsi="宋体" w:eastAsia="宋体"/>
          <w:sz w:val="24"/>
          <w:lang w:eastAsia="zh-CN"/>
        </w:rPr>
        <w:t>；</w:t>
      </w:r>
    </w:p>
    <w:p w14:paraId="19414071">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color w:val="auto"/>
          <w:sz w:val="24"/>
          <w:lang w:eastAsia="zh-CN"/>
        </w:rPr>
      </w:pPr>
      <w:r>
        <w:rPr>
          <w:rFonts w:hint="eastAsia" w:ascii="宋体" w:hAnsi="宋体" w:eastAsia="宋体"/>
          <w:color w:val="auto"/>
          <w:sz w:val="24"/>
          <w:lang w:val="en-US" w:eastAsia="zh-CN"/>
        </w:rPr>
        <w:t>2.</w:t>
      </w:r>
      <w:r>
        <w:rPr>
          <w:rFonts w:hint="eastAsia" w:ascii="宋体" w:hAnsi="宋体" w:eastAsia="宋体"/>
          <w:color w:val="auto"/>
          <w:sz w:val="24"/>
        </w:rPr>
        <w:t>酿造部：办公室、会议室、更衣室、维修室、库房、制冷室、配电室、锅炉、污水处理</w:t>
      </w:r>
      <w:r>
        <w:rPr>
          <w:rFonts w:hint="eastAsia" w:ascii="宋体" w:hAnsi="宋体" w:eastAsia="宋体"/>
          <w:color w:val="auto"/>
          <w:sz w:val="24"/>
          <w:lang w:eastAsia="zh-CN"/>
        </w:rPr>
        <w:t>、</w:t>
      </w:r>
      <w:r>
        <w:rPr>
          <w:rFonts w:hint="eastAsia" w:ascii="宋体" w:hAnsi="宋体" w:eastAsia="宋体"/>
          <w:color w:val="auto"/>
          <w:sz w:val="24"/>
          <w:lang w:val="en-US" w:eastAsia="zh-CN"/>
        </w:rPr>
        <w:t>地沟</w:t>
      </w:r>
      <w:r>
        <w:rPr>
          <w:rFonts w:hint="eastAsia" w:ascii="宋体" w:hAnsi="宋体" w:eastAsia="宋体"/>
          <w:color w:val="auto"/>
          <w:sz w:val="24"/>
        </w:rPr>
        <w:t>等</w:t>
      </w:r>
      <w:r>
        <w:rPr>
          <w:rFonts w:hint="eastAsia" w:ascii="宋体" w:hAnsi="宋体" w:eastAsia="宋体"/>
          <w:color w:val="auto"/>
          <w:sz w:val="24"/>
          <w:lang w:eastAsia="zh-CN"/>
        </w:rPr>
        <w:t>；</w:t>
      </w:r>
    </w:p>
    <w:p w14:paraId="095AA3B3">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color w:val="auto"/>
          <w:sz w:val="24"/>
          <w:lang w:val="en-US" w:eastAsia="zh-CN"/>
        </w:rPr>
      </w:pPr>
      <w:r>
        <w:rPr>
          <w:rFonts w:hint="eastAsia" w:ascii="宋体" w:hAnsi="宋体"/>
          <w:color w:val="auto"/>
          <w:sz w:val="24"/>
          <w:lang w:val="en-US" w:eastAsia="zh-CN"/>
        </w:rPr>
        <w:t>3.品控</w:t>
      </w:r>
      <w:r>
        <w:rPr>
          <w:rFonts w:hint="eastAsia" w:ascii="宋体" w:hAnsi="宋体" w:eastAsia="宋体"/>
          <w:color w:val="auto"/>
          <w:sz w:val="24"/>
        </w:rPr>
        <w:t>部：化验室、品酒室、办公室、会议室、卫生间、走梯通道、出入口等</w:t>
      </w:r>
      <w:r>
        <w:rPr>
          <w:rFonts w:hint="eastAsia" w:ascii="宋体" w:hAnsi="宋体" w:eastAsia="宋体"/>
          <w:color w:val="auto"/>
          <w:sz w:val="24"/>
          <w:lang w:eastAsia="zh-CN"/>
        </w:rPr>
        <w:t>；</w:t>
      </w:r>
    </w:p>
    <w:p w14:paraId="5A307239">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color w:val="auto"/>
          <w:sz w:val="24"/>
          <w:lang w:eastAsia="zh-CN"/>
        </w:rPr>
      </w:pPr>
      <w:r>
        <w:rPr>
          <w:rFonts w:hint="eastAsia" w:ascii="宋体" w:hAnsi="宋体" w:eastAsia="宋体"/>
          <w:color w:val="auto"/>
          <w:sz w:val="24"/>
          <w:lang w:val="en-US" w:eastAsia="zh-CN"/>
        </w:rPr>
        <w:t>4.办公室</w:t>
      </w:r>
      <w:r>
        <w:rPr>
          <w:rFonts w:hint="eastAsia" w:ascii="宋体" w:hAnsi="宋体" w:eastAsia="宋体"/>
          <w:color w:val="auto"/>
          <w:sz w:val="24"/>
        </w:rPr>
        <w:t>：办公楼办公室、卫生间、走梯通道、出入口，食堂等。</w:t>
      </w:r>
      <w:r>
        <w:rPr>
          <w:rFonts w:hint="eastAsia" w:ascii="宋体" w:hAnsi="宋体" w:eastAsia="宋体" w:cs="宋体"/>
          <w:color w:val="auto"/>
          <w:sz w:val="24"/>
        </w:rPr>
        <w:t>厂区内全部</w:t>
      </w:r>
      <w:r>
        <w:rPr>
          <w:rFonts w:hint="eastAsia" w:ascii="宋体" w:hAnsi="宋体" w:eastAsia="宋体" w:cs="宋体"/>
          <w:sz w:val="24"/>
        </w:rPr>
        <w:t>道路</w:t>
      </w:r>
      <w:r>
        <w:rPr>
          <w:rFonts w:hint="eastAsia" w:ascii="宋体" w:hAnsi="宋体" w:eastAsia="宋体" w:cs="宋体"/>
          <w:sz w:val="24"/>
          <w:lang w:eastAsia="zh-CN"/>
        </w:rPr>
        <w:t>（</w:t>
      </w:r>
      <w:r>
        <w:rPr>
          <w:rFonts w:hint="eastAsia" w:ascii="宋体" w:hAnsi="宋体" w:eastAsia="宋体" w:cs="宋体"/>
          <w:sz w:val="24"/>
          <w:lang w:val="en-US" w:eastAsia="zh-CN"/>
        </w:rPr>
        <w:t>包括窨井</w:t>
      </w:r>
      <w:r>
        <w:rPr>
          <w:rFonts w:hint="eastAsia" w:ascii="宋体" w:hAnsi="宋体" w:eastAsia="宋体" w:cs="宋体"/>
          <w:sz w:val="24"/>
          <w:lang w:eastAsia="zh-CN"/>
        </w:rPr>
        <w:t>）</w:t>
      </w:r>
      <w:r>
        <w:rPr>
          <w:rFonts w:hint="eastAsia" w:ascii="宋体" w:hAnsi="宋体" w:eastAsia="宋体" w:cs="宋体"/>
          <w:sz w:val="24"/>
        </w:rPr>
        <w:t>、绿化区域</w:t>
      </w:r>
      <w:r>
        <w:rPr>
          <w:rFonts w:hint="eastAsia" w:ascii="宋体" w:hAnsi="宋体" w:eastAsia="宋体" w:cs="宋体"/>
          <w:sz w:val="24"/>
          <w:lang w:eastAsia="zh-CN"/>
        </w:rPr>
        <w:t>；</w:t>
      </w:r>
    </w:p>
    <w:p w14:paraId="7F995B08">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sz w:val="24"/>
          <w:lang w:eastAsia="zh-CN"/>
        </w:rPr>
      </w:pPr>
      <w:r>
        <w:rPr>
          <w:rFonts w:hint="eastAsia" w:ascii="宋体" w:hAnsi="宋体" w:eastAsia="宋体"/>
          <w:color w:val="auto"/>
          <w:sz w:val="24"/>
          <w:lang w:val="en-US" w:eastAsia="zh-CN"/>
        </w:rPr>
        <w:t>5.仓储区域</w:t>
      </w:r>
      <w:r>
        <w:rPr>
          <w:rFonts w:hint="eastAsia" w:ascii="宋体" w:hAnsi="宋体" w:eastAsia="宋体"/>
          <w:color w:val="auto"/>
          <w:sz w:val="24"/>
        </w:rPr>
        <w:t>：成品库、淀粉库、促销品仓库、纸箱仓库、综合仓库、瓶盖库、商标库、管井等</w:t>
      </w:r>
      <w:r>
        <w:rPr>
          <w:rFonts w:hint="eastAsia" w:ascii="宋体" w:hAnsi="宋体" w:eastAsia="宋体"/>
          <w:color w:val="auto"/>
          <w:sz w:val="24"/>
          <w:lang w:eastAsia="zh-CN"/>
        </w:rPr>
        <w:t>；</w:t>
      </w:r>
    </w:p>
    <w:p w14:paraId="445A24F5">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iCs/>
          <w:sz w:val="24"/>
          <w:szCs w:val="24"/>
          <w:u w:val="none"/>
          <w:lang w:val="en-US" w:eastAsia="zh-CN"/>
        </w:rPr>
      </w:pPr>
      <w:r>
        <w:rPr>
          <w:rFonts w:hint="eastAsia" w:ascii="宋体" w:hAnsi="宋体" w:eastAsia="宋体"/>
          <w:sz w:val="24"/>
          <w:lang w:val="en-US" w:eastAsia="zh-CN"/>
        </w:rPr>
        <w:t>6.</w:t>
      </w:r>
      <w:r>
        <w:rPr>
          <w:rFonts w:hint="eastAsia" w:ascii="宋体" w:hAnsi="宋体" w:eastAsia="宋体"/>
          <w:sz w:val="24"/>
        </w:rPr>
        <w:t>其他建筑物周围。</w:t>
      </w:r>
    </w:p>
    <w:p w14:paraId="6FDFA0E8">
      <w:pPr>
        <w:pStyle w:val="8"/>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textAlignment w:val="auto"/>
        <w:outlineLvl w:val="0"/>
        <w:rPr>
          <w:rFonts w:hint="eastAsia" w:asciiTheme="minorEastAsia" w:hAnsiTheme="minorEastAsia" w:eastAsiaTheme="minorEastAsia" w:cstheme="minorEastAsia"/>
          <w:b/>
          <w:bCs/>
          <w:iCs/>
          <w:color w:val="auto"/>
          <w:sz w:val="24"/>
          <w:szCs w:val="24"/>
          <w:lang w:val="en-US" w:eastAsia="zh-CN"/>
        </w:rPr>
      </w:pPr>
      <w:r>
        <w:rPr>
          <w:rFonts w:hint="eastAsia" w:ascii="宋体" w:hAnsi="宋体"/>
          <w:sz w:val="24"/>
          <w:lang w:val="en-US" w:eastAsia="zh-CN"/>
        </w:rPr>
        <w:t>二</w:t>
      </w:r>
      <w:r>
        <w:rPr>
          <w:rFonts w:hint="eastAsia" w:ascii="宋体" w:hAnsi="宋体" w:eastAsia="宋体"/>
          <w:sz w:val="24"/>
          <w:lang w:val="en-US" w:eastAsia="zh-CN"/>
        </w:rPr>
        <w:t>、</w:t>
      </w:r>
      <w:r>
        <w:rPr>
          <w:rFonts w:hint="eastAsia" w:asciiTheme="minorEastAsia" w:hAnsiTheme="minorEastAsia" w:eastAsiaTheme="minorEastAsia" w:cstheme="minorEastAsia"/>
          <w:b/>
          <w:bCs/>
          <w:iCs/>
          <w:color w:val="auto"/>
          <w:sz w:val="24"/>
          <w:szCs w:val="24"/>
          <w:lang w:val="en-US" w:eastAsia="zh-CN"/>
        </w:rPr>
        <w:t>服务要求和质量标准</w:t>
      </w:r>
    </w:p>
    <w:p w14:paraId="5B1A5748">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（一）服务要求</w:t>
      </w:r>
    </w:p>
    <w:tbl>
      <w:tblPr>
        <w:tblStyle w:val="5"/>
        <w:tblW w:w="9632" w:type="dxa"/>
        <w:jc w:val="center"/>
        <w:tblLayout w:type="fixed"/>
        <w:tblCellMar>
          <w:top w:w="0" w:type="dxa"/>
          <w:left w:w="108" w:type="dxa"/>
          <w:bottom w:w="0" w:type="dxa"/>
          <w:right w:w="108" w:type="dxa"/>
        </w:tblCellMar>
      </w:tblPr>
      <w:tblGrid>
        <w:gridCol w:w="1210"/>
        <w:gridCol w:w="3898"/>
        <w:gridCol w:w="4524"/>
      </w:tblGrid>
      <w:tr w14:paraId="044638AC">
        <w:tblPrEx>
          <w:tblCellMar>
            <w:top w:w="0" w:type="dxa"/>
            <w:left w:w="108" w:type="dxa"/>
            <w:bottom w:w="0" w:type="dxa"/>
            <w:right w:w="108" w:type="dxa"/>
          </w:tblCellMar>
        </w:tblPrEx>
        <w:trPr>
          <w:trHeight w:val="312" w:hRule="atLeast"/>
          <w:jc w:val="center"/>
        </w:trPr>
        <w:tc>
          <w:tcPr>
            <w:tcW w:w="121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EF2D10">
            <w:pPr>
              <w:keepNext w:val="0"/>
              <w:keepLines w:val="0"/>
              <w:pageBreakBefore w:val="0"/>
              <w:widowControl/>
              <w:kinsoku/>
              <w:wordWrap/>
              <w:overflowPunct/>
              <w:topLinePunct w:val="0"/>
              <w:autoSpaceDE/>
              <w:autoSpaceDN/>
              <w:bidi w:val="0"/>
              <w:adjustRightInd w:val="0"/>
              <w:snapToGrid w:val="0"/>
              <w:spacing w:line="440" w:lineRule="exact"/>
              <w:ind w:leftChars="0"/>
              <w:jc w:val="center"/>
              <w:textAlignment w:val="auto"/>
              <w:rPr>
                <w:rFonts w:cs="宋体" w:asciiTheme="minorEastAsia" w:hAnsiTheme="minorEastAsia"/>
                <w:b/>
                <w:bCs/>
                <w:color w:val="000000"/>
                <w:sz w:val="24"/>
              </w:rPr>
            </w:pPr>
            <w:r>
              <w:rPr>
                <w:rFonts w:hint="eastAsia" w:cs="宋体" w:asciiTheme="minorEastAsia" w:hAnsiTheme="minorEastAsia"/>
                <w:b/>
                <w:bCs/>
                <w:color w:val="000000"/>
                <w:sz w:val="24"/>
              </w:rPr>
              <w:t>项目</w:t>
            </w:r>
          </w:p>
        </w:tc>
        <w:tc>
          <w:tcPr>
            <w:tcW w:w="3898" w:type="dxa"/>
            <w:tcBorders>
              <w:top w:val="single" w:color="auto" w:sz="4" w:space="0"/>
              <w:left w:val="nil"/>
              <w:bottom w:val="single" w:color="auto" w:sz="4" w:space="0"/>
              <w:right w:val="single" w:color="auto" w:sz="4" w:space="0"/>
            </w:tcBorders>
            <w:shd w:val="clear" w:color="auto" w:fill="auto"/>
            <w:noWrap/>
            <w:vAlign w:val="bottom"/>
          </w:tcPr>
          <w:p w14:paraId="260D356D">
            <w:pPr>
              <w:keepNext w:val="0"/>
              <w:keepLines w:val="0"/>
              <w:pageBreakBefore w:val="0"/>
              <w:widowControl/>
              <w:kinsoku/>
              <w:wordWrap/>
              <w:overflowPunct/>
              <w:topLinePunct w:val="0"/>
              <w:autoSpaceDE/>
              <w:autoSpaceDN/>
              <w:bidi w:val="0"/>
              <w:adjustRightInd w:val="0"/>
              <w:snapToGrid w:val="0"/>
              <w:spacing w:line="440" w:lineRule="exact"/>
              <w:ind w:leftChars="0"/>
              <w:jc w:val="center"/>
              <w:textAlignment w:val="auto"/>
              <w:rPr>
                <w:rFonts w:cs="宋体" w:asciiTheme="minorEastAsia" w:hAnsiTheme="minorEastAsia"/>
                <w:b/>
                <w:bCs/>
                <w:color w:val="000000"/>
                <w:sz w:val="24"/>
              </w:rPr>
            </w:pPr>
            <w:r>
              <w:rPr>
                <w:rFonts w:hint="eastAsia" w:cs="宋体" w:asciiTheme="minorEastAsia" w:hAnsiTheme="minorEastAsia"/>
                <w:b/>
                <w:bCs/>
                <w:color w:val="000000"/>
                <w:sz w:val="24"/>
              </w:rPr>
              <w:t>消杀范围/位置/区域</w:t>
            </w:r>
          </w:p>
        </w:tc>
        <w:tc>
          <w:tcPr>
            <w:tcW w:w="4524" w:type="dxa"/>
            <w:tcBorders>
              <w:top w:val="single" w:color="auto" w:sz="4" w:space="0"/>
              <w:left w:val="nil"/>
              <w:bottom w:val="single" w:color="auto" w:sz="4" w:space="0"/>
              <w:right w:val="single" w:color="auto" w:sz="4" w:space="0"/>
            </w:tcBorders>
            <w:shd w:val="clear" w:color="auto" w:fill="auto"/>
            <w:vAlign w:val="center"/>
          </w:tcPr>
          <w:p w14:paraId="39399627">
            <w:pPr>
              <w:keepNext w:val="0"/>
              <w:keepLines w:val="0"/>
              <w:pageBreakBefore w:val="0"/>
              <w:widowControl/>
              <w:kinsoku/>
              <w:wordWrap/>
              <w:overflowPunct/>
              <w:topLinePunct w:val="0"/>
              <w:autoSpaceDE/>
              <w:autoSpaceDN/>
              <w:bidi w:val="0"/>
              <w:adjustRightInd w:val="0"/>
              <w:snapToGrid w:val="0"/>
              <w:spacing w:line="440" w:lineRule="exact"/>
              <w:ind w:leftChars="0"/>
              <w:jc w:val="center"/>
              <w:textAlignment w:val="auto"/>
              <w:rPr>
                <w:rFonts w:cs="宋体" w:asciiTheme="minorEastAsia" w:hAnsiTheme="minorEastAsia"/>
                <w:b/>
                <w:bCs/>
                <w:color w:val="000000"/>
                <w:sz w:val="24"/>
              </w:rPr>
            </w:pPr>
            <w:r>
              <w:rPr>
                <w:rFonts w:hint="eastAsia" w:cs="宋体" w:asciiTheme="minorEastAsia" w:hAnsiTheme="minorEastAsia"/>
                <w:b/>
                <w:bCs/>
                <w:color w:val="000000"/>
                <w:sz w:val="24"/>
              </w:rPr>
              <w:t>执行方案</w:t>
            </w:r>
          </w:p>
        </w:tc>
      </w:tr>
      <w:tr w14:paraId="23604739">
        <w:tblPrEx>
          <w:tblCellMar>
            <w:top w:w="0" w:type="dxa"/>
            <w:left w:w="108" w:type="dxa"/>
            <w:bottom w:w="0" w:type="dxa"/>
            <w:right w:w="108" w:type="dxa"/>
          </w:tblCellMar>
        </w:tblPrEx>
        <w:trPr>
          <w:trHeight w:val="936" w:hRule="atLeast"/>
          <w:jc w:val="center"/>
        </w:trPr>
        <w:tc>
          <w:tcPr>
            <w:tcW w:w="1210" w:type="dxa"/>
            <w:vMerge w:val="restart"/>
            <w:tcBorders>
              <w:top w:val="nil"/>
              <w:left w:val="single" w:color="auto" w:sz="4" w:space="0"/>
              <w:bottom w:val="single" w:color="auto" w:sz="4" w:space="0"/>
              <w:right w:val="single" w:color="auto" w:sz="4" w:space="0"/>
            </w:tcBorders>
            <w:shd w:val="clear" w:color="auto" w:fill="auto"/>
            <w:noWrap/>
            <w:vAlign w:val="center"/>
          </w:tcPr>
          <w:p w14:paraId="523885D3">
            <w:pPr>
              <w:keepNext w:val="0"/>
              <w:keepLines w:val="0"/>
              <w:pageBreakBefore w:val="0"/>
              <w:widowControl/>
              <w:kinsoku/>
              <w:wordWrap/>
              <w:overflowPunct/>
              <w:topLinePunct w:val="0"/>
              <w:autoSpaceDE/>
              <w:autoSpaceDN/>
              <w:bidi w:val="0"/>
              <w:adjustRightInd w:val="0"/>
              <w:snapToGrid w:val="0"/>
              <w:spacing w:line="440" w:lineRule="exact"/>
              <w:ind w:leftChars="0"/>
              <w:jc w:val="center"/>
              <w:textAlignment w:val="auto"/>
              <w:rPr>
                <w:rFonts w:cs="宋体" w:asciiTheme="minorEastAsia" w:hAnsiTheme="minorEastAsia"/>
                <w:sz w:val="24"/>
              </w:rPr>
            </w:pPr>
            <w:r>
              <w:rPr>
                <w:rFonts w:hint="eastAsia" w:cs="宋体" w:asciiTheme="minorEastAsia" w:hAnsiTheme="minorEastAsia"/>
                <w:sz w:val="24"/>
              </w:rPr>
              <w:t>灭鼠</w:t>
            </w:r>
          </w:p>
        </w:tc>
        <w:tc>
          <w:tcPr>
            <w:tcW w:w="3898" w:type="dxa"/>
            <w:vMerge w:val="restart"/>
            <w:tcBorders>
              <w:top w:val="nil"/>
              <w:left w:val="single" w:color="auto" w:sz="4" w:space="0"/>
              <w:bottom w:val="single" w:color="auto" w:sz="4" w:space="0"/>
              <w:right w:val="single" w:color="auto" w:sz="4" w:space="0"/>
            </w:tcBorders>
            <w:shd w:val="clear" w:color="auto" w:fill="auto"/>
            <w:vAlign w:val="center"/>
          </w:tcPr>
          <w:p w14:paraId="08900BF3">
            <w:pPr>
              <w:keepNext w:val="0"/>
              <w:keepLines w:val="0"/>
              <w:pageBreakBefore w:val="0"/>
              <w:kinsoku/>
              <w:wordWrap/>
              <w:overflowPunct/>
              <w:topLinePunct w:val="0"/>
              <w:autoSpaceDE/>
              <w:autoSpaceDN/>
              <w:bidi w:val="0"/>
              <w:adjustRightInd w:val="0"/>
              <w:snapToGrid w:val="0"/>
              <w:spacing w:line="440" w:lineRule="exact"/>
              <w:ind w:leftChars="0"/>
              <w:textAlignment w:val="auto"/>
              <w:rPr>
                <w:rFonts w:asciiTheme="minorEastAsia" w:hAnsiTheme="minorEastAsia"/>
                <w:sz w:val="24"/>
              </w:rPr>
            </w:pPr>
            <w:r>
              <w:rPr>
                <w:rFonts w:hint="eastAsia" w:asciiTheme="minorEastAsia" w:hAnsiTheme="minorEastAsia"/>
                <w:sz w:val="24"/>
              </w:rPr>
              <w:t>（一）包装部：车间、办公室、更衣室、维修室、工具间、设备间、库房、</w:t>
            </w:r>
            <w:r>
              <w:rPr>
                <w:rFonts w:hint="eastAsia" w:asciiTheme="minorEastAsia" w:hAnsiTheme="minorEastAsia"/>
                <w:sz w:val="24"/>
                <w:lang w:val="en-US" w:eastAsia="zh-CN"/>
              </w:rPr>
              <w:t>地沟、</w:t>
            </w:r>
            <w:r>
              <w:rPr>
                <w:rFonts w:hint="eastAsia" w:asciiTheme="minorEastAsia" w:hAnsiTheme="minorEastAsia"/>
                <w:sz w:val="24"/>
              </w:rPr>
              <w:t>卫生间、走梯通道、出入口等。</w:t>
            </w:r>
          </w:p>
          <w:p w14:paraId="58F17CAA">
            <w:pPr>
              <w:keepNext w:val="0"/>
              <w:keepLines w:val="0"/>
              <w:pageBreakBefore w:val="0"/>
              <w:kinsoku/>
              <w:wordWrap/>
              <w:overflowPunct/>
              <w:topLinePunct w:val="0"/>
              <w:autoSpaceDE/>
              <w:autoSpaceDN/>
              <w:bidi w:val="0"/>
              <w:adjustRightInd w:val="0"/>
              <w:snapToGrid w:val="0"/>
              <w:spacing w:line="440" w:lineRule="exact"/>
              <w:ind w:leftChars="0"/>
              <w:textAlignment w:val="auto"/>
              <w:rPr>
                <w:rFonts w:asciiTheme="minorEastAsia" w:hAnsiTheme="minorEastAsia"/>
                <w:sz w:val="24"/>
              </w:rPr>
            </w:pPr>
            <w:r>
              <w:rPr>
                <w:rFonts w:hint="eastAsia" w:asciiTheme="minorEastAsia" w:hAnsiTheme="minorEastAsia"/>
                <w:sz w:val="24"/>
              </w:rPr>
              <w:t>（二）酿造部：办公室、会议室、更衣室、维修室、库房、制冷室、配电室、锅炉、污水处理</w:t>
            </w:r>
            <w:r>
              <w:rPr>
                <w:rFonts w:hint="eastAsia" w:asciiTheme="minorEastAsia" w:hAnsiTheme="minorEastAsia"/>
                <w:sz w:val="24"/>
                <w:lang w:eastAsia="zh-CN"/>
              </w:rPr>
              <w:t>、</w:t>
            </w:r>
            <w:r>
              <w:rPr>
                <w:rFonts w:hint="eastAsia" w:asciiTheme="minorEastAsia" w:hAnsiTheme="minorEastAsia"/>
                <w:sz w:val="24"/>
                <w:lang w:val="en-US" w:eastAsia="zh-CN"/>
              </w:rPr>
              <w:t>地沟</w:t>
            </w:r>
            <w:r>
              <w:rPr>
                <w:rFonts w:hint="eastAsia" w:asciiTheme="minorEastAsia" w:hAnsiTheme="minorEastAsia"/>
                <w:sz w:val="24"/>
              </w:rPr>
              <w:t>等。</w:t>
            </w:r>
            <w:r>
              <w:rPr>
                <w:rFonts w:asciiTheme="minorEastAsia" w:hAnsiTheme="minorEastAsia"/>
                <w:sz w:val="24"/>
              </w:rPr>
              <w:t xml:space="preserve"> </w:t>
            </w:r>
          </w:p>
          <w:p w14:paraId="7A6BF170">
            <w:pPr>
              <w:keepNext w:val="0"/>
              <w:keepLines w:val="0"/>
              <w:pageBreakBefore w:val="0"/>
              <w:kinsoku/>
              <w:wordWrap/>
              <w:overflowPunct/>
              <w:topLinePunct w:val="0"/>
              <w:autoSpaceDE/>
              <w:autoSpaceDN/>
              <w:bidi w:val="0"/>
              <w:adjustRightInd w:val="0"/>
              <w:snapToGrid w:val="0"/>
              <w:spacing w:line="440" w:lineRule="exact"/>
              <w:ind w:leftChars="0"/>
              <w:textAlignment w:val="auto"/>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三</w:t>
            </w:r>
            <w:r>
              <w:rPr>
                <w:rFonts w:hint="eastAsia" w:asciiTheme="minorEastAsia" w:hAnsiTheme="minorEastAsia"/>
                <w:sz w:val="24"/>
              </w:rPr>
              <w:t>）</w:t>
            </w:r>
            <w:r>
              <w:rPr>
                <w:rFonts w:hint="eastAsia" w:asciiTheme="minorEastAsia" w:hAnsiTheme="minorEastAsia"/>
                <w:sz w:val="24"/>
                <w:lang w:val="en-US" w:eastAsia="zh-CN"/>
              </w:rPr>
              <w:t>品控</w:t>
            </w:r>
            <w:r>
              <w:rPr>
                <w:rFonts w:hint="eastAsia" w:asciiTheme="minorEastAsia" w:hAnsiTheme="minorEastAsia"/>
                <w:sz w:val="24"/>
              </w:rPr>
              <w:t>部：化验室、品酒室、办公室、会议室、卫生间、走梯通道、出入口等。</w:t>
            </w:r>
          </w:p>
          <w:p w14:paraId="1799AA20">
            <w:pPr>
              <w:keepNext w:val="0"/>
              <w:keepLines w:val="0"/>
              <w:pageBreakBefore w:val="0"/>
              <w:kinsoku/>
              <w:wordWrap/>
              <w:overflowPunct/>
              <w:topLinePunct w:val="0"/>
              <w:autoSpaceDE/>
              <w:autoSpaceDN/>
              <w:bidi w:val="0"/>
              <w:adjustRightInd w:val="0"/>
              <w:snapToGrid w:val="0"/>
              <w:spacing w:line="440" w:lineRule="exact"/>
              <w:ind w:leftChars="0"/>
              <w:textAlignment w:val="auto"/>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四</w:t>
            </w:r>
            <w:r>
              <w:rPr>
                <w:rFonts w:hint="eastAsia" w:asciiTheme="minorEastAsia" w:hAnsiTheme="minorEastAsia"/>
                <w:sz w:val="24"/>
              </w:rPr>
              <w:t>）</w:t>
            </w:r>
            <w:r>
              <w:rPr>
                <w:rFonts w:hint="eastAsia" w:ascii="宋体" w:hAnsi="宋体" w:eastAsia="宋体"/>
                <w:color w:val="auto"/>
                <w:sz w:val="24"/>
                <w:lang w:val="en-US" w:eastAsia="zh-CN"/>
              </w:rPr>
              <w:t>仓储区域</w:t>
            </w:r>
            <w:r>
              <w:rPr>
                <w:rFonts w:hint="eastAsia" w:ascii="宋体" w:hAnsi="宋体" w:eastAsia="宋体"/>
                <w:color w:val="auto"/>
                <w:sz w:val="24"/>
              </w:rPr>
              <w:t>：成品库、淀粉库、促销品仓库、纸箱仓库、综合仓库、瓶盖库、商标库、管井等</w:t>
            </w:r>
            <w:r>
              <w:rPr>
                <w:rFonts w:hint="eastAsia" w:ascii="宋体" w:hAnsi="宋体" w:eastAsia="宋体"/>
                <w:color w:val="auto"/>
                <w:sz w:val="24"/>
                <w:lang w:eastAsia="zh-CN"/>
              </w:rPr>
              <w:t>；</w:t>
            </w:r>
          </w:p>
          <w:p w14:paraId="7DE70296">
            <w:pPr>
              <w:keepNext w:val="0"/>
              <w:keepLines w:val="0"/>
              <w:pageBreakBefore w:val="0"/>
              <w:kinsoku/>
              <w:wordWrap/>
              <w:overflowPunct/>
              <w:topLinePunct w:val="0"/>
              <w:autoSpaceDE/>
              <w:autoSpaceDN/>
              <w:bidi w:val="0"/>
              <w:adjustRightInd w:val="0"/>
              <w:snapToGrid w:val="0"/>
              <w:spacing w:line="440" w:lineRule="exact"/>
              <w:ind w:leftChars="0"/>
              <w:textAlignment w:val="auto"/>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五</w:t>
            </w:r>
            <w:r>
              <w:rPr>
                <w:rFonts w:hint="eastAsia" w:asciiTheme="minorEastAsia" w:hAnsiTheme="minorEastAsia"/>
                <w:sz w:val="24"/>
              </w:rPr>
              <w:t>）</w:t>
            </w:r>
            <w:r>
              <w:rPr>
                <w:rFonts w:hint="eastAsia" w:asciiTheme="minorEastAsia" w:hAnsiTheme="minorEastAsia"/>
                <w:sz w:val="24"/>
                <w:lang w:val="en-US" w:eastAsia="zh-CN"/>
              </w:rPr>
              <w:t>办公室</w:t>
            </w:r>
            <w:r>
              <w:rPr>
                <w:rFonts w:hint="eastAsia" w:asciiTheme="minorEastAsia" w:hAnsiTheme="minorEastAsia"/>
                <w:sz w:val="24"/>
              </w:rPr>
              <w:t>：办公楼办公室、卫生间、走梯通道、出入口，食堂等。</w:t>
            </w:r>
            <w:r>
              <w:rPr>
                <w:rFonts w:hint="eastAsia" w:cs="宋体" w:asciiTheme="minorEastAsia" w:hAnsiTheme="minorEastAsia"/>
                <w:sz w:val="24"/>
              </w:rPr>
              <w:t>厂区内全部道路</w:t>
            </w:r>
            <w:r>
              <w:rPr>
                <w:rFonts w:hint="eastAsia" w:ascii="宋体" w:hAnsi="宋体" w:eastAsia="宋体" w:cs="宋体"/>
                <w:sz w:val="24"/>
                <w:lang w:eastAsia="zh-CN"/>
              </w:rPr>
              <w:t>（</w:t>
            </w:r>
            <w:r>
              <w:rPr>
                <w:rFonts w:hint="eastAsia" w:ascii="宋体" w:hAnsi="宋体" w:eastAsia="宋体" w:cs="宋体"/>
                <w:sz w:val="24"/>
                <w:lang w:val="en-US" w:eastAsia="zh-CN"/>
              </w:rPr>
              <w:t>包括窨井</w:t>
            </w:r>
            <w:r>
              <w:rPr>
                <w:rFonts w:hint="eastAsia" w:ascii="宋体" w:hAnsi="宋体" w:eastAsia="宋体" w:cs="宋体"/>
                <w:sz w:val="24"/>
                <w:lang w:eastAsia="zh-CN"/>
              </w:rPr>
              <w:t>）</w:t>
            </w:r>
            <w:r>
              <w:rPr>
                <w:rFonts w:hint="eastAsia" w:cs="宋体" w:asciiTheme="minorEastAsia" w:hAnsiTheme="minorEastAsia"/>
                <w:sz w:val="24"/>
              </w:rPr>
              <w:t>、绿化区域</w:t>
            </w:r>
            <w:r>
              <w:rPr>
                <w:rFonts w:hint="eastAsia" w:asciiTheme="minorEastAsia" w:hAnsiTheme="minorEastAsia"/>
                <w:sz w:val="24"/>
              </w:rPr>
              <w:t>。</w:t>
            </w:r>
          </w:p>
        </w:tc>
        <w:tc>
          <w:tcPr>
            <w:tcW w:w="4524" w:type="dxa"/>
            <w:tcBorders>
              <w:top w:val="nil"/>
              <w:left w:val="nil"/>
              <w:bottom w:val="single" w:color="auto" w:sz="4" w:space="0"/>
              <w:right w:val="single" w:color="auto" w:sz="4" w:space="0"/>
            </w:tcBorders>
            <w:shd w:val="clear" w:color="auto" w:fill="auto"/>
            <w:vAlign w:val="center"/>
          </w:tcPr>
          <w:p w14:paraId="60FDB5A4">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hint="eastAsia" w:cs="宋体" w:asciiTheme="minorEastAsia" w:hAnsiTheme="minorEastAsia" w:eastAsiaTheme="minorEastAsia"/>
                <w:sz w:val="24"/>
                <w:lang w:eastAsia="zh-CN"/>
              </w:rPr>
            </w:pPr>
            <w:r>
              <w:rPr>
                <w:rFonts w:hint="eastAsia" w:cs="宋体" w:asciiTheme="minorEastAsia" w:hAnsiTheme="minorEastAsia"/>
                <w:sz w:val="24"/>
              </w:rPr>
              <w:t>1、</w:t>
            </w:r>
            <w:r>
              <w:rPr>
                <w:rFonts w:hint="eastAsia" w:cs="宋体" w:asciiTheme="minorEastAsia" w:hAnsiTheme="minorEastAsia"/>
                <w:sz w:val="24"/>
                <w:lang w:val="en-US" w:eastAsia="zh-CN"/>
              </w:rPr>
              <w:t>维护和设立</w:t>
            </w:r>
            <w:r>
              <w:rPr>
                <w:rFonts w:hint="eastAsia" w:cs="宋体" w:asciiTheme="minorEastAsia" w:hAnsiTheme="minorEastAsia"/>
                <w:sz w:val="24"/>
              </w:rPr>
              <w:t>毒饵站、巡查、清点灭鼠，粘鼠板、鼠夹诱捕为主，外围以干预性鼠饵盒投放鼠药为主，要求半个月解除鼠患。</w:t>
            </w:r>
          </w:p>
          <w:p w14:paraId="3F0AE6E1">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cs="宋体" w:asciiTheme="minorEastAsia" w:hAnsiTheme="minorEastAsia"/>
                <w:sz w:val="24"/>
              </w:rPr>
            </w:pPr>
            <w:r>
              <w:rPr>
                <w:rFonts w:hint="eastAsia" w:cs="宋体" w:asciiTheme="minorEastAsia" w:hAnsiTheme="minorEastAsia"/>
                <w:sz w:val="24"/>
              </w:rPr>
              <w:t>2、做好门缝、空洞的防鼠。</w:t>
            </w:r>
          </w:p>
        </w:tc>
      </w:tr>
      <w:tr w14:paraId="357F41D3">
        <w:tblPrEx>
          <w:tblCellMar>
            <w:top w:w="0" w:type="dxa"/>
            <w:left w:w="108" w:type="dxa"/>
            <w:bottom w:w="0" w:type="dxa"/>
            <w:right w:w="108" w:type="dxa"/>
          </w:tblCellMar>
        </w:tblPrEx>
        <w:trPr>
          <w:trHeight w:val="312" w:hRule="atLeast"/>
          <w:jc w:val="center"/>
        </w:trPr>
        <w:tc>
          <w:tcPr>
            <w:tcW w:w="1210" w:type="dxa"/>
            <w:vMerge w:val="continue"/>
            <w:tcBorders>
              <w:top w:val="nil"/>
              <w:left w:val="single" w:color="auto" w:sz="4" w:space="0"/>
              <w:bottom w:val="single" w:color="auto" w:sz="4" w:space="0"/>
              <w:right w:val="single" w:color="auto" w:sz="4" w:space="0"/>
            </w:tcBorders>
            <w:vAlign w:val="center"/>
          </w:tcPr>
          <w:p w14:paraId="0B6097EF">
            <w:pPr>
              <w:keepNext w:val="0"/>
              <w:keepLines w:val="0"/>
              <w:pageBreakBefore w:val="0"/>
              <w:widowControl/>
              <w:kinsoku/>
              <w:wordWrap/>
              <w:overflowPunct/>
              <w:topLinePunct w:val="0"/>
              <w:autoSpaceDE/>
              <w:autoSpaceDN/>
              <w:bidi w:val="0"/>
              <w:adjustRightInd w:val="0"/>
              <w:snapToGrid w:val="0"/>
              <w:spacing w:line="440" w:lineRule="exact"/>
              <w:ind w:leftChars="0"/>
              <w:jc w:val="center"/>
              <w:textAlignment w:val="auto"/>
              <w:rPr>
                <w:rFonts w:cs="宋体" w:asciiTheme="minorEastAsia" w:hAnsiTheme="minorEastAsia"/>
                <w:sz w:val="24"/>
              </w:rPr>
            </w:pPr>
          </w:p>
        </w:tc>
        <w:tc>
          <w:tcPr>
            <w:tcW w:w="3898" w:type="dxa"/>
            <w:vMerge w:val="continue"/>
            <w:tcBorders>
              <w:top w:val="nil"/>
              <w:left w:val="single" w:color="auto" w:sz="4" w:space="0"/>
              <w:bottom w:val="single" w:color="auto" w:sz="4" w:space="0"/>
              <w:right w:val="single" w:color="auto" w:sz="4" w:space="0"/>
            </w:tcBorders>
            <w:vAlign w:val="center"/>
          </w:tcPr>
          <w:p w14:paraId="4A992E52">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cs="宋体" w:asciiTheme="minorEastAsia" w:hAnsiTheme="minorEastAsia"/>
                <w:sz w:val="24"/>
              </w:rPr>
            </w:pPr>
          </w:p>
        </w:tc>
        <w:tc>
          <w:tcPr>
            <w:tcW w:w="4524" w:type="dxa"/>
            <w:tcBorders>
              <w:top w:val="nil"/>
              <w:left w:val="nil"/>
              <w:bottom w:val="single" w:color="auto" w:sz="4" w:space="0"/>
              <w:right w:val="single" w:color="auto" w:sz="4" w:space="0"/>
            </w:tcBorders>
            <w:shd w:val="clear" w:color="auto" w:fill="auto"/>
            <w:vAlign w:val="center"/>
          </w:tcPr>
          <w:p w14:paraId="0E8FAC02">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cs="宋体" w:asciiTheme="minorEastAsia" w:hAnsiTheme="minorEastAsia"/>
                <w:sz w:val="24"/>
              </w:rPr>
            </w:pPr>
            <w:r>
              <w:rPr>
                <w:rFonts w:hint="eastAsia" w:cs="宋体" w:asciiTheme="minorEastAsia" w:hAnsiTheme="minorEastAsia"/>
                <w:sz w:val="24"/>
              </w:rPr>
              <w:t>人工捕鼠，彻底截断老鼠路径。</w:t>
            </w:r>
          </w:p>
        </w:tc>
      </w:tr>
      <w:tr w14:paraId="7912057D">
        <w:tblPrEx>
          <w:tblCellMar>
            <w:top w:w="0" w:type="dxa"/>
            <w:left w:w="108" w:type="dxa"/>
            <w:bottom w:w="0" w:type="dxa"/>
            <w:right w:w="108" w:type="dxa"/>
          </w:tblCellMar>
        </w:tblPrEx>
        <w:trPr>
          <w:trHeight w:val="1296" w:hRule="atLeast"/>
          <w:jc w:val="center"/>
        </w:trPr>
        <w:tc>
          <w:tcPr>
            <w:tcW w:w="1210" w:type="dxa"/>
            <w:tcBorders>
              <w:top w:val="nil"/>
              <w:left w:val="single" w:color="auto" w:sz="4" w:space="0"/>
              <w:bottom w:val="single" w:color="auto" w:sz="4" w:space="0"/>
              <w:right w:val="single" w:color="auto" w:sz="4" w:space="0"/>
            </w:tcBorders>
            <w:shd w:val="clear" w:color="auto" w:fill="auto"/>
            <w:vAlign w:val="center"/>
          </w:tcPr>
          <w:p w14:paraId="7E0ADF33">
            <w:pPr>
              <w:keepNext w:val="0"/>
              <w:keepLines w:val="0"/>
              <w:pageBreakBefore w:val="0"/>
              <w:widowControl/>
              <w:kinsoku/>
              <w:wordWrap/>
              <w:overflowPunct/>
              <w:topLinePunct w:val="0"/>
              <w:autoSpaceDE/>
              <w:autoSpaceDN/>
              <w:bidi w:val="0"/>
              <w:adjustRightInd w:val="0"/>
              <w:snapToGrid w:val="0"/>
              <w:spacing w:line="440" w:lineRule="exact"/>
              <w:ind w:leftChars="0"/>
              <w:jc w:val="center"/>
              <w:textAlignment w:val="auto"/>
              <w:rPr>
                <w:rFonts w:cs="宋体" w:asciiTheme="minorEastAsia" w:hAnsiTheme="minorEastAsia"/>
                <w:sz w:val="24"/>
              </w:rPr>
            </w:pPr>
            <w:r>
              <w:rPr>
                <w:rFonts w:hint="eastAsia" w:cs="宋体" w:asciiTheme="minorEastAsia" w:hAnsiTheme="minorEastAsia"/>
                <w:sz w:val="24"/>
              </w:rPr>
              <w:t>灭飞虫、蚊虫等所有虫害</w:t>
            </w:r>
          </w:p>
        </w:tc>
        <w:tc>
          <w:tcPr>
            <w:tcW w:w="3898" w:type="dxa"/>
            <w:vMerge w:val="continue"/>
            <w:tcBorders>
              <w:top w:val="nil"/>
              <w:left w:val="single" w:color="auto" w:sz="4" w:space="0"/>
              <w:bottom w:val="single" w:color="auto" w:sz="4" w:space="0"/>
              <w:right w:val="single" w:color="auto" w:sz="4" w:space="0"/>
            </w:tcBorders>
            <w:vAlign w:val="center"/>
          </w:tcPr>
          <w:p w14:paraId="01568ABB">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cs="宋体" w:asciiTheme="minorEastAsia" w:hAnsiTheme="minorEastAsia"/>
                <w:sz w:val="24"/>
              </w:rPr>
            </w:pPr>
          </w:p>
        </w:tc>
        <w:tc>
          <w:tcPr>
            <w:tcW w:w="4524" w:type="dxa"/>
            <w:tcBorders>
              <w:top w:val="nil"/>
              <w:left w:val="nil"/>
              <w:bottom w:val="single" w:color="auto" w:sz="4" w:space="0"/>
              <w:right w:val="single" w:color="auto" w:sz="4" w:space="0"/>
            </w:tcBorders>
            <w:shd w:val="clear" w:color="auto" w:fill="auto"/>
            <w:vAlign w:val="center"/>
          </w:tcPr>
          <w:p w14:paraId="739AF549">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hint="eastAsia" w:cs="宋体" w:asciiTheme="minorEastAsia" w:hAnsiTheme="minorEastAsia" w:eastAsiaTheme="minorEastAsia"/>
                <w:sz w:val="24"/>
                <w:lang w:eastAsia="zh-CN"/>
              </w:rPr>
            </w:pPr>
            <w:r>
              <w:rPr>
                <w:rFonts w:hint="eastAsia" w:cs="宋体" w:asciiTheme="minorEastAsia" w:hAnsiTheme="minorEastAsia"/>
                <w:sz w:val="24"/>
              </w:rPr>
              <w:t>1、巡查入侵通道，主要</w:t>
            </w:r>
            <w:r>
              <w:rPr>
                <w:rFonts w:hint="eastAsia" w:cs="宋体" w:asciiTheme="minorEastAsia" w:hAnsiTheme="minorEastAsia"/>
                <w:sz w:val="24"/>
                <w:lang w:val="en-US" w:eastAsia="zh-CN"/>
              </w:rPr>
              <w:t>为</w:t>
            </w:r>
            <w:r>
              <w:rPr>
                <w:rFonts w:hint="eastAsia" w:cs="宋体" w:asciiTheme="minorEastAsia" w:hAnsiTheme="minorEastAsia"/>
                <w:sz w:val="24"/>
              </w:rPr>
              <w:t>粘蚊蝇纸诱杀，对蚊蝇滋生地及时消除积水、清理垃圾等。</w:t>
            </w:r>
          </w:p>
          <w:p w14:paraId="79B8E0A8">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cs="宋体" w:asciiTheme="minorEastAsia" w:hAnsiTheme="minorEastAsia"/>
                <w:sz w:val="24"/>
              </w:rPr>
            </w:pPr>
            <w:r>
              <w:rPr>
                <w:rFonts w:hint="eastAsia" w:cs="宋体" w:asciiTheme="minorEastAsia" w:hAnsiTheme="minorEastAsia"/>
                <w:sz w:val="24"/>
              </w:rPr>
              <w:t>2、提出方案，消灭飞虫。</w:t>
            </w:r>
          </w:p>
        </w:tc>
      </w:tr>
      <w:tr w14:paraId="4D07F002">
        <w:tblPrEx>
          <w:tblCellMar>
            <w:top w:w="0" w:type="dxa"/>
            <w:left w:w="108" w:type="dxa"/>
            <w:bottom w:w="0" w:type="dxa"/>
            <w:right w:w="108" w:type="dxa"/>
          </w:tblCellMar>
        </w:tblPrEx>
        <w:trPr>
          <w:trHeight w:val="699" w:hRule="atLeast"/>
          <w:jc w:val="center"/>
        </w:trPr>
        <w:tc>
          <w:tcPr>
            <w:tcW w:w="1210" w:type="dxa"/>
            <w:tcBorders>
              <w:top w:val="nil"/>
              <w:left w:val="single" w:color="auto" w:sz="4" w:space="0"/>
              <w:bottom w:val="single" w:color="auto" w:sz="4" w:space="0"/>
              <w:right w:val="single" w:color="auto" w:sz="4" w:space="0"/>
            </w:tcBorders>
            <w:shd w:val="clear" w:color="auto" w:fill="auto"/>
            <w:noWrap/>
            <w:vAlign w:val="center"/>
          </w:tcPr>
          <w:p w14:paraId="6BEB5F45">
            <w:pPr>
              <w:keepNext w:val="0"/>
              <w:keepLines w:val="0"/>
              <w:pageBreakBefore w:val="0"/>
              <w:widowControl/>
              <w:kinsoku/>
              <w:wordWrap/>
              <w:overflowPunct/>
              <w:topLinePunct w:val="0"/>
              <w:autoSpaceDE/>
              <w:autoSpaceDN/>
              <w:bidi w:val="0"/>
              <w:adjustRightInd w:val="0"/>
              <w:snapToGrid w:val="0"/>
              <w:spacing w:line="440" w:lineRule="exact"/>
              <w:ind w:leftChars="0"/>
              <w:jc w:val="center"/>
              <w:textAlignment w:val="auto"/>
              <w:rPr>
                <w:rFonts w:cs="宋体" w:asciiTheme="minorEastAsia" w:hAnsiTheme="minorEastAsia"/>
                <w:sz w:val="24"/>
              </w:rPr>
            </w:pPr>
            <w:r>
              <w:rPr>
                <w:rFonts w:hint="eastAsia" w:cs="宋体" w:asciiTheme="minorEastAsia" w:hAnsiTheme="minorEastAsia"/>
                <w:sz w:val="24"/>
              </w:rPr>
              <w:t>灭蟑螂</w:t>
            </w:r>
          </w:p>
        </w:tc>
        <w:tc>
          <w:tcPr>
            <w:tcW w:w="3898" w:type="dxa"/>
            <w:vMerge w:val="continue"/>
            <w:tcBorders>
              <w:top w:val="nil"/>
              <w:left w:val="single" w:color="auto" w:sz="4" w:space="0"/>
              <w:bottom w:val="single" w:color="auto" w:sz="4" w:space="0"/>
              <w:right w:val="single" w:color="auto" w:sz="4" w:space="0"/>
            </w:tcBorders>
            <w:vAlign w:val="center"/>
          </w:tcPr>
          <w:p w14:paraId="6994C3D5">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cs="宋体" w:asciiTheme="minorEastAsia" w:hAnsiTheme="minorEastAsia"/>
                <w:sz w:val="24"/>
              </w:rPr>
            </w:pPr>
          </w:p>
        </w:tc>
        <w:tc>
          <w:tcPr>
            <w:tcW w:w="4524" w:type="dxa"/>
            <w:tcBorders>
              <w:top w:val="nil"/>
              <w:left w:val="nil"/>
              <w:bottom w:val="single" w:color="auto" w:sz="4" w:space="0"/>
              <w:right w:val="single" w:color="auto" w:sz="4" w:space="0"/>
            </w:tcBorders>
            <w:shd w:val="clear" w:color="auto" w:fill="auto"/>
            <w:vAlign w:val="center"/>
          </w:tcPr>
          <w:p w14:paraId="77D1C1A3">
            <w:pPr>
              <w:keepNext w:val="0"/>
              <w:keepLines w:val="0"/>
              <w:pageBreakBefore w:val="0"/>
              <w:widowControl/>
              <w:kinsoku/>
              <w:wordWrap/>
              <w:overflowPunct/>
              <w:topLinePunct w:val="0"/>
              <w:autoSpaceDE/>
              <w:autoSpaceDN/>
              <w:bidi w:val="0"/>
              <w:adjustRightInd w:val="0"/>
              <w:snapToGrid w:val="0"/>
              <w:spacing w:line="440" w:lineRule="exact"/>
              <w:ind w:leftChars="0"/>
              <w:textAlignment w:val="auto"/>
              <w:rPr>
                <w:rFonts w:cs="宋体" w:asciiTheme="minorEastAsia" w:hAnsiTheme="minorEastAsia"/>
                <w:sz w:val="24"/>
              </w:rPr>
            </w:pPr>
            <w:r>
              <w:rPr>
                <w:rFonts w:hint="eastAsia" w:cs="宋体" w:asciiTheme="minorEastAsia" w:hAnsiTheme="minorEastAsia"/>
                <w:sz w:val="24"/>
              </w:rPr>
              <w:t>巡查入侵通道，滞留喷洒药物阻断入侵，胶饵颗粒毒饵诱杀、喷洒触杀药剂，采用绿色环保、起效快、效果持久的诱饵灭杀，直接将药布到窝附近，再撒一遍强力的饵剂，第一次投药一周后进行第二次、第三次布药，不给繁殖机会，不定期维护。</w:t>
            </w:r>
          </w:p>
        </w:tc>
      </w:tr>
    </w:tbl>
    <w:p w14:paraId="2961EC0F">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1.具体服务频率：</w:t>
      </w:r>
      <w:r>
        <w:rPr>
          <w:rFonts w:hint="default" w:ascii="宋体" w:hAnsi="宋体" w:eastAsia="宋体"/>
          <w:sz w:val="24"/>
          <w:szCs w:val="24"/>
          <w:lang w:val="en-US" w:eastAsia="zh-CN"/>
        </w:rPr>
        <w:t>灭鼠、灭蟑、灭飞虫、蚊虫等所有虫害</w:t>
      </w:r>
      <w:r>
        <w:rPr>
          <w:rFonts w:hint="eastAsia" w:ascii="宋体" w:hAnsi="宋体" w:eastAsia="宋体"/>
          <w:sz w:val="24"/>
          <w:szCs w:val="24"/>
          <w:lang w:val="en-US" w:eastAsia="zh-CN"/>
        </w:rPr>
        <w:t>（更换粘鼠板、粘蝇纸，维护鼠饵盒）</w:t>
      </w:r>
      <w:r>
        <w:rPr>
          <w:rFonts w:hint="default" w:ascii="宋体" w:hAnsi="宋体" w:eastAsia="宋体"/>
          <w:sz w:val="24"/>
          <w:szCs w:val="24"/>
          <w:lang w:val="en-US" w:eastAsia="zh-CN"/>
        </w:rPr>
        <w:t>：5</w:t>
      </w:r>
      <w:r>
        <w:rPr>
          <w:rFonts w:hint="eastAsia" w:ascii="宋体" w:hAnsi="宋体" w:eastAsia="宋体"/>
          <w:sz w:val="24"/>
          <w:szCs w:val="24"/>
          <w:lang w:val="en-US" w:eastAsia="zh-CN"/>
        </w:rPr>
        <w:t>至</w:t>
      </w:r>
      <w:r>
        <w:rPr>
          <w:rFonts w:hint="default" w:ascii="宋体" w:hAnsi="宋体" w:eastAsia="宋体"/>
          <w:sz w:val="24"/>
          <w:szCs w:val="24"/>
          <w:lang w:val="en-US" w:eastAsia="zh-CN"/>
        </w:rPr>
        <w:t>10月</w:t>
      </w:r>
      <w:r>
        <w:rPr>
          <w:rFonts w:hint="eastAsia" w:ascii="宋体" w:hAnsi="宋体" w:eastAsia="宋体"/>
          <w:sz w:val="24"/>
          <w:szCs w:val="24"/>
          <w:lang w:val="en-US" w:eastAsia="zh-CN"/>
        </w:rPr>
        <w:t>一</w:t>
      </w:r>
      <w:r>
        <w:rPr>
          <w:rFonts w:hint="default" w:ascii="宋体" w:hAnsi="宋体" w:eastAsia="宋体"/>
          <w:sz w:val="24"/>
          <w:szCs w:val="24"/>
          <w:lang w:val="en-US" w:eastAsia="zh-CN"/>
        </w:rPr>
        <w:t>周一次、11</w:t>
      </w:r>
      <w:r>
        <w:rPr>
          <w:rFonts w:hint="eastAsia" w:ascii="宋体" w:hAnsi="宋体" w:eastAsia="宋体"/>
          <w:sz w:val="24"/>
          <w:szCs w:val="24"/>
          <w:lang w:val="en-US" w:eastAsia="zh-CN"/>
        </w:rPr>
        <w:t>月至</w:t>
      </w:r>
      <w:r>
        <w:rPr>
          <w:rFonts w:hint="default" w:ascii="宋体" w:hAnsi="宋体" w:eastAsia="宋体"/>
          <w:sz w:val="24"/>
          <w:szCs w:val="24"/>
          <w:lang w:val="en-US" w:eastAsia="zh-CN"/>
        </w:rPr>
        <w:t>次年4月每月</w:t>
      </w:r>
      <w:r>
        <w:rPr>
          <w:rFonts w:hint="eastAsia" w:ascii="宋体" w:hAnsi="宋体" w:eastAsia="宋体"/>
          <w:sz w:val="24"/>
          <w:szCs w:val="24"/>
          <w:lang w:val="en-US" w:eastAsia="zh-CN"/>
        </w:rPr>
        <w:t>两</w:t>
      </w:r>
      <w:r>
        <w:rPr>
          <w:rFonts w:hint="default" w:ascii="宋体" w:hAnsi="宋体" w:eastAsia="宋体"/>
          <w:sz w:val="24"/>
          <w:szCs w:val="24"/>
          <w:lang w:val="en-US" w:eastAsia="zh-CN"/>
        </w:rPr>
        <w:t>次；灭蝇灯维护</w:t>
      </w:r>
      <w:r>
        <w:rPr>
          <w:rFonts w:hint="eastAsia" w:ascii="宋体" w:hAnsi="宋体" w:eastAsia="宋体"/>
          <w:sz w:val="24"/>
          <w:szCs w:val="24"/>
          <w:lang w:val="en-US" w:eastAsia="zh-CN"/>
        </w:rPr>
        <w:t>（灯管、灯座、内置支架）</w:t>
      </w:r>
      <w:r>
        <w:rPr>
          <w:rFonts w:hint="default" w:ascii="宋体" w:hAnsi="宋体" w:eastAsia="宋体"/>
          <w:sz w:val="24"/>
          <w:szCs w:val="24"/>
          <w:lang w:val="en-US" w:eastAsia="zh-CN"/>
        </w:rPr>
        <w:t>：</w:t>
      </w:r>
      <w:r>
        <w:rPr>
          <w:rFonts w:hint="eastAsia" w:ascii="宋体" w:hAnsi="宋体" w:eastAsia="宋体"/>
          <w:sz w:val="24"/>
          <w:szCs w:val="24"/>
          <w:lang w:val="en-US" w:eastAsia="zh-CN"/>
        </w:rPr>
        <w:t>每月两次；喷洒药剂：4至10</w:t>
      </w:r>
      <w:r>
        <w:rPr>
          <w:rFonts w:hint="default" w:ascii="宋体" w:hAnsi="宋体" w:eastAsia="宋体"/>
          <w:sz w:val="24"/>
          <w:szCs w:val="24"/>
          <w:lang w:val="en-US" w:eastAsia="zh-CN"/>
        </w:rPr>
        <w:t>月</w:t>
      </w:r>
      <w:r>
        <w:rPr>
          <w:rFonts w:hint="eastAsia" w:ascii="宋体" w:hAnsi="宋体" w:eastAsia="宋体"/>
          <w:sz w:val="24"/>
          <w:szCs w:val="24"/>
          <w:lang w:val="en-US" w:eastAsia="zh-CN"/>
        </w:rPr>
        <w:t>一月两</w:t>
      </w:r>
      <w:r>
        <w:rPr>
          <w:rFonts w:hint="default" w:ascii="宋体" w:hAnsi="宋体" w:eastAsia="宋体"/>
          <w:sz w:val="24"/>
          <w:szCs w:val="24"/>
          <w:lang w:val="en-US" w:eastAsia="zh-CN"/>
        </w:rPr>
        <w:t>次、</w:t>
      </w:r>
      <w:r>
        <w:rPr>
          <w:rFonts w:hint="eastAsia" w:ascii="宋体" w:hAnsi="宋体" w:eastAsia="宋体"/>
          <w:sz w:val="24"/>
          <w:szCs w:val="24"/>
          <w:lang w:val="en-US" w:eastAsia="zh-CN"/>
        </w:rPr>
        <w:t>3月、11月各一次，12月至次年2</w:t>
      </w:r>
      <w:r>
        <w:rPr>
          <w:rFonts w:hint="default" w:ascii="宋体" w:hAnsi="宋体" w:eastAsia="宋体"/>
          <w:sz w:val="24"/>
          <w:szCs w:val="24"/>
          <w:lang w:val="en-US" w:eastAsia="zh-CN"/>
        </w:rPr>
        <w:t>月</w:t>
      </w:r>
      <w:r>
        <w:rPr>
          <w:rFonts w:hint="eastAsia" w:ascii="宋体" w:hAnsi="宋体" w:eastAsia="宋体"/>
          <w:sz w:val="24"/>
          <w:szCs w:val="24"/>
          <w:lang w:val="en-US" w:eastAsia="zh-CN"/>
        </w:rPr>
        <w:t>可不做喷洒</w:t>
      </w:r>
      <w:r>
        <w:rPr>
          <w:rFonts w:hint="default" w:ascii="宋体" w:hAnsi="宋体" w:eastAsia="宋体"/>
          <w:sz w:val="24"/>
          <w:szCs w:val="24"/>
          <w:lang w:val="en-US" w:eastAsia="zh-CN"/>
        </w:rPr>
        <w:t>；</w:t>
      </w:r>
      <w:r>
        <w:rPr>
          <w:rFonts w:hint="eastAsia" w:cs="宋体" w:asciiTheme="minorEastAsia" w:hAnsiTheme="minorEastAsia"/>
          <w:sz w:val="24"/>
        </w:rPr>
        <w:t>人工捕鼠</w:t>
      </w:r>
      <w:r>
        <w:rPr>
          <w:rFonts w:hint="eastAsia" w:cs="宋体" w:asciiTheme="minorEastAsia" w:hAnsiTheme="minorEastAsia"/>
          <w:sz w:val="24"/>
          <w:lang w:eastAsia="zh-CN"/>
        </w:rPr>
        <w:t>：</w:t>
      </w:r>
      <w:r>
        <w:rPr>
          <w:rFonts w:hint="eastAsia" w:cs="宋体" w:asciiTheme="minorEastAsia" w:hAnsiTheme="minorEastAsia"/>
          <w:sz w:val="24"/>
        </w:rPr>
        <w:t>2次/年</w:t>
      </w:r>
      <w:r>
        <w:rPr>
          <w:rFonts w:hint="eastAsia" w:cs="宋体" w:asciiTheme="minorEastAsia" w:hAnsiTheme="minorEastAsia"/>
          <w:sz w:val="24"/>
          <w:lang w:eastAsia="zh-CN"/>
        </w:rPr>
        <w:t>；</w:t>
      </w:r>
      <w:r>
        <w:rPr>
          <w:rFonts w:hint="default" w:ascii="宋体" w:hAnsi="宋体" w:eastAsia="宋体"/>
          <w:sz w:val="24"/>
          <w:szCs w:val="24"/>
          <w:lang w:val="en-US" w:eastAsia="zh-CN"/>
        </w:rPr>
        <w:t>甲方酿造部、包装部及食堂有害生物防治专项消杀每月两次</w:t>
      </w:r>
      <w:r>
        <w:rPr>
          <w:rFonts w:hint="eastAsia" w:ascii="宋体" w:hAnsi="宋体" w:eastAsia="宋体"/>
          <w:sz w:val="24"/>
          <w:szCs w:val="24"/>
          <w:lang w:val="en-US" w:eastAsia="zh-CN"/>
        </w:rPr>
        <w:t>。</w:t>
      </w:r>
    </w:p>
    <w:p w14:paraId="755B7587">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服务方式：包工包料，其中：食堂灭蝇灯、厂区挡鼠板为工厂自行安装，消杀单位需提供技术经验支持；其他区域灭蝇灯、粘鼠板、鼠饵盒工厂已安装，消杀单位需进行后期的定期检查、设备维护、耗材更换和应急处理；其他位置需消杀单位按实际情况增加少量灭鼠、灭蚊蝇设施。</w:t>
      </w:r>
    </w:p>
    <w:p w14:paraId="09224F54">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3.其他要求</w:t>
      </w:r>
    </w:p>
    <w:p w14:paraId="6EA2A2A6">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①若有消杀设施调整位置（或增加与减少），乙方需为甲方更新厂区设施点位图；</w:t>
      </w:r>
    </w:p>
    <w:p w14:paraId="09ABE7BC">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②每季度乙方需向甲方提供虫害趋势分析，包含每月的虫害情况以及整体趋势分析；</w:t>
      </w:r>
    </w:p>
    <w:p w14:paraId="312BD004">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③每次服务后乙方需向甲方提供作业报告单经双方签字确认。</w:t>
      </w:r>
    </w:p>
    <w:p w14:paraId="18B0A9AA">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服务期</w:t>
      </w:r>
    </w:p>
    <w:p w14:paraId="78E9AC5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一年。</w:t>
      </w:r>
    </w:p>
    <w:p w14:paraId="3E9C5BC8">
      <w:pPr>
        <w:keepNext w:val="0"/>
        <w:keepLines w:val="0"/>
        <w:pageBreakBefore w:val="0"/>
        <w:widowControl w:val="0"/>
        <w:kinsoku/>
        <w:wordWrap/>
        <w:overflowPunct/>
        <w:topLinePunct w:val="0"/>
        <w:autoSpaceDE/>
        <w:autoSpaceDN/>
        <w:bidi w:val="0"/>
        <w:adjustRightInd w:val="0"/>
        <w:snapToGrid w:val="0"/>
        <w:spacing w:line="440" w:lineRule="exact"/>
        <w:ind w:leftChars="0" w:firstLine="480" w:firstLineChars="200"/>
        <w:textAlignment w:val="auto"/>
        <w:rPr>
          <w:rFonts w:ascii="宋体" w:hAnsi="宋体" w:eastAsia="宋体"/>
          <w:sz w:val="24"/>
          <w:szCs w:val="24"/>
        </w:rPr>
      </w:pPr>
      <w:r>
        <w:rPr>
          <w:rFonts w:hint="eastAsia" w:ascii="宋体" w:hAnsi="宋体" w:eastAsia="宋体"/>
          <w:sz w:val="24"/>
          <w:szCs w:val="24"/>
          <w:lang w:val="en-US" w:eastAsia="zh-CN"/>
        </w:rPr>
        <w:t>（三）质量</w:t>
      </w:r>
      <w:r>
        <w:rPr>
          <w:rFonts w:hint="eastAsia" w:ascii="宋体" w:hAnsi="宋体" w:eastAsia="宋体"/>
          <w:sz w:val="24"/>
          <w:szCs w:val="24"/>
        </w:rPr>
        <w:t>标准</w:t>
      </w:r>
    </w:p>
    <w:p w14:paraId="77A8E3FE">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1.</w:t>
      </w:r>
      <w:r>
        <w:rPr>
          <w:rFonts w:hint="eastAsia" w:ascii="宋体" w:hAnsi="宋体" w:eastAsia="宋体"/>
          <w:sz w:val="24"/>
          <w:szCs w:val="24"/>
        </w:rPr>
        <w:t>消杀符合国家爱卫颁布（1997）第五号（灭鼠、蚊蝇、蟑螂）标准要求</w:t>
      </w:r>
      <w:r>
        <w:rPr>
          <w:rFonts w:hint="eastAsia" w:ascii="宋体" w:hAnsi="宋体" w:eastAsia="宋体"/>
          <w:sz w:val="24"/>
          <w:szCs w:val="24"/>
          <w:lang w:eastAsia="zh-CN"/>
        </w:rPr>
        <w:t>；</w:t>
      </w:r>
    </w:p>
    <w:p w14:paraId="45FA8825">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2.</w:t>
      </w:r>
      <w:r>
        <w:rPr>
          <w:rFonts w:hint="eastAsia" w:ascii="宋体" w:hAnsi="宋体" w:eastAsia="宋体"/>
          <w:sz w:val="24"/>
          <w:szCs w:val="24"/>
        </w:rPr>
        <w:t>消杀频次达标</w:t>
      </w:r>
      <w:r>
        <w:rPr>
          <w:rFonts w:hint="eastAsia" w:ascii="宋体" w:hAnsi="宋体" w:eastAsia="宋体"/>
          <w:sz w:val="24"/>
          <w:szCs w:val="24"/>
          <w:lang w:eastAsia="zh-CN"/>
        </w:rPr>
        <w:t>；</w:t>
      </w:r>
    </w:p>
    <w:p w14:paraId="28003EA1">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3.</w:t>
      </w:r>
      <w:r>
        <w:rPr>
          <w:rFonts w:hint="eastAsia" w:ascii="宋体" w:hAnsi="宋体" w:eastAsia="宋体"/>
          <w:sz w:val="24"/>
          <w:szCs w:val="24"/>
        </w:rPr>
        <w:t>消杀结果达标</w:t>
      </w:r>
      <w:r>
        <w:rPr>
          <w:rFonts w:hint="eastAsia" w:ascii="宋体" w:hAnsi="宋体" w:eastAsia="宋体"/>
          <w:sz w:val="24"/>
          <w:szCs w:val="24"/>
          <w:lang w:eastAsia="zh-CN"/>
        </w:rPr>
        <w:t>；</w:t>
      </w:r>
    </w:p>
    <w:p w14:paraId="6CFDF4F7">
      <w:pPr>
        <w:keepNext w:val="0"/>
        <w:keepLines w:val="0"/>
        <w:pageBreakBefore w:val="0"/>
        <w:widowControl w:val="0"/>
        <w:kinsoku/>
        <w:wordWrap/>
        <w:overflowPunct/>
        <w:topLinePunct w:val="0"/>
        <w:autoSpaceDN/>
        <w:bidi w:val="0"/>
        <w:adjustRightInd w:val="0"/>
        <w:snapToGrid w:val="0"/>
        <w:spacing w:line="440" w:lineRule="exact"/>
        <w:ind w:leftChars="0" w:firstLine="480" w:firstLineChars="200"/>
        <w:textAlignment w:val="auto"/>
        <w:rPr>
          <w:rFonts w:hint="eastAsia" w:ascii="宋体" w:hAnsi="宋体"/>
          <w:iCs/>
          <w:sz w:val="24"/>
          <w:szCs w:val="24"/>
          <w:u w:val="none"/>
          <w:lang w:val="en-US" w:eastAsia="zh-CN"/>
        </w:rPr>
      </w:pPr>
      <w:r>
        <w:rPr>
          <w:rFonts w:hint="eastAsia" w:ascii="宋体" w:hAnsi="宋体" w:eastAsia="宋体"/>
          <w:sz w:val="24"/>
          <w:szCs w:val="24"/>
          <w:lang w:val="en-US" w:eastAsia="zh-CN"/>
        </w:rPr>
        <w:t>4.</w:t>
      </w:r>
      <w:r>
        <w:rPr>
          <w:rFonts w:hint="eastAsia" w:ascii="宋体" w:hAnsi="宋体" w:eastAsia="宋体"/>
          <w:sz w:val="24"/>
          <w:szCs w:val="24"/>
        </w:rPr>
        <w:t>消杀记录完整</w:t>
      </w:r>
      <w:r>
        <w:rPr>
          <w:rFonts w:hint="eastAsia" w:ascii="宋体" w:hAnsi="宋体" w:eastAsia="宋体"/>
          <w:sz w:val="24"/>
          <w:szCs w:val="24"/>
          <w:lang w:eastAsia="zh-CN"/>
        </w:rPr>
        <w:t>。</w:t>
      </w:r>
    </w:p>
    <w:p w14:paraId="4A5B55E4">
      <w:pPr>
        <w:keepNext w:val="0"/>
        <w:keepLines w:val="0"/>
        <w:pageBreakBefore w:val="0"/>
        <w:widowControl w:val="0"/>
        <w:numPr>
          <w:ilvl w:val="0"/>
          <w:numId w:val="0"/>
        </w:numPr>
        <w:kinsoku/>
        <w:wordWrap/>
        <w:overflowPunct/>
        <w:topLinePunct w:val="0"/>
        <w:autoSpaceDN/>
        <w:bidi w:val="0"/>
        <w:adjustRightInd w:val="0"/>
        <w:snapToGrid w:val="0"/>
        <w:spacing w:line="440" w:lineRule="exact"/>
        <w:ind w:left="0" w:leftChars="0" w:firstLine="482" w:firstLineChars="200"/>
        <w:textAlignment w:val="auto"/>
        <w:rPr>
          <w:rFonts w:hint="eastAsia" w:ascii="宋体" w:hAnsi="宋体" w:eastAsia="宋体"/>
          <w:b/>
          <w:bCs/>
          <w:sz w:val="24"/>
          <w:szCs w:val="24"/>
          <w:lang w:val="en-US" w:eastAsia="zh-CN"/>
        </w:rPr>
      </w:pPr>
      <w:r>
        <w:rPr>
          <w:rFonts w:hint="eastAsia" w:ascii="宋体" w:hAnsi="宋体" w:cs="Times New Roman"/>
          <w:b/>
          <w:bCs/>
          <w:kern w:val="2"/>
          <w:sz w:val="24"/>
          <w:szCs w:val="24"/>
          <w:lang w:val="en-US" w:eastAsia="zh-CN" w:bidi="ar-SA"/>
        </w:rPr>
        <w:t>三</w:t>
      </w:r>
      <w:r>
        <w:rPr>
          <w:rFonts w:hint="eastAsia" w:ascii="宋体" w:hAnsi="宋体" w:eastAsia="宋体" w:cs="Times New Roman"/>
          <w:b/>
          <w:bCs/>
          <w:kern w:val="2"/>
          <w:sz w:val="24"/>
          <w:szCs w:val="24"/>
          <w:lang w:val="en-US" w:eastAsia="zh-CN" w:bidi="ar-SA"/>
        </w:rPr>
        <w:t>、</w:t>
      </w:r>
      <w:r>
        <w:rPr>
          <w:rFonts w:hint="eastAsia" w:ascii="宋体" w:hAnsi="宋体" w:eastAsia="宋体"/>
          <w:b/>
          <w:bCs/>
          <w:sz w:val="24"/>
          <w:szCs w:val="24"/>
          <w:lang w:val="en-US" w:eastAsia="zh-CN"/>
        </w:rPr>
        <w:t>验收标准</w:t>
      </w:r>
    </w:p>
    <w:p w14:paraId="41E524B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（一）服务频次满足要求，服务质量满足工厂标准，现场环境无明显虫害侵入。</w:t>
      </w:r>
    </w:p>
    <w:p w14:paraId="509E34B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firstLineChars="200"/>
        <w:textAlignment w:val="auto"/>
        <w:rPr>
          <w:rFonts w:hint="eastAsia" w:ascii="宋体" w:hAnsi="宋体"/>
          <w:iCs/>
          <w:sz w:val="24"/>
          <w:szCs w:val="24"/>
          <w:u w:val="none"/>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b w:val="0"/>
          <w:bCs w:val="0"/>
          <w:sz w:val="24"/>
          <w:szCs w:val="24"/>
          <w:lang w:val="en-US" w:eastAsia="zh-CN"/>
        </w:rPr>
        <w:t>（二）考评规则：考评基准分数100分，在基准分数基础上依据标准予以考评，乙方每被扣1分向甲方承担100元违约金的标准承担违约责任，且甲方有权直接在待付的服务费中优先扣除（考核评价表详见附件1）。</w:t>
      </w:r>
    </w:p>
    <w:p w14:paraId="6E64EC94">
      <w:pPr>
        <w:spacing w:line="440" w:lineRule="exact"/>
        <w:outlineLvl w:val="0"/>
        <w:rPr>
          <w:rFonts w:ascii="宋体" w:hAnsi="宋体" w:eastAsia="宋体"/>
          <w:b/>
          <w:sz w:val="24"/>
          <w:szCs w:val="24"/>
        </w:rPr>
      </w:pPr>
      <w:r>
        <w:rPr>
          <w:rFonts w:hint="eastAsia" w:ascii="宋体" w:hAnsi="宋体"/>
          <w:b/>
          <w:sz w:val="24"/>
          <w:szCs w:val="24"/>
          <w:lang w:val="en-US" w:eastAsia="zh-CN"/>
        </w:rPr>
        <w:t>采购文件</w:t>
      </w:r>
      <w:r>
        <w:rPr>
          <w:rFonts w:hint="eastAsia" w:ascii="宋体" w:hAnsi="宋体" w:eastAsia="宋体"/>
          <w:b/>
          <w:sz w:val="24"/>
          <w:szCs w:val="24"/>
        </w:rPr>
        <w:t>附件1：响应保证金</w:t>
      </w:r>
    </w:p>
    <w:p w14:paraId="33C9F038">
      <w:pPr>
        <w:spacing w:line="440" w:lineRule="exact"/>
        <w:ind w:firstLine="480" w:firstLineChars="200"/>
        <w:rPr>
          <w:rFonts w:ascii="宋体" w:hAnsi="宋体" w:eastAsia="宋体"/>
          <w:sz w:val="24"/>
          <w:szCs w:val="24"/>
        </w:rPr>
      </w:pPr>
      <w:r>
        <w:rPr>
          <w:rFonts w:hint="eastAsia" w:ascii="宋体" w:hAnsi="宋体" w:eastAsia="宋体"/>
          <w:sz w:val="24"/>
          <w:szCs w:val="24"/>
        </w:rPr>
        <w:t>若第一卷供应商须知前附表中要求供应商提交响应保证金的，应满足以下要求。</w:t>
      </w:r>
    </w:p>
    <w:p w14:paraId="23C933B8">
      <w:pPr>
        <w:pStyle w:val="8"/>
        <w:numPr>
          <w:ilvl w:val="0"/>
          <w:numId w:val="13"/>
        </w:numPr>
        <w:spacing w:line="440" w:lineRule="exact"/>
        <w:ind w:left="0" w:firstLine="480"/>
        <w:rPr>
          <w:rFonts w:ascii="宋体" w:hAnsi="宋体" w:eastAsia="宋体"/>
          <w:sz w:val="24"/>
          <w:szCs w:val="24"/>
        </w:rPr>
      </w:pPr>
      <w:r>
        <w:rPr>
          <w:rFonts w:hint="eastAsia" w:ascii="宋体" w:hAnsi="宋体" w:eastAsia="宋体"/>
          <w:sz w:val="24"/>
          <w:szCs w:val="24"/>
        </w:rPr>
        <w:t>供应商应当按要求足额提交前附表所述金额作为响应保证金。若未按要求提交的，其响应文件及报价将作无效处理。</w:t>
      </w:r>
    </w:p>
    <w:p w14:paraId="0CF3C6D8">
      <w:pPr>
        <w:pStyle w:val="8"/>
        <w:numPr>
          <w:ilvl w:val="0"/>
          <w:numId w:val="13"/>
        </w:numPr>
        <w:spacing w:line="440" w:lineRule="exact"/>
        <w:ind w:left="0" w:firstLine="480"/>
        <w:rPr>
          <w:rFonts w:ascii="宋体" w:hAnsi="宋体" w:eastAsia="宋体"/>
          <w:sz w:val="24"/>
          <w:szCs w:val="24"/>
        </w:rPr>
      </w:pPr>
      <w:r>
        <w:rPr>
          <w:rFonts w:hint="eastAsia" w:ascii="宋体" w:hAnsi="宋体" w:eastAsia="宋体"/>
          <w:sz w:val="24"/>
          <w:szCs w:val="24"/>
        </w:rPr>
        <w:t>供应商</w:t>
      </w:r>
      <w:r>
        <w:rPr>
          <w:rFonts w:ascii="宋体" w:hAnsi="宋体" w:eastAsia="宋体"/>
          <w:sz w:val="24"/>
          <w:szCs w:val="24"/>
        </w:rPr>
        <w:t>有下列情形之一的，</w:t>
      </w:r>
      <w:r>
        <w:rPr>
          <w:rFonts w:hint="eastAsia" w:ascii="宋体" w:hAnsi="宋体" w:eastAsia="宋体"/>
          <w:sz w:val="24"/>
          <w:szCs w:val="24"/>
        </w:rPr>
        <w:t>采购</w:t>
      </w:r>
      <w:r>
        <w:rPr>
          <w:rFonts w:ascii="宋体" w:hAnsi="宋体" w:eastAsia="宋体"/>
          <w:sz w:val="24"/>
          <w:szCs w:val="24"/>
        </w:rPr>
        <w:t>人有权不予退还</w:t>
      </w:r>
      <w:r>
        <w:rPr>
          <w:rFonts w:hint="eastAsia" w:ascii="宋体" w:hAnsi="宋体" w:eastAsia="宋体"/>
          <w:sz w:val="24"/>
          <w:szCs w:val="24"/>
        </w:rPr>
        <w:t>响应</w:t>
      </w:r>
      <w:r>
        <w:rPr>
          <w:rFonts w:ascii="宋体" w:hAnsi="宋体" w:eastAsia="宋体"/>
          <w:sz w:val="24"/>
          <w:szCs w:val="24"/>
        </w:rPr>
        <w:t>保证金</w:t>
      </w:r>
      <w:r>
        <w:rPr>
          <w:rFonts w:hint="eastAsia" w:ascii="宋体" w:hAnsi="宋体" w:eastAsia="宋体"/>
          <w:sz w:val="24"/>
          <w:szCs w:val="24"/>
        </w:rPr>
        <w:t>。</w:t>
      </w:r>
    </w:p>
    <w:p w14:paraId="555BF37F">
      <w:pPr>
        <w:pStyle w:val="8"/>
        <w:numPr>
          <w:ilvl w:val="0"/>
          <w:numId w:val="14"/>
        </w:numPr>
        <w:spacing w:line="440" w:lineRule="exact"/>
        <w:ind w:firstLineChars="0"/>
        <w:rPr>
          <w:rFonts w:ascii="宋体" w:hAnsi="宋体" w:eastAsia="宋体"/>
          <w:sz w:val="24"/>
          <w:szCs w:val="24"/>
        </w:rPr>
      </w:pPr>
      <w:r>
        <w:rPr>
          <w:rFonts w:ascii="宋体" w:hAnsi="宋体" w:eastAsia="宋体"/>
          <w:sz w:val="24"/>
          <w:szCs w:val="24"/>
        </w:rPr>
        <w:t>在提交响应文件/报价截止时间后撤销响应文件/报价的；</w:t>
      </w:r>
    </w:p>
    <w:p w14:paraId="59BAFE97">
      <w:pPr>
        <w:pStyle w:val="8"/>
        <w:numPr>
          <w:ilvl w:val="0"/>
          <w:numId w:val="14"/>
        </w:numPr>
        <w:spacing w:line="440" w:lineRule="exact"/>
        <w:ind w:firstLineChars="0"/>
        <w:rPr>
          <w:rFonts w:ascii="宋体" w:hAnsi="宋体" w:eastAsia="宋体"/>
          <w:sz w:val="24"/>
          <w:szCs w:val="24"/>
        </w:rPr>
      </w:pPr>
      <w:r>
        <w:rPr>
          <w:rFonts w:ascii="宋体" w:hAnsi="宋体" w:eastAsia="宋体"/>
          <w:sz w:val="24"/>
          <w:szCs w:val="24"/>
        </w:rPr>
        <w:t>在提交响应文件/报价截止时间后对响应文件提出实质性修改的；</w:t>
      </w:r>
    </w:p>
    <w:p w14:paraId="23D687F4">
      <w:pPr>
        <w:pStyle w:val="8"/>
        <w:numPr>
          <w:ilvl w:val="0"/>
          <w:numId w:val="14"/>
        </w:numPr>
        <w:spacing w:line="440" w:lineRule="exact"/>
        <w:ind w:firstLineChars="0"/>
        <w:rPr>
          <w:rFonts w:ascii="宋体" w:hAnsi="宋体" w:eastAsia="宋体"/>
          <w:sz w:val="24"/>
          <w:szCs w:val="24"/>
        </w:rPr>
      </w:pPr>
      <w:r>
        <w:rPr>
          <w:rFonts w:ascii="宋体" w:hAnsi="宋体" w:eastAsia="宋体"/>
          <w:sz w:val="24"/>
          <w:szCs w:val="24"/>
        </w:rPr>
        <w:t>有串通报价、弄虚作假、行贿、以他人名义参与采购活动等不诚信行为的；</w:t>
      </w:r>
    </w:p>
    <w:p w14:paraId="2738B3AD">
      <w:pPr>
        <w:pStyle w:val="8"/>
        <w:numPr>
          <w:ilvl w:val="0"/>
          <w:numId w:val="14"/>
        </w:numPr>
        <w:spacing w:line="440" w:lineRule="exact"/>
        <w:ind w:firstLineChars="0"/>
        <w:rPr>
          <w:rFonts w:ascii="宋体" w:hAnsi="宋体" w:eastAsia="宋体"/>
          <w:sz w:val="24"/>
          <w:szCs w:val="24"/>
        </w:rPr>
      </w:pPr>
      <w:r>
        <w:rPr>
          <w:rFonts w:hint="eastAsia" w:ascii="宋体" w:hAnsi="宋体" w:eastAsia="宋体"/>
          <w:sz w:val="24"/>
          <w:szCs w:val="24"/>
        </w:rPr>
        <w:t>成交后</w:t>
      </w:r>
      <w:r>
        <w:rPr>
          <w:rFonts w:ascii="宋体" w:hAnsi="宋体" w:eastAsia="宋体"/>
          <w:sz w:val="24"/>
          <w:szCs w:val="24"/>
        </w:rPr>
        <w:t>无正当理由</w:t>
      </w:r>
      <w:r>
        <w:rPr>
          <w:rFonts w:hint="eastAsia" w:ascii="宋体" w:hAnsi="宋体" w:eastAsia="宋体"/>
          <w:sz w:val="24"/>
          <w:szCs w:val="24"/>
        </w:rPr>
        <w:t>放弃成交或</w:t>
      </w:r>
      <w:r>
        <w:rPr>
          <w:rFonts w:ascii="宋体" w:hAnsi="宋体" w:eastAsia="宋体"/>
          <w:sz w:val="24"/>
          <w:szCs w:val="24"/>
        </w:rPr>
        <w:t>不与采购人订立合同，或者在签订合同时提出</w:t>
      </w:r>
      <w:r>
        <w:rPr>
          <w:rFonts w:hint="eastAsia" w:ascii="宋体" w:hAnsi="宋体" w:eastAsia="宋体"/>
          <w:sz w:val="24"/>
          <w:szCs w:val="24"/>
        </w:rPr>
        <w:t>采购人不能接受的</w:t>
      </w:r>
      <w:r>
        <w:rPr>
          <w:rFonts w:ascii="宋体" w:hAnsi="宋体" w:eastAsia="宋体"/>
          <w:sz w:val="24"/>
          <w:szCs w:val="24"/>
        </w:rPr>
        <w:t>附加条件，或者不按照采购文件要求提交履约保证金的；</w:t>
      </w:r>
    </w:p>
    <w:p w14:paraId="1859DAD6">
      <w:pPr>
        <w:pStyle w:val="8"/>
        <w:numPr>
          <w:ilvl w:val="0"/>
          <w:numId w:val="14"/>
        </w:numPr>
        <w:spacing w:line="440" w:lineRule="exact"/>
        <w:ind w:firstLineChars="0"/>
        <w:rPr>
          <w:rFonts w:ascii="宋体" w:hAnsi="宋体" w:eastAsia="宋体"/>
          <w:sz w:val="24"/>
          <w:szCs w:val="24"/>
        </w:rPr>
      </w:pPr>
      <w:r>
        <w:rPr>
          <w:rFonts w:ascii="宋体" w:hAnsi="宋体" w:eastAsia="宋体"/>
          <w:sz w:val="24"/>
          <w:szCs w:val="24"/>
        </w:rPr>
        <w:t>按照采购文件约定的报价修正原则修正报价后，成交人拒绝以修正后的价格（即成交价）签订合同的。</w:t>
      </w:r>
    </w:p>
    <w:p w14:paraId="63966BDE">
      <w:pPr>
        <w:pStyle w:val="8"/>
        <w:numPr>
          <w:ilvl w:val="0"/>
          <w:numId w:val="13"/>
        </w:numPr>
        <w:spacing w:line="440" w:lineRule="exact"/>
        <w:ind w:left="0" w:firstLine="480"/>
        <w:rPr>
          <w:rFonts w:ascii="宋体" w:hAnsi="宋体" w:eastAsia="宋体"/>
          <w:sz w:val="24"/>
          <w:szCs w:val="24"/>
        </w:rPr>
      </w:pPr>
      <w:r>
        <w:rPr>
          <w:rFonts w:hint="eastAsia" w:ascii="宋体" w:hAnsi="宋体" w:eastAsia="宋体"/>
          <w:sz w:val="24"/>
          <w:szCs w:val="24"/>
        </w:rPr>
        <w:t>若出现上述不予退还响应保证金的情形，且确定不予退还的，其不予退还响应保证金的金额按以下规则计算。</w:t>
      </w:r>
    </w:p>
    <w:p w14:paraId="2BDDBAD5">
      <w:pPr>
        <w:pStyle w:val="11"/>
        <w:numPr>
          <w:ilvl w:val="0"/>
          <w:numId w:val="15"/>
        </w:numPr>
        <w:spacing w:line="440" w:lineRule="exact"/>
        <w:rPr>
          <w:rFonts w:ascii="宋体" w:hAnsi="宋体"/>
        </w:rPr>
      </w:pPr>
      <w:r>
        <w:rPr>
          <w:rFonts w:hint="eastAsia" w:ascii="宋体" w:hAnsi="宋体"/>
        </w:rPr>
        <w:t>采用“整单推荐”模式的，以整单响应保证金（响应保证金总金额）作为不予退还的金额。</w:t>
      </w:r>
    </w:p>
    <w:p w14:paraId="0616AC34">
      <w:pPr>
        <w:rPr>
          <w:rFonts w:hint="default" w:ascii="宋体" w:hAnsi="宋体"/>
          <w:szCs w:val="28"/>
          <w:lang w:val="en-US" w:eastAsia="zh-CN"/>
        </w:rPr>
      </w:pPr>
      <w:bookmarkStart w:id="23" w:name="_GoBack"/>
      <w:bookmarkEnd w:id="23"/>
      <w:r>
        <w:rPr>
          <w:rFonts w:ascii="宋体" w:hAnsi="宋体"/>
          <w:szCs w:val="28"/>
        </w:rPr>
        <w:br w:type="page"/>
      </w:r>
    </w:p>
    <w:p w14:paraId="77F27558">
      <w:pPr>
        <w:pStyle w:val="8"/>
        <w:spacing w:line="440" w:lineRule="exact"/>
        <w:ind w:firstLine="480"/>
        <w:outlineLvl w:val="0"/>
        <w:rPr>
          <w:rFonts w:ascii="宋体" w:hAnsi="宋体"/>
          <w:b/>
          <w:szCs w:val="24"/>
        </w:rPr>
      </w:pPr>
      <w:r>
        <w:rPr>
          <w:rStyle w:val="12"/>
          <w:rFonts w:hint="eastAsia"/>
          <w:sz w:val="24"/>
          <w:szCs w:val="20"/>
          <w:lang w:val="en-US" w:eastAsia="zh-CN"/>
        </w:rPr>
        <w:t>采购文件附件2廉洁合规承诺书</w:t>
      </w:r>
    </w:p>
    <w:p w14:paraId="6E5A74CD">
      <w:pPr>
        <w:spacing w:line="560" w:lineRule="exact"/>
        <w:jc w:val="center"/>
        <w:rPr>
          <w:rFonts w:ascii="宋体" w:hAnsi="宋体" w:eastAsia="宋体"/>
          <w:b/>
          <w:sz w:val="24"/>
          <w:szCs w:val="24"/>
        </w:rPr>
      </w:pPr>
      <w:r>
        <w:rPr>
          <w:rFonts w:hint="eastAsia" w:ascii="宋体" w:hAnsi="宋体" w:eastAsia="宋体"/>
          <w:b/>
          <w:sz w:val="24"/>
          <w:szCs w:val="24"/>
        </w:rPr>
        <w:t>廉洁合规承诺书</w:t>
      </w:r>
    </w:p>
    <w:p w14:paraId="311D85C1">
      <w:pPr>
        <w:spacing w:line="560" w:lineRule="exact"/>
        <w:ind w:firstLine="480" w:firstLineChars="200"/>
        <w:rPr>
          <w:rFonts w:ascii="宋体" w:hAnsi="宋体" w:eastAsia="宋体"/>
          <w:sz w:val="24"/>
          <w:szCs w:val="24"/>
        </w:rPr>
      </w:pPr>
      <w:r>
        <w:rPr>
          <w:rFonts w:hint="eastAsia" w:ascii="宋体" w:hAnsi="宋体" w:eastAsia="宋体"/>
          <w:sz w:val="24"/>
          <w:szCs w:val="24"/>
        </w:rPr>
        <w:t>一、不向华润员工及其亲属和其他特定关系人赠送礼品、礼金、消费卡（券）、有价证券、股权、其他金融产品等财物。</w:t>
      </w:r>
    </w:p>
    <w:p w14:paraId="1A701AD0">
      <w:pPr>
        <w:spacing w:line="560" w:lineRule="exact"/>
        <w:ind w:firstLine="480" w:firstLineChars="200"/>
        <w:rPr>
          <w:rFonts w:ascii="宋体" w:hAnsi="宋体" w:eastAsia="宋体"/>
          <w:sz w:val="24"/>
          <w:szCs w:val="24"/>
        </w:rPr>
      </w:pPr>
      <w:r>
        <w:rPr>
          <w:rFonts w:hint="eastAsia" w:ascii="宋体" w:hAnsi="宋体" w:eastAsia="宋体"/>
          <w:sz w:val="24"/>
          <w:szCs w:val="24"/>
        </w:rPr>
        <w:t>二、不向华润员工及其亲属和其他特定关系人出借钱款、住房、车辆等财物。</w:t>
      </w:r>
    </w:p>
    <w:p w14:paraId="0329F78F">
      <w:pPr>
        <w:spacing w:line="560" w:lineRule="exact"/>
        <w:ind w:firstLine="480" w:firstLineChars="200"/>
        <w:rPr>
          <w:rFonts w:ascii="宋体" w:hAnsi="宋体" w:eastAsia="宋体"/>
          <w:sz w:val="24"/>
          <w:szCs w:val="24"/>
        </w:rPr>
      </w:pPr>
      <w:r>
        <w:rPr>
          <w:rFonts w:hint="eastAsia" w:ascii="宋体" w:hAnsi="宋体" w:eastAsia="宋体"/>
          <w:sz w:val="24"/>
          <w:szCs w:val="24"/>
        </w:rPr>
        <w:t>三、不向华润员工及其亲属和其他特定关系人提供可能影响公正履职的宴请或者旅游、健身、娱乐等活动安排。</w:t>
      </w:r>
    </w:p>
    <w:p w14:paraId="63A24C06">
      <w:pPr>
        <w:spacing w:line="560" w:lineRule="exact"/>
        <w:ind w:firstLine="480" w:firstLineChars="200"/>
        <w:rPr>
          <w:rFonts w:ascii="宋体" w:hAnsi="宋体" w:eastAsia="宋体"/>
          <w:sz w:val="24"/>
          <w:szCs w:val="24"/>
        </w:rPr>
      </w:pPr>
      <w:r>
        <w:rPr>
          <w:rFonts w:hint="eastAsia" w:ascii="宋体" w:hAnsi="宋体" w:eastAsia="宋体"/>
          <w:sz w:val="24"/>
          <w:szCs w:val="24"/>
        </w:rPr>
        <w:t>四、不替华润员工及其亲属和其他特定关系人支付或报销任何费用。</w:t>
      </w:r>
    </w:p>
    <w:p w14:paraId="2394DDEB">
      <w:pPr>
        <w:spacing w:line="560" w:lineRule="exact"/>
        <w:ind w:firstLine="480" w:firstLineChars="200"/>
        <w:rPr>
          <w:rFonts w:ascii="宋体" w:hAnsi="宋体" w:eastAsia="宋体"/>
          <w:sz w:val="24"/>
          <w:szCs w:val="24"/>
        </w:rPr>
      </w:pPr>
      <w:r>
        <w:rPr>
          <w:rFonts w:hint="eastAsia" w:ascii="宋体" w:hAnsi="宋体" w:eastAsia="宋体"/>
          <w:sz w:val="24"/>
          <w:szCs w:val="24"/>
        </w:rPr>
        <w:t>五、不替华润员工及其亲属和其他特定关系人代持股份。</w:t>
      </w:r>
    </w:p>
    <w:p w14:paraId="4177CDFE">
      <w:pPr>
        <w:spacing w:line="560" w:lineRule="exact"/>
        <w:ind w:firstLine="480" w:firstLineChars="200"/>
        <w:rPr>
          <w:rFonts w:ascii="宋体" w:hAnsi="宋体" w:eastAsia="宋体"/>
          <w:sz w:val="24"/>
          <w:szCs w:val="24"/>
        </w:rPr>
      </w:pPr>
      <w:r>
        <w:rPr>
          <w:rFonts w:hint="eastAsia" w:ascii="宋体" w:hAnsi="宋体" w:eastAsia="宋体"/>
          <w:sz w:val="24"/>
          <w:szCs w:val="24"/>
        </w:rPr>
        <w:t>六、不与华润员工或者其他单位和个人串通投标或者串通报价，</w:t>
      </w:r>
      <w:r>
        <w:rPr>
          <w:rFonts w:ascii="宋体" w:hAnsi="宋体" w:eastAsia="宋体"/>
          <w:sz w:val="24"/>
          <w:szCs w:val="24"/>
        </w:rPr>
        <w:t>不采取恶性竞争等不正当手段竞争业务。</w:t>
      </w:r>
    </w:p>
    <w:p w14:paraId="29865FC0">
      <w:pPr>
        <w:spacing w:line="560" w:lineRule="exact"/>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不与华润员工就标底、其他</w:t>
      </w:r>
      <w:r>
        <w:rPr>
          <w:rFonts w:hint="eastAsia" w:ascii="宋体" w:hAnsi="宋体" w:eastAsia="宋体"/>
          <w:sz w:val="24"/>
          <w:szCs w:val="24"/>
        </w:rPr>
        <w:t>供应商</w:t>
      </w:r>
      <w:r>
        <w:rPr>
          <w:rFonts w:ascii="宋体" w:hAnsi="宋体" w:eastAsia="宋体"/>
          <w:sz w:val="24"/>
          <w:szCs w:val="24"/>
        </w:rPr>
        <w:t>的</w:t>
      </w:r>
      <w:r>
        <w:rPr>
          <w:rFonts w:hint="eastAsia" w:ascii="宋体" w:hAnsi="宋体" w:eastAsia="宋体"/>
          <w:sz w:val="24"/>
          <w:szCs w:val="24"/>
        </w:rPr>
        <w:t>响应文件</w:t>
      </w:r>
      <w:r>
        <w:rPr>
          <w:rFonts w:ascii="宋体" w:hAnsi="宋体" w:eastAsia="宋体"/>
          <w:sz w:val="24"/>
          <w:szCs w:val="24"/>
        </w:rPr>
        <w:t>等商业秘密及合同中的条款进行私下商谈或者达成默契。</w:t>
      </w:r>
    </w:p>
    <w:p w14:paraId="49D0AA82">
      <w:pPr>
        <w:spacing w:line="560" w:lineRule="exact"/>
        <w:ind w:firstLine="480" w:firstLineChars="200"/>
        <w:rPr>
          <w:rFonts w:ascii="宋体" w:hAnsi="宋体" w:eastAsia="宋体"/>
          <w:sz w:val="24"/>
          <w:szCs w:val="24"/>
        </w:rPr>
      </w:pPr>
      <w:r>
        <w:rPr>
          <w:rFonts w:hint="eastAsia" w:ascii="宋体" w:hAnsi="宋体" w:eastAsia="宋体"/>
          <w:sz w:val="24"/>
          <w:szCs w:val="24"/>
        </w:rPr>
        <w:t>八、不违法转包、分包项目。</w:t>
      </w:r>
    </w:p>
    <w:p w14:paraId="5BB66443">
      <w:pPr>
        <w:spacing w:line="560" w:lineRule="exact"/>
        <w:ind w:firstLine="480" w:firstLineChars="200"/>
        <w:rPr>
          <w:rFonts w:ascii="宋体" w:hAnsi="宋体" w:eastAsia="宋体"/>
          <w:sz w:val="24"/>
          <w:szCs w:val="24"/>
        </w:rPr>
      </w:pPr>
      <w:r>
        <w:rPr>
          <w:rFonts w:hint="eastAsia" w:ascii="宋体" w:hAnsi="宋体" w:eastAsia="宋体"/>
          <w:sz w:val="24"/>
          <w:szCs w:val="24"/>
        </w:rPr>
        <w:t>九、严格执行合同约定，不弄虚作假。</w:t>
      </w:r>
    </w:p>
    <w:p w14:paraId="34FED87C">
      <w:pPr>
        <w:spacing w:line="560" w:lineRule="exact"/>
        <w:ind w:firstLine="480" w:firstLineChars="200"/>
        <w:rPr>
          <w:rFonts w:ascii="宋体" w:hAnsi="宋体" w:eastAsia="宋体"/>
          <w:sz w:val="24"/>
          <w:szCs w:val="24"/>
        </w:rPr>
      </w:pPr>
      <w:r>
        <w:rPr>
          <w:rFonts w:hint="eastAsia" w:ascii="宋体" w:hAnsi="宋体" w:eastAsia="宋体"/>
          <w:sz w:val="24"/>
          <w:szCs w:val="24"/>
        </w:rPr>
        <w:t>十、如实向华润方通报本单位股东和员工与华润方存在亲属或者其他特定关系的情况。</w:t>
      </w:r>
    </w:p>
    <w:p w14:paraId="64A475E1">
      <w:pPr>
        <w:spacing w:line="560" w:lineRule="exact"/>
        <w:ind w:firstLine="480" w:firstLineChars="200"/>
        <w:rPr>
          <w:rFonts w:ascii="宋体" w:hAnsi="宋体" w:eastAsia="宋体"/>
          <w:sz w:val="24"/>
          <w:szCs w:val="24"/>
        </w:rPr>
      </w:pPr>
      <w:r>
        <w:rPr>
          <w:rFonts w:hint="eastAsia" w:ascii="宋体" w:hAnsi="宋体" w:eastAsia="宋体"/>
          <w:sz w:val="24"/>
          <w:szCs w:val="24"/>
        </w:rPr>
        <w:t>发现本单位人员有违反上述行为的，及时制止、批评教育；发现华润员工有索贿、受贿行为的，坚决拒绝，并向华润相关领导或纪检监察部门举报。</w:t>
      </w:r>
    </w:p>
    <w:p w14:paraId="49377C0B">
      <w:pPr>
        <w:spacing w:line="560" w:lineRule="exact"/>
        <w:ind w:firstLine="480" w:firstLineChars="200"/>
        <w:rPr>
          <w:rFonts w:ascii="宋体" w:hAnsi="宋体" w:eastAsia="宋体"/>
          <w:sz w:val="24"/>
          <w:szCs w:val="24"/>
        </w:rPr>
      </w:pPr>
      <w:r>
        <w:rPr>
          <w:rFonts w:hint="eastAsia" w:ascii="宋体" w:hAnsi="宋体" w:eastAsia="宋体"/>
          <w:sz w:val="24"/>
          <w:szCs w:val="24"/>
        </w:rPr>
        <w:t>（一）华润雪花采购管理</w:t>
      </w:r>
      <w:r>
        <w:rPr>
          <w:rFonts w:hint="eastAsia" w:ascii="宋体" w:hAnsi="宋体" w:eastAsia="宋体"/>
          <w:sz w:val="24"/>
          <w:szCs w:val="24"/>
          <w:lang w:val="en-US" w:eastAsia="zh-CN"/>
        </w:rPr>
        <w:t>部</w:t>
      </w:r>
      <w:r>
        <w:rPr>
          <w:rFonts w:hint="eastAsia" w:ascii="宋体" w:hAnsi="宋体" w:eastAsia="宋体"/>
          <w:sz w:val="24"/>
          <w:szCs w:val="24"/>
        </w:rPr>
        <w:t>受理采购投诉及举报途径：</w:t>
      </w:r>
    </w:p>
    <w:p w14:paraId="689A880D">
      <w:pPr>
        <w:spacing w:line="560" w:lineRule="exact"/>
        <w:ind w:firstLine="480" w:firstLineChars="200"/>
        <w:rPr>
          <w:rFonts w:ascii="宋体" w:hAnsi="宋体" w:eastAsia="宋体"/>
          <w:sz w:val="24"/>
          <w:szCs w:val="24"/>
        </w:rPr>
      </w:pPr>
      <w:r>
        <w:rPr>
          <w:rFonts w:hint="eastAsia" w:ascii="宋体" w:hAnsi="宋体" w:eastAsia="宋体"/>
          <w:sz w:val="24"/>
          <w:szCs w:val="24"/>
        </w:rPr>
        <w:t>举报邮箱：</w:t>
      </w:r>
      <w:r>
        <w:rPr>
          <w:rFonts w:ascii="宋体" w:hAnsi="宋体" w:eastAsia="宋体"/>
          <w:sz w:val="24"/>
          <w:szCs w:val="24"/>
        </w:rPr>
        <w:t>CRB_PMC_GW@crb.cn</w:t>
      </w:r>
    </w:p>
    <w:p w14:paraId="47351E6A">
      <w:pPr>
        <w:spacing w:line="560" w:lineRule="exact"/>
        <w:ind w:firstLine="480" w:firstLineChars="200"/>
        <w:rPr>
          <w:rFonts w:ascii="宋体" w:hAnsi="宋体" w:eastAsia="宋体"/>
          <w:sz w:val="24"/>
          <w:szCs w:val="24"/>
        </w:rPr>
      </w:pPr>
      <w:r>
        <w:rPr>
          <w:rFonts w:hint="eastAsia" w:ascii="宋体" w:hAnsi="宋体" w:eastAsia="宋体"/>
          <w:sz w:val="24"/>
          <w:szCs w:val="24"/>
        </w:rPr>
        <w:t>（二）华润啤酒纪委办公室受理廉洁投诉及举报途径：</w:t>
      </w:r>
    </w:p>
    <w:p w14:paraId="68D81893">
      <w:pPr>
        <w:spacing w:line="560" w:lineRule="exact"/>
        <w:ind w:firstLine="480" w:firstLineChars="200"/>
        <w:rPr>
          <w:rFonts w:ascii="宋体" w:hAnsi="宋体"/>
          <w:sz w:val="24"/>
          <w:szCs w:val="24"/>
        </w:rPr>
      </w:pPr>
      <w:r>
        <w:rPr>
          <w:rFonts w:hint="eastAsia" w:ascii="宋体" w:hAnsi="宋体" w:eastAsia="宋体"/>
          <w:sz w:val="24"/>
          <w:szCs w:val="24"/>
        </w:rPr>
        <w:t>举报邮箱：</w:t>
      </w:r>
      <w:r>
        <w:rPr>
          <w:rFonts w:ascii="宋体" w:hAnsi="宋体" w:eastAsia="宋体"/>
          <w:sz w:val="24"/>
          <w:szCs w:val="24"/>
        </w:rPr>
        <w:t>lianjie@crb.cn</w:t>
      </w:r>
      <w:r>
        <w:rPr>
          <w:rFonts w:hint="eastAsia" w:ascii="宋体" w:hAnsi="宋体" w:eastAsia="宋体"/>
          <w:sz w:val="24"/>
          <w:szCs w:val="24"/>
        </w:rPr>
        <w:t xml:space="preserve"> </w:t>
      </w:r>
    </w:p>
    <w:p w14:paraId="135F9B1B">
      <w:pPr>
        <w:spacing w:line="560" w:lineRule="exact"/>
        <w:ind w:firstLine="480" w:firstLineChars="200"/>
        <w:rPr>
          <w:rFonts w:ascii="宋体" w:hAnsi="宋体" w:eastAsia="宋体"/>
          <w:sz w:val="24"/>
          <w:szCs w:val="24"/>
        </w:rPr>
      </w:pPr>
    </w:p>
    <w:p w14:paraId="2A44E13E">
      <w:pPr>
        <w:tabs>
          <w:tab w:val="left" w:pos="3075"/>
        </w:tabs>
        <w:spacing w:line="440" w:lineRule="exact"/>
        <w:ind w:firstLine="480" w:firstLineChars="200"/>
        <w:jc w:val="left"/>
      </w:pPr>
      <w:r>
        <w:rPr>
          <w:rFonts w:hint="eastAsia" w:ascii="宋体" w:hAnsi="宋体" w:eastAsia="宋体"/>
          <w:sz w:val="24"/>
          <w:szCs w:val="24"/>
        </w:rPr>
        <w:t>单位名称（盖章）：</w:t>
      </w:r>
    </w:p>
    <w:p w14:paraId="268EE012"/>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Song">
    <w:altName w:val="宋体"/>
    <w:panose1 w:val="02010609030101010101"/>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207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1DB52">
    <w:pPr>
      <w:pStyle w:val="4"/>
    </w:pPr>
    <w:r>
      <w:rPr>
        <w:sz w:val="18"/>
      </w:rPr>
      <w:pict>
        <v:shape id="PowerPlusWaterMarkObject21797577" o:spid="_x0000_s2049" o:spt="136" type="#_x0000_t136" style="position:absolute;left:0pt;margin-left:494.6pt;margin-top:540.1pt;height:9pt;width:64pt;mso-position-horizontal-relative:margin;mso-position-vertical-relative:margin;rotation:-2949120f;z-index:-25161113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21248372" o:spid="_x0000_s2050" o:spt="136" type="#_x0000_t136" style="position:absolute;left:0pt;margin-left:435.2pt;margin-top:599.5pt;height:9pt;width:64pt;mso-position-horizontal-relative:margin;mso-position-vertical-relative:margin;rotation:-2949120f;z-index:-25161216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21030770" o:spid="_x0000_s2051" o:spt="136" type="#_x0000_t136" style="position:absolute;left:0pt;margin-left:375.8pt;margin-top:658.9pt;height:9pt;width:64pt;mso-position-horizontal-relative:margin;mso-position-vertical-relative:margin;rotation:-2949120f;z-index:-25161318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20884216" o:spid="_x0000_s2052" o:spt="136" type="#_x0000_t136" style="position:absolute;left:0pt;margin-left:316.4pt;margin-top:718.3pt;height:9pt;width:64pt;mso-position-horizontal-relative:margin;mso-position-vertical-relative:margin;rotation:-2949120f;z-index:-25161420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20184074" o:spid="_x0000_s2053" o:spt="136" type="#_x0000_t136" style="position:absolute;left:0pt;margin-left:257pt;margin-top:777.7pt;height:9pt;width:64pt;mso-position-horizontal-relative:margin;mso-position-vertical-relative:margin;rotation:-2949120f;z-index:-25161523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9465061" o:spid="_x0000_s2054" o:spt="136" type="#_x0000_t136" style="position:absolute;left:0pt;margin-left:494.6pt;margin-top:334.75pt;height:9pt;width:64pt;mso-position-horizontal-relative:margin;mso-position-vertical-relative:margin;rotation:-2949120f;z-index:-25161625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8830009" o:spid="_x0000_s2055" o:spt="136" type="#_x0000_t136" style="position:absolute;left:0pt;margin-left:435.2pt;margin-top:394.15pt;height:9pt;width:64pt;mso-position-horizontal-relative:margin;mso-position-vertical-relative:margin;rotation:-2949120f;z-index:-25161728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8088908" o:spid="_x0000_s2056" o:spt="136" type="#_x0000_t136" style="position:absolute;left:0pt;margin-left:375.8pt;margin-top:453.55pt;height:9pt;width:64pt;mso-position-horizontal-relative:margin;mso-position-vertical-relative:margin;rotation:-2949120f;z-index:-25161830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7544956" o:spid="_x0000_s2057" o:spt="136" type="#_x0000_t136" style="position:absolute;left:0pt;margin-left:316.4pt;margin-top:512.95pt;height:9pt;width:64pt;mso-position-horizontal-relative:margin;mso-position-vertical-relative:margin;rotation:-2949120f;z-index:-25161932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6866752" o:spid="_x0000_s2058" o:spt="136" type="#_x0000_t136" style="position:absolute;left:0pt;margin-left:257pt;margin-top:572.35pt;height:9pt;width:64pt;mso-position-horizontal-relative:margin;mso-position-vertical-relative:margin;rotation:-2949120f;z-index:-25162035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6292114" o:spid="_x0000_s2059" o:spt="136" type="#_x0000_t136" style="position:absolute;left:0pt;margin-left:197.6pt;margin-top:631.75pt;height:9pt;width:64pt;mso-position-horizontal-relative:margin;mso-position-vertical-relative:margin;rotation:-2949120f;z-index:-25162137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5811720" o:spid="_x0000_s2060" o:spt="136" type="#_x0000_t136" style="position:absolute;left:0pt;margin-left:138.2pt;margin-top:691.15pt;height:9pt;width:64pt;mso-position-horizontal-relative:margin;mso-position-vertical-relative:margin;rotation:-2949120f;z-index:-25162240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5049298" o:spid="_x0000_s2061" o:spt="136" type="#_x0000_t136" style="position:absolute;left:0pt;margin-left:78.8pt;margin-top:750.55pt;height:9pt;width:64pt;mso-position-horizontal-relative:margin;mso-position-vertical-relative:margin;rotation:-2949120f;z-index:-25162342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4594367" o:spid="_x0000_s2062" o:spt="136" type="#_x0000_t136" style="position:absolute;left:0pt;margin-left:494.6pt;margin-top:129.45pt;height:9pt;width:64pt;mso-position-horizontal-relative:margin;mso-position-vertical-relative:margin;rotation:-2949120f;z-index:-25162444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3769534" o:spid="_x0000_s2063" o:spt="136" type="#_x0000_t136" style="position:absolute;left:0pt;margin-left:435.2pt;margin-top:188.85pt;height:9pt;width:64pt;mso-position-horizontal-relative:margin;mso-position-vertical-relative:margin;rotation:-2949120f;z-index:-25162547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3052347" o:spid="_x0000_s2064" o:spt="136" type="#_x0000_t136" style="position:absolute;left:0pt;margin-left:375.8pt;margin-top:248.25pt;height:9pt;width:64pt;mso-position-horizontal-relative:margin;mso-position-vertical-relative:margin;rotation:-2949120f;z-index:-25162649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2640608" o:spid="_x0000_s2065" o:spt="136" type="#_x0000_t136" style="position:absolute;left:0pt;margin-left:316.4pt;margin-top:307.65pt;height:9pt;width:64pt;mso-position-horizontal-relative:margin;mso-position-vertical-relative:margin;rotation:-2949120f;z-index:-25162752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2296488" o:spid="_x0000_s2066" o:spt="136" type="#_x0000_t136" style="position:absolute;left:0pt;margin-left:257pt;margin-top:367.05pt;height:9pt;width:64pt;mso-position-horizontal-relative:margin;mso-position-vertical-relative:margin;rotation:-2949120f;z-index:-25162854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1334656" o:spid="_x0000_s2067" o:spt="136" type="#_x0000_t136" style="position:absolute;left:0pt;margin-left:197.6pt;margin-top:426.45pt;height:9pt;width:64pt;mso-position-horizontal-relative:margin;mso-position-vertical-relative:margin;rotation:-2949120f;z-index:-25162956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1301358" o:spid="_x0000_s2068" o:spt="136" type="#_x0000_t136" style="position:absolute;left:0pt;margin-left:138.2pt;margin-top:485.85pt;height:9pt;width:64pt;mso-position-horizontal-relative:margin;mso-position-vertical-relative:margin;rotation:-2949120f;z-index:-25163059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0932499" o:spid="_x0000_s2069" o:spt="136" type="#_x0000_t136" style="position:absolute;left:0pt;margin-left:78.8pt;margin-top:545.25pt;height:9pt;width:64pt;mso-position-horizontal-relative:margin;mso-position-vertical-relative:margin;rotation:-2949120f;z-index:-25163161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0207951" o:spid="_x0000_s2070" o:spt="136" type="#_x0000_t136" style="position:absolute;left:0pt;margin-left:19.4pt;margin-top:604.65pt;height:9pt;width:64pt;mso-position-horizontal-relative:margin;mso-position-vertical-relative:margin;rotation:-2949120f;z-index:-25163264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9901476" o:spid="_x0000_s2071" o:spt="136" type="#_x0000_t136" style="position:absolute;left:0pt;margin-left:-40pt;margin-top:664.05pt;height:9pt;width:64pt;mso-position-horizontal-relative:margin;mso-position-vertical-relative:margin;rotation:-2949120f;z-index:-25163366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9354783" o:spid="_x0000_s2072" o:spt="136" type="#_x0000_t136" style="position:absolute;left:0pt;margin-left:-99.35pt;margin-top:723.45pt;height:9pt;width:64pt;mso-position-horizontal-relative:margin;mso-position-vertical-relative:margin;rotation:-2949120f;z-index:-25163468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9109032" o:spid="_x0000_s2073" o:spt="136" type="#_x0000_t136" style="position:absolute;left:0pt;margin-left:494.6pt;margin-top:-75.85pt;height:9pt;width:64pt;mso-position-horizontal-relative:margin;mso-position-vertical-relative:margin;rotation:-2949120f;z-index:-25163571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8677761" o:spid="_x0000_s2074" o:spt="136" type="#_x0000_t136" style="position:absolute;left:0pt;margin-left:435.2pt;margin-top:-16.45pt;height:9pt;width:64pt;mso-position-horizontal-relative:margin;mso-position-vertical-relative:margin;rotation:-2949120f;z-index:-25163673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8265173" o:spid="_x0000_s2075" o:spt="136" type="#_x0000_t136" style="position:absolute;left:0pt;margin-left:375.8pt;margin-top:42.95pt;height:9pt;width:64pt;mso-position-horizontal-relative:margin;mso-position-vertical-relative:margin;rotation:-2949120f;z-index:-25163776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8083157" o:spid="_x0000_s2076" o:spt="136" type="#_x0000_t136" style="position:absolute;left:0pt;margin-left:316.4pt;margin-top:102.35pt;height:9pt;width:64pt;mso-position-horizontal-relative:margin;mso-position-vertical-relative:margin;rotation:-2949120f;z-index:-25163878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7659531" o:spid="_x0000_s2077" o:spt="136" type="#_x0000_t136" style="position:absolute;left:0pt;margin-left:257pt;margin-top:161.75pt;height:9pt;width:64pt;mso-position-horizontal-relative:margin;mso-position-vertical-relative:margin;rotation:-2949120f;z-index:-25163980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7536286" o:spid="_x0000_s2078" o:spt="136" type="#_x0000_t136" style="position:absolute;left:0pt;margin-left:197.6pt;margin-top:221.15pt;height:9pt;width:64pt;mso-position-horizontal-relative:margin;mso-position-vertical-relative:margin;rotation:-2949120f;z-index:-25164083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7395274" o:spid="_x0000_s2079" o:spt="136" type="#_x0000_t136" style="position:absolute;left:0pt;margin-left:138.2pt;margin-top:280.55pt;height:9pt;width:64pt;mso-position-horizontal-relative:margin;mso-position-vertical-relative:margin;rotation:-2949120f;z-index:-25164185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6422901" o:spid="_x0000_s2080" o:spt="136" type="#_x0000_t136" style="position:absolute;left:0pt;margin-left:78.8pt;margin-top:339.9pt;height:9pt;width:64pt;mso-position-horizontal-relative:margin;mso-position-vertical-relative:margin;rotation:-2949120f;z-index:-25164288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5772319" o:spid="_x0000_s2081" o:spt="136" type="#_x0000_t136" style="position:absolute;left:0pt;margin-left:19.4pt;margin-top:399.3pt;height:9pt;width:64pt;mso-position-horizontal-relative:margin;mso-position-vertical-relative:margin;rotation:-2949120f;z-index:-25164390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5525766" o:spid="_x0000_s2082" o:spt="136" type="#_x0000_t136" style="position:absolute;left:0pt;margin-left:-40pt;margin-top:458.7pt;height:9pt;width:64pt;mso-position-horizontal-relative:margin;mso-position-vertical-relative:margin;rotation:-2949120f;z-index:-25164492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4602635" o:spid="_x0000_s2083" o:spt="136" type="#_x0000_t136" style="position:absolute;left:0pt;margin-left:-99.35pt;margin-top:518.1pt;height:9pt;width:64pt;mso-position-horizontal-relative:margin;mso-position-vertical-relative:margin;rotation:-2949120f;z-index:-25164595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4031352" o:spid="_x0000_s2084" o:spt="136" type="#_x0000_t136" style="position:absolute;left:0pt;margin-left:257pt;margin-top:-43.6pt;height:9pt;width:64pt;mso-position-horizontal-relative:margin;mso-position-vertical-relative:margin;rotation:-2949120f;z-index:-25164697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3193746" o:spid="_x0000_s2085" o:spt="136" type="#_x0000_t136" style="position:absolute;left:0pt;margin-left:197.6pt;margin-top:15.8pt;height:9pt;width:64pt;mso-position-horizontal-relative:margin;mso-position-vertical-relative:margin;rotation:-2949120f;z-index:-25164800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3152874" o:spid="_x0000_s2086" o:spt="136" type="#_x0000_t136" style="position:absolute;left:0pt;margin-left:138.2pt;margin-top:75.2pt;height:9pt;width:64pt;mso-position-horizontal-relative:margin;mso-position-vertical-relative:margin;rotation:-2949120f;z-index:-25164902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3109096" o:spid="_x0000_s2087" o:spt="136" type="#_x0000_t136" style="position:absolute;left:0pt;margin-left:78.8pt;margin-top:134.6pt;height:9pt;width:64pt;mso-position-horizontal-relative:margin;mso-position-vertical-relative:margin;rotation:-2949120f;z-index:-25165004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2470366" o:spid="_x0000_s2088" o:spt="136" type="#_x0000_t136" style="position:absolute;left:0pt;margin-left:19.4pt;margin-top:194pt;height:9pt;width:64pt;mso-position-horizontal-relative:margin;mso-position-vertical-relative:margin;rotation:-2949120f;z-index:-25165107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974072" o:spid="_x0000_s2089" o:spt="136" type="#_x0000_t136" style="position:absolute;left:0pt;margin-left:-40pt;margin-top:253.4pt;height:9pt;width:64pt;mso-position-horizontal-relative:margin;mso-position-vertical-relative:margin;rotation:-2949120f;z-index:-25165209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818967" o:spid="_x0000_s2090" o:spt="136" type="#_x0000_t136" style="position:absolute;left:0pt;margin-left:-99.35pt;margin-top:312.8pt;height:9pt;width:64pt;mso-position-horizontal-relative:margin;mso-position-vertical-relative:margin;rotation:-2949120f;z-index:-251653120;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800959" o:spid="_x0000_s2091" o:spt="136" type="#_x0000_t136" style="position:absolute;left:0pt;margin-left:78.8pt;margin-top:-70.7pt;height:9pt;width:64pt;mso-position-horizontal-relative:margin;mso-position-vertical-relative:margin;rotation:-2949120f;z-index:-251654144;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270109" o:spid="_x0000_s2092" o:spt="136" type="#_x0000_t136" style="position:absolute;left:0pt;margin-left:19.4pt;margin-top:-11.3pt;height:9pt;width:64pt;mso-position-horizontal-relative:margin;mso-position-vertical-relative:margin;rotation:-2949120f;z-index:-251655168;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1145248" o:spid="_x0000_s2093" o:spt="136" type="#_x0000_t136" style="position:absolute;left:0pt;margin-left:-40pt;margin-top:48.1pt;height:9pt;width:64pt;mso-position-horizontal-relative:margin;mso-position-vertical-relative:margin;rotation:-2949120f;z-index:-251656192;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r>
      <w:rPr>
        <w:sz w:val="18"/>
      </w:rPr>
      <w:pict>
        <v:shape id="PowerPlusWaterMarkObject733492" o:spid="_x0000_s2094" o:spt="136" type="#_x0000_t136" style="position:absolute;left:0pt;margin-left:-99.35pt;margin-top:107.5pt;height:9pt;width:64pt;mso-position-horizontal-relative:margin;mso-position-vertical-relative:margin;rotation:-2949120f;z-index:-251657216;mso-width-relative:page;mso-height-relative:page;" fillcolor="#D9D9D9" filled="t" stroked="f" coordsize="21600,21600" adj="10800">
          <v:path/>
          <v:fill on="t" opacity="39321f" focussize="0,0"/>
          <v:stroke on="f"/>
          <v:imagedata o:title=""/>
          <o:lock v:ext="edit" aspectratio="t"/>
          <v:textpath on="t" fitshape="t" fitpath="t" trim="t" xscale="f" string="隋严杰 2026-01-14" style="font-family:汉仪旗黑KW 55S;font-size:9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332BF"/>
    <w:multiLevelType w:val="multilevel"/>
    <w:tmpl w:val="088332BF"/>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0773B2"/>
    <w:multiLevelType w:val="multilevel"/>
    <w:tmpl w:val="200773B2"/>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6860B58"/>
    <w:multiLevelType w:val="multilevel"/>
    <w:tmpl w:val="26860B58"/>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11A7B4A"/>
    <w:multiLevelType w:val="multilevel"/>
    <w:tmpl w:val="311A7B4A"/>
    <w:lvl w:ilvl="0" w:tentative="0">
      <w:start w:val="1"/>
      <w:numFmt w:val="decimal"/>
      <w:lvlText w:val="%1"/>
      <w:lvlJc w:val="left"/>
      <w:pPr>
        <w:ind w:left="425" w:hanging="425"/>
      </w:pPr>
      <w:rPr>
        <w:rFonts w:hint="eastAsia"/>
      </w:rPr>
    </w:lvl>
    <w:lvl w:ilvl="1" w:tentative="0">
      <w:start w:val="1"/>
      <w:numFmt w:val="decimal"/>
      <w:lvlText w:val="4.%2"/>
      <w:lvlJc w:val="left"/>
      <w:pPr>
        <w:ind w:left="510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36760182"/>
    <w:multiLevelType w:val="multilevel"/>
    <w:tmpl w:val="367601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205280"/>
    <w:multiLevelType w:val="multilevel"/>
    <w:tmpl w:val="40205280"/>
    <w:lvl w:ilvl="0" w:tentative="0">
      <w:start w:val="1"/>
      <w:numFmt w:val="japaneseCounting"/>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A4E4A4E"/>
    <w:multiLevelType w:val="multilevel"/>
    <w:tmpl w:val="4A4E4A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2323B6"/>
    <w:multiLevelType w:val="singleLevel"/>
    <w:tmpl w:val="552323B6"/>
    <w:lvl w:ilvl="0" w:tentative="0">
      <w:start w:val="2"/>
      <w:numFmt w:val="chineseCounting"/>
      <w:suff w:val="nothing"/>
      <w:lvlText w:val="（%1）"/>
      <w:lvlJc w:val="left"/>
      <w:rPr>
        <w:rFonts w:hint="eastAsia"/>
      </w:rPr>
    </w:lvl>
  </w:abstractNum>
  <w:abstractNum w:abstractNumId="8">
    <w:nsid w:val="56E166DB"/>
    <w:multiLevelType w:val="singleLevel"/>
    <w:tmpl w:val="56E166DB"/>
    <w:lvl w:ilvl="0" w:tentative="0">
      <w:start w:val="1"/>
      <w:numFmt w:val="decimal"/>
      <w:lvlText w:val="%1."/>
      <w:lvlJc w:val="left"/>
      <w:pPr>
        <w:tabs>
          <w:tab w:val="left" w:pos="420"/>
        </w:tabs>
        <w:ind w:left="845" w:hanging="425"/>
      </w:pPr>
      <w:rPr>
        <w:rFonts w:hint="default"/>
      </w:rPr>
    </w:lvl>
  </w:abstractNum>
  <w:abstractNum w:abstractNumId="9">
    <w:nsid w:val="574652C0"/>
    <w:multiLevelType w:val="multilevel"/>
    <w:tmpl w:val="574652C0"/>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60B07D4D"/>
    <w:multiLevelType w:val="multilevel"/>
    <w:tmpl w:val="60B07D4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C6C2A66"/>
    <w:multiLevelType w:val="multilevel"/>
    <w:tmpl w:val="6C6C2A66"/>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1837A13"/>
    <w:multiLevelType w:val="multilevel"/>
    <w:tmpl w:val="71837A1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793423B7"/>
    <w:multiLevelType w:val="multilevel"/>
    <w:tmpl w:val="793423B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F652801"/>
    <w:multiLevelType w:val="multilevel"/>
    <w:tmpl w:val="7F65280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6"/>
  </w:num>
  <w:num w:numId="3">
    <w:abstractNumId w:val="1"/>
  </w:num>
  <w:num w:numId="4">
    <w:abstractNumId w:val="4"/>
  </w:num>
  <w:num w:numId="5">
    <w:abstractNumId w:val="12"/>
  </w:num>
  <w:num w:numId="6">
    <w:abstractNumId w:val="10"/>
  </w:num>
  <w:num w:numId="7">
    <w:abstractNumId w:val="13"/>
  </w:num>
  <w:num w:numId="8">
    <w:abstractNumId w:val="5"/>
  </w:num>
  <w:num w:numId="9">
    <w:abstractNumId w:val="14"/>
  </w:num>
  <w:num w:numId="10">
    <w:abstractNumId w:val="8"/>
  </w:num>
  <w:num w:numId="11">
    <w:abstractNumId w:val="3"/>
  </w:num>
  <w:num w:numId="12">
    <w:abstractNumId w:val="7"/>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91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4"/>
      <w:szCs w:val="32"/>
      <w:lang w:val="en-US" w:eastAsia="zh-CN" w:bidi="ar-SA"/>
    </w:rPr>
  </w:style>
  <w:style w:type="paragraph" w:styleId="2">
    <w:name w:val="heading 1"/>
    <w:basedOn w:val="1"/>
    <w:next w:val="1"/>
    <w:link w:val="12"/>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10"/>
    <w:basedOn w:val="7"/>
    <w:qFormat/>
    <w:uiPriority w:val="0"/>
    <w:rPr>
      <w:rFonts w:hint="default" w:ascii="Times New Roman" w:hAnsi="Times New Roman" w:cs="Times New Roman"/>
    </w:rPr>
  </w:style>
  <w:style w:type="paragraph" w:customStyle="1" w:styleId="10">
    <w:name w:val="正文_20_0"/>
    <w:basedOn w:val="1"/>
    <w:qFormat/>
    <w:uiPriority w:val="0"/>
    <w:rPr>
      <w:rFonts w:ascii="Times New Roman" w:hAnsi="Times New Roman" w:eastAsia="宋体" w:cs="Times New Roman"/>
      <w:kern w:val="0"/>
      <w:sz w:val="24"/>
      <w:szCs w:val="24"/>
    </w:rPr>
  </w:style>
  <w:style w:type="paragraph" w:customStyle="1" w:styleId="1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2">
    <w:name w:val="标题 1 Char"/>
    <w:link w:val="2"/>
    <w:qFormat/>
    <w:uiPriority w:val="0"/>
    <w:rPr>
      <w:b/>
      <w:kern w:val="44"/>
      <w:sz w:val="44"/>
    </w:rPr>
  </w:style>
  <w:style w:type="paragraph" w:customStyle="1" w:styleId="13">
    <w:name w:val="Normal_1"/>
    <w:qFormat/>
    <w:uiPriority w:val="0"/>
    <w:pPr>
      <w:widowControl w:val="0"/>
      <w:jc w:val="both"/>
    </w:pPr>
    <w:rPr>
      <w:rFonts w:ascii="宋体" w:hAnsi="宋体" w:eastAsia="宋体" w:cs="宋体"/>
      <w:kern w:val="0"/>
      <w:sz w:val="20"/>
      <w:szCs w:val="20"/>
      <w:lang w:val="en-US" w:eastAsia="zh-CN" w:bidi="ar-SA"/>
    </w:rPr>
  </w:style>
  <w:style w:type="paragraph" w:customStyle="1" w:styleId="14">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2026-04-03T08:12:45Z</dcterms:created>
  <dc:creator>Beer.CRB</dc:creator>
  <cp:lastModifiedBy>Beer</cp:lastModifiedBy>
  <dcterms:modified xsi:type="dcterms:W3CDTF">2026-04-03T08:54:49Z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eyJoZGlkIjoiYjE1MTFiYjllYzExNTAzZWVjNzQxNzc3ZTQzYjA4MTMiLCJ1c2VySWQiOiI1NTUxNzk1NjMifQ==</vt:lpwstr>
  </property>
  <property fmtid="{D5CDD505-2E9C-101B-9397-08002B2CF9AE}" pid="4" name="ICV">
    <vt:lpwstr>69C2809F23504293936DCD84BF05A989_12</vt:lpwstr>
  </property>
</Properties>
</file>