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6D5C6">
      <w:pPr>
        <w:spacing w:line="360" w:lineRule="auto"/>
        <w:jc w:val="center"/>
        <w:rPr>
          <w:rFonts w:hint="eastAsia" w:asciiTheme="minorEastAsia" w:hAnsiTheme="minorEastAsia" w:eastAsiaTheme="minorEastAsia" w:cstheme="minorEastAsia"/>
          <w:b/>
          <w:color w:val="auto"/>
          <w:sz w:val="24"/>
          <w:highlight w:val="none"/>
        </w:rPr>
      </w:pPr>
    </w:p>
    <w:p w14:paraId="74F56658">
      <w:pPr>
        <w:adjustRightInd/>
        <w:spacing w:line="360" w:lineRule="auto"/>
        <w:jc w:val="center"/>
        <w:rPr>
          <w:rFonts w:hint="eastAsia" w:ascii="仿宋" w:hAnsi="仿宋" w:eastAsia="仿宋" w:cs="仿宋"/>
          <w:b/>
          <w:bCs/>
          <w:sz w:val="36"/>
          <w:szCs w:val="36"/>
        </w:rPr>
      </w:pPr>
    </w:p>
    <w:p w14:paraId="7578A0DF">
      <w:pPr>
        <w:adjustRightInd/>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萧山区2026年红火蚁疫情监测服务项目</w:t>
      </w:r>
    </w:p>
    <w:p w14:paraId="4B499B73">
      <w:pPr>
        <w:adjustRightInd/>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交易文件</w:t>
      </w:r>
    </w:p>
    <w:p w14:paraId="5B3F1700">
      <w:pPr>
        <w:adjustRightInd/>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（电子交易标）</w:t>
      </w:r>
    </w:p>
    <w:p w14:paraId="70223F6B">
      <w:pPr>
        <w:adjustRightInd/>
        <w:spacing w:line="360" w:lineRule="auto"/>
        <w:jc w:val="center"/>
        <w:rPr>
          <w:rFonts w:hint="default" w:asciiTheme="minorEastAsia" w:hAnsiTheme="minorEastAsia" w:eastAsiaTheme="minorEastAsia" w:cstheme="minorEastAsia"/>
          <w:b/>
          <w:sz w:val="32"/>
          <w:szCs w:val="32"/>
          <w:highlight w:val="none"/>
          <w:lang w:val="en-US" w:eastAsia="zh-CN"/>
        </w:rPr>
      </w:pPr>
      <w:r>
        <w:rPr>
          <w:rFonts w:hint="eastAsia" w:asciiTheme="minorEastAsia" w:hAnsiTheme="minorEastAsia" w:eastAsiaTheme="minorEastAsia" w:cstheme="minorEastAsia"/>
          <w:b/>
          <w:sz w:val="32"/>
          <w:szCs w:val="32"/>
          <w:highlight w:val="none"/>
        </w:rPr>
        <w:t>编号：</w:t>
      </w:r>
      <w:r>
        <w:rPr>
          <w:rFonts w:hint="eastAsia" w:asciiTheme="minorEastAsia" w:hAnsiTheme="minorEastAsia" w:eastAsiaTheme="minorEastAsia" w:cstheme="minorEastAsia"/>
          <w:b/>
          <w:sz w:val="32"/>
          <w:szCs w:val="32"/>
          <w:highlight w:val="none"/>
          <w:lang w:val="en-US" w:eastAsia="zh-CN"/>
        </w:rPr>
        <w:t>ZG（NYNC）-2026001</w:t>
      </w:r>
    </w:p>
    <w:p w14:paraId="043FB7D6">
      <w:pPr>
        <w:adjustRightInd/>
        <w:spacing w:line="360" w:lineRule="auto"/>
        <w:rPr>
          <w:rFonts w:hint="eastAsia" w:asciiTheme="minorEastAsia" w:hAnsiTheme="minorEastAsia" w:eastAsiaTheme="minorEastAsia" w:cstheme="minorEastAsia"/>
          <w:color w:val="auto"/>
          <w:sz w:val="28"/>
          <w:szCs w:val="20"/>
          <w:highlight w:val="none"/>
        </w:rPr>
      </w:pPr>
    </w:p>
    <w:p w14:paraId="46D14BDC">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4"/>
          <w:szCs w:val="44"/>
          <w:highlight w:val="none"/>
        </w:rPr>
        <w:t xml:space="preserve"> </w:t>
      </w:r>
    </w:p>
    <w:p w14:paraId="54A67529">
      <w:pPr>
        <w:rPr>
          <w:rFonts w:hint="eastAsia" w:asciiTheme="minorEastAsia" w:hAnsiTheme="minorEastAsia" w:eastAsiaTheme="minorEastAsia" w:cstheme="minorEastAsia"/>
          <w:color w:val="auto"/>
          <w:highlight w:val="none"/>
        </w:rPr>
      </w:pPr>
    </w:p>
    <w:p w14:paraId="1E48706F">
      <w:pPr>
        <w:rPr>
          <w:rFonts w:hint="eastAsia" w:asciiTheme="minorEastAsia" w:hAnsiTheme="minorEastAsia" w:eastAsiaTheme="minorEastAsia" w:cstheme="minorEastAsia"/>
          <w:color w:val="auto"/>
          <w:highlight w:val="none"/>
        </w:rPr>
      </w:pPr>
    </w:p>
    <w:p w14:paraId="0323AFC3">
      <w:pPr>
        <w:rPr>
          <w:rFonts w:hint="eastAsia" w:asciiTheme="minorEastAsia" w:hAnsiTheme="minorEastAsia" w:eastAsiaTheme="minorEastAsia" w:cstheme="minorEastAsia"/>
          <w:color w:val="auto"/>
          <w:highlight w:val="none"/>
        </w:rPr>
      </w:pPr>
    </w:p>
    <w:p w14:paraId="58DA2BC4">
      <w:pPr>
        <w:rPr>
          <w:rFonts w:hint="eastAsia" w:asciiTheme="minorEastAsia" w:hAnsiTheme="minorEastAsia" w:eastAsiaTheme="minorEastAsia" w:cstheme="minorEastAsia"/>
          <w:color w:val="auto"/>
          <w:highlight w:val="none"/>
        </w:rPr>
      </w:pPr>
    </w:p>
    <w:p w14:paraId="6E456748">
      <w:pPr>
        <w:pStyle w:val="63"/>
        <w:ind w:firstLine="420"/>
        <w:rPr>
          <w:rFonts w:hint="eastAsia" w:asciiTheme="minorEastAsia" w:hAnsiTheme="minorEastAsia" w:eastAsiaTheme="minorEastAsia" w:cstheme="minorEastAsia"/>
          <w:color w:val="auto"/>
          <w:highlight w:val="none"/>
        </w:rPr>
      </w:pPr>
    </w:p>
    <w:p w14:paraId="0BB06BB0">
      <w:pPr>
        <w:rPr>
          <w:rFonts w:hint="eastAsia" w:asciiTheme="minorEastAsia" w:hAnsiTheme="minorEastAsia" w:eastAsiaTheme="minorEastAsia" w:cstheme="minorEastAsia"/>
          <w:color w:val="auto"/>
          <w:highlight w:val="none"/>
        </w:rPr>
      </w:pPr>
    </w:p>
    <w:p w14:paraId="2E85581D">
      <w:pPr>
        <w:rPr>
          <w:rFonts w:hint="eastAsia" w:asciiTheme="minorEastAsia" w:hAnsiTheme="minorEastAsia" w:eastAsiaTheme="minorEastAsia" w:cstheme="minorEastAsia"/>
          <w:color w:val="auto"/>
          <w:highlight w:val="none"/>
        </w:rPr>
      </w:pPr>
    </w:p>
    <w:p w14:paraId="3B396626">
      <w:pPr>
        <w:rPr>
          <w:rFonts w:hint="eastAsia" w:asciiTheme="minorEastAsia" w:hAnsiTheme="minorEastAsia" w:eastAsiaTheme="minorEastAsia" w:cstheme="minorEastAsia"/>
          <w:color w:val="auto"/>
          <w:highlight w:val="none"/>
        </w:rPr>
      </w:pPr>
    </w:p>
    <w:p w14:paraId="14108064">
      <w:pPr>
        <w:rPr>
          <w:rFonts w:hint="eastAsia" w:asciiTheme="minorEastAsia" w:hAnsiTheme="minorEastAsia" w:eastAsiaTheme="minorEastAsia" w:cstheme="minorEastAsia"/>
          <w:color w:val="auto"/>
          <w:highlight w:val="none"/>
        </w:rPr>
      </w:pPr>
    </w:p>
    <w:p w14:paraId="2E97492D">
      <w:pPr>
        <w:rPr>
          <w:rFonts w:hint="eastAsia" w:asciiTheme="minorEastAsia" w:hAnsiTheme="minorEastAsia" w:eastAsiaTheme="minorEastAsia" w:cstheme="minorEastAsia"/>
          <w:color w:val="auto"/>
          <w:highlight w:val="none"/>
        </w:rPr>
      </w:pPr>
    </w:p>
    <w:p w14:paraId="5428D935">
      <w:pPr>
        <w:rPr>
          <w:rFonts w:hint="eastAsia" w:asciiTheme="minorEastAsia" w:hAnsiTheme="minorEastAsia" w:eastAsiaTheme="minorEastAsia" w:cstheme="minorEastAsia"/>
          <w:color w:val="auto"/>
          <w:highlight w:val="none"/>
        </w:rPr>
      </w:pPr>
    </w:p>
    <w:p w14:paraId="5890F218">
      <w:pPr>
        <w:rPr>
          <w:rFonts w:hint="eastAsia" w:asciiTheme="minorEastAsia" w:hAnsiTheme="minorEastAsia" w:eastAsiaTheme="minorEastAsia" w:cstheme="minorEastAsia"/>
          <w:color w:val="auto"/>
          <w:highlight w:val="none"/>
        </w:rPr>
      </w:pPr>
    </w:p>
    <w:p w14:paraId="3E549B62">
      <w:pPr>
        <w:rPr>
          <w:rFonts w:hint="eastAsia" w:asciiTheme="minorEastAsia" w:hAnsiTheme="minorEastAsia" w:eastAsiaTheme="minorEastAsia" w:cstheme="minorEastAsia"/>
          <w:color w:val="auto"/>
          <w:highlight w:val="none"/>
        </w:rPr>
      </w:pPr>
    </w:p>
    <w:p w14:paraId="02CCD4FB">
      <w:pPr>
        <w:rPr>
          <w:rFonts w:hint="eastAsia" w:asciiTheme="minorEastAsia" w:hAnsiTheme="minorEastAsia" w:eastAsiaTheme="minorEastAsia" w:cstheme="minorEastAsia"/>
          <w:color w:val="auto"/>
          <w:highlight w:val="none"/>
        </w:rPr>
      </w:pPr>
    </w:p>
    <w:p w14:paraId="1F6CE81C">
      <w:pPr>
        <w:rPr>
          <w:rFonts w:hint="eastAsia" w:asciiTheme="minorEastAsia" w:hAnsiTheme="minorEastAsia" w:eastAsiaTheme="minorEastAsia" w:cstheme="minorEastAsia"/>
          <w:color w:val="auto"/>
          <w:highlight w:val="none"/>
        </w:rPr>
      </w:pPr>
    </w:p>
    <w:p w14:paraId="25F5FD40">
      <w:pPr>
        <w:rPr>
          <w:rFonts w:hint="eastAsia" w:asciiTheme="minorEastAsia" w:hAnsiTheme="minorEastAsia" w:eastAsiaTheme="minorEastAsia" w:cstheme="minorEastAsia"/>
          <w:color w:val="auto"/>
          <w:highlight w:val="none"/>
        </w:rPr>
      </w:pPr>
    </w:p>
    <w:p w14:paraId="77B5EA53">
      <w:pPr>
        <w:rPr>
          <w:rFonts w:hint="eastAsia" w:asciiTheme="minorEastAsia" w:hAnsiTheme="minorEastAsia" w:eastAsiaTheme="minorEastAsia" w:cstheme="minorEastAsia"/>
          <w:color w:val="auto"/>
          <w:highlight w:val="none"/>
        </w:rPr>
      </w:pPr>
    </w:p>
    <w:p w14:paraId="131DF341">
      <w:pPr>
        <w:rPr>
          <w:rFonts w:hint="eastAsia" w:asciiTheme="minorEastAsia" w:hAnsiTheme="minorEastAsia" w:eastAsiaTheme="minorEastAsia" w:cstheme="minorEastAsia"/>
          <w:color w:val="auto"/>
          <w:highlight w:val="none"/>
        </w:rPr>
      </w:pPr>
    </w:p>
    <w:p w14:paraId="0C8AE341">
      <w:pPr>
        <w:spacing w:line="360" w:lineRule="auto"/>
        <w:jc w:val="center"/>
        <w:rPr>
          <w:rFonts w:hint="eastAsia" w:asciiTheme="minorEastAsia" w:hAnsiTheme="minorEastAsia" w:eastAsiaTheme="minorEastAsia" w:cstheme="minorEastAsia"/>
          <w:color w:val="auto"/>
          <w:sz w:val="24"/>
          <w:highlight w:val="none"/>
        </w:rPr>
      </w:pPr>
    </w:p>
    <w:p w14:paraId="61EEA921">
      <w:pPr>
        <w:spacing w:line="360" w:lineRule="auto"/>
        <w:rPr>
          <w:rFonts w:hint="eastAsia" w:asciiTheme="minorEastAsia" w:hAnsiTheme="minorEastAsia" w:eastAsiaTheme="minorEastAsia" w:cstheme="minorEastAsia"/>
          <w:color w:val="auto"/>
          <w:sz w:val="32"/>
          <w:szCs w:val="32"/>
          <w:highlight w:val="none"/>
        </w:rPr>
      </w:pPr>
    </w:p>
    <w:p w14:paraId="268D2A9E">
      <w:pPr>
        <w:snapToGrid w:val="0"/>
        <w:spacing w:line="360" w:lineRule="auto"/>
        <w:jc w:val="center"/>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杭州市萧山区农业农村局</w:t>
      </w:r>
    </w:p>
    <w:p w14:paraId="0EBEA310">
      <w:pPr>
        <w:snapToGrid w:val="0"/>
        <w:spacing w:line="360" w:lineRule="auto"/>
        <w:jc w:val="center"/>
        <w:rPr>
          <w:rFonts w:hint="eastAsia" w:asciiTheme="minorEastAsia" w:hAnsiTheme="minorEastAsia" w:eastAsiaTheme="minorEastAsia" w:cstheme="minorEastAsia"/>
          <w:bCs/>
          <w:sz w:val="32"/>
          <w:szCs w:val="32"/>
          <w:lang w:eastAsia="zh-CN"/>
        </w:rPr>
      </w:pPr>
      <w:r>
        <w:rPr>
          <w:rFonts w:hint="eastAsia" w:asciiTheme="minorEastAsia" w:hAnsiTheme="minorEastAsia" w:eastAsiaTheme="minorEastAsia" w:cstheme="minorEastAsia"/>
          <w:bCs/>
          <w:sz w:val="32"/>
          <w:szCs w:val="32"/>
          <w:lang w:eastAsia="zh-CN"/>
        </w:rPr>
        <w:t>中冠工程管理咨询有限公司</w:t>
      </w:r>
    </w:p>
    <w:p w14:paraId="4FDB271D">
      <w:pPr>
        <w:snapToGrid w:val="0"/>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202</w:t>
      </w:r>
      <w:r>
        <w:rPr>
          <w:rFonts w:hint="eastAsia" w:asciiTheme="minorEastAsia" w:hAnsiTheme="minorEastAsia" w:eastAsiaTheme="minorEastAsia" w:cstheme="minorEastAsia"/>
          <w:bCs/>
          <w:sz w:val="32"/>
          <w:szCs w:val="32"/>
          <w:lang w:val="en-US" w:eastAsia="zh-CN"/>
        </w:rPr>
        <w:t>6</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4</w:t>
      </w:r>
      <w:r>
        <w:rPr>
          <w:rFonts w:hint="eastAsia" w:asciiTheme="minorEastAsia" w:hAnsiTheme="minorEastAsia" w:eastAsiaTheme="minorEastAsia" w:cstheme="minorEastAsia"/>
          <w:bCs/>
          <w:sz w:val="32"/>
          <w:szCs w:val="32"/>
        </w:rPr>
        <w:t>月</w:t>
      </w:r>
    </w:p>
    <w:p w14:paraId="6BB35776">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0" w:name="_Hlt67893495"/>
      <w:bookmarkEnd w:id="0"/>
    </w:p>
    <w:p w14:paraId="6738DEB9">
      <w:pPr>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5E6647B2">
      <w:pPr>
        <w:spacing w:line="360" w:lineRule="auto"/>
        <w:rPr>
          <w:rFonts w:hint="eastAsia" w:asciiTheme="minorEastAsia" w:hAnsiTheme="minorEastAsia" w:eastAsiaTheme="minorEastAsia" w:cstheme="minorEastAsia"/>
          <w:color w:val="auto"/>
          <w:sz w:val="32"/>
          <w:szCs w:val="32"/>
          <w:highlight w:val="none"/>
        </w:rPr>
      </w:pPr>
    </w:p>
    <w:p w14:paraId="107F4633">
      <w:pPr>
        <w:spacing w:line="360" w:lineRule="auto"/>
        <w:rPr>
          <w:rFonts w:hint="eastAsia" w:asciiTheme="minorEastAsia" w:hAnsiTheme="minorEastAsia" w:eastAsiaTheme="minorEastAsia" w:cstheme="minorEastAsia"/>
          <w:color w:val="auto"/>
          <w:sz w:val="32"/>
          <w:szCs w:val="32"/>
          <w:highlight w:val="none"/>
        </w:rPr>
      </w:pPr>
    </w:p>
    <w:p w14:paraId="74837650">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第一部分      交易公告</w:t>
      </w:r>
    </w:p>
    <w:p w14:paraId="2AACC4CE">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第二部分      供应商须知</w:t>
      </w:r>
    </w:p>
    <w:p w14:paraId="0338874B">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第三部分      采购需求</w:t>
      </w:r>
    </w:p>
    <w:p w14:paraId="54D105CB">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第四部分      评审办法</w:t>
      </w:r>
    </w:p>
    <w:p w14:paraId="6A7D76B0">
      <w:pPr>
        <w:spacing w:line="360" w:lineRule="auto"/>
        <w:ind w:firstLine="1280" w:firstLineChars="400"/>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 xml:space="preserve">部分      </w:t>
      </w:r>
      <w:r>
        <w:rPr>
          <w:rFonts w:hint="eastAsia" w:asciiTheme="minorEastAsia" w:hAnsiTheme="minorEastAsia" w:eastAsiaTheme="minorEastAsia" w:cstheme="minorEastAsia"/>
          <w:color w:val="auto"/>
          <w:sz w:val="32"/>
          <w:szCs w:val="32"/>
          <w:highlight w:val="none"/>
          <w:lang w:val="en-US" w:eastAsia="zh-CN"/>
        </w:rPr>
        <w:t>拟签订的合同文本</w:t>
      </w:r>
    </w:p>
    <w:p w14:paraId="3DAB1F8B">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 xml:space="preserve">第六部分      </w:t>
      </w:r>
      <w:r>
        <w:rPr>
          <w:rFonts w:hint="eastAsia" w:asciiTheme="minorEastAsia" w:hAnsiTheme="minorEastAsia" w:eastAsiaTheme="minorEastAsia" w:cstheme="minorEastAsia"/>
          <w:color w:val="auto"/>
          <w:sz w:val="32"/>
          <w:szCs w:val="32"/>
          <w:highlight w:val="none"/>
        </w:rPr>
        <w:t>应提交的有关格式范例</w:t>
      </w:r>
    </w:p>
    <w:p w14:paraId="17DFF599">
      <w:pPr>
        <w:spacing w:line="360" w:lineRule="auto"/>
        <w:ind w:firstLine="549" w:firstLineChars="229"/>
        <w:rPr>
          <w:rFonts w:hint="eastAsia" w:asciiTheme="minorEastAsia" w:hAnsiTheme="minorEastAsia" w:eastAsiaTheme="minorEastAsia" w:cstheme="minorEastAsia"/>
          <w:color w:val="auto"/>
          <w:sz w:val="24"/>
          <w:highlight w:val="none"/>
        </w:rPr>
      </w:pPr>
      <w:bookmarkStart w:id="1" w:name="_Hlt91233176"/>
      <w:bookmarkEnd w:id="1"/>
      <w:bookmarkStart w:id="2" w:name="_Toc91899869"/>
    </w:p>
    <w:p w14:paraId="6973624F">
      <w:pPr>
        <w:spacing w:line="360" w:lineRule="auto"/>
        <w:ind w:firstLine="549" w:firstLineChars="229"/>
        <w:rPr>
          <w:rFonts w:hint="eastAsia" w:asciiTheme="minorEastAsia" w:hAnsiTheme="minorEastAsia" w:eastAsiaTheme="minorEastAsia" w:cstheme="minorEastAsia"/>
          <w:color w:val="auto"/>
          <w:sz w:val="24"/>
          <w:highlight w:val="none"/>
        </w:rPr>
      </w:pPr>
    </w:p>
    <w:p w14:paraId="0D022077">
      <w:pPr>
        <w:spacing w:line="360" w:lineRule="auto"/>
        <w:ind w:firstLine="549" w:firstLineChars="229"/>
        <w:rPr>
          <w:rFonts w:hint="eastAsia" w:asciiTheme="minorEastAsia" w:hAnsiTheme="minorEastAsia" w:eastAsiaTheme="minorEastAsia" w:cstheme="minorEastAsia"/>
          <w:color w:val="auto"/>
          <w:sz w:val="24"/>
          <w:highlight w:val="none"/>
        </w:rPr>
      </w:pPr>
    </w:p>
    <w:p w14:paraId="5BF92CAA">
      <w:pPr>
        <w:spacing w:line="360" w:lineRule="auto"/>
        <w:ind w:firstLine="549" w:firstLineChars="229"/>
        <w:rPr>
          <w:rFonts w:hint="eastAsia" w:asciiTheme="minorEastAsia" w:hAnsiTheme="minorEastAsia" w:eastAsiaTheme="minorEastAsia" w:cstheme="minorEastAsia"/>
          <w:color w:val="auto"/>
          <w:sz w:val="24"/>
          <w:highlight w:val="none"/>
        </w:rPr>
      </w:pPr>
    </w:p>
    <w:p w14:paraId="06DDCD06">
      <w:pPr>
        <w:spacing w:line="360" w:lineRule="auto"/>
        <w:ind w:firstLine="549" w:firstLineChars="229"/>
        <w:rPr>
          <w:rFonts w:hint="eastAsia" w:asciiTheme="minorEastAsia" w:hAnsiTheme="minorEastAsia" w:eastAsiaTheme="minorEastAsia" w:cstheme="minorEastAsia"/>
          <w:color w:val="auto"/>
          <w:sz w:val="24"/>
          <w:highlight w:val="none"/>
        </w:rPr>
      </w:pPr>
    </w:p>
    <w:p w14:paraId="15DBFDA7">
      <w:pPr>
        <w:spacing w:line="360" w:lineRule="auto"/>
        <w:ind w:firstLine="549" w:firstLineChars="229"/>
        <w:rPr>
          <w:rFonts w:hint="eastAsia" w:asciiTheme="minorEastAsia" w:hAnsiTheme="minorEastAsia" w:eastAsiaTheme="minorEastAsia" w:cstheme="minorEastAsia"/>
          <w:color w:val="auto"/>
          <w:sz w:val="24"/>
          <w:highlight w:val="none"/>
        </w:rPr>
      </w:pPr>
    </w:p>
    <w:p w14:paraId="1377AC33">
      <w:pPr>
        <w:spacing w:line="360" w:lineRule="auto"/>
        <w:ind w:firstLine="549" w:firstLineChars="229"/>
        <w:rPr>
          <w:rFonts w:hint="eastAsia" w:asciiTheme="minorEastAsia" w:hAnsiTheme="minorEastAsia" w:eastAsiaTheme="minorEastAsia" w:cstheme="minorEastAsia"/>
          <w:color w:val="auto"/>
          <w:sz w:val="24"/>
          <w:highlight w:val="none"/>
        </w:rPr>
      </w:pPr>
    </w:p>
    <w:p w14:paraId="7E8A8D02">
      <w:pPr>
        <w:spacing w:line="360" w:lineRule="auto"/>
        <w:ind w:firstLine="549" w:firstLineChars="229"/>
        <w:rPr>
          <w:rFonts w:hint="eastAsia" w:asciiTheme="minorEastAsia" w:hAnsiTheme="minorEastAsia" w:eastAsiaTheme="minorEastAsia" w:cstheme="minorEastAsia"/>
          <w:color w:val="auto"/>
          <w:sz w:val="24"/>
          <w:highlight w:val="none"/>
        </w:rPr>
      </w:pPr>
    </w:p>
    <w:p w14:paraId="6B314ABA">
      <w:pPr>
        <w:spacing w:line="360" w:lineRule="auto"/>
        <w:ind w:firstLine="549" w:firstLineChars="229"/>
        <w:rPr>
          <w:rFonts w:hint="eastAsia" w:asciiTheme="minorEastAsia" w:hAnsiTheme="minorEastAsia" w:eastAsiaTheme="minorEastAsia" w:cstheme="minorEastAsia"/>
          <w:color w:val="auto"/>
          <w:sz w:val="24"/>
          <w:highlight w:val="none"/>
        </w:rPr>
      </w:pPr>
    </w:p>
    <w:p w14:paraId="4C3B836B">
      <w:pPr>
        <w:spacing w:line="360" w:lineRule="auto"/>
        <w:ind w:firstLine="549" w:firstLineChars="229"/>
        <w:rPr>
          <w:rFonts w:hint="eastAsia" w:asciiTheme="minorEastAsia" w:hAnsiTheme="minorEastAsia" w:eastAsiaTheme="minorEastAsia" w:cstheme="minorEastAsia"/>
          <w:color w:val="auto"/>
          <w:sz w:val="24"/>
          <w:highlight w:val="none"/>
        </w:rPr>
      </w:pPr>
    </w:p>
    <w:p w14:paraId="2B803FE0">
      <w:pPr>
        <w:spacing w:line="360" w:lineRule="auto"/>
        <w:ind w:firstLine="549" w:firstLineChars="229"/>
        <w:rPr>
          <w:rFonts w:hint="eastAsia" w:asciiTheme="minorEastAsia" w:hAnsiTheme="minorEastAsia" w:eastAsiaTheme="minorEastAsia" w:cstheme="minorEastAsia"/>
          <w:color w:val="auto"/>
          <w:sz w:val="24"/>
          <w:highlight w:val="none"/>
        </w:rPr>
      </w:pPr>
    </w:p>
    <w:p w14:paraId="1F18874E">
      <w:pPr>
        <w:spacing w:line="360" w:lineRule="auto"/>
        <w:ind w:firstLine="549" w:firstLineChars="229"/>
        <w:rPr>
          <w:rFonts w:hint="eastAsia" w:asciiTheme="minorEastAsia" w:hAnsiTheme="minorEastAsia" w:eastAsiaTheme="minorEastAsia" w:cstheme="minorEastAsia"/>
          <w:color w:val="auto"/>
          <w:sz w:val="24"/>
          <w:highlight w:val="none"/>
        </w:rPr>
      </w:pPr>
    </w:p>
    <w:p w14:paraId="3460F67F">
      <w:pPr>
        <w:spacing w:line="360" w:lineRule="auto"/>
        <w:ind w:firstLine="549" w:firstLineChars="229"/>
        <w:rPr>
          <w:rFonts w:hint="eastAsia" w:asciiTheme="minorEastAsia" w:hAnsiTheme="minorEastAsia" w:eastAsiaTheme="minorEastAsia" w:cstheme="minorEastAsia"/>
          <w:color w:val="auto"/>
          <w:sz w:val="24"/>
          <w:highlight w:val="none"/>
        </w:rPr>
      </w:pPr>
    </w:p>
    <w:p w14:paraId="187C55DB">
      <w:pPr>
        <w:spacing w:line="360" w:lineRule="auto"/>
        <w:rPr>
          <w:rFonts w:hint="eastAsia" w:asciiTheme="minorEastAsia" w:hAnsiTheme="minorEastAsia" w:eastAsiaTheme="minorEastAsia" w:cstheme="minorEastAsia"/>
          <w:color w:val="auto"/>
          <w:sz w:val="24"/>
          <w:highlight w:val="none"/>
        </w:rPr>
      </w:pPr>
    </w:p>
    <w:p w14:paraId="778252D6">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bookmarkStart w:id="3" w:name="第一部分"/>
      <w:r>
        <w:rPr>
          <w:rFonts w:hint="eastAsia" w:asciiTheme="minorEastAsia" w:hAnsiTheme="minorEastAsia" w:eastAsiaTheme="minorEastAsia" w:cstheme="minorEastAsia"/>
          <w:b/>
          <w:color w:val="auto"/>
          <w:sz w:val="36"/>
          <w:szCs w:val="36"/>
          <w:highlight w:val="none"/>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Theme="minorEastAsia" w:hAnsiTheme="minorEastAsia" w:eastAsiaTheme="minorEastAsia" w:cstheme="minorEastAsia"/>
          <w:b/>
          <w:color w:val="auto"/>
          <w:sz w:val="36"/>
          <w:szCs w:val="20"/>
          <w:highlight w:val="none"/>
        </w:rPr>
        <w:t>第一部分 交易公告</w:t>
      </w:r>
    </w:p>
    <w:p w14:paraId="28B2F08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63E1E4D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eastAsia="zh-CN"/>
        </w:rPr>
        <w:t>萧山区2026年红火蚁疫情监测服务项目</w:t>
      </w:r>
      <w:r>
        <w:rPr>
          <w:rFonts w:hint="eastAsia" w:asciiTheme="minorEastAsia" w:hAnsiTheme="minorEastAsia" w:eastAsiaTheme="minorEastAsia" w:cstheme="minorEastAsia"/>
          <w:color w:val="auto"/>
          <w:sz w:val="24"/>
          <w:highlight w:val="none"/>
        </w:rPr>
        <w:t>的潜在供应商应</w:t>
      </w:r>
      <w:r>
        <w:rPr>
          <w:rStyle w:val="78"/>
          <w:rFonts w:hint="eastAsia" w:asciiTheme="minorEastAsia" w:hAnsiTheme="minorEastAsia" w:eastAsiaTheme="minorEastAsia" w:cstheme="minorEastAsia"/>
          <w:color w:val="auto"/>
          <w:kern w:val="2"/>
          <w:sz w:val="24"/>
          <w:szCs w:val="24"/>
          <w:highlight w:val="none"/>
        </w:rPr>
        <w:t>在</w:t>
      </w:r>
      <w:r>
        <w:rPr>
          <w:rStyle w:val="78"/>
          <w:rFonts w:hint="eastAsia" w:ascii="宋体" w:hAnsi="宋体" w:eastAsia="宋体" w:cs="宋体"/>
          <w:snapToGrid/>
          <w:color w:val="auto"/>
          <w:kern w:val="2"/>
          <w:sz w:val="24"/>
          <w:szCs w:val="24"/>
          <w:highlight w:val="none"/>
        </w:rPr>
        <w:t>乐采云</w:t>
      </w:r>
      <w:r>
        <w:rPr>
          <w:rStyle w:val="78"/>
          <w:rFonts w:hint="eastAsia" w:asciiTheme="minorEastAsia" w:hAnsiTheme="minorEastAsia" w:eastAsiaTheme="minorEastAsia" w:cstheme="minorEastAsia"/>
          <w:color w:val="auto"/>
          <w:kern w:val="2"/>
          <w:sz w:val="24"/>
          <w:szCs w:val="24"/>
          <w:highlight w:val="none"/>
        </w:rPr>
        <w:t>平台</w:t>
      </w:r>
      <w:r>
        <w:rPr>
          <w:rFonts w:hint="eastAsia" w:asciiTheme="minorEastAsia" w:hAnsiTheme="minorEastAsia" w:eastAsiaTheme="minorEastAsia" w:cstheme="minorEastAsia"/>
          <w:color w:val="auto"/>
          <w:sz w:val="24"/>
          <w:highlight w:val="none"/>
        </w:rPr>
        <w:t>（https://xsnbsc.lecaiyun.com/）</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"https://www.zcygov.cn/）获取（下载）招标文件，并于2021年" </w:instrText>
      </w:r>
      <w:r>
        <w:rPr>
          <w:rFonts w:hint="eastAsia" w:asciiTheme="minorEastAsia" w:hAnsiTheme="minorEastAsia" w:eastAsiaTheme="minorEastAsia" w:cstheme="minorEastAsia"/>
          <w:color w:val="auto"/>
          <w:highlight w:val="none"/>
        </w:rPr>
        <w:fldChar w:fldCharType="separate"/>
      </w:r>
      <w:r>
        <w:rPr>
          <w:rStyle w:val="78"/>
          <w:rFonts w:hint="eastAsia" w:asciiTheme="minorEastAsia" w:hAnsiTheme="minorEastAsia" w:eastAsiaTheme="minorEastAsia" w:cstheme="minorEastAsia"/>
          <w:color w:val="auto"/>
          <w:kern w:val="2"/>
          <w:sz w:val="24"/>
          <w:szCs w:val="24"/>
          <w:highlight w:val="none"/>
        </w:rPr>
        <w:t>获取（下载）交易文件，并于</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15</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u w:val="single"/>
          <w:lang w:val="en-US" w:eastAsia="zh-CN"/>
        </w:rPr>
        <w:t>14</w:t>
      </w:r>
      <w:r>
        <w:rPr>
          <w:rFonts w:hint="eastAsia" w:asciiTheme="minorEastAsia" w:hAnsiTheme="minorEastAsia" w:eastAsiaTheme="minorEastAsia" w:cstheme="minorEastAsia"/>
          <w:color w:val="auto"/>
          <w:sz w:val="24"/>
          <w:highlight w:val="none"/>
          <w:u w:val="single"/>
        </w:rPr>
        <w:t>点</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rPr>
        <w:t>分</w:t>
      </w:r>
      <w:r>
        <w:rPr>
          <w:rFonts w:hint="eastAsia" w:asciiTheme="minorEastAsia" w:hAnsiTheme="minorEastAsia" w:eastAsiaTheme="minorEastAsia" w:cstheme="minorEastAsia"/>
          <w:bCs/>
          <w:color w:val="auto"/>
          <w:sz w:val="24"/>
          <w:highlight w:val="none"/>
          <w:u w:val="single"/>
        </w:rPr>
        <w:t>00秒</w:t>
      </w:r>
      <w:r>
        <w:rPr>
          <w:rFonts w:hint="eastAsia" w:asciiTheme="minorEastAsia" w:hAnsiTheme="minorEastAsia" w:eastAsiaTheme="minorEastAsia" w:cstheme="minorEastAsia"/>
          <w:bCs/>
          <w:color w:val="auto"/>
          <w:sz w:val="24"/>
          <w:highlight w:val="none"/>
          <w:u w:val="single"/>
        </w:rPr>
        <w:fldChar w:fldCharType="end"/>
      </w:r>
      <w:r>
        <w:rPr>
          <w:rFonts w:hint="eastAsia" w:asciiTheme="minorEastAsia" w:hAnsiTheme="minorEastAsia" w:eastAsiaTheme="minorEastAsia" w:cstheme="minorEastAsia"/>
          <w:bCs/>
          <w:color w:val="auto"/>
          <w:sz w:val="24"/>
          <w:highlight w:val="none"/>
        </w:rPr>
        <w:t>（北京时间）前</w:t>
      </w:r>
      <w:r>
        <w:rPr>
          <w:rFonts w:hint="eastAsia" w:asciiTheme="minorEastAsia" w:hAnsiTheme="minorEastAsia" w:eastAsiaTheme="minorEastAsia" w:cstheme="minorEastAsia"/>
          <w:color w:val="auto"/>
          <w:sz w:val="24"/>
          <w:highlight w:val="none"/>
        </w:rPr>
        <w:t>递交（上传）响应文件。</w:t>
      </w:r>
    </w:p>
    <w:p w14:paraId="77921E0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一、项目基本情况                                            </w:t>
      </w:r>
    </w:p>
    <w:p w14:paraId="20910F63">
      <w:pPr>
        <w:spacing w:line="360" w:lineRule="auto"/>
        <w:ind w:firstLine="422" w:firstLineChars="175"/>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b/>
          <w:color w:val="auto"/>
          <w:sz w:val="24"/>
          <w:highlight w:val="none"/>
        </w:rPr>
        <w:t>交易编号：</w:t>
      </w:r>
      <w:r>
        <w:rPr>
          <w:rFonts w:hint="eastAsia" w:asciiTheme="minorEastAsia" w:hAnsiTheme="minorEastAsia" w:eastAsiaTheme="minorEastAsia" w:cstheme="minorEastAsia"/>
          <w:b/>
          <w:color w:val="auto"/>
          <w:sz w:val="24"/>
          <w:highlight w:val="none"/>
          <w:lang w:val="en-US" w:eastAsia="zh-CN"/>
        </w:rPr>
        <w:t>ZG（NYNC）-2026001</w:t>
      </w:r>
    </w:p>
    <w:p w14:paraId="067B22A8">
      <w:pPr>
        <w:spacing w:line="360" w:lineRule="auto"/>
        <w:ind w:firstLine="482" w:firstLineChars="200"/>
        <w:rPr>
          <w:rFonts w:hint="eastAsia" w:ascii="Times New Roman" w:hAnsi="Times New Roman" w:cs="Times New Roman" w:eastAsiaTheme="minorEastAsia"/>
          <w:sz w:val="24"/>
          <w:szCs w:val="24"/>
          <w:lang w:eastAsia="zh-CN"/>
        </w:rPr>
      </w:pPr>
      <w:r>
        <w:rPr>
          <w:rFonts w:hint="eastAsia" w:asciiTheme="minorEastAsia" w:hAnsiTheme="minorEastAsia" w:eastAsiaTheme="minorEastAsia" w:cstheme="minorEastAsia"/>
          <w:b/>
          <w:color w:val="auto"/>
          <w:sz w:val="24"/>
          <w:highlight w:val="none"/>
        </w:rPr>
        <w:t>项目名称：</w:t>
      </w:r>
      <w:r>
        <w:rPr>
          <w:rFonts w:hint="eastAsia" w:ascii="宋体" w:hAnsi="宋体" w:eastAsiaTheme="minorEastAsia"/>
          <w:sz w:val="24"/>
          <w:szCs w:val="24"/>
          <w:lang w:eastAsia="zh-CN"/>
        </w:rPr>
        <w:t>萧山区2026年红火蚁疫情监测服务项目</w:t>
      </w:r>
    </w:p>
    <w:p w14:paraId="155CD760">
      <w:pPr>
        <w:spacing w:line="360" w:lineRule="auto"/>
        <w:ind w:firstLine="422" w:firstLineChars="17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color w:val="auto"/>
          <w:sz w:val="24"/>
          <w:highlight w:val="none"/>
        </w:rPr>
        <w:t>预算金额（元）：</w:t>
      </w:r>
      <w:r>
        <w:rPr>
          <w:rFonts w:hint="eastAsia" w:ascii="宋体" w:hAnsi="宋体" w:eastAsia="宋体" w:cs="宋体"/>
          <w:b w:val="0"/>
          <w:bCs/>
          <w:color w:val="auto"/>
          <w:sz w:val="24"/>
          <w:highlight w:val="none"/>
          <w:lang w:val="en-US" w:eastAsia="zh-CN"/>
        </w:rPr>
        <w:t>300000元</w:t>
      </w:r>
    </w:p>
    <w:p w14:paraId="7DB17D3F">
      <w:pPr>
        <w:spacing w:line="360" w:lineRule="auto"/>
        <w:ind w:firstLine="422" w:firstLineChars="175"/>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
          <w:color w:val="auto"/>
          <w:sz w:val="24"/>
          <w:highlight w:val="none"/>
        </w:rPr>
        <w:t>最高限价（元）：</w:t>
      </w:r>
      <w:r>
        <w:rPr>
          <w:rFonts w:hint="eastAsia" w:ascii="宋体" w:hAnsi="宋体" w:eastAsia="宋体" w:cs="宋体"/>
          <w:b w:val="0"/>
          <w:bCs/>
          <w:color w:val="auto"/>
          <w:sz w:val="24"/>
          <w:highlight w:val="none"/>
          <w:lang w:val="en-US" w:eastAsia="zh-CN"/>
        </w:rPr>
        <w:t>300000元</w:t>
      </w:r>
    </w:p>
    <w:p w14:paraId="5483AAD0">
      <w:pPr>
        <w:pStyle w:val="16"/>
        <w:spacing w:line="360" w:lineRule="auto"/>
        <w:ind w:firstLine="48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采购需求：</w:t>
      </w:r>
    </w:p>
    <w:p w14:paraId="394C6DB2">
      <w:pPr>
        <w:spacing w:line="360" w:lineRule="auto"/>
        <w:ind w:firstLine="480" w:firstLineChars="2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highlight w:val="none"/>
        </w:rPr>
        <w:t>标项名称：</w:t>
      </w:r>
      <w:r>
        <w:rPr>
          <w:rFonts w:hint="eastAsia" w:ascii="宋体" w:hAnsi="宋体" w:eastAsiaTheme="minorEastAsia"/>
          <w:sz w:val="24"/>
          <w:szCs w:val="24"/>
          <w:lang w:eastAsia="zh-CN"/>
        </w:rPr>
        <w:t>萧山区2026年红火蚁疫情监测服务项目</w:t>
      </w:r>
    </w:p>
    <w:p w14:paraId="07F0C28C">
      <w:pPr>
        <w:pStyle w:val="1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数量: 1  </w:t>
      </w:r>
    </w:p>
    <w:p w14:paraId="56A3FC02">
      <w:pPr>
        <w:pStyle w:val="16"/>
        <w:spacing w:line="360" w:lineRule="auto"/>
        <w:ind w:firstLine="48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预算金额（元）：</w:t>
      </w:r>
      <w:r>
        <w:rPr>
          <w:rFonts w:hint="eastAsia" w:ascii="宋体" w:hAnsi="宋体" w:eastAsia="宋体" w:cs="宋体"/>
          <w:b w:val="0"/>
          <w:bCs/>
          <w:color w:val="auto"/>
          <w:sz w:val="24"/>
          <w:highlight w:val="none"/>
          <w:lang w:val="en-US" w:eastAsia="zh-CN"/>
        </w:rPr>
        <w:t>300000</w:t>
      </w:r>
    </w:p>
    <w:p w14:paraId="4C8A9256">
      <w:pPr>
        <w:spacing w:line="360" w:lineRule="auto"/>
        <w:ind w:left="420" w:leftChars="200"/>
        <w:jc w:val="left"/>
        <w:rPr>
          <w:rFonts w:hint="eastAsia" w:asciiTheme="minorEastAsia" w:hAnsiTheme="minorEastAsia" w:eastAsiaTheme="minorEastAsia" w:cstheme="minorEastAsia"/>
          <w:color w:val="auto"/>
          <w:sz w:val="24"/>
          <w:szCs w:val="28"/>
          <w:highlight w:val="none"/>
          <w:u w:val="single"/>
          <w:lang w:eastAsia="zh-CN"/>
        </w:rPr>
      </w:pPr>
      <w:r>
        <w:rPr>
          <w:rFonts w:hint="eastAsia" w:asciiTheme="minorEastAsia" w:hAnsiTheme="minorEastAsia" w:eastAsiaTheme="minorEastAsia" w:cstheme="minorEastAsia"/>
          <w:color w:val="auto"/>
          <w:sz w:val="24"/>
          <w:highlight w:val="none"/>
        </w:rPr>
        <w:t>简要规格描述或项目基本概况介绍、用途：</w:t>
      </w:r>
      <w:r>
        <w:rPr>
          <w:rFonts w:hint="eastAsia" w:asciiTheme="minorEastAsia" w:hAnsiTheme="minorEastAsia" w:eastAsiaTheme="minorEastAsia" w:cstheme="minorEastAsia"/>
          <w:color w:val="auto"/>
          <w:sz w:val="24"/>
          <w:szCs w:val="28"/>
          <w:highlight w:val="none"/>
        </w:rPr>
        <w:t>详见</w:t>
      </w:r>
      <w:r>
        <w:rPr>
          <w:rFonts w:hint="eastAsia" w:asciiTheme="minorEastAsia" w:hAnsiTheme="minorEastAsia" w:eastAsiaTheme="minorEastAsia" w:cstheme="minorEastAsia"/>
          <w:color w:val="auto"/>
          <w:sz w:val="24"/>
          <w:szCs w:val="28"/>
          <w:highlight w:val="none"/>
          <w:lang w:eastAsia="zh-CN"/>
        </w:rPr>
        <w:t>采购需求</w:t>
      </w:r>
    </w:p>
    <w:p w14:paraId="43516CCA">
      <w:pPr>
        <w:pStyle w:val="16"/>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备注： </w:t>
      </w:r>
    </w:p>
    <w:p w14:paraId="69D655E9">
      <w:pPr>
        <w:spacing w:line="360" w:lineRule="auto"/>
        <w:ind w:left="420" w:leftChars="200"/>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b/>
          <w:color w:val="auto"/>
          <w:sz w:val="24"/>
          <w:highlight w:val="none"/>
        </w:rPr>
        <w:t>合同履约期限：</w:t>
      </w:r>
      <w:r>
        <w:rPr>
          <w:rFonts w:hint="eastAsia" w:asciiTheme="minorEastAsia" w:hAnsiTheme="minorEastAsia" w:eastAsiaTheme="minorEastAsia" w:cstheme="minorEastAsia"/>
          <w:color w:val="auto"/>
          <w:sz w:val="24"/>
          <w:szCs w:val="28"/>
          <w:highlight w:val="none"/>
        </w:rPr>
        <w:t>详见交易文件</w:t>
      </w:r>
    </w:p>
    <w:p w14:paraId="3CC20915">
      <w:pPr>
        <w:spacing w:line="360" w:lineRule="auto"/>
        <w:ind w:left="420" w:left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本项目接受联合体响应：（</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 xml:space="preserve">）是；（√）否 </w:t>
      </w:r>
      <w:r>
        <w:rPr>
          <w:rFonts w:hint="eastAsia" w:asciiTheme="minorEastAsia" w:hAnsiTheme="minorEastAsia" w:eastAsiaTheme="minorEastAsia" w:cstheme="minorEastAsia"/>
          <w:color w:val="auto"/>
          <w:kern w:val="0"/>
          <w:sz w:val="24"/>
          <w:highlight w:val="none"/>
        </w:rPr>
        <w:t>。</w:t>
      </w:r>
    </w:p>
    <w:p w14:paraId="738F5B1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二、申请人的资格要求：</w:t>
      </w:r>
    </w:p>
    <w:p w14:paraId="36BA0E79">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1、具有独立承担民事责任的能力；   </w:t>
      </w:r>
    </w:p>
    <w:p w14:paraId="0D62F51F">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2、具有良好的商业信誉和健全的财务会计制度；   </w:t>
      </w:r>
    </w:p>
    <w:p w14:paraId="56A2E1AD">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3、具有履行合同所必需的设备和专业技术能力；   </w:t>
      </w:r>
    </w:p>
    <w:p w14:paraId="4CEACED9">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4、有依法缴纳税收和社会保障资金的良好记录；   </w:t>
      </w:r>
    </w:p>
    <w:p w14:paraId="609CD52B">
      <w:pPr>
        <w:spacing w:line="360" w:lineRule="auto"/>
        <w:ind w:firstLine="480" w:firstLineChars="200"/>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5、参加交易活动前三年内，在经营活动中没有重大违法记录</w:t>
      </w:r>
      <w:r>
        <w:rPr>
          <w:rFonts w:hint="eastAsia" w:asciiTheme="minorEastAsia" w:hAnsiTheme="minorEastAsia" w:eastAsiaTheme="minorEastAsia" w:cstheme="minorEastAsia"/>
          <w:color w:val="auto"/>
          <w:kern w:val="0"/>
          <w:sz w:val="24"/>
          <w:highlight w:val="none"/>
          <w:lang w:eastAsia="zh-CN"/>
        </w:rPr>
        <w:t>；</w:t>
      </w:r>
    </w:p>
    <w:p w14:paraId="05095D8E">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6、法律、行政法规规定的其他条件；</w:t>
      </w:r>
    </w:p>
    <w:p w14:paraId="2A57D0B1">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7.其他特定条件：无。</w:t>
      </w:r>
    </w:p>
    <w:p w14:paraId="619EA86F">
      <w:pPr>
        <w:spacing w:line="360" w:lineRule="auto"/>
        <w:ind w:firstLine="480" w:firstLineChars="200"/>
        <w:rPr>
          <w:rFonts w:hint="eastAsia"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lang w:val="en-US"/>
        </w:rPr>
        <w:t>落实采购政策需满足的资格要求：本项目属于专门面向中小企业采购的项目。</w:t>
      </w:r>
    </w:p>
    <w:p w14:paraId="2D962C82">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lang w:val="en-US"/>
        </w:rPr>
        <w:t>、</w:t>
      </w:r>
      <w:r>
        <w:rPr>
          <w:rFonts w:hint="eastAsia" w:asciiTheme="minorEastAsia" w:hAnsiTheme="minorEastAsia" w:eastAsiaTheme="minorEastAsia" w:cstheme="minorEastAsia"/>
          <w:color w:val="auto"/>
          <w:kern w:val="0"/>
          <w:sz w:val="24"/>
          <w:highlight w:val="none"/>
        </w:rPr>
        <w:t>本项目不接受联合体参与（潜在响应人能独立完成本项目）。</w:t>
      </w:r>
    </w:p>
    <w:p w14:paraId="51B1758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三、获取交易文件 </w:t>
      </w:r>
    </w:p>
    <w:p w14:paraId="157FA7C3">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时间：</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15</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，每天上午00:00至12:00，下午12:00至23:59（北京时间，线上获取法定节假日均可，线下获取文件法定节假日除外）</w:t>
      </w:r>
    </w:p>
    <w:p w14:paraId="40D7B2B3">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地点（网址）：</w:t>
      </w:r>
      <w:r>
        <w:rPr>
          <w:rFonts w:hint="eastAsia" w:asciiTheme="minorEastAsia" w:hAnsiTheme="minorEastAsia" w:eastAsiaTheme="minorEastAsia" w:cstheme="minorEastAsia"/>
          <w:color w:val="auto"/>
          <w:sz w:val="24"/>
          <w:highlight w:val="none"/>
          <w:lang w:eastAsia="zh-CN"/>
        </w:rPr>
        <w:t>乐</w:t>
      </w:r>
      <w:r>
        <w:rPr>
          <w:rFonts w:hint="eastAsia" w:asciiTheme="minorEastAsia" w:hAnsiTheme="minorEastAsia" w:eastAsiaTheme="minorEastAsia" w:cstheme="minorEastAsia"/>
          <w:color w:val="auto"/>
          <w:sz w:val="24"/>
          <w:highlight w:val="none"/>
        </w:rPr>
        <w:t xml:space="preserve">采云平台（https://xsnbsc.lecaiyun.com/） </w:t>
      </w:r>
    </w:p>
    <w:p w14:paraId="006BD963">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方式：</w:t>
      </w:r>
      <w:r>
        <w:rPr>
          <w:rFonts w:hint="eastAsia" w:asciiTheme="minorEastAsia" w:hAnsiTheme="minorEastAsia" w:eastAsiaTheme="minorEastAsia" w:cstheme="minorEastAsia"/>
          <w:color w:val="auto"/>
          <w:sz w:val="24"/>
          <w:highlight w:val="none"/>
        </w:rPr>
        <w:t>供应商登录</w:t>
      </w:r>
      <w:r>
        <w:rPr>
          <w:rFonts w:hint="eastAsia" w:asciiTheme="minorEastAsia" w:hAnsiTheme="minorEastAsia" w:eastAsiaTheme="minorEastAsia" w:cstheme="minorEastAsia"/>
          <w:color w:val="auto"/>
          <w:sz w:val="24"/>
          <w:highlight w:val="none"/>
          <w:lang w:eastAsia="zh-CN"/>
        </w:rPr>
        <w:t>乐</w:t>
      </w:r>
      <w:r>
        <w:rPr>
          <w:rFonts w:hint="eastAsia" w:asciiTheme="minorEastAsia" w:hAnsiTheme="minorEastAsia" w:eastAsiaTheme="minorEastAsia" w:cstheme="minorEastAsia"/>
          <w:color w:val="auto"/>
          <w:sz w:val="24"/>
          <w:highlight w:val="none"/>
        </w:rPr>
        <w:t xml:space="preserve">采云平台（https://xsnbsc.lecaiyun.com/）在线申请获取采购文件（进入“项目采购”应用，在获取采购文件菜单中选择项目，申请获取采购文件）。 </w:t>
      </w:r>
    </w:p>
    <w:p w14:paraId="1E75060A">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售价（元）：</w:t>
      </w:r>
      <w:r>
        <w:rPr>
          <w:rFonts w:hint="eastAsia" w:asciiTheme="minorEastAsia" w:hAnsiTheme="minorEastAsia" w:eastAsiaTheme="minorEastAsia" w:cstheme="minorEastAsia"/>
          <w:color w:val="auto"/>
          <w:sz w:val="24"/>
          <w:highlight w:val="none"/>
        </w:rPr>
        <w:t xml:space="preserve">0 </w:t>
      </w:r>
      <w:r>
        <w:rPr>
          <w:rFonts w:hint="eastAsia" w:asciiTheme="minorEastAsia" w:hAnsiTheme="minorEastAsia" w:eastAsiaTheme="minorEastAsia" w:cstheme="minorEastAsia"/>
          <w:color w:val="auto"/>
          <w:sz w:val="24"/>
          <w:highlight w:val="none"/>
        </w:rPr>
        <w:tab/>
      </w:r>
    </w:p>
    <w:p w14:paraId="0AB0BCF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四、提交响应文件截止时间、交易时间和地点</w:t>
      </w:r>
    </w:p>
    <w:p w14:paraId="0E1B3245">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提交响应文件截止时间：</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15</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u w:val="single"/>
          <w:lang w:val="en-US" w:eastAsia="zh-CN"/>
        </w:rPr>
        <w:t>14</w:t>
      </w:r>
      <w:r>
        <w:rPr>
          <w:rFonts w:hint="eastAsia" w:asciiTheme="minorEastAsia" w:hAnsiTheme="minorEastAsia" w:eastAsiaTheme="minorEastAsia" w:cstheme="minorEastAsia"/>
          <w:color w:val="auto"/>
          <w:sz w:val="24"/>
          <w:highlight w:val="none"/>
          <w:u w:val="single"/>
        </w:rPr>
        <w:t>点</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rPr>
        <w:t>分</w:t>
      </w:r>
      <w:r>
        <w:rPr>
          <w:rFonts w:hint="eastAsia" w:asciiTheme="minorEastAsia" w:hAnsiTheme="minorEastAsia" w:eastAsiaTheme="minorEastAsia" w:cstheme="minorEastAsia"/>
          <w:color w:val="auto"/>
          <w:sz w:val="24"/>
          <w:highlight w:val="none"/>
        </w:rPr>
        <w:t>（北京时间）</w:t>
      </w:r>
    </w:p>
    <w:p w14:paraId="79277352">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交易地点（网址）：</w:t>
      </w:r>
      <w:r>
        <w:rPr>
          <w:rFonts w:hint="eastAsia" w:asciiTheme="minorEastAsia" w:hAnsiTheme="minorEastAsia" w:eastAsiaTheme="minorEastAsia" w:cstheme="minorEastAsia"/>
          <w:color w:val="auto"/>
          <w:sz w:val="24"/>
          <w:highlight w:val="none"/>
          <w:lang w:eastAsia="zh-CN"/>
        </w:rPr>
        <w:t>乐</w:t>
      </w:r>
      <w:r>
        <w:rPr>
          <w:rFonts w:hint="eastAsia" w:asciiTheme="minorEastAsia" w:hAnsiTheme="minorEastAsia" w:eastAsiaTheme="minorEastAsia" w:cstheme="minorEastAsia"/>
          <w:color w:val="auto"/>
          <w:sz w:val="24"/>
          <w:highlight w:val="none"/>
        </w:rPr>
        <w:t>采云平台（https://xsnbsc.lecaiyun.com/）</w:t>
      </w:r>
    </w:p>
    <w:p w14:paraId="101AF186">
      <w:pPr>
        <w:spacing w:line="360" w:lineRule="auto"/>
        <w:ind w:firstLine="482"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
          <w:color w:val="auto"/>
          <w:sz w:val="24"/>
          <w:highlight w:val="none"/>
        </w:rPr>
        <w:t>交易时间：</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 xml:space="preserve"> 4 </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 xml:space="preserve"> 15 </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u w:val="single"/>
          <w:lang w:val="en-US" w:eastAsia="zh-CN"/>
        </w:rPr>
        <w:t>14</w:t>
      </w:r>
      <w:r>
        <w:rPr>
          <w:rFonts w:hint="eastAsia" w:asciiTheme="minorEastAsia" w:hAnsiTheme="minorEastAsia" w:eastAsiaTheme="minorEastAsia" w:cstheme="minorEastAsia"/>
          <w:color w:val="auto"/>
          <w:sz w:val="24"/>
          <w:highlight w:val="none"/>
          <w:u w:val="single"/>
        </w:rPr>
        <w:t>时</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rPr>
        <w:t>分</w:t>
      </w:r>
    </w:p>
    <w:p w14:paraId="2206D811">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交易地点（网址）：</w:t>
      </w:r>
      <w:r>
        <w:rPr>
          <w:rFonts w:hint="eastAsia" w:asciiTheme="minorEastAsia" w:hAnsiTheme="minorEastAsia" w:eastAsiaTheme="minorEastAsia" w:cstheme="minorEastAsia"/>
          <w:color w:val="auto"/>
          <w:sz w:val="24"/>
          <w:highlight w:val="none"/>
          <w:lang w:eastAsia="zh-CN"/>
        </w:rPr>
        <w:t>乐</w:t>
      </w:r>
      <w:r>
        <w:rPr>
          <w:rFonts w:hint="eastAsia" w:asciiTheme="minorEastAsia" w:hAnsiTheme="minorEastAsia" w:eastAsiaTheme="minorEastAsia" w:cstheme="minorEastAsia"/>
          <w:color w:val="auto"/>
          <w:sz w:val="24"/>
          <w:highlight w:val="none"/>
        </w:rPr>
        <w:t>采云平台（https://xsnbsc.lecaiyun.com/）</w:t>
      </w:r>
      <w:r>
        <w:rPr>
          <w:rFonts w:hint="eastAsia" w:asciiTheme="minorEastAsia" w:hAnsiTheme="minorEastAsia" w:eastAsiaTheme="minorEastAsia" w:cstheme="minorEastAsia"/>
          <w:color w:val="auto"/>
          <w:sz w:val="24"/>
          <w:szCs w:val="28"/>
          <w:highlight w:val="none"/>
        </w:rPr>
        <w:t>。</w:t>
      </w:r>
    </w:p>
    <w:p w14:paraId="467D0B1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五、公告期限 </w:t>
      </w:r>
    </w:p>
    <w:p w14:paraId="7C0D50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自本公告发布之日起3日。</w:t>
      </w:r>
    </w:p>
    <w:p w14:paraId="06A26D67">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六、其他补充事宜</w:t>
      </w:r>
    </w:p>
    <w:p w14:paraId="33078C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认为交易文件使自己的权益受到损害的，可以自获取交易文件之日或者交易文件公告期限届满之日（公告期限届满后获取交易文件的，以公告期限届满之日为准）起3日内，以书面形式向采购人和采购代理机构提出质疑。质疑供应商对采购人、采购代理机构的答复不满意或者采购人、采购代理机构未在规定的时间内作出答复的，可以在答复期满后十个工作日内向</w:t>
      </w:r>
      <w:r>
        <w:rPr>
          <w:rFonts w:hint="eastAsia" w:asciiTheme="minorEastAsia" w:hAnsiTheme="minorEastAsia" w:eastAsiaTheme="minorEastAsia" w:cstheme="minorEastAsia"/>
          <w:color w:val="auto"/>
          <w:sz w:val="24"/>
          <w:highlight w:val="none"/>
          <w:lang w:eastAsia="zh-CN"/>
        </w:rPr>
        <w:t>基层</w:t>
      </w:r>
      <w:r>
        <w:rPr>
          <w:rFonts w:hint="eastAsia" w:asciiTheme="minorEastAsia" w:hAnsiTheme="minorEastAsia" w:eastAsiaTheme="minorEastAsia" w:cstheme="minorEastAsia"/>
          <w:color w:val="auto"/>
          <w:sz w:val="24"/>
          <w:highlight w:val="none"/>
        </w:rPr>
        <w:t>监督管理部门投诉。</w:t>
      </w:r>
    </w:p>
    <w:p w14:paraId="411A99FF">
      <w:pPr>
        <w:spacing w:line="360" w:lineRule="auto"/>
        <w:ind w:firstLine="480" w:firstLineChars="200"/>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rPr>
        <w:t>2.其他事项：（1）需要落实的政府采购政策</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w:t>
      </w:r>
      <w:r>
        <w:rPr>
          <w:rFonts w:hint="eastAsia" w:ascii="宋体" w:hAnsi="宋体" w:eastAsia="宋体" w:cs="宋体"/>
          <w:color w:val="auto"/>
          <w:sz w:val="24"/>
          <w:highlight w:val="none"/>
        </w:rPr>
        <w:t>电子招投标的说明：①电子招投标：本项目以数据电文形式，依托“</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进行招投标活动，不接受纸质响应文件；②响应准备：注册账号--点击“商家入驻”，进行政府采购供应商资料填写；申领CA数字证书---申领流程详见“浙江政府采购网-下载专区-电子交易客户端-CA驱动和申领流程”；安装“</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电子交易客户端”----前往“浙江政府采购网-下载专区-电子交易客户端”进行下载并安装；③</w:t>
      </w:r>
      <w:r>
        <w:rPr>
          <w:rFonts w:hint="eastAsia" w:ascii="宋体" w:hAnsi="宋体" w:cs="宋体"/>
          <w:color w:val="auto"/>
          <w:sz w:val="24"/>
          <w:highlight w:val="none"/>
          <w:lang w:val="en-US" w:eastAsia="zh-CN"/>
        </w:rPr>
        <w:t>交易文件</w:t>
      </w:r>
      <w:r>
        <w:rPr>
          <w:rFonts w:hint="eastAsia" w:ascii="宋体" w:hAnsi="宋体" w:eastAsia="宋体" w:cs="宋体"/>
          <w:color w:val="auto"/>
          <w:sz w:val="24"/>
          <w:highlight w:val="none"/>
        </w:rPr>
        <w:t>的获取：使用账号登录或者使用CA登录</w:t>
      </w:r>
      <w:r>
        <w:rPr>
          <w:rFonts w:hint="eastAsia" w:ascii="宋体" w:hAnsi="宋体" w:eastAsia="宋体" w:cs="宋体"/>
          <w:color w:val="auto"/>
          <w:sz w:val="24"/>
          <w:highlight w:val="none"/>
          <w:lang w:eastAsia="zh-CN"/>
        </w:rPr>
        <w:t>乐采云平台（www.lecaiyun.com）</w:t>
      </w:r>
      <w:r>
        <w:rPr>
          <w:rFonts w:hint="eastAsia" w:ascii="宋体" w:hAnsi="宋体" w:eastAsia="宋体" w:cs="宋体"/>
          <w:color w:val="auto"/>
          <w:sz w:val="24"/>
          <w:highlight w:val="none"/>
        </w:rPr>
        <w:t>；进入“项目采购”应用，在获取采购文件菜单中选择项目，获取</w:t>
      </w:r>
      <w:r>
        <w:rPr>
          <w:rFonts w:hint="eastAsia" w:ascii="宋体" w:hAnsi="宋体" w:cs="宋体"/>
          <w:color w:val="auto"/>
          <w:sz w:val="24"/>
          <w:highlight w:val="none"/>
          <w:lang w:val="en-US" w:eastAsia="zh-CN"/>
        </w:rPr>
        <w:t>交易文件</w:t>
      </w:r>
      <w:r>
        <w:rPr>
          <w:rFonts w:hint="eastAsia" w:ascii="宋体" w:hAnsi="宋体" w:eastAsia="宋体" w:cs="宋体"/>
          <w:color w:val="auto"/>
          <w:sz w:val="24"/>
          <w:highlight w:val="none"/>
        </w:rPr>
        <w:t>；④响应文件的制作：在“</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电子交易客户端”中完成“填写基本信息”“导入响应文件”“标书关联”“标书检查”“电子签名”“生成电子标书”等操作；⑤交易发起人、代理机构将依托</w:t>
      </w:r>
      <w:r>
        <w:rPr>
          <w:rFonts w:hint="eastAsia" w:ascii="宋体" w:hAnsi="宋体" w:eastAsia="宋体" w:cs="宋体"/>
          <w:color w:val="auto"/>
          <w:sz w:val="24"/>
          <w:highlight w:val="none"/>
          <w:lang w:eastAsia="zh-CN"/>
        </w:rPr>
        <w:t>乐采云平台（www.lecaiyun.com）</w:t>
      </w:r>
      <w:r>
        <w:rPr>
          <w:rFonts w:hint="eastAsia" w:ascii="宋体" w:hAnsi="宋体" w:eastAsia="宋体" w:cs="宋体"/>
          <w:color w:val="auto"/>
          <w:sz w:val="24"/>
          <w:highlight w:val="none"/>
        </w:rPr>
        <w:t>完成本项目的电子交易活动，平台不接受未按上述方式获取</w:t>
      </w:r>
      <w:r>
        <w:rPr>
          <w:rFonts w:hint="eastAsia" w:ascii="宋体" w:hAnsi="宋体" w:cs="宋体"/>
          <w:color w:val="auto"/>
          <w:sz w:val="24"/>
          <w:highlight w:val="none"/>
          <w:lang w:val="en-US" w:eastAsia="zh-CN"/>
        </w:rPr>
        <w:t>交易文件</w:t>
      </w:r>
      <w:r>
        <w:rPr>
          <w:rFonts w:hint="eastAsia" w:ascii="宋体" w:hAnsi="宋体" w:eastAsia="宋体" w:cs="宋体"/>
          <w:color w:val="auto"/>
          <w:sz w:val="24"/>
          <w:highlight w:val="none"/>
        </w:rPr>
        <w:t>的响应人进行响应活动； ⑥对未按上述方式获取</w:t>
      </w:r>
      <w:r>
        <w:rPr>
          <w:rFonts w:hint="eastAsia" w:ascii="宋体" w:hAnsi="宋体" w:cs="宋体"/>
          <w:color w:val="auto"/>
          <w:sz w:val="24"/>
          <w:highlight w:val="none"/>
          <w:lang w:val="en-US" w:eastAsia="zh-CN"/>
        </w:rPr>
        <w:t>交易文件</w:t>
      </w:r>
      <w:r>
        <w:rPr>
          <w:rFonts w:hint="eastAsia" w:ascii="宋体" w:hAnsi="宋体" w:eastAsia="宋体" w:cs="宋体"/>
          <w:color w:val="auto"/>
          <w:sz w:val="24"/>
          <w:highlight w:val="none"/>
        </w:rPr>
        <w:t>的响应人对该文件提出的异议，交易发起人或代理机构将不予处理；⑦不提供</w:t>
      </w:r>
      <w:r>
        <w:rPr>
          <w:rFonts w:hint="eastAsia" w:ascii="宋体" w:hAnsi="宋体" w:cs="宋体"/>
          <w:color w:val="auto"/>
          <w:sz w:val="24"/>
          <w:highlight w:val="none"/>
          <w:lang w:val="en-US" w:eastAsia="zh-CN"/>
        </w:rPr>
        <w:t>交易文件</w:t>
      </w:r>
      <w:r>
        <w:rPr>
          <w:rFonts w:hint="eastAsia" w:ascii="宋体" w:hAnsi="宋体" w:eastAsia="宋体" w:cs="宋体"/>
          <w:color w:val="auto"/>
          <w:sz w:val="24"/>
          <w:highlight w:val="none"/>
        </w:rPr>
        <w:t>纸质版；⑧响应文件的传输递交：响应人在响应截止时间前将加密的响应文件上传至</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；⑨响应文件的解密：响应人按照平台提示和</w:t>
      </w:r>
      <w:r>
        <w:rPr>
          <w:rFonts w:hint="eastAsia" w:ascii="宋体" w:hAnsi="宋体" w:cs="宋体"/>
          <w:color w:val="auto"/>
          <w:sz w:val="24"/>
          <w:highlight w:val="none"/>
          <w:lang w:val="en-US" w:eastAsia="zh-CN"/>
        </w:rPr>
        <w:t>交易文件</w:t>
      </w:r>
      <w:r>
        <w:rPr>
          <w:rFonts w:hint="eastAsia" w:ascii="宋体" w:hAnsi="宋体" w:eastAsia="宋体" w:cs="宋体"/>
          <w:color w:val="auto"/>
          <w:sz w:val="24"/>
          <w:highlight w:val="none"/>
        </w:rPr>
        <w:t>的规定在半小时内完成在线解密。通过“</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”上传递交的响应文件无法按时解密，视为响应文件撤回；⑩具体操作指南：详见</w:t>
      </w:r>
      <w:r>
        <w:rPr>
          <w:rFonts w:hint="eastAsia" w:ascii="宋体" w:hAnsi="宋体" w:eastAsia="宋体" w:cs="宋体"/>
          <w:color w:val="auto"/>
          <w:sz w:val="24"/>
          <w:highlight w:val="none"/>
          <w:lang w:eastAsia="zh-CN"/>
        </w:rPr>
        <w:t>乐采云平台（www.lecaiyun.com）</w:t>
      </w:r>
      <w:r>
        <w:rPr>
          <w:rFonts w:hint="eastAsia" w:ascii="宋体" w:hAnsi="宋体" w:eastAsia="宋体" w:cs="宋体"/>
          <w:color w:val="auto"/>
          <w:sz w:val="24"/>
          <w:highlight w:val="none"/>
        </w:rPr>
        <w:t>“服务中心-帮助文档-项目采购-操作流程-电子招投标-政府采购项目电子交易管理操作指南-供应商”。</w:t>
      </w:r>
    </w:p>
    <w:p w14:paraId="14A7959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七、对本次采购提出询问、质疑、投诉，请按以下方式联系</w:t>
      </w:r>
    </w:p>
    <w:p w14:paraId="698602DB">
      <w:pPr>
        <w:spacing w:line="360" w:lineRule="auto"/>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1.采购人信息</w:t>
      </w:r>
    </w:p>
    <w:p w14:paraId="3F619216">
      <w:pPr>
        <w:spacing w:line="360" w:lineRule="auto"/>
        <w:jc w:val="left"/>
        <w:rPr>
          <w:rFonts w:hint="eastAsia" w:asciiTheme="minorEastAsia" w:hAnsiTheme="minorEastAsia" w:eastAsiaTheme="minorEastAsia" w:cstheme="minorEastAsia"/>
          <w:sz w:val="24"/>
          <w:szCs w:val="28"/>
        </w:rPr>
      </w:pPr>
      <w:bookmarkStart w:id="11" w:name="_Toc28359009"/>
      <w:bookmarkStart w:id="12" w:name="_Toc28359086"/>
      <w:r>
        <w:rPr>
          <w:rFonts w:hint="eastAsia" w:asciiTheme="minorEastAsia" w:hAnsiTheme="minorEastAsia" w:eastAsiaTheme="minorEastAsia" w:cstheme="minorEastAsia"/>
          <w:sz w:val="24"/>
          <w:szCs w:val="28"/>
        </w:rPr>
        <w:t>名称：</w:t>
      </w:r>
      <w:r>
        <w:rPr>
          <w:rFonts w:hint="eastAsia" w:asciiTheme="minorEastAsia" w:hAnsiTheme="minorEastAsia" w:eastAsiaTheme="minorEastAsia" w:cstheme="minorEastAsia"/>
          <w:sz w:val="24"/>
          <w:szCs w:val="28"/>
          <w:lang w:val="en-US" w:eastAsia="zh-CN"/>
        </w:rPr>
        <w:t>杭州市萧山区农业农村局</w:t>
      </w:r>
    </w:p>
    <w:p w14:paraId="71817FF9">
      <w:pPr>
        <w:spacing w:line="360" w:lineRule="auto"/>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地址：杭州市萧山区潘右路988号</w:t>
      </w:r>
    </w:p>
    <w:p w14:paraId="331813A2">
      <w:pPr>
        <w:spacing w:line="360" w:lineRule="auto"/>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项目联系人：</w:t>
      </w:r>
      <w:r>
        <w:rPr>
          <w:rFonts w:hint="eastAsia" w:asciiTheme="minorEastAsia" w:hAnsiTheme="minorEastAsia" w:eastAsiaTheme="minorEastAsia" w:cstheme="minorEastAsia"/>
          <w:sz w:val="24"/>
          <w:szCs w:val="28"/>
          <w:lang w:val="en-US" w:eastAsia="zh-CN"/>
        </w:rPr>
        <w:t xml:space="preserve">朱女士 </w:t>
      </w:r>
    </w:p>
    <w:p w14:paraId="555B1C4D">
      <w:pPr>
        <w:spacing w:line="360" w:lineRule="auto"/>
        <w:jc w:val="left"/>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项目联系方式： 0571-89654178</w:t>
      </w:r>
      <w:bookmarkStart w:id="387" w:name="_GoBack"/>
      <w:bookmarkEnd w:id="387"/>
    </w:p>
    <w:p w14:paraId="078B696C">
      <w:pPr>
        <w:spacing w:line="360" w:lineRule="auto"/>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2.采购代理机构信息</w:t>
      </w:r>
      <w:bookmarkEnd w:id="11"/>
      <w:bookmarkEnd w:id="12"/>
    </w:p>
    <w:p w14:paraId="2E5EBD85">
      <w:pPr>
        <w:spacing w:line="360" w:lineRule="auto"/>
        <w:jc w:val="left"/>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color w:val="auto"/>
          <w:sz w:val="24"/>
          <w:szCs w:val="28"/>
          <w:highlight w:val="none"/>
        </w:rPr>
        <w:t>名 称：</w:t>
      </w:r>
      <w:r>
        <w:rPr>
          <w:rFonts w:hint="eastAsia" w:asciiTheme="minorEastAsia" w:hAnsiTheme="minorEastAsia" w:eastAsiaTheme="minorEastAsia" w:cstheme="minorEastAsia"/>
          <w:sz w:val="24"/>
          <w:szCs w:val="28"/>
          <w:lang w:eastAsia="zh-CN"/>
        </w:rPr>
        <w:t>中冠工程管理咨询有限公司</w:t>
      </w:r>
    </w:p>
    <w:p w14:paraId="321D6337">
      <w:pPr>
        <w:spacing w:line="360" w:lineRule="auto"/>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color w:val="auto"/>
          <w:sz w:val="24"/>
          <w:szCs w:val="28"/>
          <w:highlight w:val="none"/>
        </w:rPr>
        <w:t>地址：杭州市钱塘区义蓬街道义蓬路114号农商银行3楼</w:t>
      </w:r>
    </w:p>
    <w:p w14:paraId="08D6270C">
      <w:pPr>
        <w:spacing w:line="360" w:lineRule="auto"/>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sz w:val="24"/>
          <w:szCs w:val="28"/>
          <w:highlight w:val="none"/>
        </w:rPr>
        <w:t>项目联系人（询问）：</w:t>
      </w:r>
      <w:r>
        <w:rPr>
          <w:rFonts w:hint="eastAsia" w:asciiTheme="minorEastAsia" w:hAnsiTheme="minorEastAsia" w:eastAsiaTheme="minorEastAsia" w:cstheme="minorEastAsia"/>
          <w:sz w:val="24"/>
          <w:szCs w:val="28"/>
          <w:lang w:val="en-US" w:eastAsia="zh-CN"/>
        </w:rPr>
        <w:t>叶素秀</w:t>
      </w:r>
    </w:p>
    <w:p w14:paraId="1EB87E16">
      <w:pPr>
        <w:spacing w:line="360" w:lineRule="auto"/>
        <w:jc w:val="left"/>
        <w:rPr>
          <w:rFonts w:hint="default"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rPr>
        <w:t>项目联系方式（询问）：</w:t>
      </w:r>
      <w:r>
        <w:rPr>
          <w:rFonts w:hint="eastAsia" w:asciiTheme="minorEastAsia" w:hAnsiTheme="minorEastAsia" w:eastAsiaTheme="minorEastAsia" w:cstheme="minorEastAsia"/>
          <w:color w:val="auto"/>
          <w:sz w:val="24"/>
          <w:szCs w:val="28"/>
          <w:highlight w:val="none"/>
          <w:lang w:val="en-US" w:eastAsia="zh-CN"/>
        </w:rPr>
        <w:t>15957102911</w:t>
      </w:r>
    </w:p>
    <w:p w14:paraId="635884B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w:t>
      </w:r>
    </w:p>
    <w:p w14:paraId="7893CD4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若对项目采购电子交易系统操作有疑问，可登录</w:t>
      </w:r>
      <w:r>
        <w:rPr>
          <w:rFonts w:hint="eastAsia" w:asciiTheme="minorEastAsia" w:hAnsiTheme="minorEastAsia" w:eastAsiaTheme="minorEastAsia" w:cstheme="minorEastAsia"/>
          <w:color w:val="auto"/>
          <w:sz w:val="24"/>
          <w:highlight w:val="none"/>
          <w:lang w:eastAsia="zh-CN"/>
        </w:rPr>
        <w:t>乐</w:t>
      </w:r>
      <w:r>
        <w:rPr>
          <w:rFonts w:hint="eastAsia" w:asciiTheme="minorEastAsia" w:hAnsiTheme="minorEastAsia" w:eastAsiaTheme="minorEastAsia" w:cstheme="minorEastAsia"/>
          <w:color w:val="auto"/>
          <w:sz w:val="24"/>
          <w:highlight w:val="none"/>
        </w:rPr>
        <w:t>采云（https://www.zcygov.cn/），点击右侧咨询小采，获取采小蜜智能服务管家帮助，或拨打</w:t>
      </w:r>
      <w:r>
        <w:rPr>
          <w:rFonts w:hint="eastAsia" w:asciiTheme="minorEastAsia" w:hAnsiTheme="minorEastAsia" w:eastAsiaTheme="minorEastAsia" w:cstheme="minorEastAsia"/>
          <w:color w:val="auto"/>
          <w:sz w:val="24"/>
          <w:highlight w:val="none"/>
          <w:lang w:eastAsia="zh-CN"/>
        </w:rPr>
        <w:t>乐</w:t>
      </w:r>
      <w:r>
        <w:rPr>
          <w:rFonts w:hint="eastAsia" w:asciiTheme="minorEastAsia" w:hAnsiTheme="minorEastAsia" w:eastAsiaTheme="minorEastAsia" w:cstheme="minorEastAsia"/>
          <w:color w:val="auto"/>
          <w:sz w:val="24"/>
          <w:highlight w:val="none"/>
        </w:rPr>
        <w:t>采云服务热线400-881-7190获取热线服务帮助。</w:t>
      </w:r>
    </w:p>
    <w:p w14:paraId="44CA226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CA问题联系电话（人工）：汇信CA 400-888-4636；天谷CA 400-087-8198。                              </w:t>
      </w:r>
    </w:p>
    <w:p w14:paraId="72FB82F7">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r>
        <w:rPr>
          <w:rFonts w:hint="eastAsia" w:asciiTheme="minorEastAsia" w:hAnsiTheme="minorEastAsia" w:eastAsiaTheme="minorEastAsia" w:cstheme="minorEastAsia"/>
          <w:b/>
          <w:color w:val="auto"/>
          <w:sz w:val="36"/>
          <w:szCs w:val="20"/>
          <w:highlight w:val="none"/>
        </w:rPr>
        <w:t>第二部分</w:t>
      </w:r>
      <w:bookmarkEnd w:id="8"/>
      <w:r>
        <w:rPr>
          <w:rFonts w:hint="eastAsia" w:asciiTheme="minorEastAsia" w:hAnsiTheme="minorEastAsia" w:eastAsiaTheme="minorEastAsia" w:cstheme="minorEastAsia"/>
          <w:b/>
          <w:color w:val="auto"/>
          <w:sz w:val="36"/>
          <w:szCs w:val="20"/>
          <w:highlight w:val="none"/>
        </w:rPr>
        <w:t xml:space="preserve"> 供应商须知</w:t>
      </w:r>
      <w:bookmarkEnd w:id="9"/>
    </w:p>
    <w:p w14:paraId="2AF1DB80">
      <w:pPr>
        <w:snapToGrid w:val="0"/>
        <w:spacing w:line="360" w:lineRule="auto"/>
        <w:jc w:val="center"/>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前附表</w:t>
      </w:r>
    </w:p>
    <w:tbl>
      <w:tblPr>
        <w:tblStyle w:val="64"/>
        <w:tblW w:w="869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225"/>
      </w:tblGrid>
      <w:tr w14:paraId="4163A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6534A6">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B4E91C4">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事项</w:t>
            </w:r>
          </w:p>
        </w:tc>
        <w:tc>
          <w:tcPr>
            <w:tcW w:w="6225" w:type="dxa"/>
            <w:tcBorders>
              <w:top w:val="single" w:color="000000" w:sz="8" w:space="0"/>
              <w:left w:val="single" w:color="000000" w:sz="2" w:space="0"/>
              <w:bottom w:val="single" w:color="000000" w:sz="8" w:space="0"/>
              <w:right w:val="single" w:color="000000" w:sz="8" w:space="0"/>
            </w:tcBorders>
            <w:vAlign w:val="center"/>
          </w:tcPr>
          <w:p w14:paraId="31E4FAC6">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本项目的特别规定</w:t>
            </w:r>
          </w:p>
        </w:tc>
      </w:tr>
      <w:tr w14:paraId="4A478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D86619">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CEA3D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项目属性与核心产品</w:t>
            </w:r>
          </w:p>
        </w:tc>
        <w:tc>
          <w:tcPr>
            <w:tcW w:w="6225" w:type="dxa"/>
            <w:tcBorders>
              <w:top w:val="single" w:color="000000" w:sz="8" w:space="0"/>
              <w:left w:val="single" w:color="000000" w:sz="2" w:space="0"/>
              <w:bottom w:val="single" w:color="000000" w:sz="8" w:space="0"/>
              <w:right w:val="single" w:color="000000" w:sz="8" w:space="0"/>
            </w:tcBorders>
            <w:vAlign w:val="center"/>
          </w:tcPr>
          <w:p w14:paraId="6ED0A94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kern w:val="0"/>
                <w:sz w:val="24"/>
                <w:highlight w:val="none"/>
              </w:rPr>
              <w:t>)B</w:t>
            </w:r>
            <w:r>
              <w:rPr>
                <w:rFonts w:hint="eastAsia" w:asciiTheme="minorEastAsia" w:hAnsiTheme="minorEastAsia" w:eastAsiaTheme="minorEastAsia" w:cstheme="minorEastAsia"/>
                <w:color w:val="auto"/>
                <w:sz w:val="24"/>
                <w:highlight w:val="none"/>
              </w:rPr>
              <w:t>服务类。</w:t>
            </w:r>
          </w:p>
        </w:tc>
      </w:tr>
      <w:tr w14:paraId="4DD47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1605B7A">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7187B269">
            <w:pPr>
              <w:spacing w:line="360" w:lineRule="auto"/>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采购标的对应的中小企业划分标准所属行业</w:t>
            </w:r>
          </w:p>
        </w:tc>
        <w:tc>
          <w:tcPr>
            <w:tcW w:w="622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14E0CD4">
            <w:pPr>
              <w:spacing w:line="360" w:lineRule="auto"/>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（1）标的：萧山区2026年红火蚁疫情监测服务项目，属于其他未列明行业行业；</w:t>
            </w:r>
          </w:p>
          <w:p w14:paraId="37CEBA33">
            <w:pPr>
              <w:spacing w:line="360" w:lineRule="auto"/>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行业划分标准：</w:t>
            </w:r>
          </w:p>
          <w:p w14:paraId="43CABB27">
            <w:pPr>
              <w:spacing w:line="360" w:lineRule="auto"/>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《关于印发中小企业划型标准规定的通知》工信部联企业〔2011〕300号</w:t>
            </w:r>
          </w:p>
        </w:tc>
      </w:tr>
      <w:tr w14:paraId="28702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4D35AC">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0F551C14">
            <w:pPr>
              <w:snapToGrid w:val="0"/>
              <w:spacing w:line="36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仿宋" w:hAnsi="仿宋" w:eastAsia="仿宋" w:cs="仿宋"/>
                <w:b/>
                <w:color w:val="auto"/>
                <w:sz w:val="24"/>
                <w:highlight w:val="none"/>
              </w:rPr>
              <w:t>是否允许采购进口产品</w:t>
            </w:r>
          </w:p>
        </w:tc>
        <w:tc>
          <w:tcPr>
            <w:tcW w:w="622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96E24EF">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kern w:val="0"/>
                <w:sz w:val="24"/>
                <w:highlight w:val="none"/>
                <w:lang w:val="en-US" w:eastAsia="zh-CN"/>
              </w:rPr>
              <w:t>(</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sz w:val="24"/>
                <w:szCs w:val="32"/>
                <w:highlight w:val="none"/>
              </w:rPr>
              <w:t>本项目不允许采购进口产品。</w:t>
            </w:r>
          </w:p>
          <w:p w14:paraId="4E946438">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kern w:val="0"/>
                <w:sz w:val="24"/>
                <w:highlight w:val="none"/>
                <w:lang w:val="en-US" w:eastAsia="zh-CN"/>
              </w:rPr>
              <w:t>(   )</w:t>
            </w:r>
            <w:r>
              <w:rPr>
                <w:rFonts w:hint="eastAsia" w:ascii="仿宋" w:hAnsi="仿宋" w:eastAsia="仿宋" w:cs="仿宋"/>
                <w:color w:val="auto"/>
                <w:sz w:val="24"/>
                <w:szCs w:val="32"/>
                <w:highlight w:val="none"/>
              </w:rPr>
              <w:t>可以就</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u w:val="single"/>
                <w:lang w:val="en-US" w:eastAsia="zh-CN"/>
              </w:rPr>
              <w:t>/</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采购进口产品。</w:t>
            </w:r>
          </w:p>
          <w:p w14:paraId="7F779B2C">
            <w:pPr>
              <w:pStyle w:val="3"/>
              <w:ind w:left="432" w:leftChars="0" w:hanging="432" w:firstLineChars="0"/>
              <w:rPr>
                <w:rFonts w:hint="eastAsia" w:asciiTheme="minorEastAsia" w:hAnsiTheme="minorEastAsia" w:eastAsiaTheme="minorEastAsia" w:cstheme="minorEastAsia"/>
                <w:b w:val="0"/>
                <w:bCs/>
                <w:color w:val="auto"/>
                <w:sz w:val="24"/>
                <w:highlight w:val="none"/>
                <w:lang w:val="en-US" w:eastAsia="zh-CN"/>
              </w:rPr>
            </w:pPr>
            <w:r>
              <w:rPr>
                <w:rFonts w:hint="eastAsia" w:ascii="仿宋" w:hAnsi="仿宋" w:eastAsia="仿宋" w:cs="仿宋"/>
                <w:color w:val="auto"/>
                <w:kern w:val="0"/>
                <w:sz w:val="24"/>
                <w:highlight w:val="none"/>
                <w:lang w:val="en-US" w:eastAsia="zh-CN"/>
              </w:rPr>
              <w:t>进口产品是指通过中国海关保关验放进入中国境内且产自境关外的产品。</w:t>
            </w:r>
          </w:p>
        </w:tc>
      </w:tr>
      <w:tr w14:paraId="4701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459636F">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3AF457AA">
            <w:pPr>
              <w:snapToGrid w:val="0"/>
              <w:spacing w:line="360" w:lineRule="auto"/>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rPr>
              <w:t>分包</w:t>
            </w:r>
          </w:p>
        </w:tc>
        <w:tc>
          <w:tcPr>
            <w:tcW w:w="622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04DF837">
            <w:pPr>
              <w:spacing w:line="360" w:lineRule="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highlight w:val="none"/>
              </w:rPr>
              <w:t>（√）</w:t>
            </w:r>
            <w:r>
              <w:rPr>
                <w:rFonts w:hint="eastAsia" w:asciiTheme="minorEastAsia" w:hAnsiTheme="minorEastAsia" w:eastAsiaTheme="minorEastAsia" w:cstheme="minorEastAsia"/>
                <w:b w:val="0"/>
                <w:bCs/>
                <w:color w:val="auto"/>
                <w:kern w:val="0"/>
                <w:sz w:val="24"/>
                <w:highlight w:val="none"/>
              </w:rPr>
              <w:t>B</w:t>
            </w:r>
            <w:r>
              <w:rPr>
                <w:rFonts w:hint="eastAsia" w:asciiTheme="minorEastAsia" w:hAnsiTheme="minorEastAsia" w:eastAsiaTheme="minorEastAsia" w:cstheme="minorEastAsia"/>
                <w:b w:val="0"/>
                <w:bCs/>
                <w:color w:val="auto"/>
                <w:sz w:val="24"/>
                <w:highlight w:val="none"/>
              </w:rPr>
              <w:t>不同意分包。</w:t>
            </w:r>
          </w:p>
        </w:tc>
      </w:tr>
      <w:tr w14:paraId="59ABD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C19BC10">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65FF962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rPr>
              <w:t>交易前答疑会或现场考察</w:t>
            </w:r>
          </w:p>
        </w:tc>
        <w:tc>
          <w:tcPr>
            <w:tcW w:w="622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D3F41E6">
            <w:pPr>
              <w:spacing w:line="360" w:lineRule="auto"/>
              <w:rPr>
                <w:rFonts w:hint="eastAsia" w:asciiTheme="minorEastAsia" w:hAnsiTheme="minorEastAsia" w:eastAsiaTheme="minorEastAsia" w:cstheme="minorEastAsia"/>
                <w:b w:val="0"/>
                <w:bCs/>
                <w:color w:val="auto"/>
                <w:kern w:val="2"/>
                <w:sz w:val="24"/>
                <w:szCs w:val="20"/>
                <w:highlight w:val="none"/>
                <w:lang w:val="en-US" w:eastAsia="zh-CN" w:bidi="ar-SA"/>
              </w:rPr>
            </w:pPr>
            <w:r>
              <w:rPr>
                <w:rFonts w:hint="eastAsia" w:asciiTheme="minorEastAsia" w:hAnsiTheme="minorEastAsia" w:eastAsiaTheme="minorEastAsia" w:cstheme="minorEastAsia"/>
                <w:b w:val="0"/>
                <w:bCs/>
                <w:color w:val="auto"/>
                <w:sz w:val="24"/>
                <w:highlight w:val="none"/>
              </w:rPr>
              <w:t>（√）</w:t>
            </w:r>
            <w:r>
              <w:rPr>
                <w:rFonts w:hint="eastAsia" w:asciiTheme="minorEastAsia" w:hAnsiTheme="minorEastAsia" w:eastAsiaTheme="minorEastAsia" w:cstheme="minorEastAsia"/>
                <w:b w:val="0"/>
                <w:bCs/>
                <w:color w:val="auto"/>
                <w:kern w:val="0"/>
                <w:sz w:val="24"/>
                <w:highlight w:val="none"/>
              </w:rPr>
              <w:t>A</w:t>
            </w:r>
            <w:r>
              <w:rPr>
                <w:rFonts w:hint="eastAsia" w:asciiTheme="minorEastAsia" w:hAnsiTheme="minorEastAsia" w:eastAsiaTheme="minorEastAsia" w:cstheme="minorEastAsia"/>
                <w:b w:val="0"/>
                <w:bCs/>
                <w:color w:val="auto"/>
                <w:sz w:val="24"/>
                <w:highlight w:val="none"/>
              </w:rPr>
              <w:t>不组织。</w:t>
            </w:r>
          </w:p>
        </w:tc>
      </w:tr>
      <w:tr w14:paraId="45718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E22670A">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66BB3637">
            <w:pPr>
              <w:snapToGrid w:val="0"/>
              <w:spacing w:line="360" w:lineRule="auto"/>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rPr>
              <w:t>样品提供</w:t>
            </w:r>
          </w:p>
        </w:tc>
        <w:tc>
          <w:tcPr>
            <w:tcW w:w="622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D37F15D">
            <w:pPr>
              <w:spacing w:line="360" w:lineRule="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sz w:val="24"/>
                <w:highlight w:val="none"/>
              </w:rPr>
              <w:t>（√）A不要求提供。</w:t>
            </w:r>
          </w:p>
        </w:tc>
      </w:tr>
      <w:tr w14:paraId="04FE4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F65C447">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1A1823F7">
            <w:pPr>
              <w:snapToGrid w:val="0"/>
              <w:spacing w:line="36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rPr>
              <w:t>方案讲解演示</w:t>
            </w:r>
          </w:p>
        </w:tc>
        <w:tc>
          <w:tcPr>
            <w:tcW w:w="622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E103937">
            <w:pPr>
              <w:spacing w:line="360" w:lineRule="auto"/>
              <w:rPr>
                <w:rFonts w:hint="eastAsia" w:asciiTheme="minorEastAsia" w:hAnsiTheme="minorEastAsia" w:eastAsiaTheme="minorEastAsia" w:cstheme="minorEastAsia"/>
                <w:b/>
                <w:color w:val="auto"/>
                <w:kern w:val="0"/>
                <w:sz w:val="24"/>
                <w:szCs w:val="24"/>
                <w:highlight w:val="none"/>
                <w:lang w:val="zh-CN" w:eastAsia="zh-CN" w:bidi="ar-SA"/>
              </w:rPr>
            </w:pPr>
            <w:r>
              <w:rPr>
                <w:rFonts w:hint="eastAsia" w:asciiTheme="minorEastAsia" w:hAnsiTheme="minorEastAsia" w:eastAsiaTheme="minorEastAsia" w:cstheme="minorEastAsia"/>
                <w:b w:val="0"/>
                <w:bCs/>
                <w:color w:val="auto"/>
                <w:sz w:val="24"/>
                <w:highlight w:val="none"/>
              </w:rPr>
              <w:t>（√）</w:t>
            </w:r>
            <w:r>
              <w:rPr>
                <w:rFonts w:hint="eastAsia" w:asciiTheme="minorEastAsia" w:hAnsiTheme="minorEastAsia" w:eastAsiaTheme="minorEastAsia" w:cstheme="minorEastAsia"/>
                <w:b w:val="0"/>
                <w:bCs/>
                <w:color w:val="auto"/>
                <w:kern w:val="0"/>
                <w:sz w:val="24"/>
                <w:highlight w:val="none"/>
              </w:rPr>
              <w:t>A</w:t>
            </w:r>
            <w:r>
              <w:rPr>
                <w:rFonts w:hint="eastAsia" w:asciiTheme="minorEastAsia" w:hAnsiTheme="minorEastAsia" w:eastAsiaTheme="minorEastAsia" w:cstheme="minorEastAsia"/>
                <w:b w:val="0"/>
                <w:bCs/>
                <w:color w:val="auto"/>
                <w:sz w:val="24"/>
                <w:highlight w:val="none"/>
              </w:rPr>
              <w:t>不组织。</w:t>
            </w:r>
          </w:p>
        </w:tc>
      </w:tr>
      <w:tr w14:paraId="428D9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0" w:hRule="atLeast"/>
          <w:tblHeader/>
        </w:trPr>
        <w:tc>
          <w:tcPr>
            <w:tcW w:w="629" w:type="dxa"/>
            <w:vMerge w:val="restart"/>
            <w:tcBorders>
              <w:top w:val="single" w:color="auto" w:sz="4" w:space="0"/>
              <w:left w:val="single" w:color="auto" w:sz="4" w:space="0"/>
              <w:right w:val="single" w:color="auto" w:sz="4" w:space="0"/>
            </w:tcBorders>
            <w:vAlign w:val="center"/>
          </w:tcPr>
          <w:p w14:paraId="46C1CBE5">
            <w:pPr>
              <w:snapToGrid w:val="0"/>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1843" w:type="dxa"/>
            <w:vMerge w:val="restart"/>
            <w:tcBorders>
              <w:top w:val="single" w:color="000000" w:sz="8" w:space="0"/>
              <w:left w:val="single" w:color="auto" w:sz="4" w:space="0"/>
              <w:right w:val="single" w:color="000000" w:sz="8" w:space="0"/>
            </w:tcBorders>
            <w:vAlign w:val="center"/>
          </w:tcPr>
          <w:p w14:paraId="0B5A285E">
            <w:pPr>
              <w:snapToGrid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供应商应当提供的资格、资信证明文件</w:t>
            </w:r>
          </w:p>
        </w:tc>
        <w:tc>
          <w:tcPr>
            <w:tcW w:w="6225" w:type="dxa"/>
            <w:tcBorders>
              <w:top w:val="single" w:color="000000" w:sz="8" w:space="0"/>
              <w:left w:val="single" w:color="000000" w:sz="2" w:space="0"/>
              <w:bottom w:val="single" w:color="auto" w:sz="4" w:space="0"/>
              <w:right w:val="single" w:color="000000" w:sz="8" w:space="0"/>
            </w:tcBorders>
            <w:vAlign w:val="center"/>
          </w:tcPr>
          <w:p w14:paraId="49FBA78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（1）资格证明文件：见交易文件第二部分1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p>
          <w:p w14:paraId="08F325C0">
            <w:pPr>
              <w:spacing w:line="360"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kern w:val="0"/>
                <w:sz w:val="24"/>
                <w:highlight w:val="none"/>
                <w:lang w:val="zh-CN"/>
              </w:rPr>
              <w:t>供应商未提供有效的资格证明文件的，视为供应商不具备交易文件中规定的资格要求，响应无效。</w:t>
            </w:r>
          </w:p>
        </w:tc>
      </w:tr>
      <w:tr w14:paraId="3BDF2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96" w:hRule="atLeast"/>
          <w:tblHeader/>
        </w:trPr>
        <w:tc>
          <w:tcPr>
            <w:tcW w:w="629" w:type="dxa"/>
            <w:vMerge w:val="continue"/>
            <w:tcBorders>
              <w:left w:val="single" w:color="auto" w:sz="4" w:space="0"/>
              <w:bottom w:val="single" w:color="auto" w:sz="4" w:space="0"/>
              <w:right w:val="single" w:color="auto" w:sz="4" w:space="0"/>
            </w:tcBorders>
            <w:vAlign w:val="center"/>
          </w:tcPr>
          <w:p w14:paraId="2A63306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90AFBB4">
            <w:pPr>
              <w:snapToGrid w:val="0"/>
              <w:spacing w:line="360" w:lineRule="auto"/>
              <w:jc w:val="center"/>
              <w:rPr>
                <w:rFonts w:hint="eastAsia" w:asciiTheme="minorEastAsia" w:hAnsiTheme="minorEastAsia" w:eastAsiaTheme="minorEastAsia" w:cstheme="minorEastAsia"/>
                <w:b/>
                <w:color w:val="auto"/>
                <w:sz w:val="21"/>
                <w:szCs w:val="21"/>
                <w:highlight w:val="none"/>
              </w:rPr>
            </w:pPr>
          </w:p>
        </w:tc>
        <w:tc>
          <w:tcPr>
            <w:tcW w:w="6225" w:type="dxa"/>
            <w:tcBorders>
              <w:top w:val="single" w:color="auto" w:sz="4" w:space="0"/>
              <w:left w:val="single" w:color="000000" w:sz="2" w:space="0"/>
              <w:bottom w:val="single" w:color="000000" w:sz="8" w:space="0"/>
              <w:right w:val="single" w:color="000000" w:sz="8" w:space="0"/>
            </w:tcBorders>
            <w:vAlign w:val="center"/>
          </w:tcPr>
          <w:p w14:paraId="22EA90E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（2）资信证明文件：根据交易文件第四部分评审标准提供。</w:t>
            </w:r>
          </w:p>
        </w:tc>
      </w:tr>
      <w:tr w14:paraId="30310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B4DAC0A">
            <w:pPr>
              <w:snapToGrid w:val="0"/>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0A031D7">
            <w:pPr>
              <w:snapToGrid w:val="0"/>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报价要求</w:t>
            </w:r>
          </w:p>
        </w:tc>
        <w:tc>
          <w:tcPr>
            <w:tcW w:w="6225" w:type="dxa"/>
            <w:tcBorders>
              <w:top w:val="single" w:color="000000" w:sz="8" w:space="0"/>
              <w:left w:val="single" w:color="000000" w:sz="2" w:space="0"/>
              <w:bottom w:val="single" w:color="000000" w:sz="8" w:space="0"/>
              <w:right w:val="single" w:color="000000" w:sz="8" w:space="0"/>
            </w:tcBorders>
            <w:vAlign w:val="center"/>
          </w:tcPr>
          <w:p w14:paraId="609FAA28">
            <w:pPr>
              <w:spacing w:line="360" w:lineRule="auto"/>
              <w:ind w:firstLine="480" w:firstLineChars="200"/>
              <w:rPr>
                <w:rFonts w:hint="eastAsia" w:asciiTheme="minorEastAsia" w:hAnsiTheme="minorEastAsia" w:eastAsiaTheme="minorEastAsia" w:cstheme="minorEastAsia"/>
                <w:bCs/>
                <w:color w:val="auto"/>
                <w:kern w:val="0"/>
                <w:sz w:val="24"/>
                <w:highlight w:val="none"/>
                <w:lang w:val="zh-CN"/>
              </w:rPr>
            </w:pPr>
            <w:r>
              <w:rPr>
                <w:rFonts w:hint="eastAsia" w:asciiTheme="minorEastAsia" w:hAnsiTheme="minorEastAsia" w:eastAsiaTheme="minorEastAsia" w:cstheme="minorEastAsia"/>
                <w:bCs/>
                <w:color w:val="auto"/>
                <w:kern w:val="0"/>
                <w:sz w:val="24"/>
                <w:highlight w:val="none"/>
                <w:lang w:val="zh-CN"/>
              </w:rPr>
              <w:t>有关本项目实施所需的所有费用（含税费）均计入报价。</w:t>
            </w:r>
            <w:r>
              <w:rPr>
                <w:rFonts w:hint="eastAsia" w:asciiTheme="minorEastAsia" w:hAnsiTheme="minorEastAsia" w:eastAsiaTheme="minorEastAsia" w:cstheme="minorEastAsia"/>
                <w:bCs/>
                <w:color w:val="auto"/>
                <w:kern w:val="0"/>
                <w:sz w:val="24"/>
                <w:highlight w:val="none"/>
              </w:rPr>
              <w:t>交易一览表（报价表）是报价的唯一载体</w:t>
            </w:r>
            <w:r>
              <w:rPr>
                <w:rFonts w:hint="eastAsia" w:asciiTheme="minorEastAsia" w:hAnsiTheme="minorEastAsia" w:eastAsiaTheme="minorEastAsia" w:cstheme="minorEastAsia"/>
                <w:bCs/>
                <w:color w:val="auto"/>
                <w:kern w:val="0"/>
                <w:sz w:val="24"/>
                <w:highlight w:val="none"/>
                <w:lang w:val="zh-CN"/>
              </w:rPr>
              <w:t>。响应文件中价格全部采用人民币报价。交易文件未列明，而供应商认为必需的费用也需列入报价。</w:t>
            </w:r>
          </w:p>
          <w:p w14:paraId="7F68543B">
            <w:pPr>
              <w:spacing w:line="360" w:lineRule="auto"/>
              <w:rPr>
                <w:rFonts w:hint="eastAsia" w:asciiTheme="minorEastAsia" w:hAnsiTheme="minorEastAsia" w:eastAsiaTheme="minorEastAsia" w:cstheme="minorEastAsia"/>
                <w:bCs/>
                <w:color w:val="auto"/>
                <w:kern w:val="0"/>
                <w:sz w:val="24"/>
                <w:highlight w:val="none"/>
                <w:lang w:val="zh-CN"/>
              </w:rPr>
            </w:pPr>
            <w:r>
              <w:rPr>
                <w:rFonts w:hint="eastAsia" w:asciiTheme="minorEastAsia" w:hAnsiTheme="minorEastAsia" w:eastAsiaTheme="minorEastAsia" w:cstheme="minorEastAsia"/>
                <w:bCs/>
                <w:color w:val="auto"/>
                <w:kern w:val="0"/>
                <w:sz w:val="24"/>
                <w:highlight w:val="none"/>
                <w:lang w:val="zh-CN"/>
              </w:rPr>
              <w:t>响应报价出现下列情形的，响应无效：</w:t>
            </w:r>
          </w:p>
          <w:p w14:paraId="31F7A075">
            <w:pPr>
              <w:spacing w:line="360" w:lineRule="auto"/>
              <w:ind w:firstLine="480" w:firstLineChars="200"/>
              <w:rPr>
                <w:rFonts w:hint="eastAsia" w:asciiTheme="minorEastAsia" w:hAnsiTheme="minorEastAsia" w:eastAsiaTheme="minorEastAsia" w:cstheme="minorEastAsia"/>
                <w:bCs/>
                <w:color w:val="auto"/>
                <w:kern w:val="0"/>
                <w:sz w:val="24"/>
                <w:highlight w:val="none"/>
                <w:lang w:val="zh-CN"/>
              </w:rPr>
            </w:pPr>
            <w:r>
              <w:rPr>
                <w:rFonts w:hint="eastAsia" w:asciiTheme="minorEastAsia" w:hAnsiTheme="minorEastAsia" w:eastAsiaTheme="minorEastAsia" w:cstheme="minorEastAsia"/>
                <w:bCs/>
                <w:color w:val="auto"/>
                <w:kern w:val="0"/>
                <w:sz w:val="24"/>
                <w:highlight w:val="none"/>
                <w:lang w:val="zh-CN"/>
              </w:rPr>
              <w:t>响应文件出现不是唯一的、有选择性响应报价的；</w:t>
            </w:r>
          </w:p>
          <w:p w14:paraId="50E0F42C">
            <w:pPr>
              <w:spacing w:line="360" w:lineRule="auto"/>
              <w:ind w:firstLine="480" w:firstLineChars="200"/>
              <w:rPr>
                <w:rFonts w:hint="eastAsia" w:asciiTheme="minorEastAsia" w:hAnsiTheme="minorEastAsia" w:eastAsiaTheme="minorEastAsia" w:cstheme="minorEastAsia"/>
                <w:bCs/>
                <w:color w:val="auto"/>
                <w:kern w:val="0"/>
                <w:sz w:val="24"/>
                <w:highlight w:val="none"/>
                <w:lang w:val="zh-CN"/>
              </w:rPr>
            </w:pPr>
            <w:r>
              <w:rPr>
                <w:rFonts w:hint="eastAsia" w:asciiTheme="minorEastAsia" w:hAnsiTheme="minorEastAsia" w:eastAsiaTheme="minorEastAsia" w:cstheme="minorEastAsia"/>
                <w:bCs/>
                <w:color w:val="auto"/>
                <w:kern w:val="0"/>
                <w:sz w:val="24"/>
                <w:highlight w:val="none"/>
                <w:lang w:val="zh-CN"/>
              </w:rPr>
              <w:t>响应报价超过交易文件中规定的预算金额或者最高限价的；</w:t>
            </w:r>
          </w:p>
          <w:p w14:paraId="2D7E69BB">
            <w:pPr>
              <w:spacing w:line="360" w:lineRule="auto"/>
              <w:ind w:firstLine="480" w:firstLineChars="200"/>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Theme="minorEastAsia" w:hAnsiTheme="minorEastAsia" w:eastAsiaTheme="minorEastAsia" w:cstheme="minorEastAsia"/>
                <w:bCs/>
                <w:color w:val="auto"/>
                <w:kern w:val="0"/>
                <w:sz w:val="24"/>
                <w:highlight w:val="none"/>
                <w:lang w:val="zh-CN"/>
              </w:rPr>
              <w:t>；</w:t>
            </w:r>
          </w:p>
          <w:p w14:paraId="56F612D6">
            <w:pPr>
              <w:spacing w:line="360" w:lineRule="auto"/>
              <w:ind w:firstLine="480" w:firstLineChars="200"/>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供应商对根据修正原则修正后的报价不确认的。</w:t>
            </w:r>
          </w:p>
          <w:p w14:paraId="2FA8C1FB">
            <w:pPr>
              <w:spacing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kern w:val="0"/>
                <w:sz w:val="24"/>
                <w:highlight w:val="none"/>
              </w:rPr>
              <w:t>资格文件、商务技术文件与报价文件未分开制作</w:t>
            </w:r>
            <w:r>
              <w:rPr>
                <w:rFonts w:hint="eastAsia" w:asciiTheme="minorEastAsia" w:hAnsiTheme="minorEastAsia" w:eastAsiaTheme="minorEastAsia" w:cstheme="minorEastAsia"/>
                <w:bCs/>
                <w:color w:val="auto"/>
                <w:sz w:val="24"/>
                <w:highlight w:val="none"/>
              </w:rPr>
              <w:t>。</w:t>
            </w:r>
          </w:p>
        </w:tc>
      </w:tr>
      <w:tr w14:paraId="26977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9"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6B46925">
            <w:pPr>
              <w:snapToGrid w:val="0"/>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E8D5B3A">
            <w:pPr>
              <w:snapToGrid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备份响应文件</w:t>
            </w:r>
          </w:p>
        </w:tc>
        <w:tc>
          <w:tcPr>
            <w:tcW w:w="6225" w:type="dxa"/>
            <w:tcBorders>
              <w:top w:val="single" w:color="000000" w:sz="8" w:space="0"/>
              <w:left w:val="single" w:color="000000" w:sz="2" w:space="0"/>
              <w:bottom w:val="single" w:color="000000" w:sz="8" w:space="0"/>
              <w:right w:val="single" w:color="000000" w:sz="8" w:space="0"/>
            </w:tcBorders>
            <w:vAlign w:val="center"/>
          </w:tcPr>
          <w:p w14:paraId="4CFB50E0">
            <w:pPr>
              <w:pStyle w:val="17"/>
              <w:spacing w:line="360" w:lineRule="auto"/>
              <w:ind w:hanging="4"/>
              <w:rPr>
                <w:rFonts w:hint="eastAsia" w:asciiTheme="minorEastAsia" w:hAnsiTheme="minorEastAsia" w:eastAsiaTheme="minorEastAsia" w:cstheme="minorEastAsia"/>
                <w:color w:val="auto"/>
                <w:kern w:val="28"/>
                <w:sz w:val="24"/>
                <w:highlight w:val="none"/>
              </w:rPr>
            </w:pPr>
            <w:r>
              <w:rPr>
                <w:rFonts w:hint="eastAsia" w:asciiTheme="minorEastAsia" w:hAnsiTheme="minorEastAsia" w:eastAsiaTheme="minorEastAsia" w:cstheme="minorEastAsia"/>
                <w:color w:val="auto"/>
                <w:kern w:val="28"/>
                <w:sz w:val="24"/>
                <w:szCs w:val="24"/>
                <w:highlight w:val="none"/>
              </w:rPr>
              <w:t>备份文件是否收取：不收取。</w:t>
            </w:r>
          </w:p>
        </w:tc>
      </w:tr>
      <w:tr w14:paraId="1BD2C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B831648">
            <w:pPr>
              <w:snapToGrid w:val="0"/>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7E979AF8">
            <w:pPr>
              <w:snapToGrid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采购机构代理费用</w:t>
            </w:r>
          </w:p>
        </w:tc>
        <w:tc>
          <w:tcPr>
            <w:tcW w:w="6225" w:type="dxa"/>
            <w:tcBorders>
              <w:top w:val="single" w:color="000000" w:sz="8" w:space="0"/>
              <w:left w:val="single" w:color="000000" w:sz="2" w:space="0"/>
              <w:bottom w:val="single" w:color="000000" w:sz="8" w:space="0"/>
              <w:right w:val="single" w:color="000000" w:sz="8" w:space="0"/>
            </w:tcBorders>
            <w:vAlign w:val="center"/>
          </w:tcPr>
          <w:p w14:paraId="1D6CF761">
            <w:pPr>
              <w:widowControl/>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采购人支付</w:t>
            </w:r>
          </w:p>
        </w:tc>
      </w:tr>
      <w:tr w14:paraId="214CF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7F2AB0C">
            <w:pPr>
              <w:snapToGrid w:val="0"/>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6FD62DD">
            <w:pPr>
              <w:pageBreakBefore w:val="0"/>
              <w:kinsoku/>
              <w:wordWrap/>
              <w:overflowPunct/>
              <w:topLinePunct w:val="0"/>
              <w:autoSpaceDE/>
              <w:autoSpaceDN/>
              <w:bidi w:val="0"/>
              <w:snapToGrid w:val="0"/>
              <w:spacing w:line="360" w:lineRule="auto"/>
              <w:ind w:left="0" w:leftChars="0"/>
              <w:jc w:val="center"/>
              <w:textAlignment w:val="auto"/>
              <w:rPr>
                <w:rFonts w:hint="eastAsia" w:asciiTheme="minorEastAsia" w:hAnsiTheme="minorEastAsia" w:eastAsiaTheme="minorEastAsia" w:cstheme="minorEastAsia"/>
                <w:b/>
                <w:color w:val="auto"/>
                <w:sz w:val="21"/>
                <w:szCs w:val="21"/>
                <w:highlight w:val="none"/>
              </w:rPr>
            </w:pPr>
            <w:r>
              <w:rPr>
                <w:rFonts w:hint="eastAsia" w:ascii="宋体" w:hAnsi="宋体" w:eastAsia="宋体" w:cs="宋体"/>
                <w:b/>
                <w:color w:val="auto"/>
                <w:sz w:val="24"/>
                <w:highlight w:val="none"/>
                <w:lang w:val="en-US" w:eastAsia="zh-CN"/>
              </w:rPr>
              <w:t>履约保证金</w:t>
            </w:r>
          </w:p>
        </w:tc>
        <w:tc>
          <w:tcPr>
            <w:tcW w:w="6225" w:type="dxa"/>
            <w:tcBorders>
              <w:top w:val="single" w:color="000000" w:sz="8" w:space="0"/>
              <w:left w:val="single" w:color="000000" w:sz="2" w:space="0"/>
              <w:bottom w:val="single" w:color="000000" w:sz="8" w:space="0"/>
              <w:right w:val="single" w:color="000000" w:sz="8" w:space="0"/>
            </w:tcBorders>
            <w:vAlign w:val="center"/>
          </w:tcPr>
          <w:p w14:paraId="6269F645">
            <w:pPr>
              <w:keepNext w:val="0"/>
              <w:keepLines w:val="0"/>
              <w:pageBreakBefore w:val="0"/>
              <w:widowControl/>
              <w:suppressLineNumbers w:val="0"/>
              <w:kinsoku/>
              <w:wordWrap/>
              <w:overflowPunct/>
              <w:topLinePunct w:val="0"/>
              <w:autoSpaceDE/>
              <w:autoSpaceDN/>
              <w:bidi w:val="0"/>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val="en-US" w:eastAsia="zh-CN"/>
              </w:rPr>
              <w:t>不收取</w:t>
            </w:r>
          </w:p>
          <w:p w14:paraId="0D2C99BB">
            <w:pPr>
              <w:keepNext w:val="0"/>
              <w:keepLines w:val="0"/>
              <w:pageBreakBefore w:val="0"/>
              <w:widowControl/>
              <w:suppressLineNumbers w:val="0"/>
              <w:kinsoku/>
              <w:wordWrap/>
              <w:overflowPunct/>
              <w:topLinePunct w:val="0"/>
              <w:autoSpaceDE/>
              <w:autoSpaceDN/>
              <w:bidi w:val="0"/>
              <w:ind w:left="0" w:leftChars="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宋体" w:hAnsi="宋体" w:eastAsia="宋体" w:cs="宋体"/>
                <w:color w:val="auto"/>
                <w:sz w:val="24"/>
                <w:szCs w:val="24"/>
                <w:highlight w:val="none"/>
              </w:rPr>
              <w:t>供应商应当以支票、汇票、本票或者金融机构、担保机构出具的保函等非现金形式提交。</w:t>
            </w:r>
          </w:p>
        </w:tc>
      </w:tr>
      <w:tr w14:paraId="5FB2F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8AFF936">
            <w:pPr>
              <w:snapToGrid w:val="0"/>
              <w:spacing w:line="360" w:lineRule="auto"/>
              <w:jc w:val="center"/>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52E6A817">
            <w:pPr>
              <w:snapToGrid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资格审查和信用信息审查</w:t>
            </w:r>
          </w:p>
        </w:tc>
        <w:tc>
          <w:tcPr>
            <w:tcW w:w="6225" w:type="dxa"/>
            <w:tcBorders>
              <w:top w:val="single" w:color="000000" w:sz="8" w:space="0"/>
              <w:left w:val="single" w:color="000000" w:sz="2" w:space="0"/>
              <w:bottom w:val="single" w:color="000000" w:sz="8" w:space="0"/>
              <w:right w:val="single" w:color="000000" w:sz="8" w:space="0"/>
            </w:tcBorders>
            <w:vAlign w:val="center"/>
          </w:tcPr>
          <w:p w14:paraId="12F2D36E">
            <w:pPr>
              <w:snapToGrid w:val="0"/>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snapToGrid w:val="0"/>
                <w:color w:val="auto"/>
                <w:kern w:val="28"/>
                <w:sz w:val="24"/>
                <w:szCs w:val="20"/>
                <w:highlight w:val="none"/>
              </w:rPr>
              <w:t>本项目由采购人进行资格文件及信用信息查询。</w:t>
            </w:r>
          </w:p>
        </w:tc>
      </w:tr>
      <w:tr w14:paraId="50CA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4985CCA">
            <w:pPr>
              <w:snapToGrid w:val="0"/>
              <w:spacing w:line="360" w:lineRule="auto"/>
              <w:jc w:val="center"/>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5AF4893B">
            <w:pPr>
              <w:snapToGrid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质疑接收人及答复</w:t>
            </w:r>
          </w:p>
        </w:tc>
        <w:tc>
          <w:tcPr>
            <w:tcW w:w="6225" w:type="dxa"/>
            <w:tcBorders>
              <w:top w:val="single" w:color="000000" w:sz="8" w:space="0"/>
              <w:left w:val="single" w:color="000000" w:sz="2" w:space="0"/>
              <w:bottom w:val="single" w:color="000000" w:sz="8" w:space="0"/>
              <w:right w:val="single" w:color="000000" w:sz="8" w:space="0"/>
            </w:tcBorders>
            <w:vAlign w:val="center"/>
          </w:tcPr>
          <w:p w14:paraId="275E341D">
            <w:pPr>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采购机构质疑接收人：</w:t>
            </w:r>
            <w:r>
              <w:rPr>
                <w:rFonts w:hint="eastAsia" w:asciiTheme="minorEastAsia" w:hAnsiTheme="minorEastAsia" w:eastAsiaTheme="minorEastAsia" w:cstheme="minorEastAsia"/>
                <w:sz w:val="24"/>
                <w:u w:val="single"/>
                <w:lang w:val="en-US" w:eastAsia="zh-CN"/>
              </w:rPr>
              <w:t>叶素秀</w:t>
            </w: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kern w:val="0"/>
                <w:sz w:val="24"/>
                <w:highlight w:val="none"/>
                <w:u w:val="single"/>
                <w:lang w:val="en-US" w:eastAsia="zh-CN"/>
              </w:rPr>
              <w:t>15957102911</w:t>
            </w: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杭州市钱塘区义蓬街道义蓬路114号农商银行3楼</w:t>
            </w:r>
          </w:p>
          <w:p w14:paraId="0265F741">
            <w:pPr>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邮箱：</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1157082102</w:t>
            </w:r>
            <w:r>
              <w:rPr>
                <w:rFonts w:hint="eastAsia" w:asciiTheme="minorEastAsia" w:hAnsiTheme="minorEastAsia" w:eastAsiaTheme="minorEastAsia" w:cstheme="minorEastAsia"/>
                <w:sz w:val="24"/>
                <w:u w:val="single"/>
              </w:rPr>
              <w:t xml:space="preserve">@qq.com  </w:t>
            </w:r>
          </w:p>
          <w:p w14:paraId="114B8B65">
            <w:pPr>
              <w:snapToGrid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如通过邮箱方式发送质疑，须提交符合法规及交易文件要求的质疑文件（参考附件</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），盖章扫描后发送，质疑的受理按答复主体划分以采购人或采购机构邮箱回复确认受理为准。</w:t>
            </w:r>
          </w:p>
          <w:p w14:paraId="46187586">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本项目涉及资格条件、采购需求、评分办法及采购过程中有关现场考察或交易前答疑会事项由采购人进行答复。</w:t>
            </w:r>
          </w:p>
          <w:p w14:paraId="68C024AB">
            <w:pPr>
              <w:pStyle w:val="17"/>
              <w:spacing w:line="360" w:lineRule="auto"/>
              <w:ind w:hanging="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涉及流程组织等相关事项，由采购机构进行答复。</w:t>
            </w:r>
          </w:p>
        </w:tc>
      </w:tr>
      <w:tr w14:paraId="1C72D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76364DD">
            <w:pPr>
              <w:snapToGrid w:val="0"/>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15  </w:t>
            </w:r>
          </w:p>
        </w:tc>
        <w:tc>
          <w:tcPr>
            <w:tcW w:w="1843" w:type="dxa"/>
            <w:tcBorders>
              <w:top w:val="single" w:color="000000" w:sz="8" w:space="0"/>
              <w:left w:val="single" w:color="000000" w:sz="2" w:space="0"/>
              <w:bottom w:val="single" w:color="000000" w:sz="8" w:space="0"/>
              <w:right w:val="single" w:color="000000" w:sz="8" w:space="0"/>
            </w:tcBorders>
            <w:vAlign w:val="center"/>
          </w:tcPr>
          <w:p w14:paraId="3D6E16D5">
            <w:pPr>
              <w:snapToGrid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特别说明</w:t>
            </w:r>
          </w:p>
        </w:tc>
        <w:tc>
          <w:tcPr>
            <w:tcW w:w="6225" w:type="dxa"/>
            <w:tcBorders>
              <w:top w:val="single" w:color="000000" w:sz="8" w:space="0"/>
              <w:left w:val="single" w:color="000000" w:sz="2" w:space="0"/>
              <w:bottom w:val="single" w:color="000000" w:sz="8" w:space="0"/>
              <w:right w:val="single" w:color="000000" w:sz="8" w:space="0"/>
            </w:tcBorders>
            <w:vAlign w:val="center"/>
          </w:tcPr>
          <w:p w14:paraId="3F6019F9">
            <w:pPr>
              <w:spacing w:line="360" w:lineRule="auto"/>
              <w:ind w:firstLine="482" w:firstLineChars="200"/>
              <w:rPr>
                <w:rFonts w:hint="eastAsia" w:asciiTheme="minorEastAsia" w:hAnsiTheme="minorEastAsia" w:eastAsiaTheme="minorEastAsia" w:cstheme="minorEastAsia"/>
                <w:snapToGrid w:val="0"/>
                <w:color w:val="auto"/>
                <w:kern w:val="28"/>
                <w:sz w:val="24"/>
                <w:highlight w:val="none"/>
                <w:lang w:eastAsia="zh-CN"/>
              </w:rPr>
            </w:pPr>
            <w:r>
              <w:rPr>
                <w:rFonts w:hint="eastAsia" w:asciiTheme="minorEastAsia" w:hAnsiTheme="minorEastAsia" w:eastAsiaTheme="minorEastAsia" w:cstheme="minorEastAsia"/>
                <w:b/>
                <w:color w:val="auto"/>
                <w:sz w:val="24"/>
                <w:highlight w:val="none"/>
              </w:rPr>
              <w:t>本项目通用总则条款与前附表等专用特别规定有冲突之处，以专用条款（特别规定）为准</w:t>
            </w:r>
            <w:r>
              <w:rPr>
                <w:rFonts w:hint="eastAsia" w:asciiTheme="minorEastAsia" w:hAnsiTheme="minorEastAsia" w:eastAsiaTheme="minorEastAsia" w:cstheme="minorEastAsia"/>
                <w:b/>
                <w:color w:val="auto"/>
                <w:sz w:val="24"/>
                <w:highlight w:val="none"/>
                <w:lang w:eastAsia="zh-CN"/>
              </w:rPr>
              <w:t>。</w:t>
            </w:r>
          </w:p>
        </w:tc>
      </w:tr>
    </w:tbl>
    <w:p w14:paraId="08BD2716">
      <w:pPr>
        <w:snapToGrid w:val="0"/>
        <w:spacing w:line="360" w:lineRule="auto"/>
        <w:jc w:val="center"/>
        <w:rPr>
          <w:rFonts w:hint="eastAsia" w:asciiTheme="minorEastAsia" w:hAnsiTheme="minorEastAsia" w:eastAsiaTheme="minorEastAsia" w:cstheme="minorEastAsia"/>
          <w:b/>
          <w:color w:val="auto"/>
          <w:sz w:val="32"/>
          <w:szCs w:val="20"/>
          <w:highlight w:val="none"/>
        </w:rPr>
      </w:pPr>
    </w:p>
    <w:bookmarkEnd w:id="10"/>
    <w:p w14:paraId="74AB0691">
      <w:pPr>
        <w:rPr>
          <w:rFonts w:hint="eastAsia" w:asciiTheme="minorEastAsia" w:hAnsiTheme="minorEastAsia" w:eastAsiaTheme="minorEastAsia" w:cstheme="minorEastAsia"/>
          <w:b/>
          <w:color w:val="auto"/>
          <w:sz w:val="32"/>
          <w:szCs w:val="20"/>
          <w:highlight w:val="none"/>
        </w:rPr>
      </w:pPr>
      <w:bookmarkStart w:id="13" w:name="_Toc164416483"/>
      <w:bookmarkStart w:id="14" w:name="第三部分"/>
      <w:r>
        <w:rPr>
          <w:rFonts w:hint="eastAsia" w:asciiTheme="minorEastAsia" w:hAnsiTheme="minorEastAsia" w:eastAsiaTheme="minorEastAsia" w:cstheme="minorEastAsia"/>
          <w:b/>
          <w:color w:val="auto"/>
          <w:sz w:val="32"/>
          <w:szCs w:val="20"/>
          <w:highlight w:val="none"/>
        </w:rPr>
        <w:br w:type="page"/>
      </w:r>
    </w:p>
    <w:p w14:paraId="010D9F39">
      <w:pPr>
        <w:adjustRightInd/>
        <w:spacing w:line="360" w:lineRule="auto"/>
        <w:ind w:firstLine="3845" w:firstLineChars="1197"/>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一、总则</w:t>
      </w:r>
    </w:p>
    <w:p w14:paraId="02141816">
      <w:pPr>
        <w:snapToGrid w:val="0"/>
        <w:spacing w:line="360" w:lineRule="auto"/>
        <w:ind w:firstLine="361" w:firstLineChars="150"/>
        <w:jc w:val="left"/>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适用范围</w:t>
      </w:r>
    </w:p>
    <w:p w14:paraId="500B0EE8">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本交易文件适用于该项目的交易、资格审查及信用信息查询、评审、定标、合同、验收等行为（法律、法规另有规定的，从其规定）。</w:t>
      </w:r>
    </w:p>
    <w:p w14:paraId="320342C6">
      <w:pPr>
        <w:adjustRightInd/>
        <w:spacing w:line="360" w:lineRule="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   2.定义</w:t>
      </w:r>
    </w:p>
    <w:p w14:paraId="53CFE2D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“采购人”系指交易公告中载明的本项目的采购人。</w:t>
      </w:r>
    </w:p>
    <w:p w14:paraId="688D71E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“采购代理机构”系指交易公告中载明的本项目的采购代理机构。</w:t>
      </w:r>
    </w:p>
    <w:p w14:paraId="32B9F17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“供应商”系指是指响应交易、参加交易竞争的法人、其他组织或者自然人。</w:t>
      </w:r>
    </w:p>
    <w:p w14:paraId="6C02471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“负责人”系指法人企业的法定负责人，或其他组织为法律、行政法规规定代表单位行使职权的主要负责人，或自然人本人。</w:t>
      </w:r>
    </w:p>
    <w:p w14:paraId="77631B1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电子签名”系指数据电文中以电子形式所含、所附用于识别签名人身份并表明签名人认可其中内容的数据，供应商电子签名指供应商电子公章；“公章”系指单位法定名称章。因特殊原因需要使用冠以法定名称的业务专用章的，交易时须提供《业务专用章使用说明函》（附件</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p>
    <w:p w14:paraId="4C9A71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2.6“电子交易平台”是指本项目采购活动所依托的</w:t>
      </w:r>
      <w:r>
        <w:rPr>
          <w:rFonts w:hint="eastAsia" w:asciiTheme="minorEastAsia" w:hAnsiTheme="minorEastAsia" w:eastAsiaTheme="minorEastAsia" w:cstheme="minorEastAsia"/>
          <w:color w:val="auto"/>
          <w:sz w:val="24"/>
          <w:highlight w:val="none"/>
          <w:lang w:eastAsia="zh-CN"/>
        </w:rPr>
        <w:t>乐采</w:t>
      </w:r>
      <w:r>
        <w:rPr>
          <w:rFonts w:hint="eastAsia" w:asciiTheme="minorEastAsia" w:hAnsiTheme="minorEastAsia" w:eastAsiaTheme="minorEastAsia" w:cstheme="minorEastAsia"/>
          <w:color w:val="auto"/>
          <w:sz w:val="24"/>
          <w:highlight w:val="none"/>
        </w:rPr>
        <w:t>云平台（https://www.zcygov.cn/）。</w:t>
      </w:r>
    </w:p>
    <w:p w14:paraId="19D7969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 “▲” 系指实质性要求条款，“（</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 系指适用本项目的要求，“（  ）”系指不适用本项目的要求。</w:t>
      </w:r>
    </w:p>
    <w:p w14:paraId="5691502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highlight w:val="none"/>
        </w:rPr>
        <w:t xml:space="preserve"> 询问、质疑、投诉</w:t>
      </w:r>
    </w:p>
    <w:p w14:paraId="643E7856">
      <w:pPr>
        <w:autoSpaceDE w:val="0"/>
        <w:autoSpaceDN w:val="0"/>
        <w:spacing w:line="360" w:lineRule="auto"/>
        <w:ind w:firstLine="240" w:firstLineChars="1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.1供应商询问</w:t>
      </w:r>
    </w:p>
    <w:p w14:paraId="03FD51A9">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对采购活动事项有疑问的，可以提出询问，采购人或者采购代理机构应当在3日内对供应商依法提出的询问作出答复，但答复的内容不得涉及商业秘密。供应商提出的询问超出采购人对采购代理机构委托授权范围的，采购代理机构应当告知供应商向采购人提出。</w:t>
      </w:r>
    </w:p>
    <w:p w14:paraId="65B85184">
      <w:pPr>
        <w:autoSpaceDE w:val="0"/>
        <w:autoSpaceDN w:val="0"/>
        <w:spacing w:line="360" w:lineRule="auto"/>
        <w:ind w:firstLine="240" w:firstLineChars="1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.2供应商质疑</w:t>
      </w:r>
    </w:p>
    <w:p w14:paraId="206B5D7D">
      <w:pPr>
        <w:pStyle w:val="17"/>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w:t>
      </w:r>
      <w:r>
        <w:rPr>
          <w:rFonts w:hint="eastAsia" w:asciiTheme="minorEastAsia" w:hAnsiTheme="minorEastAsia" w:eastAsiaTheme="minorEastAsia" w:cstheme="minorEastAsia"/>
          <w:color w:val="auto"/>
          <w:sz w:val="24"/>
          <w:highlight w:val="none"/>
        </w:rPr>
        <w:t>.1提出质疑的供应商应当是参与所质疑项目采购活动的供应商。潜在供应商已依法获取其可质疑的交易文件的，可以对该文件提出质疑。</w:t>
      </w:r>
    </w:p>
    <w:p w14:paraId="27DB4481">
      <w:pPr>
        <w:pStyle w:val="17"/>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w:t>
      </w:r>
      <w:r>
        <w:rPr>
          <w:rFonts w:hint="eastAsia" w:asciiTheme="minorEastAsia" w:hAnsiTheme="minorEastAsia" w:eastAsiaTheme="minorEastAsia" w:cstheme="minorEastAsia"/>
          <w:color w:val="auto"/>
          <w:sz w:val="24"/>
          <w:highlight w:val="none"/>
        </w:rPr>
        <w:t>.2供应商认为交易文件、采购过程和成交结果使自己的权益受到损害的，可以在知道或者应知其权益受到损害之日起3日内，以书面形式向采购人或者采购机构提出质疑，否则，采购人或者采购机构不予受理：</w:t>
      </w:r>
    </w:p>
    <w:p w14:paraId="1DAC1C27">
      <w:pPr>
        <w:pStyle w:val="16"/>
        <w:spacing w:line="360" w:lineRule="auto"/>
        <w:ind w:firstLine="480" w:firstLineChars="20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3</w:t>
      </w:r>
      <w:r>
        <w:rPr>
          <w:rFonts w:hint="eastAsia" w:asciiTheme="minorEastAsia" w:hAnsiTheme="minorEastAsia" w:eastAsiaTheme="minorEastAsia" w:cstheme="minorEastAsia"/>
          <w:color w:val="auto"/>
          <w:kern w:val="2"/>
          <w:sz w:val="24"/>
          <w:highlight w:val="none"/>
        </w:rPr>
        <w:t>.2.2.1对交易文件提出质疑的，质疑期限为供应商获得交易文件之日或者交易文件公告期限届满之日起计算。</w:t>
      </w:r>
    </w:p>
    <w:p w14:paraId="73EB66B6">
      <w:pPr>
        <w:pStyle w:val="17"/>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.2.2.2对采购过程提出质疑的，质疑期限为各采购程序环节结束之日起计算。对同一采购程序环节的质疑，供应商须一次性提出。</w:t>
      </w:r>
    </w:p>
    <w:p w14:paraId="0F216C1A">
      <w:pPr>
        <w:pStyle w:val="17"/>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.2.2.3对采购结果提出质疑的，质疑期限自采购结果公告期限届满之日起计算。</w:t>
      </w:r>
    </w:p>
    <w:p w14:paraId="72262131">
      <w:pPr>
        <w:pStyle w:val="17"/>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.2.3</w:t>
      </w:r>
      <w:r>
        <w:rPr>
          <w:rFonts w:hint="eastAsia" w:asciiTheme="minorEastAsia" w:hAnsiTheme="minorEastAsia" w:eastAsiaTheme="minorEastAsia" w:cstheme="minorEastAsia"/>
          <w:color w:val="auto"/>
          <w:sz w:val="24"/>
          <w:highlight w:val="none"/>
        </w:rPr>
        <w:t>供应商提出质疑应当提交质疑函和必要的证明材料。质疑函应当包括下列内容：</w:t>
      </w:r>
    </w:p>
    <w:p w14:paraId="537628F5">
      <w:pPr>
        <w:pStyle w:val="17"/>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.2.3.1供应商的姓名或者名称、地址、邮编、联系人及联系电话；</w:t>
      </w:r>
    </w:p>
    <w:p w14:paraId="6DA1AB0A">
      <w:pPr>
        <w:pStyle w:val="17"/>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.2.3.2质疑项目的名称、编号；</w:t>
      </w:r>
    </w:p>
    <w:p w14:paraId="511B11D0">
      <w:pPr>
        <w:pStyle w:val="17"/>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.2.3.3具体、明确的质疑事项和与质疑事项相关的请求；</w:t>
      </w:r>
    </w:p>
    <w:p w14:paraId="4D4A703C">
      <w:pPr>
        <w:pStyle w:val="17"/>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.2.3.4事实依据；</w:t>
      </w:r>
    </w:p>
    <w:p w14:paraId="23C94769">
      <w:pPr>
        <w:pStyle w:val="17"/>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.2.3.5必要的法律依据；</w:t>
      </w:r>
    </w:p>
    <w:p w14:paraId="2854AF3A">
      <w:pPr>
        <w:pStyle w:val="17"/>
        <w:spacing w:line="360" w:lineRule="auto"/>
        <w:ind w:firstLine="960" w:firstLineChars="4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.2.3.6提出质疑的日期。</w:t>
      </w:r>
    </w:p>
    <w:p w14:paraId="106CAA70">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37FF72A">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质疑函范本及制作说明详见附件</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w:t>
      </w:r>
    </w:p>
    <w:p w14:paraId="7382A810">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.4采购人或者采购机构应当在收到供应商的书面质疑后3个工作日内作出答复，并以书面形式通知质疑供应商和其他与质疑处理结果有利害关系的采购当事人，但答复的内容不得涉及商业秘密。</w:t>
      </w:r>
    </w:p>
    <w:p w14:paraId="5B1875DE">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.5询问或者质疑事项可能影响采购结果的，采购人应当暂停签订合同，已经签订合同的，应当中止履行合同。</w:t>
      </w:r>
    </w:p>
    <w:p w14:paraId="0140B342">
      <w:pPr>
        <w:pStyle w:val="889"/>
        <w:shd w:val="clear" w:color="auto" w:fill="FFFFFF"/>
        <w:snapToGrid w:val="0"/>
        <w:spacing w:after="240" w:afterAutospacing="0" w:line="360" w:lineRule="auto"/>
        <w:ind w:firstLine="480" w:firstLineChars="200"/>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val="zh-CN"/>
        </w:rPr>
        <w:t>.3供应商投诉</w:t>
      </w:r>
    </w:p>
    <w:p w14:paraId="252B4910">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.3.1质疑供应商对采购人、采购机构的答复不满意或者采购人、采购机构未在规定的时间内作出答复的，可以在答复期满后十个工作日内向</w:t>
      </w:r>
      <w:r>
        <w:rPr>
          <w:rFonts w:hint="eastAsia" w:asciiTheme="minorEastAsia" w:hAnsiTheme="minorEastAsia" w:eastAsiaTheme="minorEastAsia" w:cstheme="minorEastAsia"/>
          <w:color w:val="auto"/>
          <w:highlight w:val="none"/>
          <w:lang w:eastAsia="zh-CN"/>
        </w:rPr>
        <w:t>基层</w:t>
      </w:r>
      <w:r>
        <w:rPr>
          <w:rFonts w:hint="eastAsia" w:asciiTheme="minorEastAsia" w:hAnsiTheme="minorEastAsia" w:eastAsiaTheme="minorEastAsia" w:cstheme="minorEastAsia"/>
          <w:color w:val="auto"/>
          <w:highlight w:val="none"/>
        </w:rPr>
        <w:t>监督管理部门提出投诉。</w:t>
      </w:r>
    </w:p>
    <w:p w14:paraId="5BD1A800">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供应商投诉的事项不得超出已质疑事项的范围，基于质疑答复内容提出的投诉事项除外。</w:t>
      </w:r>
    </w:p>
    <w:p w14:paraId="6E0C9AA2">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.3.3供应商投诉应当有明确的请求和必要的证明材料。</w:t>
      </w:r>
    </w:p>
    <w:p w14:paraId="113CFC96">
      <w:pPr>
        <w:pStyle w:val="889"/>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投诉书范本及制作说明详见附件</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p>
    <w:p w14:paraId="1E951766">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 xml:space="preserve">      二、交易文件的构成、澄清、修改</w:t>
      </w:r>
    </w:p>
    <w:p w14:paraId="0FD5710A">
      <w:pPr>
        <w:pStyle w:val="17"/>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．交易文件的构成</w:t>
      </w:r>
    </w:p>
    <w:p w14:paraId="68B6A7B1">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 交易文件包括下列文件及附件：</w:t>
      </w:r>
    </w:p>
    <w:p w14:paraId="7E696A59">
      <w:pPr>
        <w:pStyle w:val="17"/>
        <w:tabs>
          <w:tab w:val="left" w:pos="840"/>
        </w:tabs>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.1.1交易公告；</w:t>
      </w:r>
    </w:p>
    <w:p w14:paraId="6EAF046C">
      <w:pPr>
        <w:pStyle w:val="17"/>
        <w:tabs>
          <w:tab w:val="left" w:pos="840"/>
        </w:tabs>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.1.2供应商须知；</w:t>
      </w:r>
    </w:p>
    <w:p w14:paraId="233E6475">
      <w:pPr>
        <w:pStyle w:val="17"/>
        <w:tabs>
          <w:tab w:val="left" w:pos="840"/>
        </w:tabs>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.1.3采购需求；</w:t>
      </w:r>
    </w:p>
    <w:p w14:paraId="3B4C89A3">
      <w:pPr>
        <w:pStyle w:val="17"/>
        <w:tabs>
          <w:tab w:val="left" w:pos="840"/>
        </w:tabs>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.1.4评审办法；</w:t>
      </w:r>
    </w:p>
    <w:p w14:paraId="25B29806">
      <w:pPr>
        <w:pStyle w:val="17"/>
        <w:tabs>
          <w:tab w:val="left" w:pos="840"/>
        </w:tabs>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.1.5应提交的有关格式范例。</w:t>
      </w:r>
    </w:p>
    <w:p w14:paraId="0442469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.2与本项目有关的</w:t>
      </w:r>
      <w:r>
        <w:rPr>
          <w:rFonts w:hint="eastAsia" w:asciiTheme="minorEastAsia" w:hAnsiTheme="minorEastAsia" w:eastAsiaTheme="minorEastAsia" w:cstheme="minorEastAsia"/>
          <w:bCs/>
          <w:color w:val="auto"/>
          <w:sz w:val="24"/>
          <w:highlight w:val="none"/>
        </w:rPr>
        <w:t>澄清或者修改的内容为交易文件的组成部分</w:t>
      </w:r>
      <w:r>
        <w:rPr>
          <w:rFonts w:hint="eastAsia" w:asciiTheme="minorEastAsia" w:hAnsiTheme="minorEastAsia" w:eastAsiaTheme="minorEastAsia" w:cstheme="minorEastAsia"/>
          <w:color w:val="auto"/>
          <w:sz w:val="24"/>
          <w:highlight w:val="none"/>
        </w:rPr>
        <w:t>。</w:t>
      </w:r>
    </w:p>
    <w:p w14:paraId="3748C73F">
      <w:pPr>
        <w:pStyle w:val="17"/>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 交易文件的澄清、修改</w:t>
      </w:r>
    </w:p>
    <w:p w14:paraId="721F4815">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.1已获取交易文件的潜在供应商，若有问题需要澄清，应于交易截止时间前，以书面形式向采购机构提出。</w:t>
      </w:r>
    </w:p>
    <w:p w14:paraId="04D7E20A">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.2 采购机构对交易文件进行澄清或修改的，将同时通过电子交易平台通知已获取交易文件的潜在供应商。依法应当公告的，将按规定公告，同时视情况延长交易截止时间和交易时间。该澄清或者修改的内容为交易文件的组成部分。</w:t>
      </w:r>
    </w:p>
    <w:p w14:paraId="7BF1A954">
      <w:pPr>
        <w:pStyle w:val="25"/>
        <w:rPr>
          <w:rFonts w:hint="eastAsia" w:asciiTheme="minorEastAsia" w:hAnsiTheme="minorEastAsia" w:eastAsiaTheme="minorEastAsia" w:cstheme="minorEastAsia"/>
          <w:color w:val="auto"/>
          <w:sz w:val="18"/>
          <w:szCs w:val="18"/>
          <w:highlight w:val="none"/>
          <w:lang w:val="en-US"/>
        </w:rPr>
      </w:pPr>
      <w:r>
        <w:rPr>
          <w:rFonts w:hint="eastAsia" w:asciiTheme="minorEastAsia" w:hAnsiTheme="minorEastAsia" w:eastAsiaTheme="minorEastAsia" w:cstheme="minorEastAsia"/>
          <w:color w:val="auto"/>
          <w:szCs w:val="24"/>
          <w:highlight w:val="none"/>
          <w:lang w:val="en-US"/>
        </w:rPr>
        <w:t xml:space="preserve">    </w:t>
      </w:r>
    </w:p>
    <w:p w14:paraId="2C15A398">
      <w:pPr>
        <w:adjustRightInd/>
        <w:spacing w:line="360" w:lineRule="auto"/>
        <w:jc w:val="center"/>
        <w:outlineLvl w:val="0"/>
        <w:rPr>
          <w:rFonts w:hint="eastAsia" w:asciiTheme="minorEastAsia" w:hAnsiTheme="minorEastAsia" w:eastAsiaTheme="minorEastAsia" w:cstheme="minorEastAsia"/>
          <w:b/>
          <w:color w:val="auto"/>
          <w:sz w:val="30"/>
          <w:szCs w:val="20"/>
          <w:highlight w:val="none"/>
        </w:rPr>
      </w:pPr>
      <w:r>
        <w:rPr>
          <w:rFonts w:hint="eastAsia" w:asciiTheme="minorEastAsia" w:hAnsiTheme="minorEastAsia" w:eastAsiaTheme="minorEastAsia" w:cstheme="minorEastAsia"/>
          <w:b/>
          <w:color w:val="auto"/>
          <w:sz w:val="30"/>
          <w:szCs w:val="20"/>
          <w:highlight w:val="none"/>
        </w:rPr>
        <w:t>三、交易</w:t>
      </w:r>
    </w:p>
    <w:p w14:paraId="37820EE7">
      <w:pPr>
        <w:pStyle w:val="17"/>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 交易文件的获取</w:t>
      </w:r>
    </w:p>
    <w:p w14:paraId="24F49B69">
      <w:pPr>
        <w:spacing w:line="360" w:lineRule="auto"/>
        <w:ind w:firstLine="480" w:firstLineChars="200"/>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snapToGrid w:val="0"/>
          <w:color w:val="auto"/>
          <w:kern w:val="28"/>
          <w:sz w:val="24"/>
          <w:highlight w:val="none"/>
        </w:rPr>
        <w:t>详见交易公告中获取交易文件的时间期限、地点、方式及交易文件售价。</w:t>
      </w:r>
    </w:p>
    <w:p w14:paraId="1D46FB19">
      <w:pPr>
        <w:pStyle w:val="17"/>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.交易前答疑会或现场考察</w:t>
      </w:r>
    </w:p>
    <w:p w14:paraId="00E89E7C">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采购人组织潜在供应商现场考察或者召开交易前答疑会的，潜在供应商按第二部分供应商须知前附表的规定参加现场考察或者交易前答疑会。</w:t>
      </w:r>
    </w:p>
    <w:p w14:paraId="526C8406">
      <w:pPr>
        <w:pStyle w:val="17"/>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kern w:val="28"/>
          <w:sz w:val="24"/>
          <w:szCs w:val="24"/>
          <w:highlight w:val="none"/>
          <w:lang w:val="en-US" w:eastAsia="zh-CN"/>
        </w:rPr>
        <w:t>8</w:t>
      </w:r>
      <w:r>
        <w:rPr>
          <w:rFonts w:hint="eastAsia" w:asciiTheme="minorEastAsia" w:hAnsiTheme="minorEastAsia" w:eastAsiaTheme="minorEastAsia" w:cstheme="minorEastAsia"/>
          <w:b/>
          <w:color w:val="auto"/>
          <w:kern w:val="28"/>
          <w:sz w:val="24"/>
          <w:szCs w:val="24"/>
          <w:highlight w:val="none"/>
        </w:rPr>
        <w:t>.交易保证金</w:t>
      </w:r>
    </w:p>
    <w:p w14:paraId="27504BD3">
      <w:pPr>
        <w:pStyle w:val="16"/>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本项目不需缴纳交易保证金。</w:t>
      </w:r>
    </w:p>
    <w:p w14:paraId="2AF29BAC">
      <w:pPr>
        <w:pStyle w:val="17"/>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响应文件的语言</w:t>
      </w:r>
    </w:p>
    <w:p w14:paraId="27497430">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响应文件及供应商与采购有关的来往通知、函件和文件均应使用中文。</w:t>
      </w:r>
    </w:p>
    <w:p w14:paraId="58A1F1F1">
      <w:pPr>
        <w:pStyle w:val="17"/>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 响应文件的组成</w:t>
      </w:r>
    </w:p>
    <w:p w14:paraId="0FDBEE1C">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
          <w:color w:val="auto"/>
          <w:sz w:val="24"/>
          <w:highlight w:val="none"/>
        </w:rPr>
        <w:t>资格文件</w:t>
      </w:r>
      <w:r>
        <w:rPr>
          <w:rFonts w:hint="eastAsia" w:asciiTheme="minorEastAsia" w:hAnsiTheme="minorEastAsia" w:eastAsiaTheme="minorEastAsia" w:cstheme="minorEastAsia"/>
          <w:color w:val="auto"/>
          <w:sz w:val="24"/>
          <w:highlight w:val="none"/>
        </w:rPr>
        <w:t>：</w:t>
      </w:r>
    </w:p>
    <w:p w14:paraId="195972EB">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.1.1符合参加采购活动应当具备的一般条件的承诺函；</w:t>
      </w:r>
    </w:p>
    <w:p w14:paraId="3F62BFE4">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 xml:space="preserve">.1.2落实政府采购政策需满足的资格要求； </w:t>
      </w:r>
    </w:p>
    <w:p w14:paraId="578694C2">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.1.3本项目的特定资格要求。</w:t>
      </w:r>
    </w:p>
    <w:p w14:paraId="411B8134">
      <w:pPr>
        <w:snapToGrid w:val="0"/>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b/>
          <w:bCs/>
          <w:color w:val="auto"/>
          <w:sz w:val="24"/>
          <w:highlight w:val="none"/>
        </w:rPr>
        <w:t>商务技术</w:t>
      </w:r>
      <w:r>
        <w:rPr>
          <w:rFonts w:hint="eastAsia" w:asciiTheme="minorEastAsia" w:hAnsiTheme="minorEastAsia" w:eastAsiaTheme="minorEastAsia" w:cstheme="minorEastAsia"/>
          <w:b/>
          <w:bCs/>
          <w:color w:val="auto"/>
          <w:sz w:val="24"/>
          <w:highlight w:val="none"/>
          <w:lang w:val="zh-CN"/>
        </w:rPr>
        <w:t>文件：</w:t>
      </w:r>
    </w:p>
    <w:p w14:paraId="1188005B">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.2.1响应函；</w:t>
      </w:r>
      <w:r>
        <w:rPr>
          <w:rFonts w:hint="eastAsia" w:asciiTheme="minorEastAsia" w:hAnsiTheme="minorEastAsia" w:eastAsiaTheme="minorEastAsia" w:cstheme="minorEastAsia"/>
          <w:color w:val="auto"/>
          <w:sz w:val="24"/>
          <w:highlight w:val="none"/>
          <w:lang w:val="zh-CN"/>
        </w:rPr>
        <w:t xml:space="preserve"> </w:t>
      </w:r>
    </w:p>
    <w:p w14:paraId="0850C269">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.2.2授权委托书或法定代表人（单位负责人、自然人本人）身份证明；</w:t>
      </w:r>
    </w:p>
    <w:p w14:paraId="647E4A1E">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.2.3符合性审查资料；</w:t>
      </w:r>
    </w:p>
    <w:p w14:paraId="55470DF9">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.2.4评审标准相应的商务技术资料；</w:t>
      </w:r>
    </w:p>
    <w:p w14:paraId="54C2E157">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.2.5交易标的清单；</w:t>
      </w:r>
    </w:p>
    <w:p w14:paraId="1161E96D">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.2.6商务技术偏离表；</w:t>
      </w:r>
    </w:p>
    <w:p w14:paraId="29E53135">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.2.7</w:t>
      </w:r>
      <w:r>
        <w:rPr>
          <w:rFonts w:hint="eastAsia" w:asciiTheme="minorEastAsia" w:hAnsiTheme="minorEastAsia" w:eastAsiaTheme="minorEastAsia" w:cstheme="minorEastAsia"/>
          <w:color w:val="auto"/>
          <w:sz w:val="24"/>
          <w:highlight w:val="none"/>
          <w:lang w:val="zh-CN"/>
        </w:rPr>
        <w:t>采购供应商廉洁自律承诺书。</w:t>
      </w:r>
    </w:p>
    <w:p w14:paraId="2C6182D7">
      <w:pPr>
        <w:snapToGrid w:val="0"/>
        <w:spacing w:line="360" w:lineRule="auto"/>
        <w:ind w:firstLine="480" w:firstLineChars="200"/>
        <w:rPr>
          <w:rFonts w:hint="eastAsia"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lang w:val="en-US" w:eastAsia="zh-CN"/>
        </w:rPr>
        <w:t>0</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b/>
          <w:color w:val="auto"/>
          <w:sz w:val="24"/>
          <w:highlight w:val="none"/>
        </w:rPr>
        <w:t>报价文件：</w:t>
      </w:r>
      <w:r>
        <w:rPr>
          <w:rFonts w:hint="eastAsia" w:asciiTheme="minorEastAsia" w:hAnsiTheme="minorEastAsia" w:eastAsiaTheme="minorEastAsia" w:cstheme="minorEastAsia"/>
          <w:color w:val="auto"/>
          <w:sz w:val="24"/>
          <w:highlight w:val="none"/>
        </w:rPr>
        <w:t xml:space="preserve"> </w:t>
      </w:r>
    </w:p>
    <w:p w14:paraId="2A4B8356">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.3.1交易一览表（报价表）；</w:t>
      </w:r>
    </w:p>
    <w:p w14:paraId="468D49F1">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.3.2中小企业</w:t>
      </w:r>
      <w:r>
        <w:rPr>
          <w:rFonts w:hint="eastAsia" w:asciiTheme="minorEastAsia" w:hAnsiTheme="minorEastAsia" w:eastAsiaTheme="minorEastAsia" w:cstheme="minorEastAsia"/>
          <w:color w:val="auto"/>
          <w:sz w:val="24"/>
          <w:highlight w:val="none"/>
          <w:lang w:val="en-US" w:eastAsia="zh-CN"/>
        </w:rPr>
        <w:t>声明</w:t>
      </w:r>
      <w:r>
        <w:rPr>
          <w:rFonts w:hint="eastAsia" w:asciiTheme="minorEastAsia" w:hAnsiTheme="minorEastAsia" w:eastAsiaTheme="minorEastAsia" w:cstheme="minorEastAsia"/>
          <w:color w:val="auto"/>
          <w:sz w:val="24"/>
          <w:highlight w:val="none"/>
        </w:rPr>
        <w:t>函。</w:t>
      </w:r>
    </w:p>
    <w:p w14:paraId="4DA0B2C9">
      <w:pPr>
        <w:spacing w:line="360" w:lineRule="auto"/>
        <w:ind w:firstLine="723" w:firstLineChars="3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响应文件含有采购人不能接受的附加条件的，交易无效；</w:t>
      </w:r>
    </w:p>
    <w:p w14:paraId="7F9D4E34">
      <w:pPr>
        <w:spacing w:line="360" w:lineRule="auto"/>
        <w:ind w:firstLine="723" w:firstLineChars="300"/>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highlight w:val="none"/>
        </w:rPr>
        <w:t>供应商提供虚假材料交易的，交易无效。</w:t>
      </w:r>
    </w:p>
    <w:p w14:paraId="6E3862A5">
      <w:pPr>
        <w:pStyle w:val="131"/>
        <w:snapToGrid w:val="0"/>
        <w:spacing w:before="0"/>
        <w:ind w:firstLine="0" w:firstLineChars="0"/>
        <w:outlineLvl w:val="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w:t>
      </w:r>
      <w:r>
        <w:rPr>
          <w:rFonts w:hint="eastAsia" w:asciiTheme="minorEastAsia" w:hAnsiTheme="minorEastAsia" w:eastAsiaTheme="minorEastAsia" w:cstheme="minorEastAsia"/>
          <w:b/>
          <w:color w:val="auto"/>
          <w:szCs w:val="24"/>
          <w:highlight w:val="none"/>
          <w:lang w:val="en-US" w:eastAsia="zh-CN"/>
        </w:rPr>
        <w:t>1</w:t>
      </w:r>
      <w:r>
        <w:rPr>
          <w:rFonts w:hint="eastAsia" w:asciiTheme="minorEastAsia" w:hAnsiTheme="minorEastAsia" w:eastAsiaTheme="minorEastAsia" w:cstheme="minorEastAsia"/>
          <w:b/>
          <w:color w:val="auto"/>
          <w:kern w:val="0"/>
          <w:szCs w:val="24"/>
          <w:highlight w:val="none"/>
          <w:lang w:val="zh-CN"/>
        </w:rPr>
        <w:t xml:space="preserve">. </w:t>
      </w:r>
      <w:r>
        <w:rPr>
          <w:rFonts w:hint="eastAsia" w:asciiTheme="minorEastAsia" w:hAnsiTheme="minorEastAsia" w:eastAsiaTheme="minorEastAsia" w:cstheme="minorEastAsia"/>
          <w:b/>
          <w:color w:val="auto"/>
          <w:szCs w:val="24"/>
          <w:highlight w:val="none"/>
        </w:rPr>
        <w:t>响应文件的编制</w:t>
      </w:r>
    </w:p>
    <w:p w14:paraId="07E3D100">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lang w:val="zh-CN"/>
        </w:rPr>
        <w:t>.1响应文件分为资格文件、商务技术文件、报价文件三部分。各供应商在编制响应文件时请按照交易文件第</w:t>
      </w:r>
      <w:r>
        <w:rPr>
          <w:rFonts w:hint="eastAsia" w:asciiTheme="minorEastAsia" w:hAnsiTheme="minorEastAsia" w:eastAsiaTheme="minorEastAsia" w:cstheme="minorEastAsia"/>
          <w:color w:val="auto"/>
          <w:kern w:val="0"/>
          <w:sz w:val="24"/>
          <w:highlight w:val="none"/>
          <w:lang w:val="en-US" w:eastAsia="zh-CN"/>
        </w:rPr>
        <w:t>六</w:t>
      </w:r>
      <w:r>
        <w:rPr>
          <w:rFonts w:hint="eastAsia" w:asciiTheme="minorEastAsia" w:hAnsiTheme="minorEastAsia" w:eastAsiaTheme="minorEastAsia" w:cstheme="minorEastAsia"/>
          <w:color w:val="auto"/>
          <w:kern w:val="0"/>
          <w:sz w:val="24"/>
          <w:highlight w:val="none"/>
          <w:lang w:val="zh-CN"/>
        </w:rPr>
        <w:t>部分规定的格式进行，混乱的编排导致响应文件被误读或评标委员会查找不到有效文件是供应商的风险。</w:t>
      </w:r>
    </w:p>
    <w:p w14:paraId="60ACDFD1">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lang w:val="zh-CN"/>
        </w:rPr>
        <w:t>.2供应商进行电子交易（投标）应安装客户端软件—“</w:t>
      </w:r>
      <w:r>
        <w:rPr>
          <w:rFonts w:hint="eastAsia" w:ascii="宋体" w:hAnsi="宋体" w:eastAsia="宋体" w:cs="宋体"/>
          <w:color w:val="auto"/>
          <w:kern w:val="0"/>
          <w:sz w:val="24"/>
          <w:highlight w:val="none"/>
          <w:lang w:val="zh-CN"/>
        </w:rPr>
        <w:t>乐采云(萧采云)电子交易客户端</w:t>
      </w:r>
      <w:r>
        <w:rPr>
          <w:rFonts w:hint="eastAsia" w:asciiTheme="minorEastAsia" w:hAnsiTheme="minorEastAsia" w:eastAsiaTheme="minorEastAsia" w:cstheme="minorEastAsia"/>
          <w:color w:val="auto"/>
          <w:kern w:val="0"/>
          <w:sz w:val="24"/>
          <w:highlight w:val="none"/>
          <w:lang w:val="zh-CN"/>
        </w:rPr>
        <w:t>”，并按照交易文件和电子交易平台的要求编制并加密响应文件。供应商未按规定加密的响应文件，电子交易平台将拒收并提示。</w:t>
      </w:r>
    </w:p>
    <w:p w14:paraId="2AAA8B8F">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lang w:val="zh-CN"/>
        </w:rPr>
        <w:t>.3使用“</w:t>
      </w:r>
      <w:r>
        <w:rPr>
          <w:rFonts w:hint="eastAsia" w:ascii="宋体" w:hAnsi="宋体" w:eastAsia="宋体" w:cs="宋体"/>
          <w:color w:val="auto"/>
          <w:kern w:val="0"/>
          <w:sz w:val="24"/>
          <w:highlight w:val="none"/>
          <w:lang w:val="zh-CN"/>
        </w:rPr>
        <w:t>乐采云(萧采云)电子交易客户端</w:t>
      </w:r>
      <w:r>
        <w:rPr>
          <w:rFonts w:hint="eastAsia" w:asciiTheme="minorEastAsia" w:hAnsiTheme="minorEastAsia" w:eastAsiaTheme="minorEastAsia" w:cstheme="minorEastAsia"/>
          <w:color w:val="auto"/>
          <w:kern w:val="0"/>
          <w:sz w:val="24"/>
          <w:highlight w:val="none"/>
          <w:lang w:val="zh-CN"/>
        </w:rPr>
        <w:t>”需要提前申领CA数字证书，申领流程请自行前往“浙江政府采购网-下载专区-电子交易客户端-CA驱动和申领流程”进行查阅。</w:t>
      </w:r>
    </w:p>
    <w:p w14:paraId="16F773D4">
      <w:pPr>
        <w:snapToGrid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.响应文件的签署、盖章</w:t>
      </w:r>
    </w:p>
    <w:p w14:paraId="1E072E7B">
      <w:pPr>
        <w:pStyle w:val="131"/>
        <w:snapToGrid w:val="0"/>
        <w:spacing w:before="0"/>
        <w:ind w:firstLine="48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.1响应文件按照交易文件第</w:t>
      </w:r>
      <w:r>
        <w:rPr>
          <w:rFonts w:hint="eastAsia" w:asciiTheme="minorEastAsia" w:hAnsiTheme="minorEastAsia" w:eastAsiaTheme="minorEastAsia" w:cstheme="minorEastAsia"/>
          <w:color w:val="auto"/>
          <w:szCs w:val="24"/>
          <w:highlight w:val="none"/>
          <w:lang w:val="en-US" w:eastAsia="zh-CN"/>
        </w:rPr>
        <w:t>五</w:t>
      </w:r>
      <w:r>
        <w:rPr>
          <w:rFonts w:hint="eastAsia" w:asciiTheme="minorEastAsia" w:hAnsiTheme="minorEastAsia" w:eastAsiaTheme="minorEastAsia" w:cstheme="minorEastAsia"/>
          <w:color w:val="auto"/>
          <w:szCs w:val="24"/>
          <w:highlight w:val="none"/>
        </w:rPr>
        <w:t>部分格式要</w:t>
      </w:r>
      <w:r>
        <w:rPr>
          <w:rFonts w:hint="eastAsia" w:asciiTheme="minorEastAsia" w:hAnsiTheme="minorEastAsia" w:eastAsiaTheme="minorEastAsia" w:cstheme="minorEastAsia"/>
          <w:color w:val="auto"/>
          <w:highlight w:val="none"/>
        </w:rPr>
        <w:t>求进行签署、盖章。</w:t>
      </w:r>
      <w:r>
        <w:rPr>
          <w:rFonts w:hint="eastAsia" w:asciiTheme="minorEastAsia" w:hAnsiTheme="minorEastAsia" w:eastAsiaTheme="minorEastAsia" w:cstheme="minorEastAsia"/>
          <w:b/>
          <w:color w:val="auto"/>
          <w:highlight w:val="none"/>
        </w:rPr>
        <w:t>▲供应商的响应文件未按照交易文件要求签署、盖章的，其交易无效</w:t>
      </w:r>
      <w:r>
        <w:rPr>
          <w:rFonts w:hint="eastAsia" w:asciiTheme="minorEastAsia" w:hAnsiTheme="minorEastAsia" w:eastAsiaTheme="minorEastAsia" w:cstheme="minorEastAsia"/>
          <w:color w:val="auto"/>
          <w:szCs w:val="24"/>
          <w:highlight w:val="none"/>
        </w:rPr>
        <w:t>。</w:t>
      </w:r>
    </w:p>
    <w:p w14:paraId="47FBCAC4">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.2为确保网上操作合法、有效和安全，供应商应当在交易截止时间前完成在“</w:t>
      </w:r>
      <w:r>
        <w:rPr>
          <w:rFonts w:hint="eastAsia" w:asciiTheme="minorEastAsia" w:hAnsiTheme="minorEastAsia" w:eastAsiaTheme="minorEastAsia" w:cstheme="minorEastAsia"/>
          <w:color w:val="auto"/>
          <w:highlight w:val="none"/>
          <w:lang w:val="en-US" w:eastAsia="zh-CN"/>
        </w:rPr>
        <w:t>乐采</w:t>
      </w:r>
      <w:r>
        <w:rPr>
          <w:rFonts w:hint="eastAsia" w:asciiTheme="minorEastAsia" w:hAnsiTheme="minorEastAsia" w:eastAsiaTheme="minorEastAsia" w:cstheme="minorEastAsia"/>
          <w:color w:val="auto"/>
          <w:highlight w:val="none"/>
        </w:rPr>
        <w:t>云平台”的身份认证，确保在电子交易（投标）过程中能够对相关数据电文进行加密和使用电子签名。</w:t>
      </w:r>
    </w:p>
    <w:p w14:paraId="6B026405">
      <w:pPr>
        <w:pStyle w:val="131"/>
        <w:snapToGrid w:val="0"/>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.3交易文件对响应文件签署、盖章的要求适用于电子签名。</w:t>
      </w:r>
    </w:p>
    <w:p w14:paraId="727ABFB8">
      <w:pPr>
        <w:pStyle w:val="131"/>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13</w:t>
      </w:r>
      <w:r>
        <w:rPr>
          <w:rFonts w:hint="eastAsia" w:asciiTheme="minorEastAsia" w:hAnsiTheme="minorEastAsia" w:eastAsiaTheme="minorEastAsia" w:cstheme="minorEastAsia"/>
          <w:b/>
          <w:color w:val="auto"/>
          <w:szCs w:val="24"/>
          <w:highlight w:val="none"/>
        </w:rPr>
        <w:t>. 响应文件的提交、补充、修改、撤回</w:t>
      </w:r>
    </w:p>
    <w:p w14:paraId="38514075">
      <w:pPr>
        <w:pStyle w:val="131"/>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.1 供应商应当在交易截止时间前完成响应文件的传输递交，并可以补充、修改或者撤回响应文件。补充或者修改响应文件的，应当先行撤回原文件，补充、修改后重新传输递交。交易截止时间前未完成传输的，视为撤回响应文件。交易截止时间后递交的响应文件，电子交易平台将拒收。</w:t>
      </w:r>
    </w:p>
    <w:p w14:paraId="2C4A583C">
      <w:pPr>
        <w:pStyle w:val="131"/>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.2电子交易平台收到响应文件，将妥善保存并即时向供应商发出确认回执通知。在交易截止时间前，除供应商补充、修改或者撤回响应文件外，任何单位和个人不得解密或提取响应文件。</w:t>
      </w:r>
    </w:p>
    <w:p w14:paraId="3BBA10D1">
      <w:pPr>
        <w:pStyle w:val="131"/>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.3采购人、采购机构可以视情况延长响应文件提交的截止时间。在上述情况下，采购机构与供应商以前在交易截止期方面的全部权利、责任和义务，将适用于延长至新的交易截止期。</w:t>
      </w:r>
    </w:p>
    <w:p w14:paraId="26217AEC">
      <w:pPr>
        <w:pStyle w:val="17"/>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.备份响应文件</w:t>
      </w:r>
    </w:p>
    <w:p w14:paraId="4D489B8A">
      <w:pPr>
        <w:pStyle w:val="17"/>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本项目不收取备份响应文件</w:t>
      </w:r>
      <w:r>
        <w:rPr>
          <w:rFonts w:hint="eastAsia" w:asciiTheme="minorEastAsia" w:hAnsiTheme="minorEastAsia" w:eastAsiaTheme="minorEastAsia" w:cstheme="minorEastAsia"/>
          <w:bCs/>
          <w:color w:val="auto"/>
          <w:sz w:val="24"/>
          <w:szCs w:val="24"/>
          <w:highlight w:val="none"/>
          <w:lang w:eastAsia="zh-CN"/>
        </w:rPr>
        <w:t>。</w:t>
      </w:r>
    </w:p>
    <w:p w14:paraId="684F47D8">
      <w:pPr>
        <w:pStyle w:val="131"/>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w:t>
      </w:r>
      <w:r>
        <w:rPr>
          <w:rFonts w:hint="eastAsia" w:asciiTheme="minorEastAsia" w:hAnsiTheme="minorEastAsia" w:eastAsiaTheme="minorEastAsia" w:cstheme="minorEastAsia"/>
          <w:b/>
          <w:color w:val="auto"/>
          <w:szCs w:val="24"/>
          <w:highlight w:val="none"/>
          <w:lang w:val="en-US" w:eastAsia="zh-CN"/>
        </w:rPr>
        <w:t>5</w:t>
      </w:r>
      <w:r>
        <w:rPr>
          <w:rFonts w:hint="eastAsia" w:asciiTheme="minorEastAsia" w:hAnsiTheme="minorEastAsia" w:eastAsiaTheme="minorEastAsia" w:cstheme="minorEastAsia"/>
          <w:b/>
          <w:color w:val="auto"/>
          <w:szCs w:val="24"/>
          <w:highlight w:val="none"/>
        </w:rPr>
        <w:t>.响应文件的无效处理</w:t>
      </w:r>
    </w:p>
    <w:p w14:paraId="794DA31F">
      <w:pPr>
        <w:pStyle w:val="26"/>
        <w:spacing w:line="360" w:lineRule="auto"/>
        <w:ind w:firstLine="360"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有交易文件第四部分</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.2规定</w:t>
      </w:r>
      <w:r>
        <w:rPr>
          <w:rFonts w:hint="eastAsia" w:asciiTheme="minorEastAsia" w:hAnsiTheme="minorEastAsia" w:eastAsiaTheme="minorEastAsia" w:cstheme="minorEastAsia"/>
          <w:color w:val="auto"/>
          <w:szCs w:val="21"/>
          <w:highlight w:val="none"/>
        </w:rPr>
        <w:t>的情形之一的，交易无效。</w:t>
      </w:r>
    </w:p>
    <w:p w14:paraId="36F678EC">
      <w:pPr>
        <w:pStyle w:val="131"/>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w:t>
      </w:r>
      <w:r>
        <w:rPr>
          <w:rFonts w:hint="eastAsia" w:asciiTheme="minorEastAsia" w:hAnsiTheme="minorEastAsia" w:eastAsiaTheme="minorEastAsia" w:cstheme="minorEastAsia"/>
          <w:b/>
          <w:color w:val="auto"/>
          <w:szCs w:val="24"/>
          <w:highlight w:val="none"/>
          <w:lang w:val="en-US" w:eastAsia="zh-CN"/>
        </w:rPr>
        <w:t>6</w:t>
      </w:r>
      <w:r>
        <w:rPr>
          <w:rFonts w:hint="eastAsia" w:asciiTheme="minorEastAsia" w:hAnsiTheme="minorEastAsia" w:eastAsiaTheme="minorEastAsia" w:cstheme="minorEastAsia"/>
          <w:b/>
          <w:color w:val="auto"/>
          <w:szCs w:val="24"/>
          <w:highlight w:val="none"/>
        </w:rPr>
        <w:t>.交易有效期</w:t>
      </w:r>
    </w:p>
    <w:p w14:paraId="48BD7A96">
      <w:pPr>
        <w:spacing w:line="360" w:lineRule="auto"/>
        <w:ind w:firstLine="480" w:firstLineChars="200"/>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color w:val="auto"/>
          <w:sz w:val="24"/>
          <w:szCs w:val="20"/>
          <w:highlight w:val="none"/>
        </w:rPr>
        <w:t>1</w:t>
      </w:r>
      <w:r>
        <w:rPr>
          <w:rFonts w:hint="eastAsia" w:asciiTheme="minorEastAsia" w:hAnsiTheme="minorEastAsia" w:eastAsiaTheme="minorEastAsia" w:cstheme="minorEastAsia"/>
          <w:color w:val="auto"/>
          <w:sz w:val="24"/>
          <w:szCs w:val="20"/>
          <w:highlight w:val="none"/>
          <w:lang w:val="en-US" w:eastAsia="zh-CN"/>
        </w:rPr>
        <w:t>6</w:t>
      </w:r>
      <w:r>
        <w:rPr>
          <w:rFonts w:hint="eastAsia" w:asciiTheme="minorEastAsia" w:hAnsiTheme="minorEastAsia" w:eastAsiaTheme="minorEastAsia" w:cstheme="minorEastAsia"/>
          <w:color w:val="auto"/>
          <w:sz w:val="24"/>
          <w:szCs w:val="20"/>
          <w:highlight w:val="none"/>
        </w:rPr>
        <w:t>.1交易有效期为从提交响应文件的截止之日起90天。▲</w:t>
      </w:r>
      <w:r>
        <w:rPr>
          <w:rFonts w:hint="eastAsia" w:asciiTheme="minorEastAsia" w:hAnsiTheme="minorEastAsia" w:eastAsiaTheme="minorEastAsia" w:cstheme="minorEastAsia"/>
          <w:b/>
          <w:color w:val="auto"/>
          <w:sz w:val="24"/>
          <w:szCs w:val="20"/>
          <w:highlight w:val="none"/>
        </w:rPr>
        <w:t>供应商的响应文件中承</w:t>
      </w:r>
      <w:r>
        <w:rPr>
          <w:rFonts w:hint="eastAsia" w:asciiTheme="minorEastAsia" w:hAnsiTheme="minorEastAsia" w:eastAsiaTheme="minorEastAsia" w:cstheme="minorEastAsia"/>
          <w:b/>
          <w:color w:val="auto"/>
          <w:sz w:val="24"/>
          <w:szCs w:val="21"/>
          <w:highlight w:val="none"/>
        </w:rPr>
        <w:t>诺的交易有效期少于交易文件中载明的交易有效期的，交易无效。</w:t>
      </w:r>
    </w:p>
    <w:p w14:paraId="4BC57F00">
      <w:pPr>
        <w:pStyle w:val="131"/>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.2响应文件合格投递后，自交易截止日期起，在交易有效期内有效。</w:t>
      </w:r>
    </w:p>
    <w:p w14:paraId="52738453">
      <w:pPr>
        <w:pStyle w:val="131"/>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.3在原定交易有效期满之前，如果出现特殊情况，采购机构可以以书面形式通知供应商延长交易有效期。供应商同意延长的，不得要求或被允许修改其响应文件，供应商拒绝延长的，其交易无效。</w:t>
      </w:r>
    </w:p>
    <w:p w14:paraId="6DF91883">
      <w:pPr>
        <w:pStyle w:val="131"/>
        <w:spacing w:before="0"/>
        <w:ind w:firstLine="480"/>
        <w:rPr>
          <w:rFonts w:hint="eastAsia" w:asciiTheme="minorEastAsia" w:hAnsiTheme="minorEastAsia" w:eastAsiaTheme="minorEastAsia" w:cstheme="minorEastAsia"/>
          <w:color w:val="auto"/>
          <w:highlight w:val="none"/>
        </w:rPr>
      </w:pPr>
    </w:p>
    <w:p w14:paraId="21EDF1F0">
      <w:pPr>
        <w:pStyle w:val="131"/>
        <w:spacing w:before="0"/>
        <w:ind w:firstLine="0" w:firstLineChars="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四、交易、资格审查</w:t>
      </w:r>
    </w:p>
    <w:p w14:paraId="66EDA65C">
      <w:pPr>
        <w:pStyle w:val="557"/>
        <w:spacing w:before="0" w:line="360" w:lineRule="auto"/>
        <w:ind w:left="0" w:firstLine="241" w:firstLineChars="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.交易</w:t>
      </w:r>
      <w:r>
        <w:rPr>
          <w:rFonts w:hint="eastAsia" w:asciiTheme="minorEastAsia" w:hAnsiTheme="minorEastAsia" w:eastAsiaTheme="minorEastAsia" w:cstheme="minorEastAsia"/>
          <w:color w:val="auto"/>
          <w:sz w:val="24"/>
          <w:highlight w:val="none"/>
        </w:rPr>
        <w:t xml:space="preserve"> </w:t>
      </w:r>
    </w:p>
    <w:p w14:paraId="6F87BB32">
      <w:pPr>
        <w:pStyle w:val="557"/>
        <w:spacing w:before="0" w:line="360" w:lineRule="auto"/>
        <w:ind w:left="0"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.1采购机构按照交易文件规定的时间通过电子交易平台组织交易，所有供应商均应当准时在线参加。供应商不足3家的，不得交易。</w:t>
      </w:r>
    </w:p>
    <w:p w14:paraId="63B9DFF6">
      <w:pPr>
        <w:pStyle w:val="557"/>
        <w:spacing w:before="0" w:line="360" w:lineRule="auto"/>
        <w:ind w:left="0" w:firstLine="240" w:firstLineChars="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.2交易时，电子交易平台按交易时间自动提取所有响应文件。采购机构依托电子交易平台发起开始解密指令，供应商按照平台提示和交易文件的规定在半小时内完成在线解密。</w:t>
      </w:r>
    </w:p>
    <w:p w14:paraId="59CA805F">
      <w:pPr>
        <w:pStyle w:val="557"/>
        <w:spacing w:before="0" w:line="360" w:lineRule="auto"/>
        <w:ind w:left="0" w:firstLine="240" w:firstLineChars="100"/>
        <w:contextualSpacing/>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color w:val="auto"/>
          <w:sz w:val="24"/>
          <w:highlight w:val="none"/>
        </w:rPr>
        <w:t>响应文件未按时解密，供应商提供了备份响应文件的，以备份响应文件作为依据，否则视为响应文件撤回。响应文件已按时解密的，备份响应文件自动失效。</w:t>
      </w:r>
    </w:p>
    <w:p w14:paraId="1B5D9AC3">
      <w:pPr>
        <w:pStyle w:val="557"/>
        <w:spacing w:before="0" w:line="360" w:lineRule="auto"/>
        <w:ind w:left="0" w:firstLine="241" w:firstLineChars="100"/>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、资格审查</w:t>
      </w:r>
    </w:p>
    <w:p w14:paraId="48BF0FE4">
      <w:pPr>
        <w:pStyle w:val="131"/>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w:t>
      </w:r>
      <w:r>
        <w:rPr>
          <w:rFonts w:hint="eastAsia" w:asciiTheme="minorEastAsia" w:hAnsiTheme="minorEastAsia" w:eastAsiaTheme="minorEastAsia" w:cstheme="minorEastAsia"/>
          <w:color w:val="auto"/>
          <w:kern w:val="0"/>
          <w:szCs w:val="24"/>
          <w:highlight w:val="none"/>
          <w:lang w:val="en-US" w:eastAsia="zh-CN"/>
        </w:rPr>
        <w:t>8</w:t>
      </w:r>
      <w:r>
        <w:rPr>
          <w:rFonts w:hint="eastAsia" w:asciiTheme="minorEastAsia" w:hAnsiTheme="minorEastAsia" w:eastAsiaTheme="minorEastAsia" w:cstheme="minorEastAsia"/>
          <w:color w:val="auto"/>
          <w:kern w:val="0"/>
          <w:szCs w:val="24"/>
          <w:highlight w:val="none"/>
        </w:rPr>
        <w:t>.1</w:t>
      </w:r>
      <w:r>
        <w:rPr>
          <w:rFonts w:hint="eastAsia" w:asciiTheme="minorEastAsia" w:hAnsiTheme="minorEastAsia" w:eastAsiaTheme="minorEastAsia" w:cstheme="minorEastAsia"/>
          <w:color w:val="auto"/>
          <w:szCs w:val="21"/>
          <w:highlight w:val="none"/>
        </w:rPr>
        <w:t>交易</w:t>
      </w:r>
      <w:r>
        <w:rPr>
          <w:rFonts w:hint="eastAsia" w:asciiTheme="minorEastAsia" w:hAnsiTheme="minorEastAsia" w:eastAsiaTheme="minorEastAsia" w:cstheme="minorEastAsia"/>
          <w:color w:val="auto"/>
          <w:kern w:val="0"/>
          <w:szCs w:val="24"/>
          <w:highlight w:val="none"/>
        </w:rPr>
        <w:t>后，采购人或采购机构将依法对供应商的资格进行审查。</w:t>
      </w:r>
    </w:p>
    <w:p w14:paraId="1EAE25BF">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sz w:val="24"/>
          <w:highlight w:val="none"/>
        </w:rPr>
        <w:t>采购人或采购机构依据法律法规和交易文件的规定，对供应商的基本资格条件、特定资格条件进行审查。</w:t>
      </w:r>
    </w:p>
    <w:p w14:paraId="04146475">
      <w:pPr>
        <w:pStyle w:val="131"/>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18.3供应商未按照交易文件要求提供与</w:t>
      </w:r>
      <w:r>
        <w:rPr>
          <w:rFonts w:hint="eastAsia" w:asciiTheme="minorEastAsia" w:hAnsiTheme="minorEastAsia" w:eastAsiaTheme="minorEastAsia" w:cstheme="minorEastAsia"/>
          <w:color w:val="auto"/>
          <w:highlight w:val="none"/>
        </w:rPr>
        <w:t>基本资格条件、特定资格条件相应的</w:t>
      </w:r>
      <w:r>
        <w:rPr>
          <w:rFonts w:hint="eastAsia" w:asciiTheme="minorEastAsia" w:hAnsiTheme="minorEastAsia" w:eastAsiaTheme="minorEastAsia" w:cstheme="minorEastAsia"/>
          <w:color w:val="auto"/>
          <w:kern w:val="0"/>
          <w:szCs w:val="24"/>
          <w:highlight w:val="none"/>
        </w:rPr>
        <w:t>有效资格证明材料的，视为</w:t>
      </w:r>
      <w:r>
        <w:rPr>
          <w:rFonts w:hint="eastAsia" w:asciiTheme="minorEastAsia" w:hAnsiTheme="minorEastAsia" w:eastAsiaTheme="minorEastAsia" w:cstheme="minorEastAsia"/>
          <w:color w:val="auto"/>
          <w:highlight w:val="none"/>
        </w:rPr>
        <w:t>供应商不具备交易文件中规定的资格要求，其响应无效。</w:t>
      </w:r>
    </w:p>
    <w:p w14:paraId="657CA141">
      <w:pPr>
        <w:pStyle w:val="131"/>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w:t>
      </w:r>
      <w:r>
        <w:rPr>
          <w:rFonts w:hint="eastAsia" w:asciiTheme="minorEastAsia" w:hAnsiTheme="minorEastAsia" w:eastAsiaTheme="minorEastAsia" w:cstheme="minorEastAsia"/>
          <w:color w:val="auto"/>
          <w:kern w:val="0"/>
          <w:szCs w:val="24"/>
          <w:highlight w:val="none"/>
          <w:lang w:val="en-US" w:eastAsia="zh-CN"/>
        </w:rPr>
        <w:t>8</w:t>
      </w:r>
      <w:r>
        <w:rPr>
          <w:rFonts w:hint="eastAsia" w:asciiTheme="minorEastAsia" w:hAnsiTheme="minorEastAsia" w:eastAsiaTheme="minorEastAsia" w:cstheme="minorEastAsia"/>
          <w:color w:val="auto"/>
          <w:kern w:val="0"/>
          <w:szCs w:val="24"/>
          <w:highlight w:val="none"/>
        </w:rPr>
        <w:t>.</w:t>
      </w:r>
      <w:r>
        <w:rPr>
          <w:rFonts w:hint="eastAsia" w:asciiTheme="minorEastAsia" w:hAnsiTheme="minorEastAsia" w:eastAsiaTheme="minorEastAsia" w:cstheme="minorEastAsia"/>
          <w:color w:val="auto"/>
          <w:highlight w:val="none"/>
        </w:rPr>
        <w:t>4对未通过资格审查的供应商，采购人或采购机构告知其未通过的原因。</w:t>
      </w:r>
    </w:p>
    <w:p w14:paraId="7BAB9948">
      <w:pPr>
        <w:pStyle w:val="131"/>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w:t>
      </w:r>
      <w:r>
        <w:rPr>
          <w:rFonts w:hint="eastAsia" w:asciiTheme="minorEastAsia" w:hAnsiTheme="minorEastAsia" w:eastAsiaTheme="minorEastAsia" w:cstheme="minorEastAsia"/>
          <w:color w:val="auto"/>
          <w:kern w:val="0"/>
          <w:szCs w:val="24"/>
          <w:highlight w:val="none"/>
          <w:lang w:val="en-US" w:eastAsia="zh-CN"/>
        </w:rPr>
        <w:t>8</w:t>
      </w:r>
      <w:r>
        <w:rPr>
          <w:rFonts w:hint="eastAsia" w:asciiTheme="minorEastAsia" w:hAnsiTheme="minorEastAsia" w:eastAsiaTheme="minorEastAsia" w:cstheme="minorEastAsia"/>
          <w:color w:val="auto"/>
          <w:kern w:val="0"/>
          <w:szCs w:val="24"/>
          <w:highlight w:val="none"/>
        </w:rPr>
        <w:t>.</w:t>
      </w:r>
      <w:r>
        <w:rPr>
          <w:rFonts w:hint="eastAsia" w:asciiTheme="minorEastAsia" w:hAnsiTheme="minorEastAsia" w:eastAsiaTheme="minorEastAsia" w:cstheme="minorEastAsia"/>
          <w:color w:val="auto"/>
          <w:highlight w:val="none"/>
        </w:rPr>
        <w:t>5合格供应商不足3家的，不再评标。</w:t>
      </w:r>
    </w:p>
    <w:p w14:paraId="52E39B0A">
      <w:pPr>
        <w:pStyle w:val="557"/>
        <w:spacing w:before="0" w:line="360" w:lineRule="auto"/>
        <w:ind w:left="0" w:firstLine="241" w:firstLineChars="100"/>
        <w:contextualSpacing/>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19、信用信息查询</w:t>
      </w:r>
    </w:p>
    <w:p w14:paraId="605C0031">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19</w:t>
      </w:r>
      <w:r>
        <w:rPr>
          <w:rFonts w:hint="eastAsia" w:asciiTheme="minorEastAsia" w:hAnsiTheme="minorEastAsia" w:eastAsiaTheme="minorEastAsia" w:cstheme="minorEastAsia"/>
          <w:color w:val="auto"/>
          <w:kern w:val="0"/>
          <w:sz w:val="24"/>
          <w:highlight w:val="none"/>
        </w:rPr>
        <w:t>.1信用信息查询渠道及截止时间：采购机构将通过“信用中国”网站(www.creditchina.gov.cn)、中国政府采购网(www.ccgp.gov.cn)渠道查询供应商交易截止时间当天的信用记录。</w:t>
      </w:r>
    </w:p>
    <w:p w14:paraId="55D739C8">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19</w:t>
      </w:r>
      <w:r>
        <w:rPr>
          <w:rFonts w:hint="eastAsia" w:asciiTheme="minorEastAsia" w:hAnsiTheme="minorEastAsia" w:eastAsiaTheme="minorEastAsia" w:cstheme="minorEastAsia"/>
          <w:color w:val="auto"/>
          <w:kern w:val="0"/>
          <w:sz w:val="24"/>
          <w:highlight w:val="none"/>
        </w:rPr>
        <w:t>.2信用信息查询记录和证据留存的具体方式：现场查询的供应商的信用记录、查询结果经确认后将与交易文件一起存档。</w:t>
      </w:r>
    </w:p>
    <w:p w14:paraId="564D69F7">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19</w:t>
      </w:r>
      <w:r>
        <w:rPr>
          <w:rFonts w:hint="eastAsia" w:asciiTheme="minorEastAsia" w:hAnsiTheme="minorEastAsia" w:eastAsiaTheme="minorEastAsia" w:cstheme="minorEastAsia"/>
          <w:color w:val="auto"/>
          <w:kern w:val="0"/>
          <w:sz w:val="24"/>
          <w:highlight w:val="none"/>
        </w:rPr>
        <w:t>.3信用信息的使用规则：经查询列入失信被执行人名单、重大税收违法案件当事人名单、政府采购严重违法失信行为记录名单的供应商将被拒绝参与采购活动。</w:t>
      </w:r>
    </w:p>
    <w:p w14:paraId="69D378A2">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19</w:t>
      </w:r>
      <w:r>
        <w:rPr>
          <w:rFonts w:hint="eastAsia" w:asciiTheme="minorEastAsia" w:hAnsiTheme="minorEastAsia" w:eastAsiaTheme="minorEastAsia" w:cstheme="minorEastAsia"/>
          <w:color w:val="auto"/>
          <w:kern w:val="0"/>
          <w:sz w:val="24"/>
          <w:highlight w:val="none"/>
        </w:rPr>
        <w:t>.4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p w14:paraId="7A70F80A">
      <w:pPr>
        <w:pStyle w:val="131"/>
        <w:spacing w:before="0"/>
        <w:ind w:firstLine="480"/>
        <w:rPr>
          <w:rFonts w:hint="eastAsia" w:asciiTheme="minorEastAsia" w:hAnsiTheme="minorEastAsia" w:eastAsiaTheme="minorEastAsia" w:cstheme="minorEastAsia"/>
          <w:color w:val="auto"/>
          <w:highlight w:val="none"/>
        </w:rPr>
      </w:pPr>
    </w:p>
    <w:p w14:paraId="7FE4A40C">
      <w:pPr>
        <w:snapToGrid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五、评标</w:t>
      </w:r>
    </w:p>
    <w:p w14:paraId="2F1A687F">
      <w:pPr>
        <w:spacing w:line="360" w:lineRule="auto"/>
        <w:rPr>
          <w:rFonts w:hint="eastAsia" w:asciiTheme="minorEastAsia" w:hAnsiTheme="minorEastAsia" w:eastAsiaTheme="minorEastAsia" w:cstheme="minorEastAsia"/>
          <w:b/>
          <w:color w:val="auto"/>
          <w:sz w:val="24"/>
          <w:highlight w:val="none"/>
        </w:rPr>
      </w:pPr>
      <w:bookmarkStart w:id="15" w:name="_Toc91899903"/>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rPr>
        <w:t>评标委员会将根据交易文件和有关规定，履行评标工作职责，并按照评审方法及评分标准，全面衡量各供应商对交易文件的响应情况。对实质上响应交易文件的供应商，按照评审因素的量化指标排出推荐成交的供应商的先后顺序，并按顺序提出授标建议。</w:t>
      </w:r>
      <w:r>
        <w:rPr>
          <w:rFonts w:hint="eastAsia" w:asciiTheme="minorEastAsia" w:hAnsiTheme="minorEastAsia" w:eastAsiaTheme="minorEastAsia" w:cstheme="minorEastAsia"/>
          <w:b/>
          <w:color w:val="auto"/>
          <w:sz w:val="24"/>
          <w:highlight w:val="none"/>
        </w:rPr>
        <w:t>详见交易文件第四部分评标办法。</w:t>
      </w:r>
    </w:p>
    <w:p w14:paraId="70B44D2E">
      <w:pPr>
        <w:pStyle w:val="131"/>
        <w:spacing w:before="0"/>
        <w:ind w:firstLine="480"/>
        <w:rPr>
          <w:rFonts w:hint="eastAsia" w:asciiTheme="minorEastAsia" w:hAnsiTheme="minorEastAsia" w:eastAsiaTheme="minorEastAsia" w:cstheme="minorEastAsia"/>
          <w:color w:val="auto"/>
          <w:highlight w:val="none"/>
        </w:rPr>
      </w:pPr>
    </w:p>
    <w:p w14:paraId="2F81CCCA">
      <w:pPr>
        <w:snapToGrid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六、定 标</w:t>
      </w:r>
    </w:p>
    <w:p w14:paraId="32EF7763">
      <w:pPr>
        <w:pStyle w:val="26"/>
        <w:spacing w:line="360" w:lineRule="auto"/>
        <w:ind w:left="479" w:hanging="479" w:hangingChars="19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1</w:t>
      </w:r>
      <w:r>
        <w:rPr>
          <w:rFonts w:hint="eastAsia" w:asciiTheme="minorEastAsia" w:hAnsiTheme="minorEastAsia" w:eastAsiaTheme="minorEastAsia" w:cstheme="minorEastAsia"/>
          <w:b/>
          <w:color w:val="auto"/>
          <w:highlight w:val="none"/>
        </w:rPr>
        <w:t>. 确定成交供应商</w:t>
      </w:r>
    </w:p>
    <w:p w14:paraId="0B2FD05F">
      <w:pPr>
        <w:pStyle w:val="131"/>
        <w:snapToGrid w:val="0"/>
        <w:spacing w:before="0"/>
        <w:ind w:firstLine="48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color w:val="auto"/>
          <w:szCs w:val="24"/>
          <w:highlight w:val="none"/>
        </w:rPr>
        <w:t>采购人将自收到评审报告之日起5个工作日内通过电子交易平台在评审报告推荐的成交候选人中按顺序确定成交供应商。</w:t>
      </w:r>
    </w:p>
    <w:p w14:paraId="0547786F">
      <w:pPr>
        <w:pStyle w:val="131"/>
        <w:snapToGrid w:val="0"/>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w:t>
      </w:r>
      <w:r>
        <w:rPr>
          <w:rFonts w:hint="eastAsia" w:asciiTheme="minorEastAsia" w:hAnsiTheme="minorEastAsia" w:eastAsiaTheme="minorEastAsia" w:cstheme="minorEastAsia"/>
          <w:b/>
          <w:color w:val="auto"/>
          <w:szCs w:val="24"/>
          <w:highlight w:val="none"/>
          <w:lang w:val="en-US" w:eastAsia="zh-CN"/>
        </w:rPr>
        <w:t>2</w:t>
      </w:r>
      <w:r>
        <w:rPr>
          <w:rFonts w:hint="eastAsia" w:asciiTheme="minorEastAsia" w:hAnsiTheme="minorEastAsia" w:eastAsiaTheme="minorEastAsia" w:cstheme="minorEastAsia"/>
          <w:b/>
          <w:color w:val="auto"/>
          <w:szCs w:val="24"/>
          <w:highlight w:val="none"/>
        </w:rPr>
        <w:t>. 成交通知与成交结果公告</w:t>
      </w:r>
    </w:p>
    <w:p w14:paraId="3467E3C3">
      <w:pPr>
        <w:widowControl/>
        <w:shd w:val="clear" w:color="auto" w:fill="FFFFFF"/>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.1自成交人确定之日起2个工作日内，采购机构通过电子交易平台向成交人发出成交通知书，同时编制发布采购结果公告。采购机构或采购人也可以以纸质形式进行成交通知。</w:t>
      </w:r>
    </w:p>
    <w:p w14:paraId="27DBC45E">
      <w:pPr>
        <w:widowControl/>
        <w:shd w:val="clear" w:color="auto" w:fill="FFFFFF"/>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.2成交结果公告内容包括采购人及其委托的采购机构的名称、地址、联系方式，项目名称和项目编号，成交人名称、地址和成交金额。</w:t>
      </w:r>
    </w:p>
    <w:p w14:paraId="39A81F3E">
      <w:pPr>
        <w:widowControl/>
        <w:shd w:val="clear" w:color="auto" w:fill="FFFFFF"/>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.3公告期限为1个工作日。</w:t>
      </w:r>
    </w:p>
    <w:p w14:paraId="5DE8A55D">
      <w:pPr>
        <w:pStyle w:val="131"/>
        <w:spacing w:before="0"/>
        <w:ind w:firstLine="480"/>
        <w:rPr>
          <w:rFonts w:hint="eastAsia" w:asciiTheme="minorEastAsia" w:hAnsiTheme="minorEastAsia" w:eastAsiaTheme="minorEastAsia" w:cstheme="minorEastAsia"/>
          <w:color w:val="auto"/>
          <w:highlight w:val="none"/>
        </w:rPr>
      </w:pPr>
    </w:p>
    <w:p w14:paraId="104026ED">
      <w:pPr>
        <w:snapToGrid w:val="0"/>
        <w:spacing w:line="360" w:lineRule="auto"/>
        <w:ind w:left="120" w:leftChars="57" w:firstLine="482" w:firstLineChars="15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32"/>
          <w:highlight w:val="none"/>
        </w:rPr>
        <w:t>七、合同授予</w:t>
      </w:r>
    </w:p>
    <w:p w14:paraId="7FA0EA49">
      <w:pPr>
        <w:pStyle w:val="26"/>
        <w:spacing w:line="360" w:lineRule="auto"/>
        <w:ind w:left="479" w:hanging="479" w:hangingChars="19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3</w:t>
      </w:r>
      <w:r>
        <w:rPr>
          <w:rFonts w:hint="eastAsia" w:asciiTheme="minorEastAsia" w:hAnsiTheme="minorEastAsia" w:eastAsiaTheme="minorEastAsia" w:cstheme="minorEastAsia"/>
          <w:b/>
          <w:color w:val="auto"/>
          <w:highlight w:val="none"/>
        </w:rPr>
        <w:t>. 合同的签订</w:t>
      </w:r>
    </w:p>
    <w:p w14:paraId="3171408C">
      <w:pPr>
        <w:widowControl/>
        <w:shd w:val="clear" w:color="auto" w:fill="FFFFFF"/>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kern w:val="0"/>
          <w:sz w:val="24"/>
          <w:highlight w:val="none"/>
        </w:rPr>
        <w:t xml:space="preserve"> 采购人与成交人应当通过电子交易平台在成交通知书发出之日起三十日内，按照交易文件确定的事项签订采购合同。</w:t>
      </w:r>
    </w:p>
    <w:p w14:paraId="345A52AB">
      <w:pPr>
        <w:widowControl/>
        <w:shd w:val="clear" w:color="auto" w:fill="FFFFFF"/>
        <w:spacing w:line="360" w:lineRule="auto"/>
        <w:ind w:firstLine="48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z w:val="24"/>
          <w:highlight w:val="none"/>
          <w:lang w:val="zh-CN"/>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zh-CN"/>
        </w:rPr>
        <w:t>.2</w:t>
      </w:r>
      <w:r>
        <w:rPr>
          <w:rFonts w:hint="eastAsia" w:asciiTheme="minorEastAsia" w:hAnsiTheme="minorEastAsia" w:eastAsiaTheme="minorEastAsia" w:cstheme="minorEastAsia"/>
          <w:color w:val="auto"/>
          <w:kern w:val="0"/>
          <w:sz w:val="24"/>
          <w:highlight w:val="none"/>
          <w:lang w:val="zh-CN"/>
        </w:rPr>
        <w:t>成交人按规定的日期、时间、地点，由法定代表人或其授权代表与采购人代表签订合同。如成交人为联合体的，由联合体成员各方法定代表人或其授权代表与采购人代表签订合同。</w:t>
      </w:r>
    </w:p>
    <w:p w14:paraId="5BDB5CE4">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.3如签订合同并生效后，供应商无故拒绝或延期，除按照合同条款处理外，列入不良行为记录一次，并给予通报。</w:t>
      </w:r>
    </w:p>
    <w:p w14:paraId="09CA5A01">
      <w:pPr>
        <w:pStyle w:val="131"/>
        <w:snapToGrid w:val="0"/>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.4成交</w:t>
      </w:r>
      <w:r>
        <w:rPr>
          <w:rFonts w:hint="eastAsia" w:asciiTheme="minorEastAsia" w:hAnsiTheme="minorEastAsia" w:eastAsiaTheme="minorEastAsia" w:cstheme="minorEastAsia"/>
          <w:color w:val="auto"/>
          <w:kern w:val="0"/>
          <w:szCs w:val="24"/>
          <w:highlight w:val="none"/>
        </w:rPr>
        <w:t>供应商拒绝与采购人签订合同的，采购人可以按照评审报告推荐的成交或者成交候选人名单排序，确定下一候选人为成交供应商，也可以重新开展采购活动。</w:t>
      </w:r>
    </w:p>
    <w:p w14:paraId="75457D6E">
      <w:pPr>
        <w:pStyle w:val="131"/>
        <w:snapToGrid w:val="0"/>
        <w:spacing w:before="0" w:after="12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w:t>
      </w:r>
      <w:r>
        <w:rPr>
          <w:rFonts w:hint="eastAsia" w:asciiTheme="minorEastAsia" w:hAnsiTheme="minorEastAsia" w:eastAsiaTheme="minorEastAsia" w:cstheme="minorEastAsia"/>
          <w:color w:val="auto"/>
          <w:kern w:val="0"/>
          <w:szCs w:val="24"/>
          <w:highlight w:val="none"/>
          <w:lang w:val="en-US" w:eastAsia="zh-CN"/>
        </w:rPr>
        <w:t>3</w:t>
      </w:r>
      <w:r>
        <w:rPr>
          <w:rFonts w:hint="eastAsia" w:asciiTheme="minorEastAsia" w:hAnsiTheme="minorEastAsia" w:eastAsiaTheme="minorEastAsia" w:cstheme="minorEastAsia"/>
          <w:color w:val="auto"/>
          <w:kern w:val="0"/>
          <w:szCs w:val="24"/>
          <w:highlight w:val="none"/>
        </w:rPr>
        <w:t>.5采购合同由采购人与成交供应商根据交易文件、响应文件等内容进行签订。</w:t>
      </w:r>
    </w:p>
    <w:p w14:paraId="5EEF9C1F">
      <w:pPr>
        <w:pStyle w:val="26"/>
        <w:spacing w:line="360" w:lineRule="auto"/>
        <w:ind w:left="479" w:hanging="479" w:hangingChars="19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4</w:t>
      </w:r>
      <w:r>
        <w:rPr>
          <w:rFonts w:hint="eastAsia" w:asciiTheme="minorEastAsia" w:hAnsiTheme="minorEastAsia" w:eastAsiaTheme="minorEastAsia" w:cstheme="minorEastAsia"/>
          <w:b/>
          <w:color w:val="auto"/>
          <w:highlight w:val="none"/>
        </w:rPr>
        <w:t>. 履约保证金</w:t>
      </w:r>
    </w:p>
    <w:p w14:paraId="418D32FC">
      <w:pPr>
        <w:pStyle w:val="60"/>
        <w:spacing w:line="360" w:lineRule="auto"/>
        <w:ind w:firstLine="480" w:firstLineChars="200"/>
        <w:jc w:val="left"/>
        <w:rPr>
          <w:rFonts w:hint="eastAsia" w:asciiTheme="minorEastAsia" w:hAnsiTheme="minorEastAsia" w:eastAsiaTheme="minorEastAsia" w:cstheme="minorEastAsia"/>
          <w:b w:val="0"/>
          <w:color w:val="auto"/>
          <w:szCs w:val="24"/>
          <w:highlight w:val="none"/>
          <w:lang w:val="en-US"/>
        </w:rPr>
      </w:pPr>
      <w:r>
        <w:rPr>
          <w:rFonts w:hint="eastAsia" w:asciiTheme="minorEastAsia" w:hAnsiTheme="minorEastAsia" w:eastAsiaTheme="minorEastAsia" w:cstheme="minorEastAsia"/>
          <w:b w:val="0"/>
          <w:color w:val="auto"/>
          <w:szCs w:val="24"/>
          <w:highlight w:val="none"/>
          <w:lang w:val="en-US"/>
        </w:rPr>
        <w:t>拟签订的合同文本要求成交供应商提交履约保证金的，供应商应当以支票、汇票、本票或者金融机构、担保机构出具的保函等非现金形式提交。履约保证金的数额为采购合同金额的1%。</w:t>
      </w:r>
    </w:p>
    <w:p w14:paraId="6BDCC603">
      <w:pPr>
        <w:pStyle w:val="131"/>
        <w:spacing w:before="0"/>
        <w:ind w:firstLine="480"/>
        <w:rPr>
          <w:rFonts w:hint="eastAsia" w:asciiTheme="minorEastAsia" w:hAnsiTheme="minorEastAsia" w:eastAsiaTheme="minorEastAsia" w:cstheme="minorEastAsia"/>
          <w:color w:val="auto"/>
          <w:highlight w:val="none"/>
        </w:rPr>
      </w:pPr>
    </w:p>
    <w:p w14:paraId="6B9E512F">
      <w:pPr>
        <w:snapToGrid w:val="0"/>
        <w:spacing w:line="360" w:lineRule="auto"/>
        <w:ind w:firstLine="3357" w:firstLineChars="104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highlight w:val="none"/>
        </w:rPr>
        <w:t>八、电子交易活动的中止</w:t>
      </w:r>
    </w:p>
    <w:p w14:paraId="4FCFA2B1">
      <w:pPr>
        <w:pStyle w:val="131"/>
        <w:snapToGrid w:val="0"/>
        <w:spacing w:before="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bCs/>
          <w:color w:val="auto"/>
          <w:szCs w:val="24"/>
          <w:highlight w:val="none"/>
          <w:lang w:val="en-US" w:eastAsia="zh-CN"/>
        </w:rPr>
        <w:t>5</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b/>
          <w:color w:val="auto"/>
          <w:szCs w:val="24"/>
          <w:highlight w:val="none"/>
        </w:rPr>
        <w:t xml:space="preserve"> 电子交易活动的中止。</w:t>
      </w:r>
      <w:r>
        <w:rPr>
          <w:rFonts w:hint="eastAsia" w:asciiTheme="minorEastAsia" w:hAnsiTheme="minorEastAsia" w:eastAsiaTheme="minorEastAsia" w:cstheme="minorEastAsia"/>
          <w:color w:val="auto"/>
          <w:highlight w:val="none"/>
        </w:rPr>
        <w:t>采购过程中出现以下情形，导致电子交易平台无法正常运行，或者无法保证电子交易的公平、公正和安全时，采购机构可中止电子交易活动：</w:t>
      </w:r>
    </w:p>
    <w:p w14:paraId="75AF8D5D">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 xml:space="preserve">.1电子交易平台发生故障而无法登录访问的； </w:t>
      </w:r>
    </w:p>
    <w:p w14:paraId="278D739A">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.2电子交易平台应用或数据库出现错误，不能进行正常操作的；</w:t>
      </w:r>
    </w:p>
    <w:p w14:paraId="53B499DF">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.3电子交易平台发现严重安全漏洞，有潜在泄密危险的；</w:t>
      </w:r>
    </w:p>
    <w:p w14:paraId="78CB8E96">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 xml:space="preserve">.4病毒发作导致不能进行正常操作的； </w:t>
      </w:r>
    </w:p>
    <w:p w14:paraId="42C565CA">
      <w:pPr>
        <w:pStyle w:val="131"/>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.5其他无法保证电子交易的公平、公正和安全的情况。</w:t>
      </w:r>
    </w:p>
    <w:p w14:paraId="0C521A26">
      <w:pPr>
        <w:pStyle w:val="131"/>
        <w:snapToGrid w:val="0"/>
        <w:spacing w:before="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600E2B54">
      <w:pPr>
        <w:pStyle w:val="131"/>
        <w:spacing w:before="0"/>
        <w:ind w:firstLine="480"/>
        <w:rPr>
          <w:rFonts w:hint="eastAsia" w:asciiTheme="minorEastAsia" w:hAnsiTheme="minorEastAsia" w:eastAsiaTheme="minorEastAsia" w:cstheme="minorEastAsia"/>
          <w:color w:val="auto"/>
          <w:highlight w:val="none"/>
        </w:rPr>
      </w:pPr>
    </w:p>
    <w:p w14:paraId="647B5F68">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九、验收</w:t>
      </w:r>
    </w:p>
    <w:p w14:paraId="47C2D137">
      <w:pPr>
        <w:pStyle w:val="26"/>
        <w:spacing w:line="360" w:lineRule="auto"/>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7</w:t>
      </w:r>
      <w:r>
        <w:rPr>
          <w:rFonts w:hint="eastAsia" w:asciiTheme="minorEastAsia" w:hAnsiTheme="minorEastAsia" w:eastAsiaTheme="minorEastAsia" w:cstheme="minorEastAsia"/>
          <w:b/>
          <w:color w:val="auto"/>
          <w:highlight w:val="none"/>
        </w:rPr>
        <w:t>.验收</w:t>
      </w:r>
    </w:p>
    <w:p w14:paraId="5F16F286">
      <w:pPr>
        <w:tabs>
          <w:tab w:val="left" w:pos="0"/>
        </w:tabs>
        <w:spacing w:line="360" w:lineRule="auto"/>
        <w:ind w:firstLine="48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.1采购人应当组织对供应商履约的验收。</w:t>
      </w:r>
      <w:bookmarkEnd w:id="13"/>
      <w:bookmarkEnd w:id="14"/>
      <w:bookmarkEnd w:id="15"/>
      <w:bookmarkStart w:id="16" w:name="第四部分"/>
    </w:p>
    <w:p w14:paraId="1748C977">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2A2BDDEA">
      <w:pPr>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第三部分   采购需求</w:t>
      </w:r>
    </w:p>
    <w:p w14:paraId="316D44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一、项目内容</w:t>
      </w:r>
    </w:p>
    <w:p w14:paraId="68A28B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b w:val="0"/>
          <w:bCs w:val="0"/>
          <w:sz w:val="24"/>
          <w:szCs w:val="24"/>
          <w:lang w:val="en-US" w:eastAsia="zh-CN"/>
        </w:rPr>
      </w:pPr>
      <w:r>
        <w:rPr>
          <w:rFonts w:hint="eastAsia" w:ascii="宋体" w:hAnsi="宋体" w:eastAsia="宋体" w:cs="宋体"/>
          <w:b w:val="0"/>
          <w:bCs w:val="0"/>
          <w:sz w:val="24"/>
          <w:szCs w:val="24"/>
        </w:rPr>
        <w:t>通过问询调查、目测踏查、诱饵诱集等一系列的科学监测手段，</w:t>
      </w:r>
      <w:r>
        <w:rPr>
          <w:rFonts w:hint="eastAsia" w:ascii="宋体" w:hAnsi="宋体" w:eastAsia="宋体" w:cs="宋体"/>
          <w:b w:val="0"/>
          <w:bCs w:val="0"/>
          <w:sz w:val="24"/>
          <w:szCs w:val="24"/>
          <w:lang w:val="en-US" w:eastAsia="zh-CN"/>
        </w:rPr>
        <w:t>于2026年红火蚁活动时段在</w:t>
      </w:r>
      <w:r>
        <w:rPr>
          <w:rFonts w:hint="eastAsia" w:ascii="宋体" w:hAnsi="宋体" w:eastAsia="宋体" w:cs="宋体"/>
          <w:b w:val="0"/>
          <w:bCs w:val="0"/>
          <w:sz w:val="24"/>
          <w:szCs w:val="24"/>
        </w:rPr>
        <w:t>全区范围内开展</w:t>
      </w:r>
      <w:r>
        <w:rPr>
          <w:rFonts w:hint="eastAsia" w:ascii="宋体" w:hAnsi="宋体" w:eastAsia="宋体" w:cs="宋体"/>
          <w:b w:val="0"/>
          <w:bCs w:val="0"/>
          <w:sz w:val="24"/>
          <w:szCs w:val="24"/>
          <w:lang w:val="en-US" w:eastAsia="zh-CN"/>
        </w:rPr>
        <w:t>全面</w:t>
      </w:r>
      <w:r>
        <w:rPr>
          <w:rFonts w:hint="eastAsia" w:ascii="宋体" w:hAnsi="宋体" w:eastAsia="宋体" w:cs="宋体"/>
          <w:b w:val="0"/>
          <w:bCs w:val="0"/>
          <w:sz w:val="24"/>
          <w:szCs w:val="24"/>
        </w:rPr>
        <w:t>监测</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重点监控苗木与废旧物品的经营及调运场所、公共绿化草坪、荒地、河道绿化坡地、农地田埂、林地边界等，明确萧山地区红火蚁的发生情况</w:t>
      </w:r>
      <w:r>
        <w:rPr>
          <w:rFonts w:hint="eastAsia" w:ascii="宋体" w:hAnsi="宋体" w:eastAsia="宋体" w:cs="宋体"/>
          <w:b w:val="0"/>
          <w:bCs w:val="0"/>
          <w:sz w:val="24"/>
          <w:szCs w:val="24"/>
          <w:lang w:val="en-US" w:eastAsia="zh-CN"/>
        </w:rPr>
        <w:t>并及时采取防控措施。</w:t>
      </w:r>
    </w:p>
    <w:p w14:paraId="407C8519">
      <w:pPr>
        <w:pStyle w:val="63"/>
        <w:ind w:left="0" w:leftChars="0" w:firstLine="0" w:firstLineChars="0"/>
        <w:rPr>
          <w:rFonts w:hint="eastAsia" w:ascii="宋体" w:hAnsi="宋体" w:eastAsia="宋体" w:cs="宋体"/>
          <w:b/>
          <w:bCs/>
          <w:sz w:val="24"/>
          <w:szCs w:val="24"/>
        </w:rPr>
      </w:pPr>
      <w:r>
        <w:rPr>
          <w:rFonts w:hint="eastAsia" w:eastAsia="宋体" w:cs="宋体"/>
          <w:b/>
          <w:bCs/>
          <w:sz w:val="24"/>
          <w:szCs w:val="24"/>
          <w:lang w:val="en-US" w:eastAsia="zh-CN"/>
        </w:rPr>
        <w:t>二、项目需求</w:t>
      </w:r>
    </w:p>
    <w:p w14:paraId="7F888A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1、调查范围及面积：在萧山全区范围内开展调查，既定的重点监测区域要全覆盖，包括大型苗木交易场所（3个）</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苗圃（50个）</w:t>
      </w:r>
      <w:r>
        <w:rPr>
          <w:rFonts w:hint="eastAsia" w:ascii="宋体" w:hAnsi="宋体" w:eastAsia="宋体" w:cs="宋体"/>
          <w:b w:val="0"/>
          <w:bCs w:val="0"/>
          <w:sz w:val="24"/>
          <w:szCs w:val="24"/>
        </w:rPr>
        <w:t>及乡镇或街道的绿化区域</w:t>
      </w:r>
      <w:r>
        <w:rPr>
          <w:rFonts w:hint="eastAsia" w:ascii="宋体" w:hAnsi="宋体" w:eastAsia="宋体" w:cs="宋体"/>
          <w:b w:val="0"/>
          <w:bCs w:val="0"/>
          <w:sz w:val="24"/>
          <w:szCs w:val="24"/>
          <w:highlight w:val="none"/>
        </w:rPr>
        <w:t>（20个）</w:t>
      </w:r>
      <w:r>
        <w:rPr>
          <w:rFonts w:hint="eastAsia" w:ascii="宋体" w:hAnsi="宋体" w:eastAsia="宋体" w:cs="宋体"/>
          <w:b w:val="0"/>
          <w:bCs w:val="0"/>
          <w:sz w:val="24"/>
          <w:szCs w:val="24"/>
        </w:rPr>
        <w:t xml:space="preserve">，做到监测到位；调查面积不少于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0万亩，其中大型苗木交易场所 0.3万亩、</w:t>
      </w:r>
      <w:r>
        <w:rPr>
          <w:rFonts w:hint="eastAsia" w:ascii="宋体" w:hAnsi="宋体" w:eastAsia="宋体" w:cs="宋体"/>
          <w:b w:val="0"/>
          <w:bCs w:val="0"/>
          <w:sz w:val="24"/>
          <w:szCs w:val="24"/>
          <w:lang w:val="en-US" w:eastAsia="zh-CN"/>
        </w:rPr>
        <w:t>苗圃1.0万亩、</w:t>
      </w:r>
      <w:r>
        <w:rPr>
          <w:rFonts w:hint="eastAsia" w:ascii="宋体" w:hAnsi="宋体" w:eastAsia="宋体" w:cs="宋体"/>
          <w:b w:val="0"/>
          <w:bCs w:val="0"/>
          <w:sz w:val="24"/>
          <w:szCs w:val="24"/>
        </w:rPr>
        <w:t xml:space="preserve">乡镇或街道的绿化区域 </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万亩。</w:t>
      </w:r>
    </w:p>
    <w:p w14:paraId="5F07AB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2、调查点设置方法及考核指标：调查点共</w:t>
      </w:r>
      <w:r>
        <w:rPr>
          <w:rFonts w:hint="eastAsia" w:ascii="宋体" w:hAnsi="宋体" w:eastAsia="宋体" w:cs="宋体"/>
          <w:b w:val="0"/>
          <w:bCs w:val="0"/>
          <w:sz w:val="24"/>
          <w:szCs w:val="24"/>
          <w:lang w:val="en-US" w:eastAsia="zh-CN"/>
        </w:rPr>
        <w:t>253</w:t>
      </w:r>
      <w:r>
        <w:rPr>
          <w:rFonts w:hint="eastAsia" w:ascii="宋体" w:hAnsi="宋体" w:eastAsia="宋体" w:cs="宋体"/>
          <w:b w:val="0"/>
          <w:bCs w:val="0"/>
          <w:sz w:val="24"/>
          <w:szCs w:val="24"/>
        </w:rPr>
        <w:t>个，其中苗木交易场所</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个、</w:t>
      </w:r>
      <w:r>
        <w:rPr>
          <w:rFonts w:hint="eastAsia" w:ascii="宋体" w:hAnsi="宋体" w:eastAsia="宋体" w:cs="宋体"/>
          <w:b w:val="0"/>
          <w:bCs w:val="0"/>
          <w:sz w:val="24"/>
          <w:szCs w:val="24"/>
          <w:lang w:val="en-US" w:eastAsia="zh-CN"/>
        </w:rPr>
        <w:t>苗圃50个、</w:t>
      </w:r>
      <w:r>
        <w:rPr>
          <w:rFonts w:hint="eastAsia" w:ascii="宋体" w:hAnsi="宋体" w:eastAsia="宋体" w:cs="宋体"/>
          <w:b w:val="0"/>
          <w:bCs w:val="0"/>
          <w:sz w:val="24"/>
          <w:szCs w:val="24"/>
        </w:rPr>
        <w:t>乡镇或街道</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00个。调查点设置方法：新街、瓜沥和君祥花卉交易场所</w:t>
      </w:r>
      <w:r>
        <w:rPr>
          <w:rFonts w:hint="eastAsia" w:ascii="宋体" w:hAnsi="宋体" w:eastAsia="宋体" w:cs="宋体"/>
          <w:b w:val="0"/>
          <w:bCs w:val="0"/>
          <w:sz w:val="24"/>
          <w:szCs w:val="24"/>
          <w:lang w:val="en-US" w:eastAsia="zh-CN"/>
        </w:rPr>
        <w:t>和苗圃均需要全域调查</w:t>
      </w:r>
      <w:r>
        <w:rPr>
          <w:rFonts w:hint="eastAsia" w:ascii="宋体" w:hAnsi="宋体" w:eastAsia="宋体" w:cs="宋体"/>
          <w:b w:val="0"/>
          <w:bCs w:val="0"/>
          <w:sz w:val="24"/>
          <w:szCs w:val="24"/>
        </w:rPr>
        <w:t>，小计</w:t>
      </w:r>
      <w:r>
        <w:rPr>
          <w:rFonts w:hint="eastAsia" w:ascii="宋体" w:hAnsi="宋体" w:eastAsia="宋体" w:cs="宋体"/>
          <w:b w:val="0"/>
          <w:bCs w:val="0"/>
          <w:sz w:val="24"/>
          <w:szCs w:val="24"/>
          <w:lang w:val="en-US" w:eastAsia="zh-CN"/>
        </w:rPr>
        <w:t>53</w:t>
      </w:r>
      <w:r>
        <w:rPr>
          <w:rFonts w:hint="eastAsia" w:ascii="宋体" w:hAnsi="宋体" w:eastAsia="宋体" w:cs="宋体"/>
          <w:b w:val="0"/>
          <w:bCs w:val="0"/>
          <w:sz w:val="24"/>
          <w:szCs w:val="24"/>
        </w:rPr>
        <w:t xml:space="preserve">个调查点；乡镇或街道20个区域根据监测重点摸底情况随机取 </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个调查点，小计</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00个调查点。</w:t>
      </w:r>
    </w:p>
    <w:p w14:paraId="62689C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3、监测技术的考核方法：严格参照国家标准《红火蚁监测规程》（GB/T 23626-2009）基础上，重点采取问询、目测、诱饵诱集等监测手段实施调查，利用</w:t>
      </w:r>
      <w:r>
        <w:rPr>
          <w:rFonts w:hint="eastAsia" w:ascii="宋体" w:hAnsi="宋体" w:eastAsia="宋体" w:cs="宋体"/>
          <w:b w:val="0"/>
          <w:bCs w:val="0"/>
          <w:color w:val="auto"/>
          <w:sz w:val="24"/>
          <w:szCs w:val="24"/>
        </w:rPr>
        <w:t>数字森防红火蚁监测防控系统进行监测大数据的采集工作，完成有疫点根除防控、验收销号等数据及时录入</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实现监测信息化、数字化及智能化管理。其中诱饵诱集需保证诱饵的有效性</w:t>
      </w:r>
      <w:r>
        <w:rPr>
          <w:rFonts w:hint="eastAsia" w:ascii="宋体" w:hAnsi="宋体" w:eastAsia="宋体" w:cs="宋体"/>
          <w:b w:val="0"/>
          <w:bCs w:val="0"/>
          <w:sz w:val="24"/>
          <w:szCs w:val="24"/>
          <w:highlight w:val="none"/>
        </w:rPr>
        <w:t>，</w:t>
      </w:r>
      <w:r>
        <w:rPr>
          <w:rFonts w:hint="eastAsia" w:ascii="宋体" w:hAnsi="宋体" w:eastAsia="宋体" w:cs="宋体"/>
          <w:b w:val="0"/>
          <w:bCs w:val="0"/>
          <w:color w:val="auto"/>
          <w:sz w:val="24"/>
          <w:szCs w:val="24"/>
          <w:highlight w:val="none"/>
        </w:rPr>
        <w:t>且诱饵监测面积至少4万亩以上，其中苗木交易场所0.3万亩、</w:t>
      </w:r>
      <w:r>
        <w:rPr>
          <w:rFonts w:hint="eastAsia" w:ascii="宋体" w:hAnsi="宋体" w:eastAsia="宋体" w:cs="宋体"/>
          <w:b w:val="0"/>
          <w:bCs w:val="0"/>
          <w:color w:val="auto"/>
          <w:sz w:val="24"/>
          <w:szCs w:val="24"/>
          <w:highlight w:val="none"/>
          <w:lang w:val="en-US" w:eastAsia="zh-CN"/>
        </w:rPr>
        <w:t>苗圃1.0万亩</w:t>
      </w:r>
      <w:r>
        <w:rPr>
          <w:rFonts w:hint="eastAsia" w:ascii="宋体" w:hAnsi="宋体" w:eastAsia="宋体" w:cs="宋体"/>
          <w:b w:val="0"/>
          <w:bCs w:val="0"/>
          <w:color w:val="auto"/>
          <w:sz w:val="24"/>
          <w:szCs w:val="24"/>
          <w:highlight w:val="none"/>
        </w:rPr>
        <w:t>及乡镇或街道</w:t>
      </w:r>
      <w:r>
        <w:rPr>
          <w:rFonts w:hint="eastAsia" w:ascii="宋体" w:hAnsi="宋体" w:eastAsia="宋体"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rPr>
        <w:t>万亩，</w:t>
      </w:r>
      <w:r>
        <w:rPr>
          <w:rFonts w:hint="eastAsia" w:ascii="宋体" w:hAnsi="宋体" w:eastAsia="宋体" w:cs="宋体"/>
          <w:b w:val="0"/>
          <w:bCs w:val="0"/>
          <w:sz w:val="24"/>
          <w:szCs w:val="24"/>
        </w:rPr>
        <w:t>而且诱饵投放量在</w:t>
      </w:r>
      <w:r>
        <w:rPr>
          <w:rFonts w:hint="eastAsia" w:ascii="宋体" w:hAnsi="宋体" w:eastAsia="宋体" w:cs="宋体"/>
          <w:b w:val="0"/>
          <w:bCs w:val="0"/>
          <w:sz w:val="24"/>
          <w:szCs w:val="24"/>
          <w:lang w:val="en-US" w:eastAsia="zh-CN"/>
        </w:rPr>
        <w:t>8000</w:t>
      </w:r>
      <w:r>
        <w:rPr>
          <w:rFonts w:hint="eastAsia" w:ascii="宋体" w:hAnsi="宋体" w:eastAsia="宋体" w:cs="宋体"/>
          <w:b w:val="0"/>
          <w:bCs w:val="0"/>
          <w:sz w:val="24"/>
          <w:szCs w:val="24"/>
        </w:rPr>
        <w:t>个以上，其中苗木交易场所500个</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苗圃1500个</w:t>
      </w:r>
      <w:r>
        <w:rPr>
          <w:rFonts w:hint="eastAsia" w:ascii="宋体" w:hAnsi="宋体" w:eastAsia="宋体" w:cs="宋体"/>
          <w:b w:val="0"/>
          <w:bCs w:val="0"/>
          <w:sz w:val="24"/>
          <w:szCs w:val="24"/>
        </w:rPr>
        <w:t>及乡镇或街道</w:t>
      </w:r>
      <w:r>
        <w:rPr>
          <w:rFonts w:hint="eastAsia" w:ascii="宋体" w:hAnsi="宋体" w:eastAsia="宋体" w:cs="宋体"/>
          <w:b w:val="0"/>
          <w:bCs w:val="0"/>
          <w:sz w:val="24"/>
          <w:szCs w:val="24"/>
          <w:lang w:val="en-US" w:eastAsia="zh-CN"/>
        </w:rPr>
        <w:t>60</w:t>
      </w:r>
      <w:r>
        <w:rPr>
          <w:rFonts w:hint="eastAsia" w:ascii="宋体" w:hAnsi="宋体" w:eastAsia="宋体" w:cs="宋体"/>
          <w:b w:val="0"/>
          <w:bCs w:val="0"/>
          <w:sz w:val="24"/>
          <w:szCs w:val="24"/>
        </w:rPr>
        <w:t>00个。</w:t>
      </w:r>
    </w:p>
    <w:p w14:paraId="51122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color w:val="auto"/>
          <w:sz w:val="24"/>
          <w:szCs w:val="24"/>
        </w:rPr>
        <w:t>监测频次及考核指标：监测频次及考核指标：</w:t>
      </w:r>
      <w:r>
        <w:rPr>
          <w:rFonts w:hint="eastAsia" w:ascii="宋体" w:hAnsi="宋体" w:eastAsia="宋体" w:cs="宋体"/>
          <w:b w:val="0"/>
          <w:bCs w:val="0"/>
          <w:color w:val="auto"/>
          <w:sz w:val="24"/>
          <w:szCs w:val="24"/>
          <w:highlight w:val="none"/>
        </w:rPr>
        <w:t>每个月执行调查至少2次</w:t>
      </w:r>
      <w:r>
        <w:rPr>
          <w:rFonts w:hint="eastAsia" w:ascii="宋体" w:hAnsi="宋体" w:eastAsia="宋体" w:cs="宋体"/>
          <w:b w:val="0"/>
          <w:bCs w:val="0"/>
          <w:color w:val="auto"/>
          <w:sz w:val="24"/>
          <w:szCs w:val="24"/>
        </w:rPr>
        <w:t>，苗木交易场所监测频次不少于</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次；乡镇或街道绿化场所监测频次不少于2次，同个调查点前后两次监测间隔时间应在一个月以上。</w:t>
      </w:r>
    </w:p>
    <w:p w14:paraId="65195C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作业规范化考核：每次执行监测调查均需做好作业预案，录需详细记录问询、目测及诱饵诱集等作业内容，打点记录信息应与日志中描述一一对应，图片记录需展现作业场景与日期、天气及位置等信息，每位作业人员需确认签字。</w:t>
      </w:r>
    </w:p>
    <w:p w14:paraId="703456FC">
      <w:pPr>
        <w:pStyle w:val="62"/>
        <w:rPr>
          <w:rFonts w:hint="eastAsia" w:hAnsi="宋体" w:cs="宋体"/>
          <w:b/>
          <w:bCs/>
          <w:sz w:val="24"/>
          <w:szCs w:val="24"/>
          <w:lang w:val="en-US" w:eastAsia="zh-CN"/>
        </w:rPr>
      </w:pPr>
      <w:r>
        <w:rPr>
          <w:rFonts w:hint="eastAsia" w:hAnsi="宋体" w:cs="宋体"/>
          <w:b/>
          <w:bCs/>
          <w:sz w:val="24"/>
          <w:szCs w:val="24"/>
          <w:lang w:val="en-US" w:eastAsia="zh-CN"/>
        </w:rPr>
        <w:t>三、商务需求</w:t>
      </w:r>
    </w:p>
    <w:p w14:paraId="6BF57BAA">
      <w:pPr>
        <w:adjustRightInd/>
        <w:spacing w:line="360" w:lineRule="auto"/>
        <w:ind w:firstLine="205" w:firstLineChars="98"/>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color w:val="auto"/>
          <w:sz w:val="24"/>
          <w:szCs w:val="24"/>
          <w:highlight w:val="none"/>
          <w:lang w:val="en-US" w:eastAsia="zh-CN"/>
        </w:rPr>
        <w:t>1、服务期限：自合同签订之日起1年。</w:t>
      </w:r>
    </w:p>
    <w:p w14:paraId="0E8CEA59">
      <w:pPr>
        <w:adjustRightInd/>
        <w:spacing w:line="360" w:lineRule="auto"/>
        <w:ind w:firstLine="235" w:firstLineChars="98"/>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2、服务地点：业主指定地点。</w:t>
      </w:r>
    </w:p>
    <w:p w14:paraId="68616362">
      <w:pPr>
        <w:adjustRightInd/>
        <w:spacing w:line="360" w:lineRule="auto"/>
        <w:ind w:firstLine="235" w:firstLineChars="98"/>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3、付款方式：</w:t>
      </w:r>
      <w:r>
        <w:rPr>
          <w:rFonts w:hint="eastAsia" w:ascii="宋体" w:hAnsi="宋体" w:eastAsia="宋体" w:cs="宋体"/>
          <w:sz w:val="24"/>
          <w:highlight w:val="none"/>
          <w:lang w:val="en-US" w:eastAsia="zh-CN"/>
        </w:rPr>
        <w:t>服务期结束</w:t>
      </w:r>
      <w:r>
        <w:rPr>
          <w:rFonts w:hint="eastAsia" w:ascii="宋体" w:hAnsi="宋体" w:eastAsia="宋体" w:cs="宋体"/>
          <w:sz w:val="24"/>
          <w:highlight w:val="none"/>
        </w:rPr>
        <w:t>,项目</w:t>
      </w:r>
      <w:r>
        <w:rPr>
          <w:rFonts w:hint="eastAsia" w:ascii="宋体" w:hAnsi="宋体" w:eastAsia="宋体" w:cs="宋体"/>
          <w:sz w:val="24"/>
          <w:highlight w:val="none"/>
          <w:lang w:val="en-US" w:eastAsia="zh-CN"/>
        </w:rPr>
        <w:t>经甲方</w:t>
      </w:r>
      <w:r>
        <w:rPr>
          <w:rFonts w:hint="eastAsia" w:ascii="宋体" w:hAnsi="宋体" w:eastAsia="宋体" w:cs="宋体"/>
          <w:sz w:val="24"/>
          <w:highlight w:val="none"/>
        </w:rPr>
        <w:t>验收通过之后</w:t>
      </w:r>
      <w:r>
        <w:rPr>
          <w:rFonts w:hint="eastAsia" w:ascii="宋体" w:hAnsi="宋体" w:eastAsia="宋体" w:cs="宋体"/>
          <w:sz w:val="24"/>
          <w:highlight w:val="none"/>
          <w:lang w:val="en-US" w:eastAsia="zh-CN"/>
        </w:rPr>
        <w:t>支付至合同价</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100</w:t>
      </w:r>
      <w:r>
        <w:rPr>
          <w:rFonts w:hint="eastAsia" w:ascii="宋体" w:hAnsi="宋体" w:eastAsia="宋体" w:cs="宋体"/>
          <w:sz w:val="24"/>
          <w:highlight w:val="none"/>
        </w:rPr>
        <w:t>%。</w:t>
      </w:r>
    </w:p>
    <w:p w14:paraId="39145DFC">
      <w:pPr>
        <w:spacing w:line="360" w:lineRule="auto"/>
        <w:rPr>
          <w:rFonts w:hint="eastAsia" w:ascii="宋体" w:hAnsi="宋体" w:eastAsia="宋体" w:cs="宋体"/>
          <w:color w:val="auto"/>
          <w:sz w:val="24"/>
          <w:szCs w:val="24"/>
          <w:highlight w:val="none"/>
        </w:rPr>
      </w:pPr>
    </w:p>
    <w:p w14:paraId="1B8D1E76">
      <w:pPr>
        <w:pStyle w:val="131"/>
        <w:snapToGrid w:val="0"/>
        <w:spacing w:before="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1、除标注的参考品牌外，欢迎其它能满足本项目技术需求且性能与所注品牌相当的产品参与。</w:t>
      </w:r>
    </w:p>
    <w:p w14:paraId="303607B1">
      <w:pPr>
        <w:pStyle w:val="131"/>
        <w:snapToGrid w:val="0"/>
        <w:spacing w:before="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2、如有附图，仅作参考。</w:t>
      </w:r>
    </w:p>
    <w:p w14:paraId="566BA65B">
      <w:pPr>
        <w:pStyle w:val="131"/>
        <w:snapToGrid w:val="0"/>
        <w:spacing w:before="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3、打▲内容为实质性要求，不允许有负偏离，否则将以涉及无效响应条款作无效响应。</w:t>
      </w:r>
    </w:p>
    <w:p w14:paraId="191388BD">
      <w:pPr>
        <w:pStyle w:val="52"/>
        <w:ind w:left="0" w:leftChars="0" w:firstLine="0" w:firstLineChars="0"/>
        <w:rPr>
          <w:rFonts w:hint="eastAsia"/>
          <w:lang w:val="en-US" w:eastAsia="zh-CN"/>
        </w:rPr>
      </w:pPr>
      <w:r>
        <w:rPr>
          <w:rFonts w:hint="eastAsia" w:ascii="宋体" w:hAnsi="宋体" w:eastAsia="宋体" w:cs="宋体"/>
          <w:color w:val="auto"/>
          <w:sz w:val="24"/>
          <w:szCs w:val="24"/>
          <w:highlight w:val="none"/>
          <w:lang w:val="en-US" w:eastAsia="zh-CN"/>
        </w:rPr>
        <w:t>4、成交人所提供的货物、服务须与响应承诺一致，不得以次充好、偷工减料，若在项目验收中发现有上述情况，将向有关部门举报，根据相关规定进行处理。</w:t>
      </w:r>
      <w:r>
        <w:rPr>
          <w:rFonts w:hint="eastAsia" w:ascii="宋体" w:hAnsi="宋体" w:eastAsia="宋体" w:cs="宋体"/>
          <w:color w:val="auto"/>
          <w:kern w:val="2"/>
          <w:sz w:val="24"/>
          <w:szCs w:val="24"/>
          <w:highlight w:val="none"/>
          <w:lang w:val="en-US" w:eastAsia="zh-CN" w:bidi="ar-SA"/>
        </w:rPr>
        <w:br w:type="page"/>
      </w:r>
    </w:p>
    <w:p w14:paraId="2BB8F145">
      <w:pPr>
        <w:pStyle w:val="52"/>
        <w:rPr>
          <w:rFonts w:hint="default"/>
          <w:lang w:val="en-US" w:eastAsia="zh-CN"/>
        </w:rPr>
      </w:pPr>
    </w:p>
    <w:p w14:paraId="10DD9919">
      <w:pPr>
        <w:pStyle w:val="63"/>
        <w:ind w:left="0" w:leftChars="0" w:firstLine="0" w:firstLineChars="0"/>
        <w:rPr>
          <w:rFonts w:hint="eastAsia" w:asciiTheme="minorEastAsia" w:hAnsiTheme="minorEastAsia" w:eastAsiaTheme="minorEastAsia" w:cstheme="minorEastAsia"/>
          <w:b/>
          <w:color w:val="auto"/>
          <w:sz w:val="24"/>
          <w:highlight w:val="none"/>
        </w:rPr>
      </w:pPr>
    </w:p>
    <w:p w14:paraId="449E2AAA">
      <w:pPr>
        <w:rPr>
          <w:rFonts w:hint="eastAsia"/>
          <w:highlight w:val="none"/>
        </w:rPr>
      </w:pPr>
    </w:p>
    <w:p w14:paraId="3165F2BF">
      <w:pPr>
        <w:snapToGrid w:val="0"/>
        <w:spacing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 xml:space="preserve">第四部分   </w:t>
      </w:r>
      <w:bookmarkStart w:id="17" w:name="_Toc184313244"/>
      <w:bookmarkEnd w:id="17"/>
      <w:bookmarkStart w:id="18" w:name="_Toc184314413"/>
      <w:bookmarkEnd w:id="18"/>
      <w:bookmarkStart w:id="19" w:name="_Toc184308089"/>
      <w:bookmarkEnd w:id="19"/>
      <w:bookmarkStart w:id="20" w:name="_Toc184314416"/>
      <w:bookmarkEnd w:id="20"/>
      <w:bookmarkStart w:id="21" w:name="_Toc184310326"/>
      <w:bookmarkEnd w:id="21"/>
      <w:bookmarkStart w:id="22" w:name="_Toc184312068"/>
      <w:bookmarkEnd w:id="22"/>
      <w:bookmarkStart w:id="23" w:name="_Toc184308046"/>
      <w:bookmarkEnd w:id="23"/>
      <w:bookmarkStart w:id="24" w:name="_Toc184314418"/>
      <w:bookmarkEnd w:id="24"/>
      <w:bookmarkStart w:id="25" w:name="_Toc184310296"/>
      <w:bookmarkEnd w:id="25"/>
      <w:bookmarkStart w:id="26" w:name="_Toc184314435"/>
      <w:bookmarkEnd w:id="26"/>
      <w:bookmarkStart w:id="27" w:name="_Toc184313277"/>
      <w:bookmarkEnd w:id="27"/>
      <w:bookmarkStart w:id="28" w:name="_Toc184312111"/>
      <w:bookmarkEnd w:id="28"/>
      <w:bookmarkStart w:id="29" w:name="_Toc184310310"/>
      <w:bookmarkEnd w:id="29"/>
      <w:bookmarkStart w:id="30" w:name="_Toc184314434"/>
      <w:bookmarkEnd w:id="30"/>
      <w:bookmarkStart w:id="31" w:name="_Toc184312098"/>
      <w:bookmarkEnd w:id="31"/>
      <w:bookmarkStart w:id="32" w:name="_Toc184313266"/>
      <w:bookmarkEnd w:id="32"/>
      <w:bookmarkStart w:id="33" w:name="_Toc184313259"/>
      <w:bookmarkEnd w:id="33"/>
      <w:bookmarkStart w:id="34" w:name="_Toc184314448"/>
      <w:bookmarkEnd w:id="34"/>
      <w:bookmarkStart w:id="35" w:name="_Toc184308037"/>
      <w:bookmarkEnd w:id="35"/>
      <w:bookmarkStart w:id="36" w:name="_Toc184313299"/>
      <w:bookmarkEnd w:id="36"/>
      <w:bookmarkStart w:id="37" w:name="_Toc184308103"/>
      <w:bookmarkEnd w:id="37"/>
      <w:bookmarkStart w:id="38" w:name="_Toc184314480"/>
      <w:bookmarkEnd w:id="38"/>
      <w:bookmarkStart w:id="39" w:name="_Toc184312090"/>
      <w:bookmarkEnd w:id="39"/>
      <w:bookmarkStart w:id="40" w:name="_Toc184308070"/>
      <w:bookmarkEnd w:id="40"/>
      <w:bookmarkStart w:id="41" w:name="_Toc184314429"/>
      <w:bookmarkEnd w:id="41"/>
      <w:bookmarkStart w:id="42" w:name="_Toc184308055"/>
      <w:bookmarkEnd w:id="42"/>
      <w:bookmarkStart w:id="43" w:name="_Toc184313268"/>
      <w:bookmarkEnd w:id="43"/>
      <w:bookmarkStart w:id="44" w:name="_Toc184313309"/>
      <w:bookmarkEnd w:id="44"/>
      <w:bookmarkStart w:id="45" w:name="_Toc184310286"/>
      <w:bookmarkEnd w:id="45"/>
      <w:bookmarkStart w:id="46" w:name="_Toc184313272"/>
      <w:bookmarkEnd w:id="46"/>
      <w:bookmarkStart w:id="47" w:name="_Toc184308064"/>
      <w:bookmarkEnd w:id="47"/>
      <w:bookmarkStart w:id="48" w:name="_Toc184308081"/>
      <w:bookmarkEnd w:id="48"/>
      <w:bookmarkStart w:id="49" w:name="_Toc184310304"/>
      <w:bookmarkEnd w:id="49"/>
      <w:bookmarkStart w:id="50" w:name="_Toc184308101"/>
      <w:bookmarkEnd w:id="50"/>
      <w:bookmarkStart w:id="51" w:name="_Toc184313298"/>
      <w:bookmarkEnd w:id="51"/>
      <w:bookmarkStart w:id="52" w:name="_Toc184313305"/>
      <w:bookmarkEnd w:id="52"/>
      <w:bookmarkStart w:id="53" w:name="_Toc184313249"/>
      <w:bookmarkEnd w:id="53"/>
      <w:bookmarkStart w:id="54" w:name="_Toc184312079"/>
      <w:bookmarkEnd w:id="54"/>
      <w:bookmarkStart w:id="55" w:name="_Toc184313247"/>
      <w:bookmarkEnd w:id="55"/>
      <w:bookmarkStart w:id="56" w:name="_Toc184308036"/>
      <w:bookmarkEnd w:id="56"/>
      <w:bookmarkStart w:id="57" w:name="_Toc184312077"/>
      <w:bookmarkEnd w:id="57"/>
      <w:bookmarkStart w:id="58" w:name="_Toc184308104"/>
      <w:bookmarkEnd w:id="58"/>
      <w:bookmarkStart w:id="59" w:name="_Toc184310311"/>
      <w:bookmarkEnd w:id="59"/>
      <w:bookmarkStart w:id="60" w:name="_Toc184313256"/>
      <w:bookmarkEnd w:id="60"/>
      <w:bookmarkStart w:id="61" w:name="_Toc184313274"/>
      <w:bookmarkEnd w:id="61"/>
      <w:bookmarkStart w:id="62" w:name="_Toc184312134"/>
      <w:bookmarkEnd w:id="62"/>
      <w:bookmarkStart w:id="63" w:name="_Toc184314441"/>
      <w:bookmarkEnd w:id="63"/>
      <w:bookmarkStart w:id="64" w:name="_Toc184308084"/>
      <w:bookmarkEnd w:id="64"/>
      <w:bookmarkStart w:id="65" w:name="_Toc184313269"/>
      <w:bookmarkEnd w:id="65"/>
      <w:bookmarkStart w:id="66" w:name="_Toc184313289"/>
      <w:bookmarkEnd w:id="66"/>
      <w:bookmarkStart w:id="67" w:name="_Toc184314462"/>
      <w:bookmarkEnd w:id="67"/>
      <w:bookmarkStart w:id="68" w:name="_Toc184310330"/>
      <w:bookmarkEnd w:id="68"/>
      <w:bookmarkStart w:id="69" w:name="_Toc184312096"/>
      <w:bookmarkEnd w:id="69"/>
      <w:bookmarkStart w:id="70" w:name="_Toc184314454"/>
      <w:bookmarkEnd w:id="70"/>
      <w:bookmarkStart w:id="71" w:name="_Toc184313291"/>
      <w:bookmarkEnd w:id="71"/>
      <w:bookmarkStart w:id="72" w:name="_Toc184310316"/>
      <w:bookmarkEnd w:id="72"/>
      <w:bookmarkStart w:id="73" w:name="_Toc184310334"/>
      <w:bookmarkEnd w:id="73"/>
      <w:bookmarkStart w:id="74" w:name="_Toc184308053"/>
      <w:bookmarkEnd w:id="74"/>
      <w:bookmarkStart w:id="75" w:name="_Toc184312078"/>
      <w:bookmarkEnd w:id="75"/>
      <w:bookmarkStart w:id="76" w:name="_Toc184312084"/>
      <w:bookmarkEnd w:id="76"/>
      <w:bookmarkStart w:id="77" w:name="_Toc184312135"/>
      <w:bookmarkEnd w:id="77"/>
      <w:bookmarkStart w:id="78" w:name="_Toc184312097"/>
      <w:bookmarkEnd w:id="78"/>
      <w:bookmarkStart w:id="79" w:name="_Toc184313279"/>
      <w:bookmarkEnd w:id="79"/>
      <w:bookmarkStart w:id="80" w:name="_Toc184313245"/>
      <w:bookmarkEnd w:id="80"/>
      <w:bookmarkStart w:id="81" w:name="_Toc184310335"/>
      <w:bookmarkEnd w:id="81"/>
      <w:bookmarkStart w:id="82" w:name="_Toc184310291"/>
      <w:bookmarkEnd w:id="82"/>
      <w:bookmarkStart w:id="83" w:name="_Toc184314465"/>
      <w:bookmarkEnd w:id="83"/>
      <w:bookmarkStart w:id="84" w:name="_Toc184308040"/>
      <w:bookmarkEnd w:id="84"/>
      <w:bookmarkStart w:id="85" w:name="_Toc184308095"/>
      <w:bookmarkEnd w:id="85"/>
      <w:bookmarkStart w:id="86" w:name="_Toc184308090"/>
      <w:bookmarkEnd w:id="86"/>
      <w:bookmarkStart w:id="87" w:name="_Toc184310295"/>
      <w:bookmarkEnd w:id="87"/>
      <w:bookmarkStart w:id="88" w:name="_Toc184310277"/>
      <w:bookmarkEnd w:id="88"/>
      <w:bookmarkStart w:id="89" w:name="_Toc184310293"/>
      <w:bookmarkEnd w:id="89"/>
      <w:bookmarkStart w:id="90" w:name="_Toc184313293"/>
      <w:bookmarkEnd w:id="90"/>
      <w:bookmarkStart w:id="91" w:name="_Toc184313273"/>
      <w:bookmarkEnd w:id="91"/>
      <w:bookmarkStart w:id="92" w:name="_Toc184313243"/>
      <w:bookmarkEnd w:id="92"/>
      <w:bookmarkStart w:id="93" w:name="_Toc184313281"/>
      <w:bookmarkEnd w:id="93"/>
      <w:bookmarkStart w:id="94" w:name="_Toc184312115"/>
      <w:bookmarkEnd w:id="94"/>
      <w:bookmarkStart w:id="95" w:name="_Toc184314461"/>
      <w:bookmarkEnd w:id="95"/>
      <w:bookmarkStart w:id="96" w:name="_Toc184308107"/>
      <w:bookmarkEnd w:id="96"/>
      <w:bookmarkStart w:id="97" w:name="_Toc184313240"/>
      <w:bookmarkEnd w:id="97"/>
      <w:bookmarkStart w:id="98" w:name="_Toc184314430"/>
      <w:bookmarkEnd w:id="98"/>
      <w:bookmarkStart w:id="99" w:name="_Toc184312095"/>
      <w:bookmarkEnd w:id="99"/>
      <w:bookmarkStart w:id="100" w:name="_Toc184310290"/>
      <w:bookmarkEnd w:id="100"/>
      <w:bookmarkStart w:id="101" w:name="_Toc184314443"/>
      <w:bookmarkEnd w:id="101"/>
      <w:bookmarkStart w:id="102" w:name="_Toc184312114"/>
      <w:bookmarkEnd w:id="102"/>
      <w:bookmarkStart w:id="103" w:name="_Toc184314450"/>
      <w:bookmarkEnd w:id="103"/>
      <w:bookmarkStart w:id="104" w:name="_Toc184314451"/>
      <w:bookmarkEnd w:id="104"/>
      <w:bookmarkStart w:id="105" w:name="_Toc184313283"/>
      <w:bookmarkEnd w:id="105"/>
      <w:bookmarkStart w:id="106" w:name="_Toc184312099"/>
      <w:bookmarkEnd w:id="106"/>
      <w:bookmarkStart w:id="107" w:name="_Toc184314431"/>
      <w:bookmarkEnd w:id="107"/>
      <w:bookmarkStart w:id="108" w:name="_Toc184314428"/>
      <w:bookmarkEnd w:id="108"/>
      <w:bookmarkStart w:id="109" w:name="_Toc184313288"/>
      <w:bookmarkEnd w:id="109"/>
      <w:bookmarkStart w:id="110" w:name="_Toc184308099"/>
      <w:bookmarkEnd w:id="110"/>
      <w:bookmarkStart w:id="111" w:name="_Toc184313246"/>
      <w:bookmarkEnd w:id="111"/>
      <w:bookmarkStart w:id="112" w:name="_Toc184310340"/>
      <w:bookmarkEnd w:id="112"/>
      <w:bookmarkStart w:id="113" w:name="_Toc184314482"/>
      <w:bookmarkEnd w:id="113"/>
      <w:bookmarkStart w:id="114" w:name="_Toc184313258"/>
      <w:bookmarkEnd w:id="114"/>
      <w:bookmarkStart w:id="115" w:name="_Toc184313250"/>
      <w:bookmarkEnd w:id="115"/>
      <w:bookmarkStart w:id="116" w:name="_Toc184312123"/>
      <w:bookmarkEnd w:id="116"/>
      <w:bookmarkStart w:id="117" w:name="_Toc184308057"/>
      <w:bookmarkEnd w:id="117"/>
      <w:bookmarkStart w:id="118" w:name="_Toc184308061"/>
      <w:bookmarkEnd w:id="118"/>
      <w:bookmarkStart w:id="119" w:name="_Toc184308100"/>
      <w:bookmarkEnd w:id="119"/>
      <w:bookmarkStart w:id="120" w:name="_Toc184314410"/>
      <w:bookmarkEnd w:id="120"/>
      <w:bookmarkStart w:id="121" w:name="_Toc184308080"/>
      <w:bookmarkEnd w:id="121"/>
      <w:bookmarkStart w:id="122" w:name="_Toc184314456"/>
      <w:bookmarkEnd w:id="122"/>
      <w:bookmarkStart w:id="123" w:name="_Toc184312080"/>
      <w:bookmarkEnd w:id="123"/>
      <w:bookmarkStart w:id="124" w:name="_Toc184310306"/>
      <w:bookmarkEnd w:id="124"/>
      <w:bookmarkStart w:id="125" w:name="_Toc184314426"/>
      <w:bookmarkEnd w:id="125"/>
      <w:bookmarkStart w:id="126" w:name="_Toc184313286"/>
      <w:bookmarkEnd w:id="126"/>
      <w:bookmarkStart w:id="127" w:name="_Toc184312088"/>
      <w:bookmarkEnd w:id="127"/>
      <w:bookmarkStart w:id="128" w:name="_Toc184312101"/>
      <w:bookmarkEnd w:id="128"/>
      <w:bookmarkStart w:id="129" w:name="_Toc184313303"/>
      <w:bookmarkEnd w:id="129"/>
      <w:bookmarkStart w:id="130" w:name="_Toc184308068"/>
      <w:bookmarkEnd w:id="130"/>
      <w:bookmarkStart w:id="131" w:name="_Toc184308093"/>
      <w:bookmarkEnd w:id="131"/>
      <w:bookmarkStart w:id="132" w:name="_Toc184313238"/>
      <w:bookmarkEnd w:id="132"/>
      <w:bookmarkStart w:id="133" w:name="_Toc184312121"/>
      <w:bookmarkEnd w:id="133"/>
      <w:bookmarkStart w:id="134" w:name="_Toc184312128"/>
      <w:bookmarkEnd w:id="134"/>
      <w:bookmarkStart w:id="135" w:name="_Toc184310333"/>
      <w:bookmarkEnd w:id="135"/>
      <w:bookmarkStart w:id="136" w:name="_Toc184310319"/>
      <w:bookmarkEnd w:id="136"/>
      <w:bookmarkStart w:id="137" w:name="_Toc184312081"/>
      <w:bookmarkEnd w:id="137"/>
      <w:bookmarkStart w:id="138" w:name="_Toc184310328"/>
      <w:bookmarkEnd w:id="138"/>
      <w:bookmarkStart w:id="139" w:name="_Toc184312124"/>
      <w:bookmarkEnd w:id="139"/>
      <w:bookmarkStart w:id="140" w:name="_Toc184308086"/>
      <w:bookmarkEnd w:id="140"/>
      <w:bookmarkStart w:id="141" w:name="_Toc184313257"/>
      <w:bookmarkEnd w:id="141"/>
      <w:bookmarkStart w:id="142" w:name="_Toc184313294"/>
      <w:bookmarkEnd w:id="142"/>
      <w:bookmarkStart w:id="143" w:name="_Toc184313284"/>
      <w:bookmarkEnd w:id="143"/>
      <w:bookmarkStart w:id="144" w:name="_Toc184314439"/>
      <w:bookmarkEnd w:id="144"/>
      <w:bookmarkStart w:id="145" w:name="_Toc184308060"/>
      <w:bookmarkEnd w:id="145"/>
      <w:bookmarkStart w:id="146" w:name="_Toc184314436"/>
      <w:bookmarkEnd w:id="146"/>
      <w:bookmarkStart w:id="147" w:name="_Toc184314467"/>
      <w:bookmarkEnd w:id="147"/>
      <w:bookmarkStart w:id="148" w:name="_Toc184312122"/>
      <w:bookmarkEnd w:id="148"/>
      <w:bookmarkStart w:id="149" w:name="_Toc184308108"/>
      <w:bookmarkEnd w:id="149"/>
      <w:bookmarkStart w:id="150" w:name="_Toc184308043"/>
      <w:bookmarkEnd w:id="150"/>
      <w:bookmarkStart w:id="151" w:name="_Toc184313285"/>
      <w:bookmarkEnd w:id="151"/>
      <w:bookmarkStart w:id="152" w:name="_Toc184313304"/>
      <w:bookmarkEnd w:id="152"/>
      <w:bookmarkStart w:id="153" w:name="_Toc184314432"/>
      <w:bookmarkEnd w:id="153"/>
      <w:bookmarkStart w:id="154" w:name="_Toc184310341"/>
      <w:bookmarkEnd w:id="154"/>
      <w:bookmarkStart w:id="155" w:name="_Toc184310303"/>
      <w:bookmarkEnd w:id="155"/>
      <w:bookmarkStart w:id="156" w:name="_Toc184312093"/>
      <w:bookmarkEnd w:id="156"/>
      <w:bookmarkStart w:id="157" w:name="_Toc184308038"/>
      <w:bookmarkEnd w:id="157"/>
      <w:bookmarkStart w:id="158" w:name="_Toc184310342"/>
      <w:bookmarkEnd w:id="158"/>
      <w:bookmarkStart w:id="159" w:name="_Toc184310292"/>
      <w:bookmarkEnd w:id="159"/>
      <w:bookmarkStart w:id="160" w:name="_Toc184312076"/>
      <w:bookmarkEnd w:id="160"/>
      <w:bookmarkStart w:id="161" w:name="_Toc184314474"/>
      <w:bookmarkEnd w:id="161"/>
      <w:bookmarkStart w:id="162" w:name="_Toc184314455"/>
      <w:bookmarkEnd w:id="162"/>
      <w:bookmarkStart w:id="163" w:name="_Toc184314470"/>
      <w:bookmarkEnd w:id="163"/>
      <w:bookmarkStart w:id="164" w:name="_Toc184314447"/>
      <w:bookmarkEnd w:id="164"/>
      <w:bookmarkStart w:id="165" w:name="_Toc184310318"/>
      <w:bookmarkEnd w:id="165"/>
      <w:bookmarkStart w:id="166" w:name="_Toc184310297"/>
      <w:bookmarkEnd w:id="166"/>
      <w:bookmarkStart w:id="167" w:name="_Toc184312132"/>
      <w:bookmarkEnd w:id="167"/>
      <w:bookmarkStart w:id="168" w:name="_Toc184314478"/>
      <w:bookmarkEnd w:id="168"/>
      <w:bookmarkStart w:id="169" w:name="_Toc184310285"/>
      <w:bookmarkEnd w:id="169"/>
      <w:bookmarkStart w:id="170" w:name="_Toc184310343"/>
      <w:bookmarkEnd w:id="170"/>
      <w:bookmarkStart w:id="171" w:name="_Toc184312106"/>
      <w:bookmarkEnd w:id="171"/>
      <w:bookmarkStart w:id="172" w:name="_Toc184310281"/>
      <w:bookmarkEnd w:id="172"/>
      <w:bookmarkStart w:id="173" w:name="_Toc184312075"/>
      <w:bookmarkEnd w:id="173"/>
      <w:bookmarkStart w:id="174" w:name="_Toc184308045"/>
      <w:bookmarkEnd w:id="174"/>
      <w:bookmarkStart w:id="175" w:name="_Toc184313275"/>
      <w:bookmarkEnd w:id="175"/>
      <w:bookmarkStart w:id="176" w:name="_Toc184310273"/>
      <w:bookmarkEnd w:id="176"/>
      <w:bookmarkStart w:id="177" w:name="_Toc184308042"/>
      <w:bookmarkEnd w:id="177"/>
      <w:bookmarkStart w:id="178" w:name="_Toc184310275"/>
      <w:bookmarkEnd w:id="178"/>
      <w:bookmarkStart w:id="179" w:name="_Toc184314464"/>
      <w:bookmarkEnd w:id="179"/>
      <w:bookmarkStart w:id="180" w:name="_Toc184310327"/>
      <w:bookmarkEnd w:id="180"/>
      <w:bookmarkStart w:id="181" w:name="_Toc184312074"/>
      <w:bookmarkEnd w:id="181"/>
      <w:bookmarkStart w:id="182" w:name="_Toc184314459"/>
      <w:bookmarkEnd w:id="182"/>
      <w:bookmarkStart w:id="183" w:name="_Toc184310314"/>
      <w:bookmarkEnd w:id="183"/>
      <w:bookmarkStart w:id="184" w:name="_Toc184308039"/>
      <w:bookmarkEnd w:id="184"/>
      <w:bookmarkStart w:id="185" w:name="_Toc184312082"/>
      <w:bookmarkEnd w:id="185"/>
      <w:bookmarkStart w:id="186" w:name="_Toc184313276"/>
      <w:bookmarkEnd w:id="186"/>
      <w:bookmarkStart w:id="187" w:name="_Toc184314446"/>
      <w:bookmarkEnd w:id="187"/>
      <w:bookmarkStart w:id="188" w:name="_Toc184308075"/>
      <w:bookmarkEnd w:id="188"/>
      <w:bookmarkStart w:id="189" w:name="_Toc184310339"/>
      <w:bookmarkEnd w:id="189"/>
      <w:bookmarkStart w:id="190" w:name="_Toc184310299"/>
      <w:bookmarkEnd w:id="190"/>
      <w:bookmarkStart w:id="191" w:name="_Toc184310283"/>
      <w:bookmarkEnd w:id="191"/>
      <w:bookmarkStart w:id="192" w:name="_Toc184314414"/>
      <w:bookmarkEnd w:id="192"/>
      <w:bookmarkStart w:id="193" w:name="_Toc184308073"/>
      <w:bookmarkEnd w:id="193"/>
      <w:bookmarkStart w:id="194" w:name="_Toc184314420"/>
      <w:bookmarkEnd w:id="194"/>
      <w:bookmarkStart w:id="195" w:name="_Toc184312073"/>
      <w:bookmarkEnd w:id="195"/>
      <w:bookmarkStart w:id="196" w:name="_Toc184308069"/>
      <w:bookmarkEnd w:id="196"/>
      <w:bookmarkStart w:id="197" w:name="_Toc184308098"/>
      <w:bookmarkEnd w:id="197"/>
      <w:bookmarkStart w:id="198" w:name="_Toc184312086"/>
      <w:bookmarkEnd w:id="198"/>
      <w:bookmarkStart w:id="199" w:name="_Toc184308048"/>
      <w:bookmarkEnd w:id="199"/>
      <w:bookmarkStart w:id="200" w:name="_Toc184310282"/>
      <w:bookmarkEnd w:id="200"/>
      <w:bookmarkStart w:id="201" w:name="_Toc184310302"/>
      <w:bookmarkEnd w:id="201"/>
      <w:bookmarkStart w:id="202" w:name="_Toc184313264"/>
      <w:bookmarkEnd w:id="202"/>
      <w:bookmarkStart w:id="203" w:name="_Toc184310337"/>
      <w:bookmarkEnd w:id="203"/>
      <w:bookmarkStart w:id="204" w:name="_Toc184310288"/>
      <w:bookmarkEnd w:id="204"/>
      <w:bookmarkStart w:id="205" w:name="_Toc184313251"/>
      <w:bookmarkEnd w:id="205"/>
      <w:bookmarkStart w:id="206" w:name="_Toc184312137"/>
      <w:bookmarkEnd w:id="206"/>
      <w:bookmarkStart w:id="207" w:name="_Toc184310289"/>
      <w:bookmarkEnd w:id="207"/>
      <w:bookmarkStart w:id="208" w:name="_Toc184314423"/>
      <w:bookmarkEnd w:id="208"/>
      <w:bookmarkStart w:id="209" w:name="_Toc184314412"/>
      <w:bookmarkEnd w:id="209"/>
      <w:bookmarkStart w:id="210" w:name="_Toc184310331"/>
      <w:bookmarkEnd w:id="210"/>
      <w:bookmarkStart w:id="211" w:name="_Toc184310301"/>
      <w:bookmarkEnd w:id="211"/>
      <w:bookmarkStart w:id="212" w:name="_Toc184312113"/>
      <w:bookmarkEnd w:id="212"/>
      <w:bookmarkStart w:id="213" w:name="_Toc184312072"/>
      <w:bookmarkEnd w:id="213"/>
      <w:bookmarkStart w:id="214" w:name="_Toc184310280"/>
      <w:bookmarkEnd w:id="214"/>
      <w:bookmarkStart w:id="215" w:name="_Toc184312119"/>
      <w:bookmarkEnd w:id="215"/>
      <w:bookmarkStart w:id="216" w:name="_Toc184312133"/>
      <w:bookmarkEnd w:id="216"/>
      <w:bookmarkStart w:id="217" w:name="_Toc184308085"/>
      <w:bookmarkEnd w:id="217"/>
      <w:bookmarkStart w:id="218" w:name="_Toc184314479"/>
      <w:bookmarkEnd w:id="218"/>
      <w:bookmarkStart w:id="219" w:name="_Toc184314471"/>
      <w:bookmarkEnd w:id="219"/>
      <w:bookmarkStart w:id="220" w:name="_Toc184314476"/>
      <w:bookmarkEnd w:id="220"/>
      <w:bookmarkStart w:id="221" w:name="_Toc184312089"/>
      <w:bookmarkEnd w:id="221"/>
      <w:bookmarkStart w:id="222" w:name="_Toc184312091"/>
      <w:bookmarkEnd w:id="222"/>
      <w:bookmarkStart w:id="223" w:name="_Toc184312085"/>
      <w:bookmarkEnd w:id="223"/>
      <w:bookmarkStart w:id="224" w:name="_Toc184308105"/>
      <w:bookmarkEnd w:id="224"/>
      <w:bookmarkStart w:id="225" w:name="_Toc184310276"/>
      <w:bookmarkEnd w:id="225"/>
      <w:bookmarkStart w:id="226" w:name="_Toc184313302"/>
      <w:bookmarkEnd w:id="226"/>
      <w:bookmarkStart w:id="227" w:name="_Toc184312105"/>
      <w:bookmarkEnd w:id="227"/>
      <w:bookmarkStart w:id="228" w:name="_Toc184313242"/>
      <w:bookmarkEnd w:id="228"/>
      <w:bookmarkStart w:id="229" w:name="_Toc184312139"/>
      <w:bookmarkEnd w:id="229"/>
      <w:bookmarkStart w:id="230" w:name="_Toc184310332"/>
      <w:bookmarkEnd w:id="230"/>
      <w:bookmarkStart w:id="231" w:name="_Toc184312125"/>
      <w:bookmarkEnd w:id="231"/>
      <w:bookmarkStart w:id="232" w:name="_Toc184313267"/>
      <w:bookmarkEnd w:id="232"/>
      <w:bookmarkStart w:id="233" w:name="_Toc184314427"/>
      <w:bookmarkEnd w:id="233"/>
      <w:bookmarkStart w:id="234" w:name="_Toc184313252"/>
      <w:bookmarkEnd w:id="234"/>
      <w:bookmarkStart w:id="235" w:name="_Toc184308087"/>
      <w:bookmarkEnd w:id="235"/>
      <w:bookmarkStart w:id="236" w:name="_Toc184312110"/>
      <w:bookmarkEnd w:id="236"/>
      <w:bookmarkStart w:id="237" w:name="_Toc184308049"/>
      <w:bookmarkEnd w:id="237"/>
      <w:bookmarkStart w:id="238" w:name="_Toc184312069"/>
      <w:bookmarkEnd w:id="238"/>
      <w:bookmarkStart w:id="239" w:name="_Toc184310307"/>
      <w:bookmarkEnd w:id="239"/>
      <w:bookmarkStart w:id="240" w:name="_Toc184308051"/>
      <w:bookmarkEnd w:id="240"/>
      <w:bookmarkStart w:id="241" w:name="_Toc184312087"/>
      <w:bookmarkEnd w:id="241"/>
      <w:bookmarkStart w:id="242" w:name="_Toc184313297"/>
      <w:bookmarkEnd w:id="242"/>
      <w:bookmarkStart w:id="243" w:name="_Toc184314438"/>
      <w:bookmarkEnd w:id="243"/>
      <w:bookmarkStart w:id="244" w:name="_Toc184312092"/>
      <w:bookmarkEnd w:id="244"/>
      <w:bookmarkStart w:id="245" w:name="_Toc184310287"/>
      <w:bookmarkEnd w:id="245"/>
      <w:bookmarkStart w:id="246" w:name="_Toc184308062"/>
      <w:bookmarkEnd w:id="246"/>
      <w:bookmarkStart w:id="247" w:name="_Toc184314437"/>
      <w:bookmarkEnd w:id="247"/>
      <w:bookmarkStart w:id="248" w:name="_Toc184310284"/>
      <w:bookmarkEnd w:id="248"/>
      <w:bookmarkStart w:id="249" w:name="_Toc184314424"/>
      <w:bookmarkEnd w:id="249"/>
      <w:bookmarkStart w:id="250" w:name="_Toc184308041"/>
      <w:bookmarkEnd w:id="250"/>
      <w:bookmarkStart w:id="251" w:name="_Toc184312108"/>
      <w:bookmarkEnd w:id="251"/>
      <w:bookmarkStart w:id="252" w:name="_Toc184312131"/>
      <w:bookmarkEnd w:id="252"/>
      <w:bookmarkStart w:id="253" w:name="_Toc184308052"/>
      <w:bookmarkEnd w:id="253"/>
      <w:bookmarkStart w:id="254" w:name="_Toc184314425"/>
      <w:bookmarkEnd w:id="254"/>
      <w:bookmarkStart w:id="255" w:name="_Toc184314457"/>
      <w:bookmarkEnd w:id="255"/>
      <w:bookmarkStart w:id="256" w:name="_Toc184310336"/>
      <w:bookmarkEnd w:id="256"/>
      <w:bookmarkStart w:id="257" w:name="_Toc184314460"/>
      <w:bookmarkEnd w:id="257"/>
      <w:bookmarkStart w:id="258" w:name="_Toc184310308"/>
      <w:bookmarkEnd w:id="258"/>
      <w:bookmarkStart w:id="259" w:name="_Toc184313260"/>
      <w:bookmarkEnd w:id="259"/>
      <w:bookmarkStart w:id="260" w:name="_Toc184313270"/>
      <w:bookmarkEnd w:id="260"/>
      <w:bookmarkStart w:id="261" w:name="_Toc184314445"/>
      <w:bookmarkEnd w:id="261"/>
      <w:bookmarkStart w:id="262" w:name="_Toc184308106"/>
      <w:bookmarkEnd w:id="262"/>
      <w:bookmarkStart w:id="263" w:name="_Toc184314469"/>
      <w:bookmarkEnd w:id="263"/>
      <w:bookmarkStart w:id="264" w:name="_Toc184310344"/>
      <w:bookmarkEnd w:id="264"/>
      <w:bookmarkStart w:id="265" w:name="_Toc184313254"/>
      <w:bookmarkEnd w:id="265"/>
      <w:bookmarkStart w:id="266" w:name="_Toc184314452"/>
      <w:bookmarkEnd w:id="266"/>
      <w:bookmarkStart w:id="267" w:name="_Toc184313278"/>
      <w:bookmarkEnd w:id="267"/>
      <w:bookmarkStart w:id="268" w:name="_Toc184312067"/>
      <w:bookmarkEnd w:id="268"/>
      <w:bookmarkStart w:id="269" w:name="_Toc184308059"/>
      <w:bookmarkEnd w:id="269"/>
      <w:bookmarkStart w:id="270" w:name="_Toc184313292"/>
      <w:bookmarkEnd w:id="270"/>
      <w:bookmarkStart w:id="271" w:name="_Toc184313300"/>
      <w:bookmarkEnd w:id="271"/>
      <w:bookmarkStart w:id="272" w:name="_Toc184308092"/>
      <w:bookmarkEnd w:id="272"/>
      <w:bookmarkStart w:id="273" w:name="_Toc184314411"/>
      <w:bookmarkEnd w:id="273"/>
      <w:bookmarkStart w:id="274" w:name="_Toc184308071"/>
      <w:bookmarkEnd w:id="274"/>
      <w:bookmarkStart w:id="275" w:name="_Toc184313282"/>
      <w:bookmarkEnd w:id="275"/>
      <w:bookmarkStart w:id="276" w:name="_Toc184314440"/>
      <w:bookmarkEnd w:id="276"/>
      <w:bookmarkStart w:id="277" w:name="_Toc184308077"/>
      <w:bookmarkEnd w:id="277"/>
      <w:bookmarkStart w:id="278" w:name="_Toc184310274"/>
      <w:bookmarkEnd w:id="278"/>
      <w:bookmarkStart w:id="279" w:name="_Toc184312094"/>
      <w:bookmarkEnd w:id="279"/>
      <w:bookmarkStart w:id="280" w:name="_Toc184313265"/>
      <w:bookmarkEnd w:id="280"/>
      <w:bookmarkStart w:id="281" w:name="_Toc184310321"/>
      <w:bookmarkEnd w:id="281"/>
      <w:bookmarkStart w:id="282" w:name="_Toc184312116"/>
      <w:bookmarkEnd w:id="282"/>
      <w:bookmarkStart w:id="283" w:name="_Toc184308047"/>
      <w:bookmarkEnd w:id="283"/>
      <w:bookmarkStart w:id="284" w:name="_Toc184314417"/>
      <w:bookmarkEnd w:id="284"/>
      <w:bookmarkStart w:id="285" w:name="_Toc184312070"/>
      <w:bookmarkEnd w:id="285"/>
      <w:bookmarkStart w:id="286" w:name="_Toc184308058"/>
      <w:bookmarkEnd w:id="286"/>
      <w:bookmarkStart w:id="287" w:name="_Toc184310325"/>
      <w:bookmarkEnd w:id="287"/>
      <w:bookmarkStart w:id="288" w:name="_Toc184308054"/>
      <w:bookmarkEnd w:id="288"/>
      <w:bookmarkStart w:id="289" w:name="_Toc184313261"/>
      <w:bookmarkEnd w:id="289"/>
      <w:bookmarkStart w:id="290" w:name="_Toc184314442"/>
      <w:bookmarkEnd w:id="290"/>
      <w:bookmarkStart w:id="291" w:name="_Toc184310324"/>
      <w:bookmarkEnd w:id="291"/>
      <w:bookmarkStart w:id="292" w:name="_Toc184308066"/>
      <w:bookmarkEnd w:id="292"/>
      <w:bookmarkStart w:id="293" w:name="_Toc184312109"/>
      <w:bookmarkEnd w:id="293"/>
      <w:bookmarkStart w:id="294" w:name="_Toc184313290"/>
      <w:bookmarkEnd w:id="294"/>
      <w:bookmarkStart w:id="295" w:name="_Toc184314477"/>
      <w:bookmarkEnd w:id="295"/>
      <w:bookmarkStart w:id="296" w:name="_Toc184314419"/>
      <w:bookmarkEnd w:id="296"/>
      <w:bookmarkStart w:id="297" w:name="_Toc184310298"/>
      <w:bookmarkEnd w:id="297"/>
      <w:bookmarkStart w:id="298" w:name="_Toc184310317"/>
      <w:bookmarkEnd w:id="298"/>
      <w:bookmarkStart w:id="299" w:name="_Toc184310309"/>
      <w:bookmarkEnd w:id="299"/>
      <w:bookmarkStart w:id="300" w:name="_Toc184313307"/>
      <w:bookmarkEnd w:id="300"/>
      <w:bookmarkStart w:id="301" w:name="_Toc184314444"/>
      <w:bookmarkEnd w:id="301"/>
      <w:bookmarkStart w:id="302" w:name="_Toc184314472"/>
      <w:bookmarkEnd w:id="302"/>
      <w:bookmarkStart w:id="303" w:name="_Toc184308078"/>
      <w:bookmarkEnd w:id="303"/>
      <w:bookmarkStart w:id="304" w:name="_Toc184312083"/>
      <w:bookmarkEnd w:id="304"/>
      <w:bookmarkStart w:id="305" w:name="_Toc184308097"/>
      <w:bookmarkEnd w:id="305"/>
      <w:bookmarkStart w:id="306" w:name="_Toc184312136"/>
      <w:bookmarkEnd w:id="306"/>
      <w:bookmarkStart w:id="307" w:name="_Toc184308096"/>
      <w:bookmarkEnd w:id="307"/>
      <w:bookmarkStart w:id="308" w:name="_Toc184312118"/>
      <w:bookmarkEnd w:id="308"/>
      <w:bookmarkStart w:id="309" w:name="_Toc184310322"/>
      <w:bookmarkEnd w:id="309"/>
      <w:bookmarkStart w:id="310" w:name="_Toc184308079"/>
      <w:bookmarkEnd w:id="310"/>
      <w:bookmarkStart w:id="311" w:name="_Toc184308065"/>
      <w:bookmarkEnd w:id="311"/>
      <w:bookmarkStart w:id="312" w:name="_Toc184312120"/>
      <w:bookmarkEnd w:id="312"/>
      <w:bookmarkStart w:id="313" w:name="_Toc184310278"/>
      <w:bookmarkEnd w:id="313"/>
      <w:bookmarkStart w:id="314" w:name="_Toc184310329"/>
      <w:bookmarkEnd w:id="314"/>
      <w:bookmarkStart w:id="315" w:name="_Toc184308083"/>
      <w:bookmarkEnd w:id="315"/>
      <w:bookmarkStart w:id="316" w:name="_Toc184310313"/>
      <w:bookmarkEnd w:id="316"/>
      <w:bookmarkStart w:id="317" w:name="_Toc184308063"/>
      <w:bookmarkEnd w:id="317"/>
      <w:bookmarkStart w:id="318" w:name="_Toc184308067"/>
      <w:bookmarkEnd w:id="318"/>
      <w:bookmarkStart w:id="319" w:name="_Toc184313306"/>
      <w:bookmarkEnd w:id="319"/>
      <w:bookmarkStart w:id="320" w:name="_Toc184308072"/>
      <w:bookmarkEnd w:id="320"/>
      <w:bookmarkStart w:id="321" w:name="_Toc184310315"/>
      <w:bookmarkEnd w:id="321"/>
      <w:bookmarkStart w:id="322" w:name="_Toc184308074"/>
      <w:bookmarkEnd w:id="322"/>
      <w:bookmarkStart w:id="323" w:name="_Toc184312104"/>
      <w:bookmarkEnd w:id="323"/>
      <w:bookmarkStart w:id="324" w:name="_Toc184310305"/>
      <w:bookmarkEnd w:id="324"/>
      <w:bookmarkStart w:id="325" w:name="_Toc184310294"/>
      <w:bookmarkEnd w:id="325"/>
      <w:bookmarkStart w:id="326" w:name="_Toc184312127"/>
      <w:bookmarkEnd w:id="326"/>
      <w:bookmarkStart w:id="327" w:name="_Toc184313310"/>
      <w:bookmarkEnd w:id="327"/>
      <w:bookmarkStart w:id="328" w:name="_Toc184308102"/>
      <w:bookmarkEnd w:id="328"/>
      <w:bookmarkStart w:id="329" w:name="_Toc184314475"/>
      <w:bookmarkEnd w:id="329"/>
      <w:bookmarkStart w:id="330" w:name="_Toc184308050"/>
      <w:bookmarkEnd w:id="330"/>
      <w:bookmarkStart w:id="331" w:name="_Toc184314463"/>
      <w:bookmarkEnd w:id="331"/>
      <w:bookmarkStart w:id="332" w:name="_Toc184313308"/>
      <w:bookmarkEnd w:id="332"/>
      <w:bookmarkStart w:id="333" w:name="_Toc184310320"/>
      <w:bookmarkEnd w:id="333"/>
      <w:bookmarkStart w:id="334" w:name="_Toc184313287"/>
      <w:bookmarkEnd w:id="334"/>
      <w:bookmarkStart w:id="335" w:name="_Toc184308082"/>
      <w:bookmarkEnd w:id="335"/>
      <w:bookmarkStart w:id="336" w:name="_Toc184314421"/>
      <w:bookmarkEnd w:id="336"/>
      <w:bookmarkStart w:id="337" w:name="_Toc184314468"/>
      <w:bookmarkEnd w:id="337"/>
      <w:bookmarkStart w:id="338" w:name="_Toc184314453"/>
      <w:bookmarkEnd w:id="338"/>
      <w:bookmarkStart w:id="339" w:name="_Toc184308088"/>
      <w:bookmarkEnd w:id="339"/>
      <w:bookmarkStart w:id="340" w:name="_Toc184314466"/>
      <w:bookmarkEnd w:id="340"/>
      <w:bookmarkStart w:id="341" w:name="_Toc184313239"/>
      <w:bookmarkEnd w:id="341"/>
      <w:bookmarkStart w:id="342" w:name="_Toc184312117"/>
      <w:bookmarkEnd w:id="342"/>
      <w:bookmarkStart w:id="343" w:name="_Toc184312103"/>
      <w:bookmarkEnd w:id="343"/>
      <w:bookmarkStart w:id="344" w:name="_Toc184310323"/>
      <w:bookmarkEnd w:id="344"/>
      <w:bookmarkStart w:id="345" w:name="_Toc184314433"/>
      <w:bookmarkEnd w:id="345"/>
      <w:bookmarkStart w:id="346" w:name="_Toc184308056"/>
      <w:bookmarkEnd w:id="346"/>
      <w:bookmarkStart w:id="347" w:name="_Toc184308076"/>
      <w:bookmarkEnd w:id="347"/>
      <w:bookmarkStart w:id="348" w:name="_Toc184312130"/>
      <w:bookmarkEnd w:id="348"/>
      <w:bookmarkStart w:id="349" w:name="_Toc184308094"/>
      <w:bookmarkEnd w:id="349"/>
      <w:bookmarkStart w:id="350" w:name="_Toc184312100"/>
      <w:bookmarkEnd w:id="350"/>
      <w:bookmarkStart w:id="351" w:name="_Toc184312107"/>
      <w:bookmarkEnd w:id="351"/>
      <w:bookmarkStart w:id="352" w:name="_Toc184308044"/>
      <w:bookmarkEnd w:id="352"/>
      <w:bookmarkStart w:id="353" w:name="_Toc184312126"/>
      <w:bookmarkEnd w:id="353"/>
      <w:bookmarkStart w:id="354" w:name="_Toc184314481"/>
      <w:bookmarkEnd w:id="354"/>
      <w:bookmarkStart w:id="355" w:name="_Toc184314473"/>
      <w:bookmarkEnd w:id="355"/>
      <w:bookmarkStart w:id="356" w:name="_Toc184313248"/>
      <w:bookmarkEnd w:id="356"/>
      <w:bookmarkStart w:id="357" w:name="_Toc184312138"/>
      <w:bookmarkEnd w:id="357"/>
      <w:bookmarkStart w:id="358" w:name="_Toc184313301"/>
      <w:bookmarkEnd w:id="358"/>
      <w:bookmarkStart w:id="359" w:name="_Toc184313280"/>
      <w:bookmarkEnd w:id="359"/>
      <w:bookmarkStart w:id="360" w:name="_Toc184313255"/>
      <w:bookmarkEnd w:id="360"/>
      <w:bookmarkStart w:id="361" w:name="_Toc184310279"/>
      <w:bookmarkEnd w:id="361"/>
      <w:bookmarkStart w:id="362" w:name="_Toc184313296"/>
      <w:bookmarkEnd w:id="362"/>
      <w:bookmarkStart w:id="363" w:name="_Toc184312071"/>
      <w:bookmarkEnd w:id="363"/>
      <w:bookmarkStart w:id="364" w:name="_Toc184310272"/>
      <w:bookmarkEnd w:id="364"/>
      <w:bookmarkStart w:id="365" w:name="_Toc184313295"/>
      <w:bookmarkEnd w:id="365"/>
      <w:bookmarkStart w:id="366" w:name="_Toc184310300"/>
      <w:bookmarkEnd w:id="366"/>
      <w:bookmarkStart w:id="367" w:name="_Toc184314458"/>
      <w:bookmarkEnd w:id="367"/>
      <w:bookmarkStart w:id="368" w:name="_Toc184310338"/>
      <w:bookmarkEnd w:id="368"/>
      <w:bookmarkStart w:id="369" w:name="_Toc184308091"/>
      <w:bookmarkEnd w:id="369"/>
      <w:bookmarkStart w:id="370" w:name="_Toc184312112"/>
      <w:bookmarkEnd w:id="370"/>
      <w:bookmarkStart w:id="371" w:name="_Toc184312129"/>
      <w:bookmarkEnd w:id="371"/>
      <w:bookmarkStart w:id="372" w:name="_Toc184314415"/>
      <w:bookmarkEnd w:id="372"/>
      <w:bookmarkStart w:id="373" w:name="_Toc184313253"/>
      <w:bookmarkEnd w:id="373"/>
      <w:bookmarkStart w:id="374" w:name="_Toc184314422"/>
      <w:bookmarkEnd w:id="374"/>
      <w:bookmarkStart w:id="375" w:name="_Toc184313263"/>
      <w:bookmarkEnd w:id="375"/>
      <w:bookmarkStart w:id="376" w:name="_Toc184314449"/>
      <w:bookmarkEnd w:id="376"/>
      <w:bookmarkStart w:id="377" w:name="_Toc184313271"/>
      <w:bookmarkEnd w:id="377"/>
      <w:bookmarkStart w:id="378" w:name="_Toc184313262"/>
      <w:bookmarkEnd w:id="378"/>
      <w:bookmarkStart w:id="379" w:name="_Toc184312102"/>
      <w:bookmarkEnd w:id="379"/>
      <w:bookmarkStart w:id="380" w:name="_Toc184313241"/>
      <w:bookmarkEnd w:id="380"/>
      <w:bookmarkStart w:id="381" w:name="_Toc184310312"/>
      <w:bookmarkEnd w:id="381"/>
      <w:r>
        <w:rPr>
          <w:rFonts w:hint="eastAsia" w:asciiTheme="minorEastAsia" w:hAnsiTheme="minorEastAsia" w:eastAsiaTheme="minorEastAsia" w:cstheme="minorEastAsia"/>
          <w:b/>
          <w:color w:val="auto"/>
          <w:sz w:val="36"/>
          <w:szCs w:val="36"/>
          <w:highlight w:val="none"/>
        </w:rPr>
        <w:t>评标办法</w:t>
      </w:r>
    </w:p>
    <w:p w14:paraId="587BB21D">
      <w:pPr>
        <w:snapToGrid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32"/>
          <w:szCs w:val="20"/>
          <w:highlight w:val="none"/>
        </w:rPr>
        <w:t>评标办法前附表</w:t>
      </w:r>
    </w:p>
    <w:p w14:paraId="09B58427">
      <w:pPr>
        <w:ind w:firstLine="361" w:firstLineChars="15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bCs/>
          <w:sz w:val="24"/>
        </w:rPr>
        <w:t>1、商务技术分（85分）</w:t>
      </w:r>
    </w:p>
    <w:tbl>
      <w:tblPr>
        <w:tblStyle w:val="64"/>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86"/>
        <w:gridCol w:w="445"/>
        <w:gridCol w:w="5836"/>
        <w:gridCol w:w="729"/>
        <w:gridCol w:w="1014"/>
      </w:tblGrid>
      <w:tr w14:paraId="5057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087" w:type="dxa"/>
            <w:gridSpan w:val="4"/>
            <w:noWrap w:val="0"/>
            <w:vAlign w:val="center"/>
          </w:tcPr>
          <w:p w14:paraId="5693C32C">
            <w:pPr>
              <w:spacing w:line="400" w:lineRule="exact"/>
              <w:jc w:val="center"/>
              <w:rPr>
                <w:rFonts w:hint="eastAsia" w:ascii="宋体" w:hAnsi="宋体" w:eastAsia="宋体" w:cs="宋体"/>
                <w:sz w:val="24"/>
              </w:rPr>
            </w:pPr>
            <w:r>
              <w:rPr>
                <w:rFonts w:hint="eastAsia" w:ascii="宋体" w:hAnsi="宋体" w:eastAsia="宋体" w:cs="宋体"/>
                <w:sz w:val="24"/>
              </w:rPr>
              <w:t>评审内容及分值</w:t>
            </w:r>
          </w:p>
        </w:tc>
        <w:tc>
          <w:tcPr>
            <w:tcW w:w="729" w:type="dxa"/>
            <w:noWrap w:val="0"/>
            <w:vAlign w:val="center"/>
          </w:tcPr>
          <w:p w14:paraId="7663EA3D">
            <w:pPr>
              <w:spacing w:line="400" w:lineRule="exact"/>
              <w:jc w:val="center"/>
              <w:rPr>
                <w:rFonts w:hint="eastAsia" w:ascii="宋体" w:hAnsi="宋体" w:eastAsia="宋体" w:cs="宋体"/>
                <w:sz w:val="24"/>
              </w:rPr>
            </w:pPr>
            <w:r>
              <w:rPr>
                <w:rFonts w:hint="eastAsia" w:ascii="宋体" w:hAnsi="宋体" w:eastAsia="宋体" w:cs="宋体"/>
                <w:sz w:val="24"/>
              </w:rPr>
              <w:t>权值</w:t>
            </w:r>
          </w:p>
        </w:tc>
        <w:tc>
          <w:tcPr>
            <w:tcW w:w="1014" w:type="dxa"/>
            <w:noWrap w:val="0"/>
            <w:vAlign w:val="center"/>
          </w:tcPr>
          <w:p w14:paraId="27967A94">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主/客</w:t>
            </w:r>
          </w:p>
          <w:p w14:paraId="6A42FD49">
            <w:pPr>
              <w:spacing w:line="400" w:lineRule="exact"/>
              <w:jc w:val="center"/>
              <w:rPr>
                <w:rFonts w:hint="eastAsia" w:ascii="宋体" w:hAnsi="宋体" w:eastAsia="宋体" w:cs="宋体"/>
                <w:sz w:val="24"/>
              </w:rPr>
            </w:pPr>
            <w:r>
              <w:rPr>
                <w:rFonts w:hint="eastAsia" w:ascii="宋体" w:hAnsi="宋体" w:eastAsia="宋体" w:cs="宋体"/>
                <w:kern w:val="0"/>
                <w:sz w:val="24"/>
              </w:rPr>
              <w:t>观分</w:t>
            </w:r>
          </w:p>
        </w:tc>
      </w:tr>
      <w:tr w14:paraId="1795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220" w:type="dxa"/>
            <w:noWrap w:val="0"/>
            <w:vAlign w:val="center"/>
          </w:tcPr>
          <w:p w14:paraId="40B12812">
            <w:pPr>
              <w:spacing w:line="400" w:lineRule="exact"/>
              <w:jc w:val="center"/>
              <w:rPr>
                <w:rFonts w:hint="eastAsia" w:ascii="宋体" w:hAnsi="宋体" w:eastAsia="宋体" w:cs="宋体"/>
                <w:sz w:val="24"/>
              </w:rPr>
            </w:pPr>
            <w:r>
              <w:rPr>
                <w:rFonts w:hint="eastAsia" w:ascii="宋体" w:hAnsi="宋体" w:eastAsia="宋体" w:cs="宋体"/>
                <w:sz w:val="24"/>
              </w:rPr>
              <w:t>商务</w:t>
            </w:r>
          </w:p>
          <w:p w14:paraId="5FA1C1A3">
            <w:pPr>
              <w:spacing w:line="400" w:lineRule="exact"/>
              <w:jc w:val="center"/>
              <w:rPr>
                <w:rFonts w:hint="eastAsia" w:ascii="宋体" w:hAnsi="宋体" w:eastAsia="宋体" w:cs="宋体"/>
                <w:sz w:val="24"/>
              </w:rPr>
            </w:pPr>
            <w:r>
              <w:rPr>
                <w:rFonts w:hint="eastAsia" w:ascii="宋体" w:hAnsi="宋体" w:eastAsia="宋体" w:cs="宋体"/>
                <w:sz w:val="24"/>
              </w:rPr>
              <w:t>资信</w:t>
            </w:r>
          </w:p>
          <w:p w14:paraId="614A7770">
            <w:pPr>
              <w:spacing w:line="400" w:lineRule="exact"/>
              <w:jc w:val="center"/>
              <w:rPr>
                <w:rFonts w:hint="eastAsia" w:ascii="宋体" w:hAnsi="宋体" w:eastAsia="宋体" w:cs="宋体"/>
                <w:sz w:val="24"/>
                <w:lang w:eastAsia="zh-CN"/>
              </w:rPr>
            </w:pP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lang w:val="en-US" w:eastAsia="zh-CN"/>
              </w:rPr>
              <w:t>1分</w:t>
            </w:r>
            <w:r>
              <w:rPr>
                <w:rFonts w:hint="eastAsia" w:ascii="宋体" w:hAnsi="宋体" w:eastAsia="宋体" w:cs="宋体"/>
                <w:sz w:val="24"/>
                <w:lang w:eastAsia="zh-CN"/>
              </w:rPr>
              <w:t>）</w:t>
            </w:r>
          </w:p>
        </w:tc>
        <w:tc>
          <w:tcPr>
            <w:tcW w:w="586" w:type="dxa"/>
            <w:noWrap w:val="0"/>
            <w:vAlign w:val="center"/>
          </w:tcPr>
          <w:p w14:paraId="61B02D74">
            <w:pPr>
              <w:spacing w:line="240" w:lineRule="atLeast"/>
              <w:jc w:val="center"/>
              <w:rPr>
                <w:rFonts w:hint="eastAsia" w:ascii="宋体" w:hAnsi="宋体" w:eastAsia="宋体" w:cs="宋体"/>
                <w:bCs/>
                <w:sz w:val="24"/>
              </w:rPr>
            </w:pPr>
            <w:r>
              <w:rPr>
                <w:rFonts w:hint="eastAsia" w:ascii="宋体" w:hAnsi="宋体" w:eastAsia="宋体" w:cs="宋体"/>
                <w:bCs/>
                <w:sz w:val="24"/>
              </w:rPr>
              <w:t>1</w:t>
            </w:r>
          </w:p>
        </w:tc>
        <w:tc>
          <w:tcPr>
            <w:tcW w:w="6281" w:type="dxa"/>
            <w:gridSpan w:val="2"/>
            <w:noWrap w:val="0"/>
            <w:vAlign w:val="center"/>
          </w:tcPr>
          <w:p w14:paraId="0B3E617B">
            <w:pPr>
              <w:widowControl/>
              <w:spacing w:line="240" w:lineRule="atLeast"/>
              <w:jc w:val="left"/>
              <w:rPr>
                <w:rFonts w:hint="eastAsia" w:ascii="宋体" w:hAnsi="宋体" w:eastAsia="宋体" w:cs="宋体"/>
                <w:bCs/>
                <w:sz w:val="24"/>
              </w:rPr>
            </w:pPr>
            <w:r>
              <w:rPr>
                <w:rFonts w:hint="eastAsia" w:ascii="宋体" w:hAnsi="宋体" w:eastAsia="宋体" w:cs="宋体"/>
                <w:bCs/>
                <w:sz w:val="24"/>
              </w:rPr>
              <w:t>供应商自202</w:t>
            </w:r>
            <w:r>
              <w:rPr>
                <w:rFonts w:hint="eastAsia" w:ascii="宋体" w:hAnsi="宋体" w:eastAsia="宋体" w:cs="宋体"/>
                <w:bCs/>
                <w:sz w:val="24"/>
                <w:lang w:val="en-US" w:eastAsia="zh-CN"/>
              </w:rPr>
              <w:t>3</w:t>
            </w:r>
            <w:r>
              <w:rPr>
                <w:rFonts w:hint="eastAsia" w:ascii="宋体" w:hAnsi="宋体" w:eastAsia="宋体" w:cs="宋体"/>
                <w:bCs/>
                <w:sz w:val="24"/>
              </w:rPr>
              <w:t>年1月1日以来，完成过类似项目的，每提供1个得0.5分，最高得1分。（时间以合同签订日期为准，提供合同复印件加盖公章）</w:t>
            </w:r>
          </w:p>
        </w:tc>
        <w:tc>
          <w:tcPr>
            <w:tcW w:w="729" w:type="dxa"/>
            <w:noWrap w:val="0"/>
            <w:vAlign w:val="center"/>
          </w:tcPr>
          <w:p w14:paraId="3CC881D3">
            <w:pPr>
              <w:spacing w:before="120" w:after="120" w:line="240" w:lineRule="atLeast"/>
              <w:jc w:val="center"/>
              <w:rPr>
                <w:rFonts w:hint="eastAsia" w:ascii="宋体" w:hAnsi="宋体" w:eastAsia="宋体" w:cs="宋体"/>
                <w:bCs/>
                <w:sz w:val="24"/>
              </w:rPr>
            </w:pPr>
            <w:r>
              <w:rPr>
                <w:rFonts w:hint="eastAsia" w:ascii="宋体" w:hAnsi="宋体" w:eastAsia="宋体" w:cs="宋体"/>
                <w:bCs/>
                <w:sz w:val="24"/>
                <w:lang w:val="en-US" w:eastAsia="zh-CN"/>
              </w:rPr>
              <w:t>0-</w:t>
            </w:r>
            <w:r>
              <w:rPr>
                <w:rFonts w:hint="eastAsia" w:ascii="宋体" w:hAnsi="宋体" w:eastAsia="宋体" w:cs="宋体"/>
                <w:bCs/>
                <w:sz w:val="24"/>
              </w:rPr>
              <w:t>1</w:t>
            </w:r>
          </w:p>
        </w:tc>
        <w:tc>
          <w:tcPr>
            <w:tcW w:w="1014" w:type="dxa"/>
            <w:noWrap w:val="0"/>
            <w:vAlign w:val="center"/>
          </w:tcPr>
          <w:p w14:paraId="741B8153">
            <w:pPr>
              <w:spacing w:line="240" w:lineRule="atLeast"/>
              <w:jc w:val="center"/>
              <w:rPr>
                <w:rFonts w:hint="eastAsia" w:ascii="宋体" w:hAnsi="宋体" w:eastAsia="宋体" w:cs="宋体"/>
                <w:bCs/>
                <w:sz w:val="24"/>
              </w:rPr>
            </w:pPr>
            <w:r>
              <w:rPr>
                <w:rFonts w:hint="eastAsia" w:ascii="宋体" w:hAnsi="宋体" w:eastAsia="宋体" w:cs="宋体"/>
                <w:bCs/>
                <w:sz w:val="24"/>
              </w:rPr>
              <w:t>客观分</w:t>
            </w:r>
          </w:p>
        </w:tc>
      </w:tr>
      <w:tr w14:paraId="2486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220" w:type="dxa"/>
            <w:vMerge w:val="restart"/>
            <w:noWrap w:val="0"/>
            <w:vAlign w:val="center"/>
          </w:tcPr>
          <w:p w14:paraId="5CEE5BB2">
            <w:pPr>
              <w:spacing w:line="400" w:lineRule="exact"/>
              <w:jc w:val="center"/>
              <w:rPr>
                <w:rFonts w:hint="eastAsia" w:ascii="宋体" w:hAnsi="宋体" w:eastAsia="宋体" w:cs="宋体"/>
                <w:sz w:val="24"/>
              </w:rPr>
            </w:pPr>
            <w:r>
              <w:rPr>
                <w:rFonts w:hint="eastAsia" w:ascii="宋体" w:hAnsi="宋体" w:eastAsia="宋体" w:cs="宋体"/>
                <w:sz w:val="24"/>
              </w:rPr>
              <w:t>技术</w:t>
            </w:r>
          </w:p>
          <w:p w14:paraId="65B9B56D">
            <w:pPr>
              <w:spacing w:line="400" w:lineRule="exact"/>
              <w:jc w:val="center"/>
              <w:rPr>
                <w:rFonts w:hint="eastAsia" w:ascii="宋体" w:hAnsi="宋体" w:eastAsia="宋体" w:cs="宋体"/>
                <w:sz w:val="24"/>
                <w:lang w:eastAsia="zh-CN"/>
              </w:rPr>
            </w:pP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lang w:val="en-US" w:eastAsia="zh-CN"/>
              </w:rPr>
              <w:t>84分</w:t>
            </w:r>
            <w:r>
              <w:rPr>
                <w:rFonts w:hint="eastAsia" w:ascii="宋体" w:hAnsi="宋体" w:eastAsia="宋体" w:cs="宋体"/>
                <w:sz w:val="24"/>
                <w:lang w:eastAsia="zh-CN"/>
              </w:rPr>
              <w:t>）</w:t>
            </w:r>
          </w:p>
        </w:tc>
        <w:tc>
          <w:tcPr>
            <w:tcW w:w="586" w:type="dxa"/>
            <w:noWrap w:val="0"/>
            <w:vAlign w:val="center"/>
          </w:tcPr>
          <w:p w14:paraId="3A8DF2DA">
            <w:pPr>
              <w:spacing w:line="240" w:lineRule="atLeast"/>
              <w:jc w:val="center"/>
              <w:rPr>
                <w:rFonts w:hint="eastAsia" w:ascii="宋体" w:hAnsi="宋体" w:eastAsia="宋体" w:cs="宋体"/>
                <w:sz w:val="24"/>
              </w:rPr>
            </w:pPr>
            <w:r>
              <w:rPr>
                <w:rFonts w:hint="eastAsia" w:ascii="宋体" w:hAnsi="宋体" w:eastAsia="宋体" w:cs="宋体"/>
                <w:sz w:val="24"/>
              </w:rPr>
              <w:t>2</w:t>
            </w:r>
          </w:p>
        </w:tc>
        <w:tc>
          <w:tcPr>
            <w:tcW w:w="6281" w:type="dxa"/>
            <w:gridSpan w:val="2"/>
            <w:noWrap w:val="0"/>
            <w:vAlign w:val="center"/>
          </w:tcPr>
          <w:p w14:paraId="2F20F4CB">
            <w:pPr>
              <w:widowControl/>
              <w:spacing w:line="240" w:lineRule="atLeast"/>
              <w:jc w:val="left"/>
              <w:rPr>
                <w:rFonts w:hint="eastAsia" w:ascii="宋体" w:hAnsi="宋体" w:eastAsia="宋体" w:cs="宋体"/>
                <w:bCs/>
                <w:sz w:val="24"/>
              </w:rPr>
            </w:pPr>
            <w:r>
              <w:rPr>
                <w:rFonts w:hint="eastAsia" w:ascii="宋体" w:hAnsi="宋体" w:eastAsia="宋体" w:cs="宋体"/>
                <w:bCs/>
                <w:sz w:val="24"/>
              </w:rPr>
              <w:t>响应方案的合理性、科学性、全面性：根据对项目的理解程度、总体设计、组织实施、独到优势等情况综合评定对比打分。</w:t>
            </w:r>
          </w:p>
          <w:p w14:paraId="36F8622F">
            <w:pPr>
              <w:widowControl/>
              <w:spacing w:line="240" w:lineRule="atLeast"/>
              <w:jc w:val="left"/>
              <w:rPr>
                <w:rFonts w:hint="eastAsia" w:ascii="宋体" w:hAnsi="宋体" w:eastAsia="宋体" w:cs="宋体"/>
                <w:bCs/>
                <w:sz w:val="24"/>
              </w:rPr>
            </w:pP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07E9F194">
            <w:pPr>
              <w:spacing w:line="240" w:lineRule="atLeast"/>
              <w:jc w:val="center"/>
              <w:rPr>
                <w:rFonts w:hint="eastAsia" w:ascii="宋体" w:hAnsi="宋体" w:eastAsia="宋体" w:cs="宋体"/>
                <w:sz w:val="24"/>
                <w:lang w:eastAsia="zh-CN"/>
              </w:rPr>
            </w:pPr>
            <w:r>
              <w:rPr>
                <w:rFonts w:hint="eastAsia" w:ascii="宋体" w:hAnsi="宋体" w:eastAsia="宋体" w:cs="宋体"/>
                <w:sz w:val="24"/>
                <w:lang w:val="en-US" w:eastAsia="zh-CN"/>
              </w:rPr>
              <w:t>0-6</w:t>
            </w:r>
          </w:p>
        </w:tc>
        <w:tc>
          <w:tcPr>
            <w:tcW w:w="1014" w:type="dxa"/>
            <w:noWrap w:val="0"/>
            <w:vAlign w:val="center"/>
          </w:tcPr>
          <w:p w14:paraId="5218D275">
            <w:pPr>
              <w:spacing w:line="240" w:lineRule="atLeast"/>
              <w:jc w:val="center"/>
              <w:rPr>
                <w:rFonts w:hint="eastAsia" w:ascii="宋体" w:hAnsi="宋体" w:eastAsia="宋体" w:cs="宋体"/>
                <w:sz w:val="24"/>
              </w:rPr>
            </w:pPr>
            <w:r>
              <w:rPr>
                <w:rFonts w:hint="eastAsia" w:ascii="宋体" w:hAnsi="宋体" w:eastAsia="宋体" w:cs="宋体"/>
                <w:sz w:val="24"/>
              </w:rPr>
              <w:t>主观分</w:t>
            </w:r>
          </w:p>
        </w:tc>
      </w:tr>
      <w:tr w14:paraId="27E4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220" w:type="dxa"/>
            <w:vMerge w:val="continue"/>
            <w:noWrap w:val="0"/>
            <w:vAlign w:val="center"/>
          </w:tcPr>
          <w:p w14:paraId="3338AC21">
            <w:pPr>
              <w:spacing w:line="400" w:lineRule="exact"/>
              <w:jc w:val="center"/>
              <w:rPr>
                <w:rFonts w:hint="eastAsia" w:ascii="宋体" w:hAnsi="宋体" w:eastAsia="宋体" w:cs="宋体"/>
                <w:sz w:val="24"/>
              </w:rPr>
            </w:pPr>
          </w:p>
        </w:tc>
        <w:tc>
          <w:tcPr>
            <w:tcW w:w="586" w:type="dxa"/>
            <w:noWrap w:val="0"/>
            <w:vAlign w:val="center"/>
          </w:tcPr>
          <w:p w14:paraId="011AFF5F">
            <w:pPr>
              <w:pStyle w:val="3"/>
              <w:spacing w:line="240" w:lineRule="atLeast"/>
              <w:jc w:val="center"/>
              <w:rPr>
                <w:rFonts w:hint="eastAsia" w:ascii="宋体" w:hAnsi="宋体" w:eastAsia="宋体" w:cs="宋体"/>
                <w:b w:val="0"/>
                <w:sz w:val="24"/>
                <w:szCs w:val="24"/>
                <w:lang w:val="en-US"/>
              </w:rPr>
            </w:pPr>
            <w:r>
              <w:rPr>
                <w:rFonts w:hint="eastAsia" w:ascii="宋体" w:hAnsi="宋体" w:eastAsia="宋体" w:cs="宋体"/>
                <w:b w:val="0"/>
                <w:sz w:val="24"/>
                <w:szCs w:val="24"/>
                <w:lang w:val="en-US"/>
              </w:rPr>
              <w:t>3</w:t>
            </w:r>
          </w:p>
        </w:tc>
        <w:tc>
          <w:tcPr>
            <w:tcW w:w="6281" w:type="dxa"/>
            <w:gridSpan w:val="2"/>
            <w:noWrap w:val="0"/>
            <w:vAlign w:val="center"/>
          </w:tcPr>
          <w:p w14:paraId="68AB7AB1">
            <w:pPr>
              <w:widowControl/>
              <w:spacing w:line="240" w:lineRule="atLeast"/>
              <w:jc w:val="left"/>
              <w:rPr>
                <w:rFonts w:hint="eastAsia" w:ascii="宋体" w:hAnsi="宋体" w:eastAsia="宋体" w:cs="宋体"/>
                <w:bCs/>
                <w:sz w:val="24"/>
                <w:lang w:val="zh-CN"/>
              </w:rPr>
            </w:pPr>
            <w:r>
              <w:rPr>
                <w:rFonts w:hint="eastAsia" w:ascii="宋体" w:hAnsi="宋体" w:eastAsia="宋体" w:cs="宋体"/>
                <w:bCs/>
                <w:sz w:val="24"/>
              </w:rPr>
              <w:t>根</w:t>
            </w:r>
            <w:r>
              <w:rPr>
                <w:rFonts w:hint="eastAsia" w:ascii="宋体" w:hAnsi="宋体" w:eastAsia="宋体" w:cs="宋体"/>
                <w:bCs/>
                <w:sz w:val="24"/>
                <w:lang w:val="zh-CN"/>
              </w:rPr>
              <w:t>据供应商提供的管理方案具有完备的管理组织、完善的项目实施规范和可行的管理制度等综合评定对比打分。</w:t>
            </w:r>
          </w:p>
          <w:p w14:paraId="37ABCDD0">
            <w:pPr>
              <w:widowControl/>
              <w:spacing w:line="240" w:lineRule="atLeast"/>
              <w:jc w:val="left"/>
              <w:rPr>
                <w:rFonts w:hint="eastAsia" w:ascii="宋体" w:hAnsi="宋体" w:eastAsia="宋体" w:cs="宋体"/>
                <w:bCs/>
                <w:sz w:val="24"/>
                <w:lang w:val="en-US"/>
              </w:rPr>
            </w:pP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6CC79EF9">
            <w:pPr>
              <w:spacing w:line="240" w:lineRule="atLeast"/>
              <w:jc w:val="center"/>
              <w:rPr>
                <w:rFonts w:hint="eastAsia" w:ascii="宋体" w:hAnsi="宋体" w:eastAsia="宋体" w:cs="宋体"/>
                <w:bCs/>
                <w:sz w:val="24"/>
                <w:lang w:eastAsia="zh-CN"/>
              </w:rPr>
            </w:pPr>
            <w:r>
              <w:rPr>
                <w:rFonts w:hint="eastAsia" w:ascii="宋体" w:hAnsi="宋体" w:eastAsia="宋体" w:cs="宋体"/>
                <w:bCs/>
                <w:sz w:val="24"/>
                <w:lang w:val="en-US" w:eastAsia="zh-CN"/>
              </w:rPr>
              <w:t>0-6</w:t>
            </w:r>
          </w:p>
        </w:tc>
        <w:tc>
          <w:tcPr>
            <w:tcW w:w="1014" w:type="dxa"/>
            <w:noWrap w:val="0"/>
            <w:vAlign w:val="center"/>
          </w:tcPr>
          <w:p w14:paraId="55B1FD25">
            <w:pPr>
              <w:spacing w:line="240" w:lineRule="atLeast"/>
              <w:jc w:val="center"/>
              <w:rPr>
                <w:rFonts w:hint="eastAsia" w:ascii="宋体" w:hAnsi="宋体" w:eastAsia="宋体" w:cs="宋体"/>
                <w:bCs/>
                <w:sz w:val="24"/>
              </w:rPr>
            </w:pPr>
            <w:r>
              <w:rPr>
                <w:rFonts w:hint="eastAsia" w:ascii="宋体" w:hAnsi="宋体" w:eastAsia="宋体" w:cs="宋体"/>
                <w:bCs/>
                <w:sz w:val="24"/>
              </w:rPr>
              <w:t>主观分</w:t>
            </w:r>
          </w:p>
        </w:tc>
      </w:tr>
      <w:tr w14:paraId="1FFC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20" w:type="dxa"/>
            <w:vMerge w:val="continue"/>
            <w:noWrap w:val="0"/>
            <w:vAlign w:val="center"/>
          </w:tcPr>
          <w:p w14:paraId="22B15612">
            <w:pPr>
              <w:spacing w:line="400" w:lineRule="exact"/>
              <w:jc w:val="center"/>
              <w:rPr>
                <w:rFonts w:hint="eastAsia" w:ascii="宋体" w:hAnsi="宋体" w:eastAsia="宋体" w:cs="宋体"/>
                <w:sz w:val="24"/>
              </w:rPr>
            </w:pPr>
          </w:p>
        </w:tc>
        <w:tc>
          <w:tcPr>
            <w:tcW w:w="586" w:type="dxa"/>
            <w:noWrap w:val="0"/>
            <w:vAlign w:val="center"/>
          </w:tcPr>
          <w:p w14:paraId="7A023464">
            <w:pPr>
              <w:widowControl/>
              <w:spacing w:line="240" w:lineRule="atLeast"/>
              <w:jc w:val="center"/>
              <w:rPr>
                <w:rFonts w:hint="eastAsia" w:ascii="宋体" w:hAnsi="宋体" w:eastAsia="宋体" w:cs="宋体"/>
                <w:sz w:val="24"/>
              </w:rPr>
            </w:pPr>
            <w:r>
              <w:rPr>
                <w:rFonts w:hint="eastAsia" w:ascii="宋体" w:hAnsi="宋体" w:eastAsia="宋体" w:cs="宋体"/>
                <w:sz w:val="24"/>
              </w:rPr>
              <w:t>4</w:t>
            </w:r>
          </w:p>
        </w:tc>
        <w:tc>
          <w:tcPr>
            <w:tcW w:w="6281" w:type="dxa"/>
            <w:gridSpan w:val="2"/>
            <w:noWrap w:val="0"/>
            <w:vAlign w:val="center"/>
          </w:tcPr>
          <w:p w14:paraId="2D1C784F">
            <w:pPr>
              <w:widowControl/>
              <w:spacing w:line="240" w:lineRule="atLeast"/>
              <w:jc w:val="left"/>
              <w:rPr>
                <w:rFonts w:hint="eastAsia" w:ascii="宋体" w:hAnsi="宋体" w:eastAsia="宋体" w:cs="宋体"/>
                <w:bCs/>
                <w:sz w:val="24"/>
                <w:lang w:val="zh-CN"/>
              </w:rPr>
            </w:pPr>
            <w:r>
              <w:rPr>
                <w:rFonts w:hint="eastAsia" w:ascii="宋体" w:hAnsi="宋体" w:eastAsia="宋体" w:cs="宋体"/>
                <w:bCs/>
                <w:sz w:val="24"/>
                <w:lang w:val="zh-CN"/>
              </w:rPr>
              <w:t>根据供应商提供的技术培训方案可行性及合理性等情况综合评定对比打分。</w:t>
            </w:r>
          </w:p>
          <w:p w14:paraId="0E368943">
            <w:pPr>
              <w:widowControl/>
              <w:spacing w:line="240" w:lineRule="atLeast"/>
              <w:jc w:val="left"/>
              <w:rPr>
                <w:rFonts w:hint="eastAsia" w:ascii="宋体" w:hAnsi="宋体" w:eastAsia="宋体" w:cs="宋体"/>
                <w:bCs/>
                <w:sz w:val="24"/>
                <w:lang w:val="zh-CN"/>
              </w:rPr>
            </w:pP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77E125D1">
            <w:pPr>
              <w:spacing w:line="240" w:lineRule="atLeast"/>
              <w:jc w:val="center"/>
              <w:rPr>
                <w:rFonts w:hint="eastAsia" w:ascii="宋体" w:hAnsi="宋体" w:eastAsia="宋体" w:cs="宋体"/>
                <w:bCs/>
                <w:sz w:val="24"/>
                <w:lang w:eastAsia="zh-CN"/>
              </w:rPr>
            </w:pPr>
            <w:r>
              <w:rPr>
                <w:rFonts w:hint="eastAsia" w:ascii="宋体" w:hAnsi="宋体" w:eastAsia="宋体" w:cs="宋体"/>
                <w:bCs/>
                <w:sz w:val="24"/>
                <w:lang w:val="en-US" w:eastAsia="zh-CN"/>
              </w:rPr>
              <w:t>0-6</w:t>
            </w:r>
          </w:p>
        </w:tc>
        <w:tc>
          <w:tcPr>
            <w:tcW w:w="1014" w:type="dxa"/>
            <w:noWrap w:val="0"/>
            <w:vAlign w:val="center"/>
          </w:tcPr>
          <w:p w14:paraId="6CA2D194">
            <w:pPr>
              <w:spacing w:line="240" w:lineRule="atLeast"/>
              <w:jc w:val="center"/>
              <w:rPr>
                <w:rFonts w:hint="eastAsia" w:ascii="宋体" w:hAnsi="宋体" w:eastAsia="宋体" w:cs="宋体"/>
                <w:bCs/>
                <w:sz w:val="24"/>
              </w:rPr>
            </w:pPr>
            <w:r>
              <w:rPr>
                <w:rFonts w:hint="eastAsia" w:ascii="宋体" w:hAnsi="宋体" w:eastAsia="宋体" w:cs="宋体"/>
                <w:bCs/>
                <w:sz w:val="24"/>
              </w:rPr>
              <w:t>主观分</w:t>
            </w:r>
          </w:p>
        </w:tc>
      </w:tr>
      <w:tr w14:paraId="426B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0" w:type="dxa"/>
            <w:vMerge w:val="continue"/>
            <w:noWrap w:val="0"/>
            <w:vAlign w:val="center"/>
          </w:tcPr>
          <w:p w14:paraId="047A85AD">
            <w:pPr>
              <w:spacing w:line="400" w:lineRule="exact"/>
              <w:jc w:val="center"/>
              <w:rPr>
                <w:rFonts w:hint="eastAsia" w:ascii="宋体" w:hAnsi="宋体" w:eastAsia="宋体" w:cs="宋体"/>
                <w:sz w:val="24"/>
              </w:rPr>
            </w:pPr>
          </w:p>
        </w:tc>
        <w:tc>
          <w:tcPr>
            <w:tcW w:w="586" w:type="dxa"/>
            <w:noWrap w:val="0"/>
            <w:vAlign w:val="center"/>
          </w:tcPr>
          <w:p w14:paraId="7F59FC6D">
            <w:pPr>
              <w:widowControl/>
              <w:spacing w:line="240" w:lineRule="atLeast"/>
              <w:jc w:val="center"/>
              <w:rPr>
                <w:rFonts w:hint="eastAsia" w:ascii="宋体" w:hAnsi="宋体" w:eastAsia="宋体" w:cs="宋体"/>
                <w:sz w:val="24"/>
              </w:rPr>
            </w:pPr>
            <w:r>
              <w:rPr>
                <w:rFonts w:hint="eastAsia" w:ascii="宋体" w:hAnsi="宋体" w:eastAsia="宋体" w:cs="宋体"/>
                <w:sz w:val="24"/>
              </w:rPr>
              <w:t>5</w:t>
            </w:r>
          </w:p>
        </w:tc>
        <w:tc>
          <w:tcPr>
            <w:tcW w:w="6281" w:type="dxa"/>
            <w:gridSpan w:val="2"/>
            <w:noWrap w:val="0"/>
            <w:vAlign w:val="center"/>
          </w:tcPr>
          <w:p w14:paraId="34373513">
            <w:pPr>
              <w:widowControl/>
              <w:spacing w:line="240" w:lineRule="atLeast"/>
              <w:jc w:val="left"/>
              <w:rPr>
                <w:rFonts w:hint="eastAsia" w:ascii="宋体" w:hAnsi="宋体" w:eastAsia="宋体" w:cs="宋体"/>
                <w:bCs/>
                <w:sz w:val="24"/>
                <w:lang w:val="zh-CN" w:eastAsia="zh-CN"/>
              </w:rPr>
            </w:pPr>
            <w:r>
              <w:rPr>
                <w:rFonts w:hint="eastAsia" w:ascii="宋体" w:hAnsi="宋体" w:eastAsia="宋体" w:cs="宋体"/>
                <w:bCs/>
                <w:sz w:val="24"/>
              </w:rPr>
              <w:t>根据</w:t>
            </w:r>
            <w:r>
              <w:rPr>
                <w:rFonts w:hint="eastAsia" w:ascii="宋体" w:hAnsi="宋体" w:eastAsia="宋体" w:cs="宋体"/>
                <w:bCs/>
                <w:sz w:val="24"/>
                <w:lang w:val="zh-CN"/>
              </w:rPr>
              <w:t>供应商</w:t>
            </w:r>
            <w:r>
              <w:rPr>
                <w:rFonts w:hint="eastAsia" w:ascii="宋体" w:hAnsi="宋体" w:eastAsia="宋体" w:cs="宋体"/>
                <w:bCs/>
                <w:sz w:val="24"/>
              </w:rPr>
              <w:t>提供的质量保障措施方案等情况，酌情打分。</w:t>
            </w: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2A9E8654">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0-6</w:t>
            </w:r>
          </w:p>
        </w:tc>
        <w:tc>
          <w:tcPr>
            <w:tcW w:w="1014" w:type="dxa"/>
            <w:noWrap w:val="0"/>
            <w:vAlign w:val="center"/>
          </w:tcPr>
          <w:p w14:paraId="1A28E3B4">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主观分</w:t>
            </w:r>
          </w:p>
        </w:tc>
      </w:tr>
      <w:tr w14:paraId="6F87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0" w:type="dxa"/>
            <w:vMerge w:val="continue"/>
            <w:noWrap w:val="0"/>
            <w:vAlign w:val="center"/>
          </w:tcPr>
          <w:p w14:paraId="329D39FA">
            <w:pPr>
              <w:spacing w:line="400" w:lineRule="exact"/>
              <w:jc w:val="center"/>
              <w:rPr>
                <w:rFonts w:hint="eastAsia" w:ascii="宋体" w:hAnsi="宋体" w:eastAsia="宋体" w:cs="宋体"/>
                <w:sz w:val="24"/>
              </w:rPr>
            </w:pPr>
          </w:p>
        </w:tc>
        <w:tc>
          <w:tcPr>
            <w:tcW w:w="586" w:type="dxa"/>
            <w:noWrap w:val="0"/>
            <w:vAlign w:val="center"/>
          </w:tcPr>
          <w:p w14:paraId="367E383C">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6281" w:type="dxa"/>
            <w:gridSpan w:val="2"/>
            <w:noWrap w:val="0"/>
            <w:vAlign w:val="center"/>
          </w:tcPr>
          <w:p w14:paraId="04C61ACD">
            <w:pPr>
              <w:widowControl/>
              <w:spacing w:line="240" w:lineRule="atLeast"/>
              <w:jc w:val="left"/>
              <w:rPr>
                <w:rFonts w:hint="eastAsia" w:ascii="宋体" w:hAnsi="宋体" w:eastAsia="宋体" w:cs="宋体"/>
                <w:bCs/>
                <w:sz w:val="24"/>
                <w:lang w:val="zh-CN" w:eastAsia="zh-CN"/>
              </w:rPr>
            </w:pPr>
            <w:r>
              <w:rPr>
                <w:rFonts w:hint="eastAsia" w:ascii="宋体" w:hAnsi="宋体" w:eastAsia="宋体" w:cs="宋体"/>
                <w:bCs/>
                <w:sz w:val="24"/>
              </w:rPr>
              <w:t>根据</w:t>
            </w:r>
            <w:r>
              <w:rPr>
                <w:rFonts w:hint="eastAsia" w:ascii="宋体" w:hAnsi="宋体" w:eastAsia="宋体" w:cs="宋体"/>
                <w:bCs/>
                <w:sz w:val="24"/>
                <w:lang w:val="zh-CN"/>
              </w:rPr>
              <w:t>供应商</w:t>
            </w:r>
            <w:r>
              <w:rPr>
                <w:rFonts w:hint="eastAsia" w:ascii="宋体" w:hAnsi="宋体" w:eastAsia="宋体" w:cs="宋体"/>
                <w:bCs/>
                <w:sz w:val="24"/>
              </w:rPr>
              <w:t>提供的</w:t>
            </w:r>
            <w:r>
              <w:rPr>
                <w:rFonts w:hint="eastAsia" w:ascii="宋体" w:hAnsi="宋体" w:eastAsia="宋体" w:cs="宋体"/>
                <w:bCs/>
                <w:sz w:val="24"/>
                <w:lang w:val="en-US" w:eastAsia="zh-CN"/>
              </w:rPr>
              <w:t>进度保证</w:t>
            </w:r>
            <w:r>
              <w:rPr>
                <w:rFonts w:hint="eastAsia" w:ascii="宋体" w:hAnsi="宋体" w:eastAsia="宋体" w:cs="宋体"/>
                <w:bCs/>
                <w:sz w:val="24"/>
              </w:rPr>
              <w:t>措施方案等情况，酌情打分。</w:t>
            </w: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50C54801">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0-6</w:t>
            </w:r>
          </w:p>
        </w:tc>
        <w:tc>
          <w:tcPr>
            <w:tcW w:w="1014" w:type="dxa"/>
            <w:noWrap w:val="0"/>
            <w:vAlign w:val="center"/>
          </w:tcPr>
          <w:p w14:paraId="3F4971F3">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主观分</w:t>
            </w:r>
          </w:p>
        </w:tc>
      </w:tr>
      <w:tr w14:paraId="31A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0" w:type="dxa"/>
            <w:vMerge w:val="continue"/>
            <w:noWrap w:val="0"/>
            <w:vAlign w:val="center"/>
          </w:tcPr>
          <w:p w14:paraId="5AAA653B">
            <w:pPr>
              <w:spacing w:line="400" w:lineRule="exact"/>
              <w:jc w:val="center"/>
              <w:rPr>
                <w:rFonts w:hint="eastAsia" w:ascii="宋体" w:hAnsi="宋体" w:eastAsia="宋体" w:cs="宋体"/>
                <w:sz w:val="24"/>
              </w:rPr>
            </w:pPr>
          </w:p>
        </w:tc>
        <w:tc>
          <w:tcPr>
            <w:tcW w:w="586" w:type="dxa"/>
            <w:noWrap w:val="0"/>
            <w:vAlign w:val="center"/>
          </w:tcPr>
          <w:p w14:paraId="3C0937CD">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6281" w:type="dxa"/>
            <w:gridSpan w:val="2"/>
            <w:noWrap w:val="0"/>
            <w:vAlign w:val="center"/>
          </w:tcPr>
          <w:p w14:paraId="1FA709E8">
            <w:pPr>
              <w:widowControl/>
              <w:spacing w:line="240" w:lineRule="atLeast"/>
              <w:jc w:val="left"/>
              <w:rPr>
                <w:rFonts w:hint="eastAsia" w:ascii="宋体" w:hAnsi="宋体" w:eastAsia="宋体" w:cs="宋体"/>
                <w:bCs/>
                <w:sz w:val="24"/>
                <w:lang w:val="zh-CN" w:eastAsia="zh-CN"/>
              </w:rPr>
            </w:pPr>
            <w:r>
              <w:rPr>
                <w:rFonts w:hint="eastAsia" w:ascii="宋体" w:hAnsi="宋体" w:eastAsia="宋体" w:cs="宋体"/>
                <w:bCs/>
                <w:sz w:val="24"/>
              </w:rPr>
              <w:t>根据</w:t>
            </w:r>
            <w:r>
              <w:rPr>
                <w:rFonts w:hint="eastAsia" w:ascii="宋体" w:hAnsi="宋体" w:eastAsia="宋体" w:cs="宋体"/>
                <w:bCs/>
                <w:sz w:val="24"/>
                <w:lang w:val="zh-CN"/>
              </w:rPr>
              <w:t>供应商</w:t>
            </w:r>
            <w:r>
              <w:rPr>
                <w:rFonts w:hint="eastAsia" w:ascii="宋体" w:hAnsi="宋体" w:eastAsia="宋体" w:cs="宋体"/>
                <w:bCs/>
                <w:sz w:val="24"/>
              </w:rPr>
              <w:t>提供的</w:t>
            </w:r>
            <w:r>
              <w:rPr>
                <w:rFonts w:hint="eastAsia" w:ascii="宋体" w:hAnsi="宋体" w:eastAsia="宋体" w:cs="宋体"/>
                <w:bCs/>
                <w:sz w:val="24"/>
                <w:lang w:val="en-US" w:eastAsia="zh-CN"/>
              </w:rPr>
              <w:t>安全保证</w:t>
            </w:r>
            <w:r>
              <w:rPr>
                <w:rFonts w:hint="eastAsia" w:ascii="宋体" w:hAnsi="宋体" w:eastAsia="宋体" w:cs="宋体"/>
                <w:bCs/>
                <w:sz w:val="24"/>
              </w:rPr>
              <w:t>措施方案等情况，酌情打分。</w:t>
            </w: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6F5F91DA">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0-6</w:t>
            </w:r>
          </w:p>
        </w:tc>
        <w:tc>
          <w:tcPr>
            <w:tcW w:w="1014" w:type="dxa"/>
            <w:noWrap w:val="0"/>
            <w:vAlign w:val="center"/>
          </w:tcPr>
          <w:p w14:paraId="5220717F">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主观分</w:t>
            </w:r>
          </w:p>
        </w:tc>
      </w:tr>
      <w:tr w14:paraId="3411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0" w:type="dxa"/>
            <w:vMerge w:val="continue"/>
            <w:noWrap w:val="0"/>
            <w:vAlign w:val="center"/>
          </w:tcPr>
          <w:p w14:paraId="671A1B35">
            <w:pPr>
              <w:spacing w:line="400" w:lineRule="exact"/>
              <w:jc w:val="center"/>
              <w:rPr>
                <w:rFonts w:hint="eastAsia" w:ascii="宋体" w:hAnsi="宋体" w:eastAsia="宋体" w:cs="宋体"/>
                <w:sz w:val="24"/>
              </w:rPr>
            </w:pPr>
          </w:p>
        </w:tc>
        <w:tc>
          <w:tcPr>
            <w:tcW w:w="586" w:type="dxa"/>
            <w:noWrap w:val="0"/>
            <w:vAlign w:val="center"/>
          </w:tcPr>
          <w:p w14:paraId="3005AA4A">
            <w:pPr>
              <w:widowControl/>
              <w:spacing w:line="24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6281" w:type="dxa"/>
            <w:gridSpan w:val="2"/>
            <w:noWrap w:val="0"/>
            <w:vAlign w:val="center"/>
          </w:tcPr>
          <w:p w14:paraId="09CA0DA6">
            <w:pPr>
              <w:widowControl/>
              <w:spacing w:line="240" w:lineRule="atLeast"/>
              <w:jc w:val="left"/>
              <w:rPr>
                <w:rFonts w:hint="eastAsia" w:ascii="宋体" w:hAnsi="宋体" w:eastAsia="宋体" w:cs="宋体"/>
                <w:bCs/>
                <w:sz w:val="24"/>
              </w:rPr>
            </w:pPr>
            <w:r>
              <w:rPr>
                <w:rFonts w:hint="eastAsia" w:ascii="宋体" w:hAnsi="宋体" w:eastAsia="宋体" w:cs="宋体"/>
                <w:bCs/>
                <w:sz w:val="24"/>
              </w:rPr>
              <w:t>针对本项目特点、技术难点的分析及相应的措施（综合评定对比打分）</w:t>
            </w:r>
          </w:p>
          <w:p w14:paraId="1D35CCDA">
            <w:pPr>
              <w:widowControl/>
              <w:spacing w:line="240" w:lineRule="atLeast"/>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109AD1F5">
            <w:pPr>
              <w:spacing w:line="240" w:lineRule="atLeast"/>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lang w:val="en-US" w:eastAsia="zh-CN"/>
              </w:rPr>
              <w:t>0-6</w:t>
            </w:r>
          </w:p>
        </w:tc>
        <w:tc>
          <w:tcPr>
            <w:tcW w:w="1014" w:type="dxa"/>
            <w:noWrap w:val="0"/>
            <w:vAlign w:val="center"/>
          </w:tcPr>
          <w:p w14:paraId="1B45FEA9">
            <w:pPr>
              <w:spacing w:line="240" w:lineRule="atLeast"/>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rPr>
              <w:t>主观分</w:t>
            </w:r>
          </w:p>
        </w:tc>
      </w:tr>
      <w:tr w14:paraId="5A0A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220" w:type="dxa"/>
            <w:vMerge w:val="continue"/>
            <w:noWrap w:val="0"/>
            <w:vAlign w:val="center"/>
          </w:tcPr>
          <w:p w14:paraId="75AA188D">
            <w:pPr>
              <w:spacing w:line="400" w:lineRule="exact"/>
              <w:jc w:val="center"/>
              <w:rPr>
                <w:rFonts w:hint="eastAsia" w:ascii="宋体" w:hAnsi="宋体" w:eastAsia="宋体" w:cs="宋体"/>
                <w:sz w:val="24"/>
              </w:rPr>
            </w:pPr>
          </w:p>
        </w:tc>
        <w:tc>
          <w:tcPr>
            <w:tcW w:w="586" w:type="dxa"/>
            <w:noWrap w:val="0"/>
            <w:vAlign w:val="center"/>
          </w:tcPr>
          <w:p w14:paraId="240CA235">
            <w:pPr>
              <w:widowControl/>
              <w:spacing w:line="240" w:lineRule="atLeast"/>
              <w:jc w:val="center"/>
              <w:rPr>
                <w:rFonts w:hint="eastAsia" w:ascii="宋体" w:hAnsi="宋体" w:eastAsia="宋体" w:cs="宋体"/>
                <w:lang w:eastAsia="zh-CN"/>
              </w:rPr>
            </w:pPr>
            <w:r>
              <w:rPr>
                <w:rFonts w:hint="eastAsia" w:ascii="宋体" w:hAnsi="宋体" w:eastAsia="宋体" w:cs="宋体"/>
                <w:lang w:val="en-US" w:eastAsia="zh-CN"/>
              </w:rPr>
              <w:t>9</w:t>
            </w:r>
          </w:p>
        </w:tc>
        <w:tc>
          <w:tcPr>
            <w:tcW w:w="6281" w:type="dxa"/>
            <w:gridSpan w:val="2"/>
            <w:noWrap w:val="0"/>
            <w:vAlign w:val="center"/>
          </w:tcPr>
          <w:p w14:paraId="7DB6386C">
            <w:pPr>
              <w:widowControl/>
              <w:spacing w:line="240" w:lineRule="atLeast"/>
              <w:jc w:val="left"/>
              <w:rPr>
                <w:rFonts w:hint="eastAsia" w:ascii="宋体" w:hAnsi="宋体" w:eastAsia="宋体" w:cs="宋体"/>
                <w:bCs/>
                <w:sz w:val="24"/>
                <w:lang w:val="zh-CN"/>
              </w:rPr>
            </w:pPr>
            <w:r>
              <w:rPr>
                <w:rFonts w:hint="eastAsia" w:ascii="宋体" w:hAnsi="宋体" w:eastAsia="宋体" w:cs="宋体"/>
                <w:bCs/>
                <w:sz w:val="24"/>
                <w:lang w:val="zh-CN"/>
              </w:rPr>
              <w:t>响应方案中提供或使用主要设备的优劣综合评定对比分。</w:t>
            </w:r>
          </w:p>
          <w:p w14:paraId="49D42467">
            <w:pPr>
              <w:widowControl/>
              <w:spacing w:line="240" w:lineRule="atLeast"/>
              <w:jc w:val="left"/>
              <w:rPr>
                <w:rFonts w:hint="eastAsia" w:ascii="宋体" w:hAnsi="宋体" w:eastAsia="宋体" w:cs="宋体"/>
                <w:bCs/>
                <w:sz w:val="24"/>
              </w:rPr>
            </w:pPr>
            <w:r>
              <w:rPr>
                <w:rFonts w:hint="eastAsia" w:ascii="宋体" w:hAnsi="宋体" w:eastAsia="宋体" w:cs="宋体"/>
                <w:bCs/>
                <w:sz w:val="24"/>
                <w:lang w:val="en-US" w:eastAsia="zh-CN"/>
              </w:rPr>
              <w:t>（方案详细完善的得4.1-6分，方案较详细完善的得2.1-4分，方案不够详细完善的得0-2分）</w:t>
            </w:r>
          </w:p>
        </w:tc>
        <w:tc>
          <w:tcPr>
            <w:tcW w:w="729" w:type="dxa"/>
            <w:noWrap w:val="0"/>
            <w:vAlign w:val="center"/>
          </w:tcPr>
          <w:p w14:paraId="35C11310">
            <w:pPr>
              <w:spacing w:line="240" w:lineRule="atLeast"/>
              <w:jc w:val="center"/>
              <w:rPr>
                <w:rFonts w:hint="eastAsia" w:ascii="宋体" w:hAnsi="宋体" w:eastAsia="宋体" w:cs="宋体"/>
                <w:bCs/>
                <w:smallCaps/>
                <w:sz w:val="24"/>
                <w:lang w:eastAsia="zh-CN"/>
              </w:rPr>
            </w:pPr>
            <w:r>
              <w:rPr>
                <w:rFonts w:hint="eastAsia" w:ascii="宋体" w:hAnsi="宋体" w:eastAsia="宋体" w:cs="宋体"/>
                <w:bCs/>
                <w:smallCaps/>
                <w:sz w:val="24"/>
                <w:lang w:val="en-US" w:eastAsia="zh-CN"/>
              </w:rPr>
              <w:t>0-6</w:t>
            </w:r>
          </w:p>
        </w:tc>
        <w:tc>
          <w:tcPr>
            <w:tcW w:w="1014" w:type="dxa"/>
            <w:noWrap w:val="0"/>
            <w:vAlign w:val="center"/>
          </w:tcPr>
          <w:p w14:paraId="241F3FD5">
            <w:pPr>
              <w:spacing w:line="240" w:lineRule="atLeast"/>
              <w:jc w:val="center"/>
              <w:rPr>
                <w:rFonts w:hint="eastAsia" w:ascii="宋体" w:hAnsi="宋体" w:eastAsia="宋体" w:cs="宋体"/>
                <w:bCs/>
                <w:smallCaps/>
                <w:sz w:val="24"/>
              </w:rPr>
            </w:pPr>
            <w:r>
              <w:rPr>
                <w:rFonts w:hint="eastAsia" w:ascii="宋体" w:hAnsi="宋体" w:eastAsia="宋体" w:cs="宋体"/>
                <w:bCs/>
                <w:sz w:val="24"/>
              </w:rPr>
              <w:t>主观分</w:t>
            </w:r>
          </w:p>
        </w:tc>
      </w:tr>
      <w:tr w14:paraId="3C91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20" w:type="dxa"/>
            <w:vMerge w:val="continue"/>
            <w:noWrap w:val="0"/>
            <w:vAlign w:val="top"/>
          </w:tcPr>
          <w:p w14:paraId="29D319D3">
            <w:pPr>
              <w:spacing w:line="400" w:lineRule="exact"/>
              <w:jc w:val="center"/>
              <w:rPr>
                <w:rFonts w:hint="eastAsia" w:ascii="宋体" w:hAnsi="宋体" w:eastAsia="宋体" w:cs="宋体"/>
                <w:sz w:val="24"/>
              </w:rPr>
            </w:pPr>
          </w:p>
        </w:tc>
        <w:tc>
          <w:tcPr>
            <w:tcW w:w="586" w:type="dxa"/>
            <w:vMerge w:val="restart"/>
            <w:noWrap w:val="0"/>
            <w:vAlign w:val="center"/>
          </w:tcPr>
          <w:p w14:paraId="48E24E72">
            <w:pPr>
              <w:spacing w:line="360" w:lineRule="auto"/>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10</w:t>
            </w:r>
          </w:p>
        </w:tc>
        <w:tc>
          <w:tcPr>
            <w:tcW w:w="445" w:type="dxa"/>
            <w:vMerge w:val="restart"/>
            <w:noWrap w:val="0"/>
            <w:vAlign w:val="center"/>
          </w:tcPr>
          <w:p w14:paraId="17B7BDE9">
            <w:pPr>
              <w:widowControl/>
              <w:spacing w:line="240" w:lineRule="atLeast"/>
              <w:jc w:val="left"/>
              <w:rPr>
                <w:rFonts w:hint="eastAsia" w:ascii="宋体" w:hAnsi="宋体" w:eastAsia="宋体" w:cs="宋体"/>
                <w:bCs/>
                <w:sz w:val="24"/>
              </w:rPr>
            </w:pPr>
            <w:bookmarkStart w:id="382" w:name="_Hlk117520758"/>
            <w:r>
              <w:rPr>
                <w:rFonts w:hint="eastAsia" w:ascii="宋体" w:hAnsi="宋体" w:eastAsia="宋体" w:cs="宋体"/>
                <w:bCs/>
                <w:sz w:val="24"/>
              </w:rPr>
              <w:t>团队技术力量</w:t>
            </w:r>
          </w:p>
        </w:tc>
        <w:tc>
          <w:tcPr>
            <w:tcW w:w="5836" w:type="dxa"/>
            <w:noWrap w:val="0"/>
            <w:vAlign w:val="center"/>
          </w:tcPr>
          <w:p w14:paraId="3F55ADB2">
            <w:pPr>
              <w:widowControl/>
              <w:spacing w:line="240" w:lineRule="atLeast"/>
              <w:jc w:val="left"/>
              <w:rPr>
                <w:rFonts w:hint="eastAsia" w:ascii="宋体" w:hAnsi="宋体" w:eastAsia="宋体" w:cs="宋体"/>
                <w:bCs/>
                <w:sz w:val="24"/>
              </w:rPr>
            </w:pPr>
            <w:r>
              <w:rPr>
                <w:rFonts w:hint="eastAsia" w:ascii="宋体" w:hAnsi="宋体" w:eastAsia="宋体" w:cs="宋体"/>
                <w:bCs/>
                <w:sz w:val="24"/>
              </w:rPr>
              <w:t>1、拟派项目负责人</w:t>
            </w:r>
            <w:bookmarkEnd w:id="382"/>
            <w:r>
              <w:rPr>
                <w:rFonts w:hint="eastAsia" w:ascii="宋体" w:hAnsi="宋体" w:eastAsia="宋体" w:cs="宋体"/>
                <w:bCs/>
                <w:sz w:val="24"/>
              </w:rPr>
              <w:t>具有高级及以上职称的得</w:t>
            </w:r>
            <w:r>
              <w:rPr>
                <w:rFonts w:hint="eastAsia" w:ascii="宋体" w:hAnsi="宋体" w:eastAsia="宋体" w:cs="宋体"/>
                <w:bCs/>
                <w:sz w:val="24"/>
                <w:lang w:val="en-US" w:eastAsia="zh-CN"/>
              </w:rPr>
              <w:t>2</w:t>
            </w:r>
            <w:r>
              <w:rPr>
                <w:rFonts w:hint="eastAsia" w:ascii="宋体" w:hAnsi="宋体" w:eastAsia="宋体" w:cs="宋体"/>
                <w:bCs/>
                <w:sz w:val="24"/>
              </w:rPr>
              <w:t>分，具有中级职称的得1分。</w:t>
            </w:r>
          </w:p>
          <w:p w14:paraId="5E36E248">
            <w:pPr>
              <w:widowControl/>
              <w:spacing w:line="240" w:lineRule="atLeast"/>
              <w:jc w:val="left"/>
              <w:rPr>
                <w:rFonts w:hint="eastAsia" w:ascii="宋体" w:hAnsi="宋体" w:eastAsia="宋体" w:cs="宋体"/>
                <w:bCs/>
                <w:sz w:val="24"/>
              </w:rPr>
            </w:pPr>
            <w:r>
              <w:rPr>
                <w:rFonts w:hint="eastAsia" w:ascii="宋体" w:hAnsi="宋体" w:eastAsia="宋体" w:cs="宋体"/>
                <w:bCs/>
                <w:sz w:val="24"/>
              </w:rPr>
              <w:t>2、拟派项目组成员中具有中级及以上职称的每个得</w:t>
            </w:r>
            <w:r>
              <w:rPr>
                <w:rFonts w:hint="eastAsia" w:ascii="宋体" w:hAnsi="宋体" w:eastAsia="宋体" w:cs="宋体"/>
                <w:bCs/>
                <w:sz w:val="24"/>
                <w:lang w:val="en-US" w:eastAsia="zh-CN"/>
              </w:rPr>
              <w:t>0.5</w:t>
            </w:r>
            <w:r>
              <w:rPr>
                <w:rFonts w:hint="eastAsia" w:ascii="宋体" w:hAnsi="宋体" w:eastAsia="宋体" w:cs="宋体"/>
                <w:bCs/>
                <w:sz w:val="24"/>
              </w:rPr>
              <w:t>分，最高得</w:t>
            </w:r>
            <w:r>
              <w:rPr>
                <w:rFonts w:hint="eastAsia" w:ascii="宋体" w:hAnsi="宋体" w:eastAsia="宋体" w:cs="宋体"/>
                <w:bCs/>
                <w:sz w:val="24"/>
                <w:lang w:val="en-US" w:eastAsia="zh-CN"/>
              </w:rPr>
              <w:t>2</w:t>
            </w:r>
            <w:r>
              <w:rPr>
                <w:rFonts w:hint="eastAsia" w:ascii="宋体" w:hAnsi="宋体" w:eastAsia="宋体" w:cs="宋体"/>
                <w:bCs/>
                <w:sz w:val="24"/>
              </w:rPr>
              <w:t>分。</w:t>
            </w:r>
          </w:p>
          <w:p w14:paraId="29DA408B">
            <w:pPr>
              <w:widowControl/>
              <w:spacing w:line="240" w:lineRule="atLeast"/>
              <w:jc w:val="left"/>
              <w:rPr>
                <w:rFonts w:hint="eastAsia" w:ascii="宋体" w:hAnsi="宋体" w:eastAsia="宋体" w:cs="宋体"/>
                <w:bCs/>
                <w:sz w:val="24"/>
              </w:rPr>
            </w:pPr>
            <w:r>
              <w:rPr>
                <w:rFonts w:hint="eastAsia" w:ascii="宋体" w:hAnsi="宋体" w:eastAsia="宋体" w:cs="宋体"/>
                <w:bCs/>
                <w:sz w:val="24"/>
              </w:rPr>
              <w:t>（提供以上人员的职称证书和近3个月</w:t>
            </w:r>
            <w:r>
              <w:rPr>
                <w:rFonts w:hint="eastAsia" w:ascii="宋体" w:hAnsi="宋体" w:eastAsia="宋体" w:cs="宋体"/>
                <w:bCs/>
                <w:sz w:val="24"/>
                <w:lang w:eastAsia="zh-CN"/>
              </w:rPr>
              <w:t>（</w:t>
            </w:r>
            <w:r>
              <w:rPr>
                <w:rFonts w:hint="eastAsia" w:ascii="宋体" w:hAnsi="宋体" w:eastAsia="宋体" w:cs="宋体"/>
                <w:bCs/>
                <w:sz w:val="24"/>
                <w:lang w:val="en-US" w:eastAsia="zh-CN"/>
              </w:rPr>
              <w:t>202</w:t>
            </w:r>
            <w:r>
              <w:rPr>
                <w:rFonts w:hint="eastAsia" w:ascii="宋体" w:hAnsi="宋体" w:cs="宋体"/>
                <w:bCs/>
                <w:sz w:val="24"/>
                <w:lang w:val="en-US" w:eastAsia="zh-CN"/>
              </w:rPr>
              <w:t>5</w:t>
            </w:r>
            <w:r>
              <w:rPr>
                <w:rFonts w:hint="eastAsia" w:ascii="宋体" w:hAnsi="宋体" w:eastAsia="宋体" w:cs="宋体"/>
                <w:bCs/>
                <w:sz w:val="24"/>
                <w:lang w:val="en-US" w:eastAsia="zh-CN"/>
              </w:rPr>
              <w:t>年</w:t>
            </w:r>
            <w:r>
              <w:rPr>
                <w:rFonts w:hint="eastAsia" w:ascii="宋体" w:hAnsi="宋体" w:cs="宋体"/>
                <w:bCs/>
                <w:sz w:val="24"/>
                <w:lang w:val="en-US" w:eastAsia="zh-CN"/>
              </w:rPr>
              <w:t>1</w:t>
            </w:r>
            <w:r>
              <w:rPr>
                <w:rFonts w:hint="eastAsia" w:ascii="宋体" w:hAnsi="宋体" w:eastAsia="宋体" w:cs="宋体"/>
                <w:bCs/>
                <w:sz w:val="24"/>
                <w:lang w:val="en-US" w:eastAsia="zh-CN"/>
              </w:rPr>
              <w:t>2月、202</w:t>
            </w:r>
            <w:r>
              <w:rPr>
                <w:rFonts w:hint="eastAsia" w:ascii="宋体" w:hAnsi="宋体" w:cs="宋体"/>
                <w:bCs/>
                <w:sz w:val="24"/>
                <w:lang w:val="en-US" w:eastAsia="zh-CN"/>
              </w:rPr>
              <w:t>6</w:t>
            </w:r>
            <w:r>
              <w:rPr>
                <w:rFonts w:hint="eastAsia" w:ascii="宋体" w:hAnsi="宋体" w:eastAsia="宋体" w:cs="宋体"/>
                <w:bCs/>
                <w:sz w:val="24"/>
                <w:lang w:val="en-US" w:eastAsia="zh-CN"/>
              </w:rPr>
              <w:t>年</w:t>
            </w:r>
            <w:r>
              <w:rPr>
                <w:rFonts w:hint="eastAsia" w:ascii="宋体" w:hAnsi="宋体" w:cs="宋体"/>
                <w:bCs/>
                <w:sz w:val="24"/>
                <w:lang w:val="en-US" w:eastAsia="zh-CN"/>
              </w:rPr>
              <w:t>1</w:t>
            </w:r>
            <w:r>
              <w:rPr>
                <w:rFonts w:hint="eastAsia" w:ascii="宋体" w:hAnsi="宋体" w:eastAsia="宋体" w:cs="宋体"/>
                <w:bCs/>
                <w:sz w:val="24"/>
                <w:lang w:val="en-US" w:eastAsia="zh-CN"/>
              </w:rPr>
              <w:t>月、202</w:t>
            </w:r>
            <w:r>
              <w:rPr>
                <w:rFonts w:hint="eastAsia" w:ascii="宋体" w:hAnsi="宋体" w:cs="宋体"/>
                <w:bCs/>
                <w:sz w:val="24"/>
                <w:lang w:val="en-US" w:eastAsia="zh-CN"/>
              </w:rPr>
              <w:t>6</w:t>
            </w:r>
            <w:r>
              <w:rPr>
                <w:rFonts w:hint="eastAsia" w:ascii="宋体" w:hAnsi="宋体" w:eastAsia="宋体" w:cs="宋体"/>
                <w:bCs/>
                <w:sz w:val="24"/>
                <w:lang w:val="en-US" w:eastAsia="zh-CN"/>
              </w:rPr>
              <w:t>年</w:t>
            </w:r>
            <w:r>
              <w:rPr>
                <w:rFonts w:hint="eastAsia" w:ascii="宋体" w:hAnsi="宋体" w:cs="宋体"/>
                <w:bCs/>
                <w:sz w:val="24"/>
                <w:lang w:val="en-US" w:eastAsia="zh-CN"/>
              </w:rPr>
              <w:t>2</w:t>
            </w:r>
            <w:r>
              <w:rPr>
                <w:rFonts w:hint="eastAsia" w:ascii="宋体" w:hAnsi="宋体" w:eastAsia="宋体" w:cs="宋体"/>
                <w:bCs/>
                <w:sz w:val="24"/>
                <w:lang w:val="en-US" w:eastAsia="zh-CN"/>
              </w:rPr>
              <w:t>月</w:t>
            </w:r>
            <w:r>
              <w:rPr>
                <w:rFonts w:hint="eastAsia" w:ascii="宋体" w:hAnsi="宋体" w:eastAsia="宋体" w:cs="宋体"/>
                <w:bCs/>
                <w:sz w:val="24"/>
                <w:lang w:eastAsia="zh-CN"/>
              </w:rPr>
              <w:t>）</w:t>
            </w:r>
            <w:r>
              <w:rPr>
                <w:rFonts w:hint="eastAsia" w:ascii="宋体" w:hAnsi="宋体" w:eastAsia="宋体" w:cs="宋体"/>
                <w:bCs/>
                <w:sz w:val="24"/>
              </w:rPr>
              <w:t>的社保证</w:t>
            </w:r>
            <w:r>
              <w:rPr>
                <w:rFonts w:hint="eastAsia" w:ascii="宋体" w:hAnsi="宋体" w:eastAsia="宋体" w:cs="宋体"/>
                <w:bCs/>
                <w:sz w:val="24"/>
                <w:highlight w:val="none"/>
              </w:rPr>
              <w:t>明</w:t>
            </w:r>
            <w:r>
              <w:rPr>
                <w:rFonts w:hint="eastAsia" w:ascii="宋体" w:hAnsi="宋体" w:eastAsia="宋体" w:cs="宋体"/>
                <w:bCs/>
                <w:sz w:val="24"/>
                <w:highlight w:val="none"/>
                <w:lang w:val="en-US" w:eastAsia="zh-CN"/>
              </w:rPr>
              <w:t>或劳动合同</w:t>
            </w:r>
            <w:r>
              <w:rPr>
                <w:rFonts w:hint="eastAsia" w:ascii="宋体" w:hAnsi="宋体" w:eastAsia="宋体" w:cs="宋体"/>
                <w:bCs/>
                <w:sz w:val="24"/>
              </w:rPr>
              <w:t>扫描件加盖公章）</w:t>
            </w:r>
          </w:p>
        </w:tc>
        <w:tc>
          <w:tcPr>
            <w:tcW w:w="729" w:type="dxa"/>
            <w:noWrap w:val="0"/>
            <w:vAlign w:val="center"/>
          </w:tcPr>
          <w:p w14:paraId="46F15DCC">
            <w:pPr>
              <w:spacing w:before="120" w:after="120" w:line="240" w:lineRule="atLeast"/>
              <w:jc w:val="center"/>
              <w:rPr>
                <w:rFonts w:hint="eastAsia" w:ascii="宋体" w:hAnsi="宋体" w:eastAsia="宋体" w:cs="宋体"/>
                <w:bCs/>
                <w:sz w:val="24"/>
                <w:lang w:eastAsia="zh-CN"/>
              </w:rPr>
            </w:pPr>
            <w:r>
              <w:rPr>
                <w:rFonts w:hint="eastAsia" w:ascii="宋体" w:hAnsi="宋体" w:eastAsia="宋体" w:cs="宋体"/>
                <w:bCs/>
                <w:sz w:val="24"/>
                <w:lang w:val="en-US" w:eastAsia="zh-CN"/>
              </w:rPr>
              <w:t>0-4</w:t>
            </w:r>
          </w:p>
        </w:tc>
        <w:tc>
          <w:tcPr>
            <w:tcW w:w="1014" w:type="dxa"/>
            <w:noWrap w:val="0"/>
            <w:vAlign w:val="center"/>
          </w:tcPr>
          <w:p w14:paraId="66F69A39">
            <w:pPr>
              <w:spacing w:line="240" w:lineRule="atLeast"/>
              <w:jc w:val="center"/>
              <w:rPr>
                <w:rFonts w:hint="eastAsia" w:ascii="宋体" w:hAnsi="宋体" w:eastAsia="宋体" w:cs="宋体"/>
                <w:bCs/>
                <w:sz w:val="24"/>
              </w:rPr>
            </w:pPr>
            <w:r>
              <w:rPr>
                <w:rFonts w:hint="eastAsia" w:ascii="宋体" w:hAnsi="宋体" w:eastAsia="宋体" w:cs="宋体"/>
                <w:bCs/>
                <w:sz w:val="24"/>
              </w:rPr>
              <w:t>客观分</w:t>
            </w:r>
          </w:p>
        </w:tc>
      </w:tr>
      <w:tr w14:paraId="247E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20" w:type="dxa"/>
            <w:vMerge w:val="continue"/>
            <w:noWrap w:val="0"/>
            <w:vAlign w:val="top"/>
          </w:tcPr>
          <w:p w14:paraId="1769C41F">
            <w:pPr>
              <w:spacing w:line="400" w:lineRule="exact"/>
              <w:jc w:val="center"/>
              <w:rPr>
                <w:rFonts w:hint="eastAsia" w:ascii="宋体" w:hAnsi="宋体" w:eastAsia="宋体" w:cs="宋体"/>
                <w:sz w:val="24"/>
              </w:rPr>
            </w:pPr>
          </w:p>
        </w:tc>
        <w:tc>
          <w:tcPr>
            <w:tcW w:w="586" w:type="dxa"/>
            <w:vMerge w:val="continue"/>
            <w:noWrap w:val="0"/>
            <w:vAlign w:val="center"/>
          </w:tcPr>
          <w:p w14:paraId="0D1F2774">
            <w:pPr>
              <w:spacing w:line="360" w:lineRule="auto"/>
              <w:rPr>
                <w:rFonts w:hint="eastAsia" w:ascii="宋体" w:hAnsi="宋体" w:eastAsia="宋体" w:cs="宋体"/>
                <w:bCs/>
                <w:sz w:val="24"/>
              </w:rPr>
            </w:pPr>
          </w:p>
        </w:tc>
        <w:tc>
          <w:tcPr>
            <w:tcW w:w="445" w:type="dxa"/>
            <w:vMerge w:val="continue"/>
            <w:noWrap w:val="0"/>
            <w:vAlign w:val="center"/>
          </w:tcPr>
          <w:p w14:paraId="1264EB7A">
            <w:pPr>
              <w:widowControl/>
              <w:spacing w:line="240" w:lineRule="atLeast"/>
              <w:jc w:val="left"/>
              <w:rPr>
                <w:rFonts w:hint="eastAsia" w:ascii="宋体" w:hAnsi="宋体" w:eastAsia="宋体" w:cs="宋体"/>
                <w:bCs/>
                <w:sz w:val="24"/>
              </w:rPr>
            </w:pPr>
          </w:p>
        </w:tc>
        <w:tc>
          <w:tcPr>
            <w:tcW w:w="5836" w:type="dxa"/>
            <w:noWrap w:val="0"/>
            <w:vAlign w:val="center"/>
          </w:tcPr>
          <w:p w14:paraId="1D0B42E6">
            <w:pPr>
              <w:widowControl/>
              <w:spacing w:line="240" w:lineRule="atLeast"/>
              <w:jc w:val="left"/>
              <w:rPr>
                <w:rFonts w:hint="eastAsia" w:ascii="宋体" w:hAnsi="宋体" w:eastAsia="宋体" w:cs="宋体"/>
                <w:bCs/>
                <w:sz w:val="24"/>
              </w:rPr>
            </w:pPr>
            <w:r>
              <w:rPr>
                <w:rFonts w:hint="eastAsia" w:ascii="宋体" w:hAnsi="宋体" w:eastAsia="宋体" w:cs="宋体"/>
                <w:bCs/>
                <w:sz w:val="24"/>
              </w:rPr>
              <w:t>根据项目组成员的专业配备是否合理、人员数量投入是否充分、从业经验是否丰富等情况综合评定。</w:t>
            </w:r>
          </w:p>
        </w:tc>
        <w:tc>
          <w:tcPr>
            <w:tcW w:w="729" w:type="dxa"/>
            <w:noWrap w:val="0"/>
            <w:vAlign w:val="center"/>
          </w:tcPr>
          <w:p w14:paraId="3643CB71">
            <w:pPr>
              <w:spacing w:before="120" w:after="120" w:line="240" w:lineRule="atLeast"/>
              <w:jc w:val="center"/>
              <w:rPr>
                <w:rFonts w:hint="eastAsia" w:ascii="宋体" w:hAnsi="宋体" w:eastAsia="宋体" w:cs="宋体"/>
                <w:bCs/>
                <w:sz w:val="24"/>
              </w:rPr>
            </w:pPr>
            <w:r>
              <w:rPr>
                <w:rFonts w:hint="eastAsia" w:ascii="宋体" w:hAnsi="宋体" w:eastAsia="宋体" w:cs="宋体"/>
                <w:bCs/>
                <w:sz w:val="24"/>
                <w:lang w:val="en-US" w:eastAsia="zh-CN"/>
              </w:rPr>
              <w:t>0-</w:t>
            </w:r>
            <w:r>
              <w:rPr>
                <w:rFonts w:hint="eastAsia" w:ascii="宋体" w:hAnsi="宋体" w:eastAsia="宋体" w:cs="宋体"/>
                <w:bCs/>
                <w:sz w:val="24"/>
              </w:rPr>
              <w:t>5</w:t>
            </w:r>
          </w:p>
        </w:tc>
        <w:tc>
          <w:tcPr>
            <w:tcW w:w="1014" w:type="dxa"/>
            <w:noWrap w:val="0"/>
            <w:vAlign w:val="center"/>
          </w:tcPr>
          <w:p w14:paraId="16472315">
            <w:pPr>
              <w:spacing w:line="240" w:lineRule="atLeast"/>
              <w:jc w:val="center"/>
              <w:rPr>
                <w:rFonts w:hint="eastAsia" w:ascii="宋体" w:hAnsi="宋体" w:eastAsia="宋体" w:cs="宋体"/>
                <w:bCs/>
                <w:sz w:val="24"/>
              </w:rPr>
            </w:pPr>
            <w:r>
              <w:rPr>
                <w:rFonts w:hint="eastAsia" w:ascii="宋体" w:hAnsi="宋体" w:eastAsia="宋体" w:cs="宋体"/>
                <w:bCs/>
                <w:sz w:val="24"/>
              </w:rPr>
              <w:t>主观分</w:t>
            </w:r>
          </w:p>
        </w:tc>
      </w:tr>
      <w:tr w14:paraId="2603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220" w:type="dxa"/>
            <w:vMerge w:val="continue"/>
            <w:noWrap w:val="0"/>
            <w:vAlign w:val="top"/>
          </w:tcPr>
          <w:p w14:paraId="3A45CFB5">
            <w:pPr>
              <w:spacing w:line="400" w:lineRule="exact"/>
              <w:jc w:val="center"/>
              <w:rPr>
                <w:rFonts w:hint="eastAsia" w:ascii="宋体" w:hAnsi="宋体" w:eastAsia="宋体" w:cs="宋体"/>
                <w:sz w:val="24"/>
              </w:rPr>
            </w:pPr>
          </w:p>
        </w:tc>
        <w:tc>
          <w:tcPr>
            <w:tcW w:w="586" w:type="dxa"/>
            <w:noWrap w:val="0"/>
            <w:vAlign w:val="center"/>
          </w:tcPr>
          <w:p w14:paraId="2F954FEC">
            <w:pPr>
              <w:spacing w:line="240" w:lineRule="atLeast"/>
              <w:jc w:val="center"/>
              <w:rPr>
                <w:rFonts w:hint="eastAsia" w:ascii="宋体" w:hAnsi="宋体" w:eastAsia="宋体" w:cs="宋体"/>
                <w:lang w:val="en-US" w:eastAsia="zh-CN"/>
              </w:rPr>
            </w:pPr>
            <w:r>
              <w:rPr>
                <w:rFonts w:hint="eastAsia" w:ascii="宋体" w:hAnsi="宋体" w:eastAsia="宋体" w:cs="宋体"/>
                <w:lang w:val="en-US" w:eastAsia="zh-CN"/>
              </w:rPr>
              <w:t>11</w:t>
            </w:r>
          </w:p>
        </w:tc>
        <w:tc>
          <w:tcPr>
            <w:tcW w:w="6281" w:type="dxa"/>
            <w:gridSpan w:val="2"/>
            <w:noWrap w:val="0"/>
            <w:vAlign w:val="center"/>
          </w:tcPr>
          <w:p w14:paraId="7A1EB109">
            <w:pPr>
              <w:widowControl/>
              <w:spacing w:line="240" w:lineRule="atLeast"/>
              <w:jc w:val="left"/>
              <w:rPr>
                <w:rFonts w:hint="eastAsia" w:ascii="宋体" w:hAnsi="宋体" w:eastAsia="宋体" w:cs="宋体"/>
                <w:bCs/>
                <w:sz w:val="24"/>
                <w:lang w:val="zh-CN" w:eastAsia="zh-CN"/>
              </w:rPr>
            </w:pPr>
            <w:r>
              <w:rPr>
                <w:rFonts w:hint="eastAsia" w:ascii="宋体" w:hAnsi="宋体" w:eastAsia="宋体" w:cs="宋体"/>
                <w:bCs/>
                <w:sz w:val="24"/>
                <w:lang w:val="en-US" w:eastAsia="zh-CN"/>
              </w:rPr>
              <w:t>突发事件应急保障及相应情况：</w:t>
            </w:r>
            <w:r>
              <w:rPr>
                <w:rFonts w:hint="eastAsia" w:ascii="宋体" w:hAnsi="宋体" w:eastAsia="宋体" w:cs="宋体"/>
                <w:bCs/>
                <w:sz w:val="24"/>
                <w:lang w:eastAsia="zh-CN"/>
              </w:rPr>
              <w:t>供应商</w:t>
            </w:r>
            <w:r>
              <w:rPr>
                <w:rFonts w:hint="eastAsia" w:ascii="宋体" w:hAnsi="宋体" w:eastAsia="宋体" w:cs="宋体"/>
                <w:bCs/>
                <w:sz w:val="24"/>
                <w:lang w:val="en-US" w:eastAsia="zh-CN"/>
              </w:rPr>
              <w:t>提供的相关应急预案，包含针对可能出现的各项突发情况</w:t>
            </w:r>
            <w:r>
              <w:rPr>
                <w:rFonts w:hint="eastAsia" w:ascii="宋体" w:hAnsi="宋体" w:eastAsia="宋体" w:cs="宋体"/>
                <w:bCs/>
                <w:sz w:val="24"/>
              </w:rPr>
              <w:t>（如人员变动）</w:t>
            </w:r>
            <w:r>
              <w:rPr>
                <w:rFonts w:hint="eastAsia" w:ascii="宋体" w:hAnsi="宋体" w:eastAsia="宋体" w:cs="宋体"/>
                <w:bCs/>
                <w:sz w:val="24"/>
                <w:lang w:val="en-US" w:eastAsia="zh-CN"/>
              </w:rPr>
              <w:t>）应对措施综合评定对比打分</w:t>
            </w:r>
            <w:r>
              <w:rPr>
                <w:rFonts w:hint="eastAsia" w:ascii="宋体" w:hAnsi="宋体" w:eastAsia="宋体" w:cs="宋体"/>
                <w:bCs/>
                <w:sz w:val="24"/>
              </w:rPr>
              <w:t>（方案详细完善的得</w:t>
            </w:r>
            <w:r>
              <w:rPr>
                <w:rFonts w:hint="eastAsia" w:ascii="宋体" w:hAnsi="宋体" w:eastAsia="宋体" w:cs="宋体"/>
                <w:bCs/>
                <w:sz w:val="24"/>
                <w:lang w:val="en-US" w:eastAsia="zh-CN"/>
              </w:rPr>
              <w:t>4.8-7</w:t>
            </w:r>
            <w:r>
              <w:rPr>
                <w:rFonts w:hint="eastAsia" w:ascii="宋体" w:hAnsi="宋体" w:eastAsia="宋体" w:cs="宋体"/>
                <w:bCs/>
                <w:sz w:val="24"/>
              </w:rPr>
              <w:t>分，方案较详细完善的得</w:t>
            </w:r>
            <w:r>
              <w:rPr>
                <w:rFonts w:hint="eastAsia" w:ascii="宋体" w:hAnsi="宋体" w:eastAsia="宋体" w:cs="宋体"/>
                <w:bCs/>
                <w:sz w:val="24"/>
                <w:lang w:val="en-US" w:eastAsia="zh-CN"/>
              </w:rPr>
              <w:t>2.4</w:t>
            </w:r>
            <w:r>
              <w:rPr>
                <w:rFonts w:hint="eastAsia" w:ascii="宋体" w:hAnsi="宋体" w:eastAsia="宋体" w:cs="宋体"/>
                <w:bCs/>
                <w:sz w:val="24"/>
              </w:rPr>
              <w:t>-</w:t>
            </w:r>
            <w:r>
              <w:rPr>
                <w:rFonts w:hint="eastAsia" w:ascii="宋体" w:hAnsi="宋体" w:eastAsia="宋体" w:cs="宋体"/>
                <w:bCs/>
                <w:sz w:val="24"/>
                <w:lang w:val="en-US" w:eastAsia="zh-CN"/>
              </w:rPr>
              <w:t>4.7</w:t>
            </w:r>
            <w:r>
              <w:rPr>
                <w:rFonts w:hint="eastAsia" w:ascii="宋体" w:hAnsi="宋体" w:eastAsia="宋体" w:cs="宋体"/>
                <w:bCs/>
                <w:sz w:val="24"/>
              </w:rPr>
              <w:t>分，方案不够详细完善的得0-</w:t>
            </w:r>
            <w:r>
              <w:rPr>
                <w:rFonts w:hint="eastAsia" w:ascii="宋体" w:hAnsi="宋体" w:eastAsia="宋体" w:cs="宋体"/>
                <w:bCs/>
                <w:sz w:val="24"/>
                <w:lang w:val="en-US" w:eastAsia="zh-CN"/>
              </w:rPr>
              <w:t>2.3</w:t>
            </w:r>
            <w:r>
              <w:rPr>
                <w:rFonts w:hint="eastAsia" w:ascii="宋体" w:hAnsi="宋体" w:eastAsia="宋体" w:cs="宋体"/>
                <w:bCs/>
                <w:sz w:val="24"/>
              </w:rPr>
              <w:t>分）</w:t>
            </w:r>
          </w:p>
        </w:tc>
        <w:tc>
          <w:tcPr>
            <w:tcW w:w="729" w:type="dxa"/>
            <w:noWrap w:val="0"/>
            <w:vAlign w:val="center"/>
          </w:tcPr>
          <w:p w14:paraId="19EEB4FD">
            <w:pPr>
              <w:keepNext w:val="0"/>
              <w:keepLines w:val="0"/>
              <w:pageBreakBefore w:val="0"/>
              <w:widowControl w:val="0"/>
              <w:kinsoku/>
              <w:wordWrap/>
              <w:overflowPunct/>
              <w:topLinePunct w:val="0"/>
              <w:autoSpaceDE/>
              <w:autoSpaceDN/>
              <w:bidi w:val="0"/>
              <w:adjustRightInd w:val="0"/>
              <w:snapToGrid/>
              <w:spacing w:line="264"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0-7</w:t>
            </w:r>
          </w:p>
        </w:tc>
        <w:tc>
          <w:tcPr>
            <w:tcW w:w="1014" w:type="dxa"/>
            <w:noWrap w:val="0"/>
            <w:vAlign w:val="center"/>
          </w:tcPr>
          <w:p w14:paraId="77787397">
            <w:pPr>
              <w:spacing w:line="240" w:lineRule="atLeast"/>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rPr>
              <w:t>主观分</w:t>
            </w:r>
          </w:p>
        </w:tc>
      </w:tr>
      <w:tr w14:paraId="588A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20" w:type="dxa"/>
            <w:vMerge w:val="continue"/>
            <w:noWrap w:val="0"/>
            <w:vAlign w:val="top"/>
          </w:tcPr>
          <w:p w14:paraId="19CDD70C">
            <w:pPr>
              <w:spacing w:line="400" w:lineRule="exact"/>
              <w:jc w:val="center"/>
              <w:rPr>
                <w:rFonts w:hint="eastAsia" w:ascii="宋体" w:hAnsi="宋体" w:eastAsia="宋体" w:cs="宋体"/>
                <w:sz w:val="24"/>
              </w:rPr>
            </w:pPr>
          </w:p>
        </w:tc>
        <w:tc>
          <w:tcPr>
            <w:tcW w:w="586" w:type="dxa"/>
            <w:noWrap w:val="0"/>
            <w:vAlign w:val="center"/>
          </w:tcPr>
          <w:p w14:paraId="773E6574">
            <w:pPr>
              <w:spacing w:line="240" w:lineRule="atLeas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12</w:t>
            </w:r>
          </w:p>
        </w:tc>
        <w:tc>
          <w:tcPr>
            <w:tcW w:w="6281" w:type="dxa"/>
            <w:gridSpan w:val="2"/>
            <w:noWrap w:val="0"/>
            <w:vAlign w:val="center"/>
          </w:tcPr>
          <w:p w14:paraId="664318C5">
            <w:pPr>
              <w:widowControl/>
              <w:spacing w:line="240" w:lineRule="atLeast"/>
              <w:jc w:val="left"/>
              <w:rPr>
                <w:rFonts w:hint="eastAsia" w:ascii="宋体" w:hAnsi="宋体" w:eastAsia="宋体" w:cs="宋体"/>
                <w:bCs/>
                <w:sz w:val="24"/>
              </w:rPr>
            </w:pPr>
            <w:r>
              <w:rPr>
                <w:rFonts w:hint="eastAsia" w:ascii="宋体" w:hAnsi="宋体" w:eastAsia="宋体" w:cs="宋体"/>
                <w:bCs/>
                <w:sz w:val="24"/>
              </w:rPr>
              <w:t>根据供应商针对本项目提供的项目档案管理方案等情况综合评定。</w:t>
            </w:r>
          </w:p>
          <w:p w14:paraId="74CFB83F">
            <w:pPr>
              <w:widowControl/>
              <w:spacing w:line="240" w:lineRule="atLeast"/>
              <w:jc w:val="left"/>
              <w:rPr>
                <w:rFonts w:hint="eastAsia" w:ascii="宋体" w:hAnsi="宋体" w:eastAsia="宋体" w:cs="宋体"/>
                <w:bCs/>
                <w:sz w:val="24"/>
                <w:lang w:val="en-US" w:eastAsia="zh-CN"/>
              </w:rPr>
            </w:pPr>
            <w:r>
              <w:rPr>
                <w:rFonts w:hint="eastAsia" w:ascii="宋体" w:hAnsi="宋体" w:eastAsia="宋体" w:cs="宋体"/>
                <w:bCs/>
                <w:sz w:val="24"/>
              </w:rPr>
              <w:t>（方案详细完善的得3.4-5分，方案较详细完善的1.7-3.3分，方案不够详细完善的得0-1.6分）</w:t>
            </w:r>
          </w:p>
        </w:tc>
        <w:tc>
          <w:tcPr>
            <w:tcW w:w="729" w:type="dxa"/>
            <w:noWrap w:val="0"/>
            <w:vAlign w:val="center"/>
          </w:tcPr>
          <w:p w14:paraId="1E12A679">
            <w:pPr>
              <w:spacing w:line="240" w:lineRule="atLeast"/>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lang w:val="en-US" w:eastAsia="zh-CN"/>
              </w:rPr>
              <w:t>0-5</w:t>
            </w:r>
          </w:p>
        </w:tc>
        <w:tc>
          <w:tcPr>
            <w:tcW w:w="1014" w:type="dxa"/>
            <w:noWrap w:val="0"/>
            <w:vAlign w:val="center"/>
          </w:tcPr>
          <w:p w14:paraId="43F134B1">
            <w:pPr>
              <w:spacing w:line="240" w:lineRule="atLeast"/>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rPr>
              <w:t>主观分</w:t>
            </w:r>
          </w:p>
        </w:tc>
      </w:tr>
      <w:tr w14:paraId="684A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20" w:type="dxa"/>
            <w:vMerge w:val="continue"/>
            <w:noWrap w:val="0"/>
            <w:vAlign w:val="top"/>
          </w:tcPr>
          <w:p w14:paraId="62FC6F34">
            <w:pPr>
              <w:spacing w:line="400" w:lineRule="exact"/>
              <w:jc w:val="center"/>
              <w:rPr>
                <w:rFonts w:hint="eastAsia" w:ascii="宋体" w:hAnsi="宋体" w:eastAsia="宋体" w:cs="宋体"/>
                <w:sz w:val="24"/>
              </w:rPr>
            </w:pPr>
          </w:p>
        </w:tc>
        <w:tc>
          <w:tcPr>
            <w:tcW w:w="586" w:type="dxa"/>
            <w:noWrap w:val="0"/>
            <w:vAlign w:val="center"/>
          </w:tcPr>
          <w:p w14:paraId="7E2098A3">
            <w:pPr>
              <w:widowControl/>
              <w:spacing w:line="240" w:lineRule="atLeas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13</w:t>
            </w:r>
          </w:p>
        </w:tc>
        <w:tc>
          <w:tcPr>
            <w:tcW w:w="6281" w:type="dxa"/>
            <w:gridSpan w:val="2"/>
            <w:noWrap w:val="0"/>
            <w:vAlign w:val="center"/>
          </w:tcPr>
          <w:p w14:paraId="15DA80BF">
            <w:pPr>
              <w:widowControl/>
              <w:spacing w:line="240" w:lineRule="atLeast"/>
              <w:jc w:val="left"/>
              <w:rPr>
                <w:rFonts w:hint="eastAsia" w:ascii="宋体" w:hAnsi="宋体" w:eastAsia="宋体" w:cs="宋体"/>
                <w:bCs/>
                <w:sz w:val="24"/>
                <w:lang w:val="zh-CN"/>
              </w:rPr>
            </w:pPr>
            <w:r>
              <w:rPr>
                <w:rFonts w:hint="eastAsia" w:ascii="宋体" w:hAnsi="宋体" w:eastAsia="宋体" w:cs="宋体"/>
                <w:bCs/>
                <w:sz w:val="24"/>
                <w:lang w:val="zh-CN"/>
              </w:rPr>
              <w:t>服务承诺：根据售后服务方案、措施、响应及本地化服务能力等情况综合评定</w:t>
            </w:r>
          </w:p>
          <w:p w14:paraId="55A919F9">
            <w:pPr>
              <w:widowControl/>
              <w:spacing w:line="240" w:lineRule="atLeast"/>
              <w:jc w:val="left"/>
              <w:rPr>
                <w:rFonts w:hint="eastAsia" w:ascii="宋体" w:hAnsi="宋体" w:eastAsia="宋体" w:cs="宋体"/>
                <w:bCs/>
                <w:sz w:val="24"/>
              </w:rPr>
            </w:pPr>
            <w:r>
              <w:rPr>
                <w:rFonts w:hint="eastAsia" w:ascii="宋体" w:hAnsi="宋体" w:eastAsia="宋体" w:cs="宋体"/>
                <w:bCs/>
                <w:sz w:val="24"/>
              </w:rPr>
              <w:t>（方案详细完善的得3.4-5分，方案较详细完善的1.7-3.3分，方案不够详细完善的得0-1.6分）</w:t>
            </w:r>
          </w:p>
        </w:tc>
        <w:tc>
          <w:tcPr>
            <w:tcW w:w="729" w:type="dxa"/>
            <w:noWrap w:val="0"/>
            <w:vAlign w:val="center"/>
          </w:tcPr>
          <w:p w14:paraId="3921B9A4">
            <w:pPr>
              <w:spacing w:line="240" w:lineRule="atLeast"/>
              <w:jc w:val="center"/>
              <w:rPr>
                <w:rFonts w:hint="eastAsia" w:ascii="宋体" w:hAnsi="宋体" w:eastAsia="宋体" w:cs="宋体"/>
                <w:bCs/>
                <w:smallCaps/>
                <w:sz w:val="24"/>
                <w:lang w:val="en-US" w:eastAsia="zh-CN"/>
              </w:rPr>
            </w:pPr>
            <w:r>
              <w:rPr>
                <w:rFonts w:hint="eastAsia" w:ascii="宋体" w:hAnsi="宋体" w:eastAsia="宋体" w:cs="宋体"/>
                <w:bCs/>
                <w:sz w:val="24"/>
                <w:lang w:val="en-US" w:eastAsia="zh-CN"/>
              </w:rPr>
              <w:t>0-5</w:t>
            </w:r>
          </w:p>
        </w:tc>
        <w:tc>
          <w:tcPr>
            <w:tcW w:w="1014" w:type="dxa"/>
            <w:noWrap w:val="0"/>
            <w:vAlign w:val="center"/>
          </w:tcPr>
          <w:p w14:paraId="40A4FF38">
            <w:pPr>
              <w:spacing w:line="240" w:lineRule="atLeast"/>
              <w:jc w:val="center"/>
              <w:rPr>
                <w:rFonts w:hint="eastAsia" w:ascii="宋体" w:hAnsi="宋体" w:eastAsia="宋体" w:cs="宋体"/>
                <w:bCs/>
                <w:smallCaps/>
                <w:sz w:val="24"/>
              </w:rPr>
            </w:pPr>
            <w:r>
              <w:rPr>
                <w:rFonts w:hint="eastAsia" w:ascii="宋体" w:hAnsi="宋体" w:eastAsia="宋体" w:cs="宋体"/>
                <w:bCs/>
                <w:sz w:val="24"/>
              </w:rPr>
              <w:t>主观分</w:t>
            </w:r>
          </w:p>
        </w:tc>
      </w:tr>
      <w:tr w14:paraId="74EF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20" w:type="dxa"/>
            <w:vMerge w:val="continue"/>
            <w:noWrap w:val="0"/>
            <w:vAlign w:val="top"/>
          </w:tcPr>
          <w:p w14:paraId="7B74889C">
            <w:pPr>
              <w:spacing w:line="400" w:lineRule="exact"/>
              <w:jc w:val="center"/>
              <w:rPr>
                <w:rFonts w:hint="eastAsia" w:ascii="宋体" w:hAnsi="宋体" w:eastAsia="宋体" w:cs="宋体"/>
                <w:sz w:val="24"/>
              </w:rPr>
            </w:pPr>
          </w:p>
        </w:tc>
        <w:tc>
          <w:tcPr>
            <w:tcW w:w="586" w:type="dxa"/>
            <w:noWrap w:val="0"/>
            <w:vAlign w:val="center"/>
          </w:tcPr>
          <w:p w14:paraId="638344C9">
            <w:pPr>
              <w:widowControl/>
              <w:spacing w:line="240" w:lineRule="atLeas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14</w:t>
            </w:r>
          </w:p>
        </w:tc>
        <w:tc>
          <w:tcPr>
            <w:tcW w:w="6281" w:type="dxa"/>
            <w:gridSpan w:val="2"/>
            <w:noWrap w:val="0"/>
            <w:vAlign w:val="center"/>
          </w:tcPr>
          <w:p w14:paraId="2C01B4A4">
            <w:pPr>
              <w:widowControl/>
              <w:spacing w:line="240" w:lineRule="atLeast"/>
              <w:jc w:val="left"/>
              <w:rPr>
                <w:rFonts w:hint="eastAsia" w:ascii="宋体" w:hAnsi="宋体" w:eastAsia="宋体" w:cs="宋体"/>
                <w:bCs/>
                <w:sz w:val="24"/>
              </w:rPr>
            </w:pPr>
            <w:r>
              <w:rPr>
                <w:rFonts w:hint="eastAsia" w:ascii="宋体" w:hAnsi="宋体" w:eastAsia="宋体" w:cs="宋体"/>
                <w:bCs/>
                <w:sz w:val="24"/>
              </w:rPr>
              <w:t>服务质量保证情况：根据质保期限、可实现程度、提供优惠等情况综合评定。</w:t>
            </w:r>
          </w:p>
          <w:p w14:paraId="04666356">
            <w:pPr>
              <w:widowControl/>
              <w:spacing w:line="240" w:lineRule="atLeast"/>
              <w:jc w:val="left"/>
              <w:rPr>
                <w:rFonts w:hint="eastAsia" w:ascii="宋体" w:hAnsi="宋体" w:eastAsia="宋体" w:cs="宋体"/>
                <w:bCs/>
                <w:sz w:val="24"/>
                <w:lang w:val="zh-CN" w:eastAsia="zh-CN"/>
              </w:rPr>
            </w:pPr>
            <w:r>
              <w:rPr>
                <w:rFonts w:hint="eastAsia" w:ascii="宋体" w:hAnsi="宋体" w:eastAsia="宋体" w:cs="宋体"/>
                <w:bCs/>
                <w:sz w:val="24"/>
              </w:rPr>
              <w:t>（方案详细完善的得3.4-5分，方案较详细完善的1.7-3.3分，方案不够详细完善的得0-1.6分）</w:t>
            </w:r>
          </w:p>
        </w:tc>
        <w:tc>
          <w:tcPr>
            <w:tcW w:w="729" w:type="dxa"/>
            <w:noWrap w:val="0"/>
            <w:vAlign w:val="center"/>
          </w:tcPr>
          <w:p w14:paraId="2B873FEB">
            <w:pPr>
              <w:spacing w:line="240" w:lineRule="atLeast"/>
              <w:jc w:val="center"/>
              <w:rPr>
                <w:rFonts w:hint="eastAsia" w:ascii="宋体" w:hAnsi="宋体" w:eastAsia="宋体" w:cs="宋体"/>
                <w:bCs/>
                <w:smallCaps/>
                <w:kern w:val="2"/>
                <w:sz w:val="24"/>
                <w:szCs w:val="24"/>
                <w:lang w:val="en-US" w:eastAsia="zh-CN" w:bidi="ar-SA"/>
              </w:rPr>
            </w:pPr>
            <w:r>
              <w:rPr>
                <w:rFonts w:hint="eastAsia" w:ascii="宋体" w:hAnsi="宋体" w:eastAsia="宋体" w:cs="宋体"/>
                <w:bCs/>
                <w:sz w:val="24"/>
                <w:lang w:val="en-US" w:eastAsia="zh-CN"/>
              </w:rPr>
              <w:t>0-</w:t>
            </w:r>
            <w:r>
              <w:rPr>
                <w:rFonts w:hint="eastAsia" w:ascii="宋体" w:hAnsi="宋体" w:eastAsia="宋体" w:cs="宋体"/>
                <w:bCs/>
                <w:sz w:val="24"/>
              </w:rPr>
              <w:t>5</w:t>
            </w:r>
          </w:p>
        </w:tc>
        <w:tc>
          <w:tcPr>
            <w:tcW w:w="1014" w:type="dxa"/>
            <w:noWrap w:val="0"/>
            <w:vAlign w:val="center"/>
          </w:tcPr>
          <w:p w14:paraId="7874786E">
            <w:pPr>
              <w:spacing w:line="240" w:lineRule="atLeast"/>
              <w:jc w:val="center"/>
              <w:rPr>
                <w:rFonts w:hint="eastAsia" w:ascii="宋体" w:hAnsi="宋体" w:eastAsia="宋体" w:cs="宋体"/>
                <w:bCs/>
                <w:smallCaps/>
                <w:kern w:val="2"/>
                <w:sz w:val="24"/>
                <w:szCs w:val="24"/>
                <w:lang w:val="en-US" w:eastAsia="zh-CN" w:bidi="ar-SA"/>
              </w:rPr>
            </w:pPr>
            <w:r>
              <w:rPr>
                <w:rFonts w:hint="eastAsia" w:ascii="宋体" w:hAnsi="宋体" w:eastAsia="宋体" w:cs="宋体"/>
                <w:bCs/>
                <w:smallCaps/>
                <w:sz w:val="24"/>
              </w:rPr>
              <w:t>主观分</w:t>
            </w:r>
          </w:p>
        </w:tc>
      </w:tr>
      <w:tr w14:paraId="4822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0" w:type="dxa"/>
            <w:vMerge w:val="continue"/>
            <w:noWrap w:val="0"/>
            <w:vAlign w:val="top"/>
          </w:tcPr>
          <w:p w14:paraId="1DEF991C">
            <w:pPr>
              <w:spacing w:line="240" w:lineRule="atLeast"/>
              <w:rPr>
                <w:rFonts w:hint="eastAsia" w:ascii="宋体" w:hAnsi="宋体" w:eastAsia="宋体" w:cs="宋体"/>
                <w:bCs/>
                <w:sz w:val="24"/>
              </w:rPr>
            </w:pPr>
          </w:p>
        </w:tc>
        <w:tc>
          <w:tcPr>
            <w:tcW w:w="586" w:type="dxa"/>
            <w:noWrap w:val="0"/>
            <w:vAlign w:val="center"/>
          </w:tcPr>
          <w:p w14:paraId="23A091FE">
            <w:pPr>
              <w:spacing w:line="240" w:lineRule="atLeas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15</w:t>
            </w:r>
          </w:p>
        </w:tc>
        <w:tc>
          <w:tcPr>
            <w:tcW w:w="6281" w:type="dxa"/>
            <w:gridSpan w:val="2"/>
            <w:noWrap w:val="0"/>
            <w:vAlign w:val="center"/>
          </w:tcPr>
          <w:p w14:paraId="59AF3F24">
            <w:pPr>
              <w:widowControl/>
              <w:spacing w:line="240" w:lineRule="atLeast"/>
              <w:jc w:val="left"/>
              <w:rPr>
                <w:rFonts w:hint="eastAsia" w:ascii="宋体" w:hAnsi="宋体" w:eastAsia="宋体" w:cs="宋体"/>
                <w:bCs/>
                <w:sz w:val="24"/>
              </w:rPr>
            </w:pPr>
            <w:r>
              <w:rPr>
                <w:rFonts w:hint="eastAsia" w:ascii="宋体" w:hAnsi="宋体" w:eastAsia="宋体" w:cs="宋体"/>
                <w:bCs/>
                <w:sz w:val="24"/>
              </w:rPr>
              <w:t>合理化建议：根据本项目情况提出合理化、优化的建议。</w:t>
            </w:r>
          </w:p>
          <w:p w14:paraId="3C3BB45D">
            <w:pPr>
              <w:widowControl/>
              <w:spacing w:line="240" w:lineRule="atLeast"/>
              <w:jc w:val="left"/>
              <w:rPr>
                <w:rFonts w:hint="eastAsia" w:ascii="宋体" w:hAnsi="宋体" w:eastAsia="宋体" w:cs="宋体"/>
                <w:bCs/>
                <w:sz w:val="24"/>
                <w:lang w:val="en-US" w:eastAsia="zh-CN"/>
              </w:rPr>
            </w:pPr>
            <w:r>
              <w:rPr>
                <w:rFonts w:hint="eastAsia" w:ascii="宋体" w:hAnsi="宋体" w:eastAsia="宋体" w:cs="宋体"/>
                <w:bCs/>
                <w:sz w:val="24"/>
              </w:rPr>
              <w:t>（方案详细完善的得3.4-5分，方案较详细完善的1.7-3.3分，方案不够详细完善的得0-1.6分）</w:t>
            </w:r>
          </w:p>
        </w:tc>
        <w:tc>
          <w:tcPr>
            <w:tcW w:w="729" w:type="dxa"/>
            <w:noWrap w:val="0"/>
            <w:vAlign w:val="center"/>
          </w:tcPr>
          <w:p w14:paraId="6981CF64">
            <w:pPr>
              <w:spacing w:line="240" w:lineRule="atLeast"/>
              <w:jc w:val="center"/>
              <w:rPr>
                <w:rFonts w:hint="eastAsia" w:ascii="宋体" w:hAnsi="宋体" w:eastAsia="宋体" w:cs="宋体"/>
                <w:bCs/>
                <w:smallCaps/>
                <w:kern w:val="2"/>
                <w:sz w:val="24"/>
                <w:szCs w:val="24"/>
                <w:lang w:val="en-US" w:eastAsia="zh-CN" w:bidi="ar-SA"/>
              </w:rPr>
            </w:pPr>
            <w:r>
              <w:rPr>
                <w:rFonts w:hint="eastAsia" w:ascii="宋体" w:hAnsi="宋体" w:eastAsia="宋体" w:cs="宋体"/>
                <w:bCs/>
                <w:sz w:val="24"/>
                <w:lang w:val="en-US" w:eastAsia="zh-CN"/>
              </w:rPr>
              <w:t>0-5</w:t>
            </w:r>
          </w:p>
        </w:tc>
        <w:tc>
          <w:tcPr>
            <w:tcW w:w="1014" w:type="dxa"/>
            <w:noWrap w:val="0"/>
            <w:vAlign w:val="center"/>
          </w:tcPr>
          <w:p w14:paraId="3B9E955E">
            <w:pPr>
              <w:spacing w:line="240" w:lineRule="atLeast"/>
              <w:jc w:val="center"/>
              <w:rPr>
                <w:rFonts w:hint="eastAsia" w:ascii="宋体" w:hAnsi="宋体" w:eastAsia="宋体" w:cs="宋体"/>
                <w:bCs/>
                <w:smallCaps/>
                <w:kern w:val="2"/>
                <w:sz w:val="24"/>
                <w:szCs w:val="24"/>
                <w:lang w:val="en-US" w:eastAsia="zh-CN" w:bidi="ar-SA"/>
              </w:rPr>
            </w:pPr>
            <w:r>
              <w:rPr>
                <w:rFonts w:hint="eastAsia" w:ascii="宋体" w:hAnsi="宋体" w:eastAsia="宋体" w:cs="宋体"/>
                <w:bCs/>
                <w:sz w:val="24"/>
              </w:rPr>
              <w:t>主观分</w:t>
            </w:r>
          </w:p>
        </w:tc>
      </w:tr>
    </w:tbl>
    <w:p w14:paraId="6AC929F4">
      <w:pPr>
        <w:keepNext w:val="0"/>
        <w:keepLines w:val="0"/>
        <w:pageBreakBefore w:val="0"/>
        <w:kinsoku/>
        <w:wordWrap/>
        <w:overflowPunct/>
        <w:topLinePunct w:val="0"/>
        <w:autoSpaceDE/>
        <w:autoSpaceDN/>
        <w:bidi w:val="0"/>
        <w:snapToGrid w:val="0"/>
        <w:spacing w:line="360" w:lineRule="atLeast"/>
        <w:textAlignment w:val="auto"/>
        <w:outlineLvl w:val="9"/>
        <w:rPr>
          <w:rFonts w:hint="eastAsia" w:ascii="宋体" w:hAnsi="宋体" w:eastAsia="宋体" w:cs="宋体"/>
          <w:color w:val="auto"/>
          <w:kern w:val="2"/>
          <w:sz w:val="24"/>
          <w:szCs w:val="24"/>
          <w:highlight w:val="none"/>
          <w:lang w:val="en-US" w:eastAsia="zh-CN" w:bidi="ar-SA"/>
        </w:rPr>
      </w:pPr>
    </w:p>
    <w:p w14:paraId="6505558B">
      <w:pPr>
        <w:keepNext w:val="0"/>
        <w:keepLines w:val="0"/>
        <w:pageBreakBefore w:val="0"/>
        <w:kinsoku/>
        <w:wordWrap/>
        <w:overflowPunct/>
        <w:topLinePunct w:val="0"/>
        <w:autoSpaceDE/>
        <w:autoSpaceDN/>
        <w:bidi w:val="0"/>
        <w:snapToGrid w:val="0"/>
        <w:spacing w:line="360" w:lineRule="atLeas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价格分（15分）</w:t>
      </w:r>
    </w:p>
    <w:tbl>
      <w:tblPr>
        <w:tblStyle w:val="65"/>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126"/>
        <w:gridCol w:w="5953"/>
      </w:tblGrid>
      <w:tr w14:paraId="4A2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62" w:type="dxa"/>
            <w:vAlign w:val="center"/>
          </w:tcPr>
          <w:p w14:paraId="61F0820B">
            <w:pPr>
              <w:pStyle w:val="26"/>
              <w:keepNext w:val="0"/>
              <w:keepLines w:val="0"/>
              <w:pageBreakBefore w:val="0"/>
              <w:kinsoku/>
              <w:wordWrap/>
              <w:overflowPunct/>
              <w:topLinePunct w:val="0"/>
              <w:autoSpaceDE/>
              <w:autoSpaceDN/>
              <w:bidi w:val="0"/>
              <w:adjustRightInd w:val="0"/>
              <w:snapToGrid w:val="0"/>
              <w:spacing w:line="360" w:lineRule="atLeast"/>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价格分（15分）</w:t>
            </w:r>
          </w:p>
        </w:tc>
        <w:tc>
          <w:tcPr>
            <w:tcW w:w="2126" w:type="dxa"/>
            <w:vAlign w:val="center"/>
          </w:tcPr>
          <w:p w14:paraId="1312AA82">
            <w:pPr>
              <w:pStyle w:val="26"/>
              <w:keepNext w:val="0"/>
              <w:keepLines w:val="0"/>
              <w:pageBreakBefore w:val="0"/>
              <w:kinsoku/>
              <w:wordWrap/>
              <w:overflowPunct/>
              <w:topLinePunct w:val="0"/>
              <w:autoSpaceDE/>
              <w:autoSpaceDN/>
              <w:bidi w:val="0"/>
              <w:adjustRightInd w:val="0"/>
              <w:snapToGrid w:val="0"/>
              <w:spacing w:line="360" w:lineRule="atLeast"/>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价格权值=0.15</w:t>
            </w:r>
          </w:p>
        </w:tc>
        <w:tc>
          <w:tcPr>
            <w:tcW w:w="5953" w:type="dxa"/>
            <w:vAlign w:val="center"/>
          </w:tcPr>
          <w:p w14:paraId="60E0BD2E">
            <w:pPr>
              <w:autoSpaceDE w:val="0"/>
              <w:autoSpaceDN w:val="0"/>
              <w:spacing w:line="360" w:lineRule="auto"/>
              <w:rPr>
                <w:rFonts w:hint="eastAsia" w:ascii="宋体" w:hAnsi="宋体" w:eastAsia="宋体" w:cs="宋体"/>
                <w:sz w:val="24"/>
              </w:rPr>
            </w:pPr>
            <w:r>
              <w:rPr>
                <w:rFonts w:hint="eastAsia" w:ascii="宋体" w:hAnsi="宋体" w:eastAsia="宋体" w:cs="宋体"/>
                <w:sz w:val="24"/>
              </w:rPr>
              <w:t>最低有效响应价格为评审基准价</w:t>
            </w:r>
          </w:p>
          <w:p w14:paraId="39EDD76C">
            <w:pPr>
              <w:autoSpaceDE w:val="0"/>
              <w:autoSpaceDN w:val="0"/>
              <w:spacing w:line="360" w:lineRule="auto"/>
              <w:rPr>
                <w:rFonts w:hint="eastAsia" w:ascii="宋体" w:hAnsi="宋体" w:eastAsia="宋体" w:cs="宋体"/>
                <w:sz w:val="24"/>
              </w:rPr>
            </w:pPr>
            <w:r>
              <w:rPr>
                <w:rFonts w:hint="eastAsia" w:ascii="宋体" w:hAnsi="宋体" w:eastAsia="宋体" w:cs="宋体"/>
                <w:sz w:val="24"/>
              </w:rPr>
              <w:t xml:space="preserve">响应报价得分=(评审基准价／响应报价)×价格权值×100 </w:t>
            </w:r>
          </w:p>
          <w:p w14:paraId="3500E9D6">
            <w:pPr>
              <w:keepNext w:val="0"/>
              <w:keepLines w:val="0"/>
              <w:pageBreakBefore w:val="0"/>
              <w:kinsoku/>
              <w:wordWrap/>
              <w:overflowPunct/>
              <w:topLinePunct w:val="0"/>
              <w:autoSpaceDE/>
              <w:autoSpaceDN/>
              <w:bidi w:val="0"/>
              <w:snapToGrid w:val="0"/>
              <w:spacing w:after="0" w:line="360" w:lineRule="atLeas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rPr>
              <w:t>（计算得分保留小数点后2位）</w:t>
            </w:r>
          </w:p>
        </w:tc>
      </w:tr>
    </w:tbl>
    <w:p w14:paraId="37288E36">
      <w:pPr>
        <w:widowControl/>
        <w:jc w:val="left"/>
        <w:rPr>
          <w:rFonts w:hint="eastAsia" w:asciiTheme="minorEastAsia" w:hAnsiTheme="minorEastAsia" w:eastAsiaTheme="minorEastAsia" w:cstheme="minorEastAsia"/>
          <w:b/>
          <w:bCs/>
          <w:color w:val="auto"/>
          <w:sz w:val="24"/>
          <w:highlight w:val="none"/>
        </w:rPr>
      </w:pPr>
    </w:p>
    <w:p w14:paraId="46E31E42">
      <w:pPr>
        <w:widowControl/>
        <w:spacing w:line="360" w:lineRule="auto"/>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注：1）评分条款中涉及的业绩、荣誉、人员、社保等分公司均有效。</w:t>
      </w:r>
    </w:p>
    <w:p w14:paraId="683195EF">
      <w:pPr>
        <w:widowControl/>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响应文件中如附有外文资料，必须逐一对应翻译成中文并加盖供应商公章后附在相关外文资料后面，否则外文资料不予认可。翻译的中文资料与外文资料不符的，均不予认可。翻译严重错误的，将视同提供虚假资料。</w:t>
      </w:r>
    </w:p>
    <w:p w14:paraId="66D99724">
      <w:pPr>
        <w:widowControl/>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2）供应商编制响应文件（商务技术文件部分）时，建议按此目录（序号和内容）提供评标标准相应的商务技术资料。</w:t>
      </w:r>
    </w:p>
    <w:p w14:paraId="0CCA1E97">
      <w:pP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br w:type="page"/>
      </w:r>
    </w:p>
    <w:p w14:paraId="584E0586">
      <w:pPr>
        <w:snapToGrid w:val="0"/>
        <w:spacing w:line="360" w:lineRule="auto"/>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32"/>
          <w:highlight w:val="none"/>
        </w:rPr>
        <w:t>一、评标方法</w:t>
      </w:r>
    </w:p>
    <w:p w14:paraId="59B773E1">
      <w:pPr>
        <w:adjustRightInd/>
        <w:spacing w:line="360" w:lineRule="auto"/>
        <w:ind w:firstLine="472"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1.本项目采用综合评分法。</w:t>
      </w:r>
      <w:r>
        <w:rPr>
          <w:rFonts w:hint="eastAsia" w:asciiTheme="minorEastAsia" w:hAnsiTheme="minorEastAsia" w:eastAsiaTheme="minorEastAsia" w:cstheme="minorEastAsia"/>
          <w:color w:val="auto"/>
          <w:kern w:val="0"/>
          <w:sz w:val="24"/>
          <w:highlight w:val="none"/>
        </w:rPr>
        <w:t>综合评分法，是指响应文件满足交易文件全部实质性要求，且按照评审因素的量化指标评审得分最高的供应商为成交候选人的评标方法。</w:t>
      </w:r>
    </w:p>
    <w:p w14:paraId="3D7CC033">
      <w:pPr>
        <w:adjustRightInd/>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32"/>
          <w:highlight w:val="none"/>
        </w:rPr>
        <w:t>二、评标标准</w:t>
      </w:r>
    </w:p>
    <w:p w14:paraId="0BC0E905">
      <w:pPr>
        <w:spacing w:line="360" w:lineRule="auto"/>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highlight w:val="none"/>
        </w:rPr>
        <w:t>评标标准：</w:t>
      </w:r>
      <w:r>
        <w:rPr>
          <w:rFonts w:hint="eastAsia" w:asciiTheme="minorEastAsia" w:hAnsiTheme="minorEastAsia" w:eastAsiaTheme="minorEastAsia" w:cstheme="minorEastAsia"/>
          <w:color w:val="auto"/>
          <w:kern w:val="0"/>
          <w:sz w:val="24"/>
          <w:highlight w:val="none"/>
        </w:rPr>
        <w:t>见评标办法前附表。</w:t>
      </w:r>
    </w:p>
    <w:p w14:paraId="59F654B2">
      <w:pPr>
        <w:spacing w:line="360" w:lineRule="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三、评标程序</w:t>
      </w:r>
    </w:p>
    <w:p w14:paraId="5D1A9162">
      <w:pPr>
        <w:spacing w:line="360" w:lineRule="auto"/>
        <w:ind w:firstLine="472"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3.1符合性审查。</w:t>
      </w:r>
      <w:r>
        <w:rPr>
          <w:rFonts w:hint="eastAsia" w:asciiTheme="minorEastAsia" w:hAnsiTheme="minorEastAsia" w:eastAsiaTheme="minorEastAsia" w:cstheme="minorEastAsia"/>
          <w:color w:val="auto"/>
          <w:kern w:val="0"/>
          <w:sz w:val="24"/>
          <w:highlight w:val="none"/>
        </w:rPr>
        <w:t>评标委员会应当对符合资格的供应商的响应文件进行符合性审查，以确定其是否满足交易文件的实质性要求。不满足交易文件的实质性要求的，交易无效。</w:t>
      </w:r>
    </w:p>
    <w:p w14:paraId="28AD3BCA">
      <w:pPr>
        <w:spacing w:line="360" w:lineRule="auto"/>
        <w:ind w:firstLine="472"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3.2 比较与评价。</w:t>
      </w:r>
      <w:r>
        <w:rPr>
          <w:rFonts w:hint="eastAsia" w:asciiTheme="minorEastAsia" w:hAnsiTheme="minorEastAsia" w:eastAsiaTheme="minorEastAsia" w:cstheme="minorEastAsia"/>
          <w:color w:val="auto"/>
          <w:kern w:val="0"/>
          <w:sz w:val="24"/>
          <w:highlight w:val="none"/>
        </w:rPr>
        <w:t>评标委员会应当按照交易文件中规定的评标方法和标准，对符合性审查合格的响应文件进行商务和技术评估，综合比较与评价。</w:t>
      </w:r>
    </w:p>
    <w:p w14:paraId="322A6627">
      <w:pPr>
        <w:spacing w:line="360" w:lineRule="auto"/>
        <w:ind w:firstLine="472"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3.3汇总商务技术得分。</w:t>
      </w:r>
      <w:r>
        <w:rPr>
          <w:rFonts w:hint="eastAsia" w:asciiTheme="minorEastAsia" w:hAnsiTheme="minorEastAsia" w:eastAsiaTheme="minorEastAsia" w:cstheme="minorEastAsia"/>
          <w:color w:val="auto"/>
          <w:kern w:val="0"/>
          <w:sz w:val="24"/>
          <w:highlight w:val="none"/>
        </w:rPr>
        <w:t>评标委员会各成员应当独立对每个供应商的商务和技术文件进行评价，并汇总商务技术得分情况。</w:t>
      </w:r>
    </w:p>
    <w:p w14:paraId="7EBEE698">
      <w:pPr>
        <w:spacing w:line="360" w:lineRule="auto"/>
        <w:ind w:firstLine="472" w:firstLineChars="196"/>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3.4报价评审。</w:t>
      </w:r>
    </w:p>
    <w:p w14:paraId="669DD62C">
      <w:pPr>
        <w:pStyle w:val="131"/>
        <w:spacing w:before="0"/>
        <w:ind w:firstLine="508" w:firstLineChars="212"/>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3.4.1响应文件报价出现前后不一致的，按照下列规定修正：</w:t>
      </w:r>
    </w:p>
    <w:p w14:paraId="4DEA4B70">
      <w:pPr>
        <w:pStyle w:val="131"/>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3.4.1.1响应文件中交易一览表(报价表)内容与响应文件中相应内容不一致的，以交易一览表(报价表)为准；</w:t>
      </w:r>
    </w:p>
    <w:p w14:paraId="719348FB">
      <w:pPr>
        <w:pStyle w:val="131"/>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3.4.1.2大写金额和小写金额不一致的，以大写金额为准;</w:t>
      </w:r>
    </w:p>
    <w:p w14:paraId="3A455D23">
      <w:pPr>
        <w:pStyle w:val="131"/>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3.4.1.3单价金额小数点或者百分比有明显错位的，以交易一览表的总价为准，并修改单价;</w:t>
      </w:r>
    </w:p>
    <w:p w14:paraId="1B260B6B">
      <w:pPr>
        <w:pStyle w:val="131"/>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3.4.1.4总价金额与按单价汇总金额不一致的，以单价金额计算结果为准。</w:t>
      </w:r>
    </w:p>
    <w:p w14:paraId="04A4D9B9">
      <w:pPr>
        <w:pStyle w:val="131"/>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3.4.1.5同时出现两种以上不一致的，按照3.4.1规定的顺序修正。修正后的报价按照财政部第87号令 《政府采购货物和服务招标投标管理办法》第五十一条第二款的规定经供应商确认后产生约束力。</w:t>
      </w:r>
    </w:p>
    <w:p w14:paraId="188584EC">
      <w:pPr>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3.4.2响应文件出现不是唯一的、有选择性相应报价的，交易无效。</w:t>
      </w:r>
    </w:p>
    <w:p w14:paraId="0DFAA87D">
      <w:pPr>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3.4.3响应报价超过交易文件中规定的预算金额或者最高限价的，交易无效。</w:t>
      </w:r>
    </w:p>
    <w:p w14:paraId="1B796EDC">
      <w:pPr>
        <w:pStyle w:val="131"/>
        <w:spacing w:before="0"/>
        <w:ind w:firstLine="48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3.4.4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响应处理。</w:t>
      </w:r>
    </w:p>
    <w:p w14:paraId="5B7F308C">
      <w:pPr>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3.5排序与推荐。</w:t>
      </w:r>
      <w:r>
        <w:rPr>
          <w:rFonts w:hint="eastAsia" w:asciiTheme="minorEastAsia" w:hAnsiTheme="minorEastAsia" w:eastAsiaTheme="minorEastAsia" w:cstheme="minorEastAsia"/>
          <w:color w:val="auto"/>
          <w:kern w:val="0"/>
          <w:sz w:val="24"/>
          <w:highlight w:val="none"/>
        </w:rPr>
        <w:t>采用综合评分法的，评标结果按评审后得分由高到低顺序排列。得分相同的，按响应报价由低到高顺序排列。得分且响应报价相同的并列。响应文件满足交易文件全部实质性要求，且按照评审因素的量化指标评审得分最高的供应商为排名第一的成交候选人。</w:t>
      </w:r>
    </w:p>
    <w:p w14:paraId="623C9759">
      <w:pPr>
        <w:spacing w:line="360" w:lineRule="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多家供应商提供相同品牌产品（单一产品采购项目中的该产品或者非单一产品采购项目的核心产品）且通过资格审查、符合性审查的不同供应商参加同一合同项下响应的，按一家供应商计算，评审后得分最高的同品牌供应商获得成交人推荐资格；评审得分相同的，采取随机抽取方式确定，其他同品牌供应商不作为成交候选人。</w:t>
      </w:r>
    </w:p>
    <w:p w14:paraId="78837644">
      <w:pPr>
        <w:spacing w:line="360" w:lineRule="auto"/>
        <w:ind w:firstLine="472" w:firstLineChars="1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3.6编写评标报告。</w:t>
      </w:r>
      <w:r>
        <w:rPr>
          <w:rFonts w:hint="eastAsia" w:asciiTheme="minorEastAsia" w:hAnsiTheme="minorEastAsia" w:eastAsiaTheme="minorEastAsia" w:cstheme="minorEastAsia"/>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FF619D3">
      <w:pPr>
        <w:widowControl/>
        <w:shd w:val="clear" w:color="auto" w:fill="FFFFFF"/>
        <w:adjustRightInd/>
        <w:spacing w:after="225" w:line="315" w:lineRule="atLeast"/>
        <w:jc w:val="left"/>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四、评标中的其他事项</w:t>
      </w:r>
    </w:p>
    <w:p w14:paraId="58850390">
      <w:pPr>
        <w:pStyle w:val="131"/>
        <w:spacing w:before="0"/>
        <w:ind w:firstLine="472" w:firstLineChars="196"/>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b/>
          <w:color w:val="auto"/>
          <w:kern w:val="0"/>
          <w:szCs w:val="24"/>
          <w:highlight w:val="none"/>
        </w:rPr>
        <w:t>4.1供应商澄清、说明或者补正。</w:t>
      </w:r>
      <w:r>
        <w:rPr>
          <w:rFonts w:hint="eastAsia" w:asciiTheme="minorEastAsia" w:hAnsiTheme="minorEastAsia" w:eastAsiaTheme="minorEastAsia" w:cstheme="minorEastAsia"/>
          <w:color w:val="auto"/>
          <w:kern w:val="0"/>
          <w:szCs w:val="24"/>
          <w:highlight w:val="none"/>
        </w:rPr>
        <w:t>对于响应文件中含义不明确、同类问题表述不一致或者有明显文字和计算错误的内容需要供应商作出必要的澄清、说明或者补正的，评标委员会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2375BC22">
      <w:pPr>
        <w:pStyle w:val="26"/>
        <w:spacing w:line="360" w:lineRule="auto"/>
        <w:ind w:left="954" w:leftChars="226" w:hanging="479"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highlight w:val="none"/>
        </w:rPr>
        <w:t>4.2交易无效。</w:t>
      </w:r>
      <w:r>
        <w:rPr>
          <w:rFonts w:hint="eastAsia" w:asciiTheme="minorEastAsia" w:hAnsiTheme="minorEastAsia" w:eastAsiaTheme="minorEastAsia" w:cstheme="minorEastAsia"/>
          <w:color w:val="auto"/>
          <w:szCs w:val="21"/>
          <w:highlight w:val="none"/>
        </w:rPr>
        <w:t>有下列情形之一的，交易无效：</w:t>
      </w:r>
    </w:p>
    <w:p w14:paraId="40164EBD">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4.2.1供应商不具备交易文件中规定的资格要求的（供应商未提供有效的资格文件的，视为供应商不具备交易文件中规定的资格要求）；</w:t>
      </w:r>
    </w:p>
    <w:p w14:paraId="12463697">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4.2.2响应文件未按照交易文件要求签署、盖章的；</w:t>
      </w:r>
    </w:p>
    <w:p w14:paraId="52502675">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4.2.3响应文件含有采购人不能接受的附加条件的；</w:t>
      </w:r>
    </w:p>
    <w:p w14:paraId="5759FAFF">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4.2.4响应文件中承诺的交易有效期少于交易文件中载明的交易有效期的；</w:t>
      </w:r>
    </w:p>
    <w:p w14:paraId="08055AEF">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4.2.5响应文件出现不是唯一的、有选择性响应报价的;</w:t>
      </w:r>
    </w:p>
    <w:p w14:paraId="5DCA9683">
      <w:pPr>
        <w:snapToGrid w:val="0"/>
        <w:spacing w:line="360" w:lineRule="auto"/>
        <w:ind w:firstLine="120" w:firstLineChars="5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4.2.6响应报价超过交易文件中规定的预算金额或者最高限价的;</w:t>
      </w:r>
    </w:p>
    <w:p w14:paraId="5BB795B6">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4.2.7报价明显低于其他通过符合性审查供应商的报价，有可能影响产品质量或者不能诚信履约的，未能按要求提供书面说明或者提交相关证明材料，不能证明其报价合理性的;</w:t>
      </w:r>
    </w:p>
    <w:p w14:paraId="483E4924">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4.2.8供应商对根据修正原则修正后的报价不确认的；</w:t>
      </w:r>
    </w:p>
    <w:p w14:paraId="6D30CC6E">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4.2.9供应商提供虚假材料响应的；</w:t>
      </w:r>
    </w:p>
    <w:p w14:paraId="39392040">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4.2.10供应商有恶意串通、妨碍其他供应商的竞争行为、损害采购人或者其他供应商的合法权益情形的；</w:t>
      </w:r>
    </w:p>
    <w:p w14:paraId="00D1E3FD">
      <w:pPr>
        <w:spacing w:line="360" w:lineRule="auto"/>
        <w:ind w:firstLine="240" w:firstLine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4.2.11供应商仅提交备份响应文件，未在电子交易平台传输递交响应文件的，交易无效；</w:t>
      </w:r>
    </w:p>
    <w:p w14:paraId="1B90E35C">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4.2.12响应文件不满足交易文件的其它实质性要求的；</w:t>
      </w:r>
    </w:p>
    <w:p w14:paraId="5E4FDBBA">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4.2.13 法律、法规、规章（适用本市的）及省级以上规范性文件（适用本市的）规定的其他无效情形。</w:t>
      </w:r>
    </w:p>
    <w:p w14:paraId="05AA9949">
      <w:pPr>
        <w:pStyle w:val="26"/>
        <w:snapToGrid w:val="0"/>
        <w:spacing w:line="360" w:lineRule="auto"/>
        <w:ind w:firstLine="472"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5.废标。</w:t>
      </w:r>
      <w:r>
        <w:rPr>
          <w:rFonts w:hint="eastAsia" w:asciiTheme="minorEastAsia" w:hAnsiTheme="minorEastAsia" w:eastAsiaTheme="minorEastAsia" w:cstheme="minorEastAsia"/>
          <w:color w:val="auto"/>
          <w:highlight w:val="none"/>
        </w:rPr>
        <w:t>在采购中，出现下列情形之一的，应予废标：</w:t>
      </w:r>
    </w:p>
    <w:p w14:paraId="3CF69F32">
      <w:pPr>
        <w:pStyle w:val="26"/>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5.1符合专业条件的供应商或者对交易文件作实质响应的供应商不足3家的；</w:t>
      </w:r>
    </w:p>
    <w:p w14:paraId="7B45462C">
      <w:pPr>
        <w:pStyle w:val="26"/>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5.2出现影响采购公正的违法、违规行为的；</w:t>
      </w:r>
    </w:p>
    <w:p w14:paraId="44A50A7A">
      <w:pPr>
        <w:pStyle w:val="26"/>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5.3供应商的报价均超过了采购预算，采购人不能支付的；</w:t>
      </w:r>
    </w:p>
    <w:p w14:paraId="5784CA54">
      <w:pPr>
        <w:pStyle w:val="26"/>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5.4因重大变故，采购任务取消的。</w:t>
      </w:r>
    </w:p>
    <w:p w14:paraId="2C823C5D">
      <w:pPr>
        <w:pStyle w:val="26"/>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废标后，采购机构应当将废标理由通知所有供应商。</w:t>
      </w:r>
    </w:p>
    <w:p w14:paraId="61222CB3">
      <w:pPr>
        <w:pStyle w:val="26"/>
        <w:snapToGrid w:val="0"/>
        <w:spacing w:line="360" w:lineRule="auto"/>
        <w:ind w:firstLine="590" w:firstLineChars="24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6.修改交易文件，重新组织采购活动。</w:t>
      </w:r>
      <w:r>
        <w:rPr>
          <w:rFonts w:hint="eastAsia" w:asciiTheme="minorEastAsia" w:hAnsiTheme="minorEastAsia" w:eastAsiaTheme="minorEastAsia" w:cstheme="minorEastAsia"/>
          <w:color w:val="auto"/>
          <w:highlight w:val="none"/>
        </w:rPr>
        <w:t>评标委员会发现交易文件存在歧义、重大缺陷导致评标工作无法进行，或者交易文件内容违反国家有关强制性规定的，将停止评标工作，并与采购人、采购机构沟通并作书面记录。采购人、采购机构确认后，将修改交易文件，重新组织采购活动。</w:t>
      </w:r>
    </w:p>
    <w:p w14:paraId="7EFE7A86">
      <w:pPr>
        <w:pStyle w:val="26"/>
        <w:snapToGrid w:val="0"/>
        <w:spacing w:line="360" w:lineRule="auto"/>
        <w:ind w:firstLine="590" w:firstLineChars="24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highlight w:val="none"/>
        </w:rPr>
        <w:t>7.重新开展采购。</w:t>
      </w:r>
      <w:r>
        <w:rPr>
          <w:rFonts w:hint="eastAsia" w:asciiTheme="minorEastAsia" w:hAnsiTheme="minorEastAsia" w:eastAsiaTheme="minorEastAsia" w:cstheme="minorEastAsia"/>
          <w:color w:val="auto"/>
          <w:highlight w:val="none"/>
        </w:rPr>
        <w:t>有影响或者可能影响成交、成交结果的，依照下列规定处理：</w:t>
      </w:r>
    </w:p>
    <w:p w14:paraId="4D1ADFAE">
      <w:pPr>
        <w:pStyle w:val="26"/>
        <w:snapToGrid w:val="0"/>
        <w:spacing w:line="360" w:lineRule="auto"/>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7.1未确定成交或者成交人的，终止本次采购活动，重新开展采购活动。</w:t>
      </w:r>
    </w:p>
    <w:p w14:paraId="597FB7DA">
      <w:pPr>
        <w:pStyle w:val="26"/>
        <w:snapToGrid w:val="0"/>
        <w:spacing w:line="360" w:lineRule="auto"/>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7.2已确定成交或者成交人但尚未签订采购合同的，成交或者成交结果无效，从合格的成交或者成交候选人中另行确定成交或者成交人；没有合格的成交或者成交候选人的，重新开展采购活动。</w:t>
      </w:r>
    </w:p>
    <w:p w14:paraId="10649DDC">
      <w:pPr>
        <w:pStyle w:val="26"/>
        <w:snapToGrid w:val="0"/>
        <w:spacing w:line="360" w:lineRule="auto"/>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7.3采购合同已签订但尚未履行的，撤销合同，从合格的成交或者成交候选人中另行确定成交或者成交人；没有合格的成交或者成交候选人的，重新开展采购活动。</w:t>
      </w:r>
    </w:p>
    <w:p w14:paraId="1931709C">
      <w:pPr>
        <w:pStyle w:val="26"/>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7.4采购合同已经履行，给采购人、供应商造成损失的，由责任人承担赔偿责任。</w:t>
      </w:r>
    </w:p>
    <w:p w14:paraId="04D6D708">
      <w:pPr>
        <w:pStyle w:val="26"/>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7.5采购当事人有其他违反相关</w:t>
      </w:r>
      <w:r>
        <w:rPr>
          <w:rFonts w:hint="eastAsia" w:asciiTheme="minorEastAsia" w:hAnsiTheme="minorEastAsia" w:eastAsiaTheme="minorEastAsia" w:cstheme="minorEastAsia"/>
          <w:color w:val="auto"/>
          <w:kern w:val="0"/>
          <w:highlight w:val="none"/>
        </w:rPr>
        <w:t>法律法规规定</w:t>
      </w:r>
      <w:r>
        <w:rPr>
          <w:rFonts w:hint="eastAsia" w:asciiTheme="minorEastAsia" w:hAnsiTheme="minorEastAsia" w:eastAsiaTheme="minorEastAsia" w:cstheme="minorEastAsia"/>
          <w:color w:val="auto"/>
          <w:highlight w:val="none"/>
        </w:rPr>
        <w:t>的行为，经改正后仍然影响或者可能影响成交、成交结果或者依法被认定为成交、成交无效的，依照7.1-7.4规定处理。</w:t>
      </w:r>
    </w:p>
    <w:bookmarkEnd w:id="16"/>
    <w:p w14:paraId="32B57069">
      <w:pPr>
        <w:spacing w:line="360" w:lineRule="auto"/>
        <w:ind w:left="720" w:leftChars="343" w:firstLine="1084" w:firstLineChars="300"/>
        <w:outlineLvl w:val="0"/>
        <w:rPr>
          <w:rFonts w:hint="eastAsia" w:asciiTheme="minorEastAsia" w:hAnsiTheme="minorEastAsia" w:eastAsiaTheme="minorEastAsia" w:cstheme="minorEastAsia"/>
          <w:b/>
          <w:color w:val="auto"/>
          <w:sz w:val="36"/>
          <w:szCs w:val="36"/>
          <w:highlight w:val="none"/>
        </w:rPr>
      </w:pPr>
      <w:bookmarkStart w:id="383" w:name="第五部分"/>
      <w:bookmarkStart w:id="384" w:name="_Toc86217003"/>
    </w:p>
    <w:p w14:paraId="755F3089">
      <w:pPr>
        <w:spacing w:line="360" w:lineRule="auto"/>
        <w:ind w:left="720" w:leftChars="343" w:firstLine="1084" w:firstLineChars="300"/>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 xml:space="preserve">    </w:t>
      </w:r>
    </w:p>
    <w:p w14:paraId="5B5C435F">
      <w:pPr>
        <w:spacing w:line="360" w:lineRule="auto"/>
        <w:ind w:left="720" w:leftChars="343" w:firstLine="1084" w:firstLineChars="300"/>
        <w:outlineLvl w:val="0"/>
        <w:rPr>
          <w:rFonts w:hint="eastAsia" w:asciiTheme="minorEastAsia" w:hAnsiTheme="minorEastAsia" w:eastAsiaTheme="minorEastAsia" w:cstheme="minorEastAsia"/>
          <w:b/>
          <w:color w:val="auto"/>
          <w:sz w:val="36"/>
          <w:szCs w:val="36"/>
          <w:highlight w:val="none"/>
        </w:rPr>
      </w:pPr>
    </w:p>
    <w:p w14:paraId="078F3D70">
      <w:pPr>
        <w:spacing w:line="360" w:lineRule="auto"/>
        <w:ind w:left="720" w:leftChars="343" w:firstLine="1084" w:firstLineChars="300"/>
        <w:outlineLvl w:val="0"/>
        <w:rPr>
          <w:rFonts w:hint="eastAsia" w:asciiTheme="minorEastAsia" w:hAnsiTheme="minorEastAsia" w:eastAsiaTheme="minorEastAsia" w:cstheme="minorEastAsia"/>
          <w:b/>
          <w:color w:val="auto"/>
          <w:sz w:val="36"/>
          <w:szCs w:val="36"/>
          <w:highlight w:val="none"/>
        </w:rPr>
      </w:pPr>
    </w:p>
    <w:p w14:paraId="38BF2CE7">
      <w:pPr>
        <w:rPr>
          <w:rFonts w:hint="eastAsia" w:asciiTheme="minorEastAsia" w:hAnsiTheme="minorEastAsia" w:eastAsiaTheme="minorEastAsia" w:cstheme="minorEastAsia"/>
          <w:color w:val="auto"/>
          <w:spacing w:val="-1"/>
          <w:highlight w:val="none"/>
        </w:rPr>
      </w:pPr>
    </w:p>
    <w:p w14:paraId="3BAA2C01">
      <w:pPr>
        <w:pStyle w:val="25"/>
        <w:spacing w:before="174"/>
        <w:ind w:right="11" w:firstLine="476" w:firstLineChars="200"/>
        <w:rPr>
          <w:rFonts w:hint="eastAsia" w:asciiTheme="minorEastAsia" w:hAnsiTheme="minorEastAsia" w:eastAsiaTheme="minorEastAsia" w:cstheme="minorEastAsia"/>
          <w:color w:val="auto"/>
          <w:spacing w:val="-1"/>
          <w:highlight w:val="none"/>
        </w:rPr>
      </w:pPr>
    </w:p>
    <w:p w14:paraId="20005D78">
      <w:pPr>
        <w:pStyle w:val="25"/>
        <w:spacing w:before="79" w:line="222" w:lineRule="auto"/>
        <w:ind w:right="32"/>
        <w:jc w:val="center"/>
        <w:rPr>
          <w:rFonts w:hint="eastAsia" w:asciiTheme="minorEastAsia" w:hAnsiTheme="minorEastAsia" w:eastAsiaTheme="minorEastAsia" w:cstheme="minorEastAsia"/>
          <w:color w:val="auto"/>
          <w:spacing w:val="-9"/>
          <w:highlight w:val="none"/>
        </w:rPr>
      </w:pPr>
    </w:p>
    <w:p w14:paraId="60C5BFE0">
      <w:pPr>
        <w:numPr>
          <w:ilvl w:val="0"/>
          <w:numId w:val="1"/>
        </w:numPr>
        <w:jc w:val="center"/>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36"/>
          <w:highlight w:val="none"/>
        </w:rPr>
        <w:br w:type="page"/>
      </w:r>
      <w:bookmarkEnd w:id="383"/>
      <w:r>
        <w:rPr>
          <w:rFonts w:hint="eastAsia" w:asciiTheme="minorEastAsia" w:hAnsiTheme="minorEastAsia" w:eastAsiaTheme="minorEastAsia" w:cstheme="minorEastAsia"/>
          <w:b/>
          <w:color w:val="auto"/>
          <w:sz w:val="36"/>
          <w:szCs w:val="20"/>
          <w:highlight w:val="none"/>
        </w:rPr>
        <w:t xml:space="preserve"> </w:t>
      </w:r>
      <w:bookmarkEnd w:id="384"/>
      <w:r>
        <w:rPr>
          <w:rFonts w:hint="eastAsia" w:asciiTheme="minorEastAsia" w:hAnsiTheme="minorEastAsia" w:eastAsiaTheme="minorEastAsia" w:cstheme="minorEastAsia"/>
          <w:b/>
          <w:color w:val="auto"/>
          <w:sz w:val="36"/>
          <w:szCs w:val="20"/>
          <w:highlight w:val="none"/>
        </w:rPr>
        <w:t>拟签订的合同文本</w:t>
      </w:r>
    </w:p>
    <w:p w14:paraId="26F6743A">
      <w:pPr>
        <w:pStyle w:val="26"/>
        <w:snapToGrid w:val="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服务类合同建议可按照参考格式按照实际情况调整修改。</w:t>
      </w:r>
    </w:p>
    <w:p w14:paraId="2A49D317">
      <w:pPr>
        <w:pStyle w:val="26"/>
        <w:snapToGrid w:val="0"/>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（服务类参考样本）</w:t>
      </w:r>
    </w:p>
    <w:p w14:paraId="310BB7DC">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合同编号：</w:t>
      </w:r>
    </w:p>
    <w:p w14:paraId="37F72A0D">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签订地点：                                 签订时间：20* 年  月  日</w:t>
      </w:r>
    </w:p>
    <w:p w14:paraId="75384BA2">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项目名称：</w:t>
      </w:r>
    </w:p>
    <w:p w14:paraId="0138D071">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甲方（需方）：                                     </w:t>
      </w:r>
    </w:p>
    <w:p w14:paraId="30A87F79">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乙方（供方）：                                     </w:t>
      </w:r>
    </w:p>
    <w:p w14:paraId="185C8B7A">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供、需双方根据杭州市萧山区                       项目（编号  -   ）结果和文件的要求，并经双方协调一致，订立本采购合同。</w:t>
      </w:r>
    </w:p>
    <w:p w14:paraId="7D430DED">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一、合同文件：</w:t>
      </w:r>
    </w:p>
    <w:p w14:paraId="1F9F4532">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1、合同条款。</w:t>
      </w:r>
    </w:p>
    <w:p w14:paraId="5A4E7103">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2、中标通知书。</w:t>
      </w:r>
    </w:p>
    <w:p w14:paraId="30606B39">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3、文件。</w:t>
      </w:r>
    </w:p>
    <w:p w14:paraId="39C5C380">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4、更正公告。</w:t>
      </w:r>
    </w:p>
    <w:p w14:paraId="299AF0E4">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5、中标人投标文件。</w:t>
      </w:r>
    </w:p>
    <w:p w14:paraId="64F61FF7">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6、其他。</w:t>
      </w:r>
    </w:p>
    <w:p w14:paraId="277F5184">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二、合同金额: 本合同金额为(大写)_________________元（￥　　　　元）人民币附：</w:t>
      </w:r>
    </w:p>
    <w:p w14:paraId="5B81C86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《采购项目清单内容》</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45"/>
        <w:gridCol w:w="1176"/>
        <w:gridCol w:w="1896"/>
        <w:gridCol w:w="696"/>
        <w:gridCol w:w="1896"/>
      </w:tblGrid>
      <w:tr w14:paraId="3AF4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84922D1">
            <w:pPr>
              <w:pStyle w:val="26"/>
              <w:snapToGrid w:val="0"/>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FE39799">
            <w:pPr>
              <w:pStyle w:val="26"/>
              <w:snapToGrid w:val="0"/>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采购项目</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A5763C6">
            <w:pPr>
              <w:pStyle w:val="26"/>
              <w:snapToGrid w:val="0"/>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中标内容</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9CD3CD0">
            <w:pPr>
              <w:pStyle w:val="26"/>
              <w:snapToGrid w:val="0"/>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中标单价（元）</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A18DBB7">
            <w:pPr>
              <w:pStyle w:val="26"/>
              <w:snapToGrid w:val="0"/>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18992E2">
            <w:pPr>
              <w:pStyle w:val="26"/>
              <w:snapToGrid w:val="0"/>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中标总价（元）</w:t>
            </w:r>
          </w:p>
        </w:tc>
      </w:tr>
      <w:tr w14:paraId="082C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5106A2D">
            <w:pPr>
              <w:pStyle w:val="26"/>
              <w:snapToGrid w:val="0"/>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69FF4F94">
            <w:pPr>
              <w:pStyle w:val="26"/>
              <w:snapToGrid w:val="0"/>
              <w:spacing w:line="400" w:lineRule="exact"/>
              <w:rPr>
                <w:rFonts w:hint="eastAsia" w:ascii="宋体" w:hAnsi="宋体" w:eastAsia="宋体" w:cs="宋体"/>
                <w:sz w:val="24"/>
                <w:szCs w:val="24"/>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8613B3">
            <w:pPr>
              <w:pStyle w:val="26"/>
              <w:snapToGrid w:val="0"/>
              <w:spacing w:line="400" w:lineRule="exact"/>
              <w:rPr>
                <w:rFonts w:hint="eastAsia" w:ascii="宋体" w:hAnsi="宋体" w:eastAsia="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4519235">
            <w:pPr>
              <w:pStyle w:val="26"/>
              <w:snapToGrid w:val="0"/>
              <w:spacing w:line="400" w:lineRule="exact"/>
              <w:rPr>
                <w:rFonts w:hint="eastAsia" w:ascii="宋体" w:hAnsi="宋体" w:eastAsia="宋体" w:cs="宋体"/>
                <w:sz w:val="24"/>
                <w:szCs w:val="24"/>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5E18A604">
            <w:pPr>
              <w:pStyle w:val="26"/>
              <w:snapToGrid w:val="0"/>
              <w:spacing w:line="400" w:lineRule="exact"/>
              <w:rPr>
                <w:rFonts w:hint="eastAsia" w:ascii="宋体" w:hAnsi="宋体" w:eastAsia="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6FF3FB29">
            <w:pPr>
              <w:pStyle w:val="26"/>
              <w:snapToGrid w:val="0"/>
              <w:spacing w:line="400" w:lineRule="exact"/>
              <w:rPr>
                <w:rFonts w:hint="eastAsia" w:ascii="宋体" w:hAnsi="宋体" w:eastAsia="宋体" w:cs="宋体"/>
                <w:sz w:val="24"/>
                <w:szCs w:val="24"/>
              </w:rPr>
            </w:pPr>
          </w:p>
        </w:tc>
      </w:tr>
      <w:tr w14:paraId="4376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6E16388">
            <w:pPr>
              <w:pStyle w:val="26"/>
              <w:snapToGrid w:val="0"/>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2</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B06BA95">
            <w:pPr>
              <w:pStyle w:val="26"/>
              <w:snapToGrid w:val="0"/>
              <w:spacing w:line="400" w:lineRule="exact"/>
              <w:rPr>
                <w:rFonts w:hint="eastAsia" w:ascii="宋体" w:hAnsi="宋体" w:eastAsia="宋体" w:cs="宋体"/>
                <w:sz w:val="24"/>
                <w:szCs w:val="24"/>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5EABF53">
            <w:pPr>
              <w:pStyle w:val="26"/>
              <w:snapToGrid w:val="0"/>
              <w:spacing w:line="400" w:lineRule="exact"/>
              <w:rPr>
                <w:rFonts w:hint="eastAsia" w:ascii="宋体" w:hAnsi="宋体" w:eastAsia="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16AD94C2">
            <w:pPr>
              <w:pStyle w:val="26"/>
              <w:snapToGrid w:val="0"/>
              <w:spacing w:line="400" w:lineRule="exact"/>
              <w:rPr>
                <w:rFonts w:hint="eastAsia" w:ascii="宋体" w:hAnsi="宋体" w:eastAsia="宋体" w:cs="宋体"/>
                <w:sz w:val="24"/>
                <w:szCs w:val="24"/>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5202C144">
            <w:pPr>
              <w:pStyle w:val="26"/>
              <w:snapToGrid w:val="0"/>
              <w:spacing w:line="400" w:lineRule="exact"/>
              <w:rPr>
                <w:rFonts w:hint="eastAsia" w:ascii="宋体" w:hAnsi="宋体" w:eastAsia="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78ED90FF">
            <w:pPr>
              <w:pStyle w:val="26"/>
              <w:snapToGrid w:val="0"/>
              <w:spacing w:line="400" w:lineRule="exact"/>
              <w:rPr>
                <w:rFonts w:hint="eastAsia" w:ascii="宋体" w:hAnsi="宋体" w:eastAsia="宋体" w:cs="宋体"/>
                <w:sz w:val="24"/>
                <w:szCs w:val="24"/>
              </w:rPr>
            </w:pPr>
          </w:p>
        </w:tc>
      </w:tr>
    </w:tbl>
    <w:p w14:paraId="7A02155A">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三、技术资料</w:t>
      </w:r>
    </w:p>
    <w:p w14:paraId="0911165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1.乙方应按文件规定的时间向甲方提供有关技术资料。</w:t>
      </w:r>
    </w:p>
    <w:p w14:paraId="1A0F16AE">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83D3D31">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四、知识产权</w:t>
      </w:r>
    </w:p>
    <w:p w14:paraId="07397E7F">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乙方应保证提供服务过程中不会侵犯任何第三方的知识产权。</w:t>
      </w:r>
    </w:p>
    <w:p w14:paraId="7B8A1DBD">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五、履约保证金</w:t>
      </w:r>
    </w:p>
    <w:p w14:paraId="6EBC12BB">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本合同履约保证金    元。（乙方应当以支票、汇票、本票或者金融机构、担保机构出具的保函等非现金形式提交。）</w:t>
      </w:r>
    </w:p>
    <w:p w14:paraId="18A4AFD7">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六、转包或分包</w:t>
      </w:r>
    </w:p>
    <w:p w14:paraId="73B6A32E">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1.本合同范围的服务，应由乙方直接供应，不得转让他人供应；</w:t>
      </w:r>
    </w:p>
    <w:p w14:paraId="7E1BE742">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2.除非得到甲方的书面同意，乙方不得将本合同范围的服务全部或部分分包给他人供应；</w:t>
      </w:r>
    </w:p>
    <w:p w14:paraId="6B6C55B6">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3.如有转让和未经甲方同意的分包行为，甲方有权解除合同，没收履约保证金并追究乙方的违约责任。</w:t>
      </w:r>
    </w:p>
    <w:p w14:paraId="16EB98ED">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七、服务质量保证期</w:t>
      </w:r>
    </w:p>
    <w:p w14:paraId="34C0E52C">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 服务质量保证期      年。（自验收合格之日起计）</w:t>
      </w:r>
    </w:p>
    <w:p w14:paraId="58ED2CB9">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八、合同履行时间、履行方式及履行地点</w:t>
      </w:r>
    </w:p>
    <w:p w14:paraId="1C79B71E">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 履行时间：</w:t>
      </w:r>
    </w:p>
    <w:p w14:paraId="199E3740">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 履行方式：</w:t>
      </w:r>
    </w:p>
    <w:p w14:paraId="6C9E1A4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3. 履行地点：</w:t>
      </w:r>
    </w:p>
    <w:p w14:paraId="5FFE01C9">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九、款项支付</w:t>
      </w:r>
    </w:p>
    <w:p w14:paraId="29D8B82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1.付款方式：</w:t>
      </w:r>
      <w:r>
        <w:rPr>
          <w:rFonts w:hint="eastAsia" w:ascii="宋体" w:hAnsi="宋体" w:eastAsia="宋体" w:cs="宋体"/>
          <w:sz w:val="24"/>
          <w:szCs w:val="24"/>
          <w:lang w:val="en-US" w:eastAsia="zh-CN"/>
        </w:rPr>
        <w:t>服务期结束</w:t>
      </w:r>
      <w:r>
        <w:rPr>
          <w:rFonts w:hint="eastAsia" w:ascii="宋体" w:hAnsi="宋体" w:eastAsia="宋体" w:cs="宋体"/>
          <w:sz w:val="24"/>
          <w:szCs w:val="24"/>
        </w:rPr>
        <w:t>,项目</w:t>
      </w:r>
      <w:r>
        <w:rPr>
          <w:rFonts w:hint="eastAsia" w:ascii="宋体" w:hAnsi="宋体" w:eastAsia="宋体" w:cs="宋体"/>
          <w:sz w:val="24"/>
          <w:szCs w:val="24"/>
          <w:lang w:val="en-US" w:eastAsia="zh-CN"/>
        </w:rPr>
        <w:t>经甲方</w:t>
      </w:r>
      <w:r>
        <w:rPr>
          <w:rFonts w:hint="eastAsia" w:ascii="宋体" w:hAnsi="宋体" w:eastAsia="宋体" w:cs="宋体"/>
          <w:sz w:val="24"/>
          <w:szCs w:val="24"/>
        </w:rPr>
        <w:t>验收通过之后</w:t>
      </w:r>
      <w:r>
        <w:rPr>
          <w:rFonts w:hint="eastAsia" w:ascii="宋体" w:hAnsi="宋体" w:eastAsia="宋体" w:cs="宋体"/>
          <w:sz w:val="24"/>
          <w:szCs w:val="24"/>
          <w:lang w:val="en-US" w:eastAsia="zh-CN"/>
        </w:rPr>
        <w:t>支付至合同价</w:t>
      </w:r>
      <w:r>
        <w:rPr>
          <w:rFonts w:hint="eastAsia" w:ascii="宋体" w:hAnsi="宋体" w:eastAsia="宋体" w:cs="宋体"/>
          <w:sz w:val="24"/>
          <w:szCs w:val="24"/>
        </w:rPr>
        <w:t>的</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p w14:paraId="07055E27">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2.合同履行完毕，需方根据合同进行验收，验收合格后投标人按财政结算要求办理货款结算手续。</w:t>
      </w:r>
    </w:p>
    <w:p w14:paraId="3CA4A9A1">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十、税费</w:t>
      </w:r>
    </w:p>
    <w:p w14:paraId="1ED2BF0F">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31FE9190">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十一、质量保证及后续服务</w:t>
      </w:r>
    </w:p>
    <w:p w14:paraId="1C4EF019">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 乙方应按文件规定向甲方提供服务。</w:t>
      </w:r>
    </w:p>
    <w:p w14:paraId="0A5ECECB">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 乙方提供的服务成果在服务质量保证期内发生故障，乙方应负责免费提供后续服务。对达不到要求者，根据实际情况，经双方协商，可按以下办法处理：</w:t>
      </w:r>
    </w:p>
    <w:p w14:paraId="2C510D45">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⑴重做：由乙方承担所发生的全部费用。</w:t>
      </w:r>
    </w:p>
    <w:p w14:paraId="48D87E00">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⑵贬值处理：由甲乙双方合议定价。</w:t>
      </w:r>
    </w:p>
    <w:p w14:paraId="2AE91771">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⑶解除合同。</w:t>
      </w:r>
    </w:p>
    <w:p w14:paraId="20C29E60">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3. 如在使用过程中发生问题，乙方在接到甲方通知后在   小时内到达甲方现场。</w:t>
      </w:r>
    </w:p>
    <w:p w14:paraId="7C594F70">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4.在服务质量保证期内，乙方应对出现的质量及安全问题负责处理解决并承担一切费用。</w:t>
      </w:r>
    </w:p>
    <w:p w14:paraId="676D87E4">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十二、违约责任</w:t>
      </w:r>
    </w:p>
    <w:p w14:paraId="7A68862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1.甲方无正当理由拒绝接收服务的，甲方向乙方偿付合同款项百分之 五 作为违约金。</w:t>
      </w:r>
    </w:p>
    <w:p w14:paraId="004F568F">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2.甲方无故逾期验收和办理款项支付手续的，甲方应按逾期付款总额每日万分之 五向乙方支付违约金。</w:t>
      </w:r>
    </w:p>
    <w:p w14:paraId="7487CB23">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3.乙方未能如期提供服务的，每日向甲方支付合同款项的千分之 六 作为违约金。乙方超过约定日期10个工作日仍不能提供服务的，甲方可解除本合同，不予退还履约保证金，如造成甲方损失超过履约保证金的，超出部分由乙方继续承担赔偿责任。</w:t>
      </w:r>
    </w:p>
    <w:p w14:paraId="77621175">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4.供方在服务项目验收合格之日起保修期内违反本合同有关承诺保证的，损失由乙方承担赔偿。</w:t>
      </w:r>
    </w:p>
    <w:p w14:paraId="0D2DE4C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5.如发现乙方违反招投标文件和合同的有关规定，甲方有权根据约定和《杭州市政府采购投标人合同履行和售后服务考核暂行办法》，对乙方进行处罚，并有权提前终止合同。</w:t>
      </w:r>
    </w:p>
    <w:p w14:paraId="698C3147">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十三、争议的解决</w:t>
      </w:r>
    </w:p>
    <w:p w14:paraId="79E3D766">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因本合同引起的或与本合同有关的任何争议，合同双方应首先通过协商解决，达成书面协议，如协商不成，可选择下列第      种方式解决。</w:t>
      </w:r>
    </w:p>
    <w:p w14:paraId="47CF8511">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（1）提请杭州仲裁委员会按照该会仲裁规则进行仲裁，仲裁裁决是终局的，对合同双方均有约束力。</w:t>
      </w:r>
    </w:p>
    <w:p w14:paraId="1C8A4DE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（2）向有管辖权的人民法院提起诉讼。</w:t>
      </w:r>
    </w:p>
    <w:p w14:paraId="4C667D1B">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十四、合同生效</w:t>
      </w:r>
    </w:p>
    <w:p w14:paraId="332BA0B6">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1.中标方持中标通知书作为与需方签订合同的凭证。</w:t>
      </w:r>
    </w:p>
    <w:p w14:paraId="15946BBF">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2.本合同经需、供双方法定代表人（符合浙财采监【2013】24号第六条规定的为负责人）或其授权委托人签字并加盖单位公章后生效。</w:t>
      </w:r>
    </w:p>
    <w:p w14:paraId="668D5C94">
      <w:pPr>
        <w:pStyle w:val="26"/>
        <w:snapToGrid w:val="0"/>
        <w:spacing w:line="400" w:lineRule="exact"/>
        <w:rPr>
          <w:rFonts w:hint="eastAsia" w:ascii="宋体" w:hAnsi="宋体" w:eastAsia="宋体" w:cs="宋体"/>
          <w:sz w:val="24"/>
          <w:szCs w:val="24"/>
        </w:rPr>
      </w:pPr>
    </w:p>
    <w:p w14:paraId="4503981E">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需方（盖章）：                     供方（盖章）：</w:t>
      </w:r>
    </w:p>
    <w:p w14:paraId="2F18E408">
      <w:pPr>
        <w:pStyle w:val="26"/>
        <w:snapToGrid w:val="0"/>
        <w:spacing w:line="400" w:lineRule="exact"/>
        <w:rPr>
          <w:rFonts w:hint="eastAsia" w:ascii="宋体" w:hAnsi="宋体" w:eastAsia="宋体" w:cs="宋体"/>
          <w:sz w:val="24"/>
          <w:szCs w:val="24"/>
        </w:rPr>
      </w:pPr>
    </w:p>
    <w:p w14:paraId="5A4BEF34">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地址：                             地址：</w:t>
      </w:r>
    </w:p>
    <w:p w14:paraId="5420E2C3">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法定代表人（或委托代理人）签名：   法定代表人（或委托代理人）签名：</w:t>
      </w:r>
    </w:p>
    <w:p w14:paraId="6312B5A8">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01ECC875">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联系电话：                         联系电话：</w:t>
      </w:r>
    </w:p>
    <w:p w14:paraId="5680347C">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邮政编码：                         邮政编码：</w:t>
      </w:r>
    </w:p>
    <w:p w14:paraId="2D771B40">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41EC0A65">
      <w:pPr>
        <w:pStyle w:val="26"/>
        <w:snapToGrid w:val="0"/>
        <w:spacing w:line="400" w:lineRule="exact"/>
        <w:rPr>
          <w:rFonts w:hint="eastAsia" w:ascii="宋体" w:hAnsi="宋体" w:eastAsia="宋体" w:cs="宋体"/>
          <w:sz w:val="24"/>
          <w:szCs w:val="24"/>
        </w:rPr>
      </w:pPr>
      <w:r>
        <w:rPr>
          <w:rFonts w:hint="eastAsia" w:ascii="宋体" w:hAnsi="宋体" w:eastAsia="宋体" w:cs="宋体"/>
          <w:sz w:val="24"/>
          <w:szCs w:val="24"/>
        </w:rPr>
        <w:t>帐号：                             帐号：</w:t>
      </w:r>
    </w:p>
    <w:p w14:paraId="44442DAC">
      <w:pPr>
        <w:pStyle w:val="63"/>
        <w:rPr>
          <w:rFonts w:hint="eastAsia"/>
        </w:rPr>
      </w:pPr>
    </w:p>
    <w:p w14:paraId="06EB33EF">
      <w:pPr>
        <w:rPr>
          <w:rFonts w:hint="eastAsia"/>
        </w:rPr>
      </w:pPr>
    </w:p>
    <w:p w14:paraId="2EFC5633">
      <w:pPr>
        <w:pStyle w:val="63"/>
        <w:rPr>
          <w:rFonts w:hint="eastAsia"/>
        </w:rPr>
      </w:pPr>
    </w:p>
    <w:p w14:paraId="3252E534">
      <w:pPr>
        <w:rPr>
          <w:rFonts w:hint="eastAsia"/>
        </w:rPr>
      </w:pPr>
    </w:p>
    <w:p w14:paraId="7B2DD4A0">
      <w:pPr>
        <w:pStyle w:val="63"/>
        <w:rPr>
          <w:rFonts w:hint="eastAsia"/>
        </w:rPr>
      </w:pPr>
    </w:p>
    <w:p w14:paraId="2E7DE79C">
      <w:pPr>
        <w:rPr>
          <w:rFonts w:hint="eastAsia"/>
        </w:rPr>
      </w:pPr>
    </w:p>
    <w:p w14:paraId="1EB65286">
      <w:pPr>
        <w:pStyle w:val="63"/>
        <w:rPr>
          <w:rFonts w:hint="eastAsia"/>
        </w:rPr>
      </w:pPr>
    </w:p>
    <w:p w14:paraId="6BE8F1BF">
      <w:pPr>
        <w:rPr>
          <w:rFonts w:hint="eastAsia"/>
        </w:rPr>
      </w:pPr>
    </w:p>
    <w:p w14:paraId="4728B1D1">
      <w:pPr>
        <w:numPr>
          <w:ilvl w:val="0"/>
          <w:numId w:val="1"/>
        </w:numPr>
        <w:jc w:val="center"/>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应提交的有关格式范例</w:t>
      </w:r>
    </w:p>
    <w:p w14:paraId="70E12DED">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4D05A586">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资格文件部分</w:t>
      </w:r>
    </w:p>
    <w:p w14:paraId="63870CFB">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7C527D22">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36C86934">
      <w:pPr>
        <w:widowControl/>
        <w:adjustRightInd/>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（1）符合参加采购活动应当具备的一般条件的承诺函…………………（页码）</w:t>
      </w:r>
    </w:p>
    <w:p w14:paraId="5B9C4261">
      <w:pPr>
        <w:snapToGrid w:val="0"/>
        <w:spacing w:line="360" w:lineRule="auto"/>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（2）落实采购政策需满足的资格要求………………………………（页码）</w:t>
      </w:r>
    </w:p>
    <w:p w14:paraId="6C86DFAA">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）本项目的特定资格要求………………………………………………（页码）</w:t>
      </w:r>
    </w:p>
    <w:p w14:paraId="288E5DAA">
      <w:pPr>
        <w:snapToGrid w:val="0"/>
        <w:spacing w:line="360" w:lineRule="auto"/>
        <w:ind w:firstLine="480" w:firstLineChars="200"/>
        <w:rPr>
          <w:rFonts w:hint="eastAsia" w:asciiTheme="minorEastAsia" w:hAnsiTheme="minorEastAsia" w:eastAsiaTheme="minorEastAsia" w:cstheme="minorEastAsia"/>
          <w:color w:val="auto"/>
          <w:sz w:val="24"/>
          <w:highlight w:val="none"/>
        </w:rPr>
      </w:pPr>
    </w:p>
    <w:p w14:paraId="39A3A4D4">
      <w:pPr>
        <w:spacing w:line="360" w:lineRule="auto"/>
        <w:ind w:firstLine="480" w:firstLineChars="200"/>
        <w:rPr>
          <w:rFonts w:hint="eastAsia" w:asciiTheme="minorEastAsia" w:hAnsiTheme="minorEastAsia" w:eastAsiaTheme="minorEastAsia" w:cstheme="minorEastAsia"/>
          <w:color w:val="auto"/>
          <w:sz w:val="24"/>
          <w:highlight w:val="none"/>
        </w:rPr>
      </w:pPr>
    </w:p>
    <w:p w14:paraId="74D4A2BE">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b/>
          <w:color w:val="auto"/>
          <w:kern w:val="0"/>
          <w:sz w:val="32"/>
          <w:szCs w:val="32"/>
          <w:highlight w:val="none"/>
        </w:rPr>
        <w:t xml:space="preserve">  一、 符合参加采购活动应当具备的一般条件的承诺函</w:t>
      </w:r>
    </w:p>
    <w:p w14:paraId="762C4C82">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w:t>
      </w:r>
    </w:p>
    <w:p w14:paraId="59D76FD6">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我方参与（项目名称）【交易编号：       】采购活动，郑重承诺：</w:t>
      </w:r>
    </w:p>
    <w:p w14:paraId="743E65EB">
      <w:pPr>
        <w:snapToGrid w:val="0"/>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（一）具备以下条件：</w:t>
      </w:r>
    </w:p>
    <w:p w14:paraId="255BE771">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747A0232">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2、具有良好的商业信誉和健全的财务会计制度； </w:t>
      </w:r>
    </w:p>
    <w:p w14:paraId="3EDE78ED">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48423A8C">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0DEF703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5、参加采购活动前三年内，在经营活动中没有重大违法记录。</w:t>
      </w:r>
    </w:p>
    <w:p w14:paraId="54737E67">
      <w:pPr>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6、具有法律、行政法规规定的其他条件。</w:t>
      </w:r>
    </w:p>
    <w:p w14:paraId="6FA7C99A">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（二）未被信用中国（www.creditchina.gov.cn)、中国政府采购网（www.ccgp.gov.cn）列入失信被执行人、重大税收违法案件当事人名单、政府采购严重违法失信行为记录名单。</w:t>
      </w:r>
    </w:p>
    <w:p w14:paraId="7A4E2B3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（三）不存在以下情况：</w:t>
      </w:r>
    </w:p>
    <w:p w14:paraId="2E8ED32A">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1、单位负责人为同一人或者存在直接控股、管理关系的不同供应商参加同一合同项下的采购活动的；</w:t>
      </w:r>
    </w:p>
    <w:p w14:paraId="3336E7E4">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2、为采购项目提供整体设计、规范编制或者项目管理、监理、检测等服务后再参加该采购项目的其他采购活动的。</w:t>
      </w:r>
    </w:p>
    <w:p w14:paraId="06FFD83F">
      <w:pPr>
        <w:rPr>
          <w:rFonts w:hint="eastAsia" w:asciiTheme="minorEastAsia" w:hAnsiTheme="minorEastAsia" w:eastAsiaTheme="minorEastAsia" w:cstheme="minorEastAsia"/>
          <w:color w:val="auto"/>
          <w:highlight w:val="none"/>
        </w:rPr>
      </w:pPr>
    </w:p>
    <w:p w14:paraId="0A8BE644">
      <w:pPr>
        <w:snapToGrid w:val="0"/>
        <w:spacing w:line="360" w:lineRule="auto"/>
        <w:ind w:firstLine="5520" w:firstLineChars="23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25CF0816">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41488127">
      <w:pPr>
        <w:rPr>
          <w:rFonts w:hint="eastAsia" w:cs="仿宋_GB2312" w:asciiTheme="minorEastAsia" w:hAnsiTheme="minorEastAsia" w:eastAsiaTheme="minorEastAsia"/>
          <w:color w:val="auto"/>
          <w:sz w:val="24"/>
          <w:highlight w:val="cyan"/>
        </w:rPr>
      </w:pPr>
    </w:p>
    <w:p w14:paraId="424439E8">
      <w:pPr>
        <w:pStyle w:val="62"/>
        <w:rPr>
          <w:rFonts w:hint="eastAsia" w:cs="仿宋_GB2312" w:asciiTheme="minorEastAsia" w:hAnsiTheme="minorEastAsia" w:eastAsiaTheme="minorEastAsia"/>
          <w:b/>
          <w:color w:val="auto"/>
          <w:sz w:val="24"/>
          <w:highlight w:val="cyan"/>
          <w:u w:val="single"/>
        </w:rPr>
      </w:pPr>
    </w:p>
    <w:p w14:paraId="48B03A84">
      <w:pPr>
        <w:pStyle w:val="52"/>
        <w:rPr>
          <w:rFonts w:hint="eastAsia" w:cs="仿宋_GB2312" w:asciiTheme="minorEastAsia" w:hAnsiTheme="minorEastAsia" w:eastAsiaTheme="minorEastAsia"/>
          <w:b/>
          <w:color w:val="auto"/>
          <w:sz w:val="24"/>
          <w:highlight w:val="cyan"/>
          <w:u w:val="single"/>
        </w:rPr>
      </w:pPr>
    </w:p>
    <w:p w14:paraId="7313EAAE">
      <w:pPr>
        <w:rPr>
          <w:rFonts w:hint="eastAsia" w:cs="仿宋_GB2312" w:asciiTheme="minorEastAsia" w:hAnsiTheme="minorEastAsia" w:eastAsiaTheme="minorEastAsia"/>
          <w:b/>
          <w:color w:val="auto"/>
          <w:sz w:val="24"/>
          <w:highlight w:val="cyan"/>
          <w:u w:val="single"/>
        </w:rPr>
      </w:pPr>
    </w:p>
    <w:p w14:paraId="1DD95ADE">
      <w:pPr>
        <w:rPr>
          <w:rFonts w:hint="eastAsia" w:cs="仿宋_GB2312" w:asciiTheme="minorEastAsia" w:hAnsiTheme="minorEastAsia" w:eastAsiaTheme="minorEastAsia"/>
          <w:b/>
          <w:color w:val="auto"/>
          <w:sz w:val="24"/>
          <w:highlight w:val="cyan"/>
          <w:u w:val="single"/>
        </w:rPr>
      </w:pPr>
    </w:p>
    <w:p w14:paraId="6B3EBAAC">
      <w:pPr>
        <w:rPr>
          <w:rFonts w:hint="eastAsia" w:cs="仿宋_GB2312" w:asciiTheme="minorEastAsia" w:hAnsiTheme="minorEastAsia" w:eastAsiaTheme="minorEastAsia"/>
          <w:b/>
          <w:color w:val="auto"/>
          <w:sz w:val="24"/>
          <w:highlight w:val="cyan"/>
          <w:u w:val="single"/>
        </w:rPr>
      </w:pPr>
    </w:p>
    <w:p w14:paraId="18A009F6">
      <w:pPr>
        <w:rPr>
          <w:rFonts w:hint="eastAsia" w:cs="仿宋_GB2312" w:asciiTheme="minorEastAsia" w:hAnsiTheme="minorEastAsia" w:eastAsiaTheme="minorEastAsia"/>
          <w:b/>
          <w:color w:val="auto"/>
          <w:sz w:val="24"/>
          <w:highlight w:val="cyan"/>
          <w:u w:val="single"/>
        </w:rPr>
      </w:pPr>
    </w:p>
    <w:p w14:paraId="0A0073AD">
      <w:pPr>
        <w:rPr>
          <w:rFonts w:hint="eastAsia" w:cs="仿宋_GB2312" w:asciiTheme="minorEastAsia" w:hAnsiTheme="minorEastAsia" w:eastAsiaTheme="minorEastAsia"/>
          <w:b/>
          <w:color w:val="auto"/>
          <w:sz w:val="24"/>
          <w:highlight w:val="cyan"/>
          <w:u w:val="single"/>
        </w:rPr>
      </w:pPr>
    </w:p>
    <w:p w14:paraId="410CE586">
      <w:pPr>
        <w:pStyle w:val="52"/>
        <w:rPr>
          <w:rFonts w:hint="eastAsia" w:cs="仿宋_GB2312" w:asciiTheme="minorEastAsia" w:hAnsiTheme="minorEastAsia" w:eastAsiaTheme="minorEastAsia"/>
          <w:b/>
          <w:color w:val="auto"/>
          <w:sz w:val="24"/>
          <w:highlight w:val="cyan"/>
          <w:u w:val="single"/>
        </w:rPr>
      </w:pPr>
    </w:p>
    <w:p w14:paraId="20E3AFD7">
      <w:pPr>
        <w:rPr>
          <w:rFonts w:hint="eastAsia" w:cs="仿宋_GB2312" w:asciiTheme="minorEastAsia" w:hAnsiTheme="minorEastAsia" w:eastAsiaTheme="minorEastAsia"/>
          <w:b/>
          <w:color w:val="auto"/>
          <w:sz w:val="24"/>
          <w:highlight w:val="cyan"/>
          <w:u w:val="single"/>
        </w:rPr>
      </w:pPr>
    </w:p>
    <w:p w14:paraId="037AE740">
      <w:pPr>
        <w:pStyle w:val="62"/>
        <w:rPr>
          <w:rFonts w:hint="eastAsia"/>
        </w:rPr>
      </w:pPr>
    </w:p>
    <w:p w14:paraId="398483A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二、落实采购政策需满足的资格要求</w:t>
      </w:r>
    </w:p>
    <w:p w14:paraId="599B1769">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公告落实采购政策需满足的资格要求选择提供相应的材料；未要求的，无需提供）</w:t>
      </w:r>
    </w:p>
    <w:p w14:paraId="72A4883E">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p>
    <w:p w14:paraId="70699F59">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r>
        <w:rPr>
          <w:rFonts w:hint="eastAsia" w:ascii="宋体" w:hAnsi="宋体" w:eastAsia="宋体" w:cs="宋体"/>
          <w:b/>
          <w:color w:val="auto"/>
          <w:kern w:val="0"/>
          <w:sz w:val="32"/>
          <w:szCs w:val="32"/>
          <w:highlight w:val="none"/>
          <w:lang w:eastAsia="zh-CN"/>
        </w:rPr>
        <w:t>三</w:t>
      </w:r>
      <w:r>
        <w:rPr>
          <w:rFonts w:hint="eastAsia" w:ascii="宋体" w:hAnsi="宋体" w:eastAsia="宋体" w:cs="宋体"/>
          <w:b/>
          <w:color w:val="auto"/>
          <w:kern w:val="0"/>
          <w:sz w:val="32"/>
          <w:szCs w:val="32"/>
          <w:highlight w:val="none"/>
        </w:rPr>
        <w:t>、</w:t>
      </w:r>
      <w:r>
        <w:rPr>
          <w:rFonts w:hint="eastAsia" w:asciiTheme="minorEastAsia" w:hAnsiTheme="minorEastAsia" w:eastAsiaTheme="minorEastAsia" w:cstheme="minorEastAsia"/>
          <w:b/>
          <w:color w:val="auto"/>
          <w:kern w:val="0"/>
          <w:sz w:val="32"/>
          <w:szCs w:val="32"/>
          <w:highlight w:val="none"/>
        </w:rPr>
        <w:t>本项目的特定资格要求</w:t>
      </w:r>
    </w:p>
    <w:p w14:paraId="5F37A99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（根据交易公告本项目的特定资格要求提供相应的材料；未要求的，无需提供）</w:t>
      </w:r>
    </w:p>
    <w:p w14:paraId="468385B1">
      <w:pPr>
        <w:rPr>
          <w:rFonts w:hint="eastAsia" w:asciiTheme="minorEastAsia" w:hAnsiTheme="minorEastAsia" w:eastAsiaTheme="minorEastAsia" w:cstheme="minorEastAsia"/>
          <w:color w:val="auto"/>
          <w:highlight w:val="none"/>
        </w:rPr>
      </w:pPr>
    </w:p>
    <w:p w14:paraId="20D146EA">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3462EAD8">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686ADD7A">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20B98307">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0FF26F59">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192C401E">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3EE2428B">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759490DF">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0F7DB48E">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5E7675DD">
      <w:pP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14:paraId="6EFAA48B">
      <w:pPr>
        <w:spacing w:line="360" w:lineRule="auto"/>
        <w:ind w:right="420" w:firstLine="3614" w:firstLineChars="100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商务技术文件部分</w:t>
      </w:r>
    </w:p>
    <w:p w14:paraId="17852EC8">
      <w:pPr>
        <w:spacing w:line="360" w:lineRule="auto"/>
        <w:jc w:val="center"/>
        <w:outlineLvl w:val="0"/>
        <w:rPr>
          <w:rFonts w:hint="eastAsia" w:asciiTheme="minorEastAsia" w:hAnsiTheme="minorEastAsia" w:eastAsiaTheme="minorEastAsia" w:cstheme="minorEastAsia"/>
          <w:b/>
          <w:color w:val="auto"/>
          <w:kern w:val="0"/>
          <w:sz w:val="24"/>
          <w:highlight w:val="none"/>
        </w:rPr>
      </w:pPr>
    </w:p>
    <w:p w14:paraId="6CCD3EBB">
      <w:pPr>
        <w:spacing w:line="360" w:lineRule="auto"/>
        <w:jc w:val="center"/>
        <w:outlineLvl w:val="0"/>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目录</w:t>
      </w:r>
    </w:p>
    <w:p w14:paraId="3FE7A269">
      <w:pPr>
        <w:snapToGrid w:val="0"/>
        <w:spacing w:line="360" w:lineRule="auto"/>
        <w:ind w:left="479" w:leftChars="228"/>
        <w:jc w:val="distribut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（1）响应函</w:t>
      </w:r>
      <w:r>
        <w:rPr>
          <w:rFonts w:hint="eastAsia" w:asciiTheme="minorEastAsia" w:hAnsiTheme="minorEastAsia" w:eastAsiaTheme="minorEastAsia" w:cstheme="minorEastAsia"/>
          <w:color w:val="auto"/>
          <w:highlight w:val="none"/>
        </w:rPr>
        <w:t>…………………………………………………………………………………（页码）</w:t>
      </w:r>
      <w:r>
        <w:rPr>
          <w:rFonts w:hint="eastAsia" w:asciiTheme="minorEastAsia" w:hAnsiTheme="minorEastAsia" w:eastAsiaTheme="minorEastAsia" w:cstheme="minorEastAsia"/>
          <w:color w:val="auto"/>
          <w:sz w:val="24"/>
          <w:highlight w:val="none"/>
        </w:rPr>
        <w:t>（2）授权委托书或法定代表人（单位负责人、自然人本人）身份证明</w:t>
      </w:r>
      <w:r>
        <w:rPr>
          <w:rFonts w:hint="eastAsia" w:asciiTheme="minorEastAsia" w:hAnsiTheme="minorEastAsia" w:eastAsiaTheme="minorEastAsia" w:cstheme="minorEastAsia"/>
          <w:color w:val="auto"/>
          <w:highlight w:val="none"/>
        </w:rPr>
        <w:t>………（页码）</w:t>
      </w:r>
    </w:p>
    <w:p w14:paraId="7512DD94">
      <w:pPr>
        <w:snapToGrid w:val="0"/>
        <w:spacing w:line="360" w:lineRule="auto"/>
        <w:ind w:left="479" w:leftChars="22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 xml:space="preserve">（3）符合性审查资料 </w:t>
      </w:r>
      <w:r>
        <w:rPr>
          <w:rFonts w:hint="eastAsia" w:asciiTheme="minorEastAsia" w:hAnsiTheme="minorEastAsia" w:eastAsiaTheme="minorEastAsia" w:cstheme="minorEastAsia"/>
          <w:color w:val="auto"/>
          <w:highlight w:val="none"/>
        </w:rPr>
        <w:t>……………………………………………………………………（页码）</w:t>
      </w:r>
    </w:p>
    <w:p w14:paraId="38928C17">
      <w:pPr>
        <w:snapToGrid w:val="0"/>
        <w:spacing w:line="360" w:lineRule="auto"/>
        <w:ind w:left="479" w:leftChars="2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评标标准相应的商务技术资料……………………………………………（页码）</w:t>
      </w:r>
    </w:p>
    <w:p w14:paraId="2AE93EA3">
      <w:pPr>
        <w:snapToGrid w:val="0"/>
        <w:spacing w:line="360" w:lineRule="auto"/>
        <w:ind w:left="479" w:leftChars="228"/>
        <w:jc w:val="distribut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（5）交易标的清单……………………………………………………………（页码）</w:t>
      </w:r>
    </w:p>
    <w:p w14:paraId="0D5EBD29">
      <w:pPr>
        <w:snapToGrid w:val="0"/>
        <w:spacing w:line="360" w:lineRule="auto"/>
        <w:ind w:left="479" w:leftChars="2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（6）商务技术偏离表……………………………………………………………（页码）</w:t>
      </w:r>
    </w:p>
    <w:p w14:paraId="4207C533">
      <w:pPr>
        <w:snapToGrid w:val="0"/>
        <w:spacing w:line="360" w:lineRule="auto"/>
        <w:ind w:left="479" w:leftChars="2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zh-CN"/>
        </w:rPr>
        <w:t>采购供应商廉洁自律承诺书</w:t>
      </w:r>
      <w:r>
        <w:rPr>
          <w:rFonts w:hint="eastAsia" w:asciiTheme="minorEastAsia" w:hAnsiTheme="minorEastAsia" w:eastAsiaTheme="minorEastAsia" w:cstheme="minorEastAsia"/>
          <w:color w:val="auto"/>
          <w:sz w:val="24"/>
          <w:highlight w:val="none"/>
        </w:rPr>
        <w:t>………………………………………………（页码）</w:t>
      </w:r>
    </w:p>
    <w:p w14:paraId="689A8B2B">
      <w:pPr>
        <w:snapToGrid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p>
    <w:p w14:paraId="38AD2EF7">
      <w:pPr>
        <w:snapToGrid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p>
    <w:p w14:paraId="5344AD7A">
      <w:pPr>
        <w:snapToGrid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p>
    <w:p w14:paraId="4A7E1CE5">
      <w:pPr>
        <w:snapToGrid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p>
    <w:p w14:paraId="069ECEF5">
      <w:pPr>
        <w:snapToGrid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p>
    <w:p w14:paraId="2D913F1B">
      <w:pPr>
        <w:snapToGrid w:val="0"/>
        <w:spacing w:line="360" w:lineRule="auto"/>
        <w:jc w:val="center"/>
        <w:outlineLvl w:val="0"/>
        <w:rPr>
          <w:rFonts w:hint="eastAsia" w:asciiTheme="minorEastAsia" w:hAnsiTheme="minorEastAsia" w:eastAsiaTheme="minorEastAsia" w:cstheme="minorEastAsia"/>
          <w:b/>
          <w:color w:val="auto"/>
          <w:kern w:val="0"/>
          <w:sz w:val="32"/>
          <w:szCs w:val="32"/>
          <w:highlight w:val="none"/>
        </w:rPr>
      </w:pPr>
    </w:p>
    <w:p w14:paraId="13F3E772">
      <w:pPr>
        <w:snapToGrid w:val="0"/>
        <w:spacing w:line="360" w:lineRule="auto"/>
        <w:jc w:val="center"/>
        <w:outlineLvl w:val="0"/>
        <w:rPr>
          <w:rFonts w:hint="eastAsia" w:asciiTheme="minorEastAsia" w:hAnsiTheme="minorEastAsia" w:eastAsiaTheme="minorEastAsia" w:cstheme="minorEastAsia"/>
          <w:b/>
          <w:color w:val="auto"/>
          <w:kern w:val="0"/>
          <w:sz w:val="32"/>
          <w:szCs w:val="32"/>
          <w:highlight w:val="none"/>
        </w:rPr>
      </w:pPr>
    </w:p>
    <w:p w14:paraId="47B3821B">
      <w:pPr>
        <w:rPr>
          <w:rFonts w:hint="eastAsia" w:asciiTheme="minorEastAsia" w:hAnsiTheme="minorEastAsia" w:eastAsiaTheme="minorEastAsia" w:cstheme="minorEastAsia"/>
          <w:color w:val="auto"/>
          <w:highlight w:val="none"/>
        </w:rPr>
      </w:pPr>
    </w:p>
    <w:p w14:paraId="4CBCFFA1">
      <w:pPr>
        <w:snapToGrid w:val="0"/>
        <w:spacing w:line="360" w:lineRule="auto"/>
        <w:jc w:val="center"/>
        <w:outlineLvl w:val="0"/>
        <w:rPr>
          <w:rFonts w:hint="eastAsia" w:asciiTheme="minorEastAsia" w:hAnsiTheme="minorEastAsia" w:eastAsiaTheme="minorEastAsia" w:cstheme="minorEastAsia"/>
          <w:b/>
          <w:color w:val="auto"/>
          <w:kern w:val="0"/>
          <w:sz w:val="32"/>
          <w:szCs w:val="32"/>
          <w:highlight w:val="none"/>
        </w:rPr>
      </w:pPr>
    </w:p>
    <w:p w14:paraId="6856777E">
      <w:pPr>
        <w:snapToGrid w:val="0"/>
        <w:spacing w:line="360" w:lineRule="auto"/>
        <w:jc w:val="both"/>
        <w:outlineLvl w:val="0"/>
        <w:rPr>
          <w:rFonts w:hint="eastAsia" w:asciiTheme="minorEastAsia" w:hAnsiTheme="minorEastAsia" w:eastAsiaTheme="minorEastAsia" w:cstheme="minorEastAsia"/>
          <w:b/>
          <w:color w:val="auto"/>
          <w:kern w:val="0"/>
          <w:sz w:val="32"/>
          <w:szCs w:val="32"/>
          <w:highlight w:val="none"/>
        </w:rPr>
      </w:pPr>
    </w:p>
    <w:p w14:paraId="4CCFBFAE">
      <w:pPr>
        <w:snapToGrid w:val="0"/>
        <w:spacing w:line="360" w:lineRule="auto"/>
        <w:jc w:val="center"/>
        <w:outlineLvl w:val="0"/>
        <w:rPr>
          <w:rFonts w:hint="eastAsia" w:asciiTheme="minorEastAsia" w:hAnsiTheme="minorEastAsia" w:eastAsiaTheme="minorEastAsia" w:cstheme="minorEastAsia"/>
          <w:b/>
          <w:color w:val="auto"/>
          <w:kern w:val="0"/>
          <w:sz w:val="32"/>
          <w:szCs w:val="32"/>
          <w:highlight w:val="none"/>
        </w:rPr>
      </w:pPr>
    </w:p>
    <w:p w14:paraId="22800CEB">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3D8E64E9">
      <w:pPr>
        <w:snapToGrid w:val="0"/>
        <w:spacing w:line="360"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t>一、响应</w:t>
      </w:r>
      <w:r>
        <w:rPr>
          <w:rFonts w:hint="eastAsia" w:asciiTheme="minorEastAsia" w:hAnsiTheme="minorEastAsia" w:eastAsiaTheme="minorEastAsia" w:cstheme="minorEastAsia"/>
          <w:b/>
          <w:color w:val="auto"/>
          <w:sz w:val="32"/>
          <w:szCs w:val="32"/>
          <w:highlight w:val="none"/>
        </w:rPr>
        <w:t>函</w:t>
      </w:r>
    </w:p>
    <w:p w14:paraId="7828AF0A">
      <w:pPr>
        <w:snapToGrid w:val="0"/>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（采购人）、（采购代理机构）</w:t>
      </w:r>
      <w:r>
        <w:rPr>
          <w:rFonts w:hint="eastAsia" w:asciiTheme="minorEastAsia" w:hAnsiTheme="minorEastAsia" w:eastAsiaTheme="minorEastAsia" w:cstheme="minorEastAsia"/>
          <w:color w:val="auto"/>
          <w:sz w:val="24"/>
          <w:highlight w:val="none"/>
        </w:rPr>
        <w:t>：</w:t>
      </w:r>
    </w:p>
    <w:p w14:paraId="406309A0">
      <w:pPr>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我方参加你方组织的</w:t>
      </w:r>
      <w:r>
        <w:rPr>
          <w:rFonts w:hint="eastAsia" w:asciiTheme="minorEastAsia" w:hAnsiTheme="minorEastAsia" w:eastAsiaTheme="minorEastAsia" w:cstheme="minorEastAsia"/>
          <w:color w:val="auto"/>
          <w:sz w:val="24"/>
          <w:highlight w:val="none"/>
          <w:u w:val="single"/>
        </w:rPr>
        <w:t>（项目名称）【交易编号：       】</w:t>
      </w:r>
      <w:r>
        <w:rPr>
          <w:rFonts w:hint="eastAsia" w:asciiTheme="minorEastAsia" w:hAnsiTheme="minorEastAsia" w:eastAsiaTheme="minorEastAsia" w:cstheme="minorEastAsia"/>
          <w:color w:val="auto"/>
          <w:sz w:val="24"/>
          <w:highlight w:val="none"/>
        </w:rPr>
        <w:t>交易的有关活动，并对此项目进行响应。为此：</w:t>
      </w:r>
    </w:p>
    <w:p w14:paraId="7EDC91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1、我方承诺交易有效期从提交响应文件的截止之日起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天（不少于90天）</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本响应文件在交易有效期满之前均具有约束力。</w:t>
      </w:r>
    </w:p>
    <w:p w14:paraId="11E77EA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2、我方的响应文件包括以下内容：</w:t>
      </w:r>
    </w:p>
    <w:p w14:paraId="732A222D">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2.1资格文件：</w:t>
      </w:r>
    </w:p>
    <w:p w14:paraId="26DF6068">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2.1.1承诺函；</w:t>
      </w:r>
    </w:p>
    <w:p w14:paraId="0345E503">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2.1.2</w:t>
      </w:r>
      <w:r>
        <w:rPr>
          <w:rFonts w:hint="eastAsia" w:ascii="宋体" w:hAnsi="宋体" w:eastAsia="宋体" w:cs="宋体"/>
          <w:color w:val="auto"/>
          <w:sz w:val="24"/>
          <w:highlight w:val="none"/>
          <w:lang w:val="en-US" w:eastAsia="zh-CN"/>
        </w:rPr>
        <w:t>落实政府采购政策需满足的资格要求（如果有）</w:t>
      </w:r>
      <w:r>
        <w:rPr>
          <w:rFonts w:hint="eastAsia" w:ascii="宋体" w:hAnsi="宋体" w:eastAsia="宋体" w:cs="宋体"/>
          <w:color w:val="auto"/>
          <w:sz w:val="24"/>
          <w:highlight w:val="none"/>
        </w:rPr>
        <w:t>；</w:t>
      </w:r>
    </w:p>
    <w:p w14:paraId="65B6108B">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lang w:val="en-US" w:eastAsia="zh-CN"/>
        </w:rPr>
        <w:t>2.1.3</w:t>
      </w:r>
      <w:r>
        <w:rPr>
          <w:rFonts w:hint="eastAsia" w:asciiTheme="minorEastAsia" w:hAnsiTheme="minorEastAsia" w:eastAsiaTheme="minorEastAsia" w:cstheme="minorEastAsia"/>
          <w:color w:val="auto"/>
          <w:sz w:val="24"/>
          <w:highlight w:val="none"/>
        </w:rPr>
        <w:t>本项目的特定资格要求（如果有）。</w:t>
      </w:r>
    </w:p>
    <w:p w14:paraId="501154FF">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商务技术</w:t>
      </w:r>
      <w:r>
        <w:rPr>
          <w:rFonts w:hint="eastAsia" w:asciiTheme="minorEastAsia" w:hAnsiTheme="minorEastAsia" w:eastAsiaTheme="minorEastAsia" w:cstheme="minorEastAsia"/>
          <w:color w:val="auto"/>
          <w:sz w:val="24"/>
          <w:highlight w:val="none"/>
          <w:lang w:val="zh-CN"/>
        </w:rPr>
        <w:t>文件：</w:t>
      </w:r>
    </w:p>
    <w:p w14:paraId="475091FE">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2.2.1响应函；</w:t>
      </w:r>
      <w:r>
        <w:rPr>
          <w:rFonts w:hint="eastAsia" w:asciiTheme="minorEastAsia" w:hAnsiTheme="minorEastAsia" w:eastAsiaTheme="minorEastAsia" w:cstheme="minorEastAsia"/>
          <w:color w:val="auto"/>
          <w:sz w:val="24"/>
          <w:highlight w:val="none"/>
          <w:lang w:val="zh-CN"/>
        </w:rPr>
        <w:t xml:space="preserve"> </w:t>
      </w:r>
    </w:p>
    <w:p w14:paraId="0CE9A8D5">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2.2.2授权委托书或法定代表人（单位负责人）身份证明；</w:t>
      </w:r>
    </w:p>
    <w:p w14:paraId="0706C8C5">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2.2.3符合性审查资料；</w:t>
      </w:r>
    </w:p>
    <w:p w14:paraId="5808BE41">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2.2.4评标标准相应的商务技术资料；</w:t>
      </w:r>
    </w:p>
    <w:p w14:paraId="68EF5F8A">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2.2.5交易标的清单；</w:t>
      </w:r>
    </w:p>
    <w:p w14:paraId="0846AC48">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2.2.6商务技术偏离表；</w:t>
      </w:r>
    </w:p>
    <w:p w14:paraId="7D9BE384">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2.2.7</w:t>
      </w:r>
      <w:r>
        <w:rPr>
          <w:rFonts w:hint="eastAsia" w:asciiTheme="minorEastAsia" w:hAnsiTheme="minorEastAsia" w:eastAsiaTheme="minorEastAsia" w:cstheme="minorEastAsia"/>
          <w:color w:val="auto"/>
          <w:sz w:val="24"/>
          <w:highlight w:val="none"/>
          <w:lang w:val="zh-CN"/>
        </w:rPr>
        <w:t>采购供应商廉洁自律承诺书。</w:t>
      </w:r>
    </w:p>
    <w:p w14:paraId="2E118BA4">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3报价文件</w:t>
      </w:r>
    </w:p>
    <w:p w14:paraId="32A3BAEF">
      <w:pPr>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2.3.1交易一览表（报价表）；</w:t>
      </w:r>
    </w:p>
    <w:p w14:paraId="476A3AA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3、我方承诺除商务技术偏离表列出的偏离外，我方响应交易文件的全部要求。</w:t>
      </w:r>
    </w:p>
    <w:p w14:paraId="3D6B3C0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4、如我方成交，我方承诺：</w:t>
      </w:r>
    </w:p>
    <w:p w14:paraId="28A578C3">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4.1在收到成交通知书后，在成交通知书规定的期限内与你方签订合同； </w:t>
      </w:r>
    </w:p>
    <w:p w14:paraId="104574B2">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4.2在签订合同时不向你方提出附加条件； </w:t>
      </w:r>
    </w:p>
    <w:p w14:paraId="7FEDA1EC">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4.3按照交易文件要求提交履约保证金； </w:t>
      </w:r>
    </w:p>
    <w:p w14:paraId="6E8EE10F">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4.4在合同约定的期限内完成合同规定的全部义务。 </w:t>
      </w:r>
    </w:p>
    <w:p w14:paraId="242A1FBF">
      <w:pPr>
        <w:keepNext w:val="0"/>
        <w:keepLines w:val="0"/>
        <w:pageBreakBefore w:val="0"/>
        <w:widowControl w:val="0"/>
        <w:kinsoku/>
        <w:wordWrap/>
        <w:overflowPunct/>
        <w:topLinePunct w:val="0"/>
        <w:autoSpaceDE/>
        <w:autoSpaceDN/>
        <w:bidi w:val="0"/>
        <w:adjustRightInd w:val="0"/>
        <w:snapToGrid w:val="0"/>
        <w:spacing w:line="400" w:lineRule="exact"/>
        <w:ind w:left="210" w:leftChars="10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5、其他补充说明: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2C5F6611">
      <w:pPr>
        <w:keepNext w:val="0"/>
        <w:keepLines w:val="0"/>
        <w:pageBreakBefore w:val="0"/>
        <w:widowControl w:val="0"/>
        <w:kinsoku/>
        <w:wordWrap/>
        <w:overflowPunct/>
        <w:topLinePunct w:val="0"/>
        <w:autoSpaceDE/>
        <w:autoSpaceDN/>
        <w:bidi w:val="0"/>
        <w:adjustRightInd w:val="0"/>
        <w:spacing w:line="400" w:lineRule="exact"/>
        <w:ind w:firstLine="3600" w:firstLineChars="15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供应商名称（电子签名）：                          </w:t>
      </w:r>
    </w:p>
    <w:p w14:paraId="586F8728">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4C024275">
      <w:pPr>
        <w:keepNext w:val="0"/>
        <w:keepLines w:val="0"/>
        <w:pageBreakBefore w:val="0"/>
        <w:widowControl w:val="0"/>
        <w:kinsoku/>
        <w:wordWrap/>
        <w:overflowPunct/>
        <w:topLinePunct w:val="0"/>
        <w:autoSpaceDE/>
        <w:autoSpaceDN/>
        <w:bidi w:val="0"/>
        <w:adjustRightInd w:val="0"/>
        <w:spacing w:line="400" w:lineRule="exact"/>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37E4AE75">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230CBF9F">
      <w:pPr>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二、授权委托书或法定代表人（单位负责人、自然人本人）身份证明</w:t>
      </w:r>
    </w:p>
    <w:p w14:paraId="1643D50C">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4B9C4C3">
      <w:pPr>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lang w:val="zh-CN"/>
        </w:rPr>
        <w:t>授权委托书</w:t>
      </w:r>
    </w:p>
    <w:p w14:paraId="488D6AE8">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（采购人）、（采购代理机构）</w:t>
      </w:r>
      <w:r>
        <w:rPr>
          <w:rFonts w:hint="eastAsia" w:asciiTheme="minorEastAsia" w:hAnsiTheme="minorEastAsia" w:eastAsiaTheme="minorEastAsia" w:cstheme="minorEastAsia"/>
          <w:color w:val="auto"/>
          <w:kern w:val="0"/>
          <w:sz w:val="24"/>
          <w:highlight w:val="none"/>
          <w:lang w:val="zh-CN"/>
        </w:rPr>
        <w:t>：</w:t>
      </w:r>
    </w:p>
    <w:p w14:paraId="2E81A6C7">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eastAsiaTheme="minorEastAsia" w:cstheme="minorEastAsia"/>
          <w:color w:val="auto"/>
          <w:sz w:val="24"/>
          <w:highlight w:val="none"/>
        </w:rPr>
        <w:t>（项目名称）【交易编号：    】</w:t>
      </w:r>
      <w:r>
        <w:rPr>
          <w:rFonts w:hint="eastAsia" w:asciiTheme="minorEastAsia" w:hAnsiTheme="minorEastAsia" w:eastAsiaTheme="minorEastAsia" w:cstheme="minorEastAsia"/>
          <w:color w:val="auto"/>
          <w:kern w:val="0"/>
          <w:sz w:val="24"/>
          <w:highlight w:val="none"/>
          <w:lang w:val="zh-CN"/>
        </w:rPr>
        <w:t>交易的一切事项，其法律后果由我方承担。</w:t>
      </w:r>
    </w:p>
    <w:p w14:paraId="3920C00D">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委托期限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自</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日止。</w:t>
      </w:r>
    </w:p>
    <w:p w14:paraId="0DF3F4B1">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特此告知。</w:t>
      </w:r>
    </w:p>
    <w:p w14:paraId="2EC98D88">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供应商名称(电子签名)：</w:t>
      </w:r>
    </w:p>
    <w:p w14:paraId="7D02BE78">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签发日期：  年  月   日</w:t>
      </w:r>
    </w:p>
    <w:p w14:paraId="5E00D1C2">
      <w:pPr>
        <w:rPr>
          <w:rFonts w:hint="eastAsia" w:asciiTheme="minorEastAsia" w:hAnsiTheme="minorEastAsia" w:eastAsiaTheme="minorEastAsia" w:cstheme="minorEastAsia"/>
          <w:b/>
          <w:color w:val="auto"/>
          <w:kern w:val="0"/>
          <w:sz w:val="32"/>
          <w:szCs w:val="32"/>
          <w:highlight w:val="none"/>
          <w:lang w:val="zh-CN"/>
        </w:rPr>
      </w:pPr>
    </w:p>
    <w:p w14:paraId="6370C213">
      <w:pPr>
        <w:autoSpaceDE w:val="0"/>
        <w:autoSpaceDN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32"/>
          <w:szCs w:val="32"/>
          <w:highlight w:val="none"/>
          <w:lang w:val="zh-CN"/>
        </w:rPr>
        <w:t>法定代表人、单位负责人或自然人本人</w:t>
      </w:r>
      <w:r>
        <w:rPr>
          <w:rFonts w:hint="eastAsia" w:asciiTheme="minorEastAsia" w:hAnsiTheme="minorEastAsia" w:eastAsiaTheme="minorEastAsia" w:cstheme="minorEastAsia"/>
          <w:b/>
          <w:color w:val="auto"/>
          <w:sz w:val="30"/>
          <w:szCs w:val="30"/>
          <w:highlight w:val="none"/>
        </w:rPr>
        <w:t>的身份证明（适用于法定代表人、单位负责人或者自然人本人代表供应商参加交易）</w:t>
      </w:r>
    </w:p>
    <w:p w14:paraId="2C62BBF8">
      <w:pPr>
        <w:pStyle w:val="149"/>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81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9207" w:type="dxa"/>
          </w:tcPr>
          <w:p w14:paraId="30094321">
            <w:pPr>
              <w:pStyle w:val="149"/>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7197474F">
            <w:pPr>
              <w:pStyle w:val="149"/>
              <w:adjustRightInd w:val="0"/>
              <w:spacing w:line="360" w:lineRule="auto"/>
              <w:rPr>
                <w:rFonts w:hint="eastAsia" w:asciiTheme="minorEastAsia" w:hAnsiTheme="minorEastAsia" w:eastAsiaTheme="minorEastAsia" w:cstheme="minorEastAsia"/>
                <w:bCs/>
                <w:color w:val="auto"/>
                <w:sz w:val="24"/>
                <w:highlight w:val="none"/>
              </w:rPr>
            </w:pPr>
          </w:p>
        </w:tc>
      </w:tr>
    </w:tbl>
    <w:p w14:paraId="3F67328C">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10CA9864">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供应商名称(电子签名)：                              </w:t>
      </w:r>
    </w:p>
    <w:p w14:paraId="400F2FB1">
      <w:pPr>
        <w:spacing w:line="360" w:lineRule="auto"/>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56468313">
      <w:pPr>
        <w:jc w:val="center"/>
        <w:rPr>
          <w:rFonts w:hint="eastAsia" w:asciiTheme="minorEastAsia" w:hAnsiTheme="minorEastAsia" w:eastAsiaTheme="minorEastAsia" w:cstheme="minorEastAsia"/>
          <w:b/>
          <w:color w:val="auto"/>
          <w:kern w:val="0"/>
          <w:sz w:val="32"/>
          <w:szCs w:val="32"/>
          <w:highlight w:val="none"/>
        </w:rPr>
      </w:pPr>
    </w:p>
    <w:p w14:paraId="2A031E56">
      <w:pPr>
        <w:snapToGrid w:val="0"/>
        <w:spacing w:line="360" w:lineRule="auto"/>
        <w:rPr>
          <w:rFonts w:hint="eastAsia" w:asciiTheme="minorEastAsia" w:hAnsiTheme="minorEastAsia" w:eastAsiaTheme="minorEastAsia" w:cstheme="minorEastAsia"/>
          <w:color w:val="auto"/>
          <w:kern w:val="0"/>
          <w:sz w:val="24"/>
          <w:highlight w:val="none"/>
        </w:rPr>
      </w:pPr>
    </w:p>
    <w:p w14:paraId="5699ED3C">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4546FACC">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三、符合性审查资料</w:t>
      </w:r>
    </w:p>
    <w:p w14:paraId="48F29107">
      <w:pPr>
        <w:jc w:val="center"/>
        <w:rPr>
          <w:rFonts w:hint="eastAsia" w:asciiTheme="minorEastAsia" w:hAnsiTheme="minorEastAsia" w:eastAsiaTheme="minorEastAsia" w:cstheme="minorEastAsia"/>
          <w:b/>
          <w:color w:val="auto"/>
          <w:kern w:val="0"/>
          <w:sz w:val="32"/>
          <w:szCs w:val="32"/>
          <w:highlight w:val="none"/>
        </w:rPr>
      </w:pPr>
    </w:p>
    <w:tbl>
      <w:tblPr>
        <w:tblStyle w:val="6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672"/>
        <w:gridCol w:w="2551"/>
        <w:gridCol w:w="1418"/>
      </w:tblGrid>
      <w:tr w14:paraId="25C6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170492">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4672" w:type="dxa"/>
            <w:vAlign w:val="center"/>
          </w:tcPr>
          <w:p w14:paraId="247663AA">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实质性要求</w:t>
            </w:r>
          </w:p>
        </w:tc>
        <w:tc>
          <w:tcPr>
            <w:tcW w:w="2551" w:type="dxa"/>
            <w:vAlign w:val="center"/>
          </w:tcPr>
          <w:p w14:paraId="621F4E96">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需要提供的符合性审查资料</w:t>
            </w:r>
          </w:p>
        </w:tc>
        <w:tc>
          <w:tcPr>
            <w:tcW w:w="1418" w:type="dxa"/>
            <w:vAlign w:val="center"/>
          </w:tcPr>
          <w:p w14:paraId="6699D418">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响应文件中的</w:t>
            </w:r>
          </w:p>
          <w:p w14:paraId="049672B5">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页码位置</w:t>
            </w:r>
          </w:p>
        </w:tc>
      </w:tr>
      <w:tr w14:paraId="2D33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4A729F">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672" w:type="dxa"/>
            <w:vAlign w:val="center"/>
          </w:tcPr>
          <w:p w14:paraId="7B73AF2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响应文件按照交易文件要求签署、盖章。</w:t>
            </w:r>
          </w:p>
        </w:tc>
        <w:tc>
          <w:tcPr>
            <w:tcW w:w="2551" w:type="dxa"/>
            <w:vAlign w:val="center"/>
          </w:tcPr>
          <w:p w14:paraId="0BEA394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需要使用电子签名或者签字盖章的响应文件的组成部分</w:t>
            </w:r>
          </w:p>
        </w:tc>
        <w:tc>
          <w:tcPr>
            <w:tcW w:w="1418" w:type="dxa"/>
            <w:vAlign w:val="center"/>
          </w:tcPr>
          <w:p w14:paraId="7A611F87">
            <w:pPr>
              <w:jc w:val="center"/>
              <w:rPr>
                <w:rFonts w:hint="eastAsia" w:asciiTheme="minorEastAsia" w:hAnsiTheme="minorEastAsia" w:eastAsiaTheme="minorEastAsia" w:cstheme="minorEastAsia"/>
                <w:color w:val="auto"/>
                <w:sz w:val="24"/>
                <w:highlight w:val="none"/>
              </w:rPr>
            </w:pPr>
          </w:p>
          <w:p w14:paraId="00C0EABF">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见响应文件</w:t>
            </w:r>
          </w:p>
          <w:p w14:paraId="7EBC9F9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480D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6CCA6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4672" w:type="dxa"/>
            <w:vAlign w:val="center"/>
          </w:tcPr>
          <w:p w14:paraId="27C0D21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响应文件中承诺的交易有效期不少于交易文件中载明的交易有效期。</w:t>
            </w:r>
          </w:p>
        </w:tc>
        <w:tc>
          <w:tcPr>
            <w:tcW w:w="2551" w:type="dxa"/>
            <w:vAlign w:val="center"/>
          </w:tcPr>
          <w:p w14:paraId="2E32C96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响应函</w:t>
            </w:r>
          </w:p>
        </w:tc>
        <w:tc>
          <w:tcPr>
            <w:tcW w:w="1418" w:type="dxa"/>
            <w:vAlign w:val="center"/>
          </w:tcPr>
          <w:p w14:paraId="207C619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见响应文件第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3ED1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2CCAFA8">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4672" w:type="dxa"/>
            <w:vAlign w:val="center"/>
          </w:tcPr>
          <w:p w14:paraId="4F1F900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响应文件满足交易文件的其它实质性要求。</w:t>
            </w:r>
          </w:p>
        </w:tc>
        <w:tc>
          <w:tcPr>
            <w:tcW w:w="2551" w:type="dxa"/>
            <w:vAlign w:val="center"/>
          </w:tcPr>
          <w:p w14:paraId="2A44DF9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交易文件其它实质性要求相应的材料（“▲” 系指实质性要求条款，交易文件无其它实质性要求的，无需提供）</w:t>
            </w:r>
          </w:p>
        </w:tc>
        <w:tc>
          <w:tcPr>
            <w:tcW w:w="1418" w:type="dxa"/>
            <w:vAlign w:val="center"/>
          </w:tcPr>
          <w:p w14:paraId="660DBC8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见响应文件第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bl>
    <w:p w14:paraId="2BB5EFFC">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79E06A7A">
      <w:pPr>
        <w:jc w:val="center"/>
        <w:rPr>
          <w:rFonts w:hint="eastAsia" w:asciiTheme="minorEastAsia" w:hAnsiTheme="minorEastAsia" w:eastAsiaTheme="minorEastAsia" w:cstheme="minorEastAsia"/>
          <w:b/>
          <w:color w:val="auto"/>
          <w:kern w:val="0"/>
          <w:sz w:val="32"/>
          <w:szCs w:val="32"/>
          <w:highlight w:val="none"/>
        </w:rPr>
      </w:pPr>
    </w:p>
    <w:p w14:paraId="28FEC1DC">
      <w:pPr>
        <w:jc w:val="center"/>
        <w:rPr>
          <w:rFonts w:hint="eastAsia" w:asciiTheme="minorEastAsia" w:hAnsiTheme="minorEastAsia" w:eastAsiaTheme="minorEastAsia" w:cstheme="minorEastAsia"/>
          <w:b/>
          <w:color w:val="auto"/>
          <w:kern w:val="0"/>
          <w:sz w:val="32"/>
          <w:szCs w:val="32"/>
          <w:highlight w:val="none"/>
        </w:rPr>
      </w:pPr>
    </w:p>
    <w:p w14:paraId="16C61C99">
      <w:pPr>
        <w:jc w:val="center"/>
        <w:rPr>
          <w:rFonts w:hint="eastAsia" w:asciiTheme="minorEastAsia" w:hAnsiTheme="minorEastAsia" w:eastAsiaTheme="minorEastAsia" w:cstheme="minorEastAsia"/>
          <w:b/>
          <w:color w:val="auto"/>
          <w:kern w:val="0"/>
          <w:sz w:val="32"/>
          <w:szCs w:val="32"/>
          <w:highlight w:val="none"/>
        </w:rPr>
      </w:pPr>
    </w:p>
    <w:p w14:paraId="65163FB6">
      <w:pPr>
        <w:jc w:val="center"/>
        <w:rPr>
          <w:rFonts w:hint="eastAsia" w:asciiTheme="minorEastAsia" w:hAnsiTheme="minorEastAsia" w:eastAsiaTheme="minorEastAsia" w:cstheme="minorEastAsia"/>
          <w:b/>
          <w:color w:val="auto"/>
          <w:kern w:val="0"/>
          <w:sz w:val="32"/>
          <w:szCs w:val="32"/>
          <w:highlight w:val="none"/>
        </w:rPr>
      </w:pPr>
    </w:p>
    <w:p w14:paraId="5A95E221">
      <w:pPr>
        <w:jc w:val="center"/>
        <w:rPr>
          <w:rFonts w:hint="eastAsia" w:asciiTheme="minorEastAsia" w:hAnsiTheme="minorEastAsia" w:eastAsiaTheme="minorEastAsia" w:cstheme="minorEastAsia"/>
          <w:b/>
          <w:color w:val="auto"/>
          <w:kern w:val="0"/>
          <w:sz w:val="32"/>
          <w:szCs w:val="32"/>
          <w:highlight w:val="none"/>
        </w:rPr>
      </w:pPr>
    </w:p>
    <w:p w14:paraId="69EF2269">
      <w:pPr>
        <w:jc w:val="center"/>
        <w:rPr>
          <w:rFonts w:hint="eastAsia" w:asciiTheme="minorEastAsia" w:hAnsiTheme="minorEastAsia" w:eastAsiaTheme="minorEastAsia" w:cstheme="minorEastAsia"/>
          <w:b/>
          <w:color w:val="auto"/>
          <w:kern w:val="0"/>
          <w:sz w:val="32"/>
          <w:szCs w:val="32"/>
          <w:highlight w:val="none"/>
        </w:rPr>
      </w:pPr>
    </w:p>
    <w:p w14:paraId="48FD2295">
      <w:pPr>
        <w:jc w:val="center"/>
        <w:rPr>
          <w:rFonts w:hint="eastAsia" w:asciiTheme="minorEastAsia" w:hAnsiTheme="minorEastAsia" w:eastAsiaTheme="minorEastAsia" w:cstheme="minorEastAsia"/>
          <w:b/>
          <w:color w:val="auto"/>
          <w:kern w:val="0"/>
          <w:sz w:val="32"/>
          <w:szCs w:val="32"/>
          <w:highlight w:val="none"/>
        </w:rPr>
      </w:pPr>
    </w:p>
    <w:p w14:paraId="22B58FD5">
      <w:pPr>
        <w:jc w:val="center"/>
        <w:rPr>
          <w:rFonts w:hint="eastAsia" w:asciiTheme="minorEastAsia" w:hAnsiTheme="minorEastAsia" w:eastAsiaTheme="minorEastAsia" w:cstheme="minorEastAsia"/>
          <w:b/>
          <w:color w:val="auto"/>
          <w:kern w:val="0"/>
          <w:sz w:val="32"/>
          <w:szCs w:val="32"/>
          <w:highlight w:val="none"/>
        </w:rPr>
      </w:pPr>
    </w:p>
    <w:p w14:paraId="645A47E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rPr>
        <w:t>四、评标标准相应的商务技术资料</w:t>
      </w:r>
    </w:p>
    <w:p w14:paraId="13EDB372">
      <w:pPr>
        <w:snapToGrid w:val="0"/>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（按交易文件第四部分评标办法前附表中“响应文件中评标标准相应的商务技术资料目录”提供资料。）</w:t>
      </w:r>
    </w:p>
    <w:p w14:paraId="450DDBC1">
      <w:pPr>
        <w:jc w:val="center"/>
        <w:rPr>
          <w:rFonts w:hint="eastAsia" w:asciiTheme="minorEastAsia" w:hAnsiTheme="minorEastAsia" w:eastAsiaTheme="minorEastAsia" w:cstheme="minorEastAsia"/>
          <w:b/>
          <w:color w:val="auto"/>
          <w:kern w:val="0"/>
          <w:sz w:val="32"/>
          <w:szCs w:val="32"/>
          <w:highlight w:val="none"/>
        </w:rPr>
      </w:pPr>
    </w:p>
    <w:p w14:paraId="56C639C4">
      <w:pPr>
        <w:jc w:val="center"/>
        <w:rPr>
          <w:rFonts w:hint="eastAsia" w:asciiTheme="minorEastAsia" w:hAnsiTheme="minorEastAsia" w:eastAsiaTheme="minorEastAsia" w:cstheme="minorEastAsia"/>
          <w:b/>
          <w:color w:val="auto"/>
          <w:kern w:val="0"/>
          <w:sz w:val="32"/>
          <w:szCs w:val="32"/>
          <w:highlight w:val="none"/>
        </w:rPr>
      </w:pPr>
    </w:p>
    <w:p w14:paraId="2FF39F88">
      <w:pPr>
        <w:jc w:val="center"/>
        <w:rPr>
          <w:rFonts w:hint="eastAsia" w:asciiTheme="minorEastAsia" w:hAnsiTheme="minorEastAsia" w:eastAsiaTheme="minorEastAsia" w:cstheme="minorEastAsia"/>
          <w:b/>
          <w:color w:val="auto"/>
          <w:kern w:val="0"/>
          <w:sz w:val="32"/>
          <w:szCs w:val="32"/>
          <w:highlight w:val="none"/>
        </w:rPr>
      </w:pPr>
    </w:p>
    <w:p w14:paraId="1169889D">
      <w:pPr>
        <w:jc w:val="center"/>
        <w:rPr>
          <w:rFonts w:hint="eastAsia" w:asciiTheme="minorEastAsia" w:hAnsiTheme="minorEastAsia" w:eastAsiaTheme="minorEastAsia" w:cstheme="minorEastAsia"/>
          <w:b/>
          <w:color w:val="auto"/>
          <w:kern w:val="0"/>
          <w:sz w:val="32"/>
          <w:szCs w:val="32"/>
          <w:highlight w:val="none"/>
        </w:rPr>
      </w:pPr>
    </w:p>
    <w:p w14:paraId="5CEC5893">
      <w:pPr>
        <w:jc w:val="center"/>
        <w:rPr>
          <w:rFonts w:hint="eastAsia" w:asciiTheme="minorEastAsia" w:hAnsiTheme="minorEastAsia" w:eastAsiaTheme="minorEastAsia" w:cstheme="minorEastAsia"/>
          <w:b/>
          <w:color w:val="auto"/>
          <w:kern w:val="0"/>
          <w:sz w:val="32"/>
          <w:szCs w:val="32"/>
          <w:highlight w:val="none"/>
        </w:rPr>
      </w:pPr>
    </w:p>
    <w:p w14:paraId="01587673">
      <w:pPr>
        <w:jc w:val="center"/>
        <w:rPr>
          <w:rFonts w:hint="eastAsia" w:asciiTheme="minorEastAsia" w:hAnsiTheme="minorEastAsia" w:eastAsiaTheme="minorEastAsia" w:cstheme="minorEastAsia"/>
          <w:b/>
          <w:color w:val="auto"/>
          <w:kern w:val="0"/>
          <w:sz w:val="32"/>
          <w:szCs w:val="32"/>
          <w:highlight w:val="none"/>
        </w:rPr>
      </w:pPr>
    </w:p>
    <w:p w14:paraId="724D5E06">
      <w:pPr>
        <w:jc w:val="center"/>
        <w:rPr>
          <w:rFonts w:hint="eastAsia" w:asciiTheme="minorEastAsia" w:hAnsiTheme="minorEastAsia" w:eastAsiaTheme="minorEastAsia" w:cstheme="minorEastAsia"/>
          <w:b/>
          <w:color w:val="auto"/>
          <w:kern w:val="0"/>
          <w:sz w:val="32"/>
          <w:szCs w:val="32"/>
          <w:highlight w:val="none"/>
        </w:rPr>
      </w:pPr>
    </w:p>
    <w:p w14:paraId="15C4AC96">
      <w:pPr>
        <w:ind w:firstLine="2891" w:firstLineChars="900"/>
        <w:rPr>
          <w:rFonts w:hint="eastAsia" w:asciiTheme="minorEastAsia" w:hAnsiTheme="minorEastAsia" w:eastAsiaTheme="minorEastAsia" w:cstheme="minorEastAsia"/>
          <w:b/>
          <w:color w:val="auto"/>
          <w:kern w:val="0"/>
          <w:sz w:val="32"/>
          <w:szCs w:val="32"/>
          <w:highlight w:val="none"/>
        </w:rPr>
      </w:pPr>
    </w:p>
    <w:p w14:paraId="31BBC2CE">
      <w:pPr>
        <w:ind w:firstLine="2891" w:firstLineChars="900"/>
        <w:rPr>
          <w:rFonts w:hint="eastAsia" w:asciiTheme="minorEastAsia" w:hAnsiTheme="minorEastAsia" w:eastAsiaTheme="minorEastAsia" w:cstheme="minorEastAsia"/>
          <w:b/>
          <w:color w:val="auto"/>
          <w:kern w:val="0"/>
          <w:sz w:val="32"/>
          <w:szCs w:val="32"/>
          <w:highlight w:val="none"/>
        </w:rPr>
      </w:pPr>
    </w:p>
    <w:p w14:paraId="7B1A05E2">
      <w:pPr>
        <w:ind w:firstLine="2891" w:firstLineChars="900"/>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五、交易标的清单</w:t>
      </w:r>
    </w:p>
    <w:tbl>
      <w:tblPr>
        <w:tblStyle w:val="6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639"/>
        <w:gridCol w:w="1677"/>
        <w:gridCol w:w="1705"/>
        <w:gridCol w:w="1636"/>
        <w:gridCol w:w="948"/>
      </w:tblGrid>
      <w:tr w14:paraId="4572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A9AEEC8">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39648C4">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名称</w:t>
            </w:r>
          </w:p>
        </w:tc>
        <w:tc>
          <w:tcPr>
            <w:tcW w:w="1639" w:type="dxa"/>
            <w:tcBorders>
              <w:top w:val="single" w:color="auto" w:sz="4" w:space="0"/>
              <w:left w:val="single" w:color="auto" w:sz="4" w:space="0"/>
              <w:bottom w:val="single" w:color="auto" w:sz="4" w:space="0"/>
              <w:right w:val="single" w:color="auto" w:sz="4" w:space="0"/>
            </w:tcBorders>
            <w:vAlign w:val="center"/>
          </w:tcPr>
          <w:p w14:paraId="7FCD90B8">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服务范围</w:t>
            </w:r>
          </w:p>
        </w:tc>
        <w:tc>
          <w:tcPr>
            <w:tcW w:w="1677" w:type="dxa"/>
            <w:tcBorders>
              <w:top w:val="single" w:color="auto" w:sz="4" w:space="0"/>
              <w:left w:val="single" w:color="auto" w:sz="4" w:space="0"/>
              <w:bottom w:val="single" w:color="auto" w:sz="4" w:space="0"/>
              <w:right w:val="single" w:color="auto" w:sz="4" w:space="0"/>
            </w:tcBorders>
            <w:vAlign w:val="center"/>
          </w:tcPr>
          <w:p w14:paraId="0A100F73">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服务要求</w:t>
            </w:r>
          </w:p>
        </w:tc>
        <w:tc>
          <w:tcPr>
            <w:tcW w:w="1705" w:type="dxa"/>
            <w:tcBorders>
              <w:top w:val="single" w:color="auto" w:sz="4" w:space="0"/>
              <w:left w:val="single" w:color="auto" w:sz="4" w:space="0"/>
              <w:bottom w:val="single" w:color="auto" w:sz="4" w:space="0"/>
              <w:right w:val="single" w:color="auto" w:sz="4" w:space="0"/>
            </w:tcBorders>
            <w:vAlign w:val="center"/>
          </w:tcPr>
          <w:p w14:paraId="719B0D3D">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服务时间</w:t>
            </w:r>
          </w:p>
        </w:tc>
        <w:tc>
          <w:tcPr>
            <w:tcW w:w="1636" w:type="dxa"/>
            <w:tcBorders>
              <w:top w:val="single" w:color="auto" w:sz="4" w:space="0"/>
              <w:left w:val="single" w:color="auto" w:sz="4" w:space="0"/>
              <w:bottom w:val="single" w:color="auto" w:sz="4" w:space="0"/>
              <w:right w:val="single" w:color="auto" w:sz="4" w:space="0"/>
            </w:tcBorders>
            <w:vAlign w:val="center"/>
          </w:tcPr>
          <w:p w14:paraId="1A81ADAD">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服务标准</w:t>
            </w:r>
          </w:p>
        </w:tc>
        <w:tc>
          <w:tcPr>
            <w:tcW w:w="948" w:type="dxa"/>
            <w:tcBorders>
              <w:top w:val="single" w:color="auto" w:sz="4" w:space="0"/>
              <w:left w:val="single" w:color="auto" w:sz="4" w:space="0"/>
              <w:bottom w:val="single" w:color="auto" w:sz="4" w:space="0"/>
              <w:right w:val="single" w:color="auto" w:sz="4" w:space="0"/>
            </w:tcBorders>
            <w:vAlign w:val="center"/>
          </w:tcPr>
          <w:p w14:paraId="1E5152EC">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r>
      <w:tr w14:paraId="620F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DD6CAC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C021853">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0295A09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2D7915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6364655F">
            <w:pPr>
              <w:spacing w:line="360" w:lineRule="auto"/>
              <w:jc w:val="center"/>
              <w:rPr>
                <w:rFonts w:hint="eastAsia" w:asciiTheme="minorEastAsia" w:hAnsiTheme="minorEastAsia" w:eastAsiaTheme="minorEastAsia" w:cstheme="minorEastAsia"/>
                <w:color w:val="auto"/>
                <w:sz w:val="24"/>
                <w:highlight w:val="none"/>
              </w:rPr>
            </w:pPr>
          </w:p>
        </w:tc>
        <w:tc>
          <w:tcPr>
            <w:tcW w:w="1636" w:type="dxa"/>
            <w:tcBorders>
              <w:top w:val="single" w:color="auto" w:sz="4" w:space="0"/>
              <w:left w:val="single" w:color="auto" w:sz="4" w:space="0"/>
              <w:bottom w:val="single" w:color="auto" w:sz="4" w:space="0"/>
              <w:right w:val="single" w:color="auto" w:sz="4" w:space="0"/>
            </w:tcBorders>
            <w:vAlign w:val="center"/>
          </w:tcPr>
          <w:p w14:paraId="08F4864B">
            <w:pPr>
              <w:spacing w:line="360" w:lineRule="auto"/>
              <w:jc w:val="center"/>
              <w:rPr>
                <w:rFonts w:hint="eastAsia" w:asciiTheme="minorEastAsia" w:hAnsiTheme="minorEastAsia" w:eastAsiaTheme="minorEastAsia" w:cstheme="minorEastAsia"/>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1B2B327A">
            <w:pPr>
              <w:spacing w:line="360" w:lineRule="auto"/>
              <w:jc w:val="center"/>
              <w:rPr>
                <w:rFonts w:hint="eastAsia" w:asciiTheme="minorEastAsia" w:hAnsiTheme="minorEastAsia" w:eastAsiaTheme="minorEastAsia" w:cstheme="minorEastAsia"/>
                <w:color w:val="auto"/>
                <w:sz w:val="24"/>
                <w:highlight w:val="none"/>
              </w:rPr>
            </w:pPr>
          </w:p>
        </w:tc>
      </w:tr>
      <w:tr w14:paraId="4C2C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43EBC8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C9F1CB6">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7CF5DBD0">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519965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4133C174">
            <w:pPr>
              <w:spacing w:line="360" w:lineRule="auto"/>
              <w:jc w:val="center"/>
              <w:rPr>
                <w:rFonts w:hint="eastAsia" w:asciiTheme="minorEastAsia" w:hAnsiTheme="minorEastAsia" w:eastAsiaTheme="minorEastAsia" w:cstheme="minorEastAsia"/>
                <w:color w:val="auto"/>
                <w:sz w:val="24"/>
                <w:highlight w:val="none"/>
              </w:rPr>
            </w:pPr>
          </w:p>
        </w:tc>
        <w:tc>
          <w:tcPr>
            <w:tcW w:w="1636" w:type="dxa"/>
            <w:tcBorders>
              <w:top w:val="single" w:color="auto" w:sz="4" w:space="0"/>
              <w:left w:val="single" w:color="auto" w:sz="4" w:space="0"/>
              <w:bottom w:val="single" w:color="auto" w:sz="4" w:space="0"/>
              <w:right w:val="single" w:color="auto" w:sz="4" w:space="0"/>
            </w:tcBorders>
            <w:vAlign w:val="center"/>
          </w:tcPr>
          <w:p w14:paraId="42AA3FFE">
            <w:pPr>
              <w:spacing w:line="360" w:lineRule="auto"/>
              <w:jc w:val="center"/>
              <w:rPr>
                <w:rFonts w:hint="eastAsia" w:asciiTheme="minorEastAsia" w:hAnsiTheme="minorEastAsia" w:eastAsiaTheme="minorEastAsia" w:cstheme="minorEastAsia"/>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3F28B870">
            <w:pPr>
              <w:spacing w:line="360" w:lineRule="auto"/>
              <w:jc w:val="center"/>
              <w:rPr>
                <w:rFonts w:hint="eastAsia" w:asciiTheme="minorEastAsia" w:hAnsiTheme="minorEastAsia" w:eastAsiaTheme="minorEastAsia" w:cstheme="minorEastAsia"/>
                <w:color w:val="auto"/>
                <w:sz w:val="24"/>
                <w:highlight w:val="none"/>
              </w:rPr>
            </w:pPr>
          </w:p>
        </w:tc>
      </w:tr>
      <w:tr w14:paraId="7E03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CF750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5B6C644">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639" w:type="dxa"/>
            <w:tcBorders>
              <w:top w:val="single" w:color="auto" w:sz="4" w:space="0"/>
              <w:left w:val="single" w:color="auto" w:sz="4" w:space="0"/>
              <w:bottom w:val="single" w:color="auto" w:sz="4" w:space="0"/>
              <w:right w:val="single" w:color="auto" w:sz="4" w:space="0"/>
            </w:tcBorders>
            <w:vAlign w:val="center"/>
          </w:tcPr>
          <w:p w14:paraId="09CF9A15">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25AF47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303A3B26">
            <w:pPr>
              <w:spacing w:line="360" w:lineRule="auto"/>
              <w:jc w:val="center"/>
              <w:rPr>
                <w:rFonts w:hint="eastAsia" w:asciiTheme="minorEastAsia" w:hAnsiTheme="minorEastAsia" w:eastAsiaTheme="minorEastAsia" w:cstheme="minorEastAsia"/>
                <w:color w:val="auto"/>
                <w:sz w:val="24"/>
                <w:highlight w:val="none"/>
              </w:rPr>
            </w:pPr>
          </w:p>
        </w:tc>
        <w:tc>
          <w:tcPr>
            <w:tcW w:w="1636" w:type="dxa"/>
            <w:tcBorders>
              <w:top w:val="single" w:color="auto" w:sz="4" w:space="0"/>
              <w:left w:val="single" w:color="auto" w:sz="4" w:space="0"/>
              <w:bottom w:val="single" w:color="auto" w:sz="4" w:space="0"/>
              <w:right w:val="single" w:color="auto" w:sz="4" w:space="0"/>
            </w:tcBorders>
            <w:vAlign w:val="center"/>
          </w:tcPr>
          <w:p w14:paraId="69CB1996">
            <w:pPr>
              <w:spacing w:line="360" w:lineRule="auto"/>
              <w:jc w:val="center"/>
              <w:rPr>
                <w:rFonts w:hint="eastAsia" w:asciiTheme="minorEastAsia" w:hAnsiTheme="minorEastAsia" w:eastAsiaTheme="minorEastAsia" w:cstheme="minorEastAsia"/>
                <w:color w:val="auto"/>
                <w:sz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4E58B220">
            <w:pPr>
              <w:spacing w:line="360" w:lineRule="auto"/>
              <w:jc w:val="center"/>
              <w:rPr>
                <w:rFonts w:hint="eastAsia" w:asciiTheme="minorEastAsia" w:hAnsiTheme="minorEastAsia" w:eastAsiaTheme="minorEastAsia" w:cstheme="minorEastAsia"/>
                <w:color w:val="auto"/>
                <w:sz w:val="24"/>
                <w:highlight w:val="none"/>
              </w:rPr>
            </w:pPr>
          </w:p>
        </w:tc>
      </w:tr>
    </w:tbl>
    <w:p w14:paraId="5027472A">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6C3979AB">
      <w:pPr>
        <w:jc w:val="center"/>
        <w:rPr>
          <w:rFonts w:hint="eastAsia" w:asciiTheme="minorEastAsia" w:hAnsiTheme="minorEastAsia" w:eastAsiaTheme="minorEastAsia" w:cstheme="minorEastAsia"/>
          <w:b/>
          <w:color w:val="auto"/>
          <w:kern w:val="0"/>
          <w:sz w:val="32"/>
          <w:szCs w:val="32"/>
          <w:highlight w:val="none"/>
        </w:rPr>
      </w:pPr>
    </w:p>
    <w:p w14:paraId="50AEB6E3">
      <w:pPr>
        <w:jc w:val="center"/>
        <w:rPr>
          <w:rFonts w:hint="eastAsia" w:asciiTheme="minorEastAsia" w:hAnsiTheme="minorEastAsia" w:eastAsiaTheme="minorEastAsia" w:cstheme="minorEastAsia"/>
          <w:b/>
          <w:color w:val="auto"/>
          <w:kern w:val="0"/>
          <w:sz w:val="32"/>
          <w:szCs w:val="32"/>
          <w:highlight w:val="none"/>
        </w:rPr>
      </w:pPr>
    </w:p>
    <w:p w14:paraId="5827B25E">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六、商务技术偏离表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34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BB8CF2">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683" w:type="dxa"/>
          </w:tcPr>
          <w:p w14:paraId="1018798E">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交易文件章节及具体内容</w:t>
            </w:r>
          </w:p>
        </w:tc>
        <w:tc>
          <w:tcPr>
            <w:tcW w:w="3546" w:type="dxa"/>
          </w:tcPr>
          <w:p w14:paraId="675701FC">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响应文件章节及具体内容</w:t>
            </w:r>
          </w:p>
        </w:tc>
        <w:tc>
          <w:tcPr>
            <w:tcW w:w="1276" w:type="dxa"/>
          </w:tcPr>
          <w:p w14:paraId="20D29DD7">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偏离说明</w:t>
            </w:r>
          </w:p>
        </w:tc>
      </w:tr>
      <w:tr w14:paraId="36FF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354036">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83" w:type="dxa"/>
          </w:tcPr>
          <w:p w14:paraId="4744A676">
            <w:pPr>
              <w:jc w:val="center"/>
              <w:rPr>
                <w:rFonts w:hint="eastAsia" w:asciiTheme="minorEastAsia" w:hAnsiTheme="minorEastAsia" w:eastAsiaTheme="minorEastAsia" w:cstheme="minorEastAsia"/>
                <w:b/>
                <w:color w:val="auto"/>
                <w:kern w:val="0"/>
                <w:sz w:val="32"/>
                <w:szCs w:val="32"/>
                <w:highlight w:val="none"/>
              </w:rPr>
            </w:pPr>
          </w:p>
        </w:tc>
        <w:tc>
          <w:tcPr>
            <w:tcW w:w="3546" w:type="dxa"/>
          </w:tcPr>
          <w:p w14:paraId="01803836">
            <w:pPr>
              <w:jc w:val="center"/>
              <w:rPr>
                <w:rFonts w:hint="eastAsia" w:asciiTheme="minorEastAsia" w:hAnsiTheme="minorEastAsia" w:eastAsiaTheme="minorEastAsia" w:cstheme="minorEastAsia"/>
                <w:b/>
                <w:color w:val="auto"/>
                <w:kern w:val="0"/>
                <w:sz w:val="32"/>
                <w:szCs w:val="32"/>
                <w:highlight w:val="none"/>
              </w:rPr>
            </w:pPr>
          </w:p>
        </w:tc>
        <w:tc>
          <w:tcPr>
            <w:tcW w:w="1276" w:type="dxa"/>
          </w:tcPr>
          <w:p w14:paraId="495A80C6">
            <w:pPr>
              <w:jc w:val="center"/>
              <w:rPr>
                <w:rFonts w:hint="eastAsia" w:asciiTheme="minorEastAsia" w:hAnsiTheme="minorEastAsia" w:eastAsiaTheme="minorEastAsia" w:cstheme="minorEastAsia"/>
                <w:b/>
                <w:color w:val="auto"/>
                <w:kern w:val="0"/>
                <w:sz w:val="32"/>
                <w:szCs w:val="32"/>
                <w:highlight w:val="none"/>
              </w:rPr>
            </w:pPr>
          </w:p>
        </w:tc>
      </w:tr>
      <w:tr w14:paraId="27C4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ED2ADB">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83" w:type="dxa"/>
          </w:tcPr>
          <w:p w14:paraId="0367F64F">
            <w:pPr>
              <w:jc w:val="center"/>
              <w:rPr>
                <w:rFonts w:hint="eastAsia" w:asciiTheme="minorEastAsia" w:hAnsiTheme="minorEastAsia" w:eastAsiaTheme="minorEastAsia" w:cstheme="minorEastAsia"/>
                <w:b/>
                <w:color w:val="auto"/>
                <w:kern w:val="0"/>
                <w:sz w:val="32"/>
                <w:szCs w:val="32"/>
                <w:highlight w:val="none"/>
              </w:rPr>
            </w:pPr>
          </w:p>
        </w:tc>
        <w:tc>
          <w:tcPr>
            <w:tcW w:w="3546" w:type="dxa"/>
          </w:tcPr>
          <w:p w14:paraId="78726DAD">
            <w:pPr>
              <w:jc w:val="center"/>
              <w:rPr>
                <w:rFonts w:hint="eastAsia" w:asciiTheme="minorEastAsia" w:hAnsiTheme="minorEastAsia" w:eastAsiaTheme="minorEastAsia" w:cstheme="minorEastAsia"/>
                <w:b/>
                <w:color w:val="auto"/>
                <w:kern w:val="0"/>
                <w:sz w:val="32"/>
                <w:szCs w:val="32"/>
                <w:highlight w:val="none"/>
              </w:rPr>
            </w:pPr>
          </w:p>
        </w:tc>
        <w:tc>
          <w:tcPr>
            <w:tcW w:w="1276" w:type="dxa"/>
          </w:tcPr>
          <w:p w14:paraId="46EEB56E">
            <w:pPr>
              <w:jc w:val="center"/>
              <w:rPr>
                <w:rFonts w:hint="eastAsia" w:asciiTheme="minorEastAsia" w:hAnsiTheme="minorEastAsia" w:eastAsiaTheme="minorEastAsia" w:cstheme="minorEastAsia"/>
                <w:b/>
                <w:color w:val="auto"/>
                <w:kern w:val="0"/>
                <w:sz w:val="32"/>
                <w:szCs w:val="32"/>
                <w:highlight w:val="none"/>
              </w:rPr>
            </w:pPr>
          </w:p>
        </w:tc>
      </w:tr>
      <w:tr w14:paraId="66D1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966B7">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83" w:type="dxa"/>
          </w:tcPr>
          <w:p w14:paraId="20428D07">
            <w:pPr>
              <w:jc w:val="center"/>
              <w:rPr>
                <w:rFonts w:hint="eastAsia" w:asciiTheme="minorEastAsia" w:hAnsiTheme="minorEastAsia" w:eastAsiaTheme="minorEastAsia" w:cstheme="minorEastAsia"/>
                <w:b/>
                <w:color w:val="auto"/>
                <w:kern w:val="0"/>
                <w:sz w:val="32"/>
                <w:szCs w:val="32"/>
                <w:highlight w:val="none"/>
              </w:rPr>
            </w:pPr>
          </w:p>
        </w:tc>
        <w:tc>
          <w:tcPr>
            <w:tcW w:w="3546" w:type="dxa"/>
          </w:tcPr>
          <w:p w14:paraId="22DE14E6">
            <w:pPr>
              <w:jc w:val="center"/>
              <w:rPr>
                <w:rFonts w:hint="eastAsia" w:asciiTheme="minorEastAsia" w:hAnsiTheme="minorEastAsia" w:eastAsiaTheme="minorEastAsia" w:cstheme="minorEastAsia"/>
                <w:b/>
                <w:color w:val="auto"/>
                <w:kern w:val="0"/>
                <w:sz w:val="32"/>
                <w:szCs w:val="32"/>
                <w:highlight w:val="none"/>
              </w:rPr>
            </w:pPr>
          </w:p>
        </w:tc>
        <w:tc>
          <w:tcPr>
            <w:tcW w:w="1276" w:type="dxa"/>
          </w:tcPr>
          <w:p w14:paraId="54857129">
            <w:pPr>
              <w:jc w:val="center"/>
              <w:rPr>
                <w:rFonts w:hint="eastAsia" w:asciiTheme="minorEastAsia" w:hAnsiTheme="minorEastAsia" w:eastAsiaTheme="minorEastAsia" w:cstheme="minorEastAsia"/>
                <w:b/>
                <w:color w:val="auto"/>
                <w:kern w:val="0"/>
                <w:sz w:val="32"/>
                <w:szCs w:val="32"/>
                <w:highlight w:val="none"/>
              </w:rPr>
            </w:pPr>
          </w:p>
        </w:tc>
      </w:tr>
    </w:tbl>
    <w:p w14:paraId="4F1FCC22">
      <w:pPr>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供应商保证：除商务技术偏离表列出的偏离外，供应商响应交易文件的全部要求</w:t>
      </w:r>
    </w:p>
    <w:p w14:paraId="49BDD679">
      <w:pPr>
        <w:jc w:val="center"/>
        <w:rPr>
          <w:rFonts w:hint="eastAsia" w:asciiTheme="minorEastAsia" w:hAnsiTheme="minorEastAsia" w:eastAsiaTheme="minorEastAsia" w:cstheme="minorEastAsia"/>
          <w:b/>
          <w:color w:val="auto"/>
          <w:kern w:val="0"/>
          <w:sz w:val="32"/>
          <w:szCs w:val="32"/>
          <w:highlight w:val="none"/>
        </w:rPr>
      </w:pPr>
    </w:p>
    <w:p w14:paraId="30C5D89F">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45614897">
      <w:pPr>
        <w:jc w:val="center"/>
        <w:rPr>
          <w:rFonts w:hint="eastAsia" w:asciiTheme="minorEastAsia" w:hAnsiTheme="minorEastAsia" w:eastAsiaTheme="minorEastAsia" w:cstheme="minorEastAsia"/>
          <w:b/>
          <w:color w:val="auto"/>
          <w:kern w:val="0"/>
          <w:sz w:val="32"/>
          <w:szCs w:val="32"/>
          <w:highlight w:val="none"/>
        </w:rPr>
      </w:pPr>
    </w:p>
    <w:p w14:paraId="1293ABD7">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72E4AF8E">
      <w:pPr>
        <w:ind w:firstLine="1911" w:firstLineChars="595"/>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bCs/>
          <w:color w:val="auto"/>
          <w:sz w:val="32"/>
          <w:szCs w:val="32"/>
          <w:highlight w:val="none"/>
        </w:rPr>
        <w:t>七</w:t>
      </w:r>
      <w:r>
        <w:rPr>
          <w:rFonts w:hint="eastAsia" w:asciiTheme="minorEastAsia" w:hAnsiTheme="minorEastAsia" w:eastAsiaTheme="minorEastAsia" w:cstheme="minorEastAsia"/>
          <w:b/>
          <w:color w:val="auto"/>
          <w:kern w:val="0"/>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采购供应商廉洁自律承诺书</w:t>
      </w:r>
    </w:p>
    <w:p w14:paraId="2B05AF15">
      <w:pPr>
        <w:snapToGrid w:val="0"/>
        <w:spacing w:line="360" w:lineRule="auto"/>
        <w:rPr>
          <w:rFonts w:hint="eastAsia" w:asciiTheme="minorEastAsia" w:hAnsiTheme="minorEastAsia" w:eastAsiaTheme="minorEastAsia" w:cstheme="minorEastAsia"/>
          <w:color w:val="auto"/>
          <w:sz w:val="24"/>
          <w:highlight w:val="none"/>
        </w:rPr>
      </w:pPr>
    </w:p>
    <w:p w14:paraId="141027D4">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u w:val="single"/>
        </w:rPr>
        <w:t>（采购人）、（采购代理机构）</w:t>
      </w:r>
      <w:r>
        <w:rPr>
          <w:rFonts w:hint="eastAsia" w:asciiTheme="minorEastAsia" w:hAnsiTheme="minorEastAsia" w:eastAsiaTheme="minorEastAsia" w:cstheme="minorEastAsia"/>
          <w:color w:val="auto"/>
          <w:kern w:val="0"/>
          <w:sz w:val="24"/>
          <w:highlight w:val="none"/>
          <w:lang w:val="zh-CN"/>
        </w:rPr>
        <w:t>：</w:t>
      </w:r>
    </w:p>
    <w:p w14:paraId="59DA70C6">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项目交易要求参加响应。在这次响应过程中和成交后，我们将严格遵守国家法律法规要求，并郑重承诺：</w:t>
      </w:r>
    </w:p>
    <w:p w14:paraId="53B42464">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14:paraId="24E1D788">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14:paraId="3760F27E">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14:paraId="66ACB6D9">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14:paraId="3660D542">
      <w:pPr>
        <w:autoSpaceDE w:val="0"/>
        <w:autoSpaceDN w:val="0"/>
        <w:spacing w:line="360" w:lineRule="auto"/>
        <w:ind w:left="481" w:leftChars="229"/>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14:paraId="4ADB6FCC">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14:paraId="1ECD34F6">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六、严格遵守相关法律法规，诚实守信，合法经营，坚决抵制各种违法违纪行为。 </w:t>
      </w:r>
    </w:p>
    <w:p w14:paraId="43EB592D">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有权立即取消我单位响应、成交或在建项目的建设资格，有权拒绝我单位在一定时期内进入你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进行项目建设或其他经营活动，并通报市财政局。由此引起的相应损失均由我单位承担。</w:t>
      </w:r>
    </w:p>
    <w:p w14:paraId="56FEBDBB">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0849A68A">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2CF2B543">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79FE1FD0">
      <w:pPr>
        <w:autoSpaceDE w:val="0"/>
        <w:autoSpaceDN w:val="0"/>
        <w:spacing w:line="360" w:lineRule="auto"/>
        <w:ind w:left="2" w:leftChars="1" w:right="1120" w:firstLine="4560" w:firstLineChars="19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供应商名称（</w:t>
      </w:r>
      <w:r>
        <w:rPr>
          <w:rFonts w:hint="eastAsia" w:asciiTheme="minorEastAsia" w:hAnsiTheme="minorEastAsia" w:eastAsiaTheme="minorEastAsia" w:cstheme="minorEastAsia"/>
          <w:color w:val="auto"/>
          <w:sz w:val="24"/>
          <w:highlight w:val="none"/>
        </w:rPr>
        <w:t>电子签名</w:t>
      </w:r>
      <w:r>
        <w:rPr>
          <w:rFonts w:hint="eastAsia" w:asciiTheme="minorEastAsia" w:hAnsiTheme="minorEastAsia" w:eastAsiaTheme="minorEastAsia" w:cstheme="minorEastAsia"/>
          <w:color w:val="auto"/>
          <w:kern w:val="0"/>
          <w:sz w:val="24"/>
          <w:highlight w:val="none"/>
          <w:lang w:val="zh-CN"/>
        </w:rPr>
        <w:t xml:space="preserve">）：                                                                                                                                                                                                               </w:t>
      </w:r>
    </w:p>
    <w:p w14:paraId="714C2F6B">
      <w:pPr>
        <w:spacing w:line="360" w:lineRule="auto"/>
        <w:ind w:left="4620" w:leftChars="2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 xml:space="preserve">   年   月   日</w:t>
      </w:r>
    </w:p>
    <w:p w14:paraId="6D4ABCBC">
      <w:pPr>
        <w:spacing w:line="360" w:lineRule="auto"/>
        <w:jc w:val="center"/>
        <w:rPr>
          <w:rFonts w:hint="eastAsia" w:asciiTheme="minorEastAsia" w:hAnsiTheme="minorEastAsia" w:eastAsiaTheme="minorEastAsia" w:cstheme="minorEastAsia"/>
          <w:b/>
          <w:bCs/>
          <w:color w:val="auto"/>
          <w:sz w:val="24"/>
          <w:highlight w:val="none"/>
        </w:rPr>
      </w:pPr>
    </w:p>
    <w:p w14:paraId="53FCBA80">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596EA432">
      <w:pPr>
        <w:spacing w:line="360" w:lineRule="auto"/>
        <w:jc w:val="center"/>
        <w:rPr>
          <w:rFonts w:hint="eastAsia" w:asciiTheme="minorEastAsia" w:hAnsiTheme="minorEastAsia" w:eastAsiaTheme="minorEastAsia" w:cstheme="minorEastAsia"/>
          <w:b/>
          <w:bCs/>
          <w:color w:val="auto"/>
          <w:sz w:val="24"/>
          <w:highlight w:val="none"/>
        </w:rPr>
        <w:sectPr>
          <w:headerReference r:id="rId4" w:type="first"/>
          <w:footerReference r:id="rId6" w:type="first"/>
          <w:headerReference r:id="rId3" w:type="default"/>
          <w:footerReference r:id="rId5" w:type="default"/>
          <w:pgSz w:w="11906" w:h="16838"/>
          <w:pgMar w:top="1276" w:right="1418" w:bottom="1247" w:left="1418" w:header="851" w:footer="992" w:gutter="0"/>
          <w:cols w:space="720" w:num="1"/>
          <w:titlePg/>
          <w:docGrid w:linePitch="312" w:charSpace="0"/>
        </w:sectPr>
      </w:pPr>
    </w:p>
    <w:p w14:paraId="09BA4F50">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4139A1B3">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报价文件部分</w:t>
      </w:r>
    </w:p>
    <w:p w14:paraId="705A1BB2">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11FEFC66">
      <w:pPr>
        <w:spacing w:line="360" w:lineRule="auto"/>
        <w:jc w:val="center"/>
        <w:outlineLvl w:val="0"/>
        <w:rPr>
          <w:rFonts w:hint="eastAsia" w:asciiTheme="minorEastAsia" w:hAnsiTheme="minorEastAsia" w:eastAsiaTheme="minorEastAsia" w:cstheme="minorEastAsia"/>
          <w:b/>
          <w:color w:val="auto"/>
          <w:kern w:val="0"/>
          <w:sz w:val="36"/>
          <w:szCs w:val="36"/>
          <w:highlight w:val="none"/>
        </w:rPr>
      </w:pPr>
    </w:p>
    <w:p w14:paraId="1ED5E62D">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（1）交易一览表（报价表）…………………………………………………（页码）</w:t>
      </w:r>
    </w:p>
    <w:p w14:paraId="735F13D9">
      <w:pPr>
        <w:snapToGrid w:val="0"/>
        <w:spacing w:line="360" w:lineRule="auto"/>
        <w:ind w:right="480"/>
        <w:jc w:val="left"/>
        <w:rPr>
          <w:rFonts w:hint="eastAsia" w:ascii="仿宋" w:hAnsi="仿宋" w:eastAsia="仿宋" w:cs="仿宋"/>
          <w:b/>
          <w:color w:val="auto"/>
          <w:kern w:val="0"/>
          <w:sz w:val="32"/>
          <w:szCs w:val="32"/>
          <w:highlight w:val="none"/>
        </w:rPr>
      </w:pPr>
      <w:r>
        <w:rPr>
          <w:rFonts w:hint="eastAsia" w:asciiTheme="minorEastAsia" w:hAnsiTheme="minorEastAsia" w:eastAsiaTheme="minorEastAsia" w:cstheme="minorEastAsia"/>
          <w:color w:val="auto"/>
          <w:sz w:val="24"/>
          <w:highlight w:val="none"/>
          <w:lang w:eastAsia="zh-CN"/>
        </w:rPr>
        <w:t>（2）中小企业声明函</w:t>
      </w:r>
      <w:r>
        <w:rPr>
          <w:rFonts w:hint="eastAsia" w:ascii="仿宋" w:hAnsi="仿宋" w:eastAsia="仿宋" w:cs="仿宋"/>
          <w:color w:val="auto"/>
          <w:sz w:val="24"/>
          <w:highlight w:val="none"/>
        </w:rPr>
        <w:t>……………………………………………………………</w:t>
      </w:r>
      <w:r>
        <w:rPr>
          <w:rFonts w:hint="eastAsia" w:asciiTheme="minorEastAsia" w:hAnsiTheme="minorEastAsia" w:eastAsiaTheme="minorEastAsia" w:cstheme="minorEastAsia"/>
          <w:color w:val="auto"/>
          <w:sz w:val="24"/>
          <w:highlight w:val="none"/>
        </w:rPr>
        <w:t>（页码）</w:t>
      </w:r>
    </w:p>
    <w:p w14:paraId="01BADA91">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35F07379">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4FB854F6">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6435B2A4">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776B9F29">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7BB56E37">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3AAAAF75">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42FD7CA8">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39E0B638">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28C31612">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38BCDC62">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63AD61FB">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39A1A3B3">
      <w:pPr>
        <w:pStyle w:val="693"/>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color w:val="auto"/>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79D3E0DD">
      <w:pPr>
        <w:pStyle w:val="693"/>
        <w:keepNext w:val="0"/>
        <w:pageBreakBefore w:val="0"/>
        <w:tabs>
          <w:tab w:val="clear" w:pos="720"/>
        </w:tabs>
        <w:snapToGrid w:val="0"/>
        <w:spacing w:before="120" w:after="120"/>
        <w:jc w:val="center"/>
        <w:outlineLvl w:val="9"/>
        <w:rPr>
          <w:rFonts w:ascii="宋体" w:hAnsi="宋体" w:eastAsia="宋体"/>
          <w:color w:val="auto"/>
          <w:kern w:val="2"/>
          <w:sz w:val="32"/>
          <w:szCs w:val="32"/>
          <w:highlight w:val="none"/>
        </w:rPr>
      </w:pPr>
      <w:r>
        <w:rPr>
          <w:rFonts w:hint="eastAsia" w:ascii="宋体" w:hAnsi="宋体" w:eastAsia="宋体" w:cs="宋体"/>
          <w:color w:val="auto"/>
          <w:kern w:val="2"/>
          <w:sz w:val="32"/>
          <w:szCs w:val="32"/>
          <w:highlight w:val="none"/>
        </w:rPr>
        <w:t>一、交易一览表（报价表）</w:t>
      </w:r>
    </w:p>
    <w:p w14:paraId="2E896E2E">
      <w:pPr>
        <w:snapToGrid w:val="0"/>
        <w:spacing w:line="360" w:lineRule="auto"/>
        <w:ind w:firstLine="482"/>
        <w:rPr>
          <w:rFonts w:ascii="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8584A8C">
      <w:pPr>
        <w:snapToGrid w:val="0"/>
        <w:spacing w:line="360" w:lineRule="auto"/>
        <w:ind w:firstLine="482"/>
        <w:rPr>
          <w:rFonts w:ascii="宋体"/>
          <w:color w:val="auto"/>
          <w:kern w:val="0"/>
          <w:sz w:val="24"/>
          <w:szCs w:val="24"/>
          <w:highlight w:val="none"/>
          <w:lang w:val="zh-CN"/>
        </w:rPr>
      </w:pPr>
      <w:r>
        <w:rPr>
          <w:rFonts w:hint="eastAsia" w:ascii="宋体" w:hAnsi="宋体" w:cs="宋体"/>
          <w:color w:val="auto"/>
          <w:kern w:val="0"/>
          <w:sz w:val="24"/>
          <w:szCs w:val="24"/>
          <w:highlight w:val="none"/>
          <w:lang w:val="zh-CN"/>
        </w:rPr>
        <w:t>按你方交易文件要求，我们，本响应文件签字方，谨此向你方发出要约如下：如你方接受本响应，我方承诺按照如下交易一览表（报价表）的价格完成</w:t>
      </w: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lang w:val="zh-CN"/>
        </w:rPr>
        <w:t>【交易编号：</w:t>
      </w:r>
      <w:r>
        <w:rPr>
          <w:rFonts w:hint="eastAsia" w:ascii="宋体" w:hAnsi="宋体" w:cs="宋体"/>
          <w:color w:val="auto"/>
          <w:sz w:val="24"/>
          <w:szCs w:val="24"/>
          <w:highlight w:val="none"/>
        </w:rPr>
        <w:t>（采购编号）】的实施</w:t>
      </w:r>
      <w:r>
        <w:rPr>
          <w:rFonts w:hint="eastAsia" w:ascii="宋体" w:hAnsi="宋体" w:cs="宋体"/>
          <w:color w:val="auto"/>
          <w:kern w:val="0"/>
          <w:sz w:val="24"/>
          <w:szCs w:val="24"/>
          <w:highlight w:val="none"/>
          <w:lang w:val="zh-CN"/>
        </w:rPr>
        <w:t>。</w:t>
      </w:r>
    </w:p>
    <w:p w14:paraId="0A8C1EF8">
      <w:pPr>
        <w:spacing w:line="360" w:lineRule="auto"/>
        <w:ind w:firstLine="480"/>
        <w:jc w:val="center"/>
        <w:rPr>
          <w:rFonts w:ascii="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交易一览表（报价表）</w:t>
      </w:r>
      <w:r>
        <w:rPr>
          <w:rFonts w:ascii="宋体" w:hAnsi="宋体" w:cs="宋体"/>
          <w:b/>
          <w:bCs/>
          <w:color w:val="auto"/>
          <w:kern w:val="0"/>
          <w:sz w:val="24"/>
          <w:szCs w:val="24"/>
          <w:highlight w:val="none"/>
          <w:lang w:val="zh-CN"/>
        </w:rPr>
        <w:t>(</w:t>
      </w:r>
      <w:r>
        <w:rPr>
          <w:rFonts w:hint="eastAsia" w:ascii="宋体" w:hAnsi="宋体" w:cs="宋体"/>
          <w:b/>
          <w:bCs/>
          <w:color w:val="auto"/>
          <w:kern w:val="0"/>
          <w:sz w:val="24"/>
          <w:szCs w:val="24"/>
          <w:highlight w:val="none"/>
          <w:lang w:val="zh-CN"/>
        </w:rPr>
        <w:t>单位均为人民币元</w:t>
      </w:r>
      <w:r>
        <w:rPr>
          <w:rFonts w:ascii="宋体" w:hAnsi="宋体" w:cs="宋体"/>
          <w:b/>
          <w:bCs/>
          <w:color w:val="auto"/>
          <w:kern w:val="0"/>
          <w:sz w:val="24"/>
          <w:szCs w:val="24"/>
          <w:highlight w:val="none"/>
          <w:lang w:val="zh-CN"/>
        </w:rPr>
        <w:t>)</w:t>
      </w:r>
    </w:p>
    <w:tbl>
      <w:tblPr>
        <w:tblStyle w:val="64"/>
        <w:tblW w:w="1513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3015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C82462E">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序号</w:t>
            </w:r>
          </w:p>
        </w:tc>
        <w:tc>
          <w:tcPr>
            <w:tcW w:w="992" w:type="dxa"/>
            <w:vAlign w:val="center"/>
          </w:tcPr>
          <w:p w14:paraId="0FDA5FE9">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名称</w:t>
            </w:r>
          </w:p>
        </w:tc>
        <w:tc>
          <w:tcPr>
            <w:tcW w:w="2268" w:type="dxa"/>
          </w:tcPr>
          <w:p w14:paraId="4F7E0C66">
            <w:pPr>
              <w:spacing w:line="360" w:lineRule="auto"/>
              <w:ind w:firstLine="480"/>
              <w:jc w:val="center"/>
              <w:rPr>
                <w:rFonts w:ascii="宋体"/>
                <w:b/>
                <w:bCs/>
                <w:color w:val="auto"/>
                <w:sz w:val="24"/>
                <w:szCs w:val="24"/>
                <w:highlight w:val="none"/>
              </w:rPr>
            </w:pPr>
          </w:p>
          <w:p w14:paraId="1087286E">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服务范围</w:t>
            </w:r>
          </w:p>
        </w:tc>
        <w:tc>
          <w:tcPr>
            <w:tcW w:w="2410" w:type="dxa"/>
            <w:vAlign w:val="center"/>
          </w:tcPr>
          <w:p w14:paraId="5747EE2A">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服务要求</w:t>
            </w:r>
          </w:p>
        </w:tc>
        <w:tc>
          <w:tcPr>
            <w:tcW w:w="2268" w:type="dxa"/>
            <w:vAlign w:val="center"/>
          </w:tcPr>
          <w:p w14:paraId="56C33951">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服务时间</w:t>
            </w:r>
          </w:p>
        </w:tc>
        <w:tc>
          <w:tcPr>
            <w:tcW w:w="2126" w:type="dxa"/>
            <w:vAlign w:val="center"/>
          </w:tcPr>
          <w:p w14:paraId="32E13BE6">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服务标准</w:t>
            </w:r>
          </w:p>
        </w:tc>
        <w:tc>
          <w:tcPr>
            <w:tcW w:w="2127" w:type="dxa"/>
          </w:tcPr>
          <w:p w14:paraId="4949A9A0">
            <w:pPr>
              <w:spacing w:line="360" w:lineRule="auto"/>
              <w:ind w:firstLine="480"/>
              <w:jc w:val="center"/>
              <w:rPr>
                <w:rFonts w:ascii="宋体"/>
                <w:b/>
                <w:bCs/>
                <w:color w:val="auto"/>
                <w:sz w:val="24"/>
                <w:szCs w:val="24"/>
                <w:highlight w:val="none"/>
              </w:rPr>
            </w:pPr>
          </w:p>
          <w:p w14:paraId="2163CE3F">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服务人数</w:t>
            </w:r>
          </w:p>
        </w:tc>
        <w:tc>
          <w:tcPr>
            <w:tcW w:w="2126" w:type="dxa"/>
            <w:vAlign w:val="center"/>
          </w:tcPr>
          <w:p w14:paraId="28AE8CB3">
            <w:pPr>
              <w:spacing w:line="360" w:lineRule="auto"/>
              <w:ind w:firstLine="480"/>
              <w:jc w:val="center"/>
              <w:rPr>
                <w:rFonts w:ascii="宋体"/>
                <w:b/>
                <w:bCs/>
                <w:color w:val="auto"/>
                <w:sz w:val="24"/>
                <w:szCs w:val="24"/>
                <w:highlight w:val="none"/>
              </w:rPr>
            </w:pPr>
          </w:p>
          <w:p w14:paraId="1058DDE0">
            <w:pPr>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备注（如果有）</w:t>
            </w:r>
          </w:p>
          <w:p w14:paraId="2548BF8F">
            <w:pPr>
              <w:spacing w:line="360" w:lineRule="auto"/>
              <w:ind w:firstLine="480"/>
              <w:jc w:val="center"/>
              <w:rPr>
                <w:rFonts w:ascii="宋体"/>
                <w:b/>
                <w:bCs/>
                <w:color w:val="auto"/>
                <w:sz w:val="24"/>
                <w:szCs w:val="24"/>
                <w:highlight w:val="none"/>
              </w:rPr>
            </w:pPr>
          </w:p>
        </w:tc>
      </w:tr>
      <w:tr w14:paraId="6BC8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C150DAC">
            <w:pPr>
              <w:spacing w:line="360" w:lineRule="auto"/>
              <w:jc w:val="center"/>
              <w:rPr>
                <w:rFonts w:ascii="宋体"/>
                <w:color w:val="auto"/>
                <w:sz w:val="24"/>
                <w:szCs w:val="24"/>
                <w:highlight w:val="none"/>
              </w:rPr>
            </w:pPr>
            <w:r>
              <w:rPr>
                <w:rFonts w:ascii="宋体" w:hAnsi="宋体" w:cs="宋体"/>
                <w:color w:val="auto"/>
                <w:sz w:val="24"/>
                <w:szCs w:val="24"/>
                <w:highlight w:val="none"/>
              </w:rPr>
              <w:t>1</w:t>
            </w:r>
          </w:p>
        </w:tc>
        <w:tc>
          <w:tcPr>
            <w:tcW w:w="992" w:type="dxa"/>
            <w:vAlign w:val="center"/>
          </w:tcPr>
          <w:p w14:paraId="26373B22">
            <w:pPr>
              <w:snapToGrid w:val="0"/>
              <w:spacing w:line="360" w:lineRule="auto"/>
              <w:jc w:val="center"/>
              <w:rPr>
                <w:rFonts w:ascii="宋体"/>
                <w:color w:val="auto"/>
                <w:sz w:val="24"/>
                <w:szCs w:val="24"/>
                <w:highlight w:val="none"/>
              </w:rPr>
            </w:pPr>
            <w:r>
              <w:rPr>
                <w:rFonts w:ascii="宋体" w:hAnsi="宋体" w:cs="宋体"/>
                <w:color w:val="auto"/>
                <w:sz w:val="24"/>
                <w:szCs w:val="24"/>
                <w:highlight w:val="none"/>
              </w:rPr>
              <w:t>XX</w:t>
            </w:r>
          </w:p>
        </w:tc>
        <w:tc>
          <w:tcPr>
            <w:tcW w:w="2268" w:type="dxa"/>
            <w:vAlign w:val="center"/>
          </w:tcPr>
          <w:p w14:paraId="7BE94D52">
            <w:pPr>
              <w:snapToGrid w:val="0"/>
              <w:spacing w:line="360" w:lineRule="auto"/>
              <w:jc w:val="center"/>
              <w:rPr>
                <w:rFonts w:ascii="宋体"/>
                <w:color w:val="auto"/>
                <w:sz w:val="24"/>
                <w:szCs w:val="24"/>
                <w:highlight w:val="none"/>
              </w:rPr>
            </w:pPr>
          </w:p>
        </w:tc>
        <w:tc>
          <w:tcPr>
            <w:tcW w:w="2410" w:type="dxa"/>
            <w:vAlign w:val="center"/>
          </w:tcPr>
          <w:p w14:paraId="37FB1576">
            <w:pPr>
              <w:snapToGrid w:val="0"/>
              <w:spacing w:line="360" w:lineRule="auto"/>
              <w:jc w:val="center"/>
              <w:rPr>
                <w:rFonts w:ascii="宋体"/>
                <w:color w:val="auto"/>
                <w:sz w:val="24"/>
                <w:szCs w:val="24"/>
                <w:highlight w:val="none"/>
              </w:rPr>
            </w:pPr>
          </w:p>
        </w:tc>
        <w:tc>
          <w:tcPr>
            <w:tcW w:w="2268" w:type="dxa"/>
            <w:vAlign w:val="center"/>
          </w:tcPr>
          <w:p w14:paraId="4AE75ECB">
            <w:pPr>
              <w:snapToGrid w:val="0"/>
              <w:spacing w:line="360" w:lineRule="auto"/>
              <w:jc w:val="center"/>
              <w:rPr>
                <w:rFonts w:ascii="宋体"/>
                <w:color w:val="auto"/>
                <w:sz w:val="24"/>
                <w:szCs w:val="24"/>
                <w:highlight w:val="none"/>
              </w:rPr>
            </w:pPr>
          </w:p>
        </w:tc>
        <w:tc>
          <w:tcPr>
            <w:tcW w:w="2126" w:type="dxa"/>
            <w:vAlign w:val="center"/>
          </w:tcPr>
          <w:p w14:paraId="42553EE5">
            <w:pPr>
              <w:spacing w:line="360" w:lineRule="auto"/>
              <w:jc w:val="center"/>
              <w:rPr>
                <w:rFonts w:ascii="宋体"/>
                <w:color w:val="auto"/>
                <w:sz w:val="24"/>
                <w:szCs w:val="24"/>
                <w:highlight w:val="none"/>
              </w:rPr>
            </w:pPr>
          </w:p>
        </w:tc>
        <w:tc>
          <w:tcPr>
            <w:tcW w:w="2127" w:type="dxa"/>
          </w:tcPr>
          <w:p w14:paraId="6B1C4311">
            <w:pPr>
              <w:spacing w:line="360" w:lineRule="auto"/>
              <w:jc w:val="center"/>
              <w:rPr>
                <w:rFonts w:ascii="宋体"/>
                <w:color w:val="auto"/>
                <w:sz w:val="24"/>
                <w:szCs w:val="24"/>
                <w:highlight w:val="none"/>
              </w:rPr>
            </w:pPr>
          </w:p>
        </w:tc>
        <w:tc>
          <w:tcPr>
            <w:tcW w:w="2126" w:type="dxa"/>
            <w:vAlign w:val="center"/>
          </w:tcPr>
          <w:p w14:paraId="0B031586">
            <w:pPr>
              <w:spacing w:line="360" w:lineRule="auto"/>
              <w:jc w:val="center"/>
              <w:rPr>
                <w:rFonts w:ascii="宋体"/>
                <w:color w:val="auto"/>
                <w:sz w:val="24"/>
                <w:szCs w:val="24"/>
                <w:highlight w:val="none"/>
              </w:rPr>
            </w:pPr>
          </w:p>
        </w:tc>
      </w:tr>
      <w:tr w14:paraId="58F1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1FAD4AE">
            <w:pPr>
              <w:spacing w:line="360" w:lineRule="auto"/>
              <w:jc w:val="center"/>
              <w:rPr>
                <w:rFonts w:ascii="宋体"/>
                <w:color w:val="auto"/>
                <w:sz w:val="24"/>
                <w:szCs w:val="24"/>
                <w:highlight w:val="none"/>
              </w:rPr>
            </w:pPr>
            <w:r>
              <w:rPr>
                <w:rFonts w:ascii="宋体" w:hAnsi="宋体" w:cs="宋体"/>
                <w:color w:val="auto"/>
                <w:sz w:val="24"/>
                <w:szCs w:val="24"/>
                <w:highlight w:val="none"/>
              </w:rPr>
              <w:t>2</w:t>
            </w:r>
          </w:p>
        </w:tc>
        <w:tc>
          <w:tcPr>
            <w:tcW w:w="992" w:type="dxa"/>
            <w:vAlign w:val="center"/>
          </w:tcPr>
          <w:p w14:paraId="0C2EC98E">
            <w:pPr>
              <w:snapToGrid w:val="0"/>
              <w:spacing w:line="360" w:lineRule="auto"/>
              <w:jc w:val="center"/>
              <w:rPr>
                <w:rFonts w:ascii="宋体"/>
                <w:color w:val="auto"/>
                <w:sz w:val="24"/>
                <w:szCs w:val="24"/>
                <w:highlight w:val="none"/>
              </w:rPr>
            </w:pPr>
            <w:r>
              <w:rPr>
                <w:rFonts w:ascii="宋体" w:hAnsi="宋体" w:cs="宋体"/>
                <w:color w:val="auto"/>
                <w:sz w:val="24"/>
                <w:szCs w:val="24"/>
                <w:highlight w:val="none"/>
              </w:rPr>
              <w:t>XX</w:t>
            </w:r>
          </w:p>
        </w:tc>
        <w:tc>
          <w:tcPr>
            <w:tcW w:w="2268" w:type="dxa"/>
            <w:vAlign w:val="center"/>
          </w:tcPr>
          <w:p w14:paraId="793B174C">
            <w:pPr>
              <w:snapToGrid w:val="0"/>
              <w:spacing w:line="360" w:lineRule="auto"/>
              <w:jc w:val="center"/>
              <w:rPr>
                <w:rFonts w:ascii="宋体"/>
                <w:color w:val="auto"/>
                <w:sz w:val="24"/>
                <w:szCs w:val="24"/>
                <w:highlight w:val="none"/>
              </w:rPr>
            </w:pPr>
          </w:p>
        </w:tc>
        <w:tc>
          <w:tcPr>
            <w:tcW w:w="2410" w:type="dxa"/>
            <w:vAlign w:val="center"/>
          </w:tcPr>
          <w:p w14:paraId="319429F5">
            <w:pPr>
              <w:snapToGrid w:val="0"/>
              <w:spacing w:line="360" w:lineRule="auto"/>
              <w:jc w:val="center"/>
              <w:rPr>
                <w:rFonts w:ascii="宋体"/>
                <w:color w:val="auto"/>
                <w:sz w:val="24"/>
                <w:szCs w:val="24"/>
                <w:highlight w:val="none"/>
              </w:rPr>
            </w:pPr>
          </w:p>
        </w:tc>
        <w:tc>
          <w:tcPr>
            <w:tcW w:w="2268" w:type="dxa"/>
            <w:vAlign w:val="center"/>
          </w:tcPr>
          <w:p w14:paraId="5B737B9A">
            <w:pPr>
              <w:snapToGrid w:val="0"/>
              <w:spacing w:line="360" w:lineRule="auto"/>
              <w:jc w:val="center"/>
              <w:rPr>
                <w:rFonts w:ascii="宋体"/>
                <w:color w:val="auto"/>
                <w:sz w:val="24"/>
                <w:szCs w:val="24"/>
                <w:highlight w:val="none"/>
              </w:rPr>
            </w:pPr>
          </w:p>
        </w:tc>
        <w:tc>
          <w:tcPr>
            <w:tcW w:w="2126" w:type="dxa"/>
            <w:vAlign w:val="center"/>
          </w:tcPr>
          <w:p w14:paraId="4DE40AB6">
            <w:pPr>
              <w:spacing w:line="360" w:lineRule="auto"/>
              <w:jc w:val="center"/>
              <w:rPr>
                <w:rFonts w:ascii="宋体"/>
                <w:color w:val="auto"/>
                <w:sz w:val="24"/>
                <w:szCs w:val="24"/>
                <w:highlight w:val="none"/>
              </w:rPr>
            </w:pPr>
          </w:p>
        </w:tc>
        <w:tc>
          <w:tcPr>
            <w:tcW w:w="2127" w:type="dxa"/>
          </w:tcPr>
          <w:p w14:paraId="523DBE8D">
            <w:pPr>
              <w:spacing w:line="360" w:lineRule="auto"/>
              <w:jc w:val="center"/>
              <w:rPr>
                <w:rFonts w:ascii="宋体"/>
                <w:color w:val="auto"/>
                <w:sz w:val="24"/>
                <w:szCs w:val="24"/>
                <w:highlight w:val="none"/>
              </w:rPr>
            </w:pPr>
          </w:p>
        </w:tc>
        <w:tc>
          <w:tcPr>
            <w:tcW w:w="2126" w:type="dxa"/>
            <w:vAlign w:val="center"/>
          </w:tcPr>
          <w:p w14:paraId="1FAA27C8">
            <w:pPr>
              <w:spacing w:line="360" w:lineRule="auto"/>
              <w:jc w:val="center"/>
              <w:rPr>
                <w:rFonts w:ascii="宋体"/>
                <w:color w:val="auto"/>
                <w:sz w:val="24"/>
                <w:szCs w:val="24"/>
                <w:highlight w:val="none"/>
              </w:rPr>
            </w:pPr>
          </w:p>
        </w:tc>
      </w:tr>
      <w:tr w14:paraId="0FA4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BC747C2">
            <w:pPr>
              <w:spacing w:line="360" w:lineRule="auto"/>
              <w:jc w:val="center"/>
              <w:rPr>
                <w:rFonts w:ascii="宋体"/>
                <w:color w:val="auto"/>
                <w:sz w:val="24"/>
                <w:szCs w:val="24"/>
                <w:highlight w:val="none"/>
              </w:rPr>
            </w:pPr>
            <w:r>
              <w:rPr>
                <w:rFonts w:hint="eastAsia" w:ascii="宋体" w:hAnsi="宋体" w:cs="宋体"/>
                <w:color w:val="auto"/>
                <w:sz w:val="24"/>
                <w:szCs w:val="24"/>
                <w:highlight w:val="none"/>
              </w:rPr>
              <w:t>…</w:t>
            </w:r>
          </w:p>
        </w:tc>
        <w:tc>
          <w:tcPr>
            <w:tcW w:w="992" w:type="dxa"/>
            <w:vAlign w:val="center"/>
          </w:tcPr>
          <w:p w14:paraId="2C4D7A26">
            <w:pPr>
              <w:snapToGrid w:val="0"/>
              <w:spacing w:line="360" w:lineRule="auto"/>
              <w:jc w:val="center"/>
              <w:rPr>
                <w:rFonts w:ascii="宋体"/>
                <w:color w:val="auto"/>
                <w:sz w:val="24"/>
                <w:szCs w:val="24"/>
                <w:highlight w:val="none"/>
              </w:rPr>
            </w:pPr>
          </w:p>
        </w:tc>
        <w:tc>
          <w:tcPr>
            <w:tcW w:w="2268" w:type="dxa"/>
            <w:vAlign w:val="center"/>
          </w:tcPr>
          <w:p w14:paraId="17CB4354">
            <w:pPr>
              <w:snapToGrid w:val="0"/>
              <w:spacing w:line="360" w:lineRule="auto"/>
              <w:jc w:val="center"/>
              <w:rPr>
                <w:rFonts w:ascii="宋体"/>
                <w:color w:val="auto"/>
                <w:sz w:val="24"/>
                <w:szCs w:val="24"/>
                <w:highlight w:val="none"/>
              </w:rPr>
            </w:pPr>
          </w:p>
        </w:tc>
        <w:tc>
          <w:tcPr>
            <w:tcW w:w="2410" w:type="dxa"/>
            <w:vAlign w:val="center"/>
          </w:tcPr>
          <w:p w14:paraId="61442FFE">
            <w:pPr>
              <w:snapToGrid w:val="0"/>
              <w:spacing w:line="360" w:lineRule="auto"/>
              <w:jc w:val="center"/>
              <w:rPr>
                <w:rFonts w:ascii="宋体"/>
                <w:color w:val="auto"/>
                <w:sz w:val="24"/>
                <w:szCs w:val="24"/>
                <w:highlight w:val="none"/>
              </w:rPr>
            </w:pPr>
          </w:p>
        </w:tc>
        <w:tc>
          <w:tcPr>
            <w:tcW w:w="2268" w:type="dxa"/>
            <w:vAlign w:val="center"/>
          </w:tcPr>
          <w:p w14:paraId="5A427CBE">
            <w:pPr>
              <w:snapToGrid w:val="0"/>
              <w:spacing w:line="360" w:lineRule="auto"/>
              <w:jc w:val="center"/>
              <w:rPr>
                <w:rFonts w:ascii="宋体"/>
                <w:color w:val="auto"/>
                <w:sz w:val="24"/>
                <w:szCs w:val="24"/>
                <w:highlight w:val="none"/>
              </w:rPr>
            </w:pPr>
          </w:p>
        </w:tc>
        <w:tc>
          <w:tcPr>
            <w:tcW w:w="2126" w:type="dxa"/>
            <w:vAlign w:val="center"/>
          </w:tcPr>
          <w:p w14:paraId="64CF7BDE">
            <w:pPr>
              <w:spacing w:line="360" w:lineRule="auto"/>
              <w:jc w:val="center"/>
              <w:rPr>
                <w:rFonts w:ascii="宋体"/>
                <w:color w:val="auto"/>
                <w:sz w:val="24"/>
                <w:szCs w:val="24"/>
                <w:highlight w:val="none"/>
              </w:rPr>
            </w:pPr>
          </w:p>
        </w:tc>
        <w:tc>
          <w:tcPr>
            <w:tcW w:w="2127" w:type="dxa"/>
          </w:tcPr>
          <w:p w14:paraId="664DD735">
            <w:pPr>
              <w:spacing w:line="360" w:lineRule="auto"/>
              <w:jc w:val="center"/>
              <w:rPr>
                <w:rFonts w:ascii="宋体"/>
                <w:color w:val="auto"/>
                <w:sz w:val="24"/>
                <w:szCs w:val="24"/>
                <w:highlight w:val="none"/>
              </w:rPr>
            </w:pPr>
          </w:p>
        </w:tc>
        <w:tc>
          <w:tcPr>
            <w:tcW w:w="2126" w:type="dxa"/>
            <w:vAlign w:val="center"/>
          </w:tcPr>
          <w:p w14:paraId="5ADA7293">
            <w:pPr>
              <w:spacing w:line="360" w:lineRule="auto"/>
              <w:jc w:val="center"/>
              <w:rPr>
                <w:rFonts w:ascii="宋体"/>
                <w:color w:val="auto"/>
                <w:sz w:val="24"/>
                <w:szCs w:val="24"/>
                <w:highlight w:val="none"/>
              </w:rPr>
            </w:pPr>
          </w:p>
        </w:tc>
      </w:tr>
      <w:tr w14:paraId="1F29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2FD9BBB">
            <w:pPr>
              <w:spacing w:line="360" w:lineRule="auto"/>
              <w:jc w:val="center"/>
              <w:rPr>
                <w:rFonts w:ascii="宋体"/>
                <w:color w:val="auto"/>
                <w:sz w:val="24"/>
                <w:szCs w:val="24"/>
                <w:highlight w:val="none"/>
              </w:rPr>
            </w:pPr>
          </w:p>
        </w:tc>
        <w:tc>
          <w:tcPr>
            <w:tcW w:w="992" w:type="dxa"/>
            <w:vAlign w:val="center"/>
          </w:tcPr>
          <w:p w14:paraId="04C46A00">
            <w:pPr>
              <w:snapToGrid w:val="0"/>
              <w:spacing w:line="360" w:lineRule="auto"/>
              <w:jc w:val="center"/>
              <w:rPr>
                <w:rFonts w:ascii="宋体"/>
                <w:color w:val="auto"/>
                <w:sz w:val="24"/>
                <w:szCs w:val="24"/>
                <w:highlight w:val="none"/>
              </w:rPr>
            </w:pPr>
          </w:p>
        </w:tc>
        <w:tc>
          <w:tcPr>
            <w:tcW w:w="2268" w:type="dxa"/>
            <w:vAlign w:val="center"/>
          </w:tcPr>
          <w:p w14:paraId="1A351888">
            <w:pPr>
              <w:snapToGrid w:val="0"/>
              <w:spacing w:line="360" w:lineRule="auto"/>
              <w:jc w:val="center"/>
              <w:rPr>
                <w:rFonts w:ascii="宋体"/>
                <w:color w:val="auto"/>
                <w:sz w:val="24"/>
                <w:szCs w:val="24"/>
                <w:highlight w:val="none"/>
              </w:rPr>
            </w:pPr>
          </w:p>
        </w:tc>
        <w:tc>
          <w:tcPr>
            <w:tcW w:w="2410" w:type="dxa"/>
            <w:vAlign w:val="center"/>
          </w:tcPr>
          <w:p w14:paraId="02DFFAA0">
            <w:pPr>
              <w:snapToGrid w:val="0"/>
              <w:spacing w:line="360" w:lineRule="auto"/>
              <w:jc w:val="center"/>
              <w:rPr>
                <w:rFonts w:ascii="宋体"/>
                <w:color w:val="auto"/>
                <w:sz w:val="24"/>
                <w:szCs w:val="24"/>
                <w:highlight w:val="none"/>
              </w:rPr>
            </w:pPr>
          </w:p>
        </w:tc>
        <w:tc>
          <w:tcPr>
            <w:tcW w:w="2268" w:type="dxa"/>
            <w:vAlign w:val="center"/>
          </w:tcPr>
          <w:p w14:paraId="5AC6D539">
            <w:pPr>
              <w:snapToGrid w:val="0"/>
              <w:spacing w:line="360" w:lineRule="auto"/>
              <w:jc w:val="center"/>
              <w:rPr>
                <w:rFonts w:ascii="宋体"/>
                <w:color w:val="auto"/>
                <w:sz w:val="24"/>
                <w:szCs w:val="24"/>
                <w:highlight w:val="none"/>
              </w:rPr>
            </w:pPr>
          </w:p>
        </w:tc>
        <w:tc>
          <w:tcPr>
            <w:tcW w:w="2126" w:type="dxa"/>
            <w:vAlign w:val="center"/>
          </w:tcPr>
          <w:p w14:paraId="0FD26A78">
            <w:pPr>
              <w:spacing w:line="360" w:lineRule="auto"/>
              <w:jc w:val="center"/>
              <w:rPr>
                <w:rFonts w:ascii="宋体"/>
                <w:color w:val="auto"/>
                <w:sz w:val="24"/>
                <w:szCs w:val="24"/>
                <w:highlight w:val="none"/>
              </w:rPr>
            </w:pPr>
          </w:p>
        </w:tc>
        <w:tc>
          <w:tcPr>
            <w:tcW w:w="2127" w:type="dxa"/>
          </w:tcPr>
          <w:p w14:paraId="74FD218D">
            <w:pPr>
              <w:spacing w:line="360" w:lineRule="auto"/>
              <w:jc w:val="center"/>
              <w:rPr>
                <w:rFonts w:ascii="宋体"/>
                <w:color w:val="auto"/>
                <w:sz w:val="24"/>
                <w:szCs w:val="24"/>
                <w:highlight w:val="none"/>
              </w:rPr>
            </w:pPr>
          </w:p>
        </w:tc>
        <w:tc>
          <w:tcPr>
            <w:tcW w:w="2126" w:type="dxa"/>
            <w:vAlign w:val="center"/>
          </w:tcPr>
          <w:p w14:paraId="7F94B1B0">
            <w:pPr>
              <w:spacing w:line="360" w:lineRule="auto"/>
              <w:jc w:val="center"/>
              <w:rPr>
                <w:rFonts w:ascii="宋体"/>
                <w:color w:val="auto"/>
                <w:sz w:val="24"/>
                <w:szCs w:val="24"/>
                <w:highlight w:val="none"/>
              </w:rPr>
            </w:pPr>
          </w:p>
        </w:tc>
      </w:tr>
      <w:tr w14:paraId="0A47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32F522B">
            <w:pPr>
              <w:spacing w:line="360" w:lineRule="auto"/>
              <w:jc w:val="center"/>
              <w:rPr>
                <w:rFonts w:ascii="宋体"/>
                <w:color w:val="auto"/>
                <w:sz w:val="24"/>
                <w:szCs w:val="24"/>
                <w:highlight w:val="none"/>
              </w:rPr>
            </w:pPr>
          </w:p>
        </w:tc>
        <w:tc>
          <w:tcPr>
            <w:tcW w:w="992" w:type="dxa"/>
            <w:vAlign w:val="center"/>
          </w:tcPr>
          <w:p w14:paraId="059BA24E">
            <w:pPr>
              <w:snapToGrid w:val="0"/>
              <w:spacing w:line="360" w:lineRule="auto"/>
              <w:jc w:val="center"/>
              <w:rPr>
                <w:rFonts w:ascii="宋体"/>
                <w:color w:val="auto"/>
                <w:sz w:val="24"/>
                <w:szCs w:val="24"/>
                <w:highlight w:val="none"/>
              </w:rPr>
            </w:pPr>
          </w:p>
        </w:tc>
        <w:tc>
          <w:tcPr>
            <w:tcW w:w="2268" w:type="dxa"/>
            <w:vAlign w:val="center"/>
          </w:tcPr>
          <w:p w14:paraId="71FC01BB">
            <w:pPr>
              <w:snapToGrid w:val="0"/>
              <w:spacing w:line="360" w:lineRule="auto"/>
              <w:jc w:val="center"/>
              <w:rPr>
                <w:rFonts w:ascii="宋体"/>
                <w:color w:val="auto"/>
                <w:sz w:val="24"/>
                <w:szCs w:val="24"/>
                <w:highlight w:val="none"/>
              </w:rPr>
            </w:pPr>
          </w:p>
        </w:tc>
        <w:tc>
          <w:tcPr>
            <w:tcW w:w="2410" w:type="dxa"/>
            <w:vAlign w:val="center"/>
          </w:tcPr>
          <w:p w14:paraId="1A4606D7">
            <w:pPr>
              <w:snapToGrid w:val="0"/>
              <w:spacing w:line="360" w:lineRule="auto"/>
              <w:jc w:val="center"/>
              <w:rPr>
                <w:rFonts w:ascii="宋体"/>
                <w:color w:val="auto"/>
                <w:sz w:val="24"/>
                <w:szCs w:val="24"/>
                <w:highlight w:val="none"/>
              </w:rPr>
            </w:pPr>
          </w:p>
        </w:tc>
        <w:tc>
          <w:tcPr>
            <w:tcW w:w="2268" w:type="dxa"/>
            <w:vAlign w:val="center"/>
          </w:tcPr>
          <w:p w14:paraId="574E375B">
            <w:pPr>
              <w:snapToGrid w:val="0"/>
              <w:spacing w:line="360" w:lineRule="auto"/>
              <w:jc w:val="center"/>
              <w:rPr>
                <w:rFonts w:ascii="宋体"/>
                <w:color w:val="auto"/>
                <w:sz w:val="24"/>
                <w:szCs w:val="24"/>
                <w:highlight w:val="none"/>
              </w:rPr>
            </w:pPr>
          </w:p>
        </w:tc>
        <w:tc>
          <w:tcPr>
            <w:tcW w:w="2126" w:type="dxa"/>
            <w:vAlign w:val="center"/>
          </w:tcPr>
          <w:p w14:paraId="0E15E760">
            <w:pPr>
              <w:spacing w:line="360" w:lineRule="auto"/>
              <w:jc w:val="center"/>
              <w:rPr>
                <w:rFonts w:ascii="宋体"/>
                <w:color w:val="auto"/>
                <w:sz w:val="24"/>
                <w:szCs w:val="24"/>
                <w:highlight w:val="none"/>
              </w:rPr>
            </w:pPr>
          </w:p>
        </w:tc>
        <w:tc>
          <w:tcPr>
            <w:tcW w:w="2127" w:type="dxa"/>
          </w:tcPr>
          <w:p w14:paraId="42202F19">
            <w:pPr>
              <w:spacing w:line="360" w:lineRule="auto"/>
              <w:jc w:val="center"/>
              <w:rPr>
                <w:rFonts w:ascii="宋体"/>
                <w:color w:val="auto"/>
                <w:sz w:val="24"/>
                <w:szCs w:val="24"/>
                <w:highlight w:val="none"/>
              </w:rPr>
            </w:pPr>
          </w:p>
        </w:tc>
        <w:tc>
          <w:tcPr>
            <w:tcW w:w="2126" w:type="dxa"/>
            <w:vAlign w:val="center"/>
          </w:tcPr>
          <w:p w14:paraId="0CF799CA">
            <w:pPr>
              <w:spacing w:line="360" w:lineRule="auto"/>
              <w:jc w:val="center"/>
              <w:rPr>
                <w:rFonts w:ascii="宋体"/>
                <w:color w:val="auto"/>
                <w:sz w:val="24"/>
                <w:szCs w:val="24"/>
                <w:highlight w:val="none"/>
              </w:rPr>
            </w:pPr>
          </w:p>
        </w:tc>
      </w:tr>
      <w:tr w14:paraId="3EB4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114C73CD">
            <w:pPr>
              <w:spacing w:line="360" w:lineRule="auto"/>
              <w:ind w:firstLine="480"/>
              <w:jc w:val="center"/>
              <w:rPr>
                <w:rFonts w:ascii="宋体"/>
                <w:b/>
                <w:bCs/>
                <w:color w:val="auto"/>
                <w:sz w:val="24"/>
                <w:szCs w:val="24"/>
                <w:highlight w:val="none"/>
              </w:rPr>
            </w:pPr>
            <w:r>
              <w:rPr>
                <w:rFonts w:hint="eastAsia" w:ascii="宋体" w:hAnsi="宋体" w:cs="宋体"/>
                <w:b/>
                <w:bCs/>
                <w:color w:val="auto"/>
                <w:sz w:val="24"/>
                <w:szCs w:val="24"/>
                <w:highlight w:val="none"/>
              </w:rPr>
              <w:t>响应报价（小写）</w:t>
            </w:r>
          </w:p>
        </w:tc>
        <w:tc>
          <w:tcPr>
            <w:tcW w:w="8647" w:type="dxa"/>
            <w:gridSpan w:val="4"/>
          </w:tcPr>
          <w:p w14:paraId="72B3674B">
            <w:pPr>
              <w:spacing w:line="360" w:lineRule="auto"/>
              <w:jc w:val="center"/>
              <w:rPr>
                <w:rFonts w:ascii="宋体"/>
                <w:color w:val="auto"/>
                <w:sz w:val="24"/>
                <w:szCs w:val="24"/>
                <w:highlight w:val="none"/>
              </w:rPr>
            </w:pPr>
          </w:p>
        </w:tc>
      </w:tr>
      <w:tr w14:paraId="04DB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E17689B">
            <w:pPr>
              <w:spacing w:line="360" w:lineRule="auto"/>
              <w:ind w:firstLine="480"/>
              <w:jc w:val="center"/>
              <w:rPr>
                <w:rFonts w:ascii="宋体"/>
                <w:b/>
                <w:bCs/>
                <w:color w:val="auto"/>
                <w:sz w:val="24"/>
                <w:szCs w:val="24"/>
                <w:highlight w:val="none"/>
              </w:rPr>
            </w:pPr>
            <w:r>
              <w:rPr>
                <w:rFonts w:hint="eastAsia" w:ascii="宋体" w:hAnsi="宋体" w:cs="宋体"/>
                <w:b/>
                <w:bCs/>
                <w:color w:val="auto"/>
                <w:sz w:val="24"/>
                <w:szCs w:val="24"/>
                <w:highlight w:val="none"/>
              </w:rPr>
              <w:t>响应报价（大写）</w:t>
            </w:r>
          </w:p>
        </w:tc>
        <w:tc>
          <w:tcPr>
            <w:tcW w:w="8647" w:type="dxa"/>
            <w:gridSpan w:val="4"/>
          </w:tcPr>
          <w:p w14:paraId="0871B0EB">
            <w:pPr>
              <w:spacing w:line="360" w:lineRule="auto"/>
              <w:jc w:val="center"/>
              <w:rPr>
                <w:rFonts w:ascii="宋体"/>
                <w:color w:val="auto"/>
                <w:sz w:val="24"/>
                <w:szCs w:val="24"/>
                <w:highlight w:val="none"/>
              </w:rPr>
            </w:pPr>
          </w:p>
        </w:tc>
      </w:tr>
    </w:tbl>
    <w:p w14:paraId="00985F18">
      <w:pPr>
        <w:snapToGrid w:val="0"/>
        <w:spacing w:line="360" w:lineRule="auto"/>
        <w:ind w:left="480" w:firstLine="480"/>
        <w:rPr>
          <w:rFonts w:ascii="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注：</w:t>
      </w:r>
    </w:p>
    <w:p w14:paraId="67A143FD">
      <w:pPr>
        <w:spacing w:line="360" w:lineRule="auto"/>
        <w:ind w:left="-2" w:leftChars="-1" w:firstLine="480" w:firstLineChars="200"/>
        <w:rPr>
          <w:rFonts w:ascii="宋体"/>
          <w:color w:val="auto"/>
          <w:kern w:val="0"/>
          <w:sz w:val="24"/>
          <w:szCs w:val="24"/>
          <w:highlight w:val="none"/>
          <w:lang w:val="zh-CN"/>
        </w:rPr>
      </w:pPr>
      <w:r>
        <w:rPr>
          <w:rFonts w:ascii="宋体" w:hAnsi="宋体" w:cs="宋体"/>
          <w:color w:val="auto"/>
          <w:kern w:val="0"/>
          <w:sz w:val="24"/>
          <w:szCs w:val="24"/>
          <w:highlight w:val="none"/>
          <w:lang w:val="zh-CN"/>
        </w:rPr>
        <w:t>1</w:t>
      </w:r>
      <w:r>
        <w:rPr>
          <w:rFonts w:hint="eastAsia" w:ascii="宋体" w:hAnsi="宋体" w:cs="宋体"/>
          <w:color w:val="auto"/>
          <w:kern w:val="0"/>
          <w:sz w:val="24"/>
          <w:szCs w:val="24"/>
          <w:highlight w:val="none"/>
          <w:lang w:val="zh-CN"/>
        </w:rPr>
        <w:t>、响应人需按本表格式填写</w:t>
      </w:r>
      <w:r>
        <w:rPr>
          <w:rFonts w:hint="eastAsia" w:ascii="宋体" w:hAnsi="宋体" w:cs="宋体"/>
          <w:b/>
          <w:bCs/>
          <w:color w:val="auto"/>
          <w:kern w:val="0"/>
          <w:sz w:val="24"/>
          <w:szCs w:val="24"/>
          <w:highlight w:val="none"/>
          <w:lang w:val="zh-CN"/>
        </w:rPr>
        <w:t>，</w:t>
      </w:r>
      <w:r>
        <w:rPr>
          <w:rFonts w:hint="eastAsia" w:ascii="宋体" w:hAnsi="宋体" w:cs="宋体"/>
          <w:b/>
          <w:bCs/>
          <w:color w:val="auto"/>
          <w:kern w:val="0"/>
          <w:sz w:val="24"/>
          <w:szCs w:val="24"/>
          <w:highlight w:val="none"/>
        </w:rPr>
        <w:t>否则视为</w:t>
      </w:r>
      <w:r>
        <w:rPr>
          <w:rFonts w:hint="eastAsia" w:ascii="宋体" w:hAnsi="宋体" w:cs="宋体"/>
          <w:b/>
          <w:bCs/>
          <w:color w:val="auto"/>
          <w:sz w:val="24"/>
          <w:szCs w:val="24"/>
          <w:highlight w:val="none"/>
        </w:rPr>
        <w:t>响应文件含有采购人不能接受的附加条件，响应无效</w:t>
      </w:r>
      <w:r>
        <w:rPr>
          <w:rFonts w:hint="eastAsia" w:ascii="宋体" w:hAnsi="宋体" w:cs="宋体"/>
          <w:b/>
          <w:bCs/>
          <w:color w:val="auto"/>
          <w:kern w:val="0"/>
          <w:sz w:val="24"/>
          <w:szCs w:val="24"/>
          <w:highlight w:val="none"/>
          <w:lang w:val="zh-CN"/>
        </w:rPr>
        <w:t>；</w:t>
      </w:r>
      <w:r>
        <w:rPr>
          <w:rFonts w:hint="eastAsia" w:ascii="宋体" w:hAnsi="宋体" w:cs="宋体"/>
          <w:color w:val="auto"/>
          <w:kern w:val="0"/>
          <w:sz w:val="24"/>
          <w:szCs w:val="24"/>
          <w:highlight w:val="none"/>
          <w:lang w:val="zh-CN"/>
        </w:rPr>
        <w:t>。</w:t>
      </w:r>
    </w:p>
    <w:p w14:paraId="53754B28">
      <w:pPr>
        <w:spacing w:line="360" w:lineRule="auto"/>
        <w:ind w:firstLine="480" w:firstLineChars="200"/>
        <w:rPr>
          <w:rFonts w:ascii="宋体"/>
          <w:b/>
          <w:bCs/>
          <w:color w:val="auto"/>
          <w:sz w:val="24"/>
          <w:szCs w:val="24"/>
          <w:highlight w:val="none"/>
        </w:rPr>
      </w:pPr>
      <w:r>
        <w:rPr>
          <w:rFonts w:ascii="宋体" w:hAnsi="宋体" w:cs="宋体"/>
          <w:color w:val="auto"/>
          <w:kern w:val="0"/>
          <w:sz w:val="24"/>
          <w:szCs w:val="24"/>
          <w:highlight w:val="none"/>
          <w:lang w:val="zh-CN"/>
        </w:rPr>
        <w:t>2</w:t>
      </w:r>
      <w:r>
        <w:rPr>
          <w:rFonts w:hint="eastAsia" w:ascii="宋体" w:hAnsi="宋体" w:cs="宋体"/>
          <w:color w:val="auto"/>
          <w:kern w:val="0"/>
          <w:sz w:val="24"/>
          <w:szCs w:val="24"/>
          <w:highlight w:val="none"/>
          <w:lang w:val="zh-CN"/>
        </w:rPr>
        <w:t>、有关本项目实施所涉及的一切费用均计入报价。</w:t>
      </w:r>
      <w:r>
        <w:rPr>
          <w:rFonts w:hint="eastAsia" w:ascii="宋体" w:hAnsi="宋体" w:cs="宋体"/>
          <w:b/>
          <w:bCs/>
          <w:color w:val="auto"/>
          <w:kern w:val="0"/>
          <w:sz w:val="24"/>
          <w:szCs w:val="24"/>
          <w:highlight w:val="none"/>
          <w:lang w:val="zh-CN"/>
        </w:rPr>
        <w:t>采购人将以合同形式有偿取得货物或服务，不接受响应人给予的赠品、回扣或者与采购无关的其他商品、服务；采购内容未包含在《交易一览表（报价表）》名称栏中，响应人不能作出合理解释的，</w:t>
      </w:r>
      <w:r>
        <w:rPr>
          <w:rFonts w:hint="eastAsia" w:ascii="宋体" w:hAnsi="宋体" w:cs="宋体"/>
          <w:b/>
          <w:bCs/>
          <w:color w:val="auto"/>
          <w:kern w:val="0"/>
          <w:sz w:val="24"/>
          <w:szCs w:val="24"/>
          <w:highlight w:val="none"/>
        </w:rPr>
        <w:t>视为</w:t>
      </w:r>
      <w:r>
        <w:rPr>
          <w:rFonts w:hint="eastAsia" w:ascii="宋体" w:hAnsi="宋体" w:cs="宋体"/>
          <w:b/>
          <w:bCs/>
          <w:color w:val="auto"/>
          <w:sz w:val="24"/>
          <w:szCs w:val="24"/>
          <w:highlight w:val="none"/>
        </w:rPr>
        <w:t>响应文件含有采购人不能接受的附加条件的，响应无效。</w:t>
      </w:r>
    </w:p>
    <w:p w14:paraId="43625C42">
      <w:pPr>
        <w:snapToGrid w:val="0"/>
        <w:spacing w:line="360" w:lineRule="auto"/>
        <w:ind w:firstLine="480" w:firstLineChars="200"/>
        <w:jc w:val="left"/>
        <w:rPr>
          <w:rFonts w:ascii="宋体"/>
          <w:color w:val="auto"/>
          <w:kern w:val="0"/>
          <w:sz w:val="24"/>
          <w:szCs w:val="24"/>
          <w:highlight w:val="none"/>
          <w:lang w:val="zh-CN"/>
        </w:rPr>
      </w:pPr>
      <w:r>
        <w:rPr>
          <w:rFonts w:ascii="宋体" w:hAnsi="宋体" w:cs="宋体"/>
          <w:color w:val="auto"/>
          <w:kern w:val="0"/>
          <w:sz w:val="24"/>
          <w:szCs w:val="24"/>
          <w:highlight w:val="none"/>
          <w:lang w:val="zh-CN"/>
        </w:rPr>
        <w:t>3</w:t>
      </w:r>
      <w:r>
        <w:rPr>
          <w:rFonts w:hint="eastAsia" w:ascii="宋体" w:hAnsi="宋体" w:cs="宋体"/>
          <w:color w:val="auto"/>
          <w:kern w:val="0"/>
          <w:sz w:val="24"/>
          <w:szCs w:val="24"/>
          <w:highlight w:val="none"/>
          <w:lang w:val="zh-CN"/>
        </w:rPr>
        <w:t>、特别提示：采购代理机构将对项目名称和项目编号，成交响应人名称、地址和成交金额，主要成交标的名称、服务范围、服务要求、服务时间、服务标准等予以公示。</w:t>
      </w:r>
    </w:p>
    <w:p w14:paraId="1D79D5E6">
      <w:pPr>
        <w:spacing w:line="360" w:lineRule="auto"/>
        <w:ind w:firstLine="480" w:firstLineChars="200"/>
        <w:rPr>
          <w:rFonts w:hint="eastAsia" w:ascii="宋体" w:hAnsi="宋体" w:cs="宋体"/>
          <w:b/>
          <w:bCs/>
          <w:color w:val="auto"/>
          <w:sz w:val="24"/>
          <w:szCs w:val="24"/>
          <w:highlight w:val="none"/>
          <w:lang w:val="en-US" w:eastAsia="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2884D37">
      <w:pPr>
        <w:spacing w:line="360" w:lineRule="auto"/>
        <w:ind w:firstLine="482" w:firstLineChars="200"/>
        <w:rPr>
          <w:rFonts w:hint="eastAsia" w:asciiTheme="minorEastAsia" w:hAnsiTheme="minorEastAsia" w:eastAsiaTheme="minorEastAsia" w:cstheme="minorEastAsia"/>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、特别说明：▲响应人报价低于项目预算</w:t>
      </w:r>
      <w:r>
        <w:rPr>
          <w:rFonts w:ascii="宋体" w:hAnsi="宋体" w:cs="宋体"/>
          <w:b/>
          <w:bCs/>
          <w:color w:val="auto"/>
          <w:sz w:val="24"/>
          <w:szCs w:val="24"/>
          <w:highlight w:val="none"/>
        </w:rPr>
        <w:t>50%</w:t>
      </w:r>
      <w:r>
        <w:rPr>
          <w:rFonts w:hint="eastAsia" w:ascii="宋体" w:hAnsi="宋体" w:cs="宋体"/>
          <w:b/>
          <w:bCs/>
          <w:color w:val="auto"/>
          <w:sz w:val="24"/>
          <w:szCs w:val="24"/>
          <w:highlight w:val="none"/>
        </w:rPr>
        <w:t>的，应当在报价文件中详细阐述不影响产品质量或者诚信履约的具体原因，未做阐述说明的，响应无效。</w:t>
      </w:r>
    </w:p>
    <w:p w14:paraId="0BC5CF25">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w:t>
      </w:r>
      <w:r>
        <w:rPr>
          <w:rFonts w:hint="eastAsia" w:asciiTheme="minorEastAsia" w:hAnsiTheme="minorEastAsia" w:eastAsiaTheme="minorEastAsia" w:cstheme="minorEastAsia"/>
          <w:b/>
          <w:color w:val="auto"/>
          <w:spacing w:val="6"/>
          <w:sz w:val="32"/>
          <w:szCs w:val="32"/>
          <w:highlight w:val="none"/>
          <w:lang w:val="en-US" w:eastAsia="zh-CN"/>
        </w:rPr>
        <w:t>1</w:t>
      </w:r>
      <w:r>
        <w:rPr>
          <w:rFonts w:hint="eastAsia" w:asciiTheme="minorEastAsia" w:hAnsiTheme="minorEastAsia" w:eastAsiaTheme="minorEastAsia" w:cstheme="minorEastAsia"/>
          <w:b/>
          <w:color w:val="auto"/>
          <w:spacing w:val="6"/>
          <w:sz w:val="32"/>
          <w:szCs w:val="32"/>
          <w:highlight w:val="none"/>
        </w:rPr>
        <w:t>：质疑函范本及制作说明</w:t>
      </w:r>
    </w:p>
    <w:p w14:paraId="62FF072D">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质疑函范本</w:t>
      </w:r>
    </w:p>
    <w:p w14:paraId="311D96A1">
      <w:pPr>
        <w:snapToGrid w:val="0"/>
        <w:spacing w:before="240"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57E5ECF1">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14:paraId="00EDBAA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14762F7C">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23558E7C">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14:paraId="23226B6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283853FD">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03F374BD">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3BA266C2">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14:paraId="2B154B42">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7CEE95BE">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14:paraId="24A47AD5">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14:paraId="131DC1AD">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107AA294">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14:paraId="536628E6">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789B01D5">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14:paraId="2D419FA9">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2C82CB89">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543C572F">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26E6C198">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498129AD">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60D53850">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14:paraId="7792623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220B472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3C6B9C42">
      <w:pPr>
        <w:spacing w:line="360" w:lineRule="auto"/>
        <w:jc w:val="center"/>
        <w:rPr>
          <w:rFonts w:hint="eastAsia" w:asciiTheme="minorEastAsia" w:hAnsiTheme="minorEastAsia" w:eastAsiaTheme="minorEastAsia" w:cstheme="minorEastAsia"/>
          <w:b/>
          <w:bCs/>
          <w:color w:val="auto"/>
          <w:sz w:val="24"/>
          <w:highlight w:val="none"/>
        </w:rPr>
      </w:pPr>
    </w:p>
    <w:p w14:paraId="39251B3E">
      <w:pPr>
        <w:spacing w:line="360" w:lineRule="auto"/>
        <w:rPr>
          <w:rFonts w:hint="eastAsia" w:asciiTheme="minorEastAsia" w:hAnsiTheme="minorEastAsia" w:eastAsiaTheme="minorEastAsia" w:cstheme="minorEastAsia"/>
          <w:b/>
          <w:color w:val="auto"/>
          <w:sz w:val="24"/>
          <w:highlight w:val="none"/>
        </w:rPr>
      </w:pPr>
    </w:p>
    <w:p w14:paraId="5E190912">
      <w:pPr>
        <w:spacing w:line="360" w:lineRule="auto"/>
        <w:rPr>
          <w:rFonts w:hint="eastAsia" w:asciiTheme="minorEastAsia" w:hAnsiTheme="minorEastAsia" w:eastAsiaTheme="minorEastAsia" w:cstheme="minorEastAsia"/>
          <w:b/>
          <w:color w:val="auto"/>
          <w:sz w:val="24"/>
          <w:highlight w:val="none"/>
        </w:rPr>
      </w:pPr>
    </w:p>
    <w:p w14:paraId="0921B274">
      <w:pPr>
        <w:spacing w:line="360" w:lineRule="auto"/>
        <w:rPr>
          <w:rFonts w:hint="eastAsia" w:asciiTheme="minorEastAsia" w:hAnsiTheme="minorEastAsia" w:eastAsiaTheme="minorEastAsia" w:cstheme="minorEastAsia"/>
          <w:b/>
          <w:color w:val="auto"/>
          <w:sz w:val="24"/>
          <w:highlight w:val="none"/>
        </w:rPr>
      </w:pPr>
    </w:p>
    <w:p w14:paraId="643428B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20919FC3">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7F5D2054">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045C6251">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5C0B4656">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2EEDC651">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0A876754">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204785F">
      <w:pPr>
        <w:widowControl/>
        <w:spacing w:line="360" w:lineRule="auto"/>
        <w:ind w:firstLine="600" w:firstLineChars="200"/>
        <w:jc w:val="left"/>
        <w:rPr>
          <w:rFonts w:hint="eastAsia" w:asciiTheme="minorEastAsia" w:hAnsiTheme="minorEastAsia" w:eastAsiaTheme="minorEastAsia" w:cstheme="minorEastAsia"/>
          <w:color w:val="auto"/>
          <w:sz w:val="30"/>
          <w:szCs w:val="30"/>
          <w:highlight w:val="none"/>
        </w:rPr>
      </w:pPr>
    </w:p>
    <w:p w14:paraId="21FC6B95">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7CC8BD58">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49CA8EB3">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029AFEE0">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48662721">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1D36172F">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79F6850C">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7F7655EB">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5AF5FD52">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6EB91687">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6CC3A5EE">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20283398">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0A064132">
      <w:pPr>
        <w:spacing w:line="360" w:lineRule="auto"/>
        <w:jc w:val="left"/>
        <w:rPr>
          <w:rFonts w:hint="eastAsia" w:asciiTheme="minorEastAsia" w:hAnsiTheme="minorEastAsia" w:eastAsiaTheme="minorEastAsia" w:cstheme="minorEastAsia"/>
          <w:b/>
          <w:color w:val="auto"/>
          <w:spacing w:val="6"/>
          <w:sz w:val="32"/>
          <w:szCs w:val="32"/>
          <w:highlight w:val="none"/>
        </w:rPr>
      </w:pPr>
    </w:p>
    <w:p w14:paraId="6242320B">
      <w:pPr>
        <w:spacing w:line="360" w:lineRule="auto"/>
        <w:jc w:val="left"/>
        <w:rPr>
          <w:rFonts w:hint="eastAsia" w:asciiTheme="minorEastAsia" w:hAnsiTheme="minorEastAsia" w:eastAsiaTheme="minorEastAsia" w:cstheme="minorEastAsia"/>
          <w:b/>
          <w:color w:val="auto"/>
          <w:spacing w:val="6"/>
          <w:sz w:val="32"/>
          <w:szCs w:val="32"/>
          <w:highlight w:val="none"/>
        </w:rPr>
      </w:pPr>
    </w:p>
    <w:p w14:paraId="4A0043C7">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w:t>
      </w:r>
      <w:r>
        <w:rPr>
          <w:rFonts w:hint="eastAsia" w:asciiTheme="minorEastAsia" w:hAnsiTheme="minorEastAsia" w:eastAsiaTheme="minorEastAsia" w:cstheme="minorEastAsia"/>
          <w:b/>
          <w:color w:val="auto"/>
          <w:spacing w:val="6"/>
          <w:sz w:val="32"/>
          <w:szCs w:val="32"/>
          <w:highlight w:val="none"/>
          <w:lang w:val="en-US" w:eastAsia="zh-CN"/>
        </w:rPr>
        <w:t>2</w:t>
      </w:r>
      <w:r>
        <w:rPr>
          <w:rFonts w:hint="eastAsia" w:asciiTheme="minorEastAsia" w:hAnsiTheme="minorEastAsia" w:eastAsiaTheme="minorEastAsia" w:cstheme="minorEastAsia"/>
          <w:b/>
          <w:color w:val="auto"/>
          <w:spacing w:val="6"/>
          <w:sz w:val="32"/>
          <w:szCs w:val="32"/>
          <w:highlight w:val="none"/>
        </w:rPr>
        <w:t>：投诉书范本及制作说明</w:t>
      </w:r>
    </w:p>
    <w:p w14:paraId="7295162A">
      <w:pPr>
        <w:spacing w:line="360" w:lineRule="auto"/>
        <w:jc w:val="center"/>
        <w:rPr>
          <w:rFonts w:hint="eastAsia" w:asciiTheme="minorEastAsia" w:hAnsiTheme="minorEastAsia" w:eastAsiaTheme="minorEastAsia" w:cstheme="minorEastAsia"/>
          <w:b/>
          <w:color w:val="auto"/>
          <w:sz w:val="24"/>
          <w:highlight w:val="none"/>
        </w:rPr>
      </w:pPr>
    </w:p>
    <w:p w14:paraId="4528A9B9">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投诉书范本</w:t>
      </w:r>
    </w:p>
    <w:p w14:paraId="525BBAB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一、投诉相关主体基本情况</w:t>
      </w:r>
    </w:p>
    <w:p w14:paraId="277ACFD0">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w:t>
      </w:r>
      <w:r>
        <w:rPr>
          <w:rFonts w:hint="eastAsia" w:asciiTheme="minorEastAsia" w:hAnsiTheme="minorEastAsia" w:eastAsiaTheme="minorEastAsia" w:cstheme="minorEastAsia"/>
          <w:color w:val="auto"/>
          <w:sz w:val="24"/>
          <w:highlight w:val="none"/>
          <w:u w:val="dotted"/>
        </w:rPr>
        <w:t xml:space="preserve">                                               </w:t>
      </w:r>
    </w:p>
    <w:p w14:paraId="4E5BA0F6">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F27D774">
      <w:pPr>
        <w:tabs>
          <w:tab w:val="left" w:pos="6510"/>
        </w:tabs>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法定代表人/主要负责人：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313BA6BF">
      <w:pPr>
        <w:tabs>
          <w:tab w:val="left" w:pos="6510"/>
        </w:tabs>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79B1C69A">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7F6CE7F9">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dotted"/>
        </w:rPr>
        <w:t xml:space="preserve">                   </w:t>
      </w:r>
    </w:p>
    <w:p w14:paraId="5861348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被投诉人1：</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5C0F860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1679E4CD">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4ECFD45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被投诉人2</w:t>
      </w:r>
    </w:p>
    <w:p w14:paraId="08366B69">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02BB8F5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相关供应商：</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2490B5E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7AECA722">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5F533F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二、投诉项目基本情况</w:t>
      </w:r>
    </w:p>
    <w:p w14:paraId="7F7B461D">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dotted"/>
        </w:rPr>
        <w:t xml:space="preserve">                                        </w:t>
      </w:r>
    </w:p>
    <w:p w14:paraId="1B13426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177F905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7C1FE2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代理机构名称：</w:t>
      </w:r>
      <w:r>
        <w:rPr>
          <w:rFonts w:hint="eastAsia" w:asciiTheme="minorEastAsia" w:hAnsiTheme="minorEastAsia" w:eastAsiaTheme="minorEastAsia" w:cstheme="minorEastAsia"/>
          <w:color w:val="auto"/>
          <w:sz w:val="24"/>
          <w:highlight w:val="none"/>
          <w:u w:val="dotted"/>
        </w:rPr>
        <w:t xml:space="preserve">                                         </w:t>
      </w:r>
    </w:p>
    <w:p w14:paraId="37B1A272">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采购文件公告: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3A1D905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采购结果公告: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22356B7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三、质疑基本情况</w:t>
      </w:r>
    </w:p>
    <w:p w14:paraId="517FBF8A">
      <w:pPr>
        <w:spacing w:line="360" w:lineRule="auto"/>
        <w:ind w:firstLine="480" w:firstLineChars="200"/>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日,向</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提出质疑，质疑事项为：</w:t>
      </w:r>
      <w:r>
        <w:rPr>
          <w:rFonts w:hint="eastAsia" w:asciiTheme="minorEastAsia" w:hAnsiTheme="minorEastAsia" w:eastAsiaTheme="minorEastAsia" w:cstheme="minorEastAsia"/>
          <w:color w:val="auto"/>
          <w:sz w:val="24"/>
          <w:highlight w:val="none"/>
          <w:u w:val="dotted"/>
        </w:rPr>
        <w:t xml:space="preserve">                                </w:t>
      </w:r>
    </w:p>
    <w:p w14:paraId="23B47E99">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3909CFB4">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采购人/代理机构</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日,就质疑事项作出了答复/没有在法定期限内作出答复。</w:t>
      </w:r>
    </w:p>
    <w:p w14:paraId="37ABEA1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四、投诉事项具体内容</w:t>
      </w:r>
    </w:p>
    <w:p w14:paraId="4BDDF29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投诉事项 1：</w:t>
      </w:r>
      <w:r>
        <w:rPr>
          <w:rFonts w:hint="eastAsia" w:asciiTheme="minorEastAsia" w:hAnsiTheme="minorEastAsia" w:eastAsiaTheme="minorEastAsia" w:cstheme="minorEastAsia"/>
          <w:color w:val="auto"/>
          <w:sz w:val="24"/>
          <w:highlight w:val="none"/>
          <w:u w:val="dotted"/>
        </w:rPr>
        <w:t xml:space="preserve">                                       </w:t>
      </w:r>
    </w:p>
    <w:p w14:paraId="7B9234E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5FCE4940">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5CEE04C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21727EED">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3611640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投诉事项2</w:t>
      </w:r>
    </w:p>
    <w:p w14:paraId="774E5D2C">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1606CA1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五、与投诉事项相关的投诉请求</w:t>
      </w:r>
    </w:p>
    <w:p w14:paraId="194B2AB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0D4D56B9">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w:t>
      </w:r>
    </w:p>
    <w:p w14:paraId="6B6E855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62825AA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48DC2448">
      <w:pPr>
        <w:spacing w:line="360" w:lineRule="auto"/>
        <w:rPr>
          <w:rFonts w:hint="eastAsia" w:asciiTheme="minorEastAsia" w:hAnsiTheme="minorEastAsia" w:eastAsiaTheme="minorEastAsia" w:cstheme="minorEastAsia"/>
          <w:b/>
          <w:color w:val="auto"/>
          <w:sz w:val="24"/>
          <w:highlight w:val="none"/>
        </w:rPr>
      </w:pPr>
    </w:p>
    <w:p w14:paraId="3663D48C">
      <w:pPr>
        <w:spacing w:line="360" w:lineRule="auto"/>
        <w:rPr>
          <w:rFonts w:hint="eastAsia" w:asciiTheme="minorEastAsia" w:hAnsiTheme="minorEastAsia" w:eastAsiaTheme="minorEastAsia" w:cstheme="minorEastAsia"/>
          <w:b/>
          <w:color w:val="auto"/>
          <w:sz w:val="24"/>
          <w:highlight w:val="none"/>
        </w:rPr>
      </w:pPr>
    </w:p>
    <w:p w14:paraId="43C45E6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投诉书制作说明：</w:t>
      </w:r>
    </w:p>
    <w:p w14:paraId="57E7D794">
      <w:pPr>
        <w:widowControl/>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1.投诉人提起投诉时，应当提交投诉书和必要的证明材料，并按照被投诉人和与投诉事项有关的供应商数量提供投诉书副本。</w:t>
      </w:r>
    </w:p>
    <w:p w14:paraId="30944FF0">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highlight w:val="none"/>
        </w:rPr>
        <w:t>投诉人签署的授权委托书。授权委托书应当载明代理人的姓名或者名称、代理事项、具体权限、期限和相关事项。</w:t>
      </w:r>
    </w:p>
    <w:p w14:paraId="7CE601E5">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3.投诉人若对项目的某一分包进行投诉，投诉书应列明具体分包号。</w:t>
      </w:r>
    </w:p>
    <w:p w14:paraId="7E063036">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4.投诉书应简要列明质疑事项，质疑函、质疑答复等作为附件材料提供。</w:t>
      </w:r>
    </w:p>
    <w:p w14:paraId="34F91BEB">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5.投诉书的投诉事项应具体、明确，并有必要的事实依据和法律依据。</w:t>
      </w:r>
    </w:p>
    <w:p w14:paraId="0C30380B">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6.投诉书的投诉请求应与投诉事项相关。</w:t>
      </w:r>
    </w:p>
    <w:p w14:paraId="2652A62E">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0282C9AF">
      <w:pPr>
        <w:spacing w:line="360" w:lineRule="auto"/>
        <w:rPr>
          <w:rFonts w:hint="eastAsia" w:asciiTheme="minorEastAsia" w:hAnsiTheme="minorEastAsia" w:eastAsiaTheme="minorEastAsia" w:cstheme="minorEastAsia"/>
          <w:b/>
          <w:color w:val="auto"/>
          <w:sz w:val="24"/>
          <w:highlight w:val="none"/>
        </w:rPr>
      </w:pPr>
    </w:p>
    <w:p w14:paraId="65E24DB8">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5EDE0D29">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76CF3B15">
      <w:pPr>
        <w:autoSpaceDE w:val="0"/>
        <w:autoSpaceDN w:val="0"/>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w:t>
      </w:r>
      <w:r>
        <w:rPr>
          <w:rFonts w:hint="eastAsia" w:asciiTheme="minorEastAsia" w:hAnsiTheme="minorEastAsia" w:eastAsiaTheme="minorEastAsia" w:cstheme="minorEastAsia"/>
          <w:b/>
          <w:color w:val="auto"/>
          <w:spacing w:val="6"/>
          <w:sz w:val="32"/>
          <w:szCs w:val="32"/>
          <w:highlight w:val="none"/>
          <w:lang w:val="en-US" w:eastAsia="zh-CN"/>
        </w:rPr>
        <w:t>3</w:t>
      </w:r>
      <w:r>
        <w:rPr>
          <w:rFonts w:hint="eastAsia" w:asciiTheme="minorEastAsia" w:hAnsiTheme="minorEastAsia" w:eastAsiaTheme="minorEastAsia" w:cstheme="minorEastAsia"/>
          <w:b/>
          <w:color w:val="auto"/>
          <w:spacing w:val="6"/>
          <w:sz w:val="32"/>
          <w:szCs w:val="32"/>
          <w:highlight w:val="none"/>
        </w:rPr>
        <w:t>：</w:t>
      </w:r>
    </w:p>
    <w:p w14:paraId="206BEEA6">
      <w:pPr>
        <w:autoSpaceDE w:val="0"/>
        <w:autoSpaceDN w:val="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业务专用章使用说明函</w:t>
      </w:r>
    </w:p>
    <w:p w14:paraId="30A752E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（采购人）、（采购代理机构）</w:t>
      </w:r>
    </w:p>
    <w:p w14:paraId="3A90071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我方</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(供应商全称)是中华人民共和国依法登记注册的合法企业，</w:t>
      </w:r>
      <w:r>
        <w:rPr>
          <w:rFonts w:hint="eastAsia" w:asciiTheme="minorEastAsia" w:hAnsiTheme="minorEastAsia" w:eastAsiaTheme="minorEastAsia" w:cstheme="minorEastAsia"/>
          <w:bCs/>
          <w:color w:val="auto"/>
          <w:sz w:val="24"/>
          <w:highlight w:val="none"/>
        </w:rPr>
        <w:t>在参加</w:t>
      </w:r>
      <w:r>
        <w:rPr>
          <w:rFonts w:hint="eastAsia" w:asciiTheme="minorEastAsia" w:hAnsiTheme="minorEastAsia" w:eastAsiaTheme="minorEastAsia" w:cstheme="minorEastAsia"/>
          <w:color w:val="auto"/>
          <w:sz w:val="24"/>
          <w:highlight w:val="none"/>
        </w:rPr>
        <w:t>你方组织的</w:t>
      </w:r>
      <w:r>
        <w:rPr>
          <w:rFonts w:hint="eastAsia" w:asciiTheme="minorEastAsia" w:hAnsiTheme="minorEastAsia" w:eastAsiaTheme="minorEastAsia" w:cstheme="minorEastAsia"/>
          <w:color w:val="auto"/>
          <w:sz w:val="24"/>
          <w:highlight w:val="none"/>
          <w:u w:val="single"/>
        </w:rPr>
        <w:t>（项目名称）项目【交易编号：（采购编号）】</w:t>
      </w:r>
      <w:r>
        <w:rPr>
          <w:rFonts w:hint="eastAsia" w:asciiTheme="minorEastAsia" w:hAnsiTheme="minorEastAsia" w:eastAsiaTheme="minorEastAsia" w:cstheme="minorEastAsia"/>
          <w:bCs/>
          <w:color w:val="auto"/>
          <w:sz w:val="24"/>
          <w:highlight w:val="none"/>
        </w:rPr>
        <w:t>交易活动中作如下说明：</w:t>
      </w:r>
      <w:r>
        <w:rPr>
          <w:rFonts w:hint="eastAsia" w:asciiTheme="minorEastAsia" w:hAnsiTheme="minorEastAsia" w:eastAsiaTheme="minorEastAsia" w:cstheme="minorEastAsia"/>
          <w:color w:val="auto"/>
          <w:sz w:val="24"/>
          <w:highlight w:val="none"/>
        </w:rPr>
        <w:t xml:space="preserve">我方所使用的“XX专用章”与法定名称章具有同等的法律效力，对使用“XX专用章”的行为予以完全承认，并愿意承担相应责任。   </w:t>
      </w:r>
    </w:p>
    <w:p w14:paraId="249265B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特此说明。</w:t>
      </w:r>
    </w:p>
    <w:p w14:paraId="00D33665">
      <w:pPr>
        <w:spacing w:line="360" w:lineRule="auto"/>
        <w:ind w:firstLine="494"/>
        <w:rPr>
          <w:rFonts w:hint="eastAsia" w:asciiTheme="minorEastAsia" w:hAnsiTheme="minorEastAsia" w:eastAsiaTheme="minorEastAsia" w:cstheme="minorEastAsia"/>
          <w:color w:val="auto"/>
          <w:sz w:val="24"/>
          <w:highlight w:val="none"/>
        </w:rPr>
      </w:pPr>
    </w:p>
    <w:p w14:paraId="48E3B93C">
      <w:pPr>
        <w:spacing w:line="360" w:lineRule="auto"/>
        <w:ind w:firstLine="494"/>
        <w:rPr>
          <w:rFonts w:hint="eastAsia" w:asciiTheme="minorEastAsia" w:hAnsiTheme="minorEastAsia" w:eastAsiaTheme="minorEastAsia" w:cstheme="minorEastAsia"/>
          <w:color w:val="auto"/>
          <w:sz w:val="24"/>
          <w:highlight w:val="none"/>
        </w:rPr>
      </w:pPr>
    </w:p>
    <w:p w14:paraId="491A4E2F">
      <w:pPr>
        <w:spacing w:line="360" w:lineRule="auto"/>
        <w:ind w:firstLine="494"/>
        <w:rPr>
          <w:rFonts w:hint="eastAsia" w:asciiTheme="minorEastAsia" w:hAnsiTheme="minorEastAsia" w:eastAsiaTheme="minorEastAsia" w:cstheme="minorEastAsia"/>
          <w:color w:val="auto"/>
          <w:sz w:val="24"/>
          <w:highlight w:val="none"/>
        </w:rPr>
      </w:pPr>
    </w:p>
    <w:p w14:paraId="6C4D286A">
      <w:pPr>
        <w:spacing w:line="360" w:lineRule="auto"/>
        <w:ind w:firstLine="494"/>
        <w:rPr>
          <w:rFonts w:hint="eastAsia" w:asciiTheme="minorEastAsia" w:hAnsiTheme="minorEastAsia" w:eastAsiaTheme="minorEastAsia" w:cstheme="minorEastAsia"/>
          <w:color w:val="auto"/>
          <w:sz w:val="24"/>
          <w:highlight w:val="none"/>
        </w:rPr>
      </w:pPr>
    </w:p>
    <w:p w14:paraId="37977FE1">
      <w:pPr>
        <w:spacing w:line="360" w:lineRule="auto"/>
        <w:ind w:right="480"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响应单位（法定名称章）：</w:t>
      </w:r>
    </w:p>
    <w:p w14:paraId="0EBF3B80">
      <w:pPr>
        <w:ind w:right="1440" w:firstLine="494"/>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00CFF1E7">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w:t>
      </w:r>
    </w:p>
    <w:p w14:paraId="12F85DB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a:effectLst/>
                      </wps:spPr>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HP+MHYAAAACgEAAA8AAAAAAAAAAQAgAAAA&#10;IgAAAGRycy9kb3ducmV2LnhtbFBLAQIUABQAAAAIAIdO4kCvE2mm0gEAANQDAAAOAAAAAAAAAAEA&#10;IAAAACcBAABkcnMvZTJvRG9jLnhtbFBLBQYAAAAABgAGAFkBAABrBQAAAAA=&#10;">
                <v:fill on="t" focussize="0,0"/>
                <v:stroke color="#000000"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a:effectLst/>
                      </wps:spPr>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3TsFjYAAAACgEAAA8AAAAAAAAAAQAgAAAA&#10;IgAAAGRycy9kb3ducmV2LnhtbFBLAQIUABQAAAAIAIdO4kDsAkMa0gEAANQDAAAOAAAAAAAAAAEA&#10;IAAAACcBAABkcnMvZTJvRG9jLnhtbFBLBQYAAAAABgAGAFkBAABrBQAAAAA=&#10;">
                <v:fill on="t" focussize="0,0"/>
                <v:stroke color="#000000"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w:t>响应单位法定名称章（印模）                响应单位“XX专用章”（印模）</w:t>
      </w:r>
    </w:p>
    <w:p w14:paraId="5473A4C2">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7DA3AA94">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0BB72403">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696BDEEB">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317597B2">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42D6C7C0">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15DF3A75">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35B1201F">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2A98547B">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3694592F">
      <w:pPr>
        <w:spacing w:line="360" w:lineRule="auto"/>
        <w:jc w:val="left"/>
        <w:outlineLvl w:val="0"/>
        <w:rPr>
          <w:rFonts w:hint="eastAsia" w:asciiTheme="minorEastAsia" w:hAnsiTheme="minorEastAsia" w:eastAsiaTheme="minorEastAsia" w:cstheme="minorEastAsia"/>
          <w:b/>
          <w:color w:val="auto"/>
          <w:spacing w:val="6"/>
          <w:sz w:val="32"/>
          <w:szCs w:val="32"/>
          <w:highlight w:val="none"/>
          <w:lang w:val="en-US" w:eastAsia="zh-CN"/>
        </w:rPr>
      </w:pPr>
    </w:p>
    <w:p w14:paraId="76E662BA">
      <w:pPr>
        <w:spacing w:line="360" w:lineRule="auto"/>
        <w:jc w:val="left"/>
        <w:outlineLvl w:val="0"/>
        <w:rPr>
          <w:rFonts w:hint="eastAsia" w:asciiTheme="minorEastAsia" w:hAnsiTheme="minorEastAsia" w:eastAsiaTheme="minorEastAsia" w:cstheme="minorEastAsia"/>
          <w:b/>
          <w:color w:val="auto"/>
          <w:spacing w:val="6"/>
          <w:sz w:val="32"/>
          <w:szCs w:val="32"/>
          <w:highlight w:val="none"/>
          <w:lang w:val="en-US" w:eastAsia="zh-CN"/>
        </w:rPr>
      </w:pPr>
    </w:p>
    <w:p w14:paraId="5DCDC9CF">
      <w:pPr>
        <w:spacing w:line="360" w:lineRule="auto"/>
        <w:jc w:val="left"/>
        <w:outlineLvl w:val="0"/>
        <w:rPr>
          <w:rFonts w:hint="eastAsia" w:asciiTheme="minorEastAsia" w:hAnsiTheme="minorEastAsia" w:eastAsiaTheme="minorEastAsia" w:cstheme="minorEastAsia"/>
          <w:b/>
          <w:color w:val="auto"/>
          <w:spacing w:val="6"/>
          <w:sz w:val="32"/>
          <w:szCs w:val="32"/>
          <w:highlight w:val="none"/>
          <w:lang w:val="en-US" w:eastAsia="zh-CN"/>
        </w:rPr>
      </w:pPr>
    </w:p>
    <w:p w14:paraId="3AA885BD">
      <w:pPr>
        <w:spacing w:line="360" w:lineRule="auto"/>
        <w:jc w:val="left"/>
        <w:outlineLvl w:val="0"/>
        <w:rPr>
          <w:rFonts w:hint="eastAsia" w:asciiTheme="minorEastAsia" w:hAnsiTheme="minorEastAsia" w:eastAsiaTheme="minorEastAsia" w:cstheme="minorEastAsia"/>
          <w:b/>
          <w:color w:val="auto"/>
          <w:spacing w:val="6"/>
          <w:sz w:val="32"/>
          <w:szCs w:val="32"/>
          <w:highlight w:val="none"/>
          <w:lang w:val="en-US" w:eastAsia="zh-CN"/>
        </w:rPr>
      </w:pPr>
    </w:p>
    <w:p w14:paraId="46103020">
      <w:pPr>
        <w:spacing w:line="360" w:lineRule="auto"/>
        <w:jc w:val="left"/>
        <w:outlineLvl w:val="0"/>
        <w:rPr>
          <w:rFonts w:hint="eastAsia" w:asciiTheme="minorEastAsia" w:hAnsiTheme="minorEastAsia" w:eastAsiaTheme="minorEastAsia" w:cstheme="minorEastAsia"/>
          <w:b/>
          <w:color w:val="auto"/>
          <w:spacing w:val="6"/>
          <w:sz w:val="32"/>
          <w:szCs w:val="32"/>
          <w:highlight w:val="none"/>
          <w:lang w:val="en-US" w:eastAsia="zh-CN"/>
        </w:rPr>
      </w:pPr>
    </w:p>
    <w:p w14:paraId="64A9EC4C">
      <w:pPr>
        <w:spacing w:line="360" w:lineRule="auto"/>
        <w:jc w:val="left"/>
        <w:outlineLvl w:val="0"/>
        <w:rPr>
          <w:rFonts w:ascii="宋体" w:hAnsi="宋体" w:cs="宋体"/>
          <w:b/>
          <w:color w:val="auto"/>
          <w:sz w:val="36"/>
          <w:szCs w:val="20"/>
        </w:rPr>
      </w:pPr>
      <w:r>
        <w:rPr>
          <w:rFonts w:hint="eastAsia" w:asciiTheme="minorEastAsia" w:hAnsiTheme="minorEastAsia" w:eastAsiaTheme="minorEastAsia" w:cstheme="minorEastAsia"/>
          <w:b/>
          <w:color w:val="auto"/>
          <w:spacing w:val="6"/>
          <w:sz w:val="32"/>
          <w:szCs w:val="32"/>
          <w:highlight w:val="none"/>
          <w:lang w:val="en-US" w:eastAsia="zh-CN"/>
        </w:rPr>
        <w:t xml:space="preserve">附件4 </w:t>
      </w:r>
      <w:r>
        <w:rPr>
          <w:rFonts w:hint="eastAsia" w:ascii="宋体" w:hAnsi="宋体" w:cs="宋体"/>
          <w:b/>
          <w:color w:val="auto"/>
          <w:sz w:val="36"/>
          <w:szCs w:val="20"/>
          <w:lang w:val="en-US" w:eastAsia="zh-CN"/>
        </w:rPr>
        <w:t xml:space="preserve">        </w:t>
      </w:r>
      <w:r>
        <w:rPr>
          <w:rFonts w:hint="eastAsia" w:ascii="宋体" w:hAnsi="宋体" w:cs="宋体"/>
          <w:b/>
          <w:color w:val="auto"/>
          <w:sz w:val="36"/>
          <w:szCs w:val="20"/>
        </w:rPr>
        <w:t>中小企业声明函</w:t>
      </w:r>
    </w:p>
    <w:p w14:paraId="76214322">
      <w:pPr>
        <w:spacing w:line="360" w:lineRule="auto"/>
        <w:jc w:val="center"/>
        <w:rPr>
          <w:rFonts w:ascii="宋体" w:hAnsi="宋体" w:cs="宋体"/>
          <w:color w:val="auto"/>
          <w:sz w:val="24"/>
          <w:u w:val="single"/>
        </w:rPr>
      </w:pPr>
    </w:p>
    <w:p w14:paraId="2D416DE8">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中小企业声明函（服务）</w:t>
      </w:r>
    </w:p>
    <w:p w14:paraId="4F01D364">
      <w:pPr>
        <w:spacing w:line="360" w:lineRule="auto"/>
        <w:ind w:firstLine="360" w:firstLineChars="1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C788656">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 xml:space="preserve"> （采购文件中明确的所属行业）</w:t>
      </w:r>
      <w:r>
        <w:rPr>
          <w:rFonts w:hint="eastAsia" w:ascii="宋体" w:hAnsi="宋体" w:cs="宋体"/>
          <w:color w:val="auto"/>
          <w:sz w:val="24"/>
        </w:rPr>
        <w:t xml:space="preserve"> ；承建（承接）企业为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2BECC480">
      <w:pPr>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（标的名称），</w:t>
      </w:r>
      <w:r>
        <w:rPr>
          <w:rFonts w:hint="eastAsia" w:ascii="宋体" w:hAnsi="宋体" w:cs="宋体"/>
          <w:color w:val="auto"/>
          <w:sz w:val="24"/>
        </w:rPr>
        <w:t xml:space="preserve">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 xml:space="preserve">；承建（承接）企业为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6D5F7367">
      <w:pPr>
        <w:spacing w:line="360" w:lineRule="auto"/>
        <w:ind w:firstLine="480" w:firstLineChars="200"/>
        <w:jc w:val="left"/>
        <w:rPr>
          <w:rFonts w:ascii="宋体" w:hAnsi="宋体" w:cs="宋体"/>
          <w:color w:val="auto"/>
          <w:sz w:val="24"/>
        </w:rPr>
      </w:pPr>
      <w:r>
        <w:rPr>
          <w:rFonts w:hint="eastAsia" w:ascii="宋体" w:hAnsi="宋体" w:cs="宋体"/>
          <w:color w:val="auto"/>
          <w:sz w:val="24"/>
        </w:rPr>
        <w:t>……</w:t>
      </w:r>
    </w:p>
    <w:p w14:paraId="565B1CBE">
      <w:pPr>
        <w:spacing w:line="360" w:lineRule="auto"/>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4C0FC9A3">
      <w:pPr>
        <w:spacing w:line="360" w:lineRule="auto"/>
        <w:ind w:firstLine="480" w:firstLineChars="200"/>
        <w:jc w:val="left"/>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63B4FD1A">
      <w:pPr>
        <w:spacing w:line="360" w:lineRule="auto"/>
        <w:ind w:right="1760"/>
        <w:jc w:val="right"/>
        <w:rPr>
          <w:rFonts w:ascii="宋体" w:hAnsi="宋体" w:cs="宋体"/>
          <w:color w:val="auto"/>
          <w:sz w:val="24"/>
        </w:rPr>
      </w:pPr>
      <w:r>
        <w:rPr>
          <w:rFonts w:hint="eastAsia" w:ascii="宋体" w:hAnsi="宋体" w:cs="宋体"/>
          <w:color w:val="auto"/>
          <w:sz w:val="24"/>
        </w:rPr>
        <w:t>投标人名称（电子签名）：</w:t>
      </w:r>
    </w:p>
    <w:p w14:paraId="1D0DFAAC">
      <w:pPr>
        <w:spacing w:line="360" w:lineRule="auto"/>
        <w:ind w:right="1120" w:firstLine="4680" w:firstLineChars="1950"/>
        <w:rPr>
          <w:rFonts w:ascii="宋体" w:hAnsi="宋体" w:cs="宋体"/>
          <w:color w:val="auto"/>
          <w:sz w:val="24"/>
        </w:rPr>
      </w:pPr>
      <w:r>
        <w:rPr>
          <w:rFonts w:hint="eastAsia" w:ascii="宋体" w:hAnsi="宋体" w:cs="宋体"/>
          <w:color w:val="auto"/>
          <w:sz w:val="24"/>
        </w:rPr>
        <w:t>日 期：</w:t>
      </w:r>
    </w:p>
    <w:p w14:paraId="75BBA991">
      <w:pPr>
        <w:spacing w:line="360" w:lineRule="auto"/>
        <w:ind w:firstLine="310" w:firstLineChars="147"/>
        <w:jc w:val="left"/>
        <w:rPr>
          <w:rFonts w:ascii="宋体" w:hAnsi="宋体" w:cs="宋体"/>
          <w:b/>
          <w:color w:val="auto"/>
          <w:szCs w:val="21"/>
        </w:rPr>
      </w:pPr>
      <w:r>
        <w:rPr>
          <w:rFonts w:hint="eastAsia" w:ascii="宋体" w:hAnsi="宋体" w:cs="宋体"/>
          <w:b/>
          <w:color w:val="auto"/>
          <w:szCs w:val="21"/>
        </w:rPr>
        <w:t>从业人员、营业收入、资产总额填报上一年度数据，无上一年度数据的新成立企业可不填报。</w:t>
      </w:r>
    </w:p>
    <w:p w14:paraId="42DF1BF5">
      <w:pPr>
        <w:spacing w:line="360" w:lineRule="auto"/>
        <w:ind w:right="420"/>
        <w:rPr>
          <w:rFonts w:ascii="宋体" w:hAnsi="宋体" w:cs="宋体"/>
          <w:color w:val="auto"/>
          <w:sz w:val="24"/>
        </w:rPr>
      </w:pPr>
    </w:p>
    <w:p w14:paraId="79CB37B0">
      <w:pPr>
        <w:spacing w:line="360" w:lineRule="auto"/>
        <w:ind w:right="420"/>
        <w:rPr>
          <w:rFonts w:ascii="宋体" w:hAnsi="宋体" w:cs="宋体"/>
          <w:color w:val="auto"/>
          <w:sz w:val="24"/>
        </w:rPr>
      </w:pPr>
      <w:r>
        <w:rPr>
          <w:rFonts w:hint="eastAsia" w:ascii="宋体" w:hAnsi="宋体" w:cs="宋体"/>
          <w:color w:val="auto"/>
          <w:sz w:val="24"/>
        </w:rPr>
        <w:t xml:space="preserve">   注：</w:t>
      </w:r>
    </w:p>
    <w:p w14:paraId="588ACD6E">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676F7BAF">
      <w:pPr>
        <w:spacing w:line="360" w:lineRule="auto"/>
        <w:ind w:right="420" w:firstLine="720" w:firstLineChars="300"/>
        <w:rPr>
          <w:rFonts w:hint="eastAsia" w:ascii="宋体" w:hAnsi="宋体" w:cs="宋体"/>
          <w:color w:val="auto"/>
          <w:sz w:val="24"/>
        </w:rPr>
        <w:sectPr>
          <w:headerReference r:id="rId12" w:type="first"/>
          <w:footerReference r:id="rId15" w:type="first"/>
          <w:headerReference r:id="rId11" w:type="default"/>
          <w:footerReference r:id="rId13" w:type="default"/>
          <w:footerReference r:id="rId14" w:type="even"/>
          <w:pgSz w:w="11906" w:h="16838"/>
          <w:pgMar w:top="1276" w:right="1418" w:bottom="1247" w:left="1418" w:header="851" w:footer="992" w:gutter="0"/>
          <w:cols w:space="720" w:num="1"/>
          <w:titlePg/>
          <w:docGrid w:linePitch="312" w:charSpace="0"/>
        </w:sectPr>
      </w:pPr>
      <w:r>
        <w:rPr>
          <w:rFonts w:hint="eastAsia" w:ascii="宋体" w:hAnsi="宋体" w:cs="宋体"/>
          <w:color w:val="auto"/>
          <w:sz w:val="24"/>
        </w:rPr>
        <w:t>2、符合《关于促进残疾人就业政府采购政策的通知》（财库〔2017〕141号）规定的条件并提供《残疾人福利性单位声明函》</w:t>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rPr>
        <w:t>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88F4E7F">
      <w:pPr>
        <w:spacing w:line="360" w:lineRule="auto"/>
        <w:jc w:val="center"/>
        <w:rPr>
          <w:rFonts w:ascii="宋体" w:hAnsi="宋体" w:cs="宋体"/>
          <w:b/>
          <w:spacing w:val="6"/>
          <w:sz w:val="32"/>
          <w:szCs w:val="32"/>
          <w:highlight w:val="none"/>
        </w:rPr>
      </w:pPr>
      <w:r>
        <w:rPr>
          <w:rFonts w:hint="eastAsia" w:asciiTheme="minorEastAsia" w:hAnsiTheme="minorEastAsia" w:eastAsiaTheme="minorEastAsia" w:cstheme="minorEastAsia"/>
          <w:b/>
          <w:color w:val="auto"/>
          <w:spacing w:val="6"/>
          <w:sz w:val="32"/>
          <w:szCs w:val="32"/>
          <w:highlight w:val="none"/>
          <w:lang w:val="en-US" w:eastAsia="zh-CN"/>
        </w:rPr>
        <w:t xml:space="preserve">附件5  </w:t>
      </w:r>
      <w:bookmarkStart w:id="385" w:name="OLE_LINK14"/>
      <w:bookmarkStart w:id="386" w:name="OLE_LINK13"/>
      <w:r>
        <w:rPr>
          <w:rFonts w:hint="eastAsia" w:ascii="宋体" w:hAnsi="宋体" w:cs="宋体"/>
          <w:b/>
          <w:spacing w:val="6"/>
          <w:sz w:val="32"/>
          <w:szCs w:val="32"/>
          <w:highlight w:val="none"/>
        </w:rPr>
        <w:t>残疾人福利性单位声明函</w:t>
      </w:r>
    </w:p>
    <w:bookmarkEnd w:id="385"/>
    <w:bookmarkEnd w:id="386"/>
    <w:p w14:paraId="0A3F15A2">
      <w:pPr>
        <w:spacing w:line="360" w:lineRule="auto"/>
        <w:rPr>
          <w:rFonts w:ascii="宋体" w:hAnsi="宋体" w:cs="宋体"/>
          <w:b/>
          <w:spacing w:val="6"/>
          <w:sz w:val="30"/>
          <w:szCs w:val="30"/>
          <w:highlight w:val="none"/>
        </w:rPr>
      </w:pPr>
    </w:p>
    <w:p w14:paraId="3F1DA52A">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381DC906">
      <w:pPr>
        <w:spacing w:line="360" w:lineRule="auto"/>
        <w:ind w:firstLine="480" w:firstLineChars="200"/>
        <w:rPr>
          <w:rFonts w:ascii="宋体" w:hAnsi="宋体" w:cs="宋体"/>
          <w:sz w:val="24"/>
          <w:highlight w:val="none"/>
        </w:rPr>
      </w:pPr>
    </w:p>
    <w:p w14:paraId="05F244CC">
      <w:pPr>
        <w:spacing w:line="360" w:lineRule="auto"/>
        <w:ind w:firstLine="480" w:firstLineChars="200"/>
        <w:rPr>
          <w:rFonts w:ascii="宋体" w:hAnsi="宋体" w:cs="宋体"/>
          <w:sz w:val="24"/>
          <w:highlight w:val="none"/>
        </w:rPr>
      </w:pPr>
    </w:p>
    <w:p w14:paraId="192BEB09">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4BDA5E22">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14:paraId="4E6973EC">
      <w:pPr>
        <w:pStyle w:val="62"/>
        <w:rPr>
          <w:rFonts w:hint="default"/>
          <w:lang w:val="en-US"/>
        </w:rPr>
      </w:pPr>
    </w:p>
    <w:p w14:paraId="23B0463B">
      <w:pPr>
        <w:rPr>
          <w:rFonts w:hint="eastAsia" w:asciiTheme="minorEastAsia" w:hAnsiTheme="minorEastAsia" w:eastAsiaTheme="minorEastAsia" w:cstheme="minorEastAsia"/>
          <w:b/>
          <w:color w:val="auto"/>
          <w:spacing w:val="6"/>
          <w:sz w:val="32"/>
          <w:szCs w:val="32"/>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Trebuchet MS"/>
    <w:panose1 w:val="00000000000000000000"/>
    <w:charset w:val="00"/>
    <w:family w:val="auto"/>
    <w:pitch w:val="default"/>
    <w:sig w:usb0="00000000" w:usb1="00000000" w:usb2="00000000" w:usb3="00000000" w:csb0="00000011" w:csb1="00000000"/>
  </w:font>
  <w:font w:name="Trebuchet MS">
    <w:panose1 w:val="020B0603020202020204"/>
    <w:charset w:val="00"/>
    <w:family w:val="auto"/>
    <w:pitch w:val="default"/>
    <w:sig w:usb0="00000687" w:usb1="00000000" w:usb2="00000000" w:usb3="00000000" w:csb0="200000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auto"/>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7F" w:usb3="00000000" w:csb0="203F01FF" w:csb1="DFFF0000"/>
  </w:font>
  <w:font w:name="Helvetica">
    <w:panose1 w:val="020B0504020202030204"/>
    <w:charset w:val="00"/>
    <w:family w:val="auto"/>
    <w:pitch w:val="default"/>
    <w:sig w:usb0="00000007" w:usb1="00000000" w:usb2="00000000" w:usb3="00000000" w:csb0="00000093" w:csb1="00000000"/>
  </w:font>
  <w:font w:name="Cumberland">
    <w:altName w:val="Courier New"/>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Courier New"/>
    <w:panose1 w:val="00000000000000000000"/>
    <w:charset w:val="00"/>
    <w:family w:val="auto"/>
    <w:pitch w:val="default"/>
    <w:sig w:usb0="00000000" w:usb1="00000000" w:usb2="00000000" w:usb3="00000000" w:csb0="00000011" w:csb1="00000000"/>
  </w:font>
  <w:font w:name=".PingFang SC">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65B6">
    <w:pPr>
      <w:pStyle w:val="40"/>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923E7">
                          <w:pPr>
                            <w:pStyle w:val="4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9923E7">
                    <w:pPr>
                      <w:pStyle w:val="4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246CD8C6">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D3BF">
    <w:pPr>
      <w:pStyle w:val="40"/>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9E36C">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F9E36C">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18E8B4C3">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C148">
    <w:pPr>
      <w:pStyle w:val="40"/>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35743">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C935743">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2C77188A">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E56B">
    <w:pPr>
      <w:pStyle w:val="40"/>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3116F">
                          <w:pPr>
                            <w:pStyle w:val="40"/>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C03116F">
                    <w:pPr>
                      <w:pStyle w:val="40"/>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77259F63">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2567">
    <w:pPr>
      <w:pStyle w:val="40"/>
      <w:jc w:val="center"/>
      <w:rPr>
        <w:rFonts w:ascii="仿宋_GB2312" w:eastAsia="仿宋_GB2312"/>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F4A8E">
                          <w:pPr>
                            <w:pStyle w:val="4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50F4A8E">
                    <w:pPr>
                      <w:pStyle w:val="4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50A0">
    <w:pPr>
      <w:pStyle w:val="40"/>
      <w:framePr w:wrap="around" w:vAnchor="text" w:hAnchor="margin" w:xAlign="right" w:y="1"/>
      <w:rPr>
        <w:rStyle w:val="74"/>
      </w:rPr>
    </w:pPr>
    <w:r>
      <w:fldChar w:fldCharType="begin"/>
    </w:r>
    <w:r>
      <w:rPr>
        <w:rStyle w:val="74"/>
      </w:rPr>
      <w:instrText xml:space="preserve">PAGE  </w:instrText>
    </w:r>
    <w:r>
      <w:fldChar w:fldCharType="end"/>
    </w:r>
  </w:p>
  <w:p w14:paraId="5EBF6B60">
    <w:pPr>
      <w:pStyle w:val="4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F7132">
    <w:pPr>
      <w:pStyle w:val="4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49EB9">
                          <w:pPr>
                            <w:pStyle w:val="40"/>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AD49EB9">
                    <w:pPr>
                      <w:pStyle w:val="40"/>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294C">
    <w:pPr>
      <w:pStyle w:val="42"/>
      <w:jc w:val="right"/>
      <w:rPr>
        <w:rFonts w:ascii="仿宋_GB2312"/>
        <w:b/>
        <w:i/>
        <w:u w:val="single"/>
      </w:rPr>
    </w:pPr>
    <w:r>
      <w:t></w:t>
    </w:r>
    <w:r>
      <w:rPr>
        <w:rFonts w:hint="eastAsia"/>
      </w:rPr>
      <w:t xml:space="preserve">                                                  </w:t>
    </w:r>
    <w:r>
      <w:t>公开</w:t>
    </w:r>
    <w:r>
      <w:rPr>
        <w:rFonts w:hint="eastAsia"/>
      </w:rPr>
      <w:t>交易文件</w:t>
    </w:r>
  </w:p>
  <w:p w14:paraId="35C1C0A7">
    <w:pP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5DCB">
    <w:pPr>
      <w:pStyle w:val="42"/>
      <w:jc w:val="right"/>
    </w:pPr>
    <w:r>
      <w:t></w:t>
    </w:r>
    <w:r>
      <w:rPr>
        <w:rFonts w:hint="eastAsia"/>
      </w:rPr>
      <w:t xml:space="preserve"> </w:t>
    </w:r>
    <w:r>
      <w:t>公开</w:t>
    </w:r>
    <w:r>
      <w:rPr>
        <w:rFonts w:hint="eastAsia"/>
      </w:rPr>
      <w:t>交易文件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37B7">
    <w:pPr>
      <w:pStyle w:val="42"/>
      <w:jc w:val="right"/>
      <w:rPr>
        <w:rFonts w:ascii="仿宋_GB2312"/>
        <w:b/>
        <w:i/>
        <w:u w:val="single"/>
      </w:rPr>
    </w:pPr>
    <w:r>
      <w:rPr>
        <w:rFonts w:hint="eastAsia"/>
      </w:rPr>
      <w:t xml:space="preserve">                                 </w:t>
    </w:r>
    <w:r>
      <w:t>公开</w:t>
    </w:r>
    <w:r>
      <w:rPr>
        <w:rFonts w:hint="eastAsia"/>
      </w:rPr>
      <w:t>交易文件</w:t>
    </w:r>
  </w:p>
  <w:p w14:paraId="32C4511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32F">
    <w:pPr>
      <w:pStyle w:val="42"/>
      <w:jc w:val="right"/>
    </w:pPr>
    <w:r>
      <w:rPr>
        <w:rFonts w:hint="eastAsia"/>
      </w:rPr>
      <w:t xml:space="preserve">                                                                                                         </w:t>
    </w:r>
    <w:r>
      <w:t>公开</w:t>
    </w:r>
    <w:r>
      <w:rPr>
        <w:rFonts w:hint="eastAsia"/>
      </w:rPr>
      <w:t>交易文件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5356">
    <w:pPr>
      <w:pStyle w:val="42"/>
      <w:jc w:val="right"/>
      <w:rPr>
        <w:rFonts w:ascii="仿宋_GB2312"/>
        <w:b/>
        <w:i/>
        <w:iCs/>
        <w:u w:val="single"/>
      </w:rPr>
    </w:pPr>
    <w:r>
      <w:t>公开</w:t>
    </w:r>
    <w:r>
      <w:rPr>
        <w:rFonts w:hint="eastAsia"/>
      </w:rPr>
      <w:t>交易文件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D246">
    <w:pPr>
      <w:pStyle w:val="42"/>
      <w:jc w:val="right"/>
    </w:pPr>
    <w:r>
      <w:t></w:t>
    </w:r>
    <w:r>
      <w:rPr>
        <w:rFonts w:hint="eastAsia"/>
      </w:rPr>
      <w:t xml:space="preserve">                                            </w:t>
    </w:r>
    <w:r>
      <w:t>公开</w:t>
    </w:r>
    <w:r>
      <w:rPr>
        <w:rFonts w:hint="eastAsia"/>
      </w:rPr>
      <w:t>交易文件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486F4"/>
    <w:multiLevelType w:val="singleLevel"/>
    <w:tmpl w:val="13D486F4"/>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Y2Q2NTYwYjdmMzBkNzdjYWE0YzA3OTVjMWY3YzAifQ=="/>
  </w:docVars>
  <w:rsids>
    <w:rsidRoot w:val="001A373C"/>
    <w:rsid w:val="000735AA"/>
    <w:rsid w:val="001A2D05"/>
    <w:rsid w:val="001A373C"/>
    <w:rsid w:val="001B62F2"/>
    <w:rsid w:val="001F1D2C"/>
    <w:rsid w:val="00230B98"/>
    <w:rsid w:val="002E3AB7"/>
    <w:rsid w:val="00322964"/>
    <w:rsid w:val="003270DA"/>
    <w:rsid w:val="003903E0"/>
    <w:rsid w:val="003C2764"/>
    <w:rsid w:val="003F4E12"/>
    <w:rsid w:val="00451B77"/>
    <w:rsid w:val="00484D57"/>
    <w:rsid w:val="004A35C8"/>
    <w:rsid w:val="004B6A76"/>
    <w:rsid w:val="004D4DED"/>
    <w:rsid w:val="00582F2A"/>
    <w:rsid w:val="005F4B77"/>
    <w:rsid w:val="00606C54"/>
    <w:rsid w:val="00615EA1"/>
    <w:rsid w:val="006161E0"/>
    <w:rsid w:val="006E1DD4"/>
    <w:rsid w:val="00700A47"/>
    <w:rsid w:val="008714F4"/>
    <w:rsid w:val="008E2C9D"/>
    <w:rsid w:val="00901D68"/>
    <w:rsid w:val="00903135"/>
    <w:rsid w:val="00932806"/>
    <w:rsid w:val="00955494"/>
    <w:rsid w:val="009E1296"/>
    <w:rsid w:val="009F2E92"/>
    <w:rsid w:val="00AB4B78"/>
    <w:rsid w:val="00AE6D8B"/>
    <w:rsid w:val="00B17145"/>
    <w:rsid w:val="00B45B52"/>
    <w:rsid w:val="00B52AB0"/>
    <w:rsid w:val="00B53AB1"/>
    <w:rsid w:val="00B73321"/>
    <w:rsid w:val="00B85FE8"/>
    <w:rsid w:val="00C57E81"/>
    <w:rsid w:val="00C61577"/>
    <w:rsid w:val="00C83828"/>
    <w:rsid w:val="00D83E36"/>
    <w:rsid w:val="00EC487E"/>
    <w:rsid w:val="00F11C2F"/>
    <w:rsid w:val="00F91D0A"/>
    <w:rsid w:val="00F95E09"/>
    <w:rsid w:val="00FD0675"/>
    <w:rsid w:val="00FE5479"/>
    <w:rsid w:val="018D0F17"/>
    <w:rsid w:val="019C5A75"/>
    <w:rsid w:val="02C54584"/>
    <w:rsid w:val="031704B8"/>
    <w:rsid w:val="03247659"/>
    <w:rsid w:val="037759DB"/>
    <w:rsid w:val="039D7A27"/>
    <w:rsid w:val="03CD5C64"/>
    <w:rsid w:val="03F211E9"/>
    <w:rsid w:val="03F93E69"/>
    <w:rsid w:val="0428608F"/>
    <w:rsid w:val="04392BCA"/>
    <w:rsid w:val="045521C0"/>
    <w:rsid w:val="04AD2243"/>
    <w:rsid w:val="05526700"/>
    <w:rsid w:val="05C537B7"/>
    <w:rsid w:val="06181424"/>
    <w:rsid w:val="065F59B6"/>
    <w:rsid w:val="070A47DB"/>
    <w:rsid w:val="07142575"/>
    <w:rsid w:val="071F2612"/>
    <w:rsid w:val="072E3DFC"/>
    <w:rsid w:val="07391925"/>
    <w:rsid w:val="07462294"/>
    <w:rsid w:val="07563868"/>
    <w:rsid w:val="07A46A6A"/>
    <w:rsid w:val="07B40FAC"/>
    <w:rsid w:val="08065580"/>
    <w:rsid w:val="08132415"/>
    <w:rsid w:val="081751D4"/>
    <w:rsid w:val="08273E74"/>
    <w:rsid w:val="085A6A9E"/>
    <w:rsid w:val="08680B9E"/>
    <w:rsid w:val="088371EB"/>
    <w:rsid w:val="0893664F"/>
    <w:rsid w:val="08AD30EA"/>
    <w:rsid w:val="092A50A6"/>
    <w:rsid w:val="09984EB7"/>
    <w:rsid w:val="09BC4A90"/>
    <w:rsid w:val="09EF451D"/>
    <w:rsid w:val="09FD689E"/>
    <w:rsid w:val="0A012DA9"/>
    <w:rsid w:val="0AC21C32"/>
    <w:rsid w:val="0C083E4F"/>
    <w:rsid w:val="0C1610CF"/>
    <w:rsid w:val="0C206544"/>
    <w:rsid w:val="0C3A0886"/>
    <w:rsid w:val="0C3A7458"/>
    <w:rsid w:val="0C563668"/>
    <w:rsid w:val="0D821BA6"/>
    <w:rsid w:val="0DEF1A2B"/>
    <w:rsid w:val="0E36488B"/>
    <w:rsid w:val="0E821C25"/>
    <w:rsid w:val="0EF74E5A"/>
    <w:rsid w:val="0F112567"/>
    <w:rsid w:val="0F58783C"/>
    <w:rsid w:val="0F60422C"/>
    <w:rsid w:val="0FB608D1"/>
    <w:rsid w:val="115B4156"/>
    <w:rsid w:val="12535865"/>
    <w:rsid w:val="12D20E80"/>
    <w:rsid w:val="13116F97"/>
    <w:rsid w:val="131858BE"/>
    <w:rsid w:val="13313DF9"/>
    <w:rsid w:val="134A0A16"/>
    <w:rsid w:val="135950FD"/>
    <w:rsid w:val="13710699"/>
    <w:rsid w:val="13904FC3"/>
    <w:rsid w:val="13B14F39"/>
    <w:rsid w:val="13F07810"/>
    <w:rsid w:val="140C2A8E"/>
    <w:rsid w:val="14D700F7"/>
    <w:rsid w:val="14E24942"/>
    <w:rsid w:val="14F23875"/>
    <w:rsid w:val="14F354C2"/>
    <w:rsid w:val="156149C2"/>
    <w:rsid w:val="15862793"/>
    <w:rsid w:val="159702D6"/>
    <w:rsid w:val="16361310"/>
    <w:rsid w:val="16A11295"/>
    <w:rsid w:val="16BE1E47"/>
    <w:rsid w:val="1726495D"/>
    <w:rsid w:val="17514A69"/>
    <w:rsid w:val="17C20009"/>
    <w:rsid w:val="17CB1D98"/>
    <w:rsid w:val="17CC0594"/>
    <w:rsid w:val="17D1787A"/>
    <w:rsid w:val="180A746B"/>
    <w:rsid w:val="183E2567"/>
    <w:rsid w:val="18673E19"/>
    <w:rsid w:val="18E1409A"/>
    <w:rsid w:val="191918C5"/>
    <w:rsid w:val="19410B0E"/>
    <w:rsid w:val="19797AC5"/>
    <w:rsid w:val="19915754"/>
    <w:rsid w:val="19CF6119"/>
    <w:rsid w:val="1A4E703E"/>
    <w:rsid w:val="1A7637F1"/>
    <w:rsid w:val="1AC27A2C"/>
    <w:rsid w:val="1BB2644B"/>
    <w:rsid w:val="1CD22DC8"/>
    <w:rsid w:val="1D550375"/>
    <w:rsid w:val="1D843075"/>
    <w:rsid w:val="1DFC5003"/>
    <w:rsid w:val="1E944160"/>
    <w:rsid w:val="1EC04283"/>
    <w:rsid w:val="1EEE662A"/>
    <w:rsid w:val="1F580537"/>
    <w:rsid w:val="1FB02549"/>
    <w:rsid w:val="1FC974CB"/>
    <w:rsid w:val="20254CE5"/>
    <w:rsid w:val="211865F8"/>
    <w:rsid w:val="212154AC"/>
    <w:rsid w:val="21954574"/>
    <w:rsid w:val="21D014A7"/>
    <w:rsid w:val="22AF0896"/>
    <w:rsid w:val="22EB0E67"/>
    <w:rsid w:val="231C2D03"/>
    <w:rsid w:val="23362D65"/>
    <w:rsid w:val="239D2DE4"/>
    <w:rsid w:val="23A77580"/>
    <w:rsid w:val="23B95E70"/>
    <w:rsid w:val="23BD575C"/>
    <w:rsid w:val="24A82B60"/>
    <w:rsid w:val="25641CF0"/>
    <w:rsid w:val="256A0DA2"/>
    <w:rsid w:val="25960407"/>
    <w:rsid w:val="25B20DC9"/>
    <w:rsid w:val="26D05279"/>
    <w:rsid w:val="272A2BE1"/>
    <w:rsid w:val="272A498F"/>
    <w:rsid w:val="288F4F38"/>
    <w:rsid w:val="289A2082"/>
    <w:rsid w:val="28D41056"/>
    <w:rsid w:val="28F04484"/>
    <w:rsid w:val="28F434A6"/>
    <w:rsid w:val="29611F8B"/>
    <w:rsid w:val="296A046C"/>
    <w:rsid w:val="2981468E"/>
    <w:rsid w:val="29C10138"/>
    <w:rsid w:val="29DA6B40"/>
    <w:rsid w:val="2A7307D4"/>
    <w:rsid w:val="2AC563B9"/>
    <w:rsid w:val="2AF81E31"/>
    <w:rsid w:val="2B1C0A93"/>
    <w:rsid w:val="2B3B467B"/>
    <w:rsid w:val="2B6D6204"/>
    <w:rsid w:val="2B895EFC"/>
    <w:rsid w:val="2B8F4BB6"/>
    <w:rsid w:val="2C6170A5"/>
    <w:rsid w:val="2D416A5E"/>
    <w:rsid w:val="2D7B7CF2"/>
    <w:rsid w:val="2E633173"/>
    <w:rsid w:val="2E6A04A5"/>
    <w:rsid w:val="2E954DE4"/>
    <w:rsid w:val="2EEC1CC8"/>
    <w:rsid w:val="2F0A40AB"/>
    <w:rsid w:val="2F131FDE"/>
    <w:rsid w:val="2F832E72"/>
    <w:rsid w:val="2F85468E"/>
    <w:rsid w:val="2F9F55D0"/>
    <w:rsid w:val="301F27EC"/>
    <w:rsid w:val="3024725A"/>
    <w:rsid w:val="314F750B"/>
    <w:rsid w:val="31633C5C"/>
    <w:rsid w:val="31940C74"/>
    <w:rsid w:val="31A96F6B"/>
    <w:rsid w:val="31B9703B"/>
    <w:rsid w:val="320429C7"/>
    <w:rsid w:val="323C302E"/>
    <w:rsid w:val="326F1DF0"/>
    <w:rsid w:val="33242BDA"/>
    <w:rsid w:val="333A3579"/>
    <w:rsid w:val="338E281F"/>
    <w:rsid w:val="33E214E6"/>
    <w:rsid w:val="33FE7841"/>
    <w:rsid w:val="3412519C"/>
    <w:rsid w:val="3425595B"/>
    <w:rsid w:val="34464154"/>
    <w:rsid w:val="34F82570"/>
    <w:rsid w:val="34F85328"/>
    <w:rsid w:val="35074561"/>
    <w:rsid w:val="35844A52"/>
    <w:rsid w:val="35A31BF4"/>
    <w:rsid w:val="35BE5D5B"/>
    <w:rsid w:val="35F72828"/>
    <w:rsid w:val="3666655F"/>
    <w:rsid w:val="36B349A1"/>
    <w:rsid w:val="371C428F"/>
    <w:rsid w:val="372B2789"/>
    <w:rsid w:val="373D24BC"/>
    <w:rsid w:val="374701B7"/>
    <w:rsid w:val="377E4FAF"/>
    <w:rsid w:val="379A346B"/>
    <w:rsid w:val="38196A86"/>
    <w:rsid w:val="387D5F09"/>
    <w:rsid w:val="388B0178"/>
    <w:rsid w:val="39A3157C"/>
    <w:rsid w:val="3B0A6C0E"/>
    <w:rsid w:val="3B8342F9"/>
    <w:rsid w:val="3B861267"/>
    <w:rsid w:val="3C19541D"/>
    <w:rsid w:val="3C6D0F7B"/>
    <w:rsid w:val="3C8B21A3"/>
    <w:rsid w:val="3C9F0284"/>
    <w:rsid w:val="3CAD7923"/>
    <w:rsid w:val="3D55642B"/>
    <w:rsid w:val="3DB86D41"/>
    <w:rsid w:val="3E35213F"/>
    <w:rsid w:val="3E932226"/>
    <w:rsid w:val="3EE576C2"/>
    <w:rsid w:val="3EFC4F8A"/>
    <w:rsid w:val="404A3373"/>
    <w:rsid w:val="404B17A6"/>
    <w:rsid w:val="408C165A"/>
    <w:rsid w:val="408E3D89"/>
    <w:rsid w:val="40BF6C63"/>
    <w:rsid w:val="411C3143"/>
    <w:rsid w:val="41E55DF5"/>
    <w:rsid w:val="41F06AA9"/>
    <w:rsid w:val="420E71EA"/>
    <w:rsid w:val="42360234"/>
    <w:rsid w:val="42723962"/>
    <w:rsid w:val="427F3B0A"/>
    <w:rsid w:val="42A16058"/>
    <w:rsid w:val="43073FAF"/>
    <w:rsid w:val="432B0170"/>
    <w:rsid w:val="43544E16"/>
    <w:rsid w:val="440E23CF"/>
    <w:rsid w:val="441C5484"/>
    <w:rsid w:val="445E2538"/>
    <w:rsid w:val="44B83B88"/>
    <w:rsid w:val="44CB0122"/>
    <w:rsid w:val="45414B3A"/>
    <w:rsid w:val="45A35BE1"/>
    <w:rsid w:val="45C31A35"/>
    <w:rsid w:val="45CC5D82"/>
    <w:rsid w:val="45D61170"/>
    <w:rsid w:val="46742B7B"/>
    <w:rsid w:val="468E6891"/>
    <w:rsid w:val="46CE4EDF"/>
    <w:rsid w:val="46F22772"/>
    <w:rsid w:val="471C436D"/>
    <w:rsid w:val="4779309D"/>
    <w:rsid w:val="47975C19"/>
    <w:rsid w:val="481C0AEC"/>
    <w:rsid w:val="483D231C"/>
    <w:rsid w:val="487321E2"/>
    <w:rsid w:val="489363A9"/>
    <w:rsid w:val="48C90054"/>
    <w:rsid w:val="48E73FF9"/>
    <w:rsid w:val="48F50E49"/>
    <w:rsid w:val="4921579A"/>
    <w:rsid w:val="49344461"/>
    <w:rsid w:val="49D767A1"/>
    <w:rsid w:val="4A097A1B"/>
    <w:rsid w:val="4A9138C5"/>
    <w:rsid w:val="4AA5596D"/>
    <w:rsid w:val="4AB72443"/>
    <w:rsid w:val="4AC00FE3"/>
    <w:rsid w:val="4AD53C30"/>
    <w:rsid w:val="4AE747C1"/>
    <w:rsid w:val="4AEE11D8"/>
    <w:rsid w:val="4B0B57E5"/>
    <w:rsid w:val="4B2E23F0"/>
    <w:rsid w:val="4B604090"/>
    <w:rsid w:val="4B7C13AE"/>
    <w:rsid w:val="4B7C1BD6"/>
    <w:rsid w:val="4B7F49FA"/>
    <w:rsid w:val="4BA17066"/>
    <w:rsid w:val="4BEC7D92"/>
    <w:rsid w:val="4BF43994"/>
    <w:rsid w:val="4C561BFF"/>
    <w:rsid w:val="4C87625C"/>
    <w:rsid w:val="4D415BF1"/>
    <w:rsid w:val="4D6D6BE1"/>
    <w:rsid w:val="4D822DD2"/>
    <w:rsid w:val="4D8B58D8"/>
    <w:rsid w:val="4DC64B62"/>
    <w:rsid w:val="4DDA23BB"/>
    <w:rsid w:val="4E0E0304"/>
    <w:rsid w:val="4E6420B6"/>
    <w:rsid w:val="4F3E3970"/>
    <w:rsid w:val="4F5C58B7"/>
    <w:rsid w:val="4F606B2E"/>
    <w:rsid w:val="4F781BA3"/>
    <w:rsid w:val="4F9A4F6E"/>
    <w:rsid w:val="50193FF8"/>
    <w:rsid w:val="503154A8"/>
    <w:rsid w:val="50514E69"/>
    <w:rsid w:val="50933D28"/>
    <w:rsid w:val="51644DBE"/>
    <w:rsid w:val="51822993"/>
    <w:rsid w:val="5221680B"/>
    <w:rsid w:val="523800F9"/>
    <w:rsid w:val="525C11EB"/>
    <w:rsid w:val="52862713"/>
    <w:rsid w:val="52996372"/>
    <w:rsid w:val="52F63E16"/>
    <w:rsid w:val="532F30EC"/>
    <w:rsid w:val="534610A2"/>
    <w:rsid w:val="535D1AC5"/>
    <w:rsid w:val="53D02297"/>
    <w:rsid w:val="543177F1"/>
    <w:rsid w:val="549D7592"/>
    <w:rsid w:val="55971543"/>
    <w:rsid w:val="56101068"/>
    <w:rsid w:val="56412BFB"/>
    <w:rsid w:val="56B25804"/>
    <w:rsid w:val="571D18EB"/>
    <w:rsid w:val="573C40E7"/>
    <w:rsid w:val="580E5A83"/>
    <w:rsid w:val="584D3B14"/>
    <w:rsid w:val="58650043"/>
    <w:rsid w:val="587B7318"/>
    <w:rsid w:val="589A7317"/>
    <w:rsid w:val="58E467E4"/>
    <w:rsid w:val="58F32057"/>
    <w:rsid w:val="59311AD7"/>
    <w:rsid w:val="594F1EAF"/>
    <w:rsid w:val="59E3084A"/>
    <w:rsid w:val="5A442897"/>
    <w:rsid w:val="5A577137"/>
    <w:rsid w:val="5A6F6899"/>
    <w:rsid w:val="5AA07308"/>
    <w:rsid w:val="5AEA2B03"/>
    <w:rsid w:val="5BC52978"/>
    <w:rsid w:val="5BE75366"/>
    <w:rsid w:val="5C4D40E3"/>
    <w:rsid w:val="5C9A2685"/>
    <w:rsid w:val="5C9C4B8F"/>
    <w:rsid w:val="5D1E5EF4"/>
    <w:rsid w:val="5D3740DC"/>
    <w:rsid w:val="5D45457D"/>
    <w:rsid w:val="5D591219"/>
    <w:rsid w:val="5DDF6561"/>
    <w:rsid w:val="5E2C6599"/>
    <w:rsid w:val="5E315646"/>
    <w:rsid w:val="5F187141"/>
    <w:rsid w:val="5F1B0D98"/>
    <w:rsid w:val="5F497A8B"/>
    <w:rsid w:val="5F8C6C68"/>
    <w:rsid w:val="5FCC503D"/>
    <w:rsid w:val="60044610"/>
    <w:rsid w:val="604967B1"/>
    <w:rsid w:val="608F7035"/>
    <w:rsid w:val="609B6791"/>
    <w:rsid w:val="60A6194B"/>
    <w:rsid w:val="60B479D8"/>
    <w:rsid w:val="610C68D8"/>
    <w:rsid w:val="61481242"/>
    <w:rsid w:val="615D7134"/>
    <w:rsid w:val="61973962"/>
    <w:rsid w:val="61DC2F8B"/>
    <w:rsid w:val="61E810F3"/>
    <w:rsid w:val="62D17DD9"/>
    <w:rsid w:val="62E676C0"/>
    <w:rsid w:val="631B2246"/>
    <w:rsid w:val="633E1866"/>
    <w:rsid w:val="634A5ACE"/>
    <w:rsid w:val="63DC62B7"/>
    <w:rsid w:val="640B189C"/>
    <w:rsid w:val="64AE74A6"/>
    <w:rsid w:val="64B47174"/>
    <w:rsid w:val="6502071E"/>
    <w:rsid w:val="650A4DF4"/>
    <w:rsid w:val="65521C8E"/>
    <w:rsid w:val="65BA4B55"/>
    <w:rsid w:val="65C23A09"/>
    <w:rsid w:val="65EB2F60"/>
    <w:rsid w:val="65F352A3"/>
    <w:rsid w:val="66CF63DE"/>
    <w:rsid w:val="66EF082E"/>
    <w:rsid w:val="6741564F"/>
    <w:rsid w:val="678A0557"/>
    <w:rsid w:val="67C916D3"/>
    <w:rsid w:val="67D93021"/>
    <w:rsid w:val="6817003C"/>
    <w:rsid w:val="682843BC"/>
    <w:rsid w:val="68394018"/>
    <w:rsid w:val="684F6460"/>
    <w:rsid w:val="68541087"/>
    <w:rsid w:val="686472CB"/>
    <w:rsid w:val="68881A92"/>
    <w:rsid w:val="68FC4B10"/>
    <w:rsid w:val="69054339"/>
    <w:rsid w:val="692D10C7"/>
    <w:rsid w:val="69381C7D"/>
    <w:rsid w:val="696338A5"/>
    <w:rsid w:val="6B257268"/>
    <w:rsid w:val="6B2A547E"/>
    <w:rsid w:val="6B2C02A3"/>
    <w:rsid w:val="6B2F1738"/>
    <w:rsid w:val="6B905DD2"/>
    <w:rsid w:val="6BE20961"/>
    <w:rsid w:val="6C205D8E"/>
    <w:rsid w:val="6C68355C"/>
    <w:rsid w:val="6C894CB3"/>
    <w:rsid w:val="6D6D06FE"/>
    <w:rsid w:val="6D6D4BA2"/>
    <w:rsid w:val="6DED78CD"/>
    <w:rsid w:val="6E4D5AFC"/>
    <w:rsid w:val="6E7932CF"/>
    <w:rsid w:val="6EBE2094"/>
    <w:rsid w:val="6F0562BC"/>
    <w:rsid w:val="6F057E33"/>
    <w:rsid w:val="6F385A23"/>
    <w:rsid w:val="6FD560AB"/>
    <w:rsid w:val="704E2A69"/>
    <w:rsid w:val="70545DBE"/>
    <w:rsid w:val="70756248"/>
    <w:rsid w:val="70886E53"/>
    <w:rsid w:val="708B7819"/>
    <w:rsid w:val="70BD199D"/>
    <w:rsid w:val="71A30B93"/>
    <w:rsid w:val="71C07997"/>
    <w:rsid w:val="71F7606A"/>
    <w:rsid w:val="72185EF2"/>
    <w:rsid w:val="72530328"/>
    <w:rsid w:val="728F5504"/>
    <w:rsid w:val="72F7544D"/>
    <w:rsid w:val="735E07DB"/>
    <w:rsid w:val="73E71079"/>
    <w:rsid w:val="744523D5"/>
    <w:rsid w:val="746D6E62"/>
    <w:rsid w:val="74744A68"/>
    <w:rsid w:val="74B048C4"/>
    <w:rsid w:val="74C42AB5"/>
    <w:rsid w:val="74CA62FF"/>
    <w:rsid w:val="74E427B0"/>
    <w:rsid w:val="74F266C4"/>
    <w:rsid w:val="751B4EE4"/>
    <w:rsid w:val="759A6034"/>
    <w:rsid w:val="75F401A1"/>
    <w:rsid w:val="765B1C35"/>
    <w:rsid w:val="768B2796"/>
    <w:rsid w:val="76BA4473"/>
    <w:rsid w:val="77692F57"/>
    <w:rsid w:val="77C74EAF"/>
    <w:rsid w:val="77D859D8"/>
    <w:rsid w:val="783C0C3B"/>
    <w:rsid w:val="786646C8"/>
    <w:rsid w:val="791813B9"/>
    <w:rsid w:val="794964C4"/>
    <w:rsid w:val="796068F6"/>
    <w:rsid w:val="799C5E19"/>
    <w:rsid w:val="79CA7EF2"/>
    <w:rsid w:val="79E306C6"/>
    <w:rsid w:val="7A37631C"/>
    <w:rsid w:val="7B122641"/>
    <w:rsid w:val="7B124FB5"/>
    <w:rsid w:val="7BB104F0"/>
    <w:rsid w:val="7C2F42AD"/>
    <w:rsid w:val="7C380867"/>
    <w:rsid w:val="7CAD0B17"/>
    <w:rsid w:val="7CB6710A"/>
    <w:rsid w:val="7CD9190C"/>
    <w:rsid w:val="7D3C1154"/>
    <w:rsid w:val="7D9E2DD0"/>
    <w:rsid w:val="7DA00B39"/>
    <w:rsid w:val="7DB163E5"/>
    <w:rsid w:val="7E1F1009"/>
    <w:rsid w:val="7E3314F0"/>
    <w:rsid w:val="7E4B05E8"/>
    <w:rsid w:val="7E690DB0"/>
    <w:rsid w:val="7EBE7710"/>
    <w:rsid w:val="7F3B065C"/>
    <w:rsid w:val="7F881692"/>
    <w:rsid w:val="7F9478E9"/>
    <w:rsid w:val="7FCE165F"/>
    <w:rsid w:val="7FF8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autoRedefine/>
    <w:unhideWhenUsed/>
    <w:qFormat/>
    <w:uiPriority w:val="99"/>
    <w:pPr>
      <w:spacing w:line="360" w:lineRule="auto"/>
      <w:ind w:left="1400" w:leftChars="1400"/>
    </w:pPr>
    <w:rPr>
      <w:rFonts w:ascii="Calibri" w:hAnsi="Calibri"/>
      <w:sz w:val="28"/>
      <w:szCs w:val="20"/>
    </w:rPr>
  </w:style>
  <w:style w:type="paragraph" w:styleId="15">
    <w:name w:val="List Number"/>
    <w:basedOn w:val="1"/>
    <w:autoRedefine/>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Normal Indent"/>
    <w:basedOn w:val="1"/>
    <w:next w:val="17"/>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7">
    <w:name w:val="Plain Text"/>
    <w:basedOn w:val="1"/>
    <w:next w:val="1"/>
    <w:link w:val="125"/>
    <w:autoRedefine/>
    <w:qFormat/>
    <w:uiPriority w:val="0"/>
    <w:rPr>
      <w:rFonts w:ascii="宋体" w:hAnsi="Courier New" w:cs="Arial"/>
      <w:snapToGrid w:val="0"/>
      <w:szCs w:val="21"/>
    </w:rPr>
  </w:style>
  <w:style w:type="paragraph" w:styleId="18">
    <w:name w:val="caption"/>
    <w:basedOn w:val="1"/>
    <w:next w:val="1"/>
    <w:link w:val="229"/>
    <w:autoRedefine/>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link w:val="202"/>
    <w:autoRedefine/>
    <w:qFormat/>
    <w:uiPriority w:val="0"/>
    <w:pPr>
      <w:shd w:val="clear" w:color="auto" w:fill="000080"/>
    </w:pPr>
  </w:style>
  <w:style w:type="paragraph" w:styleId="21">
    <w:name w:val="annotation text"/>
    <w:basedOn w:val="1"/>
    <w:link w:val="344"/>
    <w:autoRedefine/>
    <w:qFormat/>
    <w:uiPriority w:val="99"/>
    <w:pPr>
      <w:jc w:val="left"/>
    </w:pPr>
  </w:style>
  <w:style w:type="paragraph" w:styleId="22">
    <w:name w:val="Salutation"/>
    <w:basedOn w:val="1"/>
    <w:next w:val="1"/>
    <w:link w:val="298"/>
    <w:autoRedefine/>
    <w:qFormat/>
    <w:uiPriority w:val="0"/>
    <w:rPr>
      <w:rFonts w:ascii="仿宋_GB2312" w:eastAsia="仿宋_GB2312"/>
      <w:sz w:val="28"/>
      <w:szCs w:val="20"/>
    </w:rPr>
  </w:style>
  <w:style w:type="paragraph" w:styleId="23">
    <w:name w:val="Body Text 3"/>
    <w:basedOn w:val="1"/>
    <w:link w:val="330"/>
    <w:autoRedefine/>
    <w:qFormat/>
    <w:uiPriority w:val="0"/>
    <w:pPr>
      <w:jc w:val="center"/>
    </w:pPr>
    <w:rPr>
      <w:szCs w:val="20"/>
    </w:rPr>
  </w:style>
  <w:style w:type="paragraph" w:styleId="24">
    <w:name w:val="List Bullet 3"/>
    <w:basedOn w:val="1"/>
    <w:autoRedefine/>
    <w:unhideWhenUsed/>
    <w:qFormat/>
    <w:uiPriority w:val="0"/>
    <w:pPr>
      <w:snapToGrid w:val="0"/>
      <w:spacing w:line="360" w:lineRule="auto"/>
      <w:ind w:left="360" w:right="238" w:hanging="360"/>
      <w:contextualSpacing/>
    </w:pPr>
    <w:rPr>
      <w:sz w:val="24"/>
    </w:rPr>
  </w:style>
  <w:style w:type="paragraph" w:styleId="25">
    <w:name w:val="Body Text"/>
    <w:basedOn w:val="1"/>
    <w:next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1"/>
    <w:link w:val="265"/>
    <w:autoRedefine/>
    <w:qFormat/>
    <w:uiPriority w:val="0"/>
    <w:pPr>
      <w:spacing w:line="480" w:lineRule="exact"/>
      <w:ind w:firstLine="480" w:firstLineChars="200"/>
    </w:pPr>
    <w:rPr>
      <w:rFonts w:ascii="宋体" w:hAnsi="宋体"/>
      <w:sz w:val="24"/>
    </w:rPr>
  </w:style>
  <w:style w:type="paragraph" w:styleId="27">
    <w:name w:val="List Number 3"/>
    <w:basedOn w:val="1"/>
    <w:autoRedefine/>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1"/>
    <w:autoRedefine/>
    <w:qFormat/>
    <w:uiPriority w:val="0"/>
    <w:pPr>
      <w:ind w:left="100" w:leftChars="2500"/>
    </w:pPr>
    <w:rPr>
      <w:rFonts w:ascii="宋体"/>
      <w:sz w:val="24"/>
      <w:szCs w:val="21"/>
      <w:lang w:val="zh-CN"/>
    </w:rPr>
  </w:style>
  <w:style w:type="paragraph" w:styleId="37">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2"/>
    <w:autoRedefine/>
    <w:qFormat/>
    <w:uiPriority w:val="0"/>
    <w:rPr>
      <w:lang w:val="zh-CN"/>
    </w:rPr>
  </w:style>
  <w:style w:type="paragraph" w:styleId="39">
    <w:name w:val="Balloon Text"/>
    <w:basedOn w:val="1"/>
    <w:link w:val="188"/>
    <w:autoRedefine/>
    <w:qFormat/>
    <w:uiPriority w:val="0"/>
    <w:rPr>
      <w:sz w:val="18"/>
      <w:szCs w:val="18"/>
    </w:rPr>
  </w:style>
  <w:style w:type="paragraph" w:styleId="40">
    <w:name w:val="footer"/>
    <w:basedOn w:val="1"/>
    <w:link w:val="383"/>
    <w:autoRedefine/>
    <w:qFormat/>
    <w:uiPriority w:val="99"/>
    <w:pPr>
      <w:tabs>
        <w:tab w:val="center" w:pos="4153"/>
        <w:tab w:val="right" w:pos="8306"/>
      </w:tabs>
      <w:snapToGrid w:val="0"/>
      <w:jc w:val="left"/>
    </w:pPr>
    <w:rPr>
      <w:sz w:val="18"/>
      <w:szCs w:val="18"/>
    </w:rPr>
  </w:style>
  <w:style w:type="paragraph" w:styleId="41">
    <w:name w:val="envelope return"/>
    <w:basedOn w:val="1"/>
    <w:autoRedefine/>
    <w:qFormat/>
    <w:uiPriority w:val="0"/>
    <w:pPr>
      <w:snapToGrid w:val="0"/>
    </w:pPr>
    <w:rPr>
      <w:rFonts w:ascii="Arial" w:hAnsi="Arial" w:eastAsia="微软雅黑"/>
      <w:sz w:val="22"/>
      <w:szCs w:val="22"/>
    </w:rPr>
  </w:style>
  <w:style w:type="paragraph" w:styleId="42">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16"/>
    <w:link w:val="310"/>
    <w:autoRedefine/>
    <w:qFormat/>
    <w:uiPriority w:val="0"/>
    <w:pPr>
      <w:adjustRightInd/>
      <w:snapToGrid/>
      <w:spacing w:before="60" w:after="60" w:line="300" w:lineRule="exact"/>
      <w:ind w:firstLine="0"/>
    </w:pPr>
    <w:rPr>
      <w:rFonts w:ascii="Calibri"/>
      <w:color w:val="0000FF"/>
      <w:kern w:val="0"/>
      <w:sz w:val="21"/>
    </w:rPr>
  </w:style>
  <w:style w:type="paragraph" w:styleId="52">
    <w:name w:val="toc 6"/>
    <w:basedOn w:val="1"/>
    <w:next w:val="1"/>
    <w:autoRedefine/>
    <w:qFormat/>
    <w:uiPriority w:val="0"/>
    <w:pPr>
      <w:ind w:left="2100" w:leftChars="1000"/>
    </w:p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5"/>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302"/>
    <w:autoRedefine/>
    <w:qFormat/>
    <w:uiPriority w:val="0"/>
    <w:pPr>
      <w:spacing w:after="120" w:line="480" w:lineRule="auto"/>
    </w:pPr>
  </w:style>
  <w:style w:type="paragraph" w:styleId="58">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6"/>
    <w:autoRedefine/>
    <w:qFormat/>
    <w:uiPriority w:val="0"/>
    <w:rPr>
      <w:b/>
      <w:bCs/>
    </w:rPr>
  </w:style>
  <w:style w:type="paragraph" w:styleId="62">
    <w:name w:val="Body Text First Indent"/>
    <w:basedOn w:val="25"/>
    <w:next w:val="52"/>
    <w:link w:val="321"/>
    <w:autoRedefine/>
    <w:qFormat/>
    <w:uiPriority w:val="0"/>
    <w:pPr>
      <w:ind w:firstLine="420"/>
    </w:pPr>
    <w:rPr>
      <w:rFonts w:hAnsi="Calibri" w:cs="Times New Roman"/>
      <w:szCs w:val="20"/>
    </w:rPr>
  </w:style>
  <w:style w:type="paragraph" w:styleId="63">
    <w:name w:val="Body Text First Indent 2"/>
    <w:basedOn w:val="26"/>
    <w:link w:val="121"/>
    <w:autoRedefine/>
    <w:qFormat/>
    <w:uiPriority w:val="0"/>
    <w:pPr>
      <w:adjustRightInd/>
      <w:spacing w:after="120" w:line="240" w:lineRule="auto"/>
      <w:ind w:left="420" w:leftChars="200" w:firstLine="210"/>
    </w:pPr>
    <w:rPr>
      <w:sz w:val="21"/>
    </w:rPr>
  </w:style>
  <w:style w:type="table" w:styleId="65">
    <w:name w:val="Table Grid"/>
    <w:basedOn w:val="6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autoRedefine/>
    <w:qFormat/>
    <w:uiPriority w:val="22"/>
    <w:rPr>
      <w:b/>
      <w:bCs/>
    </w:rPr>
  </w:style>
  <w:style w:type="character" w:styleId="73">
    <w:name w:val="endnote reference"/>
    <w:autoRedefine/>
    <w:qFormat/>
    <w:uiPriority w:val="0"/>
    <w:rPr>
      <w:vertAlign w:val="superscript"/>
    </w:rPr>
  </w:style>
  <w:style w:type="character" w:styleId="74">
    <w:name w:val="page number"/>
    <w:basedOn w:val="71"/>
    <w:autoRedefine/>
    <w:qFormat/>
    <w:uiPriority w:val="0"/>
    <w:rPr>
      <w:rFonts w:ascii="Arial" w:hAnsi="Arial" w:eastAsia="黑体" w:cs="Arial"/>
      <w:snapToGrid w:val="0"/>
      <w:kern w:val="0"/>
      <w:szCs w:val="21"/>
    </w:rPr>
  </w:style>
  <w:style w:type="character" w:styleId="75">
    <w:name w:val="FollowedHyperlink"/>
    <w:autoRedefine/>
    <w:qFormat/>
    <w:uiPriority w:val="99"/>
    <w:rPr>
      <w:rFonts w:ascii="Arial" w:hAnsi="Arial" w:eastAsia="黑体" w:cs="Arial"/>
      <w:snapToGrid w:val="0"/>
      <w:color w:val="000000"/>
      <w:kern w:val="0"/>
      <w:sz w:val="18"/>
      <w:szCs w:val="18"/>
      <w:u w:val="none"/>
    </w:rPr>
  </w:style>
  <w:style w:type="character" w:styleId="76">
    <w:name w:val="Emphasis"/>
    <w:autoRedefine/>
    <w:qFormat/>
    <w:uiPriority w:val="20"/>
    <w:rPr>
      <w:color w:val="CC0033"/>
    </w:rPr>
  </w:style>
  <w:style w:type="character" w:styleId="77">
    <w:name w:val="line number"/>
    <w:basedOn w:val="71"/>
    <w:autoRedefine/>
    <w:qFormat/>
    <w:uiPriority w:val="0"/>
    <w:rPr>
      <w:rFonts w:ascii="Arial" w:hAnsi="Arial" w:eastAsia="黑体" w:cs="Arial"/>
      <w:snapToGrid w:val="0"/>
      <w:kern w:val="0"/>
      <w:szCs w:val="21"/>
    </w:rPr>
  </w:style>
  <w:style w:type="character" w:styleId="78">
    <w:name w:val="Hyperlink"/>
    <w:basedOn w:val="71"/>
    <w:autoRedefine/>
    <w:qFormat/>
    <w:uiPriority w:val="99"/>
    <w:rPr>
      <w:rFonts w:ascii="Arial" w:hAnsi="Arial" w:eastAsia="黑体" w:cs="Arial"/>
      <w:snapToGrid w:val="0"/>
      <w:color w:val="000000"/>
      <w:kern w:val="0"/>
      <w:sz w:val="18"/>
      <w:szCs w:val="18"/>
      <w:u w:val="none"/>
    </w:rPr>
  </w:style>
  <w:style w:type="character" w:styleId="79">
    <w:name w:val="HTML Code"/>
    <w:autoRedefine/>
    <w:qFormat/>
    <w:uiPriority w:val="0"/>
    <w:rPr>
      <w:rFonts w:ascii="黑体" w:hAnsi="Courier New" w:eastAsia="黑体" w:cs="楷体_GB2312"/>
      <w:sz w:val="20"/>
      <w:szCs w:val="20"/>
    </w:rPr>
  </w:style>
  <w:style w:type="character" w:styleId="80">
    <w:name w:val="annotation reference"/>
    <w:autoRedefine/>
    <w:qFormat/>
    <w:uiPriority w:val="99"/>
    <w:rPr>
      <w:sz w:val="21"/>
      <w:szCs w:val="21"/>
    </w:rPr>
  </w:style>
  <w:style w:type="paragraph" w:customStyle="1" w:styleId="81">
    <w:name w:val="[Normal]"/>
    <w:autoRedefine/>
    <w:qFormat/>
    <w:uiPriority w:val="0"/>
    <w:rPr>
      <w:rFonts w:ascii="宋体" w:hAnsi="宋体" w:eastAsia="宋体" w:cs="Times New Roman"/>
      <w:sz w:val="24"/>
      <w:szCs w:val="22"/>
      <w:lang w:val="zh-CN"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字符"/>
    <w:link w:val="61"/>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字符"/>
    <w:link w:val="63"/>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71"/>
    <w:autoRedefine/>
    <w:qFormat/>
    <w:uiPriority w:val="0"/>
    <w:rPr>
      <w:rFonts w:ascii="Arial" w:hAnsi="Arial" w:eastAsia="黑体" w:cs="Arial"/>
      <w:snapToGrid w:val="0"/>
      <w:kern w:val="0"/>
      <w:szCs w:val="21"/>
    </w:rPr>
  </w:style>
  <w:style w:type="character" w:customStyle="1" w:styleId="125">
    <w:name w:val="纯文本 字符1"/>
    <w:link w:val="17"/>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字符"/>
    <w:link w:val="48"/>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basedOn w:val="71"/>
    <w:autoRedefine/>
    <w:qFormat/>
    <w:uiPriority w:val="0"/>
    <w:rPr>
      <w:rFonts w:hint="eastAsia" w:ascii="仿宋_GB2312" w:eastAsia="仿宋_GB2312" w:cs="仿宋_GB2312"/>
      <w:color w:val="000000"/>
      <w:sz w:val="22"/>
      <w:szCs w:val="22"/>
      <w:u w:val="none"/>
    </w:rPr>
  </w:style>
  <w:style w:type="character" w:customStyle="1" w:styleId="147">
    <w:name w:val="标题 6 字符"/>
    <w:link w:val="7"/>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字符"/>
    <w:link w:val="36"/>
    <w:autoRedefine/>
    <w:qFormat/>
    <w:uiPriority w:val="0"/>
    <w:rPr>
      <w:rFonts w:ascii="宋体"/>
      <w:kern w:val="2"/>
      <w:sz w:val="24"/>
      <w:szCs w:val="21"/>
      <w:lang w:val="zh-CN"/>
    </w:rPr>
  </w:style>
  <w:style w:type="character" w:customStyle="1" w:styleId="182">
    <w:name w:val="标题 9 字符"/>
    <w:link w:val="10"/>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字符1"/>
    <w:link w:val="39"/>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6"/>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z w:val="28"/>
    </w:rPr>
  </w:style>
  <w:style w:type="paragraph" w:customStyle="1" w:styleId="199">
    <w:name w:val="3级"/>
    <w:basedOn w:val="200"/>
    <w:link w:val="198"/>
    <w:autoRedefine/>
    <w:qFormat/>
    <w:uiPriority w:val="0"/>
    <w:pPr>
      <w:ind w:left="0" w:right="466" w:firstLine="288"/>
    </w:pPr>
    <w:rPr>
      <w:rFonts w:hAnsi="宋体"/>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字符"/>
    <w:link w:val="20"/>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71"/>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字符"/>
    <w:link w:val="31"/>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5"/>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字符"/>
    <w:link w:val="18"/>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next w:val="14"/>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列出段落1"/>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字符1"/>
    <w:link w:val="26"/>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字符1"/>
    <w:link w:val="2"/>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字符"/>
    <w:link w:val="60"/>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字符"/>
    <w:link w:val="6"/>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字符"/>
    <w:link w:val="22"/>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字符"/>
    <w:link w:val="58"/>
    <w:autoRedefine/>
    <w:qFormat/>
    <w:uiPriority w:val="0"/>
    <w:rPr>
      <w:rFonts w:ascii="黑体" w:hAnsi="Courier New" w:eastAsia="黑体"/>
    </w:rPr>
  </w:style>
  <w:style w:type="character" w:customStyle="1" w:styleId="302">
    <w:name w:val="正文文本 2 字符1"/>
    <w:link w:val="57"/>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5"/>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字符"/>
    <w:link w:val="8"/>
    <w:autoRedefine/>
    <w:qFormat/>
    <w:uiPriority w:val="0"/>
    <w:rPr>
      <w:b/>
      <w:bCs/>
      <w:kern w:val="2"/>
      <w:sz w:val="24"/>
      <w:szCs w:val="24"/>
    </w:rPr>
  </w:style>
  <w:style w:type="character" w:customStyle="1" w:styleId="308">
    <w:name w:val="正文文本缩进 2 字符"/>
    <w:link w:val="37"/>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字符"/>
    <w:link w:val="51"/>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字符"/>
    <w:link w:val="62"/>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字符1"/>
    <w:link w:val="5"/>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字符"/>
    <w:link w:val="23"/>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字符1"/>
    <w:link w:val="21"/>
    <w:autoRedefine/>
    <w:qFormat/>
    <w:uiPriority w:val="0"/>
    <w:rPr>
      <w:kern w:val="2"/>
      <w:sz w:val="21"/>
      <w:szCs w:val="24"/>
    </w:rPr>
  </w:style>
  <w:style w:type="character" w:customStyle="1" w:styleId="345">
    <w:name w:val="签名 字符"/>
    <w:link w:val="43"/>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9"/>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字符"/>
    <w:link w:val="54"/>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字符2"/>
    <w:link w:val="40"/>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字符2"/>
    <w:link w:val="42"/>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71"/>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16"/>
    <w:link w:val="428"/>
    <w:autoRedefine/>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0">
    <w:name w:val="正文文本 字符"/>
    <w:link w:val="25"/>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71"/>
    <w:autoRedefine/>
    <w:qFormat/>
    <w:uiPriority w:val="0"/>
    <w:rPr>
      <w:rFonts w:ascii="Arial" w:hAnsi="Arial" w:eastAsia="黑体" w:cs="Arial"/>
      <w:snapToGrid w:val="0"/>
      <w:kern w:val="0"/>
      <w:szCs w:val="21"/>
    </w:rPr>
  </w:style>
  <w:style w:type="character" w:customStyle="1" w:styleId="432">
    <w:name w:val="hui"/>
    <w:basedOn w:val="71"/>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6"/>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autoRedefine/>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outlineLvl w:val="5"/>
    </w:pPr>
  </w:style>
  <w:style w:type="paragraph" w:customStyle="1" w:styleId="474">
    <w:name w:val="5级标题"/>
    <w:basedOn w:val="475"/>
    <w:autoRedefine/>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无间隔2"/>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6"/>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25"/>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2"/>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Lines="50"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6"/>
    <w:autoRedefine/>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6"/>
    <w:autoRedefine/>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17"/>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6"/>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Lines="100" w:line="360" w:lineRule="auto"/>
      <w:jc w:val="left"/>
    </w:pPr>
    <w:rPr>
      <w:rFonts w:ascii="Arial" w:hAnsi="Arial" w:eastAsia="仿宋_GB2312"/>
      <w:bCs/>
      <w:sz w:val="28"/>
    </w:rPr>
  </w:style>
  <w:style w:type="paragraph" w:customStyle="1" w:styleId="606">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2"/>
    <w:autoRedefine/>
    <w:qFormat/>
    <w:uiPriority w:val="0"/>
    <w:pPr>
      <w:tabs>
        <w:tab w:val="left" w:pos="840"/>
      </w:tabs>
      <w:adjustRightInd/>
      <w:ind w:left="840" w:hanging="420"/>
    </w:pPr>
  </w:style>
  <w:style w:type="paragraph" w:customStyle="1" w:styleId="626">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Lines="0" w:afterLines="0"/>
      <w:ind w:left="1680"/>
      <w:outlineLvl w:val="2"/>
    </w:pPr>
  </w:style>
  <w:style w:type="paragraph" w:customStyle="1" w:styleId="658">
    <w:name w:val="章标题"/>
    <w:next w:val="640"/>
    <w:autoRedefine/>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Lines="10"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Lines="50"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5"/>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6"/>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Lines="50"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5"/>
    <w:autoRedefine/>
    <w:qFormat/>
    <w:uiPriority w:val="0"/>
    <w:pPr>
      <w:autoSpaceDE/>
      <w:autoSpaceDN/>
      <w:snapToGrid w:val="0"/>
      <w:ind w:firstLine="480" w:firstLineChars="200"/>
    </w:pPr>
    <w:rPr>
      <w:rFonts w:ascii="Times New Roman"/>
      <w:szCs w:val="24"/>
      <w:lang w:val="en-US"/>
    </w:rPr>
  </w:style>
  <w:style w:type="paragraph" w:customStyle="1" w:styleId="770">
    <w:name w:val="无间隔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6"/>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6"/>
    <w:autoRedefine/>
    <w:qFormat/>
    <w:uiPriority w:val="0"/>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4"/>
    <w:next w:val="54"/>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5"/>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6"/>
    <w:autoRedefine/>
    <w:qFormat/>
    <w:uiPriority w:val="0"/>
    <w:pPr>
      <w:adjustRightInd/>
      <w:spacing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autoRedefine/>
    <w:qFormat/>
    <w:uiPriority w:val="2"/>
    <w:pPr>
      <w:tabs>
        <w:tab w:val="clear" w:pos="390"/>
        <w:tab w:val="clear" w:pos="454"/>
      </w:tabs>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20"/>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5"/>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6"/>
    <w:next w:val="1"/>
    <w:autoRedefine/>
    <w:qFormat/>
    <w:uiPriority w:val="0"/>
    <w:pPr>
      <w:tabs>
        <w:tab w:val="left" w:pos="1080"/>
      </w:tabs>
      <w:ind w:left="1080" w:hanging="1080"/>
    </w:pPr>
  </w:style>
  <w:style w:type="paragraph" w:customStyle="1" w:styleId="897">
    <w:name w:val="数字标题1"/>
    <w:basedOn w:val="2"/>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字符"/>
    <w:link w:val="38"/>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1"/>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character" w:customStyle="1" w:styleId="964">
    <w:name w:val="fontstyle01"/>
    <w:basedOn w:val="71"/>
    <w:autoRedefine/>
    <w:qFormat/>
    <w:uiPriority w:val="0"/>
    <w:rPr>
      <w:rFonts w:hint="eastAsia" w:ascii="宋体" w:hAnsi="宋体" w:eastAsia="宋体"/>
      <w:color w:val="000000"/>
      <w:sz w:val="24"/>
      <w:szCs w:val="24"/>
    </w:rPr>
  </w:style>
  <w:style w:type="paragraph" w:styleId="965">
    <w:name w:val="List Paragraph"/>
    <w:basedOn w:val="1"/>
    <w:autoRedefine/>
    <w:qFormat/>
    <w:uiPriority w:val="34"/>
    <w:pPr>
      <w:ind w:firstLine="420" w:firstLineChars="200"/>
    </w:pPr>
  </w:style>
  <w:style w:type="character" w:customStyle="1" w:styleId="966">
    <w:name w:val="不明显参考1"/>
    <w:autoRedefine/>
    <w:qFormat/>
    <w:uiPriority w:val="31"/>
    <w:rPr>
      <w:smallCaps/>
    </w:rPr>
  </w:style>
  <w:style w:type="paragraph" w:styleId="967">
    <w:name w:val="No Spacing"/>
    <w:basedOn w:val="1"/>
    <w:autoRedefine/>
    <w:qFormat/>
    <w:uiPriority w:val="1"/>
    <w:rPr>
      <w:szCs w:val="22"/>
    </w:rPr>
  </w:style>
  <w:style w:type="table" w:customStyle="1" w:styleId="968">
    <w:name w:val="Table Normal"/>
    <w:autoRedefine/>
    <w:semiHidden/>
    <w:unhideWhenUsed/>
    <w:qFormat/>
    <w:uiPriority w:val="0"/>
    <w:tblPr>
      <w:tblCellMar>
        <w:top w:w="0" w:type="dxa"/>
        <w:left w:w="0" w:type="dxa"/>
        <w:bottom w:w="0" w:type="dxa"/>
        <w:right w:w="0" w:type="dxa"/>
      </w:tblCellMar>
    </w:tblPr>
  </w:style>
  <w:style w:type="character" w:customStyle="1" w:styleId="969">
    <w:name w:val="NormalCharacter"/>
    <w:autoRedefine/>
    <w:qFormat/>
    <w:uiPriority w:val="0"/>
  </w:style>
  <w:style w:type="paragraph" w:customStyle="1" w:styleId="970">
    <w:name w:val="Heading1"/>
    <w:basedOn w:val="1"/>
    <w:next w:val="1"/>
    <w:autoRedefine/>
    <w:qFormat/>
    <w:uiPriority w:val="0"/>
    <w:pPr>
      <w:keepNext/>
      <w:keepLines/>
      <w:spacing w:before="340" w:after="330" w:line="576" w:lineRule="auto"/>
      <w:textAlignment w:val="baseline"/>
    </w:pPr>
    <w:rPr>
      <w:b/>
      <w:bCs/>
      <w:kern w:val="44"/>
      <w:sz w:val="44"/>
      <w:szCs w:val="44"/>
    </w:rPr>
  </w:style>
  <w:style w:type="paragraph" w:customStyle="1" w:styleId="97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rot="0" vertOverflow="overflow" horzOverflow="overflow" vert="horz" wrap="none" lIns="0" tIns="0" rIns="0" bIns="0" numCol="1" spcCol="0" rtlCol="0" fromWordArt="0" anchor="t" anchorCtr="0" forceAA="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48</Pages>
  <Words>647</Words>
  <Characters>754</Characters>
  <Lines>230</Lines>
  <Paragraphs>65</Paragraphs>
  <TotalTime>18</TotalTime>
  <ScaleCrop>false</ScaleCrop>
  <LinksUpToDate>false</LinksUpToDate>
  <CharactersWithSpaces>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2023-12-27T01:21:00Z</dcterms:created>
  <dc:creator>Administrator</dc:creator>
  <cp:lastModifiedBy>叶大秀</cp:lastModifiedBy>
  <cp:lastPrinted>2024-06-07T08:47:00Z</cp:lastPrinted>
  <dcterms:modified xsi:type="dcterms:W3CDTF">2026-04-03T03:26:18Z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0C30DED506FE4D7098B5C622B3C4268F_13</vt:lpwstr>
  </property>
  <property fmtid="{D5CDD505-2E9C-101B-9397-08002B2CF9AE}" pid="5" name="KSOTemplateDocerSaveRecord">
    <vt:lpwstr>eyJoZGlkIjoiMjgyMzBlMGQ1YmYwZTE3MTRiMzEyYzllOGY0NzFmZjUiLCJ1c2VySWQiOiIyODIxMDE4NDkifQ==</vt:lpwstr>
  </property>
</Properties>
</file>