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5064D">
      <w:pPr>
        <w:pStyle w:val="2"/>
        <w:spacing w:before="128" w:line="225" w:lineRule="auto"/>
        <w:ind w:left="2622"/>
        <w:outlineLvl w:val="0"/>
        <w:rPr>
          <w:sz w:val="31"/>
          <w:szCs w:val="31"/>
        </w:rPr>
      </w:pPr>
      <w:r>
        <w:rPr>
          <w:b/>
          <w:bCs/>
          <w:spacing w:val="6"/>
          <w:sz w:val="31"/>
          <w:szCs w:val="31"/>
        </w:rPr>
        <w:t>吉安市第一人民医院除四害服务</w:t>
      </w:r>
    </w:p>
    <w:p w14:paraId="2C35FA56">
      <w:pPr>
        <w:spacing w:line="292" w:lineRule="auto"/>
        <w:rPr>
          <w:rFonts w:ascii="Arial"/>
          <w:sz w:val="21"/>
        </w:rPr>
      </w:pPr>
    </w:p>
    <w:p w14:paraId="6DD19860">
      <w:pPr>
        <w:spacing w:line="293" w:lineRule="auto"/>
        <w:rPr>
          <w:rFonts w:ascii="Arial"/>
          <w:sz w:val="21"/>
        </w:rPr>
      </w:pPr>
    </w:p>
    <w:p w14:paraId="12D93118">
      <w:pPr>
        <w:spacing w:line="293" w:lineRule="auto"/>
        <w:rPr>
          <w:rFonts w:ascii="Arial"/>
          <w:sz w:val="21"/>
        </w:rPr>
      </w:pPr>
    </w:p>
    <w:p w14:paraId="6ED7110E">
      <w:pPr>
        <w:pStyle w:val="2"/>
        <w:spacing w:before="78" w:line="219" w:lineRule="auto"/>
        <w:ind w:left="123"/>
        <w:rPr>
          <w:sz w:val="24"/>
          <w:szCs w:val="24"/>
        </w:rPr>
      </w:pPr>
      <w:r>
        <w:rPr>
          <w:b/>
          <w:bCs/>
          <w:spacing w:val="5"/>
          <w:sz w:val="24"/>
          <w:szCs w:val="24"/>
        </w:rPr>
        <w:t>（一）基本资格条件：</w:t>
      </w:r>
    </w:p>
    <w:p w14:paraId="1DF3777E">
      <w:pPr>
        <w:pStyle w:val="2"/>
        <w:spacing w:before="58" w:line="228" w:lineRule="auto"/>
        <w:ind w:left="673"/>
      </w:pPr>
      <w:r>
        <w:rPr>
          <w:spacing w:val="17"/>
        </w:rPr>
        <w:t>1、具有独立承担民事责任的能力；</w:t>
      </w:r>
    </w:p>
    <w:p w14:paraId="5CC35954">
      <w:pPr>
        <w:pStyle w:val="2"/>
        <w:spacing w:before="245" w:line="227" w:lineRule="auto"/>
        <w:ind w:left="644"/>
      </w:pPr>
      <w:r>
        <w:rPr>
          <w:spacing w:val="23"/>
        </w:rPr>
        <w:t>2、具有良好的商业信誉和健全的财务会计</w:t>
      </w:r>
      <w:r>
        <w:rPr>
          <w:spacing w:val="22"/>
        </w:rPr>
        <w:t>制度；</w:t>
      </w:r>
    </w:p>
    <w:p w14:paraId="3685E468">
      <w:pPr>
        <w:pStyle w:val="2"/>
        <w:spacing w:before="248" w:line="228" w:lineRule="auto"/>
        <w:ind w:left="648"/>
      </w:pPr>
      <w:r>
        <w:rPr>
          <w:spacing w:val="23"/>
        </w:rPr>
        <w:t>3、具有履行合同所必需的设备和专业技术能</w:t>
      </w:r>
      <w:r>
        <w:rPr>
          <w:spacing w:val="22"/>
        </w:rPr>
        <w:t>力；</w:t>
      </w:r>
    </w:p>
    <w:p w14:paraId="73575380">
      <w:pPr>
        <w:pStyle w:val="2"/>
        <w:spacing w:before="217" w:line="227" w:lineRule="auto"/>
        <w:ind w:left="638"/>
      </w:pPr>
      <w:r>
        <w:rPr>
          <w:spacing w:val="23"/>
        </w:rPr>
        <w:t>4、有依法缴纳税收和社会保障资金的良好记录；</w:t>
      </w:r>
    </w:p>
    <w:p w14:paraId="3F1117BB">
      <w:pPr>
        <w:pStyle w:val="2"/>
        <w:spacing w:before="251" w:line="227" w:lineRule="auto"/>
        <w:ind w:left="648"/>
      </w:pPr>
      <w:r>
        <w:rPr>
          <w:spacing w:val="23"/>
        </w:rPr>
        <w:t>5、参加采购活动前三年内</w:t>
      </w:r>
      <w:r>
        <w:rPr>
          <w:spacing w:val="-41"/>
        </w:rPr>
        <w:t xml:space="preserve"> </w:t>
      </w:r>
      <w:r>
        <w:rPr>
          <w:spacing w:val="23"/>
        </w:rPr>
        <w:t>，在经营活动中没有重大违法记录；</w:t>
      </w:r>
    </w:p>
    <w:p w14:paraId="36638189">
      <w:pPr>
        <w:pStyle w:val="2"/>
        <w:spacing w:before="248" w:line="228" w:lineRule="auto"/>
        <w:ind w:left="643"/>
      </w:pPr>
      <w:r>
        <w:rPr>
          <w:spacing w:val="22"/>
        </w:rPr>
        <w:t>6、法律、行政法规规定的其他条件：</w:t>
      </w:r>
    </w:p>
    <w:p w14:paraId="5C9CB43F">
      <w:pPr>
        <w:pStyle w:val="2"/>
        <w:spacing w:before="267" w:line="227" w:lineRule="auto"/>
        <w:ind w:left="646"/>
        <w:rPr>
          <w:rFonts w:hint="eastAsia" w:eastAsia="宋体"/>
          <w:lang w:val="en-US" w:eastAsia="zh-CN"/>
        </w:rPr>
      </w:pPr>
      <w:r>
        <w:rPr>
          <w:spacing w:val="10"/>
        </w:rPr>
        <w:t>7、具有《有害生物防制服务能力等级</w:t>
      </w:r>
      <w:r>
        <w:rPr>
          <w:spacing w:val="-39"/>
        </w:rPr>
        <w:t xml:space="preserve"> </w:t>
      </w:r>
      <w:r>
        <w:rPr>
          <w:spacing w:val="10"/>
        </w:rPr>
        <w:t>A</w:t>
      </w:r>
      <w:r>
        <w:rPr>
          <w:spacing w:val="-37"/>
        </w:rPr>
        <w:t xml:space="preserve"> </w:t>
      </w:r>
      <w:r>
        <w:rPr>
          <w:spacing w:val="10"/>
        </w:rPr>
        <w:t>级证书》</w:t>
      </w:r>
      <w:r>
        <w:rPr>
          <w:rFonts w:hint="eastAsia"/>
          <w:spacing w:val="10"/>
          <w:lang w:val="en-US" w:eastAsia="zh-CN"/>
        </w:rPr>
        <w:t>或</w:t>
      </w:r>
      <w:r>
        <w:rPr>
          <w:rFonts w:hint="eastAsia" w:ascii="宋体" w:hAnsi="宋体" w:eastAsia="宋体" w:cs="宋体"/>
          <w:spacing w:val="10"/>
          <w:lang w:val="en-US" w:eastAsia="zh-CN"/>
        </w:rPr>
        <w:t>《</w:t>
      </w:r>
      <w:r>
        <w:rPr>
          <w:rFonts w:hint="eastAsia" w:cs="宋体"/>
          <w:spacing w:val="10"/>
          <w:lang w:val="en-US" w:eastAsia="zh-CN"/>
        </w:rPr>
        <w:t>有害生物防治服务企业资质证书A级</w:t>
      </w:r>
      <w:r>
        <w:rPr>
          <w:rFonts w:hint="eastAsia" w:ascii="宋体" w:hAnsi="宋体" w:eastAsia="宋体" w:cs="宋体"/>
          <w:spacing w:val="10"/>
          <w:lang w:val="en-US" w:eastAsia="zh-CN"/>
        </w:rPr>
        <w:t>》</w:t>
      </w:r>
    </w:p>
    <w:p w14:paraId="313614BB">
      <w:pPr>
        <w:pStyle w:val="2"/>
        <w:spacing w:before="294" w:line="247" w:lineRule="auto"/>
        <w:ind w:right="14" w:firstLine="680"/>
      </w:pPr>
      <w:r>
        <w:rPr>
          <w:spacing w:val="20"/>
        </w:rPr>
        <w:t>8、拟投入本项</w:t>
      </w:r>
      <w:r>
        <w:rPr>
          <w:spacing w:val="-36"/>
        </w:rPr>
        <w:t xml:space="preserve"> </w:t>
      </w:r>
      <w:r>
        <w:rPr>
          <w:spacing w:val="20"/>
        </w:rPr>
        <w:t>目</w:t>
      </w:r>
      <w:r>
        <w:rPr>
          <w:spacing w:val="-58"/>
        </w:rPr>
        <w:t xml:space="preserve"> </w:t>
      </w:r>
      <w:r>
        <w:rPr>
          <w:spacing w:val="20"/>
        </w:rPr>
        <w:t>的人员配备情况：工作人员具有《中华人民共和国有害生物防</w:t>
      </w:r>
      <w:r>
        <w:rPr>
          <w:spacing w:val="19"/>
        </w:rPr>
        <w:t>制员职</w:t>
      </w:r>
      <w:r>
        <w:t xml:space="preserve"> </w:t>
      </w:r>
      <w:r>
        <w:rPr>
          <w:spacing w:val="22"/>
        </w:rPr>
        <w:t>业资格证书》</w:t>
      </w:r>
      <w:r>
        <w:rPr>
          <w:spacing w:val="-19"/>
        </w:rPr>
        <w:t xml:space="preserve"> </w:t>
      </w:r>
      <w:r>
        <w:rPr>
          <w:spacing w:val="22"/>
        </w:rPr>
        <w:t>、</w:t>
      </w:r>
      <w:r>
        <w:rPr>
          <w:spacing w:val="-72"/>
        </w:rPr>
        <w:t xml:space="preserve"> </w:t>
      </w:r>
      <w:r>
        <w:rPr>
          <w:spacing w:val="22"/>
        </w:rPr>
        <w:t>《有害生物防制专业技术水平评价证书》</w:t>
      </w:r>
      <w:r>
        <w:rPr>
          <w:spacing w:val="-45"/>
        </w:rPr>
        <w:t xml:space="preserve"> </w:t>
      </w:r>
      <w:r>
        <w:rPr>
          <w:spacing w:val="22"/>
        </w:rPr>
        <w:t>或《有害生物防制职业技能等级证</w:t>
      </w:r>
      <w:r>
        <w:t xml:space="preserve"> </w:t>
      </w:r>
      <w:r>
        <w:rPr>
          <w:spacing w:val="19"/>
        </w:rPr>
        <w:t>书》</w:t>
      </w:r>
      <w:r>
        <w:rPr>
          <w:spacing w:val="-28"/>
        </w:rPr>
        <w:t xml:space="preserve"> </w:t>
      </w:r>
      <w:r>
        <w:rPr>
          <w:spacing w:val="19"/>
        </w:rPr>
        <w:t>的员工不少于</w:t>
      </w:r>
      <w:r>
        <w:rPr>
          <w:rFonts w:hint="eastAsia"/>
          <w:spacing w:val="-14"/>
          <w:lang w:val="en-US" w:eastAsia="zh-CN"/>
        </w:rPr>
        <w:t>2</w:t>
      </w:r>
      <w:r>
        <w:rPr>
          <w:spacing w:val="-22"/>
        </w:rPr>
        <w:t xml:space="preserve"> </w:t>
      </w:r>
      <w:r>
        <w:rPr>
          <w:spacing w:val="19"/>
        </w:rPr>
        <w:t>人</w:t>
      </w:r>
      <w:r>
        <w:rPr>
          <w:spacing w:val="-58"/>
        </w:rPr>
        <w:t xml:space="preserve"> </w:t>
      </w:r>
      <w:r>
        <w:rPr>
          <w:spacing w:val="19"/>
        </w:rPr>
        <w:t>，</w:t>
      </w:r>
      <w:r>
        <w:rPr>
          <w:spacing w:val="-54"/>
        </w:rPr>
        <w:t xml:space="preserve"> </w:t>
      </w:r>
      <w:r>
        <w:rPr>
          <w:spacing w:val="19"/>
        </w:rPr>
        <w:t>需提供员工职业资格证书原件和投标响应供应商提供招标前</w:t>
      </w:r>
      <w:r>
        <w:rPr>
          <w:spacing w:val="-14"/>
        </w:rPr>
        <w:t xml:space="preserve"> </w:t>
      </w:r>
      <w:r>
        <w:rPr>
          <w:spacing w:val="19"/>
        </w:rPr>
        <w:t>3</w:t>
      </w:r>
      <w:r>
        <w:rPr>
          <w:spacing w:val="-26"/>
        </w:rPr>
        <w:t xml:space="preserve"> </w:t>
      </w:r>
      <w:r>
        <w:rPr>
          <w:spacing w:val="19"/>
        </w:rPr>
        <w:t>个月</w:t>
      </w:r>
      <w:r>
        <w:t xml:space="preserve"> </w:t>
      </w:r>
      <w:r>
        <w:rPr>
          <w:spacing w:val="24"/>
        </w:rPr>
        <w:t>内为与员工职业资格证相对应的员工交纳社保证明复印件加盖公章</w:t>
      </w:r>
      <w:r>
        <w:rPr>
          <w:spacing w:val="23"/>
        </w:rPr>
        <w:t>上传线上审查</w:t>
      </w:r>
      <w:r>
        <w:rPr>
          <w:spacing w:val="-58"/>
        </w:rPr>
        <w:t xml:space="preserve"> </w:t>
      </w:r>
      <w:r>
        <w:rPr>
          <w:spacing w:val="23"/>
        </w:rPr>
        <w:t>，</w:t>
      </w:r>
      <w:r>
        <w:rPr>
          <w:spacing w:val="-47"/>
        </w:rPr>
        <w:t xml:space="preserve"> </w:t>
      </w:r>
      <w:r>
        <w:rPr>
          <w:spacing w:val="23"/>
        </w:rPr>
        <w:t>中标后需</w:t>
      </w:r>
      <w:r>
        <w:t xml:space="preserve"> </w:t>
      </w:r>
      <w:r>
        <w:rPr>
          <w:spacing w:val="21"/>
        </w:rPr>
        <w:t>现场查验所有资料</w:t>
      </w:r>
      <w:r>
        <w:rPr>
          <w:spacing w:val="-44"/>
        </w:rPr>
        <w:t xml:space="preserve"> </w:t>
      </w:r>
      <w:r>
        <w:rPr>
          <w:spacing w:val="21"/>
        </w:rPr>
        <w:t>，如果发现弄虚作假的</w:t>
      </w:r>
      <w:r>
        <w:rPr>
          <w:spacing w:val="-14"/>
        </w:rPr>
        <w:t xml:space="preserve"> </w:t>
      </w:r>
      <w:r>
        <w:rPr>
          <w:spacing w:val="21"/>
        </w:rPr>
        <w:t>5</w:t>
      </w:r>
      <w:r>
        <w:rPr>
          <w:spacing w:val="-23"/>
        </w:rPr>
        <w:t xml:space="preserve"> </w:t>
      </w:r>
      <w:r>
        <w:rPr>
          <w:spacing w:val="21"/>
        </w:rPr>
        <w:t>年内不得参与本单位所有招投标</w:t>
      </w:r>
      <w:r>
        <w:rPr>
          <w:spacing w:val="-55"/>
        </w:rPr>
        <w:t xml:space="preserve"> </w:t>
      </w:r>
      <w:r>
        <w:rPr>
          <w:spacing w:val="21"/>
        </w:rPr>
        <w:t>，</w:t>
      </w:r>
      <w:r>
        <w:rPr>
          <w:spacing w:val="-57"/>
        </w:rPr>
        <w:t xml:space="preserve"> </w:t>
      </w:r>
      <w:r>
        <w:rPr>
          <w:spacing w:val="21"/>
        </w:rPr>
        <w:t>需要员工职业</w:t>
      </w:r>
    </w:p>
    <w:p w14:paraId="1A3B35DC">
      <w:pPr>
        <w:pStyle w:val="2"/>
        <w:spacing w:before="27" w:line="227" w:lineRule="auto"/>
        <w:ind w:left="9"/>
      </w:pPr>
      <w:r>
        <w:rPr>
          <w:spacing w:val="23"/>
        </w:rPr>
        <w:t>资格证和员工交纳社保人员相对应的明单</w:t>
      </w:r>
      <w:r>
        <w:rPr>
          <w:spacing w:val="-58"/>
        </w:rPr>
        <w:t xml:space="preserve"> </w:t>
      </w:r>
      <w:r>
        <w:rPr>
          <w:spacing w:val="23"/>
        </w:rPr>
        <w:t>，未提供或提</w:t>
      </w:r>
      <w:r>
        <w:rPr>
          <w:spacing w:val="22"/>
        </w:rPr>
        <w:t>供不全做无效标。</w:t>
      </w:r>
    </w:p>
    <w:p w14:paraId="6F0CDE1A">
      <w:pPr>
        <w:pStyle w:val="2"/>
        <w:spacing w:before="297" w:line="227" w:lineRule="auto"/>
        <w:ind w:left="680"/>
      </w:pPr>
      <w:r>
        <w:rPr>
          <w:spacing w:val="21"/>
        </w:rPr>
        <w:t>9、投标供应商承担过环境病媒生物防制工作的项</w:t>
      </w:r>
      <w:r>
        <w:rPr>
          <w:spacing w:val="-36"/>
        </w:rPr>
        <w:t xml:space="preserve"> </w:t>
      </w:r>
      <w:r>
        <w:rPr>
          <w:spacing w:val="21"/>
        </w:rPr>
        <w:t>目业绩。</w:t>
      </w:r>
    </w:p>
    <w:p w14:paraId="3ED64E2D">
      <w:pPr>
        <w:pStyle w:val="2"/>
        <w:spacing w:before="30" w:line="219" w:lineRule="auto"/>
        <w:ind w:left="13"/>
        <w:rPr>
          <w:sz w:val="24"/>
          <w:szCs w:val="24"/>
        </w:rPr>
      </w:pPr>
      <w:r>
        <w:rPr>
          <w:b/>
          <w:bCs/>
          <w:spacing w:val="-4"/>
          <w:sz w:val="24"/>
          <w:szCs w:val="24"/>
        </w:rPr>
        <w:t>（二）、采购项目技术要求：</w:t>
      </w:r>
    </w:p>
    <w:p w14:paraId="4D8F051A">
      <w:pPr>
        <w:pStyle w:val="2"/>
        <w:spacing w:before="179" w:line="227" w:lineRule="auto"/>
        <w:ind w:left="376"/>
      </w:pPr>
      <w:r>
        <w:rPr>
          <w:b/>
          <w:bCs/>
          <w:spacing w:val="1"/>
        </w:rPr>
        <w:t>1.1</w:t>
      </w:r>
      <w:r>
        <w:rPr>
          <w:spacing w:val="-40"/>
        </w:rPr>
        <w:t xml:space="preserve"> </w:t>
      </w:r>
      <w:r>
        <w:rPr>
          <w:b/>
          <w:bCs/>
          <w:spacing w:val="1"/>
        </w:rPr>
        <w:t>基本情况：</w:t>
      </w:r>
    </w:p>
    <w:p w14:paraId="22C984A1">
      <w:pPr>
        <w:pStyle w:val="2"/>
        <w:spacing w:before="161" w:line="362" w:lineRule="auto"/>
        <w:ind w:left="11" w:firstLine="402"/>
      </w:pPr>
      <w:r>
        <w:rPr>
          <w:spacing w:val="3"/>
        </w:rPr>
        <w:t>医院周边的环境 复杂给有害生物孳生繁殖提供了良好的条件，对医院的下水道、水体、垃圾堆放</w:t>
      </w:r>
      <w:r>
        <w:rPr>
          <w:spacing w:val="18"/>
        </w:rPr>
        <w:t xml:space="preserve"> </w:t>
      </w:r>
      <w:r>
        <w:rPr>
          <w:spacing w:val="9"/>
        </w:rPr>
        <w:t>点、公共绿化带、蚊虫孳生水体、苍蝇孳生地等医院内外环境区域开展病媒生物防制服务。</w:t>
      </w:r>
    </w:p>
    <w:p w14:paraId="2CDD942C">
      <w:pPr>
        <w:pStyle w:val="2"/>
        <w:spacing w:before="36" w:line="228" w:lineRule="auto"/>
        <w:ind w:left="376"/>
      </w:pPr>
      <w:r>
        <w:rPr>
          <w:b/>
          <w:bCs/>
          <w:spacing w:val="-7"/>
        </w:rPr>
        <w:t>1.2</w:t>
      </w:r>
      <w:r>
        <w:rPr>
          <w:spacing w:val="-7"/>
        </w:rPr>
        <w:t xml:space="preserve"> </w:t>
      </w:r>
      <w:r>
        <w:rPr>
          <w:b/>
          <w:bCs/>
          <w:spacing w:val="-7"/>
        </w:rPr>
        <w:t>目标：</w:t>
      </w:r>
    </w:p>
    <w:p w14:paraId="75CD18DF">
      <w:pPr>
        <w:pStyle w:val="2"/>
        <w:spacing w:before="161" w:line="362" w:lineRule="auto"/>
        <w:ind w:left="1" w:firstLine="359"/>
      </w:pPr>
      <w:r>
        <w:rPr>
          <w:spacing w:val="12"/>
        </w:rPr>
        <w:t>根据病媒生物防制达标考核要求，结合上属范围的基本概况，确保区域范围内的病媒生物密度</w:t>
      </w:r>
      <w:r>
        <w:rPr>
          <w:spacing w:val="8"/>
        </w:rPr>
        <w:t xml:space="preserve"> </w:t>
      </w:r>
      <w:r>
        <w:rPr>
          <w:spacing w:val="7"/>
        </w:rPr>
        <w:t>标准达到国家标准。</w:t>
      </w:r>
    </w:p>
    <w:p w14:paraId="48F7846D">
      <w:pPr>
        <w:pStyle w:val="2"/>
        <w:spacing w:before="31" w:line="228" w:lineRule="auto"/>
        <w:ind w:left="376"/>
      </w:pPr>
      <w:r>
        <w:rPr>
          <w:b/>
          <w:bCs/>
          <w:spacing w:val="2"/>
        </w:rPr>
        <w:t>1.3</w:t>
      </w:r>
      <w:r>
        <w:rPr>
          <w:spacing w:val="-36"/>
        </w:rPr>
        <w:t xml:space="preserve"> </w:t>
      </w:r>
      <w:r>
        <w:rPr>
          <w:b/>
          <w:bCs/>
          <w:spacing w:val="2"/>
        </w:rPr>
        <w:t>项目实施计划：</w:t>
      </w:r>
    </w:p>
    <w:p w14:paraId="2261DC7D">
      <w:pPr>
        <w:pStyle w:val="2"/>
        <w:spacing w:before="163" w:line="227" w:lineRule="auto"/>
        <w:ind w:left="376"/>
      </w:pPr>
      <w:r>
        <w:rPr>
          <w:b/>
          <w:bCs/>
          <w:spacing w:val="3"/>
        </w:rPr>
        <w:t>1.3.1</w:t>
      </w:r>
      <w:r>
        <w:rPr>
          <w:spacing w:val="-31"/>
        </w:rPr>
        <w:t xml:space="preserve"> </w:t>
      </w:r>
      <w:r>
        <w:rPr>
          <w:b/>
          <w:bCs/>
          <w:spacing w:val="3"/>
        </w:rPr>
        <w:t>本底和孳生地调查：</w:t>
      </w:r>
    </w:p>
    <w:p w14:paraId="17D27981">
      <w:pPr>
        <w:pStyle w:val="2"/>
        <w:spacing w:before="163" w:line="369" w:lineRule="auto"/>
        <w:ind w:firstLine="362"/>
        <w:jc w:val="both"/>
      </w:pPr>
      <w:r>
        <w:rPr>
          <w:spacing w:val="12"/>
        </w:rPr>
        <w:t>为科学有效制订病媒生物防制工作计划，切合实际有效展开相关综合防治工作，在开始病媒生</w:t>
      </w:r>
      <w:r>
        <w:rPr>
          <w:spacing w:val="5"/>
        </w:rPr>
        <w:t xml:space="preserve"> </w:t>
      </w:r>
      <w:r>
        <w:rPr>
          <w:spacing w:val="11"/>
        </w:rPr>
        <w:t>物防制服务消杀工作之前必须先开展以上范围病媒生物密度和孳生地</w:t>
      </w:r>
      <w:r>
        <w:rPr>
          <w:spacing w:val="10"/>
        </w:rPr>
        <w:t>调查，在消杀过程中自评防治</w:t>
      </w:r>
      <w:r>
        <w:t xml:space="preserve"> </w:t>
      </w:r>
      <w:r>
        <w:rPr>
          <w:spacing w:val="11"/>
        </w:rPr>
        <w:t>效果，并依据评估情况进行及时纠偏，确保综合防制效果。同时形成</w:t>
      </w:r>
      <w:r>
        <w:rPr>
          <w:spacing w:val="10"/>
        </w:rPr>
        <w:t>病媒生物防制台账资料，收集</w:t>
      </w:r>
      <w:r>
        <w:t xml:space="preserve"> </w:t>
      </w:r>
      <w:r>
        <w:rPr>
          <w:spacing w:val="3"/>
        </w:rPr>
        <w:t>归档。</w:t>
      </w:r>
    </w:p>
    <w:p w14:paraId="4AC61334">
      <w:pPr>
        <w:spacing w:line="369" w:lineRule="auto"/>
        <w:sectPr>
          <w:pgSz w:w="11907" w:h="16840"/>
          <w:pgMar w:top="1431" w:right="1135" w:bottom="0" w:left="1708" w:header="0" w:footer="0" w:gutter="0"/>
          <w:cols w:space="720" w:num="1"/>
        </w:sectPr>
      </w:pPr>
    </w:p>
    <w:p w14:paraId="768CB495">
      <w:pPr>
        <w:spacing w:line="271" w:lineRule="auto"/>
        <w:rPr>
          <w:rFonts w:ascii="Arial"/>
          <w:sz w:val="21"/>
        </w:rPr>
      </w:pPr>
    </w:p>
    <w:p w14:paraId="08C53A73">
      <w:pPr>
        <w:pStyle w:val="2"/>
        <w:spacing w:before="65" w:line="228" w:lineRule="auto"/>
        <w:ind w:left="380"/>
      </w:pPr>
      <w:r>
        <w:rPr>
          <w:b/>
          <w:bCs/>
          <w:spacing w:val="1"/>
        </w:rPr>
        <w:t>1.3.2</w:t>
      </w:r>
      <w:r>
        <w:rPr>
          <w:spacing w:val="-33"/>
        </w:rPr>
        <w:t xml:space="preserve"> </w:t>
      </w:r>
      <w:r>
        <w:rPr>
          <w:b/>
          <w:bCs/>
          <w:spacing w:val="1"/>
        </w:rPr>
        <w:t>消杀范围：</w:t>
      </w:r>
    </w:p>
    <w:p w14:paraId="67140666">
      <w:pPr>
        <w:spacing w:line="385" w:lineRule="auto"/>
        <w:rPr>
          <w:rFonts w:ascii="Arial"/>
          <w:sz w:val="21"/>
        </w:rPr>
      </w:pPr>
    </w:p>
    <w:p w14:paraId="6A9798B2">
      <w:pPr>
        <w:pStyle w:val="2"/>
        <w:spacing w:before="65" w:line="408" w:lineRule="auto"/>
        <w:ind w:left="30" w:right="469" w:firstLine="569"/>
      </w:pPr>
      <w:r>
        <w:rPr>
          <w:spacing w:val="2"/>
        </w:rPr>
        <w:t>医院所有建筑物内外环境，门诊大楼、住院大楼、感染大楼、室内</w:t>
      </w:r>
      <w:r>
        <w:rPr>
          <w:spacing w:val="1"/>
        </w:rPr>
        <w:t>外停车场、垃圾池、下水</w:t>
      </w:r>
      <w:r>
        <w:t xml:space="preserve"> </w:t>
      </w:r>
      <w:r>
        <w:rPr>
          <w:spacing w:val="9"/>
        </w:rPr>
        <w:t>道、水体、垃圾堆放点、公共绿化带、蚊虫孳生水体等内外环境区域。</w:t>
      </w:r>
    </w:p>
    <w:p w14:paraId="56029E30">
      <w:pPr>
        <w:spacing w:line="374" w:lineRule="auto"/>
        <w:rPr>
          <w:rFonts w:ascii="Arial"/>
          <w:sz w:val="21"/>
        </w:rPr>
      </w:pPr>
    </w:p>
    <w:p w14:paraId="140E57EA">
      <w:pPr>
        <w:pStyle w:val="2"/>
        <w:spacing w:before="65" w:line="227" w:lineRule="auto"/>
        <w:ind w:left="383"/>
      </w:pPr>
      <w:r>
        <w:rPr>
          <w:b/>
          <w:bCs/>
          <w:spacing w:val="4"/>
        </w:rPr>
        <w:t>1.3.3</w:t>
      </w:r>
      <w:r>
        <w:rPr>
          <w:spacing w:val="-35"/>
        </w:rPr>
        <w:t xml:space="preserve"> </w:t>
      </w:r>
      <w:r>
        <w:rPr>
          <w:b/>
          <w:bCs/>
          <w:spacing w:val="4"/>
        </w:rPr>
        <w:t>病媒生物防制作业要求：</w:t>
      </w:r>
    </w:p>
    <w:p w14:paraId="6D908957">
      <w:pPr>
        <w:pStyle w:val="2"/>
        <w:spacing w:before="162" w:line="302" w:lineRule="auto"/>
        <w:ind w:left="11" w:right="40" w:firstLine="426"/>
      </w:pPr>
      <w:r>
        <w:rPr>
          <w:spacing w:val="9"/>
        </w:rPr>
        <w:t>（1）落实医院内外区域的病媒生物防制工作，确保按</w:t>
      </w:r>
      <w:r>
        <w:rPr>
          <w:spacing w:val="8"/>
        </w:rPr>
        <w:t>计划在各区域进行全方位的灭鼠、灭蚊、</w:t>
      </w:r>
      <w:r>
        <w:t xml:space="preserve"> </w:t>
      </w:r>
      <w:r>
        <w:rPr>
          <w:spacing w:val="8"/>
        </w:rPr>
        <w:t>灭蝇、灭蟑螂作业，确保达到国家标准。</w:t>
      </w:r>
    </w:p>
    <w:p w14:paraId="3E0B5414">
      <w:pPr>
        <w:pStyle w:val="2"/>
        <w:spacing w:before="161" w:line="340" w:lineRule="auto"/>
        <w:ind w:left="6" w:firstLine="430"/>
      </w:pPr>
      <w:r>
        <w:rPr>
          <w:spacing w:val="4"/>
        </w:rPr>
        <w:t>（2）坚持“预防为主，综合防治</w:t>
      </w:r>
      <w:r>
        <w:rPr>
          <w:spacing w:val="-70"/>
        </w:rPr>
        <w:t xml:space="preserve"> </w:t>
      </w:r>
      <w:r>
        <w:rPr>
          <w:spacing w:val="4"/>
        </w:rPr>
        <w:t>”的消杀方针，确保使用国家规定或爱卫会认定和推荐的药物。</w:t>
      </w:r>
      <w:r>
        <w:t xml:space="preserve"> </w:t>
      </w:r>
      <w:r>
        <w:rPr>
          <w:spacing w:val="11"/>
        </w:rPr>
        <w:t>对病媒生物防制药物建立进出登记台账，并取得</w:t>
      </w:r>
      <w:r>
        <w:rPr>
          <w:b/>
          <w:bCs/>
          <w:spacing w:val="11"/>
        </w:rPr>
        <w:t>“</w:t>
      </w:r>
      <w:r>
        <w:rPr>
          <w:b/>
          <w:bCs/>
          <w:spacing w:val="10"/>
        </w:rPr>
        <w:t>三证（</w:t>
      </w:r>
      <w:r>
        <w:rPr>
          <w:spacing w:val="10"/>
        </w:rPr>
        <w:t>产品农药登记证、生产许可证或农药生产</w:t>
      </w:r>
      <w:r>
        <w:t xml:space="preserve"> </w:t>
      </w:r>
      <w:r>
        <w:rPr>
          <w:spacing w:val="10"/>
        </w:rPr>
        <w:t>批准证书、企业执行标准证书</w:t>
      </w:r>
      <w:r>
        <w:rPr>
          <w:b/>
          <w:bCs/>
          <w:spacing w:val="10"/>
        </w:rPr>
        <w:t>）</w:t>
      </w:r>
      <w:r>
        <w:rPr>
          <w:spacing w:val="-59"/>
        </w:rPr>
        <w:t xml:space="preserve"> </w:t>
      </w:r>
      <w:r>
        <w:rPr>
          <w:b/>
          <w:bCs/>
          <w:spacing w:val="10"/>
        </w:rPr>
        <w:t>”</w:t>
      </w:r>
      <w:r>
        <w:rPr>
          <w:spacing w:val="10"/>
        </w:rPr>
        <w:t>。病媒生物防制作业时要注意</w:t>
      </w:r>
      <w:r>
        <w:rPr>
          <w:spacing w:val="9"/>
        </w:rPr>
        <w:t>安全用药，废弃药物及死鼠等要妥</w:t>
      </w:r>
      <w:r>
        <w:t xml:space="preserve"> </w:t>
      </w:r>
      <w:r>
        <w:rPr>
          <w:spacing w:val="7"/>
        </w:rPr>
        <w:t>善处理，防止污染。</w:t>
      </w:r>
    </w:p>
    <w:p w14:paraId="301AFE6E">
      <w:pPr>
        <w:pStyle w:val="2"/>
        <w:spacing w:before="161" w:line="303" w:lineRule="auto"/>
        <w:ind w:left="8" w:right="70" w:firstLine="369"/>
      </w:pPr>
      <w:r>
        <w:rPr>
          <w:spacing w:val="9"/>
        </w:rPr>
        <w:t>（3）病媒生物防制工作人员需经培训后持证上岗，按照病媒生物防制工作的法规标准，规范操</w:t>
      </w:r>
      <w:r>
        <w:rPr>
          <w:spacing w:val="12"/>
        </w:rPr>
        <w:t xml:space="preserve"> </w:t>
      </w:r>
      <w:r>
        <w:rPr>
          <w:spacing w:val="9"/>
        </w:rPr>
        <w:t>作。作业时必须统一服装、统一标准，做到安全作业、文明作业。</w:t>
      </w:r>
    </w:p>
    <w:p w14:paraId="54F47AF4">
      <w:pPr>
        <w:pStyle w:val="2"/>
        <w:spacing w:before="163" w:line="302" w:lineRule="auto"/>
        <w:ind w:left="12" w:right="70" w:firstLine="365"/>
      </w:pPr>
      <w:r>
        <w:rPr>
          <w:spacing w:val="9"/>
        </w:rPr>
        <w:t>（4）做好每次病媒生物防制工作的记录，登记时间、处理位置、用药量等数据，并拍摄现场照</w:t>
      </w:r>
      <w:r>
        <w:rPr>
          <w:spacing w:val="12"/>
        </w:rPr>
        <w:t xml:space="preserve"> </w:t>
      </w:r>
      <w:r>
        <w:rPr>
          <w:spacing w:val="-3"/>
        </w:rPr>
        <w:t>片。</w:t>
      </w:r>
    </w:p>
    <w:p w14:paraId="2BC459A5">
      <w:pPr>
        <w:pStyle w:val="2"/>
        <w:spacing w:before="160" w:line="227" w:lineRule="auto"/>
        <w:ind w:left="377"/>
      </w:pPr>
      <w:r>
        <w:rPr>
          <w:spacing w:val="9"/>
        </w:rPr>
        <w:t>（5）在创卫调研、暗访和明查期间，根据通知对重点病媒生物防制和突击治理工作。</w:t>
      </w:r>
    </w:p>
    <w:p w14:paraId="2CB37D13">
      <w:pPr>
        <w:pStyle w:val="2"/>
        <w:spacing w:before="164" w:line="302" w:lineRule="auto"/>
        <w:ind w:left="7" w:right="70" w:firstLine="370"/>
      </w:pPr>
      <w:r>
        <w:rPr>
          <w:spacing w:val="9"/>
        </w:rPr>
        <w:t>（6）合同期间应配合</w:t>
      </w:r>
      <w:r>
        <w:rPr>
          <w:rFonts w:hint="eastAsia"/>
          <w:spacing w:val="9"/>
          <w:lang w:val="en-US" w:eastAsia="zh-CN"/>
        </w:rPr>
        <w:t>医院安排的各类虫害消杀工作</w:t>
      </w:r>
      <w:r>
        <w:rPr>
          <w:spacing w:val="9"/>
        </w:rPr>
        <w:t>，在</w:t>
      </w:r>
      <w:r>
        <w:rPr>
          <w:rFonts w:hint="eastAsia"/>
          <w:spacing w:val="9"/>
          <w:lang w:val="en-US" w:eastAsia="zh-CN"/>
        </w:rPr>
        <w:t>各类</w:t>
      </w:r>
      <w:r>
        <w:rPr>
          <w:spacing w:val="9"/>
        </w:rPr>
        <w:t>行动前或突击、应急检查前配合做</w:t>
      </w:r>
      <w:r>
        <w:rPr>
          <w:spacing w:val="12"/>
        </w:rPr>
        <w:t xml:space="preserve"> </w:t>
      </w:r>
      <w:r>
        <w:rPr>
          <w:spacing w:val="8"/>
        </w:rPr>
        <w:t>好病媒生物防制工作。</w:t>
      </w:r>
    </w:p>
    <w:p w14:paraId="0922C568">
      <w:pPr>
        <w:pStyle w:val="2"/>
        <w:spacing w:before="162" w:line="228" w:lineRule="auto"/>
        <w:ind w:left="383"/>
      </w:pPr>
      <w:r>
        <w:rPr>
          <w:b/>
          <w:bCs/>
          <w:spacing w:val="3"/>
        </w:rPr>
        <w:t>1.4</w:t>
      </w:r>
      <w:r>
        <w:rPr>
          <w:spacing w:val="-40"/>
        </w:rPr>
        <w:t xml:space="preserve"> </w:t>
      </w:r>
      <w:r>
        <w:rPr>
          <w:b/>
          <w:bCs/>
          <w:spacing w:val="3"/>
        </w:rPr>
        <w:t>服务内容和要求：</w:t>
      </w:r>
    </w:p>
    <w:p w14:paraId="3DC10A8A">
      <w:pPr>
        <w:pStyle w:val="2"/>
        <w:spacing w:before="163" w:line="371" w:lineRule="auto"/>
        <w:ind w:left="7" w:right="16" w:firstLine="359"/>
        <w:jc w:val="both"/>
      </w:pPr>
      <w:r>
        <w:rPr>
          <w:spacing w:val="7"/>
        </w:rPr>
        <w:t>在医院服务区域内全面开展病媒生物防制，投放灭鼠药饵，开展蚊、蝇、蟑、</w:t>
      </w:r>
      <w:r>
        <w:rPr>
          <w:spacing w:val="-39"/>
        </w:rPr>
        <w:t xml:space="preserve"> </w:t>
      </w:r>
      <w:r>
        <w:rPr>
          <w:spacing w:val="7"/>
        </w:rPr>
        <w:t>白蚁</w:t>
      </w:r>
      <w:r>
        <w:rPr>
          <w:rFonts w:hint="eastAsia"/>
          <w:spacing w:val="7"/>
          <w:lang w:eastAsia="zh-CN"/>
        </w:rPr>
        <w:t>、</w:t>
      </w:r>
      <w:r>
        <w:rPr>
          <w:rFonts w:hint="eastAsia"/>
          <w:spacing w:val="7"/>
          <w:lang w:val="en-US" w:eastAsia="zh-CN"/>
        </w:rPr>
        <w:t>红蚂蚁</w:t>
      </w:r>
      <w:r>
        <w:rPr>
          <w:spacing w:val="7"/>
        </w:rPr>
        <w:t>的药物消杀，</w:t>
      </w:r>
      <w:r>
        <w:t xml:space="preserve"> </w:t>
      </w:r>
      <w:r>
        <w:rPr>
          <w:spacing w:val="11"/>
        </w:rPr>
        <w:t>包括喷洒灭蚊蝇药物，下水道灭蟑螂，医院灭蚊、蝇、区域积水等水</w:t>
      </w:r>
      <w:r>
        <w:rPr>
          <w:spacing w:val="10"/>
        </w:rPr>
        <w:t>体灭蚊子孑、垃圾等孳生地灭</w:t>
      </w:r>
      <w:r>
        <w:t xml:space="preserve"> </w:t>
      </w:r>
      <w:r>
        <w:rPr>
          <w:spacing w:val="11"/>
        </w:rPr>
        <w:t>蝇幼虫。按相关要求布放灭鼠毒饵站。毒饵站应根据孳生地调查设置</w:t>
      </w:r>
      <w:r>
        <w:rPr>
          <w:spacing w:val="10"/>
        </w:rPr>
        <w:t>在有鼠迹、位置隐蔽、人员稀</w:t>
      </w:r>
      <w:r>
        <w:t xml:space="preserve"> </w:t>
      </w:r>
      <w:r>
        <w:rPr>
          <w:spacing w:val="11"/>
        </w:rPr>
        <w:t>少、不引人注目的地方沿墙等位置布放；布放毒饵站时应张贴醒目警</w:t>
      </w:r>
      <w:r>
        <w:rPr>
          <w:spacing w:val="10"/>
        </w:rPr>
        <w:t>示标志，毒饵施放应准确到位</w:t>
      </w:r>
      <w:r>
        <w:t xml:space="preserve"> </w:t>
      </w:r>
      <w:r>
        <w:rPr>
          <w:spacing w:val="8"/>
        </w:rPr>
        <w:t>防止人、畜、禽、鸟等误食误服。</w:t>
      </w:r>
    </w:p>
    <w:p w14:paraId="57ADDFCF">
      <w:pPr>
        <w:pStyle w:val="2"/>
        <w:spacing w:before="31" w:line="228" w:lineRule="auto"/>
        <w:ind w:left="383"/>
      </w:pPr>
      <w:r>
        <w:rPr>
          <w:b/>
          <w:bCs/>
          <w:spacing w:val="2"/>
        </w:rPr>
        <w:t>1.5</w:t>
      </w:r>
      <w:r>
        <w:rPr>
          <w:spacing w:val="-36"/>
        </w:rPr>
        <w:t xml:space="preserve"> </w:t>
      </w:r>
      <w:r>
        <w:rPr>
          <w:b/>
          <w:bCs/>
          <w:spacing w:val="2"/>
        </w:rPr>
        <w:t>相关服务标准：</w:t>
      </w:r>
    </w:p>
    <w:p w14:paraId="384DD1EA">
      <w:pPr>
        <w:pStyle w:val="2"/>
        <w:spacing w:before="164" w:line="227" w:lineRule="auto"/>
        <w:ind w:left="377"/>
      </w:pPr>
      <w:r>
        <w:rPr>
          <w:spacing w:val="8"/>
        </w:rPr>
        <w:t>（1）病媒生物防制质量标准</w:t>
      </w:r>
    </w:p>
    <w:p w14:paraId="7C9A3C3E">
      <w:pPr>
        <w:pStyle w:val="2"/>
        <w:spacing w:before="162" w:line="369" w:lineRule="auto"/>
        <w:ind w:left="10" w:right="69" w:firstLine="358"/>
      </w:pPr>
      <w:r>
        <w:rPr>
          <w:spacing w:val="10"/>
        </w:rPr>
        <w:t>监测标准：</w:t>
      </w:r>
      <w:r>
        <w:rPr>
          <w:spacing w:val="-70"/>
        </w:rPr>
        <w:t xml:space="preserve"> </w:t>
      </w:r>
      <w:r>
        <w:rPr>
          <w:spacing w:val="10"/>
        </w:rPr>
        <w:t>《&lt;中华人民共和国国家标准（</w:t>
      </w:r>
      <w:r>
        <w:t>GB</w:t>
      </w:r>
      <w:r>
        <w:rPr>
          <w:spacing w:val="10"/>
        </w:rPr>
        <w:t>/T 23796-2009）病媒生物密度监测方法蝇类》、</w:t>
      </w:r>
      <w:r>
        <w:t xml:space="preserve"> </w:t>
      </w:r>
      <w:r>
        <w:rPr>
          <w:spacing w:val="8"/>
        </w:rPr>
        <w:t>《中华人民共和国国家标准（</w:t>
      </w:r>
      <w:r>
        <w:t>GB</w:t>
      </w:r>
      <w:r>
        <w:rPr>
          <w:spacing w:val="8"/>
        </w:rPr>
        <w:t>/T</w:t>
      </w:r>
      <w:r>
        <w:rPr>
          <w:spacing w:val="-26"/>
        </w:rPr>
        <w:t xml:space="preserve"> </w:t>
      </w:r>
      <w:r>
        <w:rPr>
          <w:spacing w:val="8"/>
        </w:rPr>
        <w:t>23797-2009）病媒生物密度监测方法蚊虫》、《中华人民共和国</w:t>
      </w:r>
      <w:r>
        <w:t xml:space="preserve"> </w:t>
      </w:r>
      <w:r>
        <w:rPr>
          <w:spacing w:val="11"/>
        </w:rPr>
        <w:t>国家标准（</w:t>
      </w:r>
      <w:r>
        <w:t>GB</w:t>
      </w:r>
      <w:r>
        <w:rPr>
          <w:spacing w:val="11"/>
        </w:rPr>
        <w:t>/T 23798-2009）病媒生物密度监测方法鼠类》</w:t>
      </w:r>
      <w:r>
        <w:rPr>
          <w:spacing w:val="-59"/>
        </w:rPr>
        <w:t xml:space="preserve"> </w:t>
      </w:r>
      <w:r>
        <w:rPr>
          <w:spacing w:val="11"/>
        </w:rPr>
        <w:t>、《中华人民</w:t>
      </w:r>
      <w:r>
        <w:rPr>
          <w:spacing w:val="10"/>
        </w:rPr>
        <w:t>共和国国家标准（</w:t>
      </w:r>
      <w:r>
        <w:t>GB</w:t>
      </w:r>
      <w:r>
        <w:rPr>
          <w:spacing w:val="10"/>
        </w:rPr>
        <w:t>/T</w:t>
      </w:r>
      <w:r>
        <w:t xml:space="preserve"> </w:t>
      </w:r>
      <w:r>
        <w:rPr>
          <w:spacing w:val="6"/>
        </w:rPr>
        <w:t>23795-2009）病媒生物密度监测方法蜚蠊》。</w:t>
      </w:r>
    </w:p>
    <w:p w14:paraId="2131DEC4">
      <w:pPr>
        <w:pStyle w:val="2"/>
        <w:spacing w:before="32" w:line="370" w:lineRule="auto"/>
        <w:ind w:left="10" w:firstLine="356"/>
        <w:jc w:val="both"/>
      </w:pPr>
      <w:r>
        <w:rPr>
          <w:spacing w:val="7"/>
        </w:rPr>
        <w:t>控制水平标准：《中华人民共和国国家标准（</w:t>
      </w:r>
      <w:r>
        <w:t>GB</w:t>
      </w:r>
      <w:r>
        <w:rPr>
          <w:spacing w:val="7"/>
        </w:rPr>
        <w:t>/T</w:t>
      </w:r>
      <w:r>
        <w:rPr>
          <w:spacing w:val="-38"/>
        </w:rPr>
        <w:t xml:space="preserve"> </w:t>
      </w:r>
      <w:r>
        <w:rPr>
          <w:spacing w:val="7"/>
        </w:rPr>
        <w:t>27773-</w:t>
      </w:r>
      <w:r>
        <w:rPr>
          <w:spacing w:val="6"/>
        </w:rPr>
        <w:t>2011）病媒生物密度控制水平蜚蠊》、</w:t>
      </w:r>
      <w:r>
        <w:t xml:space="preserve"> </w:t>
      </w:r>
      <w:r>
        <w:rPr>
          <w:spacing w:val="8"/>
        </w:rPr>
        <w:t>《中华人民共和国国家标准（</w:t>
      </w:r>
      <w:r>
        <w:t>GB</w:t>
      </w:r>
      <w:r>
        <w:rPr>
          <w:spacing w:val="8"/>
        </w:rPr>
        <w:t>/T</w:t>
      </w:r>
      <w:r>
        <w:rPr>
          <w:spacing w:val="-26"/>
        </w:rPr>
        <w:t xml:space="preserve"> </w:t>
      </w:r>
      <w:r>
        <w:rPr>
          <w:spacing w:val="8"/>
        </w:rPr>
        <w:t>27772-2011）病媒生物密度控制水平蝇类》、《中华人民共和国</w:t>
      </w:r>
      <w:r>
        <w:t xml:space="preserve"> </w:t>
      </w:r>
      <w:r>
        <w:rPr>
          <w:spacing w:val="11"/>
        </w:rPr>
        <w:t>国家标准（</w:t>
      </w:r>
      <w:r>
        <w:t>GB</w:t>
      </w:r>
      <w:r>
        <w:rPr>
          <w:spacing w:val="11"/>
        </w:rPr>
        <w:t>/T 27771-2011）病媒生物密度控制水平蚊虫》</w:t>
      </w:r>
      <w:r>
        <w:rPr>
          <w:spacing w:val="-59"/>
        </w:rPr>
        <w:t xml:space="preserve"> </w:t>
      </w:r>
      <w:r>
        <w:rPr>
          <w:spacing w:val="11"/>
        </w:rPr>
        <w:t>、《中华人民</w:t>
      </w:r>
      <w:r>
        <w:rPr>
          <w:spacing w:val="10"/>
        </w:rPr>
        <w:t>共和国国家标准（</w:t>
      </w:r>
      <w:r>
        <w:t>GB</w:t>
      </w:r>
      <w:r>
        <w:rPr>
          <w:spacing w:val="10"/>
        </w:rPr>
        <w:t>/T</w:t>
      </w:r>
      <w:r>
        <w:t xml:space="preserve"> </w:t>
      </w:r>
      <w:r>
        <w:rPr>
          <w:spacing w:val="6"/>
        </w:rPr>
        <w:t>27770-2011）病媒生物密度控制水平鼠类》。</w:t>
      </w:r>
    </w:p>
    <w:p w14:paraId="01229FB0">
      <w:pPr>
        <w:spacing w:line="370" w:lineRule="auto"/>
        <w:sectPr>
          <w:headerReference r:id="rId5" w:type="default"/>
          <w:pgSz w:w="11907" w:h="16840"/>
          <w:pgMar w:top="1110" w:right="1064" w:bottom="0" w:left="1701" w:header="1095" w:footer="0" w:gutter="0"/>
          <w:cols w:space="720" w:num="1"/>
        </w:sectPr>
      </w:pPr>
    </w:p>
    <w:p w14:paraId="41D7D3B4">
      <w:pPr>
        <w:spacing w:line="270" w:lineRule="auto"/>
        <w:rPr>
          <w:rFonts w:ascii="Arial"/>
          <w:sz w:val="21"/>
        </w:rPr>
      </w:pPr>
    </w:p>
    <w:p w14:paraId="1C95BEB3">
      <w:pPr>
        <w:pStyle w:val="2"/>
        <w:spacing w:before="65" w:line="328" w:lineRule="auto"/>
        <w:ind w:left="9" w:right="1" w:firstLine="368"/>
      </w:pPr>
      <w:r>
        <w:rPr>
          <w:spacing w:val="9"/>
        </w:rPr>
        <w:t>（2）蚊、蝇消杀：孳生地投放灭幼药剂，重点部位及害虫栖息场所进行药物滞留喷洒和空间喷</w:t>
      </w:r>
      <w:r>
        <w:rPr>
          <w:spacing w:val="12"/>
        </w:rPr>
        <w:t xml:space="preserve"> </w:t>
      </w:r>
      <w:r>
        <w:rPr>
          <w:spacing w:val="11"/>
        </w:rPr>
        <w:t>雾，药品均采用国家相关部门批准使用的高效低毒卫生杀虫药剂</w:t>
      </w:r>
      <w:r>
        <w:rPr>
          <w:spacing w:val="10"/>
        </w:rPr>
        <w:t>；宣传并指导相关村民和居民做好</w:t>
      </w:r>
      <w:r>
        <w:t xml:space="preserve"> </w:t>
      </w:r>
      <w:r>
        <w:rPr>
          <w:spacing w:val="9"/>
        </w:rPr>
        <w:t>防蚊、防蝇工作，消除孳生地，做到重点区域重点监控，发现问题及时处理的施工原则。</w:t>
      </w:r>
    </w:p>
    <w:p w14:paraId="7D785BB1">
      <w:pPr>
        <w:pStyle w:val="2"/>
        <w:spacing w:before="160" w:line="340" w:lineRule="auto"/>
        <w:ind w:left="6" w:right="1" w:firstLine="370"/>
      </w:pPr>
      <w:r>
        <w:rPr>
          <w:spacing w:val="9"/>
        </w:rPr>
        <w:t>（3）灭鼠药械统一投放，进行多轮统一投药，即：灭鼠重点区域为老鼠活动和容易孳生栖息的</w:t>
      </w:r>
      <w:r>
        <w:rPr>
          <w:spacing w:val="12"/>
        </w:rPr>
        <w:t xml:space="preserve"> </w:t>
      </w:r>
      <w:r>
        <w:rPr>
          <w:spacing w:val="11"/>
        </w:rPr>
        <w:t>地点等作为灭鼠防鼠工作重点，原则上投药必须投入固定鼠穴、毒鼠屋</w:t>
      </w:r>
      <w:r>
        <w:rPr>
          <w:spacing w:val="10"/>
        </w:rPr>
        <w:t>或相对隐蔽的区域和地点，</w:t>
      </w:r>
      <w:r>
        <w:t xml:space="preserve"> </w:t>
      </w:r>
      <w:r>
        <w:rPr>
          <w:spacing w:val="11"/>
        </w:rPr>
        <w:t>选用药物为第二代抗凝血剂灭鼠毒饵，确保安全高效，严禁使用国家禁</w:t>
      </w:r>
      <w:r>
        <w:rPr>
          <w:spacing w:val="10"/>
        </w:rPr>
        <w:t>止使用的灭鼠药物，并将加</w:t>
      </w:r>
      <w:r>
        <w:t xml:space="preserve"> </w:t>
      </w:r>
      <w:r>
        <w:rPr>
          <w:spacing w:val="9"/>
        </w:rPr>
        <w:t>大对服务范围内各单位、各居民区人员的宣传介绍，</w:t>
      </w:r>
      <w:r>
        <w:rPr>
          <w:spacing w:val="8"/>
        </w:rPr>
        <w:t>提供药物保障和</w:t>
      </w:r>
      <w:r>
        <w:rPr>
          <w:spacing w:val="-34"/>
        </w:rPr>
        <w:t xml:space="preserve"> </w:t>
      </w:r>
      <w:r>
        <w:rPr>
          <w:spacing w:val="8"/>
        </w:rPr>
        <w:t>24</w:t>
      </w:r>
      <w:r>
        <w:rPr>
          <w:spacing w:val="-34"/>
        </w:rPr>
        <w:t xml:space="preserve"> </w:t>
      </w:r>
      <w:r>
        <w:rPr>
          <w:spacing w:val="8"/>
        </w:rPr>
        <w:t>小时的技术支撑。</w:t>
      </w:r>
    </w:p>
    <w:p w14:paraId="765500E8">
      <w:pPr>
        <w:pStyle w:val="2"/>
        <w:spacing w:before="161" w:line="302" w:lineRule="auto"/>
        <w:ind w:left="9" w:right="1" w:firstLine="368"/>
      </w:pPr>
      <w:r>
        <w:rPr>
          <w:spacing w:val="9"/>
        </w:rPr>
        <w:t>（4）下水道的灭蟑：害虫侵犯点需进行下水道的灭蟑工作，药品采用国家相关部门批准使用的</w:t>
      </w:r>
      <w:r>
        <w:rPr>
          <w:spacing w:val="12"/>
        </w:rPr>
        <w:t xml:space="preserve"> </w:t>
      </w:r>
      <w:r>
        <w:rPr>
          <w:spacing w:val="9"/>
        </w:rPr>
        <w:t>卫生杀虫药剂；这些街道四害孳生的点主要是下水道及周边、公共绿化带及周边等。</w:t>
      </w:r>
    </w:p>
    <w:p w14:paraId="49ADEC09">
      <w:pPr>
        <w:spacing w:line="250" w:lineRule="auto"/>
        <w:rPr>
          <w:rFonts w:ascii="Arial"/>
          <w:sz w:val="21"/>
        </w:rPr>
      </w:pPr>
    </w:p>
    <w:p w14:paraId="71CA9711">
      <w:pPr>
        <w:spacing w:line="250" w:lineRule="auto"/>
        <w:rPr>
          <w:rFonts w:ascii="Arial"/>
          <w:sz w:val="21"/>
        </w:rPr>
      </w:pPr>
    </w:p>
    <w:p w14:paraId="181CD3B3">
      <w:pPr>
        <w:spacing w:line="250" w:lineRule="auto"/>
        <w:rPr>
          <w:rFonts w:ascii="Arial"/>
          <w:sz w:val="21"/>
        </w:rPr>
      </w:pPr>
    </w:p>
    <w:p w14:paraId="711F9B9C">
      <w:pPr>
        <w:spacing w:line="250" w:lineRule="auto"/>
        <w:rPr>
          <w:rFonts w:ascii="Arial"/>
          <w:sz w:val="21"/>
        </w:rPr>
      </w:pPr>
    </w:p>
    <w:p w14:paraId="17AEB969">
      <w:pPr>
        <w:spacing w:line="250" w:lineRule="auto"/>
        <w:rPr>
          <w:rFonts w:ascii="Arial"/>
          <w:sz w:val="21"/>
        </w:rPr>
      </w:pPr>
    </w:p>
    <w:p w14:paraId="53F7E4F0">
      <w:pPr>
        <w:spacing w:line="250" w:lineRule="auto"/>
        <w:rPr>
          <w:rFonts w:ascii="Arial"/>
          <w:sz w:val="21"/>
        </w:rPr>
      </w:pPr>
    </w:p>
    <w:p w14:paraId="7F488BC5">
      <w:pPr>
        <w:spacing w:line="250" w:lineRule="auto"/>
        <w:rPr>
          <w:rFonts w:ascii="Arial"/>
          <w:sz w:val="21"/>
        </w:rPr>
      </w:pPr>
    </w:p>
    <w:p w14:paraId="60D6E960">
      <w:pPr>
        <w:spacing w:line="250" w:lineRule="auto"/>
        <w:rPr>
          <w:rFonts w:ascii="Arial"/>
          <w:sz w:val="21"/>
        </w:rPr>
      </w:pPr>
    </w:p>
    <w:p w14:paraId="1FEEB4DE">
      <w:pPr>
        <w:spacing w:line="250" w:lineRule="auto"/>
        <w:rPr>
          <w:rFonts w:ascii="Arial"/>
          <w:sz w:val="21"/>
        </w:rPr>
      </w:pPr>
    </w:p>
    <w:p w14:paraId="6AE63B82">
      <w:pPr>
        <w:spacing w:line="250" w:lineRule="auto"/>
        <w:rPr>
          <w:rFonts w:ascii="Arial"/>
          <w:sz w:val="21"/>
        </w:rPr>
      </w:pPr>
    </w:p>
    <w:p w14:paraId="3301377D">
      <w:pPr>
        <w:spacing w:line="250" w:lineRule="auto"/>
        <w:rPr>
          <w:rFonts w:ascii="Arial"/>
          <w:sz w:val="21"/>
        </w:rPr>
      </w:pPr>
    </w:p>
    <w:p w14:paraId="15162360">
      <w:pPr>
        <w:spacing w:line="250" w:lineRule="auto"/>
        <w:rPr>
          <w:rFonts w:ascii="Arial"/>
          <w:sz w:val="21"/>
        </w:rPr>
      </w:pPr>
    </w:p>
    <w:p w14:paraId="15398732">
      <w:pPr>
        <w:spacing w:line="250" w:lineRule="auto"/>
        <w:rPr>
          <w:rFonts w:ascii="Arial"/>
          <w:sz w:val="21"/>
        </w:rPr>
      </w:pPr>
    </w:p>
    <w:p w14:paraId="59AD5ED9">
      <w:pPr>
        <w:spacing w:line="250" w:lineRule="auto"/>
        <w:rPr>
          <w:rFonts w:ascii="Arial"/>
          <w:sz w:val="21"/>
        </w:rPr>
      </w:pPr>
    </w:p>
    <w:p w14:paraId="6CB2AB21">
      <w:pPr>
        <w:spacing w:line="250" w:lineRule="auto"/>
        <w:rPr>
          <w:rFonts w:ascii="Arial"/>
          <w:sz w:val="21"/>
        </w:rPr>
      </w:pPr>
    </w:p>
    <w:p w14:paraId="0ED249A8">
      <w:pPr>
        <w:spacing w:line="250" w:lineRule="auto"/>
        <w:rPr>
          <w:rFonts w:ascii="Arial"/>
          <w:sz w:val="21"/>
        </w:rPr>
      </w:pPr>
    </w:p>
    <w:p w14:paraId="595D69A6">
      <w:pPr>
        <w:spacing w:line="250" w:lineRule="auto"/>
        <w:rPr>
          <w:rFonts w:ascii="Arial"/>
          <w:sz w:val="21"/>
        </w:rPr>
      </w:pPr>
    </w:p>
    <w:p w14:paraId="7B549B3F">
      <w:pPr>
        <w:spacing w:line="250" w:lineRule="auto"/>
        <w:rPr>
          <w:rFonts w:ascii="Arial"/>
          <w:sz w:val="21"/>
        </w:rPr>
      </w:pPr>
    </w:p>
    <w:p w14:paraId="2ED4143F">
      <w:pPr>
        <w:spacing w:line="250" w:lineRule="auto"/>
        <w:rPr>
          <w:rFonts w:ascii="Arial"/>
          <w:sz w:val="21"/>
        </w:rPr>
      </w:pPr>
    </w:p>
    <w:p w14:paraId="57F30544">
      <w:pPr>
        <w:spacing w:line="250" w:lineRule="auto"/>
        <w:rPr>
          <w:rFonts w:ascii="Arial"/>
          <w:sz w:val="21"/>
        </w:rPr>
      </w:pPr>
    </w:p>
    <w:p w14:paraId="48E71299">
      <w:pPr>
        <w:spacing w:line="250" w:lineRule="auto"/>
        <w:rPr>
          <w:rFonts w:ascii="Arial"/>
          <w:sz w:val="21"/>
        </w:rPr>
      </w:pPr>
    </w:p>
    <w:p w14:paraId="3E41DDBD">
      <w:pPr>
        <w:spacing w:line="250" w:lineRule="auto"/>
        <w:rPr>
          <w:rFonts w:ascii="Arial"/>
          <w:sz w:val="21"/>
        </w:rPr>
      </w:pPr>
    </w:p>
    <w:p w14:paraId="00A63837">
      <w:pPr>
        <w:spacing w:line="250" w:lineRule="auto"/>
        <w:rPr>
          <w:rFonts w:ascii="Arial"/>
          <w:sz w:val="21"/>
        </w:rPr>
      </w:pPr>
    </w:p>
    <w:p w14:paraId="38864342">
      <w:pPr>
        <w:spacing w:line="250" w:lineRule="auto"/>
        <w:rPr>
          <w:rFonts w:ascii="Arial"/>
          <w:sz w:val="21"/>
        </w:rPr>
      </w:pPr>
    </w:p>
    <w:p w14:paraId="40753F63">
      <w:pPr>
        <w:spacing w:line="250" w:lineRule="auto"/>
        <w:rPr>
          <w:rFonts w:ascii="Arial"/>
          <w:sz w:val="21"/>
        </w:rPr>
      </w:pPr>
    </w:p>
    <w:p w14:paraId="569183CB">
      <w:pPr>
        <w:spacing w:line="250" w:lineRule="auto"/>
        <w:rPr>
          <w:rFonts w:ascii="Arial"/>
          <w:sz w:val="21"/>
        </w:rPr>
      </w:pPr>
    </w:p>
    <w:p w14:paraId="033FE13F">
      <w:pPr>
        <w:spacing w:line="250" w:lineRule="auto"/>
        <w:rPr>
          <w:rFonts w:ascii="Arial"/>
          <w:sz w:val="21"/>
        </w:rPr>
      </w:pPr>
    </w:p>
    <w:p w14:paraId="453BA169">
      <w:pPr>
        <w:spacing w:line="250" w:lineRule="auto"/>
        <w:rPr>
          <w:rFonts w:ascii="Arial"/>
          <w:sz w:val="21"/>
        </w:rPr>
      </w:pPr>
    </w:p>
    <w:p w14:paraId="4C7E5FD1">
      <w:pPr>
        <w:spacing w:line="250" w:lineRule="auto"/>
        <w:rPr>
          <w:rFonts w:ascii="Arial"/>
          <w:sz w:val="21"/>
        </w:rPr>
      </w:pPr>
    </w:p>
    <w:p w14:paraId="30FBBCA7">
      <w:pPr>
        <w:spacing w:line="250" w:lineRule="auto"/>
        <w:rPr>
          <w:rFonts w:ascii="Arial"/>
          <w:sz w:val="21"/>
        </w:rPr>
      </w:pPr>
    </w:p>
    <w:p w14:paraId="7690C9B7">
      <w:pPr>
        <w:pStyle w:val="2"/>
        <w:spacing w:line="240" w:lineRule="auto"/>
      </w:pPr>
      <w:r>
        <w:rPr>
          <w:b/>
          <w:bCs/>
          <w:spacing w:val="3"/>
        </w:rPr>
        <w:t>(2)</w:t>
      </w:r>
      <w:r>
        <w:rPr>
          <w:spacing w:val="3"/>
        </w:rPr>
        <w:t xml:space="preserve"> </w:t>
      </w:r>
      <w:r>
        <w:rPr>
          <w:b/>
          <w:bCs/>
          <w:spacing w:val="3"/>
        </w:rPr>
        <w:t>本项目可按以下药品选用：</w:t>
      </w:r>
    </w:p>
    <w:p w14:paraId="646A8EE7">
      <w:pPr>
        <w:spacing w:line="240" w:lineRule="auto"/>
        <w:sectPr>
          <w:headerReference r:id="rId6" w:type="default"/>
          <w:pgSz w:w="11907" w:h="16840"/>
          <w:pgMar w:top="1110" w:right="1134" w:bottom="0" w:left="1701" w:header="1095" w:footer="0" w:gutter="0"/>
          <w:cols w:space="720" w:num="1"/>
        </w:sectPr>
      </w:pPr>
    </w:p>
    <w:p w14:paraId="65E9F2FB">
      <w:pPr>
        <w:spacing w:before="37"/>
      </w:pPr>
      <w:r>
        <w:pict>
          <v:shape id="_x0000_s1026" o:spid="_x0000_s1026" style="position:absolute;left:0pt;margin-left:85.1pt;margin-top:54.8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p>
    <w:p w14:paraId="5417E8AA"/>
    <w:tbl>
      <w:tblPr>
        <w:tblStyle w:val="5"/>
        <w:tblpPr w:leftFromText="180" w:rightFromText="180" w:vertAnchor="text" w:horzAnchor="page" w:tblpX="1144" w:tblpY="241"/>
        <w:tblOverlap w:val="never"/>
        <w:tblW w:w="93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808"/>
        <w:gridCol w:w="3865"/>
        <w:gridCol w:w="1296"/>
        <w:gridCol w:w="1758"/>
      </w:tblGrid>
      <w:tr w14:paraId="25CA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665" w:type="dxa"/>
            <w:vAlign w:val="top"/>
          </w:tcPr>
          <w:p w14:paraId="5A2F1342">
            <w:pPr>
              <w:spacing w:line="307" w:lineRule="auto"/>
              <w:rPr>
                <w:rFonts w:ascii="Arial"/>
                <w:sz w:val="21"/>
              </w:rPr>
            </w:pPr>
          </w:p>
          <w:p w14:paraId="51ACD2D2">
            <w:pPr>
              <w:pStyle w:val="6"/>
              <w:spacing w:before="65" w:line="229" w:lineRule="auto"/>
              <w:ind w:left="126"/>
            </w:pPr>
            <w:r>
              <w:rPr>
                <w:spacing w:val="5"/>
              </w:rPr>
              <w:t>序号</w:t>
            </w:r>
          </w:p>
        </w:tc>
        <w:tc>
          <w:tcPr>
            <w:tcW w:w="1808" w:type="dxa"/>
            <w:vAlign w:val="top"/>
          </w:tcPr>
          <w:p w14:paraId="4EF4DFAA">
            <w:pPr>
              <w:spacing w:line="307" w:lineRule="auto"/>
              <w:jc w:val="center"/>
              <w:rPr>
                <w:rFonts w:ascii="Arial"/>
                <w:sz w:val="21"/>
              </w:rPr>
            </w:pPr>
          </w:p>
          <w:p w14:paraId="63160A93">
            <w:pPr>
              <w:pStyle w:val="6"/>
              <w:spacing w:before="65" w:line="228" w:lineRule="auto"/>
              <w:ind w:left="489"/>
              <w:jc w:val="center"/>
            </w:pPr>
            <w:r>
              <w:rPr>
                <w:spacing w:val="6"/>
              </w:rPr>
              <w:t>药品名称</w:t>
            </w:r>
          </w:p>
        </w:tc>
        <w:tc>
          <w:tcPr>
            <w:tcW w:w="3865" w:type="dxa"/>
            <w:vAlign w:val="top"/>
          </w:tcPr>
          <w:p w14:paraId="67691240">
            <w:pPr>
              <w:spacing w:line="307" w:lineRule="auto"/>
              <w:jc w:val="center"/>
              <w:rPr>
                <w:rFonts w:ascii="Arial"/>
                <w:sz w:val="21"/>
              </w:rPr>
            </w:pPr>
          </w:p>
          <w:p w14:paraId="6117FB78">
            <w:pPr>
              <w:pStyle w:val="6"/>
              <w:spacing w:before="65" w:line="228" w:lineRule="auto"/>
              <w:ind w:left="666"/>
              <w:jc w:val="center"/>
            </w:pPr>
            <w:r>
              <w:rPr>
                <w:spacing w:val="7"/>
              </w:rPr>
              <w:t>药品有效成分</w:t>
            </w:r>
          </w:p>
        </w:tc>
        <w:tc>
          <w:tcPr>
            <w:tcW w:w="1296" w:type="dxa"/>
            <w:vAlign w:val="top"/>
          </w:tcPr>
          <w:p w14:paraId="7BC878A0">
            <w:pPr>
              <w:spacing w:line="307" w:lineRule="auto"/>
              <w:jc w:val="center"/>
              <w:rPr>
                <w:rFonts w:ascii="Arial"/>
                <w:sz w:val="21"/>
              </w:rPr>
            </w:pPr>
          </w:p>
          <w:p w14:paraId="41ACA285">
            <w:pPr>
              <w:pStyle w:val="6"/>
              <w:spacing w:before="65" w:line="227" w:lineRule="auto"/>
              <w:ind w:left="278"/>
              <w:jc w:val="center"/>
            </w:pPr>
            <w:r>
              <w:rPr>
                <w:spacing w:val="4"/>
              </w:rPr>
              <w:t>剂型</w:t>
            </w:r>
          </w:p>
        </w:tc>
        <w:tc>
          <w:tcPr>
            <w:tcW w:w="1758" w:type="dxa"/>
            <w:vAlign w:val="top"/>
          </w:tcPr>
          <w:p w14:paraId="6783F75C">
            <w:pPr>
              <w:spacing w:line="306" w:lineRule="auto"/>
              <w:jc w:val="center"/>
              <w:rPr>
                <w:rFonts w:ascii="Arial"/>
                <w:sz w:val="21"/>
              </w:rPr>
            </w:pPr>
          </w:p>
          <w:p w14:paraId="0E4251A6">
            <w:pPr>
              <w:pStyle w:val="6"/>
              <w:spacing w:before="65" w:line="228" w:lineRule="auto"/>
              <w:ind w:left="366"/>
              <w:jc w:val="center"/>
            </w:pPr>
            <w:r>
              <w:rPr>
                <w:spacing w:val="4"/>
              </w:rPr>
              <w:t>防治对象</w:t>
            </w:r>
          </w:p>
        </w:tc>
      </w:tr>
      <w:tr w14:paraId="265D8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65" w:type="dxa"/>
            <w:vAlign w:val="top"/>
          </w:tcPr>
          <w:p w14:paraId="7D97EBFF">
            <w:pPr>
              <w:spacing w:line="332" w:lineRule="auto"/>
              <w:rPr>
                <w:rFonts w:ascii="Arial"/>
                <w:sz w:val="21"/>
              </w:rPr>
            </w:pPr>
          </w:p>
          <w:p w14:paraId="098AE472">
            <w:pPr>
              <w:spacing w:before="58" w:line="195" w:lineRule="auto"/>
              <w:ind w:left="30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08" w:type="dxa"/>
            <w:vAlign w:val="top"/>
          </w:tcPr>
          <w:p w14:paraId="766022F1">
            <w:pPr>
              <w:pStyle w:val="6"/>
              <w:spacing w:before="154" w:line="309" w:lineRule="auto"/>
              <w:ind w:left="594" w:right="325" w:hanging="263"/>
              <w:jc w:val="center"/>
              <w:rPr>
                <w:rFonts w:hint="default" w:eastAsia="宋体"/>
                <w:lang w:val="en-US" w:eastAsia="zh-CN"/>
              </w:rPr>
            </w:pPr>
            <w:r>
              <w:rPr>
                <w:rFonts w:hint="eastAsia"/>
                <w:lang w:val="en-US" w:eastAsia="zh-CN"/>
              </w:rPr>
              <w:t>杀虫热雾剂</w:t>
            </w:r>
          </w:p>
        </w:tc>
        <w:tc>
          <w:tcPr>
            <w:tcW w:w="3865" w:type="dxa"/>
            <w:vAlign w:val="top"/>
          </w:tcPr>
          <w:p w14:paraId="14B36A8C">
            <w:pPr>
              <w:spacing w:line="289" w:lineRule="auto"/>
              <w:jc w:val="center"/>
              <w:rPr>
                <w:rFonts w:ascii="Arial"/>
                <w:sz w:val="21"/>
              </w:rPr>
            </w:pPr>
          </w:p>
          <w:p w14:paraId="60E4C637">
            <w:pPr>
              <w:pStyle w:val="6"/>
              <w:spacing w:before="65" w:line="228" w:lineRule="auto"/>
              <w:ind w:left="24"/>
              <w:jc w:val="center"/>
            </w:pPr>
            <w:r>
              <w:rPr>
                <w:rFonts w:hint="eastAsia"/>
                <w:spacing w:val="5"/>
                <w:sz w:val="19"/>
                <w:szCs w:val="19"/>
                <w:lang w:val="en-US" w:eastAsia="zh-CN"/>
              </w:rPr>
              <w:t>高效氯氰菊脂与残杀威复配总含量</w:t>
            </w:r>
            <w:r>
              <w:rPr>
                <w:spacing w:val="5"/>
                <w:sz w:val="19"/>
                <w:szCs w:val="19"/>
              </w:rPr>
              <w:t>≤</w:t>
            </w:r>
            <w:r>
              <w:rPr>
                <w:rFonts w:ascii="Times New Roman" w:hAnsi="Times New Roman" w:eastAsia="Times New Roman" w:cs="Times New Roman"/>
                <w:spacing w:val="5"/>
              </w:rPr>
              <w:t>1</w:t>
            </w:r>
            <w:r>
              <w:rPr>
                <w:rFonts w:hint="eastAsia" w:ascii="Times New Roman" w:hAnsi="Times New Roman" w:cs="Times New Roman"/>
                <w:spacing w:val="5"/>
                <w:lang w:val="en-US" w:eastAsia="zh-CN"/>
              </w:rPr>
              <w:t>.7</w:t>
            </w:r>
            <w:r>
              <w:rPr>
                <w:rFonts w:ascii="Times New Roman" w:hAnsi="Times New Roman" w:eastAsia="Times New Roman" w:cs="Times New Roman"/>
                <w:spacing w:val="5"/>
              </w:rPr>
              <w:t>%</w:t>
            </w:r>
          </w:p>
        </w:tc>
        <w:tc>
          <w:tcPr>
            <w:tcW w:w="1296" w:type="dxa"/>
            <w:vAlign w:val="top"/>
          </w:tcPr>
          <w:p w14:paraId="1B4912B4">
            <w:pPr>
              <w:spacing w:line="289" w:lineRule="auto"/>
              <w:jc w:val="center"/>
              <w:rPr>
                <w:rFonts w:ascii="Arial"/>
                <w:sz w:val="21"/>
              </w:rPr>
            </w:pPr>
          </w:p>
          <w:p w14:paraId="13073206">
            <w:pPr>
              <w:pStyle w:val="6"/>
              <w:spacing w:before="65" w:line="227" w:lineRule="auto"/>
              <w:ind w:left="174"/>
              <w:jc w:val="center"/>
            </w:pPr>
            <w:r>
              <w:rPr>
                <w:rFonts w:hint="eastAsia"/>
                <w:spacing w:val="6"/>
                <w:lang w:val="en-US" w:eastAsia="zh-CN"/>
              </w:rPr>
              <w:t>热雾</w:t>
            </w:r>
            <w:r>
              <w:rPr>
                <w:spacing w:val="6"/>
              </w:rPr>
              <w:t>剂</w:t>
            </w:r>
          </w:p>
        </w:tc>
        <w:tc>
          <w:tcPr>
            <w:tcW w:w="1758" w:type="dxa"/>
            <w:vAlign w:val="top"/>
          </w:tcPr>
          <w:p w14:paraId="16050199">
            <w:pPr>
              <w:spacing w:line="289" w:lineRule="auto"/>
              <w:jc w:val="center"/>
              <w:rPr>
                <w:rFonts w:ascii="Arial"/>
                <w:sz w:val="21"/>
              </w:rPr>
            </w:pPr>
          </w:p>
          <w:p w14:paraId="5A70185A">
            <w:pPr>
              <w:pStyle w:val="6"/>
              <w:spacing w:before="65" w:line="228" w:lineRule="auto"/>
              <w:ind w:left="376"/>
              <w:jc w:val="center"/>
              <w:rPr>
                <w:rFonts w:hint="eastAsia" w:eastAsia="宋体"/>
                <w:lang w:val="en-US" w:eastAsia="zh-CN"/>
              </w:rPr>
            </w:pPr>
            <w:r>
              <w:rPr>
                <w:spacing w:val="-20"/>
                <w:w w:val="83"/>
              </w:rPr>
              <w:t>蚊、蝇、</w:t>
            </w:r>
            <w:r>
              <w:rPr>
                <w:rFonts w:hint="eastAsia"/>
                <w:spacing w:val="-20"/>
                <w:w w:val="83"/>
                <w:lang w:val="en-US" w:eastAsia="zh-CN"/>
              </w:rPr>
              <w:t>蟑螂</w:t>
            </w:r>
          </w:p>
        </w:tc>
      </w:tr>
      <w:tr w14:paraId="25BC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65" w:type="dxa"/>
            <w:vAlign w:val="top"/>
          </w:tcPr>
          <w:p w14:paraId="77966CE4">
            <w:pPr>
              <w:spacing w:line="331" w:lineRule="auto"/>
              <w:rPr>
                <w:rFonts w:ascii="Arial"/>
                <w:sz w:val="21"/>
              </w:rPr>
            </w:pPr>
          </w:p>
          <w:p w14:paraId="52F7514F">
            <w:pPr>
              <w:spacing w:before="57" w:line="195" w:lineRule="auto"/>
              <w:ind w:left="28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08" w:type="dxa"/>
            <w:vAlign w:val="top"/>
          </w:tcPr>
          <w:p w14:paraId="0B16D9D1">
            <w:pPr>
              <w:spacing w:line="302" w:lineRule="auto"/>
              <w:jc w:val="center"/>
              <w:rPr>
                <w:rFonts w:ascii="Arial"/>
                <w:sz w:val="21"/>
              </w:rPr>
            </w:pPr>
            <w:r>
              <w:rPr>
                <w:rFonts w:hint="eastAsia" w:ascii="Arial"/>
                <w:sz w:val="21"/>
              </w:rPr>
              <w:t>残杀威与四氟苯菊酯</w:t>
            </w:r>
          </w:p>
          <w:p w14:paraId="23E05140">
            <w:pPr>
              <w:pStyle w:val="6"/>
              <w:spacing w:before="61" w:line="227" w:lineRule="auto"/>
              <w:ind w:left="607"/>
              <w:jc w:val="center"/>
              <w:rPr>
                <w:rFonts w:hint="eastAsia" w:eastAsia="宋体"/>
                <w:sz w:val="19"/>
                <w:szCs w:val="19"/>
                <w:lang w:val="en-US" w:eastAsia="zh-CN"/>
              </w:rPr>
            </w:pPr>
          </w:p>
        </w:tc>
        <w:tc>
          <w:tcPr>
            <w:tcW w:w="3865" w:type="dxa"/>
            <w:vAlign w:val="top"/>
          </w:tcPr>
          <w:p w14:paraId="5DBDBE5A">
            <w:pPr>
              <w:spacing w:line="302" w:lineRule="auto"/>
              <w:jc w:val="center"/>
              <w:rPr>
                <w:rFonts w:ascii="Arial"/>
                <w:sz w:val="21"/>
              </w:rPr>
            </w:pPr>
          </w:p>
          <w:p w14:paraId="4BFBE2BE">
            <w:pPr>
              <w:pStyle w:val="6"/>
              <w:spacing w:before="61" w:line="227" w:lineRule="auto"/>
              <w:ind w:left="24"/>
              <w:jc w:val="center"/>
              <w:rPr>
                <w:sz w:val="19"/>
                <w:szCs w:val="19"/>
              </w:rPr>
            </w:pPr>
            <w:r>
              <w:rPr>
                <w:rFonts w:hint="eastAsia" w:ascii="Arial"/>
                <w:sz w:val="21"/>
              </w:rPr>
              <w:t>残杀威与四氟苯菊酯复配总含量</w:t>
            </w:r>
            <w:r>
              <w:rPr>
                <w:spacing w:val="4"/>
                <w:sz w:val="19"/>
                <w:szCs w:val="19"/>
              </w:rPr>
              <w:t>≤</w:t>
            </w:r>
            <w:r>
              <w:rPr>
                <w:rFonts w:hint="eastAsia"/>
                <w:spacing w:val="4"/>
                <w:sz w:val="19"/>
                <w:szCs w:val="19"/>
                <w:lang w:val="en-US" w:eastAsia="zh-CN"/>
              </w:rPr>
              <w:t>6</w:t>
            </w:r>
            <w:r>
              <w:rPr>
                <w:spacing w:val="4"/>
                <w:sz w:val="19"/>
                <w:szCs w:val="19"/>
              </w:rPr>
              <w:t>%</w:t>
            </w:r>
          </w:p>
        </w:tc>
        <w:tc>
          <w:tcPr>
            <w:tcW w:w="1296" w:type="dxa"/>
            <w:vAlign w:val="top"/>
          </w:tcPr>
          <w:p w14:paraId="5549DEE4">
            <w:pPr>
              <w:spacing w:line="287" w:lineRule="auto"/>
              <w:jc w:val="center"/>
              <w:rPr>
                <w:rFonts w:ascii="Arial"/>
                <w:sz w:val="21"/>
              </w:rPr>
            </w:pPr>
          </w:p>
          <w:p w14:paraId="5D06F064">
            <w:pPr>
              <w:pStyle w:val="6"/>
              <w:spacing w:before="65" w:line="228" w:lineRule="auto"/>
              <w:ind w:left="276"/>
              <w:jc w:val="center"/>
              <w:rPr>
                <w:rFonts w:hint="eastAsia" w:eastAsia="宋体"/>
                <w:lang w:val="en-US" w:eastAsia="zh-CN"/>
              </w:rPr>
            </w:pPr>
            <w:r>
              <w:rPr>
                <w:rFonts w:hint="eastAsia"/>
                <w:lang w:val="en-US" w:eastAsia="zh-CN"/>
              </w:rPr>
              <w:t>乳油</w:t>
            </w:r>
          </w:p>
        </w:tc>
        <w:tc>
          <w:tcPr>
            <w:tcW w:w="1758" w:type="dxa"/>
            <w:vAlign w:val="top"/>
          </w:tcPr>
          <w:p w14:paraId="6C241341">
            <w:pPr>
              <w:spacing w:line="287" w:lineRule="auto"/>
              <w:jc w:val="center"/>
              <w:rPr>
                <w:rFonts w:ascii="Arial"/>
                <w:sz w:val="21"/>
              </w:rPr>
            </w:pPr>
          </w:p>
          <w:p w14:paraId="32D9251C">
            <w:pPr>
              <w:pStyle w:val="6"/>
              <w:spacing w:before="65" w:line="228" w:lineRule="auto"/>
              <w:ind w:left="626"/>
              <w:jc w:val="center"/>
              <w:rPr>
                <w:rFonts w:hint="default" w:eastAsia="宋体"/>
                <w:lang w:val="en-US" w:eastAsia="zh-CN"/>
              </w:rPr>
            </w:pPr>
            <w:r>
              <w:rPr>
                <w:rFonts w:hint="eastAsia"/>
                <w:lang w:val="en-US" w:eastAsia="zh-CN"/>
              </w:rPr>
              <w:t>蚊、蚁</w:t>
            </w:r>
          </w:p>
        </w:tc>
      </w:tr>
      <w:tr w14:paraId="777A8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65" w:type="dxa"/>
            <w:vAlign w:val="top"/>
          </w:tcPr>
          <w:p w14:paraId="05CA7062">
            <w:pPr>
              <w:spacing w:line="332" w:lineRule="auto"/>
              <w:rPr>
                <w:rFonts w:ascii="Arial"/>
                <w:sz w:val="21"/>
              </w:rPr>
            </w:pPr>
          </w:p>
          <w:p w14:paraId="6D66B25C">
            <w:pPr>
              <w:spacing w:before="57"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08" w:type="dxa"/>
            <w:vAlign w:val="top"/>
          </w:tcPr>
          <w:p w14:paraId="42983045">
            <w:pPr>
              <w:spacing w:line="301" w:lineRule="auto"/>
              <w:jc w:val="center"/>
              <w:rPr>
                <w:rFonts w:ascii="Arial"/>
                <w:sz w:val="21"/>
              </w:rPr>
            </w:pPr>
          </w:p>
          <w:p w14:paraId="61A2424D">
            <w:pPr>
              <w:spacing w:line="250" w:lineRule="auto"/>
              <w:jc w:val="center"/>
              <w:rPr>
                <w:rFonts w:hint="eastAsia" w:ascii="Arial"/>
                <w:sz w:val="21"/>
              </w:rPr>
            </w:pPr>
            <w:r>
              <w:rPr>
                <w:rFonts w:hint="eastAsia" w:ascii="Arial"/>
                <w:sz w:val="21"/>
              </w:rPr>
              <w:t>高氯·毒死蜱</w:t>
            </w:r>
          </w:p>
          <w:p w14:paraId="5B448DF6">
            <w:pPr>
              <w:pStyle w:val="6"/>
              <w:spacing w:before="61" w:line="228" w:lineRule="auto"/>
              <w:ind w:left="311"/>
              <w:jc w:val="center"/>
              <w:rPr>
                <w:sz w:val="19"/>
                <w:szCs w:val="19"/>
              </w:rPr>
            </w:pPr>
          </w:p>
        </w:tc>
        <w:tc>
          <w:tcPr>
            <w:tcW w:w="3865" w:type="dxa"/>
            <w:vAlign w:val="top"/>
          </w:tcPr>
          <w:p w14:paraId="190DD827">
            <w:pPr>
              <w:spacing w:line="288" w:lineRule="auto"/>
              <w:jc w:val="center"/>
              <w:rPr>
                <w:rFonts w:ascii="Arial"/>
                <w:sz w:val="21"/>
              </w:rPr>
            </w:pPr>
          </w:p>
          <w:p w14:paraId="2F9195EC">
            <w:pPr>
              <w:pStyle w:val="6"/>
              <w:spacing w:before="65" w:line="228" w:lineRule="auto"/>
              <w:ind w:left="24"/>
              <w:jc w:val="center"/>
            </w:pPr>
            <w:r>
              <w:rPr>
                <w:rFonts w:hint="eastAsia" w:ascii="Arial"/>
                <w:sz w:val="21"/>
              </w:rPr>
              <w:t>≤12%高氯·毒死蜱</w:t>
            </w:r>
          </w:p>
        </w:tc>
        <w:tc>
          <w:tcPr>
            <w:tcW w:w="1296" w:type="dxa"/>
            <w:vAlign w:val="top"/>
          </w:tcPr>
          <w:p w14:paraId="615336B2">
            <w:pPr>
              <w:spacing w:line="289" w:lineRule="auto"/>
              <w:jc w:val="center"/>
              <w:rPr>
                <w:rFonts w:ascii="Arial"/>
                <w:sz w:val="21"/>
              </w:rPr>
            </w:pPr>
          </w:p>
          <w:p w14:paraId="140533E6">
            <w:pPr>
              <w:pStyle w:val="6"/>
              <w:spacing w:before="65" w:line="227" w:lineRule="auto"/>
              <w:ind w:left="174"/>
              <w:jc w:val="center"/>
              <w:rPr>
                <w:rFonts w:hint="eastAsia" w:eastAsia="宋体"/>
                <w:lang w:eastAsia="zh-CN"/>
              </w:rPr>
            </w:pPr>
            <w:r>
              <w:rPr>
                <w:rFonts w:hint="eastAsia"/>
                <w:spacing w:val="6"/>
                <w:lang w:val="en-US" w:eastAsia="zh-CN"/>
              </w:rPr>
              <w:t>乳油</w:t>
            </w:r>
          </w:p>
        </w:tc>
        <w:tc>
          <w:tcPr>
            <w:tcW w:w="1758" w:type="dxa"/>
            <w:vAlign w:val="top"/>
          </w:tcPr>
          <w:p w14:paraId="0924F022">
            <w:pPr>
              <w:spacing w:line="288" w:lineRule="auto"/>
              <w:jc w:val="center"/>
              <w:rPr>
                <w:rFonts w:ascii="Arial"/>
                <w:sz w:val="21"/>
              </w:rPr>
            </w:pPr>
          </w:p>
          <w:p w14:paraId="069D1257">
            <w:pPr>
              <w:pStyle w:val="6"/>
              <w:spacing w:before="65" w:line="228" w:lineRule="auto"/>
              <w:ind w:left="376"/>
              <w:jc w:val="center"/>
            </w:pPr>
            <w:r>
              <w:rPr>
                <w:spacing w:val="-20"/>
                <w:w w:val="83"/>
              </w:rPr>
              <w:t>蚊、蝇</w:t>
            </w:r>
          </w:p>
        </w:tc>
      </w:tr>
      <w:tr w14:paraId="7887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65" w:type="dxa"/>
            <w:vAlign w:val="top"/>
          </w:tcPr>
          <w:p w14:paraId="5BB49CE5">
            <w:pPr>
              <w:spacing w:line="332" w:lineRule="auto"/>
              <w:rPr>
                <w:rFonts w:ascii="Arial"/>
                <w:sz w:val="21"/>
              </w:rPr>
            </w:pPr>
          </w:p>
          <w:p w14:paraId="5275AF47">
            <w:pPr>
              <w:spacing w:before="57"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808" w:type="dxa"/>
            <w:vAlign w:val="top"/>
          </w:tcPr>
          <w:p w14:paraId="666C5C65">
            <w:pPr>
              <w:spacing w:line="288" w:lineRule="auto"/>
              <w:jc w:val="center"/>
              <w:rPr>
                <w:rFonts w:ascii="Arial"/>
                <w:sz w:val="21"/>
              </w:rPr>
            </w:pPr>
          </w:p>
          <w:p w14:paraId="2B60B28E">
            <w:pPr>
              <w:pStyle w:val="6"/>
              <w:spacing w:before="65" w:line="228" w:lineRule="auto"/>
              <w:jc w:val="center"/>
            </w:pPr>
            <w:r>
              <w:rPr>
                <w:rFonts w:hint="eastAsia" w:ascii="Arial"/>
                <w:sz w:val="21"/>
              </w:rPr>
              <w:t>残杀威·氯氟醚菊酯</w:t>
            </w:r>
          </w:p>
        </w:tc>
        <w:tc>
          <w:tcPr>
            <w:tcW w:w="3865" w:type="dxa"/>
            <w:vAlign w:val="top"/>
          </w:tcPr>
          <w:p w14:paraId="241E89AD">
            <w:pPr>
              <w:spacing w:line="288" w:lineRule="auto"/>
              <w:jc w:val="center"/>
              <w:rPr>
                <w:rFonts w:ascii="Arial"/>
                <w:sz w:val="21"/>
              </w:rPr>
            </w:pPr>
          </w:p>
          <w:p w14:paraId="63ED403F">
            <w:pPr>
              <w:pStyle w:val="6"/>
              <w:spacing w:before="65" w:line="229" w:lineRule="auto"/>
              <w:ind w:left="24"/>
              <w:jc w:val="center"/>
            </w:pPr>
            <w:r>
              <w:rPr>
                <w:rFonts w:hint="eastAsia" w:ascii="Arial"/>
                <w:sz w:val="21"/>
              </w:rPr>
              <w:t>≤8%残杀威·氯氟醚菊酯</w:t>
            </w:r>
          </w:p>
        </w:tc>
        <w:tc>
          <w:tcPr>
            <w:tcW w:w="1296" w:type="dxa"/>
            <w:vAlign w:val="top"/>
          </w:tcPr>
          <w:p w14:paraId="0F9622CF">
            <w:pPr>
              <w:spacing w:line="288" w:lineRule="auto"/>
              <w:jc w:val="center"/>
              <w:rPr>
                <w:rFonts w:ascii="Arial"/>
                <w:sz w:val="21"/>
              </w:rPr>
            </w:pPr>
          </w:p>
          <w:p w14:paraId="52943AF1">
            <w:pPr>
              <w:pStyle w:val="6"/>
              <w:spacing w:before="65" w:line="228" w:lineRule="auto"/>
              <w:ind w:left="279"/>
              <w:jc w:val="center"/>
              <w:rPr>
                <w:rFonts w:hint="eastAsia" w:eastAsia="宋体"/>
                <w:lang w:val="en-US" w:eastAsia="zh-CN"/>
              </w:rPr>
            </w:pPr>
            <w:r>
              <w:rPr>
                <w:rFonts w:hint="eastAsia"/>
                <w:lang w:val="en-US" w:eastAsia="zh-CN"/>
              </w:rPr>
              <w:t>乳油</w:t>
            </w:r>
          </w:p>
        </w:tc>
        <w:tc>
          <w:tcPr>
            <w:tcW w:w="1758" w:type="dxa"/>
            <w:vAlign w:val="top"/>
          </w:tcPr>
          <w:p w14:paraId="314FCDE7">
            <w:pPr>
              <w:spacing w:line="289" w:lineRule="auto"/>
              <w:jc w:val="center"/>
              <w:rPr>
                <w:rFonts w:ascii="Arial"/>
                <w:sz w:val="21"/>
              </w:rPr>
            </w:pPr>
          </w:p>
          <w:p w14:paraId="1C4827BA">
            <w:pPr>
              <w:pStyle w:val="6"/>
              <w:spacing w:before="65" w:line="231" w:lineRule="auto"/>
              <w:ind w:left="567"/>
              <w:jc w:val="center"/>
              <w:rPr>
                <w:rFonts w:hint="default" w:eastAsia="宋体"/>
                <w:lang w:val="en-US" w:eastAsia="zh-CN"/>
              </w:rPr>
            </w:pPr>
            <w:r>
              <w:rPr>
                <w:rFonts w:hint="eastAsia"/>
                <w:lang w:val="en-US" w:eastAsia="zh-CN"/>
              </w:rPr>
              <w:t>蚊、蟑螂</w:t>
            </w:r>
          </w:p>
        </w:tc>
      </w:tr>
      <w:tr w14:paraId="30C5D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665" w:type="dxa"/>
            <w:vAlign w:val="top"/>
          </w:tcPr>
          <w:p w14:paraId="5418512A">
            <w:pPr>
              <w:spacing w:line="309" w:lineRule="auto"/>
              <w:rPr>
                <w:rFonts w:ascii="Arial"/>
                <w:sz w:val="21"/>
              </w:rPr>
            </w:pPr>
          </w:p>
          <w:p w14:paraId="51784550">
            <w:pPr>
              <w:spacing w:line="310" w:lineRule="auto"/>
              <w:rPr>
                <w:rFonts w:ascii="Arial"/>
                <w:sz w:val="21"/>
              </w:rPr>
            </w:pPr>
          </w:p>
          <w:p w14:paraId="73EB60DF">
            <w:pPr>
              <w:spacing w:before="58" w:line="192" w:lineRule="auto"/>
              <w:ind w:left="28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808" w:type="dxa"/>
            <w:vAlign w:val="top"/>
          </w:tcPr>
          <w:p w14:paraId="63D9827F">
            <w:pPr>
              <w:spacing w:line="372" w:lineRule="auto"/>
              <w:jc w:val="center"/>
              <w:rPr>
                <w:rFonts w:ascii="Arial"/>
                <w:sz w:val="21"/>
              </w:rPr>
            </w:pPr>
          </w:p>
          <w:p w14:paraId="20C18042">
            <w:pPr>
              <w:pStyle w:val="6"/>
              <w:spacing w:before="65" w:line="228" w:lineRule="auto"/>
              <w:jc w:val="center"/>
            </w:pPr>
            <w:r>
              <w:rPr>
                <w:rFonts w:hint="eastAsia" w:ascii="Arial"/>
                <w:sz w:val="21"/>
              </w:rPr>
              <w:t>杀虫颗粒剂</w:t>
            </w:r>
          </w:p>
        </w:tc>
        <w:tc>
          <w:tcPr>
            <w:tcW w:w="3865" w:type="dxa"/>
            <w:vAlign w:val="top"/>
          </w:tcPr>
          <w:p w14:paraId="19ECFD08">
            <w:pPr>
              <w:spacing w:line="387" w:lineRule="auto"/>
              <w:jc w:val="center"/>
              <w:rPr>
                <w:rFonts w:ascii="Arial"/>
                <w:sz w:val="21"/>
              </w:rPr>
            </w:pPr>
          </w:p>
          <w:p w14:paraId="66D4E4D2">
            <w:pPr>
              <w:pStyle w:val="6"/>
              <w:spacing w:before="62" w:line="228" w:lineRule="auto"/>
              <w:ind w:left="24"/>
              <w:jc w:val="center"/>
              <w:rPr>
                <w:sz w:val="19"/>
                <w:szCs w:val="19"/>
              </w:rPr>
            </w:pPr>
            <w:r>
              <w:rPr>
                <w:rFonts w:hint="eastAsia" w:ascii="Arial"/>
                <w:sz w:val="21"/>
              </w:rPr>
              <w:t>≤5%倍硫磷</w:t>
            </w:r>
          </w:p>
        </w:tc>
        <w:tc>
          <w:tcPr>
            <w:tcW w:w="1296" w:type="dxa"/>
            <w:vAlign w:val="top"/>
          </w:tcPr>
          <w:p w14:paraId="0BA13909">
            <w:pPr>
              <w:spacing w:line="373" w:lineRule="auto"/>
              <w:jc w:val="center"/>
              <w:rPr>
                <w:rFonts w:ascii="Arial"/>
                <w:sz w:val="21"/>
              </w:rPr>
            </w:pPr>
          </w:p>
          <w:p w14:paraId="3FC2DB1D">
            <w:pPr>
              <w:pStyle w:val="6"/>
              <w:spacing w:before="65" w:line="227" w:lineRule="auto"/>
              <w:ind w:left="174"/>
              <w:jc w:val="center"/>
              <w:rPr>
                <w:rFonts w:hint="eastAsia" w:eastAsia="宋体"/>
                <w:lang w:val="en-US" w:eastAsia="zh-CN"/>
              </w:rPr>
            </w:pPr>
            <w:r>
              <w:rPr>
                <w:rFonts w:hint="eastAsia"/>
                <w:lang w:val="en-US" w:eastAsia="zh-CN"/>
              </w:rPr>
              <w:t>颗粒剂</w:t>
            </w:r>
          </w:p>
        </w:tc>
        <w:tc>
          <w:tcPr>
            <w:tcW w:w="1758" w:type="dxa"/>
            <w:vAlign w:val="top"/>
          </w:tcPr>
          <w:p w14:paraId="0FB05835">
            <w:pPr>
              <w:spacing w:line="372" w:lineRule="auto"/>
              <w:jc w:val="center"/>
              <w:rPr>
                <w:rFonts w:ascii="Arial"/>
                <w:sz w:val="21"/>
              </w:rPr>
            </w:pPr>
          </w:p>
          <w:p w14:paraId="2D1A3B94">
            <w:pPr>
              <w:pStyle w:val="6"/>
              <w:spacing w:before="65" w:line="228" w:lineRule="auto"/>
              <w:ind w:left="376"/>
              <w:jc w:val="center"/>
              <w:rPr>
                <w:rFonts w:hint="default" w:eastAsia="宋体"/>
                <w:lang w:val="en-US" w:eastAsia="zh-CN"/>
              </w:rPr>
            </w:pPr>
            <w:r>
              <w:rPr>
                <w:spacing w:val="-20"/>
                <w:w w:val="83"/>
              </w:rPr>
              <w:t>蚊</w:t>
            </w:r>
            <w:r>
              <w:rPr>
                <w:rFonts w:hint="eastAsia"/>
                <w:spacing w:val="-20"/>
                <w:w w:val="83"/>
                <w:lang w:eastAsia="zh-CN"/>
              </w:rPr>
              <w:t>（</w:t>
            </w:r>
            <w:r>
              <w:rPr>
                <w:rFonts w:hint="eastAsia"/>
                <w:spacing w:val="-20"/>
                <w:w w:val="83"/>
                <w:lang w:val="en-US" w:eastAsia="zh-CN"/>
              </w:rPr>
              <w:t>幼虫</w:t>
            </w:r>
            <w:r>
              <w:rPr>
                <w:rFonts w:hint="eastAsia"/>
                <w:spacing w:val="-20"/>
                <w:w w:val="83"/>
                <w:lang w:eastAsia="zh-CN"/>
              </w:rPr>
              <w:t>）、</w:t>
            </w:r>
            <w:r>
              <w:rPr>
                <w:rFonts w:hint="eastAsia"/>
                <w:spacing w:val="-20"/>
                <w:w w:val="83"/>
                <w:lang w:val="en-US" w:eastAsia="zh-CN"/>
              </w:rPr>
              <w:t>蝇（幼虫）</w:t>
            </w:r>
          </w:p>
        </w:tc>
      </w:tr>
      <w:tr w14:paraId="5B232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65" w:type="dxa"/>
            <w:vAlign w:val="top"/>
          </w:tcPr>
          <w:p w14:paraId="73AD3B62">
            <w:pPr>
              <w:spacing w:line="332" w:lineRule="auto"/>
              <w:rPr>
                <w:rFonts w:ascii="Arial"/>
                <w:sz w:val="21"/>
              </w:rPr>
            </w:pPr>
          </w:p>
          <w:p w14:paraId="0A131CC1">
            <w:pPr>
              <w:spacing w:before="58" w:line="195"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808" w:type="dxa"/>
            <w:vAlign w:val="top"/>
          </w:tcPr>
          <w:p w14:paraId="4158882B">
            <w:pPr>
              <w:pStyle w:val="6"/>
              <w:spacing w:before="156" w:line="308" w:lineRule="auto"/>
              <w:ind w:left="486" w:right="486" w:firstLine="73"/>
              <w:jc w:val="center"/>
            </w:pPr>
            <w:r>
              <w:rPr>
                <w:rFonts w:hint="eastAsia" w:ascii="Arial"/>
                <w:sz w:val="21"/>
              </w:rPr>
              <w:t>杀虫饵粒</w:t>
            </w:r>
          </w:p>
        </w:tc>
        <w:tc>
          <w:tcPr>
            <w:tcW w:w="3865" w:type="dxa"/>
            <w:vAlign w:val="top"/>
          </w:tcPr>
          <w:p w14:paraId="18127893">
            <w:pPr>
              <w:spacing w:line="250" w:lineRule="auto"/>
              <w:jc w:val="center"/>
              <w:rPr>
                <w:rFonts w:hint="eastAsia" w:ascii="Arial"/>
                <w:sz w:val="21"/>
              </w:rPr>
            </w:pPr>
          </w:p>
          <w:p w14:paraId="626BEF70">
            <w:pPr>
              <w:spacing w:line="250" w:lineRule="auto"/>
              <w:jc w:val="center"/>
              <w:rPr>
                <w:rFonts w:hint="eastAsia" w:ascii="Arial"/>
                <w:sz w:val="21"/>
              </w:rPr>
            </w:pPr>
            <w:r>
              <w:rPr>
                <w:rFonts w:hint="eastAsia" w:ascii="Arial"/>
                <w:sz w:val="21"/>
              </w:rPr>
              <w:t>≤0.05%氟虫腈</w:t>
            </w:r>
          </w:p>
          <w:p w14:paraId="5E73F956">
            <w:pPr>
              <w:pStyle w:val="6"/>
              <w:spacing w:before="156" w:line="308" w:lineRule="auto"/>
              <w:ind w:left="11" w:right="1045" w:firstLine="12"/>
              <w:jc w:val="center"/>
            </w:pPr>
          </w:p>
        </w:tc>
        <w:tc>
          <w:tcPr>
            <w:tcW w:w="1296" w:type="dxa"/>
            <w:vAlign w:val="top"/>
          </w:tcPr>
          <w:p w14:paraId="3E136D75">
            <w:pPr>
              <w:spacing w:line="289" w:lineRule="auto"/>
              <w:jc w:val="center"/>
              <w:rPr>
                <w:rFonts w:ascii="Arial"/>
                <w:sz w:val="21"/>
              </w:rPr>
            </w:pPr>
          </w:p>
          <w:p w14:paraId="5646B939">
            <w:pPr>
              <w:pStyle w:val="6"/>
              <w:spacing w:before="65" w:line="227" w:lineRule="auto"/>
              <w:ind w:left="170"/>
              <w:jc w:val="center"/>
              <w:rPr>
                <w:rFonts w:hint="default" w:eastAsia="宋体"/>
                <w:lang w:val="en-US" w:eastAsia="zh-CN"/>
              </w:rPr>
            </w:pPr>
            <w:r>
              <w:rPr>
                <w:rFonts w:hint="eastAsia"/>
                <w:spacing w:val="7"/>
                <w:lang w:val="en-US" w:eastAsia="zh-CN"/>
              </w:rPr>
              <w:t>饵剂</w:t>
            </w:r>
          </w:p>
        </w:tc>
        <w:tc>
          <w:tcPr>
            <w:tcW w:w="1758" w:type="dxa"/>
            <w:vAlign w:val="top"/>
          </w:tcPr>
          <w:p w14:paraId="498C0667">
            <w:pPr>
              <w:spacing w:line="289" w:lineRule="auto"/>
              <w:jc w:val="center"/>
              <w:rPr>
                <w:rFonts w:ascii="Arial"/>
                <w:sz w:val="21"/>
              </w:rPr>
            </w:pPr>
          </w:p>
          <w:p w14:paraId="78A88496">
            <w:pPr>
              <w:pStyle w:val="6"/>
              <w:spacing w:before="65" w:line="228" w:lineRule="auto"/>
              <w:ind w:left="563"/>
              <w:jc w:val="center"/>
              <w:rPr>
                <w:rFonts w:hint="default" w:eastAsia="宋体"/>
                <w:lang w:val="en-US" w:eastAsia="zh-CN"/>
              </w:rPr>
            </w:pPr>
            <w:r>
              <w:rPr>
                <w:rFonts w:hint="eastAsia"/>
                <w:lang w:val="en-US" w:eastAsia="zh-CN"/>
              </w:rPr>
              <w:t>蟑螂、蚂蚁</w:t>
            </w:r>
          </w:p>
        </w:tc>
      </w:tr>
      <w:tr w14:paraId="71CB1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65" w:type="dxa"/>
            <w:vAlign w:val="top"/>
          </w:tcPr>
          <w:p w14:paraId="52C625B4">
            <w:pPr>
              <w:spacing w:line="341" w:lineRule="auto"/>
              <w:rPr>
                <w:rFonts w:ascii="Arial"/>
                <w:sz w:val="21"/>
              </w:rPr>
            </w:pPr>
          </w:p>
          <w:p w14:paraId="2BEF3FF8">
            <w:pPr>
              <w:spacing w:before="57" w:line="195" w:lineRule="auto"/>
              <w:ind w:left="285"/>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1808" w:type="dxa"/>
            <w:vAlign w:val="top"/>
          </w:tcPr>
          <w:p w14:paraId="31AC567A">
            <w:pPr>
              <w:spacing w:line="297" w:lineRule="auto"/>
              <w:jc w:val="center"/>
              <w:rPr>
                <w:rFonts w:ascii="Arial"/>
                <w:sz w:val="21"/>
              </w:rPr>
            </w:pPr>
          </w:p>
          <w:p w14:paraId="54BC344D">
            <w:pPr>
              <w:pStyle w:val="6"/>
              <w:spacing w:before="65" w:line="228" w:lineRule="auto"/>
              <w:ind w:left="593"/>
              <w:jc w:val="both"/>
            </w:pPr>
            <w:r>
              <w:rPr>
                <w:rFonts w:hint="eastAsia" w:ascii="Arial"/>
                <w:sz w:val="21"/>
              </w:rPr>
              <w:t>灭鼠毒饵</w:t>
            </w:r>
          </w:p>
        </w:tc>
        <w:tc>
          <w:tcPr>
            <w:tcW w:w="3865" w:type="dxa"/>
            <w:vAlign w:val="top"/>
          </w:tcPr>
          <w:p w14:paraId="739C172B">
            <w:pPr>
              <w:spacing w:line="252" w:lineRule="auto"/>
              <w:jc w:val="center"/>
              <w:rPr>
                <w:rFonts w:ascii="Arial"/>
                <w:sz w:val="21"/>
              </w:rPr>
            </w:pPr>
          </w:p>
          <w:p w14:paraId="6E2FC087">
            <w:pPr>
              <w:pStyle w:val="6"/>
              <w:spacing w:before="65" w:line="228" w:lineRule="auto"/>
              <w:ind w:left="24"/>
              <w:jc w:val="center"/>
            </w:pPr>
            <w:r>
              <w:rPr>
                <w:spacing w:val="4"/>
                <w:sz w:val="19"/>
                <w:szCs w:val="19"/>
              </w:rPr>
              <w:t>≤</w:t>
            </w:r>
            <w:r>
              <w:rPr>
                <w:rFonts w:ascii="Times New Roman" w:hAnsi="Times New Roman" w:eastAsia="Times New Roman" w:cs="Times New Roman"/>
                <w:spacing w:val="4"/>
              </w:rPr>
              <w:t>0.005%</w:t>
            </w:r>
          </w:p>
        </w:tc>
        <w:tc>
          <w:tcPr>
            <w:tcW w:w="1296" w:type="dxa"/>
            <w:vAlign w:val="top"/>
          </w:tcPr>
          <w:p w14:paraId="7F888862">
            <w:pPr>
              <w:spacing w:line="297" w:lineRule="auto"/>
              <w:jc w:val="center"/>
              <w:rPr>
                <w:rFonts w:ascii="Arial"/>
                <w:sz w:val="21"/>
              </w:rPr>
            </w:pPr>
          </w:p>
          <w:p w14:paraId="37DEB5B5">
            <w:pPr>
              <w:pStyle w:val="6"/>
              <w:spacing w:before="65" w:line="228" w:lineRule="auto"/>
              <w:ind w:left="279"/>
              <w:jc w:val="center"/>
            </w:pPr>
            <w:r>
              <w:rPr>
                <w:spacing w:val="3"/>
              </w:rPr>
              <w:t>毒饵</w:t>
            </w:r>
          </w:p>
        </w:tc>
        <w:tc>
          <w:tcPr>
            <w:tcW w:w="1758" w:type="dxa"/>
            <w:vAlign w:val="top"/>
          </w:tcPr>
          <w:p w14:paraId="76687522">
            <w:pPr>
              <w:spacing w:line="298" w:lineRule="auto"/>
              <w:jc w:val="center"/>
              <w:rPr>
                <w:rFonts w:ascii="Arial"/>
                <w:sz w:val="21"/>
              </w:rPr>
            </w:pPr>
          </w:p>
          <w:p w14:paraId="3BE35643">
            <w:pPr>
              <w:pStyle w:val="6"/>
              <w:spacing w:before="65" w:line="231" w:lineRule="auto"/>
              <w:ind w:left="567"/>
              <w:jc w:val="center"/>
            </w:pPr>
            <w:r>
              <w:rPr>
                <w:spacing w:val="3"/>
              </w:rPr>
              <w:t>老鼠</w:t>
            </w:r>
          </w:p>
        </w:tc>
      </w:tr>
    </w:tbl>
    <w:p w14:paraId="52265443">
      <w:pPr>
        <w:spacing w:before="36"/>
      </w:pPr>
    </w:p>
    <w:p w14:paraId="2F3C21B8">
      <w:pPr>
        <w:spacing w:line="473" w:lineRule="auto"/>
        <w:rPr>
          <w:rFonts w:ascii="Arial"/>
          <w:sz w:val="21"/>
        </w:rPr>
      </w:pPr>
    </w:p>
    <w:p w14:paraId="1106A6A5">
      <w:pPr>
        <w:spacing w:line="473" w:lineRule="auto"/>
        <w:rPr>
          <w:rFonts w:ascii="Arial"/>
          <w:sz w:val="21"/>
        </w:rPr>
      </w:pPr>
    </w:p>
    <w:p w14:paraId="0C88FE0D">
      <w:pPr>
        <w:pStyle w:val="2"/>
        <w:spacing w:before="65" w:line="228" w:lineRule="auto"/>
        <w:ind w:left="564"/>
      </w:pPr>
      <w:r>
        <w:rPr>
          <w:b/>
          <w:bCs/>
          <w:spacing w:val="-1"/>
        </w:rPr>
        <w:t>（三）、项目服务期限：2026</w:t>
      </w:r>
      <w:r>
        <w:rPr>
          <w:spacing w:val="-36"/>
        </w:rPr>
        <w:t xml:space="preserve"> </w:t>
      </w:r>
      <w:r>
        <w:rPr>
          <w:b/>
          <w:bCs/>
          <w:spacing w:val="-1"/>
        </w:rPr>
        <w:t>年</w:t>
      </w:r>
      <w:r>
        <w:rPr>
          <w:spacing w:val="-38"/>
        </w:rPr>
        <w:t xml:space="preserve"> </w:t>
      </w:r>
      <w:r>
        <w:rPr>
          <w:b/>
          <w:bCs/>
          <w:spacing w:val="-1"/>
        </w:rPr>
        <w:t>4</w:t>
      </w:r>
      <w:r>
        <w:rPr>
          <w:spacing w:val="-32"/>
        </w:rPr>
        <w:t xml:space="preserve"> </w:t>
      </w:r>
      <w:r>
        <w:rPr>
          <w:b/>
          <w:bCs/>
          <w:spacing w:val="-1"/>
        </w:rPr>
        <w:t>月</w:t>
      </w:r>
      <w:r>
        <w:rPr>
          <w:spacing w:val="-22"/>
        </w:rPr>
        <w:t xml:space="preserve"> </w:t>
      </w:r>
      <w:r>
        <w:rPr>
          <w:rFonts w:hint="eastAsia"/>
          <w:b/>
          <w:bCs/>
          <w:spacing w:val="-1"/>
          <w:lang w:val="en-US" w:eastAsia="zh-CN"/>
        </w:rPr>
        <w:t>8</w:t>
      </w:r>
      <w:r>
        <w:rPr>
          <w:b/>
          <w:bCs/>
          <w:spacing w:val="-1"/>
        </w:rPr>
        <w:t>日-2027</w:t>
      </w:r>
      <w:r>
        <w:rPr>
          <w:spacing w:val="-37"/>
        </w:rPr>
        <w:t xml:space="preserve"> </w:t>
      </w:r>
      <w:r>
        <w:rPr>
          <w:b/>
          <w:bCs/>
          <w:spacing w:val="-1"/>
        </w:rPr>
        <w:t>年</w:t>
      </w:r>
      <w:r>
        <w:rPr>
          <w:spacing w:val="-33"/>
        </w:rPr>
        <w:t xml:space="preserve"> </w:t>
      </w:r>
      <w:r>
        <w:rPr>
          <w:rFonts w:hint="eastAsia"/>
          <w:spacing w:val="-33"/>
          <w:lang w:val="en-US" w:eastAsia="zh-CN"/>
        </w:rPr>
        <w:t>4</w:t>
      </w:r>
      <w:r>
        <w:rPr>
          <w:spacing w:val="-35"/>
        </w:rPr>
        <w:t xml:space="preserve"> </w:t>
      </w:r>
      <w:r>
        <w:rPr>
          <w:b/>
          <w:bCs/>
          <w:spacing w:val="-1"/>
        </w:rPr>
        <w:t>月</w:t>
      </w:r>
      <w:r>
        <w:rPr>
          <w:spacing w:val="-33"/>
        </w:rPr>
        <w:t xml:space="preserve"> </w:t>
      </w:r>
      <w:r>
        <w:rPr>
          <w:rFonts w:hint="eastAsia"/>
          <w:spacing w:val="-33"/>
          <w:lang w:val="en-US" w:eastAsia="zh-CN"/>
        </w:rPr>
        <w:t>7</w:t>
      </w:r>
      <w:r>
        <w:rPr>
          <w:spacing w:val="-1"/>
        </w:rPr>
        <w:t xml:space="preserve"> </w:t>
      </w:r>
      <w:r>
        <w:rPr>
          <w:b/>
          <w:bCs/>
          <w:spacing w:val="-1"/>
        </w:rPr>
        <w:t>日。</w:t>
      </w:r>
    </w:p>
    <w:p w14:paraId="0FD6EBD6">
      <w:pPr>
        <w:pStyle w:val="2"/>
        <w:spacing w:before="153" w:line="228" w:lineRule="auto"/>
        <w:ind w:left="1397"/>
      </w:pPr>
      <w:r>
        <w:rPr>
          <w:b/>
          <w:bCs/>
          <w:spacing w:val="7"/>
        </w:rPr>
        <w:t>项目服务时间：每月至少全面消杀</w:t>
      </w:r>
      <w:r>
        <w:rPr>
          <w:rFonts w:hint="eastAsia"/>
          <w:b/>
          <w:bCs/>
          <w:spacing w:val="7"/>
          <w:lang w:val="en-US" w:eastAsia="zh-CN"/>
        </w:rPr>
        <w:t>两次</w:t>
      </w:r>
      <w:r>
        <w:rPr>
          <w:b/>
          <w:bCs/>
          <w:spacing w:val="7"/>
        </w:rPr>
        <w:t>次以上。</w:t>
      </w:r>
    </w:p>
    <w:p w14:paraId="5F4EF5DB">
      <w:pPr>
        <w:pStyle w:val="2"/>
        <w:spacing w:before="151" w:line="228" w:lineRule="auto"/>
        <w:ind w:left="564"/>
      </w:pPr>
      <w:r>
        <w:rPr>
          <w:b/>
          <w:bCs/>
          <w:spacing w:val="5"/>
        </w:rPr>
        <w:t>（四）、承包方式：</w:t>
      </w:r>
    </w:p>
    <w:p w14:paraId="0CD31315">
      <w:pPr>
        <w:pStyle w:val="2"/>
        <w:spacing w:before="154" w:line="359" w:lineRule="auto"/>
        <w:ind w:left="554" w:right="270" w:firstLine="419"/>
        <w:jc w:val="both"/>
      </w:pPr>
      <w:r>
        <w:rPr>
          <w:spacing w:val="11"/>
        </w:rPr>
        <w:t>采用全包干形式</w:t>
      </w:r>
      <w:bookmarkStart w:id="0" w:name="_GoBack"/>
      <w:bookmarkEnd w:id="0"/>
      <w:r>
        <w:rPr>
          <w:spacing w:val="11"/>
        </w:rPr>
        <w:t>。采购单位将医院的病媒生物</w:t>
      </w:r>
      <w:r>
        <w:rPr>
          <w:spacing w:val="10"/>
        </w:rPr>
        <w:t>防制相应经费交给成交</w:t>
      </w:r>
      <w:r>
        <w:t xml:space="preserve"> </w:t>
      </w:r>
      <w:r>
        <w:rPr>
          <w:spacing w:val="11"/>
        </w:rPr>
        <w:t>供应商，成交供应商按采购单位的管理要求和标准组织开展病媒生物</w:t>
      </w:r>
      <w:r>
        <w:rPr>
          <w:spacing w:val="10"/>
        </w:rPr>
        <w:t>防制工作，并接受采购单位的</w:t>
      </w:r>
      <w:r>
        <w:t xml:space="preserve"> </w:t>
      </w:r>
      <w:r>
        <w:rPr>
          <w:spacing w:val="8"/>
        </w:rPr>
        <w:t>指导、监督、抽查、考核。</w:t>
      </w:r>
    </w:p>
    <w:p w14:paraId="0F3873BE">
      <w:pPr>
        <w:pStyle w:val="2"/>
        <w:spacing w:before="32" w:line="362" w:lineRule="auto"/>
        <w:ind w:left="555" w:right="270" w:firstLine="9"/>
        <w:jc w:val="both"/>
      </w:pPr>
      <w:r>
        <w:rPr>
          <w:b/>
          <w:bCs/>
          <w:spacing w:val="10"/>
        </w:rPr>
        <w:t>（五）用药要求：</w:t>
      </w:r>
      <w:r>
        <w:rPr>
          <w:spacing w:val="10"/>
        </w:rPr>
        <w:t>成交单位必须注重科学合理用药，不得使用国家禁用的药物，并须确保药物来源</w:t>
      </w:r>
      <w:r>
        <w:rPr>
          <w:spacing w:val="3"/>
        </w:rPr>
        <w:t xml:space="preserve"> </w:t>
      </w:r>
      <w:r>
        <w:rPr>
          <w:spacing w:val="11"/>
        </w:rPr>
        <w:t>和质量正当可靠。使用的药物和器械必须符合国家规定的相关要求</w:t>
      </w:r>
      <w:r>
        <w:rPr>
          <w:spacing w:val="10"/>
        </w:rPr>
        <w:t>，达到“科学、安全、高效、环</w:t>
      </w:r>
      <w:r>
        <w:t xml:space="preserve"> </w:t>
      </w:r>
      <w:r>
        <w:rPr>
          <w:spacing w:val="10"/>
        </w:rPr>
        <w:t>保</w:t>
      </w:r>
      <w:r>
        <w:rPr>
          <w:spacing w:val="-71"/>
        </w:rPr>
        <w:t xml:space="preserve"> </w:t>
      </w:r>
      <w:r>
        <w:rPr>
          <w:spacing w:val="10"/>
        </w:rPr>
        <w:t>”。为保证用药质量，使用药物可以按要求选用，使用的药品应有药品三证。（农业部颁发的农</w:t>
      </w:r>
      <w:r>
        <w:t xml:space="preserve"> </w:t>
      </w:r>
      <w:r>
        <w:rPr>
          <w:spacing w:val="10"/>
        </w:rPr>
        <w:t>药登记证。农药生产批准证书或农药生产许可</w:t>
      </w:r>
      <w:r>
        <w:rPr>
          <w:spacing w:val="9"/>
        </w:rPr>
        <w:t>证。企业标准信息公共服务平台备案的企业标准）</w:t>
      </w:r>
    </w:p>
    <w:p w14:paraId="6BB4CEC1">
      <w:pPr>
        <w:spacing w:line="362" w:lineRule="auto"/>
        <w:sectPr>
          <w:headerReference r:id="rId7" w:type="default"/>
          <w:pgSz w:w="11907" w:h="16840"/>
          <w:pgMar w:top="400" w:right="865" w:bottom="0" w:left="1155" w:header="0" w:footer="0" w:gutter="0"/>
          <w:cols w:space="720" w:num="1"/>
        </w:sectPr>
      </w:pPr>
    </w:p>
    <w:p w14:paraId="49F083AF">
      <w:pPr>
        <w:spacing w:line="380" w:lineRule="auto"/>
        <w:rPr>
          <w:rFonts w:ascii="Arial"/>
          <w:sz w:val="21"/>
        </w:rPr>
      </w:pPr>
    </w:p>
    <w:p w14:paraId="064CD9E3">
      <w:pPr>
        <w:pStyle w:val="2"/>
        <w:spacing w:before="65" w:line="228" w:lineRule="auto"/>
        <w:ind w:left="17"/>
      </w:pPr>
      <w:r>
        <w:rPr>
          <w:b/>
          <w:bCs/>
          <w:spacing w:val="5"/>
        </w:rPr>
        <w:t>（六）灭鼠毒饵站要求：</w:t>
      </w:r>
    </w:p>
    <w:p w14:paraId="74317D8E">
      <w:pPr>
        <w:pStyle w:val="2"/>
        <w:spacing w:before="150" w:line="323" w:lineRule="auto"/>
        <w:ind w:left="10" w:right="1" w:firstLine="427"/>
      </w:pPr>
      <w:r>
        <w:rPr>
          <w:spacing w:val="9"/>
        </w:rPr>
        <w:t>（1）灭鼠毒饵站：陶瓷毒饵站表面上釉，长</w:t>
      </w:r>
      <w:r>
        <w:rPr>
          <w:spacing w:val="-22"/>
        </w:rPr>
        <w:t xml:space="preserve"> </w:t>
      </w:r>
      <w:r>
        <w:rPr>
          <w:spacing w:val="9"/>
        </w:rPr>
        <w:t>30</w:t>
      </w:r>
      <w:r>
        <w:t>cm</w:t>
      </w:r>
      <w:r>
        <w:rPr>
          <w:spacing w:val="9"/>
        </w:rPr>
        <w:t>，高</w:t>
      </w:r>
      <w:r>
        <w:rPr>
          <w:spacing w:val="-21"/>
        </w:rPr>
        <w:t xml:space="preserve"> </w:t>
      </w:r>
      <w:r>
        <w:rPr>
          <w:spacing w:val="9"/>
        </w:rPr>
        <w:t>10</w:t>
      </w:r>
      <w:r>
        <w:t>cm</w:t>
      </w:r>
      <w:r>
        <w:rPr>
          <w:spacing w:val="9"/>
        </w:rPr>
        <w:t>，宽</w:t>
      </w:r>
      <w:r>
        <w:rPr>
          <w:spacing w:val="-21"/>
        </w:rPr>
        <w:t xml:space="preserve"> </w:t>
      </w:r>
      <w:r>
        <w:rPr>
          <w:spacing w:val="9"/>
        </w:rPr>
        <w:t>10</w:t>
      </w:r>
      <w:r>
        <w:t>cm</w:t>
      </w:r>
      <w:r>
        <w:rPr>
          <w:spacing w:val="34"/>
        </w:rPr>
        <w:t xml:space="preserve"> </w:t>
      </w:r>
      <w:r>
        <w:rPr>
          <w:spacing w:val="9"/>
        </w:rPr>
        <w:t>，毒饵站外表面应有彩</w:t>
      </w:r>
      <w:r>
        <w:t xml:space="preserve"> </w:t>
      </w:r>
      <w:r>
        <w:rPr>
          <w:spacing w:val="10"/>
        </w:rPr>
        <w:t>色的警示标示。毒饵站应按合同约定足量投放，且合同约定量为暂估</w:t>
      </w:r>
      <w:r>
        <w:rPr>
          <w:spacing w:val="9"/>
        </w:rPr>
        <w:t>数量，</w:t>
      </w:r>
      <w:r>
        <w:rPr>
          <w:spacing w:val="-60"/>
        </w:rPr>
        <w:t xml:space="preserve"> </w:t>
      </w:r>
      <w:r>
        <w:rPr>
          <w:spacing w:val="9"/>
        </w:rPr>
        <w:t>以投放区域实际需求量</w:t>
      </w:r>
      <w:r>
        <w:t xml:space="preserve"> </w:t>
      </w:r>
      <w:r>
        <w:rPr>
          <w:spacing w:val="9"/>
        </w:rPr>
        <w:t>为准，并及时对遗失、损坏的毒饵站进行补充，保证毒饵站的总量。</w:t>
      </w:r>
    </w:p>
    <w:p w14:paraId="03A85E48">
      <w:pPr>
        <w:pStyle w:val="2"/>
        <w:spacing w:before="151" w:line="227" w:lineRule="auto"/>
        <w:ind w:left="437"/>
      </w:pPr>
      <w:r>
        <w:rPr>
          <w:spacing w:val="9"/>
        </w:rPr>
        <w:t>（2)中标人提供的灭鼠服务，毒饵投放覆盖率、到</w:t>
      </w:r>
      <w:r>
        <w:rPr>
          <w:spacing w:val="8"/>
        </w:rPr>
        <w:t>位率、饱和率及灭效均≥80%；</w:t>
      </w:r>
    </w:p>
    <w:p w14:paraId="6555DB80">
      <w:pPr>
        <w:pStyle w:val="2"/>
        <w:spacing w:before="155" w:line="299" w:lineRule="auto"/>
        <w:ind w:left="11" w:right="1" w:firstLine="426"/>
        <w:rPr>
          <w:rFonts w:hint="eastAsia" w:eastAsia="宋体"/>
          <w:lang w:eastAsia="zh-CN"/>
        </w:rPr>
        <w:sectPr>
          <w:headerReference r:id="rId8" w:type="default"/>
          <w:pgSz w:w="11907" w:h="16840"/>
          <w:pgMar w:top="1110" w:right="1134" w:bottom="0" w:left="1701" w:header="1095" w:footer="0" w:gutter="0"/>
          <w:cols w:space="720" w:num="1"/>
        </w:sectPr>
      </w:pPr>
      <w:r>
        <w:rPr>
          <w:spacing w:val="8"/>
        </w:rPr>
        <w:t>（3）毒饵施放应准确到位防止人、畜、禽、鸟等误食误服。保证作业安全、规范</w:t>
      </w:r>
      <w:r>
        <w:rPr>
          <w:spacing w:val="7"/>
        </w:rPr>
        <w:t>，无责任事故</w:t>
      </w:r>
      <w:r>
        <w:t xml:space="preserve"> </w:t>
      </w:r>
      <w:r>
        <w:rPr>
          <w:spacing w:val="2"/>
        </w:rPr>
        <w:t>发生</w:t>
      </w:r>
      <w:r>
        <w:rPr>
          <w:rFonts w:hint="eastAsia"/>
          <w:spacing w:val="2"/>
          <w:lang w:eastAsia="zh-CN"/>
        </w:rPr>
        <w:t>；</w:t>
      </w:r>
    </w:p>
    <w:p w14:paraId="020CAC55">
      <w:pPr>
        <w:rPr>
          <w:rFonts w:ascii="Arial"/>
          <w:sz w:val="21"/>
        </w:rPr>
      </w:pPr>
    </w:p>
    <w:sectPr>
      <w:headerReference r:id="rId9" w:type="default"/>
      <w:footerReference r:id="rId10" w:type="default"/>
      <w:pgSz w:w="11907" w:h="1684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CF3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95B5">
    <w:pPr>
      <w:spacing w:line="46" w:lineRule="auto"/>
      <w:rPr>
        <w:rFonts w:ascii="Arial"/>
        <w:sz w:val="2"/>
      </w:rPr>
    </w:pPr>
    <w:r>
      <w:pict>
        <v:shape id="_x0000_s2049" o:spid="_x0000_s2049" style="position:absolute;left:0pt;margin-left:85.1pt;margin-top:54.8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F965">
    <w:pPr>
      <w:spacing w:line="46" w:lineRule="auto"/>
      <w:rPr>
        <w:rFonts w:ascii="Arial"/>
        <w:sz w:val="2"/>
      </w:rPr>
    </w:pPr>
    <w:r>
      <w:pict>
        <v:shape id="_x0000_s2050" o:spid="_x0000_s2050" style="position:absolute;left:0pt;margin-left:85.1pt;margin-top:54.8pt;height:0.75pt;width:453.55pt;mso-position-horizontal-relative:page;mso-position-vertical-relative:page;z-index:251660288;mso-width-relative:page;mso-height-relative:page;" fillcolor="#000000" filled="t" stroked="f" coordsize="9070,15" o:allowincell="f" path="m0,0l9070,0,9070,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E423">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3A9C">
    <w:pPr>
      <w:spacing w:line="46" w:lineRule="auto"/>
      <w:rPr>
        <w:rFonts w:ascii="Arial"/>
        <w:sz w:val="2"/>
      </w:rPr>
    </w:pPr>
    <w:r>
      <w:pict>
        <v:shape id="_x0000_s2051" o:spid="_x0000_s2051" style="position:absolute;left:0pt;margin-left:85.1pt;margin-top:54.8pt;height:0.75pt;width:453.55pt;mso-position-horizontal-relative:page;mso-position-vertical-relative:page;z-index:251660288;mso-width-relative:page;mso-height-relative:page;" fillcolor="#000000" filled="t" stroked="f" coordsize="9070,15" o:allowincell="f" path="m0,0l9070,0,9070,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69E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Q3ODg5OWQ4YTRlNTBiNjNkMTU0YTBkZTgyNDc2YWYifQ=="/>
  </w:docVars>
  <w:rsids>
    <w:rsidRoot w:val="00000000"/>
    <w:rsid w:val="1BFE5F7A"/>
    <w:rsid w:val="2CD55DFA"/>
    <w:rsid w:val="5E9E5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2962</Words>
  <Characters>3143</Characters>
  <TotalTime>74</TotalTime>
  <ScaleCrop>false</ScaleCrop>
  <LinksUpToDate>false</LinksUpToDate>
  <CharactersWithSpaces>3271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2026-03-23T14:17:00Z</dcterms:created>
  <dc:creator>Administrator</dc:creator>
  <cp:lastModifiedBy>陈醉琪中(*^ω^*)</cp:lastModifiedBy>
  <dcterms:modified xsi:type="dcterms:W3CDTF">2026-03-31T09:02:52Z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2026-03-23T15:07:34Z</vt:filetime>
  </property>
  <property fmtid="{D5CDD505-2E9C-101B-9397-08002B2CF9AE}" pid="4" name="KSOProductBuildVer">
    <vt:lpwstr>2052-12.1.0.17857</vt:lpwstr>
  </property>
  <property fmtid="{D5CDD505-2E9C-101B-9397-08002B2CF9AE}" pid="5" name="ICV">
    <vt:lpwstr>2AD880376F2B4ED8AAEE604D6F8E9172_13</vt:lpwstr>
  </property>
</Properties>
</file>