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511" w:rsidRDefault="00E97511" w:rsidP="00E97511">
      <w:pPr>
        <w:widowControl/>
        <w:spacing w:line="360" w:lineRule="atLeast"/>
        <w:jc w:val="center"/>
        <w:outlineLvl w:val="0"/>
        <w:rPr>
          <w:rFonts w:ascii="仿宋" w:eastAsia="仿宋" w:hAnsi="仿宋" w:cs="Arial"/>
          <w:b/>
          <w:color w:val="000000"/>
          <w:kern w:val="36"/>
          <w:sz w:val="44"/>
          <w:szCs w:val="44"/>
        </w:rPr>
      </w:pPr>
      <w:r w:rsidRPr="00E97511">
        <w:rPr>
          <w:rFonts w:ascii="仿宋" w:eastAsia="仿宋" w:hAnsi="仿宋" w:cs="Arial" w:hint="eastAsia"/>
          <w:b/>
          <w:color w:val="000000"/>
          <w:kern w:val="36"/>
          <w:sz w:val="44"/>
          <w:szCs w:val="44"/>
        </w:rPr>
        <w:t>商务要求</w:t>
      </w:r>
    </w:p>
    <w:p w:rsidR="00E97511" w:rsidRPr="00E97511" w:rsidRDefault="00E97511" w:rsidP="00E97511">
      <w:pPr>
        <w:widowControl/>
        <w:spacing w:line="360" w:lineRule="atLeast"/>
        <w:jc w:val="center"/>
        <w:outlineLvl w:val="0"/>
        <w:rPr>
          <w:rFonts w:ascii="仿宋" w:eastAsia="仿宋" w:hAnsi="仿宋" w:cs="Arial" w:hint="eastAsia"/>
          <w:b/>
          <w:color w:val="000000"/>
          <w:kern w:val="36"/>
          <w:sz w:val="44"/>
          <w:szCs w:val="44"/>
        </w:rPr>
      </w:pPr>
    </w:p>
    <w:p w:rsidR="00E97511" w:rsidRPr="00E97511" w:rsidRDefault="00E97511" w:rsidP="00E97511">
      <w:pPr>
        <w:widowControl/>
        <w:spacing w:line="360" w:lineRule="atLeast"/>
        <w:jc w:val="left"/>
        <w:outlineLvl w:val="1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项目名称：高速交警七支队除虫灭鼠及病媒生物防制服务采购</w:t>
      </w:r>
    </w:p>
    <w:p w:rsidR="00E97511" w:rsidRPr="00E97511" w:rsidRDefault="00E97511" w:rsidP="00E97511">
      <w:pPr>
        <w:widowControl/>
        <w:spacing w:line="360" w:lineRule="atLeast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服务地点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：</w:t>
      </w:r>
      <w:r>
        <w:rPr>
          <w:rFonts w:ascii="华文楷体" w:eastAsia="华文楷体" w:hAnsi="华文楷体" w:cs="Arial" w:hint="eastAsia"/>
          <w:color w:val="000000"/>
          <w:kern w:val="0"/>
          <w:sz w:val="28"/>
          <w:szCs w:val="28"/>
        </w:rPr>
        <w:t>江西省</w:t>
      </w:r>
      <w:r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吉安市吉安县吉州路与振华路交口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高速交警七支队（6 层建筑，含地下 1 层）</w:t>
      </w:r>
    </w:p>
    <w:p w:rsidR="00E97511" w:rsidRPr="00E97511" w:rsidRDefault="00E97511" w:rsidP="00E97511">
      <w:pPr>
        <w:widowControl/>
        <w:spacing w:line="360" w:lineRule="atLeast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服务面积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：约 4910㎡（地上 2732㎡、地下 2178㎡）</w:t>
      </w:r>
    </w:p>
    <w:p w:rsidR="00E97511" w:rsidRPr="00E97511" w:rsidRDefault="00E97511" w:rsidP="00E97511">
      <w:pPr>
        <w:widowControl/>
        <w:spacing w:line="360" w:lineRule="atLeast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服务期限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：1 年</w:t>
      </w:r>
    </w:p>
    <w:p w:rsidR="00E97511" w:rsidRPr="00E97511" w:rsidRDefault="00E97511" w:rsidP="00E97511">
      <w:pPr>
        <w:widowControl/>
        <w:spacing w:line="360" w:lineRule="atLeast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预算金额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：</w:t>
      </w:r>
      <w:r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8000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 xml:space="preserve"> 元（含税包干）</w:t>
      </w:r>
    </w:p>
    <w:p w:rsidR="00E97511" w:rsidRPr="00E97511" w:rsidRDefault="00E97511" w:rsidP="00E97511">
      <w:pPr>
        <w:widowControl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E97511">
        <w:rPr>
          <w:rFonts w:ascii="华文楷体" w:eastAsia="华文楷体" w:hAnsi="华文楷体" w:cs="宋体"/>
          <w:kern w:val="0"/>
          <w:sz w:val="28"/>
          <w:szCs w:val="28"/>
        </w:rPr>
        <w:pict>
          <v:rect id="_x0000_i1025" style="width:0;height:1.5pt" o:hralign="center" o:hrstd="t" o:hrnoshade="t" o:hr="t" fillcolor="black" stroked="f"/>
        </w:pict>
      </w:r>
    </w:p>
    <w:p w:rsidR="00E97511" w:rsidRPr="00E97511" w:rsidRDefault="00E97511" w:rsidP="00E97511">
      <w:pPr>
        <w:widowControl/>
        <w:spacing w:line="360" w:lineRule="atLeast"/>
        <w:jc w:val="left"/>
        <w:outlineLvl w:val="1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一、</w:t>
      </w:r>
      <w:r w:rsidRPr="00E97511">
        <w:rPr>
          <w:rFonts w:ascii="华文楷体" w:eastAsia="华文楷体" w:hAnsi="华文楷体" w:cs="Segoe UI Symbol"/>
          <w:color w:val="000000"/>
          <w:kern w:val="0"/>
          <w:sz w:val="28"/>
          <w:szCs w:val="28"/>
        </w:rPr>
        <w:t>★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实质性要求（必须响应）</w:t>
      </w:r>
    </w:p>
    <w:p w:rsidR="00E97511" w:rsidRPr="00E97511" w:rsidRDefault="00E97511" w:rsidP="00E97511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供应商为独立法人，营业执照经营范围包含：病媒生物防制、有害生物防制、除四害、消杀服务等相关内容。</w:t>
      </w:r>
    </w:p>
    <w:p w:rsidR="00E97511" w:rsidRPr="00E97511" w:rsidRDefault="00E97511" w:rsidP="00E97511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作业人员持有效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健康证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，具备机关单位、办公楼宇作业经验。</w:t>
      </w:r>
    </w:p>
    <w:p w:rsidR="00E97511" w:rsidRPr="00E97511" w:rsidRDefault="00E97511" w:rsidP="00E97511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所用药剂符合国家低毒、低残留标准，提供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农药产品合格证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。</w:t>
      </w:r>
    </w:p>
    <w:p w:rsidR="00E97511" w:rsidRPr="00E97511" w:rsidRDefault="00E97511" w:rsidP="00E97511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本项目</w:t>
      </w:r>
      <w:proofErr w:type="gramStart"/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不</w:t>
      </w:r>
      <w:proofErr w:type="gramEnd"/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转包、</w:t>
      </w:r>
      <w:proofErr w:type="gramStart"/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不</w:t>
      </w:r>
      <w:proofErr w:type="gramEnd"/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分包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。</w:t>
      </w:r>
    </w:p>
    <w:p w:rsidR="00E97511" w:rsidRPr="00E97511" w:rsidRDefault="00E97511" w:rsidP="00E97511">
      <w:pPr>
        <w:widowControl/>
        <w:numPr>
          <w:ilvl w:val="0"/>
          <w:numId w:val="1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遵守采购人作息与安全管理规定，不影响正常执勤办公。</w:t>
      </w:r>
    </w:p>
    <w:p w:rsidR="00E97511" w:rsidRPr="00E97511" w:rsidRDefault="00E97511" w:rsidP="00E97511">
      <w:pPr>
        <w:widowControl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E97511">
        <w:rPr>
          <w:rFonts w:ascii="华文楷体" w:eastAsia="华文楷体" w:hAnsi="华文楷体" w:cs="宋体"/>
          <w:kern w:val="0"/>
          <w:sz w:val="28"/>
          <w:szCs w:val="28"/>
        </w:rPr>
        <w:pict>
          <v:rect id="_x0000_i1026" style="width:0;height:1.5pt" o:hralign="center" o:hrstd="t" o:hrnoshade="t" o:hr="t" fillcolor="black" stroked="f"/>
        </w:pict>
      </w:r>
    </w:p>
    <w:p w:rsidR="00E97511" w:rsidRPr="00E97511" w:rsidRDefault="00E97511" w:rsidP="00E97511">
      <w:pPr>
        <w:widowControl/>
        <w:spacing w:line="360" w:lineRule="atLeast"/>
        <w:jc w:val="left"/>
        <w:outlineLvl w:val="1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二、服务范围与防治对象</w:t>
      </w:r>
    </w:p>
    <w:p w:rsidR="00E97511" w:rsidRPr="00E97511" w:rsidRDefault="00E97511" w:rsidP="00E97511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服务区域</w:t>
      </w:r>
    </w:p>
    <w:p w:rsidR="00E97511" w:rsidRPr="00E97511" w:rsidRDefault="00E97511" w:rsidP="00E97511">
      <w:pPr>
        <w:widowControl/>
        <w:spacing w:line="360" w:lineRule="atLeast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地上 1-6 层：办公室、楼道、走廊、卫生间、会议室、机房、库房、楼梯间、门窗周边、绿化带。</w:t>
      </w:r>
    </w:p>
    <w:p w:rsidR="00E97511" w:rsidRPr="00E97511" w:rsidRDefault="00E97511" w:rsidP="00E97511">
      <w:pPr>
        <w:widowControl/>
        <w:spacing w:line="360" w:lineRule="atLeast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地下 1 层：车库、设备间、管网井、排水沟、储物区域。</w:t>
      </w:r>
    </w:p>
    <w:p w:rsidR="00E97511" w:rsidRPr="00E97511" w:rsidRDefault="00E97511" w:rsidP="00E97511">
      <w:pPr>
        <w:widowControl/>
        <w:spacing w:line="360" w:lineRule="atLeast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lastRenderedPageBreak/>
        <w:t>重点区域：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食堂及后厨周边、垃圾收集点、下水道口、强弱电井、管道井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。</w:t>
      </w:r>
    </w:p>
    <w:p w:rsidR="00E97511" w:rsidRPr="00E97511" w:rsidRDefault="00E97511" w:rsidP="00E97511">
      <w:pPr>
        <w:widowControl/>
        <w:numPr>
          <w:ilvl w:val="0"/>
          <w:numId w:val="2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防治对象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：老鼠、蟑螂、蚊子、苍蝇、蚂蚁、潮虫等常见病</w:t>
      </w:r>
      <w:proofErr w:type="gramStart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媒</w:t>
      </w:r>
      <w:proofErr w:type="gramEnd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生物。</w:t>
      </w:r>
      <w:bookmarkStart w:id="0" w:name="_GoBack"/>
      <w:bookmarkEnd w:id="0"/>
    </w:p>
    <w:p w:rsidR="00E97511" w:rsidRPr="00E97511" w:rsidRDefault="00E97511" w:rsidP="00E97511">
      <w:pPr>
        <w:widowControl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E97511">
        <w:rPr>
          <w:rFonts w:ascii="华文楷体" w:eastAsia="华文楷体" w:hAnsi="华文楷体" w:cs="宋体"/>
          <w:kern w:val="0"/>
          <w:sz w:val="28"/>
          <w:szCs w:val="28"/>
        </w:rPr>
        <w:pict>
          <v:rect id="_x0000_i1027" style="width:0;height:1.5pt" o:hralign="center" o:hrstd="t" o:hrnoshade="t" o:hr="t" fillcolor="black" stroked="f"/>
        </w:pict>
      </w:r>
    </w:p>
    <w:p w:rsidR="00E97511" w:rsidRPr="00E97511" w:rsidRDefault="00E97511" w:rsidP="00E97511">
      <w:pPr>
        <w:widowControl/>
        <w:spacing w:line="360" w:lineRule="atLeast"/>
        <w:jc w:val="left"/>
        <w:outlineLvl w:val="1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三、服务内容与标准做法</w:t>
      </w:r>
    </w:p>
    <w:p w:rsidR="00E97511" w:rsidRPr="00E97511" w:rsidRDefault="00E97511" w:rsidP="00E97511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鼠害防治：设置固定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上锁毒饵站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、粘鼠板、封堵鼠洞、巡查补投。</w:t>
      </w:r>
    </w:p>
    <w:p w:rsidR="00E97511" w:rsidRPr="00E97511" w:rsidRDefault="00E97511" w:rsidP="00E97511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proofErr w:type="gramStart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蟑</w:t>
      </w:r>
      <w:proofErr w:type="gramEnd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害防治：滞留喷洒、胶</w:t>
      </w:r>
      <w:proofErr w:type="gramStart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饵</w:t>
      </w:r>
      <w:proofErr w:type="gramEnd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点施、粘</w:t>
      </w:r>
      <w:proofErr w:type="gramStart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蟑</w:t>
      </w:r>
      <w:proofErr w:type="gramEnd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板、孳生地清理。</w:t>
      </w:r>
    </w:p>
    <w:p w:rsidR="00E97511" w:rsidRPr="00E97511" w:rsidRDefault="00E97511" w:rsidP="00E97511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蚊蝇防治：积水处理、滞留喷洒、纱窗 / 垃圾点防护。</w:t>
      </w:r>
    </w:p>
    <w:p w:rsidR="00E97511" w:rsidRPr="00E97511" w:rsidRDefault="00E97511" w:rsidP="00E97511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免费提供：毒饵站、粘鼠板、粘</w:t>
      </w:r>
      <w:proofErr w:type="gramStart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蟑</w:t>
      </w:r>
      <w:proofErr w:type="gramEnd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板、</w:t>
      </w:r>
      <w:proofErr w:type="gramStart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饵</w:t>
      </w:r>
      <w:proofErr w:type="gramEnd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剂、警示标识等全部耗材。</w:t>
      </w:r>
    </w:p>
    <w:p w:rsidR="00E97511" w:rsidRPr="00E97511" w:rsidRDefault="00E97511" w:rsidP="00E97511">
      <w:pPr>
        <w:widowControl/>
        <w:numPr>
          <w:ilvl w:val="0"/>
          <w:numId w:val="3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作业规范：避开执勤与办公高峰</w:t>
      </w:r>
      <w:r>
        <w:rPr>
          <w:rFonts w:ascii="华文楷体" w:eastAsia="华文楷体" w:hAnsi="华文楷体" w:cs="Arial" w:hint="eastAsia"/>
          <w:color w:val="000000"/>
          <w:kern w:val="0"/>
          <w:sz w:val="28"/>
          <w:szCs w:val="28"/>
        </w:rPr>
        <w:t>、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优先非工作时间作业，食堂区域严格安全施药。</w:t>
      </w:r>
    </w:p>
    <w:p w:rsidR="00E97511" w:rsidRPr="00E97511" w:rsidRDefault="00E97511" w:rsidP="00E97511">
      <w:pPr>
        <w:widowControl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E97511">
        <w:rPr>
          <w:rFonts w:ascii="华文楷体" w:eastAsia="华文楷体" w:hAnsi="华文楷体" w:cs="宋体"/>
          <w:kern w:val="0"/>
          <w:sz w:val="28"/>
          <w:szCs w:val="28"/>
        </w:rPr>
        <w:pict>
          <v:rect id="_x0000_i1028" style="width:0;height:1.5pt" o:hralign="center" o:hrstd="t" o:hrnoshade="t" o:hr="t" fillcolor="black" stroked="f"/>
        </w:pict>
      </w:r>
    </w:p>
    <w:p w:rsidR="00E97511" w:rsidRPr="00E97511" w:rsidRDefault="00E97511" w:rsidP="00E97511">
      <w:pPr>
        <w:widowControl/>
        <w:spacing w:line="360" w:lineRule="atLeast"/>
        <w:jc w:val="left"/>
        <w:outlineLvl w:val="1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四、服务频次与响应时效</w:t>
      </w:r>
    </w:p>
    <w:p w:rsidR="00E97511" w:rsidRPr="00E97511" w:rsidRDefault="00E97511" w:rsidP="00E97511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常规服务：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每月不少于 1 次全面服务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。</w:t>
      </w:r>
    </w:p>
    <w:p w:rsidR="00E97511" w:rsidRPr="00E97511" w:rsidRDefault="00E97511" w:rsidP="00E97511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重点区域（食堂、地下、垃圾点）：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每月 2 次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。</w:t>
      </w:r>
    </w:p>
    <w:p w:rsidR="00E97511" w:rsidRPr="00E97511" w:rsidRDefault="00E97511" w:rsidP="00E97511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雨季 / 夏季 / 密度高发期：</w:t>
      </w:r>
      <w:r>
        <w:rPr>
          <w:rFonts w:ascii="华文楷体" w:eastAsia="华文楷体" w:hAnsi="华文楷体" w:cs="Arial" w:hint="eastAsia"/>
          <w:color w:val="000000"/>
          <w:kern w:val="0"/>
          <w:sz w:val="28"/>
          <w:szCs w:val="28"/>
        </w:rPr>
        <w:t>要按求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加密服务。</w:t>
      </w:r>
    </w:p>
    <w:p w:rsidR="00E97511" w:rsidRPr="00E97511" w:rsidRDefault="00E97511" w:rsidP="00E97511">
      <w:pPr>
        <w:widowControl/>
        <w:numPr>
          <w:ilvl w:val="0"/>
          <w:numId w:val="4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应急报修：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24 小时受理，4 小时响应，24-48 小时处置到位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。</w:t>
      </w:r>
    </w:p>
    <w:p w:rsidR="00E97511" w:rsidRPr="00E97511" w:rsidRDefault="00E97511" w:rsidP="00E97511">
      <w:pPr>
        <w:widowControl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E97511">
        <w:rPr>
          <w:rFonts w:ascii="华文楷体" w:eastAsia="华文楷体" w:hAnsi="华文楷体" w:cs="宋体"/>
          <w:kern w:val="0"/>
          <w:sz w:val="28"/>
          <w:szCs w:val="28"/>
        </w:rPr>
        <w:pict>
          <v:rect id="_x0000_i1029" style="width:0;height:1.5pt" o:hralign="center" o:hrstd="t" o:hrnoshade="t" o:hr="t" fillcolor="black" stroked="f"/>
        </w:pict>
      </w:r>
    </w:p>
    <w:p w:rsidR="00E97511" w:rsidRPr="00E97511" w:rsidRDefault="00E97511" w:rsidP="00E97511">
      <w:pPr>
        <w:widowControl/>
        <w:spacing w:line="360" w:lineRule="atLeast"/>
        <w:jc w:val="left"/>
        <w:outlineLvl w:val="1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五、安全与质量要求</w:t>
      </w:r>
    </w:p>
    <w:p w:rsidR="00E97511" w:rsidRPr="00E97511" w:rsidRDefault="00E97511" w:rsidP="00E97511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药剂安全、无刺激性异味，不影响办公与执勤。</w:t>
      </w:r>
    </w:p>
    <w:p w:rsidR="00E97511" w:rsidRPr="00E97511" w:rsidRDefault="00E97511" w:rsidP="00E97511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毒饵站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上锁、固定、警示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，严防人员、宠物误食，安全责任由供应商承担。</w:t>
      </w:r>
    </w:p>
    <w:p w:rsidR="00E97511" w:rsidRPr="00E97511" w:rsidRDefault="00E97511" w:rsidP="00E97511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lastRenderedPageBreak/>
        <w:t>质量标准符合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GB/T 27770-27773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国家病媒生物密度控制标准，无明显活害、无明显孳生。</w:t>
      </w:r>
    </w:p>
    <w:p w:rsidR="00E97511" w:rsidRPr="00E97511" w:rsidRDefault="00E97511" w:rsidP="00E97511">
      <w:pPr>
        <w:widowControl/>
        <w:numPr>
          <w:ilvl w:val="0"/>
          <w:numId w:val="5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每次服务后提交：服务记录、现场照片、整改建议</w:t>
      </w:r>
      <w:r>
        <w:rPr>
          <w:rFonts w:ascii="华文楷体" w:eastAsia="华文楷体" w:hAnsi="华文楷体" w:cs="Arial" w:hint="eastAsia"/>
          <w:color w:val="000000"/>
          <w:kern w:val="0"/>
          <w:sz w:val="28"/>
          <w:szCs w:val="28"/>
        </w:rPr>
        <w:t>等</w:t>
      </w:r>
      <w:r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用于验收付款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。</w:t>
      </w:r>
    </w:p>
    <w:p w:rsidR="00E97511" w:rsidRPr="00E97511" w:rsidRDefault="00E97511" w:rsidP="00E97511">
      <w:pPr>
        <w:widowControl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E97511">
        <w:rPr>
          <w:rFonts w:ascii="华文楷体" w:eastAsia="华文楷体" w:hAnsi="华文楷体" w:cs="宋体"/>
          <w:kern w:val="0"/>
          <w:sz w:val="28"/>
          <w:szCs w:val="28"/>
        </w:rPr>
        <w:pict>
          <v:rect id="_x0000_i1030" style="width:0;height:1.5pt" o:hralign="center" o:hrstd="t" o:hrnoshade="t" o:hr="t" fillcolor="black" stroked="f"/>
        </w:pict>
      </w:r>
    </w:p>
    <w:p w:rsidR="00E97511" w:rsidRPr="00E97511" w:rsidRDefault="00E97511" w:rsidP="00E97511">
      <w:pPr>
        <w:widowControl/>
        <w:spacing w:line="360" w:lineRule="atLeast"/>
        <w:jc w:val="left"/>
        <w:outlineLvl w:val="1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六、报价与结算</w:t>
      </w:r>
    </w:p>
    <w:p w:rsidR="00E97511" w:rsidRPr="00E97511" w:rsidRDefault="00E97511" w:rsidP="00E97511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报价为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全年包干总价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，含人工、药剂、耗材、交通、税费等全部费用。</w:t>
      </w:r>
    </w:p>
    <w:p w:rsidR="00E97511" w:rsidRPr="00E97511" w:rsidRDefault="00E97511" w:rsidP="00E97511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按</w:t>
      </w:r>
      <w:r w:rsidR="00CA1ABF">
        <w:rPr>
          <w:rFonts w:ascii="华文楷体" w:eastAsia="华文楷体" w:hAnsi="华文楷体" w:cs="Arial" w:hint="eastAsia"/>
          <w:bCs/>
          <w:color w:val="000000"/>
          <w:kern w:val="0"/>
          <w:sz w:val="28"/>
          <w:szCs w:val="28"/>
        </w:rPr>
        <w:t>半</w:t>
      </w:r>
      <w:r w:rsidRPr="00E97511">
        <w:rPr>
          <w:rFonts w:ascii="华文楷体" w:eastAsia="华文楷体" w:hAnsi="华文楷体" w:cs="Arial"/>
          <w:bCs/>
          <w:color w:val="000000"/>
          <w:kern w:val="0"/>
          <w:sz w:val="28"/>
          <w:szCs w:val="28"/>
        </w:rPr>
        <w:t>年度</w:t>
      </w: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验收合格后支付，以电子卖场订单及验收单为准。</w:t>
      </w:r>
    </w:p>
    <w:p w:rsidR="00E97511" w:rsidRPr="00E97511" w:rsidRDefault="00E97511" w:rsidP="00E97511">
      <w:pPr>
        <w:widowControl/>
        <w:numPr>
          <w:ilvl w:val="0"/>
          <w:numId w:val="6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服务期内价格不调整。</w:t>
      </w:r>
    </w:p>
    <w:p w:rsidR="00E97511" w:rsidRPr="00E97511" w:rsidRDefault="00E97511" w:rsidP="00E97511">
      <w:pPr>
        <w:widowControl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E97511">
        <w:rPr>
          <w:rFonts w:ascii="华文楷体" w:eastAsia="华文楷体" w:hAnsi="华文楷体" w:cs="宋体"/>
          <w:kern w:val="0"/>
          <w:sz w:val="28"/>
          <w:szCs w:val="28"/>
        </w:rPr>
        <w:pict>
          <v:rect id="_x0000_i1031" style="width:0;height:1.5pt" o:hralign="center" o:hrstd="t" o:hrnoshade="t" o:hr="t" fillcolor="black" stroked="f"/>
        </w:pict>
      </w:r>
    </w:p>
    <w:p w:rsidR="00E97511" w:rsidRPr="00E97511" w:rsidRDefault="00E97511" w:rsidP="00E97511">
      <w:pPr>
        <w:widowControl/>
        <w:spacing w:line="360" w:lineRule="atLeast"/>
        <w:jc w:val="left"/>
        <w:outlineLvl w:val="1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七、验收与资料</w:t>
      </w:r>
    </w:p>
    <w:p w:rsidR="00E97511" w:rsidRPr="00E97511" w:rsidRDefault="00E97511" w:rsidP="00E97511">
      <w:pPr>
        <w:widowControl/>
        <w:numPr>
          <w:ilvl w:val="0"/>
          <w:numId w:val="7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按次服务、按周期验收，年度总验收。</w:t>
      </w:r>
    </w:p>
    <w:p w:rsidR="00E97511" w:rsidRPr="00E97511" w:rsidRDefault="00E97511" w:rsidP="00E97511">
      <w:pPr>
        <w:widowControl/>
        <w:numPr>
          <w:ilvl w:val="0"/>
          <w:numId w:val="7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供应商建立服务台账。</w:t>
      </w:r>
    </w:p>
    <w:p w:rsidR="00E97511" w:rsidRPr="00E97511" w:rsidRDefault="00E97511" w:rsidP="00E97511">
      <w:pPr>
        <w:widowControl/>
        <w:numPr>
          <w:ilvl w:val="0"/>
          <w:numId w:val="7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服务期满移交</w:t>
      </w:r>
      <w:proofErr w:type="gramStart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完整服务</w:t>
      </w:r>
      <w:proofErr w:type="gramEnd"/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档案。</w:t>
      </w:r>
    </w:p>
    <w:p w:rsidR="00E97511" w:rsidRPr="00E97511" w:rsidRDefault="00E97511" w:rsidP="00E97511">
      <w:pPr>
        <w:widowControl/>
        <w:jc w:val="left"/>
        <w:rPr>
          <w:rFonts w:ascii="华文楷体" w:eastAsia="华文楷体" w:hAnsi="华文楷体" w:cs="宋体"/>
          <w:kern w:val="0"/>
          <w:sz w:val="28"/>
          <w:szCs w:val="28"/>
        </w:rPr>
      </w:pPr>
      <w:r w:rsidRPr="00E97511">
        <w:rPr>
          <w:rFonts w:ascii="华文楷体" w:eastAsia="华文楷体" w:hAnsi="华文楷体" w:cs="宋体"/>
          <w:kern w:val="0"/>
          <w:sz w:val="28"/>
          <w:szCs w:val="28"/>
        </w:rPr>
        <w:pict>
          <v:rect id="_x0000_i1032" style="width:0;height:1.5pt" o:hralign="center" o:hrstd="t" o:hrnoshade="t" o:hr="t" fillcolor="black" stroked="f"/>
        </w:pict>
      </w:r>
    </w:p>
    <w:p w:rsidR="00E97511" w:rsidRPr="00E97511" w:rsidRDefault="00E97511" w:rsidP="00E97511">
      <w:pPr>
        <w:widowControl/>
        <w:spacing w:line="360" w:lineRule="atLeast"/>
        <w:jc w:val="left"/>
        <w:outlineLvl w:val="1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八、违约责任</w:t>
      </w:r>
    </w:p>
    <w:p w:rsidR="00E97511" w:rsidRPr="00E97511" w:rsidRDefault="00E97511" w:rsidP="00E97511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未按频次、时效、质量履约：采购人有权要求整改、扣款或终止合同。</w:t>
      </w:r>
    </w:p>
    <w:p w:rsidR="00E97511" w:rsidRPr="00E97511" w:rsidRDefault="00E97511" w:rsidP="00E97511">
      <w:pPr>
        <w:widowControl/>
        <w:numPr>
          <w:ilvl w:val="0"/>
          <w:numId w:val="8"/>
        </w:numPr>
        <w:spacing w:line="360" w:lineRule="atLeast"/>
        <w:ind w:left="0"/>
        <w:jc w:val="left"/>
        <w:rPr>
          <w:rFonts w:ascii="华文楷体" w:eastAsia="华文楷体" w:hAnsi="华文楷体" w:cs="Arial"/>
          <w:color w:val="000000"/>
          <w:kern w:val="0"/>
          <w:sz w:val="28"/>
          <w:szCs w:val="28"/>
        </w:rPr>
      </w:pPr>
      <w:r w:rsidRPr="00E97511">
        <w:rPr>
          <w:rFonts w:ascii="华文楷体" w:eastAsia="华文楷体" w:hAnsi="华文楷体" w:cs="Arial"/>
          <w:color w:val="000000"/>
          <w:kern w:val="0"/>
          <w:sz w:val="28"/>
          <w:szCs w:val="28"/>
        </w:rPr>
        <w:t>使用违禁药剂、发生安全事故、转包分包：立即终止合同并追究责任。</w:t>
      </w:r>
    </w:p>
    <w:p w:rsidR="00BB372B" w:rsidRPr="00E97511" w:rsidRDefault="00BB372B">
      <w:pPr>
        <w:rPr>
          <w:rFonts w:ascii="华文楷体" w:eastAsia="华文楷体" w:hAnsi="华文楷体"/>
          <w:sz w:val="28"/>
          <w:szCs w:val="28"/>
        </w:rPr>
      </w:pPr>
    </w:p>
    <w:sectPr w:rsidR="00BB372B" w:rsidRPr="00E97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54335"/>
    <w:multiLevelType w:val="multilevel"/>
    <w:tmpl w:val="F1E2F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60462"/>
    <w:multiLevelType w:val="multilevel"/>
    <w:tmpl w:val="BF7C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A5C01"/>
    <w:multiLevelType w:val="multilevel"/>
    <w:tmpl w:val="D6FA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6B5503"/>
    <w:multiLevelType w:val="multilevel"/>
    <w:tmpl w:val="3556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133E2"/>
    <w:multiLevelType w:val="multilevel"/>
    <w:tmpl w:val="570E4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3139EB"/>
    <w:multiLevelType w:val="multilevel"/>
    <w:tmpl w:val="6EBCB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B57FB"/>
    <w:multiLevelType w:val="multilevel"/>
    <w:tmpl w:val="1932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EB1571"/>
    <w:multiLevelType w:val="multilevel"/>
    <w:tmpl w:val="63C2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8B"/>
    <w:rsid w:val="0066198B"/>
    <w:rsid w:val="00BB372B"/>
    <w:rsid w:val="00CA1ABF"/>
    <w:rsid w:val="00E9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FF629-54AB-4011-9DE9-5FE3B4CD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163</Words>
  <Characters>931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2026-03-31T06:42:00Z</dcterms:created>
  <dcterms:modified xsi:type="dcterms:W3CDTF">2026-03-31T06:54:00Z</dcterms:modified>
</cp:coreProperties>
</file>