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201147">
      <w:pPr>
        <w:pageBreakBefore w:val="0"/>
        <w:kinsoku/>
        <w:wordWrap/>
        <w:overflowPunct/>
        <w:topLinePunct w:val="0"/>
        <w:autoSpaceDN/>
        <w:bidi w:val="0"/>
        <w:adjustRightInd/>
        <w:spacing w:line="400" w:lineRule="exact"/>
        <w:jc w:val="center"/>
        <w:outlineLvl w:val="0"/>
        <w:rPr>
          <w:rFonts w:hint="eastAsia" w:ascii="宋体" w:hAnsi="宋体" w:cs="宋体"/>
          <w:b/>
          <w:bCs/>
          <w:spacing w:val="80"/>
          <w:sz w:val="96"/>
          <w:szCs w:val="96"/>
        </w:rPr>
      </w:pPr>
      <w:bookmarkStart w:id="0" w:name="_Toc25291"/>
      <w:bookmarkStart w:id="1" w:name="_Toc1078"/>
      <w:bookmarkStart w:id="2" w:name="_Toc23629"/>
      <w:bookmarkStart w:id="3" w:name="_Toc7700"/>
      <w:bookmarkStart w:id="4" w:name="_Toc12344"/>
      <w:bookmarkStart w:id="5" w:name="_Toc13315"/>
      <w:bookmarkStart w:id="6" w:name="_Toc28186"/>
      <w:bookmarkStart w:id="7" w:name="_Toc10962"/>
      <w:bookmarkStart w:id="8" w:name="_Toc9949"/>
      <w:bookmarkStart w:id="9" w:name="_Toc7730"/>
      <w:bookmarkStart w:id="10" w:name="_Toc2521"/>
      <w:bookmarkStart w:id="11" w:name="_Toc14174"/>
      <w:bookmarkStart w:id="12" w:name="_Toc9203"/>
      <w:bookmarkStart w:id="13" w:name="_Toc16646"/>
      <w:bookmarkStart w:id="14" w:name="_Toc30252"/>
      <w:bookmarkStart w:id="15" w:name="_Toc24974"/>
      <w:bookmarkStart w:id="16" w:name="_Toc3644"/>
      <w:bookmarkStart w:id="17" w:name="_Toc9357"/>
      <w:bookmarkStart w:id="18" w:name="_Toc3948"/>
      <w:bookmarkStart w:id="19" w:name="_Toc7210"/>
      <w:bookmarkStart w:id="20" w:name="_Toc28066"/>
      <w:bookmarkStart w:id="21" w:name="_Toc11282"/>
      <w:bookmarkStart w:id="22" w:name="_Toc6460"/>
      <w:bookmarkStart w:id="23" w:name="_Toc17591"/>
      <w:bookmarkStart w:id="24" w:name="_Toc19609"/>
      <w:bookmarkStart w:id="25" w:name="_Toc31370"/>
      <w:bookmarkStart w:id="26" w:name="_Toc31917"/>
      <w:bookmarkStart w:id="27" w:name="_Toc16779"/>
      <w:bookmarkStart w:id="28" w:name="_Toc7408"/>
      <w:bookmarkStart w:id="29" w:name="_Toc30988"/>
    </w:p>
    <w:p w14:paraId="26CC8FE1">
      <w:pPr>
        <w:keepNext w:val="0"/>
        <w:keepLines w:val="0"/>
        <w:pageBreakBefore w:val="0"/>
        <w:widowControl w:val="0"/>
        <w:kinsoku/>
        <w:wordWrap/>
        <w:overflowPunct/>
        <w:topLinePunct w:val="0"/>
        <w:autoSpaceDE/>
        <w:autoSpaceDN/>
        <w:bidi w:val="0"/>
        <w:adjustRightInd/>
        <w:spacing w:line="360" w:lineRule="auto"/>
        <w:jc w:val="center"/>
        <w:textAlignment w:val="auto"/>
        <w:outlineLvl w:val="0"/>
        <w:rPr>
          <w:rFonts w:hint="eastAsia" w:ascii="宋体" w:hAnsi="宋体" w:cs="宋体"/>
          <w:b/>
          <w:bCs/>
          <w:spacing w:val="80"/>
          <w:sz w:val="96"/>
          <w:szCs w:val="96"/>
        </w:rPr>
      </w:pPr>
      <w:bookmarkStart w:id="30" w:name="_Toc20062"/>
      <w:bookmarkStart w:id="31" w:name="_Toc24153"/>
      <w:bookmarkStart w:id="32" w:name="_Toc14520"/>
      <w:bookmarkStart w:id="33" w:name="_Toc7313"/>
      <w:bookmarkStart w:id="34" w:name="_Toc21414"/>
      <w:bookmarkStart w:id="35" w:name="_Toc29607"/>
      <w:r>
        <w:rPr>
          <w:rFonts w:hint="eastAsia" w:ascii="宋体" w:hAnsi="宋体" w:cs="宋体"/>
          <w:b/>
          <w:bCs/>
          <w:spacing w:val="80"/>
          <w:sz w:val="96"/>
          <w:szCs w:val="96"/>
        </w:rPr>
        <w:t>行采家电子竞采</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0"/>
      <w:bookmarkEnd w:id="31"/>
      <w:bookmarkEnd w:id="32"/>
      <w:bookmarkEnd w:id="33"/>
      <w:bookmarkEnd w:id="34"/>
      <w:bookmarkEnd w:id="35"/>
    </w:p>
    <w:p w14:paraId="4551431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spacing w:val="80"/>
          <w:sz w:val="96"/>
          <w:szCs w:val="96"/>
        </w:rPr>
      </w:pPr>
      <w:bookmarkStart w:id="36" w:name="_Toc3071"/>
      <w:bookmarkStart w:id="37" w:name="_Toc15023"/>
      <w:r>
        <w:rPr>
          <w:rFonts w:hint="eastAsia" w:ascii="宋体" w:hAnsi="宋体" w:cs="宋体"/>
          <w:b/>
          <w:bCs/>
          <w:spacing w:val="80"/>
          <w:sz w:val="96"/>
          <w:szCs w:val="96"/>
        </w:rPr>
        <w:t>文件</w:t>
      </w:r>
      <w:bookmarkEnd w:id="23"/>
      <w:bookmarkEnd w:id="24"/>
      <w:bookmarkEnd w:id="25"/>
      <w:bookmarkEnd w:id="26"/>
      <w:bookmarkEnd w:id="27"/>
      <w:bookmarkEnd w:id="28"/>
      <w:bookmarkEnd w:id="29"/>
      <w:bookmarkEnd w:id="36"/>
      <w:bookmarkEnd w:id="37"/>
    </w:p>
    <w:p w14:paraId="66BFAA9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rPr>
      </w:pPr>
      <w:r>
        <w:rPr>
          <w:rFonts w:hint="eastAsia" w:ascii="宋体" w:hAnsi="宋体" w:cs="宋体"/>
          <w:b/>
          <w:bCs/>
          <w:spacing w:val="80"/>
          <w:sz w:val="48"/>
          <w:szCs w:val="48"/>
        </w:rPr>
        <w:t>（网上询比）</w:t>
      </w:r>
    </w:p>
    <w:p w14:paraId="613B612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sz w:val="32"/>
        </w:rPr>
      </w:pPr>
    </w:p>
    <w:p w14:paraId="5C46100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sz w:val="32"/>
        </w:rPr>
      </w:pPr>
    </w:p>
    <w:p w14:paraId="709EAC31">
      <w:pPr>
        <w:keepNext w:val="0"/>
        <w:keepLines w:val="0"/>
        <w:pageBreakBefore w:val="0"/>
        <w:widowControl w:val="0"/>
        <w:kinsoku/>
        <w:wordWrap/>
        <w:overflowPunct/>
        <w:topLinePunct w:val="0"/>
        <w:autoSpaceDE/>
        <w:autoSpaceDN/>
        <w:bidi w:val="0"/>
        <w:adjustRightInd/>
        <w:spacing w:line="360" w:lineRule="auto"/>
        <w:ind w:firstLine="361" w:firstLineChars="100"/>
        <w:textAlignment w:val="auto"/>
        <w:rPr>
          <w:rFonts w:hint="eastAsia" w:ascii="宋体" w:hAnsi="宋体" w:cs="宋体"/>
          <w:b/>
          <w:color w:val="auto"/>
          <w:sz w:val="36"/>
          <w:szCs w:val="30"/>
          <w:highlight w:val="none"/>
        </w:rPr>
      </w:pPr>
      <w:r>
        <w:rPr>
          <w:rFonts w:hint="eastAsia" w:ascii="宋体" w:hAnsi="宋体" w:cs="宋体"/>
          <w:b/>
          <w:color w:val="auto"/>
          <w:sz w:val="36"/>
          <w:szCs w:val="30"/>
          <w:highlight w:val="none"/>
        </w:rPr>
        <w:t>采购执行编号：JZ-A-014</w:t>
      </w:r>
    </w:p>
    <w:p w14:paraId="5D24C655">
      <w:pPr>
        <w:keepNext w:val="0"/>
        <w:keepLines w:val="0"/>
        <w:pageBreakBefore w:val="0"/>
        <w:widowControl w:val="0"/>
        <w:kinsoku/>
        <w:wordWrap/>
        <w:overflowPunct/>
        <w:topLinePunct w:val="0"/>
        <w:autoSpaceDE/>
        <w:autoSpaceDN/>
        <w:bidi w:val="0"/>
        <w:adjustRightInd/>
        <w:spacing w:line="360" w:lineRule="auto"/>
        <w:ind w:left="2165" w:leftChars="128" w:hanging="1807" w:hangingChars="500"/>
        <w:textAlignment w:val="auto"/>
        <w:rPr>
          <w:rFonts w:hint="eastAsia" w:ascii="宋体" w:hAnsi="宋体" w:eastAsia="宋体" w:cs="宋体"/>
          <w:b/>
          <w:color w:val="auto"/>
          <w:sz w:val="36"/>
          <w:szCs w:val="30"/>
          <w:lang w:eastAsia="zh-CN"/>
        </w:rPr>
      </w:pPr>
      <w:r>
        <w:rPr>
          <w:rFonts w:hint="eastAsia" w:ascii="宋体" w:hAnsi="宋体" w:cs="宋体"/>
          <w:b/>
          <w:color w:val="auto"/>
          <w:sz w:val="36"/>
          <w:szCs w:val="30"/>
        </w:rPr>
        <w:t>项目名称：</w:t>
      </w:r>
      <w:r>
        <w:rPr>
          <w:rFonts w:hint="eastAsia" w:ascii="宋体" w:hAnsi="宋体" w:eastAsia="宋体" w:cs="宋体"/>
          <w:b/>
          <w:bCs/>
          <w:color w:val="auto"/>
          <w:kern w:val="0"/>
          <w:sz w:val="36"/>
          <w:szCs w:val="36"/>
          <w:highlight w:val="none"/>
          <w:lang w:eastAsia="zh-CN"/>
        </w:rPr>
        <w:t>渝北区空港实验中学202</w:t>
      </w:r>
      <w:r>
        <w:rPr>
          <w:rFonts w:hint="eastAsia" w:ascii="宋体" w:hAnsi="宋体" w:eastAsia="宋体" w:cs="宋体"/>
          <w:b/>
          <w:bCs/>
          <w:color w:val="auto"/>
          <w:kern w:val="0"/>
          <w:sz w:val="36"/>
          <w:szCs w:val="36"/>
          <w:highlight w:val="none"/>
          <w:lang w:val="en-US" w:eastAsia="zh-CN"/>
        </w:rPr>
        <w:t>6</w:t>
      </w:r>
      <w:r>
        <w:rPr>
          <w:rFonts w:hint="eastAsia" w:ascii="宋体" w:hAnsi="宋体" w:eastAsia="宋体" w:cs="宋体"/>
          <w:b/>
          <w:bCs/>
          <w:color w:val="auto"/>
          <w:kern w:val="0"/>
          <w:sz w:val="36"/>
          <w:szCs w:val="36"/>
          <w:highlight w:val="none"/>
          <w:lang w:eastAsia="zh-CN"/>
        </w:rPr>
        <w:t>年病媒生物防治项目</w:t>
      </w:r>
    </w:p>
    <w:p w14:paraId="74A76E2F">
      <w:pPr>
        <w:keepNext w:val="0"/>
        <w:keepLines w:val="0"/>
        <w:pageBreakBefore w:val="0"/>
        <w:widowControl w:val="0"/>
        <w:kinsoku/>
        <w:wordWrap/>
        <w:overflowPunct/>
        <w:topLinePunct w:val="0"/>
        <w:autoSpaceDE/>
        <w:autoSpaceDN/>
        <w:bidi w:val="0"/>
        <w:adjustRightInd/>
        <w:spacing w:line="360" w:lineRule="auto"/>
        <w:ind w:left="2524" w:leftChars="256" w:hanging="1807" w:hangingChars="500"/>
        <w:textAlignment w:val="auto"/>
        <w:rPr>
          <w:rFonts w:hint="eastAsia" w:ascii="宋体" w:hAnsi="宋体" w:cs="宋体"/>
          <w:b/>
          <w:color w:val="auto"/>
          <w:sz w:val="36"/>
          <w:szCs w:val="30"/>
        </w:rPr>
      </w:pPr>
    </w:p>
    <w:p w14:paraId="0FC35B2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rPr>
      </w:pPr>
    </w:p>
    <w:p w14:paraId="3AB63E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color w:val="auto"/>
          <w:sz w:val="36"/>
        </w:rPr>
      </w:pPr>
    </w:p>
    <w:p w14:paraId="5BD21E0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36"/>
          <w:szCs w:val="36"/>
          <w:highlight w:val="none"/>
          <w:lang w:eastAsia="zh-CN"/>
        </w:rPr>
      </w:pPr>
      <w:r>
        <w:rPr>
          <w:rFonts w:hint="eastAsia" w:ascii="宋体" w:hAnsi="宋体" w:cs="宋体"/>
          <w:b/>
          <w:color w:val="auto"/>
          <w:sz w:val="36"/>
        </w:rPr>
        <w:t>采购人：</w:t>
      </w:r>
      <w:r>
        <w:rPr>
          <w:rFonts w:hint="eastAsia" w:ascii="宋体" w:hAnsi="宋体" w:eastAsia="宋体" w:cs="宋体"/>
          <w:b/>
          <w:bCs/>
          <w:color w:val="auto"/>
          <w:sz w:val="36"/>
          <w:szCs w:val="36"/>
          <w:highlight w:val="none"/>
          <w:lang w:eastAsia="zh-CN"/>
        </w:rPr>
        <w:t>重庆市渝北区空港实验中学校</w:t>
      </w:r>
    </w:p>
    <w:p w14:paraId="29A5A65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36"/>
          <w:lang w:eastAsia="zh-CN"/>
        </w:rPr>
      </w:pPr>
      <w:r>
        <w:rPr>
          <w:rFonts w:hint="eastAsia" w:ascii="宋体" w:hAnsi="宋体" w:cs="宋体"/>
          <w:b/>
          <w:color w:val="auto"/>
          <w:sz w:val="36"/>
        </w:rPr>
        <w:t>采购代理机构：</w:t>
      </w:r>
      <w:r>
        <w:rPr>
          <w:rFonts w:hint="eastAsia" w:ascii="宋体" w:hAnsi="宋体" w:cs="宋体"/>
          <w:b/>
          <w:color w:val="auto"/>
          <w:sz w:val="36"/>
          <w:lang w:eastAsia="zh-CN"/>
        </w:rPr>
        <w:t>重庆政相关科技有限公司</w:t>
      </w:r>
    </w:p>
    <w:p w14:paraId="7C1E74D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color w:val="auto"/>
          <w:sz w:val="40"/>
          <w:szCs w:val="32"/>
        </w:rPr>
      </w:pPr>
      <w:r>
        <w:rPr>
          <w:rFonts w:hint="eastAsia" w:ascii="宋体" w:hAnsi="宋体" w:cs="宋体"/>
          <w:b/>
          <w:color w:val="auto"/>
          <w:sz w:val="40"/>
          <w:szCs w:val="32"/>
        </w:rPr>
        <w:t>二〇二</w:t>
      </w:r>
      <w:r>
        <w:rPr>
          <w:rFonts w:hint="eastAsia" w:ascii="宋体" w:hAnsi="宋体" w:cs="宋体"/>
          <w:b/>
          <w:color w:val="auto"/>
          <w:sz w:val="40"/>
          <w:szCs w:val="32"/>
          <w:lang w:eastAsia="zh-CN"/>
        </w:rPr>
        <w:t>六</w:t>
      </w:r>
      <w:r>
        <w:rPr>
          <w:rFonts w:hint="eastAsia" w:ascii="宋体" w:hAnsi="宋体" w:cs="宋体"/>
          <w:b/>
          <w:color w:val="auto"/>
          <w:sz w:val="40"/>
          <w:szCs w:val="32"/>
        </w:rPr>
        <w:t>年</w:t>
      </w:r>
      <w:r>
        <w:rPr>
          <w:rFonts w:hint="eastAsia" w:ascii="宋体" w:hAnsi="宋体" w:cs="宋体"/>
          <w:b/>
          <w:color w:val="auto"/>
          <w:sz w:val="40"/>
          <w:szCs w:val="32"/>
          <w:lang w:eastAsia="zh-CN"/>
        </w:rPr>
        <w:t>三</w:t>
      </w:r>
      <w:r>
        <w:rPr>
          <w:rFonts w:hint="eastAsia" w:ascii="宋体" w:hAnsi="宋体" w:cs="宋体"/>
          <w:b/>
          <w:color w:val="auto"/>
          <w:sz w:val="40"/>
          <w:szCs w:val="32"/>
        </w:rPr>
        <w:t>月</w:t>
      </w:r>
    </w:p>
    <w:p w14:paraId="3B66A6F7">
      <w:pPr>
        <w:keepNext w:val="0"/>
        <w:keepLines w:val="0"/>
        <w:pageBreakBefore w:val="0"/>
        <w:widowControl w:val="0"/>
        <w:tabs>
          <w:tab w:val="left" w:pos="1185"/>
          <w:tab w:val="center" w:pos="4156"/>
          <w:tab w:val="left" w:pos="7095"/>
        </w:tabs>
        <w:kinsoku/>
        <w:wordWrap/>
        <w:overflowPunct/>
        <w:topLinePunct w:val="0"/>
        <w:autoSpaceDE/>
        <w:autoSpaceDN/>
        <w:bidi w:val="0"/>
        <w:adjustRightInd/>
        <w:spacing w:line="360" w:lineRule="auto"/>
        <w:jc w:val="left"/>
        <w:textAlignment w:val="auto"/>
        <w:rPr>
          <w:rFonts w:hint="eastAsia" w:ascii="宋体" w:hAnsi="宋体" w:cs="宋体"/>
          <w:color w:val="auto"/>
          <w:sz w:val="24"/>
          <w:szCs w:val="24"/>
        </w:rPr>
        <w:sectPr>
          <w:headerReference r:id="rId4" w:type="first"/>
          <w:headerReference r:id="rId3" w:type="default"/>
          <w:footerReference r:id="rId5" w:type="default"/>
          <w:pgSz w:w="11907" w:h="16840"/>
          <w:pgMar w:top="1440" w:right="1247" w:bottom="1440" w:left="1247" w:header="851" w:footer="992" w:gutter="0"/>
          <w:pgNumType w:fmt="numberInDash" w:start="1"/>
          <w:cols w:space="720" w:num="1"/>
          <w:titlePg/>
          <w:docGrid w:type="lines" w:linePitch="380" w:charSpace="-5735"/>
        </w:sectPr>
      </w:pPr>
    </w:p>
    <w:p w14:paraId="03EDB65A">
      <w:pPr>
        <w:pageBreakBefore w:val="0"/>
        <w:tabs>
          <w:tab w:val="left" w:pos="1185"/>
          <w:tab w:val="center" w:pos="4156"/>
          <w:tab w:val="left" w:pos="7095"/>
        </w:tabs>
        <w:kinsoku/>
        <w:wordWrap/>
        <w:overflowPunct/>
        <w:topLinePunct w:val="0"/>
        <w:autoSpaceDN/>
        <w:bidi w:val="0"/>
        <w:adjustRightInd/>
        <w:spacing w:line="400" w:lineRule="exact"/>
        <w:jc w:val="left"/>
        <w:rPr>
          <w:rFonts w:hint="eastAsia" w:ascii="宋体" w:hAnsi="宋体" w:cs="宋体"/>
          <w:b/>
          <w:bCs/>
          <w:sz w:val="40"/>
          <w:szCs w:val="40"/>
        </w:rPr>
      </w:pPr>
      <w:r>
        <w:rPr>
          <w:rFonts w:hint="eastAsia" w:ascii="宋体" w:hAnsi="宋体" w:cs="宋体"/>
          <w:sz w:val="24"/>
          <w:szCs w:val="24"/>
        </w:rPr>
        <w:tab/>
      </w:r>
      <w:r>
        <w:rPr>
          <w:rFonts w:hint="eastAsia" w:ascii="宋体" w:hAnsi="宋体" w:cs="宋体"/>
        </w:rPr>
        <w:tab/>
      </w:r>
      <w:r>
        <w:rPr>
          <w:rFonts w:hint="eastAsia" w:ascii="宋体" w:hAnsi="宋体" w:cs="宋体"/>
          <w:b/>
          <w:bCs/>
          <w:sz w:val="40"/>
          <w:szCs w:val="40"/>
        </w:rPr>
        <w:t>目  录</w:t>
      </w:r>
    </w:p>
    <w:p w14:paraId="68B4E780">
      <w:pPr>
        <w:pStyle w:val="19"/>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TOC \o "1-3" \h \z \u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_Toc5174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36"/>
        </w:rPr>
        <w:t xml:space="preserve">第一篇  </w:t>
      </w:r>
      <w:r>
        <w:rPr>
          <w:rFonts w:hint="eastAsia" w:ascii="宋体" w:hAnsi="宋体" w:eastAsia="宋体" w:cs="宋体"/>
          <w:b w:val="0"/>
          <w:bCs w:val="0"/>
          <w:color w:val="auto"/>
          <w:szCs w:val="36"/>
          <w:lang w:eastAsia="zh-CN"/>
        </w:rPr>
        <w:t>竞采文件</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_Toc5174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- 3 -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4081510B">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_Toc20646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一、竞采项目内容</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_Toc20646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- 3 -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5734228A">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_Toc29515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二、供应商资格条件</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_Toc29515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- 3 -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0CAE26A0">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_Toc30065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三、竞采有关说明</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_Toc30065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- 3 -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278C048F">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_Toc6897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四、竞采有关规定</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_Toc6897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- 4 -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7FB5AADA">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_Toc10251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五、联系方式</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_Toc10251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- 4 -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4AC5CE44">
      <w:pPr>
        <w:pStyle w:val="20"/>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_Toc17308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rPr>
        <w:t>第二篇  供应商须知</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_Toc17308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- 6 -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307397F2">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_Toc13629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一、竞采费用</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_Toc13629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- 6 -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28F7F23D">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_Toc11404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二、</w:t>
      </w:r>
      <w:r>
        <w:rPr>
          <w:rFonts w:hint="eastAsia" w:cs="宋体"/>
          <w:b w:val="0"/>
          <w:bCs w:val="0"/>
          <w:color w:val="auto"/>
          <w:szCs w:val="24"/>
          <w:lang w:eastAsia="zh-CN"/>
        </w:rPr>
        <w:t>竞采文件</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_Toc11404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- 6 -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3F207493">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_Toc22137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三、竞采要求</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_Toc22137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- 6 -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0415C140">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_Toc3030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四、竞采程序及成交标准</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_Toc3030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- 8 -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5A48B2E9">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_Toc27201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五、评审标准</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_Toc27201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- 10 -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3DFA74C9">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_Toc19373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六、评审依据</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_Toc19373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- 13 -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3BD31AAA">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_Toc2253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七、成交通知</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_Toc2253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- 13 -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3575ED9B">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_Toc26358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八、关于质疑和投诉</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_Toc26358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- 13 -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65EDCEEE">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_Toc7889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九、签订合同</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_Toc7889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- 13 -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7F28B81B">
      <w:pPr>
        <w:pStyle w:val="20"/>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_Toc1896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rPr>
        <w:t xml:space="preserve">第三篇  </w:t>
      </w:r>
      <w:r>
        <w:rPr>
          <w:rFonts w:hint="eastAsia" w:ascii="宋体" w:hAnsi="宋体" w:eastAsia="宋体" w:cs="宋体"/>
          <w:b w:val="0"/>
          <w:bCs w:val="0"/>
          <w:color w:val="auto"/>
          <w:lang w:eastAsia="zh-CN"/>
        </w:rPr>
        <w:t>项目服务需求</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_Toc1896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- 15 -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33B8927B">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_Toc18331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kern w:val="2"/>
          <w:szCs w:val="24"/>
          <w:lang w:val="en-US" w:eastAsia="zh-CN" w:bidi="ar"/>
        </w:rPr>
        <w:t>※</w:t>
      </w:r>
      <w:r>
        <w:rPr>
          <w:rFonts w:hint="eastAsia" w:ascii="宋体" w:hAnsi="宋体" w:eastAsia="宋体" w:cs="宋体"/>
          <w:b w:val="0"/>
          <w:bCs w:val="0"/>
          <w:color w:val="auto"/>
          <w:szCs w:val="24"/>
        </w:rPr>
        <w:t>一、采购项目基本情况</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_Toc18331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- 15 -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71F5C305">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_Toc22987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kern w:val="2"/>
          <w:szCs w:val="24"/>
          <w:lang w:val="en-US" w:eastAsia="zh-CN" w:bidi="ar"/>
        </w:rPr>
        <w:t>※</w:t>
      </w:r>
      <w:r>
        <w:rPr>
          <w:rFonts w:hint="eastAsia" w:ascii="宋体" w:hAnsi="宋体" w:eastAsia="宋体" w:cs="宋体"/>
          <w:b w:val="0"/>
          <w:bCs w:val="0"/>
          <w:color w:val="auto"/>
          <w:szCs w:val="24"/>
        </w:rPr>
        <w:t>二、服务技术要求</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_Toc22987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- 15 -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75B91674">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_Toc10454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三、药物及施药要求</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_Toc10454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- 16 -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347D84F4">
      <w:pPr>
        <w:pStyle w:val="20"/>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_Toc28945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rPr>
        <w:t>第四篇  商务需求</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_Toc28945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- 18 -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0B54F390">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_Toc26041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highlight w:val="none"/>
        </w:rPr>
        <w:t>一、服务期、服务地点及验收方式</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_Toc26041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- 18 -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05DBA1ED">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_Toc5987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highlight w:val="none"/>
          <w:lang w:eastAsia="zh-CN"/>
        </w:rPr>
        <w:t>二</w:t>
      </w:r>
      <w:r>
        <w:rPr>
          <w:rFonts w:hint="eastAsia" w:ascii="宋体" w:hAnsi="宋体" w:eastAsia="宋体" w:cs="宋体"/>
          <w:b w:val="0"/>
          <w:bCs w:val="0"/>
          <w:color w:val="auto"/>
          <w:szCs w:val="24"/>
          <w:highlight w:val="none"/>
        </w:rPr>
        <w:t>、报价要求</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_Toc5987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- 18 -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45A602B1">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_Toc11379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highlight w:val="none"/>
          <w:lang w:val="en-US" w:eastAsia="zh-CN"/>
        </w:rPr>
        <w:t>三、结算</w:t>
      </w:r>
      <w:r>
        <w:rPr>
          <w:rFonts w:hint="eastAsia" w:ascii="宋体" w:hAnsi="宋体" w:eastAsia="宋体" w:cs="宋体"/>
          <w:b w:val="0"/>
          <w:bCs w:val="0"/>
          <w:color w:val="auto"/>
          <w:szCs w:val="24"/>
          <w:highlight w:val="none"/>
          <w:lang w:eastAsia="zh-CN"/>
        </w:rPr>
        <w:t>方式</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_Toc11379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- 18 -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67532493">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_Toc9295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highlight w:val="none"/>
          <w:lang w:val="en-US" w:eastAsia="zh-CN"/>
        </w:rPr>
        <w:t>四、知识产权</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_Toc9295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- 18 -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03F2476F">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_Toc14338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kern w:val="2"/>
          <w:szCs w:val="24"/>
        </w:rPr>
        <w:t>五、其他</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_Toc14338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- 18 -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6D9B592C">
      <w:pPr>
        <w:pStyle w:val="20"/>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_Toc27075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rPr>
        <w:t>第五篇  合同主要条款和格式合同（样本）</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_Toc27075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- 19 -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032B756A">
      <w:pPr>
        <w:pStyle w:val="20"/>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_Toc12776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rPr>
        <w:t>第六篇  响应文件格式</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_Toc12776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- 21 -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4222CABD">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_Toc5490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一、经济部分</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_Toc5490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- 22 -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52A5B497">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_Toc31316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二、</w:t>
      </w:r>
      <w:r>
        <w:rPr>
          <w:rFonts w:hint="eastAsia" w:ascii="宋体" w:hAnsi="宋体" w:eastAsia="宋体" w:cs="宋体"/>
          <w:b w:val="0"/>
          <w:bCs w:val="0"/>
          <w:color w:val="auto"/>
          <w:szCs w:val="24"/>
          <w:lang w:eastAsia="zh-CN"/>
        </w:rPr>
        <w:t>服务部分</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_Toc31316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- 24 -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50AA51E8">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_Toc4826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三、商务部分</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_Toc4826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- 26 -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298A61B3">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_Toc21174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四、资格条件及其他</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_Toc21174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- 28 -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70C4C1F7">
      <w:pPr>
        <w:pStyle w:val="12"/>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_Toc6663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24"/>
        </w:rPr>
        <w:t>五、 其他应提供的资料</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_Toc6663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- 33 -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5FA3E902">
      <w:pPr>
        <w:pStyle w:val="19"/>
        <w:tabs>
          <w:tab w:val="right" w:leader="dot" w:pos="8313"/>
          <w:tab w:val="clear" w:pos="8303"/>
        </w:tabs>
        <w:spacing w:line="360" w:lineRule="auto"/>
        <w:rPr>
          <w:rFonts w:hint="eastAsia" w:ascii="宋体" w:hAnsi="宋体" w:eastAsia="宋体" w:cs="宋体"/>
          <w:b w:val="0"/>
          <w:bCs w:val="0"/>
          <w:color w:val="auto"/>
        </w:rPr>
      </w:pPr>
      <w:r>
        <w:rPr>
          <w:rFonts w:hint="eastAsia" w:ascii="宋体" w:hAnsi="宋体" w:eastAsia="宋体" w:cs="宋体"/>
          <w:b w:val="0"/>
          <w:bCs w:val="0"/>
          <w:color w:val="auto"/>
          <w:szCs w:val="28"/>
        </w:rPr>
        <w:fldChar w:fldCharType="begin"/>
      </w:r>
      <w:r>
        <w:rPr>
          <w:rFonts w:hint="eastAsia" w:ascii="宋体" w:hAnsi="宋体" w:eastAsia="宋体" w:cs="宋体"/>
          <w:b w:val="0"/>
          <w:bCs w:val="0"/>
          <w:color w:val="auto"/>
          <w:szCs w:val="28"/>
        </w:rPr>
        <w:instrText xml:space="preserve"> HYPERLINK \l _Toc1499 </w:instrText>
      </w:r>
      <w:r>
        <w:rPr>
          <w:rFonts w:hint="eastAsia" w:ascii="宋体" w:hAnsi="宋体" w:eastAsia="宋体" w:cs="宋体"/>
          <w:b w:val="0"/>
          <w:bCs w:val="0"/>
          <w:color w:val="auto"/>
          <w:szCs w:val="28"/>
        </w:rPr>
        <w:fldChar w:fldCharType="separate"/>
      </w:r>
      <w:r>
        <w:rPr>
          <w:rFonts w:hint="eastAsia" w:ascii="宋体" w:hAnsi="宋体" w:eastAsia="宋体" w:cs="宋体"/>
          <w:b w:val="0"/>
          <w:bCs w:val="0"/>
          <w:color w:val="auto"/>
          <w:szCs w:val="36"/>
        </w:rPr>
        <w:t>附件1：采购文件发售登记表</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begin"/>
      </w:r>
      <w:r>
        <w:rPr>
          <w:rFonts w:hint="eastAsia" w:ascii="宋体" w:hAnsi="宋体" w:eastAsia="宋体" w:cs="宋体"/>
          <w:b w:val="0"/>
          <w:bCs w:val="0"/>
          <w:color w:val="auto"/>
        </w:rPr>
        <w:instrText xml:space="preserve"> PAGEREF _Toc1499 \h </w:instrText>
      </w:r>
      <w:r>
        <w:rPr>
          <w:rFonts w:hint="eastAsia" w:ascii="宋体" w:hAnsi="宋体" w:eastAsia="宋体" w:cs="宋体"/>
          <w:b w:val="0"/>
          <w:bCs w:val="0"/>
          <w:color w:val="auto"/>
        </w:rPr>
        <w:fldChar w:fldCharType="separate"/>
      </w:r>
      <w:r>
        <w:rPr>
          <w:rFonts w:hint="eastAsia" w:ascii="宋体" w:hAnsi="宋体" w:eastAsia="宋体" w:cs="宋体"/>
          <w:b w:val="0"/>
          <w:bCs w:val="0"/>
          <w:color w:val="auto"/>
        </w:rPr>
        <w:t>- 34 -</w:t>
      </w:r>
      <w:r>
        <w:rPr>
          <w:rFonts w:hint="eastAsia" w:ascii="宋体" w:hAnsi="宋体" w:eastAsia="宋体" w:cs="宋体"/>
          <w:b w:val="0"/>
          <w:bCs w:val="0"/>
          <w:color w:val="auto"/>
        </w:rPr>
        <w:fldChar w:fldCharType="end"/>
      </w:r>
      <w:r>
        <w:rPr>
          <w:rFonts w:hint="eastAsia" w:ascii="宋体" w:hAnsi="宋体" w:eastAsia="宋体" w:cs="宋体"/>
          <w:b w:val="0"/>
          <w:bCs w:val="0"/>
          <w:color w:val="auto"/>
          <w:szCs w:val="28"/>
        </w:rPr>
        <w:fldChar w:fldCharType="end"/>
      </w:r>
    </w:p>
    <w:p w14:paraId="1C116F20">
      <w:pPr>
        <w:pageBreakBefore w:val="0"/>
        <w:kinsoku/>
        <w:wordWrap/>
        <w:overflowPunct/>
        <w:topLinePunct w:val="0"/>
        <w:autoSpaceDN/>
        <w:bidi w:val="0"/>
        <w:adjustRightInd/>
        <w:spacing w:line="360" w:lineRule="auto"/>
        <w:rPr>
          <w:rFonts w:hint="eastAsia" w:ascii="宋体" w:hAnsi="宋体" w:cs="宋体"/>
          <w:sz w:val="24"/>
          <w:szCs w:val="24"/>
        </w:rPr>
        <w:sectPr>
          <w:footerReference r:id="rId7" w:type="first"/>
          <w:footerReference r:id="rId6"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宋体" w:hAnsi="宋体" w:eastAsia="宋体" w:cs="宋体"/>
          <w:b w:val="0"/>
          <w:bCs w:val="0"/>
          <w:color w:val="auto"/>
          <w:szCs w:val="28"/>
        </w:rPr>
        <w:fldChar w:fldCharType="end"/>
      </w:r>
    </w:p>
    <w:p w14:paraId="36F5D2BE">
      <w:pPr>
        <w:pStyle w:val="2"/>
        <w:pageBreakBefore w:val="0"/>
        <w:kinsoku/>
        <w:wordWrap/>
        <w:overflowPunct/>
        <w:topLinePunct w:val="0"/>
        <w:autoSpaceDN/>
        <w:bidi w:val="0"/>
        <w:adjustRightInd/>
        <w:spacing w:line="400" w:lineRule="exact"/>
        <w:jc w:val="center"/>
        <w:rPr>
          <w:rFonts w:hint="eastAsia" w:hAnsi="宋体" w:eastAsia="宋体"/>
          <w:b w:val="0"/>
          <w:bCs w:val="0"/>
          <w:sz w:val="36"/>
          <w:szCs w:val="36"/>
          <w:lang w:eastAsia="zh-CN"/>
        </w:rPr>
      </w:pPr>
      <w:bookmarkStart w:id="38" w:name="_Toc11710"/>
      <w:bookmarkStart w:id="39" w:name="_Toc152480139"/>
      <w:bookmarkStart w:id="40" w:name="_Toc5174"/>
      <w:bookmarkStart w:id="41" w:name="_Toc128744981"/>
      <w:bookmarkStart w:id="42" w:name="_Toc12789052"/>
      <w:bookmarkStart w:id="43" w:name="_Toc11641050"/>
      <w:r>
        <w:rPr>
          <w:rFonts w:hint="eastAsia" w:hAnsi="宋体"/>
          <w:b w:val="0"/>
          <w:bCs w:val="0"/>
          <w:sz w:val="36"/>
          <w:szCs w:val="36"/>
        </w:rPr>
        <w:t xml:space="preserve">第一篇  </w:t>
      </w:r>
      <w:bookmarkEnd w:id="38"/>
      <w:bookmarkEnd w:id="39"/>
      <w:bookmarkEnd w:id="40"/>
      <w:r>
        <w:rPr>
          <w:rFonts w:hint="eastAsia" w:hAnsi="宋体"/>
          <w:b w:val="0"/>
          <w:bCs w:val="0"/>
          <w:sz w:val="36"/>
          <w:szCs w:val="36"/>
          <w:lang w:eastAsia="zh-CN"/>
        </w:rPr>
        <w:t>竞采文件</w:t>
      </w:r>
    </w:p>
    <w:p w14:paraId="67C64C6A">
      <w:pPr>
        <w:pageBreakBefore w:val="0"/>
        <w:kinsoku/>
        <w:wordWrap/>
        <w:overflowPunct/>
        <w:topLinePunct w:val="0"/>
        <w:autoSpaceDN/>
        <w:bidi w:val="0"/>
        <w:adjustRightInd/>
        <w:snapToGrid w:val="0"/>
        <w:spacing w:line="400" w:lineRule="exact"/>
        <w:rPr>
          <w:rFonts w:hint="eastAsia" w:ascii="宋体" w:hAnsi="宋体" w:cs="宋体"/>
          <w:sz w:val="24"/>
          <w:szCs w:val="24"/>
        </w:rPr>
      </w:pPr>
    </w:p>
    <w:p w14:paraId="40A2D4C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rPr>
      </w:pPr>
      <w:bookmarkStart w:id="44" w:name="_Toc379619850"/>
      <w:r>
        <w:rPr>
          <w:rFonts w:hint="eastAsia" w:ascii="宋体" w:hAnsi="宋体" w:cs="宋体"/>
          <w:sz w:val="24"/>
          <w:szCs w:val="24"/>
          <w:u w:val="single"/>
          <w:lang w:eastAsia="zh-CN"/>
        </w:rPr>
        <w:t>重庆政相关科技有限公司</w:t>
      </w:r>
      <w:r>
        <w:rPr>
          <w:rFonts w:hint="eastAsia" w:ascii="宋体" w:hAnsi="宋体" w:cs="宋体"/>
          <w:sz w:val="24"/>
          <w:szCs w:val="24"/>
        </w:rPr>
        <w:t>（以下简称代理机构）受</w:t>
      </w:r>
      <w:r>
        <w:rPr>
          <w:rFonts w:hint="eastAsia" w:ascii="宋体" w:hAnsi="宋体" w:cs="宋体"/>
          <w:sz w:val="24"/>
          <w:szCs w:val="24"/>
          <w:u w:val="single"/>
          <w:lang w:eastAsia="zh-CN"/>
        </w:rPr>
        <w:t>重庆市渝北区空港实验中学校</w:t>
      </w:r>
      <w:r>
        <w:rPr>
          <w:rFonts w:hint="eastAsia" w:ascii="宋体" w:hAnsi="宋体" w:cs="宋体"/>
          <w:sz w:val="24"/>
          <w:szCs w:val="24"/>
        </w:rPr>
        <w:t>（以下简称</w:t>
      </w:r>
      <w:r>
        <w:rPr>
          <w:rFonts w:hint="eastAsia" w:ascii="宋体" w:hAnsi="宋体" w:cs="宋体"/>
          <w:sz w:val="24"/>
          <w:szCs w:val="24"/>
          <w:lang w:val="en-US" w:eastAsia="zh-CN"/>
        </w:rPr>
        <w:t>采购人</w:t>
      </w:r>
      <w:r>
        <w:rPr>
          <w:rFonts w:hint="eastAsia" w:ascii="宋体" w:hAnsi="宋体" w:cs="宋体"/>
          <w:sz w:val="24"/>
          <w:szCs w:val="24"/>
        </w:rPr>
        <w:t>）的委托，</w:t>
      </w:r>
      <w:r>
        <w:rPr>
          <w:rFonts w:hint="eastAsia" w:ascii="宋体" w:hAnsi="宋体" w:cs="宋体"/>
          <w:color w:val="auto"/>
          <w:sz w:val="24"/>
          <w:szCs w:val="24"/>
        </w:rPr>
        <w:t>对</w:t>
      </w:r>
      <w:r>
        <w:rPr>
          <w:rFonts w:hint="eastAsia" w:ascii="宋体" w:hAnsi="宋体" w:eastAsia="宋体" w:cs="宋体"/>
          <w:b w:val="0"/>
          <w:bCs w:val="0"/>
          <w:color w:val="auto"/>
          <w:kern w:val="0"/>
          <w:sz w:val="24"/>
          <w:szCs w:val="24"/>
          <w:highlight w:val="none"/>
          <w:u w:val="single"/>
          <w:lang w:eastAsia="zh-CN"/>
        </w:rPr>
        <w:t>渝北区空港实验中学202</w:t>
      </w:r>
      <w:r>
        <w:rPr>
          <w:rFonts w:hint="eastAsia" w:ascii="宋体" w:hAnsi="宋体" w:eastAsia="宋体" w:cs="宋体"/>
          <w:b w:val="0"/>
          <w:bCs w:val="0"/>
          <w:color w:val="auto"/>
          <w:kern w:val="0"/>
          <w:sz w:val="24"/>
          <w:szCs w:val="24"/>
          <w:highlight w:val="none"/>
          <w:u w:val="single"/>
          <w:lang w:val="en-US" w:eastAsia="zh-CN"/>
        </w:rPr>
        <w:t>6</w:t>
      </w:r>
      <w:r>
        <w:rPr>
          <w:rFonts w:hint="eastAsia" w:ascii="宋体" w:hAnsi="宋体" w:eastAsia="宋体" w:cs="宋体"/>
          <w:b w:val="0"/>
          <w:bCs w:val="0"/>
          <w:color w:val="auto"/>
          <w:kern w:val="0"/>
          <w:sz w:val="24"/>
          <w:szCs w:val="24"/>
          <w:highlight w:val="none"/>
          <w:u w:val="single"/>
          <w:lang w:eastAsia="zh-CN"/>
        </w:rPr>
        <w:t>年病媒生物防治项目</w:t>
      </w:r>
      <w:r>
        <w:rPr>
          <w:rFonts w:hint="eastAsia" w:ascii="宋体" w:hAnsi="宋体" w:cs="宋体"/>
          <w:color w:val="auto"/>
          <w:sz w:val="24"/>
          <w:szCs w:val="24"/>
        </w:rPr>
        <w:t>进行竞采采购。</w:t>
      </w:r>
      <w:r>
        <w:rPr>
          <w:rFonts w:hint="eastAsia" w:ascii="宋体" w:hAnsi="宋体" w:cs="宋体"/>
          <w:sz w:val="24"/>
          <w:szCs w:val="24"/>
        </w:rPr>
        <w:t>欢迎具备相关资质的供应商</w:t>
      </w:r>
      <w:r>
        <w:rPr>
          <w:rFonts w:hint="eastAsia" w:ascii="宋体" w:hAnsi="宋体" w:cs="宋体"/>
          <w:sz w:val="24"/>
          <w:szCs w:val="24"/>
          <w:lang w:val="en-US" w:eastAsia="zh-CN"/>
        </w:rPr>
        <w:t>参与投标</w:t>
      </w:r>
      <w:r>
        <w:rPr>
          <w:rFonts w:hint="eastAsia" w:ascii="宋体" w:hAnsi="宋体" w:cs="宋体"/>
          <w:color w:val="auto"/>
          <w:sz w:val="24"/>
          <w:szCs w:val="24"/>
        </w:rPr>
        <w:t>。</w:t>
      </w:r>
    </w:p>
    <w:p w14:paraId="595A71A3">
      <w:pPr>
        <w:pStyle w:val="4"/>
        <w:pageBreakBefore w:val="0"/>
        <w:kinsoku/>
        <w:wordWrap/>
        <w:overflowPunct/>
        <w:topLinePunct w:val="0"/>
        <w:autoSpaceDN/>
        <w:bidi w:val="0"/>
        <w:adjustRightInd/>
        <w:spacing w:before="0" w:after="0" w:line="400" w:lineRule="exact"/>
        <w:rPr>
          <w:rFonts w:hint="eastAsia" w:ascii="宋体" w:hAnsi="宋体" w:cs="宋体"/>
          <w:color w:val="auto"/>
          <w:sz w:val="24"/>
          <w:szCs w:val="24"/>
        </w:rPr>
      </w:pPr>
      <w:bookmarkStart w:id="45" w:name="_Toc2280"/>
      <w:bookmarkStart w:id="46" w:name="_Toc20646"/>
      <w:r>
        <w:rPr>
          <w:rFonts w:hint="eastAsia" w:ascii="宋体" w:hAnsi="宋体" w:cs="宋体"/>
          <w:color w:val="auto"/>
          <w:sz w:val="24"/>
          <w:szCs w:val="24"/>
        </w:rPr>
        <w:t>一、竞采项目内容</w:t>
      </w:r>
      <w:bookmarkEnd w:id="44"/>
      <w:bookmarkEnd w:id="45"/>
      <w:bookmarkEnd w:id="46"/>
    </w:p>
    <w:tbl>
      <w:tblPr>
        <w:tblStyle w:val="2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3704"/>
        <w:gridCol w:w="1602"/>
        <w:gridCol w:w="1746"/>
        <w:gridCol w:w="1747"/>
      </w:tblGrid>
      <w:tr w14:paraId="69E0A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428" w:type="pct"/>
            <w:noWrap w:val="0"/>
            <w:vAlign w:val="center"/>
          </w:tcPr>
          <w:p w14:paraId="003CA7DC">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color w:val="auto"/>
                <w:sz w:val="24"/>
                <w:szCs w:val="24"/>
              </w:rPr>
            </w:pPr>
            <w:bookmarkStart w:id="47" w:name="_Toc378251877"/>
            <w:bookmarkStart w:id="48" w:name="_Toc152480140"/>
            <w:r>
              <w:rPr>
                <w:rFonts w:hint="eastAsia" w:ascii="宋体" w:hAnsi="宋体" w:cs="宋体"/>
                <w:b/>
                <w:color w:val="auto"/>
                <w:sz w:val="24"/>
                <w:szCs w:val="24"/>
              </w:rPr>
              <w:t>序号</w:t>
            </w:r>
          </w:p>
        </w:tc>
        <w:tc>
          <w:tcPr>
            <w:tcW w:w="1924" w:type="pct"/>
            <w:noWrap w:val="0"/>
            <w:vAlign w:val="center"/>
          </w:tcPr>
          <w:p w14:paraId="2E7376C3">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项目名称</w:t>
            </w:r>
          </w:p>
        </w:tc>
        <w:tc>
          <w:tcPr>
            <w:tcW w:w="832" w:type="pct"/>
            <w:noWrap w:val="0"/>
            <w:vAlign w:val="center"/>
          </w:tcPr>
          <w:p w14:paraId="4EBF406E">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最高限价</w:t>
            </w:r>
          </w:p>
          <w:p w14:paraId="773C855E">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（元）</w:t>
            </w:r>
          </w:p>
        </w:tc>
        <w:tc>
          <w:tcPr>
            <w:tcW w:w="907" w:type="pct"/>
            <w:noWrap w:val="0"/>
            <w:vAlign w:val="center"/>
          </w:tcPr>
          <w:p w14:paraId="48EF5269">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竞标保证金</w:t>
            </w:r>
          </w:p>
          <w:p w14:paraId="0AC35F15">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（元）</w:t>
            </w:r>
          </w:p>
        </w:tc>
        <w:tc>
          <w:tcPr>
            <w:tcW w:w="907" w:type="pct"/>
            <w:noWrap w:val="0"/>
            <w:vAlign w:val="center"/>
          </w:tcPr>
          <w:p w14:paraId="1EA34AC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成交供应商</w:t>
            </w:r>
          </w:p>
          <w:p w14:paraId="3B57463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数量（名）</w:t>
            </w:r>
          </w:p>
        </w:tc>
      </w:tr>
      <w:tr w14:paraId="1D10E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428" w:type="pct"/>
            <w:noWrap w:val="0"/>
            <w:vAlign w:val="center"/>
          </w:tcPr>
          <w:p w14:paraId="6930619F">
            <w:pPr>
              <w:pStyle w:val="67"/>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hAnsi="宋体"/>
                <w:b w:val="0"/>
                <w:bCs w:val="0"/>
                <w:color w:val="auto"/>
                <w:sz w:val="24"/>
                <w:szCs w:val="24"/>
              </w:rPr>
            </w:pPr>
            <w:r>
              <w:rPr>
                <w:rFonts w:hint="eastAsia" w:hAnsi="宋体"/>
                <w:b w:val="0"/>
                <w:bCs w:val="0"/>
                <w:color w:val="auto"/>
                <w:sz w:val="24"/>
                <w:szCs w:val="24"/>
              </w:rPr>
              <w:t>1</w:t>
            </w:r>
          </w:p>
        </w:tc>
        <w:tc>
          <w:tcPr>
            <w:tcW w:w="1924" w:type="pct"/>
            <w:noWrap w:val="0"/>
            <w:vAlign w:val="center"/>
          </w:tcPr>
          <w:p w14:paraId="5FFC2569">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4"/>
                <w:szCs w:val="24"/>
                <w:highlight w:val="none"/>
                <w:lang w:eastAsia="zh-CN"/>
              </w:rPr>
              <w:t>渝北区空港实验中学202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eastAsia="zh-CN"/>
              </w:rPr>
              <w:t>年病媒生物防治项目</w:t>
            </w:r>
          </w:p>
        </w:tc>
        <w:tc>
          <w:tcPr>
            <w:tcW w:w="832" w:type="pct"/>
            <w:noWrap w:val="0"/>
            <w:vAlign w:val="center"/>
          </w:tcPr>
          <w:p w14:paraId="1D95BA5C">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center"/>
              <w:textAlignment w:val="center"/>
              <w:rPr>
                <w:rFonts w:hint="default" w:ascii="宋体" w:hAnsi="宋体" w:cs="宋体"/>
                <w:b w:val="0"/>
                <w:bCs w:val="0"/>
                <w:color w:val="auto"/>
                <w:sz w:val="24"/>
                <w:szCs w:val="24"/>
              </w:rPr>
            </w:pPr>
            <w:r>
              <w:rPr>
                <w:rFonts w:hint="eastAsia" w:ascii="宋体" w:hAnsi="宋体" w:cs="宋体"/>
                <w:b w:val="0"/>
                <w:bCs w:val="0"/>
                <w:color w:val="auto"/>
                <w:sz w:val="24"/>
                <w:szCs w:val="24"/>
                <w:lang w:val="en-US" w:eastAsia="zh-CN"/>
              </w:rPr>
              <w:t>400</w:t>
            </w:r>
            <w:r>
              <w:rPr>
                <w:rFonts w:hint="eastAsia" w:ascii="宋体" w:hAnsi="宋体" w:cs="宋体"/>
                <w:b w:val="0"/>
                <w:bCs w:val="0"/>
                <w:color w:val="auto"/>
                <w:sz w:val="24"/>
                <w:szCs w:val="24"/>
              </w:rPr>
              <w:t>00.00</w:t>
            </w:r>
          </w:p>
        </w:tc>
        <w:tc>
          <w:tcPr>
            <w:tcW w:w="907" w:type="pct"/>
            <w:noWrap w:val="0"/>
            <w:vAlign w:val="center"/>
          </w:tcPr>
          <w:p w14:paraId="69D0BE14">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0</w:t>
            </w:r>
          </w:p>
        </w:tc>
        <w:tc>
          <w:tcPr>
            <w:tcW w:w="907" w:type="pct"/>
            <w:noWrap w:val="0"/>
            <w:vAlign w:val="center"/>
          </w:tcPr>
          <w:p w14:paraId="6A597FA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1</w:t>
            </w:r>
          </w:p>
        </w:tc>
      </w:tr>
      <w:bookmarkEnd w:id="47"/>
    </w:tbl>
    <w:p w14:paraId="62A5E012">
      <w:pPr>
        <w:pStyle w:val="4"/>
        <w:pageBreakBefore w:val="0"/>
        <w:kinsoku/>
        <w:wordWrap/>
        <w:overflowPunct/>
        <w:topLinePunct w:val="0"/>
        <w:autoSpaceDN/>
        <w:bidi w:val="0"/>
        <w:adjustRightInd/>
        <w:spacing w:before="0" w:after="0" w:line="400" w:lineRule="exact"/>
        <w:rPr>
          <w:rFonts w:hint="eastAsia" w:ascii="宋体" w:hAnsi="宋体" w:eastAsia="宋体" w:cs="宋体"/>
          <w:color w:val="auto"/>
          <w:sz w:val="24"/>
          <w:szCs w:val="24"/>
        </w:rPr>
      </w:pPr>
      <w:bookmarkStart w:id="49" w:name="_Toc6522"/>
      <w:bookmarkStart w:id="50" w:name="_Toc10349"/>
      <w:bookmarkStart w:id="51" w:name="_Toc29515"/>
      <w:bookmarkStart w:id="52" w:name="_Toc27057"/>
      <w:bookmarkStart w:id="53" w:name="_Toc487204774"/>
      <w:bookmarkStart w:id="54" w:name="_Toc1359"/>
      <w:r>
        <w:rPr>
          <w:rFonts w:hint="eastAsia" w:ascii="宋体" w:hAnsi="宋体" w:eastAsia="宋体" w:cs="宋体"/>
          <w:color w:val="auto"/>
          <w:sz w:val="24"/>
          <w:szCs w:val="24"/>
        </w:rPr>
        <w:t>二、供应商资格条件</w:t>
      </w:r>
      <w:bookmarkEnd w:id="49"/>
      <w:bookmarkEnd w:id="50"/>
      <w:bookmarkEnd w:id="51"/>
    </w:p>
    <w:p w14:paraId="0AF70D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270306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（二）本项目的特定资格要求：无。</w:t>
      </w:r>
    </w:p>
    <w:p w14:paraId="7B365EF8">
      <w:pPr>
        <w:pStyle w:val="4"/>
        <w:pageBreakBefore w:val="0"/>
        <w:kinsoku/>
        <w:wordWrap/>
        <w:overflowPunct/>
        <w:topLinePunct w:val="0"/>
        <w:autoSpaceDN/>
        <w:bidi w:val="0"/>
        <w:adjustRightInd/>
        <w:spacing w:before="0" w:after="0" w:line="400" w:lineRule="exact"/>
        <w:rPr>
          <w:rFonts w:hint="eastAsia" w:ascii="宋体" w:hAnsi="宋体" w:cs="宋体"/>
          <w:color w:val="auto"/>
          <w:sz w:val="24"/>
          <w:szCs w:val="24"/>
        </w:rPr>
      </w:pPr>
      <w:bookmarkStart w:id="55" w:name="_Toc30065"/>
      <w:r>
        <w:rPr>
          <w:rFonts w:hint="eastAsia" w:ascii="宋体" w:hAnsi="宋体" w:cs="宋体"/>
          <w:color w:val="auto"/>
          <w:sz w:val="24"/>
          <w:szCs w:val="24"/>
        </w:rPr>
        <w:t>三、竞采有关说明</w:t>
      </w:r>
      <w:bookmarkEnd w:id="52"/>
      <w:bookmarkEnd w:id="53"/>
      <w:bookmarkEnd w:id="54"/>
      <w:bookmarkEnd w:id="55"/>
    </w:p>
    <w:p w14:paraId="380B573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color w:val="auto"/>
          <w:sz w:val="24"/>
          <w:szCs w:val="24"/>
        </w:rPr>
        <w:t>（一）凡有意参加竞采的供应商，请于公告发布之日起至提交首次响应文</w:t>
      </w:r>
      <w:r>
        <w:rPr>
          <w:rFonts w:hint="eastAsia" w:ascii="宋体" w:hAnsi="宋体" w:cs="宋体"/>
          <w:sz w:val="24"/>
          <w:szCs w:val="24"/>
        </w:rPr>
        <w:t>件截止时间之前，在“行采家电子竞采(https://www.gec123.com/xe/）”上下载或到采购代理机构领取本项目竞采文件以及图纸、补遗等竞采前公布的所有项目资料，无论供应商下载或领取与否，均视为已知晓所有竞采实质性要求内容。</w:t>
      </w:r>
    </w:p>
    <w:p w14:paraId="4CCA3EC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（二）竞采文件报名期限：</w:t>
      </w:r>
      <w:r>
        <w:rPr>
          <w:rFonts w:hint="eastAsia" w:ascii="宋体" w:hAnsi="宋体" w:cs="宋体"/>
          <w:b/>
          <w:bCs/>
          <w:color w:val="auto"/>
          <w:sz w:val="24"/>
          <w:szCs w:val="24"/>
          <w:highlight w:val="none"/>
          <w:lang w:eastAsia="zh-CN"/>
        </w:rPr>
        <w:t>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27</w:t>
      </w:r>
      <w:r>
        <w:rPr>
          <w:rFonts w:hint="eastAsia" w:ascii="宋体" w:hAnsi="宋体" w:cs="宋体"/>
          <w:b/>
          <w:bCs/>
          <w:color w:val="auto"/>
          <w:sz w:val="24"/>
          <w:szCs w:val="24"/>
          <w:highlight w:val="none"/>
        </w:rPr>
        <w:t>日至</w:t>
      </w:r>
      <w:r>
        <w:rPr>
          <w:rFonts w:hint="eastAsia" w:ascii="宋体" w:hAnsi="宋体" w:cs="宋体"/>
          <w:b/>
          <w:bCs/>
          <w:color w:val="auto"/>
          <w:sz w:val="24"/>
          <w:szCs w:val="24"/>
          <w:highlight w:val="none"/>
          <w:lang w:eastAsia="zh-CN"/>
        </w:rPr>
        <w:t>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31</w:t>
      </w:r>
      <w:r>
        <w:rPr>
          <w:rFonts w:hint="eastAsia" w:ascii="宋体" w:hAnsi="宋体" w:cs="宋体"/>
          <w:b/>
          <w:bCs/>
          <w:color w:val="auto"/>
          <w:sz w:val="24"/>
          <w:szCs w:val="24"/>
          <w:highlight w:val="none"/>
        </w:rPr>
        <w:t>日17:30（工作时间）。</w:t>
      </w:r>
    </w:p>
    <w:p w14:paraId="7EE4F8C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（三）竞采文件购买费：竞采文件购买费为300元/分包（售后不退）。</w:t>
      </w:r>
    </w:p>
    <w:p w14:paraId="1417CBC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在竞采文件发售期内，投标人将竞采文件购买费用汇至以下账户内进行购买，并将竞采文件汇款凭证（注明采购执行编号及单位名称，若不注明报名无效）、《采购文件发售登记表》（加盖投标人公章）扫描后发送至</w:t>
      </w:r>
      <w:r>
        <w:rPr>
          <w:rFonts w:hint="eastAsia" w:ascii="宋体" w:hAnsi="宋体" w:cs="宋体"/>
          <w:sz w:val="24"/>
          <w:szCs w:val="24"/>
          <w:lang w:val="en-US" w:eastAsia="zh-CN"/>
        </w:rPr>
        <w:t>486066022</w:t>
      </w:r>
      <w:r>
        <w:rPr>
          <w:rFonts w:hint="eastAsia" w:ascii="宋体" w:hAnsi="宋体" w:cs="宋体"/>
          <w:sz w:val="24"/>
          <w:szCs w:val="24"/>
        </w:rPr>
        <w:t>@qq.com，按要求发送邮箱后方才购买成功。</w:t>
      </w:r>
    </w:p>
    <w:p w14:paraId="49E1E35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账户名：重庆政相关科技有限公司</w:t>
      </w:r>
    </w:p>
    <w:p w14:paraId="7E66954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账户：3100021709200262011</w:t>
      </w:r>
    </w:p>
    <w:p w14:paraId="0747454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开户行：工商银行重庆上清寺支行</w:t>
      </w:r>
    </w:p>
    <w:p w14:paraId="3E042EC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（四）供应商须满足以下两种要求，其响应文件才被接受：</w:t>
      </w:r>
    </w:p>
    <w:p w14:paraId="0E6198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1.按时递交了响应文件；</w:t>
      </w:r>
    </w:p>
    <w:p w14:paraId="35D3D15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2.按要求报名并递交《采购文件报名登记表》加盖供应商公章。</w:t>
      </w:r>
    </w:p>
    <w:p w14:paraId="273BA2C4">
      <w:pPr>
        <w:pStyle w:val="10"/>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b/>
          <w:bCs/>
          <w:color w:val="FF0000"/>
          <w:sz w:val="24"/>
          <w:szCs w:val="24"/>
        </w:rPr>
      </w:pPr>
      <w:r>
        <w:rPr>
          <w:rFonts w:hint="eastAsia" w:ascii="宋体" w:hAnsi="宋体" w:cs="宋体"/>
          <w:b/>
          <w:bCs/>
          <w:color w:val="FF0000"/>
          <w:sz w:val="24"/>
          <w:szCs w:val="24"/>
        </w:rPr>
        <w:t>本项目采取线上线下相结合的方式进行投标报价，投标供应商须在规定时间内完成平台电子响应文件及现场纸质响应文件的提交（纸质响应文件可邮寄），且线上线下递交的响应文件内容须保持一致，如不一致以纸质文件正本为准。缺少任意一项均视为无效响应，响应文件提交规则详见“第二篇--第三点、竞采要求”。</w:t>
      </w:r>
    </w:p>
    <w:p w14:paraId="6439ECF9">
      <w:pPr>
        <w:pageBreakBefore w:val="0"/>
        <w:widowControl w:val="0"/>
        <w:numPr>
          <w:ilvl w:val="0"/>
          <w:numId w:val="1"/>
        </w:numPr>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b/>
          <w:bCs/>
          <w:sz w:val="24"/>
          <w:szCs w:val="24"/>
        </w:rPr>
      </w:pPr>
      <w:r>
        <w:rPr>
          <w:rFonts w:hint="eastAsia" w:ascii="宋体" w:hAnsi="宋体" w:cs="宋体"/>
          <w:b/>
          <w:bCs/>
          <w:sz w:val="24"/>
          <w:szCs w:val="24"/>
        </w:rPr>
        <w:t>现场投标要求：</w:t>
      </w:r>
    </w:p>
    <w:p w14:paraId="6D20EC39">
      <w:pPr>
        <w:pageBreakBefore w:val="0"/>
        <w:widowControl w:val="0"/>
        <w:kinsoku/>
        <w:wordWrap/>
        <w:overflowPunct/>
        <w:topLinePunct w:val="0"/>
        <w:autoSpaceDE/>
        <w:autoSpaceDN/>
        <w:bidi w:val="0"/>
        <w:adjustRightInd/>
        <w:snapToGrid w:val="0"/>
        <w:spacing w:line="440" w:lineRule="exact"/>
        <w:ind w:firstLine="720" w:firstLineChars="300"/>
        <w:textAlignment w:val="auto"/>
        <w:rPr>
          <w:rFonts w:hint="eastAsia" w:ascii="宋体" w:hAnsi="宋体" w:eastAsia="宋体" w:cs="宋体"/>
          <w:sz w:val="24"/>
          <w:szCs w:val="24"/>
          <w:lang w:eastAsia="zh-CN"/>
        </w:rPr>
      </w:pPr>
      <w:r>
        <w:rPr>
          <w:rFonts w:hint="eastAsia" w:ascii="宋体" w:hAnsi="宋体" w:cs="宋体"/>
          <w:sz w:val="24"/>
          <w:szCs w:val="24"/>
        </w:rPr>
        <w:t>1.现场投标地点：</w:t>
      </w:r>
      <w:r>
        <w:rPr>
          <w:rFonts w:hint="eastAsia" w:ascii="宋体" w:hAnsi="宋体" w:cs="宋体"/>
          <w:sz w:val="24"/>
          <w:szCs w:val="24"/>
          <w:lang w:eastAsia="zh-CN"/>
        </w:rPr>
        <w:t>重庆市两江新区信达国际A座8楼</w:t>
      </w:r>
    </w:p>
    <w:p w14:paraId="0AB03DCD">
      <w:pPr>
        <w:pageBreakBefore w:val="0"/>
        <w:widowControl w:val="0"/>
        <w:kinsoku/>
        <w:wordWrap/>
        <w:overflowPunct/>
        <w:topLinePunct w:val="0"/>
        <w:autoSpaceDE/>
        <w:autoSpaceDN/>
        <w:bidi w:val="0"/>
        <w:adjustRightInd/>
        <w:snapToGrid w:val="0"/>
        <w:spacing w:line="440" w:lineRule="exact"/>
        <w:ind w:firstLine="720" w:firstLineChars="3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2.现场投标</w:t>
      </w:r>
      <w:r>
        <w:rPr>
          <w:rFonts w:hint="eastAsia" w:ascii="宋体" w:hAnsi="宋体" w:cs="宋体"/>
          <w:b/>
          <w:bCs/>
          <w:color w:val="auto"/>
          <w:sz w:val="24"/>
          <w:szCs w:val="24"/>
          <w:highlight w:val="none"/>
          <w:lang w:val="en-US" w:eastAsia="zh-CN"/>
        </w:rPr>
        <w:t>截止</w:t>
      </w:r>
      <w:r>
        <w:rPr>
          <w:rFonts w:hint="eastAsia" w:ascii="宋体" w:hAnsi="宋体" w:cs="宋体"/>
          <w:b/>
          <w:bCs/>
          <w:color w:val="auto"/>
          <w:sz w:val="24"/>
          <w:szCs w:val="24"/>
          <w:highlight w:val="none"/>
        </w:rPr>
        <w:t>时间：</w:t>
      </w:r>
      <w:r>
        <w:rPr>
          <w:rFonts w:hint="eastAsia" w:ascii="宋体" w:hAnsi="宋体" w:cs="宋体"/>
          <w:b/>
          <w:bCs/>
          <w:color w:val="auto"/>
          <w:sz w:val="24"/>
          <w:szCs w:val="24"/>
          <w:highlight w:val="none"/>
          <w:lang w:eastAsia="zh-CN"/>
        </w:rPr>
        <w:t>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日北京时间1</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p>
    <w:p w14:paraId="6D73B85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（六）行采家电子竞采投标要求：</w:t>
      </w:r>
    </w:p>
    <w:p w14:paraId="3C5A166B">
      <w:pPr>
        <w:pageBreakBefore w:val="0"/>
        <w:widowControl w:val="0"/>
        <w:kinsoku/>
        <w:wordWrap/>
        <w:overflowPunct/>
        <w:topLinePunct w:val="0"/>
        <w:autoSpaceDE/>
        <w:autoSpaceDN/>
        <w:bidi w:val="0"/>
        <w:adjustRightInd/>
        <w:snapToGrid w:val="0"/>
        <w:spacing w:line="440" w:lineRule="exact"/>
        <w:ind w:firstLine="720" w:firstLineChars="3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1.行采家电子竞采投标时间：</w:t>
      </w:r>
      <w:r>
        <w:rPr>
          <w:rFonts w:hint="eastAsia" w:ascii="宋体" w:hAnsi="宋体" w:cs="宋体"/>
          <w:b/>
          <w:bCs/>
          <w:color w:val="auto"/>
          <w:sz w:val="24"/>
          <w:szCs w:val="24"/>
          <w:highlight w:val="none"/>
          <w:lang w:eastAsia="zh-CN"/>
        </w:rPr>
        <w:t>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日北京时间9:00-1</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p>
    <w:p w14:paraId="412FF7D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（七）现场开标时间：</w:t>
      </w:r>
      <w:r>
        <w:rPr>
          <w:rFonts w:hint="eastAsia" w:ascii="宋体" w:hAnsi="宋体" w:cs="宋体"/>
          <w:b/>
          <w:bCs/>
          <w:color w:val="auto"/>
          <w:sz w:val="24"/>
          <w:szCs w:val="24"/>
          <w:highlight w:val="none"/>
          <w:lang w:eastAsia="zh-CN"/>
        </w:rPr>
        <w:t>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日北京时间1</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p>
    <w:p w14:paraId="0E174C6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（八）开标地点：同现场投标地点</w:t>
      </w:r>
    </w:p>
    <w:p w14:paraId="7A256225">
      <w:pPr>
        <w:pStyle w:val="4"/>
        <w:pageBreakBefore w:val="0"/>
        <w:widowControl w:val="0"/>
        <w:kinsoku/>
        <w:wordWrap/>
        <w:overflowPunct/>
        <w:topLinePunct w:val="0"/>
        <w:autoSpaceDE/>
        <w:autoSpaceDN/>
        <w:bidi w:val="0"/>
        <w:adjustRightInd/>
        <w:spacing w:before="0" w:after="0" w:line="440" w:lineRule="exact"/>
        <w:textAlignment w:val="auto"/>
        <w:rPr>
          <w:rFonts w:hint="eastAsia" w:ascii="宋体" w:hAnsi="宋体" w:cs="宋体"/>
          <w:sz w:val="24"/>
          <w:szCs w:val="24"/>
        </w:rPr>
      </w:pPr>
      <w:bookmarkStart w:id="56" w:name="_Toc6897"/>
      <w:bookmarkStart w:id="57" w:name="_Toc21293"/>
      <w:r>
        <w:rPr>
          <w:rFonts w:hint="eastAsia" w:ascii="宋体" w:hAnsi="宋体" w:cs="宋体"/>
          <w:sz w:val="24"/>
          <w:szCs w:val="24"/>
        </w:rPr>
        <w:t>四、竞采有关规定</w:t>
      </w:r>
      <w:bookmarkEnd w:id="56"/>
      <w:bookmarkEnd w:id="57"/>
    </w:p>
    <w:p w14:paraId="05FBD23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（一）单位负责人为同一人或者存在直接控股、管理关系的不同供应商，不得参加同一合同项下的政府采购活动，否则均为无效响应。</w:t>
      </w:r>
    </w:p>
    <w:p w14:paraId="3B9EDA1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（二）为采购项目提供整体设计、规范编制或者项目管理、监理、检测等服务的供应商，不得再参加该采购项目的其他采购活动，否则均为无效响应。</w:t>
      </w:r>
    </w:p>
    <w:p w14:paraId="670561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（三）同一项目的货物，制造商参与竞采的，不得再委托代理商参与竞采，否则均为无效响应。</w:t>
      </w:r>
    </w:p>
    <w:p w14:paraId="25137F8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（四）本项目的补遗文件（如果有）一律在行采家电子竞采中心(https://www.gec123.com/xe/）上发布，请各供应商注意下载或到</w:t>
      </w:r>
      <w:r>
        <w:rPr>
          <w:rFonts w:hint="eastAsia" w:ascii="宋体" w:hAnsi="宋体" w:cs="宋体"/>
          <w:sz w:val="24"/>
          <w:szCs w:val="24"/>
          <w:lang w:eastAsia="zh-CN"/>
        </w:rPr>
        <w:t>重庆政相关科技有限公司</w:t>
      </w:r>
      <w:r>
        <w:rPr>
          <w:rFonts w:hint="eastAsia" w:ascii="宋体" w:hAnsi="宋体" w:cs="宋体"/>
          <w:sz w:val="24"/>
          <w:szCs w:val="24"/>
        </w:rPr>
        <w:t>领取；无论供应商下载或领取与否，均视同供应商已知晓本项目补遗文件（如果有）的内容。</w:t>
      </w:r>
    </w:p>
    <w:p w14:paraId="46D041E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（五）超过响应文件截止时间递交的响应文件，恕不接收。</w:t>
      </w:r>
    </w:p>
    <w:p w14:paraId="18ED218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（六）竞采费用：无论竞采结果如何，供应商参与本项目竞采的所有费用均应由供应商自行承担。</w:t>
      </w:r>
    </w:p>
    <w:p w14:paraId="6ACF0D2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七）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4CED7D2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八</w:t>
      </w:r>
      <w:r>
        <w:rPr>
          <w:rFonts w:hint="eastAsia" w:ascii="宋体" w:hAnsi="宋体" w:eastAsia="宋体" w:cs="宋体"/>
          <w:sz w:val="24"/>
          <w:szCs w:val="24"/>
        </w:rPr>
        <w:t>）本项目不接受联合体参与</w:t>
      </w:r>
      <w:r>
        <w:rPr>
          <w:rFonts w:hint="eastAsia" w:ascii="宋体" w:hAnsi="宋体" w:cs="宋体"/>
          <w:sz w:val="24"/>
          <w:szCs w:val="24"/>
        </w:rPr>
        <w:t>竞选</w:t>
      </w:r>
      <w:r>
        <w:rPr>
          <w:rFonts w:hint="eastAsia" w:ascii="宋体" w:hAnsi="宋体" w:eastAsia="宋体" w:cs="宋体"/>
          <w:sz w:val="24"/>
          <w:szCs w:val="24"/>
        </w:rPr>
        <w:t>，否则按无效投标处理。</w:t>
      </w:r>
    </w:p>
    <w:p w14:paraId="688FF2C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九</w:t>
      </w:r>
      <w:r>
        <w:rPr>
          <w:rFonts w:hint="eastAsia" w:ascii="宋体" w:hAnsi="宋体" w:eastAsia="宋体" w:cs="宋体"/>
          <w:sz w:val="24"/>
          <w:szCs w:val="24"/>
        </w:rPr>
        <w:t>）本项目不接受合同分包，否则按无效投标处理。</w:t>
      </w:r>
    </w:p>
    <w:p w14:paraId="7439AE96">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bookmarkStart w:id="58" w:name="_Toc10401"/>
      <w:bookmarkStart w:id="59" w:name="_Toc10251"/>
      <w:r>
        <w:rPr>
          <w:rFonts w:hint="eastAsia" w:ascii="宋体" w:hAnsi="宋体" w:cs="宋体"/>
          <w:sz w:val="24"/>
          <w:szCs w:val="24"/>
        </w:rPr>
        <w:t>五、联系方式</w:t>
      </w:r>
      <w:bookmarkEnd w:id="58"/>
      <w:bookmarkEnd w:id="59"/>
    </w:p>
    <w:p w14:paraId="0DB84467">
      <w:pPr>
        <w:pageBreakBefore w:val="0"/>
        <w:kinsoku/>
        <w:wordWrap/>
        <w:overflowPunct/>
        <w:topLinePunct w:val="0"/>
        <w:autoSpaceDN/>
        <w:bidi w:val="0"/>
        <w:adjustRightInd/>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（一）采购人：</w:t>
      </w:r>
      <w:r>
        <w:rPr>
          <w:rFonts w:hint="eastAsia" w:ascii="宋体" w:hAnsi="宋体" w:eastAsia="宋体" w:cs="宋体"/>
          <w:color w:val="auto"/>
          <w:sz w:val="24"/>
          <w:szCs w:val="24"/>
          <w:highlight w:val="none"/>
          <w:lang w:eastAsia="zh-CN"/>
        </w:rPr>
        <w:t>重庆市渝北区空港实验中学校</w:t>
      </w:r>
    </w:p>
    <w:p w14:paraId="0D9D413C">
      <w:pPr>
        <w:pageBreakBefore w:val="0"/>
        <w:kinsoku/>
        <w:wordWrap/>
        <w:overflowPunct/>
        <w:topLinePunct w:val="0"/>
        <w:autoSpaceDN/>
        <w:bidi w:val="0"/>
        <w:adjustRightInd/>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联系人：</w:t>
      </w:r>
      <w:r>
        <w:rPr>
          <w:rFonts w:hint="eastAsia" w:ascii="宋体" w:hAnsi="宋体" w:eastAsia="宋体" w:cs="宋体"/>
          <w:color w:val="auto"/>
          <w:sz w:val="24"/>
          <w:szCs w:val="24"/>
          <w:highlight w:val="none"/>
          <w:lang w:val="en-US" w:eastAsia="zh-CN"/>
        </w:rPr>
        <w:t>江老师</w:t>
      </w:r>
    </w:p>
    <w:p w14:paraId="1CC926A4">
      <w:pPr>
        <w:pageBreakBefore w:val="0"/>
        <w:kinsoku/>
        <w:wordWrap/>
        <w:overflowPunct/>
        <w:topLinePunct w:val="0"/>
        <w:autoSpaceDN/>
        <w:bidi w:val="0"/>
        <w:adjustRightInd/>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w:t>
      </w:r>
      <w:r>
        <w:rPr>
          <w:rFonts w:hint="eastAsia" w:ascii="宋体" w:hAnsi="宋体" w:eastAsia="宋体" w:cs="宋体"/>
          <w:color w:val="auto"/>
          <w:sz w:val="24"/>
          <w:szCs w:val="24"/>
          <w:highlight w:val="none"/>
          <w:lang w:val="en-US" w:eastAsia="zh-CN"/>
        </w:rPr>
        <w:t>13648311069</w:t>
      </w:r>
    </w:p>
    <w:p w14:paraId="2191B711">
      <w:pPr>
        <w:pageBreakBefore w:val="0"/>
        <w:kinsoku/>
        <w:wordWrap/>
        <w:overflowPunct/>
        <w:topLinePunct w:val="0"/>
        <w:autoSpaceDN/>
        <w:bidi w:val="0"/>
        <w:adjustRightInd/>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rPr>
        <w:t>地  址：</w:t>
      </w:r>
      <w:r>
        <w:rPr>
          <w:rFonts w:hint="eastAsia" w:ascii="宋体" w:hAnsi="宋体" w:eastAsia="宋体" w:cs="宋体"/>
          <w:color w:val="auto"/>
          <w:sz w:val="24"/>
          <w:szCs w:val="24"/>
          <w:highlight w:val="none"/>
          <w:lang w:val="en-US" w:eastAsia="zh-CN"/>
        </w:rPr>
        <w:t>重庆市渝北区观月大道45号</w:t>
      </w:r>
    </w:p>
    <w:p w14:paraId="3A38E4C5">
      <w:pPr>
        <w:pageBreakBefore w:val="0"/>
        <w:kinsoku/>
        <w:wordWrap/>
        <w:overflowPunct/>
        <w:topLinePunct w:val="0"/>
        <w:autoSpaceDN/>
        <w:bidi w:val="0"/>
        <w:adjustRightInd/>
        <w:snapToGrid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（二）采购代理机构：</w:t>
      </w:r>
      <w:r>
        <w:rPr>
          <w:rFonts w:hint="eastAsia" w:ascii="宋体" w:hAnsi="宋体" w:cs="宋体"/>
          <w:color w:val="auto"/>
          <w:sz w:val="24"/>
          <w:szCs w:val="24"/>
          <w:lang w:eastAsia="zh-CN"/>
        </w:rPr>
        <w:t>重庆政相关科技有限公司</w:t>
      </w:r>
    </w:p>
    <w:p w14:paraId="38A04F7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蒋</w:t>
      </w:r>
      <w:r>
        <w:rPr>
          <w:rFonts w:hint="eastAsia" w:ascii="宋体" w:hAnsi="宋体" w:cs="宋体"/>
          <w:color w:val="auto"/>
          <w:sz w:val="24"/>
          <w:szCs w:val="24"/>
        </w:rPr>
        <w:t>老师</w:t>
      </w:r>
    </w:p>
    <w:p w14:paraId="6125097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话：（023）</w:t>
      </w:r>
      <w:r>
        <w:rPr>
          <w:rFonts w:hint="eastAsia" w:ascii="宋体" w:hAnsi="宋体" w:cs="宋体"/>
          <w:color w:val="auto"/>
          <w:sz w:val="24"/>
          <w:szCs w:val="24"/>
          <w:lang w:val="en-US" w:eastAsia="zh-CN"/>
        </w:rPr>
        <w:t>63086010</w:t>
      </w:r>
    </w:p>
    <w:p w14:paraId="026A73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址：重庆市渝北区仙桃街道舟济路38号19-2-235。</w:t>
      </w:r>
    </w:p>
    <w:bookmarkEnd w:id="41"/>
    <w:bookmarkEnd w:id="42"/>
    <w:bookmarkEnd w:id="43"/>
    <w:bookmarkEnd w:id="48"/>
    <w:p w14:paraId="3573EDB3">
      <w:pPr>
        <w:pageBreakBefore w:val="0"/>
        <w:kinsoku/>
        <w:wordWrap/>
        <w:overflowPunct/>
        <w:topLinePunct w:val="0"/>
        <w:autoSpaceDN/>
        <w:bidi w:val="0"/>
        <w:adjustRightInd/>
        <w:jc w:val="center"/>
        <w:rPr>
          <w:rStyle w:val="34"/>
          <w:rFonts w:hint="eastAsia" w:ascii="宋体" w:hAnsi="宋体" w:cs="宋体"/>
          <w:b/>
          <w:bCs/>
        </w:rPr>
      </w:pPr>
      <w:bookmarkStart w:id="60" w:name="_Toc3392"/>
      <w:bookmarkStart w:id="61" w:name="_Toc17308"/>
      <w:bookmarkStart w:id="62" w:name="_Toc6453"/>
      <w:bookmarkStart w:id="63" w:name="_Toc487204778"/>
      <w:bookmarkStart w:id="64" w:name="_Toc128744991"/>
      <w:r>
        <w:rPr>
          <w:rStyle w:val="34"/>
          <w:rFonts w:hint="eastAsia" w:ascii="宋体" w:hAnsi="宋体" w:cs="宋体"/>
          <w:b/>
          <w:bCs/>
        </w:rPr>
        <w:br w:type="page"/>
      </w:r>
    </w:p>
    <w:p w14:paraId="7743D6BE">
      <w:pPr>
        <w:pStyle w:val="3"/>
        <w:pageBreakBefore w:val="0"/>
        <w:kinsoku/>
        <w:wordWrap/>
        <w:overflowPunct/>
        <w:topLinePunct w:val="0"/>
        <w:autoSpaceDN/>
        <w:bidi w:val="0"/>
        <w:adjustRightInd/>
        <w:spacing w:line="400" w:lineRule="exact"/>
        <w:jc w:val="center"/>
        <w:rPr>
          <w:rFonts w:hint="eastAsia" w:ascii="宋体" w:hAnsi="宋体" w:cs="宋体"/>
          <w:bCs w:val="0"/>
        </w:rPr>
      </w:pPr>
      <w:r>
        <w:rPr>
          <w:rStyle w:val="34"/>
          <w:rFonts w:hint="eastAsia" w:ascii="宋体" w:hAnsi="宋体" w:cs="宋体"/>
          <w:b/>
          <w:bCs/>
        </w:rPr>
        <w:t>第二篇  供应商须知</w:t>
      </w:r>
      <w:bookmarkEnd w:id="60"/>
      <w:bookmarkEnd w:id="61"/>
      <w:bookmarkEnd w:id="62"/>
      <w:bookmarkEnd w:id="63"/>
    </w:p>
    <w:p w14:paraId="28B40F50">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bookmarkStart w:id="65" w:name="_Toc426965630"/>
      <w:bookmarkStart w:id="66" w:name="_Toc5168"/>
      <w:bookmarkStart w:id="67" w:name="_Toc487204779"/>
      <w:bookmarkStart w:id="68" w:name="_Toc342913389"/>
      <w:bookmarkStart w:id="69" w:name="_Toc13629"/>
      <w:bookmarkStart w:id="70" w:name="_Toc20643"/>
      <w:r>
        <w:rPr>
          <w:rFonts w:hint="eastAsia" w:ascii="宋体" w:hAnsi="宋体" w:cs="宋体"/>
          <w:sz w:val="24"/>
          <w:szCs w:val="24"/>
        </w:rPr>
        <w:t>一、竞采费用</w:t>
      </w:r>
      <w:bookmarkEnd w:id="65"/>
      <w:bookmarkEnd w:id="66"/>
      <w:bookmarkEnd w:id="67"/>
      <w:bookmarkEnd w:id="68"/>
      <w:bookmarkEnd w:id="69"/>
      <w:bookmarkEnd w:id="70"/>
    </w:p>
    <w:p w14:paraId="7047F2A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参与竞采的供应商应承担其编制响应文件与递交响应文件所涉及的一切费用，不论竞采结果如何，采购人和采购代理机构在任何情况下无义务也无责任承担这些费用。</w:t>
      </w:r>
    </w:p>
    <w:p w14:paraId="606FA349">
      <w:pPr>
        <w:pStyle w:val="4"/>
        <w:pageBreakBefore w:val="0"/>
        <w:widowControl w:val="0"/>
        <w:tabs>
          <w:tab w:val="left" w:pos="2640"/>
        </w:tabs>
        <w:kinsoku/>
        <w:wordWrap/>
        <w:overflowPunct/>
        <w:topLinePunct w:val="0"/>
        <w:autoSpaceDE/>
        <w:autoSpaceDN/>
        <w:bidi w:val="0"/>
        <w:adjustRightInd/>
        <w:spacing w:before="0" w:after="0" w:line="440" w:lineRule="exact"/>
        <w:textAlignment w:val="auto"/>
        <w:rPr>
          <w:rFonts w:hint="eastAsia" w:ascii="宋体" w:hAnsi="宋体" w:cs="宋体"/>
          <w:sz w:val="24"/>
          <w:szCs w:val="24"/>
        </w:rPr>
      </w:pPr>
      <w:bookmarkStart w:id="71" w:name="_Toc487204780"/>
      <w:bookmarkStart w:id="72" w:name="_Toc342913391"/>
      <w:bookmarkStart w:id="73" w:name="_Toc426965631"/>
      <w:bookmarkStart w:id="74" w:name="_Toc8341"/>
      <w:bookmarkStart w:id="75" w:name="_Toc11404"/>
      <w:bookmarkStart w:id="76" w:name="_Toc7850"/>
      <w:r>
        <w:rPr>
          <w:rFonts w:hint="eastAsia" w:ascii="宋体" w:hAnsi="宋体" w:cs="宋体"/>
          <w:sz w:val="24"/>
          <w:szCs w:val="24"/>
        </w:rPr>
        <w:t>二、</w:t>
      </w:r>
      <w:bookmarkEnd w:id="71"/>
      <w:bookmarkEnd w:id="72"/>
      <w:bookmarkEnd w:id="73"/>
      <w:bookmarkEnd w:id="74"/>
      <w:bookmarkEnd w:id="75"/>
      <w:bookmarkEnd w:id="76"/>
      <w:r>
        <w:rPr>
          <w:rFonts w:hint="eastAsia" w:ascii="宋体" w:hAnsi="宋体" w:cs="宋体"/>
          <w:sz w:val="24"/>
          <w:szCs w:val="24"/>
          <w:lang w:eastAsia="zh-CN"/>
        </w:rPr>
        <w:t>竞采文件</w:t>
      </w:r>
      <w:r>
        <w:rPr>
          <w:rFonts w:hint="eastAsia" w:ascii="宋体" w:hAnsi="宋体" w:cs="宋体"/>
          <w:sz w:val="24"/>
          <w:szCs w:val="24"/>
        </w:rPr>
        <w:tab/>
      </w:r>
    </w:p>
    <w:p w14:paraId="3A63E05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竞采文件</w:t>
      </w:r>
      <w:r>
        <w:rPr>
          <w:rFonts w:hint="eastAsia" w:ascii="宋体" w:hAnsi="宋体" w:cs="宋体"/>
          <w:sz w:val="24"/>
          <w:szCs w:val="24"/>
        </w:rPr>
        <w:t>由</w:t>
      </w:r>
      <w:r>
        <w:rPr>
          <w:rFonts w:hint="eastAsia" w:ascii="宋体" w:hAnsi="宋体" w:cs="宋体"/>
          <w:sz w:val="24"/>
          <w:szCs w:val="24"/>
          <w:lang w:eastAsia="zh-CN"/>
        </w:rPr>
        <w:t>竞采文件</w:t>
      </w:r>
      <w:r>
        <w:rPr>
          <w:rFonts w:hint="eastAsia" w:ascii="宋体" w:hAnsi="宋体" w:cs="宋体"/>
          <w:sz w:val="24"/>
          <w:szCs w:val="24"/>
        </w:rPr>
        <w:t>、供应商须知、项目服务需求、商务需求、合同主要条款和格式合同、响应文件格式要求六部分组成。</w:t>
      </w:r>
    </w:p>
    <w:p w14:paraId="04834D7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（二）采购人（或采购代理机构）所作的一切有效的书面通知、修改及补充，都是</w:t>
      </w:r>
      <w:r>
        <w:rPr>
          <w:rFonts w:hint="eastAsia" w:ascii="宋体" w:hAnsi="宋体" w:cs="宋体"/>
          <w:sz w:val="24"/>
          <w:szCs w:val="24"/>
          <w:lang w:eastAsia="zh-CN"/>
        </w:rPr>
        <w:t>竞采文件</w:t>
      </w:r>
      <w:r>
        <w:rPr>
          <w:rFonts w:hint="eastAsia" w:ascii="宋体" w:hAnsi="宋体" w:cs="宋体"/>
          <w:sz w:val="24"/>
          <w:szCs w:val="24"/>
        </w:rPr>
        <w:t>不可分割的部分。</w:t>
      </w:r>
    </w:p>
    <w:p w14:paraId="456E70F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（三）</w:t>
      </w:r>
      <w:r>
        <w:rPr>
          <w:rFonts w:hint="eastAsia" w:ascii="宋体" w:hAnsi="宋体" w:cs="宋体"/>
          <w:sz w:val="24"/>
          <w:szCs w:val="24"/>
          <w:lang w:eastAsia="zh-CN"/>
        </w:rPr>
        <w:t>竞采文件</w:t>
      </w:r>
      <w:r>
        <w:rPr>
          <w:rFonts w:hint="eastAsia" w:ascii="宋体" w:hAnsi="宋体" w:cs="宋体"/>
          <w:sz w:val="24"/>
          <w:szCs w:val="24"/>
        </w:rPr>
        <w:t>的解释</w:t>
      </w:r>
    </w:p>
    <w:p w14:paraId="7A630B4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供应商如对</w:t>
      </w:r>
      <w:r>
        <w:rPr>
          <w:rFonts w:hint="eastAsia" w:ascii="宋体" w:hAnsi="宋体" w:cs="宋体"/>
          <w:sz w:val="24"/>
          <w:szCs w:val="24"/>
          <w:lang w:eastAsia="zh-CN"/>
        </w:rPr>
        <w:t>竞采文件</w:t>
      </w:r>
      <w:r>
        <w:rPr>
          <w:rFonts w:hint="eastAsia" w:ascii="宋体" w:hAnsi="宋体" w:cs="宋体"/>
          <w:sz w:val="24"/>
          <w:szCs w:val="24"/>
        </w:rPr>
        <w:t>有疑问，必须以书面形式在提交响应文件截止时间1个工作日前向采购人（或采购代理机构）要求澄清，采购人（或采购代理机构）可视具体情况做出处理或答复。如供应商未提出疑问，视为完全理解并同意本</w:t>
      </w:r>
      <w:r>
        <w:rPr>
          <w:rFonts w:hint="eastAsia" w:ascii="宋体" w:hAnsi="宋体" w:cs="宋体"/>
          <w:sz w:val="24"/>
          <w:szCs w:val="24"/>
          <w:lang w:eastAsia="zh-CN"/>
        </w:rPr>
        <w:t>竞采文件</w:t>
      </w:r>
      <w:r>
        <w:rPr>
          <w:rFonts w:hint="eastAsia" w:ascii="宋体" w:hAnsi="宋体" w:cs="宋体"/>
          <w:sz w:val="24"/>
          <w:szCs w:val="24"/>
        </w:rPr>
        <w:t>。一经进入竞采程序，即视为供应商已详细阅读全部文件资料，完全理解</w:t>
      </w:r>
      <w:r>
        <w:rPr>
          <w:rFonts w:hint="eastAsia" w:ascii="宋体" w:hAnsi="宋体" w:cs="宋体"/>
          <w:sz w:val="24"/>
          <w:szCs w:val="24"/>
          <w:lang w:eastAsia="zh-CN"/>
        </w:rPr>
        <w:t>竞采文件</w:t>
      </w:r>
      <w:r>
        <w:rPr>
          <w:rFonts w:hint="eastAsia" w:ascii="宋体" w:hAnsi="宋体" w:cs="宋体"/>
          <w:sz w:val="24"/>
          <w:szCs w:val="24"/>
        </w:rPr>
        <w:t>所有条款内容并同意放弃对这方面有不明白及误解的权利。</w:t>
      </w:r>
      <w:bookmarkStart w:id="77" w:name="_Toc318159160"/>
      <w:bookmarkStart w:id="78" w:name="_Toc318166429"/>
      <w:bookmarkStart w:id="79" w:name="_Toc318159780"/>
      <w:bookmarkStart w:id="80" w:name="_Toc318159349"/>
    </w:p>
    <w:bookmarkEnd w:id="77"/>
    <w:bookmarkEnd w:id="78"/>
    <w:bookmarkEnd w:id="79"/>
    <w:bookmarkEnd w:id="80"/>
    <w:p w14:paraId="5659AC4F">
      <w:pPr>
        <w:pStyle w:val="4"/>
        <w:pageBreakBefore w:val="0"/>
        <w:widowControl w:val="0"/>
        <w:kinsoku/>
        <w:wordWrap/>
        <w:overflowPunct/>
        <w:topLinePunct w:val="0"/>
        <w:autoSpaceDE/>
        <w:autoSpaceDN/>
        <w:bidi w:val="0"/>
        <w:adjustRightInd/>
        <w:spacing w:before="0" w:after="0" w:line="440" w:lineRule="exact"/>
        <w:textAlignment w:val="auto"/>
        <w:rPr>
          <w:rFonts w:hint="eastAsia" w:ascii="宋体" w:hAnsi="宋体" w:cs="宋体"/>
          <w:sz w:val="24"/>
          <w:szCs w:val="24"/>
        </w:rPr>
      </w:pPr>
      <w:bookmarkStart w:id="81" w:name="_Toc102227318"/>
      <w:bookmarkStart w:id="82" w:name="_Toc179714297"/>
      <w:bookmarkStart w:id="83" w:name="_Toc13732"/>
      <w:bookmarkStart w:id="84" w:name="_Toc22137"/>
      <w:bookmarkStart w:id="85" w:name="_Toc26774"/>
      <w:bookmarkStart w:id="86" w:name="_Toc487204781"/>
      <w:bookmarkStart w:id="87" w:name="_Toc342913392"/>
      <w:bookmarkStart w:id="88" w:name="_Toc426965632"/>
      <w:r>
        <w:rPr>
          <w:rFonts w:hint="eastAsia" w:ascii="宋体" w:hAnsi="宋体" w:cs="宋体"/>
          <w:sz w:val="24"/>
          <w:szCs w:val="24"/>
        </w:rPr>
        <w:t>三、竞采要求</w:t>
      </w:r>
      <w:bookmarkEnd w:id="81"/>
      <w:bookmarkEnd w:id="82"/>
      <w:bookmarkEnd w:id="83"/>
      <w:bookmarkEnd w:id="84"/>
      <w:bookmarkEnd w:id="85"/>
      <w:bookmarkEnd w:id="86"/>
      <w:bookmarkEnd w:id="87"/>
      <w:bookmarkEnd w:id="88"/>
    </w:p>
    <w:p w14:paraId="18E932C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（一）响应文件</w:t>
      </w:r>
    </w:p>
    <w:p w14:paraId="4C7D070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供应商应当按照</w:t>
      </w:r>
      <w:r>
        <w:rPr>
          <w:rFonts w:hint="eastAsia" w:ascii="宋体" w:hAnsi="宋体" w:cs="宋体"/>
          <w:sz w:val="24"/>
          <w:szCs w:val="24"/>
          <w:lang w:eastAsia="zh-CN"/>
        </w:rPr>
        <w:t>竞采文件</w:t>
      </w:r>
      <w:r>
        <w:rPr>
          <w:rFonts w:hint="eastAsia" w:ascii="宋体" w:hAnsi="宋体" w:cs="宋体"/>
          <w:sz w:val="24"/>
          <w:szCs w:val="24"/>
        </w:rPr>
        <w:t>的要求编制响应文件，并对</w:t>
      </w:r>
      <w:r>
        <w:rPr>
          <w:rFonts w:hint="eastAsia" w:ascii="宋体" w:hAnsi="宋体" w:cs="宋体"/>
          <w:sz w:val="24"/>
          <w:szCs w:val="24"/>
          <w:lang w:eastAsia="zh-CN"/>
        </w:rPr>
        <w:t>竞采文件</w:t>
      </w:r>
      <w:r>
        <w:rPr>
          <w:rFonts w:hint="eastAsia" w:ascii="宋体" w:hAnsi="宋体" w:cs="宋体"/>
          <w:sz w:val="24"/>
          <w:szCs w:val="24"/>
        </w:rPr>
        <w:t>提出的要求和条件作出实质性响应。</w:t>
      </w:r>
    </w:p>
    <w:p w14:paraId="0FE3C14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1、响应文件组成</w:t>
      </w:r>
    </w:p>
    <w:p w14:paraId="615615D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17CB60D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2、联合体</w:t>
      </w:r>
    </w:p>
    <w:p w14:paraId="20AB0BA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b/>
          <w:bCs/>
          <w:sz w:val="24"/>
          <w:szCs w:val="24"/>
        </w:rPr>
      </w:pPr>
      <w:r>
        <w:rPr>
          <w:rFonts w:hint="eastAsia" w:ascii="宋体" w:hAnsi="宋体" w:cs="宋体"/>
          <w:b/>
          <w:bCs/>
          <w:sz w:val="24"/>
          <w:szCs w:val="24"/>
        </w:rPr>
        <w:t>本项目不接受联合体竞标。</w:t>
      </w:r>
    </w:p>
    <w:p w14:paraId="609B9D9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3、竞采有效期：响应文件及有关承诺文件有效期为竞采开始时间起90天。</w:t>
      </w:r>
    </w:p>
    <w:p w14:paraId="063AE2B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bookmarkStart w:id="89" w:name="_Toc487204782"/>
      <w:bookmarkStart w:id="90" w:name="_Toc102227319"/>
      <w:bookmarkStart w:id="91" w:name="_Toc426965633"/>
      <w:bookmarkStart w:id="92" w:name="_Toc179714298"/>
      <w:bookmarkStart w:id="93" w:name="_Toc342913393"/>
      <w:bookmarkStart w:id="94" w:name="_Toc31741"/>
      <w:r>
        <w:rPr>
          <w:rFonts w:hint="eastAsia" w:ascii="宋体" w:hAnsi="宋体" w:cs="宋体"/>
          <w:sz w:val="24"/>
          <w:szCs w:val="24"/>
        </w:rPr>
        <w:t>（二）修正错误</w:t>
      </w:r>
    </w:p>
    <w:p w14:paraId="62A9FBF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若响应文件出现计算或表达上的错误，修正错误的原则如下：</w:t>
      </w:r>
    </w:p>
    <w:p w14:paraId="3D1E3B0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1.响应文件中报价函的内容与响应文件中相应内容不一致的，以报价函为准；</w:t>
      </w:r>
    </w:p>
    <w:p w14:paraId="60611EE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2.大写金额和小写金额不一致的，以大写金额为准；</w:t>
      </w:r>
    </w:p>
    <w:p w14:paraId="6C78DF9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3.单价金额小数点或者百分比有明显错位的，以报价函总价为准，并修改单价；</w:t>
      </w:r>
    </w:p>
    <w:p w14:paraId="2C69CBB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4.总价金额与按单价汇总金额不一致的，以单价金额计算结果为准。</w:t>
      </w:r>
    </w:p>
    <w:p w14:paraId="7424A7F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竞采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79581D0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（三）响应文件提交规则</w:t>
      </w:r>
    </w:p>
    <w:p w14:paraId="29974C4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s="宋体"/>
          <w:b/>
          <w:bCs/>
          <w:color w:val="FF0000"/>
          <w:sz w:val="24"/>
          <w:szCs w:val="24"/>
        </w:rPr>
      </w:pPr>
      <w:r>
        <w:rPr>
          <w:rFonts w:hint="eastAsia" w:ascii="宋体" w:hAnsi="宋体" w:cs="宋体"/>
          <w:b/>
          <w:bCs/>
          <w:color w:val="FF0000"/>
          <w:sz w:val="24"/>
          <w:szCs w:val="24"/>
        </w:rPr>
        <w:t>本项目采取线上线下相结合的方式进行投标报价，投标供应商须在规定时间内完成行采家平台电子响应文件及现场纸质响应文件的提交（可邮寄），且线上线下递交的响应文件内容须保持一致，如不一致以纸质文件正本为准。缺少任意一项均视为无效响应。</w:t>
      </w:r>
    </w:p>
    <w:p w14:paraId="7D72BBC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1、线下（投标现场）响应文件提交规则：</w:t>
      </w:r>
    </w:p>
    <w:p w14:paraId="2BC8158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b/>
          <w:bCs/>
          <w:sz w:val="24"/>
          <w:szCs w:val="24"/>
        </w:rPr>
        <w:t>响应文件一式二份，其中正本一份，副本一份，</w:t>
      </w:r>
      <w:r>
        <w:rPr>
          <w:rFonts w:hint="eastAsia" w:ascii="宋体" w:hAnsi="宋体" w:cs="宋体"/>
          <w:sz w:val="24"/>
          <w:szCs w:val="24"/>
        </w:rPr>
        <w:t>副本可为正本的复印件，应与正本一致，如出现不一致情况以正本为准。</w:t>
      </w:r>
    </w:p>
    <w:p w14:paraId="524FE26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（2）在响应文件正本中，</w:t>
      </w:r>
      <w:r>
        <w:rPr>
          <w:rFonts w:hint="eastAsia" w:ascii="宋体" w:hAnsi="宋体" w:cs="宋体"/>
          <w:sz w:val="24"/>
          <w:szCs w:val="24"/>
          <w:lang w:eastAsia="zh-CN"/>
        </w:rPr>
        <w:t>竞采文件</w:t>
      </w:r>
      <w:r>
        <w:rPr>
          <w:rFonts w:hint="eastAsia" w:ascii="宋体" w:hAnsi="宋体" w:cs="宋体"/>
          <w:sz w:val="24"/>
          <w:szCs w:val="24"/>
        </w:rPr>
        <w:t>第六篇响应文件格式中规定签字、盖章的地方必须按其规定签字、盖章。</w:t>
      </w:r>
    </w:p>
    <w:p w14:paraId="773F13C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（3）响应文件的内容</w:t>
      </w:r>
    </w:p>
    <w:p w14:paraId="18D3378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响应文件正副本页面保持整洁，响应文件不超过200页。</w:t>
      </w:r>
    </w:p>
    <w:p w14:paraId="68462A7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（4）响应文件的密封与标记</w:t>
      </w:r>
    </w:p>
    <w:p w14:paraId="207E4A0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响应文件的正本、副本均应密封送达竞采地点，应在封套上注明项目名称、供应商名称。若正本、副本分别进行密封的，还应在封套上注明“正本”、“副本”字样。</w:t>
      </w:r>
    </w:p>
    <w:p w14:paraId="6C9EC8A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b/>
          <w:bCs/>
          <w:sz w:val="24"/>
          <w:szCs w:val="24"/>
        </w:rPr>
      </w:pPr>
      <w:r>
        <w:rPr>
          <w:rFonts w:hint="eastAsia" w:ascii="宋体" w:hAnsi="宋体" w:cs="宋体"/>
          <w:b/>
          <w:bCs/>
          <w:sz w:val="24"/>
          <w:szCs w:val="24"/>
        </w:rPr>
        <w:t>（5）响应文件可以现场递交也可以通过邮寄递交。如果响应文件通过邮寄递交，供应商应将响应文件用内、外两层封套密封，并请确保开标前送至重庆市两江新区信达国际A座8楼（请自行确保快递安全，若出现快递遗失、损坏等情况由投标人自行负责）。</w:t>
      </w:r>
    </w:p>
    <w:p w14:paraId="52926CB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（6）如果未按上述规定进行密封的，采购人、采购代理机构将拒收其响应文件。</w:t>
      </w:r>
    </w:p>
    <w:p w14:paraId="2EA823B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（7）响应文件投递截止时间：见</w:t>
      </w:r>
      <w:r>
        <w:rPr>
          <w:rFonts w:hint="eastAsia" w:ascii="宋体" w:hAnsi="宋体" w:cs="宋体"/>
          <w:sz w:val="24"/>
          <w:szCs w:val="24"/>
          <w:lang w:eastAsia="zh-CN"/>
        </w:rPr>
        <w:t>竞采文件</w:t>
      </w:r>
      <w:r>
        <w:rPr>
          <w:rFonts w:hint="eastAsia" w:ascii="宋体" w:hAnsi="宋体" w:cs="宋体"/>
          <w:sz w:val="24"/>
          <w:szCs w:val="24"/>
        </w:rPr>
        <w:t>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2B7A301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2、线上（行采家电子竞采）响应文件提交规则：</w:t>
      </w:r>
    </w:p>
    <w:p w14:paraId="4AFFAB7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（1）供应商须同时在线上上传盖章后的电子文档一份（电子文档内容应与纸质文件正本一致</w:t>
      </w:r>
      <w:r>
        <w:rPr>
          <w:rFonts w:hint="eastAsia" w:ascii="宋体" w:hAnsi="宋体" w:cs="宋体"/>
          <w:sz w:val="24"/>
          <w:szCs w:val="24"/>
          <w:lang w:eastAsia="zh-CN"/>
        </w:rPr>
        <w:t>，如不一致以纸质文件正本为准</w:t>
      </w:r>
      <w:r>
        <w:rPr>
          <w:rFonts w:hint="eastAsia" w:ascii="宋体" w:hAnsi="宋体" w:cs="宋体"/>
          <w:sz w:val="24"/>
          <w:szCs w:val="24"/>
        </w:rPr>
        <w:t>）。</w:t>
      </w:r>
    </w:p>
    <w:p w14:paraId="54FB535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（四）响应文件语言：简体中文</w:t>
      </w:r>
    </w:p>
    <w:p w14:paraId="4D66AED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（五）供应商参与人员</w:t>
      </w:r>
    </w:p>
    <w:p w14:paraId="3B4AB9E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各个供应商可派1-2名代表参与竞采，至少1人应为法定代表人或具有法定代表人授权委托书的授权代表。（若响应文件通过邮寄方式递交的供应商不需要到投标现场）</w:t>
      </w:r>
    </w:p>
    <w:p w14:paraId="38BA6C2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（六）无效响应</w:t>
      </w:r>
    </w:p>
    <w:p w14:paraId="05332BE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供应商发生以下条款情况之一者，视为无效响应：</w:t>
      </w:r>
    </w:p>
    <w:p w14:paraId="71D430D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1、供应商不符合资格要求的；</w:t>
      </w:r>
    </w:p>
    <w:p w14:paraId="6FDFC46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2、供应商所提交的响应文件不按规定签字、盖章的；</w:t>
      </w:r>
    </w:p>
    <w:p w14:paraId="377FBE3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3、供应商的报价超过采购预算（若有采购预算单价，则含采购预算单价）的；</w:t>
      </w:r>
    </w:p>
    <w:p w14:paraId="7DCB42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4、供应商响应文件附有采购人无法接受的条件的；</w:t>
      </w:r>
    </w:p>
    <w:p w14:paraId="53FE157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5、供应商串通投标的；</w:t>
      </w:r>
    </w:p>
    <w:p w14:paraId="4854F16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6、供应商组成联合体投标的；</w:t>
      </w:r>
    </w:p>
    <w:p w14:paraId="286EBE5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7、法律、法规和</w:t>
      </w:r>
      <w:r>
        <w:rPr>
          <w:rFonts w:hint="eastAsia" w:ascii="宋体" w:hAnsi="宋体" w:cs="宋体"/>
          <w:sz w:val="24"/>
          <w:szCs w:val="24"/>
          <w:lang w:eastAsia="zh-CN"/>
        </w:rPr>
        <w:t>竞采文件</w:t>
      </w:r>
      <w:r>
        <w:rPr>
          <w:rFonts w:hint="eastAsia" w:ascii="宋体" w:hAnsi="宋体" w:cs="宋体"/>
          <w:sz w:val="24"/>
          <w:szCs w:val="24"/>
        </w:rPr>
        <w:t>规定的其他无效情形。</w:t>
      </w:r>
      <w:bookmarkStart w:id="95" w:name="_Toc492721019"/>
      <w:bookmarkStart w:id="96" w:name="_Toc493506302"/>
    </w:p>
    <w:p w14:paraId="5CE99CB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8、线上（行采家电子竞采）响应报价与线下（投标现场）响应文件报价不一致的。</w:t>
      </w:r>
    </w:p>
    <w:p w14:paraId="2BEB1BC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（七）废标条款</w:t>
      </w:r>
      <w:bookmarkEnd w:id="95"/>
      <w:bookmarkEnd w:id="96"/>
    </w:p>
    <w:p w14:paraId="4D53C5F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rPr>
        <w:t>出现下列情形之一的，采购人或者采购代理机构应当终止竞采采购活动，发布项目终止公告并说明原因，重新开展采购活动：</w:t>
      </w:r>
      <w:r>
        <w:rPr>
          <w:rFonts w:hint="eastAsia" w:ascii="宋体" w:hAnsi="宋体" w:cs="宋体"/>
          <w:sz w:val="24"/>
          <w:szCs w:val="24"/>
        </w:rPr>
        <w:br w:type="textWrapping"/>
      </w:r>
      <w:r>
        <w:rPr>
          <w:rFonts w:hint="eastAsia" w:ascii="宋体" w:hAnsi="宋体" w:cs="宋体"/>
          <w:sz w:val="24"/>
          <w:szCs w:val="24"/>
        </w:rPr>
        <w:t>　　1、因情况变化，不再符合规定的竞采采购方式适用情形的；</w:t>
      </w:r>
      <w:r>
        <w:rPr>
          <w:rFonts w:hint="eastAsia" w:ascii="宋体" w:hAnsi="宋体" w:cs="宋体"/>
          <w:sz w:val="24"/>
          <w:szCs w:val="24"/>
        </w:rPr>
        <w:br w:type="textWrapping"/>
      </w:r>
      <w:r>
        <w:rPr>
          <w:rFonts w:hint="eastAsia" w:ascii="宋体" w:hAnsi="宋体" w:cs="宋体"/>
          <w:sz w:val="24"/>
          <w:szCs w:val="24"/>
        </w:rPr>
        <w:t>　　2、出现影响采购公正的违法、违规行为的；</w:t>
      </w:r>
      <w:r>
        <w:rPr>
          <w:rFonts w:hint="eastAsia" w:ascii="宋体" w:hAnsi="宋体" w:cs="宋体"/>
          <w:sz w:val="24"/>
          <w:szCs w:val="24"/>
        </w:rPr>
        <w:br w:type="textWrapping"/>
      </w:r>
      <w:r>
        <w:rPr>
          <w:rFonts w:hint="eastAsia" w:ascii="宋体" w:hAnsi="宋体" w:cs="宋体"/>
          <w:sz w:val="24"/>
          <w:szCs w:val="24"/>
          <w:highlight w:val="none"/>
        </w:rPr>
        <w:t>　　3、在采购过程中符合竞争要求的供应商或者报价未超过采购预算的供应商</w:t>
      </w:r>
      <w:r>
        <w:rPr>
          <w:rFonts w:hint="eastAsia" w:ascii="宋体" w:hAnsi="宋体" w:cs="宋体"/>
          <w:b/>
          <w:bCs/>
          <w:sz w:val="24"/>
          <w:szCs w:val="24"/>
          <w:highlight w:val="none"/>
          <w:u w:val="single"/>
        </w:rPr>
        <w:t>不足</w:t>
      </w:r>
      <w:r>
        <w:rPr>
          <w:rFonts w:hint="eastAsia" w:ascii="宋体" w:hAnsi="宋体" w:cs="宋体"/>
          <w:b/>
          <w:bCs/>
          <w:sz w:val="24"/>
          <w:szCs w:val="24"/>
          <w:highlight w:val="none"/>
          <w:u w:val="single"/>
          <w:lang w:val="en-US" w:eastAsia="zh-CN"/>
        </w:rPr>
        <w:t>3</w:t>
      </w:r>
      <w:r>
        <w:rPr>
          <w:rFonts w:hint="eastAsia" w:ascii="宋体" w:hAnsi="宋体" w:cs="宋体"/>
          <w:b/>
          <w:bCs/>
          <w:sz w:val="24"/>
          <w:szCs w:val="24"/>
          <w:highlight w:val="none"/>
          <w:u w:val="single"/>
        </w:rPr>
        <w:t>家的</w:t>
      </w:r>
      <w:r>
        <w:rPr>
          <w:rFonts w:hint="eastAsia" w:ascii="宋体" w:hAnsi="宋体" w:cs="宋体"/>
          <w:sz w:val="24"/>
          <w:szCs w:val="24"/>
          <w:highlight w:val="none"/>
        </w:rPr>
        <w:t>。</w:t>
      </w:r>
    </w:p>
    <w:p w14:paraId="4794CB8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废标后，除采购任务取消情形外，应当重新组织采购。</w:t>
      </w:r>
    </w:p>
    <w:p w14:paraId="4288A686">
      <w:pPr>
        <w:keepNext w:val="0"/>
        <w:keepLines w:val="0"/>
        <w:pageBreakBefore w:val="0"/>
        <w:widowControl w:val="0"/>
        <w:kinsoku/>
        <w:wordWrap/>
        <w:overflowPunct/>
        <w:topLinePunct w:val="0"/>
        <w:autoSpaceDE/>
        <w:autoSpaceDN/>
        <w:bidi w:val="0"/>
        <w:adjustRightInd/>
        <w:snapToGrid w:val="0"/>
        <w:spacing w:line="440" w:lineRule="exact"/>
        <w:ind w:left="-42" w:leftChars="-15" w:firstLine="480" w:firstLineChars="200"/>
        <w:textAlignment w:val="auto"/>
        <w:rPr>
          <w:rFonts w:hint="eastAsia" w:ascii="宋体" w:hAnsi="宋体" w:cs="宋体"/>
          <w:sz w:val="24"/>
          <w:szCs w:val="24"/>
        </w:rPr>
      </w:pPr>
      <w:r>
        <w:rPr>
          <w:rFonts w:hint="eastAsia" w:ascii="宋体" w:hAnsi="宋体" w:cs="宋体"/>
          <w:sz w:val="24"/>
          <w:szCs w:val="24"/>
        </w:rPr>
        <w:t>（八）采购代理服务费</w:t>
      </w:r>
    </w:p>
    <w:p w14:paraId="4B226016">
      <w:pPr>
        <w:keepNext w:val="0"/>
        <w:keepLines w:val="0"/>
        <w:pageBreakBefore w:val="0"/>
        <w:widowControl w:val="0"/>
        <w:numPr>
          <w:ilvl w:val="0"/>
          <w:numId w:val="2"/>
        </w:numPr>
        <w:kinsoku/>
        <w:wordWrap/>
        <w:overflowPunct/>
        <w:topLinePunct w:val="0"/>
        <w:autoSpaceDE/>
        <w:autoSpaceDN/>
        <w:bidi w:val="0"/>
        <w:adjustRightInd/>
        <w:spacing w:line="440" w:lineRule="exact"/>
        <w:ind w:right="12" w:firstLine="480"/>
        <w:textAlignment w:val="auto"/>
        <w:rPr>
          <w:rFonts w:hint="eastAsia" w:ascii="宋体" w:hAnsi="宋体" w:cs="宋体"/>
          <w:b/>
          <w:bCs/>
          <w:sz w:val="24"/>
          <w:szCs w:val="24"/>
        </w:rPr>
      </w:pPr>
      <w:r>
        <w:rPr>
          <w:rFonts w:hint="eastAsia" w:ascii="宋体" w:hAnsi="宋体" w:cs="宋体"/>
          <w:sz w:val="24"/>
        </w:rPr>
        <w:t>供应商成交后，在领取成交通知书前向采购代理机构缴纳采购代理服务费，本项目采购代理服务费按照3</w:t>
      </w:r>
      <w:r>
        <w:rPr>
          <w:rFonts w:hint="eastAsia" w:ascii="宋体" w:hAnsi="宋体" w:cs="宋体"/>
          <w:sz w:val="24"/>
          <w:lang w:val="en-US" w:eastAsia="zh-CN"/>
        </w:rPr>
        <w:t>0</w:t>
      </w:r>
      <w:r>
        <w:rPr>
          <w:rFonts w:hint="eastAsia" w:ascii="宋体" w:hAnsi="宋体" w:cs="宋体"/>
          <w:sz w:val="24"/>
        </w:rPr>
        <w:t>00.00元收取。</w:t>
      </w:r>
    </w:p>
    <w:p w14:paraId="2D9D887C">
      <w:pPr>
        <w:keepNext w:val="0"/>
        <w:keepLines w:val="0"/>
        <w:pageBreakBefore w:val="0"/>
        <w:widowControl w:val="0"/>
        <w:numPr>
          <w:ilvl w:val="0"/>
          <w:numId w:val="2"/>
        </w:numPr>
        <w:kinsoku/>
        <w:wordWrap/>
        <w:overflowPunct/>
        <w:topLinePunct w:val="0"/>
        <w:autoSpaceDE/>
        <w:autoSpaceDN/>
        <w:bidi w:val="0"/>
        <w:adjustRightInd/>
        <w:spacing w:line="440" w:lineRule="exact"/>
        <w:ind w:right="12" w:firstLine="480"/>
        <w:textAlignment w:val="auto"/>
        <w:rPr>
          <w:rFonts w:hint="eastAsia" w:ascii="宋体" w:hAnsi="宋体" w:cs="宋体"/>
          <w:sz w:val="24"/>
          <w:szCs w:val="24"/>
        </w:rPr>
      </w:pPr>
      <w:r>
        <w:rPr>
          <w:rFonts w:hint="eastAsia" w:ascii="宋体" w:hAnsi="宋体" w:cs="宋体"/>
          <w:sz w:val="24"/>
          <w:szCs w:val="24"/>
        </w:rPr>
        <w:t>代理服务费使用对公账户打款，打款时备注：采购执行编号+代理服务费。打款成功后提供打款凭证申请开票。</w:t>
      </w:r>
    </w:p>
    <w:p w14:paraId="4E46B287">
      <w:pPr>
        <w:keepNext w:val="0"/>
        <w:keepLines w:val="0"/>
        <w:pageBreakBefore w:val="0"/>
        <w:widowControl w:val="0"/>
        <w:numPr>
          <w:ilvl w:val="0"/>
          <w:numId w:val="2"/>
        </w:numPr>
        <w:kinsoku/>
        <w:wordWrap/>
        <w:overflowPunct/>
        <w:topLinePunct w:val="0"/>
        <w:autoSpaceDE/>
        <w:autoSpaceDN/>
        <w:bidi w:val="0"/>
        <w:adjustRightInd/>
        <w:snapToGrid w:val="0"/>
        <w:spacing w:line="440" w:lineRule="exact"/>
        <w:ind w:firstLine="480"/>
        <w:textAlignment w:val="auto"/>
        <w:rPr>
          <w:rFonts w:hint="eastAsia" w:ascii="宋体" w:hAnsi="宋体" w:cs="宋体"/>
          <w:sz w:val="24"/>
          <w:szCs w:val="24"/>
        </w:rPr>
      </w:pPr>
      <w:r>
        <w:rPr>
          <w:rFonts w:hint="eastAsia" w:ascii="宋体" w:hAnsi="宋体" w:cs="宋体"/>
          <w:sz w:val="24"/>
          <w:szCs w:val="24"/>
        </w:rPr>
        <w:t>采购代理服务费缴纳账户信息：</w:t>
      </w:r>
    </w:p>
    <w:p w14:paraId="02DDDE14">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textAlignment w:val="auto"/>
        <w:rPr>
          <w:rFonts w:hint="eastAsia" w:ascii="宋体" w:hAnsi="宋体" w:cs="宋体"/>
          <w:sz w:val="24"/>
          <w:szCs w:val="24"/>
        </w:rPr>
      </w:pPr>
      <w:r>
        <w:rPr>
          <w:rFonts w:hint="eastAsia" w:ascii="宋体" w:hAnsi="宋体" w:cs="宋体"/>
          <w:sz w:val="24"/>
          <w:szCs w:val="24"/>
        </w:rPr>
        <w:t>账户名：重庆政相关科技有限公司</w:t>
      </w:r>
    </w:p>
    <w:p w14:paraId="19BC75A1">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textAlignment w:val="auto"/>
        <w:rPr>
          <w:rFonts w:hint="eastAsia" w:ascii="宋体" w:hAnsi="宋体" w:cs="宋体"/>
          <w:sz w:val="24"/>
          <w:szCs w:val="24"/>
        </w:rPr>
      </w:pPr>
      <w:r>
        <w:rPr>
          <w:rFonts w:hint="eastAsia" w:ascii="宋体" w:hAnsi="宋体" w:cs="宋体"/>
          <w:sz w:val="24"/>
          <w:szCs w:val="24"/>
        </w:rPr>
        <w:t>账户：3100021709200262011</w:t>
      </w:r>
    </w:p>
    <w:p w14:paraId="6F4FB8E1">
      <w:pPr>
        <w:keepNext w:val="0"/>
        <w:keepLines w:val="0"/>
        <w:pageBreakBefore w:val="0"/>
        <w:widowControl w:val="0"/>
        <w:kinsoku/>
        <w:wordWrap/>
        <w:overflowPunct/>
        <w:topLinePunct w:val="0"/>
        <w:autoSpaceDE/>
        <w:autoSpaceDN/>
        <w:bidi w:val="0"/>
        <w:adjustRightInd/>
        <w:snapToGrid w:val="0"/>
        <w:spacing w:line="440" w:lineRule="exact"/>
        <w:ind w:firstLine="720" w:firstLineChars="300"/>
        <w:textAlignment w:val="auto"/>
        <w:rPr>
          <w:rFonts w:hint="eastAsia" w:ascii="宋体" w:hAnsi="宋体" w:cs="宋体"/>
          <w:sz w:val="24"/>
          <w:szCs w:val="24"/>
        </w:rPr>
      </w:pPr>
      <w:r>
        <w:rPr>
          <w:rFonts w:hint="eastAsia" w:ascii="宋体" w:hAnsi="宋体" w:cs="宋体"/>
          <w:sz w:val="24"/>
          <w:szCs w:val="24"/>
        </w:rPr>
        <w:t>开户行：工商银行重庆上清寺支行</w:t>
      </w:r>
    </w:p>
    <w:p w14:paraId="6310638B">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bookmarkStart w:id="97" w:name="_Toc12974"/>
      <w:bookmarkStart w:id="98" w:name="_Toc3030"/>
      <w:r>
        <w:rPr>
          <w:rFonts w:hint="eastAsia" w:ascii="宋体" w:hAnsi="宋体" w:cs="宋体"/>
          <w:sz w:val="24"/>
          <w:szCs w:val="24"/>
        </w:rPr>
        <w:t>四、</w:t>
      </w:r>
      <w:bookmarkEnd w:id="89"/>
      <w:bookmarkEnd w:id="90"/>
      <w:bookmarkEnd w:id="91"/>
      <w:bookmarkEnd w:id="92"/>
      <w:bookmarkEnd w:id="93"/>
      <w:r>
        <w:rPr>
          <w:rFonts w:hint="eastAsia" w:ascii="宋体" w:hAnsi="宋体" w:cs="宋体"/>
          <w:sz w:val="24"/>
          <w:szCs w:val="24"/>
        </w:rPr>
        <w:t>竞采程序及成交标准</w:t>
      </w:r>
      <w:bookmarkEnd w:id="94"/>
      <w:bookmarkEnd w:id="97"/>
      <w:bookmarkEnd w:id="98"/>
    </w:p>
    <w:p w14:paraId="7698940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（一）本项目竞采按照</w:t>
      </w:r>
      <w:r>
        <w:rPr>
          <w:rFonts w:hint="eastAsia" w:ascii="宋体" w:hAnsi="宋体" w:cs="宋体"/>
          <w:sz w:val="24"/>
          <w:szCs w:val="24"/>
          <w:lang w:eastAsia="zh-CN"/>
        </w:rPr>
        <w:t>竞采文件</w:t>
      </w:r>
      <w:r>
        <w:rPr>
          <w:rFonts w:hint="eastAsia" w:ascii="宋体" w:hAnsi="宋体" w:cs="宋体"/>
          <w:sz w:val="24"/>
          <w:szCs w:val="24"/>
        </w:rPr>
        <w:t>规定的时间和地点进行。供应商须有法定代表人或其授权代表参加并签到。（若响应文件通过邮寄方式递交的供应商不需要到投标现场）</w:t>
      </w:r>
    </w:p>
    <w:p w14:paraId="0D9756D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（二）资格性符合性检查</w:t>
      </w:r>
    </w:p>
    <w:p w14:paraId="52EA344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1.资格性检查。依据法律法规和</w:t>
      </w:r>
      <w:r>
        <w:rPr>
          <w:rFonts w:hint="eastAsia" w:ascii="宋体" w:hAnsi="宋体" w:cs="宋体"/>
          <w:sz w:val="24"/>
          <w:szCs w:val="24"/>
          <w:lang w:eastAsia="zh-CN"/>
        </w:rPr>
        <w:t>竞采文件</w:t>
      </w:r>
      <w:r>
        <w:rPr>
          <w:rFonts w:hint="eastAsia" w:ascii="宋体" w:hAnsi="宋体" w:cs="宋体"/>
          <w:sz w:val="24"/>
          <w:szCs w:val="24"/>
        </w:rPr>
        <w:t>的规定，对响应文件中的资格证明等进行审查，以确定供应商是否具备竞采资格。资格性检查资料表如下：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480"/>
      </w:tblGrid>
      <w:tr w14:paraId="437E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6" w:type="dxa"/>
            <w:noWrap w:val="0"/>
            <w:vAlign w:val="center"/>
          </w:tcPr>
          <w:p w14:paraId="2464EF92">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b/>
                <w:kern w:val="0"/>
                <w:sz w:val="21"/>
                <w:szCs w:val="21"/>
              </w:rPr>
            </w:pPr>
            <w:r>
              <w:rPr>
                <w:rFonts w:hint="eastAsia" w:ascii="宋体" w:hAnsi="宋体" w:cs="宋体"/>
                <w:b/>
                <w:kern w:val="0"/>
                <w:sz w:val="21"/>
                <w:szCs w:val="21"/>
              </w:rPr>
              <w:t>序号</w:t>
            </w:r>
          </w:p>
        </w:tc>
        <w:tc>
          <w:tcPr>
            <w:tcW w:w="4171" w:type="dxa"/>
            <w:gridSpan w:val="2"/>
            <w:noWrap w:val="0"/>
            <w:vAlign w:val="center"/>
          </w:tcPr>
          <w:p w14:paraId="38472608">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4480" w:type="dxa"/>
            <w:noWrap w:val="0"/>
            <w:vAlign w:val="center"/>
          </w:tcPr>
          <w:p w14:paraId="2C4B1E9B">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4110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6" w:type="dxa"/>
            <w:vMerge w:val="restart"/>
            <w:noWrap w:val="0"/>
            <w:vAlign w:val="center"/>
          </w:tcPr>
          <w:p w14:paraId="41D43E7D">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rPr>
              <w:t>1</w:t>
            </w:r>
          </w:p>
        </w:tc>
        <w:tc>
          <w:tcPr>
            <w:tcW w:w="709" w:type="dxa"/>
            <w:vMerge w:val="restart"/>
            <w:noWrap w:val="0"/>
            <w:vAlign w:val="center"/>
          </w:tcPr>
          <w:p w14:paraId="6D85E737">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462" w:type="dxa"/>
            <w:noWrap w:val="0"/>
            <w:vAlign w:val="center"/>
          </w:tcPr>
          <w:p w14:paraId="24445BAF">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（1）具有独立承担民事责任的能力</w:t>
            </w:r>
          </w:p>
        </w:tc>
        <w:tc>
          <w:tcPr>
            <w:tcW w:w="4480" w:type="dxa"/>
            <w:noWrap w:val="0"/>
            <w:vAlign w:val="center"/>
          </w:tcPr>
          <w:p w14:paraId="1F2B588A">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0CF52539">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2.供应商法定代表人身份证明和法定代表人授权代表委托书。</w:t>
            </w:r>
          </w:p>
        </w:tc>
      </w:tr>
      <w:tr w14:paraId="74DA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6" w:type="dxa"/>
            <w:vMerge w:val="continue"/>
            <w:noWrap w:val="0"/>
            <w:vAlign w:val="center"/>
          </w:tcPr>
          <w:p w14:paraId="35F17C70">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sz w:val="21"/>
                <w:szCs w:val="21"/>
              </w:rPr>
            </w:pPr>
          </w:p>
        </w:tc>
        <w:tc>
          <w:tcPr>
            <w:tcW w:w="709" w:type="dxa"/>
            <w:vMerge w:val="continue"/>
            <w:noWrap w:val="0"/>
            <w:vAlign w:val="center"/>
          </w:tcPr>
          <w:p w14:paraId="50C376F9">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p>
        </w:tc>
        <w:tc>
          <w:tcPr>
            <w:tcW w:w="3462" w:type="dxa"/>
            <w:noWrap w:val="0"/>
            <w:vAlign w:val="center"/>
          </w:tcPr>
          <w:p w14:paraId="2F84E170">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480" w:type="dxa"/>
            <w:vMerge w:val="restart"/>
            <w:noWrap w:val="0"/>
            <w:vAlign w:val="center"/>
          </w:tcPr>
          <w:p w14:paraId="1DABCB38">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bCs/>
                <w:sz w:val="21"/>
                <w:szCs w:val="21"/>
              </w:rPr>
              <w:t>供应商提供“基本资格条件承诺函”（见格式文件）。</w:t>
            </w:r>
          </w:p>
        </w:tc>
      </w:tr>
      <w:tr w14:paraId="4538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6" w:type="dxa"/>
            <w:vMerge w:val="continue"/>
            <w:noWrap w:val="0"/>
            <w:vAlign w:val="center"/>
          </w:tcPr>
          <w:p w14:paraId="48AA76F2">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sz w:val="21"/>
                <w:szCs w:val="21"/>
              </w:rPr>
            </w:pPr>
          </w:p>
        </w:tc>
        <w:tc>
          <w:tcPr>
            <w:tcW w:w="709" w:type="dxa"/>
            <w:vMerge w:val="continue"/>
            <w:noWrap w:val="0"/>
            <w:vAlign w:val="center"/>
          </w:tcPr>
          <w:p w14:paraId="0091C9F2">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p>
        </w:tc>
        <w:tc>
          <w:tcPr>
            <w:tcW w:w="3462" w:type="dxa"/>
            <w:noWrap w:val="0"/>
            <w:vAlign w:val="center"/>
          </w:tcPr>
          <w:p w14:paraId="2459CD78">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480" w:type="dxa"/>
            <w:vMerge w:val="continue"/>
            <w:noWrap w:val="0"/>
            <w:vAlign w:val="center"/>
          </w:tcPr>
          <w:p w14:paraId="40B25C80">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p>
        </w:tc>
      </w:tr>
      <w:tr w14:paraId="1C51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6" w:type="dxa"/>
            <w:vMerge w:val="continue"/>
            <w:noWrap w:val="0"/>
            <w:vAlign w:val="center"/>
          </w:tcPr>
          <w:p w14:paraId="2894C7A5">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sz w:val="21"/>
                <w:szCs w:val="21"/>
              </w:rPr>
            </w:pPr>
          </w:p>
        </w:tc>
        <w:tc>
          <w:tcPr>
            <w:tcW w:w="709" w:type="dxa"/>
            <w:vMerge w:val="continue"/>
            <w:noWrap w:val="0"/>
            <w:vAlign w:val="center"/>
          </w:tcPr>
          <w:p w14:paraId="5E5C8CC6">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p>
        </w:tc>
        <w:tc>
          <w:tcPr>
            <w:tcW w:w="3462" w:type="dxa"/>
            <w:noWrap w:val="0"/>
            <w:vAlign w:val="center"/>
          </w:tcPr>
          <w:p w14:paraId="196E147A">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480" w:type="dxa"/>
            <w:vMerge w:val="continue"/>
            <w:noWrap w:val="0"/>
            <w:vAlign w:val="center"/>
          </w:tcPr>
          <w:p w14:paraId="6050F5FC">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p>
        </w:tc>
      </w:tr>
      <w:tr w14:paraId="103D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6" w:type="dxa"/>
            <w:vMerge w:val="continue"/>
            <w:noWrap w:val="0"/>
            <w:vAlign w:val="center"/>
          </w:tcPr>
          <w:p w14:paraId="2D027653">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sz w:val="21"/>
                <w:szCs w:val="21"/>
              </w:rPr>
            </w:pPr>
          </w:p>
        </w:tc>
        <w:tc>
          <w:tcPr>
            <w:tcW w:w="709" w:type="dxa"/>
            <w:vMerge w:val="continue"/>
            <w:noWrap w:val="0"/>
            <w:vAlign w:val="center"/>
          </w:tcPr>
          <w:p w14:paraId="6ADC0ED7">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p>
        </w:tc>
        <w:tc>
          <w:tcPr>
            <w:tcW w:w="3462" w:type="dxa"/>
            <w:noWrap w:val="0"/>
            <w:vAlign w:val="center"/>
          </w:tcPr>
          <w:p w14:paraId="5906EB3B">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4480" w:type="dxa"/>
            <w:vMerge w:val="continue"/>
            <w:noWrap w:val="0"/>
            <w:vAlign w:val="center"/>
          </w:tcPr>
          <w:p w14:paraId="3BFFF9E1">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p>
        </w:tc>
      </w:tr>
      <w:tr w14:paraId="52A4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6" w:type="dxa"/>
            <w:vMerge w:val="continue"/>
            <w:noWrap w:val="0"/>
            <w:vAlign w:val="center"/>
          </w:tcPr>
          <w:p w14:paraId="7A3B3A6E">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sz w:val="21"/>
                <w:szCs w:val="21"/>
              </w:rPr>
            </w:pPr>
          </w:p>
        </w:tc>
        <w:tc>
          <w:tcPr>
            <w:tcW w:w="709" w:type="dxa"/>
            <w:vMerge w:val="continue"/>
            <w:noWrap w:val="0"/>
            <w:vAlign w:val="center"/>
          </w:tcPr>
          <w:p w14:paraId="146BE993">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p>
        </w:tc>
        <w:tc>
          <w:tcPr>
            <w:tcW w:w="3462" w:type="dxa"/>
            <w:noWrap w:val="0"/>
            <w:vAlign w:val="center"/>
          </w:tcPr>
          <w:p w14:paraId="397D7091">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（6）法律、行政法规规定的其他条件</w:t>
            </w:r>
          </w:p>
        </w:tc>
        <w:tc>
          <w:tcPr>
            <w:tcW w:w="4480" w:type="dxa"/>
            <w:noWrap w:val="0"/>
            <w:vAlign w:val="center"/>
          </w:tcPr>
          <w:p w14:paraId="30DAB31E">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w:t>
            </w:r>
          </w:p>
        </w:tc>
      </w:tr>
      <w:tr w14:paraId="617F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6" w:type="dxa"/>
            <w:noWrap w:val="0"/>
            <w:vAlign w:val="center"/>
          </w:tcPr>
          <w:p w14:paraId="179EA7D2">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rPr>
              <w:t>2</w:t>
            </w:r>
          </w:p>
        </w:tc>
        <w:tc>
          <w:tcPr>
            <w:tcW w:w="4171" w:type="dxa"/>
            <w:gridSpan w:val="2"/>
            <w:noWrap w:val="0"/>
            <w:vAlign w:val="center"/>
          </w:tcPr>
          <w:p w14:paraId="56EF40D2">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特定资格条件</w:t>
            </w:r>
          </w:p>
        </w:tc>
        <w:tc>
          <w:tcPr>
            <w:tcW w:w="4480" w:type="dxa"/>
            <w:noWrap w:val="0"/>
            <w:vAlign w:val="center"/>
          </w:tcPr>
          <w:p w14:paraId="312BE62F">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按第一篇“供应商资格条件（二）本项目的特定资格要求”的要求提交（如果有）。</w:t>
            </w:r>
          </w:p>
        </w:tc>
      </w:tr>
      <w:tr w14:paraId="55E4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6" w:type="dxa"/>
            <w:noWrap w:val="0"/>
            <w:vAlign w:val="center"/>
          </w:tcPr>
          <w:p w14:paraId="06EBBD5C">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sz w:val="21"/>
                <w:szCs w:val="21"/>
              </w:rPr>
            </w:pPr>
            <w:r>
              <w:rPr>
                <w:rFonts w:hint="eastAsia" w:ascii="宋体" w:hAnsi="宋体" w:cs="宋体"/>
                <w:sz w:val="21"/>
                <w:szCs w:val="21"/>
              </w:rPr>
              <w:t>3</w:t>
            </w:r>
          </w:p>
        </w:tc>
        <w:tc>
          <w:tcPr>
            <w:tcW w:w="4171" w:type="dxa"/>
            <w:gridSpan w:val="2"/>
            <w:noWrap w:val="0"/>
            <w:vAlign w:val="center"/>
          </w:tcPr>
          <w:p w14:paraId="39899327">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default" w:ascii="宋体" w:hAnsi="宋体" w:cs="宋体"/>
                <w:sz w:val="21"/>
                <w:szCs w:val="21"/>
              </w:rPr>
            </w:pPr>
            <w:r>
              <w:rPr>
                <w:rFonts w:hint="eastAsia" w:ascii="宋体" w:hAnsi="宋体" w:cs="宋体"/>
                <w:sz w:val="21"/>
                <w:szCs w:val="21"/>
              </w:rPr>
              <w:t>投标保证金</w:t>
            </w:r>
          </w:p>
        </w:tc>
        <w:tc>
          <w:tcPr>
            <w:tcW w:w="4480" w:type="dxa"/>
            <w:noWrap w:val="0"/>
            <w:vAlign w:val="center"/>
          </w:tcPr>
          <w:p w14:paraId="0032D0EA">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按照比选文件要求足额交纳所参与包的保证金（如果有）。</w:t>
            </w:r>
          </w:p>
        </w:tc>
      </w:tr>
    </w:tbl>
    <w:p w14:paraId="3D03696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kern w:val="0"/>
          <w:sz w:val="24"/>
          <w:szCs w:val="24"/>
        </w:rPr>
      </w:pPr>
      <w:r>
        <w:rPr>
          <w:rFonts w:hint="eastAsia" w:ascii="宋体" w:hAnsi="宋体" w:cs="宋体"/>
          <w:kern w:val="0"/>
          <w:sz w:val="24"/>
          <w:szCs w:val="24"/>
        </w:rPr>
        <w:t>注：</w:t>
      </w:r>
    </w:p>
    <w:p w14:paraId="24D93EB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sym w:font="Wingdings" w:char="F081"/>
      </w: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7F3B2CA7">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符合性检查。依据</w:t>
      </w:r>
      <w:r>
        <w:rPr>
          <w:rFonts w:hint="eastAsia" w:ascii="宋体" w:hAnsi="宋体" w:cs="宋体"/>
          <w:kern w:val="0"/>
          <w:sz w:val="24"/>
          <w:szCs w:val="24"/>
          <w:lang w:eastAsia="zh-CN"/>
        </w:rPr>
        <w:t>竞采文件</w:t>
      </w:r>
      <w:r>
        <w:rPr>
          <w:rFonts w:hint="eastAsia" w:ascii="宋体" w:hAnsi="宋体" w:cs="宋体"/>
          <w:kern w:val="0"/>
          <w:sz w:val="24"/>
          <w:szCs w:val="24"/>
        </w:rPr>
        <w:t>的规定，从响应文件的有效性、完整性和对</w:t>
      </w:r>
      <w:r>
        <w:rPr>
          <w:rFonts w:hint="eastAsia" w:ascii="宋体" w:hAnsi="宋体" w:cs="宋体"/>
          <w:kern w:val="0"/>
          <w:sz w:val="24"/>
          <w:szCs w:val="24"/>
          <w:lang w:eastAsia="zh-CN"/>
        </w:rPr>
        <w:t>竞采文件</w:t>
      </w:r>
      <w:r>
        <w:rPr>
          <w:rFonts w:hint="eastAsia" w:ascii="宋体" w:hAnsi="宋体" w:cs="宋体"/>
          <w:kern w:val="0"/>
          <w:sz w:val="24"/>
          <w:szCs w:val="24"/>
        </w:rPr>
        <w:t>的响应程度进行审查，以确定是否对</w:t>
      </w:r>
      <w:r>
        <w:rPr>
          <w:rFonts w:hint="eastAsia" w:ascii="宋体" w:hAnsi="宋体" w:cs="宋体"/>
          <w:kern w:val="0"/>
          <w:sz w:val="24"/>
          <w:szCs w:val="24"/>
          <w:lang w:eastAsia="zh-CN"/>
        </w:rPr>
        <w:t>竞采文件</w:t>
      </w:r>
      <w:r>
        <w:rPr>
          <w:rFonts w:hint="eastAsia" w:ascii="宋体" w:hAnsi="宋体" w:cs="宋体"/>
          <w:kern w:val="0"/>
          <w:sz w:val="24"/>
          <w:szCs w:val="24"/>
        </w:rPr>
        <w:t>的实质性要求作出响应。符合性检查资料表如下：</w:t>
      </w:r>
      <w:bookmarkStart w:id="284" w:name="_GoBack"/>
      <w:bookmarkEnd w:id="28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94"/>
        <w:gridCol w:w="1905"/>
        <w:gridCol w:w="5633"/>
      </w:tblGrid>
      <w:tr w14:paraId="7879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7928DC53">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b/>
                <w:kern w:val="0"/>
                <w:sz w:val="21"/>
                <w:szCs w:val="21"/>
              </w:rPr>
            </w:pPr>
            <w:r>
              <w:rPr>
                <w:rFonts w:hint="eastAsia" w:ascii="宋体" w:hAnsi="宋体" w:cs="宋体"/>
                <w:b/>
                <w:kern w:val="0"/>
                <w:sz w:val="21"/>
                <w:szCs w:val="21"/>
              </w:rPr>
              <w:t>序号</w:t>
            </w:r>
          </w:p>
        </w:tc>
        <w:tc>
          <w:tcPr>
            <w:tcW w:w="3199" w:type="dxa"/>
            <w:gridSpan w:val="2"/>
            <w:tcBorders>
              <w:top w:val="single" w:color="auto" w:sz="4" w:space="0"/>
              <w:left w:val="single" w:color="auto" w:sz="4" w:space="0"/>
              <w:bottom w:val="single" w:color="auto" w:sz="4" w:space="0"/>
              <w:right w:val="single" w:color="auto" w:sz="4" w:space="0"/>
            </w:tcBorders>
            <w:noWrap w:val="0"/>
            <w:vAlign w:val="center"/>
          </w:tcPr>
          <w:p w14:paraId="537AC821">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5633" w:type="dxa"/>
            <w:tcBorders>
              <w:top w:val="single" w:color="auto" w:sz="4" w:space="0"/>
              <w:left w:val="single" w:color="auto" w:sz="4" w:space="0"/>
              <w:bottom w:val="single" w:color="auto" w:sz="4" w:space="0"/>
              <w:right w:val="single" w:color="auto" w:sz="4" w:space="0"/>
            </w:tcBorders>
            <w:noWrap w:val="0"/>
            <w:vAlign w:val="center"/>
          </w:tcPr>
          <w:p w14:paraId="3F3B6D66">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b/>
                <w:kern w:val="0"/>
                <w:sz w:val="21"/>
                <w:szCs w:val="21"/>
              </w:rPr>
            </w:pPr>
            <w:r>
              <w:rPr>
                <w:rFonts w:hint="eastAsia" w:ascii="宋体" w:hAnsi="宋体" w:cs="宋体"/>
                <w:b/>
                <w:kern w:val="0"/>
                <w:sz w:val="21"/>
                <w:szCs w:val="21"/>
              </w:rPr>
              <w:t>评审标准</w:t>
            </w:r>
          </w:p>
        </w:tc>
      </w:tr>
      <w:tr w14:paraId="630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14:paraId="0D135F7D">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kern w:val="0"/>
                <w:sz w:val="21"/>
                <w:szCs w:val="21"/>
              </w:rPr>
            </w:pPr>
            <w:r>
              <w:rPr>
                <w:rFonts w:hint="eastAsia" w:ascii="宋体" w:hAnsi="宋体" w:cs="宋体"/>
                <w:kern w:val="0"/>
                <w:sz w:val="21"/>
                <w:szCs w:val="21"/>
              </w:rPr>
              <w:t>1</w:t>
            </w:r>
          </w:p>
        </w:tc>
        <w:tc>
          <w:tcPr>
            <w:tcW w:w="1294" w:type="dxa"/>
            <w:vMerge w:val="restart"/>
            <w:tcBorders>
              <w:top w:val="single" w:color="auto" w:sz="4" w:space="0"/>
              <w:left w:val="single" w:color="auto" w:sz="4" w:space="0"/>
              <w:bottom w:val="single" w:color="auto" w:sz="4" w:space="0"/>
              <w:right w:val="single" w:color="auto" w:sz="4" w:space="0"/>
            </w:tcBorders>
            <w:noWrap w:val="0"/>
            <w:vAlign w:val="center"/>
          </w:tcPr>
          <w:p w14:paraId="1E511F94">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kern w:val="0"/>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981504C">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sz w:val="21"/>
                <w:szCs w:val="21"/>
              </w:rPr>
              <w:t>响应文件签署</w:t>
            </w:r>
          </w:p>
        </w:tc>
        <w:tc>
          <w:tcPr>
            <w:tcW w:w="5633" w:type="dxa"/>
            <w:tcBorders>
              <w:top w:val="single" w:color="auto" w:sz="4" w:space="0"/>
              <w:left w:val="single" w:color="auto" w:sz="4" w:space="0"/>
              <w:bottom w:val="single" w:color="auto" w:sz="4" w:space="0"/>
              <w:right w:val="single" w:color="auto" w:sz="4" w:space="0"/>
            </w:tcBorders>
            <w:noWrap w:val="0"/>
            <w:vAlign w:val="center"/>
          </w:tcPr>
          <w:p w14:paraId="6C9EB910">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kern w:val="0"/>
                <w:sz w:val="21"/>
                <w:szCs w:val="21"/>
              </w:rPr>
              <w:t>按竞采文件“第六篇 响应文件格式”要求签署、盖章。</w:t>
            </w:r>
          </w:p>
        </w:tc>
      </w:tr>
      <w:tr w14:paraId="77BA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451842C8">
            <w:pPr>
              <w:keepNext/>
              <w:keepLines/>
              <w:pageBreakBefore w:val="0"/>
              <w:widowControl/>
              <w:suppressLineNumbers w:val="0"/>
              <w:kinsoku/>
              <w:wordWrap/>
              <w:overflowPunct/>
              <w:topLinePunct w:val="0"/>
              <w:autoSpaceDN/>
              <w:bidi w:val="0"/>
              <w:adjustRightInd/>
              <w:spacing w:before="260" w:beforeAutospacing="0" w:after="260" w:afterAutospacing="0" w:line="240" w:lineRule="auto"/>
              <w:ind w:left="0" w:right="0"/>
              <w:jc w:val="left"/>
              <w:outlineLvl w:val="2"/>
              <w:rPr>
                <w:rFonts w:hint="eastAsia" w:ascii="宋体" w:hAnsi="宋体" w:cs="宋体"/>
                <w:kern w:val="0"/>
                <w:sz w:val="21"/>
                <w:szCs w:val="21"/>
              </w:rPr>
            </w:pPr>
          </w:p>
        </w:tc>
        <w:tc>
          <w:tcPr>
            <w:tcW w:w="1294" w:type="dxa"/>
            <w:vMerge w:val="continue"/>
            <w:tcBorders>
              <w:top w:val="single" w:color="auto" w:sz="4" w:space="0"/>
              <w:left w:val="single" w:color="auto" w:sz="4" w:space="0"/>
              <w:bottom w:val="single" w:color="auto" w:sz="4" w:space="0"/>
              <w:right w:val="single" w:color="auto" w:sz="4" w:space="0"/>
            </w:tcBorders>
            <w:noWrap w:val="0"/>
            <w:vAlign w:val="center"/>
          </w:tcPr>
          <w:p w14:paraId="1784C872">
            <w:pPr>
              <w:keepNext/>
              <w:keepLines/>
              <w:pageBreakBefore w:val="0"/>
              <w:widowControl/>
              <w:suppressLineNumbers w:val="0"/>
              <w:kinsoku/>
              <w:wordWrap/>
              <w:overflowPunct/>
              <w:topLinePunct w:val="0"/>
              <w:autoSpaceDN/>
              <w:bidi w:val="0"/>
              <w:adjustRightInd/>
              <w:spacing w:before="260" w:beforeAutospacing="0" w:after="260" w:afterAutospacing="0" w:line="240" w:lineRule="auto"/>
              <w:ind w:left="0" w:right="0"/>
              <w:jc w:val="left"/>
              <w:outlineLvl w:val="2"/>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CC1DE03">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法定代表人身份证明及授权委托书</w:t>
            </w:r>
          </w:p>
        </w:tc>
        <w:tc>
          <w:tcPr>
            <w:tcW w:w="5633" w:type="dxa"/>
            <w:tcBorders>
              <w:top w:val="single" w:color="auto" w:sz="4" w:space="0"/>
              <w:left w:val="single" w:color="auto" w:sz="4" w:space="0"/>
              <w:bottom w:val="single" w:color="auto" w:sz="4" w:space="0"/>
              <w:right w:val="single" w:color="auto" w:sz="4" w:space="0"/>
            </w:tcBorders>
            <w:noWrap w:val="0"/>
            <w:vAlign w:val="center"/>
          </w:tcPr>
          <w:p w14:paraId="0EA4C4B0">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rPr>
            </w:pPr>
            <w:r>
              <w:rPr>
                <w:rFonts w:hint="eastAsia" w:ascii="宋体" w:hAnsi="宋体" w:cs="宋体"/>
                <w:sz w:val="21"/>
                <w:szCs w:val="21"/>
              </w:rPr>
              <w:t>法定代表人身份证明及授权委托书有效，符合</w:t>
            </w:r>
            <w:r>
              <w:rPr>
                <w:rFonts w:hint="eastAsia" w:ascii="宋体" w:hAnsi="宋体" w:cs="宋体"/>
                <w:sz w:val="21"/>
                <w:szCs w:val="21"/>
                <w:lang w:eastAsia="zh-CN"/>
              </w:rPr>
              <w:t>竞采文件</w:t>
            </w:r>
            <w:r>
              <w:rPr>
                <w:rFonts w:hint="eastAsia" w:ascii="宋体" w:hAnsi="宋体" w:cs="宋体"/>
                <w:sz w:val="21"/>
                <w:szCs w:val="21"/>
              </w:rPr>
              <w:t>规定的格式，签字或盖章齐全。</w:t>
            </w:r>
          </w:p>
        </w:tc>
      </w:tr>
      <w:tr w14:paraId="6F81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50A76F96">
            <w:pPr>
              <w:keepNext/>
              <w:keepLines/>
              <w:pageBreakBefore w:val="0"/>
              <w:widowControl/>
              <w:suppressLineNumbers w:val="0"/>
              <w:kinsoku/>
              <w:wordWrap/>
              <w:overflowPunct/>
              <w:topLinePunct w:val="0"/>
              <w:autoSpaceDN/>
              <w:bidi w:val="0"/>
              <w:adjustRightInd/>
              <w:spacing w:before="260" w:beforeAutospacing="0" w:after="260" w:afterAutospacing="0" w:line="240" w:lineRule="auto"/>
              <w:ind w:left="0" w:right="0"/>
              <w:jc w:val="left"/>
              <w:outlineLvl w:val="2"/>
              <w:rPr>
                <w:rFonts w:hint="eastAsia" w:ascii="宋体" w:hAnsi="宋体" w:cs="宋体"/>
                <w:kern w:val="0"/>
                <w:sz w:val="21"/>
                <w:szCs w:val="21"/>
              </w:rPr>
            </w:pPr>
          </w:p>
        </w:tc>
        <w:tc>
          <w:tcPr>
            <w:tcW w:w="1294" w:type="dxa"/>
            <w:vMerge w:val="continue"/>
            <w:tcBorders>
              <w:top w:val="single" w:color="auto" w:sz="4" w:space="0"/>
              <w:left w:val="single" w:color="auto" w:sz="4" w:space="0"/>
              <w:bottom w:val="single" w:color="auto" w:sz="4" w:space="0"/>
              <w:right w:val="single" w:color="auto" w:sz="4" w:space="0"/>
            </w:tcBorders>
            <w:noWrap w:val="0"/>
            <w:vAlign w:val="center"/>
          </w:tcPr>
          <w:p w14:paraId="5EDD9176">
            <w:pPr>
              <w:keepNext/>
              <w:keepLines/>
              <w:pageBreakBefore w:val="0"/>
              <w:widowControl/>
              <w:suppressLineNumbers w:val="0"/>
              <w:kinsoku/>
              <w:wordWrap/>
              <w:overflowPunct/>
              <w:topLinePunct w:val="0"/>
              <w:autoSpaceDN/>
              <w:bidi w:val="0"/>
              <w:adjustRightInd/>
              <w:spacing w:before="260" w:beforeAutospacing="0" w:after="260" w:afterAutospacing="0" w:line="240" w:lineRule="auto"/>
              <w:ind w:left="0" w:right="0"/>
              <w:jc w:val="left"/>
              <w:outlineLvl w:val="2"/>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089B1E2">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633" w:type="dxa"/>
            <w:tcBorders>
              <w:top w:val="single" w:color="auto" w:sz="4" w:space="0"/>
              <w:left w:val="single" w:color="auto" w:sz="4" w:space="0"/>
              <w:bottom w:val="single" w:color="auto" w:sz="4" w:space="0"/>
              <w:right w:val="single" w:color="auto" w:sz="4" w:space="0"/>
            </w:tcBorders>
            <w:noWrap w:val="0"/>
            <w:vAlign w:val="center"/>
          </w:tcPr>
          <w:p w14:paraId="1BD81148">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sz w:val="21"/>
                <w:szCs w:val="21"/>
                <w:lang w:val="zh-CN"/>
              </w:rPr>
              <w:t>每个分包只能有一个</w:t>
            </w:r>
            <w:r>
              <w:rPr>
                <w:rFonts w:hint="eastAsia" w:ascii="宋体" w:hAnsi="宋体" w:cs="宋体"/>
                <w:sz w:val="21"/>
                <w:szCs w:val="21"/>
              </w:rPr>
              <w:t>响应</w:t>
            </w:r>
            <w:r>
              <w:rPr>
                <w:rFonts w:hint="eastAsia" w:ascii="宋体" w:hAnsi="宋体" w:cs="宋体"/>
                <w:sz w:val="21"/>
                <w:szCs w:val="21"/>
                <w:lang w:val="zh-CN"/>
              </w:rPr>
              <w:t>方案。</w:t>
            </w:r>
          </w:p>
        </w:tc>
      </w:tr>
      <w:tr w14:paraId="71F6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11701FF8">
            <w:pPr>
              <w:keepNext/>
              <w:keepLines/>
              <w:pageBreakBefore w:val="0"/>
              <w:widowControl/>
              <w:suppressLineNumbers w:val="0"/>
              <w:kinsoku/>
              <w:wordWrap/>
              <w:overflowPunct/>
              <w:topLinePunct w:val="0"/>
              <w:autoSpaceDN/>
              <w:bidi w:val="0"/>
              <w:adjustRightInd/>
              <w:spacing w:before="260" w:beforeAutospacing="0" w:after="260" w:afterAutospacing="0" w:line="240" w:lineRule="auto"/>
              <w:ind w:left="0" w:right="0"/>
              <w:jc w:val="left"/>
              <w:outlineLvl w:val="2"/>
              <w:rPr>
                <w:rFonts w:hint="eastAsia" w:ascii="宋体" w:hAnsi="宋体" w:cs="宋体"/>
                <w:kern w:val="0"/>
                <w:sz w:val="21"/>
                <w:szCs w:val="21"/>
              </w:rPr>
            </w:pPr>
          </w:p>
        </w:tc>
        <w:tc>
          <w:tcPr>
            <w:tcW w:w="1294" w:type="dxa"/>
            <w:vMerge w:val="continue"/>
            <w:tcBorders>
              <w:top w:val="single" w:color="auto" w:sz="4" w:space="0"/>
              <w:left w:val="single" w:color="auto" w:sz="4" w:space="0"/>
              <w:bottom w:val="single" w:color="auto" w:sz="4" w:space="0"/>
              <w:right w:val="single" w:color="auto" w:sz="4" w:space="0"/>
            </w:tcBorders>
            <w:noWrap w:val="0"/>
            <w:vAlign w:val="center"/>
          </w:tcPr>
          <w:p w14:paraId="755F3811">
            <w:pPr>
              <w:keepNext/>
              <w:keepLines/>
              <w:pageBreakBefore w:val="0"/>
              <w:widowControl/>
              <w:suppressLineNumbers w:val="0"/>
              <w:kinsoku/>
              <w:wordWrap/>
              <w:overflowPunct/>
              <w:topLinePunct w:val="0"/>
              <w:autoSpaceDN/>
              <w:bidi w:val="0"/>
              <w:adjustRightInd/>
              <w:spacing w:before="260" w:beforeAutospacing="0" w:after="260" w:afterAutospacing="0" w:line="240" w:lineRule="auto"/>
              <w:ind w:left="0" w:right="0"/>
              <w:jc w:val="left"/>
              <w:outlineLvl w:val="2"/>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1D1B788">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r>
              <w:rPr>
                <w:rFonts w:hint="eastAsia" w:ascii="宋体" w:hAnsi="宋体" w:cs="宋体"/>
                <w:sz w:val="21"/>
                <w:szCs w:val="21"/>
              </w:rPr>
              <w:t>报价唯一</w:t>
            </w:r>
          </w:p>
        </w:tc>
        <w:tc>
          <w:tcPr>
            <w:tcW w:w="5633" w:type="dxa"/>
            <w:tcBorders>
              <w:top w:val="single" w:color="auto" w:sz="4" w:space="0"/>
              <w:left w:val="single" w:color="auto" w:sz="4" w:space="0"/>
              <w:bottom w:val="single" w:color="auto" w:sz="4" w:space="0"/>
              <w:right w:val="single" w:color="auto" w:sz="4" w:space="0"/>
            </w:tcBorders>
            <w:noWrap w:val="0"/>
            <w:vAlign w:val="center"/>
          </w:tcPr>
          <w:p w14:paraId="794366A8">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sz w:val="21"/>
                <w:szCs w:val="21"/>
              </w:rPr>
              <w:t>只能有一个有效报价，不得提交选择性报价。</w:t>
            </w:r>
          </w:p>
        </w:tc>
      </w:tr>
      <w:tr w14:paraId="6C6F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3936A1AB">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kern w:val="0"/>
                <w:sz w:val="21"/>
                <w:szCs w:val="21"/>
              </w:rPr>
            </w:pPr>
            <w:r>
              <w:rPr>
                <w:rFonts w:hint="eastAsia" w:ascii="宋体" w:hAnsi="宋体" w:cs="宋体"/>
                <w:kern w:val="0"/>
                <w:sz w:val="21"/>
                <w:szCs w:val="21"/>
              </w:rPr>
              <w:t>2</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893CEFB">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kern w:val="0"/>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73F4410">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633" w:type="dxa"/>
            <w:tcBorders>
              <w:top w:val="single" w:color="auto" w:sz="4" w:space="0"/>
              <w:left w:val="single" w:color="auto" w:sz="4" w:space="0"/>
              <w:bottom w:val="single" w:color="auto" w:sz="4" w:space="0"/>
              <w:right w:val="single" w:color="auto" w:sz="4" w:space="0"/>
            </w:tcBorders>
            <w:noWrap w:val="0"/>
            <w:vAlign w:val="center"/>
          </w:tcPr>
          <w:p w14:paraId="01F2FA3F">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lang w:eastAsia="zh-CN"/>
              </w:rPr>
              <w:t>竞采文件</w:t>
            </w:r>
            <w:r>
              <w:rPr>
                <w:rFonts w:hint="eastAsia" w:ascii="宋体" w:hAnsi="宋体" w:cs="宋体"/>
                <w:sz w:val="21"/>
                <w:szCs w:val="21"/>
                <w:lang w:val="zh-CN"/>
              </w:rPr>
              <w:t>要求。</w:t>
            </w:r>
          </w:p>
        </w:tc>
      </w:tr>
      <w:tr w14:paraId="3AE0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14:paraId="7049E535">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jc w:val="center"/>
              <w:rPr>
                <w:rFonts w:hint="eastAsia" w:ascii="宋体" w:hAnsi="宋体" w:cs="宋体"/>
                <w:kern w:val="0"/>
                <w:sz w:val="21"/>
                <w:szCs w:val="21"/>
              </w:rPr>
            </w:pPr>
            <w:r>
              <w:rPr>
                <w:rFonts w:hint="eastAsia" w:ascii="宋体" w:hAnsi="宋体" w:cs="宋体"/>
                <w:kern w:val="0"/>
                <w:sz w:val="21"/>
                <w:szCs w:val="21"/>
              </w:rPr>
              <w:t>3</w:t>
            </w:r>
          </w:p>
        </w:tc>
        <w:tc>
          <w:tcPr>
            <w:tcW w:w="1294" w:type="dxa"/>
            <w:vMerge w:val="restart"/>
            <w:tcBorders>
              <w:top w:val="single" w:color="auto" w:sz="4" w:space="0"/>
              <w:left w:val="single" w:color="auto" w:sz="4" w:space="0"/>
              <w:bottom w:val="single" w:color="auto" w:sz="4" w:space="0"/>
              <w:right w:val="single" w:color="auto" w:sz="4" w:space="0"/>
            </w:tcBorders>
            <w:noWrap w:val="0"/>
            <w:vAlign w:val="center"/>
          </w:tcPr>
          <w:p w14:paraId="3DDCEA53">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sz w:val="21"/>
                <w:szCs w:val="21"/>
                <w:lang w:val="zh-CN"/>
              </w:rPr>
            </w:pPr>
            <w:r>
              <w:rPr>
                <w:rFonts w:hint="eastAsia" w:ascii="宋体" w:hAnsi="宋体" w:cs="宋体"/>
                <w:kern w:val="0"/>
                <w:sz w:val="21"/>
                <w:szCs w:val="21"/>
                <w:lang w:eastAsia="zh-CN"/>
              </w:rPr>
              <w:t>竞采文件</w:t>
            </w:r>
            <w:r>
              <w:rPr>
                <w:rFonts w:hint="eastAsia" w:ascii="宋体" w:hAnsi="宋体" w:cs="宋体"/>
                <w:kern w:val="0"/>
                <w:sz w:val="21"/>
                <w:szCs w:val="21"/>
              </w:rPr>
              <w:t>的响应程度审查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5F558D9">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kern w:val="0"/>
                <w:sz w:val="21"/>
                <w:szCs w:val="21"/>
              </w:rPr>
              <w:t>响应文件内容</w:t>
            </w:r>
          </w:p>
        </w:tc>
        <w:tc>
          <w:tcPr>
            <w:tcW w:w="5633" w:type="dxa"/>
            <w:tcBorders>
              <w:top w:val="single" w:color="auto" w:sz="4" w:space="0"/>
              <w:left w:val="single" w:color="auto" w:sz="4" w:space="0"/>
              <w:bottom w:val="single" w:color="auto" w:sz="4" w:space="0"/>
              <w:right w:val="single" w:color="auto" w:sz="4" w:space="0"/>
            </w:tcBorders>
            <w:noWrap w:val="0"/>
            <w:vAlign w:val="center"/>
          </w:tcPr>
          <w:p w14:paraId="1FB86434">
            <w:pPr>
              <w:pStyle w:val="14"/>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2"/>
                <w:sz w:val="21"/>
                <w:szCs w:val="21"/>
                <w:lang w:val="en-US" w:eastAsia="zh-CN"/>
              </w:rPr>
            </w:pPr>
            <w:r>
              <w:rPr>
                <w:rFonts w:hint="eastAsia" w:ascii="宋体" w:hAnsi="宋体" w:cs="宋体"/>
                <w:kern w:val="2"/>
                <w:sz w:val="21"/>
                <w:szCs w:val="21"/>
                <w:lang w:val="en-US" w:eastAsia="zh-CN"/>
              </w:rPr>
              <w:t>对竞采文件第三篇、第四篇规定的竞采内容作出响应。</w:t>
            </w:r>
          </w:p>
        </w:tc>
      </w:tr>
      <w:tr w14:paraId="4C09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151EB099">
            <w:pPr>
              <w:keepNext/>
              <w:keepLines/>
              <w:pageBreakBefore w:val="0"/>
              <w:widowControl/>
              <w:suppressLineNumbers w:val="0"/>
              <w:kinsoku/>
              <w:wordWrap/>
              <w:overflowPunct/>
              <w:topLinePunct w:val="0"/>
              <w:autoSpaceDN/>
              <w:bidi w:val="0"/>
              <w:adjustRightInd/>
              <w:spacing w:before="260" w:beforeAutospacing="0" w:after="260" w:afterAutospacing="0" w:line="240" w:lineRule="auto"/>
              <w:ind w:left="0" w:right="0"/>
              <w:jc w:val="left"/>
              <w:outlineLvl w:val="2"/>
              <w:rPr>
                <w:rFonts w:hint="eastAsia" w:ascii="宋体" w:hAnsi="宋体" w:cs="宋体"/>
                <w:kern w:val="0"/>
                <w:sz w:val="21"/>
                <w:szCs w:val="21"/>
              </w:rPr>
            </w:pPr>
          </w:p>
        </w:tc>
        <w:tc>
          <w:tcPr>
            <w:tcW w:w="1294" w:type="dxa"/>
            <w:vMerge w:val="continue"/>
            <w:tcBorders>
              <w:top w:val="single" w:color="auto" w:sz="4" w:space="0"/>
              <w:left w:val="single" w:color="auto" w:sz="4" w:space="0"/>
              <w:bottom w:val="single" w:color="auto" w:sz="4" w:space="0"/>
              <w:right w:val="single" w:color="auto" w:sz="4" w:space="0"/>
            </w:tcBorders>
            <w:noWrap w:val="0"/>
            <w:vAlign w:val="center"/>
          </w:tcPr>
          <w:p w14:paraId="4687B785">
            <w:pPr>
              <w:keepNext/>
              <w:keepLines/>
              <w:pageBreakBefore w:val="0"/>
              <w:widowControl/>
              <w:suppressLineNumbers w:val="0"/>
              <w:kinsoku/>
              <w:wordWrap/>
              <w:overflowPunct/>
              <w:topLinePunct w:val="0"/>
              <w:autoSpaceDN/>
              <w:bidi w:val="0"/>
              <w:adjustRightInd/>
              <w:spacing w:before="260" w:beforeAutospacing="0" w:after="260" w:afterAutospacing="0" w:line="240" w:lineRule="auto"/>
              <w:ind w:left="0" w:right="0"/>
              <w:jc w:val="left"/>
              <w:outlineLvl w:val="2"/>
              <w:rPr>
                <w:rFonts w:hint="eastAsia" w:ascii="宋体" w:hAnsi="宋体" w:cs="宋体"/>
                <w:sz w:val="21"/>
                <w:szCs w:val="21"/>
                <w:lang w:val="zh-CN"/>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E059985">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kern w:val="0"/>
                <w:sz w:val="21"/>
                <w:szCs w:val="21"/>
              </w:rPr>
              <w:t>竞采有效期</w:t>
            </w:r>
          </w:p>
        </w:tc>
        <w:tc>
          <w:tcPr>
            <w:tcW w:w="5633" w:type="dxa"/>
            <w:tcBorders>
              <w:top w:val="single" w:color="auto" w:sz="4" w:space="0"/>
              <w:left w:val="single" w:color="auto" w:sz="4" w:space="0"/>
              <w:bottom w:val="single" w:color="auto" w:sz="4" w:space="0"/>
              <w:right w:val="single" w:color="auto" w:sz="4" w:space="0"/>
            </w:tcBorders>
            <w:noWrap w:val="0"/>
            <w:vAlign w:val="center"/>
          </w:tcPr>
          <w:p w14:paraId="29CCCBEB">
            <w:pPr>
              <w:keepNext w:val="0"/>
              <w:keepLines w:val="0"/>
              <w:pageBreakBefore w:val="0"/>
              <w:suppressLineNumbers w:val="0"/>
              <w:kinsoku/>
              <w:wordWrap/>
              <w:overflowPunct/>
              <w:topLinePunct w:val="0"/>
              <w:autoSpaceDN/>
              <w:bidi w:val="0"/>
              <w:adjustRightInd/>
              <w:spacing w:before="0" w:beforeAutospacing="0" w:after="0" w:afterAutospacing="0" w:line="240" w:lineRule="auto"/>
              <w:ind w:left="0" w:right="0"/>
              <w:rPr>
                <w:rFonts w:hint="eastAsia" w:ascii="宋体" w:hAnsi="宋体" w:cs="宋体"/>
                <w:kern w:val="0"/>
                <w:sz w:val="21"/>
                <w:szCs w:val="21"/>
              </w:rPr>
            </w:pPr>
            <w:r>
              <w:rPr>
                <w:rFonts w:hint="eastAsia" w:ascii="宋体" w:hAnsi="宋体" w:cs="宋体"/>
                <w:kern w:val="0"/>
                <w:sz w:val="21"/>
                <w:szCs w:val="21"/>
              </w:rPr>
              <w:t>满足</w:t>
            </w:r>
            <w:r>
              <w:rPr>
                <w:rFonts w:hint="eastAsia" w:ascii="宋体" w:hAnsi="宋体" w:cs="宋体"/>
                <w:kern w:val="0"/>
                <w:sz w:val="21"/>
                <w:szCs w:val="21"/>
                <w:lang w:eastAsia="zh-CN"/>
              </w:rPr>
              <w:t>竞采文件</w:t>
            </w:r>
            <w:r>
              <w:rPr>
                <w:rFonts w:hint="eastAsia" w:ascii="宋体" w:hAnsi="宋体" w:cs="宋体"/>
                <w:sz w:val="21"/>
                <w:szCs w:val="21"/>
                <w:lang w:val="zh-CN"/>
              </w:rPr>
              <w:t>规定。</w:t>
            </w:r>
          </w:p>
        </w:tc>
      </w:tr>
    </w:tbl>
    <w:p w14:paraId="2F179235">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竞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6218A7">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竞采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30245F2">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（3）在竞采过程中竞采的任何一方不得向他人透露与竞采有关的技术资料、价格或其他信息。</w:t>
      </w:r>
    </w:p>
    <w:p w14:paraId="137E79AC">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（4）竞采小组采用</w:t>
      </w:r>
      <w:r>
        <w:rPr>
          <w:rFonts w:hint="eastAsia" w:ascii="宋体" w:hAnsi="宋体" w:cs="宋体"/>
          <w:b/>
          <w:bCs/>
          <w:sz w:val="24"/>
          <w:szCs w:val="24"/>
        </w:rPr>
        <w:t>综合评分法</w:t>
      </w:r>
      <w:r>
        <w:rPr>
          <w:rFonts w:hint="eastAsia" w:ascii="宋体" w:hAnsi="宋体" w:cs="宋体"/>
          <w:sz w:val="24"/>
          <w:szCs w:val="24"/>
        </w:rPr>
        <w:t>对供应商的响应文件和报价进行综合评分。综合评分法，是指响应文件满足竞采文件全部实质性要求且按照评审因素的量化指标评审得分最高的供应商为成交候选供应商的评审方法。供应商总得分为价格、技术、商务等评定因素分别按照相应权重值计算分项得分后相加，满分为100分。</w:t>
      </w:r>
    </w:p>
    <w:p w14:paraId="2FEA4151">
      <w:pPr>
        <w:pageBreakBefore w:val="0"/>
        <w:kinsoku/>
        <w:wordWrap/>
        <w:overflowPunct/>
        <w:topLinePunct w:val="0"/>
        <w:autoSpaceDN/>
        <w:bidi w:val="0"/>
        <w:adjustRightInd/>
        <w:snapToGrid w:val="0"/>
        <w:spacing w:line="400" w:lineRule="exact"/>
        <w:ind w:firstLine="480" w:firstLineChars="200"/>
        <w:rPr>
          <w:rFonts w:hint="eastAsia" w:ascii="宋体" w:hAnsi="宋体" w:cs="宋体"/>
        </w:rPr>
      </w:pPr>
      <w:r>
        <w:rPr>
          <w:rFonts w:hint="eastAsia" w:ascii="宋体" w:hAnsi="宋体" w:cs="宋体"/>
          <w:sz w:val="24"/>
          <w:szCs w:val="24"/>
        </w:rPr>
        <w:t>（5）竞采小组各成员独立对每个有效响应（通过资格性检查、符合性检查的供应商）的文件进行评价、打分，然后汇总每个供应商每项评分因素的得分，并根据综合评分情况按</w:t>
      </w:r>
      <w:r>
        <w:rPr>
          <w:rFonts w:hint="eastAsia" w:ascii="宋体" w:hAnsi="宋体" w:cs="宋体"/>
          <w:sz w:val="24"/>
          <w:szCs w:val="24"/>
          <w:highlight w:val="none"/>
        </w:rPr>
        <w:t>照评审得分由高到低顺序推荐</w:t>
      </w:r>
      <w:r>
        <w:rPr>
          <w:rFonts w:hint="eastAsia" w:ascii="宋体" w:hAnsi="宋体" w:cs="宋体"/>
          <w:sz w:val="24"/>
          <w:szCs w:val="24"/>
          <w:highlight w:val="none"/>
          <w:lang w:val="en-US" w:eastAsia="zh-CN"/>
        </w:rPr>
        <w:t>3</w:t>
      </w:r>
      <w:r>
        <w:rPr>
          <w:rFonts w:hint="eastAsia" w:ascii="宋体" w:hAnsi="宋体" w:cs="宋体"/>
          <w:sz w:val="24"/>
          <w:szCs w:val="24"/>
          <w:highlight w:val="none"/>
        </w:rPr>
        <w:t>名及以上成交候选供应商，并编写评审报告。若供应商的评</w:t>
      </w:r>
      <w:r>
        <w:rPr>
          <w:rFonts w:hint="eastAsia" w:ascii="宋体" w:hAnsi="宋体" w:cs="宋体"/>
          <w:sz w:val="24"/>
          <w:szCs w:val="24"/>
        </w:rPr>
        <w:t>审得分相同的，按照报价由低到高的顺序排列推荐。评审得分且报价相同的，按照技术指标优劣顺序排列推荐。以上都相同的，按商务条款的优劣顺序排列推荐。</w:t>
      </w:r>
    </w:p>
    <w:p w14:paraId="1051A3B9">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bookmarkStart w:id="99" w:name="_Toc1566"/>
      <w:bookmarkStart w:id="100" w:name="_Toc27201"/>
      <w:bookmarkStart w:id="101" w:name="_Toc11594"/>
      <w:r>
        <w:rPr>
          <w:rFonts w:hint="eastAsia" w:ascii="宋体" w:hAnsi="宋体" w:cs="宋体"/>
          <w:sz w:val="24"/>
          <w:szCs w:val="24"/>
        </w:rPr>
        <w:t>五、评审标准</w:t>
      </w:r>
      <w:bookmarkEnd w:id="99"/>
      <w:bookmarkEnd w:id="100"/>
    </w:p>
    <w:p w14:paraId="4AFF4FE6">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（一）成交标准</w:t>
      </w:r>
    </w:p>
    <w:p w14:paraId="37045BA3">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竞采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竞采小组应当将其作为无效投标处理。</w:t>
      </w:r>
    </w:p>
    <w:p w14:paraId="6363D91D">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2、采取采购人确定成交供应商的，采购代理机构应当在评审结束后2个工作日内将评审报告送采购人确认。采购人应当在收到评审报告后5个工作日内，从评审报告提出的成交候选人中，根据质量和服务均能满足</w:t>
      </w:r>
      <w:r>
        <w:rPr>
          <w:rFonts w:hint="eastAsia" w:ascii="宋体" w:hAnsi="宋体" w:cs="宋体"/>
          <w:sz w:val="24"/>
          <w:szCs w:val="24"/>
          <w:lang w:eastAsia="zh-CN"/>
        </w:rPr>
        <w:t>竞采文件</w:t>
      </w:r>
      <w:r>
        <w:rPr>
          <w:rFonts w:hint="eastAsia" w:ascii="宋体" w:hAnsi="宋体" w:cs="宋体"/>
          <w:sz w:val="24"/>
          <w:szCs w:val="24"/>
        </w:rPr>
        <w:t>实质性响应要求且评分最高的原则确定成交供应商。采购人逾期未确定成交供应商且不提出异议的，视为确定评审报告提出的评分最高的供应商为成交供应商。采购人也可以授权竞采小组直接确定成交供应商。</w:t>
      </w:r>
    </w:p>
    <w:p w14:paraId="13171B75">
      <w:pPr>
        <w:pageBreakBefore w:val="0"/>
        <w:kinsoku/>
        <w:wordWrap/>
        <w:overflowPunct/>
        <w:topLinePunct w:val="0"/>
        <w:autoSpaceDN/>
        <w:bidi w:val="0"/>
        <w:adjustRightInd/>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（二）评审标准</w:t>
      </w:r>
    </w:p>
    <w:tbl>
      <w:tblPr>
        <w:tblStyle w:val="25"/>
        <w:tblW w:w="9938"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265"/>
        <w:gridCol w:w="1350"/>
        <w:gridCol w:w="4585"/>
        <w:gridCol w:w="2178"/>
      </w:tblGrid>
      <w:tr w14:paraId="0F1B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60" w:type="dxa"/>
            <w:noWrap w:val="0"/>
            <w:vAlign w:val="center"/>
          </w:tcPr>
          <w:p w14:paraId="3B9DD383">
            <w:pPr>
              <w:keepNext w:val="0"/>
              <w:keepLines w:val="0"/>
              <w:pageBreakBefore w:val="0"/>
              <w:widowControl w:val="0"/>
              <w:suppressLineNumbers w:val="0"/>
              <w:kinsoku/>
              <w:wordWrap/>
              <w:overflowPunct/>
              <w:topLinePunct w:val="0"/>
              <w:autoSpaceDN/>
              <w:bidi w:val="0"/>
              <w:adjustRightInd/>
              <w:spacing w:before="0" w:beforeAutospacing="0" w:after="0" w:afterAutospacing="0" w:line="400" w:lineRule="exact"/>
              <w:ind w:left="0" w:right="0" w:firstLine="28"/>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序号</w:t>
            </w:r>
          </w:p>
        </w:tc>
        <w:tc>
          <w:tcPr>
            <w:tcW w:w="1265" w:type="dxa"/>
            <w:noWrap w:val="0"/>
            <w:vAlign w:val="center"/>
          </w:tcPr>
          <w:p w14:paraId="478457C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评分因素</w:t>
            </w:r>
          </w:p>
          <w:p w14:paraId="00F659A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及权重</w:t>
            </w:r>
          </w:p>
        </w:tc>
        <w:tc>
          <w:tcPr>
            <w:tcW w:w="1350" w:type="dxa"/>
            <w:noWrap w:val="0"/>
            <w:vAlign w:val="center"/>
          </w:tcPr>
          <w:p w14:paraId="2D0C099B">
            <w:pPr>
              <w:keepNext w:val="0"/>
              <w:keepLines w:val="0"/>
              <w:pageBreakBefore w:val="0"/>
              <w:widowControl w:val="0"/>
              <w:suppressLineNumbers w:val="0"/>
              <w:kinsoku/>
              <w:wordWrap/>
              <w:overflowPunct/>
              <w:topLinePunct w:val="0"/>
              <w:autoSpaceDN/>
              <w:bidi w:val="0"/>
              <w:adjustRightInd/>
              <w:spacing w:before="0" w:beforeAutospacing="0" w:after="0" w:afterAutospacing="0" w:line="400" w:lineRule="exact"/>
              <w:ind w:left="0" w:right="0" w:firstLine="28"/>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分值</w:t>
            </w:r>
          </w:p>
        </w:tc>
        <w:tc>
          <w:tcPr>
            <w:tcW w:w="4585" w:type="dxa"/>
            <w:noWrap w:val="0"/>
            <w:vAlign w:val="center"/>
          </w:tcPr>
          <w:p w14:paraId="39AA607F">
            <w:pPr>
              <w:keepNext w:val="0"/>
              <w:keepLines w:val="0"/>
              <w:pageBreakBefore w:val="0"/>
              <w:widowControl w:val="0"/>
              <w:suppressLineNumbers w:val="0"/>
              <w:kinsoku/>
              <w:wordWrap/>
              <w:overflowPunct/>
              <w:topLinePunct w:val="0"/>
              <w:autoSpaceDN/>
              <w:bidi w:val="0"/>
              <w:adjustRightInd/>
              <w:spacing w:before="0" w:beforeAutospacing="0" w:after="0" w:afterAutospacing="0" w:line="400" w:lineRule="exact"/>
              <w:ind w:left="0" w:right="0" w:firstLine="28"/>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评分标准</w:t>
            </w:r>
          </w:p>
        </w:tc>
        <w:tc>
          <w:tcPr>
            <w:tcW w:w="2178" w:type="dxa"/>
            <w:noWrap w:val="0"/>
            <w:vAlign w:val="center"/>
          </w:tcPr>
          <w:p w14:paraId="433528EB">
            <w:pPr>
              <w:pStyle w:val="21"/>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说明</w:t>
            </w:r>
          </w:p>
        </w:tc>
      </w:tr>
      <w:tr w14:paraId="059D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60" w:type="dxa"/>
            <w:noWrap w:val="0"/>
            <w:vAlign w:val="center"/>
          </w:tcPr>
          <w:p w14:paraId="46D38CC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w:t>
            </w:r>
          </w:p>
        </w:tc>
        <w:tc>
          <w:tcPr>
            <w:tcW w:w="1265" w:type="dxa"/>
            <w:noWrap w:val="0"/>
            <w:vAlign w:val="center"/>
          </w:tcPr>
          <w:p w14:paraId="36F778D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投标报价</w:t>
            </w:r>
          </w:p>
          <w:p w14:paraId="3F61E48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（15%）</w:t>
            </w:r>
          </w:p>
        </w:tc>
        <w:tc>
          <w:tcPr>
            <w:tcW w:w="1350" w:type="dxa"/>
            <w:noWrap w:val="0"/>
            <w:vAlign w:val="center"/>
          </w:tcPr>
          <w:p w14:paraId="2BA23DC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lang w:val="en-US"/>
              </w:rPr>
            </w:pPr>
            <w:r>
              <w:rPr>
                <w:rFonts w:hint="eastAsia" w:ascii="宋体" w:hAnsi="宋体" w:eastAsia="宋体" w:cs="宋体"/>
                <w:kern w:val="2"/>
                <w:sz w:val="24"/>
                <w:szCs w:val="24"/>
                <w:lang w:val="en-US" w:eastAsia="zh-CN" w:bidi="ar"/>
              </w:rPr>
              <w:t>15分</w:t>
            </w:r>
          </w:p>
        </w:tc>
        <w:tc>
          <w:tcPr>
            <w:tcW w:w="4585" w:type="dxa"/>
            <w:noWrap w:val="0"/>
            <w:vAlign w:val="center"/>
          </w:tcPr>
          <w:p w14:paraId="488AD3CC">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有效的投标报价中的最低价为评标基准价，按照下列公式计算每个投标人的投标价格得分。</w:t>
            </w:r>
          </w:p>
          <w:p w14:paraId="099FC38F">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投标报价得分＝（评标基准价/投标报价）×价格权重×100。</w:t>
            </w:r>
          </w:p>
        </w:tc>
        <w:tc>
          <w:tcPr>
            <w:tcW w:w="2178" w:type="dxa"/>
            <w:noWrap w:val="0"/>
            <w:vAlign w:val="center"/>
          </w:tcPr>
          <w:p w14:paraId="5CFA124D">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38"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通过资格性检查及符合性检查的投标报价为有效报价。</w:t>
            </w:r>
          </w:p>
        </w:tc>
      </w:tr>
      <w:tr w14:paraId="2E79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60" w:type="dxa"/>
            <w:vMerge w:val="restart"/>
            <w:noWrap w:val="0"/>
            <w:vAlign w:val="center"/>
          </w:tcPr>
          <w:p w14:paraId="2DF6C4C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w:t>
            </w:r>
          </w:p>
        </w:tc>
        <w:tc>
          <w:tcPr>
            <w:tcW w:w="1265" w:type="dxa"/>
            <w:vMerge w:val="restart"/>
            <w:noWrap w:val="0"/>
            <w:vAlign w:val="center"/>
          </w:tcPr>
          <w:p w14:paraId="0CDE43F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技术部分</w:t>
            </w:r>
          </w:p>
          <w:p w14:paraId="2771B25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（55%）</w:t>
            </w:r>
          </w:p>
        </w:tc>
        <w:tc>
          <w:tcPr>
            <w:tcW w:w="1350" w:type="dxa"/>
            <w:vMerge w:val="restart"/>
            <w:noWrap w:val="0"/>
            <w:vAlign w:val="center"/>
          </w:tcPr>
          <w:p w14:paraId="7B3AEAE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55分</w:t>
            </w:r>
          </w:p>
        </w:tc>
        <w:tc>
          <w:tcPr>
            <w:tcW w:w="4585" w:type="dxa"/>
            <w:noWrap w:val="0"/>
            <w:vAlign w:val="center"/>
          </w:tcPr>
          <w:p w14:paraId="3118FAD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A起评分：</w:t>
            </w:r>
          </w:p>
          <w:p w14:paraId="37FA31A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有效投标人的起评分为15分。</w:t>
            </w:r>
          </w:p>
        </w:tc>
        <w:tc>
          <w:tcPr>
            <w:tcW w:w="2178" w:type="dxa"/>
            <w:vMerge w:val="restart"/>
            <w:noWrap w:val="0"/>
            <w:vAlign w:val="center"/>
          </w:tcPr>
          <w:p w14:paraId="1EF690F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未按照采购要求提交相关佐证材料的均视为不满足该条技术参数要求。</w:t>
            </w:r>
          </w:p>
        </w:tc>
      </w:tr>
      <w:tr w14:paraId="1B89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560" w:type="dxa"/>
            <w:vMerge w:val="continue"/>
            <w:noWrap w:val="0"/>
            <w:vAlign w:val="center"/>
          </w:tcPr>
          <w:p w14:paraId="4DEA0FE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sz w:val="24"/>
                <w:szCs w:val="24"/>
              </w:rPr>
            </w:pPr>
          </w:p>
        </w:tc>
        <w:tc>
          <w:tcPr>
            <w:tcW w:w="1265" w:type="dxa"/>
            <w:vMerge w:val="continue"/>
            <w:noWrap w:val="0"/>
            <w:vAlign w:val="center"/>
          </w:tcPr>
          <w:p w14:paraId="4C738F5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sz w:val="24"/>
                <w:szCs w:val="24"/>
              </w:rPr>
            </w:pPr>
          </w:p>
        </w:tc>
        <w:tc>
          <w:tcPr>
            <w:tcW w:w="1350" w:type="dxa"/>
            <w:vMerge w:val="continue"/>
            <w:noWrap w:val="0"/>
            <w:vAlign w:val="center"/>
          </w:tcPr>
          <w:p w14:paraId="7E5AD5A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sz w:val="24"/>
                <w:szCs w:val="24"/>
              </w:rPr>
            </w:pPr>
          </w:p>
        </w:tc>
        <w:tc>
          <w:tcPr>
            <w:tcW w:w="4585" w:type="dxa"/>
            <w:noWrap w:val="0"/>
            <w:vAlign w:val="center"/>
          </w:tcPr>
          <w:p w14:paraId="5425B93F">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B扣分条款：</w:t>
            </w:r>
          </w:p>
          <w:p w14:paraId="14EDE60D">
            <w:pPr>
              <w:keepNext w:val="0"/>
              <w:keepLines w:val="0"/>
              <w:pageBreakBefore w:val="0"/>
              <w:widowControl w:val="0"/>
              <w:numPr>
                <w:ilvl w:val="0"/>
                <w:numId w:val="4"/>
              </w:numPr>
              <w:suppressLineNumbers w:val="0"/>
              <w:kinsoku/>
              <w:wordWrap/>
              <w:overflowPunct/>
              <w:topLinePunct w:val="0"/>
              <w:autoSpaceDE w:val="0"/>
              <w:autoSpaceDN/>
              <w:bidi w:val="0"/>
              <w:adjustRightInd/>
              <w:spacing w:before="0" w:beforeAutospacing="0" w:after="0" w:afterAutospacing="0" w:line="40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第三篇项目服务需求中“★”标记的技术参数1条不满足竞采文件要求的扣5分，扣完为止。</w:t>
            </w:r>
          </w:p>
          <w:p w14:paraId="5B658662">
            <w:pPr>
              <w:keepNext w:val="0"/>
              <w:keepLines w:val="0"/>
              <w:pageBreakBefore w:val="0"/>
              <w:widowControl w:val="0"/>
              <w:numPr>
                <w:ilvl w:val="0"/>
                <w:numId w:val="4"/>
              </w:numPr>
              <w:suppressLineNumbers w:val="0"/>
              <w:kinsoku/>
              <w:wordWrap/>
              <w:overflowPunct/>
              <w:topLinePunct w:val="0"/>
              <w:autoSpaceDN/>
              <w:bidi w:val="0"/>
              <w:adjustRightInd/>
              <w:spacing w:before="0" w:beforeAutospacing="0" w:after="0" w:afterAutospacing="0" w:line="40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第三篇项目服务需求中非“★”和非“</w:t>
            </w:r>
            <w:r>
              <w:rPr>
                <w:rFonts w:hint="eastAsia" w:ascii="宋体" w:hAnsi="宋体" w:eastAsia="宋体" w:cs="宋体"/>
                <w:b/>
                <w:bCs w:val="0"/>
                <w:kern w:val="2"/>
                <w:sz w:val="24"/>
                <w:szCs w:val="24"/>
                <w:lang w:val="en-US" w:eastAsia="zh-CN" w:bidi="ar"/>
              </w:rPr>
              <w:t>※</w:t>
            </w:r>
            <w:r>
              <w:rPr>
                <w:rFonts w:hint="eastAsia" w:ascii="宋体" w:hAnsi="宋体" w:eastAsia="宋体" w:cs="宋体"/>
                <w:kern w:val="2"/>
                <w:sz w:val="24"/>
                <w:szCs w:val="24"/>
                <w:lang w:val="en-US" w:eastAsia="zh-CN" w:bidi="ar"/>
              </w:rPr>
              <w:t>”标记的技术参数1条不满足竞采文件要求的扣3分，扣完为止。</w:t>
            </w:r>
          </w:p>
        </w:tc>
        <w:tc>
          <w:tcPr>
            <w:tcW w:w="2178" w:type="dxa"/>
            <w:vMerge w:val="continue"/>
            <w:noWrap w:val="0"/>
            <w:vAlign w:val="center"/>
          </w:tcPr>
          <w:p w14:paraId="4AF13A5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sz w:val="24"/>
                <w:szCs w:val="24"/>
              </w:rPr>
            </w:pPr>
          </w:p>
        </w:tc>
      </w:tr>
      <w:tr w14:paraId="1D23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560" w:type="dxa"/>
            <w:vMerge w:val="continue"/>
            <w:noWrap w:val="0"/>
            <w:vAlign w:val="center"/>
          </w:tcPr>
          <w:p w14:paraId="40385CB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sz w:val="24"/>
                <w:szCs w:val="24"/>
              </w:rPr>
            </w:pPr>
          </w:p>
        </w:tc>
        <w:tc>
          <w:tcPr>
            <w:tcW w:w="1265" w:type="dxa"/>
            <w:vMerge w:val="continue"/>
            <w:noWrap w:val="0"/>
            <w:vAlign w:val="center"/>
          </w:tcPr>
          <w:p w14:paraId="6C3F7FC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sz w:val="24"/>
                <w:szCs w:val="24"/>
              </w:rPr>
            </w:pPr>
          </w:p>
        </w:tc>
        <w:tc>
          <w:tcPr>
            <w:tcW w:w="1350" w:type="dxa"/>
            <w:vMerge w:val="continue"/>
            <w:noWrap w:val="0"/>
            <w:vAlign w:val="center"/>
          </w:tcPr>
          <w:p w14:paraId="6B6996B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sz w:val="24"/>
                <w:szCs w:val="24"/>
              </w:rPr>
            </w:pPr>
          </w:p>
        </w:tc>
        <w:tc>
          <w:tcPr>
            <w:tcW w:w="4585" w:type="dxa"/>
            <w:noWrap w:val="0"/>
            <w:vAlign w:val="center"/>
          </w:tcPr>
          <w:p w14:paraId="504D3794">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2.服务方案 （40）</w:t>
            </w:r>
          </w:p>
          <w:p w14:paraId="3E5BB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2.1实施方案（15分）</w:t>
            </w:r>
          </w:p>
          <w:p w14:paraId="43FE4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针对本项目</w:t>
            </w:r>
            <w:r>
              <w:rPr>
                <w:rFonts w:hint="eastAsia" w:ascii="宋体" w:hAnsi="宋体" w:eastAsia="宋体" w:cs="宋体"/>
                <w:color w:val="000000"/>
                <w:sz w:val="24"/>
                <w:szCs w:val="24"/>
                <w:lang w:eastAsia="zh-CN"/>
              </w:rPr>
              <w:t>提供</w:t>
            </w:r>
            <w:r>
              <w:rPr>
                <w:rFonts w:hint="eastAsia" w:ascii="宋体" w:hAnsi="宋体" w:eastAsia="宋体" w:cs="宋体"/>
                <w:color w:val="000000"/>
                <w:sz w:val="24"/>
                <w:szCs w:val="24"/>
              </w:rPr>
              <w:t>实施方案，</w:t>
            </w:r>
            <w:r>
              <w:rPr>
                <w:rFonts w:hint="eastAsia" w:ascii="宋体" w:hAnsi="宋体" w:eastAsia="宋体" w:cs="宋体"/>
                <w:color w:val="000000"/>
                <w:sz w:val="24"/>
                <w:szCs w:val="24"/>
                <w:lang w:eastAsia="zh-CN"/>
              </w:rPr>
              <w:t>内容</w:t>
            </w:r>
            <w:r>
              <w:rPr>
                <w:rFonts w:hint="eastAsia" w:ascii="宋体" w:hAnsi="宋体" w:eastAsia="宋体" w:cs="宋体"/>
                <w:color w:val="000000"/>
                <w:sz w:val="24"/>
                <w:szCs w:val="24"/>
              </w:rPr>
              <w:t>包含不限于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①</w:t>
            </w:r>
            <w:r>
              <w:rPr>
                <w:rFonts w:hint="eastAsia" w:ascii="宋体" w:hAnsi="宋体" w:eastAsia="宋体" w:cs="宋体"/>
                <w:color w:val="000000"/>
                <w:sz w:val="24"/>
                <w:szCs w:val="24"/>
                <w:lang w:eastAsia="zh-CN"/>
              </w:rPr>
              <w:t>防治实施计划</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②</w:t>
            </w:r>
            <w:r>
              <w:rPr>
                <w:rFonts w:hint="eastAsia" w:ascii="宋体" w:hAnsi="宋体" w:eastAsia="宋体" w:cs="宋体"/>
                <w:color w:val="000000"/>
                <w:sz w:val="24"/>
                <w:szCs w:val="24"/>
                <w:lang w:eastAsia="zh-CN"/>
              </w:rPr>
              <w:t>专业人员配置；</w:t>
            </w:r>
            <w:r>
              <w:rPr>
                <w:rFonts w:hint="eastAsia" w:ascii="宋体" w:hAnsi="宋体" w:eastAsia="宋体" w:cs="宋体"/>
                <w:color w:val="000000"/>
                <w:sz w:val="24"/>
                <w:szCs w:val="24"/>
                <w:lang w:val="en-US" w:eastAsia="zh-CN"/>
              </w:rPr>
              <w:t>③</w:t>
            </w:r>
            <w:r>
              <w:rPr>
                <w:rFonts w:hint="eastAsia" w:ascii="宋体" w:hAnsi="宋体" w:eastAsia="宋体" w:cs="宋体"/>
                <w:color w:val="000000"/>
                <w:sz w:val="24"/>
                <w:szCs w:val="24"/>
              </w:rPr>
              <w:t>具体</w:t>
            </w:r>
            <w:r>
              <w:rPr>
                <w:rFonts w:hint="eastAsia" w:ascii="宋体" w:hAnsi="宋体" w:eastAsia="宋体" w:cs="宋体"/>
                <w:color w:val="000000"/>
                <w:sz w:val="24"/>
                <w:szCs w:val="24"/>
                <w:lang w:eastAsia="zh-CN"/>
              </w:rPr>
              <w:t>防治</w:t>
            </w:r>
            <w:r>
              <w:rPr>
                <w:rFonts w:hint="eastAsia" w:ascii="宋体" w:hAnsi="宋体" w:eastAsia="宋体" w:cs="宋体"/>
                <w:color w:val="000000"/>
                <w:sz w:val="24"/>
                <w:szCs w:val="24"/>
              </w:rPr>
              <w:t>技术措施；</w:t>
            </w:r>
            <w:r>
              <w:rPr>
                <w:rFonts w:hint="eastAsia" w:ascii="宋体" w:hAnsi="宋体" w:eastAsia="宋体" w:cs="宋体"/>
                <w:color w:val="000000"/>
                <w:sz w:val="24"/>
                <w:szCs w:val="24"/>
                <w:lang w:val="en-US" w:eastAsia="zh-CN"/>
              </w:rPr>
              <w:t>④</w:t>
            </w:r>
            <w:r>
              <w:rPr>
                <w:rFonts w:hint="eastAsia" w:ascii="宋体" w:hAnsi="宋体" w:eastAsia="宋体" w:cs="宋体"/>
                <w:color w:val="000000"/>
                <w:sz w:val="24"/>
                <w:szCs w:val="24"/>
                <w:lang w:eastAsia="zh-CN"/>
              </w:rPr>
              <w:t>整体</w:t>
            </w:r>
            <w:r>
              <w:rPr>
                <w:rFonts w:hint="eastAsia" w:ascii="宋体" w:hAnsi="宋体" w:eastAsia="宋体" w:cs="宋体"/>
                <w:color w:val="000000"/>
                <w:sz w:val="24"/>
                <w:szCs w:val="24"/>
              </w:rPr>
              <w:t>管理措施；</w:t>
            </w:r>
            <w:r>
              <w:rPr>
                <w:rFonts w:hint="eastAsia" w:ascii="宋体" w:hAnsi="宋体" w:eastAsia="宋体" w:cs="宋体"/>
                <w:color w:val="000000"/>
                <w:sz w:val="24"/>
                <w:szCs w:val="24"/>
                <w:lang w:val="en-US" w:eastAsia="zh-CN"/>
              </w:rPr>
              <w:t>⑤</w:t>
            </w:r>
            <w:r>
              <w:rPr>
                <w:rFonts w:hint="eastAsia" w:ascii="宋体" w:hAnsi="宋体" w:eastAsia="宋体" w:cs="宋体"/>
                <w:color w:val="000000"/>
                <w:sz w:val="24"/>
                <w:szCs w:val="24"/>
                <w:lang w:eastAsia="zh-CN"/>
              </w:rPr>
              <w:t>环境保护措施</w:t>
            </w:r>
            <w:r>
              <w:rPr>
                <w:rFonts w:hint="eastAsia" w:ascii="宋体" w:hAnsi="宋体" w:eastAsia="宋体" w:cs="宋体"/>
                <w:color w:val="000000"/>
                <w:sz w:val="24"/>
                <w:szCs w:val="24"/>
              </w:rPr>
              <w:t>；</w:t>
            </w:r>
          </w:p>
          <w:p w14:paraId="6F84C3DE">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方案内容不存在瑕疵，得15分；</w:t>
            </w:r>
          </w:p>
          <w:p w14:paraId="37EB1F49">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方案内容存在1处瑕疵得11分；</w:t>
            </w:r>
          </w:p>
          <w:p w14:paraId="44771634">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方案内容存在2处瑕疵得7分；</w:t>
            </w:r>
          </w:p>
          <w:p w14:paraId="30775EBB">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方案内容存在3处瑕疵得3分；</w:t>
            </w:r>
          </w:p>
          <w:p w14:paraId="13FB73D0">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firstLine="0" w:firstLineChars="0"/>
              <w:jc w:val="left"/>
              <w:rPr>
                <w:rFonts w:hint="eastAsia" w:ascii="宋体" w:hAnsi="宋体" w:eastAsia="宋体" w:cs="宋体"/>
                <w:kern w:val="2"/>
                <w:sz w:val="24"/>
                <w:szCs w:val="24"/>
                <w:lang w:val="en-US" w:eastAsia="zh-CN" w:bidi="ar"/>
              </w:rPr>
            </w:pPr>
            <w:r>
              <w:rPr>
                <w:rFonts w:hint="eastAsia" w:ascii="宋体" w:hAnsi="宋体" w:eastAsia="宋体" w:cs="宋体"/>
                <w:color w:val="auto"/>
                <w:kern w:val="0"/>
                <w:sz w:val="24"/>
                <w:szCs w:val="24"/>
                <w:highlight w:val="none"/>
                <w:lang w:val="en-US" w:eastAsia="zh-CN" w:bidi="ar"/>
              </w:rPr>
              <w:t>方案内容存在4处及以上瑕疵或未提供方案得0分。</w:t>
            </w:r>
          </w:p>
          <w:p w14:paraId="6AD05129">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firstLine="0" w:firstLineChars="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2.2服务现场安全保障（15分）</w:t>
            </w:r>
          </w:p>
          <w:p w14:paraId="6925F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供应商针对本项目提供安全保障，</w:t>
            </w:r>
            <w:r>
              <w:rPr>
                <w:rFonts w:hint="eastAsia" w:ascii="宋体" w:hAnsi="宋体" w:eastAsia="宋体" w:cs="宋体"/>
                <w:color w:val="000000"/>
                <w:sz w:val="24"/>
                <w:szCs w:val="24"/>
                <w:lang w:eastAsia="zh-CN"/>
              </w:rPr>
              <w:t>内容包含</w:t>
            </w:r>
            <w:r>
              <w:rPr>
                <w:rFonts w:hint="eastAsia" w:ascii="宋体" w:hAnsi="宋体" w:eastAsia="宋体" w:cs="宋体"/>
                <w:color w:val="000000"/>
                <w:sz w:val="24"/>
                <w:szCs w:val="24"/>
              </w:rPr>
              <w:t>但不限于：①安全文明作业制度；②安全保障设施、设备；③对发生各类安全事故作善后处理。</w:t>
            </w:r>
          </w:p>
          <w:p w14:paraId="021D8DC5">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方案内容不存在瑕疵，得15分；</w:t>
            </w:r>
          </w:p>
          <w:p w14:paraId="76068DA4">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方案内容存在1处瑕疵得11分；</w:t>
            </w:r>
          </w:p>
          <w:p w14:paraId="7DF8AAEE">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方案内容存在2处瑕疵得7分；</w:t>
            </w:r>
          </w:p>
          <w:p w14:paraId="3991C5B7">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方案内容存在3处瑕疵得3分；</w:t>
            </w:r>
          </w:p>
          <w:p w14:paraId="63F0CE8A">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firstLine="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方案内容存在4处及以上瑕疵或未提供方案得0分。</w:t>
            </w:r>
          </w:p>
          <w:p w14:paraId="2E576930">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2.3突发应急性方案（10分）</w:t>
            </w:r>
          </w:p>
          <w:p w14:paraId="6715C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供应商针对突发公共卫生事件及重大节假日或活动等特殊情况制定应急处置方案，包含但不限于以下内容：①传达机制；②人员和设备调配；③责任分工等。</w:t>
            </w:r>
          </w:p>
          <w:p w14:paraId="3547C964">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方案内容不存在瑕疵，得10分；</w:t>
            </w:r>
          </w:p>
          <w:p w14:paraId="1DCE33C6">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方案内容存在1处瑕疵得8分；</w:t>
            </w:r>
          </w:p>
          <w:p w14:paraId="7336E6CA">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方案内容存在2处瑕疵得5分；</w:t>
            </w:r>
          </w:p>
          <w:p w14:paraId="4C280FCA">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方案内容存在3处瑕疵得2分；</w:t>
            </w:r>
          </w:p>
          <w:p w14:paraId="14A55F74">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firstLine="0" w:firstLineChars="0"/>
              <w:jc w:val="left"/>
              <w:rPr>
                <w:rFonts w:hint="eastAsia" w:ascii="宋体" w:hAnsi="宋体" w:eastAsia="宋体" w:cs="宋体"/>
                <w:kern w:val="2"/>
                <w:sz w:val="24"/>
                <w:szCs w:val="24"/>
              </w:rPr>
            </w:pPr>
            <w:r>
              <w:rPr>
                <w:rFonts w:hint="eastAsia" w:ascii="宋体" w:hAnsi="宋体" w:eastAsia="宋体" w:cs="宋体"/>
                <w:color w:val="auto"/>
                <w:kern w:val="0"/>
                <w:sz w:val="24"/>
                <w:szCs w:val="24"/>
                <w:highlight w:val="none"/>
                <w:lang w:val="en-US" w:eastAsia="zh-CN" w:bidi="ar"/>
              </w:rPr>
              <w:t>方案内容存在4处及以上瑕疵或未提供方案得0分。</w:t>
            </w:r>
          </w:p>
        </w:tc>
        <w:tc>
          <w:tcPr>
            <w:tcW w:w="2178" w:type="dxa"/>
            <w:vMerge w:val="restart"/>
            <w:noWrap w:val="0"/>
            <w:vAlign w:val="center"/>
          </w:tcPr>
          <w:p w14:paraId="1734A145">
            <w:pPr>
              <w:pStyle w:val="7"/>
              <w:keepNext w:val="0"/>
              <w:keepLines w:val="0"/>
              <w:suppressLineNumbers w:val="0"/>
              <w:spacing w:before="0" w:beforeAutospacing="0" w:after="0" w:afterAutospacing="0"/>
              <w:ind w:left="0" w:right="0" w:firstLine="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备注:</w:t>
            </w:r>
          </w:p>
          <w:p w14:paraId="422CEED2">
            <w:pPr>
              <w:pStyle w:val="7"/>
              <w:keepNext w:val="0"/>
              <w:keepLines w:val="0"/>
              <w:suppressLineNumbers w:val="0"/>
              <w:spacing w:before="0" w:beforeAutospacing="0" w:after="0" w:afterAutospacing="0"/>
              <w:ind w:left="0" w:right="0" w:firstLine="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提供书面方案，格式自拟。</w:t>
            </w:r>
          </w:p>
          <w:p w14:paraId="27B19FDB">
            <w:pPr>
              <w:pStyle w:val="7"/>
              <w:keepNext w:val="0"/>
              <w:keepLines w:val="0"/>
              <w:suppressLineNumbers w:val="0"/>
              <w:spacing w:before="0" w:beforeAutospacing="0" w:after="0" w:afterAutospacing="0"/>
              <w:ind w:left="0" w:right="0" w:firstLine="0"/>
              <w:rPr>
                <w:rFonts w:hint="eastAsia" w:ascii="宋体" w:hAnsi="宋体" w:eastAsia="宋体" w:cs="宋体"/>
                <w:sz w:val="24"/>
                <w:szCs w:val="24"/>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sz w:val="24"/>
                <w:szCs w:val="24"/>
                <w:highlight w:val="none"/>
                <w:lang w:val="en-US" w:eastAsia="zh-CN"/>
              </w:rPr>
              <w:t>本项内容中所称的“瑕疵”指：①方案内容缺项；②缺少任意一项内容的针对性描述分析；③方案内容表述前后矛盾、无连贯性；</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4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内容存在逻辑漏洞或内容存在常识错误；⑤措施保障安排并不适用本项目特性；</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6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⑥</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方案中提出的措施举措不利于本项目目标的实现；</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7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⑦</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现有技术条件下不可能出现的任意一种情形。</w:t>
            </w:r>
          </w:p>
          <w:p w14:paraId="57F594A7">
            <w:pPr>
              <w:pStyle w:val="7"/>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上述任意一种情形均作为1处瑕疵。</w:t>
            </w:r>
          </w:p>
        </w:tc>
      </w:tr>
      <w:tr w14:paraId="10F6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560" w:type="dxa"/>
            <w:vMerge w:val="restart"/>
            <w:noWrap w:val="0"/>
            <w:vAlign w:val="center"/>
          </w:tcPr>
          <w:p w14:paraId="0A67177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w:t>
            </w:r>
          </w:p>
        </w:tc>
        <w:tc>
          <w:tcPr>
            <w:tcW w:w="1265" w:type="dxa"/>
            <w:vMerge w:val="restart"/>
            <w:noWrap w:val="0"/>
            <w:vAlign w:val="center"/>
          </w:tcPr>
          <w:p w14:paraId="753C1F8A">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leftChars="0" w:right="0" w:rightChars="0" w:firstLine="28"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商务部分（30%）</w:t>
            </w:r>
          </w:p>
        </w:tc>
        <w:tc>
          <w:tcPr>
            <w:tcW w:w="1350" w:type="dxa"/>
            <w:vMerge w:val="restart"/>
            <w:noWrap w:val="0"/>
            <w:vAlign w:val="center"/>
          </w:tcPr>
          <w:p w14:paraId="4200F71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售后服务能力</w:t>
            </w:r>
          </w:p>
          <w:p w14:paraId="73F5C5B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 15分）</w:t>
            </w:r>
          </w:p>
        </w:tc>
        <w:tc>
          <w:tcPr>
            <w:tcW w:w="4585" w:type="dxa"/>
            <w:noWrap w:val="0"/>
            <w:vAlign w:val="center"/>
          </w:tcPr>
          <w:p w14:paraId="390A43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kern w:val="2"/>
                <w:sz w:val="24"/>
                <w:szCs w:val="24"/>
                <w:lang w:val="en-US" w:eastAsia="zh-CN" w:bidi="ar"/>
              </w:rPr>
              <w:t>1.针对本次项目需求提供售后服务方案，</w:t>
            </w:r>
            <w:r>
              <w:rPr>
                <w:rFonts w:hint="eastAsia" w:ascii="宋体" w:hAnsi="宋体" w:eastAsia="宋体" w:cs="宋体"/>
                <w:color w:val="000000"/>
                <w:sz w:val="24"/>
                <w:szCs w:val="24"/>
                <w:lang w:val="en-US" w:eastAsia="zh-CN"/>
              </w:rPr>
              <w:t>方案内容包含不限于：①售后服务响应时间；②售后服务内容等。</w:t>
            </w:r>
          </w:p>
          <w:p w14:paraId="7E98CB15">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方案内容不存在瑕疵，得10分；</w:t>
            </w:r>
          </w:p>
          <w:p w14:paraId="07709FD9">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方案内容存在1处瑕疵得8分；</w:t>
            </w:r>
          </w:p>
          <w:p w14:paraId="1B80BD57">
            <w:pPr>
              <w:keepNext w:val="0"/>
              <w:keepLines w:val="0"/>
              <w:widowControl/>
              <w:numPr>
                <w:ilvl w:val="-1"/>
                <w:numId w:val="0"/>
              </w:numPr>
              <w:suppressLineNumbers w:val="0"/>
              <w:spacing w:before="0" w:beforeAutospacing="0" w:after="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方案内容存在2处瑕疵得5分；</w:t>
            </w:r>
          </w:p>
          <w:p w14:paraId="1A60C5C0">
            <w:pPr>
              <w:keepNext w:val="0"/>
              <w:keepLines w:val="0"/>
              <w:pageBreakBefore w:val="0"/>
              <w:widowControl/>
              <w:numPr>
                <w:ilvl w:val="-1"/>
                <w:numId w:val="0"/>
              </w:numPr>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highlight w:val="none"/>
                <w:lang w:val="en-US" w:eastAsia="zh-CN" w:bidi="ar"/>
              </w:rPr>
              <w:t>方案内容存在3处瑕疵得2分；方案内容存在4处及以上瑕疵或未提供方案得0分。</w:t>
            </w:r>
          </w:p>
        </w:tc>
        <w:tc>
          <w:tcPr>
            <w:tcW w:w="2178" w:type="dxa"/>
            <w:vMerge w:val="continue"/>
            <w:noWrap w:val="0"/>
            <w:vAlign w:val="center"/>
          </w:tcPr>
          <w:p w14:paraId="7B9C75C8">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00" w:lineRule="exact"/>
              <w:ind w:left="0" w:leftChars="0" w:right="0" w:rightChars="0"/>
              <w:jc w:val="left"/>
              <w:rPr>
                <w:rFonts w:hint="eastAsia" w:ascii="宋体" w:hAnsi="宋体" w:eastAsia="宋体" w:cs="宋体"/>
                <w:kern w:val="2"/>
                <w:sz w:val="24"/>
                <w:szCs w:val="24"/>
                <w:lang w:val="en-US" w:eastAsia="zh-CN" w:bidi="ar-SA"/>
              </w:rPr>
            </w:pPr>
          </w:p>
        </w:tc>
      </w:tr>
      <w:tr w14:paraId="7B59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60" w:type="dxa"/>
            <w:vMerge w:val="continue"/>
            <w:noWrap w:val="0"/>
            <w:vAlign w:val="center"/>
          </w:tcPr>
          <w:p w14:paraId="65CBC46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firstLine="28"/>
              <w:jc w:val="center"/>
              <w:rPr>
                <w:rFonts w:hint="eastAsia" w:ascii="宋体" w:hAnsi="宋体" w:eastAsia="宋体" w:cs="宋体"/>
                <w:kern w:val="2"/>
                <w:sz w:val="24"/>
                <w:szCs w:val="24"/>
                <w:lang w:val="en-US" w:eastAsia="zh-CN" w:bidi="ar"/>
              </w:rPr>
            </w:pPr>
          </w:p>
        </w:tc>
        <w:tc>
          <w:tcPr>
            <w:tcW w:w="1265" w:type="dxa"/>
            <w:vMerge w:val="continue"/>
            <w:noWrap w:val="0"/>
            <w:vAlign w:val="center"/>
          </w:tcPr>
          <w:p w14:paraId="6ED252F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leftChars="0" w:right="0" w:rightChars="0" w:firstLine="28" w:firstLineChars="0"/>
              <w:jc w:val="center"/>
              <w:rPr>
                <w:rFonts w:hint="eastAsia" w:ascii="宋体" w:hAnsi="宋体" w:eastAsia="宋体" w:cs="宋体"/>
                <w:kern w:val="2"/>
                <w:sz w:val="24"/>
                <w:szCs w:val="24"/>
                <w:lang w:val="en-US" w:eastAsia="zh-CN" w:bidi="ar"/>
              </w:rPr>
            </w:pPr>
          </w:p>
        </w:tc>
        <w:tc>
          <w:tcPr>
            <w:tcW w:w="1350" w:type="dxa"/>
            <w:vMerge w:val="continue"/>
            <w:noWrap w:val="0"/>
            <w:vAlign w:val="center"/>
          </w:tcPr>
          <w:p w14:paraId="52687C8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leftChars="0" w:right="0" w:rightChars="0" w:firstLine="28" w:firstLineChars="0"/>
              <w:jc w:val="center"/>
              <w:rPr>
                <w:rFonts w:hint="eastAsia" w:ascii="宋体" w:hAnsi="宋体" w:eastAsia="宋体" w:cs="宋体"/>
                <w:kern w:val="2"/>
                <w:sz w:val="24"/>
                <w:szCs w:val="24"/>
                <w:lang w:val="en-US" w:eastAsia="zh-CN" w:bidi="ar"/>
              </w:rPr>
            </w:pPr>
          </w:p>
        </w:tc>
        <w:tc>
          <w:tcPr>
            <w:tcW w:w="4585" w:type="dxa"/>
            <w:noWrap w:val="0"/>
            <w:vAlign w:val="center"/>
          </w:tcPr>
          <w:p w14:paraId="13FF3588">
            <w:pPr>
              <w:keepNext w:val="0"/>
              <w:keepLines w:val="0"/>
              <w:pageBreakBefore w:val="0"/>
              <w:widowControl/>
              <w:numPr>
                <w:ilvl w:val="0"/>
                <w:numId w:val="0"/>
              </w:numPr>
              <w:suppressLineNumbers w:val="0"/>
              <w:kinsoku/>
              <w:wordWrap/>
              <w:overflowPunct/>
              <w:topLinePunct w:val="0"/>
              <w:autoSpaceDE w:val="0"/>
              <w:autoSpaceDN/>
              <w:bidi w:val="0"/>
              <w:adjustRightInd/>
              <w:spacing w:before="0" w:beforeAutospacing="0" w:after="0" w:afterAutospacing="0" w:line="400" w:lineRule="exact"/>
              <w:ind w:left="0" w:leftChars="0" w:right="0" w:rightChars="0" w:firstLine="0" w:firstLineChars="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2.投标</w:t>
            </w:r>
            <w:r>
              <w:rPr>
                <w:rFonts w:hint="eastAsia" w:ascii="宋体" w:hAnsi="宋体" w:eastAsia="宋体" w:cs="宋体"/>
                <w:sz w:val="24"/>
                <w:szCs w:val="24"/>
                <w:lang w:bidi="ar"/>
              </w:rPr>
              <w:t>供应商提供拟为本项目</w:t>
            </w:r>
            <w:r>
              <w:rPr>
                <w:rFonts w:hint="eastAsia" w:ascii="宋体" w:hAnsi="宋体" w:eastAsia="宋体" w:cs="宋体"/>
                <w:sz w:val="24"/>
                <w:szCs w:val="24"/>
                <w:lang w:val="en-US" w:eastAsia="zh-CN" w:bidi="ar"/>
              </w:rPr>
              <w:t>服务的</w:t>
            </w:r>
            <w:r>
              <w:rPr>
                <w:rFonts w:hint="eastAsia" w:ascii="宋体" w:hAnsi="宋体" w:eastAsia="宋体" w:cs="宋体"/>
                <w:sz w:val="24"/>
                <w:szCs w:val="24"/>
                <w:lang w:bidi="ar"/>
              </w:rPr>
              <w:t>专业</w:t>
            </w:r>
            <w:r>
              <w:rPr>
                <w:rFonts w:hint="eastAsia" w:ascii="宋体" w:hAnsi="宋体" w:eastAsia="宋体" w:cs="宋体"/>
                <w:sz w:val="24"/>
                <w:szCs w:val="24"/>
                <w:lang w:val="en-US" w:eastAsia="zh-CN" w:bidi="ar"/>
              </w:rPr>
              <w:t>售后</w:t>
            </w:r>
            <w:r>
              <w:rPr>
                <w:rFonts w:hint="eastAsia" w:ascii="宋体" w:hAnsi="宋体" w:eastAsia="宋体" w:cs="宋体"/>
                <w:sz w:val="24"/>
                <w:szCs w:val="24"/>
                <w:lang w:bidi="ar"/>
              </w:rPr>
              <w:t>服务人员名单，专业服务人员须持“有害生物防制员”证书。</w:t>
            </w:r>
            <w:r>
              <w:rPr>
                <w:rFonts w:hint="eastAsia" w:ascii="宋体" w:hAnsi="宋体" w:eastAsia="宋体" w:cs="宋体"/>
                <w:sz w:val="24"/>
                <w:szCs w:val="24"/>
                <w:lang w:val="en-US" w:eastAsia="zh-CN" w:bidi="ar"/>
              </w:rPr>
              <w:t>提供1个有效证书得5分，最高得5分。</w:t>
            </w:r>
          </w:p>
        </w:tc>
        <w:tc>
          <w:tcPr>
            <w:tcW w:w="2178" w:type="dxa"/>
            <w:noWrap w:val="0"/>
            <w:vAlign w:val="center"/>
          </w:tcPr>
          <w:p w14:paraId="5C7C1093">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leftChars="0" w:right="0" w:rightChars="0"/>
              <w:jc w:val="left"/>
              <w:rPr>
                <w:rFonts w:hint="eastAsia" w:ascii="宋体" w:hAnsi="宋体" w:eastAsia="宋体" w:cs="宋体"/>
                <w:kern w:val="2"/>
                <w:sz w:val="24"/>
                <w:szCs w:val="24"/>
                <w:lang w:val="en-US" w:eastAsia="zh-CN" w:bidi="ar"/>
              </w:rPr>
            </w:pPr>
            <w:r>
              <w:rPr>
                <w:rFonts w:hint="eastAsia" w:ascii="宋体" w:hAnsi="宋体" w:eastAsia="宋体" w:cs="宋体"/>
                <w:b w:val="0"/>
                <w:bCs w:val="0"/>
                <w:sz w:val="24"/>
                <w:szCs w:val="24"/>
                <w:lang w:bidi="ar"/>
              </w:rPr>
              <w:t>响应文件中提供</w:t>
            </w:r>
            <w:r>
              <w:rPr>
                <w:rFonts w:hint="eastAsia" w:ascii="宋体" w:hAnsi="宋体" w:eastAsia="宋体" w:cs="宋体"/>
                <w:sz w:val="24"/>
                <w:szCs w:val="24"/>
                <w:lang w:val="en-US" w:eastAsia="zh-CN" w:bidi="ar"/>
              </w:rPr>
              <w:t>售后</w:t>
            </w:r>
            <w:r>
              <w:rPr>
                <w:rFonts w:hint="eastAsia" w:ascii="宋体" w:hAnsi="宋体" w:eastAsia="宋体" w:cs="宋体"/>
                <w:b w:val="0"/>
                <w:bCs w:val="0"/>
                <w:sz w:val="24"/>
                <w:szCs w:val="24"/>
                <w:lang w:bidi="ar"/>
              </w:rPr>
              <w:t>人员名单（格式自拟）、证书复印件并加盖供应商公章</w:t>
            </w:r>
            <w:r>
              <w:rPr>
                <w:rFonts w:hint="eastAsia" w:ascii="宋体" w:hAnsi="宋体" w:eastAsia="宋体" w:cs="宋体"/>
                <w:b w:val="0"/>
                <w:bCs w:val="0"/>
                <w:sz w:val="24"/>
                <w:szCs w:val="24"/>
                <w:lang w:eastAsia="zh-CN" w:bidi="ar"/>
              </w:rPr>
              <w:t>。</w:t>
            </w:r>
          </w:p>
        </w:tc>
      </w:tr>
      <w:tr w14:paraId="4165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560" w:type="dxa"/>
            <w:vMerge w:val="continue"/>
            <w:noWrap w:val="0"/>
            <w:vAlign w:val="center"/>
          </w:tcPr>
          <w:p w14:paraId="54027B9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sz w:val="24"/>
                <w:szCs w:val="24"/>
              </w:rPr>
            </w:pPr>
          </w:p>
        </w:tc>
        <w:tc>
          <w:tcPr>
            <w:tcW w:w="1265" w:type="dxa"/>
            <w:vMerge w:val="continue"/>
            <w:noWrap w:val="0"/>
            <w:vAlign w:val="center"/>
          </w:tcPr>
          <w:p w14:paraId="53F47A0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rPr>
                <w:rFonts w:hint="eastAsia" w:ascii="宋体" w:hAnsi="宋体" w:eastAsia="宋体" w:cs="宋体"/>
                <w:kern w:val="2"/>
                <w:sz w:val="24"/>
                <w:szCs w:val="24"/>
              </w:rPr>
            </w:pPr>
          </w:p>
        </w:tc>
        <w:tc>
          <w:tcPr>
            <w:tcW w:w="1350" w:type="dxa"/>
            <w:noWrap w:val="0"/>
            <w:vAlign w:val="center"/>
          </w:tcPr>
          <w:p w14:paraId="7AD093D1">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业绩</w:t>
            </w:r>
          </w:p>
          <w:p w14:paraId="04AEE39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（15分）</w:t>
            </w:r>
          </w:p>
        </w:tc>
        <w:tc>
          <w:tcPr>
            <w:tcW w:w="4585" w:type="dxa"/>
            <w:noWrap w:val="0"/>
            <w:vAlign w:val="center"/>
          </w:tcPr>
          <w:p w14:paraId="0304564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提供投标</w:t>
            </w:r>
            <w:r>
              <w:rPr>
                <w:rFonts w:hint="eastAsia" w:ascii="宋体" w:hAnsi="宋体" w:eastAsia="宋体" w:cs="宋体"/>
                <w:sz w:val="24"/>
                <w:szCs w:val="24"/>
                <w:lang w:bidi="ar"/>
              </w:rPr>
              <w:t>供应商</w:t>
            </w:r>
            <w:r>
              <w:rPr>
                <w:rFonts w:hint="eastAsia" w:ascii="宋体" w:hAnsi="宋体" w:eastAsia="宋体" w:cs="宋体"/>
                <w:kern w:val="2"/>
                <w:sz w:val="24"/>
                <w:szCs w:val="24"/>
                <w:lang w:val="en-US" w:eastAsia="zh-CN" w:bidi="ar"/>
              </w:rPr>
              <w:t>自2022年1月1日至投标截止时间（以合同签订日期为准），完成过类似消杀服务业绩，每提供1个业绩得3分，最多不超过15分。</w:t>
            </w:r>
          </w:p>
        </w:tc>
        <w:tc>
          <w:tcPr>
            <w:tcW w:w="2178" w:type="dxa"/>
            <w:noWrap w:val="0"/>
            <w:vAlign w:val="center"/>
          </w:tcPr>
          <w:p w14:paraId="7763847D">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38"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需提供合同关键页的扫描件，关键页须包括但不限于：合同标的物明细页、有合同主体双方加盖合同章或公章的合同签字页、合同签订时间。</w:t>
            </w:r>
          </w:p>
        </w:tc>
      </w:tr>
      <w:bookmarkEnd w:id="101"/>
    </w:tbl>
    <w:p w14:paraId="1D3CB75C">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bookmarkStart w:id="102" w:name="_Toc19373"/>
      <w:bookmarkStart w:id="103" w:name="_Toc1719"/>
      <w:bookmarkStart w:id="104" w:name="_Toc28310"/>
      <w:r>
        <w:rPr>
          <w:rFonts w:hint="eastAsia" w:ascii="宋体" w:hAnsi="宋体" w:cs="宋体"/>
          <w:sz w:val="24"/>
          <w:szCs w:val="24"/>
        </w:rPr>
        <w:t>六、评审依据</w:t>
      </w:r>
      <w:bookmarkEnd w:id="102"/>
      <w:bookmarkEnd w:id="103"/>
      <w:bookmarkEnd w:id="104"/>
    </w:p>
    <w:p w14:paraId="14C2D243">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评审的依据为</w:t>
      </w:r>
      <w:r>
        <w:rPr>
          <w:rFonts w:hint="eastAsia" w:ascii="宋体" w:hAnsi="宋体" w:cs="宋体"/>
          <w:sz w:val="24"/>
          <w:szCs w:val="24"/>
          <w:lang w:eastAsia="zh-CN"/>
        </w:rPr>
        <w:t>竞采文件</w:t>
      </w:r>
      <w:r>
        <w:rPr>
          <w:rFonts w:hint="eastAsia" w:ascii="宋体" w:hAnsi="宋体" w:cs="宋体"/>
          <w:sz w:val="24"/>
          <w:szCs w:val="24"/>
        </w:rPr>
        <w:t>和响应文件（含有效的补充文件）。竞采小组判断响应文件对</w:t>
      </w:r>
      <w:r>
        <w:rPr>
          <w:rFonts w:hint="eastAsia" w:ascii="宋体" w:hAnsi="宋体" w:cs="宋体"/>
          <w:sz w:val="24"/>
          <w:szCs w:val="24"/>
          <w:lang w:eastAsia="zh-CN"/>
        </w:rPr>
        <w:t>竞采文件</w:t>
      </w:r>
      <w:r>
        <w:rPr>
          <w:rFonts w:hint="eastAsia" w:ascii="宋体" w:hAnsi="宋体" w:cs="宋体"/>
          <w:sz w:val="24"/>
          <w:szCs w:val="24"/>
        </w:rPr>
        <w:t>的响应，仅基于响应文件本身而不靠外部证据。</w:t>
      </w:r>
    </w:p>
    <w:p w14:paraId="263A631A">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bookmarkStart w:id="105" w:name="_Toc1417"/>
      <w:bookmarkStart w:id="106" w:name="_Toc2253"/>
      <w:bookmarkStart w:id="107" w:name="_Toc426965636"/>
      <w:bookmarkStart w:id="108" w:name="_Toc487204785"/>
      <w:bookmarkStart w:id="109" w:name="_Toc102227321"/>
      <w:bookmarkStart w:id="110" w:name="_Toc342913395"/>
      <w:r>
        <w:rPr>
          <w:rFonts w:hint="eastAsia" w:ascii="宋体" w:hAnsi="宋体" w:cs="宋体"/>
          <w:sz w:val="24"/>
          <w:szCs w:val="24"/>
        </w:rPr>
        <w:t>七、成交通知</w:t>
      </w:r>
      <w:bookmarkEnd w:id="105"/>
      <w:bookmarkEnd w:id="106"/>
      <w:bookmarkEnd w:id="107"/>
      <w:bookmarkEnd w:id="108"/>
      <w:bookmarkEnd w:id="109"/>
      <w:bookmarkEnd w:id="110"/>
    </w:p>
    <w:p w14:paraId="3D3344E5">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（一）成交供应商确定后，采购代理机构将在行采家电子竞采(https://www.gec123.com/xe/）</w:t>
      </w:r>
      <w:r>
        <w:rPr>
          <w:rFonts w:hint="eastAsia" w:ascii="宋体" w:hAnsi="宋体" w:cs="宋体"/>
        </w:rPr>
        <w:fldChar w:fldCharType="begin"/>
      </w:r>
      <w:r>
        <w:rPr>
          <w:rFonts w:hint="eastAsia" w:ascii="宋体" w:hAnsi="宋体" w:cs="宋体"/>
        </w:rPr>
        <w:instrText xml:space="preserve"> HYPERLINK "http://www.cqgp.gov.cn）上发布成交结果公示。" </w:instrText>
      </w:r>
      <w:r>
        <w:rPr>
          <w:rFonts w:hint="eastAsia" w:ascii="宋体" w:hAnsi="宋体" w:cs="宋体"/>
        </w:rPr>
        <w:fldChar w:fldCharType="separate"/>
      </w:r>
      <w:r>
        <w:rPr>
          <w:rFonts w:hint="eastAsia" w:ascii="宋体" w:hAnsi="宋体" w:cs="宋体"/>
          <w:sz w:val="24"/>
          <w:szCs w:val="24"/>
        </w:rPr>
        <w:t>上发布成交结果公示。</w:t>
      </w:r>
      <w:r>
        <w:rPr>
          <w:rFonts w:hint="eastAsia" w:ascii="宋体" w:hAnsi="宋体" w:cs="宋体"/>
          <w:sz w:val="24"/>
          <w:szCs w:val="24"/>
        </w:rPr>
        <w:fldChar w:fldCharType="end"/>
      </w:r>
    </w:p>
    <w:p w14:paraId="1932B7F0">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6F1872C0">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（三）《成交通知书》将作为签订合同的依据。</w:t>
      </w:r>
    </w:p>
    <w:p w14:paraId="63F1DBF4">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（四）如有供应商对成交结果提出质疑的，在质疑处理完毕后发出成交通知书。</w:t>
      </w:r>
    </w:p>
    <w:p w14:paraId="0C93FBD5">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bookmarkStart w:id="111" w:name="_Toc426965637"/>
      <w:bookmarkStart w:id="112" w:name="_Toc26358"/>
      <w:bookmarkStart w:id="113" w:name="_Toc3695"/>
      <w:bookmarkStart w:id="114" w:name="_Toc487204786"/>
      <w:bookmarkStart w:id="115" w:name="_Toc9610"/>
      <w:r>
        <w:rPr>
          <w:rFonts w:hint="eastAsia" w:ascii="宋体" w:hAnsi="宋体" w:cs="宋体"/>
          <w:sz w:val="24"/>
          <w:szCs w:val="24"/>
        </w:rPr>
        <w:t>八、关于质疑和投诉</w:t>
      </w:r>
      <w:bookmarkEnd w:id="111"/>
      <w:bookmarkEnd w:id="112"/>
      <w:bookmarkEnd w:id="113"/>
      <w:bookmarkEnd w:id="114"/>
      <w:bookmarkEnd w:id="115"/>
    </w:p>
    <w:p w14:paraId="1B1EE151">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（一）质疑内容、时限</w:t>
      </w:r>
    </w:p>
    <w:p w14:paraId="177B8EFB">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1、供应商对成交结果有异议的，应当在结果预公示发布之日起两个工作日内以书面形式向采购人、采购代理机构提出质疑，并附相关证明材料。</w:t>
      </w:r>
    </w:p>
    <w:p w14:paraId="073C1087">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2、供应商对</w:t>
      </w:r>
      <w:r>
        <w:rPr>
          <w:rFonts w:hint="eastAsia" w:ascii="宋体" w:hAnsi="宋体" w:cs="宋体"/>
          <w:sz w:val="24"/>
          <w:szCs w:val="24"/>
          <w:lang w:eastAsia="zh-CN"/>
        </w:rPr>
        <w:t>竞采文件</w:t>
      </w:r>
      <w:r>
        <w:rPr>
          <w:rFonts w:hint="eastAsia" w:ascii="宋体" w:hAnsi="宋体" w:cs="宋体"/>
          <w:sz w:val="24"/>
          <w:szCs w:val="24"/>
        </w:rPr>
        <w:t>中供应商特定资格条件、技术质量和商务要求、评审标准及评审细则有异议的，应主要向采购人提出质疑，其他问题可向采购代理机构提出质疑。且须以书面形式在提交响应文件截止时间1个工作日前提出。</w:t>
      </w:r>
    </w:p>
    <w:p w14:paraId="706C158F">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（二）质疑答复</w:t>
      </w:r>
    </w:p>
    <w:p w14:paraId="2AAC1CF3">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采购人、采购代理机构将参照《重庆市政府采购供应商质疑投诉处理暂行规定》的相关规定对质疑内容作出答复和处理。</w:t>
      </w:r>
    </w:p>
    <w:p w14:paraId="3BD9BE8C">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bookmarkStart w:id="116" w:name="_Toc102227322"/>
      <w:bookmarkStart w:id="117" w:name="_Toc426965638"/>
      <w:bookmarkStart w:id="118" w:name="_Toc21802"/>
      <w:bookmarkStart w:id="119" w:name="_Toc342913396"/>
      <w:bookmarkStart w:id="120" w:name="_Toc7889"/>
      <w:bookmarkStart w:id="121" w:name="_Toc23427"/>
      <w:bookmarkStart w:id="122" w:name="_Toc487204787"/>
      <w:r>
        <w:rPr>
          <w:rFonts w:hint="eastAsia" w:ascii="宋体" w:hAnsi="宋体" w:cs="宋体"/>
          <w:sz w:val="24"/>
          <w:szCs w:val="24"/>
        </w:rPr>
        <w:t>九、签订</w:t>
      </w:r>
      <w:bookmarkEnd w:id="116"/>
      <w:r>
        <w:rPr>
          <w:rFonts w:hint="eastAsia" w:ascii="宋体" w:hAnsi="宋体" w:cs="宋体"/>
          <w:sz w:val="24"/>
          <w:szCs w:val="24"/>
        </w:rPr>
        <w:t>合同</w:t>
      </w:r>
      <w:bookmarkEnd w:id="117"/>
      <w:bookmarkEnd w:id="118"/>
      <w:bookmarkEnd w:id="119"/>
      <w:bookmarkEnd w:id="120"/>
      <w:bookmarkEnd w:id="121"/>
      <w:bookmarkEnd w:id="122"/>
    </w:p>
    <w:p w14:paraId="0AF93051">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（一）采购人与成交供应商应当在成交通知书发出之日起20日内，按照竞采文件确定的合同文本以及采购标的、规格型号、采购金额、采购数量、技术和服务要求等事项签订政府采购合同。</w:t>
      </w:r>
    </w:p>
    <w:p w14:paraId="74EB8690">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w:t>
      </w:r>
      <w:r>
        <w:rPr>
          <w:rFonts w:hint="eastAsia" w:ascii="宋体" w:hAnsi="宋体" w:cs="宋体"/>
          <w:sz w:val="24"/>
          <w:szCs w:val="24"/>
          <w:lang w:eastAsia="zh-CN"/>
        </w:rPr>
        <w:t>竞采文件</w:t>
      </w:r>
      <w:r>
        <w:rPr>
          <w:rFonts w:hint="eastAsia" w:ascii="宋体" w:hAnsi="宋体" w:cs="宋体"/>
          <w:sz w:val="24"/>
          <w:szCs w:val="24"/>
        </w:rPr>
        <w:t>、成交供应商的响应文件及有效承诺文件等，均为签订合同的依据。</w:t>
      </w:r>
    </w:p>
    <w:p w14:paraId="10580846">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（三）成交供应商未按照</w:t>
      </w:r>
      <w:r>
        <w:rPr>
          <w:rFonts w:hint="eastAsia" w:ascii="宋体" w:hAnsi="宋体" w:cs="宋体"/>
          <w:sz w:val="24"/>
          <w:szCs w:val="24"/>
          <w:lang w:eastAsia="zh-CN"/>
        </w:rPr>
        <w:t>竞采文件</w:t>
      </w:r>
      <w:r>
        <w:rPr>
          <w:rFonts w:hint="eastAsia" w:ascii="宋体" w:hAnsi="宋体" w:cs="宋体"/>
          <w:sz w:val="24"/>
          <w:szCs w:val="24"/>
        </w:rPr>
        <w:t>确定的事项签订合同，或者与采购人另行订立背离合同实质性内容协议的，将承担相关法律责任。</w:t>
      </w:r>
    </w:p>
    <w:p w14:paraId="223DBF57">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采购人不得向成交供应商提出超出竞采以外的任何要求作为签订合同的条件，不得与成交供应商订立背离竞采确定的合同文本以及采购标的、规格型号、采购金额、采购数量、技术和服务要求等实质性内容的协议。</w:t>
      </w:r>
    </w:p>
    <w:p w14:paraId="13EE6367">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（五）除不可抗力等因素外，成交通知书发出后，采购人改变成交结果，或者成交供应商无正当理由拒绝签订政府采购合同的，应当承担相应的法律责任。</w:t>
      </w:r>
    </w:p>
    <w:p w14:paraId="6F253EBE">
      <w:pPr>
        <w:pageBreakBefore w:val="0"/>
        <w:kinsoku/>
        <w:wordWrap/>
        <w:overflowPunct/>
        <w:topLinePunct w:val="0"/>
        <w:autoSpaceDN/>
        <w:bidi w:val="0"/>
        <w:adjustRightInd/>
        <w:spacing w:line="400" w:lineRule="exact"/>
        <w:ind w:firstLine="720" w:firstLineChars="300"/>
        <w:rPr>
          <w:rFonts w:hint="eastAsia" w:ascii="宋体" w:hAnsi="宋体" w:cs="宋体"/>
          <w:sz w:val="24"/>
          <w:szCs w:val="24"/>
        </w:rPr>
        <w:sectPr>
          <w:pgSz w:w="11907" w:h="16840"/>
          <w:pgMar w:top="1440" w:right="1247" w:bottom="1440" w:left="1247" w:header="964" w:footer="992" w:gutter="0"/>
          <w:pgNumType w:fmt="numberInDash"/>
          <w:cols w:space="720" w:num="1"/>
          <w:docGrid w:type="linesAndChars" w:linePitch="381" w:charSpace="0"/>
        </w:sectPr>
      </w:pPr>
    </w:p>
    <w:p w14:paraId="71A07AE6">
      <w:pPr>
        <w:pStyle w:val="3"/>
        <w:pageBreakBefore w:val="0"/>
        <w:kinsoku/>
        <w:wordWrap/>
        <w:overflowPunct/>
        <w:topLinePunct w:val="0"/>
        <w:autoSpaceDN/>
        <w:bidi w:val="0"/>
        <w:adjustRightInd/>
        <w:spacing w:line="400" w:lineRule="exact"/>
        <w:jc w:val="center"/>
        <w:rPr>
          <w:rStyle w:val="34"/>
          <w:rFonts w:hint="eastAsia" w:ascii="宋体" w:hAnsi="宋体" w:cs="宋体"/>
          <w:b/>
          <w:bCs w:val="0"/>
          <w:lang w:eastAsia="zh-CN"/>
        </w:rPr>
      </w:pPr>
      <w:bookmarkStart w:id="123" w:name="_Toc7379"/>
      <w:bookmarkStart w:id="124" w:name="_Toc1896"/>
      <w:r>
        <w:rPr>
          <w:rStyle w:val="34"/>
          <w:rFonts w:hint="eastAsia" w:ascii="宋体" w:hAnsi="宋体" w:cs="宋体"/>
          <w:b/>
          <w:bCs w:val="0"/>
        </w:rPr>
        <w:t xml:space="preserve">第三篇  </w:t>
      </w:r>
      <w:bookmarkEnd w:id="64"/>
      <w:r>
        <w:rPr>
          <w:rStyle w:val="34"/>
          <w:rFonts w:hint="eastAsia" w:ascii="宋体" w:hAnsi="宋体" w:cs="宋体"/>
          <w:b/>
          <w:bCs w:val="0"/>
          <w:lang w:eastAsia="zh-CN"/>
        </w:rPr>
        <w:t>项目服务需求</w:t>
      </w:r>
      <w:bookmarkEnd w:id="123"/>
      <w:bookmarkEnd w:id="124"/>
    </w:p>
    <w:p w14:paraId="35082485">
      <w:pPr>
        <w:keepNext w:val="0"/>
        <w:keepLines w:val="0"/>
        <w:pageBreakBefore w:val="0"/>
        <w:widowControl w:val="0"/>
        <w:suppressLineNumbers w:val="0"/>
        <w:kinsoku/>
        <w:wordWrap/>
        <w:overflowPunct/>
        <w:topLinePunct w:val="0"/>
        <w:autoSpaceDN/>
        <w:bidi w:val="0"/>
        <w:adjustRightInd/>
        <w:spacing w:before="0" w:beforeAutospacing="0" w:after="0" w:afterAutospacing="0" w:line="400" w:lineRule="exact"/>
        <w:ind w:left="0" w:right="0"/>
        <w:jc w:val="both"/>
        <w:rPr>
          <w:rFonts w:hint="eastAsia" w:ascii="宋体" w:hAnsi="宋体" w:eastAsia="宋体" w:cs="宋体"/>
          <w:b/>
          <w:bCs w:val="0"/>
          <w:kern w:val="2"/>
          <w:sz w:val="24"/>
          <w:szCs w:val="24"/>
        </w:rPr>
      </w:pPr>
      <w:bookmarkStart w:id="125" w:name="_Toc14372"/>
      <w:bookmarkStart w:id="126" w:name="_Toc128744993"/>
      <w:bookmarkStart w:id="127" w:name="_Toc12789058"/>
      <w:r>
        <w:rPr>
          <w:rFonts w:hint="eastAsia" w:ascii="宋体" w:hAnsi="宋体" w:eastAsia="宋体" w:cs="宋体"/>
          <w:b/>
          <w:bCs w:val="0"/>
          <w:kern w:val="2"/>
          <w:sz w:val="24"/>
          <w:szCs w:val="24"/>
          <w:lang w:val="en-US" w:eastAsia="zh-CN" w:bidi="ar"/>
        </w:rPr>
        <w:t>※标记的服务需求</w:t>
      </w:r>
      <w:r>
        <w:rPr>
          <w:rFonts w:hint="eastAsia" w:ascii="宋体" w:hAnsi="宋体" w:eastAsia="宋体" w:cs="宋体"/>
          <w:b/>
          <w:bCs/>
          <w:kern w:val="2"/>
          <w:sz w:val="24"/>
          <w:szCs w:val="24"/>
          <w:lang w:val="en-US" w:eastAsia="zh-CN" w:bidi="ar"/>
        </w:rPr>
        <w:t>为符合性审查中的实质性要求，响应文件若不满足按无效处理。</w:t>
      </w:r>
    </w:p>
    <w:p w14:paraId="7212D864">
      <w:pPr>
        <w:keepNext w:val="0"/>
        <w:keepLines w:val="0"/>
        <w:pageBreakBefore w:val="0"/>
        <w:widowControl w:val="0"/>
        <w:suppressLineNumbers w:val="0"/>
        <w:kinsoku/>
        <w:wordWrap/>
        <w:overflowPunct/>
        <w:topLinePunct w:val="0"/>
        <w:autoSpaceDN/>
        <w:bidi w:val="0"/>
        <w:adjustRightInd/>
        <w:spacing w:before="0" w:beforeAutospacing="0" w:after="0" w:afterAutospacing="0" w:line="40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lang w:val="en-US" w:eastAsia="zh-CN" w:bidi="ar"/>
        </w:rPr>
        <w:t>标记的服务需求</w:t>
      </w:r>
      <w:r>
        <w:rPr>
          <w:rFonts w:hint="eastAsia" w:ascii="宋体" w:hAnsi="宋体" w:eastAsia="宋体" w:cs="宋体"/>
          <w:b/>
          <w:bCs/>
          <w:kern w:val="2"/>
          <w:sz w:val="24"/>
          <w:szCs w:val="24"/>
          <w:lang w:val="en-US" w:eastAsia="zh-CN" w:bidi="ar"/>
        </w:rPr>
        <w:t>为重要技术需求，响应文件若不满足按评审标准中要求处理。</w:t>
      </w:r>
    </w:p>
    <w:p w14:paraId="5075CA8D">
      <w:pPr>
        <w:pStyle w:val="4"/>
        <w:pageBreakBefore w:val="0"/>
        <w:kinsoku/>
        <w:wordWrap/>
        <w:overflowPunct/>
        <w:topLinePunct w:val="0"/>
        <w:autoSpaceDN/>
        <w:bidi w:val="0"/>
        <w:adjustRightInd/>
        <w:spacing w:before="0" w:after="0" w:line="400" w:lineRule="exact"/>
        <w:rPr>
          <w:rFonts w:hint="eastAsia" w:ascii="宋体" w:hAnsi="宋体" w:eastAsia="宋体" w:cs="宋体"/>
          <w:color w:val="auto"/>
          <w:sz w:val="24"/>
          <w:szCs w:val="24"/>
        </w:rPr>
      </w:pPr>
      <w:bookmarkStart w:id="128" w:name="_Toc108440067"/>
      <w:bookmarkStart w:id="129" w:name="_Toc19786033"/>
      <w:bookmarkStart w:id="130" w:name="_Toc42096293"/>
      <w:bookmarkStart w:id="131" w:name="_Toc29168"/>
      <w:bookmarkStart w:id="132" w:name="_Toc171347694"/>
      <w:bookmarkStart w:id="133" w:name="_Toc18331"/>
      <w:bookmarkStart w:id="134" w:name="_Toc15239"/>
      <w:r>
        <w:rPr>
          <w:rFonts w:hint="eastAsia" w:ascii="宋体" w:hAnsi="宋体" w:eastAsia="宋体" w:cs="宋体"/>
          <w:b/>
          <w:bCs w:val="0"/>
          <w:kern w:val="2"/>
          <w:sz w:val="24"/>
          <w:szCs w:val="24"/>
          <w:lang w:val="en-US" w:eastAsia="zh-CN" w:bidi="ar"/>
        </w:rPr>
        <w:t>※</w:t>
      </w:r>
      <w:r>
        <w:rPr>
          <w:rFonts w:hint="eastAsia" w:ascii="宋体" w:hAnsi="宋体" w:eastAsia="宋体" w:cs="宋体"/>
          <w:color w:val="auto"/>
          <w:sz w:val="24"/>
          <w:szCs w:val="24"/>
        </w:rPr>
        <w:t>一、采购项目基本情况</w:t>
      </w:r>
      <w:bookmarkEnd w:id="128"/>
      <w:bookmarkEnd w:id="129"/>
      <w:bookmarkEnd w:id="130"/>
      <w:bookmarkEnd w:id="131"/>
      <w:bookmarkEnd w:id="132"/>
      <w:bookmarkEnd w:id="133"/>
    </w:p>
    <w:p w14:paraId="42E0CE73">
      <w:pPr>
        <w:pageBreakBefore w:val="0"/>
        <w:numPr>
          <w:ilvl w:val="0"/>
          <w:numId w:val="5"/>
        </w:numPr>
        <w:kinsoku/>
        <w:wordWrap/>
        <w:overflowPunct/>
        <w:topLinePunct w:val="0"/>
        <w:autoSpaceDN/>
        <w:bidi w:val="0"/>
        <w:adjustRightInd/>
        <w:snapToGrid w:val="0"/>
        <w:spacing w:line="400" w:lineRule="exact"/>
        <w:ind w:firstLine="360" w:firstLineChars="150"/>
        <w:rPr>
          <w:rFonts w:hint="eastAsia" w:ascii="宋体" w:hAnsi="宋体" w:eastAsia="宋体" w:cs="宋体"/>
          <w:sz w:val="24"/>
          <w:szCs w:val="24"/>
          <w:highlight w:val="none"/>
          <w:lang w:eastAsia="zh-CN" w:bidi="en-US"/>
        </w:rPr>
      </w:pPr>
      <w:bookmarkStart w:id="135" w:name="_Toc1573"/>
      <w:r>
        <w:rPr>
          <w:rFonts w:hint="eastAsia" w:ascii="宋体" w:hAnsi="宋体" w:eastAsia="宋体" w:cs="宋体"/>
          <w:color w:val="auto"/>
          <w:sz w:val="24"/>
          <w:szCs w:val="24"/>
        </w:rPr>
        <w:t>项目名称：</w:t>
      </w:r>
      <w:bookmarkEnd w:id="135"/>
      <w:r>
        <w:rPr>
          <w:rFonts w:hint="eastAsia" w:ascii="宋体" w:hAnsi="宋体" w:cs="宋体"/>
          <w:sz w:val="24"/>
          <w:szCs w:val="24"/>
          <w:highlight w:val="none"/>
          <w:lang w:eastAsia="zh-CN" w:bidi="en-US"/>
        </w:rPr>
        <w:t>渝北区空港实验中学2026年病媒生物防治项目</w:t>
      </w:r>
    </w:p>
    <w:p w14:paraId="3F0AD138">
      <w:pPr>
        <w:pageBreakBefore w:val="0"/>
        <w:numPr>
          <w:ilvl w:val="0"/>
          <w:numId w:val="5"/>
        </w:numPr>
        <w:kinsoku/>
        <w:wordWrap/>
        <w:overflowPunct/>
        <w:topLinePunct w:val="0"/>
        <w:autoSpaceDN/>
        <w:bidi w:val="0"/>
        <w:adjustRightInd/>
        <w:snapToGrid w:val="0"/>
        <w:spacing w:line="400" w:lineRule="exact"/>
        <w:ind w:firstLine="360" w:firstLineChars="150"/>
        <w:rPr>
          <w:rFonts w:hint="eastAsia" w:ascii="宋体" w:hAnsi="宋体" w:eastAsia="宋体" w:cs="宋体"/>
          <w:sz w:val="24"/>
          <w:szCs w:val="24"/>
          <w:highlight w:val="none"/>
          <w:lang w:eastAsia="zh-CN" w:bidi="en-US"/>
        </w:rPr>
      </w:pPr>
      <w:r>
        <w:rPr>
          <w:rFonts w:hint="eastAsia" w:ascii="宋体" w:hAnsi="宋体" w:eastAsia="宋体" w:cs="宋体"/>
          <w:sz w:val="24"/>
          <w:szCs w:val="24"/>
          <w:lang w:val="en-US" w:eastAsia="zh-CN"/>
        </w:rPr>
        <w:t>服务项目地点：重庆市渝北区空港实验中学校</w:t>
      </w:r>
    </w:p>
    <w:p w14:paraId="7D730E2A">
      <w:pPr>
        <w:pageBreakBefore w:val="0"/>
        <w:numPr>
          <w:ilvl w:val="0"/>
          <w:numId w:val="5"/>
        </w:numPr>
        <w:kinsoku/>
        <w:wordWrap/>
        <w:overflowPunct/>
        <w:topLinePunct w:val="0"/>
        <w:autoSpaceDN/>
        <w:bidi w:val="0"/>
        <w:adjustRightInd/>
        <w:snapToGrid w:val="0"/>
        <w:spacing w:line="400" w:lineRule="exact"/>
        <w:ind w:left="0" w:leftChars="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服务范围：</w:t>
      </w:r>
      <w:r>
        <w:rPr>
          <w:rFonts w:hint="eastAsia" w:ascii="宋体" w:hAnsi="宋体" w:eastAsia="宋体" w:cs="宋体"/>
          <w:sz w:val="24"/>
          <w:szCs w:val="24"/>
          <w:lang w:val="en-US" w:eastAsia="zh-CN"/>
        </w:rPr>
        <w:t>综合楼（含礼堂），教学楼，实验楼，食堂，体育馆，女生宿舍，男生宿舍，运动场，车库等区域，总共服务面积为86580平方米</w:t>
      </w:r>
    </w:p>
    <w:p w14:paraId="68BA5063">
      <w:pPr>
        <w:pageBreakBefore w:val="0"/>
        <w:numPr>
          <w:ilvl w:val="0"/>
          <w:numId w:val="5"/>
        </w:numPr>
        <w:kinsoku/>
        <w:wordWrap/>
        <w:overflowPunct/>
        <w:topLinePunct w:val="0"/>
        <w:autoSpaceDN/>
        <w:bidi w:val="0"/>
        <w:adjustRightInd/>
        <w:snapToGrid w:val="0"/>
        <w:spacing w:line="400" w:lineRule="exact"/>
        <w:ind w:left="0" w:leftChars="0" w:firstLine="360" w:firstLineChars="150"/>
        <w:rPr>
          <w:rFonts w:hint="eastAsia" w:ascii="宋体" w:hAnsi="宋体" w:eastAsia="宋体" w:cs="宋体"/>
          <w:color w:val="auto"/>
          <w:sz w:val="24"/>
          <w:szCs w:val="24"/>
        </w:rPr>
      </w:pPr>
      <w:r>
        <w:rPr>
          <w:rFonts w:hint="eastAsia" w:ascii="宋体" w:hAnsi="宋体" w:eastAsia="宋体" w:cs="宋体"/>
          <w:sz w:val="24"/>
          <w:szCs w:val="24"/>
          <w:lang w:val="en-US" w:eastAsia="zh-CN"/>
        </w:rPr>
        <w:t>防治对象：老鼠、蟑螂、苍蝇、蚊虫</w:t>
      </w:r>
      <w:r>
        <w:rPr>
          <w:rFonts w:hint="eastAsia" w:ascii="宋体" w:hAnsi="宋体" w:eastAsia="宋体" w:cs="宋体"/>
          <w:color w:val="auto"/>
          <w:sz w:val="24"/>
          <w:szCs w:val="24"/>
          <w:lang w:val="en-US" w:eastAsia="zh-CN"/>
        </w:rPr>
        <w:t>、马陆</w:t>
      </w:r>
      <w:r>
        <w:rPr>
          <w:rFonts w:hint="eastAsia" w:ascii="宋体" w:hAnsi="宋体" w:eastAsia="宋体" w:cs="宋体"/>
          <w:sz w:val="24"/>
          <w:szCs w:val="24"/>
          <w:lang w:val="en-US" w:eastAsia="zh-CN"/>
        </w:rPr>
        <w:t>等病媒生物。。</w:t>
      </w:r>
    </w:p>
    <w:p w14:paraId="23426468">
      <w:pPr>
        <w:pStyle w:val="4"/>
        <w:pageBreakBefore w:val="0"/>
        <w:kinsoku/>
        <w:wordWrap/>
        <w:overflowPunct/>
        <w:topLinePunct w:val="0"/>
        <w:autoSpaceDN/>
        <w:bidi w:val="0"/>
        <w:adjustRightInd/>
        <w:spacing w:before="0" w:after="0" w:line="400" w:lineRule="exact"/>
        <w:rPr>
          <w:rFonts w:hint="eastAsia" w:ascii="宋体" w:hAnsi="宋体" w:eastAsia="宋体" w:cs="宋体"/>
          <w:color w:val="auto"/>
          <w:sz w:val="24"/>
          <w:szCs w:val="24"/>
        </w:rPr>
      </w:pPr>
      <w:bookmarkStart w:id="136" w:name="_Toc19786034"/>
      <w:bookmarkStart w:id="137" w:name="_Toc42096294"/>
      <w:bookmarkStart w:id="138" w:name="_Toc171347695"/>
      <w:bookmarkStart w:id="139" w:name="_Toc22987"/>
      <w:bookmarkStart w:id="140" w:name="_Toc108440068"/>
      <w:bookmarkStart w:id="141" w:name="_Toc8002"/>
      <w:r>
        <w:rPr>
          <w:rFonts w:hint="eastAsia" w:ascii="宋体" w:hAnsi="宋体" w:eastAsia="宋体" w:cs="宋体"/>
          <w:b/>
          <w:bCs w:val="0"/>
          <w:kern w:val="2"/>
          <w:sz w:val="24"/>
          <w:szCs w:val="24"/>
          <w:lang w:val="en-US" w:eastAsia="zh-CN" w:bidi="ar"/>
        </w:rPr>
        <w:t>※</w:t>
      </w:r>
      <w:r>
        <w:rPr>
          <w:rFonts w:hint="eastAsia" w:ascii="宋体" w:hAnsi="宋体" w:eastAsia="宋体" w:cs="宋体"/>
          <w:color w:val="auto"/>
          <w:sz w:val="24"/>
          <w:szCs w:val="24"/>
        </w:rPr>
        <w:t>二、</w:t>
      </w:r>
      <w:bookmarkEnd w:id="136"/>
      <w:r>
        <w:rPr>
          <w:rFonts w:hint="eastAsia" w:ascii="宋体" w:hAnsi="宋体" w:eastAsia="宋体" w:cs="宋体"/>
          <w:color w:val="auto"/>
          <w:sz w:val="24"/>
          <w:szCs w:val="24"/>
        </w:rPr>
        <w:t>服务技术要求</w:t>
      </w:r>
      <w:bookmarkEnd w:id="137"/>
      <w:bookmarkEnd w:id="138"/>
      <w:bookmarkEnd w:id="139"/>
      <w:bookmarkEnd w:id="140"/>
      <w:bookmarkEnd w:id="141"/>
    </w:p>
    <w:p w14:paraId="0B321BC2">
      <w:pPr>
        <w:pageBreakBefore w:val="0"/>
        <w:numPr>
          <w:ilvl w:val="0"/>
          <w:numId w:val="6"/>
        </w:numPr>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鼠虫害防制综合要求</w:t>
      </w:r>
    </w:p>
    <w:p w14:paraId="3596524F">
      <w:pPr>
        <w:pageBreakBefore w:val="0"/>
        <w:numPr>
          <w:ilvl w:val="0"/>
          <w:numId w:val="0"/>
        </w:numPr>
        <w:kinsoku/>
        <w:wordWrap/>
        <w:overflowPunct/>
        <w:topLinePunct w:val="0"/>
        <w:autoSpaceDN/>
        <w:bidi w:val="0"/>
        <w:adjustRightInd/>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1、服务频次：每月不少于</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次。</w:t>
      </w:r>
    </w:p>
    <w:p w14:paraId="349730EC">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1.鼠虫害防制应保证绝对安全，供应商承担因鼠虫害防制产生的一切安全责任。</w:t>
      </w:r>
    </w:p>
    <w:p w14:paraId="24B4C953">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2.鼠</w:t>
      </w:r>
      <w:r>
        <w:rPr>
          <w:rFonts w:hint="eastAsia" w:ascii="宋体" w:hAnsi="宋体" w:cs="宋体"/>
          <w:color w:val="auto"/>
          <w:sz w:val="24"/>
          <w:szCs w:val="24"/>
          <w:lang w:eastAsia="zh-CN"/>
        </w:rPr>
        <w:t>虫</w:t>
      </w:r>
      <w:r>
        <w:rPr>
          <w:rFonts w:hint="eastAsia" w:ascii="宋体" w:hAnsi="宋体" w:eastAsia="宋体" w:cs="宋体"/>
          <w:color w:val="auto"/>
          <w:sz w:val="24"/>
          <w:szCs w:val="24"/>
        </w:rPr>
        <w:t>害防制需环保，不得对环境造成二次污染，所用的物理、化学防制设施设备由防制公司全部提供。</w:t>
      </w:r>
    </w:p>
    <w:p w14:paraId="0481F416">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3.服务中需对服务区域进行全面调查研究，发现可能导致重大隐患的，应及时在服务中和报告中提出相关建议和采取积极有效防制措施。</w:t>
      </w:r>
    </w:p>
    <w:p w14:paraId="38952D7B">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4.指导采购方开展鼠虫还防制知识宣传。</w:t>
      </w:r>
    </w:p>
    <w:p w14:paraId="49EDF464">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5.现场作业应完整记录消杀清单，不限于药品计量、品名，相关器械、现场照片以及操作人员资质情况。</w:t>
      </w:r>
    </w:p>
    <w:p w14:paraId="246B9F31">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eastAsia="zh-CN"/>
        </w:rPr>
        <w:t>马陆</w:t>
      </w:r>
      <w:r>
        <w:rPr>
          <w:rFonts w:hint="eastAsia" w:ascii="宋体" w:hAnsi="宋体" w:eastAsia="宋体" w:cs="宋体"/>
          <w:color w:val="auto"/>
          <w:sz w:val="24"/>
          <w:szCs w:val="24"/>
        </w:rPr>
        <w:t>防制</w:t>
      </w:r>
    </w:p>
    <w:p w14:paraId="7E42691A">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1.频次：每月</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次以上。</w:t>
      </w:r>
    </w:p>
    <w:p w14:paraId="3656530B">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马陆</w:t>
      </w:r>
      <w:r>
        <w:rPr>
          <w:rFonts w:hint="eastAsia" w:ascii="宋体" w:hAnsi="宋体" w:eastAsia="宋体" w:cs="宋体"/>
          <w:color w:val="auto"/>
          <w:sz w:val="24"/>
          <w:szCs w:val="24"/>
        </w:rPr>
        <w:t>防制服务实施后，服务期间和服务质保期间，发生因</w:t>
      </w:r>
      <w:r>
        <w:rPr>
          <w:rFonts w:hint="eastAsia" w:ascii="宋体" w:hAnsi="宋体" w:cs="宋体"/>
          <w:color w:val="auto"/>
          <w:sz w:val="24"/>
          <w:szCs w:val="24"/>
          <w:lang w:eastAsia="zh-CN"/>
        </w:rPr>
        <w:t>马陆</w:t>
      </w:r>
      <w:r>
        <w:rPr>
          <w:rFonts w:hint="eastAsia" w:ascii="宋体" w:hAnsi="宋体" w:eastAsia="宋体" w:cs="宋体"/>
          <w:color w:val="auto"/>
          <w:sz w:val="24"/>
          <w:szCs w:val="24"/>
        </w:rPr>
        <w:t>危害造成采购方经济损失的，供应商应承担相应责任。</w:t>
      </w:r>
    </w:p>
    <w:p w14:paraId="52407054">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3.采购方不定时进行全面详细检查，确保防制效果。</w:t>
      </w:r>
    </w:p>
    <w:p w14:paraId="1E40FFD4">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（三）灭鼠防制</w:t>
      </w:r>
    </w:p>
    <w:p w14:paraId="32C733C1">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室内鼠密度控制水平：鼠迹阳性率小于或等于5%；外环境鼠密度控制水平：路径指数小于或等于5。</w:t>
      </w:r>
    </w:p>
    <w:p w14:paraId="0321A412">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（四）灭蝇防制</w:t>
      </w:r>
    </w:p>
    <w:p w14:paraId="500BE9A2">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室内成蝇密度控制水平：有蝇房间阳性率小于或等于9%，阳性间蝇密度小于等于3只/间；室外蝇类孳生地密度控制水平：阳性率小于或等于5%。</w:t>
      </w:r>
    </w:p>
    <w:p w14:paraId="13758CA4">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（五）灭蚊防制</w:t>
      </w:r>
    </w:p>
    <w:p w14:paraId="4A634E37">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小型积水蚊虫密度控制水平路径指数小于或等于0.8；大中型水体蚊虫密度控制水平采样勺指数小于或等于5%，平均每阳性勺少于8只蚊虫幼虫和蛹；外环境蚊虫密度控制水平停落指数小于或等于1.5。</w:t>
      </w:r>
    </w:p>
    <w:p w14:paraId="68F47577">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（六）蜚蠊防制</w:t>
      </w:r>
    </w:p>
    <w:p w14:paraId="7D8EDED2">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成若虫侵害率：蜚蠊成若虫侵害率小于或等于5%，平均每阳性间（处）成若虫数小蠊小于或等于10只，大蠊小于或等于5只；卵鞘查获率：蜚蠊卵鞘查获率小于或等于3%，平均阳性间（处）卵鞘数小于或等于8只；蟑迹查获率：蟑迹查获率小于或等于7%。</w:t>
      </w:r>
    </w:p>
    <w:p w14:paraId="04D09049">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（七）</w:t>
      </w:r>
      <w:r>
        <w:rPr>
          <w:rFonts w:hint="eastAsia" w:ascii="宋体" w:hAnsi="宋体" w:cs="宋体"/>
          <w:color w:val="auto"/>
          <w:sz w:val="24"/>
          <w:szCs w:val="24"/>
          <w:lang w:eastAsia="zh-CN"/>
        </w:rPr>
        <w:t>马陆</w:t>
      </w:r>
      <w:r>
        <w:rPr>
          <w:rFonts w:hint="eastAsia" w:ascii="宋体" w:hAnsi="宋体" w:eastAsia="宋体" w:cs="宋体"/>
          <w:color w:val="auto"/>
          <w:sz w:val="24"/>
          <w:szCs w:val="24"/>
        </w:rPr>
        <w:t>防制</w:t>
      </w:r>
    </w:p>
    <w:p w14:paraId="560D3B5F">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cs="宋体"/>
          <w:color w:val="auto"/>
          <w:sz w:val="24"/>
          <w:szCs w:val="24"/>
          <w:lang w:eastAsia="zh-CN"/>
        </w:rPr>
        <w:t>教学楼、办公区、学生公寓内不得出现马陆，更不能影响师生学习和生活</w:t>
      </w:r>
      <w:r>
        <w:rPr>
          <w:rFonts w:hint="eastAsia" w:ascii="宋体" w:hAnsi="宋体" w:eastAsia="宋体" w:cs="宋体"/>
          <w:color w:val="auto"/>
          <w:sz w:val="24"/>
          <w:szCs w:val="24"/>
        </w:rPr>
        <w:t>。</w:t>
      </w:r>
    </w:p>
    <w:p w14:paraId="0683F780">
      <w:pPr>
        <w:pageBreakBefore w:val="0"/>
        <w:numPr>
          <w:ilvl w:val="0"/>
          <w:numId w:val="7"/>
        </w:numPr>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防蝇防鼠设施合格率大于或等于95%。</w:t>
      </w:r>
    </w:p>
    <w:p w14:paraId="581F8573">
      <w:pPr>
        <w:pageBreakBefore w:val="0"/>
        <w:numPr>
          <w:ilvl w:val="0"/>
          <w:numId w:val="7"/>
        </w:numPr>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每</w:t>
      </w:r>
      <w:r>
        <w:rPr>
          <w:rFonts w:hint="eastAsia" w:ascii="宋体" w:hAnsi="宋体" w:cs="宋体"/>
          <w:color w:val="auto"/>
          <w:sz w:val="24"/>
          <w:szCs w:val="24"/>
          <w:lang w:eastAsia="zh-CN"/>
        </w:rPr>
        <w:t>年</w:t>
      </w:r>
      <w:r>
        <w:rPr>
          <w:rFonts w:hint="eastAsia" w:ascii="宋体" w:hAnsi="宋体" w:eastAsia="宋体" w:cs="宋体"/>
          <w:color w:val="auto"/>
          <w:sz w:val="24"/>
          <w:szCs w:val="24"/>
          <w:lang w:val="en-US" w:eastAsia="zh-CN"/>
        </w:rPr>
        <w:t>2次定期对全校区进行预防性常规消毒</w:t>
      </w:r>
      <w:r>
        <w:rPr>
          <w:rFonts w:hint="eastAsia" w:ascii="宋体" w:hAnsi="宋体" w:cs="宋体"/>
          <w:color w:val="auto"/>
          <w:sz w:val="24"/>
          <w:szCs w:val="24"/>
          <w:lang w:val="en-US" w:eastAsia="zh-CN"/>
        </w:rPr>
        <w:t>消杀</w:t>
      </w:r>
      <w:r>
        <w:rPr>
          <w:rFonts w:hint="eastAsia" w:ascii="宋体" w:hAnsi="宋体" w:eastAsia="宋体" w:cs="宋体"/>
          <w:color w:val="auto"/>
          <w:sz w:val="24"/>
          <w:szCs w:val="24"/>
          <w:lang w:val="en-US" w:eastAsia="zh-CN"/>
        </w:rPr>
        <w:t>服务，寒暑假开学前一周</w:t>
      </w:r>
      <w:r>
        <w:rPr>
          <w:rFonts w:hint="eastAsia" w:ascii="宋体" w:hAnsi="宋体" w:cs="宋体"/>
          <w:color w:val="auto"/>
          <w:sz w:val="24"/>
          <w:szCs w:val="24"/>
          <w:lang w:val="en-US" w:eastAsia="zh-CN"/>
        </w:rPr>
        <w:t>实施，</w:t>
      </w:r>
      <w:r>
        <w:rPr>
          <w:rFonts w:hint="eastAsia" w:ascii="宋体" w:hAnsi="宋体" w:eastAsia="宋体" w:cs="宋体"/>
          <w:color w:val="auto"/>
          <w:sz w:val="24"/>
          <w:szCs w:val="24"/>
          <w:lang w:val="en-US" w:eastAsia="zh-CN"/>
        </w:rPr>
        <w:t>随叫随到。</w:t>
      </w:r>
    </w:p>
    <w:p w14:paraId="31358AFD">
      <w:pPr>
        <w:pageBreakBefore w:val="0"/>
        <w:numPr>
          <w:ilvl w:val="0"/>
          <w:numId w:val="7"/>
        </w:numPr>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其他有害生物免费监测，及时向学校汇报。</w:t>
      </w:r>
    </w:p>
    <w:p w14:paraId="189B7FD4">
      <w:pPr>
        <w:pStyle w:val="4"/>
        <w:pageBreakBefore w:val="0"/>
        <w:kinsoku/>
        <w:wordWrap/>
        <w:overflowPunct/>
        <w:topLinePunct w:val="0"/>
        <w:autoSpaceDN/>
        <w:bidi w:val="0"/>
        <w:adjustRightInd/>
        <w:spacing w:before="0" w:after="0" w:line="400" w:lineRule="exact"/>
        <w:rPr>
          <w:rFonts w:hint="eastAsia" w:ascii="宋体" w:hAnsi="宋体" w:eastAsia="宋体" w:cs="宋体"/>
          <w:color w:val="auto"/>
          <w:sz w:val="24"/>
          <w:szCs w:val="24"/>
        </w:rPr>
      </w:pPr>
      <w:bookmarkStart w:id="142" w:name="_Toc108440069"/>
      <w:bookmarkStart w:id="143" w:name="_Toc15999"/>
      <w:bookmarkStart w:id="144" w:name="_Toc10454"/>
      <w:bookmarkStart w:id="145" w:name="_Toc171347696"/>
      <w:r>
        <w:rPr>
          <w:rFonts w:hint="eastAsia" w:ascii="宋体" w:hAnsi="宋体" w:eastAsia="宋体" w:cs="宋体"/>
          <w:color w:val="auto"/>
          <w:sz w:val="24"/>
          <w:szCs w:val="24"/>
        </w:rPr>
        <w:t>三、药物及施药要求</w:t>
      </w:r>
      <w:bookmarkEnd w:id="142"/>
      <w:bookmarkEnd w:id="143"/>
      <w:bookmarkEnd w:id="144"/>
      <w:bookmarkEnd w:id="145"/>
    </w:p>
    <w:p w14:paraId="1EC86086">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（一）灭鼠药及其它防制设施设备、消杀药剂、毒饵盒等全部由成交供应商提供，成交供应商提供的所有产品必须符合国家的相关法律法规。</w:t>
      </w:r>
    </w:p>
    <w:p w14:paraId="248DA35D">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（二）鼠、蚊、蝇、蟑螂主要用药技术参数及要求，详细见下表：</w:t>
      </w:r>
    </w:p>
    <w:tbl>
      <w:tblPr>
        <w:tblStyle w:val="25"/>
        <w:tblW w:w="93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1"/>
        <w:gridCol w:w="1515"/>
        <w:gridCol w:w="6255"/>
      </w:tblGrid>
      <w:tr w14:paraId="0F77E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541" w:type="dxa"/>
            <w:noWrap w:val="0"/>
            <w:vAlign w:val="center"/>
          </w:tcPr>
          <w:p w14:paraId="417E667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用途</w:t>
            </w:r>
          </w:p>
        </w:tc>
        <w:tc>
          <w:tcPr>
            <w:tcW w:w="1515" w:type="dxa"/>
            <w:noWrap w:val="0"/>
            <w:vAlign w:val="center"/>
          </w:tcPr>
          <w:p w14:paraId="46AE71D7">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药品名称</w:t>
            </w:r>
          </w:p>
        </w:tc>
        <w:tc>
          <w:tcPr>
            <w:tcW w:w="6255" w:type="dxa"/>
            <w:noWrap w:val="0"/>
            <w:vAlign w:val="center"/>
          </w:tcPr>
          <w:p w14:paraId="04DF117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主要技术参数要求</w:t>
            </w:r>
          </w:p>
        </w:tc>
      </w:tr>
      <w:tr w14:paraId="7A82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trPr>
        <w:tc>
          <w:tcPr>
            <w:tcW w:w="1541" w:type="dxa"/>
            <w:noWrap w:val="0"/>
            <w:vAlign w:val="center"/>
          </w:tcPr>
          <w:p w14:paraId="2AEC4ED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199" w:firstLineChars="83"/>
              <w:jc w:val="center"/>
              <w:rPr>
                <w:rFonts w:hint="eastAsia" w:ascii="宋体" w:hAnsi="宋体" w:eastAsia="宋体" w:cs="宋体"/>
                <w:color w:val="auto"/>
                <w:sz w:val="24"/>
                <w:szCs w:val="24"/>
              </w:rPr>
            </w:pPr>
            <w:r>
              <w:rPr>
                <w:rFonts w:hint="eastAsia" w:ascii="宋体" w:hAnsi="宋体" w:eastAsia="宋体" w:cs="宋体"/>
                <w:color w:val="auto"/>
                <w:sz w:val="24"/>
                <w:szCs w:val="24"/>
              </w:rPr>
              <w:t>灭鼠</w:t>
            </w:r>
          </w:p>
        </w:tc>
        <w:tc>
          <w:tcPr>
            <w:tcW w:w="1515" w:type="dxa"/>
            <w:noWrap w:val="0"/>
            <w:vAlign w:val="center"/>
          </w:tcPr>
          <w:p w14:paraId="4BE1C6F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溴敌隆</w:t>
            </w:r>
          </w:p>
        </w:tc>
        <w:tc>
          <w:tcPr>
            <w:tcW w:w="6255" w:type="dxa"/>
            <w:noWrap w:val="0"/>
            <w:vAlign w:val="center"/>
          </w:tcPr>
          <w:p w14:paraId="69CE958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1.有效成份含量：≥0.005%溴敌隆。</w:t>
            </w:r>
          </w:p>
          <w:p w14:paraId="3006EAF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2.剂型：饵剂。</w:t>
            </w:r>
          </w:p>
          <w:p w14:paraId="3FC2456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3.诱饵（载体）：稻谷、玉米、小麦及其它赋形剂。</w:t>
            </w:r>
          </w:p>
          <w:p w14:paraId="4164878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4.规格要求：100克/包，10公斤/件。</w:t>
            </w:r>
          </w:p>
          <w:p w14:paraId="27F168E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5.</w:t>
            </w:r>
            <w:r>
              <w:rPr>
                <w:rFonts w:hint="eastAsia" w:ascii="宋体" w:hAnsi="宋体" w:cs="宋体"/>
                <w:b/>
                <w:bCs/>
                <w:color w:val="auto"/>
                <w:sz w:val="24"/>
                <w:szCs w:val="24"/>
                <w:lang w:val="en-US" w:eastAsia="zh-CN"/>
              </w:rPr>
              <w:t>投标文件中</w:t>
            </w:r>
            <w:r>
              <w:rPr>
                <w:rFonts w:hint="eastAsia" w:ascii="宋体" w:hAnsi="宋体" w:eastAsia="宋体" w:cs="宋体"/>
                <w:b/>
                <w:bCs/>
                <w:color w:val="auto"/>
                <w:sz w:val="24"/>
                <w:szCs w:val="24"/>
              </w:rPr>
              <w:t>提供药品</w:t>
            </w:r>
            <w:r>
              <w:rPr>
                <w:rFonts w:hint="eastAsia" w:ascii="宋体" w:hAnsi="宋体" w:cs="宋体"/>
                <w:b/>
                <w:bCs/>
                <w:color w:val="auto"/>
                <w:sz w:val="24"/>
                <w:szCs w:val="24"/>
                <w:lang w:eastAsia="zh-CN"/>
              </w:rPr>
              <w:t>（≥0.005%溴敌隆）</w:t>
            </w:r>
            <w:r>
              <w:rPr>
                <w:rFonts w:hint="eastAsia" w:ascii="宋体" w:hAnsi="宋体" w:eastAsia="宋体" w:cs="宋体"/>
                <w:b/>
                <w:bCs/>
                <w:color w:val="auto"/>
                <w:sz w:val="24"/>
                <w:szCs w:val="24"/>
              </w:rPr>
              <w:t>有效三证及生产厂家出具的药物质量保证书复印件</w:t>
            </w:r>
            <w:r>
              <w:rPr>
                <w:rFonts w:hint="eastAsia" w:ascii="宋体" w:hAnsi="宋体" w:eastAsia="宋体" w:cs="宋体"/>
                <w:b/>
                <w:bCs/>
                <w:color w:val="auto"/>
                <w:sz w:val="24"/>
                <w:szCs w:val="24"/>
                <w:lang w:eastAsia="zh-CN"/>
              </w:rPr>
              <w:t>。</w:t>
            </w:r>
          </w:p>
          <w:p w14:paraId="5ADDD349">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6.生产期：供应商提供的货物有效期不少于18个月。</w:t>
            </w:r>
          </w:p>
        </w:tc>
      </w:tr>
      <w:tr w14:paraId="2068A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1" w:hRule="atLeast"/>
        </w:trPr>
        <w:tc>
          <w:tcPr>
            <w:tcW w:w="1541" w:type="dxa"/>
            <w:noWrap w:val="0"/>
            <w:vAlign w:val="center"/>
          </w:tcPr>
          <w:p w14:paraId="123A6D2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灭</w:t>
            </w:r>
            <w:r>
              <w:rPr>
                <w:rFonts w:hint="eastAsia" w:ascii="宋体" w:hAnsi="宋体" w:eastAsia="宋体" w:cs="宋体"/>
                <w:color w:val="auto"/>
                <w:sz w:val="24"/>
                <w:szCs w:val="24"/>
              </w:rPr>
              <w:t>蚊、蝇</w:t>
            </w:r>
          </w:p>
        </w:tc>
        <w:tc>
          <w:tcPr>
            <w:tcW w:w="1515" w:type="dxa"/>
            <w:noWrap w:val="0"/>
            <w:vAlign w:val="center"/>
          </w:tcPr>
          <w:p w14:paraId="7EB28C7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10%氯菊酯·氯氟醚</w:t>
            </w:r>
          </w:p>
        </w:tc>
        <w:tc>
          <w:tcPr>
            <w:tcW w:w="6255" w:type="dxa"/>
            <w:noWrap w:val="0"/>
            <w:vAlign w:val="center"/>
          </w:tcPr>
          <w:p w14:paraId="7D46BA1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1.有效成分含量：</w:t>
            </w:r>
            <w:bookmarkStart w:id="146" w:name="OLE_LINK1"/>
            <w:r>
              <w:rPr>
                <w:rFonts w:hint="eastAsia" w:ascii="宋体" w:hAnsi="宋体" w:eastAsia="宋体" w:cs="宋体"/>
                <w:color w:val="auto"/>
                <w:sz w:val="24"/>
                <w:szCs w:val="24"/>
              </w:rPr>
              <w:t>≥</w:t>
            </w:r>
            <w:bookmarkEnd w:id="146"/>
            <w:r>
              <w:rPr>
                <w:rFonts w:hint="eastAsia" w:ascii="宋体" w:hAnsi="宋体" w:eastAsia="宋体" w:cs="宋体"/>
                <w:color w:val="auto"/>
                <w:sz w:val="24"/>
                <w:szCs w:val="24"/>
              </w:rPr>
              <w:t>8%氯菊酯氯氟醚菊酯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≥2%氯菊酯</w:t>
            </w:r>
            <w:r>
              <w:rPr>
                <w:rFonts w:hint="eastAsia" w:ascii="宋体" w:hAnsi="宋体" w:eastAsia="宋体" w:cs="宋体"/>
                <w:color w:val="auto"/>
                <w:sz w:val="24"/>
                <w:szCs w:val="24"/>
                <w:lang w:eastAsia="zh-CN"/>
              </w:rPr>
              <w:t>。</w:t>
            </w:r>
          </w:p>
          <w:p w14:paraId="243DC84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2.剂型：水乳剂。</w:t>
            </w:r>
          </w:p>
          <w:p w14:paraId="30B911E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3.规格: 500克/瓶×20瓶/箱，10千克/箱</w:t>
            </w:r>
            <w:r>
              <w:rPr>
                <w:rFonts w:hint="eastAsia" w:ascii="宋体" w:hAnsi="宋体" w:eastAsia="宋体" w:cs="宋体"/>
                <w:color w:val="auto"/>
                <w:sz w:val="24"/>
                <w:szCs w:val="24"/>
                <w:lang w:eastAsia="zh-CN"/>
              </w:rPr>
              <w:t>。</w:t>
            </w:r>
          </w:p>
          <w:p w14:paraId="7B18530A">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
              </w:rPr>
              <w:t>★</w:t>
            </w:r>
            <w:r>
              <w:rPr>
                <w:rFonts w:hint="eastAsia" w:ascii="宋体" w:hAnsi="宋体" w:eastAsia="宋体" w:cs="宋体"/>
                <w:b/>
                <w:bCs/>
                <w:color w:val="auto"/>
                <w:sz w:val="24"/>
                <w:szCs w:val="24"/>
              </w:rPr>
              <w:t>4.</w:t>
            </w:r>
            <w:r>
              <w:rPr>
                <w:rFonts w:hint="eastAsia" w:ascii="宋体" w:hAnsi="宋体" w:cs="宋体"/>
                <w:b/>
                <w:bCs/>
                <w:color w:val="auto"/>
                <w:sz w:val="24"/>
                <w:szCs w:val="24"/>
                <w:lang w:val="en-US" w:eastAsia="zh-CN"/>
              </w:rPr>
              <w:t>投标文件中</w:t>
            </w:r>
            <w:r>
              <w:rPr>
                <w:rFonts w:hint="eastAsia" w:ascii="宋体" w:hAnsi="宋体" w:eastAsia="宋体" w:cs="宋体"/>
                <w:b/>
                <w:bCs/>
                <w:color w:val="auto"/>
                <w:sz w:val="24"/>
                <w:szCs w:val="24"/>
              </w:rPr>
              <w:t>提供药品</w:t>
            </w:r>
            <w:r>
              <w:rPr>
                <w:rFonts w:hint="eastAsia" w:ascii="宋体" w:hAnsi="宋体" w:cs="宋体"/>
                <w:b/>
                <w:bCs/>
                <w:color w:val="auto"/>
                <w:sz w:val="24"/>
                <w:szCs w:val="24"/>
                <w:lang w:eastAsia="zh-CN"/>
              </w:rPr>
              <w:t>（≥8%氯菊酯氯氟醚菊酯）</w:t>
            </w:r>
            <w:r>
              <w:rPr>
                <w:rFonts w:hint="eastAsia" w:ascii="宋体" w:hAnsi="宋体" w:eastAsia="宋体" w:cs="宋体"/>
                <w:b/>
                <w:bCs/>
                <w:color w:val="auto"/>
                <w:sz w:val="24"/>
                <w:szCs w:val="24"/>
              </w:rPr>
              <w:t>有效三证及生产厂家出具的药物质量保证书复印件</w:t>
            </w:r>
            <w:r>
              <w:rPr>
                <w:rFonts w:hint="eastAsia" w:ascii="宋体" w:hAnsi="宋体" w:eastAsia="宋体" w:cs="宋体"/>
                <w:b/>
                <w:bCs/>
                <w:color w:val="auto"/>
                <w:sz w:val="24"/>
                <w:szCs w:val="24"/>
                <w:lang w:eastAsia="zh-CN"/>
              </w:rPr>
              <w:t>。</w:t>
            </w:r>
          </w:p>
          <w:p w14:paraId="113D71A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5.生产期：供应商提供的货物有效期不少于18个月。</w:t>
            </w:r>
          </w:p>
        </w:tc>
      </w:tr>
      <w:tr w14:paraId="740F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2" w:hRule="atLeast"/>
        </w:trPr>
        <w:tc>
          <w:tcPr>
            <w:tcW w:w="1541" w:type="dxa"/>
            <w:noWrap w:val="0"/>
            <w:vAlign w:val="center"/>
          </w:tcPr>
          <w:p w14:paraId="44F39B3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灭防治蚊、蝇</w:t>
            </w:r>
          </w:p>
        </w:tc>
        <w:tc>
          <w:tcPr>
            <w:tcW w:w="1515" w:type="dxa"/>
            <w:noWrap w:val="0"/>
            <w:vAlign w:val="center"/>
          </w:tcPr>
          <w:p w14:paraId="2DB7CFB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120" w:firstLineChars="5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21%辛硫.高率氟</w:t>
            </w:r>
          </w:p>
        </w:tc>
        <w:tc>
          <w:tcPr>
            <w:tcW w:w="6255" w:type="dxa"/>
            <w:noWrap w:val="0"/>
            <w:vAlign w:val="center"/>
          </w:tcPr>
          <w:p w14:paraId="5FEDCA07">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1.有效成份含量：≥20%辛硫磷、≥1%高效氯氟氰菊酯</w:t>
            </w:r>
            <w:r>
              <w:rPr>
                <w:rFonts w:hint="eastAsia" w:ascii="宋体" w:hAnsi="宋体" w:eastAsia="宋体" w:cs="宋体"/>
                <w:color w:val="auto"/>
                <w:sz w:val="24"/>
                <w:szCs w:val="24"/>
                <w:lang w:eastAsia="zh-CN"/>
              </w:rPr>
              <w:t>。</w:t>
            </w:r>
          </w:p>
          <w:p w14:paraId="625E090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2.剂型：</w:t>
            </w:r>
            <w:r>
              <w:rPr>
                <w:rFonts w:hint="eastAsia" w:ascii="宋体" w:hAnsi="宋体" w:eastAsia="宋体" w:cs="宋体"/>
                <w:color w:val="auto"/>
                <w:sz w:val="24"/>
                <w:szCs w:val="24"/>
                <w:lang w:eastAsia="zh-CN"/>
              </w:rPr>
              <w:t>乳油</w:t>
            </w:r>
            <w:r>
              <w:rPr>
                <w:rFonts w:hint="eastAsia" w:ascii="宋体" w:hAnsi="宋体" w:eastAsia="宋体" w:cs="宋体"/>
                <w:color w:val="auto"/>
                <w:sz w:val="24"/>
                <w:szCs w:val="24"/>
              </w:rPr>
              <w:t>剂。</w:t>
            </w:r>
          </w:p>
          <w:p w14:paraId="159B93D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3.规格: 1L/瓶×10瓶，10L/箱</w:t>
            </w:r>
          </w:p>
          <w:p w14:paraId="35D749C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default"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
              </w:rPr>
              <w:t>★</w:t>
            </w:r>
            <w:r>
              <w:rPr>
                <w:rFonts w:hint="eastAsia" w:ascii="宋体" w:hAnsi="宋体" w:eastAsia="宋体" w:cs="宋体"/>
                <w:b/>
                <w:bCs/>
                <w:color w:val="auto"/>
                <w:sz w:val="24"/>
                <w:szCs w:val="24"/>
              </w:rPr>
              <w:t>4.</w:t>
            </w:r>
            <w:r>
              <w:rPr>
                <w:rFonts w:hint="eastAsia" w:ascii="宋体" w:hAnsi="宋体" w:cs="宋体"/>
                <w:b/>
                <w:bCs/>
                <w:color w:val="auto"/>
                <w:sz w:val="24"/>
                <w:szCs w:val="24"/>
                <w:lang w:val="en-US" w:eastAsia="zh-CN"/>
              </w:rPr>
              <w:t>投标文件中</w:t>
            </w:r>
            <w:r>
              <w:rPr>
                <w:rFonts w:hint="eastAsia" w:ascii="宋体" w:hAnsi="宋体" w:eastAsia="宋体" w:cs="宋体"/>
                <w:b/>
                <w:bCs/>
                <w:color w:val="auto"/>
                <w:sz w:val="24"/>
                <w:szCs w:val="24"/>
              </w:rPr>
              <w:t>提供药品</w:t>
            </w:r>
            <w:r>
              <w:rPr>
                <w:rFonts w:hint="eastAsia" w:ascii="宋体" w:hAnsi="宋体" w:cs="宋体"/>
                <w:b/>
                <w:bCs/>
                <w:color w:val="auto"/>
                <w:sz w:val="24"/>
                <w:szCs w:val="24"/>
                <w:lang w:eastAsia="zh-CN"/>
              </w:rPr>
              <w:t>（≥20%辛硫磷）</w:t>
            </w:r>
            <w:r>
              <w:rPr>
                <w:rFonts w:hint="eastAsia" w:ascii="宋体" w:hAnsi="宋体" w:eastAsia="宋体" w:cs="宋体"/>
                <w:b/>
                <w:bCs/>
                <w:color w:val="auto"/>
                <w:sz w:val="24"/>
                <w:szCs w:val="24"/>
              </w:rPr>
              <w:t>有效三证及生产厂家出具的药物质量保证书复印件</w:t>
            </w:r>
            <w:r>
              <w:rPr>
                <w:rFonts w:hint="eastAsia" w:ascii="宋体" w:hAnsi="宋体" w:cs="宋体"/>
                <w:b/>
                <w:bCs/>
                <w:color w:val="auto"/>
                <w:sz w:val="24"/>
                <w:szCs w:val="24"/>
                <w:lang w:eastAsia="zh-CN"/>
              </w:rPr>
              <w:t>。</w:t>
            </w:r>
          </w:p>
          <w:p w14:paraId="3FD719B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5.生产期：供应商提供的货物有效期不少于18个月。</w:t>
            </w:r>
          </w:p>
        </w:tc>
      </w:tr>
      <w:tr w14:paraId="7E358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2" w:hRule="atLeast"/>
        </w:trPr>
        <w:tc>
          <w:tcPr>
            <w:tcW w:w="1541" w:type="dxa"/>
            <w:noWrap w:val="0"/>
            <w:vAlign w:val="center"/>
          </w:tcPr>
          <w:p w14:paraId="1FFADEBA">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灭</w:t>
            </w:r>
            <w:r>
              <w:rPr>
                <w:rFonts w:hint="eastAsia" w:ascii="宋体" w:hAnsi="宋体" w:eastAsia="宋体" w:cs="宋体"/>
                <w:color w:val="auto"/>
                <w:sz w:val="24"/>
                <w:szCs w:val="24"/>
              </w:rPr>
              <w:t>蚊、蝇、蜚蠊</w:t>
            </w:r>
          </w:p>
        </w:tc>
        <w:tc>
          <w:tcPr>
            <w:tcW w:w="1515" w:type="dxa"/>
            <w:noWrap w:val="0"/>
            <w:vAlign w:val="center"/>
          </w:tcPr>
          <w:p w14:paraId="4DB69EF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120" w:firstLineChars="5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15%氯氟醚.顺氯</w:t>
            </w:r>
          </w:p>
        </w:tc>
        <w:tc>
          <w:tcPr>
            <w:tcW w:w="6255" w:type="dxa"/>
            <w:noWrap w:val="0"/>
            <w:vAlign w:val="center"/>
          </w:tcPr>
          <w:p w14:paraId="5DF04C7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1.有效成份含量：≥1.6%氯氟醚菊酯、≥13.4%顺式氯氰菊酯</w:t>
            </w:r>
          </w:p>
          <w:p w14:paraId="767A2A3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2.剂型：可湿性粉剂。</w:t>
            </w:r>
          </w:p>
          <w:p w14:paraId="0AC83C2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3.规格: 50克/袋×100袋，5千克/箱</w:t>
            </w:r>
          </w:p>
          <w:p w14:paraId="79BCC40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default"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
              </w:rPr>
              <w:t>★</w:t>
            </w:r>
            <w:r>
              <w:rPr>
                <w:rFonts w:hint="eastAsia" w:ascii="宋体" w:hAnsi="宋体" w:eastAsia="宋体" w:cs="宋体"/>
                <w:b/>
                <w:bCs/>
                <w:color w:val="auto"/>
                <w:sz w:val="24"/>
                <w:szCs w:val="24"/>
              </w:rPr>
              <w:t>4.</w:t>
            </w:r>
            <w:r>
              <w:rPr>
                <w:rFonts w:hint="eastAsia" w:ascii="宋体" w:hAnsi="宋体" w:cs="宋体"/>
                <w:b/>
                <w:bCs/>
                <w:color w:val="auto"/>
                <w:sz w:val="24"/>
                <w:szCs w:val="24"/>
                <w:lang w:val="en-US" w:eastAsia="zh-CN"/>
              </w:rPr>
              <w:t>投标文件中</w:t>
            </w:r>
            <w:r>
              <w:rPr>
                <w:rFonts w:hint="eastAsia" w:ascii="宋体" w:hAnsi="宋体" w:eastAsia="宋体" w:cs="宋体"/>
                <w:b/>
                <w:bCs/>
                <w:color w:val="auto"/>
                <w:sz w:val="24"/>
                <w:szCs w:val="24"/>
              </w:rPr>
              <w:t>提供药品</w:t>
            </w:r>
            <w:r>
              <w:rPr>
                <w:rFonts w:hint="eastAsia" w:ascii="宋体" w:hAnsi="宋体" w:cs="宋体"/>
                <w:b/>
                <w:bCs/>
                <w:color w:val="auto"/>
                <w:sz w:val="24"/>
                <w:szCs w:val="24"/>
                <w:lang w:eastAsia="zh-CN"/>
              </w:rPr>
              <w:t>（≥13.4%顺式氯氰菊酯）</w:t>
            </w:r>
            <w:r>
              <w:rPr>
                <w:rFonts w:hint="eastAsia" w:ascii="宋体" w:hAnsi="宋体" w:eastAsia="宋体" w:cs="宋体"/>
                <w:b/>
                <w:bCs/>
                <w:color w:val="auto"/>
                <w:sz w:val="24"/>
                <w:szCs w:val="24"/>
              </w:rPr>
              <w:t>有效三证及生产厂家出具的药物质量保证书复印件</w:t>
            </w:r>
            <w:r>
              <w:rPr>
                <w:rFonts w:hint="eastAsia" w:ascii="宋体" w:hAnsi="宋体" w:cs="宋体"/>
                <w:b/>
                <w:bCs/>
                <w:color w:val="auto"/>
                <w:sz w:val="24"/>
                <w:szCs w:val="24"/>
                <w:lang w:eastAsia="zh-CN"/>
              </w:rPr>
              <w:t>。</w:t>
            </w:r>
          </w:p>
          <w:p w14:paraId="62970E72">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5.生产期：供应商提供的货物有效期不少于18个月。</w:t>
            </w:r>
          </w:p>
        </w:tc>
      </w:tr>
      <w:tr w14:paraId="60E25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2" w:hRule="atLeast"/>
        </w:trPr>
        <w:tc>
          <w:tcPr>
            <w:tcW w:w="1541" w:type="dxa"/>
            <w:noWrap w:val="0"/>
            <w:vAlign w:val="center"/>
          </w:tcPr>
          <w:p w14:paraId="271FA0D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灭孑孓</w:t>
            </w:r>
          </w:p>
        </w:tc>
        <w:tc>
          <w:tcPr>
            <w:tcW w:w="1515" w:type="dxa"/>
            <w:noWrap w:val="0"/>
            <w:vAlign w:val="center"/>
          </w:tcPr>
          <w:p w14:paraId="2255526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120" w:firstLineChars="5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5%吡丙醚.倍硫磷</w:t>
            </w:r>
          </w:p>
        </w:tc>
        <w:tc>
          <w:tcPr>
            <w:tcW w:w="6255" w:type="dxa"/>
            <w:noWrap w:val="0"/>
            <w:vAlign w:val="center"/>
          </w:tcPr>
          <w:p w14:paraId="7F21F78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1.有效成份含量：≥0.5%吡丙醚、≥4.5%倍硫磷</w:t>
            </w:r>
          </w:p>
          <w:p w14:paraId="46ED2339">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2.剂型：</w:t>
            </w:r>
            <w:r>
              <w:rPr>
                <w:rFonts w:hint="eastAsia" w:ascii="宋体" w:hAnsi="宋体" w:eastAsia="宋体" w:cs="宋体"/>
                <w:color w:val="auto"/>
                <w:sz w:val="24"/>
                <w:szCs w:val="24"/>
                <w:lang w:eastAsia="zh-CN"/>
              </w:rPr>
              <w:t>颗粒</w:t>
            </w:r>
            <w:r>
              <w:rPr>
                <w:rFonts w:hint="eastAsia" w:ascii="宋体" w:hAnsi="宋体" w:eastAsia="宋体" w:cs="宋体"/>
                <w:color w:val="auto"/>
                <w:sz w:val="24"/>
                <w:szCs w:val="24"/>
              </w:rPr>
              <w:t>剂。</w:t>
            </w:r>
          </w:p>
          <w:p w14:paraId="3FD1613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3.规格: 500克/袋×20袋，10千克/箱</w:t>
            </w:r>
          </w:p>
          <w:p w14:paraId="4E835CE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default"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
              </w:rPr>
              <w:t>★</w:t>
            </w:r>
            <w:r>
              <w:rPr>
                <w:rFonts w:hint="eastAsia" w:ascii="宋体" w:hAnsi="宋体" w:eastAsia="宋体" w:cs="宋体"/>
                <w:b/>
                <w:bCs/>
                <w:color w:val="auto"/>
                <w:sz w:val="24"/>
                <w:szCs w:val="24"/>
              </w:rPr>
              <w:t>4.</w:t>
            </w:r>
            <w:r>
              <w:rPr>
                <w:rFonts w:hint="eastAsia" w:ascii="宋体" w:hAnsi="宋体" w:cs="宋体"/>
                <w:b/>
                <w:bCs/>
                <w:color w:val="auto"/>
                <w:sz w:val="24"/>
                <w:szCs w:val="24"/>
                <w:lang w:val="en-US" w:eastAsia="zh-CN"/>
              </w:rPr>
              <w:t>投标文件中</w:t>
            </w:r>
            <w:r>
              <w:rPr>
                <w:rFonts w:hint="eastAsia" w:ascii="宋体" w:hAnsi="宋体" w:eastAsia="宋体" w:cs="宋体"/>
                <w:b/>
                <w:bCs/>
                <w:color w:val="auto"/>
                <w:sz w:val="24"/>
                <w:szCs w:val="24"/>
              </w:rPr>
              <w:t>提供药品</w:t>
            </w:r>
            <w:r>
              <w:rPr>
                <w:rFonts w:hint="eastAsia" w:ascii="宋体" w:hAnsi="宋体" w:cs="宋体"/>
                <w:b/>
                <w:bCs/>
                <w:color w:val="auto"/>
                <w:sz w:val="24"/>
                <w:szCs w:val="24"/>
                <w:lang w:eastAsia="zh-CN"/>
              </w:rPr>
              <w:t>（≥0.5%吡丙醚</w:t>
            </w:r>
            <w:r>
              <w:rPr>
                <w:rFonts w:hint="eastAsia" w:ascii="宋体" w:hAnsi="宋体" w:cs="宋体"/>
                <w:b/>
                <w:bCs/>
                <w:color w:val="auto"/>
                <w:sz w:val="24"/>
                <w:szCs w:val="24"/>
                <w:lang w:val="en-US" w:eastAsia="zh-CN"/>
              </w:rPr>
              <w:t>和</w:t>
            </w:r>
            <w:r>
              <w:rPr>
                <w:rFonts w:hint="eastAsia" w:ascii="宋体" w:hAnsi="宋体" w:cs="宋体"/>
                <w:b/>
                <w:bCs/>
                <w:color w:val="auto"/>
                <w:sz w:val="24"/>
                <w:szCs w:val="24"/>
                <w:lang w:eastAsia="zh-CN"/>
              </w:rPr>
              <w:t>≥4.5%倍硫磷）</w:t>
            </w:r>
            <w:r>
              <w:rPr>
                <w:rFonts w:hint="eastAsia" w:ascii="宋体" w:hAnsi="宋体" w:eastAsia="宋体" w:cs="宋体"/>
                <w:b/>
                <w:bCs/>
                <w:color w:val="auto"/>
                <w:sz w:val="24"/>
                <w:szCs w:val="24"/>
              </w:rPr>
              <w:t>有效三证及生产厂家出具的药物质量保证书复印件</w:t>
            </w:r>
            <w:r>
              <w:rPr>
                <w:rFonts w:hint="eastAsia" w:ascii="宋体" w:hAnsi="宋体" w:cs="宋体"/>
                <w:b/>
                <w:bCs/>
                <w:color w:val="auto"/>
                <w:sz w:val="24"/>
                <w:szCs w:val="24"/>
                <w:lang w:eastAsia="zh-CN"/>
              </w:rPr>
              <w:t>。</w:t>
            </w:r>
          </w:p>
          <w:p w14:paraId="40F16FC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
              </w:rPr>
              <w:t>★</w:t>
            </w:r>
            <w:r>
              <w:rPr>
                <w:rFonts w:hint="eastAsia" w:ascii="宋体" w:hAnsi="宋体" w:eastAsia="宋体" w:cs="宋体"/>
                <w:color w:val="auto"/>
                <w:sz w:val="24"/>
                <w:szCs w:val="24"/>
              </w:rPr>
              <w:t>5.生产期：供应商提供的货物有效期不少于18个月。</w:t>
            </w:r>
          </w:p>
        </w:tc>
      </w:tr>
      <w:tr w14:paraId="109C3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311" w:type="dxa"/>
            <w:gridSpan w:val="3"/>
            <w:noWrap w:val="0"/>
            <w:vAlign w:val="center"/>
          </w:tcPr>
          <w:p w14:paraId="24F8951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要求：</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以上所列为本项目要求使用的主要药品，投标人所选用的药品必须满足所列药品的主要技术参数，包括有效成分、含量和剂型且必须符合各类场所的用药要求</w:t>
            </w:r>
            <w:r>
              <w:rPr>
                <w:rFonts w:hint="eastAsia" w:ascii="宋体" w:hAnsi="宋体" w:eastAsia="宋体" w:cs="宋体"/>
                <w:b w:val="0"/>
                <w:bCs w:val="0"/>
                <w:color w:val="auto"/>
                <w:sz w:val="24"/>
                <w:szCs w:val="24"/>
                <w:lang w:eastAsia="zh-CN"/>
              </w:rPr>
              <w:t>。</w:t>
            </w:r>
          </w:p>
          <w:p w14:paraId="37C5B992">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eastAsia="宋体" w:cs="宋体"/>
                <w:b/>
                <w:bCs/>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有效“三证”即：农药登记证、农药生产许可证、技术监督部门备案的企业标准，以上资料须加盖供应商公章</w:t>
            </w:r>
            <w:r>
              <w:rPr>
                <w:rFonts w:hint="eastAsia" w:ascii="宋体" w:hAnsi="宋体" w:eastAsia="宋体" w:cs="宋体"/>
                <w:b w:val="0"/>
                <w:bCs w:val="0"/>
                <w:color w:val="auto"/>
                <w:sz w:val="24"/>
                <w:szCs w:val="24"/>
                <w:lang w:eastAsia="zh-CN"/>
              </w:rPr>
              <w:t>（以上资质原件备查）</w:t>
            </w:r>
            <w:r>
              <w:rPr>
                <w:rFonts w:hint="eastAsia" w:ascii="宋体" w:hAnsi="宋体" w:eastAsia="宋体" w:cs="宋体"/>
                <w:b w:val="0"/>
                <w:bCs w:val="0"/>
                <w:color w:val="auto"/>
                <w:sz w:val="24"/>
                <w:szCs w:val="24"/>
              </w:rPr>
              <w:t>。</w:t>
            </w:r>
          </w:p>
        </w:tc>
      </w:tr>
    </w:tbl>
    <w:p w14:paraId="13DE14B1">
      <w:pPr>
        <w:pageBreakBefore w:val="0"/>
        <w:kinsoku/>
        <w:wordWrap/>
        <w:overflowPunct/>
        <w:topLinePunct w:val="0"/>
        <w:autoSpaceDN/>
        <w:bidi w:val="0"/>
        <w:adjustRightInd/>
        <w:snapToGrid w:val="0"/>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（三）严禁使用来源不明无“三证”或质量不稳定的卫生杀虫剂，确保灭效和人畜等各项安全，符合绿色环保的有关要求。</w:t>
      </w:r>
    </w:p>
    <w:bookmarkEnd w:id="125"/>
    <w:bookmarkEnd w:id="134"/>
    <w:p w14:paraId="49525B6C">
      <w:pPr>
        <w:pStyle w:val="3"/>
        <w:pageBreakBefore w:val="0"/>
        <w:kinsoku/>
        <w:wordWrap/>
        <w:overflowPunct/>
        <w:topLinePunct w:val="0"/>
        <w:autoSpaceDN/>
        <w:bidi w:val="0"/>
        <w:adjustRightInd/>
        <w:spacing w:line="400" w:lineRule="exact"/>
        <w:jc w:val="center"/>
        <w:rPr>
          <w:rFonts w:hint="eastAsia" w:ascii="宋体" w:hAnsi="宋体" w:cs="宋体"/>
        </w:rPr>
      </w:pPr>
      <w:r>
        <w:rPr>
          <w:rFonts w:hint="eastAsia" w:ascii="宋体" w:hAnsi="宋体" w:eastAsia="宋体" w:cs="宋体"/>
          <w:color w:val="auto"/>
          <w:sz w:val="24"/>
          <w:szCs w:val="24"/>
        </w:rPr>
        <w:br w:type="page"/>
      </w:r>
      <w:bookmarkStart w:id="147" w:name="_Toc17007"/>
      <w:bookmarkStart w:id="148" w:name="_Toc28945"/>
      <w:r>
        <w:rPr>
          <w:rFonts w:hint="eastAsia" w:ascii="宋体" w:hAnsi="宋体" w:cs="宋体"/>
        </w:rPr>
        <w:t>第四篇  商务需求</w:t>
      </w:r>
      <w:bookmarkEnd w:id="147"/>
      <w:bookmarkEnd w:id="148"/>
    </w:p>
    <w:bookmarkEnd w:id="126"/>
    <w:bookmarkEnd w:id="127"/>
    <w:p w14:paraId="29F383AE">
      <w:pPr>
        <w:pageBreakBefore w:val="0"/>
        <w:kinsoku/>
        <w:wordWrap/>
        <w:overflowPunct/>
        <w:topLinePunct w:val="0"/>
        <w:autoSpaceDN/>
        <w:bidi w:val="0"/>
        <w:adjustRightInd/>
        <w:spacing w:line="400" w:lineRule="exact"/>
        <w:rPr>
          <w:rFonts w:hint="eastAsia" w:ascii="宋体" w:hAnsi="宋体" w:cs="宋体"/>
          <w:sz w:val="24"/>
          <w:szCs w:val="24"/>
        </w:rPr>
      </w:pPr>
      <w:bookmarkStart w:id="149" w:name="_Toc29474"/>
      <w:bookmarkStart w:id="150" w:name="_Toc344475120"/>
      <w:bookmarkStart w:id="151" w:name="_Toc487204789"/>
      <w:bookmarkStart w:id="152" w:name="_Toc8764"/>
      <w:bookmarkStart w:id="153" w:name="_Toc3535"/>
      <w:bookmarkStart w:id="154" w:name="_Toc23841"/>
      <w:r>
        <w:rPr>
          <w:rFonts w:hint="eastAsia" w:ascii="宋体" w:hAnsi="宋体" w:cs="宋体"/>
          <w:b/>
          <w:bCs/>
          <w:sz w:val="24"/>
          <w:szCs w:val="24"/>
        </w:rPr>
        <w:t>注：本篇商务需求为符合性审查中的实质性要求，响应文件若不满足按无效处理。</w:t>
      </w:r>
    </w:p>
    <w:bookmarkEnd w:id="149"/>
    <w:bookmarkEnd w:id="150"/>
    <w:bookmarkEnd w:id="151"/>
    <w:p w14:paraId="482A4344">
      <w:pPr>
        <w:pStyle w:val="4"/>
        <w:pageBreakBefore w:val="0"/>
        <w:kinsoku/>
        <w:wordWrap/>
        <w:overflowPunct/>
        <w:topLinePunct w:val="0"/>
        <w:autoSpaceDN/>
        <w:bidi w:val="0"/>
        <w:adjustRightInd/>
        <w:spacing w:before="0" w:after="0" w:line="400" w:lineRule="exact"/>
        <w:rPr>
          <w:rFonts w:hint="eastAsia" w:ascii="宋体" w:hAnsi="宋体" w:eastAsia="宋体" w:cs="宋体"/>
          <w:color w:val="auto"/>
          <w:sz w:val="24"/>
          <w:szCs w:val="24"/>
          <w:highlight w:val="none"/>
        </w:rPr>
      </w:pPr>
      <w:bookmarkStart w:id="155" w:name="_Toc26041"/>
      <w:bookmarkStart w:id="156" w:name="_Toc2250"/>
      <w:bookmarkStart w:id="157" w:name="_Toc26546"/>
      <w:bookmarkStart w:id="158" w:name="_Toc16843"/>
      <w:bookmarkStart w:id="159" w:name="_Toc30560"/>
      <w:bookmarkStart w:id="160" w:name="_Toc27250"/>
      <w:bookmarkStart w:id="161" w:name="_Toc16020"/>
      <w:bookmarkStart w:id="162" w:name="_Toc12056"/>
      <w:bookmarkStart w:id="163" w:name="_Toc487204790"/>
      <w:bookmarkStart w:id="164" w:name="_Toc344475121"/>
      <w:bookmarkStart w:id="165" w:name="_Toc22463"/>
      <w:r>
        <w:rPr>
          <w:rFonts w:hint="eastAsia" w:ascii="宋体" w:hAnsi="宋体" w:eastAsia="宋体" w:cs="宋体"/>
          <w:color w:val="auto"/>
          <w:sz w:val="24"/>
          <w:szCs w:val="24"/>
          <w:highlight w:val="none"/>
        </w:rPr>
        <w:t>一、服务期、服务地点及验收方式</w:t>
      </w:r>
      <w:bookmarkEnd w:id="155"/>
      <w:bookmarkEnd w:id="156"/>
      <w:bookmarkEnd w:id="157"/>
      <w:bookmarkEnd w:id="158"/>
      <w:bookmarkEnd w:id="159"/>
      <w:bookmarkEnd w:id="160"/>
    </w:p>
    <w:p w14:paraId="2192BE63">
      <w:pPr>
        <w:pageBreakBefore w:val="0"/>
        <w:kinsoku/>
        <w:wordWrap/>
        <w:overflowPunct/>
        <w:topLinePunct w:val="0"/>
        <w:autoSpaceDN/>
        <w:bidi w:val="0"/>
        <w:adjustRightIn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66" w:name="_Toc32552"/>
      <w:bookmarkStart w:id="167" w:name="_Toc11221"/>
      <w:r>
        <w:rPr>
          <w:rFonts w:hint="eastAsia" w:ascii="宋体" w:hAnsi="宋体" w:eastAsia="宋体" w:cs="宋体"/>
          <w:color w:val="auto"/>
          <w:sz w:val="24"/>
          <w:szCs w:val="24"/>
          <w:highlight w:val="none"/>
        </w:rPr>
        <w:t>服务期：</w:t>
      </w:r>
      <w:bookmarkEnd w:id="166"/>
      <w:bookmarkEnd w:id="167"/>
      <w:r>
        <w:rPr>
          <w:rFonts w:hint="eastAsia" w:ascii="宋体" w:hAnsi="宋体" w:eastAsia="宋体" w:cs="宋体"/>
          <w:color w:val="auto"/>
          <w:sz w:val="24"/>
          <w:szCs w:val="24"/>
          <w:highlight w:val="none"/>
        </w:rPr>
        <w:t>服务期为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p w14:paraId="6A1ED7C5">
      <w:pPr>
        <w:pageBreakBefore w:val="0"/>
        <w:kinsoku/>
        <w:wordWrap/>
        <w:overflowPunct/>
        <w:topLinePunct w:val="0"/>
        <w:autoSpaceDN/>
        <w:bidi w:val="0"/>
        <w:adjustRightInd/>
        <w:spacing w:before="0" w:after="0"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（二）服务地点</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lang w:val="en-US" w:eastAsia="zh-CN"/>
        </w:rPr>
        <w:t>重庆市渝北区空港实验中学校</w:t>
      </w:r>
      <w:r>
        <w:rPr>
          <w:rFonts w:hint="eastAsia" w:ascii="宋体" w:hAnsi="宋体" w:eastAsia="宋体" w:cs="宋体"/>
          <w:color w:val="auto"/>
          <w:sz w:val="24"/>
          <w:szCs w:val="24"/>
          <w:highlight w:val="none"/>
        </w:rPr>
        <w:t>。</w:t>
      </w:r>
    </w:p>
    <w:p w14:paraId="114A4E9A">
      <w:pPr>
        <w:pageBreakBefore w:val="0"/>
        <w:kinsoku/>
        <w:wordWrap/>
        <w:overflowPunct/>
        <w:topLinePunct w:val="0"/>
        <w:autoSpaceDN/>
        <w:bidi w:val="0"/>
        <w:adjustRightInd/>
        <w:spacing w:before="0" w:after="0"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r>
        <w:rPr>
          <w:rFonts w:hint="eastAsia" w:ascii="宋体" w:hAnsi="宋体" w:eastAsia="宋体" w:cs="宋体"/>
          <w:color w:val="auto"/>
          <w:sz w:val="24"/>
          <w:szCs w:val="24"/>
          <w:highlight w:val="none"/>
          <w:lang w:eastAsia="zh-CN"/>
        </w:rPr>
        <w:t>：</w:t>
      </w:r>
      <w:r>
        <w:rPr>
          <w:rFonts w:hint="eastAsia" w:ascii="宋体" w:hAnsi="宋体" w:cs="宋体"/>
          <w:sz w:val="24"/>
          <w:szCs w:val="24"/>
        </w:rPr>
        <w:t>采购人自行组织验收，验收不合格，中标人需无偿整改直至达到合格。</w:t>
      </w:r>
    </w:p>
    <w:bookmarkEnd w:id="161"/>
    <w:bookmarkEnd w:id="162"/>
    <w:p w14:paraId="0A20B7F6">
      <w:pPr>
        <w:pStyle w:val="4"/>
        <w:pageBreakBefore w:val="0"/>
        <w:kinsoku/>
        <w:wordWrap/>
        <w:overflowPunct/>
        <w:topLinePunct w:val="0"/>
        <w:autoSpaceDN/>
        <w:bidi w:val="0"/>
        <w:adjustRightInd/>
        <w:spacing w:before="0" w:after="0" w:line="400" w:lineRule="exact"/>
        <w:rPr>
          <w:rFonts w:hint="eastAsia" w:ascii="宋体" w:hAnsi="宋体" w:eastAsia="宋体" w:cs="宋体"/>
          <w:color w:val="auto"/>
          <w:sz w:val="24"/>
          <w:szCs w:val="24"/>
          <w:highlight w:val="none"/>
        </w:rPr>
      </w:pPr>
      <w:bookmarkStart w:id="168" w:name="_Toc7528"/>
      <w:bookmarkStart w:id="169" w:name="_Toc19999"/>
      <w:bookmarkStart w:id="170" w:name="_Toc28815"/>
      <w:bookmarkStart w:id="171" w:name="_Toc5987"/>
      <w:bookmarkStart w:id="172" w:name="_Toc88843170"/>
      <w:bookmarkStart w:id="173" w:name="_Toc9753"/>
      <w:bookmarkStart w:id="174" w:name="_Toc7792"/>
      <w:bookmarkStart w:id="175" w:name="_Toc3135"/>
      <w:bookmarkStart w:id="176" w:name="_Toc29462"/>
      <w:bookmarkStart w:id="177" w:name="_Toc25796"/>
      <w:bookmarkStart w:id="178" w:name="_Toc8070"/>
      <w:bookmarkStart w:id="179" w:name="_Toc15392"/>
      <w:bookmarkStart w:id="180" w:name="_Toc21381"/>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、报价要求</w:t>
      </w:r>
      <w:bookmarkEnd w:id="168"/>
      <w:bookmarkEnd w:id="169"/>
      <w:bookmarkEnd w:id="170"/>
      <w:bookmarkEnd w:id="171"/>
    </w:p>
    <w:bookmarkEnd w:id="172"/>
    <w:bookmarkEnd w:id="173"/>
    <w:bookmarkEnd w:id="174"/>
    <w:bookmarkEnd w:id="175"/>
    <w:bookmarkEnd w:id="176"/>
    <w:bookmarkEnd w:id="177"/>
    <w:bookmarkEnd w:id="178"/>
    <w:bookmarkEnd w:id="179"/>
    <w:bookmarkEnd w:id="180"/>
    <w:p w14:paraId="05DF2198">
      <w:pPr>
        <w:pStyle w:val="70"/>
        <w:pageBreakBefore w:val="0"/>
        <w:kinsoku/>
        <w:wordWrap/>
        <w:overflowPunct/>
        <w:topLinePunct w:val="0"/>
        <w:autoSpaceDN/>
        <w:bidi w:val="0"/>
        <w:adjustRightInd/>
        <w:spacing w:line="400" w:lineRule="exact"/>
        <w:ind w:firstLine="480"/>
        <w:rPr>
          <w:rFonts w:hint="eastAsia" w:ascii="宋体" w:hAnsi="宋体" w:eastAsia="宋体" w:cs="宋体"/>
          <w:color w:val="auto"/>
          <w:kern w:val="2"/>
          <w:sz w:val="24"/>
          <w:szCs w:val="24"/>
          <w:highlight w:val="none"/>
          <w:lang w:val="zh-CN" w:eastAsia="zh-CN" w:bidi="ar-SA"/>
        </w:rPr>
      </w:pPr>
      <w:bookmarkStart w:id="181" w:name="_Toc16767"/>
      <w:bookmarkStart w:id="182" w:name="_Toc535311835"/>
      <w:bookmarkStart w:id="183" w:name="_Toc24490"/>
      <w:r>
        <w:rPr>
          <w:rFonts w:hint="eastAsia" w:ascii="宋体" w:hAnsi="宋体" w:eastAsia="宋体" w:cs="宋体"/>
          <w:color w:val="auto"/>
          <w:kern w:val="2"/>
          <w:sz w:val="24"/>
          <w:szCs w:val="24"/>
          <w:highlight w:val="none"/>
          <w:lang w:val="zh-CN" w:eastAsia="zh-CN" w:bidi="ar-SA"/>
        </w:rPr>
        <w:t>本次报价为人民币报价，报价包括但不限于产品价、运输费（含装卸费）、保险费、安装调试费、税费等货到采购人指定地点以及完成本项目的所有费用。因成交供应商自身原因造成漏报、少报皆由其自行承担责任，采购人不再补偿。</w:t>
      </w:r>
    </w:p>
    <w:bookmarkEnd w:id="181"/>
    <w:bookmarkEnd w:id="182"/>
    <w:p w14:paraId="0C7F701B">
      <w:pPr>
        <w:pStyle w:val="4"/>
        <w:pageBreakBefore w:val="0"/>
        <w:kinsoku/>
        <w:wordWrap/>
        <w:overflowPunct/>
        <w:topLinePunct w:val="0"/>
        <w:autoSpaceDN/>
        <w:bidi w:val="0"/>
        <w:adjustRightInd/>
        <w:spacing w:before="0" w:after="0" w:line="400" w:lineRule="exact"/>
        <w:rPr>
          <w:rFonts w:hint="eastAsia" w:ascii="宋体" w:hAnsi="宋体" w:eastAsia="宋体" w:cs="宋体"/>
          <w:b/>
          <w:bCs/>
          <w:color w:val="auto"/>
          <w:sz w:val="24"/>
          <w:szCs w:val="24"/>
          <w:highlight w:val="none"/>
          <w:lang w:eastAsia="zh-CN"/>
        </w:rPr>
      </w:pPr>
      <w:bookmarkStart w:id="184" w:name="_Toc9221"/>
      <w:bookmarkStart w:id="185" w:name="_Toc11379"/>
      <w:bookmarkStart w:id="186" w:name="_Toc6258"/>
      <w:r>
        <w:rPr>
          <w:rFonts w:hint="eastAsia" w:ascii="宋体" w:hAnsi="宋体" w:eastAsia="宋体" w:cs="宋体"/>
          <w:b/>
          <w:bCs/>
          <w:color w:val="auto"/>
          <w:sz w:val="24"/>
          <w:szCs w:val="24"/>
          <w:highlight w:val="none"/>
          <w:lang w:val="en-US" w:eastAsia="zh-CN"/>
        </w:rPr>
        <w:t>三、结算</w:t>
      </w:r>
      <w:r>
        <w:rPr>
          <w:rFonts w:hint="eastAsia" w:ascii="宋体" w:hAnsi="宋体" w:eastAsia="宋体" w:cs="宋体"/>
          <w:b/>
          <w:bCs/>
          <w:color w:val="auto"/>
          <w:sz w:val="24"/>
          <w:szCs w:val="24"/>
          <w:highlight w:val="none"/>
          <w:lang w:eastAsia="zh-CN"/>
        </w:rPr>
        <w:t>方式</w:t>
      </w:r>
      <w:bookmarkEnd w:id="183"/>
      <w:bookmarkEnd w:id="184"/>
      <w:bookmarkEnd w:id="185"/>
      <w:bookmarkEnd w:id="186"/>
    </w:p>
    <w:p w14:paraId="65CBB096">
      <w:pPr>
        <w:pageBreakBefore w:val="0"/>
        <w:kinsoku/>
        <w:wordWrap/>
        <w:overflowPunct/>
        <w:topLinePunct w:val="0"/>
        <w:autoSpaceDN/>
        <w:bidi w:val="0"/>
        <w:adjustRightInd/>
        <w:spacing w:line="400" w:lineRule="exact"/>
        <w:ind w:firstLine="480" w:firstLineChars="200"/>
        <w:rPr>
          <w:rFonts w:hint="default" w:ascii="宋体" w:hAnsi="宋体" w:eastAsia="宋体" w:cs="宋体"/>
          <w:sz w:val="24"/>
          <w:szCs w:val="24"/>
          <w:lang w:val="en-US" w:eastAsia="zh-CN"/>
        </w:rPr>
      </w:pPr>
      <w:bookmarkStart w:id="187" w:name="_Toc25971"/>
      <w:bookmarkStart w:id="188" w:name="_Toc12571"/>
      <w:bookmarkStart w:id="189" w:name="_Toc1876"/>
      <w:bookmarkStart w:id="190" w:name="_Toc526758200"/>
      <w:r>
        <w:rPr>
          <w:rFonts w:hint="eastAsia" w:ascii="宋体" w:hAnsi="宋体" w:eastAsia="宋体" w:cs="宋体"/>
          <w:sz w:val="24"/>
          <w:szCs w:val="24"/>
          <w:lang w:val="zh-CN" w:eastAsia="zh-CN"/>
        </w:rPr>
        <w:t>按季度付款，</w:t>
      </w:r>
      <w:r>
        <w:rPr>
          <w:rFonts w:hint="eastAsia" w:ascii="宋体" w:hAnsi="宋体" w:eastAsia="宋体" w:cs="宋体"/>
          <w:sz w:val="24"/>
          <w:szCs w:val="24"/>
          <w:lang w:val="en-US" w:eastAsia="zh-CN"/>
        </w:rPr>
        <w:t>每季度服务完成，</w:t>
      </w:r>
      <w:r>
        <w:rPr>
          <w:rFonts w:hint="eastAsia" w:ascii="宋体" w:hAnsi="宋体" w:eastAsia="宋体" w:cs="宋体"/>
          <w:sz w:val="24"/>
          <w:szCs w:val="24"/>
          <w:lang w:val="zh-CN" w:eastAsia="zh-CN"/>
        </w:rPr>
        <w:t>经采购人确认评估达到防治效果后由</w:t>
      </w:r>
      <w:r>
        <w:rPr>
          <w:rFonts w:hint="eastAsia" w:ascii="宋体" w:hAnsi="宋体" w:cs="宋体"/>
          <w:sz w:val="24"/>
          <w:szCs w:val="24"/>
          <w:lang w:val="en-US" w:eastAsia="zh-CN"/>
        </w:rPr>
        <w:t>成交供应商</w:t>
      </w:r>
      <w:r>
        <w:rPr>
          <w:rFonts w:hint="eastAsia" w:ascii="宋体" w:hAnsi="宋体" w:eastAsia="宋体" w:cs="宋体"/>
          <w:sz w:val="24"/>
          <w:szCs w:val="24"/>
          <w:lang w:val="zh-CN" w:eastAsia="zh-CN"/>
        </w:rPr>
        <w:t>开具发票，采购人收到服务商发票后在次月办理支付</w:t>
      </w:r>
      <w:r>
        <w:rPr>
          <w:rFonts w:hint="eastAsia" w:ascii="宋体" w:hAnsi="宋体" w:eastAsia="宋体" w:cs="宋体"/>
          <w:sz w:val="24"/>
          <w:szCs w:val="24"/>
          <w:lang w:val="en-US" w:eastAsia="zh-CN"/>
        </w:rPr>
        <w:t>手续。</w:t>
      </w:r>
    </w:p>
    <w:bookmarkEnd w:id="187"/>
    <w:bookmarkEnd w:id="188"/>
    <w:bookmarkEnd w:id="189"/>
    <w:bookmarkEnd w:id="190"/>
    <w:p w14:paraId="319E059B">
      <w:pPr>
        <w:pStyle w:val="4"/>
        <w:pageBreakBefore w:val="0"/>
        <w:kinsoku/>
        <w:wordWrap/>
        <w:overflowPunct/>
        <w:topLinePunct w:val="0"/>
        <w:autoSpaceDN/>
        <w:bidi w:val="0"/>
        <w:adjustRightInd/>
        <w:spacing w:before="0" w:after="0" w:line="400" w:lineRule="exact"/>
        <w:rPr>
          <w:rFonts w:hint="eastAsia" w:ascii="宋体" w:hAnsi="宋体" w:eastAsia="宋体" w:cs="宋体"/>
          <w:b/>
          <w:bCs/>
          <w:color w:val="auto"/>
          <w:sz w:val="24"/>
          <w:szCs w:val="24"/>
          <w:highlight w:val="none"/>
          <w:lang w:val="en-US" w:eastAsia="zh-CN"/>
        </w:rPr>
      </w:pPr>
      <w:bookmarkStart w:id="191" w:name="_Toc9295"/>
      <w:bookmarkStart w:id="192" w:name="_Toc5162"/>
      <w:bookmarkStart w:id="193" w:name="_Toc75877214"/>
      <w:bookmarkStart w:id="194" w:name="_Toc27141"/>
      <w:bookmarkStart w:id="195" w:name="_Toc20201"/>
      <w:bookmarkStart w:id="196" w:name="_Toc25042"/>
      <w:bookmarkStart w:id="197" w:name="_Toc456"/>
      <w:bookmarkStart w:id="198" w:name="_Toc229"/>
      <w:bookmarkStart w:id="199" w:name="_Toc13550"/>
      <w:r>
        <w:rPr>
          <w:rFonts w:hint="eastAsia" w:ascii="宋体" w:hAnsi="宋体" w:eastAsia="宋体" w:cs="宋体"/>
          <w:b/>
          <w:bCs/>
          <w:color w:val="auto"/>
          <w:sz w:val="24"/>
          <w:szCs w:val="24"/>
          <w:highlight w:val="none"/>
          <w:lang w:val="en-US" w:eastAsia="zh-CN"/>
        </w:rPr>
        <w:t>四、知识产权</w:t>
      </w:r>
      <w:bookmarkEnd w:id="191"/>
      <w:bookmarkEnd w:id="192"/>
    </w:p>
    <w:p w14:paraId="174DA000">
      <w:pPr>
        <w:pageBreakBefore w:val="0"/>
        <w:kinsoku/>
        <w:wordWrap/>
        <w:overflowPunct/>
        <w:topLinePunct w:val="0"/>
        <w:autoSpaceDN/>
        <w:bidi w:val="0"/>
        <w:adjustRightInd/>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32DD341">
      <w:pPr>
        <w:pageBreakBefore w:val="0"/>
        <w:kinsoku/>
        <w:wordWrap/>
        <w:overflowPunct/>
        <w:topLinePunct w:val="0"/>
        <w:autoSpaceDN/>
        <w:bidi w:val="0"/>
        <w:adjustRightInd/>
        <w:spacing w:line="400" w:lineRule="exact"/>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（二）成果及知识产权归采购人所有。</w:t>
      </w:r>
    </w:p>
    <w:bookmarkEnd w:id="193"/>
    <w:bookmarkEnd w:id="194"/>
    <w:bookmarkEnd w:id="195"/>
    <w:bookmarkEnd w:id="196"/>
    <w:bookmarkEnd w:id="197"/>
    <w:bookmarkEnd w:id="198"/>
    <w:bookmarkEnd w:id="199"/>
    <w:p w14:paraId="07DC9811">
      <w:pPr>
        <w:pStyle w:val="4"/>
        <w:pageBreakBefore w:val="0"/>
        <w:widowControl/>
        <w:kinsoku/>
        <w:wordWrap/>
        <w:overflowPunct/>
        <w:topLinePunct w:val="0"/>
        <w:autoSpaceDN/>
        <w:bidi w:val="0"/>
        <w:adjustRightInd/>
        <w:spacing w:before="0" w:beforeAutospacing="0" w:after="0" w:afterAutospacing="0" w:line="400" w:lineRule="exact"/>
        <w:rPr>
          <w:rFonts w:hint="eastAsia" w:ascii="宋体" w:hAnsi="宋体" w:eastAsia="宋体" w:cs="宋体"/>
          <w:b/>
          <w:bCs/>
          <w:kern w:val="2"/>
          <w:sz w:val="24"/>
          <w:szCs w:val="24"/>
        </w:rPr>
      </w:pPr>
      <w:bookmarkStart w:id="200" w:name="_Toc32207"/>
      <w:bookmarkStart w:id="201" w:name="_Toc14338"/>
      <w:bookmarkStart w:id="202" w:name="_Toc24134"/>
      <w:bookmarkStart w:id="203" w:name="_Toc23649"/>
      <w:bookmarkStart w:id="204" w:name="_Toc21476"/>
      <w:bookmarkStart w:id="205" w:name="_Toc75877215"/>
      <w:bookmarkStart w:id="206" w:name="_Toc7565"/>
      <w:bookmarkStart w:id="207" w:name="_Toc17292"/>
      <w:bookmarkStart w:id="208" w:name="_Toc11148"/>
      <w:r>
        <w:rPr>
          <w:rFonts w:hint="eastAsia" w:ascii="宋体" w:hAnsi="宋体" w:eastAsia="宋体" w:cs="宋体"/>
          <w:b/>
          <w:bCs/>
          <w:kern w:val="2"/>
          <w:sz w:val="24"/>
          <w:szCs w:val="24"/>
        </w:rPr>
        <w:t>五、其他</w:t>
      </w:r>
      <w:bookmarkEnd w:id="200"/>
      <w:bookmarkEnd w:id="201"/>
    </w:p>
    <w:p w14:paraId="3DEE737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（一）供应商必须在响应文件中对以上条款和服务承诺明确列出，承诺内容必须达到本篇及竞采文件其他条款的要求。</w:t>
      </w:r>
    </w:p>
    <w:p w14:paraId="58578D5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（二）其他未尽事宜由供需双方在采购合同中详细约定。</w:t>
      </w:r>
    </w:p>
    <w:bookmarkEnd w:id="163"/>
    <w:bookmarkEnd w:id="164"/>
    <w:bookmarkEnd w:id="165"/>
    <w:bookmarkEnd w:id="202"/>
    <w:bookmarkEnd w:id="203"/>
    <w:bookmarkEnd w:id="204"/>
    <w:bookmarkEnd w:id="205"/>
    <w:bookmarkEnd w:id="206"/>
    <w:bookmarkEnd w:id="207"/>
    <w:bookmarkEnd w:id="208"/>
    <w:p w14:paraId="67AFDFB9">
      <w:pPr>
        <w:pStyle w:val="3"/>
        <w:pageBreakBefore w:val="0"/>
        <w:kinsoku/>
        <w:wordWrap/>
        <w:overflowPunct/>
        <w:topLinePunct w:val="0"/>
        <w:autoSpaceDN/>
        <w:bidi w:val="0"/>
        <w:adjustRightInd/>
        <w:spacing w:line="400" w:lineRule="exact"/>
        <w:jc w:val="center"/>
        <w:rPr>
          <w:rFonts w:hint="eastAsia" w:ascii="宋体" w:hAnsi="宋体" w:eastAsia="宋体" w:cs="宋体"/>
        </w:rPr>
      </w:pPr>
      <w:r>
        <w:rPr>
          <w:rFonts w:hint="eastAsia" w:ascii="宋体" w:hAnsi="宋体" w:cs="宋体"/>
          <w:b/>
          <w:bCs/>
          <w:sz w:val="32"/>
          <w:szCs w:val="32"/>
        </w:rPr>
        <w:br w:type="page"/>
      </w:r>
      <w:bookmarkStart w:id="209" w:name="_Toc27075"/>
      <w:r>
        <w:rPr>
          <w:rFonts w:hint="eastAsia" w:ascii="宋体" w:hAnsi="宋体" w:eastAsia="宋体" w:cs="宋体"/>
        </w:rPr>
        <w:t>第五篇  合同主要条款和格式合同（样本）</w:t>
      </w:r>
      <w:bookmarkEnd w:id="152"/>
      <w:bookmarkEnd w:id="153"/>
      <w:bookmarkEnd w:id="209"/>
    </w:p>
    <w:p w14:paraId="1EF01AB1">
      <w:pPr>
        <w:pageBreakBefore w:val="0"/>
        <w:kinsoku/>
        <w:wordWrap/>
        <w:overflowPunct/>
        <w:topLinePunct w:val="0"/>
        <w:autoSpaceDN/>
        <w:bidi w:val="0"/>
        <w:adjustRightInd/>
        <w:spacing w:line="400" w:lineRule="exact"/>
        <w:ind w:firstLine="482" w:firstLineChars="200"/>
        <w:rPr>
          <w:rFonts w:hint="eastAsia" w:ascii="宋体" w:hAnsi="宋体" w:cs="宋体"/>
          <w:b/>
          <w:sz w:val="24"/>
        </w:rPr>
      </w:pPr>
      <w:bookmarkStart w:id="210" w:name="_Toc27462"/>
      <w:bookmarkStart w:id="211" w:name="_Toc15196"/>
      <w:bookmarkStart w:id="212" w:name="_Toc15259"/>
      <w:bookmarkStart w:id="213" w:name="_Toc27008"/>
      <w:bookmarkStart w:id="214" w:name="_Toc29567"/>
      <w:bookmarkStart w:id="215" w:name="_Toc21511"/>
      <w:bookmarkStart w:id="216" w:name="_Toc106030414"/>
      <w:bookmarkStart w:id="217" w:name="_Toc277084870"/>
      <w:bookmarkStart w:id="218" w:name="_Toc75793537"/>
      <w:bookmarkStart w:id="219" w:name="_Toc19301"/>
      <w:bookmarkStart w:id="220" w:name="_Toc6013"/>
      <w:bookmarkStart w:id="221" w:name="_Toc285722712"/>
      <w:bookmarkStart w:id="222" w:name="_Toc16546"/>
      <w:bookmarkStart w:id="223" w:name="_Toc2644"/>
      <w:bookmarkStart w:id="224" w:name="_Toc22555"/>
      <w:bookmarkStart w:id="225" w:name="_Toc16344"/>
      <w:bookmarkStart w:id="226" w:name="_Toc4064"/>
      <w:bookmarkStart w:id="227" w:name="_Toc23921"/>
      <w:r>
        <w:rPr>
          <w:rFonts w:hint="eastAsia" w:ascii="宋体" w:hAnsi="宋体" w:cs="宋体"/>
          <w:b/>
          <w:sz w:val="24"/>
        </w:rPr>
        <w:t>一、合同主要条款</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9707C21">
      <w:pPr>
        <w:pageBreakBefore w:val="0"/>
        <w:kinsoku/>
        <w:wordWrap/>
        <w:overflowPunct/>
        <w:topLinePunct w:val="0"/>
        <w:autoSpaceDN/>
        <w:bidi w:val="0"/>
        <w:adjustRightInd/>
        <w:spacing w:line="400" w:lineRule="exact"/>
        <w:ind w:firstLine="480" w:firstLineChars="200"/>
        <w:rPr>
          <w:rFonts w:hint="eastAsia" w:ascii="宋体" w:hAnsi="宋体" w:cs="宋体"/>
          <w:sz w:val="24"/>
        </w:rPr>
      </w:pPr>
    </w:p>
    <w:p w14:paraId="61F883FB">
      <w:pPr>
        <w:pageBreakBefore w:val="0"/>
        <w:kinsoku/>
        <w:wordWrap/>
        <w:overflowPunct/>
        <w:topLinePunct w:val="0"/>
        <w:autoSpaceDN/>
        <w:bidi w:val="0"/>
        <w:adjustRightInd/>
        <w:spacing w:line="400" w:lineRule="exact"/>
        <w:ind w:firstLine="482" w:firstLineChars="200"/>
        <w:rPr>
          <w:rFonts w:hint="eastAsia" w:ascii="宋体" w:hAnsi="宋体" w:cs="宋体"/>
          <w:b/>
          <w:sz w:val="24"/>
        </w:rPr>
      </w:pPr>
      <w:bookmarkStart w:id="228" w:name="_Toc13103"/>
      <w:bookmarkStart w:id="229" w:name="_Toc11006"/>
      <w:bookmarkStart w:id="230" w:name="_Toc285722713"/>
      <w:bookmarkStart w:id="231" w:name="_Toc6201"/>
      <w:bookmarkStart w:id="232" w:name="_Toc14438"/>
      <w:bookmarkStart w:id="233" w:name="_Toc14172"/>
      <w:bookmarkStart w:id="234" w:name="_Toc1900"/>
      <w:bookmarkStart w:id="235" w:name="_Toc6684"/>
      <w:bookmarkStart w:id="236" w:name="_Toc532"/>
      <w:bookmarkStart w:id="237" w:name="_Toc4623"/>
      <w:bookmarkStart w:id="238" w:name="_Toc11820"/>
      <w:bookmarkStart w:id="239" w:name="_Toc106030415"/>
      <w:bookmarkStart w:id="240" w:name="_Toc10851"/>
      <w:bookmarkStart w:id="241" w:name="_Toc24031"/>
      <w:bookmarkStart w:id="242" w:name="_Toc10958"/>
      <w:bookmarkStart w:id="243" w:name="_Toc3208"/>
      <w:bookmarkStart w:id="244" w:name="_Toc277084871"/>
      <w:bookmarkStart w:id="245" w:name="_Toc75793538"/>
      <w:r>
        <w:rPr>
          <w:rFonts w:hint="eastAsia" w:ascii="宋体" w:hAnsi="宋体" w:cs="宋体"/>
          <w:b/>
          <w:sz w:val="24"/>
        </w:rPr>
        <w:t>二、政府采购合同（格式）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85245DA">
      <w:pPr>
        <w:pageBreakBefore w:val="0"/>
        <w:kinsoku/>
        <w:wordWrap/>
        <w:overflowPunct/>
        <w:topLinePunct w:val="0"/>
        <w:autoSpaceDN/>
        <w:bidi w:val="0"/>
        <w:adjustRightInd/>
        <w:spacing w:line="360" w:lineRule="auto"/>
        <w:jc w:val="center"/>
        <w:rPr>
          <w:rFonts w:hint="eastAsia" w:ascii="宋体" w:hAnsi="宋体" w:cs="宋体"/>
          <w:b/>
          <w:sz w:val="44"/>
        </w:rPr>
      </w:pPr>
      <w:r>
        <w:rPr>
          <w:rFonts w:hint="eastAsia" w:ascii="宋体" w:hAnsi="宋体" w:cs="宋体"/>
          <w:b/>
          <w:sz w:val="44"/>
        </w:rPr>
        <w:t>重庆市政府采购合同</w:t>
      </w:r>
    </w:p>
    <w:p w14:paraId="77995BBC">
      <w:pPr>
        <w:pageBreakBefore w:val="0"/>
        <w:kinsoku/>
        <w:wordWrap/>
        <w:overflowPunct/>
        <w:topLinePunct w:val="0"/>
        <w:autoSpaceDN/>
        <w:bidi w:val="0"/>
        <w:adjustRightInd/>
        <w:spacing w:line="400" w:lineRule="exact"/>
        <w:jc w:val="center"/>
        <w:rPr>
          <w:rFonts w:hint="eastAsia" w:ascii="宋体" w:hAnsi="宋体" w:cs="宋体"/>
        </w:rPr>
      </w:pPr>
      <w:r>
        <w:rPr>
          <w:rFonts w:hint="eastAsia" w:ascii="宋体" w:hAnsi="宋体" w:cs="宋体"/>
        </w:rPr>
        <w:t>（项目号：     ）</w:t>
      </w:r>
    </w:p>
    <w:p w14:paraId="413ABEA4">
      <w:pPr>
        <w:pageBreakBefore w:val="0"/>
        <w:kinsoku/>
        <w:wordWrap/>
        <w:overflowPunct/>
        <w:topLinePunct w:val="0"/>
        <w:autoSpaceDN/>
        <w:bidi w:val="0"/>
        <w:adjustRightInd/>
        <w:spacing w:line="400" w:lineRule="exact"/>
        <w:rPr>
          <w:rFonts w:hint="eastAsia" w:ascii="宋体" w:hAnsi="宋体" w:cs="宋体"/>
          <w:sz w:val="24"/>
        </w:rPr>
      </w:pPr>
      <w:r>
        <w:rPr>
          <w:rFonts w:hint="eastAsia" w:ascii="宋体" w:hAnsi="宋体" w:cs="宋体"/>
          <w:sz w:val="24"/>
        </w:rPr>
        <w:t>甲方（需方）：___________________________      计价单位：____________</w:t>
      </w:r>
    </w:p>
    <w:p w14:paraId="76B8D591">
      <w:pPr>
        <w:pageBreakBefore w:val="0"/>
        <w:kinsoku/>
        <w:wordWrap/>
        <w:overflowPunct/>
        <w:topLinePunct w:val="0"/>
        <w:autoSpaceDN/>
        <w:bidi w:val="0"/>
        <w:adjustRightInd/>
        <w:spacing w:line="400" w:lineRule="exact"/>
        <w:rPr>
          <w:rFonts w:hint="eastAsia" w:ascii="宋体" w:hAnsi="宋体" w:cs="宋体"/>
          <w:sz w:val="24"/>
        </w:rPr>
      </w:pPr>
      <w:r>
        <w:rPr>
          <w:rFonts w:hint="eastAsia" w:ascii="宋体" w:hAnsi="宋体" w:cs="宋体"/>
          <w:sz w:val="24"/>
        </w:rPr>
        <w:t>乙方（供方）：___________________________      计量单位：_____________</w:t>
      </w:r>
    </w:p>
    <w:p w14:paraId="10D0E140">
      <w:pPr>
        <w:pageBreakBefore w:val="0"/>
        <w:kinsoku/>
        <w:wordWrap/>
        <w:overflowPunct/>
        <w:topLinePunct w:val="0"/>
        <w:autoSpaceDN/>
        <w:bidi w:val="0"/>
        <w:adjustRightInd/>
        <w:spacing w:line="400" w:lineRule="exact"/>
        <w:rPr>
          <w:rFonts w:hint="eastAsia" w:ascii="宋体" w:hAnsi="宋体" w:cs="宋体"/>
          <w:sz w:val="24"/>
        </w:rPr>
      </w:pPr>
    </w:p>
    <w:p w14:paraId="417B032A">
      <w:pPr>
        <w:pageBreakBefore w:val="0"/>
        <w:kinsoku/>
        <w:wordWrap/>
        <w:overflowPunct/>
        <w:topLinePunct w:val="0"/>
        <w:autoSpaceDN/>
        <w:bidi w:val="0"/>
        <w:adjustRightInd/>
        <w:spacing w:line="400" w:lineRule="exact"/>
        <w:rPr>
          <w:rFonts w:hint="eastAsia" w:ascii="宋体" w:hAnsi="宋体" w:cs="宋体"/>
          <w:sz w:val="24"/>
        </w:rPr>
      </w:pPr>
      <w:r>
        <w:rPr>
          <w:rFonts w:hint="eastAsia" w:ascii="宋体" w:hAnsi="宋体" w:cs="宋体"/>
          <w:sz w:val="24"/>
        </w:rPr>
        <w:t>经双方协商一致，达成以下购销合同：</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5D5A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17F98F9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商品名称</w:t>
            </w:r>
          </w:p>
        </w:tc>
        <w:tc>
          <w:tcPr>
            <w:tcW w:w="1741" w:type="dxa"/>
            <w:noWrap w:val="0"/>
            <w:vAlign w:val="center"/>
          </w:tcPr>
          <w:p w14:paraId="4112487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default" w:ascii="宋体" w:hAnsi="宋体" w:cs="宋体"/>
                <w:sz w:val="21"/>
                <w:szCs w:val="21"/>
              </w:rPr>
            </w:pPr>
            <w:r>
              <w:rPr>
                <w:rFonts w:hint="eastAsia" w:ascii="宋体" w:hAnsi="宋体" w:cs="宋体"/>
                <w:sz w:val="21"/>
                <w:szCs w:val="21"/>
              </w:rPr>
              <w:t>服务要求</w:t>
            </w:r>
          </w:p>
        </w:tc>
        <w:tc>
          <w:tcPr>
            <w:tcW w:w="984" w:type="dxa"/>
            <w:noWrap w:val="0"/>
            <w:vAlign w:val="center"/>
          </w:tcPr>
          <w:p w14:paraId="287DE23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数量</w:t>
            </w:r>
          </w:p>
        </w:tc>
        <w:tc>
          <w:tcPr>
            <w:tcW w:w="1298" w:type="dxa"/>
            <w:gridSpan w:val="2"/>
            <w:noWrap w:val="0"/>
            <w:vAlign w:val="center"/>
          </w:tcPr>
          <w:p w14:paraId="184F3DA7">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综合单价</w:t>
            </w:r>
          </w:p>
        </w:tc>
        <w:tc>
          <w:tcPr>
            <w:tcW w:w="1134" w:type="dxa"/>
            <w:noWrap w:val="0"/>
            <w:vAlign w:val="center"/>
          </w:tcPr>
          <w:p w14:paraId="046C731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总价</w:t>
            </w:r>
          </w:p>
        </w:tc>
        <w:tc>
          <w:tcPr>
            <w:tcW w:w="1559" w:type="dxa"/>
            <w:noWrap w:val="0"/>
            <w:vAlign w:val="center"/>
          </w:tcPr>
          <w:p w14:paraId="3D8F30E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交货时间</w:t>
            </w:r>
          </w:p>
        </w:tc>
        <w:tc>
          <w:tcPr>
            <w:tcW w:w="1567" w:type="dxa"/>
            <w:noWrap w:val="0"/>
            <w:vAlign w:val="center"/>
          </w:tcPr>
          <w:p w14:paraId="0195CBE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交货地点</w:t>
            </w:r>
          </w:p>
        </w:tc>
      </w:tr>
      <w:tr w14:paraId="71F7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9130962">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741" w:type="dxa"/>
            <w:noWrap w:val="0"/>
            <w:vAlign w:val="center"/>
          </w:tcPr>
          <w:p w14:paraId="038F650A">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984" w:type="dxa"/>
            <w:noWrap w:val="0"/>
            <w:vAlign w:val="center"/>
          </w:tcPr>
          <w:p w14:paraId="1215A11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298" w:type="dxa"/>
            <w:gridSpan w:val="2"/>
            <w:noWrap w:val="0"/>
            <w:vAlign w:val="center"/>
          </w:tcPr>
          <w:p w14:paraId="55C903F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134" w:type="dxa"/>
            <w:noWrap w:val="0"/>
            <w:vAlign w:val="center"/>
          </w:tcPr>
          <w:p w14:paraId="49DD9FC9">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59" w:type="dxa"/>
            <w:noWrap w:val="0"/>
            <w:vAlign w:val="center"/>
          </w:tcPr>
          <w:p w14:paraId="5E3453F7">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67" w:type="dxa"/>
            <w:noWrap w:val="0"/>
            <w:vAlign w:val="center"/>
          </w:tcPr>
          <w:p w14:paraId="0BB0701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r>
      <w:tr w14:paraId="6549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8085A3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741" w:type="dxa"/>
            <w:noWrap w:val="0"/>
            <w:vAlign w:val="center"/>
          </w:tcPr>
          <w:p w14:paraId="7F1CE8DA">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984" w:type="dxa"/>
            <w:noWrap w:val="0"/>
            <w:vAlign w:val="center"/>
          </w:tcPr>
          <w:p w14:paraId="0B20388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298" w:type="dxa"/>
            <w:gridSpan w:val="2"/>
            <w:noWrap w:val="0"/>
            <w:vAlign w:val="center"/>
          </w:tcPr>
          <w:p w14:paraId="64400F1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134" w:type="dxa"/>
            <w:noWrap w:val="0"/>
            <w:vAlign w:val="center"/>
          </w:tcPr>
          <w:p w14:paraId="5985194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59" w:type="dxa"/>
            <w:noWrap w:val="0"/>
            <w:vAlign w:val="center"/>
          </w:tcPr>
          <w:p w14:paraId="70C4C9D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67" w:type="dxa"/>
            <w:noWrap w:val="0"/>
            <w:vAlign w:val="center"/>
          </w:tcPr>
          <w:p w14:paraId="48FDA40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r>
      <w:tr w14:paraId="3626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1BF2117">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741" w:type="dxa"/>
            <w:noWrap w:val="0"/>
            <w:vAlign w:val="center"/>
          </w:tcPr>
          <w:p w14:paraId="493DBC95">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984" w:type="dxa"/>
            <w:noWrap w:val="0"/>
            <w:vAlign w:val="center"/>
          </w:tcPr>
          <w:p w14:paraId="0181393A">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298" w:type="dxa"/>
            <w:gridSpan w:val="2"/>
            <w:noWrap w:val="0"/>
            <w:vAlign w:val="center"/>
          </w:tcPr>
          <w:p w14:paraId="2E87F7C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134" w:type="dxa"/>
            <w:noWrap w:val="0"/>
            <w:vAlign w:val="center"/>
          </w:tcPr>
          <w:p w14:paraId="457E6869">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59" w:type="dxa"/>
            <w:noWrap w:val="0"/>
            <w:vAlign w:val="center"/>
          </w:tcPr>
          <w:p w14:paraId="70A99755">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67" w:type="dxa"/>
            <w:noWrap w:val="0"/>
            <w:vAlign w:val="center"/>
          </w:tcPr>
          <w:p w14:paraId="58153A7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r>
      <w:tr w14:paraId="583C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C86CBF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741" w:type="dxa"/>
            <w:noWrap w:val="0"/>
            <w:vAlign w:val="center"/>
          </w:tcPr>
          <w:p w14:paraId="0F7A496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984" w:type="dxa"/>
            <w:noWrap w:val="0"/>
            <w:vAlign w:val="center"/>
          </w:tcPr>
          <w:p w14:paraId="6B9E49B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298" w:type="dxa"/>
            <w:gridSpan w:val="2"/>
            <w:noWrap w:val="0"/>
            <w:vAlign w:val="center"/>
          </w:tcPr>
          <w:p w14:paraId="5BED196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134" w:type="dxa"/>
            <w:noWrap w:val="0"/>
            <w:vAlign w:val="center"/>
          </w:tcPr>
          <w:p w14:paraId="5744BFA2">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59" w:type="dxa"/>
            <w:noWrap w:val="0"/>
            <w:vAlign w:val="center"/>
          </w:tcPr>
          <w:p w14:paraId="0C49AF7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67" w:type="dxa"/>
            <w:noWrap w:val="0"/>
            <w:vAlign w:val="center"/>
          </w:tcPr>
          <w:p w14:paraId="3FB0813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r>
      <w:tr w14:paraId="0D0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1A462F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741" w:type="dxa"/>
            <w:noWrap w:val="0"/>
            <w:vAlign w:val="center"/>
          </w:tcPr>
          <w:p w14:paraId="61FA955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984" w:type="dxa"/>
            <w:noWrap w:val="0"/>
            <w:vAlign w:val="center"/>
          </w:tcPr>
          <w:p w14:paraId="704879B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298" w:type="dxa"/>
            <w:gridSpan w:val="2"/>
            <w:noWrap w:val="0"/>
            <w:vAlign w:val="center"/>
          </w:tcPr>
          <w:p w14:paraId="6A545895">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134" w:type="dxa"/>
            <w:noWrap w:val="0"/>
            <w:vAlign w:val="center"/>
          </w:tcPr>
          <w:p w14:paraId="500ABDF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59" w:type="dxa"/>
            <w:noWrap w:val="0"/>
            <w:vAlign w:val="center"/>
          </w:tcPr>
          <w:p w14:paraId="3CDBE76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67" w:type="dxa"/>
            <w:noWrap w:val="0"/>
            <w:vAlign w:val="center"/>
          </w:tcPr>
          <w:p w14:paraId="208456D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r>
      <w:tr w14:paraId="32DF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0BC78F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741" w:type="dxa"/>
            <w:noWrap w:val="0"/>
            <w:vAlign w:val="center"/>
          </w:tcPr>
          <w:p w14:paraId="1C3FF50A">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984" w:type="dxa"/>
            <w:noWrap w:val="0"/>
            <w:vAlign w:val="center"/>
          </w:tcPr>
          <w:p w14:paraId="30B20A1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298" w:type="dxa"/>
            <w:gridSpan w:val="2"/>
            <w:noWrap w:val="0"/>
            <w:vAlign w:val="center"/>
          </w:tcPr>
          <w:p w14:paraId="4615909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134" w:type="dxa"/>
            <w:noWrap w:val="0"/>
            <w:vAlign w:val="center"/>
          </w:tcPr>
          <w:p w14:paraId="7AF575D7">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59" w:type="dxa"/>
            <w:noWrap w:val="0"/>
            <w:vAlign w:val="center"/>
          </w:tcPr>
          <w:p w14:paraId="3EBB0B82">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67" w:type="dxa"/>
            <w:noWrap w:val="0"/>
            <w:vAlign w:val="center"/>
          </w:tcPr>
          <w:p w14:paraId="741C6CD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r>
      <w:tr w14:paraId="0BAD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AE30D1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741" w:type="dxa"/>
            <w:noWrap w:val="0"/>
            <w:vAlign w:val="center"/>
          </w:tcPr>
          <w:p w14:paraId="0DC580C7">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984" w:type="dxa"/>
            <w:noWrap w:val="0"/>
            <w:vAlign w:val="center"/>
          </w:tcPr>
          <w:p w14:paraId="0835E78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298" w:type="dxa"/>
            <w:gridSpan w:val="2"/>
            <w:noWrap w:val="0"/>
            <w:vAlign w:val="center"/>
          </w:tcPr>
          <w:p w14:paraId="283BDC8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134" w:type="dxa"/>
            <w:noWrap w:val="0"/>
            <w:vAlign w:val="center"/>
          </w:tcPr>
          <w:p w14:paraId="011CEF09">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59" w:type="dxa"/>
            <w:noWrap w:val="0"/>
            <w:vAlign w:val="center"/>
          </w:tcPr>
          <w:p w14:paraId="7F08942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67" w:type="dxa"/>
            <w:noWrap w:val="0"/>
            <w:vAlign w:val="center"/>
          </w:tcPr>
          <w:p w14:paraId="677FBF0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r>
      <w:tr w14:paraId="24FE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3B5939A">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741" w:type="dxa"/>
            <w:noWrap w:val="0"/>
            <w:vAlign w:val="center"/>
          </w:tcPr>
          <w:p w14:paraId="389BF15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984" w:type="dxa"/>
            <w:noWrap w:val="0"/>
            <w:vAlign w:val="center"/>
          </w:tcPr>
          <w:p w14:paraId="49CEC74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298" w:type="dxa"/>
            <w:gridSpan w:val="2"/>
            <w:noWrap w:val="0"/>
            <w:vAlign w:val="center"/>
          </w:tcPr>
          <w:p w14:paraId="1D1153B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134" w:type="dxa"/>
            <w:noWrap w:val="0"/>
            <w:vAlign w:val="center"/>
          </w:tcPr>
          <w:p w14:paraId="171C6F7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59" w:type="dxa"/>
            <w:noWrap w:val="0"/>
            <w:vAlign w:val="center"/>
          </w:tcPr>
          <w:p w14:paraId="0649319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c>
          <w:tcPr>
            <w:tcW w:w="1567" w:type="dxa"/>
            <w:noWrap w:val="0"/>
            <w:vAlign w:val="center"/>
          </w:tcPr>
          <w:p w14:paraId="2AD30C7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p>
        </w:tc>
      </w:tr>
      <w:tr w14:paraId="6E52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134BB1A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合计人民币（小写）：</w:t>
            </w:r>
          </w:p>
        </w:tc>
      </w:tr>
      <w:tr w14:paraId="3E2D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noWrap w:val="0"/>
            <w:vAlign w:val="center"/>
          </w:tcPr>
          <w:p w14:paraId="56E1100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合计人民币（大写）：</w:t>
            </w:r>
          </w:p>
        </w:tc>
      </w:tr>
      <w:tr w14:paraId="049D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noWrap w:val="0"/>
            <w:vAlign w:val="top"/>
          </w:tcPr>
          <w:p w14:paraId="6B15E20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一、质量要求和技术标准。供方提供的商品必须是全新的，完全符合国家有关技术标准，供方的质量保证及售后服务承诺如下：</w:t>
            </w:r>
          </w:p>
          <w:p w14:paraId="05C07897">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1、质保期限：</w:t>
            </w:r>
          </w:p>
          <w:p w14:paraId="353D75C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2、保修范围：</w:t>
            </w:r>
          </w:p>
          <w:p w14:paraId="0E6C452F">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3、服务措施：</w:t>
            </w:r>
          </w:p>
          <w:p w14:paraId="1B73861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4、质保期后服务：</w:t>
            </w:r>
          </w:p>
        </w:tc>
      </w:tr>
      <w:tr w14:paraId="0F4C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noWrap w:val="0"/>
            <w:vAlign w:val="top"/>
          </w:tcPr>
          <w:p w14:paraId="733C27B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二、随机备品、附件、工具数量及供应方法：</w:t>
            </w:r>
          </w:p>
        </w:tc>
      </w:tr>
      <w:tr w14:paraId="32A8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noWrap w:val="0"/>
            <w:vAlign w:val="top"/>
          </w:tcPr>
          <w:p w14:paraId="52DA62B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三、交提货方式：</w:t>
            </w:r>
          </w:p>
        </w:tc>
      </w:tr>
      <w:tr w14:paraId="6A9C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noWrap w:val="0"/>
            <w:vAlign w:val="top"/>
          </w:tcPr>
          <w:p w14:paraId="11FE9DE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四、验收标准、方法：</w:t>
            </w:r>
          </w:p>
          <w:p w14:paraId="472A638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如有异议，请于      日内提出。</w:t>
            </w:r>
          </w:p>
        </w:tc>
      </w:tr>
      <w:tr w14:paraId="6AE5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6F5F2B2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五、付款方式：</w:t>
            </w:r>
          </w:p>
          <w:p w14:paraId="32C7E9A5">
            <w:pPr>
              <w:pStyle w:val="14"/>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kern w:val="2"/>
                <w:sz w:val="21"/>
                <w:szCs w:val="21"/>
                <w:lang w:val="en-US" w:eastAsia="zh-CN"/>
              </w:rPr>
            </w:pPr>
          </w:p>
        </w:tc>
      </w:tr>
      <w:tr w14:paraId="04B7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noWrap w:val="0"/>
            <w:vAlign w:val="top"/>
          </w:tcPr>
          <w:p w14:paraId="3C8C589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六、违约责任：</w:t>
            </w:r>
          </w:p>
          <w:p w14:paraId="44D4623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按《中华人民共和国民法典》、《中华人民共和国政府采购法》执行，或按双方约定。（采购人应按项目实际情况完整填写）</w:t>
            </w:r>
          </w:p>
        </w:tc>
      </w:tr>
      <w:tr w14:paraId="63F7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noWrap w:val="0"/>
            <w:vAlign w:val="top"/>
          </w:tcPr>
          <w:p w14:paraId="38A12A0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七、其他约定事项：</w:t>
            </w:r>
          </w:p>
          <w:p w14:paraId="48816F0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1.招标文件及其澄清文件、投标文件和承诺是本合同不可分割的部分。</w:t>
            </w:r>
          </w:p>
          <w:p w14:paraId="1AACBD4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2.本合同如发生争议由双方协商解决，协商不成向需方所在地人民法院提请仲裁。</w:t>
            </w:r>
          </w:p>
          <w:p w14:paraId="079DF7D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3.本合同一式__份， 需方__份，供方__份，具备同等法律效力。</w:t>
            </w:r>
          </w:p>
          <w:p w14:paraId="63355B9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4.其他：</w:t>
            </w:r>
          </w:p>
        </w:tc>
      </w:tr>
      <w:tr w14:paraId="5A16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2CC35099">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需方：</w:t>
            </w:r>
          </w:p>
          <w:p w14:paraId="196414E9">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地址：</w:t>
            </w:r>
          </w:p>
          <w:p w14:paraId="5B7A31E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联系电话：</w:t>
            </w:r>
          </w:p>
          <w:p w14:paraId="5652BDD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授权代表：</w:t>
            </w:r>
          </w:p>
        </w:tc>
        <w:tc>
          <w:tcPr>
            <w:tcW w:w="5125" w:type="dxa"/>
            <w:gridSpan w:val="5"/>
            <w:noWrap w:val="0"/>
            <w:vAlign w:val="top"/>
          </w:tcPr>
          <w:p w14:paraId="70EB26C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供方：</w:t>
            </w:r>
          </w:p>
          <w:p w14:paraId="48540BA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地址：</w:t>
            </w:r>
          </w:p>
          <w:p w14:paraId="752E62A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电话：</w:t>
            </w:r>
          </w:p>
          <w:p w14:paraId="43CEB96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传真：</w:t>
            </w:r>
          </w:p>
          <w:p w14:paraId="723D568A">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开户银行：</w:t>
            </w:r>
          </w:p>
          <w:p w14:paraId="2E30659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账号：</w:t>
            </w:r>
          </w:p>
          <w:p w14:paraId="0C448C77">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授权代表：</w:t>
            </w:r>
          </w:p>
          <w:p w14:paraId="289239EE">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left"/>
              <w:rPr>
                <w:rFonts w:hint="eastAsia" w:ascii="宋体" w:hAnsi="宋体" w:cs="宋体"/>
                <w:sz w:val="21"/>
                <w:szCs w:val="21"/>
              </w:rPr>
            </w:pPr>
            <w:r>
              <w:rPr>
                <w:rFonts w:hint="eastAsia" w:ascii="宋体" w:hAnsi="宋体" w:cs="宋体"/>
                <w:sz w:val="21"/>
                <w:szCs w:val="21"/>
              </w:rPr>
              <w:t>（本栏请用计算机打印以便于准确付款）</w:t>
            </w:r>
          </w:p>
        </w:tc>
      </w:tr>
      <w:tr w14:paraId="4259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noWrap w:val="0"/>
            <w:vAlign w:val="top"/>
          </w:tcPr>
          <w:p w14:paraId="62505CA9">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r>
              <w:rPr>
                <w:rFonts w:hint="eastAsia" w:ascii="宋体" w:hAnsi="宋体" w:cs="宋体"/>
                <w:sz w:val="21"/>
                <w:szCs w:val="21"/>
              </w:rPr>
              <w:t>备注：</w:t>
            </w:r>
          </w:p>
          <w:p w14:paraId="0F8FE6B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p>
          <w:p w14:paraId="4F077A8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 w:val="21"/>
                <w:szCs w:val="21"/>
              </w:rPr>
            </w:pPr>
          </w:p>
        </w:tc>
      </w:tr>
    </w:tbl>
    <w:p w14:paraId="40A4CE83">
      <w:pPr>
        <w:pageBreakBefore w:val="0"/>
        <w:kinsoku/>
        <w:wordWrap/>
        <w:overflowPunct/>
        <w:topLinePunct w:val="0"/>
        <w:autoSpaceDN/>
        <w:bidi w:val="0"/>
        <w:adjustRightInd/>
        <w:spacing w:line="400" w:lineRule="exact"/>
        <w:ind w:firstLine="480" w:firstLineChars="200"/>
        <w:rPr>
          <w:rFonts w:hint="eastAsia" w:ascii="宋体" w:hAnsi="宋体" w:cs="宋体"/>
          <w:sz w:val="24"/>
        </w:rPr>
      </w:pPr>
      <w:r>
        <w:rPr>
          <w:rFonts w:hint="eastAsia" w:ascii="宋体" w:hAnsi="宋体" w:cs="宋体"/>
          <w:sz w:val="24"/>
        </w:rPr>
        <w:t>签约时间：           年   月   日      签约地点：</w:t>
      </w:r>
    </w:p>
    <w:p w14:paraId="0789435F">
      <w:pPr>
        <w:pageBreakBefore w:val="0"/>
        <w:kinsoku/>
        <w:wordWrap/>
        <w:overflowPunct/>
        <w:topLinePunct w:val="0"/>
        <w:autoSpaceDN/>
        <w:bidi w:val="0"/>
        <w:adjustRightInd/>
        <w:spacing w:line="400" w:lineRule="exact"/>
        <w:ind w:firstLine="480" w:firstLineChars="200"/>
        <w:rPr>
          <w:rFonts w:hint="eastAsia" w:ascii="宋体" w:hAnsi="宋体" w:cs="宋体"/>
          <w:sz w:val="24"/>
        </w:rPr>
      </w:pPr>
    </w:p>
    <w:p w14:paraId="1331A073">
      <w:pPr>
        <w:pStyle w:val="3"/>
        <w:pageBreakBefore w:val="0"/>
        <w:kinsoku/>
        <w:wordWrap/>
        <w:overflowPunct/>
        <w:topLinePunct w:val="0"/>
        <w:autoSpaceDN/>
        <w:bidi w:val="0"/>
        <w:adjustRightInd/>
        <w:spacing w:line="400" w:lineRule="exact"/>
        <w:jc w:val="center"/>
        <w:rPr>
          <w:rFonts w:hint="eastAsia" w:ascii="宋体" w:hAnsi="宋体" w:cs="宋体"/>
          <w:b w:val="0"/>
        </w:rPr>
      </w:pPr>
      <w:r>
        <w:rPr>
          <w:rFonts w:hint="eastAsia" w:ascii="宋体" w:hAnsi="宋体" w:cs="宋体"/>
          <w:bCs w:val="0"/>
        </w:rPr>
        <w:br w:type="page"/>
      </w:r>
      <w:bookmarkStart w:id="246" w:name="_Toc12776"/>
      <w:bookmarkStart w:id="247" w:name="_Toc17831"/>
      <w:r>
        <w:rPr>
          <w:rFonts w:hint="eastAsia" w:ascii="宋体" w:hAnsi="宋体" w:cs="宋体"/>
          <w:bCs w:val="0"/>
        </w:rPr>
        <w:t>第六篇  响应文件格式</w:t>
      </w:r>
      <w:bookmarkEnd w:id="154"/>
      <w:bookmarkEnd w:id="246"/>
      <w:bookmarkEnd w:id="247"/>
    </w:p>
    <w:p w14:paraId="3C934223">
      <w:pPr>
        <w:pageBreakBefore w:val="0"/>
        <w:kinsoku/>
        <w:wordWrap/>
        <w:overflowPunct/>
        <w:topLinePunct w:val="0"/>
        <w:autoSpaceDN/>
        <w:bidi w:val="0"/>
        <w:adjustRightInd/>
        <w:spacing w:line="400" w:lineRule="exact"/>
        <w:rPr>
          <w:rFonts w:hint="eastAsia" w:ascii="宋体" w:hAnsi="宋体" w:cs="宋体"/>
          <w:b/>
          <w:bCs/>
          <w:sz w:val="24"/>
          <w:szCs w:val="24"/>
        </w:rPr>
      </w:pPr>
      <w:r>
        <w:rPr>
          <w:rFonts w:hint="eastAsia" w:ascii="宋体" w:hAnsi="宋体" w:cs="宋体"/>
          <w:b/>
          <w:bCs/>
          <w:sz w:val="24"/>
          <w:szCs w:val="24"/>
        </w:rPr>
        <w:t>一、经济部分</w:t>
      </w:r>
    </w:p>
    <w:p w14:paraId="1792EEFE">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（一）报价函</w:t>
      </w:r>
    </w:p>
    <w:p w14:paraId="43E72D7A">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（二）明细报价表</w:t>
      </w:r>
    </w:p>
    <w:p w14:paraId="50C9FBCD">
      <w:pPr>
        <w:pageBreakBefore w:val="0"/>
        <w:kinsoku/>
        <w:wordWrap/>
        <w:overflowPunct/>
        <w:topLinePunct w:val="0"/>
        <w:autoSpaceDN/>
        <w:bidi w:val="0"/>
        <w:adjustRightInd/>
        <w:spacing w:line="400" w:lineRule="exact"/>
        <w:rPr>
          <w:rFonts w:hint="eastAsia" w:ascii="宋体" w:hAnsi="宋体" w:cs="宋体"/>
          <w:b/>
          <w:bCs/>
          <w:sz w:val="24"/>
          <w:szCs w:val="24"/>
        </w:rPr>
      </w:pPr>
      <w:r>
        <w:rPr>
          <w:rFonts w:hint="eastAsia" w:ascii="宋体" w:hAnsi="宋体" w:cs="宋体"/>
          <w:b/>
          <w:bCs/>
          <w:sz w:val="24"/>
          <w:szCs w:val="24"/>
        </w:rPr>
        <w:t>二、服务部分</w:t>
      </w:r>
    </w:p>
    <w:p w14:paraId="0B35817A">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（一）服务应答</w:t>
      </w:r>
    </w:p>
    <w:p w14:paraId="619C3D6A">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（二）服务条款响应</w:t>
      </w:r>
    </w:p>
    <w:p w14:paraId="42090DC0">
      <w:pPr>
        <w:pageBreakBefore w:val="0"/>
        <w:kinsoku/>
        <w:wordWrap/>
        <w:overflowPunct/>
        <w:topLinePunct w:val="0"/>
        <w:autoSpaceDN/>
        <w:bidi w:val="0"/>
        <w:adjustRightInd/>
        <w:spacing w:line="400" w:lineRule="exact"/>
        <w:rPr>
          <w:rFonts w:hint="eastAsia" w:ascii="宋体" w:hAnsi="宋体" w:cs="宋体"/>
          <w:b/>
          <w:bCs/>
          <w:sz w:val="24"/>
          <w:szCs w:val="24"/>
        </w:rPr>
      </w:pPr>
      <w:r>
        <w:rPr>
          <w:rFonts w:hint="eastAsia" w:ascii="宋体" w:hAnsi="宋体" w:cs="宋体"/>
          <w:b/>
          <w:bCs/>
          <w:sz w:val="24"/>
          <w:szCs w:val="24"/>
        </w:rPr>
        <w:t>三、商务部分</w:t>
      </w:r>
    </w:p>
    <w:p w14:paraId="7E904D1E">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（一）商务条款响应</w:t>
      </w:r>
    </w:p>
    <w:p w14:paraId="169B8EB9">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（二）其它优惠承诺</w:t>
      </w:r>
    </w:p>
    <w:p w14:paraId="66A9064D">
      <w:pPr>
        <w:pageBreakBefore w:val="0"/>
        <w:kinsoku/>
        <w:wordWrap/>
        <w:overflowPunct/>
        <w:topLinePunct w:val="0"/>
        <w:autoSpaceDN/>
        <w:bidi w:val="0"/>
        <w:adjustRightInd/>
        <w:spacing w:line="400" w:lineRule="exact"/>
        <w:rPr>
          <w:rFonts w:hint="eastAsia" w:ascii="宋体" w:hAnsi="宋体" w:cs="宋体"/>
          <w:b/>
          <w:bCs/>
          <w:sz w:val="24"/>
          <w:szCs w:val="24"/>
        </w:rPr>
      </w:pPr>
      <w:r>
        <w:rPr>
          <w:rFonts w:hint="eastAsia" w:ascii="宋体" w:hAnsi="宋体" w:cs="宋体"/>
          <w:b/>
          <w:bCs/>
          <w:sz w:val="24"/>
          <w:szCs w:val="24"/>
        </w:rPr>
        <w:t>四、资格条件及其他</w:t>
      </w:r>
    </w:p>
    <w:p w14:paraId="5D4485A9">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09F82753">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14:paraId="311A2650">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14:paraId="16F5FAB7">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14:paraId="4F72AE2A">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（五）特定资格条件证书或证明文件</w:t>
      </w:r>
    </w:p>
    <w:p w14:paraId="1A2C2FDE">
      <w:pPr>
        <w:pageBreakBefore w:val="0"/>
        <w:kinsoku/>
        <w:wordWrap/>
        <w:overflowPunct/>
        <w:topLinePunct w:val="0"/>
        <w:autoSpaceDN/>
        <w:bidi w:val="0"/>
        <w:adjustRightInd/>
        <w:spacing w:line="400" w:lineRule="exact"/>
        <w:rPr>
          <w:rFonts w:hint="eastAsia" w:ascii="宋体" w:hAnsi="宋体" w:cs="宋体"/>
          <w:b/>
          <w:bCs/>
          <w:sz w:val="24"/>
          <w:szCs w:val="24"/>
        </w:rPr>
      </w:pPr>
      <w:r>
        <w:rPr>
          <w:rFonts w:hint="eastAsia" w:ascii="宋体" w:hAnsi="宋体" w:cs="宋体"/>
          <w:b/>
          <w:bCs/>
          <w:sz w:val="24"/>
          <w:szCs w:val="24"/>
        </w:rPr>
        <w:t>五、其他应提供的资料</w:t>
      </w:r>
    </w:p>
    <w:p w14:paraId="71CE93BD">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sectPr>
          <w:headerReference r:id="rId8" w:type="default"/>
          <w:footerReference r:id="rId9" w:type="default"/>
          <w:pgSz w:w="11907" w:h="16840"/>
          <w:pgMar w:top="1440" w:right="1247" w:bottom="1440" w:left="1247" w:header="851" w:footer="992" w:gutter="0"/>
          <w:pgNumType w:fmt="numberInDash"/>
          <w:cols w:space="720" w:num="1"/>
        </w:sectPr>
      </w:pPr>
      <w:bookmarkStart w:id="248" w:name="_Toc487204797"/>
      <w:bookmarkStart w:id="249" w:name="_Toc486585240"/>
      <w:bookmarkStart w:id="250" w:name="_Toc486608277"/>
      <w:bookmarkStart w:id="251" w:name="_Toc14854"/>
      <w:r>
        <w:rPr>
          <w:rFonts w:hint="eastAsia" w:ascii="宋体" w:hAnsi="宋体" w:cs="宋体"/>
          <w:sz w:val="24"/>
          <w:szCs w:val="24"/>
        </w:rPr>
        <w:t>（一）其他与项目有关的资料（自附）</w:t>
      </w:r>
    </w:p>
    <w:p w14:paraId="0E664EC9">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bookmarkStart w:id="252" w:name="_Toc5490"/>
      <w:bookmarkStart w:id="253" w:name="_Toc20020"/>
      <w:r>
        <w:rPr>
          <w:rFonts w:hint="eastAsia" w:ascii="宋体" w:hAnsi="宋体" w:cs="宋体"/>
          <w:sz w:val="24"/>
          <w:szCs w:val="24"/>
        </w:rPr>
        <w:t>一、经济部分</w:t>
      </w:r>
      <w:bookmarkEnd w:id="248"/>
      <w:bookmarkEnd w:id="249"/>
      <w:bookmarkEnd w:id="250"/>
      <w:bookmarkEnd w:id="251"/>
      <w:bookmarkEnd w:id="252"/>
      <w:bookmarkEnd w:id="253"/>
    </w:p>
    <w:p w14:paraId="729F543F">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（一）报价函</w:t>
      </w:r>
    </w:p>
    <w:p w14:paraId="1F3871A2">
      <w:pPr>
        <w:pageBreakBefore w:val="0"/>
        <w:tabs>
          <w:tab w:val="left" w:pos="6300"/>
        </w:tabs>
        <w:kinsoku/>
        <w:wordWrap/>
        <w:overflowPunct/>
        <w:topLinePunct w:val="0"/>
        <w:autoSpaceDN/>
        <w:bidi w:val="0"/>
        <w:adjustRightInd/>
        <w:snapToGrid w:val="0"/>
        <w:spacing w:line="400" w:lineRule="exact"/>
        <w:ind w:firstLine="480" w:firstLineChars="200"/>
        <w:jc w:val="center"/>
        <w:rPr>
          <w:rFonts w:hint="eastAsia" w:ascii="宋体" w:hAnsi="宋体" w:cs="宋体"/>
          <w:sz w:val="24"/>
          <w:szCs w:val="24"/>
        </w:rPr>
      </w:pPr>
      <w:r>
        <w:rPr>
          <w:rFonts w:hint="eastAsia" w:ascii="宋体" w:hAnsi="宋体" w:cs="宋体"/>
          <w:sz w:val="24"/>
          <w:szCs w:val="24"/>
        </w:rPr>
        <w:t>报价函</w:t>
      </w:r>
    </w:p>
    <w:p w14:paraId="7C248041">
      <w:pPr>
        <w:pageBreakBefore w:val="0"/>
        <w:tabs>
          <w:tab w:val="left" w:pos="6300"/>
        </w:tabs>
        <w:kinsoku/>
        <w:wordWrap/>
        <w:overflowPunct/>
        <w:topLinePunct w:val="0"/>
        <w:autoSpaceDN/>
        <w:bidi w:val="0"/>
        <w:adjustRightInd/>
        <w:snapToGrid w:val="0"/>
        <w:spacing w:line="400" w:lineRule="exact"/>
        <w:rPr>
          <w:rFonts w:hint="eastAsia"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280E765A">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 xml:space="preserve">                  </w:t>
      </w:r>
      <w:r>
        <w:rPr>
          <w:rFonts w:hint="eastAsia" w:ascii="宋体" w:hAnsi="宋体" w:cs="宋体"/>
          <w:sz w:val="24"/>
          <w:szCs w:val="24"/>
        </w:rPr>
        <w:t>（竞采项目名称）的</w:t>
      </w:r>
      <w:r>
        <w:rPr>
          <w:rFonts w:hint="eastAsia" w:ascii="宋体" w:hAnsi="宋体" w:cs="宋体"/>
          <w:sz w:val="24"/>
          <w:szCs w:val="24"/>
          <w:lang w:eastAsia="zh-CN"/>
        </w:rPr>
        <w:t>竞采文件</w:t>
      </w:r>
      <w:r>
        <w:rPr>
          <w:rFonts w:hint="eastAsia" w:ascii="宋体" w:hAnsi="宋体" w:cs="宋体"/>
          <w:sz w:val="24"/>
          <w:szCs w:val="24"/>
        </w:rPr>
        <w:t>，经详细研究，决定参加该项目的竞采。</w:t>
      </w:r>
    </w:p>
    <w:p w14:paraId="0AA6E1F7">
      <w:pPr>
        <w:pageBreakBefore w:val="0"/>
        <w:tabs>
          <w:tab w:val="left" w:pos="6300"/>
        </w:tabs>
        <w:kinsoku/>
        <w:wordWrap/>
        <w:overflowPunct/>
        <w:topLinePunct w:val="0"/>
        <w:autoSpaceDN/>
        <w:bidi w:val="0"/>
        <w:adjustRightInd/>
        <w:snapToGrid w:val="0"/>
        <w:spacing w:line="400" w:lineRule="exact"/>
        <w:ind w:firstLine="480" w:firstLineChars="200"/>
        <w:rPr>
          <w:rFonts w:hint="eastAsia"/>
        </w:rPr>
      </w:pPr>
      <w:r>
        <w:rPr>
          <w:rFonts w:hint="eastAsia" w:ascii="宋体" w:hAnsi="宋体" w:cs="宋体"/>
          <w:sz w:val="24"/>
          <w:szCs w:val="24"/>
        </w:rPr>
        <w:t>1.我方愿意按照</w:t>
      </w:r>
      <w:r>
        <w:rPr>
          <w:rFonts w:hint="eastAsia" w:ascii="宋体" w:hAnsi="宋体" w:cs="宋体"/>
          <w:sz w:val="24"/>
          <w:szCs w:val="24"/>
          <w:lang w:eastAsia="zh-CN"/>
        </w:rPr>
        <w:t>竞采文件</w:t>
      </w:r>
      <w:r>
        <w:rPr>
          <w:rFonts w:hint="eastAsia" w:ascii="宋体" w:hAnsi="宋体" w:cs="宋体"/>
          <w:sz w:val="24"/>
          <w:szCs w:val="24"/>
        </w:rPr>
        <w:t>中的一切要求，提供本项目的</w:t>
      </w:r>
      <w:r>
        <w:rPr>
          <w:rFonts w:hint="eastAsia" w:ascii="宋体" w:hAnsi="宋体" w:cs="宋体"/>
          <w:sz w:val="24"/>
          <w:szCs w:val="24"/>
          <w:lang w:val="en-US" w:eastAsia="zh-CN"/>
        </w:rPr>
        <w:t>货物</w:t>
      </w:r>
      <w:r>
        <w:rPr>
          <w:rFonts w:hint="eastAsia" w:ascii="宋体" w:hAnsi="宋体" w:cs="宋体"/>
          <w:sz w:val="24"/>
          <w:szCs w:val="24"/>
        </w:rPr>
        <w:t>及技术服务，报价为大写：</w:t>
      </w:r>
      <w:r>
        <w:rPr>
          <w:rFonts w:hint="eastAsia" w:ascii="宋体" w:hAnsi="宋体" w:cs="宋体"/>
          <w:sz w:val="24"/>
          <w:szCs w:val="24"/>
          <w:u w:val="single"/>
        </w:rPr>
        <w:t xml:space="preserve">      </w:t>
      </w:r>
      <w:r>
        <w:rPr>
          <w:rFonts w:hint="eastAsia" w:ascii="宋体" w:hAnsi="宋体" w:cs="宋体"/>
          <w:sz w:val="24"/>
          <w:szCs w:val="24"/>
        </w:rPr>
        <w:t>元；小写：</w:t>
      </w:r>
      <w:r>
        <w:rPr>
          <w:rFonts w:hint="eastAsia" w:ascii="宋体" w:hAnsi="宋体" w:cs="宋体"/>
          <w:sz w:val="24"/>
          <w:szCs w:val="24"/>
          <w:u w:val="single"/>
        </w:rPr>
        <w:t xml:space="preserve">    </w:t>
      </w:r>
      <w:r>
        <w:rPr>
          <w:rFonts w:hint="eastAsia" w:ascii="宋体" w:hAnsi="宋体" w:cs="宋体"/>
          <w:sz w:val="24"/>
          <w:szCs w:val="24"/>
        </w:rPr>
        <w:t>元。</w:t>
      </w:r>
    </w:p>
    <w:p w14:paraId="23A0715A">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1  </w:t>
      </w:r>
      <w:r>
        <w:rPr>
          <w:rFonts w:hint="eastAsia" w:ascii="宋体" w:hAnsi="宋体" w:cs="宋体"/>
          <w:sz w:val="24"/>
          <w:szCs w:val="24"/>
        </w:rPr>
        <w:t>份，副本</w:t>
      </w:r>
      <w:r>
        <w:rPr>
          <w:rFonts w:hint="eastAsia" w:ascii="宋体" w:hAnsi="宋体" w:cs="宋体"/>
          <w:sz w:val="24"/>
          <w:szCs w:val="24"/>
          <w:u w:val="single"/>
        </w:rPr>
        <w:t xml:space="preserve"> 1 </w:t>
      </w:r>
      <w:r>
        <w:rPr>
          <w:rFonts w:hint="eastAsia" w:ascii="宋体" w:hAnsi="宋体" w:cs="宋体"/>
          <w:sz w:val="24"/>
          <w:szCs w:val="24"/>
        </w:rPr>
        <w:t>份，电子文档</w:t>
      </w:r>
      <w:r>
        <w:rPr>
          <w:rFonts w:hint="eastAsia" w:ascii="宋体" w:hAnsi="宋体" w:cs="宋体"/>
          <w:sz w:val="24"/>
          <w:szCs w:val="24"/>
          <w:u w:val="single"/>
        </w:rPr>
        <w:t xml:space="preserve"> 1  </w:t>
      </w:r>
      <w:r>
        <w:rPr>
          <w:rFonts w:hint="eastAsia" w:ascii="宋体" w:hAnsi="宋体" w:cs="宋体"/>
          <w:sz w:val="24"/>
          <w:szCs w:val="24"/>
        </w:rPr>
        <w:t>份。</w:t>
      </w:r>
    </w:p>
    <w:p w14:paraId="22D4A62D">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3.我方承诺：本次竞采的有效期为90天。</w:t>
      </w:r>
    </w:p>
    <w:p w14:paraId="282C67C1">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4.我方完全理解和接受贵方</w:t>
      </w:r>
      <w:r>
        <w:rPr>
          <w:rFonts w:hint="eastAsia" w:ascii="宋体" w:hAnsi="宋体" w:cs="宋体"/>
          <w:sz w:val="24"/>
          <w:szCs w:val="24"/>
          <w:lang w:eastAsia="zh-CN"/>
        </w:rPr>
        <w:t>竞采文件</w:t>
      </w:r>
      <w:r>
        <w:rPr>
          <w:rFonts w:hint="eastAsia" w:ascii="宋体" w:hAnsi="宋体" w:cs="宋体"/>
          <w:sz w:val="24"/>
          <w:szCs w:val="24"/>
        </w:rPr>
        <w:t>的一切规定和要求及竞采评审办法。</w:t>
      </w:r>
    </w:p>
    <w:p w14:paraId="38746B53">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5.在整个竞采过程中，我方若有违规行为，接受按照《中华人民共和国政府采购法》和《</w:t>
      </w:r>
      <w:r>
        <w:rPr>
          <w:rFonts w:hint="eastAsia" w:ascii="宋体" w:hAnsi="宋体" w:cs="宋体"/>
          <w:sz w:val="24"/>
          <w:szCs w:val="24"/>
          <w:lang w:eastAsia="zh-CN"/>
        </w:rPr>
        <w:t>竞采文件</w:t>
      </w:r>
      <w:r>
        <w:rPr>
          <w:rFonts w:hint="eastAsia" w:ascii="宋体" w:hAnsi="宋体" w:cs="宋体"/>
          <w:sz w:val="24"/>
          <w:szCs w:val="24"/>
        </w:rPr>
        <w:t>》之规定给予惩罚。</w:t>
      </w:r>
    </w:p>
    <w:p w14:paraId="39F3B0C6">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6.我方若成为成交供应商，将按照最终竞采结果签订合同，并且严格履行合同义务。本承诺函将成为合同不可分割的一部分，与合同具有同等的法律效力。</w:t>
      </w:r>
    </w:p>
    <w:p w14:paraId="1B7415F3">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7.如果我方成为成交供应商，保证在接到成交通知书后，向采购代理机构交纳</w:t>
      </w:r>
      <w:r>
        <w:rPr>
          <w:rFonts w:hint="eastAsia" w:ascii="宋体" w:hAnsi="宋体" w:cs="宋体"/>
          <w:sz w:val="24"/>
          <w:szCs w:val="24"/>
          <w:lang w:eastAsia="zh-CN"/>
        </w:rPr>
        <w:t>竞采文件</w:t>
      </w:r>
      <w:r>
        <w:rPr>
          <w:rFonts w:hint="eastAsia" w:ascii="宋体" w:hAnsi="宋体" w:cs="宋体"/>
          <w:sz w:val="24"/>
          <w:szCs w:val="24"/>
        </w:rPr>
        <w:t>规定的采购代理服务费。</w:t>
      </w:r>
    </w:p>
    <w:p w14:paraId="6F7AECB3">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8.我方未为采购项目提供整体设计、规范编制或者项目管理、监理、检测等服务。</w:t>
      </w:r>
    </w:p>
    <w:p w14:paraId="60E7F9AE">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009FBD94">
      <w:pPr>
        <w:pageBreakBefore w:val="0"/>
        <w:tabs>
          <w:tab w:val="left" w:pos="6300"/>
        </w:tabs>
        <w:kinsoku/>
        <w:wordWrap/>
        <w:overflowPunct/>
        <w:topLinePunct w:val="0"/>
        <w:autoSpaceDN/>
        <w:bidi w:val="0"/>
        <w:adjustRightInd/>
        <w:snapToGrid w:val="0"/>
        <w:spacing w:line="400" w:lineRule="exact"/>
        <w:rPr>
          <w:rFonts w:hint="eastAsia" w:ascii="宋体" w:hAnsi="宋体" w:cs="宋体"/>
          <w:sz w:val="24"/>
          <w:szCs w:val="24"/>
        </w:rPr>
      </w:pPr>
    </w:p>
    <w:p w14:paraId="7F9D86E9">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35F72D66">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供应商（公章）：</w:t>
      </w:r>
    </w:p>
    <w:p w14:paraId="6B37F4C0">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地址：</w:t>
      </w:r>
    </w:p>
    <w:p w14:paraId="419DEE64">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电话：传真：</w:t>
      </w:r>
    </w:p>
    <w:p w14:paraId="142E6047">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网址：邮编：</w:t>
      </w:r>
    </w:p>
    <w:p w14:paraId="26EA9B84">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联系人：</w:t>
      </w:r>
    </w:p>
    <w:p w14:paraId="1C5DAB2D">
      <w:pPr>
        <w:pageBreakBefore w:val="0"/>
        <w:kinsoku/>
        <w:wordWrap/>
        <w:overflowPunct/>
        <w:topLinePunct w:val="0"/>
        <w:autoSpaceDN/>
        <w:bidi w:val="0"/>
        <w:adjustRightInd/>
        <w:snapToGrid w:val="0"/>
        <w:spacing w:line="400" w:lineRule="exact"/>
        <w:ind w:firstLine="480" w:firstLineChars="200"/>
        <w:jc w:val="right"/>
        <w:rPr>
          <w:rFonts w:hint="eastAsia" w:ascii="宋体" w:hAnsi="宋体" w:cs="宋体"/>
          <w:sz w:val="24"/>
          <w:szCs w:val="24"/>
        </w:rPr>
      </w:pPr>
      <w:r>
        <w:rPr>
          <w:rFonts w:hint="eastAsia" w:ascii="宋体" w:hAnsi="宋体" w:cs="宋体"/>
          <w:sz w:val="24"/>
          <w:szCs w:val="24"/>
        </w:rPr>
        <w:t xml:space="preserve">                               年   月   日</w:t>
      </w:r>
    </w:p>
    <w:p w14:paraId="35B7CB02">
      <w:pPr>
        <w:pageBreakBefore w:val="0"/>
        <w:widowControl/>
        <w:kinsoku/>
        <w:wordWrap/>
        <w:overflowPunct/>
        <w:topLinePunct w:val="0"/>
        <w:autoSpaceDN/>
        <w:bidi w:val="0"/>
        <w:adjustRightInd/>
        <w:spacing w:line="400" w:lineRule="exact"/>
        <w:jc w:val="left"/>
        <w:rPr>
          <w:rFonts w:hint="eastAsia" w:ascii="宋体" w:hAnsi="宋体" w:cs="宋体"/>
          <w:sz w:val="24"/>
          <w:szCs w:val="24"/>
        </w:rPr>
        <w:sectPr>
          <w:headerReference r:id="rId10" w:type="default"/>
          <w:footerReference r:id="rId11" w:type="default"/>
          <w:pgSz w:w="11907" w:h="16840"/>
          <w:pgMar w:top="1440" w:right="1247" w:bottom="1440" w:left="1247" w:header="851" w:footer="992" w:gutter="0"/>
          <w:pgNumType w:fmt="numberInDash"/>
          <w:cols w:space="720" w:num="1"/>
        </w:sectPr>
      </w:pPr>
    </w:p>
    <w:p w14:paraId="1483F1A7">
      <w:pPr>
        <w:pageBreakBefore w:val="0"/>
        <w:tabs>
          <w:tab w:val="left" w:pos="2895"/>
        </w:tabs>
        <w:kinsoku/>
        <w:wordWrap/>
        <w:overflowPunct/>
        <w:topLinePunct w:val="0"/>
        <w:autoSpaceDN/>
        <w:bidi w:val="0"/>
        <w:adjustRightInd/>
        <w:spacing w:line="400" w:lineRule="exact"/>
        <w:ind w:firstLine="480" w:firstLineChars="200"/>
        <w:rPr>
          <w:rFonts w:hint="eastAsia" w:ascii="宋体" w:hAnsi="宋体" w:cs="宋体"/>
          <w:sz w:val="24"/>
          <w:szCs w:val="24"/>
        </w:rPr>
      </w:pPr>
      <w:bookmarkStart w:id="254" w:name="_Toc486608278"/>
      <w:bookmarkStart w:id="255" w:name="_Toc486585241"/>
      <w:bookmarkStart w:id="256" w:name="_Toc487204798"/>
      <w:bookmarkStart w:id="257" w:name="_Toc3192"/>
      <w:r>
        <w:rPr>
          <w:rFonts w:hint="eastAsia" w:ascii="宋体" w:hAnsi="宋体" w:cs="宋体"/>
          <w:sz w:val="24"/>
          <w:szCs w:val="24"/>
        </w:rPr>
        <w:t>（二）明细报价表</w:t>
      </w:r>
    </w:p>
    <w:p w14:paraId="71CB4056">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执行编号：                              </w:t>
      </w:r>
    </w:p>
    <w:p w14:paraId="6C4E5DEE">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项目名称：</w:t>
      </w:r>
    </w:p>
    <w:tbl>
      <w:tblPr>
        <w:tblStyle w:val="25"/>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032"/>
        <w:gridCol w:w="1085"/>
        <w:gridCol w:w="1034"/>
      </w:tblGrid>
      <w:tr w14:paraId="753E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noWrap w:val="0"/>
            <w:vAlign w:val="center"/>
          </w:tcPr>
          <w:p w14:paraId="27B055F9">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序号</w:t>
            </w:r>
          </w:p>
        </w:tc>
        <w:tc>
          <w:tcPr>
            <w:tcW w:w="1695" w:type="dxa"/>
            <w:noWrap w:val="0"/>
            <w:vAlign w:val="center"/>
          </w:tcPr>
          <w:p w14:paraId="504C7195">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名称</w:t>
            </w:r>
          </w:p>
        </w:tc>
        <w:tc>
          <w:tcPr>
            <w:tcW w:w="3404" w:type="dxa"/>
            <w:noWrap w:val="0"/>
            <w:vAlign w:val="center"/>
          </w:tcPr>
          <w:p w14:paraId="7F379386">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服务相关信息</w:t>
            </w:r>
          </w:p>
        </w:tc>
        <w:tc>
          <w:tcPr>
            <w:tcW w:w="1032" w:type="dxa"/>
            <w:noWrap w:val="0"/>
            <w:vAlign w:val="center"/>
          </w:tcPr>
          <w:p w14:paraId="7AEF1C8E">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数量</w:t>
            </w:r>
          </w:p>
        </w:tc>
        <w:tc>
          <w:tcPr>
            <w:tcW w:w="1085" w:type="dxa"/>
            <w:noWrap w:val="0"/>
            <w:vAlign w:val="center"/>
          </w:tcPr>
          <w:p w14:paraId="5CD51987">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单价</w:t>
            </w:r>
          </w:p>
        </w:tc>
        <w:tc>
          <w:tcPr>
            <w:tcW w:w="1034" w:type="dxa"/>
            <w:noWrap w:val="0"/>
            <w:vAlign w:val="center"/>
          </w:tcPr>
          <w:p w14:paraId="633B1600">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合计</w:t>
            </w:r>
          </w:p>
        </w:tc>
      </w:tr>
      <w:tr w14:paraId="4202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79C0A3EF">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1</w:t>
            </w:r>
          </w:p>
        </w:tc>
        <w:tc>
          <w:tcPr>
            <w:tcW w:w="1695" w:type="dxa"/>
            <w:noWrap w:val="0"/>
            <w:vAlign w:val="center"/>
          </w:tcPr>
          <w:p w14:paraId="2EDBBC7F">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3404" w:type="dxa"/>
            <w:noWrap w:val="0"/>
            <w:vAlign w:val="top"/>
          </w:tcPr>
          <w:p w14:paraId="62F3C903">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30585A10">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85" w:type="dxa"/>
            <w:noWrap w:val="0"/>
            <w:vAlign w:val="top"/>
          </w:tcPr>
          <w:p w14:paraId="1F7433E0">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6668A23E">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61BE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356301A8">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2</w:t>
            </w:r>
          </w:p>
        </w:tc>
        <w:tc>
          <w:tcPr>
            <w:tcW w:w="1695" w:type="dxa"/>
            <w:noWrap w:val="0"/>
            <w:vAlign w:val="center"/>
          </w:tcPr>
          <w:p w14:paraId="12C45DB6">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3404" w:type="dxa"/>
            <w:noWrap w:val="0"/>
            <w:vAlign w:val="top"/>
          </w:tcPr>
          <w:p w14:paraId="54409B8F">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61B05683">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85" w:type="dxa"/>
            <w:noWrap w:val="0"/>
            <w:vAlign w:val="top"/>
          </w:tcPr>
          <w:p w14:paraId="6FBDE0CA">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69B6225D">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1B81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1CE3DAFD">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3</w:t>
            </w:r>
          </w:p>
        </w:tc>
        <w:tc>
          <w:tcPr>
            <w:tcW w:w="1695" w:type="dxa"/>
            <w:noWrap w:val="0"/>
            <w:vAlign w:val="center"/>
          </w:tcPr>
          <w:p w14:paraId="533EFE68">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3404" w:type="dxa"/>
            <w:noWrap w:val="0"/>
            <w:vAlign w:val="top"/>
          </w:tcPr>
          <w:p w14:paraId="16F8EE47">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11B8A821">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85" w:type="dxa"/>
            <w:noWrap w:val="0"/>
            <w:vAlign w:val="top"/>
          </w:tcPr>
          <w:p w14:paraId="016DC76D">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3B8706D7">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3DC0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64A79CD5">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4</w:t>
            </w:r>
          </w:p>
        </w:tc>
        <w:tc>
          <w:tcPr>
            <w:tcW w:w="1695" w:type="dxa"/>
            <w:noWrap w:val="0"/>
            <w:vAlign w:val="center"/>
          </w:tcPr>
          <w:p w14:paraId="6AD6EF70">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3404" w:type="dxa"/>
            <w:noWrap w:val="0"/>
            <w:vAlign w:val="top"/>
          </w:tcPr>
          <w:p w14:paraId="7EAF2C98">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11686425">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85" w:type="dxa"/>
            <w:noWrap w:val="0"/>
            <w:vAlign w:val="top"/>
          </w:tcPr>
          <w:p w14:paraId="4901E164">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4A9F9B92">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4F94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3BEAB2FE">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5</w:t>
            </w:r>
          </w:p>
        </w:tc>
        <w:tc>
          <w:tcPr>
            <w:tcW w:w="1695" w:type="dxa"/>
            <w:noWrap w:val="0"/>
            <w:vAlign w:val="center"/>
          </w:tcPr>
          <w:p w14:paraId="498FCDBF">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3404" w:type="dxa"/>
            <w:noWrap w:val="0"/>
            <w:vAlign w:val="top"/>
          </w:tcPr>
          <w:p w14:paraId="1A47B1BF">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08C963A1">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85" w:type="dxa"/>
            <w:noWrap w:val="0"/>
            <w:vAlign w:val="top"/>
          </w:tcPr>
          <w:p w14:paraId="13092C63">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32397488">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0DFD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45C5628D">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6</w:t>
            </w:r>
          </w:p>
        </w:tc>
        <w:tc>
          <w:tcPr>
            <w:tcW w:w="1695" w:type="dxa"/>
            <w:noWrap w:val="0"/>
            <w:vAlign w:val="center"/>
          </w:tcPr>
          <w:p w14:paraId="4F3443D0">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3404" w:type="dxa"/>
            <w:noWrap w:val="0"/>
            <w:vAlign w:val="top"/>
          </w:tcPr>
          <w:p w14:paraId="59ACE10E">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335113B4">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85" w:type="dxa"/>
            <w:noWrap w:val="0"/>
            <w:vAlign w:val="top"/>
          </w:tcPr>
          <w:p w14:paraId="7402908F">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08B54757">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1FD9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1FF834E9">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7</w:t>
            </w:r>
          </w:p>
        </w:tc>
        <w:tc>
          <w:tcPr>
            <w:tcW w:w="1695" w:type="dxa"/>
            <w:noWrap w:val="0"/>
            <w:vAlign w:val="center"/>
          </w:tcPr>
          <w:p w14:paraId="48DA3A63">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3404" w:type="dxa"/>
            <w:noWrap w:val="0"/>
            <w:vAlign w:val="top"/>
          </w:tcPr>
          <w:p w14:paraId="76FD7FE3">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169C3C6C">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85" w:type="dxa"/>
            <w:noWrap w:val="0"/>
            <w:vAlign w:val="top"/>
          </w:tcPr>
          <w:p w14:paraId="337A51B8">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68BD35B3">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0F17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1705B0FA">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8</w:t>
            </w:r>
          </w:p>
        </w:tc>
        <w:tc>
          <w:tcPr>
            <w:tcW w:w="1695" w:type="dxa"/>
            <w:noWrap w:val="0"/>
            <w:vAlign w:val="center"/>
          </w:tcPr>
          <w:p w14:paraId="606D144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人工费</w:t>
            </w:r>
          </w:p>
        </w:tc>
        <w:tc>
          <w:tcPr>
            <w:tcW w:w="3404" w:type="dxa"/>
            <w:noWrap w:val="0"/>
            <w:vAlign w:val="top"/>
          </w:tcPr>
          <w:p w14:paraId="63D7DB5F">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497E3E70">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w:t>
            </w:r>
          </w:p>
        </w:tc>
        <w:tc>
          <w:tcPr>
            <w:tcW w:w="1085" w:type="dxa"/>
            <w:noWrap w:val="0"/>
            <w:vAlign w:val="top"/>
          </w:tcPr>
          <w:p w14:paraId="33EA363C">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582D44ED">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501A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19E2404A">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9</w:t>
            </w:r>
          </w:p>
        </w:tc>
        <w:tc>
          <w:tcPr>
            <w:tcW w:w="1695" w:type="dxa"/>
            <w:noWrap w:val="0"/>
            <w:vAlign w:val="center"/>
          </w:tcPr>
          <w:p w14:paraId="398D70C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运输费</w:t>
            </w:r>
          </w:p>
        </w:tc>
        <w:tc>
          <w:tcPr>
            <w:tcW w:w="3404" w:type="dxa"/>
            <w:noWrap w:val="0"/>
            <w:vAlign w:val="top"/>
          </w:tcPr>
          <w:p w14:paraId="3FBB007D">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42B1F7C0">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w:t>
            </w:r>
          </w:p>
        </w:tc>
        <w:tc>
          <w:tcPr>
            <w:tcW w:w="1085" w:type="dxa"/>
            <w:noWrap w:val="0"/>
            <w:vAlign w:val="top"/>
          </w:tcPr>
          <w:p w14:paraId="44F5BEAC">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2B2B0722">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0A11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noWrap w:val="0"/>
            <w:vAlign w:val="center"/>
          </w:tcPr>
          <w:p w14:paraId="171AC774">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10</w:t>
            </w:r>
          </w:p>
        </w:tc>
        <w:tc>
          <w:tcPr>
            <w:tcW w:w="1695" w:type="dxa"/>
            <w:noWrap w:val="0"/>
            <w:vAlign w:val="center"/>
          </w:tcPr>
          <w:p w14:paraId="18BA837A">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其他费用</w:t>
            </w:r>
          </w:p>
        </w:tc>
        <w:tc>
          <w:tcPr>
            <w:tcW w:w="3404" w:type="dxa"/>
            <w:noWrap w:val="0"/>
            <w:vAlign w:val="top"/>
          </w:tcPr>
          <w:p w14:paraId="4DAD23D6">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60B19111">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w:t>
            </w:r>
          </w:p>
        </w:tc>
        <w:tc>
          <w:tcPr>
            <w:tcW w:w="1085" w:type="dxa"/>
            <w:noWrap w:val="0"/>
            <w:vAlign w:val="top"/>
          </w:tcPr>
          <w:p w14:paraId="1D575115">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09D17179">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5D76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14:paraId="17B3B13E">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11</w:t>
            </w:r>
          </w:p>
        </w:tc>
        <w:tc>
          <w:tcPr>
            <w:tcW w:w="1695" w:type="dxa"/>
            <w:noWrap w:val="0"/>
            <w:vAlign w:val="center"/>
          </w:tcPr>
          <w:p w14:paraId="417DCC4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w:t>
            </w:r>
          </w:p>
        </w:tc>
        <w:tc>
          <w:tcPr>
            <w:tcW w:w="3404" w:type="dxa"/>
            <w:noWrap w:val="0"/>
            <w:vAlign w:val="top"/>
          </w:tcPr>
          <w:p w14:paraId="7E234E82">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2" w:type="dxa"/>
            <w:noWrap w:val="0"/>
            <w:vAlign w:val="center"/>
          </w:tcPr>
          <w:p w14:paraId="750A2BFE">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w:t>
            </w:r>
          </w:p>
        </w:tc>
        <w:tc>
          <w:tcPr>
            <w:tcW w:w="1085" w:type="dxa"/>
            <w:noWrap w:val="0"/>
            <w:vAlign w:val="top"/>
          </w:tcPr>
          <w:p w14:paraId="5501A53C">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c>
          <w:tcPr>
            <w:tcW w:w="1034" w:type="dxa"/>
            <w:noWrap w:val="0"/>
            <w:vAlign w:val="top"/>
          </w:tcPr>
          <w:p w14:paraId="546BE8CC">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p>
        </w:tc>
      </w:tr>
      <w:tr w14:paraId="7930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noWrap w:val="0"/>
            <w:vAlign w:val="center"/>
          </w:tcPr>
          <w:p w14:paraId="6C9FD7AD">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lang w:val="en-US" w:eastAsia="zh-CN"/>
              </w:rPr>
            </w:pPr>
            <w:r>
              <w:rPr>
                <w:rFonts w:hint="eastAsia" w:ascii="宋体" w:hAnsi="宋体" w:eastAsia="宋体" w:cs="宋体"/>
                <w:lang w:val="en-US" w:eastAsia="zh-CN"/>
              </w:rPr>
              <w:t>12</w:t>
            </w:r>
          </w:p>
        </w:tc>
        <w:tc>
          <w:tcPr>
            <w:tcW w:w="1695" w:type="dxa"/>
            <w:noWrap w:val="0"/>
            <w:vAlign w:val="center"/>
          </w:tcPr>
          <w:p w14:paraId="4C1F76D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 w:val="21"/>
                <w:szCs w:val="21"/>
              </w:rPr>
            </w:pPr>
            <w:r>
              <w:rPr>
                <w:rFonts w:hint="eastAsia" w:ascii="宋体" w:hAnsi="宋体" w:cs="宋体"/>
                <w:sz w:val="21"/>
                <w:szCs w:val="21"/>
              </w:rPr>
              <w:t>总计</w:t>
            </w:r>
          </w:p>
        </w:tc>
        <w:tc>
          <w:tcPr>
            <w:tcW w:w="6555" w:type="dxa"/>
            <w:gridSpan w:val="4"/>
            <w:noWrap w:val="0"/>
            <w:vAlign w:val="top"/>
          </w:tcPr>
          <w:p w14:paraId="5FB403E0">
            <w:pPr>
              <w:keepNext w:val="0"/>
              <w:keepLines w:val="0"/>
              <w:pageBreakBefore w:val="0"/>
              <w:widowControl/>
              <w:suppressLineNumbers w:val="0"/>
              <w:kinsoku/>
              <w:wordWrap/>
              <w:overflowPunct/>
              <w:topLinePunct w:val="0"/>
              <w:autoSpaceDN/>
              <w:bidi w:val="0"/>
              <w:adjustRightInd/>
              <w:spacing w:before="0" w:beforeAutospacing="0" w:after="0" w:afterAutospacing="0" w:line="400" w:lineRule="exact"/>
              <w:ind w:left="0" w:right="0"/>
              <w:jc w:val="left"/>
              <w:rPr>
                <w:rFonts w:hint="eastAsia" w:ascii="宋体" w:hAnsi="宋体" w:cs="宋体"/>
              </w:rPr>
            </w:pPr>
          </w:p>
          <w:p w14:paraId="08C3A682">
            <w:pPr>
              <w:pStyle w:val="50"/>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firstLine="0" w:firstLineChars="0"/>
              <w:rPr>
                <w:rFonts w:hint="eastAsia" w:ascii="宋体" w:hAnsi="宋体" w:eastAsia="宋体" w:cs="宋体"/>
                <w:b/>
                <w:bCs/>
                <w:lang w:val="en-US" w:eastAsia="zh-CN"/>
              </w:rPr>
            </w:pPr>
          </w:p>
        </w:tc>
      </w:tr>
    </w:tbl>
    <w:p w14:paraId="46BDCA3C">
      <w:pPr>
        <w:pageBreakBefore w:val="0"/>
        <w:kinsoku/>
        <w:wordWrap/>
        <w:overflowPunct/>
        <w:topLinePunct w:val="0"/>
        <w:autoSpaceDN/>
        <w:bidi w:val="0"/>
        <w:adjustRightInd/>
        <w:spacing w:line="400" w:lineRule="exact"/>
        <w:rPr>
          <w:rFonts w:hint="eastAsia" w:ascii="宋体" w:hAnsi="宋体" w:cs="宋体"/>
          <w:sz w:val="24"/>
          <w:szCs w:val="24"/>
        </w:rPr>
      </w:pPr>
      <w:r>
        <w:rPr>
          <w:rFonts w:hint="eastAsia" w:ascii="宋体" w:hAnsi="宋体" w:cs="宋体"/>
          <w:sz w:val="24"/>
          <w:szCs w:val="24"/>
        </w:rPr>
        <w:t xml:space="preserve">       </w:t>
      </w:r>
    </w:p>
    <w:p w14:paraId="6FCC7F81">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rPr>
      </w:pPr>
      <w:r>
        <w:rPr>
          <w:rFonts w:hint="eastAsia" w:ascii="宋体" w:hAnsi="宋体" w:cs="宋体"/>
          <w:sz w:val="24"/>
        </w:rPr>
        <w:t>注：</w:t>
      </w:r>
    </w:p>
    <w:p w14:paraId="23187E70">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rPr>
      </w:pPr>
      <w:r>
        <w:rPr>
          <w:rFonts w:hint="eastAsia" w:ascii="宋体" w:hAnsi="宋体" w:cs="宋体"/>
          <w:sz w:val="24"/>
        </w:rPr>
        <w:t>1.请投标人完整填写本表；</w:t>
      </w:r>
    </w:p>
    <w:p w14:paraId="6CD37475">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rPr>
      </w:pPr>
      <w:r>
        <w:rPr>
          <w:rFonts w:hint="eastAsia" w:ascii="宋体" w:hAnsi="宋体" w:cs="宋体"/>
          <w:sz w:val="24"/>
        </w:rPr>
        <w:t>2.该表可扩展，并逐页签字或盖章。</w:t>
      </w:r>
    </w:p>
    <w:p w14:paraId="6DBB901F">
      <w:pPr>
        <w:pageBreakBefore w:val="0"/>
        <w:kinsoku/>
        <w:wordWrap/>
        <w:overflowPunct/>
        <w:topLinePunct w:val="0"/>
        <w:autoSpaceDN/>
        <w:bidi w:val="0"/>
        <w:adjustRightInd/>
        <w:snapToGrid w:val="0"/>
        <w:spacing w:line="400" w:lineRule="exact"/>
        <w:rPr>
          <w:rFonts w:hint="eastAsia" w:ascii="宋体" w:hAnsi="宋体" w:cs="宋体"/>
          <w:sz w:val="24"/>
          <w:szCs w:val="24"/>
        </w:rPr>
      </w:pPr>
    </w:p>
    <w:p w14:paraId="6DF3F46A">
      <w:pPr>
        <w:pStyle w:val="19"/>
        <w:pageBreakBefore w:val="0"/>
        <w:kinsoku/>
        <w:wordWrap/>
        <w:overflowPunct/>
        <w:topLinePunct w:val="0"/>
        <w:autoSpaceDN/>
        <w:bidi w:val="0"/>
        <w:adjustRightInd/>
        <w:spacing w:line="400" w:lineRule="exact"/>
        <w:rPr>
          <w:rFonts w:hint="eastAsia" w:ascii="宋体" w:hAnsi="宋体" w:eastAsia="宋体" w:cs="宋体"/>
          <w:sz w:val="24"/>
          <w:szCs w:val="24"/>
        </w:rPr>
      </w:pPr>
    </w:p>
    <w:p w14:paraId="33A20ED0">
      <w:pPr>
        <w:pageBreakBefore w:val="0"/>
        <w:kinsoku/>
        <w:wordWrap/>
        <w:overflowPunct/>
        <w:topLinePunct w:val="0"/>
        <w:autoSpaceDN/>
        <w:bidi w:val="0"/>
        <w:adjustRightInd/>
        <w:spacing w:line="400" w:lineRule="exact"/>
        <w:rPr>
          <w:rFonts w:hint="eastAsia" w:ascii="宋体" w:hAnsi="宋体" w:cs="宋体"/>
          <w:sz w:val="24"/>
          <w:szCs w:val="24"/>
        </w:rPr>
      </w:pPr>
      <w:r>
        <w:rPr>
          <w:rFonts w:hint="eastAsia" w:ascii="宋体" w:hAnsi="宋体" w:cs="宋体"/>
          <w:sz w:val="24"/>
          <w:szCs w:val="24"/>
        </w:rPr>
        <w:t xml:space="preserve">                                                    供应商名称（公章）：</w:t>
      </w:r>
    </w:p>
    <w:p w14:paraId="48A9FB8F">
      <w:pPr>
        <w:pageBreakBefore w:val="0"/>
        <w:kinsoku/>
        <w:wordWrap/>
        <w:overflowPunct/>
        <w:topLinePunct w:val="0"/>
        <w:autoSpaceDN/>
        <w:bidi w:val="0"/>
        <w:adjustRightInd/>
        <w:spacing w:line="400" w:lineRule="exact"/>
        <w:ind w:right="480" w:firstLine="6480" w:firstLineChars="2700"/>
        <w:rPr>
          <w:rFonts w:hint="eastAsia" w:ascii="宋体" w:hAnsi="宋体" w:cs="宋体"/>
          <w:sz w:val="24"/>
          <w:szCs w:val="24"/>
        </w:rPr>
      </w:pPr>
      <w:r>
        <w:rPr>
          <w:rFonts w:hint="eastAsia" w:ascii="宋体" w:hAnsi="宋体" w:cs="宋体"/>
          <w:sz w:val="24"/>
          <w:szCs w:val="24"/>
        </w:rPr>
        <w:t>年    月    日</w:t>
      </w:r>
    </w:p>
    <w:p w14:paraId="1C20495F">
      <w:pPr>
        <w:pStyle w:val="4"/>
        <w:pageBreakBefore w:val="0"/>
        <w:kinsoku/>
        <w:wordWrap/>
        <w:overflowPunct/>
        <w:topLinePunct w:val="0"/>
        <w:autoSpaceDN/>
        <w:bidi w:val="0"/>
        <w:adjustRightInd/>
        <w:spacing w:before="0" w:after="0" w:line="400" w:lineRule="exact"/>
        <w:rPr>
          <w:rFonts w:hint="eastAsia" w:ascii="宋体" w:hAnsi="宋体" w:cs="宋体"/>
          <w:sz w:val="24"/>
          <w:szCs w:val="24"/>
          <w:lang w:eastAsia="zh-CN"/>
        </w:rPr>
      </w:pPr>
      <w:r>
        <w:rPr>
          <w:rFonts w:hint="eastAsia" w:ascii="宋体" w:hAnsi="宋体" w:cs="宋体"/>
          <w:sz w:val="24"/>
          <w:szCs w:val="24"/>
        </w:rPr>
        <w:br w:type="page"/>
      </w:r>
      <w:bookmarkStart w:id="258" w:name="_Toc31316"/>
      <w:bookmarkStart w:id="259" w:name="_Toc2302"/>
      <w:r>
        <w:rPr>
          <w:rFonts w:hint="eastAsia" w:ascii="宋体" w:hAnsi="宋体" w:cs="宋体"/>
          <w:sz w:val="24"/>
          <w:szCs w:val="24"/>
        </w:rPr>
        <w:t>二、</w:t>
      </w:r>
      <w:bookmarkEnd w:id="254"/>
      <w:bookmarkEnd w:id="255"/>
      <w:bookmarkEnd w:id="256"/>
      <w:bookmarkEnd w:id="257"/>
      <w:r>
        <w:rPr>
          <w:rFonts w:hint="eastAsia" w:ascii="宋体" w:hAnsi="宋体" w:cs="宋体"/>
          <w:sz w:val="24"/>
          <w:szCs w:val="24"/>
          <w:lang w:eastAsia="zh-CN"/>
        </w:rPr>
        <w:t>服务部分</w:t>
      </w:r>
      <w:bookmarkEnd w:id="258"/>
      <w:bookmarkEnd w:id="259"/>
    </w:p>
    <w:p w14:paraId="1C18D255">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（一）服务应答（格式自拟）</w:t>
      </w:r>
    </w:p>
    <w:p w14:paraId="6B927DFE">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528F91CE">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12EBFABD">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7D82C90D">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2F0445D6">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1D70BC88">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07EC7626">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41B97FC4">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65DCE50C">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33DC11BA">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4050BB83">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68C55B67">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680CE025">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7230A85C">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1B56A79B">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1A6157EF">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3A273FF4">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4F2C9D15">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10A3E8F8">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11F1F8F3">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04E16178">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43738DF0">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7DBBA935">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39CAB0C8">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486B5A1F">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6D508C9A">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059416F0">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04DA561D">
      <w:pPr>
        <w:pageBreakBefore w:val="0"/>
        <w:kinsoku/>
        <w:wordWrap/>
        <w:overflowPunct/>
        <w:topLinePunct w:val="0"/>
        <w:autoSpaceDN/>
        <w:bidi w:val="0"/>
        <w:adjustRightInd/>
        <w:snapToGrid w:val="0"/>
        <w:spacing w:line="400" w:lineRule="exact"/>
        <w:jc w:val="center"/>
        <w:rPr>
          <w:rFonts w:hint="eastAsia" w:ascii="宋体" w:hAnsi="宋体" w:cs="宋体"/>
          <w:sz w:val="24"/>
          <w:szCs w:val="24"/>
        </w:rPr>
      </w:pPr>
    </w:p>
    <w:p w14:paraId="58761BD0">
      <w:pPr>
        <w:rPr>
          <w:rFonts w:hint="eastAsia" w:ascii="宋体" w:hAnsi="宋体" w:cs="宋体"/>
          <w:sz w:val="24"/>
          <w:szCs w:val="24"/>
        </w:rPr>
      </w:pPr>
      <w:r>
        <w:rPr>
          <w:rFonts w:hint="eastAsia" w:ascii="宋体" w:hAnsi="宋体" w:cs="宋体"/>
          <w:sz w:val="24"/>
          <w:szCs w:val="24"/>
        </w:rPr>
        <w:br w:type="page"/>
      </w:r>
    </w:p>
    <w:p w14:paraId="1E717914">
      <w:pPr>
        <w:pageBreakBefore w:val="0"/>
        <w:numPr>
          <w:ilvl w:val="0"/>
          <w:numId w:val="0"/>
        </w:numPr>
        <w:kinsoku/>
        <w:wordWrap/>
        <w:overflowPunct/>
        <w:topLinePunct w:val="0"/>
        <w:autoSpaceDN/>
        <w:bidi w:val="0"/>
        <w:adjustRightInd/>
        <w:snapToGrid w:val="0"/>
        <w:spacing w:line="400" w:lineRule="exact"/>
        <w:rPr>
          <w:rFonts w:hint="eastAsia" w:ascii="宋体" w:hAnsi="宋体" w:cs="宋体"/>
          <w:sz w:val="24"/>
          <w:szCs w:val="24"/>
        </w:rPr>
      </w:pPr>
    </w:p>
    <w:p w14:paraId="0D736BAF">
      <w:pPr>
        <w:pageBreakBefore w:val="0"/>
        <w:numPr>
          <w:ilvl w:val="0"/>
          <w:numId w:val="8"/>
        </w:numPr>
        <w:kinsoku/>
        <w:wordWrap/>
        <w:overflowPunct/>
        <w:topLinePunct w:val="0"/>
        <w:autoSpaceDN/>
        <w:bidi w:val="0"/>
        <w:adjustRightInd/>
        <w:snapToGrid w:val="0"/>
        <w:spacing w:line="400" w:lineRule="exact"/>
        <w:rPr>
          <w:rFonts w:hint="eastAsia" w:ascii="宋体" w:hAnsi="宋体" w:cs="宋体"/>
          <w:sz w:val="24"/>
          <w:szCs w:val="24"/>
        </w:rPr>
      </w:pPr>
      <w:r>
        <w:rPr>
          <w:rFonts w:hint="eastAsia" w:ascii="宋体" w:hAnsi="宋体" w:cs="宋体"/>
          <w:sz w:val="24"/>
          <w:szCs w:val="24"/>
        </w:rPr>
        <w:t>服务条款响应</w:t>
      </w:r>
    </w:p>
    <w:p w14:paraId="01A57FA4">
      <w:pPr>
        <w:pStyle w:val="17"/>
        <w:pageBreakBefore w:val="0"/>
        <w:kinsoku/>
        <w:wordWrap/>
        <w:overflowPunct/>
        <w:topLinePunct w:val="0"/>
        <w:autoSpaceDN/>
        <w:bidi w:val="0"/>
        <w:adjustRightInd/>
        <w:spacing w:line="400" w:lineRule="exact"/>
        <w:rPr>
          <w:rFonts w:hint="eastAsia"/>
        </w:rPr>
      </w:pPr>
    </w:p>
    <w:p w14:paraId="6D5F4A81">
      <w:pPr>
        <w:pStyle w:val="17"/>
        <w:pageBreakBefore w:val="0"/>
        <w:kinsoku/>
        <w:wordWrap/>
        <w:overflowPunct/>
        <w:topLinePunct w:val="0"/>
        <w:autoSpaceDN/>
        <w:bidi w:val="0"/>
        <w:adjustRightInd/>
        <w:spacing w:line="400" w:lineRule="exact"/>
        <w:rPr>
          <w:rFonts w:hint="eastAsia"/>
        </w:rPr>
      </w:pPr>
    </w:p>
    <w:p w14:paraId="1C5B128E">
      <w:pPr>
        <w:pageBreakBefore w:val="0"/>
        <w:kinsoku/>
        <w:wordWrap/>
        <w:overflowPunct/>
        <w:topLinePunct w:val="0"/>
        <w:autoSpaceDN/>
        <w:bidi w:val="0"/>
        <w:adjustRightInd/>
        <w:spacing w:line="400" w:lineRule="exact"/>
        <w:ind w:firstLine="480" w:firstLineChars="200"/>
        <w:rPr>
          <w:rFonts w:ascii="宋体" w:hAnsi="宋体" w:cs="宋体"/>
          <w:sz w:val="24"/>
          <w:szCs w:val="22"/>
        </w:rPr>
      </w:pPr>
      <w:r>
        <w:rPr>
          <w:rFonts w:hint="eastAsia" w:ascii="宋体" w:hAnsi="宋体" w:cs="宋体"/>
          <w:sz w:val="24"/>
          <w:szCs w:val="22"/>
        </w:rPr>
        <w:t xml:space="preserve">采购执行编号：                               </w:t>
      </w:r>
    </w:p>
    <w:p w14:paraId="76B24A1E">
      <w:pPr>
        <w:pageBreakBefore w:val="0"/>
        <w:kinsoku/>
        <w:wordWrap/>
        <w:overflowPunct/>
        <w:topLinePunct w:val="0"/>
        <w:autoSpaceDN/>
        <w:bidi w:val="0"/>
        <w:adjustRightInd/>
        <w:spacing w:line="400" w:lineRule="exact"/>
        <w:ind w:firstLine="480" w:firstLineChars="200"/>
        <w:rPr>
          <w:rFonts w:ascii="宋体" w:hAnsi="宋体" w:cs="宋体"/>
          <w:sz w:val="24"/>
          <w:szCs w:val="22"/>
        </w:rPr>
      </w:pPr>
      <w:r>
        <w:rPr>
          <w:rFonts w:hint="eastAsia" w:ascii="宋体" w:hAnsi="宋体" w:cs="宋体"/>
          <w:sz w:val="24"/>
          <w:szCs w:val="22"/>
        </w:rPr>
        <w:t>项目名称：</w:t>
      </w:r>
    </w:p>
    <w:p w14:paraId="72D8114C">
      <w:pPr>
        <w:pStyle w:val="17"/>
        <w:pageBreakBefore w:val="0"/>
        <w:kinsoku/>
        <w:wordWrap/>
        <w:overflowPunct/>
        <w:topLinePunct w:val="0"/>
        <w:autoSpaceDN/>
        <w:bidi w:val="0"/>
        <w:adjustRightInd/>
        <w:spacing w:line="400" w:lineRule="exact"/>
      </w:pPr>
    </w:p>
    <w:p w14:paraId="46AAEC86">
      <w:pPr>
        <w:pStyle w:val="17"/>
        <w:pageBreakBefore w:val="0"/>
        <w:kinsoku/>
        <w:wordWrap/>
        <w:overflowPunct/>
        <w:topLinePunct w:val="0"/>
        <w:autoSpaceDN/>
        <w:bidi w:val="0"/>
        <w:adjustRightInd/>
        <w:spacing w:line="400" w:lineRule="exact"/>
        <w:ind w:firstLine="480" w:firstLineChars="200"/>
        <w:rPr>
          <w:rFonts w:ascii="宋体" w:hAnsi="宋体" w:cs="宋体"/>
          <w:sz w:val="24"/>
          <w:szCs w:val="24"/>
        </w:rPr>
      </w:pPr>
      <w:r>
        <w:rPr>
          <w:rFonts w:ascii="宋体" w:hAnsi="宋体" w:cs="宋体"/>
          <w:sz w:val="24"/>
          <w:szCs w:val="24"/>
        </w:rPr>
        <w:t>本公司完全响应竞采文件第</w:t>
      </w:r>
      <w:r>
        <w:rPr>
          <w:rFonts w:hint="eastAsia" w:ascii="宋体" w:hAnsi="宋体" w:cs="宋体"/>
          <w:sz w:val="24"/>
          <w:szCs w:val="24"/>
        </w:rPr>
        <w:t>三</w:t>
      </w:r>
      <w:r>
        <w:rPr>
          <w:rFonts w:ascii="宋体" w:hAnsi="宋体" w:cs="宋体"/>
          <w:sz w:val="24"/>
          <w:szCs w:val="24"/>
        </w:rPr>
        <w:t>篇</w:t>
      </w:r>
      <w:r>
        <w:rPr>
          <w:rFonts w:hint="eastAsia" w:ascii="宋体" w:hAnsi="宋体" w:cs="宋体"/>
          <w:sz w:val="24"/>
          <w:szCs w:val="24"/>
        </w:rPr>
        <w:t xml:space="preserve"> </w:t>
      </w:r>
      <w:r>
        <w:rPr>
          <w:rFonts w:hint="eastAsia" w:ascii="宋体" w:hAnsi="宋体" w:cs="宋体"/>
          <w:sz w:val="24"/>
          <w:szCs w:val="24"/>
          <w:lang w:eastAsia="zh-CN"/>
        </w:rPr>
        <w:t>项目服务需求</w:t>
      </w:r>
      <w:r>
        <w:rPr>
          <w:rFonts w:ascii="宋体" w:hAnsi="宋体" w:cs="宋体"/>
          <w:sz w:val="24"/>
          <w:szCs w:val="24"/>
        </w:rPr>
        <w:t>中</w:t>
      </w:r>
      <w:r>
        <w:rPr>
          <w:rFonts w:hint="eastAsia" w:ascii="宋体" w:hAnsi="宋体" w:cs="宋体"/>
          <w:sz w:val="24"/>
          <w:szCs w:val="24"/>
        </w:rPr>
        <w:t>本分包</w:t>
      </w:r>
      <w:r>
        <w:rPr>
          <w:rFonts w:ascii="宋体" w:hAnsi="宋体" w:cs="宋体"/>
          <w:sz w:val="24"/>
          <w:szCs w:val="24"/>
        </w:rPr>
        <w:t>所有要求，按照文件要求提供的服务，无偏离、无差异。</w:t>
      </w:r>
    </w:p>
    <w:p w14:paraId="350548F7">
      <w:pPr>
        <w:pStyle w:val="17"/>
        <w:pageBreakBefore w:val="0"/>
        <w:kinsoku/>
        <w:wordWrap/>
        <w:overflowPunct/>
        <w:topLinePunct w:val="0"/>
        <w:autoSpaceDN/>
        <w:bidi w:val="0"/>
        <w:adjustRightInd/>
        <w:spacing w:line="400" w:lineRule="exact"/>
        <w:ind w:firstLine="480" w:firstLineChars="200"/>
        <w:rPr>
          <w:rFonts w:ascii="宋体" w:hAnsi="宋体" w:cs="宋体"/>
          <w:sz w:val="24"/>
          <w:szCs w:val="24"/>
        </w:rPr>
      </w:pPr>
    </w:p>
    <w:p w14:paraId="2A4AE763">
      <w:pPr>
        <w:pStyle w:val="17"/>
        <w:pageBreakBefore w:val="0"/>
        <w:kinsoku/>
        <w:wordWrap/>
        <w:overflowPunct/>
        <w:topLinePunct w:val="0"/>
        <w:autoSpaceDN/>
        <w:bidi w:val="0"/>
        <w:adjustRightInd/>
        <w:spacing w:line="400" w:lineRule="exact"/>
        <w:ind w:firstLine="480" w:firstLineChars="200"/>
        <w:rPr>
          <w:rFonts w:ascii="宋体" w:hAnsi="宋体" w:cs="宋体"/>
          <w:sz w:val="24"/>
          <w:szCs w:val="24"/>
        </w:rPr>
      </w:pPr>
    </w:p>
    <w:p w14:paraId="24E24525">
      <w:pPr>
        <w:pageBreakBefore w:val="0"/>
        <w:kinsoku/>
        <w:wordWrap/>
        <w:overflowPunct/>
        <w:topLinePunct w:val="0"/>
        <w:autoSpaceDN/>
        <w:bidi w:val="0"/>
        <w:adjustRightInd/>
        <w:spacing w:line="400" w:lineRule="exact"/>
        <w:ind w:firstLine="600" w:firstLineChars="250"/>
        <w:rPr>
          <w:rFonts w:ascii="宋体" w:hAnsi="宋体" w:cs="宋体"/>
          <w:sz w:val="24"/>
          <w:szCs w:val="24"/>
        </w:rPr>
      </w:pPr>
      <w:r>
        <w:rPr>
          <w:rFonts w:hint="eastAsia" w:ascii="宋体" w:hAnsi="宋体" w:cs="宋体"/>
          <w:sz w:val="24"/>
          <w:szCs w:val="24"/>
        </w:rPr>
        <w:t xml:space="preserve">供应商：                         </w:t>
      </w:r>
      <w:r>
        <w:rPr>
          <w:rFonts w:hint="eastAsia" w:ascii="宋体" w:hAnsi="宋体" w:cs="宋体"/>
          <w:sz w:val="24"/>
          <w:szCs w:val="22"/>
        </w:rPr>
        <w:t>法定代表人（或其授权代表）或自然人</w:t>
      </w:r>
      <w:r>
        <w:rPr>
          <w:rFonts w:hint="eastAsia" w:ascii="宋体" w:hAnsi="宋体" w:cs="宋体"/>
          <w:sz w:val="24"/>
          <w:szCs w:val="24"/>
        </w:rPr>
        <w:t>：</w:t>
      </w:r>
    </w:p>
    <w:p w14:paraId="63CFFC6D">
      <w:pPr>
        <w:pageBreakBefore w:val="0"/>
        <w:kinsoku/>
        <w:wordWrap/>
        <w:overflowPunct/>
        <w:topLinePunct w:val="0"/>
        <w:autoSpaceDN/>
        <w:bidi w:val="0"/>
        <w:adjustRightInd/>
        <w:spacing w:line="400" w:lineRule="exact"/>
        <w:rPr>
          <w:rFonts w:ascii="宋体" w:hAnsi="宋体" w:cs="宋体"/>
          <w:sz w:val="24"/>
          <w:szCs w:val="24"/>
        </w:rPr>
      </w:pPr>
    </w:p>
    <w:p w14:paraId="494860F6">
      <w:pPr>
        <w:pageBreakBefore w:val="0"/>
        <w:kinsoku/>
        <w:wordWrap/>
        <w:overflowPunct/>
        <w:topLinePunct w:val="0"/>
        <w:autoSpaceDN/>
        <w:bidi w:val="0"/>
        <w:adjustRightInd/>
        <w:spacing w:line="400" w:lineRule="exact"/>
        <w:ind w:firstLine="720" w:firstLineChars="300"/>
        <w:rPr>
          <w:rFonts w:ascii="宋体" w:hAnsi="宋体" w:cs="宋体"/>
          <w:sz w:val="24"/>
          <w:szCs w:val="24"/>
        </w:rPr>
      </w:pPr>
      <w:r>
        <w:rPr>
          <w:rFonts w:hint="eastAsia" w:ascii="宋体" w:hAnsi="宋体" w:cs="宋体"/>
          <w:sz w:val="24"/>
          <w:szCs w:val="24"/>
        </w:rPr>
        <w:t>（供应商公章）                               （</w:t>
      </w:r>
      <w:r>
        <w:rPr>
          <w:rFonts w:hint="eastAsia" w:ascii="宋体" w:hAnsi="宋体" w:cs="宋体"/>
          <w:sz w:val="24"/>
          <w:szCs w:val="22"/>
        </w:rPr>
        <w:t>签署</w:t>
      </w:r>
      <w:r>
        <w:rPr>
          <w:rFonts w:hint="eastAsia" w:ascii="宋体" w:hAnsi="宋体" w:cs="宋体"/>
          <w:sz w:val="24"/>
          <w:szCs w:val="24"/>
        </w:rPr>
        <w:t>或盖章）</w:t>
      </w:r>
    </w:p>
    <w:p w14:paraId="61FD30E7">
      <w:pPr>
        <w:pageBreakBefore w:val="0"/>
        <w:tabs>
          <w:tab w:val="left" w:pos="6300"/>
        </w:tabs>
        <w:kinsoku/>
        <w:wordWrap/>
        <w:overflowPunct/>
        <w:topLinePunct w:val="0"/>
        <w:autoSpaceDN/>
        <w:bidi w:val="0"/>
        <w:adjustRightInd/>
        <w:snapToGrid w:val="0"/>
        <w:spacing w:line="400" w:lineRule="exact"/>
        <w:ind w:firstLine="570"/>
        <w:rPr>
          <w:rFonts w:ascii="宋体" w:hAnsi="宋体" w:cs="宋体"/>
          <w:sz w:val="24"/>
          <w:szCs w:val="24"/>
        </w:rPr>
      </w:pPr>
      <w:r>
        <w:rPr>
          <w:rFonts w:hint="eastAsia" w:ascii="宋体" w:hAnsi="宋体" w:cs="宋体"/>
          <w:sz w:val="24"/>
          <w:szCs w:val="24"/>
        </w:rPr>
        <w:t xml:space="preserve">                                            年     月     日</w:t>
      </w:r>
    </w:p>
    <w:p w14:paraId="3BED5A3B">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r>
        <w:rPr>
          <w:rFonts w:hint="eastAsia" w:ascii="宋体" w:hAnsi="宋体" w:cs="宋体"/>
          <w:sz w:val="22"/>
          <w:szCs w:val="22"/>
        </w:rPr>
        <w:br w:type="page"/>
      </w:r>
      <w:bookmarkStart w:id="260" w:name="_Toc487204799"/>
      <w:bookmarkStart w:id="261" w:name="_Toc486608279"/>
      <w:bookmarkStart w:id="262" w:name="_Toc486585242"/>
      <w:bookmarkStart w:id="263" w:name="_Toc17029"/>
      <w:bookmarkStart w:id="264" w:name="_Toc15680"/>
      <w:bookmarkStart w:id="265" w:name="_Toc4826"/>
      <w:r>
        <w:rPr>
          <w:rFonts w:hint="eastAsia" w:ascii="宋体" w:hAnsi="宋体" w:cs="宋体"/>
          <w:sz w:val="24"/>
          <w:szCs w:val="24"/>
        </w:rPr>
        <w:t>三、商务部分</w:t>
      </w:r>
      <w:bookmarkEnd w:id="260"/>
      <w:bookmarkEnd w:id="261"/>
      <w:bookmarkEnd w:id="262"/>
      <w:bookmarkEnd w:id="263"/>
      <w:bookmarkEnd w:id="264"/>
      <w:bookmarkEnd w:id="265"/>
    </w:p>
    <w:p w14:paraId="27BDE07F">
      <w:pPr>
        <w:pageBreakBefore w:val="0"/>
        <w:kinsoku/>
        <w:wordWrap/>
        <w:overflowPunct/>
        <w:topLinePunct w:val="0"/>
        <w:autoSpaceDN/>
        <w:bidi w:val="0"/>
        <w:adjustRightInd/>
        <w:spacing w:line="400" w:lineRule="exact"/>
        <w:rPr>
          <w:rFonts w:hint="eastAsia" w:ascii="宋体" w:hAnsi="宋体" w:cs="宋体"/>
          <w:sz w:val="24"/>
          <w:szCs w:val="24"/>
        </w:rPr>
      </w:pPr>
      <w:r>
        <w:rPr>
          <w:rFonts w:hint="eastAsia" w:ascii="宋体" w:hAnsi="宋体" w:cs="宋体"/>
          <w:sz w:val="24"/>
          <w:szCs w:val="24"/>
        </w:rPr>
        <w:t>（一）商务条款响应</w:t>
      </w:r>
    </w:p>
    <w:p w14:paraId="2FB0909C">
      <w:pPr>
        <w:pageBreakBefore w:val="0"/>
        <w:kinsoku/>
        <w:wordWrap/>
        <w:overflowPunct/>
        <w:topLinePunct w:val="0"/>
        <w:autoSpaceDN/>
        <w:bidi w:val="0"/>
        <w:adjustRightInd/>
        <w:spacing w:line="400" w:lineRule="exact"/>
        <w:ind w:firstLine="480" w:firstLineChars="200"/>
        <w:rPr>
          <w:rFonts w:ascii="宋体" w:hAnsi="宋体" w:cs="宋体"/>
          <w:sz w:val="24"/>
          <w:szCs w:val="22"/>
        </w:rPr>
      </w:pPr>
      <w:r>
        <w:rPr>
          <w:rFonts w:hint="eastAsia" w:ascii="宋体" w:hAnsi="宋体" w:cs="宋体"/>
          <w:sz w:val="24"/>
          <w:szCs w:val="22"/>
        </w:rPr>
        <w:t xml:space="preserve">采购执行编号：                               </w:t>
      </w:r>
    </w:p>
    <w:p w14:paraId="6296530E">
      <w:pPr>
        <w:pageBreakBefore w:val="0"/>
        <w:kinsoku/>
        <w:wordWrap/>
        <w:overflowPunct/>
        <w:topLinePunct w:val="0"/>
        <w:autoSpaceDN/>
        <w:bidi w:val="0"/>
        <w:adjustRightInd/>
        <w:spacing w:line="400" w:lineRule="exact"/>
        <w:ind w:firstLine="480" w:firstLineChars="200"/>
        <w:rPr>
          <w:rFonts w:ascii="宋体" w:hAnsi="宋体" w:cs="宋体"/>
          <w:sz w:val="24"/>
          <w:szCs w:val="22"/>
        </w:rPr>
      </w:pPr>
      <w:r>
        <w:rPr>
          <w:rFonts w:hint="eastAsia" w:ascii="宋体" w:hAnsi="宋体" w:cs="宋体"/>
          <w:sz w:val="24"/>
          <w:szCs w:val="22"/>
        </w:rPr>
        <w:t>项目名称：</w:t>
      </w:r>
    </w:p>
    <w:p w14:paraId="644AE62A">
      <w:pPr>
        <w:pStyle w:val="17"/>
        <w:pageBreakBefore w:val="0"/>
        <w:kinsoku/>
        <w:wordWrap/>
        <w:overflowPunct/>
        <w:topLinePunct w:val="0"/>
        <w:autoSpaceDN/>
        <w:bidi w:val="0"/>
        <w:adjustRightInd/>
        <w:spacing w:line="400" w:lineRule="exact"/>
      </w:pPr>
    </w:p>
    <w:p w14:paraId="12DB4F54">
      <w:pPr>
        <w:pStyle w:val="17"/>
        <w:pageBreakBefore w:val="0"/>
        <w:kinsoku/>
        <w:wordWrap/>
        <w:overflowPunct/>
        <w:topLinePunct w:val="0"/>
        <w:autoSpaceDN/>
        <w:bidi w:val="0"/>
        <w:adjustRightInd/>
        <w:spacing w:line="400" w:lineRule="exact"/>
        <w:ind w:firstLine="480" w:firstLineChars="200"/>
        <w:rPr>
          <w:rFonts w:ascii="宋体" w:hAnsi="宋体" w:cs="宋体"/>
          <w:sz w:val="24"/>
          <w:szCs w:val="24"/>
        </w:rPr>
      </w:pPr>
      <w:r>
        <w:rPr>
          <w:rFonts w:ascii="宋体" w:hAnsi="宋体" w:cs="宋体"/>
          <w:sz w:val="24"/>
          <w:szCs w:val="24"/>
        </w:rPr>
        <w:t>本公司完全响应竞采文件第</w:t>
      </w:r>
      <w:r>
        <w:rPr>
          <w:rFonts w:hint="eastAsia" w:ascii="宋体" w:hAnsi="宋体" w:cs="宋体"/>
          <w:sz w:val="24"/>
          <w:szCs w:val="24"/>
        </w:rPr>
        <w:t>四</w:t>
      </w:r>
      <w:r>
        <w:rPr>
          <w:rFonts w:ascii="宋体" w:hAnsi="宋体" w:cs="宋体"/>
          <w:sz w:val="24"/>
          <w:szCs w:val="24"/>
        </w:rPr>
        <w:t>篇</w:t>
      </w:r>
      <w:r>
        <w:rPr>
          <w:rFonts w:hint="eastAsia" w:ascii="宋体" w:hAnsi="宋体" w:cs="宋体"/>
          <w:sz w:val="24"/>
          <w:szCs w:val="24"/>
        </w:rPr>
        <w:t xml:space="preserve"> 商务</w:t>
      </w:r>
      <w:r>
        <w:rPr>
          <w:rFonts w:ascii="宋体" w:hAnsi="宋体" w:cs="宋体"/>
          <w:sz w:val="24"/>
          <w:szCs w:val="24"/>
        </w:rPr>
        <w:t>需求中</w:t>
      </w:r>
      <w:r>
        <w:rPr>
          <w:rFonts w:hint="eastAsia" w:ascii="宋体" w:hAnsi="宋体" w:cs="宋体"/>
          <w:sz w:val="24"/>
          <w:szCs w:val="24"/>
        </w:rPr>
        <w:t>本分包</w:t>
      </w:r>
      <w:r>
        <w:rPr>
          <w:rFonts w:ascii="宋体" w:hAnsi="宋体" w:cs="宋体"/>
          <w:sz w:val="24"/>
          <w:szCs w:val="24"/>
        </w:rPr>
        <w:t>所有要求，按照文件要求提供的服务，无偏离、无差异。</w:t>
      </w:r>
    </w:p>
    <w:p w14:paraId="76C64CEA">
      <w:pPr>
        <w:pStyle w:val="17"/>
        <w:pageBreakBefore w:val="0"/>
        <w:kinsoku/>
        <w:wordWrap/>
        <w:overflowPunct/>
        <w:topLinePunct w:val="0"/>
        <w:autoSpaceDN/>
        <w:bidi w:val="0"/>
        <w:adjustRightInd/>
        <w:spacing w:line="400" w:lineRule="exact"/>
        <w:ind w:firstLine="480" w:firstLineChars="200"/>
        <w:rPr>
          <w:rFonts w:ascii="宋体" w:hAnsi="宋体" w:cs="宋体"/>
          <w:sz w:val="24"/>
          <w:szCs w:val="24"/>
        </w:rPr>
      </w:pPr>
    </w:p>
    <w:p w14:paraId="1FA2168F">
      <w:pPr>
        <w:pStyle w:val="17"/>
        <w:pageBreakBefore w:val="0"/>
        <w:kinsoku/>
        <w:wordWrap/>
        <w:overflowPunct/>
        <w:topLinePunct w:val="0"/>
        <w:autoSpaceDN/>
        <w:bidi w:val="0"/>
        <w:adjustRightInd/>
        <w:spacing w:line="400" w:lineRule="exact"/>
        <w:ind w:firstLine="480" w:firstLineChars="200"/>
        <w:rPr>
          <w:rFonts w:ascii="宋体" w:hAnsi="宋体" w:cs="宋体"/>
          <w:sz w:val="24"/>
          <w:szCs w:val="24"/>
        </w:rPr>
      </w:pPr>
    </w:p>
    <w:p w14:paraId="163AF5D8">
      <w:pPr>
        <w:pageBreakBefore w:val="0"/>
        <w:kinsoku/>
        <w:wordWrap/>
        <w:overflowPunct/>
        <w:topLinePunct w:val="0"/>
        <w:autoSpaceDN/>
        <w:bidi w:val="0"/>
        <w:adjustRightInd/>
        <w:spacing w:line="400" w:lineRule="exact"/>
        <w:ind w:firstLine="600" w:firstLineChars="250"/>
        <w:rPr>
          <w:rFonts w:ascii="宋体" w:hAnsi="宋体" w:cs="宋体"/>
          <w:sz w:val="24"/>
          <w:szCs w:val="24"/>
        </w:rPr>
      </w:pPr>
      <w:r>
        <w:rPr>
          <w:rFonts w:hint="eastAsia" w:ascii="宋体" w:hAnsi="宋体" w:cs="宋体"/>
          <w:sz w:val="24"/>
          <w:szCs w:val="24"/>
        </w:rPr>
        <w:t xml:space="preserve">供应商：                         </w:t>
      </w:r>
      <w:r>
        <w:rPr>
          <w:rFonts w:hint="eastAsia" w:ascii="宋体" w:hAnsi="宋体" w:cs="宋体"/>
          <w:sz w:val="24"/>
          <w:szCs w:val="22"/>
        </w:rPr>
        <w:t>法定代表人（或其授权代表）或自然人</w:t>
      </w:r>
      <w:r>
        <w:rPr>
          <w:rFonts w:hint="eastAsia" w:ascii="宋体" w:hAnsi="宋体" w:cs="宋体"/>
          <w:sz w:val="24"/>
          <w:szCs w:val="24"/>
        </w:rPr>
        <w:t>：</w:t>
      </w:r>
    </w:p>
    <w:p w14:paraId="4F4530D3">
      <w:pPr>
        <w:pageBreakBefore w:val="0"/>
        <w:kinsoku/>
        <w:wordWrap/>
        <w:overflowPunct/>
        <w:topLinePunct w:val="0"/>
        <w:autoSpaceDN/>
        <w:bidi w:val="0"/>
        <w:adjustRightInd/>
        <w:spacing w:line="400" w:lineRule="exact"/>
        <w:rPr>
          <w:rFonts w:ascii="宋体" w:hAnsi="宋体" w:cs="宋体"/>
          <w:sz w:val="24"/>
          <w:szCs w:val="24"/>
        </w:rPr>
      </w:pPr>
    </w:p>
    <w:p w14:paraId="75C928D0">
      <w:pPr>
        <w:pageBreakBefore w:val="0"/>
        <w:kinsoku/>
        <w:wordWrap/>
        <w:overflowPunct/>
        <w:topLinePunct w:val="0"/>
        <w:autoSpaceDN/>
        <w:bidi w:val="0"/>
        <w:adjustRightInd/>
        <w:spacing w:line="400" w:lineRule="exact"/>
        <w:ind w:firstLine="720" w:firstLineChars="300"/>
        <w:rPr>
          <w:rFonts w:ascii="宋体" w:hAnsi="宋体" w:cs="宋体"/>
          <w:sz w:val="24"/>
          <w:szCs w:val="24"/>
        </w:rPr>
      </w:pPr>
      <w:r>
        <w:rPr>
          <w:rFonts w:hint="eastAsia" w:ascii="宋体" w:hAnsi="宋体" w:cs="宋体"/>
          <w:sz w:val="24"/>
          <w:szCs w:val="24"/>
        </w:rPr>
        <w:t>（供应商公章）                               （</w:t>
      </w:r>
      <w:r>
        <w:rPr>
          <w:rFonts w:hint="eastAsia" w:ascii="宋体" w:hAnsi="宋体" w:cs="宋体"/>
          <w:sz w:val="24"/>
          <w:szCs w:val="22"/>
        </w:rPr>
        <w:t>签署</w:t>
      </w:r>
      <w:r>
        <w:rPr>
          <w:rFonts w:hint="eastAsia" w:ascii="宋体" w:hAnsi="宋体" w:cs="宋体"/>
          <w:sz w:val="24"/>
          <w:szCs w:val="24"/>
        </w:rPr>
        <w:t>或盖章）</w:t>
      </w:r>
    </w:p>
    <w:p w14:paraId="1501D6AA">
      <w:pPr>
        <w:pageBreakBefore w:val="0"/>
        <w:tabs>
          <w:tab w:val="left" w:pos="6300"/>
        </w:tabs>
        <w:kinsoku/>
        <w:wordWrap/>
        <w:overflowPunct/>
        <w:topLinePunct w:val="0"/>
        <w:autoSpaceDN/>
        <w:bidi w:val="0"/>
        <w:adjustRightInd/>
        <w:snapToGrid w:val="0"/>
        <w:spacing w:line="400" w:lineRule="exact"/>
        <w:ind w:firstLine="570"/>
        <w:rPr>
          <w:rFonts w:ascii="宋体" w:hAnsi="宋体" w:cs="宋体"/>
          <w:sz w:val="24"/>
          <w:szCs w:val="24"/>
        </w:rPr>
      </w:pPr>
      <w:r>
        <w:rPr>
          <w:rFonts w:hint="eastAsia" w:ascii="宋体" w:hAnsi="宋体" w:cs="宋体"/>
          <w:sz w:val="24"/>
          <w:szCs w:val="24"/>
        </w:rPr>
        <w:t xml:space="preserve">                                            年     月     日</w:t>
      </w:r>
    </w:p>
    <w:p w14:paraId="00C686B4">
      <w:pPr>
        <w:pageBreakBefore w:val="0"/>
        <w:kinsoku/>
        <w:wordWrap/>
        <w:overflowPunct/>
        <w:topLinePunct w:val="0"/>
        <w:autoSpaceDN/>
        <w:bidi w:val="0"/>
        <w:adjustRightInd/>
        <w:spacing w:line="400" w:lineRule="exact"/>
        <w:rPr>
          <w:rFonts w:hint="eastAsia" w:ascii="宋体" w:hAnsi="宋体" w:cs="宋体"/>
          <w:b/>
          <w:sz w:val="24"/>
          <w:szCs w:val="24"/>
        </w:rPr>
      </w:pPr>
    </w:p>
    <w:p w14:paraId="4D4160A2">
      <w:pPr>
        <w:pageBreakBefore w:val="0"/>
        <w:kinsoku/>
        <w:wordWrap/>
        <w:overflowPunct/>
        <w:topLinePunct w:val="0"/>
        <w:autoSpaceDN/>
        <w:bidi w:val="0"/>
        <w:adjustRightInd/>
        <w:spacing w:line="400" w:lineRule="exact"/>
        <w:rPr>
          <w:rFonts w:hint="eastAsia" w:ascii="宋体" w:hAnsi="宋体" w:cs="宋体"/>
          <w:b/>
          <w:sz w:val="24"/>
          <w:szCs w:val="24"/>
        </w:rPr>
      </w:pPr>
    </w:p>
    <w:p w14:paraId="593C0889">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（二）其它优惠承诺</w:t>
      </w:r>
    </w:p>
    <w:p w14:paraId="6FF19D08">
      <w:pPr>
        <w:pStyle w:val="4"/>
        <w:pageBreakBefore w:val="0"/>
        <w:kinsoku/>
        <w:wordWrap/>
        <w:overflowPunct/>
        <w:topLinePunct w:val="0"/>
        <w:autoSpaceDN/>
        <w:bidi w:val="0"/>
        <w:adjustRightInd/>
        <w:spacing w:before="0" w:after="0" w:line="400" w:lineRule="exact"/>
        <w:rPr>
          <w:rFonts w:hint="eastAsia" w:ascii="宋体" w:hAnsi="宋体" w:cs="宋体"/>
          <w:sz w:val="24"/>
          <w:szCs w:val="24"/>
        </w:rPr>
      </w:pPr>
      <w:r>
        <w:rPr>
          <w:rFonts w:hint="eastAsia" w:ascii="宋体" w:hAnsi="宋体" w:cs="宋体"/>
          <w:b w:val="0"/>
          <w:sz w:val="24"/>
          <w:szCs w:val="24"/>
        </w:rPr>
        <w:br w:type="page"/>
      </w:r>
      <w:bookmarkStart w:id="266" w:name="_Toc8290"/>
      <w:bookmarkStart w:id="267" w:name="_Toc23557"/>
      <w:bookmarkStart w:id="268" w:name="_Toc486608280"/>
      <w:bookmarkStart w:id="269" w:name="_Toc487204800"/>
      <w:bookmarkStart w:id="270" w:name="_Toc21174"/>
      <w:bookmarkStart w:id="271" w:name="_Toc3271"/>
      <w:bookmarkStart w:id="272" w:name="_Toc486585243"/>
      <w:r>
        <w:rPr>
          <w:rFonts w:hint="eastAsia" w:ascii="宋体" w:hAnsi="宋体" w:cs="宋体"/>
          <w:sz w:val="24"/>
          <w:szCs w:val="24"/>
        </w:rPr>
        <w:t>四、资格条件及其他</w:t>
      </w:r>
      <w:bookmarkEnd w:id="266"/>
      <w:bookmarkEnd w:id="267"/>
      <w:bookmarkEnd w:id="268"/>
      <w:bookmarkEnd w:id="269"/>
      <w:bookmarkEnd w:id="270"/>
      <w:bookmarkEnd w:id="271"/>
      <w:bookmarkEnd w:id="272"/>
    </w:p>
    <w:p w14:paraId="1E0C156C">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54EA3617">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02DD9E9F">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304D782D">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65255ECE">
      <w:pPr>
        <w:pageBreakBefore w:val="0"/>
        <w:widowControl/>
        <w:kinsoku/>
        <w:wordWrap/>
        <w:overflowPunct/>
        <w:topLinePunct w:val="0"/>
        <w:autoSpaceDN/>
        <w:bidi w:val="0"/>
        <w:adjustRightInd/>
        <w:spacing w:line="400" w:lineRule="exact"/>
        <w:ind w:firstLine="480" w:firstLineChars="200"/>
        <w:jc w:val="left"/>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（二）法定代表人身份证明书（格式）</w:t>
      </w:r>
    </w:p>
    <w:p w14:paraId="1C5A7D30">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0917ED5A">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项目名称：</w:t>
      </w:r>
    </w:p>
    <w:p w14:paraId="15F850FC">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36F5FB3D">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（采购代理机构名称）</w:t>
      </w:r>
      <w:r>
        <w:rPr>
          <w:rFonts w:hint="eastAsia" w:ascii="宋体" w:hAnsi="宋体" w:cs="宋体"/>
          <w:sz w:val="24"/>
          <w:szCs w:val="24"/>
        </w:rPr>
        <w:t>：</w:t>
      </w:r>
    </w:p>
    <w:p w14:paraId="36A8AA91">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u w:val="single"/>
        </w:rPr>
        <w:t>（法定代表人姓名）     （性别）</w:t>
      </w:r>
      <w:r>
        <w:rPr>
          <w:rFonts w:hint="eastAsia" w:ascii="宋体" w:hAnsi="宋体" w:cs="宋体"/>
          <w:sz w:val="24"/>
          <w:szCs w:val="24"/>
        </w:rPr>
        <w:t>在</w:t>
      </w:r>
      <w:r>
        <w:rPr>
          <w:rFonts w:hint="eastAsia" w:ascii="宋体" w:hAnsi="宋体" w:cs="宋体"/>
          <w:sz w:val="24"/>
          <w:szCs w:val="24"/>
          <w:u w:val="single"/>
        </w:rPr>
        <w:t>（供应商名称）</w:t>
      </w:r>
      <w:r>
        <w:rPr>
          <w:rFonts w:hint="eastAsia" w:ascii="宋体" w:hAnsi="宋体" w:cs="宋体"/>
          <w:sz w:val="24"/>
          <w:szCs w:val="24"/>
        </w:rPr>
        <w:t>任</w:t>
      </w:r>
      <w:r>
        <w:rPr>
          <w:rFonts w:hint="eastAsia" w:ascii="宋体" w:hAnsi="宋体" w:cs="宋体"/>
          <w:sz w:val="24"/>
          <w:szCs w:val="24"/>
          <w:u w:val="single"/>
        </w:rPr>
        <w:t>（职务名称）</w:t>
      </w:r>
      <w:r>
        <w:rPr>
          <w:rFonts w:hint="eastAsia" w:ascii="宋体" w:hAnsi="宋体" w:cs="宋体"/>
          <w:sz w:val="24"/>
          <w:szCs w:val="24"/>
        </w:rPr>
        <w:t>职务，是</w:t>
      </w:r>
      <w:r>
        <w:rPr>
          <w:rFonts w:hint="eastAsia" w:ascii="宋体" w:hAnsi="宋体" w:cs="宋体"/>
          <w:sz w:val="24"/>
          <w:szCs w:val="24"/>
          <w:u w:val="single"/>
        </w:rPr>
        <w:t>（供应商名称）</w:t>
      </w:r>
      <w:r>
        <w:rPr>
          <w:rFonts w:hint="eastAsia" w:ascii="宋体" w:hAnsi="宋体" w:cs="宋体"/>
          <w:sz w:val="24"/>
          <w:szCs w:val="24"/>
        </w:rPr>
        <w:t>的法定代表人。</w:t>
      </w:r>
    </w:p>
    <w:p w14:paraId="331FF62B">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2CAF6325">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特此证明。</w:t>
      </w:r>
    </w:p>
    <w:p w14:paraId="5F64C10F">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2128705E">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721B474E">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0C07ED34">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 xml:space="preserve">                                             （供应商公章）</w:t>
      </w:r>
    </w:p>
    <w:p w14:paraId="5C93EBEA">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5972FD26">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 xml:space="preserve">                                             年   月   日</w:t>
      </w:r>
    </w:p>
    <w:p w14:paraId="7126C4D6">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6F0E49AC">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（附：法定代表人身份证正反面复印件）</w:t>
      </w:r>
    </w:p>
    <w:p w14:paraId="49435EC1">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46ED9459">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514891FA">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339217D8">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57A367DB">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6E947096">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0154AB1A">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（三）法定代表人授权委托书（格式）</w:t>
      </w:r>
    </w:p>
    <w:p w14:paraId="6224B81E">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347A9580">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项目名称：</w:t>
      </w:r>
    </w:p>
    <w:p w14:paraId="13B91216">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2CA920EC">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（采购代理机构名称）</w:t>
      </w:r>
      <w:r>
        <w:rPr>
          <w:rFonts w:hint="eastAsia" w:ascii="宋体" w:hAnsi="宋体" w:cs="宋体"/>
          <w:sz w:val="24"/>
          <w:szCs w:val="24"/>
        </w:rPr>
        <w:t>：</w:t>
      </w:r>
    </w:p>
    <w:p w14:paraId="3D3155C7">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u w:val="single"/>
        </w:rPr>
        <w:t>（供应商法定代表人名称）</w:t>
      </w:r>
      <w:r>
        <w:rPr>
          <w:rFonts w:hint="eastAsia" w:ascii="宋体" w:hAnsi="宋体" w:cs="宋体"/>
          <w:sz w:val="24"/>
          <w:szCs w:val="24"/>
        </w:rPr>
        <w:t>是</w:t>
      </w:r>
      <w:r>
        <w:rPr>
          <w:rFonts w:hint="eastAsia" w:ascii="宋体" w:hAnsi="宋体" w:cs="宋体"/>
          <w:sz w:val="24"/>
          <w:szCs w:val="24"/>
          <w:u w:val="single"/>
        </w:rPr>
        <w:t>（供应商名称）</w:t>
      </w:r>
      <w:r>
        <w:rPr>
          <w:rFonts w:hint="eastAsia" w:ascii="宋体" w:hAnsi="宋体" w:cs="宋体"/>
          <w:sz w:val="24"/>
          <w:szCs w:val="24"/>
        </w:rPr>
        <w:t>的法定代表人，特授权</w:t>
      </w:r>
      <w:r>
        <w:rPr>
          <w:rFonts w:hint="eastAsia" w:ascii="宋体" w:hAnsi="宋体" w:cs="宋体"/>
          <w:sz w:val="24"/>
          <w:szCs w:val="24"/>
          <w:u w:val="single"/>
        </w:rPr>
        <w:t>（被授权人姓名及身份证代码）</w:t>
      </w:r>
      <w:r>
        <w:rPr>
          <w:rFonts w:hint="eastAsia" w:ascii="宋体" w:hAnsi="宋体" w:cs="宋体"/>
          <w:sz w:val="24"/>
          <w:szCs w:val="24"/>
        </w:rPr>
        <w:t>代表我单位全权办理上述项目的竞采、签约等具体工作，并签署全部有关文件、协议及合同。</w:t>
      </w:r>
    </w:p>
    <w:p w14:paraId="287131F5">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我单位对被授权人的签字负全部责任。</w:t>
      </w:r>
    </w:p>
    <w:p w14:paraId="3BF7BB5F">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2E62E79C">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544EEE37">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2CEEDF65">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被授权人：                                   供应商法定代表人：</w:t>
      </w:r>
    </w:p>
    <w:p w14:paraId="1402209B">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（签字或盖章）                              （签字或盖章）</w:t>
      </w:r>
    </w:p>
    <w:p w14:paraId="6A719780">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4DFB080F">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38ED8FC4">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r>
        <w:rPr>
          <w:rFonts w:hint="eastAsia" w:ascii="宋体" w:hAnsi="宋体" w:cs="宋体"/>
          <w:sz w:val="24"/>
          <w:szCs w:val="24"/>
        </w:rPr>
        <w:t>（附：被授权人身份证正反面复印件）</w:t>
      </w:r>
    </w:p>
    <w:p w14:paraId="13BE1F4A">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11920718">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21BBFA1A">
      <w:pPr>
        <w:pageBreakBefore w:val="0"/>
        <w:tabs>
          <w:tab w:val="left" w:pos="6300"/>
        </w:tabs>
        <w:kinsoku/>
        <w:wordWrap/>
        <w:overflowPunct/>
        <w:topLinePunct w:val="0"/>
        <w:autoSpaceDN/>
        <w:bidi w:val="0"/>
        <w:adjustRightInd/>
        <w:snapToGrid w:val="0"/>
        <w:spacing w:line="400" w:lineRule="exact"/>
        <w:ind w:firstLine="570"/>
        <w:rPr>
          <w:rFonts w:hint="eastAsia" w:ascii="宋体" w:hAnsi="宋体" w:cs="宋体"/>
          <w:sz w:val="24"/>
          <w:szCs w:val="24"/>
        </w:rPr>
      </w:pPr>
    </w:p>
    <w:p w14:paraId="04780B89">
      <w:pPr>
        <w:pageBreakBefore w:val="0"/>
        <w:tabs>
          <w:tab w:val="left" w:pos="6300"/>
        </w:tabs>
        <w:kinsoku/>
        <w:wordWrap/>
        <w:overflowPunct/>
        <w:topLinePunct w:val="0"/>
        <w:autoSpaceDN/>
        <w:bidi w:val="0"/>
        <w:adjustRightInd/>
        <w:snapToGrid w:val="0"/>
        <w:spacing w:line="400" w:lineRule="exact"/>
        <w:ind w:right="480" w:firstLine="570"/>
        <w:jc w:val="right"/>
        <w:rPr>
          <w:rFonts w:hint="eastAsia" w:ascii="宋体" w:hAnsi="宋体" w:cs="宋体"/>
          <w:sz w:val="24"/>
          <w:szCs w:val="24"/>
        </w:rPr>
      </w:pPr>
      <w:r>
        <w:rPr>
          <w:rFonts w:hint="eastAsia" w:ascii="宋体" w:hAnsi="宋体" w:cs="宋体"/>
          <w:sz w:val="24"/>
          <w:szCs w:val="24"/>
        </w:rPr>
        <w:t>（供应商公章）</w:t>
      </w:r>
    </w:p>
    <w:p w14:paraId="6D29FD93">
      <w:pPr>
        <w:pageBreakBefore w:val="0"/>
        <w:tabs>
          <w:tab w:val="left" w:pos="6300"/>
        </w:tabs>
        <w:kinsoku/>
        <w:wordWrap/>
        <w:overflowPunct/>
        <w:topLinePunct w:val="0"/>
        <w:autoSpaceDN/>
        <w:bidi w:val="0"/>
        <w:adjustRightInd/>
        <w:snapToGrid w:val="0"/>
        <w:spacing w:line="400" w:lineRule="exact"/>
        <w:ind w:right="480" w:firstLine="570"/>
        <w:jc w:val="right"/>
        <w:rPr>
          <w:rFonts w:hint="eastAsia" w:ascii="宋体" w:hAnsi="宋体" w:cs="宋体"/>
          <w:sz w:val="24"/>
          <w:szCs w:val="24"/>
        </w:rPr>
      </w:pPr>
      <w:r>
        <w:rPr>
          <w:rFonts w:hint="eastAsia" w:ascii="宋体" w:hAnsi="宋体" w:cs="宋体"/>
          <w:sz w:val="24"/>
          <w:szCs w:val="24"/>
        </w:rPr>
        <w:t>年   月   日</w:t>
      </w:r>
    </w:p>
    <w:p w14:paraId="3540CF61">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328D1C7B">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20E3029D">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3D9E6FAE">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5B85F174">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4B6A234B">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638CA128">
      <w:pPr>
        <w:pageBreakBefore w:val="0"/>
        <w:widowControl/>
        <w:kinsoku/>
        <w:wordWrap/>
        <w:overflowPunct/>
        <w:topLinePunct w:val="0"/>
        <w:autoSpaceDN/>
        <w:bidi w:val="0"/>
        <w:adjustRightInd/>
        <w:spacing w:line="400" w:lineRule="exact"/>
        <w:ind w:firstLine="480" w:firstLineChars="200"/>
        <w:jc w:val="left"/>
        <w:rPr>
          <w:rFonts w:hint="eastAsia" w:ascii="宋体" w:hAnsi="宋体" w:cs="宋体"/>
          <w:sz w:val="24"/>
          <w:szCs w:val="24"/>
        </w:rPr>
      </w:pPr>
    </w:p>
    <w:p w14:paraId="2847799B">
      <w:pPr>
        <w:pageBreakBefore w:val="0"/>
        <w:widowControl/>
        <w:kinsoku/>
        <w:wordWrap/>
        <w:overflowPunct/>
        <w:topLinePunct w:val="0"/>
        <w:autoSpaceDN/>
        <w:bidi w:val="0"/>
        <w:adjustRightInd/>
        <w:spacing w:line="400" w:lineRule="exact"/>
        <w:ind w:firstLine="480" w:firstLineChars="200"/>
        <w:jc w:val="left"/>
        <w:rPr>
          <w:rFonts w:hint="eastAsia" w:ascii="宋体" w:hAnsi="宋体" w:cs="宋体"/>
          <w:sz w:val="24"/>
          <w:szCs w:val="24"/>
        </w:rPr>
      </w:pPr>
    </w:p>
    <w:p w14:paraId="7389EE02">
      <w:pPr>
        <w:pageBreakBefore w:val="0"/>
        <w:widowControl/>
        <w:kinsoku/>
        <w:wordWrap/>
        <w:overflowPunct/>
        <w:topLinePunct w:val="0"/>
        <w:autoSpaceDN/>
        <w:bidi w:val="0"/>
        <w:adjustRightInd/>
        <w:spacing w:line="400" w:lineRule="exact"/>
        <w:ind w:firstLine="480" w:firstLineChars="200"/>
        <w:jc w:val="left"/>
        <w:rPr>
          <w:rFonts w:hint="eastAsia" w:ascii="宋体" w:hAnsi="宋体" w:cs="宋体"/>
          <w:sz w:val="24"/>
          <w:szCs w:val="24"/>
        </w:rPr>
      </w:pPr>
    </w:p>
    <w:p w14:paraId="55CCB547">
      <w:pPr>
        <w:pageBreakBefore w:val="0"/>
        <w:widowControl/>
        <w:kinsoku/>
        <w:wordWrap/>
        <w:overflowPunct/>
        <w:topLinePunct w:val="0"/>
        <w:autoSpaceDN/>
        <w:bidi w:val="0"/>
        <w:adjustRightInd/>
        <w:spacing w:line="400" w:lineRule="exact"/>
        <w:ind w:firstLine="480" w:firstLineChars="200"/>
        <w:jc w:val="left"/>
        <w:rPr>
          <w:rFonts w:hint="eastAsia" w:ascii="宋体" w:hAnsi="宋体" w:cs="宋体"/>
          <w:sz w:val="24"/>
          <w:szCs w:val="24"/>
        </w:rPr>
      </w:pPr>
    </w:p>
    <w:p w14:paraId="60DBB43F">
      <w:pPr>
        <w:pageBreakBefore w:val="0"/>
        <w:widowControl/>
        <w:kinsoku/>
        <w:wordWrap/>
        <w:overflowPunct/>
        <w:topLinePunct w:val="0"/>
        <w:autoSpaceDN/>
        <w:bidi w:val="0"/>
        <w:adjustRightInd/>
        <w:spacing w:line="400" w:lineRule="exact"/>
        <w:ind w:firstLine="480" w:firstLineChars="200"/>
        <w:jc w:val="left"/>
        <w:rPr>
          <w:rFonts w:hint="eastAsia" w:ascii="宋体" w:hAnsi="宋体" w:cs="宋体"/>
          <w:sz w:val="24"/>
          <w:szCs w:val="24"/>
        </w:rPr>
      </w:pPr>
    </w:p>
    <w:p w14:paraId="373F619C">
      <w:pPr>
        <w:pageBreakBefore w:val="0"/>
        <w:widowControl/>
        <w:kinsoku/>
        <w:wordWrap/>
        <w:overflowPunct/>
        <w:topLinePunct w:val="0"/>
        <w:autoSpaceDN/>
        <w:bidi w:val="0"/>
        <w:adjustRightInd/>
        <w:spacing w:line="400" w:lineRule="exact"/>
        <w:ind w:firstLine="480" w:firstLineChars="200"/>
        <w:jc w:val="left"/>
        <w:rPr>
          <w:rFonts w:hint="eastAsia" w:ascii="宋体" w:hAnsi="宋体" w:cs="宋体"/>
          <w:sz w:val="24"/>
          <w:szCs w:val="24"/>
        </w:rPr>
      </w:pPr>
      <w:r>
        <w:rPr>
          <w:rFonts w:hint="eastAsia" w:ascii="宋体" w:hAnsi="宋体" w:cs="宋体"/>
          <w:sz w:val="24"/>
          <w:szCs w:val="24"/>
        </w:rPr>
        <w:t>（四）基本资格条件承诺函</w:t>
      </w:r>
    </w:p>
    <w:p w14:paraId="738EBA2A">
      <w:pPr>
        <w:pageBreakBefore w:val="0"/>
        <w:tabs>
          <w:tab w:val="left" w:pos="6300"/>
        </w:tabs>
        <w:kinsoku/>
        <w:wordWrap/>
        <w:overflowPunct/>
        <w:topLinePunct w:val="0"/>
        <w:autoSpaceDN/>
        <w:bidi w:val="0"/>
        <w:adjustRightInd/>
        <w:snapToGrid w:val="0"/>
        <w:spacing w:line="400" w:lineRule="exact"/>
        <w:ind w:firstLine="570"/>
        <w:jc w:val="center"/>
        <w:rPr>
          <w:rFonts w:hint="eastAsia" w:ascii="宋体" w:hAnsi="宋体" w:cs="宋体"/>
          <w:b/>
          <w:bCs/>
          <w:sz w:val="32"/>
          <w:szCs w:val="32"/>
        </w:rPr>
      </w:pPr>
      <w:r>
        <w:rPr>
          <w:rFonts w:hint="eastAsia" w:ascii="宋体" w:hAnsi="宋体" w:cs="宋体"/>
          <w:b/>
          <w:bCs/>
          <w:sz w:val="32"/>
          <w:szCs w:val="32"/>
        </w:rPr>
        <w:t>基本资格条件承诺函</w:t>
      </w:r>
    </w:p>
    <w:p w14:paraId="3949C11C">
      <w:pPr>
        <w:pageBreakBefore w:val="0"/>
        <w:tabs>
          <w:tab w:val="left" w:pos="6300"/>
        </w:tabs>
        <w:kinsoku/>
        <w:wordWrap/>
        <w:overflowPunct/>
        <w:topLinePunct w:val="0"/>
        <w:autoSpaceDN/>
        <w:bidi w:val="0"/>
        <w:adjustRightInd/>
        <w:snapToGrid w:val="0"/>
        <w:spacing w:line="400" w:lineRule="exact"/>
        <w:rPr>
          <w:rFonts w:hint="eastAsia" w:ascii="宋体" w:hAnsi="宋体" w:cs="宋体"/>
          <w:sz w:val="24"/>
          <w:szCs w:val="24"/>
        </w:rPr>
      </w:pPr>
    </w:p>
    <w:p w14:paraId="2B90FC15">
      <w:pPr>
        <w:pageBreakBefore w:val="0"/>
        <w:tabs>
          <w:tab w:val="left" w:pos="6300"/>
        </w:tabs>
        <w:kinsoku/>
        <w:wordWrap/>
        <w:overflowPunct/>
        <w:topLinePunct w:val="0"/>
        <w:autoSpaceDN/>
        <w:bidi w:val="0"/>
        <w:adjustRightInd/>
        <w:snapToGrid w:val="0"/>
        <w:spacing w:line="400" w:lineRule="exact"/>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3BC0472D">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090DB7F7">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38703CD4">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067066FC">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7156AEDE">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我方对以上承诺负全部法律责任。</w:t>
      </w:r>
    </w:p>
    <w:p w14:paraId="7259A011">
      <w:pPr>
        <w:pageBreakBefore w:val="0"/>
        <w:tabs>
          <w:tab w:val="left" w:pos="6300"/>
        </w:tabs>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特此承诺。</w:t>
      </w:r>
    </w:p>
    <w:p w14:paraId="605C29B6">
      <w:pPr>
        <w:pageBreakBefore w:val="0"/>
        <w:tabs>
          <w:tab w:val="left" w:pos="6300"/>
        </w:tabs>
        <w:kinsoku/>
        <w:wordWrap/>
        <w:overflowPunct/>
        <w:topLinePunct w:val="0"/>
        <w:autoSpaceDN/>
        <w:bidi w:val="0"/>
        <w:adjustRightInd/>
        <w:snapToGrid w:val="0"/>
        <w:spacing w:line="400" w:lineRule="exact"/>
        <w:rPr>
          <w:rFonts w:hint="eastAsia" w:ascii="宋体" w:hAnsi="宋体" w:cs="宋体"/>
          <w:sz w:val="24"/>
          <w:szCs w:val="24"/>
        </w:rPr>
      </w:pPr>
    </w:p>
    <w:p w14:paraId="1A7D935C">
      <w:pPr>
        <w:pageBreakBefore w:val="0"/>
        <w:tabs>
          <w:tab w:val="left" w:pos="6300"/>
        </w:tabs>
        <w:kinsoku/>
        <w:wordWrap/>
        <w:overflowPunct/>
        <w:topLinePunct w:val="0"/>
        <w:autoSpaceDN/>
        <w:bidi w:val="0"/>
        <w:adjustRightInd/>
        <w:snapToGrid w:val="0"/>
        <w:spacing w:line="400" w:lineRule="exact"/>
        <w:ind w:right="424" w:firstLine="570"/>
        <w:jc w:val="right"/>
        <w:rPr>
          <w:rFonts w:hint="eastAsia" w:ascii="宋体" w:hAnsi="宋体" w:cs="宋体"/>
          <w:sz w:val="24"/>
          <w:szCs w:val="24"/>
        </w:rPr>
      </w:pPr>
      <w:r>
        <w:rPr>
          <w:rFonts w:hint="eastAsia" w:ascii="宋体" w:hAnsi="宋体" w:cs="宋体"/>
          <w:sz w:val="24"/>
          <w:szCs w:val="24"/>
        </w:rPr>
        <w:t>（供应商公章）</w:t>
      </w:r>
    </w:p>
    <w:p w14:paraId="7A032473">
      <w:pPr>
        <w:pageBreakBefore w:val="0"/>
        <w:widowControl/>
        <w:kinsoku/>
        <w:wordWrap/>
        <w:overflowPunct/>
        <w:topLinePunct w:val="0"/>
        <w:autoSpaceDN/>
        <w:bidi w:val="0"/>
        <w:adjustRightInd/>
        <w:spacing w:line="400" w:lineRule="exact"/>
        <w:ind w:firstLine="7680" w:firstLineChars="3200"/>
        <w:jc w:val="left"/>
        <w:rPr>
          <w:rFonts w:hint="eastAsia" w:ascii="宋体" w:hAnsi="宋体" w:cs="宋体"/>
          <w:sz w:val="24"/>
          <w:szCs w:val="24"/>
        </w:rPr>
      </w:pPr>
      <w:r>
        <w:rPr>
          <w:rFonts w:hint="eastAsia" w:ascii="宋体" w:hAnsi="宋体" w:cs="宋体"/>
          <w:sz w:val="24"/>
          <w:szCs w:val="24"/>
        </w:rPr>
        <w:t>年   月   日</w:t>
      </w:r>
    </w:p>
    <w:p w14:paraId="0E3F7090">
      <w:pPr>
        <w:pageBreakBefore w:val="0"/>
        <w:kinsoku/>
        <w:wordWrap/>
        <w:overflowPunct/>
        <w:topLinePunct w:val="0"/>
        <w:autoSpaceDN/>
        <w:bidi w:val="0"/>
        <w:adjustRightInd/>
        <w:snapToGrid w:val="0"/>
        <w:spacing w:line="400" w:lineRule="exact"/>
        <w:rPr>
          <w:rFonts w:hint="eastAsia" w:ascii="宋体" w:hAnsi="宋体" w:cs="宋体"/>
          <w:sz w:val="24"/>
          <w:szCs w:val="24"/>
        </w:rPr>
      </w:pPr>
    </w:p>
    <w:p w14:paraId="14D19571">
      <w:pPr>
        <w:pageBreakBefore w:val="0"/>
        <w:kinsoku/>
        <w:wordWrap/>
        <w:overflowPunct/>
        <w:topLinePunct w:val="0"/>
        <w:autoSpaceDN/>
        <w:bidi w:val="0"/>
        <w:adjustRightInd/>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（五）特定资格条件证书或证明文件（如果有）</w:t>
      </w:r>
    </w:p>
    <w:p w14:paraId="7368FB7C">
      <w:pPr>
        <w:pageBreakBefore w:val="0"/>
        <w:tabs>
          <w:tab w:val="left" w:pos="6300"/>
        </w:tabs>
        <w:kinsoku/>
        <w:wordWrap/>
        <w:overflowPunct/>
        <w:topLinePunct w:val="0"/>
        <w:autoSpaceDN/>
        <w:bidi w:val="0"/>
        <w:adjustRightInd/>
        <w:snapToGrid w:val="0"/>
        <w:spacing w:line="400" w:lineRule="exact"/>
        <w:rPr>
          <w:rFonts w:hint="eastAsia" w:ascii="宋体" w:hAnsi="宋体" w:cs="宋体"/>
          <w:b/>
          <w:sz w:val="24"/>
          <w:szCs w:val="24"/>
        </w:rPr>
      </w:pPr>
    </w:p>
    <w:p w14:paraId="5BB5486E">
      <w:pPr>
        <w:pStyle w:val="4"/>
        <w:pageBreakBefore w:val="0"/>
        <w:numPr>
          <w:ilvl w:val="0"/>
          <w:numId w:val="9"/>
        </w:numPr>
        <w:kinsoku/>
        <w:wordWrap/>
        <w:overflowPunct/>
        <w:topLinePunct w:val="0"/>
        <w:autoSpaceDN/>
        <w:bidi w:val="0"/>
        <w:adjustRightInd/>
        <w:spacing w:line="400" w:lineRule="exact"/>
        <w:rPr>
          <w:rFonts w:hint="eastAsia" w:ascii="宋体" w:hAnsi="宋体" w:cs="宋体"/>
          <w:sz w:val="24"/>
          <w:szCs w:val="24"/>
        </w:rPr>
      </w:pPr>
      <w:r>
        <w:rPr>
          <w:rFonts w:hint="eastAsia" w:ascii="宋体" w:hAnsi="宋体" w:cs="宋体"/>
          <w:sz w:val="24"/>
          <w:szCs w:val="24"/>
        </w:rPr>
        <w:br w:type="page"/>
      </w:r>
      <w:bookmarkStart w:id="273" w:name="_Toc486585244"/>
      <w:bookmarkStart w:id="274" w:name="_Toc19129"/>
      <w:bookmarkStart w:id="275" w:name="_Toc487204801"/>
      <w:bookmarkStart w:id="276" w:name="_Toc11824"/>
      <w:bookmarkStart w:id="277" w:name="_Toc29032"/>
      <w:bookmarkStart w:id="278" w:name="_Toc6663"/>
      <w:bookmarkStart w:id="279" w:name="_Toc486608281"/>
      <w:r>
        <w:rPr>
          <w:rFonts w:hint="eastAsia" w:ascii="宋体" w:hAnsi="宋体" w:cs="宋体"/>
          <w:sz w:val="24"/>
          <w:szCs w:val="24"/>
        </w:rPr>
        <w:t>其他应提供的资料</w:t>
      </w:r>
      <w:bookmarkEnd w:id="273"/>
      <w:bookmarkEnd w:id="274"/>
      <w:bookmarkEnd w:id="275"/>
      <w:bookmarkEnd w:id="276"/>
      <w:bookmarkEnd w:id="277"/>
      <w:bookmarkEnd w:id="278"/>
      <w:bookmarkEnd w:id="279"/>
    </w:p>
    <w:p w14:paraId="6BCCB553">
      <w:pPr>
        <w:pageBreakBefore w:val="0"/>
        <w:kinsoku/>
        <w:wordWrap/>
        <w:overflowPunct/>
        <w:topLinePunct w:val="0"/>
        <w:autoSpaceDN/>
        <w:bidi w:val="0"/>
        <w:adjustRightInd/>
        <w:spacing w:line="400" w:lineRule="exact"/>
        <w:rPr>
          <w:rFonts w:hint="eastAsia" w:ascii="宋体" w:hAnsi="宋体" w:cs="宋体"/>
          <w:sz w:val="24"/>
          <w:szCs w:val="24"/>
        </w:rPr>
      </w:pPr>
      <w:r>
        <w:rPr>
          <w:rFonts w:hint="eastAsia" w:ascii="宋体" w:hAnsi="宋体" w:cs="宋体"/>
          <w:sz w:val="24"/>
          <w:szCs w:val="24"/>
        </w:rPr>
        <w:t>（一）其他与项目有关的资料（自附）</w:t>
      </w:r>
    </w:p>
    <w:p w14:paraId="38B4D40A">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p>
    <w:p w14:paraId="7CD793EE">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p>
    <w:p w14:paraId="6691C618">
      <w:pPr>
        <w:pageBreakBefore w:val="0"/>
        <w:kinsoku/>
        <w:wordWrap/>
        <w:overflowPunct/>
        <w:topLinePunct w:val="0"/>
        <w:autoSpaceDN/>
        <w:bidi w:val="0"/>
        <w:adjustRightInd/>
        <w:spacing w:line="400" w:lineRule="exact"/>
        <w:ind w:firstLine="480" w:firstLineChars="200"/>
        <w:rPr>
          <w:rFonts w:hint="eastAsia" w:ascii="宋体" w:hAnsi="宋体" w:cs="宋体"/>
          <w:sz w:val="24"/>
          <w:szCs w:val="24"/>
        </w:rPr>
      </w:pPr>
    </w:p>
    <w:p w14:paraId="1B644643">
      <w:pPr>
        <w:pageBreakBefore w:val="0"/>
        <w:widowControl/>
        <w:kinsoku/>
        <w:wordWrap/>
        <w:overflowPunct/>
        <w:topLinePunct w:val="0"/>
        <w:autoSpaceDN/>
        <w:bidi w:val="0"/>
        <w:adjustRightInd/>
        <w:spacing w:line="400" w:lineRule="exact"/>
        <w:jc w:val="left"/>
        <w:rPr>
          <w:rFonts w:hint="eastAsia" w:ascii="宋体" w:hAnsi="宋体" w:cs="宋体"/>
          <w:sz w:val="24"/>
          <w:szCs w:val="24"/>
        </w:rPr>
      </w:pPr>
    </w:p>
    <w:p w14:paraId="24212FE2">
      <w:pPr>
        <w:pageBreakBefore w:val="0"/>
        <w:widowControl/>
        <w:kinsoku/>
        <w:wordWrap/>
        <w:overflowPunct/>
        <w:topLinePunct w:val="0"/>
        <w:autoSpaceDN/>
        <w:bidi w:val="0"/>
        <w:adjustRightInd/>
        <w:spacing w:line="400" w:lineRule="exact"/>
        <w:jc w:val="left"/>
        <w:rPr>
          <w:rFonts w:hint="eastAsia" w:ascii="宋体" w:hAnsi="宋体" w:cs="宋体"/>
          <w:sz w:val="24"/>
          <w:szCs w:val="24"/>
        </w:rPr>
      </w:pPr>
    </w:p>
    <w:p w14:paraId="2E1D37DD">
      <w:pPr>
        <w:pageBreakBefore w:val="0"/>
        <w:widowControl/>
        <w:kinsoku/>
        <w:wordWrap/>
        <w:overflowPunct/>
        <w:topLinePunct w:val="0"/>
        <w:autoSpaceDN/>
        <w:bidi w:val="0"/>
        <w:adjustRightInd/>
        <w:spacing w:line="400" w:lineRule="exact"/>
        <w:jc w:val="left"/>
        <w:rPr>
          <w:rFonts w:hint="eastAsia" w:ascii="宋体" w:hAnsi="宋体" w:cs="宋体"/>
          <w:sz w:val="24"/>
          <w:szCs w:val="24"/>
        </w:rPr>
      </w:pPr>
    </w:p>
    <w:p w14:paraId="4BF39CB2">
      <w:pPr>
        <w:pageBreakBefore w:val="0"/>
        <w:widowControl/>
        <w:kinsoku/>
        <w:wordWrap/>
        <w:overflowPunct/>
        <w:topLinePunct w:val="0"/>
        <w:autoSpaceDN/>
        <w:bidi w:val="0"/>
        <w:adjustRightInd/>
        <w:spacing w:line="400" w:lineRule="exact"/>
        <w:jc w:val="center"/>
        <w:rPr>
          <w:rFonts w:hint="eastAsia" w:ascii="宋体" w:hAnsi="宋体" w:cs="宋体"/>
          <w:sz w:val="24"/>
          <w:szCs w:val="24"/>
        </w:rPr>
      </w:pPr>
    </w:p>
    <w:p w14:paraId="01088C48">
      <w:pPr>
        <w:pageBreakBefore w:val="0"/>
        <w:widowControl/>
        <w:kinsoku/>
        <w:wordWrap/>
        <w:overflowPunct/>
        <w:topLinePunct w:val="0"/>
        <w:autoSpaceDN/>
        <w:bidi w:val="0"/>
        <w:adjustRightInd/>
        <w:spacing w:line="400" w:lineRule="exact"/>
        <w:jc w:val="center"/>
        <w:rPr>
          <w:rFonts w:hint="eastAsia" w:ascii="宋体" w:hAnsi="宋体" w:cs="宋体"/>
          <w:sz w:val="24"/>
          <w:szCs w:val="24"/>
        </w:rPr>
      </w:pPr>
    </w:p>
    <w:p w14:paraId="679AAB39">
      <w:pPr>
        <w:pageBreakBefore w:val="0"/>
        <w:widowControl/>
        <w:kinsoku/>
        <w:wordWrap/>
        <w:overflowPunct/>
        <w:topLinePunct w:val="0"/>
        <w:autoSpaceDN/>
        <w:bidi w:val="0"/>
        <w:adjustRightInd/>
        <w:spacing w:line="400" w:lineRule="exact"/>
        <w:jc w:val="center"/>
        <w:rPr>
          <w:rFonts w:hint="eastAsia" w:ascii="宋体" w:hAnsi="宋体" w:cs="宋体"/>
          <w:sz w:val="24"/>
          <w:szCs w:val="24"/>
        </w:rPr>
      </w:pPr>
    </w:p>
    <w:p w14:paraId="27B73D47">
      <w:pPr>
        <w:pageBreakBefore w:val="0"/>
        <w:widowControl/>
        <w:kinsoku/>
        <w:wordWrap/>
        <w:overflowPunct/>
        <w:topLinePunct w:val="0"/>
        <w:autoSpaceDN/>
        <w:bidi w:val="0"/>
        <w:adjustRightInd/>
        <w:spacing w:line="400" w:lineRule="exact"/>
        <w:jc w:val="center"/>
        <w:rPr>
          <w:rFonts w:hint="eastAsia" w:ascii="宋体" w:hAnsi="宋体" w:cs="宋体"/>
          <w:sz w:val="24"/>
          <w:szCs w:val="24"/>
        </w:rPr>
      </w:pPr>
    </w:p>
    <w:p w14:paraId="3F38E430">
      <w:pPr>
        <w:pageBreakBefore w:val="0"/>
        <w:widowControl/>
        <w:kinsoku/>
        <w:wordWrap/>
        <w:overflowPunct/>
        <w:topLinePunct w:val="0"/>
        <w:autoSpaceDN/>
        <w:bidi w:val="0"/>
        <w:adjustRightInd/>
        <w:spacing w:line="400" w:lineRule="exact"/>
        <w:jc w:val="center"/>
        <w:rPr>
          <w:rFonts w:hint="eastAsia" w:ascii="宋体" w:hAnsi="宋体" w:cs="宋体"/>
          <w:sz w:val="24"/>
          <w:szCs w:val="24"/>
        </w:rPr>
      </w:pPr>
    </w:p>
    <w:p w14:paraId="7B39E719">
      <w:pPr>
        <w:pageBreakBefore w:val="0"/>
        <w:widowControl/>
        <w:kinsoku/>
        <w:wordWrap/>
        <w:overflowPunct/>
        <w:topLinePunct w:val="0"/>
        <w:autoSpaceDN/>
        <w:bidi w:val="0"/>
        <w:adjustRightInd/>
        <w:spacing w:line="400" w:lineRule="exact"/>
        <w:jc w:val="center"/>
        <w:rPr>
          <w:rFonts w:hint="eastAsia" w:ascii="宋体" w:hAnsi="宋体" w:cs="宋体"/>
          <w:sz w:val="24"/>
          <w:szCs w:val="24"/>
        </w:rPr>
      </w:pPr>
    </w:p>
    <w:p w14:paraId="6307BF19">
      <w:pPr>
        <w:pageBreakBefore w:val="0"/>
        <w:widowControl/>
        <w:kinsoku/>
        <w:wordWrap/>
        <w:overflowPunct/>
        <w:topLinePunct w:val="0"/>
        <w:autoSpaceDN/>
        <w:bidi w:val="0"/>
        <w:adjustRightInd/>
        <w:spacing w:line="400" w:lineRule="exact"/>
        <w:jc w:val="center"/>
        <w:rPr>
          <w:rFonts w:hint="eastAsia" w:ascii="宋体" w:hAnsi="宋体" w:cs="宋体"/>
          <w:sz w:val="24"/>
          <w:szCs w:val="24"/>
        </w:rPr>
      </w:pPr>
    </w:p>
    <w:p w14:paraId="4C4512C9">
      <w:pPr>
        <w:pageBreakBefore w:val="0"/>
        <w:widowControl/>
        <w:kinsoku/>
        <w:wordWrap/>
        <w:overflowPunct/>
        <w:topLinePunct w:val="0"/>
        <w:autoSpaceDN/>
        <w:bidi w:val="0"/>
        <w:adjustRightInd/>
        <w:spacing w:line="400" w:lineRule="exact"/>
        <w:jc w:val="center"/>
        <w:rPr>
          <w:rFonts w:hint="eastAsia" w:ascii="宋体" w:hAnsi="宋体" w:cs="宋体"/>
          <w:sz w:val="24"/>
          <w:szCs w:val="24"/>
        </w:rPr>
      </w:pPr>
      <w:r>
        <w:rPr>
          <w:rFonts w:hint="eastAsia" w:ascii="宋体" w:hAnsi="宋体" w:cs="宋体"/>
          <w:sz w:val="24"/>
          <w:szCs w:val="24"/>
        </w:rPr>
        <w:t>（结束）</w:t>
      </w:r>
    </w:p>
    <w:p w14:paraId="3EBC62F5">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518EEE7A">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67377808">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7FBBD38A">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3AE2D42D">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64B936FF">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05A45859">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24EEFBA6">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520855FA">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29539003">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032E3CAF">
      <w:pPr>
        <w:pStyle w:val="10"/>
        <w:pageBreakBefore w:val="0"/>
        <w:kinsoku/>
        <w:wordWrap/>
        <w:overflowPunct/>
        <w:topLinePunct w:val="0"/>
        <w:autoSpaceDN/>
        <w:bidi w:val="0"/>
        <w:adjustRightInd/>
        <w:spacing w:line="400" w:lineRule="exact"/>
        <w:rPr>
          <w:rFonts w:hint="eastAsia" w:ascii="宋体" w:hAnsi="宋体" w:cs="宋体"/>
          <w:sz w:val="24"/>
          <w:szCs w:val="24"/>
        </w:rPr>
      </w:pPr>
    </w:p>
    <w:p w14:paraId="11084B39">
      <w:pPr>
        <w:pStyle w:val="71"/>
        <w:pageBreakBefore w:val="0"/>
        <w:kinsoku/>
        <w:wordWrap/>
        <w:overflowPunct/>
        <w:topLinePunct w:val="0"/>
        <w:autoSpaceDN/>
        <w:bidi w:val="0"/>
        <w:adjustRightInd/>
        <w:spacing w:line="400" w:lineRule="exact"/>
        <w:jc w:val="both"/>
        <w:rPr>
          <w:rFonts w:hint="eastAsia" w:ascii="宋体" w:hAnsi="宋体" w:eastAsia="宋体" w:cs="宋体"/>
          <w:sz w:val="36"/>
          <w:szCs w:val="36"/>
        </w:rPr>
      </w:pPr>
      <w:bookmarkStart w:id="280" w:name="_Toc23244"/>
      <w:bookmarkStart w:id="281" w:name="_Toc3096"/>
      <w:r>
        <w:rPr>
          <w:rFonts w:hint="eastAsia" w:ascii="宋体" w:hAnsi="宋体" w:eastAsia="宋体" w:cs="宋体"/>
          <w:sz w:val="36"/>
          <w:szCs w:val="36"/>
        </w:rPr>
        <w:br w:type="page"/>
      </w:r>
      <w:bookmarkEnd w:id="280"/>
      <w:bookmarkEnd w:id="281"/>
      <w:bookmarkStart w:id="282" w:name="_Toc30463"/>
      <w:bookmarkStart w:id="283" w:name="_Toc1499"/>
      <w:r>
        <w:rPr>
          <w:rFonts w:hint="eastAsia" w:ascii="宋体" w:hAnsi="宋体" w:eastAsia="宋体" w:cs="宋体"/>
          <w:sz w:val="36"/>
          <w:szCs w:val="36"/>
        </w:rPr>
        <w:t>附件1：采购文件发售登记表</w:t>
      </w:r>
      <w:bookmarkEnd w:id="282"/>
      <w:bookmarkEnd w:id="283"/>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174"/>
        <w:gridCol w:w="53"/>
        <w:gridCol w:w="1910"/>
        <w:gridCol w:w="3106"/>
      </w:tblGrid>
      <w:tr w14:paraId="126441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996" w:type="dxa"/>
            <w:noWrap w:val="0"/>
            <w:vAlign w:val="center"/>
          </w:tcPr>
          <w:p w14:paraId="61ED4D8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供应商名称</w:t>
            </w:r>
          </w:p>
        </w:tc>
        <w:tc>
          <w:tcPr>
            <w:tcW w:w="7243" w:type="dxa"/>
            <w:gridSpan w:val="4"/>
            <w:noWrap w:val="0"/>
            <w:vAlign w:val="center"/>
          </w:tcPr>
          <w:p w14:paraId="6208853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（供应商公章）</w:t>
            </w:r>
          </w:p>
        </w:tc>
      </w:tr>
      <w:tr w14:paraId="3D6033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96" w:type="dxa"/>
            <w:noWrap w:val="0"/>
            <w:vAlign w:val="center"/>
          </w:tcPr>
          <w:p w14:paraId="283294B2">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采购执行编号</w:t>
            </w:r>
          </w:p>
        </w:tc>
        <w:tc>
          <w:tcPr>
            <w:tcW w:w="7243" w:type="dxa"/>
            <w:gridSpan w:val="4"/>
            <w:noWrap w:val="0"/>
            <w:vAlign w:val="center"/>
          </w:tcPr>
          <w:p w14:paraId="019C5E5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p>
        </w:tc>
      </w:tr>
      <w:tr w14:paraId="4BEC50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96" w:type="dxa"/>
            <w:noWrap w:val="0"/>
            <w:vAlign w:val="center"/>
          </w:tcPr>
          <w:p w14:paraId="760B9AA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项目名称</w:t>
            </w:r>
          </w:p>
        </w:tc>
        <w:tc>
          <w:tcPr>
            <w:tcW w:w="7243" w:type="dxa"/>
            <w:gridSpan w:val="4"/>
            <w:noWrap w:val="0"/>
            <w:vAlign w:val="center"/>
          </w:tcPr>
          <w:p w14:paraId="2810FDFE">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p>
        </w:tc>
      </w:tr>
      <w:tr w14:paraId="6625C2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69" w:hRule="atLeast"/>
          <w:jc w:val="center"/>
        </w:trPr>
        <w:tc>
          <w:tcPr>
            <w:tcW w:w="1996" w:type="dxa"/>
            <w:noWrap w:val="0"/>
            <w:vAlign w:val="center"/>
          </w:tcPr>
          <w:p w14:paraId="0FB71CD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联系人</w:t>
            </w:r>
          </w:p>
        </w:tc>
        <w:tc>
          <w:tcPr>
            <w:tcW w:w="2227" w:type="dxa"/>
            <w:gridSpan w:val="2"/>
            <w:noWrap w:val="0"/>
            <w:vAlign w:val="center"/>
          </w:tcPr>
          <w:p w14:paraId="555EAA9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p>
        </w:tc>
        <w:tc>
          <w:tcPr>
            <w:tcW w:w="1910" w:type="dxa"/>
            <w:noWrap w:val="0"/>
            <w:vAlign w:val="center"/>
          </w:tcPr>
          <w:p w14:paraId="0F5327C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手机</w:t>
            </w:r>
          </w:p>
        </w:tc>
        <w:tc>
          <w:tcPr>
            <w:tcW w:w="3106" w:type="dxa"/>
            <w:noWrap w:val="0"/>
            <w:vAlign w:val="center"/>
          </w:tcPr>
          <w:p w14:paraId="282787DD">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p>
        </w:tc>
      </w:tr>
      <w:tr w14:paraId="5DE00A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13" w:hRule="atLeast"/>
          <w:jc w:val="center"/>
        </w:trPr>
        <w:tc>
          <w:tcPr>
            <w:tcW w:w="1996" w:type="dxa"/>
            <w:noWrap w:val="0"/>
            <w:vAlign w:val="center"/>
          </w:tcPr>
          <w:p w14:paraId="6D654CEB">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办公电话</w:t>
            </w:r>
          </w:p>
        </w:tc>
        <w:tc>
          <w:tcPr>
            <w:tcW w:w="2227" w:type="dxa"/>
            <w:gridSpan w:val="2"/>
            <w:noWrap w:val="0"/>
            <w:vAlign w:val="center"/>
          </w:tcPr>
          <w:p w14:paraId="72E88F59">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p>
        </w:tc>
        <w:tc>
          <w:tcPr>
            <w:tcW w:w="1910" w:type="dxa"/>
            <w:noWrap w:val="0"/>
            <w:vAlign w:val="center"/>
          </w:tcPr>
          <w:p w14:paraId="2FEDBFE2">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发票收取邮箱</w:t>
            </w:r>
          </w:p>
          <w:p w14:paraId="15D310C8">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rPr>
                <w:rFonts w:hint="eastAsia" w:ascii="宋体" w:hAnsi="宋体" w:cs="宋体"/>
                <w:szCs w:val="21"/>
              </w:rPr>
            </w:pPr>
            <w:r>
              <w:rPr>
                <w:rFonts w:hint="eastAsia" w:ascii="宋体" w:hAnsi="宋体" w:cs="宋体"/>
                <w:sz w:val="21"/>
                <w:szCs w:val="16"/>
              </w:rPr>
              <w:t>（请准确填写）</w:t>
            </w:r>
          </w:p>
        </w:tc>
        <w:tc>
          <w:tcPr>
            <w:tcW w:w="3106" w:type="dxa"/>
            <w:noWrap w:val="0"/>
            <w:vAlign w:val="center"/>
          </w:tcPr>
          <w:p w14:paraId="38169B84">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p>
        </w:tc>
      </w:tr>
      <w:tr w14:paraId="4E527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996" w:type="dxa"/>
            <w:noWrap w:val="0"/>
            <w:vAlign w:val="center"/>
          </w:tcPr>
          <w:p w14:paraId="5DFB4025">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快递地址</w:t>
            </w:r>
          </w:p>
          <w:p w14:paraId="213FCD46">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 w:val="21"/>
                <w:szCs w:val="16"/>
              </w:rPr>
              <w:t>（请准确填写）</w:t>
            </w:r>
          </w:p>
        </w:tc>
        <w:tc>
          <w:tcPr>
            <w:tcW w:w="7243" w:type="dxa"/>
            <w:gridSpan w:val="4"/>
            <w:noWrap w:val="0"/>
            <w:vAlign w:val="center"/>
          </w:tcPr>
          <w:p w14:paraId="4A172212">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p>
        </w:tc>
      </w:tr>
      <w:tr w14:paraId="2B6611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96" w:type="dxa"/>
            <w:noWrap w:val="0"/>
            <w:vAlign w:val="center"/>
          </w:tcPr>
          <w:p w14:paraId="441BF26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b/>
                <w:bCs/>
                <w:szCs w:val="21"/>
              </w:rPr>
              <w:t>报名费</w:t>
            </w:r>
            <w:r>
              <w:rPr>
                <w:rFonts w:hint="eastAsia" w:ascii="宋体" w:hAnsi="宋体" w:cs="宋体"/>
                <w:szCs w:val="21"/>
              </w:rPr>
              <w:t>开票信息</w:t>
            </w:r>
            <w:r>
              <w:rPr>
                <w:rFonts w:hint="eastAsia" w:ascii="宋体" w:hAnsi="宋体" w:cs="宋体"/>
                <w:b/>
                <w:bCs/>
                <w:szCs w:val="21"/>
              </w:rPr>
              <w:t>（开普票）</w:t>
            </w:r>
          </w:p>
        </w:tc>
        <w:tc>
          <w:tcPr>
            <w:tcW w:w="7243" w:type="dxa"/>
            <w:gridSpan w:val="4"/>
            <w:noWrap w:val="0"/>
            <w:vAlign w:val="center"/>
          </w:tcPr>
          <w:p w14:paraId="2123B663">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p>
        </w:tc>
      </w:tr>
      <w:tr w14:paraId="44490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996" w:type="dxa"/>
            <w:noWrap w:val="0"/>
            <w:vAlign w:val="center"/>
          </w:tcPr>
          <w:p w14:paraId="125C003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b/>
                <w:bCs/>
                <w:szCs w:val="21"/>
              </w:rPr>
            </w:pPr>
            <w:r>
              <w:rPr>
                <w:rFonts w:hint="eastAsia" w:ascii="宋体" w:hAnsi="宋体" w:cs="宋体"/>
                <w:b/>
                <w:bCs/>
                <w:szCs w:val="21"/>
              </w:rPr>
              <w:t>代理服务费</w:t>
            </w:r>
          </w:p>
          <w:p w14:paraId="12E0CEFC">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开票信息</w:t>
            </w:r>
          </w:p>
        </w:tc>
        <w:tc>
          <w:tcPr>
            <w:tcW w:w="2174" w:type="dxa"/>
            <w:noWrap w:val="0"/>
            <w:vAlign w:val="center"/>
          </w:tcPr>
          <w:p w14:paraId="03F94350">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普票  </w:t>
            </w:r>
            <w:r>
              <w:rPr>
                <w:rFonts w:hint="eastAsia" w:ascii="宋体" w:hAnsi="宋体" w:cs="宋体"/>
                <w:szCs w:val="21"/>
              </w:rPr>
              <w:sym w:font="Wingdings 2" w:char="00A3"/>
            </w:r>
            <w:r>
              <w:rPr>
                <w:rFonts w:hint="eastAsia" w:ascii="宋体" w:hAnsi="宋体" w:cs="宋体"/>
                <w:szCs w:val="21"/>
              </w:rPr>
              <w:t>专票</w:t>
            </w:r>
          </w:p>
        </w:tc>
        <w:tc>
          <w:tcPr>
            <w:tcW w:w="5069" w:type="dxa"/>
            <w:gridSpan w:val="3"/>
            <w:noWrap w:val="0"/>
            <w:vAlign w:val="center"/>
          </w:tcPr>
          <w:p w14:paraId="62C849C1">
            <w:pPr>
              <w:keepNext w:val="0"/>
              <w:keepLines w:val="0"/>
              <w:pageBreakBefore w:val="0"/>
              <w:suppressLineNumbers w:val="0"/>
              <w:kinsoku/>
              <w:wordWrap/>
              <w:overflowPunct/>
              <w:topLinePunct w:val="0"/>
              <w:autoSpaceDN/>
              <w:bidi w:val="0"/>
              <w:adjustRightInd/>
              <w:spacing w:before="0" w:beforeAutospacing="0" w:after="0" w:afterAutospacing="0" w:line="400" w:lineRule="exact"/>
              <w:ind w:left="0" w:right="0"/>
              <w:jc w:val="center"/>
              <w:rPr>
                <w:rFonts w:hint="eastAsia" w:ascii="宋体" w:hAnsi="宋体" w:cs="宋体"/>
                <w:szCs w:val="21"/>
              </w:rPr>
            </w:pPr>
          </w:p>
        </w:tc>
      </w:tr>
    </w:tbl>
    <w:p w14:paraId="51186D6C">
      <w:pPr>
        <w:pageBreakBefore w:val="0"/>
        <w:kinsoku/>
        <w:wordWrap/>
        <w:overflowPunct/>
        <w:topLinePunct w:val="0"/>
        <w:autoSpaceDN/>
        <w:bidi w:val="0"/>
        <w:adjustRightInd/>
        <w:spacing w:line="400" w:lineRule="exact"/>
        <w:rPr>
          <w:rFonts w:hint="eastAsia" w:ascii="宋体" w:hAnsi="宋体" w:cs="宋体"/>
        </w:rPr>
      </w:pPr>
    </w:p>
    <w:p w14:paraId="3B1B83B8">
      <w:pPr>
        <w:pageBreakBefore w:val="0"/>
        <w:widowControl/>
        <w:kinsoku/>
        <w:wordWrap/>
        <w:overflowPunct/>
        <w:topLinePunct w:val="0"/>
        <w:autoSpaceDN/>
        <w:bidi w:val="0"/>
        <w:adjustRightInd/>
        <w:spacing w:line="400" w:lineRule="exact"/>
        <w:rPr>
          <w:rFonts w:hint="eastAsia" w:ascii="宋体" w:hAnsi="宋体" w:cs="宋体"/>
          <w:sz w:val="24"/>
          <w:szCs w:val="24"/>
        </w:rPr>
      </w:pPr>
      <w:r>
        <w:rPr>
          <w:rFonts w:hint="eastAsia" w:ascii="宋体" w:hAnsi="宋体" w:cs="宋体"/>
          <w:sz w:val="24"/>
          <w:szCs w:val="24"/>
        </w:rPr>
        <w:t>采购代理机构：</w:t>
      </w:r>
      <w:r>
        <w:rPr>
          <w:rFonts w:hint="eastAsia" w:ascii="宋体" w:hAnsi="宋体" w:cs="宋体"/>
          <w:sz w:val="24"/>
          <w:szCs w:val="24"/>
          <w:lang w:eastAsia="zh-CN"/>
        </w:rPr>
        <w:t>重庆政相关科技有限公司</w:t>
      </w:r>
      <w:r>
        <w:rPr>
          <w:rFonts w:hint="eastAsia" w:ascii="宋体" w:hAnsi="宋体" w:cs="宋体"/>
          <w:sz w:val="24"/>
          <w:szCs w:val="24"/>
        </w:rPr>
        <w:t xml:space="preserve">           日期： 年  月  日</w:t>
      </w:r>
    </w:p>
    <w:p w14:paraId="664F054D">
      <w:pPr>
        <w:pageBreakBefore w:val="0"/>
        <w:widowControl/>
        <w:kinsoku/>
        <w:wordWrap/>
        <w:overflowPunct/>
        <w:topLinePunct w:val="0"/>
        <w:autoSpaceDN/>
        <w:bidi w:val="0"/>
        <w:adjustRightInd/>
        <w:spacing w:line="400" w:lineRule="exact"/>
        <w:rPr>
          <w:rFonts w:hint="eastAsia" w:ascii="宋体" w:hAnsi="宋体" w:cs="宋体"/>
          <w:b/>
          <w:bCs/>
          <w:sz w:val="24"/>
          <w:szCs w:val="24"/>
        </w:rPr>
      </w:pPr>
      <w:r>
        <w:rPr>
          <w:rFonts w:hint="eastAsia" w:ascii="宋体" w:hAnsi="宋体" w:cs="宋体"/>
          <w:b/>
          <w:bCs/>
          <w:sz w:val="24"/>
          <w:szCs w:val="24"/>
        </w:rPr>
        <w:t>注：代理服务费只向中标供应商收取，为加快后续进度，提前收集开票信息。</w:t>
      </w:r>
    </w:p>
    <w:p w14:paraId="31FF252A">
      <w:pPr>
        <w:pStyle w:val="20"/>
        <w:pageBreakBefore w:val="0"/>
        <w:kinsoku/>
        <w:wordWrap/>
        <w:overflowPunct/>
        <w:topLinePunct w:val="0"/>
        <w:autoSpaceDN/>
        <w:bidi w:val="0"/>
        <w:adjustRightInd/>
        <w:spacing w:line="400" w:lineRule="exact"/>
        <w:rPr>
          <w:rFonts w:hint="eastAsia" w:ascii="宋体" w:hAnsi="宋体" w:eastAsia="宋体" w:cs="宋体"/>
        </w:rPr>
      </w:pPr>
    </w:p>
    <w:p w14:paraId="6609860A">
      <w:pPr>
        <w:pageBreakBefore w:val="0"/>
        <w:widowControl/>
        <w:kinsoku/>
        <w:wordWrap/>
        <w:overflowPunct/>
        <w:topLinePunct w:val="0"/>
        <w:autoSpaceDN/>
        <w:bidi w:val="0"/>
        <w:adjustRightInd/>
        <w:spacing w:line="400" w:lineRule="exact"/>
        <w:rPr>
          <w:rFonts w:hint="eastAsia" w:ascii="宋体" w:hAnsi="宋体" w:cs="宋体"/>
          <w:b/>
          <w:bCs/>
          <w:sz w:val="24"/>
          <w:szCs w:val="24"/>
        </w:rPr>
      </w:pPr>
    </w:p>
    <w:p w14:paraId="17214402">
      <w:pPr>
        <w:pageBreakBefore w:val="0"/>
        <w:widowControl/>
        <w:kinsoku/>
        <w:wordWrap/>
        <w:overflowPunct/>
        <w:topLinePunct w:val="0"/>
        <w:autoSpaceDN/>
        <w:bidi w:val="0"/>
        <w:adjustRightInd/>
        <w:spacing w:line="400" w:lineRule="exact"/>
        <w:rPr>
          <w:rFonts w:hint="eastAsia" w:ascii="宋体" w:hAnsi="宋体" w:cs="宋体"/>
        </w:rPr>
      </w:pPr>
    </w:p>
    <w:sectPr>
      <w:headerReference r:id="rId12" w:type="default"/>
      <w:footerReference r:id="rId13" w:type="default"/>
      <w:pgSz w:w="11907" w:h="16840"/>
      <w:pgMar w:top="1440" w:right="1247" w:bottom="1440" w:left="1247"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panose1 w:val="0201060001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AC35">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6574">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4D426">
                          <w:pPr>
                            <w:pStyle w:val="17"/>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5ED4D426">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A570">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38D824">
                          <w:pPr>
                            <w:pStyle w:val="1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7638D824">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E1C45">
    <w:pPr>
      <w:pStyle w:val="17"/>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A1391">
                          <w:pPr>
                            <w:pStyle w:val="17"/>
                          </w:pPr>
                          <w:r>
                            <w:fldChar w:fldCharType="begin"/>
                          </w:r>
                          <w:r>
                            <w:instrText xml:space="preserve"> PAGE  \* MERGEFORMAT </w:instrText>
                          </w:r>
                          <w:r>
                            <w:fldChar w:fldCharType="separate"/>
                          </w:r>
                          <w:r>
                            <w:t>- 21 -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14:paraId="29AA1391">
                    <w:pPr>
                      <w:pStyle w:val="17"/>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2A075">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0FE03">
                          <w:pPr>
                            <w:pStyle w:val="17"/>
                          </w:pPr>
                          <w:r>
                            <w:fldChar w:fldCharType="begin"/>
                          </w:r>
                          <w:r>
                            <w:instrText xml:space="preserve"> PAGE  \* MERGEFORMAT </w:instrText>
                          </w:r>
                          <w:r>
                            <w:fldChar w:fldCharType="separate"/>
                          </w:r>
                          <w:r>
                            <w:t>- 22 -</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0B0FE03">
                    <w:pPr>
                      <w:pStyle w:val="17"/>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19E9">
    <w:pPr>
      <w:pStyle w:val="17"/>
      <w:jc w:val="center"/>
      <w:rPr>
        <w:rFonts w:asci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72721D">
                          <w:pPr>
                            <w:pStyle w:val="17"/>
                          </w:pPr>
                          <w:r>
                            <w:fldChar w:fldCharType="begin"/>
                          </w:r>
                          <w:r>
                            <w:instrText xml:space="preserve"> PAGE  \* MERGEFORMAT </w:instrText>
                          </w:r>
                          <w:r>
                            <w:fldChar w:fldCharType="separate"/>
                          </w:r>
                          <w:r>
                            <w:t>- 34 -</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14:paraId="4372721D">
                    <w:pPr>
                      <w:pStyle w:val="17"/>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D7D86">
    <w:pPr>
      <w:pStyle w:val="18"/>
    </w:pPr>
    <w:r>
      <w:rPr>
        <w:rFonts w:hint="eastAsia" w:ascii="仿宋" w:hAnsi="仿宋" w:eastAsia="仿宋" w:cs="宋体"/>
        <w:lang w:eastAsia="zh-CN"/>
      </w:rPr>
      <w:t>重庆政相关科技有限公司</w:t>
    </w:r>
    <w:r>
      <w:rPr>
        <w:rFonts w:hint="eastAsia" w:ascii="仿宋" w:hAnsi="仿宋" w:eastAsia="仿宋" w:cs="宋体"/>
      </w:rPr>
      <w:t xml:space="preserve">                                </w:t>
    </w:r>
    <w:r>
      <w:rPr>
        <w:rFonts w:hint="eastAsia" w:ascii="仿宋" w:hAnsi="仿宋" w:eastAsia="仿宋" w:cs="宋体"/>
        <w:lang w:val="en-US" w:eastAsia="zh-CN"/>
      </w:rPr>
      <w:t xml:space="preserve">                     </w:t>
    </w:r>
    <w:r>
      <w:rPr>
        <w:rFonts w:hint="eastAsia" w:ascii="仿宋" w:hAnsi="仿宋" w:eastAsia="仿宋" w:cs="宋体"/>
      </w:rPr>
      <w:t xml:space="preserve">                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5C47">
    <w:pPr>
      <w:pStyle w:val="18"/>
    </w:pPr>
    <w:r>
      <w:rPr>
        <w:rFonts w:hint="eastAsia" w:ascii="仿宋" w:hAnsi="仿宋" w:eastAsia="仿宋" w:cs="宋体"/>
        <w:lang w:eastAsia="zh-CN"/>
      </w:rPr>
      <w:t>重庆政相关科技有限公司</w:t>
    </w:r>
    <w:r>
      <w:rPr>
        <w:rFonts w:hint="eastAsia" w:ascii="仿宋" w:hAnsi="仿宋" w:eastAsia="仿宋" w:cs="宋体"/>
      </w:rPr>
      <w:t xml:space="preserve">                                                      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0980">
    <w:pPr>
      <w:pStyle w:val="18"/>
    </w:pPr>
    <w:r>
      <w:rPr>
        <w:rFonts w:hint="eastAsia" w:ascii="仿宋" w:hAnsi="仿宋" w:eastAsia="仿宋" w:cs="宋体"/>
        <w:lang w:eastAsia="zh-CN"/>
      </w:rPr>
      <w:t>重庆政相关科技有限公司</w:t>
    </w:r>
    <w:r>
      <w:rPr>
        <w:rFonts w:hint="eastAsia" w:ascii="仿宋" w:hAnsi="仿宋" w:eastAsia="仿宋" w:cs="宋体"/>
      </w:rPr>
      <w:t xml:space="preserve">                                                      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62E4">
    <w:pPr>
      <w:pStyle w:val="18"/>
    </w:pPr>
    <w:r>
      <w:rPr>
        <w:rFonts w:hint="eastAsia" w:ascii="仿宋" w:hAnsi="仿宋" w:eastAsia="仿宋" w:cs="宋体"/>
        <w:lang w:eastAsia="zh-CN"/>
      </w:rPr>
      <w:t>重庆政相关科技有限公司</w:t>
    </w:r>
    <w:r>
      <w:rPr>
        <w:rFonts w:hint="eastAsia" w:ascii="仿宋" w:hAnsi="仿宋" w:eastAsia="仿宋" w:cs="宋体"/>
      </w:rPr>
      <w:t xml:space="preserve">                                                      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9D32">
    <w:pPr>
      <w:pStyle w:val="18"/>
    </w:pPr>
    <w:r>
      <w:rPr>
        <w:rFonts w:hint="eastAsia" w:ascii="仿宋" w:hAnsi="仿宋" w:eastAsia="仿宋" w:cs="宋体"/>
        <w:lang w:eastAsia="zh-CN"/>
      </w:rPr>
      <w:t>重庆政相关科技有限公司</w:t>
    </w:r>
    <w:r>
      <w:rPr>
        <w:rFonts w:hint="eastAsia" w:ascii="仿宋" w:hAnsi="仿宋" w:eastAsia="仿宋" w:cs="宋体"/>
      </w:rPr>
      <w:t xml:space="preserve">                                                      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6F04C"/>
    <w:multiLevelType w:val="singleLevel"/>
    <w:tmpl w:val="A216F04C"/>
    <w:lvl w:ilvl="0" w:tentative="0">
      <w:start w:val="5"/>
      <w:numFmt w:val="chineseCounting"/>
      <w:suff w:val="nothing"/>
      <w:lvlText w:val="%1、"/>
      <w:lvlJc w:val="left"/>
      <w:rPr>
        <w:rFonts w:hint="eastAsia"/>
      </w:rPr>
    </w:lvl>
  </w:abstractNum>
  <w:abstractNum w:abstractNumId="1">
    <w:nsid w:val="ADAE5B67"/>
    <w:multiLevelType w:val="singleLevel"/>
    <w:tmpl w:val="ADAE5B67"/>
    <w:lvl w:ilvl="0" w:tentative="0">
      <w:start w:val="1"/>
      <w:numFmt w:val="chineseCounting"/>
      <w:suff w:val="nothing"/>
      <w:lvlText w:val="（%1）"/>
      <w:lvlJc w:val="left"/>
      <w:rPr>
        <w:rFonts w:hint="eastAsia"/>
      </w:rPr>
    </w:lvl>
  </w:abstractNum>
  <w:abstractNum w:abstractNumId="2">
    <w:nsid w:val="B641E559"/>
    <w:multiLevelType w:val="singleLevel"/>
    <w:tmpl w:val="B641E559"/>
    <w:lvl w:ilvl="0" w:tentative="0">
      <w:start w:val="2"/>
      <w:numFmt w:val="chineseCounting"/>
      <w:suff w:val="nothing"/>
      <w:lvlText w:val="（%1）"/>
      <w:lvlJc w:val="left"/>
      <w:rPr>
        <w:rFonts w:hint="eastAsia"/>
      </w:rPr>
    </w:lvl>
  </w:abstractNum>
  <w:abstractNum w:abstractNumId="3">
    <w:nsid w:val="D1C81C88"/>
    <w:multiLevelType w:val="singleLevel"/>
    <w:tmpl w:val="D1C81C88"/>
    <w:lvl w:ilvl="0" w:tentative="0">
      <w:start w:val="8"/>
      <w:numFmt w:val="chineseCounting"/>
      <w:suff w:val="nothing"/>
      <w:lvlText w:val="（%1）"/>
      <w:lvlJc w:val="left"/>
      <w:rPr>
        <w:rFonts w:hint="eastAsia"/>
      </w:rPr>
    </w:lvl>
  </w:abstractNum>
  <w:abstractNum w:abstractNumId="4">
    <w:nsid w:val="F04229E6"/>
    <w:multiLevelType w:val="singleLevel"/>
    <w:tmpl w:val="F04229E6"/>
    <w:lvl w:ilvl="0" w:tentative="0">
      <w:start w:val="1"/>
      <w:numFmt w:val="decimal"/>
      <w:lvlText w:val="%1."/>
      <w:lvlJc w:val="left"/>
      <w:pPr>
        <w:tabs>
          <w:tab w:val="left" w:pos="312"/>
        </w:tabs>
      </w:pPr>
    </w:lvl>
  </w:abstractNum>
  <w:abstractNum w:abstractNumId="5">
    <w:nsid w:val="FA27922E"/>
    <w:multiLevelType w:val="multilevel"/>
    <w:tmpl w:val="FA27922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EAD15E2"/>
    <w:multiLevelType w:val="singleLevel"/>
    <w:tmpl w:val="0EAD15E2"/>
    <w:lvl w:ilvl="0" w:tentative="0">
      <w:start w:val="2"/>
      <w:numFmt w:val="decimal"/>
      <w:lvlText w:val="%1."/>
      <w:lvlJc w:val="left"/>
      <w:pPr>
        <w:tabs>
          <w:tab w:val="left" w:pos="312"/>
        </w:tabs>
      </w:pPr>
    </w:lvl>
  </w:abstractNum>
  <w:abstractNum w:abstractNumId="7">
    <w:nsid w:val="194370C7"/>
    <w:multiLevelType w:val="singleLevel"/>
    <w:tmpl w:val="194370C7"/>
    <w:lvl w:ilvl="0" w:tentative="0">
      <w:start w:val="1"/>
      <w:numFmt w:val="decimal"/>
      <w:suff w:val="nothing"/>
      <w:lvlText w:val="%1、"/>
      <w:lvlJc w:val="left"/>
      <w:pPr>
        <w:ind w:left="80"/>
      </w:pPr>
      <w:rPr>
        <w:rFonts w:hint="default"/>
        <w:b w:val="0"/>
        <w:bCs w:val="0"/>
      </w:rPr>
    </w:lvl>
  </w:abstractNum>
  <w:abstractNum w:abstractNumId="8">
    <w:nsid w:val="7235B05D"/>
    <w:multiLevelType w:val="singleLevel"/>
    <w:tmpl w:val="7235B05D"/>
    <w:lvl w:ilvl="0" w:tentative="0">
      <w:start w:val="5"/>
      <w:numFmt w:val="chineseCounting"/>
      <w:suff w:val="nothing"/>
      <w:lvlText w:val="（%1）"/>
      <w:lvlJc w:val="left"/>
      <w:rPr>
        <w:rFonts w:hint="eastAsia"/>
      </w:rPr>
    </w:lvl>
  </w:abstractNum>
  <w:num w:numId="1">
    <w:abstractNumId w:val="8"/>
  </w:num>
  <w:num w:numId="2">
    <w:abstractNumId w:val="7"/>
  </w:num>
  <w:num w:numId="3">
    <w:abstractNumId w:val="6"/>
  </w:num>
  <w:num w:numId="4">
    <w:abstractNumId w:val="5"/>
  </w:num>
  <w:num w:numId="5">
    <w:abstractNumId w:val="4"/>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40"/>
  <w:drawingGridVerticalSpacing w:val="381"/>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zMyODBiYjE1NjA1MWI1NDA1YTk3NDFhMzg3NzIifQ=="/>
  </w:docVars>
  <w:rsids>
    <w:rsidRoot w:val="00172A27"/>
    <w:rsid w:val="0000126C"/>
    <w:rsid w:val="000024CE"/>
    <w:rsid w:val="00003C30"/>
    <w:rsid w:val="00005B83"/>
    <w:rsid w:val="000061A9"/>
    <w:rsid w:val="0000651E"/>
    <w:rsid w:val="0000791D"/>
    <w:rsid w:val="00010534"/>
    <w:rsid w:val="00012FF5"/>
    <w:rsid w:val="00013AA8"/>
    <w:rsid w:val="000165F1"/>
    <w:rsid w:val="00016F79"/>
    <w:rsid w:val="0002002A"/>
    <w:rsid w:val="00021224"/>
    <w:rsid w:val="0002445F"/>
    <w:rsid w:val="000249BC"/>
    <w:rsid w:val="0002523C"/>
    <w:rsid w:val="000257BB"/>
    <w:rsid w:val="00026AC1"/>
    <w:rsid w:val="00031104"/>
    <w:rsid w:val="00033F68"/>
    <w:rsid w:val="00035B2C"/>
    <w:rsid w:val="00036023"/>
    <w:rsid w:val="00036155"/>
    <w:rsid w:val="000404A3"/>
    <w:rsid w:val="00041F0B"/>
    <w:rsid w:val="000430A0"/>
    <w:rsid w:val="00043E87"/>
    <w:rsid w:val="00045788"/>
    <w:rsid w:val="0004585D"/>
    <w:rsid w:val="00051453"/>
    <w:rsid w:val="00051DD3"/>
    <w:rsid w:val="00064743"/>
    <w:rsid w:val="00065061"/>
    <w:rsid w:val="00066223"/>
    <w:rsid w:val="00067BC3"/>
    <w:rsid w:val="000751C6"/>
    <w:rsid w:val="0007543C"/>
    <w:rsid w:val="00075D41"/>
    <w:rsid w:val="00075EF6"/>
    <w:rsid w:val="00076370"/>
    <w:rsid w:val="00076D85"/>
    <w:rsid w:val="0007746B"/>
    <w:rsid w:val="000815CC"/>
    <w:rsid w:val="00083077"/>
    <w:rsid w:val="0008449E"/>
    <w:rsid w:val="00084BB1"/>
    <w:rsid w:val="00086401"/>
    <w:rsid w:val="00087236"/>
    <w:rsid w:val="000909E9"/>
    <w:rsid w:val="0009355C"/>
    <w:rsid w:val="00093FE8"/>
    <w:rsid w:val="00094612"/>
    <w:rsid w:val="0009659C"/>
    <w:rsid w:val="000A1B73"/>
    <w:rsid w:val="000A415E"/>
    <w:rsid w:val="000A7A67"/>
    <w:rsid w:val="000B0CEA"/>
    <w:rsid w:val="000B3186"/>
    <w:rsid w:val="000B61C2"/>
    <w:rsid w:val="000B68A5"/>
    <w:rsid w:val="000B6BC6"/>
    <w:rsid w:val="000B6CDF"/>
    <w:rsid w:val="000B7F3A"/>
    <w:rsid w:val="000C3FDF"/>
    <w:rsid w:val="000C596B"/>
    <w:rsid w:val="000C5ACD"/>
    <w:rsid w:val="000C70C1"/>
    <w:rsid w:val="000D0A68"/>
    <w:rsid w:val="000D16A6"/>
    <w:rsid w:val="000D19DA"/>
    <w:rsid w:val="000D1B21"/>
    <w:rsid w:val="000D2966"/>
    <w:rsid w:val="000D5755"/>
    <w:rsid w:val="000D730D"/>
    <w:rsid w:val="000D746C"/>
    <w:rsid w:val="000D78FC"/>
    <w:rsid w:val="000E188A"/>
    <w:rsid w:val="000E1B79"/>
    <w:rsid w:val="000E2072"/>
    <w:rsid w:val="000E238A"/>
    <w:rsid w:val="000E28B0"/>
    <w:rsid w:val="000E2934"/>
    <w:rsid w:val="000E32BB"/>
    <w:rsid w:val="000E333F"/>
    <w:rsid w:val="000E3965"/>
    <w:rsid w:val="000F0EA5"/>
    <w:rsid w:val="000F357E"/>
    <w:rsid w:val="000F5DC6"/>
    <w:rsid w:val="000F6780"/>
    <w:rsid w:val="00102F7D"/>
    <w:rsid w:val="00103EB0"/>
    <w:rsid w:val="0010692B"/>
    <w:rsid w:val="00106C05"/>
    <w:rsid w:val="001075A8"/>
    <w:rsid w:val="0011467C"/>
    <w:rsid w:val="00114C66"/>
    <w:rsid w:val="001151FD"/>
    <w:rsid w:val="0012380A"/>
    <w:rsid w:val="0012397C"/>
    <w:rsid w:val="00123C0C"/>
    <w:rsid w:val="00124B58"/>
    <w:rsid w:val="00124C3C"/>
    <w:rsid w:val="00125AB5"/>
    <w:rsid w:val="00132FA3"/>
    <w:rsid w:val="00137336"/>
    <w:rsid w:val="001428CA"/>
    <w:rsid w:val="00142968"/>
    <w:rsid w:val="00143BAA"/>
    <w:rsid w:val="0014664A"/>
    <w:rsid w:val="00151ECB"/>
    <w:rsid w:val="00153C32"/>
    <w:rsid w:val="00156C1F"/>
    <w:rsid w:val="0016559D"/>
    <w:rsid w:val="001662A7"/>
    <w:rsid w:val="00171117"/>
    <w:rsid w:val="001714C1"/>
    <w:rsid w:val="00172A27"/>
    <w:rsid w:val="0017332F"/>
    <w:rsid w:val="001806F2"/>
    <w:rsid w:val="00180E3E"/>
    <w:rsid w:val="0018169F"/>
    <w:rsid w:val="00182189"/>
    <w:rsid w:val="0018267C"/>
    <w:rsid w:val="00182CCD"/>
    <w:rsid w:val="00186C82"/>
    <w:rsid w:val="001906DE"/>
    <w:rsid w:val="001A27FE"/>
    <w:rsid w:val="001A2FCA"/>
    <w:rsid w:val="001A33AE"/>
    <w:rsid w:val="001A4BD9"/>
    <w:rsid w:val="001B16C1"/>
    <w:rsid w:val="001B2A18"/>
    <w:rsid w:val="001B2A8A"/>
    <w:rsid w:val="001B48EA"/>
    <w:rsid w:val="001B4ED2"/>
    <w:rsid w:val="001B5352"/>
    <w:rsid w:val="001B5460"/>
    <w:rsid w:val="001B5B84"/>
    <w:rsid w:val="001B6964"/>
    <w:rsid w:val="001B7902"/>
    <w:rsid w:val="001C00AF"/>
    <w:rsid w:val="001C2EAD"/>
    <w:rsid w:val="001C39C0"/>
    <w:rsid w:val="001C3FF4"/>
    <w:rsid w:val="001C46F5"/>
    <w:rsid w:val="001C62C5"/>
    <w:rsid w:val="001C7AA2"/>
    <w:rsid w:val="001D1E2E"/>
    <w:rsid w:val="001D1E31"/>
    <w:rsid w:val="001D2085"/>
    <w:rsid w:val="001E0FF2"/>
    <w:rsid w:val="001E440F"/>
    <w:rsid w:val="001E51F5"/>
    <w:rsid w:val="001F0843"/>
    <w:rsid w:val="001F0A54"/>
    <w:rsid w:val="001F0B12"/>
    <w:rsid w:val="001F135D"/>
    <w:rsid w:val="001F43C9"/>
    <w:rsid w:val="001F6C3D"/>
    <w:rsid w:val="002015B5"/>
    <w:rsid w:val="00202ACD"/>
    <w:rsid w:val="00206031"/>
    <w:rsid w:val="00207D25"/>
    <w:rsid w:val="00212BF5"/>
    <w:rsid w:val="0021352E"/>
    <w:rsid w:val="00217155"/>
    <w:rsid w:val="002205FF"/>
    <w:rsid w:val="0022132C"/>
    <w:rsid w:val="002259CF"/>
    <w:rsid w:val="00231A1B"/>
    <w:rsid w:val="00231C5C"/>
    <w:rsid w:val="0023238F"/>
    <w:rsid w:val="002341DE"/>
    <w:rsid w:val="0023477D"/>
    <w:rsid w:val="00235449"/>
    <w:rsid w:val="00235A52"/>
    <w:rsid w:val="00235CCF"/>
    <w:rsid w:val="00236A69"/>
    <w:rsid w:val="00240401"/>
    <w:rsid w:val="00240443"/>
    <w:rsid w:val="00240625"/>
    <w:rsid w:val="00241945"/>
    <w:rsid w:val="0024223A"/>
    <w:rsid w:val="00242FE6"/>
    <w:rsid w:val="00243E7A"/>
    <w:rsid w:val="002440FA"/>
    <w:rsid w:val="0025248F"/>
    <w:rsid w:val="0025325E"/>
    <w:rsid w:val="00253A3C"/>
    <w:rsid w:val="00260040"/>
    <w:rsid w:val="00260D9B"/>
    <w:rsid w:val="00260F76"/>
    <w:rsid w:val="00260FB5"/>
    <w:rsid w:val="002652E3"/>
    <w:rsid w:val="002704FA"/>
    <w:rsid w:val="00272905"/>
    <w:rsid w:val="00273E8C"/>
    <w:rsid w:val="00276547"/>
    <w:rsid w:val="00277D12"/>
    <w:rsid w:val="00282140"/>
    <w:rsid w:val="00286201"/>
    <w:rsid w:val="00286794"/>
    <w:rsid w:val="00286BF9"/>
    <w:rsid w:val="00287EB4"/>
    <w:rsid w:val="0029035D"/>
    <w:rsid w:val="00291DC9"/>
    <w:rsid w:val="002945A0"/>
    <w:rsid w:val="00296713"/>
    <w:rsid w:val="002A0232"/>
    <w:rsid w:val="002A26F2"/>
    <w:rsid w:val="002A32EA"/>
    <w:rsid w:val="002A3F9A"/>
    <w:rsid w:val="002A421B"/>
    <w:rsid w:val="002B0440"/>
    <w:rsid w:val="002B061F"/>
    <w:rsid w:val="002B1624"/>
    <w:rsid w:val="002B2FE4"/>
    <w:rsid w:val="002B58F1"/>
    <w:rsid w:val="002B5B6E"/>
    <w:rsid w:val="002B5B8B"/>
    <w:rsid w:val="002B5D83"/>
    <w:rsid w:val="002C09B3"/>
    <w:rsid w:val="002C139A"/>
    <w:rsid w:val="002C214B"/>
    <w:rsid w:val="002C2BB1"/>
    <w:rsid w:val="002C2EE8"/>
    <w:rsid w:val="002C4308"/>
    <w:rsid w:val="002C5461"/>
    <w:rsid w:val="002C6659"/>
    <w:rsid w:val="002D0458"/>
    <w:rsid w:val="002D21C3"/>
    <w:rsid w:val="002D245C"/>
    <w:rsid w:val="002D2492"/>
    <w:rsid w:val="002D3CA7"/>
    <w:rsid w:val="002D4A89"/>
    <w:rsid w:val="002D65EE"/>
    <w:rsid w:val="002D66C2"/>
    <w:rsid w:val="002E0E94"/>
    <w:rsid w:val="002E46BB"/>
    <w:rsid w:val="002E4BA9"/>
    <w:rsid w:val="002E4BBB"/>
    <w:rsid w:val="002E4FA5"/>
    <w:rsid w:val="002E641A"/>
    <w:rsid w:val="002F048A"/>
    <w:rsid w:val="002F12D2"/>
    <w:rsid w:val="002F3FBC"/>
    <w:rsid w:val="0030229D"/>
    <w:rsid w:val="00302CFC"/>
    <w:rsid w:val="00302F91"/>
    <w:rsid w:val="003047FD"/>
    <w:rsid w:val="00305381"/>
    <w:rsid w:val="00305CCD"/>
    <w:rsid w:val="00307033"/>
    <w:rsid w:val="0030772D"/>
    <w:rsid w:val="00311F20"/>
    <w:rsid w:val="003120E0"/>
    <w:rsid w:val="00313383"/>
    <w:rsid w:val="0031355A"/>
    <w:rsid w:val="003139AD"/>
    <w:rsid w:val="0031532B"/>
    <w:rsid w:val="00316EA9"/>
    <w:rsid w:val="00321AEA"/>
    <w:rsid w:val="0032256D"/>
    <w:rsid w:val="00322662"/>
    <w:rsid w:val="0032373D"/>
    <w:rsid w:val="00325085"/>
    <w:rsid w:val="00332595"/>
    <w:rsid w:val="0033286A"/>
    <w:rsid w:val="0034042E"/>
    <w:rsid w:val="00341600"/>
    <w:rsid w:val="00343606"/>
    <w:rsid w:val="00344A25"/>
    <w:rsid w:val="0034534B"/>
    <w:rsid w:val="00347535"/>
    <w:rsid w:val="00350F3E"/>
    <w:rsid w:val="003541DF"/>
    <w:rsid w:val="00355328"/>
    <w:rsid w:val="0035665E"/>
    <w:rsid w:val="00361174"/>
    <w:rsid w:val="0036228A"/>
    <w:rsid w:val="003630C1"/>
    <w:rsid w:val="003631B3"/>
    <w:rsid w:val="00371CDF"/>
    <w:rsid w:val="00371E02"/>
    <w:rsid w:val="0037248C"/>
    <w:rsid w:val="00372BA8"/>
    <w:rsid w:val="00374575"/>
    <w:rsid w:val="003750B7"/>
    <w:rsid w:val="003755F5"/>
    <w:rsid w:val="00377981"/>
    <w:rsid w:val="0038165D"/>
    <w:rsid w:val="003861CF"/>
    <w:rsid w:val="003862DF"/>
    <w:rsid w:val="0039485C"/>
    <w:rsid w:val="003A04F4"/>
    <w:rsid w:val="003A45F8"/>
    <w:rsid w:val="003A520B"/>
    <w:rsid w:val="003B3D37"/>
    <w:rsid w:val="003B53C9"/>
    <w:rsid w:val="003B5DE7"/>
    <w:rsid w:val="003B6237"/>
    <w:rsid w:val="003B635D"/>
    <w:rsid w:val="003C0D00"/>
    <w:rsid w:val="003C2131"/>
    <w:rsid w:val="003C3144"/>
    <w:rsid w:val="003C4190"/>
    <w:rsid w:val="003C4701"/>
    <w:rsid w:val="003C50E6"/>
    <w:rsid w:val="003C6748"/>
    <w:rsid w:val="003C6DB7"/>
    <w:rsid w:val="003D2F62"/>
    <w:rsid w:val="003D3E68"/>
    <w:rsid w:val="003D4338"/>
    <w:rsid w:val="003D4759"/>
    <w:rsid w:val="003D5059"/>
    <w:rsid w:val="003D5AE5"/>
    <w:rsid w:val="003D6CA4"/>
    <w:rsid w:val="003E0167"/>
    <w:rsid w:val="003E0AA2"/>
    <w:rsid w:val="003E377D"/>
    <w:rsid w:val="003E40D0"/>
    <w:rsid w:val="003E5C59"/>
    <w:rsid w:val="003E7809"/>
    <w:rsid w:val="003F0247"/>
    <w:rsid w:val="003F0EF2"/>
    <w:rsid w:val="003F37F6"/>
    <w:rsid w:val="003F3F2E"/>
    <w:rsid w:val="003F7F7C"/>
    <w:rsid w:val="00401D2B"/>
    <w:rsid w:val="004031B1"/>
    <w:rsid w:val="00404556"/>
    <w:rsid w:val="004048EA"/>
    <w:rsid w:val="004060A4"/>
    <w:rsid w:val="00406F52"/>
    <w:rsid w:val="0041140E"/>
    <w:rsid w:val="00413004"/>
    <w:rsid w:val="00416C4B"/>
    <w:rsid w:val="00420C07"/>
    <w:rsid w:val="00421084"/>
    <w:rsid w:val="00424B5B"/>
    <w:rsid w:val="00424BCA"/>
    <w:rsid w:val="004252F7"/>
    <w:rsid w:val="004257C0"/>
    <w:rsid w:val="00431E35"/>
    <w:rsid w:val="004328F6"/>
    <w:rsid w:val="00435B50"/>
    <w:rsid w:val="004370E0"/>
    <w:rsid w:val="00441D27"/>
    <w:rsid w:val="0044353B"/>
    <w:rsid w:val="0044518F"/>
    <w:rsid w:val="004454D0"/>
    <w:rsid w:val="00446F7F"/>
    <w:rsid w:val="00447826"/>
    <w:rsid w:val="00447CB7"/>
    <w:rsid w:val="00453B1E"/>
    <w:rsid w:val="00456BAE"/>
    <w:rsid w:val="00457A99"/>
    <w:rsid w:val="004606AA"/>
    <w:rsid w:val="0046171D"/>
    <w:rsid w:val="004625BB"/>
    <w:rsid w:val="00462957"/>
    <w:rsid w:val="00466B19"/>
    <w:rsid w:val="004675E3"/>
    <w:rsid w:val="00471D81"/>
    <w:rsid w:val="00472C96"/>
    <w:rsid w:val="00472E49"/>
    <w:rsid w:val="0047483C"/>
    <w:rsid w:val="00474A41"/>
    <w:rsid w:val="004769E2"/>
    <w:rsid w:val="0047723F"/>
    <w:rsid w:val="00480AF6"/>
    <w:rsid w:val="00482C46"/>
    <w:rsid w:val="0048596E"/>
    <w:rsid w:val="00486F36"/>
    <w:rsid w:val="00495E18"/>
    <w:rsid w:val="004A2F93"/>
    <w:rsid w:val="004A4478"/>
    <w:rsid w:val="004A60DD"/>
    <w:rsid w:val="004A6233"/>
    <w:rsid w:val="004A6611"/>
    <w:rsid w:val="004A6959"/>
    <w:rsid w:val="004B025E"/>
    <w:rsid w:val="004B1D50"/>
    <w:rsid w:val="004B1DC6"/>
    <w:rsid w:val="004B43BB"/>
    <w:rsid w:val="004B6ABD"/>
    <w:rsid w:val="004B70D8"/>
    <w:rsid w:val="004C2865"/>
    <w:rsid w:val="004C3019"/>
    <w:rsid w:val="004C7CC5"/>
    <w:rsid w:val="004C7F86"/>
    <w:rsid w:val="004D035F"/>
    <w:rsid w:val="004D62CB"/>
    <w:rsid w:val="004E2877"/>
    <w:rsid w:val="004E3AA8"/>
    <w:rsid w:val="004E5775"/>
    <w:rsid w:val="004E728A"/>
    <w:rsid w:val="004F1360"/>
    <w:rsid w:val="004F403F"/>
    <w:rsid w:val="004F4329"/>
    <w:rsid w:val="004F5EB6"/>
    <w:rsid w:val="004F64E2"/>
    <w:rsid w:val="005020FC"/>
    <w:rsid w:val="00506026"/>
    <w:rsid w:val="005060D6"/>
    <w:rsid w:val="00507F6D"/>
    <w:rsid w:val="005148AB"/>
    <w:rsid w:val="00517023"/>
    <w:rsid w:val="00517EB8"/>
    <w:rsid w:val="005207DD"/>
    <w:rsid w:val="005235ED"/>
    <w:rsid w:val="00523E4C"/>
    <w:rsid w:val="00524D35"/>
    <w:rsid w:val="00524DAB"/>
    <w:rsid w:val="00526D99"/>
    <w:rsid w:val="0053087A"/>
    <w:rsid w:val="00531A6C"/>
    <w:rsid w:val="00533869"/>
    <w:rsid w:val="0053534C"/>
    <w:rsid w:val="0053615E"/>
    <w:rsid w:val="00536D1E"/>
    <w:rsid w:val="00537D56"/>
    <w:rsid w:val="00541CB9"/>
    <w:rsid w:val="00542CBE"/>
    <w:rsid w:val="00544B83"/>
    <w:rsid w:val="00550B92"/>
    <w:rsid w:val="0055113D"/>
    <w:rsid w:val="005552C5"/>
    <w:rsid w:val="00563295"/>
    <w:rsid w:val="00564100"/>
    <w:rsid w:val="005642B0"/>
    <w:rsid w:val="00567FEE"/>
    <w:rsid w:val="00572E4D"/>
    <w:rsid w:val="00574B6E"/>
    <w:rsid w:val="005756C0"/>
    <w:rsid w:val="005759CE"/>
    <w:rsid w:val="00576193"/>
    <w:rsid w:val="0057778F"/>
    <w:rsid w:val="005800BC"/>
    <w:rsid w:val="00582097"/>
    <w:rsid w:val="005821FC"/>
    <w:rsid w:val="00583734"/>
    <w:rsid w:val="0059207C"/>
    <w:rsid w:val="00593882"/>
    <w:rsid w:val="00596498"/>
    <w:rsid w:val="00597A38"/>
    <w:rsid w:val="00597DB4"/>
    <w:rsid w:val="005A0252"/>
    <w:rsid w:val="005A1D04"/>
    <w:rsid w:val="005A3223"/>
    <w:rsid w:val="005A3DAA"/>
    <w:rsid w:val="005A79DB"/>
    <w:rsid w:val="005B5769"/>
    <w:rsid w:val="005B5CC0"/>
    <w:rsid w:val="005C0FE2"/>
    <w:rsid w:val="005C1E82"/>
    <w:rsid w:val="005C2BFD"/>
    <w:rsid w:val="005C35E7"/>
    <w:rsid w:val="005C36A8"/>
    <w:rsid w:val="005C7494"/>
    <w:rsid w:val="005D121C"/>
    <w:rsid w:val="005D3E86"/>
    <w:rsid w:val="005D44BF"/>
    <w:rsid w:val="005D54A7"/>
    <w:rsid w:val="005D617B"/>
    <w:rsid w:val="005E1817"/>
    <w:rsid w:val="005E43A8"/>
    <w:rsid w:val="005E4829"/>
    <w:rsid w:val="005E5102"/>
    <w:rsid w:val="005E64B0"/>
    <w:rsid w:val="005E7139"/>
    <w:rsid w:val="005F2514"/>
    <w:rsid w:val="005F6DFD"/>
    <w:rsid w:val="00601236"/>
    <w:rsid w:val="006022A7"/>
    <w:rsid w:val="00604100"/>
    <w:rsid w:val="0060418A"/>
    <w:rsid w:val="006046AD"/>
    <w:rsid w:val="00605A4B"/>
    <w:rsid w:val="006075B6"/>
    <w:rsid w:val="00607A3D"/>
    <w:rsid w:val="00610B41"/>
    <w:rsid w:val="00612BC8"/>
    <w:rsid w:val="006132CF"/>
    <w:rsid w:val="006143B6"/>
    <w:rsid w:val="0061498C"/>
    <w:rsid w:val="0061535E"/>
    <w:rsid w:val="0061665B"/>
    <w:rsid w:val="006201D0"/>
    <w:rsid w:val="00620F32"/>
    <w:rsid w:val="00624350"/>
    <w:rsid w:val="00627904"/>
    <w:rsid w:val="00627A82"/>
    <w:rsid w:val="00631750"/>
    <w:rsid w:val="0063736E"/>
    <w:rsid w:val="006377B3"/>
    <w:rsid w:val="006404E2"/>
    <w:rsid w:val="00640616"/>
    <w:rsid w:val="006412A5"/>
    <w:rsid w:val="006439C6"/>
    <w:rsid w:val="00644DDC"/>
    <w:rsid w:val="006450ED"/>
    <w:rsid w:val="00646A58"/>
    <w:rsid w:val="0065112C"/>
    <w:rsid w:val="006528B4"/>
    <w:rsid w:val="00652E6B"/>
    <w:rsid w:val="006626E3"/>
    <w:rsid w:val="00665168"/>
    <w:rsid w:val="006661CD"/>
    <w:rsid w:val="006668D3"/>
    <w:rsid w:val="00672DD7"/>
    <w:rsid w:val="00680282"/>
    <w:rsid w:val="00680C64"/>
    <w:rsid w:val="00681E9A"/>
    <w:rsid w:val="006820D9"/>
    <w:rsid w:val="00684942"/>
    <w:rsid w:val="00690285"/>
    <w:rsid w:val="00691A23"/>
    <w:rsid w:val="00694276"/>
    <w:rsid w:val="00695F49"/>
    <w:rsid w:val="0069619D"/>
    <w:rsid w:val="006964AB"/>
    <w:rsid w:val="00697BFC"/>
    <w:rsid w:val="006A0B83"/>
    <w:rsid w:val="006A14ED"/>
    <w:rsid w:val="006A29EF"/>
    <w:rsid w:val="006A3093"/>
    <w:rsid w:val="006A48D6"/>
    <w:rsid w:val="006A54BF"/>
    <w:rsid w:val="006A569F"/>
    <w:rsid w:val="006B0FD1"/>
    <w:rsid w:val="006B178B"/>
    <w:rsid w:val="006C2DE8"/>
    <w:rsid w:val="006C5D65"/>
    <w:rsid w:val="006C5D8C"/>
    <w:rsid w:val="006C5D90"/>
    <w:rsid w:val="006C7B01"/>
    <w:rsid w:val="006D01DA"/>
    <w:rsid w:val="006D29D7"/>
    <w:rsid w:val="006D7703"/>
    <w:rsid w:val="006E39B3"/>
    <w:rsid w:val="006E5DCF"/>
    <w:rsid w:val="006E62D4"/>
    <w:rsid w:val="006E62EA"/>
    <w:rsid w:val="006E679C"/>
    <w:rsid w:val="006F12CE"/>
    <w:rsid w:val="006F1E0F"/>
    <w:rsid w:val="006F307D"/>
    <w:rsid w:val="006F4BF7"/>
    <w:rsid w:val="006F6112"/>
    <w:rsid w:val="006F6E8F"/>
    <w:rsid w:val="00712937"/>
    <w:rsid w:val="007137D2"/>
    <w:rsid w:val="00714B27"/>
    <w:rsid w:val="00715CBD"/>
    <w:rsid w:val="007165A5"/>
    <w:rsid w:val="00721E54"/>
    <w:rsid w:val="00723712"/>
    <w:rsid w:val="00726CD4"/>
    <w:rsid w:val="007278DE"/>
    <w:rsid w:val="00727ED0"/>
    <w:rsid w:val="00730FDD"/>
    <w:rsid w:val="00731950"/>
    <w:rsid w:val="0073301A"/>
    <w:rsid w:val="0073383D"/>
    <w:rsid w:val="007371C4"/>
    <w:rsid w:val="007379FC"/>
    <w:rsid w:val="00737D74"/>
    <w:rsid w:val="00740465"/>
    <w:rsid w:val="00742A0E"/>
    <w:rsid w:val="0074433F"/>
    <w:rsid w:val="00751BBC"/>
    <w:rsid w:val="0075278D"/>
    <w:rsid w:val="00752EA6"/>
    <w:rsid w:val="007603DC"/>
    <w:rsid w:val="00760AFA"/>
    <w:rsid w:val="00761DAC"/>
    <w:rsid w:val="007653AE"/>
    <w:rsid w:val="0076783A"/>
    <w:rsid w:val="00770A1F"/>
    <w:rsid w:val="00774928"/>
    <w:rsid w:val="007768FF"/>
    <w:rsid w:val="00776CC1"/>
    <w:rsid w:val="007778E7"/>
    <w:rsid w:val="00777E6C"/>
    <w:rsid w:val="007822CC"/>
    <w:rsid w:val="00783A92"/>
    <w:rsid w:val="00794C07"/>
    <w:rsid w:val="00794F02"/>
    <w:rsid w:val="007965CC"/>
    <w:rsid w:val="00797151"/>
    <w:rsid w:val="007973D7"/>
    <w:rsid w:val="007977C2"/>
    <w:rsid w:val="00797B0C"/>
    <w:rsid w:val="007A16A5"/>
    <w:rsid w:val="007A5227"/>
    <w:rsid w:val="007A5FAE"/>
    <w:rsid w:val="007A7FC3"/>
    <w:rsid w:val="007B0B01"/>
    <w:rsid w:val="007B22B3"/>
    <w:rsid w:val="007B5654"/>
    <w:rsid w:val="007B6520"/>
    <w:rsid w:val="007C39DD"/>
    <w:rsid w:val="007C6B40"/>
    <w:rsid w:val="007C707B"/>
    <w:rsid w:val="007D14D9"/>
    <w:rsid w:val="007D3BD5"/>
    <w:rsid w:val="007D5BDA"/>
    <w:rsid w:val="007D7B0C"/>
    <w:rsid w:val="007E2318"/>
    <w:rsid w:val="007E3446"/>
    <w:rsid w:val="007E5F8D"/>
    <w:rsid w:val="007E66BF"/>
    <w:rsid w:val="007F44D0"/>
    <w:rsid w:val="007F4532"/>
    <w:rsid w:val="007F46AC"/>
    <w:rsid w:val="007F4736"/>
    <w:rsid w:val="008007CB"/>
    <w:rsid w:val="008028E8"/>
    <w:rsid w:val="00804B65"/>
    <w:rsid w:val="00804E6E"/>
    <w:rsid w:val="00811F26"/>
    <w:rsid w:val="00814006"/>
    <w:rsid w:val="00815963"/>
    <w:rsid w:val="00820639"/>
    <w:rsid w:val="00823809"/>
    <w:rsid w:val="008239B9"/>
    <w:rsid w:val="0082413A"/>
    <w:rsid w:val="008339F6"/>
    <w:rsid w:val="00835458"/>
    <w:rsid w:val="008354AA"/>
    <w:rsid w:val="00835892"/>
    <w:rsid w:val="0083717A"/>
    <w:rsid w:val="008410A4"/>
    <w:rsid w:val="00841E87"/>
    <w:rsid w:val="00842B42"/>
    <w:rsid w:val="008431BE"/>
    <w:rsid w:val="008457B0"/>
    <w:rsid w:val="00847195"/>
    <w:rsid w:val="00850CD1"/>
    <w:rsid w:val="00856BDF"/>
    <w:rsid w:val="008571E1"/>
    <w:rsid w:val="00861D6B"/>
    <w:rsid w:val="008620D8"/>
    <w:rsid w:val="00862124"/>
    <w:rsid w:val="008629D8"/>
    <w:rsid w:val="0086505E"/>
    <w:rsid w:val="008702CD"/>
    <w:rsid w:val="00871C46"/>
    <w:rsid w:val="00872152"/>
    <w:rsid w:val="00872525"/>
    <w:rsid w:val="00874B5B"/>
    <w:rsid w:val="00874FE2"/>
    <w:rsid w:val="00875F72"/>
    <w:rsid w:val="00880846"/>
    <w:rsid w:val="008813DC"/>
    <w:rsid w:val="00881D03"/>
    <w:rsid w:val="00885615"/>
    <w:rsid w:val="00886BBF"/>
    <w:rsid w:val="00887B5E"/>
    <w:rsid w:val="00893A8C"/>
    <w:rsid w:val="008943B8"/>
    <w:rsid w:val="008945E0"/>
    <w:rsid w:val="00895385"/>
    <w:rsid w:val="00896025"/>
    <w:rsid w:val="008A46F2"/>
    <w:rsid w:val="008A47E9"/>
    <w:rsid w:val="008A4894"/>
    <w:rsid w:val="008A65F4"/>
    <w:rsid w:val="008A684E"/>
    <w:rsid w:val="008A7FA4"/>
    <w:rsid w:val="008B0F7B"/>
    <w:rsid w:val="008B20E4"/>
    <w:rsid w:val="008B25E2"/>
    <w:rsid w:val="008B2ADE"/>
    <w:rsid w:val="008B7ADA"/>
    <w:rsid w:val="008C4760"/>
    <w:rsid w:val="008D21E6"/>
    <w:rsid w:val="008D4F25"/>
    <w:rsid w:val="008D5D98"/>
    <w:rsid w:val="008E0001"/>
    <w:rsid w:val="008E558C"/>
    <w:rsid w:val="008E5B77"/>
    <w:rsid w:val="008E5D7B"/>
    <w:rsid w:val="008E669F"/>
    <w:rsid w:val="008E66D7"/>
    <w:rsid w:val="008F014D"/>
    <w:rsid w:val="008F1ED6"/>
    <w:rsid w:val="008F27B3"/>
    <w:rsid w:val="008F2BA4"/>
    <w:rsid w:val="008F652C"/>
    <w:rsid w:val="00901D2B"/>
    <w:rsid w:val="0090270A"/>
    <w:rsid w:val="00903FC3"/>
    <w:rsid w:val="00904641"/>
    <w:rsid w:val="00906C10"/>
    <w:rsid w:val="00910550"/>
    <w:rsid w:val="00911796"/>
    <w:rsid w:val="00914B48"/>
    <w:rsid w:val="0091695E"/>
    <w:rsid w:val="00916ABF"/>
    <w:rsid w:val="00917690"/>
    <w:rsid w:val="0092136A"/>
    <w:rsid w:val="0092270F"/>
    <w:rsid w:val="009239A0"/>
    <w:rsid w:val="00924701"/>
    <w:rsid w:val="00926803"/>
    <w:rsid w:val="00930A6C"/>
    <w:rsid w:val="009318B3"/>
    <w:rsid w:val="00931921"/>
    <w:rsid w:val="00932CD9"/>
    <w:rsid w:val="00936C81"/>
    <w:rsid w:val="00940574"/>
    <w:rsid w:val="009538C1"/>
    <w:rsid w:val="00957E2B"/>
    <w:rsid w:val="00957F7B"/>
    <w:rsid w:val="00960026"/>
    <w:rsid w:val="009620EE"/>
    <w:rsid w:val="009640B7"/>
    <w:rsid w:val="00964619"/>
    <w:rsid w:val="00964D10"/>
    <w:rsid w:val="009726F9"/>
    <w:rsid w:val="009729CF"/>
    <w:rsid w:val="009773E3"/>
    <w:rsid w:val="0097782D"/>
    <w:rsid w:val="009831D3"/>
    <w:rsid w:val="009856E1"/>
    <w:rsid w:val="009907F7"/>
    <w:rsid w:val="00990DEE"/>
    <w:rsid w:val="00991223"/>
    <w:rsid w:val="0099240A"/>
    <w:rsid w:val="009935A5"/>
    <w:rsid w:val="00993CA3"/>
    <w:rsid w:val="00994437"/>
    <w:rsid w:val="009A118B"/>
    <w:rsid w:val="009A1381"/>
    <w:rsid w:val="009A4184"/>
    <w:rsid w:val="009A4EC1"/>
    <w:rsid w:val="009B0DE6"/>
    <w:rsid w:val="009B5BF6"/>
    <w:rsid w:val="009C0386"/>
    <w:rsid w:val="009C2365"/>
    <w:rsid w:val="009C2BBC"/>
    <w:rsid w:val="009C3849"/>
    <w:rsid w:val="009C7BA6"/>
    <w:rsid w:val="009D233B"/>
    <w:rsid w:val="009D2F15"/>
    <w:rsid w:val="009D3103"/>
    <w:rsid w:val="009D39B9"/>
    <w:rsid w:val="009D39F5"/>
    <w:rsid w:val="009D7030"/>
    <w:rsid w:val="009D7A07"/>
    <w:rsid w:val="009E1F97"/>
    <w:rsid w:val="009E51C1"/>
    <w:rsid w:val="009E6DDD"/>
    <w:rsid w:val="009F1A93"/>
    <w:rsid w:val="009F2A3A"/>
    <w:rsid w:val="009F5D13"/>
    <w:rsid w:val="00A04EBE"/>
    <w:rsid w:val="00A05EE8"/>
    <w:rsid w:val="00A05F00"/>
    <w:rsid w:val="00A07EA3"/>
    <w:rsid w:val="00A12206"/>
    <w:rsid w:val="00A12D56"/>
    <w:rsid w:val="00A14235"/>
    <w:rsid w:val="00A14497"/>
    <w:rsid w:val="00A160C2"/>
    <w:rsid w:val="00A16290"/>
    <w:rsid w:val="00A22F1F"/>
    <w:rsid w:val="00A24056"/>
    <w:rsid w:val="00A24A87"/>
    <w:rsid w:val="00A30B6E"/>
    <w:rsid w:val="00A320CC"/>
    <w:rsid w:val="00A32856"/>
    <w:rsid w:val="00A34465"/>
    <w:rsid w:val="00A36182"/>
    <w:rsid w:val="00A408CB"/>
    <w:rsid w:val="00A41670"/>
    <w:rsid w:val="00A4240B"/>
    <w:rsid w:val="00A50994"/>
    <w:rsid w:val="00A50BC9"/>
    <w:rsid w:val="00A51F54"/>
    <w:rsid w:val="00A54517"/>
    <w:rsid w:val="00A54A86"/>
    <w:rsid w:val="00A559DE"/>
    <w:rsid w:val="00A63B06"/>
    <w:rsid w:val="00A65943"/>
    <w:rsid w:val="00A67050"/>
    <w:rsid w:val="00A671E9"/>
    <w:rsid w:val="00A71D35"/>
    <w:rsid w:val="00A73745"/>
    <w:rsid w:val="00A7573C"/>
    <w:rsid w:val="00A76A86"/>
    <w:rsid w:val="00A77DD5"/>
    <w:rsid w:val="00A80F03"/>
    <w:rsid w:val="00A8207D"/>
    <w:rsid w:val="00A82B3A"/>
    <w:rsid w:val="00A84565"/>
    <w:rsid w:val="00A84C32"/>
    <w:rsid w:val="00A84EAC"/>
    <w:rsid w:val="00A908D2"/>
    <w:rsid w:val="00A91B9E"/>
    <w:rsid w:val="00A97520"/>
    <w:rsid w:val="00AA2CC4"/>
    <w:rsid w:val="00AA3050"/>
    <w:rsid w:val="00AA6617"/>
    <w:rsid w:val="00AB0939"/>
    <w:rsid w:val="00AB0A3D"/>
    <w:rsid w:val="00AB0BE8"/>
    <w:rsid w:val="00AB2E65"/>
    <w:rsid w:val="00AB4E4F"/>
    <w:rsid w:val="00AB760D"/>
    <w:rsid w:val="00AB7DFA"/>
    <w:rsid w:val="00AC1E5E"/>
    <w:rsid w:val="00AC1FE7"/>
    <w:rsid w:val="00AC21DC"/>
    <w:rsid w:val="00AC3185"/>
    <w:rsid w:val="00AC7810"/>
    <w:rsid w:val="00AD2D2F"/>
    <w:rsid w:val="00AD3109"/>
    <w:rsid w:val="00AD34CC"/>
    <w:rsid w:val="00AD4B4C"/>
    <w:rsid w:val="00AD5345"/>
    <w:rsid w:val="00AD672B"/>
    <w:rsid w:val="00AD753B"/>
    <w:rsid w:val="00AE1BF4"/>
    <w:rsid w:val="00AE24C6"/>
    <w:rsid w:val="00AE24D0"/>
    <w:rsid w:val="00AE2F43"/>
    <w:rsid w:val="00AE302E"/>
    <w:rsid w:val="00AE398B"/>
    <w:rsid w:val="00AE4C42"/>
    <w:rsid w:val="00AE540C"/>
    <w:rsid w:val="00AE549A"/>
    <w:rsid w:val="00AE6154"/>
    <w:rsid w:val="00AF082E"/>
    <w:rsid w:val="00AF11EF"/>
    <w:rsid w:val="00AF1F6B"/>
    <w:rsid w:val="00AF24B6"/>
    <w:rsid w:val="00AF29B7"/>
    <w:rsid w:val="00AF3E07"/>
    <w:rsid w:val="00AF4A97"/>
    <w:rsid w:val="00AF7DEB"/>
    <w:rsid w:val="00B00BED"/>
    <w:rsid w:val="00B041F2"/>
    <w:rsid w:val="00B06336"/>
    <w:rsid w:val="00B10511"/>
    <w:rsid w:val="00B110E7"/>
    <w:rsid w:val="00B12043"/>
    <w:rsid w:val="00B12903"/>
    <w:rsid w:val="00B132CC"/>
    <w:rsid w:val="00B13C59"/>
    <w:rsid w:val="00B13DEF"/>
    <w:rsid w:val="00B2022A"/>
    <w:rsid w:val="00B226F7"/>
    <w:rsid w:val="00B26BB4"/>
    <w:rsid w:val="00B26F90"/>
    <w:rsid w:val="00B30E59"/>
    <w:rsid w:val="00B3192F"/>
    <w:rsid w:val="00B3237B"/>
    <w:rsid w:val="00B36016"/>
    <w:rsid w:val="00B37A65"/>
    <w:rsid w:val="00B37E95"/>
    <w:rsid w:val="00B40019"/>
    <w:rsid w:val="00B401DD"/>
    <w:rsid w:val="00B40FE7"/>
    <w:rsid w:val="00B41966"/>
    <w:rsid w:val="00B43323"/>
    <w:rsid w:val="00B43C50"/>
    <w:rsid w:val="00B47945"/>
    <w:rsid w:val="00B51158"/>
    <w:rsid w:val="00B52BD7"/>
    <w:rsid w:val="00B53811"/>
    <w:rsid w:val="00B578C0"/>
    <w:rsid w:val="00B60172"/>
    <w:rsid w:val="00B60605"/>
    <w:rsid w:val="00B62A4B"/>
    <w:rsid w:val="00B62E97"/>
    <w:rsid w:val="00B631D3"/>
    <w:rsid w:val="00B64D0E"/>
    <w:rsid w:val="00B736B5"/>
    <w:rsid w:val="00B75A2B"/>
    <w:rsid w:val="00B76317"/>
    <w:rsid w:val="00B76A3C"/>
    <w:rsid w:val="00B77D7B"/>
    <w:rsid w:val="00B77FCB"/>
    <w:rsid w:val="00B81068"/>
    <w:rsid w:val="00B8403E"/>
    <w:rsid w:val="00B85818"/>
    <w:rsid w:val="00B870D8"/>
    <w:rsid w:val="00B87EE6"/>
    <w:rsid w:val="00B928A6"/>
    <w:rsid w:val="00B92CE8"/>
    <w:rsid w:val="00B95390"/>
    <w:rsid w:val="00B953EB"/>
    <w:rsid w:val="00B9547A"/>
    <w:rsid w:val="00B96D58"/>
    <w:rsid w:val="00B971D4"/>
    <w:rsid w:val="00BA1F9A"/>
    <w:rsid w:val="00BA2B06"/>
    <w:rsid w:val="00BA34CD"/>
    <w:rsid w:val="00BA51BA"/>
    <w:rsid w:val="00BA5631"/>
    <w:rsid w:val="00BB4BC8"/>
    <w:rsid w:val="00BB568C"/>
    <w:rsid w:val="00BB6F4D"/>
    <w:rsid w:val="00BB7628"/>
    <w:rsid w:val="00BC0F06"/>
    <w:rsid w:val="00BC1958"/>
    <w:rsid w:val="00BC2867"/>
    <w:rsid w:val="00BC29F9"/>
    <w:rsid w:val="00BC3A5F"/>
    <w:rsid w:val="00BC3FD2"/>
    <w:rsid w:val="00BC4364"/>
    <w:rsid w:val="00BC534A"/>
    <w:rsid w:val="00BC6E6A"/>
    <w:rsid w:val="00BD2A46"/>
    <w:rsid w:val="00BE154B"/>
    <w:rsid w:val="00BE34C6"/>
    <w:rsid w:val="00BE6752"/>
    <w:rsid w:val="00BE7DE8"/>
    <w:rsid w:val="00BE7E7A"/>
    <w:rsid w:val="00BF2744"/>
    <w:rsid w:val="00BF45BA"/>
    <w:rsid w:val="00C02452"/>
    <w:rsid w:val="00C0259F"/>
    <w:rsid w:val="00C05802"/>
    <w:rsid w:val="00C05FE8"/>
    <w:rsid w:val="00C07128"/>
    <w:rsid w:val="00C07EC1"/>
    <w:rsid w:val="00C1176F"/>
    <w:rsid w:val="00C12218"/>
    <w:rsid w:val="00C1226A"/>
    <w:rsid w:val="00C132BB"/>
    <w:rsid w:val="00C209DB"/>
    <w:rsid w:val="00C23C62"/>
    <w:rsid w:val="00C2443E"/>
    <w:rsid w:val="00C26DE2"/>
    <w:rsid w:val="00C30428"/>
    <w:rsid w:val="00C31134"/>
    <w:rsid w:val="00C32DCA"/>
    <w:rsid w:val="00C337E7"/>
    <w:rsid w:val="00C36418"/>
    <w:rsid w:val="00C36A98"/>
    <w:rsid w:val="00C40E1B"/>
    <w:rsid w:val="00C41FDD"/>
    <w:rsid w:val="00C45123"/>
    <w:rsid w:val="00C50562"/>
    <w:rsid w:val="00C53429"/>
    <w:rsid w:val="00C57221"/>
    <w:rsid w:val="00C60C77"/>
    <w:rsid w:val="00C610D4"/>
    <w:rsid w:val="00C62B5B"/>
    <w:rsid w:val="00C62BC6"/>
    <w:rsid w:val="00C65981"/>
    <w:rsid w:val="00C65AE8"/>
    <w:rsid w:val="00C66299"/>
    <w:rsid w:val="00C663DA"/>
    <w:rsid w:val="00C7266B"/>
    <w:rsid w:val="00C732D8"/>
    <w:rsid w:val="00C73C32"/>
    <w:rsid w:val="00C80235"/>
    <w:rsid w:val="00C857A0"/>
    <w:rsid w:val="00C85DC3"/>
    <w:rsid w:val="00C87E0B"/>
    <w:rsid w:val="00C87F61"/>
    <w:rsid w:val="00C91127"/>
    <w:rsid w:val="00C92178"/>
    <w:rsid w:val="00C946F2"/>
    <w:rsid w:val="00C963FB"/>
    <w:rsid w:val="00C96CC4"/>
    <w:rsid w:val="00CA264C"/>
    <w:rsid w:val="00CA3A5E"/>
    <w:rsid w:val="00CA3BE9"/>
    <w:rsid w:val="00CA4BAF"/>
    <w:rsid w:val="00CA4F31"/>
    <w:rsid w:val="00CA5662"/>
    <w:rsid w:val="00CA5A36"/>
    <w:rsid w:val="00CA5CD2"/>
    <w:rsid w:val="00CA6794"/>
    <w:rsid w:val="00CA6BF3"/>
    <w:rsid w:val="00CB18BB"/>
    <w:rsid w:val="00CB1D91"/>
    <w:rsid w:val="00CB3275"/>
    <w:rsid w:val="00CB4FF3"/>
    <w:rsid w:val="00CB5EE0"/>
    <w:rsid w:val="00CB7C9A"/>
    <w:rsid w:val="00CC08EF"/>
    <w:rsid w:val="00CC59A1"/>
    <w:rsid w:val="00CC5D62"/>
    <w:rsid w:val="00CD14BA"/>
    <w:rsid w:val="00CD3818"/>
    <w:rsid w:val="00CD5D90"/>
    <w:rsid w:val="00CD72CA"/>
    <w:rsid w:val="00CD7CD4"/>
    <w:rsid w:val="00CE30AF"/>
    <w:rsid w:val="00CE5431"/>
    <w:rsid w:val="00CE557F"/>
    <w:rsid w:val="00CF0FF4"/>
    <w:rsid w:val="00CF1A5F"/>
    <w:rsid w:val="00CF23CB"/>
    <w:rsid w:val="00CF2433"/>
    <w:rsid w:val="00CF2D7F"/>
    <w:rsid w:val="00CF6A69"/>
    <w:rsid w:val="00D01AA2"/>
    <w:rsid w:val="00D02076"/>
    <w:rsid w:val="00D023C4"/>
    <w:rsid w:val="00D02EF5"/>
    <w:rsid w:val="00D04D4E"/>
    <w:rsid w:val="00D05FA8"/>
    <w:rsid w:val="00D0616C"/>
    <w:rsid w:val="00D105FF"/>
    <w:rsid w:val="00D13C35"/>
    <w:rsid w:val="00D148EE"/>
    <w:rsid w:val="00D1541F"/>
    <w:rsid w:val="00D15A01"/>
    <w:rsid w:val="00D1655D"/>
    <w:rsid w:val="00D211AF"/>
    <w:rsid w:val="00D22141"/>
    <w:rsid w:val="00D2560F"/>
    <w:rsid w:val="00D26F4E"/>
    <w:rsid w:val="00D276AF"/>
    <w:rsid w:val="00D307A6"/>
    <w:rsid w:val="00D333BD"/>
    <w:rsid w:val="00D33621"/>
    <w:rsid w:val="00D337F7"/>
    <w:rsid w:val="00D340D6"/>
    <w:rsid w:val="00D42991"/>
    <w:rsid w:val="00D42A9D"/>
    <w:rsid w:val="00D44332"/>
    <w:rsid w:val="00D449CF"/>
    <w:rsid w:val="00D47A1F"/>
    <w:rsid w:val="00D504A9"/>
    <w:rsid w:val="00D5389E"/>
    <w:rsid w:val="00D5743A"/>
    <w:rsid w:val="00D608C5"/>
    <w:rsid w:val="00D62D59"/>
    <w:rsid w:val="00D64FEA"/>
    <w:rsid w:val="00D656AB"/>
    <w:rsid w:val="00D6705F"/>
    <w:rsid w:val="00D70BD7"/>
    <w:rsid w:val="00D723BE"/>
    <w:rsid w:val="00D73632"/>
    <w:rsid w:val="00D73A9B"/>
    <w:rsid w:val="00D74030"/>
    <w:rsid w:val="00D74B89"/>
    <w:rsid w:val="00D776A9"/>
    <w:rsid w:val="00D86130"/>
    <w:rsid w:val="00D91285"/>
    <w:rsid w:val="00D91602"/>
    <w:rsid w:val="00D94EE6"/>
    <w:rsid w:val="00DA0313"/>
    <w:rsid w:val="00DA09D6"/>
    <w:rsid w:val="00DA0F89"/>
    <w:rsid w:val="00DA1757"/>
    <w:rsid w:val="00DA18F2"/>
    <w:rsid w:val="00DA5EF8"/>
    <w:rsid w:val="00DA6345"/>
    <w:rsid w:val="00DB10EB"/>
    <w:rsid w:val="00DB3C7D"/>
    <w:rsid w:val="00DB432E"/>
    <w:rsid w:val="00DB5212"/>
    <w:rsid w:val="00DB5427"/>
    <w:rsid w:val="00DB69FD"/>
    <w:rsid w:val="00DC01DF"/>
    <w:rsid w:val="00DC31BC"/>
    <w:rsid w:val="00DC31EA"/>
    <w:rsid w:val="00DC40DD"/>
    <w:rsid w:val="00DC4487"/>
    <w:rsid w:val="00DC463E"/>
    <w:rsid w:val="00DC488F"/>
    <w:rsid w:val="00DC741C"/>
    <w:rsid w:val="00DD2DD0"/>
    <w:rsid w:val="00DD362E"/>
    <w:rsid w:val="00DD665C"/>
    <w:rsid w:val="00DD7527"/>
    <w:rsid w:val="00DE16E5"/>
    <w:rsid w:val="00DE1739"/>
    <w:rsid w:val="00DE3049"/>
    <w:rsid w:val="00DE3A38"/>
    <w:rsid w:val="00DE6715"/>
    <w:rsid w:val="00DE6833"/>
    <w:rsid w:val="00DE74EB"/>
    <w:rsid w:val="00DE7ECB"/>
    <w:rsid w:val="00DF03D7"/>
    <w:rsid w:val="00DF0DF6"/>
    <w:rsid w:val="00DF49B0"/>
    <w:rsid w:val="00DF6CD5"/>
    <w:rsid w:val="00DF73BC"/>
    <w:rsid w:val="00E041EA"/>
    <w:rsid w:val="00E06D72"/>
    <w:rsid w:val="00E072B3"/>
    <w:rsid w:val="00E107DF"/>
    <w:rsid w:val="00E12BB8"/>
    <w:rsid w:val="00E14A37"/>
    <w:rsid w:val="00E15240"/>
    <w:rsid w:val="00E212C3"/>
    <w:rsid w:val="00E22F38"/>
    <w:rsid w:val="00E27AB1"/>
    <w:rsid w:val="00E334AB"/>
    <w:rsid w:val="00E3474B"/>
    <w:rsid w:val="00E34A5E"/>
    <w:rsid w:val="00E377C3"/>
    <w:rsid w:val="00E4031A"/>
    <w:rsid w:val="00E41616"/>
    <w:rsid w:val="00E43711"/>
    <w:rsid w:val="00E44FA1"/>
    <w:rsid w:val="00E45022"/>
    <w:rsid w:val="00E46629"/>
    <w:rsid w:val="00E479CF"/>
    <w:rsid w:val="00E50CFB"/>
    <w:rsid w:val="00E51138"/>
    <w:rsid w:val="00E5214C"/>
    <w:rsid w:val="00E5218C"/>
    <w:rsid w:val="00E5250F"/>
    <w:rsid w:val="00E56EA9"/>
    <w:rsid w:val="00E60295"/>
    <w:rsid w:val="00E60D85"/>
    <w:rsid w:val="00E60F6C"/>
    <w:rsid w:val="00E611ED"/>
    <w:rsid w:val="00E623B9"/>
    <w:rsid w:val="00E63260"/>
    <w:rsid w:val="00E663F8"/>
    <w:rsid w:val="00E744B2"/>
    <w:rsid w:val="00E7551D"/>
    <w:rsid w:val="00E755E1"/>
    <w:rsid w:val="00E80F85"/>
    <w:rsid w:val="00E82D73"/>
    <w:rsid w:val="00E83772"/>
    <w:rsid w:val="00E84312"/>
    <w:rsid w:val="00E85254"/>
    <w:rsid w:val="00E85785"/>
    <w:rsid w:val="00E8660D"/>
    <w:rsid w:val="00E87F87"/>
    <w:rsid w:val="00E902BC"/>
    <w:rsid w:val="00E90A5E"/>
    <w:rsid w:val="00E919D3"/>
    <w:rsid w:val="00E92378"/>
    <w:rsid w:val="00E945E3"/>
    <w:rsid w:val="00E95A34"/>
    <w:rsid w:val="00EA2D8E"/>
    <w:rsid w:val="00EA508F"/>
    <w:rsid w:val="00EA52A9"/>
    <w:rsid w:val="00EA612E"/>
    <w:rsid w:val="00EA7D2F"/>
    <w:rsid w:val="00EA7F54"/>
    <w:rsid w:val="00EB0E5B"/>
    <w:rsid w:val="00EB510C"/>
    <w:rsid w:val="00EB6211"/>
    <w:rsid w:val="00EB67C6"/>
    <w:rsid w:val="00EC00F6"/>
    <w:rsid w:val="00EC1E5F"/>
    <w:rsid w:val="00EC26F4"/>
    <w:rsid w:val="00EC362C"/>
    <w:rsid w:val="00EC6303"/>
    <w:rsid w:val="00ED1032"/>
    <w:rsid w:val="00ED182E"/>
    <w:rsid w:val="00EE093B"/>
    <w:rsid w:val="00EE0C10"/>
    <w:rsid w:val="00EE2905"/>
    <w:rsid w:val="00EE2B33"/>
    <w:rsid w:val="00EE3D81"/>
    <w:rsid w:val="00EE58ED"/>
    <w:rsid w:val="00EE601E"/>
    <w:rsid w:val="00EE6597"/>
    <w:rsid w:val="00EE7A15"/>
    <w:rsid w:val="00EF234D"/>
    <w:rsid w:val="00EF34E5"/>
    <w:rsid w:val="00EF37A1"/>
    <w:rsid w:val="00EF496B"/>
    <w:rsid w:val="00EF4EAA"/>
    <w:rsid w:val="00EF6C86"/>
    <w:rsid w:val="00F0058B"/>
    <w:rsid w:val="00F008FD"/>
    <w:rsid w:val="00F00D8A"/>
    <w:rsid w:val="00F015D2"/>
    <w:rsid w:val="00F01F1F"/>
    <w:rsid w:val="00F02BF9"/>
    <w:rsid w:val="00F0647F"/>
    <w:rsid w:val="00F06EE2"/>
    <w:rsid w:val="00F1270C"/>
    <w:rsid w:val="00F12C61"/>
    <w:rsid w:val="00F13C54"/>
    <w:rsid w:val="00F14064"/>
    <w:rsid w:val="00F14D0E"/>
    <w:rsid w:val="00F15FB5"/>
    <w:rsid w:val="00F21BEB"/>
    <w:rsid w:val="00F22DDB"/>
    <w:rsid w:val="00F23A3F"/>
    <w:rsid w:val="00F25DF0"/>
    <w:rsid w:val="00F270FF"/>
    <w:rsid w:val="00F32232"/>
    <w:rsid w:val="00F32B3F"/>
    <w:rsid w:val="00F36DA0"/>
    <w:rsid w:val="00F379E3"/>
    <w:rsid w:val="00F37C32"/>
    <w:rsid w:val="00F4058E"/>
    <w:rsid w:val="00F40859"/>
    <w:rsid w:val="00F41674"/>
    <w:rsid w:val="00F416FD"/>
    <w:rsid w:val="00F41D23"/>
    <w:rsid w:val="00F45E67"/>
    <w:rsid w:val="00F46D62"/>
    <w:rsid w:val="00F47B66"/>
    <w:rsid w:val="00F5051B"/>
    <w:rsid w:val="00F51BD2"/>
    <w:rsid w:val="00F539EA"/>
    <w:rsid w:val="00F54CBA"/>
    <w:rsid w:val="00F55A1A"/>
    <w:rsid w:val="00F57A44"/>
    <w:rsid w:val="00F61FF7"/>
    <w:rsid w:val="00F638A2"/>
    <w:rsid w:val="00F655B7"/>
    <w:rsid w:val="00F75043"/>
    <w:rsid w:val="00F77C51"/>
    <w:rsid w:val="00F8020E"/>
    <w:rsid w:val="00F8230D"/>
    <w:rsid w:val="00F84619"/>
    <w:rsid w:val="00F84A30"/>
    <w:rsid w:val="00F91A6D"/>
    <w:rsid w:val="00F91F17"/>
    <w:rsid w:val="00F955BC"/>
    <w:rsid w:val="00F96023"/>
    <w:rsid w:val="00FA01C2"/>
    <w:rsid w:val="00FA4B67"/>
    <w:rsid w:val="00FA526F"/>
    <w:rsid w:val="00FB04EF"/>
    <w:rsid w:val="00FB6836"/>
    <w:rsid w:val="00FC07C5"/>
    <w:rsid w:val="00FC16C6"/>
    <w:rsid w:val="00FC20B8"/>
    <w:rsid w:val="00FC21A6"/>
    <w:rsid w:val="00FC2319"/>
    <w:rsid w:val="00FC39F1"/>
    <w:rsid w:val="00FC3A10"/>
    <w:rsid w:val="00FC485A"/>
    <w:rsid w:val="00FC4AD6"/>
    <w:rsid w:val="00FC7F19"/>
    <w:rsid w:val="00FD145B"/>
    <w:rsid w:val="00FD3365"/>
    <w:rsid w:val="00FD4116"/>
    <w:rsid w:val="00FD47F6"/>
    <w:rsid w:val="00FD5AA0"/>
    <w:rsid w:val="00FD62FB"/>
    <w:rsid w:val="00FD6854"/>
    <w:rsid w:val="00FD6DE3"/>
    <w:rsid w:val="00FE12C2"/>
    <w:rsid w:val="00FE230B"/>
    <w:rsid w:val="00FE4C10"/>
    <w:rsid w:val="00FE5802"/>
    <w:rsid w:val="00FE58E1"/>
    <w:rsid w:val="00FE6392"/>
    <w:rsid w:val="00FE73A7"/>
    <w:rsid w:val="00FF0615"/>
    <w:rsid w:val="00FF2BAE"/>
    <w:rsid w:val="00FF4DF6"/>
    <w:rsid w:val="01510A01"/>
    <w:rsid w:val="01623DA3"/>
    <w:rsid w:val="01696436"/>
    <w:rsid w:val="019049AE"/>
    <w:rsid w:val="01C45BCA"/>
    <w:rsid w:val="01CC4E49"/>
    <w:rsid w:val="01F575BE"/>
    <w:rsid w:val="020E5B64"/>
    <w:rsid w:val="024C4F46"/>
    <w:rsid w:val="02766211"/>
    <w:rsid w:val="02792304"/>
    <w:rsid w:val="02A41770"/>
    <w:rsid w:val="02B857BD"/>
    <w:rsid w:val="02E12F0E"/>
    <w:rsid w:val="02F91389"/>
    <w:rsid w:val="02F92D08"/>
    <w:rsid w:val="03000210"/>
    <w:rsid w:val="032037CF"/>
    <w:rsid w:val="03586C02"/>
    <w:rsid w:val="036E05CA"/>
    <w:rsid w:val="03773C2D"/>
    <w:rsid w:val="037E0F89"/>
    <w:rsid w:val="03984668"/>
    <w:rsid w:val="03985F30"/>
    <w:rsid w:val="03AF50A4"/>
    <w:rsid w:val="03F941C4"/>
    <w:rsid w:val="0412022C"/>
    <w:rsid w:val="048D4F66"/>
    <w:rsid w:val="04FD3143"/>
    <w:rsid w:val="05151950"/>
    <w:rsid w:val="05216546"/>
    <w:rsid w:val="053B137C"/>
    <w:rsid w:val="053F521F"/>
    <w:rsid w:val="05465943"/>
    <w:rsid w:val="054B2EBB"/>
    <w:rsid w:val="0551414B"/>
    <w:rsid w:val="057C377D"/>
    <w:rsid w:val="05937B94"/>
    <w:rsid w:val="0596037D"/>
    <w:rsid w:val="05CF7089"/>
    <w:rsid w:val="05DD1DB7"/>
    <w:rsid w:val="05DE605A"/>
    <w:rsid w:val="05DE7CCE"/>
    <w:rsid w:val="05F61781"/>
    <w:rsid w:val="05F66993"/>
    <w:rsid w:val="060429E0"/>
    <w:rsid w:val="0618078E"/>
    <w:rsid w:val="063808DD"/>
    <w:rsid w:val="06422F98"/>
    <w:rsid w:val="06815EC6"/>
    <w:rsid w:val="06A922BE"/>
    <w:rsid w:val="06A95914"/>
    <w:rsid w:val="06B8610C"/>
    <w:rsid w:val="06BC1EF1"/>
    <w:rsid w:val="06C97393"/>
    <w:rsid w:val="06D16196"/>
    <w:rsid w:val="071A565E"/>
    <w:rsid w:val="073642A8"/>
    <w:rsid w:val="07894E97"/>
    <w:rsid w:val="07A710C8"/>
    <w:rsid w:val="07AE6F26"/>
    <w:rsid w:val="07CC3A3C"/>
    <w:rsid w:val="07D54386"/>
    <w:rsid w:val="07F4298C"/>
    <w:rsid w:val="07FF40F7"/>
    <w:rsid w:val="08391B45"/>
    <w:rsid w:val="08467C48"/>
    <w:rsid w:val="084D523C"/>
    <w:rsid w:val="087C30FA"/>
    <w:rsid w:val="088546BB"/>
    <w:rsid w:val="08BE70CA"/>
    <w:rsid w:val="09042C29"/>
    <w:rsid w:val="09467A1F"/>
    <w:rsid w:val="094E3682"/>
    <w:rsid w:val="09CF36C2"/>
    <w:rsid w:val="09E75D29"/>
    <w:rsid w:val="0A04248C"/>
    <w:rsid w:val="0A081D5A"/>
    <w:rsid w:val="0A31621E"/>
    <w:rsid w:val="0A551640"/>
    <w:rsid w:val="0A57470E"/>
    <w:rsid w:val="0A6E5D8A"/>
    <w:rsid w:val="0A8F5C0C"/>
    <w:rsid w:val="0A974030"/>
    <w:rsid w:val="0AB41A2C"/>
    <w:rsid w:val="0AEF12D6"/>
    <w:rsid w:val="0AF95845"/>
    <w:rsid w:val="0B08704B"/>
    <w:rsid w:val="0B252512"/>
    <w:rsid w:val="0B277514"/>
    <w:rsid w:val="0B8A483B"/>
    <w:rsid w:val="0BA23C16"/>
    <w:rsid w:val="0BCD4065"/>
    <w:rsid w:val="0C0E5F60"/>
    <w:rsid w:val="0C461178"/>
    <w:rsid w:val="0C5F63EB"/>
    <w:rsid w:val="0CCE5112"/>
    <w:rsid w:val="0D294DDA"/>
    <w:rsid w:val="0D514B33"/>
    <w:rsid w:val="0D7F0330"/>
    <w:rsid w:val="0D873E69"/>
    <w:rsid w:val="0D9C13D8"/>
    <w:rsid w:val="0DA43CEA"/>
    <w:rsid w:val="0DBA3094"/>
    <w:rsid w:val="0DCA0184"/>
    <w:rsid w:val="0DE82F6F"/>
    <w:rsid w:val="0E29131F"/>
    <w:rsid w:val="0EF645A0"/>
    <w:rsid w:val="0F4978CD"/>
    <w:rsid w:val="0F4D1A20"/>
    <w:rsid w:val="0FA81485"/>
    <w:rsid w:val="0FAC7338"/>
    <w:rsid w:val="0FCC5687"/>
    <w:rsid w:val="0FE127CD"/>
    <w:rsid w:val="102C0855"/>
    <w:rsid w:val="107B31D8"/>
    <w:rsid w:val="108D1DA2"/>
    <w:rsid w:val="10C82636"/>
    <w:rsid w:val="10F4186F"/>
    <w:rsid w:val="11006FAB"/>
    <w:rsid w:val="110517AC"/>
    <w:rsid w:val="11136CA5"/>
    <w:rsid w:val="112955AC"/>
    <w:rsid w:val="11612C8D"/>
    <w:rsid w:val="116A22D2"/>
    <w:rsid w:val="119E2A71"/>
    <w:rsid w:val="11A53526"/>
    <w:rsid w:val="11C55876"/>
    <w:rsid w:val="11D6011A"/>
    <w:rsid w:val="11D91B96"/>
    <w:rsid w:val="122558D8"/>
    <w:rsid w:val="12314A63"/>
    <w:rsid w:val="124A56A3"/>
    <w:rsid w:val="124E7455"/>
    <w:rsid w:val="12610316"/>
    <w:rsid w:val="12793B4E"/>
    <w:rsid w:val="12DB7C87"/>
    <w:rsid w:val="130003A3"/>
    <w:rsid w:val="13073B77"/>
    <w:rsid w:val="130A1DF3"/>
    <w:rsid w:val="1320263E"/>
    <w:rsid w:val="132A3349"/>
    <w:rsid w:val="13584E68"/>
    <w:rsid w:val="135F3981"/>
    <w:rsid w:val="136328C9"/>
    <w:rsid w:val="137F4FFA"/>
    <w:rsid w:val="139F4F79"/>
    <w:rsid w:val="13A067E1"/>
    <w:rsid w:val="140D2E4E"/>
    <w:rsid w:val="141B0A35"/>
    <w:rsid w:val="14997EA7"/>
    <w:rsid w:val="14A7439A"/>
    <w:rsid w:val="14AB2659"/>
    <w:rsid w:val="14BE08C2"/>
    <w:rsid w:val="14C2737D"/>
    <w:rsid w:val="14D709D0"/>
    <w:rsid w:val="150C4340"/>
    <w:rsid w:val="152F1DEE"/>
    <w:rsid w:val="15416A3B"/>
    <w:rsid w:val="15480A72"/>
    <w:rsid w:val="156A0E1D"/>
    <w:rsid w:val="157F577D"/>
    <w:rsid w:val="15A106AE"/>
    <w:rsid w:val="15B3163A"/>
    <w:rsid w:val="15B45E8B"/>
    <w:rsid w:val="15B82516"/>
    <w:rsid w:val="15EE419B"/>
    <w:rsid w:val="15FA06DC"/>
    <w:rsid w:val="16273DD7"/>
    <w:rsid w:val="16421E79"/>
    <w:rsid w:val="168050FA"/>
    <w:rsid w:val="168A6633"/>
    <w:rsid w:val="16B45F08"/>
    <w:rsid w:val="173B1736"/>
    <w:rsid w:val="179E3F31"/>
    <w:rsid w:val="17EB739F"/>
    <w:rsid w:val="17F026C7"/>
    <w:rsid w:val="17F20D32"/>
    <w:rsid w:val="182D7A0B"/>
    <w:rsid w:val="183E3452"/>
    <w:rsid w:val="18401B5A"/>
    <w:rsid w:val="186E0629"/>
    <w:rsid w:val="187B716F"/>
    <w:rsid w:val="188E75F7"/>
    <w:rsid w:val="18951516"/>
    <w:rsid w:val="18CB4A71"/>
    <w:rsid w:val="18D34909"/>
    <w:rsid w:val="18F202C6"/>
    <w:rsid w:val="193E726F"/>
    <w:rsid w:val="194B4980"/>
    <w:rsid w:val="19871893"/>
    <w:rsid w:val="19A967B3"/>
    <w:rsid w:val="19D61F5D"/>
    <w:rsid w:val="19DE29CE"/>
    <w:rsid w:val="1A073527"/>
    <w:rsid w:val="1A361147"/>
    <w:rsid w:val="1A6832DB"/>
    <w:rsid w:val="1A78127D"/>
    <w:rsid w:val="1A922AC7"/>
    <w:rsid w:val="1A9910DD"/>
    <w:rsid w:val="1A995A2D"/>
    <w:rsid w:val="1AC96713"/>
    <w:rsid w:val="1AD7548C"/>
    <w:rsid w:val="1ADD7D20"/>
    <w:rsid w:val="1AFB4665"/>
    <w:rsid w:val="1B0969A3"/>
    <w:rsid w:val="1B3F02D4"/>
    <w:rsid w:val="1B7533B8"/>
    <w:rsid w:val="1B85131F"/>
    <w:rsid w:val="1B966607"/>
    <w:rsid w:val="1BB165B7"/>
    <w:rsid w:val="1BE94195"/>
    <w:rsid w:val="1BF7208C"/>
    <w:rsid w:val="1C2257F3"/>
    <w:rsid w:val="1C6B06D2"/>
    <w:rsid w:val="1C9D549A"/>
    <w:rsid w:val="1CB564E4"/>
    <w:rsid w:val="1D6D105F"/>
    <w:rsid w:val="1D7E0FF9"/>
    <w:rsid w:val="1DB63878"/>
    <w:rsid w:val="1DC21C33"/>
    <w:rsid w:val="1DEE31E2"/>
    <w:rsid w:val="1DFC0197"/>
    <w:rsid w:val="1E2C535C"/>
    <w:rsid w:val="1E367778"/>
    <w:rsid w:val="1E49282C"/>
    <w:rsid w:val="1E6A01BF"/>
    <w:rsid w:val="1EA17529"/>
    <w:rsid w:val="1F134CFA"/>
    <w:rsid w:val="1F367998"/>
    <w:rsid w:val="1F4B3E9E"/>
    <w:rsid w:val="1F523FE7"/>
    <w:rsid w:val="1F590DAC"/>
    <w:rsid w:val="1F5A5858"/>
    <w:rsid w:val="1FEC13CA"/>
    <w:rsid w:val="1FF24910"/>
    <w:rsid w:val="20071467"/>
    <w:rsid w:val="20141243"/>
    <w:rsid w:val="20190280"/>
    <w:rsid w:val="204B3170"/>
    <w:rsid w:val="20681091"/>
    <w:rsid w:val="207205E5"/>
    <w:rsid w:val="20994D8B"/>
    <w:rsid w:val="20C04FEF"/>
    <w:rsid w:val="20C1325E"/>
    <w:rsid w:val="20D01E41"/>
    <w:rsid w:val="20D11476"/>
    <w:rsid w:val="20F62D30"/>
    <w:rsid w:val="21142DA6"/>
    <w:rsid w:val="216E4D9F"/>
    <w:rsid w:val="218E5A79"/>
    <w:rsid w:val="21CD0749"/>
    <w:rsid w:val="21E91631"/>
    <w:rsid w:val="21F27D67"/>
    <w:rsid w:val="22520A20"/>
    <w:rsid w:val="229F658D"/>
    <w:rsid w:val="22D153C4"/>
    <w:rsid w:val="23822C99"/>
    <w:rsid w:val="238F0195"/>
    <w:rsid w:val="23963804"/>
    <w:rsid w:val="23CB29F7"/>
    <w:rsid w:val="23D42CAA"/>
    <w:rsid w:val="23F6077C"/>
    <w:rsid w:val="240020D2"/>
    <w:rsid w:val="240D3AC6"/>
    <w:rsid w:val="24222A4B"/>
    <w:rsid w:val="243B5DF6"/>
    <w:rsid w:val="24514E03"/>
    <w:rsid w:val="24AB1AC3"/>
    <w:rsid w:val="24F752F2"/>
    <w:rsid w:val="251509C7"/>
    <w:rsid w:val="25483EC0"/>
    <w:rsid w:val="254D2B37"/>
    <w:rsid w:val="25510558"/>
    <w:rsid w:val="25580A37"/>
    <w:rsid w:val="256D5FE6"/>
    <w:rsid w:val="256F411F"/>
    <w:rsid w:val="25737B85"/>
    <w:rsid w:val="257D7445"/>
    <w:rsid w:val="257F3FD0"/>
    <w:rsid w:val="259100F9"/>
    <w:rsid w:val="25921AB9"/>
    <w:rsid w:val="25B96A8D"/>
    <w:rsid w:val="25E51303"/>
    <w:rsid w:val="2615773C"/>
    <w:rsid w:val="26161170"/>
    <w:rsid w:val="26217EA3"/>
    <w:rsid w:val="262900E6"/>
    <w:rsid w:val="26573BF7"/>
    <w:rsid w:val="265C724B"/>
    <w:rsid w:val="268C7C18"/>
    <w:rsid w:val="268D7954"/>
    <w:rsid w:val="26A07A41"/>
    <w:rsid w:val="26C708A4"/>
    <w:rsid w:val="26E34DC9"/>
    <w:rsid w:val="26F841A3"/>
    <w:rsid w:val="272F15C1"/>
    <w:rsid w:val="276B6CE1"/>
    <w:rsid w:val="277D71B5"/>
    <w:rsid w:val="278B5356"/>
    <w:rsid w:val="27B367EE"/>
    <w:rsid w:val="27BC1FD7"/>
    <w:rsid w:val="27BF1A2B"/>
    <w:rsid w:val="27D06DE1"/>
    <w:rsid w:val="27D75A4D"/>
    <w:rsid w:val="280D5B3F"/>
    <w:rsid w:val="28130AD6"/>
    <w:rsid w:val="281D4D38"/>
    <w:rsid w:val="282F0E85"/>
    <w:rsid w:val="283175A9"/>
    <w:rsid w:val="283C7C74"/>
    <w:rsid w:val="286454FC"/>
    <w:rsid w:val="288B3B53"/>
    <w:rsid w:val="2891239B"/>
    <w:rsid w:val="28C15483"/>
    <w:rsid w:val="28C922DB"/>
    <w:rsid w:val="28D75E0B"/>
    <w:rsid w:val="292612F5"/>
    <w:rsid w:val="292D6D18"/>
    <w:rsid w:val="29A46B0D"/>
    <w:rsid w:val="29BF49A7"/>
    <w:rsid w:val="29C739A3"/>
    <w:rsid w:val="29D31F01"/>
    <w:rsid w:val="29E07896"/>
    <w:rsid w:val="29FE7223"/>
    <w:rsid w:val="2A110088"/>
    <w:rsid w:val="2A4D0EBC"/>
    <w:rsid w:val="2A583C4F"/>
    <w:rsid w:val="2A60773F"/>
    <w:rsid w:val="2A7357EA"/>
    <w:rsid w:val="2A7A4B49"/>
    <w:rsid w:val="2A914927"/>
    <w:rsid w:val="2AAF26A9"/>
    <w:rsid w:val="2AD069E0"/>
    <w:rsid w:val="2AD91DF4"/>
    <w:rsid w:val="2AF51DFA"/>
    <w:rsid w:val="2B632B65"/>
    <w:rsid w:val="2B7A0207"/>
    <w:rsid w:val="2BA60CCC"/>
    <w:rsid w:val="2BAB19D0"/>
    <w:rsid w:val="2BC37C78"/>
    <w:rsid w:val="2BCB37DB"/>
    <w:rsid w:val="2BDA0849"/>
    <w:rsid w:val="2C510E26"/>
    <w:rsid w:val="2C514F68"/>
    <w:rsid w:val="2C7E7BED"/>
    <w:rsid w:val="2C88117E"/>
    <w:rsid w:val="2CF32898"/>
    <w:rsid w:val="2D113B56"/>
    <w:rsid w:val="2D5F4FE8"/>
    <w:rsid w:val="2D6D3370"/>
    <w:rsid w:val="2D847387"/>
    <w:rsid w:val="2D9340CF"/>
    <w:rsid w:val="2DA77196"/>
    <w:rsid w:val="2DF55629"/>
    <w:rsid w:val="2E2365F1"/>
    <w:rsid w:val="2E24485D"/>
    <w:rsid w:val="2E335359"/>
    <w:rsid w:val="2E616EA2"/>
    <w:rsid w:val="2E696C61"/>
    <w:rsid w:val="2E6F7E83"/>
    <w:rsid w:val="2E7762B5"/>
    <w:rsid w:val="2E900F2F"/>
    <w:rsid w:val="2E9934E3"/>
    <w:rsid w:val="2EAA4D08"/>
    <w:rsid w:val="2EB26183"/>
    <w:rsid w:val="2EC94C24"/>
    <w:rsid w:val="2ED4106C"/>
    <w:rsid w:val="2EDA0E82"/>
    <w:rsid w:val="2EF37057"/>
    <w:rsid w:val="2EFE6591"/>
    <w:rsid w:val="2F21280D"/>
    <w:rsid w:val="2F5175AF"/>
    <w:rsid w:val="2F5F3350"/>
    <w:rsid w:val="2F6869FF"/>
    <w:rsid w:val="2F792957"/>
    <w:rsid w:val="2FA87296"/>
    <w:rsid w:val="2FF33B6A"/>
    <w:rsid w:val="300C3DB5"/>
    <w:rsid w:val="30461302"/>
    <w:rsid w:val="30770D8B"/>
    <w:rsid w:val="307A3113"/>
    <w:rsid w:val="30883C02"/>
    <w:rsid w:val="30910A5E"/>
    <w:rsid w:val="30C47D82"/>
    <w:rsid w:val="30D477C0"/>
    <w:rsid w:val="30DE5D35"/>
    <w:rsid w:val="30F76102"/>
    <w:rsid w:val="30F9083B"/>
    <w:rsid w:val="31046F81"/>
    <w:rsid w:val="311A0623"/>
    <w:rsid w:val="315F506F"/>
    <w:rsid w:val="31627F12"/>
    <w:rsid w:val="3172722A"/>
    <w:rsid w:val="319168F3"/>
    <w:rsid w:val="319B5BFE"/>
    <w:rsid w:val="319E5A1D"/>
    <w:rsid w:val="31B45D19"/>
    <w:rsid w:val="31C72678"/>
    <w:rsid w:val="31E52926"/>
    <w:rsid w:val="32297E12"/>
    <w:rsid w:val="3238506F"/>
    <w:rsid w:val="32403433"/>
    <w:rsid w:val="32696CB3"/>
    <w:rsid w:val="327C64A2"/>
    <w:rsid w:val="32871542"/>
    <w:rsid w:val="32CB5278"/>
    <w:rsid w:val="32CD47B1"/>
    <w:rsid w:val="32E52A26"/>
    <w:rsid w:val="32E60304"/>
    <w:rsid w:val="32EA5BB1"/>
    <w:rsid w:val="333276E1"/>
    <w:rsid w:val="33357EBB"/>
    <w:rsid w:val="336554DC"/>
    <w:rsid w:val="33AD31C1"/>
    <w:rsid w:val="33AE5828"/>
    <w:rsid w:val="33F702EF"/>
    <w:rsid w:val="342E1D8F"/>
    <w:rsid w:val="34382E72"/>
    <w:rsid w:val="34545741"/>
    <w:rsid w:val="346F257B"/>
    <w:rsid w:val="34862965"/>
    <w:rsid w:val="34C23147"/>
    <w:rsid w:val="34C769C3"/>
    <w:rsid w:val="350A6848"/>
    <w:rsid w:val="351F37E2"/>
    <w:rsid w:val="3522353E"/>
    <w:rsid w:val="352A4F63"/>
    <w:rsid w:val="35A74869"/>
    <w:rsid w:val="35D37B04"/>
    <w:rsid w:val="360F5F37"/>
    <w:rsid w:val="365A407D"/>
    <w:rsid w:val="365E4CE6"/>
    <w:rsid w:val="367E6BF8"/>
    <w:rsid w:val="36850648"/>
    <w:rsid w:val="36967A10"/>
    <w:rsid w:val="36BA7B2F"/>
    <w:rsid w:val="36BD194E"/>
    <w:rsid w:val="371112F9"/>
    <w:rsid w:val="371A4544"/>
    <w:rsid w:val="373650B4"/>
    <w:rsid w:val="37AA70E2"/>
    <w:rsid w:val="37CC4B4C"/>
    <w:rsid w:val="37DB52B6"/>
    <w:rsid w:val="380E6795"/>
    <w:rsid w:val="3830575D"/>
    <w:rsid w:val="383D7513"/>
    <w:rsid w:val="3857135C"/>
    <w:rsid w:val="3870241E"/>
    <w:rsid w:val="38734F54"/>
    <w:rsid w:val="388F7D78"/>
    <w:rsid w:val="389D4F52"/>
    <w:rsid w:val="38C74B99"/>
    <w:rsid w:val="38CF476E"/>
    <w:rsid w:val="38E07D3F"/>
    <w:rsid w:val="3921733F"/>
    <w:rsid w:val="39243FD9"/>
    <w:rsid w:val="393671C3"/>
    <w:rsid w:val="397E67E7"/>
    <w:rsid w:val="3985054E"/>
    <w:rsid w:val="39D05DE0"/>
    <w:rsid w:val="39E5694E"/>
    <w:rsid w:val="39F81DFA"/>
    <w:rsid w:val="3A082FB6"/>
    <w:rsid w:val="3A5838C8"/>
    <w:rsid w:val="3A7E0E22"/>
    <w:rsid w:val="3A8F0B47"/>
    <w:rsid w:val="3A8F64B9"/>
    <w:rsid w:val="3AD924FC"/>
    <w:rsid w:val="3AF44086"/>
    <w:rsid w:val="3B05373E"/>
    <w:rsid w:val="3B420CE0"/>
    <w:rsid w:val="3B47550E"/>
    <w:rsid w:val="3B581734"/>
    <w:rsid w:val="3BE74F73"/>
    <w:rsid w:val="3BE80814"/>
    <w:rsid w:val="3C3E0E78"/>
    <w:rsid w:val="3C6868D5"/>
    <w:rsid w:val="3CB01405"/>
    <w:rsid w:val="3CB01CCE"/>
    <w:rsid w:val="3CC1038C"/>
    <w:rsid w:val="3CD46266"/>
    <w:rsid w:val="3CE36921"/>
    <w:rsid w:val="3CE94F62"/>
    <w:rsid w:val="3CED3C65"/>
    <w:rsid w:val="3D011803"/>
    <w:rsid w:val="3D3F0645"/>
    <w:rsid w:val="3D447B84"/>
    <w:rsid w:val="3DBC050D"/>
    <w:rsid w:val="3E027389"/>
    <w:rsid w:val="3E496D29"/>
    <w:rsid w:val="3E746763"/>
    <w:rsid w:val="3E7B69F3"/>
    <w:rsid w:val="3ECE6CC0"/>
    <w:rsid w:val="3ED16B95"/>
    <w:rsid w:val="3ED41958"/>
    <w:rsid w:val="3EEE1E28"/>
    <w:rsid w:val="3F1A35BF"/>
    <w:rsid w:val="3F442B12"/>
    <w:rsid w:val="3F4A5777"/>
    <w:rsid w:val="3F4F2B44"/>
    <w:rsid w:val="3F71422C"/>
    <w:rsid w:val="3FA01B56"/>
    <w:rsid w:val="40063D74"/>
    <w:rsid w:val="40221495"/>
    <w:rsid w:val="40280FBF"/>
    <w:rsid w:val="403279EA"/>
    <w:rsid w:val="403C7AAD"/>
    <w:rsid w:val="404C5BC8"/>
    <w:rsid w:val="409C3516"/>
    <w:rsid w:val="40AC469E"/>
    <w:rsid w:val="40CD76DD"/>
    <w:rsid w:val="40DE15A3"/>
    <w:rsid w:val="40DF5A84"/>
    <w:rsid w:val="41413131"/>
    <w:rsid w:val="41511099"/>
    <w:rsid w:val="41AC3798"/>
    <w:rsid w:val="41C54B2A"/>
    <w:rsid w:val="41E35DC9"/>
    <w:rsid w:val="41FD24BD"/>
    <w:rsid w:val="42020319"/>
    <w:rsid w:val="42590FDB"/>
    <w:rsid w:val="426923CF"/>
    <w:rsid w:val="42A36F94"/>
    <w:rsid w:val="42B15B0D"/>
    <w:rsid w:val="42D44AB9"/>
    <w:rsid w:val="430E6494"/>
    <w:rsid w:val="434B17B9"/>
    <w:rsid w:val="439632DF"/>
    <w:rsid w:val="439C056B"/>
    <w:rsid w:val="43F15167"/>
    <w:rsid w:val="441822D8"/>
    <w:rsid w:val="443C076A"/>
    <w:rsid w:val="444A5B0C"/>
    <w:rsid w:val="44686C74"/>
    <w:rsid w:val="44697E50"/>
    <w:rsid w:val="44705C7F"/>
    <w:rsid w:val="4475606F"/>
    <w:rsid w:val="44E86FD0"/>
    <w:rsid w:val="44F3127A"/>
    <w:rsid w:val="45093802"/>
    <w:rsid w:val="45103D13"/>
    <w:rsid w:val="452B5DAE"/>
    <w:rsid w:val="45305C22"/>
    <w:rsid w:val="45C1247D"/>
    <w:rsid w:val="45C84EEE"/>
    <w:rsid w:val="45DB4879"/>
    <w:rsid w:val="45EB2A2E"/>
    <w:rsid w:val="45FA433A"/>
    <w:rsid w:val="463536C1"/>
    <w:rsid w:val="465C6A5A"/>
    <w:rsid w:val="46847E56"/>
    <w:rsid w:val="46A12458"/>
    <w:rsid w:val="46E1006C"/>
    <w:rsid w:val="46E60A21"/>
    <w:rsid w:val="46E76008"/>
    <w:rsid w:val="4705356B"/>
    <w:rsid w:val="47103B9B"/>
    <w:rsid w:val="471C1062"/>
    <w:rsid w:val="472C134F"/>
    <w:rsid w:val="473B2AA5"/>
    <w:rsid w:val="47462CC7"/>
    <w:rsid w:val="47B862A4"/>
    <w:rsid w:val="47CC049B"/>
    <w:rsid w:val="48003DD1"/>
    <w:rsid w:val="481C1C7A"/>
    <w:rsid w:val="48222F33"/>
    <w:rsid w:val="48252885"/>
    <w:rsid w:val="48587B39"/>
    <w:rsid w:val="485900BF"/>
    <w:rsid w:val="48597E63"/>
    <w:rsid w:val="4860701A"/>
    <w:rsid w:val="48D93F34"/>
    <w:rsid w:val="48DE772A"/>
    <w:rsid w:val="48F110F1"/>
    <w:rsid w:val="48F4686B"/>
    <w:rsid w:val="48FE4F57"/>
    <w:rsid w:val="49020B58"/>
    <w:rsid w:val="49040B43"/>
    <w:rsid w:val="491931B9"/>
    <w:rsid w:val="491A7DD3"/>
    <w:rsid w:val="493059DD"/>
    <w:rsid w:val="49350762"/>
    <w:rsid w:val="4953205D"/>
    <w:rsid w:val="495C67D2"/>
    <w:rsid w:val="49774F08"/>
    <w:rsid w:val="498340DD"/>
    <w:rsid w:val="49971D87"/>
    <w:rsid w:val="499B1D3B"/>
    <w:rsid w:val="49BA3480"/>
    <w:rsid w:val="49D46CB0"/>
    <w:rsid w:val="49E54A1A"/>
    <w:rsid w:val="4AA2281C"/>
    <w:rsid w:val="4AB20D2C"/>
    <w:rsid w:val="4AB47394"/>
    <w:rsid w:val="4AD06F58"/>
    <w:rsid w:val="4AFC4C85"/>
    <w:rsid w:val="4B0014B2"/>
    <w:rsid w:val="4B6D357E"/>
    <w:rsid w:val="4B8479E6"/>
    <w:rsid w:val="4BB418A9"/>
    <w:rsid w:val="4BBA0D7E"/>
    <w:rsid w:val="4BF74ED8"/>
    <w:rsid w:val="4C0744C3"/>
    <w:rsid w:val="4C403ECB"/>
    <w:rsid w:val="4C482354"/>
    <w:rsid w:val="4C4A59C3"/>
    <w:rsid w:val="4C645CEF"/>
    <w:rsid w:val="4C691A57"/>
    <w:rsid w:val="4C7304D7"/>
    <w:rsid w:val="4C92265A"/>
    <w:rsid w:val="4CB1343A"/>
    <w:rsid w:val="4CCB52B6"/>
    <w:rsid w:val="4CCE6393"/>
    <w:rsid w:val="4CD9131D"/>
    <w:rsid w:val="4D8F68DE"/>
    <w:rsid w:val="4D936AA7"/>
    <w:rsid w:val="4D97408F"/>
    <w:rsid w:val="4DB847E2"/>
    <w:rsid w:val="4E0E51AE"/>
    <w:rsid w:val="4E2A4DA5"/>
    <w:rsid w:val="4E2D50EB"/>
    <w:rsid w:val="4E3B74B1"/>
    <w:rsid w:val="4E424952"/>
    <w:rsid w:val="4EA50112"/>
    <w:rsid w:val="4EAA4123"/>
    <w:rsid w:val="4EAE54CC"/>
    <w:rsid w:val="4EB76359"/>
    <w:rsid w:val="4ED0154E"/>
    <w:rsid w:val="4EED3EBF"/>
    <w:rsid w:val="4EF43BC5"/>
    <w:rsid w:val="4EF918D7"/>
    <w:rsid w:val="4F4E4E0F"/>
    <w:rsid w:val="4F516BEA"/>
    <w:rsid w:val="4F626B0C"/>
    <w:rsid w:val="4F7C1C03"/>
    <w:rsid w:val="4FA539FD"/>
    <w:rsid w:val="4FB71430"/>
    <w:rsid w:val="4FD50246"/>
    <w:rsid w:val="4FE10559"/>
    <w:rsid w:val="50377F99"/>
    <w:rsid w:val="504D156B"/>
    <w:rsid w:val="509B0FE3"/>
    <w:rsid w:val="50B53B71"/>
    <w:rsid w:val="50EC0779"/>
    <w:rsid w:val="50F419E6"/>
    <w:rsid w:val="510853C3"/>
    <w:rsid w:val="5139564B"/>
    <w:rsid w:val="51576763"/>
    <w:rsid w:val="51716F87"/>
    <w:rsid w:val="517C1FA3"/>
    <w:rsid w:val="517F39B4"/>
    <w:rsid w:val="518A5EA7"/>
    <w:rsid w:val="518B0FFB"/>
    <w:rsid w:val="51953C32"/>
    <w:rsid w:val="519C7961"/>
    <w:rsid w:val="51A646D2"/>
    <w:rsid w:val="51B31F5E"/>
    <w:rsid w:val="51E044A9"/>
    <w:rsid w:val="520A3011"/>
    <w:rsid w:val="521C1689"/>
    <w:rsid w:val="523B657E"/>
    <w:rsid w:val="52402CCE"/>
    <w:rsid w:val="52496BBD"/>
    <w:rsid w:val="527328B8"/>
    <w:rsid w:val="53035AC1"/>
    <w:rsid w:val="531A2B1C"/>
    <w:rsid w:val="53290225"/>
    <w:rsid w:val="53530C46"/>
    <w:rsid w:val="53584A87"/>
    <w:rsid w:val="53A21AD6"/>
    <w:rsid w:val="53CD4277"/>
    <w:rsid w:val="53E46F71"/>
    <w:rsid w:val="53FC7B40"/>
    <w:rsid w:val="54163447"/>
    <w:rsid w:val="541A7AD9"/>
    <w:rsid w:val="54244390"/>
    <w:rsid w:val="542F07FB"/>
    <w:rsid w:val="5434100C"/>
    <w:rsid w:val="54840256"/>
    <w:rsid w:val="549130EF"/>
    <w:rsid w:val="54983FB2"/>
    <w:rsid w:val="54FE546C"/>
    <w:rsid w:val="550D58A2"/>
    <w:rsid w:val="557106D3"/>
    <w:rsid w:val="55BE5C78"/>
    <w:rsid w:val="55C96D13"/>
    <w:rsid w:val="55CE439E"/>
    <w:rsid w:val="55D31482"/>
    <w:rsid w:val="561D52EF"/>
    <w:rsid w:val="5683158A"/>
    <w:rsid w:val="56900108"/>
    <w:rsid w:val="56BD61D3"/>
    <w:rsid w:val="56DB2975"/>
    <w:rsid w:val="56DE5B16"/>
    <w:rsid w:val="56E13BDD"/>
    <w:rsid w:val="57336CBA"/>
    <w:rsid w:val="574216FD"/>
    <w:rsid w:val="5759058F"/>
    <w:rsid w:val="57C35ED4"/>
    <w:rsid w:val="57C40558"/>
    <w:rsid w:val="57E44353"/>
    <w:rsid w:val="57F66E71"/>
    <w:rsid w:val="581B3CFC"/>
    <w:rsid w:val="584B72AC"/>
    <w:rsid w:val="586772F6"/>
    <w:rsid w:val="587132F4"/>
    <w:rsid w:val="589E4E70"/>
    <w:rsid w:val="58B547C1"/>
    <w:rsid w:val="58C43A2D"/>
    <w:rsid w:val="59D91DE2"/>
    <w:rsid w:val="5A1429A5"/>
    <w:rsid w:val="5A296BA4"/>
    <w:rsid w:val="5A401CBB"/>
    <w:rsid w:val="5A5F71EB"/>
    <w:rsid w:val="5A772808"/>
    <w:rsid w:val="5A8B4E31"/>
    <w:rsid w:val="5AA45BB6"/>
    <w:rsid w:val="5AAC24AF"/>
    <w:rsid w:val="5ABF5B2B"/>
    <w:rsid w:val="5B137463"/>
    <w:rsid w:val="5B242937"/>
    <w:rsid w:val="5B2946D3"/>
    <w:rsid w:val="5B49013B"/>
    <w:rsid w:val="5B7946E6"/>
    <w:rsid w:val="5B803CE2"/>
    <w:rsid w:val="5B96347A"/>
    <w:rsid w:val="5BD812EF"/>
    <w:rsid w:val="5BE10DB9"/>
    <w:rsid w:val="5BEC355E"/>
    <w:rsid w:val="5BF8360A"/>
    <w:rsid w:val="5C3202EC"/>
    <w:rsid w:val="5C5D7828"/>
    <w:rsid w:val="5C6B5224"/>
    <w:rsid w:val="5CA0510E"/>
    <w:rsid w:val="5CBD5E02"/>
    <w:rsid w:val="5D0F41D4"/>
    <w:rsid w:val="5D217E3F"/>
    <w:rsid w:val="5D2E1D9B"/>
    <w:rsid w:val="5D307FD9"/>
    <w:rsid w:val="5D586D05"/>
    <w:rsid w:val="5D614DB1"/>
    <w:rsid w:val="5DDA121A"/>
    <w:rsid w:val="5DF54C24"/>
    <w:rsid w:val="5E13226B"/>
    <w:rsid w:val="5E3E2B18"/>
    <w:rsid w:val="5E43168D"/>
    <w:rsid w:val="5E462070"/>
    <w:rsid w:val="5E5B30A5"/>
    <w:rsid w:val="5E674870"/>
    <w:rsid w:val="5E6D38AF"/>
    <w:rsid w:val="5EB11E04"/>
    <w:rsid w:val="5EB43EC9"/>
    <w:rsid w:val="5ECE701E"/>
    <w:rsid w:val="5ED96211"/>
    <w:rsid w:val="5EE40F07"/>
    <w:rsid w:val="5F043D98"/>
    <w:rsid w:val="5F1C5256"/>
    <w:rsid w:val="5F290493"/>
    <w:rsid w:val="5F3A53B0"/>
    <w:rsid w:val="5F3C3EA7"/>
    <w:rsid w:val="5F517D7F"/>
    <w:rsid w:val="5F961E6C"/>
    <w:rsid w:val="5FC62683"/>
    <w:rsid w:val="5FD45ABA"/>
    <w:rsid w:val="5FF860E6"/>
    <w:rsid w:val="600C4F4D"/>
    <w:rsid w:val="601451F7"/>
    <w:rsid w:val="602317BA"/>
    <w:rsid w:val="602F2547"/>
    <w:rsid w:val="60664672"/>
    <w:rsid w:val="60723D8B"/>
    <w:rsid w:val="6078586A"/>
    <w:rsid w:val="60813EBE"/>
    <w:rsid w:val="608D4CCE"/>
    <w:rsid w:val="60D76C28"/>
    <w:rsid w:val="60D83E3F"/>
    <w:rsid w:val="614014BC"/>
    <w:rsid w:val="61486B75"/>
    <w:rsid w:val="6170226C"/>
    <w:rsid w:val="617B3659"/>
    <w:rsid w:val="62243F20"/>
    <w:rsid w:val="62A768B8"/>
    <w:rsid w:val="62CC2368"/>
    <w:rsid w:val="62CF134B"/>
    <w:rsid w:val="63262AD1"/>
    <w:rsid w:val="63716EC6"/>
    <w:rsid w:val="63873025"/>
    <w:rsid w:val="639A170B"/>
    <w:rsid w:val="63AF3C1D"/>
    <w:rsid w:val="63B56556"/>
    <w:rsid w:val="63F209C9"/>
    <w:rsid w:val="63FC1BDB"/>
    <w:rsid w:val="640D5540"/>
    <w:rsid w:val="64A973E9"/>
    <w:rsid w:val="64BB2AEF"/>
    <w:rsid w:val="64C956FE"/>
    <w:rsid w:val="64F56CC9"/>
    <w:rsid w:val="65310226"/>
    <w:rsid w:val="654152E7"/>
    <w:rsid w:val="656255CE"/>
    <w:rsid w:val="65745784"/>
    <w:rsid w:val="65906035"/>
    <w:rsid w:val="65960CD9"/>
    <w:rsid w:val="65AF21CD"/>
    <w:rsid w:val="65D84063"/>
    <w:rsid w:val="65FB2097"/>
    <w:rsid w:val="66532DEF"/>
    <w:rsid w:val="666A25B6"/>
    <w:rsid w:val="66D87C01"/>
    <w:rsid w:val="66E174AF"/>
    <w:rsid w:val="67485E35"/>
    <w:rsid w:val="6750146B"/>
    <w:rsid w:val="6754700C"/>
    <w:rsid w:val="6762708F"/>
    <w:rsid w:val="67EE3B03"/>
    <w:rsid w:val="680D44B2"/>
    <w:rsid w:val="68111299"/>
    <w:rsid w:val="681A2A15"/>
    <w:rsid w:val="681C6247"/>
    <w:rsid w:val="68220ECF"/>
    <w:rsid w:val="683E7CBF"/>
    <w:rsid w:val="685B622E"/>
    <w:rsid w:val="68AD6D5B"/>
    <w:rsid w:val="68E008B3"/>
    <w:rsid w:val="68EB242C"/>
    <w:rsid w:val="69490722"/>
    <w:rsid w:val="694B4AB7"/>
    <w:rsid w:val="69793B06"/>
    <w:rsid w:val="697D5015"/>
    <w:rsid w:val="699039C9"/>
    <w:rsid w:val="69C002E6"/>
    <w:rsid w:val="69CD7D75"/>
    <w:rsid w:val="6A033EB3"/>
    <w:rsid w:val="6A243012"/>
    <w:rsid w:val="6A433716"/>
    <w:rsid w:val="6A5D01F2"/>
    <w:rsid w:val="6A7B4F50"/>
    <w:rsid w:val="6A926AAD"/>
    <w:rsid w:val="6A9C3E6D"/>
    <w:rsid w:val="6AA70E49"/>
    <w:rsid w:val="6AC87FC9"/>
    <w:rsid w:val="6AD44E2F"/>
    <w:rsid w:val="6ADC441C"/>
    <w:rsid w:val="6B360F09"/>
    <w:rsid w:val="6B3D72CB"/>
    <w:rsid w:val="6B785F34"/>
    <w:rsid w:val="6BB155F4"/>
    <w:rsid w:val="6BB4256F"/>
    <w:rsid w:val="6BC4570C"/>
    <w:rsid w:val="6BD330C0"/>
    <w:rsid w:val="6BF92224"/>
    <w:rsid w:val="6C524772"/>
    <w:rsid w:val="6C571092"/>
    <w:rsid w:val="6C9C4FB4"/>
    <w:rsid w:val="6CA65E33"/>
    <w:rsid w:val="6CDC3602"/>
    <w:rsid w:val="6CF57C08"/>
    <w:rsid w:val="6D1E01E1"/>
    <w:rsid w:val="6D2C656E"/>
    <w:rsid w:val="6D4E4A5D"/>
    <w:rsid w:val="6D5910F7"/>
    <w:rsid w:val="6DC74625"/>
    <w:rsid w:val="6DEE3B71"/>
    <w:rsid w:val="6DEF6035"/>
    <w:rsid w:val="6DFA3390"/>
    <w:rsid w:val="6E293690"/>
    <w:rsid w:val="6E3A2F39"/>
    <w:rsid w:val="6E8E430D"/>
    <w:rsid w:val="6E9B2C6A"/>
    <w:rsid w:val="6F0313DC"/>
    <w:rsid w:val="6F0C726A"/>
    <w:rsid w:val="6F2B63D2"/>
    <w:rsid w:val="6F32398A"/>
    <w:rsid w:val="6FDB79F0"/>
    <w:rsid w:val="70002F58"/>
    <w:rsid w:val="70853197"/>
    <w:rsid w:val="708D07F2"/>
    <w:rsid w:val="70F25732"/>
    <w:rsid w:val="70F758B0"/>
    <w:rsid w:val="71047337"/>
    <w:rsid w:val="710808BB"/>
    <w:rsid w:val="71306ADA"/>
    <w:rsid w:val="719833CF"/>
    <w:rsid w:val="71B7471F"/>
    <w:rsid w:val="71CD79BE"/>
    <w:rsid w:val="71EF0C87"/>
    <w:rsid w:val="72417DAB"/>
    <w:rsid w:val="726E1704"/>
    <w:rsid w:val="72707A59"/>
    <w:rsid w:val="7275174E"/>
    <w:rsid w:val="727646A3"/>
    <w:rsid w:val="728A6C3E"/>
    <w:rsid w:val="729D4E7D"/>
    <w:rsid w:val="72A07C7A"/>
    <w:rsid w:val="72CA4F0B"/>
    <w:rsid w:val="72E666E5"/>
    <w:rsid w:val="72E76838"/>
    <w:rsid w:val="72E85B9A"/>
    <w:rsid w:val="73055F97"/>
    <w:rsid w:val="73301864"/>
    <w:rsid w:val="73571C35"/>
    <w:rsid w:val="73583B2A"/>
    <w:rsid w:val="73623A29"/>
    <w:rsid w:val="73650FF8"/>
    <w:rsid w:val="738E30B3"/>
    <w:rsid w:val="738F3E15"/>
    <w:rsid w:val="73C6003F"/>
    <w:rsid w:val="73C94B7C"/>
    <w:rsid w:val="73CC7F1D"/>
    <w:rsid w:val="73F37621"/>
    <w:rsid w:val="74066213"/>
    <w:rsid w:val="744D6F13"/>
    <w:rsid w:val="746D1B83"/>
    <w:rsid w:val="74727FE4"/>
    <w:rsid w:val="7495596E"/>
    <w:rsid w:val="74AE6597"/>
    <w:rsid w:val="74B27787"/>
    <w:rsid w:val="74F00589"/>
    <w:rsid w:val="75130C07"/>
    <w:rsid w:val="759F5001"/>
    <w:rsid w:val="75A76631"/>
    <w:rsid w:val="75AD419F"/>
    <w:rsid w:val="75B873D4"/>
    <w:rsid w:val="76AD5EA4"/>
    <w:rsid w:val="76E60E39"/>
    <w:rsid w:val="76F15B14"/>
    <w:rsid w:val="76F42B48"/>
    <w:rsid w:val="77072B75"/>
    <w:rsid w:val="7711039D"/>
    <w:rsid w:val="77331718"/>
    <w:rsid w:val="773409C2"/>
    <w:rsid w:val="7782124A"/>
    <w:rsid w:val="77C63186"/>
    <w:rsid w:val="77DE7A06"/>
    <w:rsid w:val="77E345BD"/>
    <w:rsid w:val="78417757"/>
    <w:rsid w:val="78694338"/>
    <w:rsid w:val="787353E6"/>
    <w:rsid w:val="7885648D"/>
    <w:rsid w:val="78975311"/>
    <w:rsid w:val="78A47C36"/>
    <w:rsid w:val="78BC253A"/>
    <w:rsid w:val="78C42DA5"/>
    <w:rsid w:val="78EC0E4F"/>
    <w:rsid w:val="78F11D87"/>
    <w:rsid w:val="79462AF3"/>
    <w:rsid w:val="796665CC"/>
    <w:rsid w:val="79712057"/>
    <w:rsid w:val="7994717E"/>
    <w:rsid w:val="799867D4"/>
    <w:rsid w:val="79BD13FF"/>
    <w:rsid w:val="79FD06B3"/>
    <w:rsid w:val="79FE509F"/>
    <w:rsid w:val="7A1819F5"/>
    <w:rsid w:val="7A1E0C0E"/>
    <w:rsid w:val="7A356A48"/>
    <w:rsid w:val="7A77547C"/>
    <w:rsid w:val="7AD534F2"/>
    <w:rsid w:val="7AF95191"/>
    <w:rsid w:val="7B3D1D79"/>
    <w:rsid w:val="7B561A45"/>
    <w:rsid w:val="7B6E5500"/>
    <w:rsid w:val="7B73518D"/>
    <w:rsid w:val="7B7A3495"/>
    <w:rsid w:val="7B89263C"/>
    <w:rsid w:val="7B8A1FF4"/>
    <w:rsid w:val="7B95068D"/>
    <w:rsid w:val="7BC308B8"/>
    <w:rsid w:val="7BD04C7A"/>
    <w:rsid w:val="7BEC209C"/>
    <w:rsid w:val="7C0C4714"/>
    <w:rsid w:val="7C0D71FB"/>
    <w:rsid w:val="7C254795"/>
    <w:rsid w:val="7C6D69BD"/>
    <w:rsid w:val="7CBA0D00"/>
    <w:rsid w:val="7CC4708E"/>
    <w:rsid w:val="7CE8459B"/>
    <w:rsid w:val="7CE977F8"/>
    <w:rsid w:val="7D20249D"/>
    <w:rsid w:val="7D737C5A"/>
    <w:rsid w:val="7D856ED3"/>
    <w:rsid w:val="7D9B56DF"/>
    <w:rsid w:val="7DA0067C"/>
    <w:rsid w:val="7DA261A2"/>
    <w:rsid w:val="7DD618EE"/>
    <w:rsid w:val="7DFE6024"/>
    <w:rsid w:val="7DFF7718"/>
    <w:rsid w:val="7E383323"/>
    <w:rsid w:val="7E511847"/>
    <w:rsid w:val="7E526113"/>
    <w:rsid w:val="7E6E2CD2"/>
    <w:rsid w:val="7E6F1053"/>
    <w:rsid w:val="7ECC1457"/>
    <w:rsid w:val="7F04487D"/>
    <w:rsid w:val="7F2A46A1"/>
    <w:rsid w:val="7F8F7EBE"/>
    <w:rsid w:val="7F9B25E7"/>
    <w:rsid w:val="7FCA077A"/>
    <w:rsid w:val="7FD74F5D"/>
    <w:rsid w:val="7FD81EBE"/>
    <w:rsid w:val="7FFB66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33"/>
    <w:qFormat/>
    <w:uiPriority w:val="99"/>
    <w:pPr>
      <w:keepNext/>
      <w:snapToGrid w:val="0"/>
      <w:spacing w:line="360" w:lineRule="atLeast"/>
      <w:outlineLvl w:val="0"/>
    </w:pPr>
    <w:rPr>
      <w:b/>
      <w:bCs/>
      <w:kern w:val="44"/>
      <w:sz w:val="44"/>
      <w:szCs w:val="44"/>
    </w:rPr>
  </w:style>
  <w:style w:type="paragraph" w:styleId="3">
    <w:name w:val="heading 2"/>
    <w:basedOn w:val="1"/>
    <w:next w:val="1"/>
    <w:link w:val="34"/>
    <w:qFormat/>
    <w:uiPriority w:val="99"/>
    <w:pPr>
      <w:keepNext/>
      <w:keepLines/>
      <w:spacing w:before="260" w:after="260" w:line="415" w:lineRule="auto"/>
      <w:outlineLvl w:val="1"/>
    </w:pPr>
    <w:rPr>
      <w:rFonts w:ascii="Cambria" w:hAnsi="Cambria"/>
      <w:b/>
      <w:bCs/>
      <w:kern w:val="0"/>
      <w:sz w:val="32"/>
      <w:szCs w:val="32"/>
    </w:rPr>
  </w:style>
  <w:style w:type="paragraph" w:styleId="4">
    <w:name w:val="heading 3"/>
    <w:basedOn w:val="1"/>
    <w:next w:val="1"/>
    <w:link w:val="35"/>
    <w:qFormat/>
    <w:uiPriority w:val="99"/>
    <w:pPr>
      <w:keepNext/>
      <w:keepLines/>
      <w:spacing w:before="260" w:after="260" w:line="415" w:lineRule="auto"/>
      <w:outlineLvl w:val="2"/>
    </w:pPr>
    <w:rPr>
      <w:b/>
      <w:bCs/>
      <w:kern w:val="0"/>
      <w:sz w:val="32"/>
      <w:szCs w:val="32"/>
    </w:rPr>
  </w:style>
  <w:style w:type="paragraph" w:styleId="5">
    <w:name w:val="heading 4"/>
    <w:basedOn w:val="1"/>
    <w:next w:val="1"/>
    <w:qFormat/>
    <w:locked/>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6"/>
    <w:basedOn w:val="1"/>
    <w:next w:val="1"/>
    <w:qFormat/>
    <w:locked/>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character" w:default="1" w:styleId="27">
    <w:name w:val="Default Paragraph Font"/>
    <w:unhideWhenUsed/>
    <w:qFormat/>
    <w:uiPriority w:val="1"/>
  </w:style>
  <w:style w:type="table" w:default="1" w:styleId="2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99"/>
    <w:pPr>
      <w:adjustRightInd w:val="0"/>
      <w:snapToGrid w:val="0"/>
      <w:spacing w:line="360" w:lineRule="auto"/>
      <w:ind w:firstLine="420"/>
    </w:pPr>
    <w:rPr>
      <w:sz w:val="24"/>
      <w:szCs w:val="20"/>
    </w:rPr>
  </w:style>
  <w:style w:type="paragraph" w:styleId="8">
    <w:name w:val="Document Map"/>
    <w:basedOn w:val="1"/>
    <w:link w:val="36"/>
    <w:semiHidden/>
    <w:qFormat/>
    <w:uiPriority w:val="99"/>
    <w:pPr>
      <w:shd w:val="clear" w:color="auto" w:fill="000080"/>
    </w:pPr>
    <w:rPr>
      <w:kern w:val="0"/>
      <w:sz w:val="2"/>
      <w:szCs w:val="2"/>
    </w:rPr>
  </w:style>
  <w:style w:type="paragraph" w:styleId="9">
    <w:name w:val="annotation text"/>
    <w:basedOn w:val="1"/>
    <w:link w:val="37"/>
    <w:unhideWhenUsed/>
    <w:qFormat/>
    <w:uiPriority w:val="99"/>
    <w:pPr>
      <w:jc w:val="left"/>
    </w:pPr>
  </w:style>
  <w:style w:type="paragraph" w:styleId="10">
    <w:name w:val="Body Text"/>
    <w:basedOn w:val="1"/>
    <w:next w:val="11"/>
    <w:link w:val="38"/>
    <w:unhideWhenUsed/>
    <w:qFormat/>
    <w:uiPriority w:val="99"/>
    <w:pPr>
      <w:spacing w:after="120"/>
    </w:pPr>
  </w:style>
  <w:style w:type="paragraph" w:styleId="11">
    <w:name w:val="Body Text Indent"/>
    <w:basedOn w:val="1"/>
    <w:link w:val="39"/>
    <w:qFormat/>
    <w:uiPriority w:val="99"/>
    <w:pPr>
      <w:spacing w:line="700" w:lineRule="exact"/>
      <w:ind w:left="960"/>
    </w:pPr>
    <w:rPr>
      <w:kern w:val="0"/>
      <w:sz w:val="20"/>
      <w:szCs w:val="20"/>
    </w:rPr>
  </w:style>
  <w:style w:type="paragraph" w:styleId="12">
    <w:name w:val="toc 3"/>
    <w:basedOn w:val="1"/>
    <w:next w:val="1"/>
    <w:qFormat/>
    <w:uiPriority w:val="39"/>
    <w:pPr>
      <w:tabs>
        <w:tab w:val="right" w:leader="dot" w:pos="8303"/>
      </w:tabs>
      <w:spacing w:line="540" w:lineRule="exact"/>
      <w:ind w:left="1120" w:leftChars="400"/>
    </w:pPr>
    <w:rPr>
      <w:rFonts w:ascii="宋体" w:hAnsi="宋体" w:cs="宋体"/>
    </w:rPr>
  </w:style>
  <w:style w:type="paragraph" w:styleId="13">
    <w:name w:val="Plain Text"/>
    <w:basedOn w:val="1"/>
    <w:next w:val="1"/>
    <w:link w:val="40"/>
    <w:qFormat/>
    <w:uiPriority w:val="99"/>
    <w:rPr>
      <w:rFonts w:ascii="宋体" w:hAnsi="Courier New"/>
      <w:kern w:val="0"/>
      <w:sz w:val="21"/>
      <w:szCs w:val="21"/>
    </w:rPr>
  </w:style>
  <w:style w:type="paragraph" w:styleId="14">
    <w:name w:val="Date"/>
    <w:basedOn w:val="1"/>
    <w:next w:val="1"/>
    <w:link w:val="41"/>
    <w:qFormat/>
    <w:uiPriority w:val="99"/>
    <w:rPr>
      <w:kern w:val="0"/>
      <w:sz w:val="20"/>
      <w:szCs w:val="20"/>
    </w:rPr>
  </w:style>
  <w:style w:type="paragraph" w:styleId="15">
    <w:name w:val="Body Text Indent 2"/>
    <w:basedOn w:val="1"/>
    <w:link w:val="42"/>
    <w:unhideWhenUsed/>
    <w:qFormat/>
    <w:uiPriority w:val="99"/>
    <w:pPr>
      <w:spacing w:after="120" w:line="480" w:lineRule="auto"/>
      <w:ind w:left="420" w:leftChars="200"/>
    </w:pPr>
  </w:style>
  <w:style w:type="paragraph" w:styleId="16">
    <w:name w:val="Balloon Text"/>
    <w:basedOn w:val="1"/>
    <w:link w:val="43"/>
    <w:semiHidden/>
    <w:qFormat/>
    <w:uiPriority w:val="99"/>
    <w:rPr>
      <w:kern w:val="0"/>
      <w:sz w:val="2"/>
      <w:szCs w:val="2"/>
    </w:rPr>
  </w:style>
  <w:style w:type="paragraph" w:styleId="17">
    <w:name w:val="footer"/>
    <w:basedOn w:val="1"/>
    <w:link w:val="44"/>
    <w:qFormat/>
    <w:uiPriority w:val="0"/>
    <w:pPr>
      <w:tabs>
        <w:tab w:val="center" w:pos="4153"/>
        <w:tab w:val="right" w:pos="8306"/>
      </w:tabs>
      <w:snapToGrid w:val="0"/>
      <w:jc w:val="left"/>
    </w:pPr>
    <w:rPr>
      <w:kern w:val="0"/>
      <w:sz w:val="18"/>
      <w:szCs w:val="18"/>
    </w:rPr>
  </w:style>
  <w:style w:type="paragraph" w:styleId="18">
    <w:name w:val="header"/>
    <w:basedOn w:val="1"/>
    <w:link w:val="45"/>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20">
    <w:name w:val="toc 2"/>
    <w:basedOn w:val="1"/>
    <w:next w:val="1"/>
    <w:qFormat/>
    <w:uiPriority w:val="39"/>
    <w:pPr>
      <w:tabs>
        <w:tab w:val="right" w:leader="dot" w:pos="8303"/>
      </w:tabs>
      <w:spacing w:line="360" w:lineRule="auto"/>
      <w:ind w:left="278"/>
      <w:jc w:val="left"/>
    </w:pPr>
    <w:rPr>
      <w:rFonts w:ascii="仿宋_GB2312" w:hAnsi="华文中宋" w:eastAsia="仿宋_GB2312" w:cs="仿宋_GB2312"/>
    </w:rPr>
  </w:style>
  <w:style w:type="paragraph" w:styleId="21">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2">
    <w:name w:val="annotation subject"/>
    <w:basedOn w:val="9"/>
    <w:next w:val="9"/>
    <w:link w:val="46"/>
    <w:unhideWhenUsed/>
    <w:qFormat/>
    <w:uiPriority w:val="99"/>
    <w:rPr>
      <w:b/>
      <w:bCs/>
    </w:rPr>
  </w:style>
  <w:style w:type="paragraph" w:styleId="23">
    <w:name w:val="Body Text First Indent"/>
    <w:basedOn w:val="10"/>
    <w:next w:val="1"/>
    <w:qFormat/>
    <w:uiPriority w:val="0"/>
    <w:pPr>
      <w:ind w:firstLine="420"/>
    </w:pPr>
  </w:style>
  <w:style w:type="paragraph" w:styleId="24">
    <w:name w:val="Body Text First Indent 2"/>
    <w:basedOn w:val="11"/>
    <w:qFormat/>
    <w:uiPriority w:val="0"/>
    <w:pPr>
      <w:spacing w:after="120" w:afterLines="0" w:line="240" w:lineRule="auto"/>
      <w:ind w:left="420" w:leftChars="200" w:firstLine="420" w:firstLineChars="200"/>
    </w:pPr>
  </w:style>
  <w:style w:type="table" w:styleId="26">
    <w:name w:val="Table Grid"/>
    <w:basedOn w:val="2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locked/>
    <w:uiPriority w:val="0"/>
    <w:rPr>
      <w:b/>
    </w:rPr>
  </w:style>
  <w:style w:type="character" w:styleId="29">
    <w:name w:val="page number"/>
    <w:qFormat/>
    <w:uiPriority w:val="0"/>
    <w:rPr>
      <w:rFonts w:cs="Times New Roman"/>
    </w:rPr>
  </w:style>
  <w:style w:type="character" w:styleId="30">
    <w:name w:val="Emphasis"/>
    <w:qFormat/>
    <w:locked/>
    <w:uiPriority w:val="0"/>
    <w:rPr>
      <w:i/>
    </w:rPr>
  </w:style>
  <w:style w:type="character" w:styleId="31">
    <w:name w:val="Hyperlink"/>
    <w:qFormat/>
    <w:uiPriority w:val="99"/>
    <w:rPr>
      <w:rFonts w:cs="Times New Roman"/>
      <w:color w:val="0000FF"/>
      <w:u w:val="single"/>
    </w:rPr>
  </w:style>
  <w:style w:type="character" w:styleId="32">
    <w:name w:val="annotation reference"/>
    <w:unhideWhenUsed/>
    <w:qFormat/>
    <w:uiPriority w:val="99"/>
    <w:rPr>
      <w:sz w:val="21"/>
      <w:szCs w:val="21"/>
    </w:rPr>
  </w:style>
  <w:style w:type="character" w:customStyle="1" w:styleId="33">
    <w:name w:val="标题 1 Char"/>
    <w:link w:val="2"/>
    <w:qFormat/>
    <w:locked/>
    <w:uiPriority w:val="99"/>
    <w:rPr>
      <w:rFonts w:cs="Times New Roman"/>
      <w:b/>
      <w:bCs/>
      <w:kern w:val="44"/>
      <w:sz w:val="44"/>
      <w:szCs w:val="44"/>
    </w:rPr>
  </w:style>
  <w:style w:type="character" w:customStyle="1" w:styleId="34">
    <w:name w:val="标题 2 Char"/>
    <w:link w:val="3"/>
    <w:qFormat/>
    <w:locked/>
    <w:uiPriority w:val="99"/>
    <w:rPr>
      <w:rFonts w:ascii="Cambria" w:hAnsi="Cambria" w:eastAsia="宋体" w:cs="Cambria"/>
      <w:b/>
      <w:bCs/>
      <w:sz w:val="32"/>
      <w:szCs w:val="32"/>
    </w:rPr>
  </w:style>
  <w:style w:type="character" w:customStyle="1" w:styleId="35">
    <w:name w:val="标题 3 Char"/>
    <w:link w:val="4"/>
    <w:semiHidden/>
    <w:qFormat/>
    <w:locked/>
    <w:uiPriority w:val="99"/>
    <w:rPr>
      <w:rFonts w:cs="Times New Roman"/>
      <w:b/>
      <w:bCs/>
      <w:sz w:val="32"/>
      <w:szCs w:val="32"/>
    </w:rPr>
  </w:style>
  <w:style w:type="character" w:customStyle="1" w:styleId="36">
    <w:name w:val="文档结构图 Char"/>
    <w:link w:val="8"/>
    <w:semiHidden/>
    <w:qFormat/>
    <w:locked/>
    <w:uiPriority w:val="99"/>
    <w:rPr>
      <w:rFonts w:cs="Times New Roman"/>
      <w:sz w:val="2"/>
      <w:szCs w:val="2"/>
    </w:rPr>
  </w:style>
  <w:style w:type="character" w:customStyle="1" w:styleId="37">
    <w:name w:val="批注文字 Char"/>
    <w:link w:val="9"/>
    <w:semiHidden/>
    <w:qFormat/>
    <w:uiPriority w:val="99"/>
    <w:rPr>
      <w:kern w:val="2"/>
      <w:sz w:val="28"/>
      <w:szCs w:val="28"/>
    </w:rPr>
  </w:style>
  <w:style w:type="character" w:customStyle="1" w:styleId="38">
    <w:name w:val="正文文本 Char"/>
    <w:link w:val="10"/>
    <w:semiHidden/>
    <w:qFormat/>
    <w:uiPriority w:val="99"/>
    <w:rPr>
      <w:kern w:val="2"/>
      <w:sz w:val="28"/>
      <w:szCs w:val="28"/>
    </w:rPr>
  </w:style>
  <w:style w:type="character" w:customStyle="1" w:styleId="39">
    <w:name w:val="正文文本缩进 Char"/>
    <w:link w:val="11"/>
    <w:semiHidden/>
    <w:qFormat/>
    <w:locked/>
    <w:uiPriority w:val="99"/>
    <w:rPr>
      <w:rFonts w:cs="Times New Roman"/>
      <w:sz w:val="20"/>
      <w:szCs w:val="20"/>
    </w:rPr>
  </w:style>
  <w:style w:type="character" w:customStyle="1" w:styleId="40">
    <w:name w:val="纯文本 Char"/>
    <w:link w:val="13"/>
    <w:qFormat/>
    <w:locked/>
    <w:uiPriority w:val="99"/>
    <w:rPr>
      <w:rFonts w:ascii="宋体" w:hAnsi="Courier New" w:cs="宋体"/>
      <w:sz w:val="21"/>
      <w:szCs w:val="21"/>
    </w:rPr>
  </w:style>
  <w:style w:type="character" w:customStyle="1" w:styleId="41">
    <w:name w:val="日期 Char"/>
    <w:link w:val="14"/>
    <w:qFormat/>
    <w:locked/>
    <w:uiPriority w:val="99"/>
    <w:rPr>
      <w:rFonts w:cs="Times New Roman"/>
      <w:sz w:val="20"/>
      <w:szCs w:val="20"/>
    </w:rPr>
  </w:style>
  <w:style w:type="character" w:customStyle="1" w:styleId="42">
    <w:name w:val="正文文本缩进 2 Char"/>
    <w:link w:val="15"/>
    <w:semiHidden/>
    <w:qFormat/>
    <w:uiPriority w:val="99"/>
    <w:rPr>
      <w:kern w:val="2"/>
      <w:sz w:val="28"/>
      <w:szCs w:val="28"/>
    </w:rPr>
  </w:style>
  <w:style w:type="character" w:customStyle="1" w:styleId="43">
    <w:name w:val="批注框文本 Char"/>
    <w:link w:val="16"/>
    <w:semiHidden/>
    <w:qFormat/>
    <w:locked/>
    <w:uiPriority w:val="99"/>
    <w:rPr>
      <w:rFonts w:cs="Times New Roman"/>
      <w:sz w:val="2"/>
      <w:szCs w:val="2"/>
    </w:rPr>
  </w:style>
  <w:style w:type="character" w:customStyle="1" w:styleId="44">
    <w:name w:val="页脚 Char"/>
    <w:link w:val="17"/>
    <w:qFormat/>
    <w:locked/>
    <w:uiPriority w:val="0"/>
    <w:rPr>
      <w:rFonts w:cs="Times New Roman"/>
      <w:sz w:val="18"/>
      <w:szCs w:val="18"/>
    </w:rPr>
  </w:style>
  <w:style w:type="character" w:customStyle="1" w:styleId="45">
    <w:name w:val="页眉 Char"/>
    <w:link w:val="18"/>
    <w:qFormat/>
    <w:locked/>
    <w:uiPriority w:val="0"/>
    <w:rPr>
      <w:rFonts w:cs="Times New Roman"/>
      <w:sz w:val="18"/>
      <w:szCs w:val="18"/>
    </w:rPr>
  </w:style>
  <w:style w:type="character" w:customStyle="1" w:styleId="46">
    <w:name w:val="批注主题 Char"/>
    <w:link w:val="22"/>
    <w:semiHidden/>
    <w:qFormat/>
    <w:uiPriority w:val="99"/>
    <w:rPr>
      <w:b/>
      <w:bCs/>
      <w:kern w:val="2"/>
      <w:sz w:val="28"/>
      <w:szCs w:val="28"/>
    </w:rPr>
  </w:style>
  <w:style w:type="paragraph" w:customStyle="1" w:styleId="47">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21"/>
    <w:qFormat/>
    <w:uiPriority w:val="0"/>
    <w:rPr>
      <w:rFonts w:ascii="宋体" w:eastAsia="宋体" w:cs="宋体"/>
      <w:color w:val="000000"/>
      <w:sz w:val="20"/>
      <w:szCs w:val="20"/>
      <w:u w:val="none"/>
    </w:rPr>
  </w:style>
  <w:style w:type="character" w:customStyle="1" w:styleId="49">
    <w:name w:val="样式 (中文) 仿宋_GB2312 小四 行距: 固定值 22 磅 Char"/>
    <w:link w:val="50"/>
    <w:qFormat/>
    <w:uiPriority w:val="0"/>
    <w:rPr>
      <w:rFonts w:eastAsia="仿宋_GB2312"/>
      <w:kern w:val="2"/>
      <w:sz w:val="24"/>
    </w:rPr>
  </w:style>
  <w:style w:type="paragraph" w:customStyle="1" w:styleId="50">
    <w:name w:val="样式 (中文) 仿宋_GB2312 小四 行距: 固定值 22 磅"/>
    <w:basedOn w:val="1"/>
    <w:link w:val="49"/>
    <w:qFormat/>
    <w:uiPriority w:val="0"/>
    <w:pPr>
      <w:spacing w:line="400" w:lineRule="exact"/>
      <w:ind w:firstLine="150" w:firstLineChars="150"/>
    </w:pPr>
    <w:rPr>
      <w:rFonts w:eastAsia="仿宋_GB2312"/>
      <w:sz w:val="24"/>
      <w:szCs w:val="20"/>
    </w:rPr>
  </w:style>
  <w:style w:type="character" w:customStyle="1" w:styleId="51">
    <w:name w:val="apple-converted-space"/>
    <w:qFormat/>
    <w:uiPriority w:val="99"/>
    <w:rPr>
      <w:rFonts w:cs="Times New Roman"/>
    </w:rPr>
  </w:style>
  <w:style w:type="character" w:customStyle="1" w:styleId="52">
    <w:name w:val="emphasizedtitle1"/>
    <w:qFormat/>
    <w:uiPriority w:val="99"/>
    <w:rPr>
      <w:rFonts w:ascii="Arial" w:hAnsi="Arial"/>
      <w:b/>
      <w:sz w:val="27"/>
    </w:rPr>
  </w:style>
  <w:style w:type="character" w:customStyle="1" w:styleId="53">
    <w:name w:val="maincontenttable"/>
    <w:qFormat/>
    <w:uiPriority w:val="99"/>
    <w:rPr>
      <w:rFonts w:cs="Times New Roman"/>
    </w:rPr>
  </w:style>
  <w:style w:type="character" w:customStyle="1" w:styleId="54">
    <w:name w:val="active"/>
    <w:qFormat/>
    <w:uiPriority w:val="0"/>
    <w:rPr>
      <w:shd w:val="clear" w:color="auto" w:fill="EC3535"/>
    </w:rPr>
  </w:style>
  <w:style w:type="paragraph" w:customStyle="1" w:styleId="55">
    <w:name w:val="Char1 Char Char Char"/>
    <w:basedOn w:val="1"/>
    <w:qFormat/>
    <w:uiPriority w:val="99"/>
    <w:rPr>
      <w:rFonts w:ascii="Tahoma" w:hAnsi="Tahoma" w:cs="Tahoma"/>
      <w:sz w:val="30"/>
      <w:szCs w:val="30"/>
    </w:rPr>
  </w:style>
  <w:style w:type="paragraph" w:customStyle="1" w:styleId="56">
    <w:name w:val="op_exactqa_s_prop"/>
    <w:basedOn w:val="1"/>
    <w:qFormat/>
    <w:uiPriority w:val="99"/>
    <w:pPr>
      <w:widowControl/>
      <w:jc w:val="left"/>
    </w:pPr>
    <w:rPr>
      <w:rFonts w:ascii="宋体" w:hAnsi="宋体" w:cs="宋体"/>
      <w:kern w:val="0"/>
      <w:sz w:val="24"/>
      <w:szCs w:val="24"/>
    </w:rPr>
  </w:style>
  <w:style w:type="paragraph" w:customStyle="1" w:styleId="57">
    <w:name w:val="_Style 7"/>
    <w:basedOn w:val="1"/>
    <w:qFormat/>
    <w:uiPriority w:val="0"/>
    <w:pPr>
      <w:ind w:firstLine="200" w:firstLineChars="200"/>
    </w:pPr>
    <w:rPr>
      <w:rFonts w:ascii="等线" w:eastAsia="等线" w:cs="Times New Roman"/>
      <w:sz w:val="21"/>
      <w:szCs w:val="22"/>
      <w:lang w:bidi="ar-SA"/>
    </w:rPr>
  </w:style>
  <w:style w:type="paragraph" w:customStyle="1" w:styleId="58">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9">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60">
    <w:name w:val="Default"/>
    <w:basedOn w:val="61"/>
    <w:semiHidden/>
    <w:qFormat/>
    <w:uiPriority w:val="0"/>
    <w:pPr>
      <w:widowControl w:val="0"/>
      <w:tabs>
        <w:tab w:val="left" w:pos="9438"/>
      </w:tabs>
      <w:autoSpaceDE w:val="0"/>
      <w:autoSpaceDN w:val="0"/>
      <w:adjustRightInd w:val="0"/>
    </w:pPr>
    <w:rPr>
      <w:rFonts w:ascii="宋体"/>
      <w:color w:val="000000"/>
      <w:sz w:val="24"/>
      <w:lang w:val="en-US" w:eastAsia="zh-CN" w:bidi="ar-SA"/>
    </w:rPr>
  </w:style>
  <w:style w:type="paragraph" w:customStyle="1" w:styleId="61">
    <w:name w:val="方案正文"/>
    <w:basedOn w:val="13"/>
    <w:next w:val="13"/>
    <w:qFormat/>
    <w:uiPriority w:val="0"/>
    <w:pPr>
      <w:tabs>
        <w:tab w:val="left" w:pos="9438"/>
      </w:tabs>
      <w:ind w:firstLine="200" w:firstLineChars="200"/>
      <w:jc w:val="left"/>
    </w:pPr>
    <w:rPr>
      <w:rFonts w:ascii="Times New Roman" w:hAnsi="Times New Roman" w:cs="Times New Roman"/>
      <w:sz w:val="24"/>
      <w:szCs w:val="24"/>
    </w:rPr>
  </w:style>
  <w:style w:type="paragraph" w:customStyle="1" w:styleId="62">
    <w:name w:val="列出段落2"/>
    <w:basedOn w:val="1"/>
    <w:unhideWhenUsed/>
    <w:qFormat/>
    <w:uiPriority w:val="99"/>
    <w:pPr>
      <w:ind w:firstLine="420" w:firstLineChars="200"/>
    </w:pPr>
  </w:style>
  <w:style w:type="paragraph" w:customStyle="1" w:styleId="63">
    <w:name w:val="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4">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5">
    <w:name w:val="Char Char Char Char Char Char Char Char Char Char"/>
    <w:basedOn w:val="1"/>
    <w:qFormat/>
    <w:uiPriority w:val="99"/>
    <w:pPr>
      <w:tabs>
        <w:tab w:val="left" w:pos="360"/>
      </w:tabs>
      <w:ind w:left="360" w:hanging="360" w:hangingChars="200"/>
    </w:pPr>
    <w:rPr>
      <w:sz w:val="24"/>
      <w:szCs w:val="24"/>
    </w:rPr>
  </w:style>
  <w:style w:type="paragraph" w:customStyle="1" w:styleId="66">
    <w:name w:val="列出段落1"/>
    <w:basedOn w:val="1"/>
    <w:qFormat/>
    <w:uiPriority w:val="99"/>
    <w:pPr>
      <w:ind w:firstLine="420" w:firstLineChars="200"/>
    </w:pPr>
    <w:rPr>
      <w:rFonts w:ascii="Calibri" w:hAnsi="Calibri"/>
      <w:sz w:val="21"/>
      <w:szCs w:val="22"/>
    </w:rPr>
  </w:style>
  <w:style w:type="paragraph" w:customStyle="1" w:styleId="67">
    <w:name w:val="1"/>
    <w:basedOn w:val="1"/>
    <w:next w:val="13"/>
    <w:qFormat/>
    <w:uiPriority w:val="99"/>
    <w:rPr>
      <w:rFonts w:ascii="宋体" w:hAnsi="Courier New" w:cs="宋体"/>
      <w:sz w:val="21"/>
      <w:szCs w:val="21"/>
    </w:rPr>
  </w:style>
  <w:style w:type="paragraph" w:customStyle="1" w:styleId="68">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0">
    <w:name w:val="List Paragraph"/>
    <w:basedOn w:val="1"/>
    <w:unhideWhenUsed/>
    <w:qFormat/>
    <w:uiPriority w:val="99"/>
    <w:pPr>
      <w:ind w:firstLine="420" w:firstLineChars="200"/>
    </w:pPr>
  </w:style>
  <w:style w:type="paragraph" w:customStyle="1" w:styleId="7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styleId="72">
    <w:name w:val="Intense Quote"/>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73">
    <w:name w:val="NormalIndent"/>
    <w:basedOn w:val="1"/>
    <w:next w:val="74"/>
    <w:qFormat/>
    <w:uiPriority w:val="99"/>
    <w:pPr>
      <w:ind w:firstLine="420" w:firstLineChars="200"/>
    </w:pPr>
  </w:style>
  <w:style w:type="paragraph" w:customStyle="1" w:styleId="74">
    <w:name w:val="Heading4"/>
    <w:basedOn w:val="1"/>
    <w:next w:val="1"/>
    <w:qFormat/>
    <w:uiPriority w:val="99"/>
    <w:pPr>
      <w:spacing w:before="100" w:beforeAutospacing="1" w:after="100" w:afterAutospacing="1"/>
      <w:jc w:val="left"/>
    </w:pPr>
    <w:rPr>
      <w:rFonts w:ascii="宋体" w:hAnsi="宋体"/>
      <w:b/>
      <w:kern w:val="0"/>
      <w:sz w:val="24"/>
      <w:szCs w:val="24"/>
    </w:rPr>
  </w:style>
  <w:style w:type="character" w:customStyle="1" w:styleId="75">
    <w:name w:val="NormalCharacter"/>
    <w:qFormat/>
    <w:uiPriority w:val="0"/>
    <w:rPr>
      <w:kern w:val="2"/>
      <w:sz w:val="28"/>
      <w:lang w:val="en-US" w:eastAsia="zh-CN" w:bidi="ar-SA"/>
    </w:rPr>
  </w:style>
  <w:style w:type="character" w:customStyle="1" w:styleId="76">
    <w:name w:val="font11"/>
    <w:qFormat/>
    <w:uiPriority w:val="0"/>
    <w:rPr>
      <w:rFonts w:hint="eastAsia" w:ascii="宋体" w:hAnsi="宋体" w:eastAsia="宋体" w:cs="宋体"/>
      <w:b/>
      <w:bCs/>
      <w:color w:val="000000"/>
      <w:sz w:val="28"/>
      <w:szCs w:val="28"/>
      <w:u w:val="none"/>
    </w:rPr>
  </w:style>
  <w:style w:type="character" w:customStyle="1" w:styleId="77">
    <w:name w:val="font31"/>
    <w:qFormat/>
    <w:uiPriority w:val="0"/>
    <w:rPr>
      <w:rFonts w:hint="eastAsia" w:ascii="宋体" w:hAnsi="宋体" w:eastAsia="宋体" w:cs="宋体"/>
      <w:color w:val="000000"/>
      <w:sz w:val="24"/>
      <w:szCs w:val="24"/>
      <w:u w:val="none"/>
    </w:rPr>
  </w:style>
  <w:style w:type="character" w:customStyle="1" w:styleId="78">
    <w:name w:val="15"/>
    <w:qFormat/>
    <w:uiPriority w:val="0"/>
    <w:rPr>
      <w:rFonts w:hint="default" w:ascii="Times New Roman" w:hAnsi="Times New Roman" w:cs="Times New Roman"/>
    </w:rPr>
  </w:style>
  <w:style w:type="paragraph" w:customStyle="1" w:styleId="79">
    <w:name w:val="Table Text"/>
    <w:basedOn w:val="1"/>
    <w:semiHidden/>
    <w:qFormat/>
    <w:uiPriority w:val="0"/>
    <w:rPr>
      <w:rFonts w:ascii="宋体" w:hAnsi="宋体" w:eastAsia="宋体" w:cs="宋体"/>
      <w:sz w:val="18"/>
      <w:szCs w:val="18"/>
      <w:lang w:val="en-US" w:eastAsia="en-US" w:bidi="ar-SA"/>
    </w:rPr>
  </w:style>
  <w:style w:type="table" w:customStyle="1" w:styleId="80">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35</Pages>
  <Words>13296</Words>
  <Characters>13871</Characters>
  <Lines>1</Lines>
  <Paragraphs>1</Paragraphs>
  <TotalTime>34</TotalTime>
  <ScaleCrop>false</ScaleCrop>
  <LinksUpToDate>false</LinksUpToDate>
  <CharactersWithSpaces>14767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2024-06-14T07:51:00Z</dcterms:created>
  <dc:creator>hp</dc:creator>
  <cp:lastModifiedBy>大家智方</cp:lastModifiedBy>
  <cp:lastPrinted>2024-06-17T04:31:00Z</cp:lastPrinted>
  <dcterms:modified xsi:type="dcterms:W3CDTF">2026-03-27T03:19:36Z</dcterms:modified>
  <dc:title>询价采购文件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08248575FF104419AC5C5FA41C566128_13</vt:lpwstr>
  </property>
  <property fmtid="{D5CDD505-2E9C-101B-9397-08002B2CF9AE}" pid="4" name="KSOTemplateDocerSaveRecord">
    <vt:lpwstr>eyJoZGlkIjoiMDZmMzAyZjk0OWE3ZmVmMTM1Y2UxOTkzZjY0OTU2MjAiLCJ1c2VySWQiOiIxOTQzNjE1MjQifQ==</vt:lpwstr>
  </property>
</Properties>
</file>