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4C67A">
      <w:pPr>
        <w:spacing w:line="360" w:lineRule="auto"/>
        <w:jc w:val="center"/>
        <w:rPr>
          <w:rFonts w:hint="eastAsia" w:ascii="宋体" w:hAnsi="宋体" w:cs="宋体"/>
          <w:b/>
          <w:color w:val="auto"/>
          <w:sz w:val="24"/>
          <w:highlight w:val="none"/>
        </w:rPr>
      </w:pPr>
    </w:p>
    <w:p w14:paraId="3CEC1536">
      <w:pPr>
        <w:adjustRightInd/>
        <w:spacing w:line="360" w:lineRule="auto"/>
        <w:jc w:val="center"/>
        <w:rPr>
          <w:rFonts w:hint="eastAsia" w:ascii="仿宋" w:hAnsi="仿宋" w:eastAsia="仿宋" w:cs="仿宋"/>
          <w:color w:val="auto"/>
          <w:sz w:val="48"/>
          <w:szCs w:val="48"/>
          <w:highlight w:val="none"/>
        </w:rPr>
      </w:pPr>
      <w:bookmarkStart w:id="0" w:name="_Hlt67893495"/>
      <w:bookmarkEnd w:id="0"/>
    </w:p>
    <w:p w14:paraId="54884F5C">
      <w:pPr>
        <w:adjustRightInd/>
        <w:spacing w:line="360" w:lineRule="auto"/>
        <w:jc w:val="center"/>
        <w:rPr>
          <w:rFonts w:hint="eastAsia" w:ascii="仿宋" w:hAnsi="仿宋" w:eastAsia="仿宋" w:cs="仿宋"/>
          <w:color w:val="auto"/>
          <w:sz w:val="48"/>
          <w:szCs w:val="48"/>
          <w:highlight w:val="none"/>
          <w:lang w:eastAsia="zh-CN"/>
        </w:rPr>
      </w:pPr>
      <w:r>
        <w:rPr>
          <w:rFonts w:hint="eastAsia" w:ascii="仿宋" w:hAnsi="仿宋" w:eastAsia="仿宋" w:cs="仿宋"/>
          <w:color w:val="auto"/>
          <w:sz w:val="48"/>
          <w:szCs w:val="48"/>
          <w:highlight w:val="none"/>
          <w:lang w:eastAsia="zh-CN"/>
        </w:rPr>
        <w:t>2026年度杭州国际博览中心病媒生物防治（害虫消杀）服务项目</w:t>
      </w:r>
    </w:p>
    <w:p w14:paraId="0C596181">
      <w:pPr>
        <w:adjustRightInd/>
        <w:spacing w:line="360" w:lineRule="auto"/>
        <w:jc w:val="center"/>
        <w:rPr>
          <w:rFonts w:hint="eastAsia" w:ascii="仿宋" w:hAnsi="仿宋" w:eastAsia="仿宋" w:cs="仿宋"/>
          <w:color w:val="auto"/>
          <w:sz w:val="48"/>
          <w:szCs w:val="48"/>
          <w:highlight w:val="none"/>
        </w:rPr>
      </w:pPr>
    </w:p>
    <w:p w14:paraId="5BFE469D">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交易文件</w:t>
      </w:r>
    </w:p>
    <w:p w14:paraId="44E7CA14">
      <w:pPr>
        <w:adjustRightInd/>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 xml:space="preserve"> （电子交易标）</w:t>
      </w:r>
    </w:p>
    <w:p w14:paraId="0B404154">
      <w:pPr>
        <w:snapToGrid w:val="0"/>
        <w:spacing w:line="360" w:lineRule="auto"/>
        <w:jc w:val="center"/>
        <w:rPr>
          <w:rFonts w:hint="default" w:ascii="仿宋" w:hAnsi="仿宋" w:eastAsia="仿宋" w:cs="仿宋"/>
          <w:b/>
          <w:bCs/>
          <w:color w:val="auto"/>
          <w:sz w:val="30"/>
          <w:szCs w:val="30"/>
          <w:highlight w:val="none"/>
          <w:lang w:val="en-US" w:eastAsia="zh-CN"/>
        </w:rPr>
      </w:pPr>
      <w:r>
        <w:rPr>
          <w:rFonts w:hint="eastAsia" w:ascii="仿宋" w:hAnsi="仿宋" w:eastAsia="仿宋" w:cs="仿宋"/>
          <w:color w:val="auto"/>
          <w:sz w:val="30"/>
          <w:szCs w:val="30"/>
          <w:highlight w:val="none"/>
        </w:rPr>
        <w:t>编号:ZFZX202</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-CG0</w:t>
      </w:r>
      <w:r>
        <w:rPr>
          <w:rFonts w:hint="eastAsia" w:ascii="仿宋" w:hAnsi="仿宋" w:eastAsia="仿宋" w:cs="仿宋"/>
          <w:color w:val="auto"/>
          <w:sz w:val="30"/>
          <w:szCs w:val="30"/>
          <w:highlight w:val="none"/>
          <w:lang w:val="en-US" w:eastAsia="zh-CN"/>
        </w:rPr>
        <w:t>25</w:t>
      </w:r>
    </w:p>
    <w:p w14:paraId="3B16E1BF">
      <w:pPr>
        <w:adjustRightInd/>
        <w:spacing w:line="360" w:lineRule="auto"/>
        <w:rPr>
          <w:rFonts w:hint="eastAsia" w:ascii="仿宋" w:hAnsi="仿宋" w:eastAsia="仿宋" w:cs="仿宋"/>
          <w:color w:val="auto"/>
          <w:sz w:val="28"/>
          <w:szCs w:val="20"/>
          <w:highlight w:val="none"/>
        </w:rPr>
      </w:pPr>
    </w:p>
    <w:p w14:paraId="77DF38FF">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w:t>
      </w:r>
    </w:p>
    <w:p w14:paraId="499A7BF5">
      <w:pPr>
        <w:spacing w:line="360" w:lineRule="auto"/>
        <w:jc w:val="center"/>
        <w:rPr>
          <w:rFonts w:hint="eastAsia" w:ascii="仿宋" w:hAnsi="仿宋" w:eastAsia="仿宋" w:cs="仿宋"/>
          <w:b/>
          <w:color w:val="auto"/>
          <w:sz w:val="44"/>
          <w:szCs w:val="44"/>
          <w:highlight w:val="none"/>
        </w:rPr>
      </w:pPr>
    </w:p>
    <w:p w14:paraId="08430BD9">
      <w:pPr>
        <w:snapToGrid w:val="0"/>
        <w:spacing w:line="360" w:lineRule="auto"/>
        <w:jc w:val="center"/>
        <w:rPr>
          <w:rFonts w:hint="eastAsia" w:ascii="仿宋" w:hAnsi="仿宋" w:eastAsia="仿宋" w:cs="仿宋"/>
          <w:color w:val="auto"/>
          <w:sz w:val="36"/>
          <w:highlight w:val="none"/>
          <w:lang w:eastAsia="zh-CN"/>
        </w:rPr>
      </w:pPr>
      <w:r>
        <w:rPr>
          <w:rFonts w:hint="eastAsia" w:ascii="仿宋" w:hAnsi="仿宋" w:eastAsia="仿宋" w:cs="仿宋"/>
          <w:color w:val="auto"/>
          <w:sz w:val="36"/>
          <w:highlight w:val="none"/>
          <w:lang w:eastAsia="zh-CN"/>
        </w:rPr>
        <w:t>杭州国际博览中心有限公司</w:t>
      </w:r>
      <w:r>
        <w:rPr>
          <w:rFonts w:hint="eastAsia" w:ascii="仿宋" w:hAnsi="仿宋" w:eastAsia="仿宋" w:cs="仿宋"/>
          <w:color w:val="auto"/>
          <w:sz w:val="36"/>
          <w:highlight w:val="none"/>
          <w:lang w:eastAsia="zh-CN"/>
        </w:rPr>
        <w:br w:type="textWrapping"/>
      </w:r>
      <w:r>
        <w:rPr>
          <w:rFonts w:hint="eastAsia" w:ascii="仿宋" w:hAnsi="仿宋" w:eastAsia="仿宋" w:cs="仿宋"/>
          <w:color w:val="auto"/>
          <w:sz w:val="36"/>
          <w:highlight w:val="none"/>
          <w:lang w:eastAsia="zh-CN"/>
        </w:rPr>
        <w:t>杭州国际博览中心北辰大酒店有限公司</w:t>
      </w:r>
      <w:r>
        <w:rPr>
          <w:rFonts w:hint="eastAsia" w:ascii="仿宋" w:hAnsi="仿宋" w:eastAsia="仿宋" w:cs="仿宋"/>
          <w:color w:val="auto"/>
          <w:sz w:val="36"/>
          <w:highlight w:val="none"/>
          <w:lang w:eastAsia="zh-CN"/>
        </w:rPr>
        <w:br w:type="textWrapping"/>
      </w:r>
      <w:r>
        <w:rPr>
          <w:rFonts w:hint="eastAsia" w:ascii="仿宋" w:hAnsi="仿宋" w:eastAsia="仿宋" w:cs="仿宋"/>
          <w:color w:val="auto"/>
          <w:sz w:val="36"/>
          <w:highlight w:val="none"/>
          <w:lang w:eastAsia="zh-CN"/>
        </w:rPr>
        <w:t>杭州奥体国际酒店管理有限公司</w:t>
      </w:r>
    </w:p>
    <w:p w14:paraId="08BF271F">
      <w:pPr>
        <w:snapToGrid w:val="0"/>
        <w:spacing w:line="360" w:lineRule="auto"/>
        <w:jc w:val="center"/>
        <w:rPr>
          <w:rFonts w:hint="eastAsia" w:ascii="仿宋" w:hAnsi="仿宋" w:eastAsia="仿宋" w:cs="仿宋"/>
          <w:color w:val="auto"/>
          <w:sz w:val="36"/>
          <w:highlight w:val="none"/>
        </w:rPr>
      </w:pPr>
      <w:r>
        <w:rPr>
          <w:rFonts w:hint="eastAsia" w:ascii="仿宋" w:hAnsi="仿宋" w:eastAsia="仿宋" w:cs="仿宋"/>
          <w:color w:val="auto"/>
          <w:sz w:val="36"/>
          <w:highlight w:val="none"/>
        </w:rPr>
        <w:t>浙江省房地产管理咨询有限公司</w:t>
      </w:r>
    </w:p>
    <w:p w14:paraId="0B2515DB">
      <w:pPr>
        <w:snapToGrid w:val="0"/>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202</w:t>
      </w:r>
      <w:r>
        <w:rPr>
          <w:rFonts w:hint="eastAsia" w:ascii="仿宋" w:hAnsi="仿宋" w:eastAsia="仿宋" w:cs="仿宋"/>
          <w:bCs/>
          <w:color w:val="auto"/>
          <w:sz w:val="32"/>
          <w:szCs w:val="32"/>
          <w:highlight w:val="none"/>
          <w:lang w:val="en-US" w:eastAsia="zh-CN"/>
        </w:rPr>
        <w:t>6</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月</w:t>
      </w:r>
    </w:p>
    <w:p w14:paraId="28C430C0">
      <w:pPr>
        <w:snapToGrid w:val="0"/>
        <w:spacing w:line="360" w:lineRule="auto"/>
        <w:jc w:val="center"/>
        <w:rPr>
          <w:rFonts w:hint="eastAsia" w:ascii="仿宋" w:hAnsi="仿宋" w:eastAsia="仿宋" w:cs="仿宋"/>
          <w:color w:val="auto"/>
          <w:sz w:val="24"/>
          <w:highlight w:val="none"/>
        </w:rPr>
      </w:pPr>
    </w:p>
    <w:p w14:paraId="098F0674">
      <w:pPr>
        <w:spacing w:line="360" w:lineRule="auto"/>
        <w:jc w:val="center"/>
        <w:rPr>
          <w:rFonts w:hint="eastAsia" w:ascii="仿宋" w:hAnsi="仿宋" w:eastAsia="仿宋" w:cs="仿宋"/>
          <w:color w:val="auto"/>
          <w:sz w:val="24"/>
          <w:highlight w:val="none"/>
        </w:rPr>
      </w:pPr>
    </w:p>
    <w:p w14:paraId="4EF7354E">
      <w:pPr>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14:paraId="7CC4CEC5">
      <w:pPr>
        <w:spacing w:line="360" w:lineRule="auto"/>
        <w:rPr>
          <w:rFonts w:hint="eastAsia" w:ascii="仿宋" w:hAnsi="仿宋" w:eastAsia="仿宋" w:cs="仿宋"/>
          <w:color w:val="auto"/>
          <w:sz w:val="32"/>
          <w:szCs w:val="32"/>
          <w:highlight w:val="none"/>
        </w:rPr>
      </w:pPr>
    </w:p>
    <w:p w14:paraId="253D48D0">
      <w:pPr>
        <w:spacing w:line="360" w:lineRule="auto"/>
        <w:rPr>
          <w:rFonts w:hint="eastAsia" w:ascii="仿宋" w:hAnsi="仿宋" w:eastAsia="仿宋" w:cs="仿宋"/>
          <w:color w:val="auto"/>
          <w:sz w:val="32"/>
          <w:szCs w:val="32"/>
          <w:highlight w:val="none"/>
        </w:rPr>
      </w:pPr>
    </w:p>
    <w:p w14:paraId="3B1F271C">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第一部分      交易公告</w:t>
      </w:r>
    </w:p>
    <w:p w14:paraId="352C24F4">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供应商须知</w:t>
      </w:r>
    </w:p>
    <w:p w14:paraId="79927EED">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第三部分      采购需求</w:t>
      </w:r>
    </w:p>
    <w:p w14:paraId="041C4595">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第四部分      评审办法</w:t>
      </w:r>
    </w:p>
    <w:p w14:paraId="4BA625CB">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第五部分      应提交的有关格式范例</w:t>
      </w:r>
    </w:p>
    <w:p w14:paraId="4004AD38">
      <w:pPr>
        <w:spacing w:line="360" w:lineRule="auto"/>
        <w:ind w:firstLine="549" w:firstLineChars="229"/>
        <w:rPr>
          <w:rFonts w:hint="eastAsia" w:ascii="仿宋" w:hAnsi="仿宋" w:eastAsia="仿宋" w:cs="仿宋"/>
          <w:color w:val="auto"/>
          <w:sz w:val="24"/>
          <w:highlight w:val="none"/>
        </w:rPr>
      </w:pPr>
      <w:bookmarkStart w:id="1" w:name="_Hlt91233176"/>
      <w:bookmarkEnd w:id="1"/>
      <w:bookmarkStart w:id="2" w:name="_Toc91899869"/>
    </w:p>
    <w:p w14:paraId="0E761A55">
      <w:pPr>
        <w:spacing w:line="360" w:lineRule="auto"/>
        <w:ind w:firstLine="549" w:firstLineChars="229"/>
        <w:rPr>
          <w:rFonts w:hint="eastAsia" w:ascii="仿宋" w:hAnsi="仿宋" w:eastAsia="仿宋" w:cs="仿宋"/>
          <w:color w:val="auto"/>
          <w:sz w:val="24"/>
          <w:highlight w:val="none"/>
        </w:rPr>
      </w:pPr>
    </w:p>
    <w:p w14:paraId="63DCF250">
      <w:pPr>
        <w:spacing w:line="360" w:lineRule="auto"/>
        <w:ind w:firstLine="549" w:firstLineChars="229"/>
        <w:rPr>
          <w:rFonts w:hint="eastAsia" w:ascii="仿宋" w:hAnsi="仿宋" w:eastAsia="仿宋" w:cs="仿宋"/>
          <w:color w:val="auto"/>
          <w:sz w:val="24"/>
          <w:highlight w:val="none"/>
        </w:rPr>
      </w:pPr>
    </w:p>
    <w:p w14:paraId="2E48D32F">
      <w:pPr>
        <w:spacing w:line="360" w:lineRule="auto"/>
        <w:ind w:firstLine="549" w:firstLineChars="229"/>
        <w:rPr>
          <w:rFonts w:hint="eastAsia" w:ascii="仿宋" w:hAnsi="仿宋" w:eastAsia="仿宋" w:cs="仿宋"/>
          <w:color w:val="auto"/>
          <w:sz w:val="24"/>
          <w:highlight w:val="none"/>
        </w:rPr>
      </w:pPr>
    </w:p>
    <w:p w14:paraId="3ADA9009">
      <w:pPr>
        <w:spacing w:line="360" w:lineRule="auto"/>
        <w:ind w:firstLine="549" w:firstLineChars="229"/>
        <w:rPr>
          <w:rFonts w:hint="eastAsia" w:ascii="仿宋" w:hAnsi="仿宋" w:eastAsia="仿宋" w:cs="仿宋"/>
          <w:color w:val="auto"/>
          <w:sz w:val="24"/>
          <w:highlight w:val="none"/>
        </w:rPr>
      </w:pPr>
    </w:p>
    <w:p w14:paraId="6DD47A90">
      <w:pPr>
        <w:spacing w:line="360" w:lineRule="auto"/>
        <w:ind w:firstLine="549" w:firstLineChars="229"/>
        <w:rPr>
          <w:rFonts w:hint="eastAsia" w:ascii="仿宋" w:hAnsi="仿宋" w:eastAsia="仿宋" w:cs="仿宋"/>
          <w:color w:val="auto"/>
          <w:sz w:val="24"/>
          <w:highlight w:val="none"/>
        </w:rPr>
      </w:pPr>
    </w:p>
    <w:p w14:paraId="0B6EE997">
      <w:pPr>
        <w:spacing w:line="360" w:lineRule="auto"/>
        <w:ind w:firstLine="549" w:firstLineChars="229"/>
        <w:rPr>
          <w:rFonts w:hint="eastAsia" w:ascii="仿宋" w:hAnsi="仿宋" w:eastAsia="仿宋" w:cs="仿宋"/>
          <w:color w:val="auto"/>
          <w:sz w:val="24"/>
          <w:highlight w:val="none"/>
        </w:rPr>
      </w:pPr>
    </w:p>
    <w:p w14:paraId="39040253">
      <w:pPr>
        <w:spacing w:line="360" w:lineRule="auto"/>
        <w:ind w:firstLine="549" w:firstLineChars="229"/>
        <w:rPr>
          <w:rFonts w:hint="eastAsia" w:ascii="仿宋" w:hAnsi="仿宋" w:eastAsia="仿宋" w:cs="仿宋"/>
          <w:color w:val="auto"/>
          <w:sz w:val="24"/>
          <w:highlight w:val="none"/>
        </w:rPr>
      </w:pPr>
    </w:p>
    <w:p w14:paraId="69D9F408">
      <w:pPr>
        <w:spacing w:line="360" w:lineRule="auto"/>
        <w:ind w:firstLine="549" w:firstLineChars="229"/>
        <w:rPr>
          <w:rFonts w:hint="eastAsia" w:ascii="仿宋" w:hAnsi="仿宋" w:eastAsia="仿宋" w:cs="仿宋"/>
          <w:color w:val="auto"/>
          <w:sz w:val="24"/>
          <w:highlight w:val="none"/>
        </w:rPr>
      </w:pPr>
    </w:p>
    <w:p w14:paraId="6973B47D">
      <w:pPr>
        <w:spacing w:line="360" w:lineRule="auto"/>
        <w:ind w:firstLine="549" w:firstLineChars="229"/>
        <w:rPr>
          <w:rFonts w:hint="eastAsia" w:ascii="仿宋" w:hAnsi="仿宋" w:eastAsia="仿宋" w:cs="仿宋"/>
          <w:color w:val="auto"/>
          <w:sz w:val="24"/>
          <w:highlight w:val="none"/>
        </w:rPr>
      </w:pPr>
    </w:p>
    <w:p w14:paraId="16E01A98">
      <w:pPr>
        <w:spacing w:line="360" w:lineRule="auto"/>
        <w:ind w:firstLine="549" w:firstLineChars="229"/>
        <w:rPr>
          <w:rFonts w:hint="eastAsia" w:ascii="仿宋" w:hAnsi="仿宋" w:eastAsia="仿宋" w:cs="仿宋"/>
          <w:color w:val="auto"/>
          <w:sz w:val="24"/>
          <w:highlight w:val="none"/>
        </w:rPr>
      </w:pPr>
    </w:p>
    <w:p w14:paraId="2E690460">
      <w:pPr>
        <w:spacing w:line="360" w:lineRule="auto"/>
        <w:ind w:firstLine="549" w:firstLineChars="229"/>
        <w:rPr>
          <w:rFonts w:hint="eastAsia" w:ascii="仿宋" w:hAnsi="仿宋" w:eastAsia="仿宋" w:cs="仿宋"/>
          <w:color w:val="auto"/>
          <w:sz w:val="24"/>
          <w:highlight w:val="none"/>
        </w:rPr>
      </w:pPr>
    </w:p>
    <w:p w14:paraId="0DD99179">
      <w:pPr>
        <w:spacing w:line="360" w:lineRule="auto"/>
        <w:ind w:firstLine="549" w:firstLineChars="229"/>
        <w:rPr>
          <w:rFonts w:hint="eastAsia" w:ascii="仿宋" w:hAnsi="仿宋" w:eastAsia="仿宋" w:cs="仿宋"/>
          <w:color w:val="auto"/>
          <w:sz w:val="24"/>
          <w:highlight w:val="none"/>
        </w:rPr>
      </w:pPr>
    </w:p>
    <w:p w14:paraId="6EAE8414">
      <w:pPr>
        <w:spacing w:line="360" w:lineRule="auto"/>
        <w:rPr>
          <w:rFonts w:hint="eastAsia" w:ascii="仿宋" w:hAnsi="仿宋" w:eastAsia="仿宋" w:cs="仿宋"/>
          <w:color w:val="auto"/>
          <w:sz w:val="24"/>
          <w:highlight w:val="none"/>
        </w:rPr>
      </w:pPr>
    </w:p>
    <w:p w14:paraId="380DEB27">
      <w:pPr>
        <w:adjustRightInd/>
        <w:spacing w:line="360" w:lineRule="auto"/>
        <w:jc w:val="center"/>
        <w:outlineLvl w:val="0"/>
        <w:rPr>
          <w:rFonts w:hint="eastAsia" w:ascii="仿宋" w:hAnsi="仿宋" w:eastAsia="仿宋" w:cs="仿宋"/>
          <w:b/>
          <w:color w:val="auto"/>
          <w:sz w:val="36"/>
          <w:szCs w:val="20"/>
          <w:highlight w:val="none"/>
        </w:rPr>
      </w:pPr>
      <w:bookmarkStart w:id="3" w:name="第一部分"/>
      <w:r>
        <w:rPr>
          <w:rFonts w:hint="eastAsia" w:ascii="仿宋" w:hAnsi="仿宋" w:eastAsia="仿宋" w:cs="仿宋"/>
          <w:b/>
          <w:color w:val="auto"/>
          <w:sz w:val="36"/>
          <w:szCs w:val="36"/>
          <w:highlight w:val="none"/>
        </w:rPr>
        <w:br w:type="page"/>
      </w:r>
      <w:bookmarkEnd w:id="2"/>
      <w:bookmarkEnd w:id="3"/>
      <w:bookmarkStart w:id="4" w:name="_Hlt74728647"/>
      <w:bookmarkEnd w:id="4"/>
      <w:bookmarkStart w:id="5" w:name="_Hlt74729822"/>
      <w:bookmarkEnd w:id="5"/>
      <w:bookmarkStart w:id="6" w:name="_Hlt74707423"/>
      <w:bookmarkEnd w:id="6"/>
      <w:bookmarkStart w:id="7" w:name="_Hlt74649545"/>
      <w:bookmarkEnd w:id="7"/>
      <w:bookmarkStart w:id="8" w:name="第二部分"/>
      <w:bookmarkStart w:id="9" w:name="_Toc91899870"/>
      <w:bookmarkStart w:id="10" w:name="_Toc91899871"/>
      <w:r>
        <w:rPr>
          <w:rFonts w:hint="eastAsia" w:ascii="仿宋" w:hAnsi="仿宋" w:eastAsia="仿宋" w:cs="仿宋"/>
          <w:b/>
          <w:color w:val="auto"/>
          <w:sz w:val="36"/>
          <w:szCs w:val="20"/>
          <w:highlight w:val="none"/>
        </w:rPr>
        <w:t>第一部分 交易公告</w:t>
      </w:r>
    </w:p>
    <w:p w14:paraId="090302A0">
      <w:pPr>
        <w:pBdr>
          <w:top w:val="single" w:color="auto" w:sz="4" w:space="1"/>
          <w:left w:val="single" w:color="auto" w:sz="4" w:space="4"/>
          <w:bottom w:val="single" w:color="auto" w:sz="4" w:space="1"/>
          <w:right w:val="single" w:color="auto" w:sz="4" w:space="4"/>
        </w:pBd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5388643A">
      <w:pPr>
        <w:pBdr>
          <w:top w:val="single" w:color="auto" w:sz="4" w:space="1"/>
          <w:left w:val="single" w:color="auto" w:sz="4" w:space="4"/>
          <w:bottom w:val="single" w:color="auto" w:sz="4" w:space="1"/>
          <w:right w:val="single" w:color="auto" w:sz="4" w:space="4"/>
        </w:pBd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2026年度杭州国际博览中心病媒生物防治（害虫消杀）服务项目</w:t>
      </w:r>
      <w:r>
        <w:rPr>
          <w:rFonts w:hint="eastAsia" w:ascii="仿宋" w:hAnsi="仿宋" w:eastAsia="仿宋" w:cs="仿宋"/>
          <w:color w:val="auto"/>
          <w:sz w:val="24"/>
          <w:highlight w:val="none"/>
        </w:rPr>
        <w:t>交易项目的潜在供应商应在乐采云平台（</w:t>
      </w:r>
      <w:r>
        <w:rPr>
          <w:rFonts w:hint="eastAsia"/>
          <w:color w:val="auto"/>
          <w:highlight w:val="none"/>
        </w:rPr>
        <w:fldChar w:fldCharType="begin"/>
      </w:r>
      <w:r>
        <w:rPr>
          <w:color w:val="auto"/>
          <w:highlight w:val="none"/>
        </w:rPr>
        <w:instrText xml:space="preserve"> HYPERLINK "https://www.zcygov.cn/）获取（下载）招标文件，并于2021年" </w:instrText>
      </w:r>
      <w:r>
        <w:rPr>
          <w:rFonts w:hint="eastAsia"/>
          <w:color w:val="auto"/>
          <w:highlight w:val="none"/>
        </w:rPr>
        <w:fldChar w:fldCharType="separate"/>
      </w:r>
      <w:r>
        <w:rPr>
          <w:rStyle w:val="77"/>
          <w:rFonts w:hint="eastAsia" w:ascii="仿宋" w:hAnsi="仿宋" w:eastAsia="仿宋" w:cs="仿宋"/>
          <w:color w:val="auto"/>
          <w:kern w:val="2"/>
          <w:sz w:val="24"/>
          <w:szCs w:val="24"/>
          <w:highlight w:val="none"/>
        </w:rPr>
        <w:t>https://www.lecaiyun.com/）获取（下载）交易文件，并于</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日14点00分</w:t>
      </w:r>
      <w:r>
        <w:rPr>
          <w:rFonts w:hint="eastAsia" w:ascii="仿宋" w:hAnsi="仿宋" w:eastAsia="仿宋" w:cs="仿宋"/>
          <w:bCs/>
          <w:color w:val="auto"/>
          <w:sz w:val="24"/>
          <w:highlight w:val="none"/>
          <w:u w:val="single"/>
        </w:rPr>
        <w:t>00秒</w:t>
      </w:r>
      <w:r>
        <w:rPr>
          <w:rFonts w:hint="eastAsia" w:ascii="仿宋" w:hAnsi="仿宋" w:eastAsia="仿宋" w:cs="仿宋"/>
          <w:bCs/>
          <w:color w:val="auto"/>
          <w:sz w:val="24"/>
          <w:highlight w:val="none"/>
          <w:u w:val="single"/>
        </w:rPr>
        <w:fldChar w:fldCharType="end"/>
      </w:r>
      <w:r>
        <w:rPr>
          <w:rFonts w:hint="eastAsia" w:ascii="仿宋" w:hAnsi="仿宋" w:eastAsia="仿宋" w:cs="仿宋"/>
          <w:bCs/>
          <w:color w:val="auto"/>
          <w:sz w:val="24"/>
          <w:highlight w:val="none"/>
        </w:rPr>
        <w:t>（北京时间）前</w:t>
      </w:r>
      <w:r>
        <w:rPr>
          <w:rFonts w:hint="eastAsia" w:ascii="仿宋" w:hAnsi="仿宋" w:eastAsia="仿宋" w:cs="仿宋"/>
          <w:color w:val="auto"/>
          <w:sz w:val="24"/>
          <w:highlight w:val="none"/>
        </w:rPr>
        <w:t>递交（上传）响应文件。</w:t>
      </w:r>
    </w:p>
    <w:p w14:paraId="3279F670">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一、项目基本情况                                            </w:t>
      </w:r>
    </w:p>
    <w:p w14:paraId="0BEFF9B6">
      <w:pPr>
        <w:spacing w:line="360" w:lineRule="auto"/>
        <w:rPr>
          <w:rFonts w:hint="default" w:ascii="仿宋" w:hAnsi="仿宋" w:eastAsia="仿宋" w:cs="仿宋"/>
          <w:bCs/>
          <w:color w:val="auto"/>
          <w:sz w:val="24"/>
          <w:highlight w:val="none"/>
          <w:lang w:val="en-US" w:eastAsia="zh-CN"/>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项目编号：</w:t>
      </w:r>
      <w:r>
        <w:rPr>
          <w:rFonts w:hint="eastAsia" w:ascii="仿宋" w:hAnsi="仿宋" w:eastAsia="仿宋" w:cs="仿宋"/>
          <w:bCs/>
          <w:color w:val="auto"/>
          <w:sz w:val="24"/>
          <w:highlight w:val="none"/>
        </w:rPr>
        <w:t>ZFZX202</w:t>
      </w:r>
      <w:r>
        <w:rPr>
          <w:rFonts w:hint="eastAsia" w:ascii="仿宋" w:hAnsi="仿宋" w:eastAsia="仿宋" w:cs="仿宋"/>
          <w:bCs/>
          <w:color w:val="auto"/>
          <w:sz w:val="24"/>
          <w:highlight w:val="none"/>
          <w:lang w:val="en-US" w:eastAsia="zh-CN"/>
        </w:rPr>
        <w:t>6</w:t>
      </w:r>
      <w:r>
        <w:rPr>
          <w:rFonts w:hint="eastAsia" w:ascii="仿宋" w:hAnsi="仿宋" w:eastAsia="仿宋" w:cs="仿宋"/>
          <w:bCs/>
          <w:color w:val="auto"/>
          <w:sz w:val="24"/>
          <w:highlight w:val="none"/>
        </w:rPr>
        <w:t>-CG0</w:t>
      </w:r>
      <w:r>
        <w:rPr>
          <w:rFonts w:hint="eastAsia" w:ascii="仿宋" w:hAnsi="仿宋" w:eastAsia="仿宋" w:cs="仿宋"/>
          <w:bCs/>
          <w:color w:val="auto"/>
          <w:sz w:val="24"/>
          <w:highlight w:val="none"/>
          <w:lang w:val="en-US" w:eastAsia="zh-CN"/>
        </w:rPr>
        <w:t>25</w:t>
      </w:r>
    </w:p>
    <w:p w14:paraId="104B787D">
      <w:pPr>
        <w:spacing w:line="360" w:lineRule="auto"/>
        <w:ind w:firstLine="48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项目名称：</w:t>
      </w:r>
      <w:r>
        <w:rPr>
          <w:rFonts w:hint="eastAsia" w:ascii="仿宋" w:hAnsi="仿宋" w:eastAsia="仿宋" w:cs="仿宋"/>
          <w:bCs/>
          <w:color w:val="auto"/>
          <w:sz w:val="24"/>
          <w:highlight w:val="none"/>
          <w:lang w:eastAsia="zh-CN"/>
        </w:rPr>
        <w:t>2026年度杭州国际博览中心病媒生物防治（害虫消杀）服务项目</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 xml:space="preserve"> </w:t>
      </w:r>
    </w:p>
    <w:p w14:paraId="3A59FDD2">
      <w:pPr>
        <w:spacing w:line="360" w:lineRule="auto"/>
        <w:ind w:firstLine="480"/>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预算金额（元）：</w:t>
      </w:r>
      <w:r>
        <w:rPr>
          <w:rFonts w:hint="eastAsia" w:ascii="仿宋" w:hAnsi="仿宋" w:eastAsia="仿宋" w:cs="仿宋"/>
          <w:b/>
          <w:color w:val="auto"/>
          <w:sz w:val="24"/>
          <w:highlight w:val="none"/>
          <w:lang w:val="en-US" w:eastAsia="zh-CN"/>
        </w:rPr>
        <w:t>144.42万元/3年，即</w:t>
      </w:r>
      <w:r>
        <w:rPr>
          <w:rFonts w:hint="eastAsia" w:ascii="仿宋" w:hAnsi="仿宋" w:eastAsia="仿宋" w:cs="仿宋"/>
          <w:b/>
          <w:color w:val="auto"/>
          <w:sz w:val="24"/>
          <w:highlight w:val="none"/>
        </w:rPr>
        <w:t>48.14万/年（</w:t>
      </w:r>
      <w:r>
        <w:rPr>
          <w:rFonts w:hint="eastAsia" w:ascii="仿宋" w:hAnsi="仿宋" w:eastAsia="仿宋" w:cs="仿宋"/>
          <w:b/>
          <w:color w:val="auto"/>
          <w:sz w:val="24"/>
          <w:highlight w:val="none"/>
          <w:lang w:val="en-US" w:eastAsia="zh-CN"/>
        </w:rPr>
        <w:t>其中</w:t>
      </w:r>
      <w:r>
        <w:rPr>
          <w:rFonts w:hint="eastAsia" w:ascii="仿宋" w:hAnsi="仿宋" w:eastAsia="仿宋" w:cs="仿宋"/>
          <w:b/>
          <w:color w:val="auto"/>
          <w:sz w:val="24"/>
          <w:highlight w:val="none"/>
          <w:lang w:eastAsia="zh-CN"/>
        </w:rPr>
        <w:t>杭州国际博览中心有限公司</w:t>
      </w:r>
      <w:r>
        <w:rPr>
          <w:rFonts w:hint="eastAsia" w:ascii="仿宋" w:hAnsi="仿宋" w:eastAsia="仿宋" w:cs="仿宋"/>
          <w:b/>
          <w:color w:val="auto"/>
          <w:sz w:val="24"/>
          <w:highlight w:val="none"/>
        </w:rPr>
        <w:t>33.56万（19.56万+14万）、</w:t>
      </w:r>
      <w:r>
        <w:rPr>
          <w:rFonts w:hint="eastAsia" w:ascii="仿宋" w:hAnsi="仿宋" w:eastAsia="仿宋" w:cs="仿宋"/>
          <w:b/>
          <w:color w:val="auto"/>
          <w:sz w:val="24"/>
          <w:highlight w:val="none"/>
          <w:lang w:eastAsia="zh-CN"/>
        </w:rPr>
        <w:t>杭州国际博览中心北辰大酒店</w:t>
      </w:r>
      <w:r>
        <w:rPr>
          <w:rFonts w:hint="eastAsia" w:ascii="仿宋" w:hAnsi="仿宋" w:eastAsia="仿宋" w:cs="仿宋"/>
          <w:b/>
          <w:color w:val="auto"/>
          <w:sz w:val="24"/>
          <w:highlight w:val="none"/>
        </w:rPr>
        <w:t>8.58万、万丽酒店6万）。</w:t>
      </w:r>
    </w:p>
    <w:p w14:paraId="296B33C9">
      <w:pPr>
        <w:tabs>
          <w:tab w:val="center" w:pos="4535"/>
        </w:tabs>
        <w:spacing w:line="360" w:lineRule="auto"/>
        <w:ind w:firstLine="480"/>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最高限价（元）：</w:t>
      </w:r>
      <w:r>
        <w:rPr>
          <w:rFonts w:hint="eastAsia" w:ascii="仿宋" w:hAnsi="仿宋" w:eastAsia="仿宋" w:cs="仿宋"/>
          <w:b/>
          <w:color w:val="auto"/>
          <w:sz w:val="24"/>
          <w:highlight w:val="none"/>
          <w:lang w:val="en-US" w:eastAsia="zh-CN"/>
        </w:rPr>
        <w:t>144.42万元/3年，即</w:t>
      </w:r>
      <w:r>
        <w:rPr>
          <w:rFonts w:hint="eastAsia" w:ascii="仿宋" w:hAnsi="仿宋" w:eastAsia="仿宋" w:cs="仿宋"/>
          <w:b/>
          <w:color w:val="auto"/>
          <w:sz w:val="24"/>
          <w:highlight w:val="none"/>
        </w:rPr>
        <w:t>48.14万/年（</w:t>
      </w:r>
      <w:r>
        <w:rPr>
          <w:rFonts w:hint="eastAsia" w:ascii="仿宋" w:hAnsi="仿宋" w:eastAsia="仿宋" w:cs="仿宋"/>
          <w:b/>
          <w:color w:val="auto"/>
          <w:sz w:val="24"/>
          <w:highlight w:val="none"/>
          <w:lang w:val="en-US" w:eastAsia="zh-CN"/>
        </w:rPr>
        <w:t>其中</w:t>
      </w:r>
      <w:r>
        <w:rPr>
          <w:rFonts w:hint="eastAsia" w:ascii="仿宋" w:hAnsi="仿宋" w:eastAsia="仿宋" w:cs="仿宋"/>
          <w:b/>
          <w:color w:val="auto"/>
          <w:sz w:val="24"/>
          <w:highlight w:val="none"/>
          <w:lang w:eastAsia="zh-CN"/>
        </w:rPr>
        <w:t>杭州国际博览中心有限公司</w:t>
      </w:r>
      <w:r>
        <w:rPr>
          <w:rFonts w:hint="eastAsia" w:ascii="仿宋" w:hAnsi="仿宋" w:eastAsia="仿宋" w:cs="仿宋"/>
          <w:b/>
          <w:color w:val="auto"/>
          <w:sz w:val="24"/>
          <w:highlight w:val="none"/>
        </w:rPr>
        <w:t>33.56万（19.56万+14万）、</w:t>
      </w:r>
      <w:r>
        <w:rPr>
          <w:rFonts w:hint="eastAsia" w:ascii="仿宋" w:hAnsi="仿宋" w:eastAsia="仿宋" w:cs="仿宋"/>
          <w:b/>
          <w:color w:val="auto"/>
          <w:sz w:val="24"/>
          <w:highlight w:val="none"/>
          <w:lang w:eastAsia="zh-CN"/>
        </w:rPr>
        <w:t>杭州国际博览中心北辰大酒店</w:t>
      </w:r>
      <w:r>
        <w:rPr>
          <w:rFonts w:hint="eastAsia" w:ascii="仿宋" w:hAnsi="仿宋" w:eastAsia="仿宋" w:cs="仿宋"/>
          <w:b/>
          <w:color w:val="auto"/>
          <w:sz w:val="24"/>
          <w:highlight w:val="none"/>
        </w:rPr>
        <w:t>8.58万、万丽酒店6万）。</w:t>
      </w:r>
    </w:p>
    <w:p w14:paraId="10AE7F56">
      <w:pPr>
        <w:pStyle w:val="15"/>
        <w:spacing w:line="360" w:lineRule="auto"/>
        <w:ind w:firstLine="48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采购需求：</w:t>
      </w:r>
    </w:p>
    <w:p w14:paraId="1157CD81">
      <w:pPr>
        <w:spacing w:line="360" w:lineRule="auto"/>
        <w:ind w:left="420" w:leftChars="200"/>
        <w:jc w:val="left"/>
        <w:rPr>
          <w:rFonts w:hint="eastAsia" w:ascii="仿宋" w:hAnsi="仿宋" w:eastAsia="仿宋" w:cs="仿宋"/>
          <w:color w:val="auto"/>
          <w:sz w:val="24"/>
          <w:szCs w:val="28"/>
          <w:highlight w:val="none"/>
          <w:u w:val="single"/>
        </w:rPr>
      </w:pPr>
      <w:r>
        <w:rPr>
          <w:rFonts w:hint="eastAsia" w:ascii="仿宋" w:hAnsi="仿宋" w:eastAsia="仿宋" w:cs="仿宋"/>
          <w:color w:val="auto"/>
          <w:sz w:val="24"/>
          <w:highlight w:val="none"/>
        </w:rPr>
        <w:t>标项名称:</w:t>
      </w:r>
      <w:r>
        <w:rPr>
          <w:rFonts w:hint="eastAsia" w:ascii="仿宋" w:hAnsi="仿宋" w:eastAsia="仿宋" w:cs="仿宋"/>
          <w:color w:val="auto"/>
          <w:sz w:val="24"/>
          <w:highlight w:val="none"/>
          <w:lang w:eastAsia="zh-CN"/>
        </w:rPr>
        <w:t>2026年度杭州国际博览中心病媒生物防治（害虫消杀）服务项目</w:t>
      </w:r>
      <w:r>
        <w:rPr>
          <w:rFonts w:hint="eastAsia" w:ascii="仿宋" w:hAnsi="仿宋" w:eastAsia="仿宋" w:cs="仿宋"/>
          <w:color w:val="auto"/>
          <w:sz w:val="24"/>
          <w:highlight w:val="none"/>
        </w:rPr>
        <w:t xml:space="preserve"> 简要规格描述或项目基本概况介绍、用途：</w:t>
      </w:r>
      <w:r>
        <w:rPr>
          <w:rFonts w:hint="eastAsia" w:ascii="仿宋" w:hAnsi="仿宋" w:eastAsia="仿宋" w:cs="仿宋"/>
          <w:color w:val="auto"/>
          <w:sz w:val="24"/>
          <w:szCs w:val="28"/>
          <w:highlight w:val="none"/>
        </w:rPr>
        <w:t>详见交易文件</w:t>
      </w:r>
    </w:p>
    <w:p w14:paraId="7073775F">
      <w:pPr>
        <w:pStyle w:val="15"/>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备注： </w:t>
      </w:r>
    </w:p>
    <w:p w14:paraId="18B7697B">
      <w:pPr>
        <w:spacing w:line="360" w:lineRule="auto"/>
        <w:ind w:left="420" w:left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合同履约期限：</w:t>
      </w:r>
      <w:r>
        <w:rPr>
          <w:rFonts w:hint="eastAsia" w:ascii="仿宋" w:hAnsi="仿宋" w:eastAsia="仿宋" w:cs="仿宋"/>
          <w:color w:val="auto"/>
          <w:sz w:val="24"/>
          <w:szCs w:val="28"/>
          <w:highlight w:val="none"/>
        </w:rPr>
        <w:t>详见交易文件</w:t>
      </w:r>
    </w:p>
    <w:p w14:paraId="4F5651CC">
      <w:pPr>
        <w:spacing w:line="360" w:lineRule="auto"/>
        <w:ind w:firstLine="48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本项目接受联合体响应：（ ）是；（√）否 </w:t>
      </w:r>
      <w:r>
        <w:rPr>
          <w:rFonts w:hint="eastAsia" w:ascii="仿宋" w:hAnsi="仿宋" w:eastAsia="仿宋" w:cs="仿宋"/>
          <w:color w:val="auto"/>
          <w:kern w:val="0"/>
          <w:sz w:val="24"/>
          <w:highlight w:val="none"/>
        </w:rPr>
        <w:t>。</w:t>
      </w:r>
    </w:p>
    <w:p w14:paraId="3D8CEF34">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62C16D8A">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1、符合《中华人民共和国政府采购法》第二十二条的规定；</w:t>
      </w:r>
    </w:p>
    <w:p w14:paraId="31942432">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2、未被信用中国（www.creditchina.gov.cn)、中国政府采购网（www.ccgp.gov.cn）列入失信被执行人、重大税收违法案件当事人名单、政府采购严重违法失信行为记录名单。</w:t>
      </w:r>
    </w:p>
    <w:p w14:paraId="1B3D5C92">
      <w:pPr>
        <w:snapToGrid w:val="0"/>
        <w:spacing w:line="336"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3、本项</w:t>
      </w:r>
      <w:r>
        <w:rPr>
          <w:rFonts w:hint="eastAsia" w:ascii="仿宋" w:hAnsi="仿宋" w:eastAsia="仿宋" w:cs="仿宋"/>
          <w:color w:val="auto"/>
          <w:sz w:val="24"/>
          <w:highlight w:val="none"/>
          <w:lang w:val="en-US" w:eastAsia="zh-CN"/>
        </w:rPr>
        <w:t>目的特定资格要求： 无</w:t>
      </w:r>
    </w:p>
    <w:p w14:paraId="1C150EAE">
      <w:pPr>
        <w:snapToGrid w:val="0"/>
        <w:spacing w:line="336"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4、单位负责人为同一人或者存在直接控股、管理关系的不同供应商，不得参加同一合同项下的采购活动；</w:t>
      </w:r>
    </w:p>
    <w:p w14:paraId="6EE0E12E">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三、获取交易文件 </w:t>
      </w:r>
    </w:p>
    <w:p w14:paraId="442B95DA">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时间：</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rPr>
        <w:t>，每天上午00:00至12:00，下午12:00至23:59（北京时间，线上获取法定节假日均可，线下获取文件法定节假日除外）</w:t>
      </w:r>
    </w:p>
    <w:p w14:paraId="572094A6">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乐采云平台（</w:t>
      </w:r>
      <w:bookmarkStart w:id="11" w:name="OLE_LINK1"/>
      <w:r>
        <w:rPr>
          <w:rFonts w:hint="eastAsia" w:ascii="仿宋" w:hAnsi="仿宋" w:eastAsia="仿宋" w:cs="仿宋"/>
          <w:color w:val="auto"/>
          <w:sz w:val="24"/>
          <w:highlight w:val="none"/>
        </w:rPr>
        <w:t>https://www.lecaiyun.com/</w:t>
      </w:r>
      <w:bookmarkEnd w:id="11"/>
      <w:r>
        <w:rPr>
          <w:rFonts w:hint="eastAsia" w:ascii="仿宋" w:hAnsi="仿宋" w:eastAsia="仿宋" w:cs="仿宋"/>
          <w:color w:val="auto"/>
          <w:sz w:val="24"/>
          <w:highlight w:val="none"/>
        </w:rPr>
        <w:t xml:space="preserve">） </w:t>
      </w:r>
    </w:p>
    <w:p w14:paraId="17F396F3">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方式：</w:t>
      </w:r>
      <w:r>
        <w:rPr>
          <w:rFonts w:hint="eastAsia" w:ascii="仿宋" w:hAnsi="仿宋" w:eastAsia="仿宋" w:cs="仿宋"/>
          <w:color w:val="auto"/>
          <w:sz w:val="24"/>
          <w:highlight w:val="none"/>
        </w:rPr>
        <w:t xml:space="preserve">供应商登录乐采云平台https://www.lecaiyun.com/在线申请获取采购文件（进入“项目采购”应用，在获取采购文件菜单中选择项目，申请获取采购文件）。 </w:t>
      </w:r>
    </w:p>
    <w:p w14:paraId="76F2984E">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售价（元）：</w:t>
      </w:r>
      <w:r>
        <w:rPr>
          <w:rFonts w:hint="eastAsia" w:ascii="仿宋" w:hAnsi="仿宋" w:eastAsia="仿宋" w:cs="仿宋"/>
          <w:color w:val="auto"/>
          <w:sz w:val="24"/>
          <w:highlight w:val="none"/>
        </w:rPr>
        <w:t xml:space="preserve">0 </w:t>
      </w:r>
      <w:r>
        <w:rPr>
          <w:rFonts w:hint="eastAsia" w:ascii="仿宋" w:hAnsi="仿宋" w:eastAsia="仿宋" w:cs="仿宋"/>
          <w:color w:val="auto"/>
          <w:sz w:val="24"/>
          <w:highlight w:val="none"/>
        </w:rPr>
        <w:tab/>
      </w:r>
    </w:p>
    <w:p w14:paraId="53C9D2BC">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四、提交响应文件截止时间、交易时间和地点</w:t>
      </w:r>
    </w:p>
    <w:p w14:paraId="00A64D71">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提交响应文件截止时间：</w:t>
      </w:r>
      <w:r>
        <w:rPr>
          <w:rFonts w:hint="eastAsia" w:ascii="仿宋" w:hAnsi="仿宋" w:eastAsia="仿宋" w:cs="仿宋"/>
          <w:color w:val="auto"/>
          <w:sz w:val="24"/>
          <w:highlight w:val="none"/>
          <w:u w:val="single"/>
        </w:rPr>
        <w:t xml:space="preserve"> 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日14点00分</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（北京时间）</w:t>
      </w:r>
    </w:p>
    <w:p w14:paraId="06F5A50C">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交易地点（网址）：</w:t>
      </w:r>
      <w:r>
        <w:rPr>
          <w:rFonts w:hint="eastAsia" w:ascii="仿宋" w:hAnsi="仿宋" w:eastAsia="仿宋" w:cs="仿宋"/>
          <w:color w:val="auto"/>
          <w:sz w:val="24"/>
          <w:highlight w:val="none"/>
        </w:rPr>
        <w:t xml:space="preserve">乐采云平台（https://www.lecaiyun.com/） </w:t>
      </w:r>
    </w:p>
    <w:p w14:paraId="18C96B4B">
      <w:pPr>
        <w:spacing w:line="360" w:lineRule="auto"/>
        <w:ind w:firstLine="482" w:firstLineChars="200"/>
        <w:rPr>
          <w:rFonts w:hint="eastAsia" w:ascii="仿宋" w:hAnsi="仿宋" w:eastAsia="仿宋" w:cs="仿宋"/>
          <w:bCs/>
          <w:color w:val="auto"/>
          <w:sz w:val="24"/>
          <w:highlight w:val="none"/>
          <w:u w:val="single"/>
        </w:rPr>
      </w:pPr>
      <w:r>
        <w:rPr>
          <w:rFonts w:hint="eastAsia" w:ascii="仿宋" w:hAnsi="仿宋" w:eastAsia="仿宋" w:cs="仿宋"/>
          <w:b/>
          <w:color w:val="auto"/>
          <w:sz w:val="24"/>
          <w:highlight w:val="none"/>
        </w:rPr>
        <w:t>交易时间：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日14点00分</w:t>
      </w:r>
      <w:r>
        <w:rPr>
          <w:rFonts w:hint="eastAsia" w:ascii="仿宋" w:hAnsi="仿宋" w:eastAsia="仿宋" w:cs="仿宋"/>
          <w:bCs/>
          <w:color w:val="auto"/>
          <w:sz w:val="24"/>
          <w:highlight w:val="none"/>
          <w:u w:val="single"/>
        </w:rPr>
        <w:t xml:space="preserve"> </w:t>
      </w:r>
    </w:p>
    <w:p w14:paraId="0225E87D">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交易地点（网址）：</w:t>
      </w:r>
      <w:r>
        <w:rPr>
          <w:rFonts w:hint="eastAsia" w:ascii="仿宋" w:hAnsi="仿宋" w:eastAsia="仿宋" w:cs="仿宋"/>
          <w:color w:val="auto"/>
          <w:sz w:val="24"/>
          <w:highlight w:val="none"/>
        </w:rPr>
        <w:t>乐采云平台（https://www.lecaiyun.com/）</w:t>
      </w:r>
      <w:r>
        <w:rPr>
          <w:rFonts w:hint="eastAsia" w:ascii="仿宋" w:hAnsi="仿宋" w:eastAsia="仿宋" w:cs="仿宋"/>
          <w:color w:val="auto"/>
          <w:sz w:val="24"/>
          <w:szCs w:val="28"/>
          <w:highlight w:val="none"/>
        </w:rPr>
        <w:t>。</w:t>
      </w:r>
    </w:p>
    <w:p w14:paraId="0354C324">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五、公告期限 </w:t>
      </w:r>
    </w:p>
    <w:p w14:paraId="65CEEEF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自本公告发布之日起3日。</w:t>
      </w:r>
    </w:p>
    <w:p w14:paraId="4EB3743A">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六、其他补充事宜</w:t>
      </w:r>
    </w:p>
    <w:p w14:paraId="557EA98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认为交易文件使自己的权益受到损害的，可以自获取交易文件之日或者交易文件公告期限届满之日（公告期限届满后获取交易文件的，以公告期限届满之日为准）起3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739FBA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其他事项：电子交易（招投标）的说明：①电子交易：本项目以数据电文形式，依托“政府采购云平台（www.lecaiyun.com）”进行交易活动，不接受纸质响应文件；②交易准备：注册账号--点击“商家入驻”，进行政府采购供应商资料填写；申领CA数字证书---申领流程详见“浙江政府采购网-下载专区-电子交易客户端-CA驱动和申领流程”；安装“乐采云电子交易客户端”----前往“浙江政府采购网-下载专区-电子交易客户端”进行下载并安装；③交易（采购）文件的获取：使用账号登录或者使用CA登录乐采云平台；进入“项目采购”应用，在获取采购文件菜单中选择项目，获取交易文件；④响应文件的制作：在“乐采云电子交易客户端”中完成“填写基本信息”、“导入响应文件”、“标书关联”、“标书检查”、“电子签名”、“生成电子标书”等操作；⑤采购人、采购机构将依托乐采云平台完成本项目的电子交易活动，平台不接受未按上述方式获取交易文件的供应商进行交易活动； ⑥对未按上述方式获取交易文件的供应商对该文件提出的质疑，采购人或采购代理机构将不予处理；⑦不提供交易文件纸质版；⑧响应文件的传输递交：供应商在交易截止时间前将加密的响应文件上传至政府采购云平台，还可以在交易截止时间前直接提交或者以邮政快递方式递交备份响应文件1份。备份响应文件的制作、存储、密封详见交易文件第二部分第15点—“备份响应文件”；⑨响应文件的解密：供应商按照平台提示和交易文件的规定在半小时内完成在线解密。通过“政府采购云平台”上传递交的响应文件无法按时解密，交易供应商递交了备份响应文件的，以备份响应文件为依据，否则视为响应文件撤回。通过“政府采购云平台”上传递交的响应文件已按时解密的，备份响应文件自动失效。供应商仅提交备份响应文件，未在电子交易平台传输递交响应文件的，交易无效；⑩具体操作指南：详见乐采云平台“服务中心-帮助文档-项目采购-操作流程-电子招投标-政府采购项目电子交易管理操作指南-供应商”。</w:t>
      </w:r>
    </w:p>
    <w:p w14:paraId="06771EB1">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七、对本次采购提出询问、质疑、投诉，请按以下方式联系</w:t>
      </w:r>
    </w:p>
    <w:p w14:paraId="22E11FA1">
      <w:pPr>
        <w:widowControl/>
        <w:spacing w:line="360" w:lineRule="auto"/>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1.采购人信息</w:t>
      </w:r>
    </w:p>
    <w:p w14:paraId="62CEABBE">
      <w:pPr>
        <w:spacing w:line="360" w:lineRule="auto"/>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sz w:val="24"/>
          <w:szCs w:val="28"/>
          <w:highlight w:val="none"/>
        </w:rPr>
        <w:t>名称：名称：</w:t>
      </w:r>
      <w:r>
        <w:rPr>
          <w:rFonts w:hint="eastAsia" w:ascii="仿宋" w:hAnsi="仿宋" w:eastAsia="仿宋" w:cs="仿宋"/>
          <w:color w:val="auto"/>
          <w:sz w:val="24"/>
          <w:szCs w:val="28"/>
          <w:highlight w:val="none"/>
          <w:lang w:eastAsia="zh-CN"/>
        </w:rPr>
        <w:t>杭州国际博览中心有限公司、杭州国际博览中心北辰大酒店有限公司、杭州奥体国际酒店管理有限公司</w:t>
      </w:r>
    </w:p>
    <w:p w14:paraId="28F89757">
      <w:pPr>
        <w:spacing w:line="360" w:lineRule="auto"/>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地址：浙江省杭州市萧山区钱江世纪城奔竞大道353号</w:t>
      </w:r>
    </w:p>
    <w:p w14:paraId="63D2B214">
      <w:pPr>
        <w:spacing w:line="360" w:lineRule="auto"/>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项目联系人（询问）：沈先生</w:t>
      </w:r>
    </w:p>
    <w:p w14:paraId="2506A26D">
      <w:pPr>
        <w:spacing w:line="360" w:lineRule="auto"/>
        <w:jc w:val="left"/>
        <w:rPr>
          <w:color w:val="auto"/>
          <w:highlight w:val="none"/>
        </w:rPr>
      </w:pPr>
      <w:r>
        <w:rPr>
          <w:rFonts w:hint="eastAsia" w:ascii="仿宋" w:hAnsi="仿宋" w:eastAsia="仿宋" w:cs="仿宋"/>
          <w:color w:val="auto"/>
          <w:sz w:val="24"/>
          <w:szCs w:val="28"/>
          <w:highlight w:val="none"/>
        </w:rPr>
        <w:t>项目联系方式（询问）：</w:t>
      </w:r>
      <w:bookmarkStart w:id="12" w:name="_Toc28359086"/>
      <w:bookmarkStart w:id="13" w:name="_Toc28359009"/>
      <w:r>
        <w:rPr>
          <w:rFonts w:hint="eastAsia" w:ascii="仿宋" w:hAnsi="仿宋" w:eastAsia="仿宋" w:cs="仿宋"/>
          <w:color w:val="auto"/>
          <w:sz w:val="24"/>
          <w:szCs w:val="28"/>
          <w:highlight w:val="none"/>
        </w:rPr>
        <w:t>0571-82908716</w:t>
      </w:r>
    </w:p>
    <w:p w14:paraId="0A91FE6D">
      <w:pPr>
        <w:spacing w:line="360" w:lineRule="auto"/>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2.采购代理机构信息</w:t>
      </w:r>
      <w:bookmarkEnd w:id="12"/>
      <w:bookmarkEnd w:id="13"/>
    </w:p>
    <w:p w14:paraId="1DDA525F">
      <w:pPr>
        <w:spacing w:line="360" w:lineRule="auto"/>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名称：</w:t>
      </w:r>
      <w:r>
        <w:rPr>
          <w:rFonts w:hint="eastAsia" w:ascii="仿宋" w:hAnsi="仿宋" w:eastAsia="仿宋" w:cs="仿宋"/>
          <w:color w:val="auto"/>
          <w:kern w:val="0"/>
          <w:sz w:val="24"/>
          <w:highlight w:val="none"/>
        </w:rPr>
        <w:t>浙江省房地产管理咨询有限公司</w:t>
      </w:r>
    </w:p>
    <w:p w14:paraId="5B96D7E2">
      <w:pPr>
        <w:spacing w:line="360" w:lineRule="auto"/>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地址：萧山区蜀山街道柳桥南和城4幢1单元1003室</w:t>
      </w:r>
    </w:p>
    <w:p w14:paraId="44E4DCFB">
      <w:pPr>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sz w:val="24"/>
          <w:szCs w:val="28"/>
          <w:highlight w:val="none"/>
        </w:rPr>
        <w:t>项目联系人（询问）：沈煜飞</w:t>
      </w:r>
    </w:p>
    <w:p w14:paraId="1AFE67E5">
      <w:pPr>
        <w:spacing w:line="360" w:lineRule="auto"/>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项目联系方式（询问）：17348894601</w:t>
      </w:r>
    </w:p>
    <w:p w14:paraId="2CE4867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若对项目采购电子交易系统操作有疑问，可登录乐采云（https://www.lecaiyun.com/），点击右侧咨询小采，获取采小蜜智能服务管家帮助，或拨打乐采云服务热线400-881-7190获取热线服务帮助。</w:t>
      </w:r>
    </w:p>
    <w:p w14:paraId="56069D7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CA问题联系电话（人工）：汇信CA 400-888-4636；天谷CA 400-087-8198。</w:t>
      </w:r>
    </w:p>
    <w:p w14:paraId="26713F95">
      <w:pPr>
        <w:adjustRightInd/>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r>
        <w:rPr>
          <w:rFonts w:hint="eastAsia" w:ascii="仿宋" w:hAnsi="仿宋" w:eastAsia="仿宋" w:cs="仿宋"/>
          <w:b/>
          <w:color w:val="auto"/>
          <w:sz w:val="36"/>
          <w:szCs w:val="20"/>
          <w:highlight w:val="none"/>
        </w:rPr>
        <w:t>第二部分</w:t>
      </w:r>
      <w:bookmarkEnd w:id="8"/>
      <w:r>
        <w:rPr>
          <w:rFonts w:hint="eastAsia" w:ascii="仿宋" w:hAnsi="仿宋" w:eastAsia="仿宋" w:cs="仿宋"/>
          <w:b/>
          <w:color w:val="auto"/>
          <w:sz w:val="36"/>
          <w:szCs w:val="20"/>
          <w:highlight w:val="none"/>
        </w:rPr>
        <w:t xml:space="preserve"> 供应商须知</w:t>
      </w:r>
      <w:bookmarkEnd w:id="9"/>
    </w:p>
    <w:p w14:paraId="61A1067A">
      <w:pPr>
        <w:snapToGrid w:val="0"/>
        <w:spacing w:line="360" w:lineRule="auto"/>
        <w:jc w:val="center"/>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36"/>
        <w:gridCol w:w="1864"/>
        <w:gridCol w:w="6298"/>
      </w:tblGrid>
      <w:tr w14:paraId="5DB40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36" w:type="dxa"/>
            <w:tcBorders>
              <w:top w:val="single" w:color="auto" w:sz="4" w:space="0"/>
              <w:left w:val="single" w:color="auto" w:sz="4" w:space="0"/>
              <w:bottom w:val="single" w:color="auto" w:sz="4" w:space="0"/>
              <w:right w:val="single" w:color="auto" w:sz="4" w:space="0"/>
            </w:tcBorders>
            <w:vAlign w:val="center"/>
          </w:tcPr>
          <w:p w14:paraId="79825DDE">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864" w:type="dxa"/>
            <w:tcBorders>
              <w:top w:val="single" w:color="000000" w:sz="8" w:space="0"/>
              <w:left w:val="single" w:color="auto" w:sz="4" w:space="0"/>
              <w:bottom w:val="single" w:color="000000" w:sz="8" w:space="0"/>
              <w:right w:val="single" w:color="000000" w:sz="8" w:space="0"/>
            </w:tcBorders>
            <w:vAlign w:val="center"/>
          </w:tcPr>
          <w:p w14:paraId="19580EE7">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事项</w:t>
            </w:r>
          </w:p>
        </w:tc>
        <w:tc>
          <w:tcPr>
            <w:tcW w:w="6298" w:type="dxa"/>
            <w:tcBorders>
              <w:top w:val="single" w:color="000000" w:sz="8" w:space="0"/>
              <w:left w:val="single" w:color="000000" w:sz="2" w:space="0"/>
              <w:bottom w:val="single" w:color="000000" w:sz="8" w:space="0"/>
              <w:right w:val="single" w:color="000000" w:sz="8" w:space="0"/>
            </w:tcBorders>
            <w:vAlign w:val="center"/>
          </w:tcPr>
          <w:p w14:paraId="62407421">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本项目的特别规定</w:t>
            </w:r>
          </w:p>
        </w:tc>
      </w:tr>
      <w:tr w14:paraId="1E784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36" w:type="dxa"/>
            <w:tcBorders>
              <w:top w:val="single" w:color="auto" w:sz="4" w:space="0"/>
              <w:left w:val="single" w:color="auto" w:sz="4" w:space="0"/>
              <w:bottom w:val="single" w:color="auto" w:sz="4" w:space="0"/>
              <w:right w:val="single" w:color="auto" w:sz="4" w:space="0"/>
            </w:tcBorders>
            <w:vAlign w:val="center"/>
          </w:tcPr>
          <w:p w14:paraId="5ED89D96">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864" w:type="dxa"/>
            <w:tcBorders>
              <w:top w:val="single" w:color="000000" w:sz="8" w:space="0"/>
              <w:left w:val="single" w:color="auto" w:sz="4" w:space="0"/>
              <w:bottom w:val="single" w:color="000000" w:sz="8" w:space="0"/>
              <w:right w:val="single" w:color="000000" w:sz="8" w:space="0"/>
            </w:tcBorders>
            <w:vAlign w:val="center"/>
          </w:tcPr>
          <w:p w14:paraId="37226B0B">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项目属性与核心产品</w:t>
            </w:r>
          </w:p>
        </w:tc>
        <w:tc>
          <w:tcPr>
            <w:tcW w:w="6298" w:type="dxa"/>
            <w:tcBorders>
              <w:top w:val="single" w:color="000000" w:sz="8" w:space="0"/>
              <w:left w:val="single" w:color="000000" w:sz="2" w:space="0"/>
              <w:bottom w:val="single" w:color="000000" w:sz="8" w:space="0"/>
              <w:right w:val="single" w:color="000000" w:sz="8" w:space="0"/>
            </w:tcBorders>
            <w:vAlign w:val="center"/>
          </w:tcPr>
          <w:p w14:paraId="3E715FE2">
            <w:pPr>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w:t>
            </w:r>
            <w:r>
              <w:rPr>
                <w:rFonts w:hint="eastAsia" w:ascii="仿宋" w:hAnsi="仿宋" w:eastAsia="仿宋" w:cs="仿宋"/>
                <w:bCs/>
                <w:color w:val="auto"/>
                <w:sz w:val="24"/>
                <w:highlight w:val="none"/>
              </w:rPr>
              <w:t>√</w:t>
            </w:r>
            <w:r>
              <w:rPr>
                <w:rFonts w:hint="eastAsia" w:ascii="仿宋" w:hAnsi="仿宋" w:eastAsia="仿宋" w:cs="仿宋"/>
                <w:color w:val="auto"/>
                <w:kern w:val="0"/>
                <w:sz w:val="24"/>
                <w:highlight w:val="none"/>
              </w:rPr>
              <w:t>)B</w:t>
            </w:r>
            <w:r>
              <w:rPr>
                <w:rFonts w:hint="eastAsia" w:ascii="仿宋" w:hAnsi="仿宋" w:eastAsia="仿宋" w:cs="仿宋"/>
                <w:color w:val="auto"/>
                <w:sz w:val="24"/>
                <w:highlight w:val="none"/>
              </w:rPr>
              <w:t>服务类。</w:t>
            </w:r>
          </w:p>
        </w:tc>
      </w:tr>
      <w:tr w14:paraId="2F019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36" w:type="dxa"/>
            <w:tcBorders>
              <w:top w:val="single" w:color="auto" w:sz="4" w:space="0"/>
              <w:left w:val="single" w:color="auto" w:sz="4" w:space="0"/>
              <w:bottom w:val="single" w:color="auto" w:sz="4" w:space="0"/>
              <w:right w:val="single" w:color="auto" w:sz="4" w:space="0"/>
            </w:tcBorders>
            <w:vAlign w:val="center"/>
          </w:tcPr>
          <w:p w14:paraId="075FCB5F">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864" w:type="dxa"/>
            <w:tcBorders>
              <w:top w:val="single" w:color="000000" w:sz="8" w:space="0"/>
              <w:left w:val="single" w:color="auto" w:sz="4" w:space="0"/>
              <w:bottom w:val="single" w:color="000000" w:sz="8" w:space="0"/>
              <w:right w:val="single" w:color="000000" w:sz="8" w:space="0"/>
            </w:tcBorders>
            <w:vAlign w:val="center"/>
          </w:tcPr>
          <w:p w14:paraId="0109A89F">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分包</w:t>
            </w:r>
          </w:p>
        </w:tc>
        <w:tc>
          <w:tcPr>
            <w:tcW w:w="6298" w:type="dxa"/>
            <w:tcBorders>
              <w:top w:val="single" w:color="000000" w:sz="8" w:space="0"/>
              <w:left w:val="single" w:color="000000" w:sz="2" w:space="0"/>
              <w:bottom w:val="single" w:color="000000" w:sz="8" w:space="0"/>
              <w:right w:val="single" w:color="000000" w:sz="8" w:space="0"/>
            </w:tcBorders>
            <w:vAlign w:val="center"/>
          </w:tcPr>
          <w:p w14:paraId="6A969C93">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w:t>
            </w:r>
            <w:r>
              <w:rPr>
                <w:rFonts w:hint="eastAsia" w:ascii="仿宋" w:hAnsi="仿宋" w:eastAsia="仿宋" w:cs="仿宋"/>
                <w:bCs/>
                <w:color w:val="auto"/>
                <w:kern w:val="0"/>
                <w:sz w:val="24"/>
                <w:highlight w:val="none"/>
              </w:rPr>
              <w:t>B</w:t>
            </w:r>
            <w:r>
              <w:rPr>
                <w:rFonts w:hint="eastAsia" w:ascii="仿宋" w:hAnsi="仿宋" w:eastAsia="仿宋" w:cs="仿宋"/>
                <w:bCs/>
                <w:color w:val="auto"/>
                <w:sz w:val="24"/>
                <w:highlight w:val="none"/>
              </w:rPr>
              <w:t>不同意分包。</w:t>
            </w:r>
          </w:p>
        </w:tc>
      </w:tr>
      <w:tr w14:paraId="441BD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36" w:type="dxa"/>
            <w:tcBorders>
              <w:top w:val="single" w:color="auto" w:sz="4" w:space="0"/>
              <w:left w:val="single" w:color="auto" w:sz="4" w:space="0"/>
              <w:bottom w:val="single" w:color="auto" w:sz="4" w:space="0"/>
              <w:right w:val="single" w:color="auto" w:sz="4" w:space="0"/>
            </w:tcBorders>
            <w:vAlign w:val="center"/>
          </w:tcPr>
          <w:p w14:paraId="6A43B8C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864" w:type="dxa"/>
            <w:tcBorders>
              <w:top w:val="single" w:color="000000" w:sz="8" w:space="0"/>
              <w:left w:val="single" w:color="auto" w:sz="4" w:space="0"/>
              <w:bottom w:val="single" w:color="000000" w:sz="8" w:space="0"/>
              <w:right w:val="single" w:color="000000" w:sz="8" w:space="0"/>
            </w:tcBorders>
            <w:vAlign w:val="center"/>
          </w:tcPr>
          <w:p w14:paraId="43144019">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交易前答疑会或现场考察</w:t>
            </w:r>
          </w:p>
        </w:tc>
        <w:tc>
          <w:tcPr>
            <w:tcW w:w="6298" w:type="dxa"/>
            <w:tcBorders>
              <w:top w:val="single" w:color="000000" w:sz="8" w:space="0"/>
              <w:left w:val="single" w:color="000000" w:sz="2" w:space="0"/>
              <w:bottom w:val="single" w:color="000000" w:sz="8" w:space="0"/>
              <w:right w:val="single" w:color="000000" w:sz="8" w:space="0"/>
            </w:tcBorders>
            <w:vAlign w:val="center"/>
          </w:tcPr>
          <w:p w14:paraId="7AEBD373">
            <w:pPr>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highlight w:val="none"/>
              </w:rPr>
              <w:t>（√）</w:t>
            </w:r>
            <w:r>
              <w:rPr>
                <w:rFonts w:hint="eastAsia" w:ascii="仿宋" w:hAnsi="仿宋" w:eastAsia="仿宋" w:cs="仿宋"/>
                <w:bCs/>
                <w:color w:val="auto"/>
                <w:kern w:val="0"/>
                <w:sz w:val="24"/>
                <w:highlight w:val="none"/>
              </w:rPr>
              <w:t>A</w:t>
            </w:r>
            <w:r>
              <w:rPr>
                <w:rFonts w:hint="eastAsia" w:ascii="仿宋" w:hAnsi="仿宋" w:eastAsia="仿宋" w:cs="仿宋"/>
                <w:bCs/>
                <w:color w:val="auto"/>
                <w:sz w:val="24"/>
                <w:highlight w:val="none"/>
              </w:rPr>
              <w:t>不组织。</w:t>
            </w:r>
          </w:p>
        </w:tc>
      </w:tr>
      <w:tr w14:paraId="178C5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36" w:type="dxa"/>
            <w:tcBorders>
              <w:top w:val="single" w:color="auto" w:sz="4" w:space="0"/>
              <w:left w:val="single" w:color="auto" w:sz="4" w:space="0"/>
              <w:bottom w:val="single" w:color="auto" w:sz="4" w:space="0"/>
              <w:right w:val="single" w:color="auto" w:sz="4" w:space="0"/>
            </w:tcBorders>
            <w:vAlign w:val="center"/>
          </w:tcPr>
          <w:p w14:paraId="7A27E839">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864" w:type="dxa"/>
            <w:tcBorders>
              <w:top w:val="single" w:color="000000" w:sz="8" w:space="0"/>
              <w:left w:val="single" w:color="auto" w:sz="4" w:space="0"/>
              <w:bottom w:val="single" w:color="000000" w:sz="8" w:space="0"/>
              <w:right w:val="single" w:color="000000" w:sz="8" w:space="0"/>
            </w:tcBorders>
            <w:vAlign w:val="center"/>
          </w:tcPr>
          <w:p w14:paraId="6804D947">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样品提供</w:t>
            </w:r>
          </w:p>
        </w:tc>
        <w:tc>
          <w:tcPr>
            <w:tcW w:w="6298" w:type="dxa"/>
            <w:tcBorders>
              <w:top w:val="single" w:color="000000" w:sz="8" w:space="0"/>
              <w:left w:val="single" w:color="000000" w:sz="2" w:space="0"/>
              <w:bottom w:val="single" w:color="000000" w:sz="8" w:space="0"/>
              <w:right w:val="single" w:color="000000" w:sz="8" w:space="0"/>
            </w:tcBorders>
            <w:vAlign w:val="center"/>
          </w:tcPr>
          <w:p w14:paraId="1D105B53">
            <w:pPr>
              <w:pStyle w:val="3"/>
              <w:rPr>
                <w:rFonts w:hint="eastAsia"/>
                <w:color w:val="auto"/>
                <w:highlight w:val="none"/>
                <w:lang w:val="en-US"/>
              </w:rPr>
            </w:pPr>
            <w:r>
              <w:rPr>
                <w:rFonts w:hint="eastAsia" w:ascii="仿宋" w:eastAsia="仿宋" w:cs="仿宋"/>
                <w:b w:val="0"/>
                <w:color w:val="auto"/>
                <w:sz w:val="24"/>
                <w:highlight w:val="none"/>
                <w:lang w:val="en-US"/>
              </w:rPr>
              <w:t>（√）A</w:t>
            </w:r>
            <w:r>
              <w:rPr>
                <w:rFonts w:hint="eastAsia" w:ascii="仿宋" w:eastAsia="仿宋" w:cs="仿宋"/>
                <w:b w:val="0"/>
                <w:color w:val="auto"/>
                <w:sz w:val="24"/>
                <w:highlight w:val="none"/>
              </w:rPr>
              <w:t>不要求提供。</w:t>
            </w:r>
          </w:p>
        </w:tc>
      </w:tr>
      <w:tr w14:paraId="5C99B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36" w:type="dxa"/>
            <w:tcBorders>
              <w:top w:val="single" w:color="auto" w:sz="4" w:space="0"/>
              <w:left w:val="single" w:color="auto" w:sz="4" w:space="0"/>
              <w:bottom w:val="single" w:color="auto" w:sz="4" w:space="0"/>
              <w:right w:val="single" w:color="auto" w:sz="4" w:space="0"/>
            </w:tcBorders>
            <w:vAlign w:val="center"/>
          </w:tcPr>
          <w:p w14:paraId="7D6D0362">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864" w:type="dxa"/>
            <w:tcBorders>
              <w:top w:val="single" w:color="000000" w:sz="8" w:space="0"/>
              <w:left w:val="single" w:color="auto" w:sz="4" w:space="0"/>
              <w:bottom w:val="single" w:color="000000" w:sz="8" w:space="0"/>
              <w:right w:val="single" w:color="000000" w:sz="8" w:space="0"/>
            </w:tcBorders>
            <w:vAlign w:val="center"/>
          </w:tcPr>
          <w:p w14:paraId="5A27C049">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方案讲解演示</w:t>
            </w:r>
          </w:p>
        </w:tc>
        <w:tc>
          <w:tcPr>
            <w:tcW w:w="6298" w:type="dxa"/>
            <w:tcBorders>
              <w:top w:val="single" w:color="000000" w:sz="8" w:space="0"/>
              <w:left w:val="single" w:color="000000" w:sz="2" w:space="0"/>
              <w:bottom w:val="single" w:color="000000" w:sz="8" w:space="0"/>
              <w:right w:val="single" w:color="000000" w:sz="8" w:space="0"/>
            </w:tcBorders>
            <w:vAlign w:val="center"/>
          </w:tcPr>
          <w:p w14:paraId="420889C2">
            <w:pPr>
              <w:spacing w:line="360" w:lineRule="auto"/>
              <w:rPr>
                <w:rFonts w:hint="eastAsia" w:ascii="仿宋" w:hAnsi="仿宋" w:eastAsia="仿宋" w:cs="仿宋"/>
                <w:b/>
                <w:color w:val="auto"/>
                <w:kern w:val="0"/>
                <w:sz w:val="24"/>
                <w:highlight w:val="none"/>
                <w:lang w:val="zh-CN"/>
              </w:rPr>
            </w:pPr>
            <w:r>
              <w:rPr>
                <w:rFonts w:hint="eastAsia" w:ascii="仿宋" w:hAnsi="仿宋" w:eastAsia="仿宋" w:cs="仿宋"/>
                <w:bCs/>
                <w:color w:val="auto"/>
                <w:sz w:val="24"/>
                <w:highlight w:val="none"/>
              </w:rPr>
              <w:t>（√）</w:t>
            </w:r>
            <w:r>
              <w:rPr>
                <w:rFonts w:hint="eastAsia" w:ascii="仿宋" w:hAnsi="仿宋" w:eastAsia="仿宋" w:cs="仿宋"/>
                <w:bCs/>
                <w:color w:val="auto"/>
                <w:kern w:val="0"/>
                <w:sz w:val="24"/>
                <w:highlight w:val="none"/>
              </w:rPr>
              <w:t>A</w:t>
            </w:r>
            <w:r>
              <w:rPr>
                <w:rFonts w:hint="eastAsia" w:ascii="仿宋" w:hAnsi="仿宋" w:eastAsia="仿宋" w:cs="仿宋"/>
                <w:bCs/>
                <w:color w:val="auto"/>
                <w:sz w:val="24"/>
                <w:highlight w:val="none"/>
              </w:rPr>
              <w:t>不组织。</w:t>
            </w:r>
          </w:p>
        </w:tc>
      </w:tr>
      <w:tr w14:paraId="68394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36" w:type="dxa"/>
            <w:vMerge w:val="restart"/>
            <w:tcBorders>
              <w:top w:val="single" w:color="auto" w:sz="4" w:space="0"/>
              <w:left w:val="single" w:color="auto" w:sz="4" w:space="0"/>
              <w:right w:val="single" w:color="auto" w:sz="4" w:space="0"/>
            </w:tcBorders>
            <w:vAlign w:val="center"/>
          </w:tcPr>
          <w:p w14:paraId="111FCBFC">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1864" w:type="dxa"/>
            <w:vMerge w:val="restart"/>
            <w:tcBorders>
              <w:top w:val="single" w:color="000000" w:sz="8" w:space="0"/>
              <w:left w:val="single" w:color="auto" w:sz="4" w:space="0"/>
              <w:right w:val="single" w:color="000000" w:sz="8" w:space="0"/>
            </w:tcBorders>
            <w:vAlign w:val="center"/>
          </w:tcPr>
          <w:p w14:paraId="0BE14DC7">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供应商应当提供的资格、资信证明文件</w:t>
            </w:r>
          </w:p>
        </w:tc>
        <w:tc>
          <w:tcPr>
            <w:tcW w:w="6298" w:type="dxa"/>
            <w:tcBorders>
              <w:top w:val="single" w:color="000000" w:sz="8" w:space="0"/>
              <w:left w:val="single" w:color="000000" w:sz="2" w:space="0"/>
              <w:bottom w:val="single" w:color="auto" w:sz="4" w:space="0"/>
              <w:right w:val="single" w:color="000000" w:sz="8" w:space="0"/>
            </w:tcBorders>
            <w:vAlign w:val="center"/>
          </w:tcPr>
          <w:p w14:paraId="5D718CD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（1）资格证明文件：见交易文件第二部分10.1。</w:t>
            </w:r>
          </w:p>
          <w:p w14:paraId="683584EC">
            <w:pPr>
              <w:spacing w:line="360" w:lineRule="auto"/>
              <w:rPr>
                <w:rFonts w:hint="eastAsia" w:ascii="仿宋" w:hAnsi="仿宋" w:eastAsia="仿宋" w:cs="仿宋"/>
                <w:snapToGrid w:val="0"/>
                <w:color w:val="auto"/>
                <w:kern w:val="0"/>
                <w:szCs w:val="21"/>
                <w:highlight w:val="none"/>
              </w:rPr>
            </w:pPr>
            <w:r>
              <w:rPr>
                <w:rFonts w:hint="eastAsia" w:ascii="仿宋" w:hAnsi="仿宋" w:eastAsia="仿宋" w:cs="仿宋"/>
                <w:color w:val="auto"/>
                <w:kern w:val="0"/>
                <w:sz w:val="24"/>
                <w:highlight w:val="none"/>
                <w:lang w:val="zh-CN"/>
              </w:rPr>
              <w:t>供应商未提供有效的资格证明文件的，视为供应商不具备交易文件中规定的资格要求，响应无效。</w:t>
            </w:r>
          </w:p>
        </w:tc>
      </w:tr>
      <w:tr w14:paraId="3E817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36" w:type="dxa"/>
            <w:vMerge w:val="continue"/>
            <w:tcBorders>
              <w:left w:val="single" w:color="auto" w:sz="4" w:space="0"/>
              <w:bottom w:val="single" w:color="auto" w:sz="4" w:space="0"/>
              <w:right w:val="single" w:color="auto" w:sz="4" w:space="0"/>
            </w:tcBorders>
            <w:vAlign w:val="center"/>
          </w:tcPr>
          <w:p w14:paraId="78D88391">
            <w:pPr>
              <w:snapToGrid w:val="0"/>
              <w:spacing w:line="360" w:lineRule="auto"/>
              <w:jc w:val="center"/>
              <w:rPr>
                <w:rFonts w:hint="eastAsia" w:ascii="仿宋" w:hAnsi="仿宋" w:eastAsia="仿宋" w:cs="仿宋"/>
                <w:color w:val="auto"/>
                <w:sz w:val="24"/>
                <w:highlight w:val="none"/>
              </w:rPr>
            </w:pPr>
          </w:p>
        </w:tc>
        <w:tc>
          <w:tcPr>
            <w:tcW w:w="1864" w:type="dxa"/>
            <w:vMerge w:val="continue"/>
            <w:tcBorders>
              <w:left w:val="single" w:color="auto" w:sz="4" w:space="0"/>
              <w:bottom w:val="single" w:color="000000" w:sz="8" w:space="0"/>
              <w:right w:val="single" w:color="000000" w:sz="8" w:space="0"/>
            </w:tcBorders>
            <w:vAlign w:val="center"/>
          </w:tcPr>
          <w:p w14:paraId="253C39E7">
            <w:pPr>
              <w:snapToGrid w:val="0"/>
              <w:spacing w:line="360" w:lineRule="auto"/>
              <w:jc w:val="center"/>
              <w:rPr>
                <w:rFonts w:hint="eastAsia" w:ascii="仿宋" w:hAnsi="仿宋" w:eastAsia="仿宋" w:cs="仿宋"/>
                <w:b/>
                <w:color w:val="auto"/>
                <w:sz w:val="24"/>
                <w:highlight w:val="none"/>
              </w:rPr>
            </w:pPr>
          </w:p>
        </w:tc>
        <w:tc>
          <w:tcPr>
            <w:tcW w:w="6298" w:type="dxa"/>
            <w:tcBorders>
              <w:top w:val="single" w:color="auto" w:sz="4" w:space="0"/>
              <w:left w:val="single" w:color="000000" w:sz="2" w:space="0"/>
              <w:bottom w:val="single" w:color="000000" w:sz="8" w:space="0"/>
              <w:right w:val="single" w:color="000000" w:sz="8" w:space="0"/>
            </w:tcBorders>
            <w:vAlign w:val="center"/>
          </w:tcPr>
          <w:p w14:paraId="12861FD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（2）资信证明文件：根据交易文件第四部分评审标准提供。</w:t>
            </w:r>
          </w:p>
        </w:tc>
      </w:tr>
      <w:tr w14:paraId="56387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36" w:type="dxa"/>
            <w:tcBorders>
              <w:top w:val="single" w:color="auto" w:sz="4" w:space="0"/>
              <w:left w:val="single" w:color="000000" w:sz="8" w:space="0"/>
              <w:bottom w:val="single" w:color="auto" w:sz="4" w:space="0"/>
              <w:right w:val="single" w:color="000000" w:sz="2" w:space="0"/>
            </w:tcBorders>
            <w:vAlign w:val="center"/>
          </w:tcPr>
          <w:p w14:paraId="07A7C601">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1864" w:type="dxa"/>
            <w:tcBorders>
              <w:top w:val="single" w:color="000000" w:sz="8" w:space="0"/>
              <w:left w:val="single" w:color="000000" w:sz="2" w:space="0"/>
              <w:bottom w:val="single" w:color="000000" w:sz="8" w:space="0"/>
              <w:right w:val="single" w:color="000000" w:sz="8" w:space="0"/>
            </w:tcBorders>
            <w:vAlign w:val="center"/>
          </w:tcPr>
          <w:p w14:paraId="4A63C883">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报价要求</w:t>
            </w:r>
          </w:p>
        </w:tc>
        <w:tc>
          <w:tcPr>
            <w:tcW w:w="6298" w:type="dxa"/>
            <w:tcBorders>
              <w:top w:val="single" w:color="000000" w:sz="8" w:space="0"/>
              <w:left w:val="single" w:color="000000" w:sz="2" w:space="0"/>
              <w:bottom w:val="single" w:color="000000" w:sz="8" w:space="0"/>
              <w:right w:val="single" w:color="000000" w:sz="8" w:space="0"/>
            </w:tcBorders>
            <w:vAlign w:val="center"/>
          </w:tcPr>
          <w:p w14:paraId="7110339C">
            <w:pPr>
              <w:spacing w:line="360" w:lineRule="auto"/>
              <w:ind w:firstLine="480" w:firstLineChars="200"/>
              <w:rPr>
                <w:rFonts w:hint="eastAsia" w:ascii="仿宋" w:hAnsi="仿宋" w:eastAsia="仿宋" w:cs="仿宋"/>
                <w:bCs/>
                <w:color w:val="auto"/>
                <w:kern w:val="0"/>
                <w:sz w:val="24"/>
                <w:highlight w:val="none"/>
                <w:lang w:val="zh-CN"/>
              </w:rPr>
            </w:pPr>
            <w:r>
              <w:rPr>
                <w:rFonts w:hint="eastAsia" w:ascii="仿宋" w:hAnsi="仿宋" w:eastAsia="仿宋" w:cs="仿宋"/>
                <w:bCs/>
                <w:color w:val="auto"/>
                <w:kern w:val="0"/>
                <w:sz w:val="24"/>
                <w:highlight w:val="none"/>
                <w:lang w:val="zh-CN"/>
              </w:rPr>
              <w:t>有关本项目实施所需的所有费用（含税费）均计入报价。</w:t>
            </w:r>
            <w:r>
              <w:rPr>
                <w:rFonts w:hint="eastAsia" w:ascii="仿宋" w:hAnsi="仿宋" w:eastAsia="仿宋" w:cs="仿宋"/>
                <w:bCs/>
                <w:color w:val="auto"/>
                <w:kern w:val="0"/>
                <w:sz w:val="24"/>
                <w:highlight w:val="none"/>
              </w:rPr>
              <w:t>交易一览表（报价表）是报价的唯一载体</w:t>
            </w:r>
            <w:r>
              <w:rPr>
                <w:rFonts w:hint="eastAsia" w:ascii="仿宋" w:hAnsi="仿宋" w:eastAsia="仿宋" w:cs="仿宋"/>
                <w:bCs/>
                <w:color w:val="auto"/>
                <w:kern w:val="0"/>
                <w:sz w:val="24"/>
                <w:highlight w:val="none"/>
                <w:lang w:val="zh-CN"/>
              </w:rPr>
              <w:t>。响应文件中价格全部采用人民币报价。交易文件未列明，而供应商认为必需的费用也需列入报价。</w:t>
            </w:r>
          </w:p>
          <w:p w14:paraId="1598E8B4">
            <w:pPr>
              <w:spacing w:line="360" w:lineRule="auto"/>
              <w:rPr>
                <w:rFonts w:hint="eastAsia" w:ascii="仿宋" w:hAnsi="仿宋" w:eastAsia="仿宋" w:cs="仿宋"/>
                <w:bCs/>
                <w:color w:val="auto"/>
                <w:kern w:val="0"/>
                <w:sz w:val="24"/>
                <w:highlight w:val="none"/>
                <w:lang w:val="zh-CN"/>
              </w:rPr>
            </w:pPr>
            <w:r>
              <w:rPr>
                <w:rFonts w:hint="eastAsia" w:ascii="仿宋" w:hAnsi="仿宋" w:eastAsia="仿宋" w:cs="仿宋"/>
                <w:bCs/>
                <w:color w:val="auto"/>
                <w:kern w:val="0"/>
                <w:sz w:val="24"/>
                <w:highlight w:val="none"/>
                <w:lang w:val="zh-CN"/>
              </w:rPr>
              <w:t>响应报价出现下列情形的，响应无效：</w:t>
            </w:r>
          </w:p>
          <w:p w14:paraId="2623ECC7">
            <w:pPr>
              <w:spacing w:line="360" w:lineRule="auto"/>
              <w:ind w:firstLine="480" w:firstLineChars="200"/>
              <w:rPr>
                <w:rFonts w:hint="eastAsia" w:ascii="仿宋" w:hAnsi="仿宋" w:eastAsia="仿宋" w:cs="仿宋"/>
                <w:bCs/>
                <w:color w:val="auto"/>
                <w:kern w:val="0"/>
                <w:sz w:val="24"/>
                <w:highlight w:val="none"/>
                <w:lang w:val="zh-CN"/>
              </w:rPr>
            </w:pPr>
            <w:r>
              <w:rPr>
                <w:rFonts w:hint="eastAsia" w:ascii="仿宋" w:hAnsi="仿宋" w:eastAsia="仿宋" w:cs="仿宋"/>
                <w:bCs/>
                <w:color w:val="auto"/>
                <w:kern w:val="0"/>
                <w:sz w:val="24"/>
                <w:highlight w:val="none"/>
                <w:lang w:val="zh-CN"/>
              </w:rPr>
              <w:t>响应文件出现不是唯一的、有选择性响应报价的；</w:t>
            </w:r>
          </w:p>
          <w:p w14:paraId="4B3F484A">
            <w:pPr>
              <w:spacing w:line="360" w:lineRule="auto"/>
              <w:ind w:firstLine="480" w:firstLineChars="200"/>
              <w:rPr>
                <w:rFonts w:hint="eastAsia" w:ascii="仿宋" w:hAnsi="仿宋" w:eastAsia="仿宋" w:cs="仿宋"/>
                <w:bCs/>
                <w:color w:val="auto"/>
                <w:kern w:val="0"/>
                <w:sz w:val="24"/>
                <w:highlight w:val="none"/>
                <w:lang w:val="zh-CN"/>
              </w:rPr>
            </w:pPr>
            <w:r>
              <w:rPr>
                <w:rFonts w:hint="eastAsia" w:ascii="仿宋" w:hAnsi="仿宋" w:eastAsia="仿宋" w:cs="仿宋"/>
                <w:bCs/>
                <w:color w:val="auto"/>
                <w:kern w:val="0"/>
                <w:sz w:val="24"/>
                <w:highlight w:val="none"/>
                <w:lang w:val="zh-CN"/>
              </w:rPr>
              <w:t>响应报价超过交易文件中规定的预算金额或者最高限价的；</w:t>
            </w:r>
          </w:p>
          <w:p w14:paraId="55C508FC">
            <w:pPr>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报价明显低于其他通过符合性审查供应商的报价，有可能影响产品质量或者不能诚信履约的，未能按要求提供书面说明或者提交相关证明材料证明其报价合理性的</w:t>
            </w:r>
            <w:r>
              <w:rPr>
                <w:rFonts w:hint="eastAsia" w:ascii="仿宋" w:hAnsi="仿宋" w:eastAsia="仿宋" w:cs="仿宋"/>
                <w:bCs/>
                <w:color w:val="auto"/>
                <w:kern w:val="0"/>
                <w:sz w:val="24"/>
                <w:highlight w:val="none"/>
                <w:lang w:val="zh-CN"/>
              </w:rPr>
              <w:t>；</w:t>
            </w:r>
          </w:p>
          <w:p w14:paraId="02F69E0B">
            <w:pPr>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供应商对根据修正原则修正后的报价不确认的。</w:t>
            </w:r>
          </w:p>
          <w:p w14:paraId="4A19AE17">
            <w:pPr>
              <w:spacing w:line="360" w:lineRule="auto"/>
              <w:ind w:firstLine="480" w:firstLineChars="200"/>
              <w:rPr>
                <w:rFonts w:hint="eastAsia" w:ascii="仿宋" w:hAnsi="仿宋" w:eastAsia="仿宋" w:cs="仿宋"/>
                <w:bCs/>
                <w:color w:val="auto"/>
                <w:highlight w:val="none"/>
              </w:rPr>
            </w:pPr>
            <w:r>
              <w:rPr>
                <w:rFonts w:hint="eastAsia" w:ascii="仿宋" w:hAnsi="仿宋" w:eastAsia="仿宋" w:cs="仿宋"/>
                <w:bCs/>
                <w:color w:val="auto"/>
                <w:kern w:val="0"/>
                <w:sz w:val="24"/>
                <w:highlight w:val="none"/>
              </w:rPr>
              <w:t>资格文件、商务技术文件与报价文件未分开制作</w:t>
            </w:r>
            <w:r>
              <w:rPr>
                <w:rFonts w:hint="eastAsia" w:ascii="仿宋" w:hAnsi="仿宋" w:eastAsia="仿宋" w:cs="仿宋"/>
                <w:bCs/>
                <w:color w:val="auto"/>
                <w:sz w:val="24"/>
                <w:highlight w:val="none"/>
              </w:rPr>
              <w:t>。</w:t>
            </w:r>
          </w:p>
        </w:tc>
      </w:tr>
      <w:tr w14:paraId="14E49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36" w:type="dxa"/>
            <w:tcBorders>
              <w:top w:val="single" w:color="auto" w:sz="4" w:space="0"/>
              <w:left w:val="single" w:color="000000" w:sz="8" w:space="0"/>
              <w:bottom w:val="single" w:color="auto" w:sz="4" w:space="0"/>
              <w:right w:val="single" w:color="000000" w:sz="2" w:space="0"/>
            </w:tcBorders>
            <w:vAlign w:val="center"/>
          </w:tcPr>
          <w:p w14:paraId="4EDF583F">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1864" w:type="dxa"/>
            <w:tcBorders>
              <w:top w:val="single" w:color="000000" w:sz="8" w:space="0"/>
              <w:left w:val="single" w:color="000000" w:sz="2" w:space="0"/>
              <w:bottom w:val="single" w:color="000000" w:sz="8" w:space="0"/>
              <w:right w:val="single" w:color="000000" w:sz="8" w:space="0"/>
            </w:tcBorders>
            <w:vAlign w:val="center"/>
          </w:tcPr>
          <w:p w14:paraId="69494A37">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备份响应文件</w:t>
            </w:r>
          </w:p>
        </w:tc>
        <w:tc>
          <w:tcPr>
            <w:tcW w:w="6298" w:type="dxa"/>
            <w:tcBorders>
              <w:top w:val="single" w:color="000000" w:sz="8" w:space="0"/>
              <w:left w:val="single" w:color="000000" w:sz="2" w:space="0"/>
              <w:bottom w:val="single" w:color="000000" w:sz="8" w:space="0"/>
              <w:right w:val="single" w:color="000000" w:sz="8" w:space="0"/>
            </w:tcBorders>
            <w:vAlign w:val="center"/>
          </w:tcPr>
          <w:p w14:paraId="3BB11E4F">
            <w:pPr>
              <w:pStyle w:val="33"/>
              <w:spacing w:line="360" w:lineRule="auto"/>
              <w:ind w:hanging="4"/>
              <w:rPr>
                <w:rFonts w:hint="eastAsia" w:ascii="仿宋" w:hAnsi="仿宋" w:eastAsia="仿宋" w:cs="仿宋"/>
                <w:color w:val="auto"/>
                <w:kern w:val="28"/>
                <w:sz w:val="24"/>
                <w:highlight w:val="none"/>
              </w:rPr>
            </w:pPr>
            <w:r>
              <w:rPr>
                <w:rFonts w:hint="eastAsia" w:ascii="仿宋" w:hAnsi="仿宋" w:eastAsia="仿宋" w:cs="仿宋"/>
                <w:color w:val="auto"/>
                <w:kern w:val="28"/>
                <w:sz w:val="24"/>
                <w:szCs w:val="24"/>
                <w:highlight w:val="none"/>
              </w:rPr>
              <w:t>备份文件是否收取：不收取。</w:t>
            </w:r>
          </w:p>
        </w:tc>
      </w:tr>
      <w:tr w14:paraId="70EEB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10" w:hRule="atLeast"/>
        </w:trPr>
        <w:tc>
          <w:tcPr>
            <w:tcW w:w="636" w:type="dxa"/>
            <w:tcBorders>
              <w:top w:val="single" w:color="auto" w:sz="4" w:space="0"/>
              <w:left w:val="single" w:color="000000" w:sz="8" w:space="0"/>
              <w:bottom w:val="single" w:color="auto" w:sz="4" w:space="0"/>
              <w:right w:val="single" w:color="000000" w:sz="2" w:space="0"/>
            </w:tcBorders>
            <w:vAlign w:val="center"/>
          </w:tcPr>
          <w:p w14:paraId="21DA2D83">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1864" w:type="dxa"/>
            <w:tcBorders>
              <w:top w:val="single" w:color="000000" w:sz="8" w:space="0"/>
              <w:left w:val="single" w:color="000000" w:sz="2" w:space="0"/>
              <w:bottom w:val="single" w:color="000000" w:sz="8" w:space="0"/>
              <w:right w:val="single" w:color="000000" w:sz="8" w:space="0"/>
            </w:tcBorders>
            <w:vAlign w:val="center"/>
          </w:tcPr>
          <w:p w14:paraId="4A10BF73">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采购机构代理费用</w:t>
            </w:r>
          </w:p>
        </w:tc>
        <w:tc>
          <w:tcPr>
            <w:tcW w:w="6298" w:type="dxa"/>
            <w:tcBorders>
              <w:top w:val="single" w:color="000000" w:sz="8" w:space="0"/>
              <w:left w:val="single" w:color="000000" w:sz="2" w:space="0"/>
              <w:bottom w:val="single" w:color="000000" w:sz="8" w:space="0"/>
              <w:right w:val="single" w:color="000000" w:sz="8" w:space="0"/>
            </w:tcBorders>
            <w:vAlign w:val="center"/>
          </w:tcPr>
          <w:p w14:paraId="7F8D75D7">
            <w:pPr>
              <w:widowControl/>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本项目采购代理费由中标单位支付，支付标准参照参照国家计委计价格[2002]1980号文《招标代理服务收费管理暂行办法》规定收费标准，专家评审费用按实计取，由中标人在领取中标通知书前一次性向招标代理机构交纳。</w:t>
            </w:r>
          </w:p>
        </w:tc>
      </w:tr>
      <w:tr w14:paraId="6C17B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36" w:type="dxa"/>
            <w:tcBorders>
              <w:top w:val="single" w:color="auto" w:sz="4" w:space="0"/>
              <w:left w:val="single" w:color="000000" w:sz="8" w:space="0"/>
              <w:bottom w:val="single" w:color="auto" w:sz="4" w:space="0"/>
              <w:right w:val="single" w:color="000000" w:sz="2" w:space="0"/>
            </w:tcBorders>
            <w:vAlign w:val="center"/>
          </w:tcPr>
          <w:p w14:paraId="11A9990D">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10</w:t>
            </w:r>
          </w:p>
        </w:tc>
        <w:tc>
          <w:tcPr>
            <w:tcW w:w="1864" w:type="dxa"/>
            <w:tcBorders>
              <w:top w:val="single" w:color="000000" w:sz="8" w:space="0"/>
              <w:left w:val="single" w:color="000000" w:sz="2" w:space="0"/>
              <w:bottom w:val="single" w:color="000000" w:sz="8" w:space="0"/>
              <w:right w:val="single" w:color="000000" w:sz="8" w:space="0"/>
            </w:tcBorders>
            <w:vAlign w:val="center"/>
          </w:tcPr>
          <w:p w14:paraId="32614F21">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履约保证金</w:t>
            </w:r>
          </w:p>
        </w:tc>
        <w:tc>
          <w:tcPr>
            <w:tcW w:w="6298" w:type="dxa"/>
            <w:tcBorders>
              <w:top w:val="single" w:color="000000" w:sz="8" w:space="0"/>
              <w:left w:val="single" w:color="000000" w:sz="2" w:space="0"/>
              <w:bottom w:val="single" w:color="000000" w:sz="8" w:space="0"/>
              <w:right w:val="single" w:color="000000" w:sz="8" w:space="0"/>
            </w:tcBorders>
            <w:vAlign w:val="center"/>
          </w:tcPr>
          <w:p w14:paraId="5A2582CC">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不收取。</w:t>
            </w:r>
          </w:p>
        </w:tc>
      </w:tr>
      <w:tr w14:paraId="3D06B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36" w:type="dxa"/>
            <w:tcBorders>
              <w:top w:val="single" w:color="auto" w:sz="4" w:space="0"/>
              <w:left w:val="single" w:color="000000" w:sz="8" w:space="0"/>
              <w:bottom w:val="single" w:color="auto" w:sz="4" w:space="0"/>
              <w:right w:val="single" w:color="000000" w:sz="2" w:space="0"/>
            </w:tcBorders>
            <w:vAlign w:val="center"/>
          </w:tcPr>
          <w:p w14:paraId="64A79188">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11</w:t>
            </w:r>
          </w:p>
        </w:tc>
        <w:tc>
          <w:tcPr>
            <w:tcW w:w="1864" w:type="dxa"/>
            <w:tcBorders>
              <w:top w:val="single" w:color="000000" w:sz="8" w:space="0"/>
              <w:left w:val="single" w:color="000000" w:sz="2" w:space="0"/>
              <w:bottom w:val="single" w:color="000000" w:sz="8" w:space="0"/>
              <w:right w:val="single" w:color="000000" w:sz="8" w:space="0"/>
            </w:tcBorders>
            <w:vAlign w:val="center"/>
          </w:tcPr>
          <w:p w14:paraId="0B86F0A4">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资格审查</w:t>
            </w:r>
          </w:p>
        </w:tc>
        <w:tc>
          <w:tcPr>
            <w:tcW w:w="6298" w:type="dxa"/>
            <w:tcBorders>
              <w:top w:val="single" w:color="000000" w:sz="8" w:space="0"/>
              <w:left w:val="single" w:color="000000" w:sz="2" w:space="0"/>
              <w:bottom w:val="single" w:color="000000" w:sz="8" w:space="0"/>
              <w:right w:val="single" w:color="000000" w:sz="8" w:space="0"/>
            </w:tcBorders>
            <w:vAlign w:val="center"/>
          </w:tcPr>
          <w:p w14:paraId="52CA7C13">
            <w:pPr>
              <w:pStyle w:val="33"/>
              <w:spacing w:line="360" w:lineRule="auto"/>
              <w:ind w:hanging="4"/>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本项目由采购人进行资格文件及信用信息查询。</w:t>
            </w:r>
          </w:p>
        </w:tc>
      </w:tr>
      <w:tr w14:paraId="4A019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36" w:type="dxa"/>
            <w:tcBorders>
              <w:top w:val="single" w:color="auto" w:sz="4" w:space="0"/>
              <w:left w:val="single" w:color="000000" w:sz="8" w:space="0"/>
              <w:bottom w:val="single" w:color="auto" w:sz="4" w:space="0"/>
              <w:right w:val="single" w:color="000000" w:sz="2" w:space="0"/>
            </w:tcBorders>
            <w:vAlign w:val="center"/>
          </w:tcPr>
          <w:p w14:paraId="4691138A">
            <w:pPr>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12</w:t>
            </w:r>
          </w:p>
        </w:tc>
        <w:tc>
          <w:tcPr>
            <w:tcW w:w="1864" w:type="dxa"/>
            <w:tcBorders>
              <w:top w:val="single" w:color="000000" w:sz="8" w:space="0"/>
              <w:left w:val="single" w:color="000000" w:sz="2" w:space="0"/>
              <w:bottom w:val="single" w:color="000000" w:sz="8" w:space="0"/>
              <w:right w:val="single" w:color="000000" w:sz="8" w:space="0"/>
            </w:tcBorders>
            <w:vAlign w:val="center"/>
          </w:tcPr>
          <w:p w14:paraId="46A77C75">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质疑接收人及答复</w:t>
            </w:r>
          </w:p>
        </w:tc>
        <w:tc>
          <w:tcPr>
            <w:tcW w:w="6298" w:type="dxa"/>
            <w:tcBorders>
              <w:top w:val="single" w:color="000000" w:sz="8" w:space="0"/>
              <w:left w:val="single" w:color="000000" w:sz="2" w:space="0"/>
              <w:bottom w:val="single" w:color="000000" w:sz="8" w:space="0"/>
              <w:right w:val="single" w:color="000000" w:sz="8" w:space="0"/>
            </w:tcBorders>
            <w:vAlign w:val="center"/>
          </w:tcPr>
          <w:p w14:paraId="225E80DA">
            <w:pPr>
              <w:pStyle w:val="33"/>
              <w:spacing w:line="360" w:lineRule="auto"/>
              <w:ind w:hanging="4"/>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采购人、采购机构质疑接收人、联系方式：详见公告</w:t>
            </w:r>
          </w:p>
          <w:p w14:paraId="1E81F7B3">
            <w:pPr>
              <w:pStyle w:val="33"/>
              <w:spacing w:line="360" w:lineRule="auto"/>
              <w:ind w:hanging="4"/>
              <w:rPr>
                <w:rFonts w:hint="eastAsia" w:ascii="仿宋" w:hAnsi="仿宋" w:eastAsia="仿宋" w:cs="仿宋"/>
                <w:color w:val="auto"/>
                <w:sz w:val="24"/>
                <w:highlight w:val="none"/>
              </w:rPr>
            </w:pPr>
            <w:r>
              <w:rPr>
                <w:rFonts w:hint="eastAsia" w:ascii="仿宋" w:hAnsi="仿宋" w:eastAsia="仿宋" w:cs="仿宋"/>
                <w:color w:val="auto"/>
                <w:sz w:val="24"/>
                <w:highlight w:val="none"/>
              </w:rPr>
              <w:t>线上提交质疑方式：乐采云线上质疑路径：项目采购-询问质疑投诉-质疑列表。请使用ca签章在每一页质疑文件中加盖电子公章，上传完整附件。</w:t>
            </w:r>
          </w:p>
          <w:p w14:paraId="7B0852F5">
            <w:pPr>
              <w:pStyle w:val="33"/>
              <w:spacing w:line="360" w:lineRule="auto"/>
              <w:ind w:hanging="4"/>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本项目涉及资格条件、采购需求、评分办法及采购过程中有关现场考察或开标前答疑会等事项由采购人进行答复。</w:t>
            </w:r>
          </w:p>
          <w:p w14:paraId="09638568">
            <w:pPr>
              <w:pStyle w:val="33"/>
              <w:spacing w:line="360" w:lineRule="auto"/>
              <w:ind w:hanging="4"/>
              <w:rPr>
                <w:rFonts w:hint="eastAsia" w:ascii="仿宋" w:hAnsi="仿宋" w:eastAsia="仿宋" w:cs="仿宋"/>
                <w:color w:val="auto"/>
                <w:sz w:val="24"/>
                <w:highlight w:val="none"/>
              </w:rPr>
            </w:pPr>
            <w:r>
              <w:rPr>
                <w:rFonts w:hint="eastAsia" w:ascii="仿宋" w:hAnsi="仿宋" w:eastAsia="仿宋" w:cs="仿宋"/>
                <w:color w:val="auto"/>
                <w:sz w:val="24"/>
                <w:highlight w:val="none"/>
              </w:rPr>
              <w:t>涉及流程规范性、组织程序等相关事项，由采购机构进行答复。</w:t>
            </w:r>
          </w:p>
        </w:tc>
      </w:tr>
      <w:tr w14:paraId="4562F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36" w:type="dxa"/>
            <w:tcBorders>
              <w:top w:val="single" w:color="auto" w:sz="4" w:space="0"/>
              <w:left w:val="single" w:color="000000" w:sz="8" w:space="0"/>
              <w:bottom w:val="single" w:color="auto" w:sz="4" w:space="0"/>
              <w:right w:val="single" w:color="000000" w:sz="2" w:space="0"/>
            </w:tcBorders>
            <w:vAlign w:val="center"/>
          </w:tcPr>
          <w:p w14:paraId="3A4E2A3C">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1864" w:type="dxa"/>
            <w:tcBorders>
              <w:top w:val="single" w:color="000000" w:sz="8" w:space="0"/>
              <w:left w:val="single" w:color="000000" w:sz="2" w:space="0"/>
              <w:bottom w:val="single" w:color="000000" w:sz="8" w:space="0"/>
              <w:right w:val="single" w:color="000000" w:sz="8" w:space="0"/>
            </w:tcBorders>
            <w:vAlign w:val="center"/>
          </w:tcPr>
          <w:p w14:paraId="63B71EE1">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w:t>
            </w:r>
          </w:p>
        </w:tc>
        <w:tc>
          <w:tcPr>
            <w:tcW w:w="6298" w:type="dxa"/>
            <w:tcBorders>
              <w:top w:val="single" w:color="000000" w:sz="8" w:space="0"/>
              <w:left w:val="single" w:color="000000" w:sz="2" w:space="0"/>
              <w:bottom w:val="single" w:color="000000" w:sz="8" w:space="0"/>
              <w:right w:val="single" w:color="000000" w:sz="8" w:space="0"/>
            </w:tcBorders>
            <w:vAlign w:val="center"/>
          </w:tcPr>
          <w:p w14:paraId="03288AD7">
            <w:pPr>
              <w:spacing w:line="360" w:lineRule="auto"/>
              <w:ind w:firstLine="482" w:firstLineChars="200"/>
              <w:rPr>
                <w:rFonts w:hint="eastAsia" w:ascii="仿宋" w:hAnsi="仿宋" w:eastAsia="仿宋" w:cs="仿宋"/>
                <w:snapToGrid w:val="0"/>
                <w:color w:val="auto"/>
                <w:kern w:val="28"/>
                <w:sz w:val="24"/>
                <w:highlight w:val="none"/>
              </w:rPr>
            </w:pPr>
            <w:r>
              <w:rPr>
                <w:rFonts w:hint="eastAsia" w:ascii="仿宋" w:hAnsi="仿宋" w:eastAsia="仿宋" w:cs="仿宋"/>
                <w:b/>
                <w:color w:val="auto"/>
                <w:sz w:val="24"/>
                <w:highlight w:val="none"/>
              </w:rPr>
              <w:t>本项目通用总则条款与前附表等专用特别规定有冲突之处，以专用条款（特别规定）为准</w:t>
            </w:r>
          </w:p>
        </w:tc>
      </w:tr>
      <w:bookmarkEnd w:id="10"/>
    </w:tbl>
    <w:p w14:paraId="00FF01FC">
      <w:pPr>
        <w:rPr>
          <w:rFonts w:hint="eastAsia" w:ascii="仿宋" w:hAnsi="仿宋" w:eastAsia="仿宋" w:cs="仿宋"/>
          <w:b/>
          <w:color w:val="auto"/>
          <w:sz w:val="32"/>
          <w:szCs w:val="20"/>
          <w:highlight w:val="none"/>
        </w:rPr>
      </w:pPr>
      <w:bookmarkStart w:id="14" w:name="第三部分"/>
      <w:bookmarkStart w:id="15" w:name="_Toc164416483"/>
    </w:p>
    <w:p w14:paraId="51FBCC9B">
      <w:pPr>
        <w:rPr>
          <w:rFonts w:hint="eastAsia" w:ascii="仿宋" w:hAnsi="仿宋" w:eastAsia="仿宋" w:cs="仿宋"/>
          <w:b/>
          <w:color w:val="auto"/>
          <w:sz w:val="32"/>
          <w:szCs w:val="20"/>
          <w:highlight w:val="none"/>
        </w:rPr>
      </w:pPr>
    </w:p>
    <w:p w14:paraId="43E528A8">
      <w:pPr>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一、总则</w:t>
      </w:r>
    </w:p>
    <w:p w14:paraId="49558BDF">
      <w:pPr>
        <w:snapToGrid w:val="0"/>
        <w:spacing w:line="360" w:lineRule="auto"/>
        <w:ind w:firstLine="482" w:firstLineChars="200"/>
        <w:jc w:val="left"/>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 适用范围</w:t>
      </w:r>
    </w:p>
    <w:p w14:paraId="71E3D7DB">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本交易文件适用于该项目的交易、资格审查及信用信息查询、评审、定标、合同、验收等行为（法律、法规另有规定的，从其规定）。</w:t>
      </w:r>
    </w:p>
    <w:p w14:paraId="4CDCD156">
      <w:pPr>
        <w:snapToGrid w:val="0"/>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2.定义</w:t>
      </w:r>
    </w:p>
    <w:p w14:paraId="4E57B5E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“采购人”系指交易公告中载明的本项目的采购人。</w:t>
      </w:r>
    </w:p>
    <w:p w14:paraId="15EAE4D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“采购机构”系指交易公告中载明的本项目的采购机构。</w:t>
      </w:r>
    </w:p>
    <w:p w14:paraId="6F5AF31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 “供应商”系指是指响应交易、参加交易竞争的法人、其他组织或者自然人。</w:t>
      </w:r>
    </w:p>
    <w:p w14:paraId="0F2C760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 “负责人”系指法人企业的法定负责人，或其他组织为法律、行政法规规定代表单位行使职权的主要负责人，或自然人本人。</w:t>
      </w:r>
    </w:p>
    <w:p w14:paraId="37B9894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电子签名”系指数据电文中以电子形式所含、所附用于识别签名人身份并表明签名人认可其中内容的数据，供应商电子签名指供应商电子公章；“公章”系指单位法定名称章。因特殊原因需要使用冠以法定名称的业务专用章的，交易时须提供《业务专用章使用说明函》（附件4）。</w:t>
      </w:r>
    </w:p>
    <w:p w14:paraId="63D4E16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2.6“电子交易平台”是指本项目采购活动所依托的政府采购云平台（https://www.lecaiyun.com/）。</w:t>
      </w:r>
    </w:p>
    <w:p w14:paraId="78D8207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 “▲” 系指实质性要求条款，“（</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 系指适用本项目的要求，“（  ）”系指不适用本项目的要求。</w:t>
      </w:r>
    </w:p>
    <w:p w14:paraId="1662F663">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 xml:space="preserve"> 询问、质疑、投诉</w:t>
      </w:r>
    </w:p>
    <w:p w14:paraId="6D92F66C">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.1供应商询问</w:t>
      </w:r>
    </w:p>
    <w:p w14:paraId="3A0491DC">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对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C5C6BE1">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.2供应商质疑</w:t>
      </w:r>
    </w:p>
    <w:p w14:paraId="60A3711A">
      <w:pPr>
        <w:pStyle w:val="33"/>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.2</w:t>
      </w:r>
      <w:r>
        <w:rPr>
          <w:rFonts w:hint="eastAsia" w:ascii="仿宋" w:hAnsi="仿宋" w:eastAsia="仿宋" w:cs="仿宋"/>
          <w:color w:val="auto"/>
          <w:sz w:val="24"/>
          <w:highlight w:val="none"/>
        </w:rPr>
        <w:t>.1提出质疑的供应商应当是参与所质疑项目采购活动的供应商。潜在供应商已依法获取其可质疑的交易文件的，可以对该文件提出质疑。</w:t>
      </w:r>
    </w:p>
    <w:p w14:paraId="7936CE87">
      <w:pPr>
        <w:pStyle w:val="33"/>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.2</w:t>
      </w:r>
      <w:r>
        <w:rPr>
          <w:rFonts w:hint="eastAsia" w:ascii="仿宋" w:hAnsi="仿宋" w:eastAsia="仿宋" w:cs="仿宋"/>
          <w:color w:val="auto"/>
          <w:sz w:val="24"/>
          <w:highlight w:val="none"/>
        </w:rPr>
        <w:t>.2供应商认为交易文件、采购过程和成交结果使自己的权益受到损害的，可以在知道或者应知其权益受到损害之日起3日内，以书面形式向采购人或者采购机构提出质疑，否则，采购人或者采购机构不予受理：</w:t>
      </w:r>
    </w:p>
    <w:p w14:paraId="469E1A50">
      <w:pPr>
        <w:pStyle w:val="15"/>
        <w:spacing w:line="360" w:lineRule="auto"/>
        <w:ind w:firstLine="480" w:firstLineChars="200"/>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3.2.2.1对交易文件提出质疑的，质疑期限为供应商获得交易文件之日或者交易文件公告期限届满之日起计算。</w:t>
      </w:r>
    </w:p>
    <w:p w14:paraId="3A643FE9">
      <w:pPr>
        <w:pStyle w:val="33"/>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3.2.2.2对采购过程提出质疑的，质疑期限为各采购程序环节结束之日起计算。对同一采购程序环节的质疑，供应商须一次性提出。</w:t>
      </w:r>
    </w:p>
    <w:p w14:paraId="32F4A71C">
      <w:pPr>
        <w:pStyle w:val="33"/>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3.2.2.3对采购结果提出质疑的，质疑期限自采购结果公告期限届满之日起计算。</w:t>
      </w:r>
    </w:p>
    <w:p w14:paraId="6EBBB25D">
      <w:pPr>
        <w:pStyle w:val="33"/>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3.2.3</w:t>
      </w:r>
      <w:r>
        <w:rPr>
          <w:rFonts w:hint="eastAsia" w:ascii="仿宋" w:hAnsi="仿宋" w:eastAsia="仿宋" w:cs="仿宋"/>
          <w:color w:val="auto"/>
          <w:sz w:val="24"/>
          <w:highlight w:val="none"/>
        </w:rPr>
        <w:t>供应商提出质疑应当提交质疑函和必要的证明材料。质疑函应当包括下列内容：</w:t>
      </w:r>
    </w:p>
    <w:p w14:paraId="31B687C8">
      <w:pPr>
        <w:pStyle w:val="33"/>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3.2.3.1供应商的姓名或者名称、地址、邮编、联系人及联系电话；</w:t>
      </w:r>
    </w:p>
    <w:p w14:paraId="4283D002">
      <w:pPr>
        <w:pStyle w:val="33"/>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3.2.3.2质疑项目的名称、编号；</w:t>
      </w:r>
    </w:p>
    <w:p w14:paraId="55CFBA16">
      <w:pPr>
        <w:pStyle w:val="33"/>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3.2.3.3具体、明确的质疑事项和与质疑事项相关的请求；</w:t>
      </w:r>
    </w:p>
    <w:p w14:paraId="1D22C446">
      <w:pPr>
        <w:pStyle w:val="33"/>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3.2.3.4事实依据；</w:t>
      </w:r>
    </w:p>
    <w:p w14:paraId="59D06295">
      <w:pPr>
        <w:pStyle w:val="33"/>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3.2.3.5必要的法律依据；</w:t>
      </w:r>
    </w:p>
    <w:p w14:paraId="2A62CDF7">
      <w:pPr>
        <w:pStyle w:val="33"/>
        <w:spacing w:line="360" w:lineRule="auto"/>
        <w:ind w:firstLine="960" w:firstLineChars="4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3.2.3.6提出质疑的日期。</w:t>
      </w:r>
    </w:p>
    <w:p w14:paraId="2B843C6C">
      <w:pPr>
        <w:pStyle w:val="888"/>
        <w:shd w:val="clear" w:color="auto" w:fill="FFFFFF"/>
        <w:snapToGrid w:val="0"/>
        <w:spacing w:after="24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B0EBDD9">
      <w:pPr>
        <w:pStyle w:val="888"/>
        <w:shd w:val="clear" w:color="auto" w:fill="FFFFFF"/>
        <w:snapToGrid w:val="0"/>
        <w:spacing w:after="24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质疑函范本及制作说明详见附件2。</w:t>
      </w:r>
    </w:p>
    <w:p w14:paraId="4F95F3AA">
      <w:pPr>
        <w:pStyle w:val="888"/>
        <w:shd w:val="clear" w:color="auto" w:fill="FFFFFF"/>
        <w:snapToGrid w:val="0"/>
        <w:spacing w:after="24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lang w:val="zh-CN"/>
        </w:rPr>
        <w:t>3.2</w:t>
      </w:r>
      <w:r>
        <w:rPr>
          <w:rFonts w:hint="eastAsia" w:ascii="仿宋" w:hAnsi="仿宋" w:eastAsia="仿宋" w:cs="仿宋"/>
          <w:color w:val="auto"/>
          <w:highlight w:val="none"/>
        </w:rPr>
        <w:t>.4采购人或者采购机构应当在收到供应商的书面质疑后2日内作出答复，并以书面形式通知质疑供应商和其他与质疑处理结果有利害关系的采购当事人，但答复的内容不得涉及商业秘密。</w:t>
      </w:r>
    </w:p>
    <w:p w14:paraId="46B1A5B0">
      <w:pPr>
        <w:pStyle w:val="888"/>
        <w:shd w:val="clear" w:color="auto" w:fill="FFFFFF"/>
        <w:snapToGrid w:val="0"/>
        <w:spacing w:after="24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lang w:val="zh-CN"/>
        </w:rPr>
        <w:t>3.2</w:t>
      </w:r>
      <w:r>
        <w:rPr>
          <w:rFonts w:hint="eastAsia" w:ascii="仿宋" w:hAnsi="仿宋" w:eastAsia="仿宋" w:cs="仿宋"/>
          <w:color w:val="auto"/>
          <w:highlight w:val="none"/>
        </w:rPr>
        <w:t>.5询问或者质疑事项可能影响采购结果的，采购人应当暂停签订合同，已经签订合同的，应当中止履行合同。</w:t>
      </w:r>
    </w:p>
    <w:p w14:paraId="282E1E1E">
      <w:pPr>
        <w:pStyle w:val="888"/>
        <w:shd w:val="clear" w:color="auto" w:fill="FFFFFF"/>
        <w:snapToGrid w:val="0"/>
        <w:spacing w:after="240" w:afterAutospacing="0" w:line="360" w:lineRule="auto"/>
        <w:ind w:firstLine="480" w:firstLineChars="200"/>
        <w:contextualSpacing/>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3.3供应商投诉</w:t>
      </w:r>
    </w:p>
    <w:p w14:paraId="0C461BD3">
      <w:pPr>
        <w:pStyle w:val="888"/>
        <w:shd w:val="clear" w:color="auto" w:fill="FFFFFF"/>
        <w:snapToGrid w:val="0"/>
        <w:spacing w:after="24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3.3.1质疑供应商对采购人、采购机构的答复不满意或者采购人、采购机构未在规定的时间内作出答复的，可以在答复期满后十五个工作日内向同级采购监督管理部门提出投诉。</w:t>
      </w:r>
    </w:p>
    <w:p w14:paraId="78A62698">
      <w:pPr>
        <w:pStyle w:val="888"/>
        <w:shd w:val="clear" w:color="auto" w:fill="FFFFFF"/>
        <w:snapToGrid w:val="0"/>
        <w:spacing w:after="24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3.3.</w:t>
      </w:r>
      <w:r>
        <w:rPr>
          <w:rFonts w:hint="eastAsia" w:ascii="仿宋" w:hAnsi="仿宋" w:eastAsia="仿宋" w:cs="仿宋"/>
          <w:color w:val="auto"/>
          <w:highlight w:val="none"/>
          <w:lang w:val="zh-CN"/>
        </w:rPr>
        <w:t>2</w:t>
      </w:r>
      <w:r>
        <w:rPr>
          <w:rFonts w:hint="eastAsia" w:ascii="仿宋" w:hAnsi="仿宋" w:eastAsia="仿宋" w:cs="仿宋"/>
          <w:color w:val="auto"/>
          <w:highlight w:val="none"/>
        </w:rPr>
        <w:t>供应商投诉的事项不得超出已质疑事项的范围，基于质疑答复内容提出的投诉事项除外。</w:t>
      </w:r>
    </w:p>
    <w:p w14:paraId="19239739">
      <w:pPr>
        <w:pStyle w:val="888"/>
        <w:shd w:val="clear" w:color="auto" w:fill="FFFFFF"/>
        <w:snapToGrid w:val="0"/>
        <w:spacing w:after="240" w:afterAutospacing="0" w:line="360" w:lineRule="auto"/>
        <w:ind w:firstLine="48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3.3.3供应商投诉应当有明确的请求和必要的证明材料。</w:t>
      </w:r>
    </w:p>
    <w:p w14:paraId="056D1EE2">
      <w:pPr>
        <w:pStyle w:val="131"/>
        <w:snapToGrid w:val="0"/>
        <w:spacing w:before="0"/>
        <w:ind w:firstLine="360"/>
        <w:rPr>
          <w:rFonts w:hint="eastAsia" w:ascii="仿宋" w:hAnsi="仿宋" w:eastAsia="仿宋" w:cs="仿宋"/>
          <w:color w:val="auto"/>
          <w:sz w:val="18"/>
          <w:szCs w:val="18"/>
          <w:highlight w:val="none"/>
        </w:rPr>
      </w:pPr>
    </w:p>
    <w:p w14:paraId="464667EB">
      <w:pPr>
        <w:adjustRightInd/>
        <w:spacing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 xml:space="preserve">      二、交易文件的构成、澄清、修改</w:t>
      </w:r>
    </w:p>
    <w:p w14:paraId="160D7578">
      <w:pPr>
        <w:pStyle w:val="33"/>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4．交易文件的构成</w:t>
      </w:r>
    </w:p>
    <w:p w14:paraId="1D6040EE">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 交易文件包括下列文件及附件：</w:t>
      </w:r>
    </w:p>
    <w:p w14:paraId="10A7B71E">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4.1.1交易公告；</w:t>
      </w:r>
    </w:p>
    <w:p w14:paraId="0D28A669">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4.1.2供应商须知；</w:t>
      </w:r>
    </w:p>
    <w:p w14:paraId="6B84B992">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4.1.3采购需求；</w:t>
      </w:r>
    </w:p>
    <w:p w14:paraId="5DD0156A">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4.1.4评审办法；</w:t>
      </w:r>
    </w:p>
    <w:p w14:paraId="12D27B9F">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4.1.5拟签订的合同文本；</w:t>
      </w:r>
    </w:p>
    <w:p w14:paraId="2FDD3CC2">
      <w:pPr>
        <w:pStyle w:val="33"/>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4.1.6</w:t>
      </w:r>
      <w:r>
        <w:rPr>
          <w:rFonts w:hint="eastAsia" w:ascii="仿宋" w:hAnsi="仿宋" w:eastAsia="仿宋" w:cs="仿宋"/>
          <w:color w:val="auto"/>
          <w:sz w:val="24"/>
          <w:szCs w:val="24"/>
          <w:highlight w:val="none"/>
        </w:rPr>
        <w:t>应提交的有关格式范例。</w:t>
      </w:r>
    </w:p>
    <w:p w14:paraId="5570A89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4.2与本项目有关的</w:t>
      </w:r>
      <w:r>
        <w:rPr>
          <w:rFonts w:hint="eastAsia" w:ascii="仿宋" w:hAnsi="仿宋" w:eastAsia="仿宋" w:cs="仿宋"/>
          <w:bCs/>
          <w:color w:val="auto"/>
          <w:sz w:val="24"/>
          <w:highlight w:val="none"/>
        </w:rPr>
        <w:t>澄清或者修改的内容为交易文件的组成部分</w:t>
      </w:r>
      <w:r>
        <w:rPr>
          <w:rFonts w:hint="eastAsia" w:ascii="仿宋" w:hAnsi="仿宋" w:eastAsia="仿宋" w:cs="仿宋"/>
          <w:color w:val="auto"/>
          <w:sz w:val="24"/>
          <w:highlight w:val="none"/>
        </w:rPr>
        <w:t>。</w:t>
      </w:r>
    </w:p>
    <w:p w14:paraId="5E002841">
      <w:pPr>
        <w:pStyle w:val="33"/>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 交易文件的澄清、修改</w:t>
      </w:r>
    </w:p>
    <w:p w14:paraId="4715346F">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5.1已获取交易文件的潜在供应商，若有问题需要澄清，应于交易截止时间前，以书面形式向采购机构提出。</w:t>
      </w:r>
    </w:p>
    <w:p w14:paraId="1389529B">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5.2 采购机构对交易文件进行澄清或修改的，将同时通过电子交易平台通知已获取交易文件的潜在供应商。依法应当公告的，将按规定公告，同时视情况延长交易截止时间和交易时间。该澄清或者修改的内容为交易文件的组成部分。</w:t>
      </w:r>
    </w:p>
    <w:p w14:paraId="1632B457">
      <w:pPr>
        <w:pStyle w:val="23"/>
        <w:rPr>
          <w:rFonts w:hint="eastAsia" w:ascii="仿宋" w:hAnsi="仿宋" w:eastAsia="仿宋" w:cs="仿宋"/>
          <w:color w:val="auto"/>
          <w:sz w:val="18"/>
          <w:szCs w:val="18"/>
          <w:highlight w:val="none"/>
          <w:lang w:val="en-US"/>
        </w:rPr>
      </w:pPr>
      <w:r>
        <w:rPr>
          <w:rFonts w:hint="eastAsia" w:ascii="仿宋" w:hAnsi="仿宋" w:eastAsia="仿宋" w:cs="仿宋"/>
          <w:color w:val="auto"/>
          <w:szCs w:val="24"/>
          <w:highlight w:val="none"/>
          <w:lang w:val="en-US"/>
        </w:rPr>
        <w:t xml:space="preserve">    </w:t>
      </w:r>
    </w:p>
    <w:p w14:paraId="323D31A4">
      <w:pPr>
        <w:adjustRightInd/>
        <w:spacing w:line="360" w:lineRule="auto"/>
        <w:jc w:val="center"/>
        <w:outlineLvl w:val="0"/>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三、交易</w:t>
      </w:r>
    </w:p>
    <w:p w14:paraId="70A637B8">
      <w:pPr>
        <w:pStyle w:val="33"/>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 交易文件的获取</w:t>
      </w:r>
    </w:p>
    <w:p w14:paraId="33B47133">
      <w:pPr>
        <w:spacing w:line="360" w:lineRule="auto"/>
        <w:ind w:firstLine="480" w:firstLineChars="200"/>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详见交易公告中获取交易文件的时间期限、地点、方式及交易文件售价。</w:t>
      </w:r>
    </w:p>
    <w:p w14:paraId="2C6785F9">
      <w:pPr>
        <w:pStyle w:val="33"/>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7.交易前答疑会或现场考察</w:t>
      </w:r>
    </w:p>
    <w:p w14:paraId="1A8B7022">
      <w:pPr>
        <w:pStyle w:val="3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采购人组织潜在供应商现场考察或者召开交易前答疑会的，潜在供应商按第二部分供应商须知前附表的规定参加现场考察或者交易前答疑会。</w:t>
      </w:r>
    </w:p>
    <w:p w14:paraId="7259978C">
      <w:pPr>
        <w:pStyle w:val="33"/>
        <w:spacing w:line="360" w:lineRule="auto"/>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kern w:val="28"/>
          <w:sz w:val="24"/>
          <w:szCs w:val="24"/>
          <w:highlight w:val="none"/>
        </w:rPr>
        <w:t>8.交易保证金</w:t>
      </w:r>
    </w:p>
    <w:p w14:paraId="7217D5D6">
      <w:pPr>
        <w:pStyle w:val="15"/>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本项目不需缴纳交易保证金。</w:t>
      </w:r>
    </w:p>
    <w:p w14:paraId="177355E0">
      <w:pPr>
        <w:pStyle w:val="33"/>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 响应文件的语言</w:t>
      </w:r>
    </w:p>
    <w:p w14:paraId="3EB231D7">
      <w:pPr>
        <w:autoSpaceDE w:val="0"/>
        <w:autoSpaceDN w:val="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响应文件及供应商与采购有关的来往通知、函件和文件均应使用中文。</w:t>
      </w:r>
    </w:p>
    <w:p w14:paraId="552ED92D">
      <w:pPr>
        <w:pStyle w:val="33"/>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 响应文件的组成</w:t>
      </w:r>
    </w:p>
    <w:p w14:paraId="014E658C">
      <w:pPr>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10.1资格文件：</w:t>
      </w:r>
    </w:p>
    <w:p w14:paraId="379A694D">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10.1.1符合参加采购活动应当具备的一般条件的承诺函；</w:t>
      </w:r>
    </w:p>
    <w:p w14:paraId="39C686B7">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10.1.2落实采购政策需满足的资格要求。</w:t>
      </w:r>
    </w:p>
    <w:p w14:paraId="102AF453">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10.1.3本项目的特定资格要求。</w:t>
      </w:r>
    </w:p>
    <w:p w14:paraId="5AEBBF76">
      <w:pPr>
        <w:snapToGrid w:val="0"/>
        <w:spacing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1</w:t>
      </w:r>
      <w:r>
        <w:rPr>
          <w:rFonts w:hint="eastAsia" w:ascii="仿宋" w:hAnsi="仿宋" w:eastAsia="仿宋" w:cs="仿宋"/>
          <w:b/>
          <w:bCs/>
          <w:color w:val="auto"/>
          <w:sz w:val="24"/>
          <w:highlight w:val="none"/>
        </w:rPr>
        <w:t>0</w:t>
      </w:r>
      <w:r>
        <w:rPr>
          <w:rFonts w:hint="eastAsia" w:ascii="仿宋" w:hAnsi="仿宋" w:eastAsia="仿宋" w:cs="仿宋"/>
          <w:b/>
          <w:bCs/>
          <w:color w:val="auto"/>
          <w:sz w:val="24"/>
          <w:highlight w:val="none"/>
          <w:lang w:val="zh-CN"/>
        </w:rPr>
        <w:t>.</w:t>
      </w: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zh-CN"/>
        </w:rPr>
        <w:t xml:space="preserve">  </w:t>
      </w:r>
      <w:r>
        <w:rPr>
          <w:rFonts w:hint="eastAsia" w:ascii="仿宋" w:hAnsi="仿宋" w:eastAsia="仿宋" w:cs="仿宋"/>
          <w:b/>
          <w:bCs/>
          <w:color w:val="auto"/>
          <w:sz w:val="24"/>
          <w:highlight w:val="none"/>
        </w:rPr>
        <w:t>商务技术</w:t>
      </w:r>
      <w:r>
        <w:rPr>
          <w:rFonts w:hint="eastAsia" w:ascii="仿宋" w:hAnsi="仿宋" w:eastAsia="仿宋" w:cs="仿宋"/>
          <w:b/>
          <w:bCs/>
          <w:color w:val="auto"/>
          <w:sz w:val="24"/>
          <w:highlight w:val="none"/>
          <w:lang w:val="zh-CN"/>
        </w:rPr>
        <w:t>文件：</w:t>
      </w:r>
    </w:p>
    <w:p w14:paraId="211CEB42">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10.2.1响应函；</w:t>
      </w:r>
      <w:r>
        <w:rPr>
          <w:rFonts w:hint="eastAsia" w:ascii="仿宋" w:hAnsi="仿宋" w:eastAsia="仿宋" w:cs="仿宋"/>
          <w:color w:val="auto"/>
          <w:sz w:val="24"/>
          <w:highlight w:val="none"/>
          <w:lang w:val="zh-CN"/>
        </w:rPr>
        <w:t xml:space="preserve"> </w:t>
      </w:r>
    </w:p>
    <w:p w14:paraId="6D7A1133">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10.2.2授权委托书或法定代表人（单位负责人、自然人本人）身份证明；</w:t>
      </w:r>
    </w:p>
    <w:p w14:paraId="7EF2C3A4">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10.2.3符合性审查资料；</w:t>
      </w:r>
    </w:p>
    <w:p w14:paraId="42485CFE">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10.2.4评审标准相应的商务技术资料；</w:t>
      </w:r>
    </w:p>
    <w:p w14:paraId="6D246432">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10.2.5交易标的清单；</w:t>
      </w:r>
    </w:p>
    <w:p w14:paraId="2824CFE5">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10.2.6商务技术偏离表；</w:t>
      </w:r>
    </w:p>
    <w:p w14:paraId="2748563D">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10.2.7</w:t>
      </w:r>
      <w:r>
        <w:rPr>
          <w:rFonts w:hint="eastAsia" w:ascii="仿宋" w:hAnsi="仿宋" w:eastAsia="仿宋" w:cs="仿宋"/>
          <w:color w:val="auto"/>
          <w:sz w:val="24"/>
          <w:highlight w:val="none"/>
          <w:lang w:val="zh-CN"/>
        </w:rPr>
        <w:t>采购供应商廉洁自律承诺书；</w:t>
      </w:r>
    </w:p>
    <w:p w14:paraId="1D213808">
      <w:pPr>
        <w:snapToGrid w:val="0"/>
        <w:spacing w:line="360" w:lineRule="auto"/>
        <w:ind w:firstLine="482" w:firstLineChars="200"/>
        <w:rPr>
          <w:rFonts w:hint="eastAsia" w:ascii="仿宋" w:hAnsi="仿宋" w:eastAsia="仿宋" w:cs="仿宋"/>
          <w:b/>
          <w:bCs/>
          <w:color w:val="auto"/>
          <w:sz w:val="24"/>
          <w:highlight w:val="none"/>
          <w:u w:val="single"/>
          <w:lang w:val="zh-CN"/>
        </w:rPr>
      </w:pPr>
      <w:r>
        <w:rPr>
          <w:rFonts w:hint="eastAsia" w:ascii="仿宋" w:hAnsi="仿宋" w:eastAsia="仿宋" w:cs="仿宋"/>
          <w:b/>
          <w:bCs/>
          <w:color w:val="auto"/>
          <w:kern w:val="0"/>
          <w:sz w:val="24"/>
          <w:highlight w:val="none"/>
          <w:lang w:val="zh-CN"/>
        </w:rPr>
        <w:t>1</w:t>
      </w:r>
      <w:r>
        <w:rPr>
          <w:rFonts w:hint="eastAsia" w:ascii="仿宋" w:hAnsi="仿宋" w:eastAsia="仿宋" w:cs="仿宋"/>
          <w:b/>
          <w:bCs/>
          <w:color w:val="auto"/>
          <w:kern w:val="0"/>
          <w:sz w:val="24"/>
          <w:highlight w:val="none"/>
        </w:rPr>
        <w:t>0</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kern w:val="0"/>
          <w:sz w:val="24"/>
          <w:highlight w:val="none"/>
        </w:rPr>
        <w:t>3</w:t>
      </w:r>
      <w:r>
        <w:rPr>
          <w:rFonts w:hint="eastAsia" w:ascii="仿宋" w:hAnsi="仿宋" w:eastAsia="仿宋" w:cs="仿宋"/>
          <w:b/>
          <w:bCs/>
          <w:color w:val="auto"/>
          <w:sz w:val="24"/>
          <w:highlight w:val="none"/>
        </w:rPr>
        <w:t xml:space="preserve">报价文件： </w:t>
      </w:r>
    </w:p>
    <w:p w14:paraId="1E6F4487">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10.3.1交易一览表（报价表）；</w:t>
      </w:r>
    </w:p>
    <w:p w14:paraId="2DA4BCAC">
      <w:pPr>
        <w:spacing w:line="360" w:lineRule="auto"/>
        <w:ind w:firstLine="723" w:firstLineChars="3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响应文件含有采购人不能接受的附加条件的，交易无效；</w:t>
      </w:r>
    </w:p>
    <w:p w14:paraId="23E6CCDB">
      <w:pPr>
        <w:spacing w:line="360" w:lineRule="auto"/>
        <w:ind w:firstLine="723" w:firstLineChars="300"/>
        <w:rPr>
          <w:rFonts w:hint="eastAsia" w:ascii="仿宋" w:hAnsi="仿宋" w:eastAsia="仿宋" w:cs="仿宋"/>
          <w:b/>
          <w:color w:val="auto"/>
          <w:sz w:val="24"/>
          <w:szCs w:val="21"/>
          <w:highlight w:val="none"/>
        </w:rPr>
      </w:pPr>
      <w:r>
        <w:rPr>
          <w:rFonts w:hint="eastAsia" w:ascii="仿宋" w:hAnsi="仿宋" w:eastAsia="仿宋" w:cs="仿宋"/>
          <w:b/>
          <w:color w:val="auto"/>
          <w:sz w:val="24"/>
          <w:highlight w:val="none"/>
        </w:rPr>
        <w:t>供应商提供虚假材料交易的，交易无效。</w:t>
      </w:r>
    </w:p>
    <w:p w14:paraId="684DB424">
      <w:pPr>
        <w:pStyle w:val="131"/>
        <w:snapToGrid w:val="0"/>
        <w:spacing w:before="0"/>
        <w:ind w:firstLine="482"/>
        <w:outlineLvl w:val="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11</w:t>
      </w:r>
      <w:r>
        <w:rPr>
          <w:rFonts w:hint="eastAsia" w:ascii="仿宋" w:hAnsi="仿宋" w:eastAsia="仿宋" w:cs="仿宋"/>
          <w:b/>
          <w:color w:val="auto"/>
          <w:kern w:val="0"/>
          <w:szCs w:val="24"/>
          <w:highlight w:val="none"/>
          <w:lang w:val="zh-CN"/>
        </w:rPr>
        <w:t xml:space="preserve">. </w:t>
      </w:r>
      <w:r>
        <w:rPr>
          <w:rFonts w:hint="eastAsia" w:ascii="仿宋" w:hAnsi="仿宋" w:eastAsia="仿宋" w:cs="仿宋"/>
          <w:b/>
          <w:color w:val="auto"/>
          <w:szCs w:val="24"/>
          <w:highlight w:val="none"/>
        </w:rPr>
        <w:t>响应文件的编制</w:t>
      </w:r>
    </w:p>
    <w:p w14:paraId="0804A6F8">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zh-CN"/>
        </w:rPr>
        <w:t>.1响应文件分为资格文件、商务技术文件、报价文件三部分。各供应商在编制响应文件时请按照交易文件第</w:t>
      </w:r>
      <w:r>
        <w:rPr>
          <w:rFonts w:hint="eastAsia" w:ascii="仿宋" w:hAnsi="仿宋" w:eastAsia="仿宋" w:cs="仿宋"/>
          <w:color w:val="auto"/>
          <w:kern w:val="0"/>
          <w:sz w:val="24"/>
          <w:highlight w:val="none"/>
          <w:lang w:val="en-US" w:eastAsia="zh-CN"/>
        </w:rPr>
        <w:t>五</w:t>
      </w:r>
      <w:r>
        <w:rPr>
          <w:rFonts w:hint="eastAsia" w:ascii="仿宋" w:hAnsi="仿宋" w:eastAsia="仿宋" w:cs="仿宋"/>
          <w:color w:val="auto"/>
          <w:kern w:val="0"/>
          <w:sz w:val="24"/>
          <w:highlight w:val="none"/>
          <w:lang w:val="zh-CN"/>
        </w:rPr>
        <w:t>部分规定的格式进行，混乱的编排导致响应文件被误读或评标委员会查找不到有效文件是供应商的风险。</w:t>
      </w:r>
    </w:p>
    <w:p w14:paraId="35861C0F">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zh-CN"/>
        </w:rPr>
        <w:t>.2供应商进行电子交易（投标）应安装客户端软件—“乐采云电子交易客户端”，并按照交易文件和电子交易平台的要求编制并加密响应文件。供应商未按规定加密的响应文件，电子交易平台将拒收并提示。</w:t>
      </w:r>
    </w:p>
    <w:p w14:paraId="74EF4C7A">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zh-CN"/>
        </w:rPr>
        <w:t>.3使用“乐采云电子交易客户端”需要提前申领CA数字证书，申领流程请自行前往“浙江政府采购网-下载专区-电子交易客户端-CA驱动和申领流程”进行查阅。</w:t>
      </w:r>
    </w:p>
    <w:p w14:paraId="1B55ED24">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12.响应文件的签署、盖章</w:t>
      </w:r>
    </w:p>
    <w:p w14:paraId="4A774BA1">
      <w:pPr>
        <w:pStyle w:val="131"/>
        <w:snapToGrid w:val="0"/>
        <w:spacing w:before="0"/>
        <w:ind w:firstLine="480"/>
        <w:rPr>
          <w:rFonts w:hint="eastAsia" w:ascii="仿宋" w:hAnsi="仿宋" w:eastAsia="仿宋" w:cs="仿宋"/>
          <w:b/>
          <w:color w:val="auto"/>
          <w:highlight w:val="none"/>
        </w:rPr>
      </w:pPr>
      <w:r>
        <w:rPr>
          <w:rFonts w:hint="eastAsia" w:ascii="仿宋" w:hAnsi="仿宋" w:eastAsia="仿宋" w:cs="仿宋"/>
          <w:color w:val="auto"/>
          <w:szCs w:val="24"/>
          <w:highlight w:val="none"/>
        </w:rPr>
        <w:t>12.1响应文件按照交易文件第</w:t>
      </w:r>
      <w:r>
        <w:rPr>
          <w:rFonts w:hint="eastAsia" w:ascii="仿宋" w:hAnsi="仿宋" w:eastAsia="仿宋" w:cs="仿宋"/>
          <w:color w:val="auto"/>
          <w:kern w:val="0"/>
          <w:sz w:val="24"/>
          <w:highlight w:val="none"/>
          <w:lang w:val="en-US" w:eastAsia="zh-CN"/>
        </w:rPr>
        <w:t>五</w:t>
      </w:r>
      <w:r>
        <w:rPr>
          <w:rFonts w:hint="eastAsia" w:ascii="仿宋" w:hAnsi="仿宋" w:eastAsia="仿宋" w:cs="仿宋"/>
          <w:color w:val="auto"/>
          <w:szCs w:val="24"/>
          <w:highlight w:val="none"/>
        </w:rPr>
        <w:t>部分格式要</w:t>
      </w:r>
      <w:r>
        <w:rPr>
          <w:rFonts w:hint="eastAsia" w:ascii="仿宋" w:hAnsi="仿宋" w:eastAsia="仿宋" w:cs="仿宋"/>
          <w:color w:val="auto"/>
          <w:highlight w:val="none"/>
        </w:rPr>
        <w:t>求进行签署、盖章。</w:t>
      </w:r>
      <w:r>
        <w:rPr>
          <w:rFonts w:hint="eastAsia" w:ascii="仿宋" w:hAnsi="仿宋" w:eastAsia="仿宋" w:cs="仿宋"/>
          <w:b/>
          <w:color w:val="auto"/>
          <w:highlight w:val="none"/>
        </w:rPr>
        <w:t>▲供应商的响应文件未按照交易文件要求签署、盖章的，其交易无效</w:t>
      </w:r>
      <w:r>
        <w:rPr>
          <w:rFonts w:hint="eastAsia" w:ascii="仿宋" w:hAnsi="仿宋" w:eastAsia="仿宋" w:cs="仿宋"/>
          <w:color w:val="auto"/>
          <w:szCs w:val="24"/>
          <w:highlight w:val="none"/>
        </w:rPr>
        <w:t>。</w:t>
      </w:r>
    </w:p>
    <w:p w14:paraId="5D9D3940">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12.2为确保网上操作合法、有效和安全，供应商应当在交易截止时间前完成在“政府采购云平台”的身份认证，确保在电子交易（投标）过程中能够对相关数据电文进行加密和使用电子签名。</w:t>
      </w:r>
    </w:p>
    <w:p w14:paraId="73AA3D50">
      <w:pPr>
        <w:pStyle w:val="131"/>
        <w:snapToGrid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highlight w:val="none"/>
        </w:rPr>
        <w:t>12.3交易文件对响应文件签署、盖章的要求适用于电子签名。</w:t>
      </w:r>
    </w:p>
    <w:p w14:paraId="64FF29EF">
      <w:pPr>
        <w:pStyle w:val="131"/>
        <w:spacing w:before="0"/>
        <w:ind w:firstLine="482"/>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13. 响应文件的提交、补充、修改、撤回</w:t>
      </w:r>
    </w:p>
    <w:p w14:paraId="2BF8AA0A">
      <w:pPr>
        <w:pStyle w:val="131"/>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13.1 供应商应当在交易截止时间前完成响应文件的传输递交，并可以补充、修改或者撤回响应文件。补充或者修改响应文件的，应当先行撤回原文件，补充、修改后重新传输递交。交易截止时间前未完成传输的，视为撤回响应文件。交易截止时间后递交的响应文件，电子交易平台将拒收。</w:t>
      </w:r>
    </w:p>
    <w:p w14:paraId="7DA010E7">
      <w:pPr>
        <w:pStyle w:val="131"/>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13.2电子交易平台收到响应文件，将妥善保存并即时向供应商发出确认回执通知。在交易截止时间前，除供应商补充、修改或者撤回响应文件外，任何单位和个人不得解密或提取响应文件。</w:t>
      </w:r>
    </w:p>
    <w:p w14:paraId="00B574DE">
      <w:pPr>
        <w:pStyle w:val="131"/>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13.3采购人、采购机构可以视情况延长响应文件提交的截止时间。在上述情况下，采购机构与供应商以前在交易截止期方面的全部权利、责任和义务，将适用于延长至新的交易截止期。</w:t>
      </w:r>
    </w:p>
    <w:p w14:paraId="4C51215E">
      <w:pPr>
        <w:pStyle w:val="33"/>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14.备份响应文件</w:t>
      </w:r>
    </w:p>
    <w:p w14:paraId="5F7A003E">
      <w:pPr>
        <w:pStyle w:val="33"/>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本项目不收取备份响应文件</w:t>
      </w:r>
    </w:p>
    <w:p w14:paraId="666841CF">
      <w:pPr>
        <w:pStyle w:val="131"/>
        <w:spacing w:before="0"/>
        <w:ind w:firstLine="482"/>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15.响应文件的无效处理</w:t>
      </w:r>
    </w:p>
    <w:p w14:paraId="48B182A2">
      <w:pPr>
        <w:pStyle w:val="24"/>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有交易文件第四部分</w:t>
      </w:r>
      <w:r>
        <w:rPr>
          <w:rFonts w:hint="eastAsia" w:ascii="仿宋" w:hAnsi="仿宋" w:eastAsia="仿宋" w:cs="仿宋"/>
          <w:color w:val="auto"/>
          <w:highlight w:val="none"/>
        </w:rPr>
        <w:t>4.2规定</w:t>
      </w:r>
      <w:r>
        <w:rPr>
          <w:rFonts w:hint="eastAsia" w:ascii="仿宋" w:hAnsi="仿宋" w:eastAsia="仿宋" w:cs="仿宋"/>
          <w:color w:val="auto"/>
          <w:szCs w:val="21"/>
          <w:highlight w:val="none"/>
        </w:rPr>
        <w:t>的情形之一的，交易无效：</w:t>
      </w:r>
    </w:p>
    <w:p w14:paraId="5CED51EC">
      <w:pPr>
        <w:pStyle w:val="131"/>
        <w:spacing w:before="0"/>
        <w:ind w:firstLine="482"/>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16.交易有效期</w:t>
      </w:r>
    </w:p>
    <w:p w14:paraId="176CB91B">
      <w:pPr>
        <w:spacing w:line="360" w:lineRule="auto"/>
        <w:ind w:firstLine="480" w:firstLineChars="200"/>
        <w:rPr>
          <w:rFonts w:hint="eastAsia" w:ascii="仿宋" w:hAnsi="仿宋" w:eastAsia="仿宋" w:cs="仿宋"/>
          <w:b/>
          <w:color w:val="auto"/>
          <w:sz w:val="24"/>
          <w:szCs w:val="21"/>
          <w:highlight w:val="none"/>
        </w:rPr>
      </w:pPr>
      <w:r>
        <w:rPr>
          <w:rFonts w:hint="eastAsia" w:ascii="仿宋" w:hAnsi="仿宋" w:eastAsia="仿宋" w:cs="仿宋"/>
          <w:color w:val="auto"/>
          <w:sz w:val="24"/>
          <w:szCs w:val="20"/>
          <w:highlight w:val="none"/>
        </w:rPr>
        <w:t>16.1交易有效期为从提交响应文件的截止之日起90天。▲</w:t>
      </w:r>
      <w:r>
        <w:rPr>
          <w:rFonts w:hint="eastAsia" w:ascii="仿宋" w:hAnsi="仿宋" w:eastAsia="仿宋" w:cs="仿宋"/>
          <w:b/>
          <w:color w:val="auto"/>
          <w:sz w:val="24"/>
          <w:szCs w:val="20"/>
          <w:highlight w:val="none"/>
        </w:rPr>
        <w:t>供应商的响应文件中承</w:t>
      </w:r>
      <w:r>
        <w:rPr>
          <w:rFonts w:hint="eastAsia" w:ascii="仿宋" w:hAnsi="仿宋" w:eastAsia="仿宋" w:cs="仿宋"/>
          <w:b/>
          <w:color w:val="auto"/>
          <w:sz w:val="24"/>
          <w:szCs w:val="21"/>
          <w:highlight w:val="none"/>
        </w:rPr>
        <w:t>诺的交易有效期少于交易文件中载明的交易有效期的，交易无效。</w:t>
      </w:r>
    </w:p>
    <w:p w14:paraId="410609A4">
      <w:pPr>
        <w:pStyle w:val="131"/>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16.2响应文件合格投递后，自交易截止日期起，在交易有效期内有效。</w:t>
      </w:r>
    </w:p>
    <w:p w14:paraId="1FACA156">
      <w:pPr>
        <w:pStyle w:val="131"/>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16.3在原定交易有效期满之前，如果出现特殊情况，采购机构可以以书面形式通知供应商延长交易有效期。供应商同意延长的，不得要求或被允许修改其响应文件，供应商拒绝延长的，其交易无效。</w:t>
      </w:r>
    </w:p>
    <w:p w14:paraId="3CB62208">
      <w:pPr>
        <w:pStyle w:val="131"/>
        <w:spacing w:before="0"/>
        <w:ind w:firstLine="643"/>
        <w:rPr>
          <w:rFonts w:hint="eastAsia" w:ascii="仿宋" w:hAnsi="仿宋" w:eastAsia="仿宋" w:cs="仿宋"/>
          <w:b/>
          <w:color w:val="auto"/>
          <w:sz w:val="32"/>
          <w:highlight w:val="none"/>
        </w:rPr>
      </w:pPr>
    </w:p>
    <w:p w14:paraId="324452D1">
      <w:pPr>
        <w:pStyle w:val="131"/>
        <w:spacing w:before="0"/>
        <w:ind w:firstLine="0" w:firstLineChars="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四、交易、资格审查</w:t>
      </w:r>
    </w:p>
    <w:p w14:paraId="0229E177">
      <w:pPr>
        <w:pStyle w:val="556"/>
        <w:spacing w:before="0" w:line="360" w:lineRule="auto"/>
        <w:ind w:left="0" w:firstLine="482" w:firstLineChars="200"/>
        <w:contextualSpacing/>
        <w:rPr>
          <w:rFonts w:hint="eastAsia" w:ascii="仿宋" w:hAnsi="仿宋" w:eastAsia="仿宋" w:cs="仿宋"/>
          <w:color w:val="auto"/>
          <w:sz w:val="24"/>
          <w:highlight w:val="none"/>
        </w:rPr>
      </w:pPr>
      <w:r>
        <w:rPr>
          <w:rFonts w:hint="eastAsia" w:ascii="仿宋" w:hAnsi="仿宋" w:eastAsia="仿宋" w:cs="仿宋"/>
          <w:b/>
          <w:color w:val="auto"/>
          <w:sz w:val="24"/>
          <w:szCs w:val="24"/>
          <w:highlight w:val="none"/>
        </w:rPr>
        <w:t>17.交易</w:t>
      </w:r>
      <w:r>
        <w:rPr>
          <w:rFonts w:hint="eastAsia" w:ascii="仿宋" w:hAnsi="仿宋" w:eastAsia="仿宋" w:cs="仿宋"/>
          <w:color w:val="auto"/>
          <w:sz w:val="24"/>
          <w:highlight w:val="none"/>
        </w:rPr>
        <w:t xml:space="preserve"> </w:t>
      </w:r>
    </w:p>
    <w:p w14:paraId="1BBB34ED">
      <w:pPr>
        <w:pStyle w:val="556"/>
        <w:spacing w:before="0" w:line="360" w:lineRule="auto"/>
        <w:ind w:left="0"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17.1采购机构按照交易文件规定的时间通过电子交易平台组织开标，所有供应商均应当准时在线参加。供应商不足3家的，不得交易。</w:t>
      </w:r>
    </w:p>
    <w:p w14:paraId="77EA1F65">
      <w:pPr>
        <w:pStyle w:val="556"/>
        <w:spacing w:before="0" w:line="360" w:lineRule="auto"/>
        <w:ind w:left="0" w:firstLine="240" w:firstLineChars="1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17.2交易时，电子交易平台按交易时间自动提取所有响应文件。采购机构依托电子交易平台发起开始解密指令，供应商按照平台提示和交易文件的规定在半小时内完成在线解密。</w:t>
      </w:r>
    </w:p>
    <w:p w14:paraId="6BC3587B">
      <w:pPr>
        <w:pStyle w:val="556"/>
        <w:spacing w:before="0" w:line="360" w:lineRule="auto"/>
        <w:ind w:left="0" w:firstLine="240" w:firstLineChars="100"/>
        <w:contextualSpacing/>
        <w:rPr>
          <w:rFonts w:hint="eastAsia" w:ascii="仿宋" w:hAnsi="仿宋" w:eastAsia="仿宋" w:cs="仿宋"/>
          <w:b/>
          <w:color w:val="auto"/>
          <w:sz w:val="24"/>
          <w:highlight w:val="none"/>
        </w:rPr>
      </w:pPr>
      <w:r>
        <w:rPr>
          <w:rFonts w:hint="eastAsia" w:ascii="仿宋" w:hAnsi="仿宋" w:eastAsia="仿宋" w:cs="仿宋"/>
          <w:color w:val="auto"/>
          <w:sz w:val="24"/>
          <w:highlight w:val="none"/>
        </w:rPr>
        <w:t>　17.3</w:t>
      </w:r>
      <w:r>
        <w:rPr>
          <w:rFonts w:hint="eastAsia" w:ascii="仿宋" w:hAnsi="仿宋" w:eastAsia="仿宋" w:cs="仿宋"/>
          <w:b/>
          <w:color w:val="auto"/>
          <w:sz w:val="24"/>
          <w:highlight w:val="none"/>
        </w:rPr>
        <w:t>响应文件未按时解密，供应商提供了备份响应文件的，以备份响应文件作为依据，否则视为响应文件撤回。响应文件已按时解密的，备份响应文件自动失效。</w:t>
      </w:r>
    </w:p>
    <w:p w14:paraId="40264B03">
      <w:pPr>
        <w:pStyle w:val="556"/>
        <w:spacing w:before="0" w:line="360" w:lineRule="auto"/>
        <w:ind w:left="0" w:firstLine="241" w:firstLineChars="100"/>
        <w:contextualSpacing/>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18、资格审查</w:t>
      </w:r>
    </w:p>
    <w:p w14:paraId="18189453">
      <w:pPr>
        <w:pStyle w:val="556"/>
        <w:spacing w:before="0" w:line="360" w:lineRule="auto"/>
        <w:ind w:left="0" w:firstLine="240" w:firstLineChars="100"/>
        <w:contextualSpacing/>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18.1交易后，采购人或采购机构将依法对供应商的资格进行审查。</w:t>
      </w:r>
    </w:p>
    <w:p w14:paraId="01FEECA7">
      <w:pPr>
        <w:pStyle w:val="556"/>
        <w:spacing w:before="0" w:line="360" w:lineRule="auto"/>
        <w:ind w:left="0" w:firstLine="240" w:firstLineChars="100"/>
        <w:contextualSpacing/>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18.2采购人或采购机构依据法律法规和交易文件的规定，对供应商的基本资格条件、特定资格条件进行审查。</w:t>
      </w:r>
    </w:p>
    <w:p w14:paraId="2BC9747F">
      <w:pPr>
        <w:pStyle w:val="556"/>
        <w:spacing w:before="0" w:line="360" w:lineRule="auto"/>
        <w:ind w:left="0" w:firstLine="240" w:firstLineChars="100"/>
        <w:contextualSpacing/>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18.3供应商未按照交易文件要求提供与基本资格条件、特定资格条件相应的有效资格证明材料的，视为供应商不具备交易文件中规定的资格要求，其响应无效。</w:t>
      </w:r>
    </w:p>
    <w:p w14:paraId="6A86FDF5">
      <w:pPr>
        <w:pStyle w:val="556"/>
        <w:spacing w:before="0" w:line="360" w:lineRule="auto"/>
        <w:ind w:left="0" w:firstLine="240" w:firstLineChars="100"/>
        <w:contextualSpacing/>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18.4对未通过资格审查的供应商，采购人或采购机构告知其未通过的原因。</w:t>
      </w:r>
    </w:p>
    <w:p w14:paraId="57C99E55">
      <w:pPr>
        <w:pStyle w:val="556"/>
        <w:spacing w:before="0" w:line="360" w:lineRule="auto"/>
        <w:ind w:left="0" w:firstLine="240" w:firstLineChars="100"/>
        <w:contextualSpacing/>
        <w:rPr>
          <w:rFonts w:hint="eastAsia" w:ascii="仿宋" w:hAnsi="仿宋" w:eastAsia="仿宋" w:cs="仿宋"/>
          <w:color w:val="auto"/>
          <w:szCs w:val="24"/>
          <w:highlight w:val="none"/>
        </w:rPr>
      </w:pPr>
      <w:r>
        <w:rPr>
          <w:rFonts w:hint="eastAsia" w:ascii="仿宋" w:hAnsi="仿宋" w:eastAsia="仿宋" w:cs="仿宋"/>
          <w:color w:val="auto"/>
          <w:sz w:val="24"/>
          <w:szCs w:val="22"/>
          <w:highlight w:val="none"/>
        </w:rPr>
        <w:t>18.5合格供应商不足3家的，不再评标。</w:t>
      </w:r>
    </w:p>
    <w:p w14:paraId="6CCC0628">
      <w:pPr>
        <w:snapToGrid w:val="0"/>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五、评标</w:t>
      </w:r>
    </w:p>
    <w:p w14:paraId="6A152038">
      <w:pPr>
        <w:spacing w:line="360" w:lineRule="auto"/>
        <w:ind w:firstLine="482" w:firstLineChars="200"/>
        <w:rPr>
          <w:rFonts w:hint="eastAsia" w:ascii="仿宋" w:hAnsi="仿宋" w:eastAsia="仿宋" w:cs="仿宋"/>
          <w:b/>
          <w:color w:val="auto"/>
          <w:sz w:val="24"/>
          <w:highlight w:val="none"/>
        </w:rPr>
      </w:pPr>
      <w:bookmarkStart w:id="16" w:name="_Toc91899903"/>
      <w:r>
        <w:rPr>
          <w:rFonts w:hint="eastAsia" w:ascii="仿宋" w:hAnsi="仿宋" w:eastAsia="仿宋" w:cs="仿宋"/>
          <w:b/>
          <w:color w:val="auto"/>
          <w:sz w:val="24"/>
          <w:highlight w:val="none"/>
        </w:rPr>
        <w:t>19.</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评标委员会将根据交易文件和有关规定，履行评标工作职责，并按照评审方法及评分标准，全面衡量各供应商对交易文件的响应情况。对实质上响应交易文件的供应商，按照评审因素的量化指标排出推荐成交的供应商的先后顺序，并按顺序提出授标建议。</w:t>
      </w:r>
      <w:r>
        <w:rPr>
          <w:rFonts w:hint="eastAsia" w:ascii="仿宋" w:hAnsi="仿宋" w:eastAsia="仿宋" w:cs="仿宋"/>
          <w:b/>
          <w:color w:val="auto"/>
          <w:sz w:val="24"/>
          <w:highlight w:val="none"/>
        </w:rPr>
        <w:t>详见交易文件第四部分评标办法。</w:t>
      </w:r>
    </w:p>
    <w:p w14:paraId="4781EF91">
      <w:pPr>
        <w:spacing w:line="360" w:lineRule="auto"/>
        <w:rPr>
          <w:rFonts w:hint="eastAsia" w:ascii="仿宋" w:hAnsi="仿宋" w:eastAsia="仿宋" w:cs="仿宋"/>
          <w:b/>
          <w:color w:val="auto"/>
          <w:sz w:val="24"/>
          <w:highlight w:val="none"/>
        </w:rPr>
      </w:pPr>
    </w:p>
    <w:p w14:paraId="5ED064BE">
      <w:pPr>
        <w:snapToGrid w:val="0"/>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六、定 标</w:t>
      </w:r>
    </w:p>
    <w:p w14:paraId="7BB5A968">
      <w:pPr>
        <w:pStyle w:val="24"/>
        <w:spacing w:line="360" w:lineRule="auto"/>
        <w:ind w:left="479" w:leftChars="228"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20. 确定成交供应商</w:t>
      </w:r>
    </w:p>
    <w:p w14:paraId="0330F990">
      <w:pPr>
        <w:pStyle w:val="131"/>
        <w:snapToGrid w:val="0"/>
        <w:spacing w:before="0"/>
        <w:ind w:firstLine="480"/>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采购人将自收到评审报告之日起5个工作日内通过电子交易平台在评审报告推荐的成交候选人中按顺序确定成交供应商。</w:t>
      </w:r>
    </w:p>
    <w:p w14:paraId="08E2C9AE">
      <w:pPr>
        <w:pStyle w:val="131"/>
        <w:snapToGrid w:val="0"/>
        <w:spacing w:before="0"/>
        <w:ind w:firstLine="482"/>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21. 成交通知与成交结果公告</w:t>
      </w:r>
    </w:p>
    <w:p w14:paraId="7F5FCCCF">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21.1自成交人确定之日起2个工作日内，采购机构通过电子交易平台向成交人发出成交通知书，同时编制发布采购结果公告。采购机构也可以以纸质形式进行成交通知。</w:t>
      </w:r>
    </w:p>
    <w:p w14:paraId="194125AA">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21.2成交结果公告内容包括采购人及其委托的采购机构的名称、地址、联系方式，项目名称和项目编号，成交人名称、地址和成交金额，主要成交标的的名称、规格型号、数量、单价、服务要求。</w:t>
      </w:r>
    </w:p>
    <w:p w14:paraId="734EBADA">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21.3公告期限为1个工作日。</w:t>
      </w:r>
    </w:p>
    <w:p w14:paraId="31371838">
      <w:pPr>
        <w:snapToGrid w:val="0"/>
        <w:spacing w:line="360" w:lineRule="auto"/>
        <w:ind w:left="120" w:leftChars="57" w:firstLine="482" w:firstLineChars="150"/>
        <w:jc w:val="center"/>
        <w:rPr>
          <w:rFonts w:hint="eastAsia" w:ascii="仿宋" w:hAnsi="仿宋" w:eastAsia="仿宋" w:cs="仿宋"/>
          <w:b/>
          <w:color w:val="auto"/>
          <w:highlight w:val="none"/>
        </w:rPr>
      </w:pPr>
      <w:r>
        <w:rPr>
          <w:rFonts w:hint="eastAsia" w:ascii="仿宋" w:hAnsi="仿宋" w:eastAsia="仿宋" w:cs="仿宋"/>
          <w:b/>
          <w:color w:val="auto"/>
          <w:sz w:val="32"/>
          <w:highlight w:val="none"/>
        </w:rPr>
        <w:t>七、合同授予</w:t>
      </w:r>
    </w:p>
    <w:p w14:paraId="29A8E03B">
      <w:pPr>
        <w:pStyle w:val="24"/>
        <w:spacing w:line="360" w:lineRule="auto"/>
        <w:ind w:left="479" w:leftChars="228"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22. 合同的签订</w:t>
      </w:r>
    </w:p>
    <w:p w14:paraId="4EAF00A3">
      <w:pPr>
        <w:widowControl/>
        <w:shd w:val="clear" w:color="auto" w:fill="FFFFFF"/>
        <w:spacing w:line="360" w:lineRule="auto"/>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22.1</w:t>
      </w:r>
      <w:r>
        <w:rPr>
          <w:rFonts w:hint="eastAsia" w:ascii="仿宋" w:hAnsi="仿宋" w:eastAsia="仿宋" w:cs="仿宋"/>
          <w:color w:val="auto"/>
          <w:kern w:val="0"/>
          <w:sz w:val="24"/>
          <w:highlight w:val="none"/>
        </w:rPr>
        <w:t xml:space="preserve"> 采购人与成交人应当通过电子交易平台在成交通知书发出之日起三十日内，按照交易文件确定的事项签订采购合同。</w:t>
      </w:r>
    </w:p>
    <w:p w14:paraId="2AB858D0">
      <w:pPr>
        <w:widowControl/>
        <w:shd w:val="clear" w:color="auto" w:fill="FFFFFF"/>
        <w:spacing w:line="360" w:lineRule="auto"/>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lang w:val="zh-CN"/>
        </w:rPr>
        <w:t>2</w:t>
      </w:r>
      <w:r>
        <w:rPr>
          <w:rFonts w:hint="eastAsia" w:ascii="仿宋" w:hAnsi="仿宋" w:eastAsia="仿宋" w:cs="仿宋"/>
          <w:color w:val="auto"/>
          <w:kern w:val="0"/>
          <w:highlight w:val="none"/>
        </w:rPr>
        <w:t>2</w:t>
      </w:r>
      <w:r>
        <w:rPr>
          <w:rFonts w:hint="eastAsia" w:ascii="仿宋" w:hAnsi="仿宋" w:eastAsia="仿宋" w:cs="仿宋"/>
          <w:color w:val="auto"/>
          <w:kern w:val="0"/>
          <w:highlight w:val="none"/>
          <w:lang w:val="zh-CN"/>
        </w:rPr>
        <w:t>.2</w:t>
      </w:r>
      <w:r>
        <w:rPr>
          <w:rFonts w:hint="eastAsia" w:ascii="仿宋" w:hAnsi="仿宋" w:eastAsia="仿宋" w:cs="仿宋"/>
          <w:color w:val="auto"/>
          <w:kern w:val="0"/>
          <w:sz w:val="24"/>
          <w:highlight w:val="none"/>
          <w:lang w:val="zh-CN"/>
        </w:rPr>
        <w:t>成交人按规定的日期、时间、地点，由法定代表人或其授权代表与采购人代表签订合同。如成交人为联合体的，由联合体成员各方法定代表人或其授权代表与采购人代表签订合同。</w:t>
      </w:r>
    </w:p>
    <w:p w14:paraId="7D33F71B">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22.3如签订合同并生效后，供应商无故拒绝或延期，除按照合同条款处理外，列入不良行为记录一次，并给予通报。</w:t>
      </w:r>
    </w:p>
    <w:p w14:paraId="4D9BB4F4">
      <w:pPr>
        <w:pStyle w:val="131"/>
        <w:snapToGrid w:val="0"/>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highlight w:val="none"/>
        </w:rPr>
        <w:t>22.4成交</w:t>
      </w:r>
      <w:r>
        <w:rPr>
          <w:rFonts w:hint="eastAsia" w:ascii="仿宋" w:hAnsi="仿宋" w:eastAsia="仿宋" w:cs="仿宋"/>
          <w:color w:val="auto"/>
          <w:kern w:val="0"/>
          <w:szCs w:val="24"/>
          <w:highlight w:val="none"/>
        </w:rPr>
        <w:t>供应商拒绝与采购人签订合同的，采购人可以按照评审报告推荐的成交或者成交候选人名单排序，确定下一候选人为成交供应商，也可以重新开展采购活动。</w:t>
      </w:r>
    </w:p>
    <w:p w14:paraId="6979CF14">
      <w:pPr>
        <w:pStyle w:val="131"/>
        <w:snapToGrid w:val="0"/>
        <w:spacing w:before="0" w:after="12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22.5采购合同由采购人与成交供应商根据交易文件、响应文件等内容通过采购电子交易平台在线签订，自动备案。</w:t>
      </w:r>
    </w:p>
    <w:p w14:paraId="010A1553">
      <w:pPr>
        <w:pStyle w:val="24"/>
        <w:spacing w:line="360" w:lineRule="auto"/>
        <w:ind w:left="479" w:leftChars="228"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23. 履约保证金</w:t>
      </w:r>
    </w:p>
    <w:p w14:paraId="7AE0C992">
      <w:pPr>
        <w:tabs>
          <w:tab w:val="left" w:pos="0"/>
        </w:tabs>
        <w:spacing w:line="360" w:lineRule="auto"/>
        <w:ind w:firstLine="482"/>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rPr>
        <w:t>拟签订的合同文本要求成交供应商提交履约保证金的，供应商应当以支票、汇票、本票或者金融机构、担保机构出具的保函等非现金形式提交</w:t>
      </w:r>
      <w:r>
        <w:rPr>
          <w:rFonts w:hint="eastAsia" w:ascii="仿宋" w:hAnsi="仿宋" w:eastAsia="仿宋" w:cs="仿宋"/>
          <w:color w:val="auto"/>
          <w:sz w:val="24"/>
          <w:highlight w:val="none"/>
        </w:rPr>
        <w:t>。鼓励和支持供应商以银行、保险公司出具的保函形式提供履约保证金。</w:t>
      </w:r>
      <w:r>
        <w:rPr>
          <w:rFonts w:hint="eastAsia" w:ascii="仿宋" w:hAnsi="仿宋" w:eastAsia="仿宋" w:cs="仿宋"/>
          <w:b/>
          <w:color w:val="auto"/>
          <w:sz w:val="24"/>
          <w:highlight w:val="none"/>
        </w:rPr>
        <w:t>采购人不得拒收履约保函，项目验收结束后应及时退还。</w:t>
      </w:r>
    </w:p>
    <w:p w14:paraId="1CA1DDA1">
      <w:pPr>
        <w:pStyle w:val="60"/>
        <w:rPr>
          <w:rFonts w:hint="eastAsia" w:ascii="仿宋" w:hAnsi="仿宋" w:eastAsia="仿宋" w:cs="仿宋"/>
          <w:color w:val="auto"/>
          <w:highlight w:val="none"/>
        </w:rPr>
      </w:pPr>
    </w:p>
    <w:p w14:paraId="08C0249C">
      <w:pPr>
        <w:snapToGrid w:val="0"/>
        <w:spacing w:line="360" w:lineRule="auto"/>
        <w:ind w:firstLine="3357" w:firstLineChars="1045"/>
        <w:rPr>
          <w:rFonts w:hint="eastAsia" w:ascii="仿宋" w:hAnsi="仿宋" w:eastAsia="仿宋" w:cs="仿宋"/>
          <w:b/>
          <w:color w:val="auto"/>
          <w:sz w:val="24"/>
          <w:highlight w:val="none"/>
        </w:rPr>
      </w:pPr>
      <w:r>
        <w:rPr>
          <w:rFonts w:hint="eastAsia" w:ascii="仿宋" w:hAnsi="仿宋" w:eastAsia="仿宋" w:cs="仿宋"/>
          <w:b/>
          <w:color w:val="auto"/>
          <w:sz w:val="32"/>
          <w:highlight w:val="none"/>
        </w:rPr>
        <w:t>八、电子交易活动的中止</w:t>
      </w:r>
    </w:p>
    <w:p w14:paraId="4E493436">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bCs/>
          <w:color w:val="auto"/>
          <w:szCs w:val="24"/>
          <w:highlight w:val="none"/>
        </w:rPr>
        <w:t>4.</w:t>
      </w:r>
      <w:r>
        <w:rPr>
          <w:rFonts w:hint="eastAsia" w:ascii="仿宋" w:hAnsi="仿宋" w:eastAsia="仿宋" w:cs="仿宋"/>
          <w:b/>
          <w:color w:val="auto"/>
          <w:szCs w:val="24"/>
          <w:highlight w:val="none"/>
        </w:rPr>
        <w:t xml:space="preserve"> 电子交易活动的中止。</w:t>
      </w:r>
      <w:r>
        <w:rPr>
          <w:rFonts w:hint="eastAsia" w:ascii="仿宋" w:hAnsi="仿宋" w:eastAsia="仿宋" w:cs="仿宋"/>
          <w:color w:val="auto"/>
          <w:highlight w:val="none"/>
        </w:rPr>
        <w:t>采购过程中出现以下情形，导致电子交易平台无法正常运行，或者无法保证电子交易的公平、公正和安全时，采购机构可中止电子交易活动：</w:t>
      </w:r>
    </w:p>
    <w:p w14:paraId="6964D6A7">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24.1电子交易平台发生故障而无法登录访问的； </w:t>
      </w:r>
    </w:p>
    <w:p w14:paraId="5C8BB91B">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24.2电子交易平台应用或数据库出现错误，不能进行正常操作的；</w:t>
      </w:r>
    </w:p>
    <w:p w14:paraId="774924FC">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24.3电子交易平台发现严重安全漏洞，有潜在泄密危险的；</w:t>
      </w:r>
    </w:p>
    <w:p w14:paraId="4C1CD221">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24.4病毒发作导致不能进行正常操作的； </w:t>
      </w:r>
    </w:p>
    <w:p w14:paraId="08B61C20">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24.5其他无法保证电子交易的公平、公正和安全的情况。</w:t>
      </w:r>
    </w:p>
    <w:p w14:paraId="4D61ACD3">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25.出现以上情形，不影响采购公平、公正性的，采购组织机构可以待上述情形消除后继续组织电子交易活动，也可以决定某些环节以纸质形式进行；影响或可能影响采购公平、公正性的，应当重新采购。</w:t>
      </w:r>
    </w:p>
    <w:p w14:paraId="458F99C6">
      <w:pPr>
        <w:snapToGrid w:val="0"/>
        <w:spacing w:line="360" w:lineRule="auto"/>
        <w:ind w:left="120" w:leftChars="57" w:firstLine="482" w:firstLineChars="15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九、验收</w:t>
      </w:r>
    </w:p>
    <w:p w14:paraId="310B17C6">
      <w:pPr>
        <w:pStyle w:val="24"/>
        <w:spacing w:line="360" w:lineRule="auto"/>
        <w:ind w:firstLine="482"/>
        <w:rPr>
          <w:rFonts w:hint="eastAsia" w:ascii="仿宋" w:hAnsi="仿宋" w:eastAsia="仿宋" w:cs="仿宋"/>
          <w:b/>
          <w:color w:val="auto"/>
          <w:highlight w:val="none"/>
        </w:rPr>
      </w:pPr>
      <w:r>
        <w:rPr>
          <w:rFonts w:hint="eastAsia" w:ascii="仿宋" w:hAnsi="仿宋" w:eastAsia="仿宋" w:cs="仿宋"/>
          <w:b/>
          <w:color w:val="auto"/>
          <w:highlight w:val="none"/>
        </w:rPr>
        <w:t>26.验收</w:t>
      </w:r>
    </w:p>
    <w:p w14:paraId="2429815F">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26.1采购人应当组织对供应商履约的验收。</w:t>
      </w:r>
      <w:bookmarkEnd w:id="14"/>
      <w:bookmarkEnd w:id="15"/>
      <w:bookmarkEnd w:id="16"/>
      <w:bookmarkStart w:id="17" w:name="第四部分"/>
    </w:p>
    <w:p w14:paraId="119BCE6A">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45533AF2">
      <w:pPr>
        <w:tabs>
          <w:tab w:val="left" w:pos="0"/>
        </w:tabs>
        <w:spacing w:line="360" w:lineRule="auto"/>
        <w:ind w:firstLine="480"/>
        <w:rPr>
          <w:rFonts w:hint="eastAsia" w:ascii="仿宋" w:hAnsi="仿宋" w:eastAsia="仿宋" w:cs="仿宋"/>
          <w:color w:val="auto"/>
          <w:kern w:val="0"/>
          <w:sz w:val="24"/>
          <w:highlight w:val="none"/>
        </w:rPr>
      </w:pPr>
    </w:p>
    <w:p w14:paraId="4C28C5C5">
      <w:pPr>
        <w:numPr>
          <w:ilvl w:val="0"/>
          <w:numId w:val="1"/>
        </w:numPr>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采购需求</w:t>
      </w:r>
    </w:p>
    <w:p w14:paraId="5337F520">
      <w:pPr>
        <w:jc w:val="center"/>
        <w:textAlignment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属于实质性要求条款的，请用符号“▲”标明，否则属于非实质性要求。</w:t>
      </w:r>
    </w:p>
    <w:p w14:paraId="24C3AF4F">
      <w:pPr>
        <w:jc w:val="center"/>
        <w:textAlignment w:val="center"/>
        <w:rPr>
          <w:color w:val="auto"/>
          <w:highlight w:val="none"/>
        </w:rPr>
      </w:pPr>
      <w:r>
        <w:rPr>
          <w:rFonts w:hint="eastAsia" w:ascii="仿宋" w:hAnsi="仿宋" w:eastAsia="仿宋" w:cs="仿宋"/>
          <w:bCs/>
          <w:color w:val="auto"/>
          <w:sz w:val="24"/>
          <w:highlight w:val="none"/>
        </w:rPr>
        <w:t>“★”系产品采购项目中单一产品或核心产品。</w:t>
      </w:r>
    </w:p>
    <w:p w14:paraId="022925A5">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一、交易一览表</w:t>
      </w:r>
    </w:p>
    <w:p w14:paraId="7F95EA67">
      <w:pPr>
        <w:ind w:firstLine="590" w:firstLineChars="245"/>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标项：一</w:t>
      </w:r>
    </w:p>
    <w:tbl>
      <w:tblPr>
        <w:tblStyle w:val="63"/>
        <w:tblW w:w="9438" w:type="dxa"/>
        <w:jc w:val="center"/>
        <w:tblLayout w:type="fixed"/>
        <w:tblCellMar>
          <w:top w:w="0" w:type="dxa"/>
          <w:left w:w="0" w:type="dxa"/>
          <w:bottom w:w="0" w:type="dxa"/>
          <w:right w:w="0" w:type="dxa"/>
        </w:tblCellMar>
      </w:tblPr>
      <w:tblGrid>
        <w:gridCol w:w="648"/>
        <w:gridCol w:w="2977"/>
        <w:gridCol w:w="698"/>
        <w:gridCol w:w="909"/>
        <w:gridCol w:w="1048"/>
        <w:gridCol w:w="1823"/>
        <w:gridCol w:w="1335"/>
      </w:tblGrid>
      <w:tr w14:paraId="6708EFC8">
        <w:tblPrEx>
          <w:tblCellMar>
            <w:top w:w="0" w:type="dxa"/>
            <w:left w:w="0" w:type="dxa"/>
            <w:bottom w:w="0" w:type="dxa"/>
            <w:right w:w="0" w:type="dxa"/>
          </w:tblCellMar>
        </w:tblPrEx>
        <w:trPr>
          <w:cantSplit/>
          <w:trHeight w:val="694" w:hRule="atLeast"/>
          <w:jc w:val="center"/>
        </w:trPr>
        <w:tc>
          <w:tcPr>
            <w:tcW w:w="6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4E6BDB">
            <w:pPr>
              <w:tabs>
                <w:tab w:val="left" w:pos="0"/>
              </w:tabs>
              <w:snapToGrid w:val="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序号</w:t>
            </w:r>
          </w:p>
        </w:tc>
        <w:tc>
          <w:tcPr>
            <w:tcW w:w="297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C8C7379">
            <w:pPr>
              <w:tabs>
                <w:tab w:val="left" w:pos="0"/>
              </w:tabs>
              <w:snapToGrid w:val="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名称</w:t>
            </w:r>
          </w:p>
        </w:tc>
        <w:tc>
          <w:tcPr>
            <w:tcW w:w="69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336A44D">
            <w:pPr>
              <w:tabs>
                <w:tab w:val="left" w:pos="0"/>
              </w:tabs>
              <w:snapToGrid w:val="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数量</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49F26A">
            <w:pPr>
              <w:tabs>
                <w:tab w:val="left" w:pos="0"/>
              </w:tabs>
              <w:snapToGrid w:val="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单位</w:t>
            </w:r>
          </w:p>
        </w:tc>
        <w:tc>
          <w:tcPr>
            <w:tcW w:w="104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9E5C18C">
            <w:pPr>
              <w:tabs>
                <w:tab w:val="left" w:pos="0"/>
              </w:tabs>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预算</w:t>
            </w:r>
          </w:p>
          <w:p w14:paraId="1E3EE736">
            <w:pPr>
              <w:tabs>
                <w:tab w:val="left" w:pos="0"/>
              </w:tabs>
              <w:snapToGrid w:val="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（元）</w:t>
            </w:r>
          </w:p>
        </w:tc>
        <w:tc>
          <w:tcPr>
            <w:tcW w:w="1823" w:type="dxa"/>
            <w:tcBorders>
              <w:top w:val="single" w:color="auto" w:sz="4" w:space="0"/>
              <w:left w:val="nil"/>
              <w:bottom w:val="single" w:color="auto" w:sz="4" w:space="0"/>
              <w:right w:val="single" w:color="auto" w:sz="4" w:space="0"/>
            </w:tcBorders>
            <w:vAlign w:val="center"/>
          </w:tcPr>
          <w:p w14:paraId="6E38C3CD">
            <w:pPr>
              <w:tabs>
                <w:tab w:val="left" w:pos="0"/>
              </w:tabs>
              <w:snapToGrid w:val="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简要规格描述或基本情况介绍</w:t>
            </w:r>
          </w:p>
        </w:tc>
        <w:tc>
          <w:tcPr>
            <w:tcW w:w="1335" w:type="dxa"/>
            <w:tcBorders>
              <w:top w:val="single" w:color="auto" w:sz="4" w:space="0"/>
              <w:left w:val="nil"/>
              <w:bottom w:val="single" w:color="auto" w:sz="4" w:space="0"/>
              <w:right w:val="single" w:color="auto" w:sz="4" w:space="0"/>
            </w:tcBorders>
            <w:vAlign w:val="center"/>
          </w:tcPr>
          <w:p w14:paraId="12BC90BA">
            <w:pPr>
              <w:tabs>
                <w:tab w:val="left" w:pos="0"/>
              </w:tabs>
              <w:snapToGrid w:val="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最高限价（元）</w:t>
            </w:r>
          </w:p>
        </w:tc>
      </w:tr>
      <w:tr w14:paraId="4B10489A">
        <w:tblPrEx>
          <w:tblCellMar>
            <w:top w:w="0" w:type="dxa"/>
            <w:left w:w="0" w:type="dxa"/>
            <w:bottom w:w="0" w:type="dxa"/>
            <w:right w:w="0" w:type="dxa"/>
          </w:tblCellMar>
        </w:tblPrEx>
        <w:trPr>
          <w:cantSplit/>
          <w:trHeight w:val="977" w:hRule="atLeast"/>
          <w:jc w:val="center"/>
        </w:trPr>
        <w:tc>
          <w:tcPr>
            <w:tcW w:w="6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E3BF0B">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97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824FEB6">
            <w:pPr>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bCs/>
                <w:color w:val="auto"/>
                <w:sz w:val="24"/>
                <w:highlight w:val="none"/>
                <w:lang w:eastAsia="zh-CN"/>
              </w:rPr>
              <w:t>2026年度杭州国际博览中心病媒生物防治（害虫消杀）服务项目</w:t>
            </w:r>
          </w:p>
        </w:tc>
        <w:tc>
          <w:tcPr>
            <w:tcW w:w="69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E4C4D4E">
            <w:pPr>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9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03E8439">
            <w:pPr>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w:t>
            </w:r>
          </w:p>
        </w:tc>
        <w:tc>
          <w:tcPr>
            <w:tcW w:w="104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9636536">
            <w:pPr>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bCs/>
                <w:color w:val="auto"/>
                <w:sz w:val="24"/>
                <w:highlight w:val="none"/>
                <w:lang w:val="en-US" w:eastAsia="zh-CN"/>
              </w:rPr>
              <w:t>1444200</w:t>
            </w:r>
          </w:p>
        </w:tc>
        <w:tc>
          <w:tcPr>
            <w:tcW w:w="1823" w:type="dxa"/>
            <w:tcBorders>
              <w:top w:val="single" w:color="auto" w:sz="4" w:space="0"/>
              <w:left w:val="nil"/>
              <w:bottom w:val="single" w:color="auto" w:sz="4" w:space="0"/>
              <w:right w:val="single" w:color="auto" w:sz="4" w:space="0"/>
            </w:tcBorders>
            <w:vAlign w:val="center"/>
          </w:tcPr>
          <w:p w14:paraId="352E8EAD">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Hans"/>
              </w:rPr>
              <w:t>二、</w:t>
            </w:r>
            <w:r>
              <w:rPr>
                <w:rFonts w:hint="eastAsia" w:ascii="仿宋" w:hAnsi="仿宋" w:eastAsia="仿宋" w:cs="仿宋"/>
                <w:color w:val="auto"/>
                <w:sz w:val="24"/>
                <w:highlight w:val="none"/>
              </w:rPr>
              <w:t>交易需求-1、技术需求</w:t>
            </w:r>
          </w:p>
        </w:tc>
        <w:tc>
          <w:tcPr>
            <w:tcW w:w="1335" w:type="dxa"/>
            <w:tcBorders>
              <w:top w:val="single" w:color="auto" w:sz="4" w:space="0"/>
              <w:left w:val="nil"/>
              <w:bottom w:val="single" w:color="auto" w:sz="4" w:space="0"/>
              <w:right w:val="single" w:color="auto" w:sz="4" w:space="0"/>
            </w:tcBorders>
            <w:vAlign w:val="center"/>
          </w:tcPr>
          <w:p w14:paraId="56245651">
            <w:pPr>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bCs/>
                <w:color w:val="auto"/>
                <w:sz w:val="24"/>
                <w:highlight w:val="none"/>
                <w:lang w:val="en-US" w:eastAsia="zh-CN"/>
              </w:rPr>
              <w:t>1444200</w:t>
            </w:r>
          </w:p>
        </w:tc>
      </w:tr>
    </w:tbl>
    <w:p w14:paraId="4ABE1A5B">
      <w:pPr>
        <w:autoSpaceDE w:val="0"/>
        <w:autoSpaceDN w:val="0"/>
        <w:spacing w:after="120" w:afterLines="50" w:line="300" w:lineRule="exact"/>
        <w:jc w:val="center"/>
        <w:rPr>
          <w:rFonts w:hint="eastAsia" w:ascii="仿宋" w:hAnsi="仿宋" w:eastAsia="仿宋" w:cs="仿宋"/>
          <w:b/>
          <w:color w:val="auto"/>
          <w:sz w:val="18"/>
          <w:szCs w:val="18"/>
          <w:highlight w:val="none"/>
        </w:rPr>
      </w:pPr>
    </w:p>
    <w:p w14:paraId="7A05E9CD">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二、交易需求</w:t>
      </w:r>
    </w:p>
    <w:p w14:paraId="4FE74805">
      <w:pPr>
        <w:rPr>
          <w:rFonts w:hint="eastAsia" w:ascii="仿宋" w:hAnsi="仿宋" w:eastAsia="仿宋" w:cs="仿宋"/>
          <w:b/>
          <w:bCs/>
          <w:color w:val="auto"/>
          <w:sz w:val="24"/>
          <w:szCs w:val="24"/>
          <w:highlight w:val="none"/>
        </w:rPr>
      </w:pPr>
      <w:bookmarkStart w:id="18" w:name="_Toc310522576"/>
      <w:r>
        <w:rPr>
          <w:rFonts w:hint="eastAsia" w:ascii="仿宋" w:hAnsi="仿宋" w:eastAsia="仿宋" w:cs="仿宋"/>
          <w:b/>
          <w:bCs/>
          <w:color w:val="auto"/>
          <w:sz w:val="24"/>
          <w:szCs w:val="24"/>
          <w:highlight w:val="none"/>
        </w:rPr>
        <w:t>一、技术要求</w:t>
      </w:r>
    </w:p>
    <w:p w14:paraId="76C2CD0B">
      <w:pPr>
        <w:pStyle w:val="2"/>
        <w:adjustRightInd/>
        <w:spacing w:before="0" w:after="0" w:line="360" w:lineRule="auto"/>
        <w:ind w:left="0" w:firstLine="482"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服务场所</w:t>
      </w:r>
    </w:p>
    <w:tbl>
      <w:tblPr>
        <w:tblStyle w:val="64"/>
        <w:tblW w:w="893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2554"/>
        <w:gridCol w:w="1985"/>
        <w:gridCol w:w="3260"/>
      </w:tblGrid>
      <w:tr w14:paraId="00AD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14:paraId="186D99F3">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554" w:type="dxa"/>
          </w:tcPr>
          <w:p w14:paraId="33418539">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场所</w:t>
            </w:r>
          </w:p>
        </w:tc>
        <w:tc>
          <w:tcPr>
            <w:tcW w:w="1985" w:type="dxa"/>
          </w:tcPr>
          <w:p w14:paraId="6C05D514">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服务项目</w:t>
            </w:r>
          </w:p>
        </w:tc>
        <w:tc>
          <w:tcPr>
            <w:tcW w:w="3260" w:type="dxa"/>
          </w:tcPr>
          <w:p w14:paraId="6431607C">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面积</w:t>
            </w:r>
          </w:p>
        </w:tc>
      </w:tr>
      <w:tr w14:paraId="4805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center"/>
          </w:tcPr>
          <w:p w14:paraId="4EBF6B1C">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554" w:type="dxa"/>
            <w:vAlign w:val="center"/>
          </w:tcPr>
          <w:p w14:paraId="13342835">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杭州国际博览中心一期、二期（含主体、博物馆、写字楼等）</w:t>
            </w:r>
          </w:p>
        </w:tc>
        <w:tc>
          <w:tcPr>
            <w:tcW w:w="1985" w:type="dxa"/>
            <w:vAlign w:val="center"/>
          </w:tcPr>
          <w:p w14:paraId="60CF6276">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灭鼠、灭蚊、灭蝇、灭蟑、其他消毒等</w:t>
            </w:r>
          </w:p>
        </w:tc>
        <w:tc>
          <w:tcPr>
            <w:tcW w:w="3260" w:type="dxa"/>
            <w:vAlign w:val="center"/>
          </w:tcPr>
          <w:p w14:paraId="3A88B322">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121万平方米</w:t>
            </w:r>
          </w:p>
          <w:p w14:paraId="51DDC095">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（一期81.1）、（二期39.9，其中主体35.7、博物馆2.1、写字楼2.1） </w:t>
            </w:r>
          </w:p>
        </w:tc>
      </w:tr>
      <w:tr w14:paraId="46D4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center"/>
          </w:tcPr>
          <w:p w14:paraId="738A4294">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554" w:type="dxa"/>
            <w:vAlign w:val="center"/>
          </w:tcPr>
          <w:p w14:paraId="00616235">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杭州国际博览中心北辰大酒店</w:t>
            </w:r>
          </w:p>
        </w:tc>
        <w:tc>
          <w:tcPr>
            <w:tcW w:w="1985" w:type="dxa"/>
            <w:vAlign w:val="center"/>
          </w:tcPr>
          <w:p w14:paraId="43980F3B">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灭鼠、灭蚊、灭蝇、灭蟑、其他消毒等</w:t>
            </w:r>
          </w:p>
        </w:tc>
        <w:tc>
          <w:tcPr>
            <w:tcW w:w="3260" w:type="dxa"/>
            <w:vAlign w:val="center"/>
          </w:tcPr>
          <w:p w14:paraId="0EA570AE">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3.9万平方米</w:t>
            </w:r>
          </w:p>
        </w:tc>
      </w:tr>
      <w:tr w14:paraId="3CA1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center"/>
          </w:tcPr>
          <w:p w14:paraId="05EDCC9E">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554" w:type="dxa"/>
            <w:vAlign w:val="center"/>
          </w:tcPr>
          <w:p w14:paraId="404571BA">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万丽酒店</w:t>
            </w:r>
          </w:p>
        </w:tc>
        <w:tc>
          <w:tcPr>
            <w:tcW w:w="1985" w:type="dxa"/>
            <w:vAlign w:val="center"/>
          </w:tcPr>
          <w:p w14:paraId="654B7F35">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灭鼠、灭蚊、灭蝇、灭蟑、其他消毒等</w:t>
            </w:r>
          </w:p>
        </w:tc>
        <w:tc>
          <w:tcPr>
            <w:tcW w:w="3260" w:type="dxa"/>
            <w:vAlign w:val="center"/>
          </w:tcPr>
          <w:p w14:paraId="3B5A4A40">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6.1万平方米</w:t>
            </w:r>
          </w:p>
        </w:tc>
      </w:tr>
      <w:tr w14:paraId="5C9E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1" w:type="dxa"/>
            <w:gridSpan w:val="3"/>
            <w:vAlign w:val="center"/>
          </w:tcPr>
          <w:p w14:paraId="56F3FF50">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3260" w:type="dxa"/>
            <w:vAlign w:val="center"/>
          </w:tcPr>
          <w:p w14:paraId="1542C393">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131万平方米</w:t>
            </w:r>
          </w:p>
        </w:tc>
      </w:tr>
    </w:tbl>
    <w:p w14:paraId="457EB701">
      <w:pPr>
        <w:keepNext w:val="0"/>
        <w:keepLines w:val="0"/>
        <w:pageBreakBefore w:val="0"/>
        <w:numPr>
          <w:ilvl w:val="0"/>
          <w:numId w:val="0"/>
        </w:numPr>
        <w:kinsoku/>
        <w:wordWrap/>
        <w:overflowPunct/>
        <w:topLinePunct w:val="0"/>
        <w:bidi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lang w:val="en-US" w:eastAsia="zh-CN" w:bidi="ar-SA"/>
        </w:rPr>
        <w:t>2、</w:t>
      </w:r>
      <w:r>
        <w:rPr>
          <w:rFonts w:hint="eastAsia" w:ascii="仿宋" w:hAnsi="仿宋" w:eastAsia="仿宋" w:cs="仿宋"/>
          <w:b/>
          <w:bCs/>
          <w:color w:val="auto"/>
          <w:sz w:val="24"/>
          <w:szCs w:val="24"/>
          <w:highlight w:val="none"/>
          <w:lang w:val="en-US" w:eastAsia="zh-CN"/>
        </w:rPr>
        <w:t>服务方式</w:t>
      </w:r>
    </w:p>
    <w:p w14:paraId="353F7E79">
      <w:pPr>
        <w:keepNext w:val="0"/>
        <w:keepLines w:val="0"/>
        <w:pageBreakBefore w:val="0"/>
        <w:numPr>
          <w:ilvl w:val="0"/>
          <w:numId w:val="0"/>
        </w:numPr>
        <w:kinsoku/>
        <w:wordWrap/>
        <w:overflowPunct/>
        <w:topLinePunct w:val="0"/>
        <w:bidi w:val="0"/>
        <w:snapToGrid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服务商以包工、包料方式承接杭州国际博览中心委托的害虫消杀作业，服务商进行作业所用的专用机械、工具及各种杀虫剂及其它耗材等物品均自行负责提供。</w:t>
      </w:r>
    </w:p>
    <w:p w14:paraId="036883B0">
      <w:pPr>
        <w:keepNext w:val="0"/>
        <w:keepLines w:val="0"/>
        <w:pageBreakBefore w:val="0"/>
        <w:numPr>
          <w:ilvl w:val="0"/>
          <w:numId w:val="2"/>
        </w:numPr>
        <w:kinsoku/>
        <w:wordWrap/>
        <w:overflowPunct/>
        <w:topLinePunct w:val="0"/>
        <w:bidi w:val="0"/>
        <w:snapToGrid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质量控制要求</w:t>
      </w:r>
    </w:p>
    <w:p w14:paraId="6656BB23">
      <w:pPr>
        <w:pStyle w:val="973"/>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鼠类密度控制水平应符合GB/T 27770中单位鼠类密度控制水平的A类。蚊虫密度控制水平应符合GB/T 27771中单位蚊虫密度控制水平的A类。蝇类密度控制水平应符合GB/T 27772中单位蝇类密度控制水平的A类。蜚蠊密度控制水平应符合GB/T 27773中单位蜚蠊密度控制水平的A类。</w:t>
      </w:r>
    </w:p>
    <w:p w14:paraId="736E9E1A">
      <w:pPr>
        <w:keepNext w:val="0"/>
        <w:keepLines w:val="0"/>
        <w:pageBreakBefore w:val="0"/>
        <w:numPr>
          <w:ilvl w:val="0"/>
          <w:numId w:val="0"/>
        </w:numPr>
        <w:kinsoku/>
        <w:wordWrap/>
        <w:overflowPunct/>
        <w:topLinePunct w:val="0"/>
        <w:bidi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4、</w:t>
      </w:r>
      <w:r>
        <w:rPr>
          <w:rFonts w:hint="eastAsia" w:ascii="仿宋" w:hAnsi="仿宋" w:eastAsia="仿宋" w:cs="仿宋"/>
          <w:color w:val="000000"/>
          <w:sz w:val="24"/>
          <w:szCs w:val="24"/>
        </w:rPr>
        <w:t>消杀作业要求：</w:t>
      </w:r>
    </w:p>
    <w:p w14:paraId="3156BA56">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应符合国家病媒生物防治要求，防治应达到A类水平，病媒生物防治作业应每日进行（含节假日），每日防治消杀时间不低于8小时，每日消杀人员3-4人（含项目负责人1人）</w:t>
      </w:r>
    </w:p>
    <w:p w14:paraId="4D7E9A46">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服务商人员必须着统一工作服和佩戴相关证件，遵守杭州国际博览中心相关的管理规定，接受杭州国际博览中心管理人员的监督检查，做到安全操作。</w:t>
      </w:r>
    </w:p>
    <w:p w14:paraId="66972B16">
      <w:pPr>
        <w:keepNext w:val="0"/>
        <w:keepLines w:val="0"/>
        <w:pageBreakBefore w:val="0"/>
        <w:numPr>
          <w:ilvl w:val="0"/>
          <w:numId w:val="0"/>
        </w:numPr>
        <w:kinsoku/>
        <w:wordWrap/>
        <w:overflowPunct/>
        <w:topLinePunct w:val="0"/>
        <w:bidi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5、</w:t>
      </w:r>
      <w:r>
        <w:rPr>
          <w:rFonts w:hint="eastAsia" w:ascii="仿宋" w:hAnsi="仿宋" w:eastAsia="仿宋" w:cs="仿宋"/>
          <w:color w:val="000000"/>
          <w:sz w:val="24"/>
          <w:szCs w:val="24"/>
        </w:rPr>
        <w:t>验收质量考核：</w:t>
      </w:r>
    </w:p>
    <w:p w14:paraId="4C2F7FAD">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杭州国际博览中心应对服务商害虫消杀作业、设施、设备进行检查，出具质检考核表、每月汇总，其它特殊情况沟通为准。</w:t>
      </w:r>
    </w:p>
    <w:p w14:paraId="51FA38FC">
      <w:pPr>
        <w:keepNext w:val="0"/>
        <w:keepLines w:val="0"/>
        <w:pageBreakBefore w:val="0"/>
        <w:numPr>
          <w:ilvl w:val="0"/>
          <w:numId w:val="0"/>
        </w:numPr>
        <w:kinsoku/>
        <w:wordWrap/>
        <w:overflowPunct/>
        <w:topLinePunct w:val="0"/>
        <w:bidi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6、</w:t>
      </w:r>
      <w:r>
        <w:rPr>
          <w:rFonts w:hint="eastAsia" w:ascii="仿宋" w:hAnsi="仿宋" w:eastAsia="仿宋" w:cs="仿宋"/>
          <w:color w:val="000000"/>
          <w:sz w:val="24"/>
          <w:szCs w:val="24"/>
        </w:rPr>
        <w:t>HACCP体系管理要求：</w:t>
      </w:r>
    </w:p>
    <w:p w14:paraId="4A7B1CA0">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根据企业HACCP体系管理要求，病媒生物防治公司需具备病媒生物A类资质，公共安全责任险；从业人员专业上岗证、健康证；使用消杀药剂的农药登记证、农药生产许可证。</w:t>
      </w:r>
    </w:p>
    <w:p w14:paraId="794C2AAC">
      <w:pPr>
        <w:keepNext w:val="0"/>
        <w:keepLines w:val="0"/>
        <w:pageBreakBefore w:val="0"/>
        <w:numPr>
          <w:ilvl w:val="0"/>
          <w:numId w:val="0"/>
        </w:numPr>
        <w:kinsoku/>
        <w:wordWrap/>
        <w:overflowPunct/>
        <w:topLinePunct w:val="0"/>
        <w:bidi w:val="0"/>
        <w:snapToGrid w:val="0"/>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需提供全年消杀药剂及耗材清单；鼠盒、蚊蝇布置分布图；消杀月度工作总结及下月计划；消杀考核标准；消杀作业活动登记表；PCO服务单（每日）等。</w:t>
      </w:r>
    </w:p>
    <w:p w14:paraId="3FDE0FD1">
      <w:pPr>
        <w:numPr>
          <w:ilvl w:val="0"/>
          <w:numId w:val="0"/>
        </w:numPr>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lang w:val="en-US" w:eastAsia="zh-CN" w:bidi="ar-SA"/>
        </w:rPr>
        <w:t>二</w:t>
      </w:r>
      <w:r>
        <w:rPr>
          <w:rFonts w:hint="eastAsia" w:ascii="仿宋" w:hAnsi="仿宋" w:eastAsia="仿宋" w:cs="仿宋"/>
          <w:b/>
          <w:bCs/>
          <w:color w:val="auto"/>
          <w:sz w:val="24"/>
          <w:szCs w:val="24"/>
          <w:highlight w:val="none"/>
        </w:rPr>
        <w:t>、商务需求</w:t>
      </w:r>
    </w:p>
    <w:p w14:paraId="48B24211">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2.1服务期：</w:t>
      </w:r>
      <w:r>
        <w:rPr>
          <w:rFonts w:hint="eastAsia" w:ascii="仿宋" w:hAnsi="仿宋" w:eastAsia="仿宋" w:cs="仿宋"/>
          <w:color w:val="000000"/>
          <w:sz w:val="24"/>
          <w:szCs w:val="24"/>
          <w:highlight w:val="none"/>
          <w:lang w:val="en-US" w:eastAsia="zh-CN"/>
        </w:rPr>
        <w:t>服务期：3年。如中标人在服务期内违反合同约定，经考核不合格，招标人有权提前终止合同。</w:t>
      </w:r>
    </w:p>
    <w:p w14:paraId="008B25B6">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2.2服务地点：采购人指定地点。</w:t>
      </w:r>
    </w:p>
    <w:p w14:paraId="4008C2F5">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2.3</w:t>
      </w:r>
      <w:r>
        <w:rPr>
          <w:rFonts w:hint="eastAsia" w:ascii="仿宋" w:hAnsi="仿宋" w:eastAsia="仿宋" w:cs="仿宋"/>
          <w:b/>
          <w:bCs/>
          <w:color w:val="000000"/>
          <w:sz w:val="24"/>
          <w:szCs w:val="24"/>
          <w:highlight w:val="none"/>
        </w:rPr>
        <w:t>付款方式：</w:t>
      </w:r>
      <w:r>
        <w:rPr>
          <w:rFonts w:hint="eastAsia" w:ascii="仿宋" w:hAnsi="仿宋" w:eastAsia="仿宋" w:cs="仿宋"/>
          <w:color w:val="000000"/>
          <w:sz w:val="24"/>
          <w:szCs w:val="24"/>
          <w:highlight w:val="none"/>
          <w:lang w:val="zh-CN"/>
        </w:rPr>
        <w:t>付款方式为先服务后支付，根据采购人对中标人的</w:t>
      </w:r>
      <w:r>
        <w:rPr>
          <w:rFonts w:hint="eastAsia" w:ascii="仿宋" w:hAnsi="仿宋" w:eastAsia="仿宋" w:cs="仿宋"/>
          <w:color w:val="000000"/>
          <w:sz w:val="24"/>
          <w:szCs w:val="24"/>
          <w:highlight w:val="none"/>
        </w:rPr>
        <w:t>服务</w:t>
      </w:r>
      <w:r>
        <w:rPr>
          <w:rFonts w:hint="eastAsia" w:ascii="仿宋" w:hAnsi="仿宋" w:eastAsia="仿宋" w:cs="仿宋"/>
          <w:color w:val="000000"/>
          <w:sz w:val="24"/>
          <w:szCs w:val="24"/>
          <w:highlight w:val="none"/>
          <w:lang w:val="zh-CN"/>
        </w:rPr>
        <w:t>考核后按季度支付，支付时间为下季度初（遇节假日顺延），最后一个季度的服务费用在合同期满后结算支付。</w:t>
      </w:r>
    </w:p>
    <w:p w14:paraId="4A9ABEE5">
      <w:pPr>
        <w:spacing w:line="360" w:lineRule="auto"/>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w:t>
      </w:r>
    </w:p>
    <w:p w14:paraId="5AD64895">
      <w:pPr>
        <w:pStyle w:val="131"/>
        <w:snapToGrid w:val="0"/>
        <w:spacing w:before="0"/>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1、除标注的参考品牌外，欢迎其它能满足本项目技术需求且性能与所注品牌相当的产品参与。</w:t>
      </w:r>
    </w:p>
    <w:p w14:paraId="69AB5B5C">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2、如有附图，仅作参考。</w:t>
      </w:r>
    </w:p>
    <w:p w14:paraId="6DDCD374">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3、打▲内容为实质性要求，不允许有负偏离，否则将以涉及无效响应条款作无效响应。</w:t>
      </w:r>
    </w:p>
    <w:p w14:paraId="4BA8ECB8">
      <w:pPr>
        <w:pStyle w:val="131"/>
        <w:snapToGrid w:val="0"/>
        <w:spacing w:before="0"/>
        <w:ind w:firstLine="480"/>
        <w:jc w:val="center"/>
        <w:rPr>
          <w:rFonts w:hint="eastAsia" w:ascii="仿宋" w:hAnsi="仿宋" w:eastAsia="仿宋" w:cs="仿宋"/>
          <w:color w:val="auto"/>
          <w:sz w:val="32"/>
          <w:szCs w:val="32"/>
          <w:highlight w:val="none"/>
        </w:rPr>
      </w:pPr>
      <w:r>
        <w:rPr>
          <w:rFonts w:hint="eastAsia" w:ascii="仿宋" w:hAnsi="仿宋" w:eastAsia="仿宋" w:cs="仿宋"/>
          <w:color w:val="auto"/>
          <w:highlight w:val="none"/>
        </w:rPr>
        <w:t>4、成交人所提供的货物、服务须与响应承诺一致，不得以次充好、偷工减料，若在项目验收中发现有上述情况，将向有关部门举报，根据相关规定进行处理。</w:t>
      </w:r>
      <w:r>
        <w:rPr>
          <w:rFonts w:hint="eastAsia" w:ascii="仿宋" w:hAnsi="仿宋" w:eastAsia="仿宋" w:cs="仿宋"/>
          <w:color w:val="auto"/>
          <w:szCs w:val="24"/>
          <w:highlight w:val="none"/>
        </w:rPr>
        <w:br w:type="page"/>
      </w:r>
      <w:bookmarkEnd w:id="18"/>
      <w:r>
        <w:rPr>
          <w:rFonts w:hint="eastAsia" w:ascii="仿宋" w:hAnsi="仿宋" w:eastAsia="仿宋" w:cs="仿宋"/>
          <w:color w:val="auto"/>
          <w:sz w:val="32"/>
          <w:szCs w:val="32"/>
          <w:highlight w:val="none"/>
        </w:rPr>
        <w:t xml:space="preserve">第四部分   </w:t>
      </w:r>
      <w:bookmarkStart w:id="19" w:name="_Toc184314468"/>
      <w:bookmarkEnd w:id="19"/>
      <w:bookmarkStart w:id="20" w:name="_Toc184314476"/>
      <w:bookmarkEnd w:id="20"/>
      <w:bookmarkStart w:id="21" w:name="_Toc184314411"/>
      <w:bookmarkEnd w:id="21"/>
      <w:bookmarkStart w:id="22" w:name="_Toc184313248"/>
      <w:bookmarkEnd w:id="22"/>
      <w:bookmarkStart w:id="23" w:name="_Toc184310285"/>
      <w:bookmarkEnd w:id="23"/>
      <w:bookmarkStart w:id="24" w:name="_Toc184313300"/>
      <w:bookmarkEnd w:id="24"/>
      <w:bookmarkStart w:id="25" w:name="_Toc184314471"/>
      <w:bookmarkEnd w:id="25"/>
      <w:bookmarkStart w:id="26" w:name="_Toc184310327"/>
      <w:bookmarkEnd w:id="26"/>
      <w:bookmarkStart w:id="27" w:name="_Toc184308037"/>
      <w:bookmarkEnd w:id="27"/>
      <w:bookmarkStart w:id="28" w:name="_Toc184312090"/>
      <w:bookmarkEnd w:id="28"/>
      <w:bookmarkStart w:id="29" w:name="_Toc184310337"/>
      <w:bookmarkEnd w:id="29"/>
      <w:bookmarkStart w:id="30" w:name="_Toc184313295"/>
      <w:bookmarkEnd w:id="30"/>
      <w:bookmarkStart w:id="31" w:name="_Toc184310296"/>
      <w:bookmarkEnd w:id="31"/>
      <w:bookmarkStart w:id="32" w:name="_Toc184308048"/>
      <w:bookmarkEnd w:id="32"/>
      <w:bookmarkStart w:id="33" w:name="_Toc184308096"/>
      <w:bookmarkEnd w:id="33"/>
      <w:bookmarkStart w:id="34" w:name="_Toc184308063"/>
      <w:bookmarkEnd w:id="34"/>
      <w:bookmarkStart w:id="35" w:name="_Toc184314449"/>
      <w:bookmarkEnd w:id="35"/>
      <w:bookmarkStart w:id="36" w:name="_Toc184313238"/>
      <w:bookmarkEnd w:id="36"/>
      <w:bookmarkStart w:id="37" w:name="_Toc184312086"/>
      <w:bookmarkEnd w:id="37"/>
      <w:bookmarkStart w:id="38" w:name="_Toc184308072"/>
      <w:bookmarkEnd w:id="38"/>
      <w:bookmarkStart w:id="39" w:name="_Toc184312101"/>
      <w:bookmarkEnd w:id="39"/>
      <w:bookmarkStart w:id="40" w:name="_Toc184313249"/>
      <w:bookmarkEnd w:id="40"/>
      <w:bookmarkStart w:id="41" w:name="_Toc184310305"/>
      <w:bookmarkEnd w:id="41"/>
      <w:bookmarkStart w:id="42" w:name="_Toc184314459"/>
      <w:bookmarkEnd w:id="42"/>
      <w:bookmarkStart w:id="43" w:name="_Toc184308045"/>
      <w:bookmarkEnd w:id="43"/>
      <w:bookmarkStart w:id="44" w:name="_Toc184313308"/>
      <w:bookmarkEnd w:id="44"/>
      <w:bookmarkStart w:id="45" w:name="_Toc184308093"/>
      <w:bookmarkEnd w:id="45"/>
      <w:bookmarkStart w:id="46" w:name="_Toc184308041"/>
      <w:bookmarkEnd w:id="46"/>
      <w:bookmarkStart w:id="47" w:name="_Toc184312084"/>
      <w:bookmarkEnd w:id="47"/>
      <w:bookmarkStart w:id="48" w:name="_Toc184308073"/>
      <w:bookmarkEnd w:id="48"/>
      <w:bookmarkStart w:id="49" w:name="_Toc184310308"/>
      <w:bookmarkEnd w:id="49"/>
      <w:bookmarkStart w:id="50" w:name="_Toc184310336"/>
      <w:bookmarkEnd w:id="50"/>
      <w:bookmarkStart w:id="51" w:name="_Toc184310304"/>
      <w:bookmarkEnd w:id="51"/>
      <w:bookmarkStart w:id="52" w:name="_Toc184312108"/>
      <w:bookmarkEnd w:id="52"/>
      <w:bookmarkStart w:id="53" w:name="_Toc184310312"/>
      <w:bookmarkEnd w:id="53"/>
      <w:bookmarkStart w:id="54" w:name="_Toc184312082"/>
      <w:bookmarkEnd w:id="54"/>
      <w:bookmarkStart w:id="55" w:name="_Toc184312068"/>
      <w:bookmarkEnd w:id="55"/>
      <w:bookmarkStart w:id="56" w:name="_Toc184314416"/>
      <w:bookmarkEnd w:id="56"/>
      <w:bookmarkStart w:id="57" w:name="_Toc184312075"/>
      <w:bookmarkEnd w:id="57"/>
      <w:bookmarkStart w:id="58" w:name="_Toc184310288"/>
      <w:bookmarkEnd w:id="58"/>
      <w:bookmarkStart w:id="59" w:name="_Toc184310274"/>
      <w:bookmarkEnd w:id="59"/>
      <w:bookmarkStart w:id="60" w:name="_Toc184314447"/>
      <w:bookmarkEnd w:id="60"/>
      <w:bookmarkStart w:id="61" w:name="_Toc184313288"/>
      <w:bookmarkEnd w:id="61"/>
      <w:bookmarkStart w:id="62" w:name="_Toc184314436"/>
      <w:bookmarkEnd w:id="62"/>
      <w:bookmarkStart w:id="63" w:name="_Toc184312087"/>
      <w:bookmarkEnd w:id="63"/>
      <w:bookmarkStart w:id="64" w:name="_Toc184312081"/>
      <w:bookmarkEnd w:id="64"/>
      <w:bookmarkStart w:id="65" w:name="_Toc184313307"/>
      <w:bookmarkEnd w:id="65"/>
      <w:bookmarkStart w:id="66" w:name="_Toc184312128"/>
      <w:bookmarkEnd w:id="66"/>
      <w:bookmarkStart w:id="67" w:name="_Toc184313286"/>
      <w:bookmarkEnd w:id="67"/>
      <w:bookmarkStart w:id="68" w:name="_Toc184308091"/>
      <w:bookmarkEnd w:id="68"/>
      <w:bookmarkStart w:id="69" w:name="_Toc184314448"/>
      <w:bookmarkEnd w:id="69"/>
      <w:bookmarkStart w:id="70" w:name="_Toc184308094"/>
      <w:bookmarkEnd w:id="70"/>
      <w:bookmarkStart w:id="71" w:name="_Toc184310315"/>
      <w:bookmarkEnd w:id="71"/>
      <w:bookmarkStart w:id="72" w:name="_Toc184313251"/>
      <w:bookmarkEnd w:id="72"/>
      <w:bookmarkStart w:id="73" w:name="_Toc184310272"/>
      <w:bookmarkEnd w:id="73"/>
      <w:bookmarkStart w:id="74" w:name="_Toc184310294"/>
      <w:bookmarkEnd w:id="74"/>
      <w:bookmarkStart w:id="75" w:name="_Toc184310276"/>
      <w:bookmarkEnd w:id="75"/>
      <w:bookmarkStart w:id="76" w:name="_Toc184310311"/>
      <w:bookmarkEnd w:id="76"/>
      <w:bookmarkStart w:id="77" w:name="_Toc184313277"/>
      <w:bookmarkEnd w:id="77"/>
      <w:bookmarkStart w:id="78" w:name="_Toc184310316"/>
      <w:bookmarkEnd w:id="78"/>
      <w:bookmarkStart w:id="79" w:name="_Toc184312111"/>
      <w:bookmarkEnd w:id="79"/>
      <w:bookmarkStart w:id="80" w:name="_Toc184314467"/>
      <w:bookmarkEnd w:id="80"/>
      <w:bookmarkStart w:id="81" w:name="_Toc184312103"/>
      <w:bookmarkEnd w:id="81"/>
      <w:bookmarkStart w:id="82" w:name="_Toc184308039"/>
      <w:bookmarkEnd w:id="82"/>
      <w:bookmarkStart w:id="83" w:name="_Toc184308078"/>
      <w:bookmarkEnd w:id="83"/>
      <w:bookmarkStart w:id="84" w:name="_Toc184312139"/>
      <w:bookmarkEnd w:id="84"/>
      <w:bookmarkStart w:id="85" w:name="_Toc184314445"/>
      <w:bookmarkEnd w:id="85"/>
      <w:bookmarkStart w:id="86" w:name="_Toc184312131"/>
      <w:bookmarkEnd w:id="86"/>
      <w:bookmarkStart w:id="87" w:name="_Toc184314478"/>
      <w:bookmarkEnd w:id="87"/>
      <w:bookmarkStart w:id="88" w:name="_Toc184308105"/>
      <w:bookmarkEnd w:id="88"/>
      <w:bookmarkStart w:id="89" w:name="_Toc184312085"/>
      <w:bookmarkEnd w:id="89"/>
      <w:bookmarkStart w:id="90" w:name="_Toc184308099"/>
      <w:bookmarkEnd w:id="90"/>
      <w:bookmarkStart w:id="91" w:name="_Toc184310309"/>
      <w:bookmarkEnd w:id="91"/>
      <w:bookmarkStart w:id="92" w:name="_Toc184314461"/>
      <w:bookmarkEnd w:id="92"/>
      <w:bookmarkStart w:id="93" w:name="_Toc184314469"/>
      <w:bookmarkEnd w:id="93"/>
      <w:bookmarkStart w:id="94" w:name="_Toc184313268"/>
      <w:bookmarkEnd w:id="94"/>
      <w:bookmarkStart w:id="95" w:name="_Toc184308074"/>
      <w:bookmarkEnd w:id="95"/>
      <w:bookmarkStart w:id="96" w:name="_Toc184313243"/>
      <w:bookmarkEnd w:id="96"/>
      <w:bookmarkStart w:id="97" w:name="_Toc184314420"/>
      <w:bookmarkEnd w:id="97"/>
      <w:bookmarkStart w:id="98" w:name="_Toc184310293"/>
      <w:bookmarkEnd w:id="98"/>
      <w:bookmarkStart w:id="99" w:name="_Toc184312122"/>
      <w:bookmarkEnd w:id="99"/>
      <w:bookmarkStart w:id="100" w:name="_Toc184310283"/>
      <w:bookmarkEnd w:id="100"/>
      <w:bookmarkStart w:id="101" w:name="_Toc184314474"/>
      <w:bookmarkEnd w:id="101"/>
      <w:bookmarkStart w:id="102" w:name="_Toc184314456"/>
      <w:bookmarkEnd w:id="102"/>
      <w:bookmarkStart w:id="103" w:name="_Toc184310290"/>
      <w:bookmarkEnd w:id="103"/>
      <w:bookmarkStart w:id="104" w:name="_Toc184314423"/>
      <w:bookmarkEnd w:id="104"/>
      <w:bookmarkStart w:id="105" w:name="_Toc184314435"/>
      <w:bookmarkEnd w:id="105"/>
      <w:bookmarkStart w:id="106" w:name="_Toc184314425"/>
      <w:bookmarkEnd w:id="106"/>
      <w:bookmarkStart w:id="107" w:name="_Toc184313262"/>
      <w:bookmarkEnd w:id="107"/>
      <w:bookmarkStart w:id="108" w:name="_Toc184312076"/>
      <w:bookmarkEnd w:id="108"/>
      <w:bookmarkStart w:id="109" w:name="_Toc184314453"/>
      <w:bookmarkEnd w:id="109"/>
      <w:bookmarkStart w:id="110" w:name="_Toc184308103"/>
      <w:bookmarkEnd w:id="110"/>
      <w:bookmarkStart w:id="111" w:name="_Toc184312135"/>
      <w:bookmarkEnd w:id="111"/>
      <w:bookmarkStart w:id="112" w:name="_Toc184310317"/>
      <w:bookmarkEnd w:id="112"/>
      <w:bookmarkStart w:id="113" w:name="_Toc184313309"/>
      <w:bookmarkEnd w:id="113"/>
      <w:bookmarkStart w:id="114" w:name="_Toc184312134"/>
      <w:bookmarkEnd w:id="114"/>
      <w:bookmarkStart w:id="115" w:name="_Toc184312069"/>
      <w:bookmarkEnd w:id="115"/>
      <w:bookmarkStart w:id="116" w:name="_Toc184313282"/>
      <w:bookmarkEnd w:id="116"/>
      <w:bookmarkStart w:id="117" w:name="_Toc184313259"/>
      <w:bookmarkEnd w:id="117"/>
      <w:bookmarkStart w:id="118" w:name="_Toc184308076"/>
      <w:bookmarkEnd w:id="118"/>
      <w:bookmarkStart w:id="119" w:name="_Toc184314463"/>
      <w:bookmarkEnd w:id="119"/>
      <w:bookmarkStart w:id="120" w:name="_Toc184312125"/>
      <w:bookmarkEnd w:id="120"/>
      <w:bookmarkStart w:id="121" w:name="_Toc184310314"/>
      <w:bookmarkEnd w:id="121"/>
      <w:bookmarkStart w:id="122" w:name="_Toc184308095"/>
      <w:bookmarkEnd w:id="122"/>
      <w:bookmarkStart w:id="123" w:name="_Toc184310297"/>
      <w:bookmarkEnd w:id="123"/>
      <w:bookmarkStart w:id="124" w:name="_Toc184313241"/>
      <w:bookmarkEnd w:id="124"/>
      <w:bookmarkStart w:id="125" w:name="_Toc184313260"/>
      <w:bookmarkEnd w:id="125"/>
      <w:bookmarkStart w:id="126" w:name="_Toc184310306"/>
      <w:bookmarkEnd w:id="126"/>
      <w:bookmarkStart w:id="127" w:name="_Toc184308107"/>
      <w:bookmarkEnd w:id="127"/>
      <w:bookmarkStart w:id="128" w:name="_Toc184312107"/>
      <w:bookmarkEnd w:id="128"/>
      <w:bookmarkStart w:id="129" w:name="_Toc184313239"/>
      <w:bookmarkEnd w:id="129"/>
      <w:bookmarkStart w:id="130" w:name="_Toc184312100"/>
      <w:bookmarkEnd w:id="130"/>
      <w:bookmarkStart w:id="131" w:name="_Toc184313279"/>
      <w:bookmarkEnd w:id="131"/>
      <w:bookmarkStart w:id="132" w:name="_Toc184308057"/>
      <w:bookmarkEnd w:id="132"/>
      <w:bookmarkStart w:id="133" w:name="_Toc184314427"/>
      <w:bookmarkEnd w:id="133"/>
      <w:bookmarkStart w:id="134" w:name="_Toc184308090"/>
      <w:bookmarkEnd w:id="134"/>
      <w:bookmarkStart w:id="135" w:name="_Toc184312121"/>
      <w:bookmarkEnd w:id="135"/>
      <w:bookmarkStart w:id="136" w:name="_Toc184314458"/>
      <w:bookmarkEnd w:id="136"/>
      <w:bookmarkStart w:id="137" w:name="_Toc184308066"/>
      <w:bookmarkEnd w:id="137"/>
      <w:bookmarkStart w:id="138" w:name="_Toc184313266"/>
      <w:bookmarkEnd w:id="138"/>
      <w:bookmarkStart w:id="139" w:name="_Toc184314473"/>
      <w:bookmarkEnd w:id="139"/>
      <w:bookmarkStart w:id="140" w:name="_Toc184310329"/>
      <w:bookmarkEnd w:id="140"/>
      <w:bookmarkStart w:id="141" w:name="_Toc184314417"/>
      <w:bookmarkEnd w:id="141"/>
      <w:bookmarkStart w:id="142" w:name="_Toc184310332"/>
      <w:bookmarkEnd w:id="142"/>
      <w:bookmarkStart w:id="143" w:name="_Toc184308087"/>
      <w:bookmarkEnd w:id="143"/>
      <w:bookmarkStart w:id="144" w:name="_Toc184313271"/>
      <w:bookmarkEnd w:id="144"/>
      <w:bookmarkStart w:id="145" w:name="_Toc184312114"/>
      <w:bookmarkEnd w:id="145"/>
      <w:bookmarkStart w:id="146" w:name="_Toc184313245"/>
      <w:bookmarkEnd w:id="146"/>
      <w:bookmarkStart w:id="147" w:name="_Toc184310310"/>
      <w:bookmarkEnd w:id="147"/>
      <w:bookmarkStart w:id="148" w:name="_Toc184310284"/>
      <w:bookmarkEnd w:id="148"/>
      <w:bookmarkStart w:id="149" w:name="_Toc184312089"/>
      <w:bookmarkEnd w:id="149"/>
      <w:bookmarkStart w:id="150" w:name="_Toc184313244"/>
      <w:bookmarkEnd w:id="150"/>
      <w:bookmarkStart w:id="151" w:name="_Toc184313263"/>
      <w:bookmarkEnd w:id="151"/>
      <w:bookmarkStart w:id="152" w:name="_Toc184313256"/>
      <w:bookmarkEnd w:id="152"/>
      <w:bookmarkStart w:id="153" w:name="_Toc184313274"/>
      <w:bookmarkEnd w:id="153"/>
      <w:bookmarkStart w:id="154" w:name="_Toc184313310"/>
      <w:bookmarkEnd w:id="154"/>
      <w:bookmarkStart w:id="155" w:name="_Toc184312120"/>
      <w:bookmarkEnd w:id="155"/>
      <w:bookmarkStart w:id="156" w:name="_Toc184313250"/>
      <w:bookmarkEnd w:id="156"/>
      <w:bookmarkStart w:id="157" w:name="_Toc184312070"/>
      <w:bookmarkEnd w:id="157"/>
      <w:bookmarkStart w:id="158" w:name="_Toc184308079"/>
      <w:bookmarkEnd w:id="158"/>
      <w:bookmarkStart w:id="159" w:name="_Toc184313294"/>
      <w:bookmarkEnd w:id="159"/>
      <w:bookmarkStart w:id="160" w:name="_Toc184314442"/>
      <w:bookmarkEnd w:id="160"/>
      <w:bookmarkStart w:id="161" w:name="_Toc184308061"/>
      <w:bookmarkEnd w:id="161"/>
      <w:bookmarkStart w:id="162" w:name="_Toc184308075"/>
      <w:bookmarkEnd w:id="162"/>
      <w:bookmarkStart w:id="163" w:name="_Toc184313299"/>
      <w:bookmarkEnd w:id="163"/>
      <w:bookmarkStart w:id="164" w:name="_Toc184308062"/>
      <w:bookmarkEnd w:id="164"/>
      <w:bookmarkStart w:id="165" w:name="_Toc184312124"/>
      <w:bookmarkEnd w:id="165"/>
      <w:bookmarkStart w:id="166" w:name="_Toc184310299"/>
      <w:bookmarkEnd w:id="166"/>
      <w:bookmarkStart w:id="167" w:name="_Toc184314432"/>
      <w:bookmarkEnd w:id="167"/>
      <w:bookmarkStart w:id="168" w:name="_Toc184308060"/>
      <w:bookmarkEnd w:id="168"/>
      <w:bookmarkStart w:id="169" w:name="_Toc184308046"/>
      <w:bookmarkEnd w:id="169"/>
      <w:bookmarkStart w:id="170" w:name="_Toc184313269"/>
      <w:bookmarkEnd w:id="170"/>
      <w:bookmarkStart w:id="171" w:name="_Toc184314421"/>
      <w:bookmarkEnd w:id="171"/>
      <w:bookmarkStart w:id="172" w:name="_Toc184310330"/>
      <w:bookmarkEnd w:id="172"/>
      <w:bookmarkStart w:id="173" w:name="_Toc184310298"/>
      <w:bookmarkEnd w:id="173"/>
      <w:bookmarkStart w:id="174" w:name="_Toc184310338"/>
      <w:bookmarkEnd w:id="174"/>
      <w:bookmarkStart w:id="175" w:name="_Toc184313283"/>
      <w:bookmarkEnd w:id="175"/>
      <w:bookmarkStart w:id="176" w:name="_Toc184308102"/>
      <w:bookmarkEnd w:id="176"/>
      <w:bookmarkStart w:id="177" w:name="_Toc184313304"/>
      <w:bookmarkEnd w:id="177"/>
      <w:bookmarkStart w:id="178" w:name="_Toc184312126"/>
      <w:bookmarkEnd w:id="178"/>
      <w:bookmarkStart w:id="179" w:name="_Toc184312118"/>
      <w:bookmarkEnd w:id="179"/>
      <w:bookmarkStart w:id="180" w:name="_Toc184312097"/>
      <w:bookmarkEnd w:id="180"/>
      <w:bookmarkStart w:id="181" w:name="_Toc184308104"/>
      <w:bookmarkEnd w:id="181"/>
      <w:bookmarkStart w:id="182" w:name="_Toc184310307"/>
      <w:bookmarkEnd w:id="182"/>
      <w:bookmarkStart w:id="183" w:name="_Toc184308100"/>
      <w:bookmarkEnd w:id="183"/>
      <w:bookmarkStart w:id="184" w:name="_Toc184308065"/>
      <w:bookmarkEnd w:id="184"/>
      <w:bookmarkStart w:id="185" w:name="_Toc184312123"/>
      <w:bookmarkEnd w:id="185"/>
      <w:bookmarkStart w:id="186" w:name="_Toc184313265"/>
      <w:bookmarkEnd w:id="186"/>
      <w:bookmarkStart w:id="187" w:name="_Toc184310313"/>
      <w:bookmarkEnd w:id="187"/>
      <w:bookmarkStart w:id="188" w:name="_Toc184312093"/>
      <w:bookmarkEnd w:id="188"/>
      <w:bookmarkStart w:id="189" w:name="_Toc184312138"/>
      <w:bookmarkEnd w:id="189"/>
      <w:bookmarkStart w:id="190" w:name="_Toc184312137"/>
      <w:bookmarkEnd w:id="190"/>
      <w:bookmarkStart w:id="191" w:name="_Toc184310331"/>
      <w:bookmarkEnd w:id="191"/>
      <w:bookmarkStart w:id="192" w:name="_Toc184313281"/>
      <w:bookmarkEnd w:id="192"/>
      <w:bookmarkStart w:id="193" w:name="_Toc184314460"/>
      <w:bookmarkEnd w:id="193"/>
      <w:bookmarkStart w:id="194" w:name="_Toc184308058"/>
      <w:bookmarkEnd w:id="194"/>
      <w:bookmarkStart w:id="195" w:name="_Toc184314477"/>
      <w:bookmarkEnd w:id="195"/>
      <w:bookmarkStart w:id="196" w:name="_Toc184314413"/>
      <w:bookmarkEnd w:id="196"/>
      <w:bookmarkStart w:id="197" w:name="_Toc184312116"/>
      <w:bookmarkEnd w:id="197"/>
      <w:bookmarkStart w:id="198" w:name="_Toc184314465"/>
      <w:bookmarkEnd w:id="198"/>
      <w:bookmarkStart w:id="199" w:name="_Toc184308047"/>
      <w:bookmarkEnd w:id="199"/>
      <w:bookmarkStart w:id="200" w:name="_Toc184312071"/>
      <w:bookmarkEnd w:id="200"/>
      <w:bookmarkStart w:id="201" w:name="_Toc184310292"/>
      <w:bookmarkEnd w:id="201"/>
      <w:bookmarkStart w:id="202" w:name="_Toc184312080"/>
      <w:bookmarkEnd w:id="202"/>
      <w:bookmarkStart w:id="203" w:name="_Toc184310318"/>
      <w:bookmarkEnd w:id="203"/>
      <w:bookmarkStart w:id="204" w:name="_Toc184310334"/>
      <w:bookmarkEnd w:id="204"/>
      <w:bookmarkStart w:id="205" w:name="_Toc184312098"/>
      <w:bookmarkEnd w:id="205"/>
      <w:bookmarkStart w:id="206" w:name="_Toc184310343"/>
      <w:bookmarkEnd w:id="206"/>
      <w:bookmarkStart w:id="207" w:name="_Toc184308089"/>
      <w:bookmarkEnd w:id="207"/>
      <w:bookmarkStart w:id="208" w:name="_Toc184314431"/>
      <w:bookmarkEnd w:id="208"/>
      <w:bookmarkStart w:id="209" w:name="_Toc184308056"/>
      <w:bookmarkEnd w:id="209"/>
      <w:bookmarkStart w:id="210" w:name="_Toc184312102"/>
      <w:bookmarkEnd w:id="210"/>
      <w:bookmarkStart w:id="211" w:name="_Toc184314422"/>
      <w:bookmarkEnd w:id="211"/>
      <w:bookmarkStart w:id="212" w:name="_Toc184312106"/>
      <w:bookmarkEnd w:id="212"/>
      <w:bookmarkStart w:id="213" w:name="_Toc184308053"/>
      <w:bookmarkEnd w:id="213"/>
      <w:bookmarkStart w:id="214" w:name="_Toc184308054"/>
      <w:bookmarkEnd w:id="214"/>
      <w:bookmarkStart w:id="215" w:name="_Toc184313264"/>
      <w:bookmarkEnd w:id="215"/>
      <w:bookmarkStart w:id="216" w:name="_Toc184308064"/>
      <w:bookmarkEnd w:id="216"/>
      <w:bookmarkStart w:id="217" w:name="_Toc184312130"/>
      <w:bookmarkEnd w:id="217"/>
      <w:bookmarkStart w:id="218" w:name="_Toc184313255"/>
      <w:bookmarkEnd w:id="218"/>
      <w:bookmarkStart w:id="219" w:name="_Toc184310319"/>
      <w:bookmarkEnd w:id="219"/>
      <w:bookmarkStart w:id="220" w:name="_Toc184308049"/>
      <w:bookmarkEnd w:id="220"/>
      <w:bookmarkStart w:id="221" w:name="_Toc184312129"/>
      <w:bookmarkEnd w:id="221"/>
      <w:bookmarkStart w:id="222" w:name="_Toc184314450"/>
      <w:bookmarkEnd w:id="222"/>
      <w:bookmarkStart w:id="223" w:name="_Toc184314475"/>
      <w:bookmarkEnd w:id="223"/>
      <w:bookmarkStart w:id="224" w:name="_Toc184314446"/>
      <w:bookmarkEnd w:id="224"/>
      <w:bookmarkStart w:id="225" w:name="_Toc184312077"/>
      <w:bookmarkEnd w:id="225"/>
      <w:bookmarkStart w:id="226" w:name="_Toc184313261"/>
      <w:bookmarkEnd w:id="226"/>
      <w:bookmarkStart w:id="227" w:name="_Toc184314437"/>
      <w:bookmarkEnd w:id="227"/>
      <w:bookmarkStart w:id="228" w:name="_Toc184310281"/>
      <w:bookmarkEnd w:id="228"/>
      <w:bookmarkStart w:id="229" w:name="_Toc184312091"/>
      <w:bookmarkEnd w:id="229"/>
      <w:bookmarkStart w:id="230" w:name="_Toc184310301"/>
      <w:bookmarkEnd w:id="230"/>
      <w:bookmarkStart w:id="231" w:name="_Toc184312127"/>
      <w:bookmarkEnd w:id="231"/>
      <w:bookmarkStart w:id="232" w:name="_Toc184310333"/>
      <w:bookmarkEnd w:id="232"/>
      <w:bookmarkStart w:id="233" w:name="_Toc184313270"/>
      <w:bookmarkEnd w:id="233"/>
      <w:bookmarkStart w:id="234" w:name="_Toc184310303"/>
      <w:bookmarkEnd w:id="234"/>
      <w:bookmarkStart w:id="235" w:name="_Toc184314481"/>
      <w:bookmarkEnd w:id="235"/>
      <w:bookmarkStart w:id="236" w:name="_Toc184313276"/>
      <w:bookmarkEnd w:id="236"/>
      <w:bookmarkStart w:id="237" w:name="_Toc184310278"/>
      <w:bookmarkEnd w:id="237"/>
      <w:bookmarkStart w:id="238" w:name="_Toc184314452"/>
      <w:bookmarkEnd w:id="238"/>
      <w:bookmarkStart w:id="239" w:name="_Toc184313273"/>
      <w:bookmarkEnd w:id="239"/>
      <w:bookmarkStart w:id="240" w:name="_Toc184314441"/>
      <w:bookmarkEnd w:id="240"/>
      <w:bookmarkStart w:id="241" w:name="_Toc184310273"/>
      <w:bookmarkEnd w:id="241"/>
      <w:bookmarkStart w:id="242" w:name="_Toc184313297"/>
      <w:bookmarkEnd w:id="242"/>
      <w:bookmarkStart w:id="243" w:name="_Toc184310320"/>
      <w:bookmarkEnd w:id="243"/>
      <w:bookmarkStart w:id="244" w:name="_Toc184308040"/>
      <w:bookmarkEnd w:id="244"/>
      <w:bookmarkStart w:id="245" w:name="_Toc184312073"/>
      <w:bookmarkEnd w:id="245"/>
      <w:bookmarkStart w:id="246" w:name="_Toc184313296"/>
      <w:bookmarkEnd w:id="246"/>
      <w:bookmarkStart w:id="247" w:name="_Toc184308081"/>
      <w:bookmarkEnd w:id="247"/>
      <w:bookmarkStart w:id="248" w:name="_Toc184313306"/>
      <w:bookmarkEnd w:id="248"/>
      <w:bookmarkStart w:id="249" w:name="_Toc184313293"/>
      <w:bookmarkEnd w:id="249"/>
      <w:bookmarkStart w:id="250" w:name="_Toc184310342"/>
      <w:bookmarkEnd w:id="250"/>
      <w:bookmarkStart w:id="251" w:name="_Toc184313247"/>
      <w:bookmarkEnd w:id="251"/>
      <w:bookmarkStart w:id="252" w:name="_Toc184314426"/>
      <w:bookmarkEnd w:id="252"/>
      <w:bookmarkStart w:id="253" w:name="_Toc184310286"/>
      <w:bookmarkEnd w:id="253"/>
      <w:bookmarkStart w:id="254" w:name="_Toc184313252"/>
      <w:bookmarkEnd w:id="254"/>
      <w:bookmarkStart w:id="255" w:name="_Toc184310341"/>
      <w:bookmarkEnd w:id="255"/>
      <w:bookmarkStart w:id="256" w:name="_Toc184310282"/>
      <w:bookmarkEnd w:id="256"/>
      <w:bookmarkStart w:id="257" w:name="_Toc184312096"/>
      <w:bookmarkEnd w:id="257"/>
      <w:bookmarkStart w:id="258" w:name="_Toc184308043"/>
      <w:bookmarkEnd w:id="258"/>
      <w:bookmarkStart w:id="259" w:name="_Toc184308069"/>
      <w:bookmarkEnd w:id="259"/>
      <w:bookmarkStart w:id="260" w:name="_Toc184312083"/>
      <w:bookmarkEnd w:id="260"/>
      <w:bookmarkStart w:id="261" w:name="_Toc184313242"/>
      <w:bookmarkEnd w:id="261"/>
      <w:bookmarkStart w:id="262" w:name="_Toc184314470"/>
      <w:bookmarkEnd w:id="262"/>
      <w:bookmarkStart w:id="263" w:name="_Toc184314443"/>
      <w:bookmarkEnd w:id="263"/>
      <w:bookmarkStart w:id="264" w:name="_Toc184308088"/>
      <w:bookmarkEnd w:id="264"/>
      <w:bookmarkStart w:id="265" w:name="_Toc184314430"/>
      <w:bookmarkEnd w:id="265"/>
      <w:bookmarkStart w:id="266" w:name="_Toc184312119"/>
      <w:bookmarkEnd w:id="266"/>
      <w:bookmarkStart w:id="267" w:name="_Toc184313291"/>
      <w:bookmarkEnd w:id="267"/>
      <w:bookmarkStart w:id="268" w:name="_Toc184314464"/>
      <w:bookmarkEnd w:id="268"/>
      <w:bookmarkStart w:id="269" w:name="_Toc184308067"/>
      <w:bookmarkEnd w:id="269"/>
      <w:bookmarkStart w:id="270" w:name="_Toc184312099"/>
      <w:bookmarkEnd w:id="270"/>
      <w:bookmarkStart w:id="271" w:name="_Toc184314455"/>
      <w:bookmarkEnd w:id="271"/>
      <w:bookmarkStart w:id="272" w:name="_Toc184313285"/>
      <w:bookmarkEnd w:id="272"/>
      <w:bookmarkStart w:id="273" w:name="_Toc184313284"/>
      <w:bookmarkEnd w:id="273"/>
      <w:bookmarkStart w:id="274" w:name="_Toc184313257"/>
      <w:bookmarkEnd w:id="274"/>
      <w:bookmarkStart w:id="275" w:name="_Toc184310302"/>
      <w:bookmarkEnd w:id="275"/>
      <w:bookmarkStart w:id="276" w:name="_Toc184313240"/>
      <w:bookmarkEnd w:id="276"/>
      <w:bookmarkStart w:id="277" w:name="_Toc184310326"/>
      <w:bookmarkEnd w:id="277"/>
      <w:bookmarkStart w:id="278" w:name="_Toc184314472"/>
      <w:bookmarkEnd w:id="278"/>
      <w:bookmarkStart w:id="279" w:name="_Toc184312067"/>
      <w:bookmarkEnd w:id="279"/>
      <w:bookmarkStart w:id="280" w:name="_Toc184313246"/>
      <w:bookmarkEnd w:id="280"/>
      <w:bookmarkStart w:id="281" w:name="_Toc184314444"/>
      <w:bookmarkEnd w:id="281"/>
      <w:bookmarkStart w:id="282" w:name="_Toc184313267"/>
      <w:bookmarkEnd w:id="282"/>
      <w:bookmarkStart w:id="283" w:name="_Toc184312117"/>
      <w:bookmarkEnd w:id="283"/>
      <w:bookmarkStart w:id="284" w:name="_Toc184314418"/>
      <w:bookmarkEnd w:id="284"/>
      <w:bookmarkStart w:id="285" w:name="_Toc184314415"/>
      <w:bookmarkEnd w:id="285"/>
      <w:bookmarkStart w:id="286" w:name="_Toc184312109"/>
      <w:bookmarkEnd w:id="286"/>
      <w:bookmarkStart w:id="287" w:name="_Toc184314434"/>
      <w:bookmarkEnd w:id="287"/>
      <w:bookmarkStart w:id="288" w:name="_Toc184312112"/>
      <w:bookmarkEnd w:id="288"/>
      <w:bookmarkStart w:id="289" w:name="_Toc184308083"/>
      <w:bookmarkEnd w:id="289"/>
      <w:bookmarkStart w:id="290" w:name="_Toc184314433"/>
      <w:bookmarkEnd w:id="290"/>
      <w:bookmarkStart w:id="291" w:name="_Toc184310277"/>
      <w:bookmarkEnd w:id="291"/>
      <w:bookmarkStart w:id="292" w:name="_Toc184310325"/>
      <w:bookmarkEnd w:id="292"/>
      <w:bookmarkStart w:id="293" w:name="_Toc184310344"/>
      <w:bookmarkEnd w:id="293"/>
      <w:bookmarkStart w:id="294" w:name="_Toc184308044"/>
      <w:bookmarkEnd w:id="294"/>
      <w:bookmarkStart w:id="295" w:name="_Toc184313258"/>
      <w:bookmarkEnd w:id="295"/>
      <w:bookmarkStart w:id="296" w:name="_Toc184308084"/>
      <w:bookmarkEnd w:id="296"/>
      <w:bookmarkStart w:id="297" w:name="_Toc184308077"/>
      <w:bookmarkEnd w:id="297"/>
      <w:bookmarkStart w:id="298" w:name="_Toc184308085"/>
      <w:bookmarkEnd w:id="298"/>
      <w:bookmarkStart w:id="299" w:name="_Toc184313301"/>
      <w:bookmarkEnd w:id="299"/>
      <w:bookmarkStart w:id="300" w:name="_Toc184313253"/>
      <w:bookmarkEnd w:id="300"/>
      <w:bookmarkStart w:id="301" w:name="_Toc184314480"/>
      <w:bookmarkEnd w:id="301"/>
      <w:bookmarkStart w:id="302" w:name="_Toc184310275"/>
      <w:bookmarkEnd w:id="302"/>
      <w:bookmarkStart w:id="303" w:name="_Toc184314457"/>
      <w:bookmarkEnd w:id="303"/>
      <w:bookmarkStart w:id="304" w:name="_Toc184308059"/>
      <w:bookmarkEnd w:id="304"/>
      <w:bookmarkStart w:id="305" w:name="_Toc184308055"/>
      <w:bookmarkEnd w:id="305"/>
      <w:bookmarkStart w:id="306" w:name="_Toc184314462"/>
      <w:bookmarkEnd w:id="306"/>
      <w:bookmarkStart w:id="307" w:name="_Toc184314410"/>
      <w:bookmarkEnd w:id="307"/>
      <w:bookmarkStart w:id="308" w:name="_Toc184314451"/>
      <w:bookmarkEnd w:id="308"/>
      <w:bookmarkStart w:id="309" w:name="_Toc184312095"/>
      <w:bookmarkEnd w:id="309"/>
      <w:bookmarkStart w:id="310" w:name="_Toc184312113"/>
      <w:bookmarkEnd w:id="310"/>
      <w:bookmarkStart w:id="311" w:name="_Toc184310280"/>
      <w:bookmarkEnd w:id="311"/>
      <w:bookmarkStart w:id="312" w:name="_Toc184313290"/>
      <w:bookmarkEnd w:id="312"/>
      <w:bookmarkStart w:id="313" w:name="_Toc184308101"/>
      <w:bookmarkEnd w:id="313"/>
      <w:bookmarkStart w:id="314" w:name="_Toc184313254"/>
      <w:bookmarkEnd w:id="314"/>
      <w:bookmarkStart w:id="315" w:name="_Toc184313280"/>
      <w:bookmarkEnd w:id="315"/>
      <w:bookmarkStart w:id="316" w:name="_Toc184310295"/>
      <w:bookmarkEnd w:id="316"/>
      <w:bookmarkStart w:id="317" w:name="_Toc184314454"/>
      <w:bookmarkEnd w:id="317"/>
      <w:bookmarkStart w:id="318" w:name="_Toc184313292"/>
      <w:bookmarkEnd w:id="318"/>
      <w:bookmarkStart w:id="319" w:name="_Toc184312094"/>
      <w:bookmarkEnd w:id="319"/>
      <w:bookmarkStart w:id="320" w:name="_Toc184314412"/>
      <w:bookmarkEnd w:id="320"/>
      <w:bookmarkStart w:id="321" w:name="_Toc184310335"/>
      <w:bookmarkEnd w:id="321"/>
      <w:bookmarkStart w:id="322" w:name="_Toc184312074"/>
      <w:bookmarkEnd w:id="322"/>
      <w:bookmarkStart w:id="323" w:name="_Toc184310323"/>
      <w:bookmarkEnd w:id="323"/>
      <w:bookmarkStart w:id="324" w:name="_Toc184308070"/>
      <w:bookmarkEnd w:id="324"/>
      <w:bookmarkStart w:id="325" w:name="_Toc184312115"/>
      <w:bookmarkEnd w:id="325"/>
      <w:bookmarkStart w:id="326" w:name="_Toc184314419"/>
      <w:bookmarkEnd w:id="326"/>
      <w:bookmarkStart w:id="327" w:name="_Toc184312088"/>
      <w:bookmarkEnd w:id="327"/>
      <w:bookmarkStart w:id="328" w:name="_Toc184313272"/>
      <w:bookmarkEnd w:id="328"/>
      <w:bookmarkStart w:id="329" w:name="_Toc184308036"/>
      <w:bookmarkEnd w:id="329"/>
      <w:bookmarkStart w:id="330" w:name="_Toc184313289"/>
      <w:bookmarkEnd w:id="330"/>
      <w:bookmarkStart w:id="331" w:name="_Toc184308051"/>
      <w:bookmarkEnd w:id="331"/>
      <w:bookmarkStart w:id="332" w:name="_Toc184308071"/>
      <w:bookmarkEnd w:id="332"/>
      <w:bookmarkStart w:id="333" w:name="_Toc184314429"/>
      <w:bookmarkEnd w:id="333"/>
      <w:bookmarkStart w:id="334" w:name="_Toc184313287"/>
      <w:bookmarkEnd w:id="334"/>
      <w:bookmarkStart w:id="335" w:name="_Toc184312072"/>
      <w:bookmarkEnd w:id="335"/>
      <w:bookmarkStart w:id="336" w:name="_Toc184312079"/>
      <w:bookmarkEnd w:id="336"/>
      <w:bookmarkStart w:id="337" w:name="_Toc184313275"/>
      <w:bookmarkEnd w:id="337"/>
      <w:bookmarkStart w:id="338" w:name="_Toc184313305"/>
      <w:bookmarkEnd w:id="338"/>
      <w:bookmarkStart w:id="339" w:name="_Toc184308097"/>
      <w:bookmarkEnd w:id="339"/>
      <w:bookmarkStart w:id="340" w:name="_Toc184310339"/>
      <w:bookmarkEnd w:id="340"/>
      <w:bookmarkStart w:id="341" w:name="_Toc184308038"/>
      <w:bookmarkEnd w:id="341"/>
      <w:bookmarkStart w:id="342" w:name="_Toc184310279"/>
      <w:bookmarkEnd w:id="342"/>
      <w:bookmarkStart w:id="343" w:name="_Toc184314440"/>
      <w:bookmarkEnd w:id="343"/>
      <w:bookmarkStart w:id="344" w:name="_Toc184308092"/>
      <w:bookmarkEnd w:id="344"/>
      <w:bookmarkStart w:id="345" w:name="_Toc184313303"/>
      <w:bookmarkEnd w:id="345"/>
      <w:bookmarkStart w:id="346" w:name="_Toc184314482"/>
      <w:bookmarkEnd w:id="346"/>
      <w:bookmarkStart w:id="347" w:name="_Toc184310322"/>
      <w:bookmarkEnd w:id="347"/>
      <w:bookmarkStart w:id="348" w:name="_Toc184310340"/>
      <w:bookmarkEnd w:id="348"/>
      <w:bookmarkStart w:id="349" w:name="_Toc184312104"/>
      <w:bookmarkEnd w:id="349"/>
      <w:bookmarkStart w:id="350" w:name="_Toc184310291"/>
      <w:bookmarkEnd w:id="350"/>
      <w:bookmarkStart w:id="351" w:name="_Toc184314466"/>
      <w:bookmarkEnd w:id="351"/>
      <w:bookmarkStart w:id="352" w:name="_Toc184308080"/>
      <w:bookmarkEnd w:id="352"/>
      <w:bookmarkStart w:id="353" w:name="_Toc184312136"/>
      <w:bookmarkEnd w:id="353"/>
      <w:bookmarkStart w:id="354" w:name="_Toc184308086"/>
      <w:bookmarkEnd w:id="354"/>
      <w:bookmarkStart w:id="355" w:name="_Toc184308106"/>
      <w:bookmarkEnd w:id="355"/>
      <w:bookmarkStart w:id="356" w:name="_Toc184313278"/>
      <w:bookmarkEnd w:id="356"/>
      <w:bookmarkStart w:id="357" w:name="_Toc184314479"/>
      <w:bookmarkEnd w:id="357"/>
      <w:bookmarkStart w:id="358" w:name="_Toc184308082"/>
      <w:bookmarkEnd w:id="358"/>
      <w:bookmarkStart w:id="359" w:name="_Toc184310300"/>
      <w:bookmarkEnd w:id="359"/>
      <w:bookmarkStart w:id="360" w:name="_Toc184312132"/>
      <w:bookmarkEnd w:id="360"/>
      <w:bookmarkStart w:id="361" w:name="_Toc184312105"/>
      <w:bookmarkEnd w:id="361"/>
      <w:bookmarkStart w:id="362" w:name="_Toc184310287"/>
      <w:bookmarkEnd w:id="362"/>
      <w:bookmarkStart w:id="363" w:name="_Toc184314424"/>
      <w:bookmarkEnd w:id="363"/>
      <w:bookmarkStart w:id="364" w:name="_Toc184308052"/>
      <w:bookmarkEnd w:id="364"/>
      <w:bookmarkStart w:id="365" w:name="_Toc184310328"/>
      <w:bookmarkEnd w:id="365"/>
      <w:bookmarkStart w:id="366" w:name="_Toc184310321"/>
      <w:bookmarkEnd w:id="366"/>
      <w:bookmarkStart w:id="367" w:name="_Toc184308098"/>
      <w:bookmarkEnd w:id="367"/>
      <w:bookmarkStart w:id="368" w:name="_Toc184312133"/>
      <w:bookmarkEnd w:id="368"/>
      <w:bookmarkStart w:id="369" w:name="_Toc184314428"/>
      <w:bookmarkEnd w:id="369"/>
      <w:bookmarkStart w:id="370" w:name="_Toc184308068"/>
      <w:bookmarkEnd w:id="370"/>
      <w:bookmarkStart w:id="371" w:name="_Toc184312092"/>
      <w:bookmarkEnd w:id="371"/>
      <w:bookmarkStart w:id="372" w:name="_Toc184312078"/>
      <w:bookmarkEnd w:id="372"/>
      <w:bookmarkStart w:id="373" w:name="_Toc184314439"/>
      <w:bookmarkEnd w:id="373"/>
      <w:bookmarkStart w:id="374" w:name="_Toc184308050"/>
      <w:bookmarkEnd w:id="374"/>
      <w:bookmarkStart w:id="375" w:name="_Toc184310324"/>
      <w:bookmarkEnd w:id="375"/>
      <w:bookmarkStart w:id="376" w:name="_Toc184308108"/>
      <w:bookmarkEnd w:id="376"/>
      <w:bookmarkStart w:id="377" w:name="_Toc184313298"/>
      <w:bookmarkEnd w:id="377"/>
      <w:bookmarkStart w:id="378" w:name="_Toc184314414"/>
      <w:bookmarkEnd w:id="378"/>
      <w:bookmarkStart w:id="379" w:name="_Toc184313302"/>
      <w:bookmarkEnd w:id="379"/>
      <w:bookmarkStart w:id="380" w:name="_Toc184312110"/>
      <w:bookmarkEnd w:id="380"/>
      <w:bookmarkStart w:id="381" w:name="_Toc184310289"/>
      <w:bookmarkEnd w:id="381"/>
      <w:bookmarkStart w:id="382" w:name="_Toc184314438"/>
      <w:bookmarkEnd w:id="382"/>
      <w:bookmarkStart w:id="383" w:name="_Toc184308042"/>
      <w:bookmarkEnd w:id="383"/>
      <w:r>
        <w:rPr>
          <w:rFonts w:hint="eastAsia" w:ascii="仿宋" w:hAnsi="仿宋" w:eastAsia="仿宋" w:cs="仿宋"/>
          <w:color w:val="auto"/>
          <w:sz w:val="32"/>
          <w:szCs w:val="32"/>
          <w:highlight w:val="none"/>
        </w:rPr>
        <w:t>评标办法</w:t>
      </w:r>
    </w:p>
    <w:p w14:paraId="2A8E381F">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商务技术分</w:t>
      </w:r>
    </w:p>
    <w:tbl>
      <w:tblPr>
        <w:tblStyle w:val="63"/>
        <w:tblW w:w="988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
        <w:gridCol w:w="790"/>
        <w:gridCol w:w="1"/>
        <w:gridCol w:w="790"/>
        <w:gridCol w:w="1021"/>
        <w:gridCol w:w="839"/>
        <w:gridCol w:w="4699"/>
        <w:gridCol w:w="6"/>
        <w:gridCol w:w="795"/>
        <w:gridCol w:w="945"/>
      </w:tblGrid>
      <w:tr w14:paraId="51A7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91" w:type="dxa"/>
            <w:gridSpan w:val="2"/>
            <w:noWrap/>
            <w:vAlign w:val="center"/>
          </w:tcPr>
          <w:p w14:paraId="6EC7F337">
            <w:pPr>
              <w:widowControl/>
              <w:spacing w:line="360" w:lineRule="exact"/>
              <w:jc w:val="center"/>
              <w:rPr>
                <w:rFonts w:hint="eastAsia" w:ascii="仿宋" w:hAnsi="仿宋" w:eastAsia="仿宋" w:cs="仿宋"/>
                <w:color w:val="auto"/>
                <w:kern w:val="0"/>
                <w:sz w:val="24"/>
                <w:highlight w:val="none"/>
              </w:rPr>
            </w:pPr>
          </w:p>
        </w:tc>
        <w:tc>
          <w:tcPr>
            <w:tcW w:w="791" w:type="dxa"/>
            <w:gridSpan w:val="2"/>
            <w:noWrap/>
            <w:vAlign w:val="center"/>
          </w:tcPr>
          <w:p w14:paraId="308BAD7C">
            <w:pPr>
              <w:widowControl/>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6565" w:type="dxa"/>
            <w:gridSpan w:val="4"/>
            <w:noWrap/>
            <w:vAlign w:val="center"/>
          </w:tcPr>
          <w:p w14:paraId="5F34DA13">
            <w:pPr>
              <w:widowControl/>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评分内容和标准</w:t>
            </w:r>
          </w:p>
        </w:tc>
        <w:tc>
          <w:tcPr>
            <w:tcW w:w="795" w:type="dxa"/>
            <w:noWrap/>
            <w:vAlign w:val="center"/>
          </w:tcPr>
          <w:p w14:paraId="7F08D310">
            <w:pPr>
              <w:widowControl/>
              <w:spacing w:line="36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权重</w:t>
            </w:r>
          </w:p>
        </w:tc>
        <w:tc>
          <w:tcPr>
            <w:tcW w:w="945" w:type="dxa"/>
            <w:noWrap/>
            <w:vAlign w:val="center"/>
          </w:tcPr>
          <w:p w14:paraId="1B16F7FD">
            <w:pPr>
              <w:widowControl/>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主客</w:t>
            </w:r>
          </w:p>
          <w:p w14:paraId="2EC26DDA">
            <w:pPr>
              <w:widowControl/>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观</w:t>
            </w:r>
            <w:r>
              <w:rPr>
                <w:rFonts w:hint="eastAsia" w:ascii="仿宋" w:hAnsi="仿宋" w:eastAsia="仿宋" w:cs="仿宋"/>
                <w:color w:val="auto"/>
                <w:kern w:val="0"/>
                <w:sz w:val="24"/>
                <w:highlight w:val="none"/>
              </w:rPr>
              <w:t>分</w:t>
            </w:r>
          </w:p>
        </w:tc>
      </w:tr>
      <w:tr w14:paraId="2D8A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791" w:type="dxa"/>
            <w:gridSpan w:val="2"/>
            <w:vMerge w:val="restart"/>
            <w:shd w:val="clear" w:color="auto" w:fill="auto"/>
            <w:noWrap/>
            <w:vAlign w:val="center"/>
          </w:tcPr>
          <w:p w14:paraId="2B64A0C3">
            <w:pPr>
              <w:widowControl/>
              <w:spacing w:line="36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商务部分</w:t>
            </w:r>
          </w:p>
        </w:tc>
        <w:tc>
          <w:tcPr>
            <w:tcW w:w="791" w:type="dxa"/>
            <w:gridSpan w:val="2"/>
            <w:shd w:val="clear" w:color="auto" w:fill="auto"/>
            <w:noWrap/>
            <w:vAlign w:val="center"/>
          </w:tcPr>
          <w:p w14:paraId="32452F18">
            <w:pPr>
              <w:widowControl/>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6565" w:type="dxa"/>
            <w:gridSpan w:val="4"/>
            <w:shd w:val="clear" w:color="000000" w:fill="FFFFFF" w:themeFill="background1"/>
            <w:noWrap/>
            <w:vAlign w:val="center"/>
          </w:tcPr>
          <w:p w14:paraId="6C280290">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投标人同时具有质量管理体系认证、环境管理体系认证和职业健康安全管理体系认证</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在有效期内</w:t>
            </w:r>
            <w:r>
              <w:rPr>
                <w:rFonts w:hint="eastAsia" w:ascii="仿宋" w:hAnsi="仿宋" w:eastAsia="仿宋" w:cs="仿宋"/>
                <w:color w:val="auto"/>
                <w:sz w:val="24"/>
                <w:highlight w:val="none"/>
                <w:lang w:val="en-US" w:eastAsia="zh-CN"/>
              </w:rPr>
              <w:t>的每个</w:t>
            </w:r>
            <w:r>
              <w:rPr>
                <w:rFonts w:hint="eastAsia" w:ascii="仿宋" w:hAnsi="仿宋" w:eastAsia="仿宋" w:cs="仿宋"/>
                <w:color w:val="auto"/>
                <w:sz w:val="24"/>
                <w:highlight w:val="none"/>
              </w:rPr>
              <w:t>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val="en-US" w:eastAsia="zh-CN"/>
              </w:rPr>
              <w:t>最高得3</w:t>
            </w:r>
            <w:r>
              <w:rPr>
                <w:rFonts w:hint="eastAsia" w:ascii="仿宋" w:hAnsi="仿宋" w:eastAsia="仿宋" w:cs="仿宋"/>
                <w:color w:val="auto"/>
                <w:sz w:val="24"/>
                <w:highlight w:val="none"/>
              </w:rPr>
              <w:t>分。</w:t>
            </w:r>
          </w:p>
          <w:p w14:paraId="35D8CD7E">
            <w:pPr>
              <w:widowControl/>
              <w:jc w:val="left"/>
              <w:rPr>
                <w:rFonts w:ascii="仿宋" w:hAnsi="仿宋" w:eastAsia="仿宋" w:cs="仿宋"/>
                <w:color w:val="auto"/>
                <w:sz w:val="24"/>
                <w:highlight w:val="none"/>
              </w:rPr>
            </w:pPr>
            <w:r>
              <w:rPr>
                <w:rFonts w:hint="eastAsia" w:ascii="仿宋" w:hAnsi="仿宋" w:eastAsia="仿宋" w:cs="仿宋"/>
                <w:bCs/>
                <w:color w:val="auto"/>
                <w:sz w:val="24"/>
                <w:highlight w:val="none"/>
              </w:rPr>
              <w:t>注：须提供证书复印件及全国认证认可信息公共服务平台(http://cxcnca.cn)查询网页的截图，否则该项不得分。</w:t>
            </w:r>
          </w:p>
        </w:tc>
        <w:tc>
          <w:tcPr>
            <w:tcW w:w="795" w:type="dxa"/>
            <w:shd w:val="clear" w:color="000000" w:fill="FFFFFF" w:themeFill="background1"/>
            <w:noWrap/>
            <w:vAlign w:val="center"/>
          </w:tcPr>
          <w:p w14:paraId="4A3AD30A">
            <w:pPr>
              <w:widowControl/>
              <w:spacing w:line="280" w:lineRule="exact"/>
              <w:jc w:val="center"/>
              <w:rPr>
                <w:rFonts w:hint="eastAsia" w:ascii="仿宋" w:hAnsi="仿宋" w:eastAsia="仿宋" w:cs="仿宋"/>
                <w:color w:val="auto"/>
                <w:sz w:val="24"/>
                <w:highlight w:val="none"/>
                <w:lang w:eastAsia="zh-CN"/>
              </w:rPr>
            </w:pPr>
            <w:r>
              <w:rPr>
                <w:rFonts w:hint="eastAsia" w:ascii="仿宋" w:hAnsi="仿宋" w:eastAsia="仿宋" w:cs="仿宋"/>
                <w:bCs/>
                <w:color w:val="auto"/>
                <w:kern w:val="0"/>
                <w:sz w:val="24"/>
                <w:highlight w:val="none"/>
                <w:lang w:val="en-US" w:eastAsia="zh-CN"/>
              </w:rPr>
              <w:t>0-</w:t>
            </w:r>
            <w:r>
              <w:rPr>
                <w:rFonts w:hint="eastAsia" w:ascii="仿宋" w:hAnsi="仿宋" w:eastAsia="仿宋" w:cs="仿宋"/>
                <w:color w:val="auto"/>
                <w:sz w:val="24"/>
                <w:highlight w:val="none"/>
                <w:lang w:val="en-US" w:eastAsia="zh-CN"/>
              </w:rPr>
              <w:t>3</w:t>
            </w:r>
          </w:p>
        </w:tc>
        <w:tc>
          <w:tcPr>
            <w:tcW w:w="945" w:type="dxa"/>
            <w:shd w:val="clear" w:color="000000" w:fill="FFFFFF" w:themeFill="background1"/>
            <w:noWrap/>
            <w:vAlign w:val="center"/>
          </w:tcPr>
          <w:p w14:paraId="78DC2801">
            <w:pPr>
              <w:widowControl/>
              <w:spacing w:line="28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客观分</w:t>
            </w:r>
          </w:p>
        </w:tc>
      </w:tr>
      <w:tr w14:paraId="72C5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1" w:type="dxa"/>
            <w:gridSpan w:val="2"/>
            <w:vMerge w:val="continue"/>
            <w:noWrap/>
            <w:vAlign w:val="center"/>
          </w:tcPr>
          <w:p w14:paraId="0F8D0960">
            <w:pPr>
              <w:widowControl/>
              <w:spacing w:line="360" w:lineRule="exact"/>
              <w:jc w:val="center"/>
              <w:rPr>
                <w:rFonts w:hint="eastAsia" w:ascii="仿宋" w:hAnsi="仿宋" w:eastAsia="仿宋" w:cs="仿宋"/>
                <w:color w:val="auto"/>
                <w:kern w:val="0"/>
                <w:sz w:val="24"/>
                <w:highlight w:val="none"/>
              </w:rPr>
            </w:pPr>
          </w:p>
        </w:tc>
        <w:tc>
          <w:tcPr>
            <w:tcW w:w="791" w:type="dxa"/>
            <w:gridSpan w:val="2"/>
            <w:noWrap/>
            <w:vAlign w:val="center"/>
          </w:tcPr>
          <w:p w14:paraId="7A62BEC9">
            <w:pPr>
              <w:widowControl/>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6565" w:type="dxa"/>
            <w:gridSpan w:val="4"/>
            <w:noWrap/>
            <w:vAlign w:val="center"/>
          </w:tcPr>
          <w:p w14:paraId="40BCE3AC">
            <w:pPr>
              <w:widowControl/>
              <w:spacing w:line="2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投标人自202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年1月1日以来具有类似项目的成功案例，每个合同得0.5分，最高得1分（时间以合同签订日期为准，证明材料为合同复印件加盖投标人公章）。</w:t>
            </w:r>
          </w:p>
        </w:tc>
        <w:tc>
          <w:tcPr>
            <w:tcW w:w="795" w:type="dxa"/>
            <w:noWrap/>
            <w:vAlign w:val="center"/>
          </w:tcPr>
          <w:p w14:paraId="400DD221">
            <w:pPr>
              <w:widowControl/>
              <w:spacing w:line="280" w:lineRule="exact"/>
              <w:jc w:val="center"/>
              <w:rPr>
                <w:rFonts w:ascii="仿宋" w:hAnsi="仿宋" w:eastAsia="仿宋" w:cs="仿宋"/>
                <w:color w:val="auto"/>
                <w:sz w:val="24"/>
                <w:highlight w:val="none"/>
              </w:rPr>
            </w:pPr>
            <w:r>
              <w:rPr>
                <w:rFonts w:hint="eastAsia" w:ascii="仿宋" w:hAnsi="仿宋" w:eastAsia="仿宋" w:cs="仿宋"/>
                <w:bCs/>
                <w:color w:val="auto"/>
                <w:kern w:val="0"/>
                <w:sz w:val="24"/>
                <w:highlight w:val="none"/>
                <w:lang w:val="en-US" w:eastAsia="zh-CN"/>
              </w:rPr>
              <w:t>0-</w:t>
            </w:r>
            <w:r>
              <w:rPr>
                <w:rFonts w:hint="eastAsia" w:ascii="仿宋" w:hAnsi="仿宋" w:eastAsia="仿宋" w:cs="仿宋"/>
                <w:color w:val="auto"/>
                <w:sz w:val="24"/>
                <w:highlight w:val="none"/>
              </w:rPr>
              <w:t>1</w:t>
            </w:r>
          </w:p>
        </w:tc>
        <w:tc>
          <w:tcPr>
            <w:tcW w:w="945" w:type="dxa"/>
            <w:noWrap/>
            <w:vAlign w:val="center"/>
          </w:tcPr>
          <w:p w14:paraId="09F18D54">
            <w:pPr>
              <w:adjustRightInd/>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客观分</w:t>
            </w:r>
          </w:p>
        </w:tc>
      </w:tr>
      <w:tr w14:paraId="72C4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466" w:hRule="atLeast"/>
        </w:trPr>
        <w:tc>
          <w:tcPr>
            <w:tcW w:w="791" w:type="dxa"/>
            <w:gridSpan w:val="2"/>
            <w:vMerge w:val="restart"/>
            <w:shd w:val="clear" w:color="auto" w:fill="auto"/>
            <w:noWrap/>
            <w:vAlign w:val="center"/>
          </w:tcPr>
          <w:p w14:paraId="716DE206">
            <w:pPr>
              <w:widowControl/>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技术部分</w:t>
            </w:r>
          </w:p>
        </w:tc>
        <w:tc>
          <w:tcPr>
            <w:tcW w:w="790" w:type="dxa"/>
            <w:shd w:val="clear" w:color="auto" w:fill="auto"/>
            <w:noWrap/>
            <w:vAlign w:val="center"/>
          </w:tcPr>
          <w:p w14:paraId="3A6B8E14">
            <w:pPr>
              <w:widowControl/>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021" w:type="dxa"/>
            <w:shd w:val="clear" w:color="000000" w:fill="FFFFFF"/>
            <w:noWrap/>
            <w:vAlign w:val="center"/>
          </w:tcPr>
          <w:p w14:paraId="3D034196">
            <w:pPr>
              <w:widowControl/>
              <w:spacing w:line="280" w:lineRule="exact"/>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对服务区域的现状了解及分析</w:t>
            </w:r>
          </w:p>
        </w:tc>
        <w:tc>
          <w:tcPr>
            <w:tcW w:w="5538" w:type="dxa"/>
            <w:gridSpan w:val="2"/>
            <w:noWrap/>
            <w:vAlign w:val="center"/>
          </w:tcPr>
          <w:p w14:paraId="53F0D4C7">
            <w:pPr>
              <w:widowControl/>
              <w:spacing w:line="28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对服务区域的认知及潜在重难点分析的针对性进行评分。</w:t>
            </w:r>
          </w:p>
          <w:p w14:paraId="73525675">
            <w:pPr>
              <w:widowControl/>
              <w:spacing w:line="280" w:lineRule="exact"/>
              <w:jc w:val="left"/>
              <w:rPr>
                <w:rFonts w:hint="eastAsia" w:ascii="仿宋" w:hAnsi="仿宋" w:eastAsia="仿宋" w:cs="仿宋"/>
                <w:color w:val="auto"/>
                <w:kern w:val="0"/>
                <w:sz w:val="24"/>
                <w:highlight w:val="none"/>
              </w:rPr>
            </w:pPr>
            <w:r>
              <w:rPr>
                <w:rFonts w:hint="eastAsia" w:ascii="仿宋" w:hAnsi="仿宋" w:eastAsia="仿宋" w:cs="仿宋"/>
                <w:b w:val="0"/>
                <w:color w:val="000000"/>
                <w:sz w:val="24"/>
                <w:highlight w:val="none"/>
              </w:rPr>
              <w:t>方案详细完善的得</w:t>
            </w:r>
            <w:r>
              <w:rPr>
                <w:rFonts w:hint="eastAsia" w:ascii="仿宋" w:hAnsi="仿宋" w:eastAsia="仿宋" w:cs="仿宋"/>
                <w:b w:val="0"/>
                <w:color w:val="000000"/>
                <w:sz w:val="24"/>
                <w:highlight w:val="none"/>
                <w:lang w:val="en-US" w:eastAsia="zh-CN"/>
              </w:rPr>
              <w:t>7</w:t>
            </w:r>
            <w:r>
              <w:rPr>
                <w:rFonts w:hint="eastAsia" w:ascii="仿宋" w:hAnsi="仿宋" w:eastAsia="仿宋" w:cs="仿宋"/>
                <w:b w:val="0"/>
                <w:color w:val="000000"/>
                <w:sz w:val="24"/>
                <w:highlight w:val="none"/>
              </w:rPr>
              <w:t>-</w:t>
            </w:r>
            <w:r>
              <w:rPr>
                <w:rFonts w:hint="eastAsia" w:ascii="仿宋" w:hAnsi="仿宋" w:eastAsia="仿宋" w:cs="仿宋"/>
                <w:b w:val="0"/>
                <w:color w:val="000000"/>
                <w:sz w:val="24"/>
                <w:highlight w:val="none"/>
                <w:lang w:val="en-US" w:eastAsia="zh-CN"/>
              </w:rPr>
              <w:t>10</w:t>
            </w:r>
            <w:r>
              <w:rPr>
                <w:rFonts w:hint="eastAsia" w:ascii="仿宋" w:hAnsi="仿宋" w:eastAsia="仿宋" w:cs="仿宋"/>
                <w:b w:val="0"/>
                <w:color w:val="000000"/>
                <w:sz w:val="24"/>
                <w:highlight w:val="none"/>
              </w:rPr>
              <w:t>分，方案较详细完善的得</w:t>
            </w:r>
            <w:r>
              <w:rPr>
                <w:rFonts w:hint="eastAsia" w:ascii="仿宋" w:hAnsi="仿宋" w:eastAsia="仿宋" w:cs="仿宋"/>
                <w:b w:val="0"/>
                <w:color w:val="000000"/>
                <w:sz w:val="24"/>
                <w:highlight w:val="none"/>
                <w:lang w:val="en-US" w:eastAsia="zh-CN"/>
              </w:rPr>
              <w:t>4</w:t>
            </w:r>
            <w:r>
              <w:rPr>
                <w:rFonts w:hint="eastAsia" w:ascii="仿宋" w:hAnsi="仿宋" w:eastAsia="仿宋" w:cs="仿宋"/>
                <w:b w:val="0"/>
                <w:color w:val="000000"/>
                <w:sz w:val="24"/>
                <w:highlight w:val="none"/>
              </w:rPr>
              <w:t>-</w:t>
            </w:r>
            <w:r>
              <w:rPr>
                <w:rFonts w:hint="eastAsia" w:ascii="仿宋" w:hAnsi="仿宋" w:eastAsia="仿宋" w:cs="仿宋"/>
                <w:b w:val="0"/>
                <w:color w:val="000000"/>
                <w:sz w:val="24"/>
                <w:highlight w:val="none"/>
                <w:lang w:val="en-US" w:eastAsia="zh-CN"/>
              </w:rPr>
              <w:t>6</w:t>
            </w:r>
            <w:r>
              <w:rPr>
                <w:rFonts w:hint="eastAsia" w:ascii="仿宋" w:hAnsi="仿宋" w:eastAsia="仿宋" w:cs="仿宋"/>
                <w:b w:val="0"/>
                <w:color w:val="000000"/>
                <w:sz w:val="24"/>
                <w:highlight w:val="none"/>
              </w:rPr>
              <w:t>.9分，方案不够详细完善的得0-</w:t>
            </w:r>
            <w:r>
              <w:rPr>
                <w:rFonts w:hint="eastAsia" w:ascii="仿宋" w:hAnsi="仿宋" w:eastAsia="仿宋" w:cs="仿宋"/>
                <w:b w:val="0"/>
                <w:color w:val="000000"/>
                <w:sz w:val="24"/>
                <w:highlight w:val="none"/>
                <w:lang w:val="en-US" w:eastAsia="zh-CN"/>
              </w:rPr>
              <w:t>3</w:t>
            </w:r>
            <w:r>
              <w:rPr>
                <w:rFonts w:hint="eastAsia" w:ascii="仿宋" w:hAnsi="仿宋" w:eastAsia="仿宋" w:cs="仿宋"/>
                <w:b w:val="0"/>
                <w:color w:val="000000"/>
                <w:sz w:val="24"/>
                <w:highlight w:val="none"/>
              </w:rPr>
              <w:t>.9分</w:t>
            </w:r>
            <w:r>
              <w:rPr>
                <w:rFonts w:hint="eastAsia" w:ascii="仿宋" w:hAnsi="仿宋" w:eastAsia="仿宋" w:cs="仿宋"/>
                <w:b w:val="0"/>
                <w:color w:val="000000"/>
                <w:sz w:val="24"/>
                <w:highlight w:val="none"/>
                <w:lang w:eastAsia="zh-CN"/>
              </w:rPr>
              <w:t>。</w:t>
            </w:r>
            <w:r>
              <w:rPr>
                <w:rFonts w:hint="eastAsia" w:ascii="仿宋" w:hAnsi="仿宋" w:eastAsia="仿宋" w:cs="宋体"/>
                <w:b w:val="0"/>
                <w:color w:val="000000"/>
                <w:sz w:val="24"/>
                <w:highlight w:val="none"/>
                <w:shd w:val="clear" w:color="FFFFFF" w:fill="auto"/>
              </w:rPr>
              <w:t xml:space="preserve">  </w:t>
            </w:r>
          </w:p>
        </w:tc>
        <w:tc>
          <w:tcPr>
            <w:tcW w:w="801" w:type="dxa"/>
            <w:gridSpan w:val="2"/>
            <w:noWrap/>
            <w:vAlign w:val="center"/>
          </w:tcPr>
          <w:p w14:paraId="1A295774">
            <w:pPr>
              <w:widowControl/>
              <w:spacing w:line="280" w:lineRule="exact"/>
              <w:jc w:val="center"/>
              <w:rPr>
                <w:rFonts w:ascii="仿宋" w:hAnsi="仿宋" w:eastAsia="仿宋" w:cs="仿宋"/>
                <w:color w:val="auto"/>
                <w:kern w:val="0"/>
                <w:sz w:val="24"/>
                <w:highlight w:val="none"/>
              </w:rPr>
            </w:pPr>
            <w:r>
              <w:rPr>
                <w:rFonts w:hint="eastAsia" w:ascii="仿宋" w:hAnsi="仿宋" w:eastAsia="仿宋" w:cs="仿宋"/>
                <w:bCs/>
                <w:color w:val="auto"/>
                <w:kern w:val="0"/>
                <w:sz w:val="24"/>
                <w:highlight w:val="none"/>
                <w:lang w:val="en-US" w:eastAsia="zh-CN"/>
              </w:rPr>
              <w:t>0-</w:t>
            </w:r>
            <w:r>
              <w:rPr>
                <w:rFonts w:hint="eastAsia" w:ascii="仿宋" w:hAnsi="仿宋" w:eastAsia="仿宋" w:cs="仿宋"/>
                <w:color w:val="auto"/>
                <w:sz w:val="24"/>
                <w:highlight w:val="none"/>
              </w:rPr>
              <w:t>10</w:t>
            </w:r>
          </w:p>
        </w:tc>
        <w:tc>
          <w:tcPr>
            <w:tcW w:w="945" w:type="dxa"/>
            <w:noWrap/>
            <w:vAlign w:val="center"/>
          </w:tcPr>
          <w:p w14:paraId="497C8E9C">
            <w:pPr>
              <w:widowControl/>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主观分</w:t>
            </w:r>
          </w:p>
        </w:tc>
      </w:tr>
      <w:bookmarkEnd w:id="391"/>
      <w:tr w14:paraId="1334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76" w:hRule="atLeast"/>
        </w:trPr>
        <w:tc>
          <w:tcPr>
            <w:tcW w:w="791" w:type="dxa"/>
            <w:gridSpan w:val="2"/>
            <w:vMerge w:val="continue"/>
            <w:shd w:val="clear" w:color="auto" w:fill="auto"/>
            <w:noWrap/>
            <w:vAlign w:val="center"/>
          </w:tcPr>
          <w:p w14:paraId="32601519">
            <w:pPr>
              <w:widowControl/>
              <w:spacing w:line="280" w:lineRule="exact"/>
              <w:jc w:val="center"/>
              <w:rPr>
                <w:rFonts w:hint="eastAsia" w:ascii="仿宋" w:hAnsi="仿宋" w:eastAsia="仿宋" w:cs="仿宋"/>
                <w:color w:val="auto"/>
                <w:kern w:val="0"/>
                <w:sz w:val="24"/>
                <w:highlight w:val="none"/>
              </w:rPr>
            </w:pPr>
          </w:p>
        </w:tc>
        <w:tc>
          <w:tcPr>
            <w:tcW w:w="790" w:type="dxa"/>
            <w:vMerge w:val="restart"/>
            <w:shd w:val="clear" w:color="auto" w:fill="auto"/>
            <w:noWrap/>
            <w:vAlign w:val="center"/>
          </w:tcPr>
          <w:p w14:paraId="4E87FCAE">
            <w:pPr>
              <w:widowControl/>
              <w:spacing w:line="28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021" w:type="dxa"/>
            <w:vMerge w:val="restart"/>
            <w:shd w:val="clear" w:color="000000" w:fill="FFFFFF"/>
            <w:noWrap/>
            <w:vAlign w:val="center"/>
          </w:tcPr>
          <w:p w14:paraId="19392A78">
            <w:pPr>
              <w:widowControl/>
              <w:spacing w:line="400" w:lineRule="exact"/>
              <w:rPr>
                <w:rFonts w:ascii="仿宋" w:hAnsi="仿宋" w:eastAsia="仿宋" w:cs="宋体"/>
                <w:color w:val="auto"/>
                <w:kern w:val="0"/>
                <w:sz w:val="24"/>
                <w:highlight w:val="none"/>
              </w:rPr>
            </w:pPr>
            <w:r>
              <w:rPr>
                <w:rFonts w:hint="eastAsia" w:ascii="仿宋" w:hAnsi="仿宋" w:eastAsia="仿宋" w:cs="仿宋"/>
                <w:color w:val="auto"/>
                <w:kern w:val="0"/>
                <w:sz w:val="24"/>
                <w:highlight w:val="none"/>
              </w:rPr>
              <w:t>服务内容及方案</w:t>
            </w:r>
          </w:p>
        </w:tc>
        <w:tc>
          <w:tcPr>
            <w:tcW w:w="5538" w:type="dxa"/>
            <w:gridSpan w:val="2"/>
            <w:noWrap/>
          </w:tcPr>
          <w:p w14:paraId="5EC054F5">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根据本项目具体情况，从服务目标、消杀范围、药物及器械使用类型、具体消杀方式方法、人员配备、经费测算及质量目标等内容，分别对鼠类</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蚊虫</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蝇类</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蜚蠊做出相应的工作计划</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进行综合评分。</w:t>
            </w:r>
            <w:r>
              <w:rPr>
                <w:rFonts w:hint="eastAsia" w:ascii="仿宋" w:hAnsi="仿宋" w:eastAsia="仿宋" w:cs="仿宋"/>
                <w:b w:val="0"/>
                <w:color w:val="000000"/>
                <w:sz w:val="24"/>
                <w:highlight w:val="none"/>
              </w:rPr>
              <w:t>方案详细完善的得</w:t>
            </w:r>
            <w:r>
              <w:rPr>
                <w:rFonts w:hint="eastAsia" w:ascii="仿宋" w:hAnsi="仿宋" w:eastAsia="仿宋" w:cs="仿宋"/>
                <w:b w:val="0"/>
                <w:color w:val="000000"/>
                <w:sz w:val="24"/>
                <w:highlight w:val="none"/>
                <w:lang w:val="en-US" w:eastAsia="zh-CN"/>
              </w:rPr>
              <w:t>6</w:t>
            </w:r>
            <w:r>
              <w:rPr>
                <w:rFonts w:hint="eastAsia" w:ascii="仿宋" w:hAnsi="仿宋" w:eastAsia="仿宋" w:cs="仿宋"/>
                <w:b w:val="0"/>
                <w:color w:val="000000"/>
                <w:sz w:val="24"/>
                <w:highlight w:val="none"/>
              </w:rPr>
              <w:t>-</w:t>
            </w:r>
            <w:r>
              <w:rPr>
                <w:rFonts w:hint="eastAsia" w:ascii="仿宋" w:hAnsi="仿宋" w:eastAsia="仿宋" w:cs="仿宋"/>
                <w:b w:val="0"/>
                <w:color w:val="000000"/>
                <w:sz w:val="24"/>
                <w:highlight w:val="none"/>
                <w:lang w:val="en-US" w:eastAsia="zh-CN"/>
              </w:rPr>
              <w:t>8</w:t>
            </w:r>
            <w:r>
              <w:rPr>
                <w:rFonts w:hint="eastAsia" w:ascii="仿宋" w:hAnsi="仿宋" w:eastAsia="仿宋" w:cs="仿宋"/>
                <w:b w:val="0"/>
                <w:color w:val="000000"/>
                <w:sz w:val="24"/>
                <w:highlight w:val="none"/>
              </w:rPr>
              <w:t>分，方案较详细完善的得</w:t>
            </w:r>
            <w:r>
              <w:rPr>
                <w:rFonts w:hint="eastAsia" w:ascii="仿宋" w:hAnsi="仿宋" w:eastAsia="仿宋" w:cs="仿宋"/>
                <w:b w:val="0"/>
                <w:color w:val="000000"/>
                <w:sz w:val="24"/>
                <w:highlight w:val="none"/>
                <w:lang w:val="en-US" w:eastAsia="zh-CN"/>
              </w:rPr>
              <w:t>3</w:t>
            </w:r>
            <w:r>
              <w:rPr>
                <w:rFonts w:hint="eastAsia" w:ascii="仿宋" w:hAnsi="仿宋" w:eastAsia="仿宋" w:cs="仿宋"/>
                <w:b w:val="0"/>
                <w:color w:val="000000"/>
                <w:sz w:val="24"/>
                <w:highlight w:val="none"/>
              </w:rPr>
              <w:t>-</w:t>
            </w:r>
            <w:r>
              <w:rPr>
                <w:rFonts w:hint="eastAsia" w:ascii="仿宋" w:hAnsi="仿宋" w:eastAsia="仿宋" w:cs="仿宋"/>
                <w:b w:val="0"/>
                <w:color w:val="000000"/>
                <w:sz w:val="24"/>
                <w:highlight w:val="none"/>
                <w:lang w:val="en-US" w:eastAsia="zh-CN"/>
              </w:rPr>
              <w:t>5</w:t>
            </w:r>
            <w:r>
              <w:rPr>
                <w:rFonts w:hint="eastAsia" w:ascii="仿宋" w:hAnsi="仿宋" w:eastAsia="仿宋" w:cs="仿宋"/>
                <w:b w:val="0"/>
                <w:color w:val="000000"/>
                <w:sz w:val="24"/>
                <w:highlight w:val="none"/>
              </w:rPr>
              <w:t>.9分，方案不够详细完善的得0-</w:t>
            </w:r>
            <w:r>
              <w:rPr>
                <w:rFonts w:hint="eastAsia" w:ascii="仿宋" w:hAnsi="仿宋" w:eastAsia="仿宋" w:cs="仿宋"/>
                <w:b w:val="0"/>
                <w:color w:val="000000"/>
                <w:sz w:val="24"/>
                <w:highlight w:val="none"/>
                <w:lang w:val="en-US" w:eastAsia="zh-CN"/>
              </w:rPr>
              <w:t>2</w:t>
            </w:r>
            <w:r>
              <w:rPr>
                <w:rFonts w:hint="eastAsia" w:ascii="仿宋" w:hAnsi="仿宋" w:eastAsia="仿宋" w:cs="仿宋"/>
                <w:b w:val="0"/>
                <w:color w:val="000000"/>
                <w:sz w:val="24"/>
                <w:highlight w:val="none"/>
              </w:rPr>
              <w:t>.9分</w:t>
            </w:r>
            <w:r>
              <w:rPr>
                <w:rFonts w:hint="eastAsia" w:ascii="仿宋" w:hAnsi="仿宋" w:eastAsia="仿宋" w:cs="仿宋"/>
                <w:b w:val="0"/>
                <w:color w:val="000000"/>
                <w:sz w:val="24"/>
                <w:highlight w:val="none"/>
                <w:lang w:eastAsia="zh-CN"/>
              </w:rPr>
              <w:t>。</w:t>
            </w:r>
            <w:r>
              <w:rPr>
                <w:rFonts w:hint="eastAsia" w:ascii="仿宋" w:hAnsi="仿宋" w:eastAsia="仿宋" w:cs="宋体"/>
                <w:b w:val="0"/>
                <w:color w:val="000000"/>
                <w:sz w:val="24"/>
                <w:highlight w:val="none"/>
                <w:shd w:val="clear" w:color="FFFFFF" w:fill="auto"/>
              </w:rPr>
              <w:t xml:space="preserve">  </w:t>
            </w:r>
          </w:p>
        </w:tc>
        <w:tc>
          <w:tcPr>
            <w:tcW w:w="801" w:type="dxa"/>
            <w:gridSpan w:val="2"/>
            <w:noWrap/>
            <w:vAlign w:val="center"/>
          </w:tcPr>
          <w:p w14:paraId="237238B7">
            <w:pPr>
              <w:jc w:val="center"/>
              <w:rPr>
                <w:rFonts w:ascii="仿宋" w:hAnsi="仿宋" w:eastAsia="仿宋" w:cs="仿宋"/>
                <w:color w:val="auto"/>
                <w:kern w:val="0"/>
                <w:sz w:val="24"/>
                <w:highlight w:val="none"/>
              </w:rPr>
            </w:pPr>
            <w:r>
              <w:rPr>
                <w:rFonts w:hint="eastAsia" w:ascii="仿宋" w:hAnsi="仿宋" w:eastAsia="仿宋" w:cs="仿宋"/>
                <w:bCs/>
                <w:color w:val="auto"/>
                <w:kern w:val="0"/>
                <w:sz w:val="24"/>
                <w:highlight w:val="none"/>
                <w:lang w:val="en-US" w:eastAsia="zh-CN"/>
              </w:rPr>
              <w:t>0-</w:t>
            </w:r>
            <w:r>
              <w:rPr>
                <w:rFonts w:hint="eastAsia" w:ascii="仿宋" w:hAnsi="仿宋" w:eastAsia="仿宋" w:cs="仿宋"/>
                <w:color w:val="auto"/>
                <w:kern w:val="0"/>
                <w:sz w:val="24"/>
                <w:highlight w:val="none"/>
              </w:rPr>
              <w:t>8</w:t>
            </w:r>
          </w:p>
        </w:tc>
        <w:tc>
          <w:tcPr>
            <w:tcW w:w="945" w:type="dxa"/>
            <w:noWrap/>
            <w:vAlign w:val="center"/>
          </w:tcPr>
          <w:p w14:paraId="6CBD126A">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主观分</w:t>
            </w:r>
          </w:p>
        </w:tc>
      </w:tr>
      <w:tr w14:paraId="5CDE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76" w:hRule="atLeast"/>
        </w:trPr>
        <w:tc>
          <w:tcPr>
            <w:tcW w:w="791" w:type="dxa"/>
            <w:gridSpan w:val="2"/>
            <w:vMerge w:val="continue"/>
            <w:shd w:val="clear" w:color="auto" w:fill="auto"/>
            <w:noWrap/>
            <w:vAlign w:val="center"/>
          </w:tcPr>
          <w:p w14:paraId="497CEB14">
            <w:pPr>
              <w:adjustRightInd/>
              <w:spacing w:line="280" w:lineRule="exact"/>
              <w:jc w:val="center"/>
              <w:rPr>
                <w:color w:val="auto"/>
                <w:highlight w:val="none"/>
              </w:rPr>
            </w:pPr>
          </w:p>
        </w:tc>
        <w:tc>
          <w:tcPr>
            <w:tcW w:w="790" w:type="dxa"/>
            <w:vMerge w:val="continue"/>
            <w:shd w:val="clear" w:color="auto" w:fill="auto"/>
            <w:noWrap/>
            <w:vAlign w:val="center"/>
          </w:tcPr>
          <w:p w14:paraId="3C7DBEE2">
            <w:pPr>
              <w:adjustRightInd/>
              <w:spacing w:line="280" w:lineRule="exact"/>
              <w:jc w:val="center"/>
              <w:rPr>
                <w:color w:val="auto"/>
                <w:highlight w:val="none"/>
              </w:rPr>
            </w:pPr>
          </w:p>
        </w:tc>
        <w:tc>
          <w:tcPr>
            <w:tcW w:w="1021" w:type="dxa"/>
            <w:vMerge w:val="continue"/>
            <w:shd w:val="clear" w:color="000000" w:fill="FFFFFF"/>
            <w:noWrap/>
            <w:vAlign w:val="center"/>
          </w:tcPr>
          <w:p w14:paraId="3A49A80E">
            <w:pPr>
              <w:adjustRightInd/>
              <w:spacing w:line="280" w:lineRule="exact"/>
              <w:jc w:val="center"/>
              <w:rPr>
                <w:color w:val="auto"/>
                <w:highlight w:val="none"/>
              </w:rPr>
            </w:pPr>
          </w:p>
        </w:tc>
        <w:tc>
          <w:tcPr>
            <w:tcW w:w="5538" w:type="dxa"/>
            <w:gridSpan w:val="2"/>
            <w:noWrap/>
            <w:vAlign w:val="center"/>
          </w:tcPr>
          <w:p w14:paraId="22A5306B">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选择药物的合理性和安全性，依据不同环境采用药物的种类、量、及使用方法</w:t>
            </w:r>
            <w:r>
              <w:rPr>
                <w:rFonts w:hint="eastAsia" w:ascii="仿宋" w:hAnsi="仿宋" w:eastAsia="仿宋" w:cs="仿宋"/>
                <w:color w:val="auto"/>
                <w:kern w:val="0"/>
                <w:sz w:val="24"/>
                <w:highlight w:val="none"/>
                <w:lang w:val="en-US" w:eastAsia="zh-CN"/>
              </w:rPr>
              <w:t>进行综合评分。</w:t>
            </w:r>
          </w:p>
          <w:p w14:paraId="33B945A8">
            <w:pPr>
              <w:rPr>
                <w:rFonts w:hint="eastAsia" w:ascii="仿宋" w:hAnsi="仿宋" w:eastAsia="仿宋" w:cs="仿宋"/>
                <w:color w:val="auto"/>
                <w:kern w:val="0"/>
                <w:sz w:val="24"/>
                <w:highlight w:val="none"/>
              </w:rPr>
            </w:pPr>
            <w:r>
              <w:rPr>
                <w:rFonts w:hint="eastAsia" w:ascii="仿宋" w:hAnsi="仿宋" w:eastAsia="仿宋" w:cs="仿宋"/>
                <w:b w:val="0"/>
                <w:color w:val="000000"/>
                <w:sz w:val="24"/>
                <w:highlight w:val="none"/>
              </w:rPr>
              <w:t>方案详细完善的得</w:t>
            </w:r>
            <w:r>
              <w:rPr>
                <w:rFonts w:hint="eastAsia" w:ascii="仿宋" w:hAnsi="仿宋" w:eastAsia="仿宋" w:cs="仿宋"/>
                <w:b w:val="0"/>
                <w:color w:val="000000"/>
                <w:sz w:val="24"/>
                <w:highlight w:val="none"/>
                <w:lang w:val="en-US" w:eastAsia="zh-CN"/>
              </w:rPr>
              <w:t>6</w:t>
            </w:r>
            <w:r>
              <w:rPr>
                <w:rFonts w:hint="eastAsia" w:ascii="仿宋" w:hAnsi="仿宋" w:eastAsia="仿宋" w:cs="仿宋"/>
                <w:b w:val="0"/>
                <w:color w:val="000000"/>
                <w:sz w:val="24"/>
                <w:highlight w:val="none"/>
              </w:rPr>
              <w:t>-</w:t>
            </w:r>
            <w:r>
              <w:rPr>
                <w:rFonts w:hint="eastAsia" w:ascii="仿宋" w:hAnsi="仿宋" w:eastAsia="仿宋" w:cs="仿宋"/>
                <w:b w:val="0"/>
                <w:color w:val="000000"/>
                <w:sz w:val="24"/>
                <w:highlight w:val="none"/>
                <w:lang w:val="en-US" w:eastAsia="zh-CN"/>
              </w:rPr>
              <w:t>8</w:t>
            </w:r>
            <w:r>
              <w:rPr>
                <w:rFonts w:hint="eastAsia" w:ascii="仿宋" w:hAnsi="仿宋" w:eastAsia="仿宋" w:cs="仿宋"/>
                <w:b w:val="0"/>
                <w:color w:val="000000"/>
                <w:sz w:val="24"/>
                <w:highlight w:val="none"/>
              </w:rPr>
              <w:t>分，方案较详细完善的得</w:t>
            </w:r>
            <w:r>
              <w:rPr>
                <w:rFonts w:hint="eastAsia" w:ascii="仿宋" w:hAnsi="仿宋" w:eastAsia="仿宋" w:cs="仿宋"/>
                <w:b w:val="0"/>
                <w:color w:val="000000"/>
                <w:sz w:val="24"/>
                <w:highlight w:val="none"/>
                <w:lang w:val="en-US" w:eastAsia="zh-CN"/>
              </w:rPr>
              <w:t>3</w:t>
            </w:r>
            <w:r>
              <w:rPr>
                <w:rFonts w:hint="eastAsia" w:ascii="仿宋" w:hAnsi="仿宋" w:eastAsia="仿宋" w:cs="仿宋"/>
                <w:b w:val="0"/>
                <w:color w:val="000000"/>
                <w:sz w:val="24"/>
                <w:highlight w:val="none"/>
              </w:rPr>
              <w:t>-</w:t>
            </w:r>
            <w:r>
              <w:rPr>
                <w:rFonts w:hint="eastAsia" w:ascii="仿宋" w:hAnsi="仿宋" w:eastAsia="仿宋" w:cs="仿宋"/>
                <w:b w:val="0"/>
                <w:color w:val="000000"/>
                <w:sz w:val="24"/>
                <w:highlight w:val="none"/>
                <w:lang w:val="en-US" w:eastAsia="zh-CN"/>
              </w:rPr>
              <w:t>5</w:t>
            </w:r>
            <w:r>
              <w:rPr>
                <w:rFonts w:hint="eastAsia" w:ascii="仿宋" w:hAnsi="仿宋" w:eastAsia="仿宋" w:cs="仿宋"/>
                <w:b w:val="0"/>
                <w:color w:val="000000"/>
                <w:sz w:val="24"/>
                <w:highlight w:val="none"/>
              </w:rPr>
              <w:t>.9分，方案不够详细完善的得0-</w:t>
            </w:r>
            <w:r>
              <w:rPr>
                <w:rFonts w:hint="eastAsia" w:ascii="仿宋" w:hAnsi="仿宋" w:eastAsia="仿宋" w:cs="仿宋"/>
                <w:b w:val="0"/>
                <w:color w:val="000000"/>
                <w:sz w:val="24"/>
                <w:highlight w:val="none"/>
                <w:lang w:val="en-US" w:eastAsia="zh-CN"/>
              </w:rPr>
              <w:t>2</w:t>
            </w:r>
            <w:r>
              <w:rPr>
                <w:rFonts w:hint="eastAsia" w:ascii="仿宋" w:hAnsi="仿宋" w:eastAsia="仿宋" w:cs="仿宋"/>
                <w:b w:val="0"/>
                <w:color w:val="000000"/>
                <w:sz w:val="24"/>
                <w:highlight w:val="none"/>
              </w:rPr>
              <w:t>.9分</w:t>
            </w:r>
            <w:r>
              <w:rPr>
                <w:rFonts w:hint="eastAsia" w:ascii="仿宋" w:hAnsi="仿宋" w:eastAsia="仿宋" w:cs="仿宋"/>
                <w:b w:val="0"/>
                <w:color w:val="000000"/>
                <w:sz w:val="24"/>
                <w:highlight w:val="none"/>
                <w:lang w:eastAsia="zh-CN"/>
              </w:rPr>
              <w:t>。</w:t>
            </w:r>
            <w:r>
              <w:rPr>
                <w:rFonts w:hint="eastAsia" w:ascii="仿宋" w:hAnsi="仿宋" w:eastAsia="仿宋" w:cs="宋体"/>
                <w:b w:val="0"/>
                <w:color w:val="000000"/>
                <w:sz w:val="24"/>
                <w:highlight w:val="none"/>
                <w:shd w:val="clear" w:color="FFFFFF" w:fill="auto"/>
              </w:rPr>
              <w:t xml:space="preserve">  </w:t>
            </w:r>
          </w:p>
        </w:tc>
        <w:tc>
          <w:tcPr>
            <w:tcW w:w="801" w:type="dxa"/>
            <w:gridSpan w:val="2"/>
            <w:noWrap/>
            <w:vAlign w:val="center"/>
          </w:tcPr>
          <w:p w14:paraId="4F1E0C3B">
            <w:pPr>
              <w:jc w:val="center"/>
              <w:rPr>
                <w:rFonts w:hint="eastAsia" w:ascii="仿宋" w:hAnsi="仿宋" w:eastAsia="仿宋" w:cs="仿宋"/>
                <w:color w:val="auto"/>
                <w:kern w:val="0"/>
                <w:sz w:val="24"/>
                <w:highlight w:val="none"/>
                <w:lang w:eastAsia="zh-CN"/>
              </w:rPr>
            </w:pPr>
            <w:r>
              <w:rPr>
                <w:rFonts w:hint="eastAsia" w:ascii="仿宋" w:hAnsi="仿宋" w:eastAsia="仿宋" w:cs="仿宋"/>
                <w:bCs/>
                <w:color w:val="auto"/>
                <w:kern w:val="0"/>
                <w:sz w:val="24"/>
                <w:highlight w:val="none"/>
                <w:lang w:val="en-US" w:eastAsia="zh-CN"/>
              </w:rPr>
              <w:t>0-</w:t>
            </w:r>
            <w:r>
              <w:rPr>
                <w:rFonts w:hint="eastAsia" w:ascii="仿宋" w:hAnsi="仿宋" w:eastAsia="仿宋" w:cs="仿宋"/>
                <w:color w:val="auto"/>
                <w:kern w:val="0"/>
                <w:sz w:val="24"/>
                <w:highlight w:val="none"/>
                <w:lang w:val="en-US" w:eastAsia="zh-CN"/>
              </w:rPr>
              <w:t>8</w:t>
            </w:r>
          </w:p>
        </w:tc>
        <w:tc>
          <w:tcPr>
            <w:tcW w:w="945" w:type="dxa"/>
            <w:noWrap/>
            <w:vAlign w:val="center"/>
          </w:tcPr>
          <w:p w14:paraId="7E6537D6">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主观分</w:t>
            </w:r>
          </w:p>
        </w:tc>
      </w:tr>
      <w:tr w14:paraId="17F5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trPr>
        <w:tc>
          <w:tcPr>
            <w:tcW w:w="791" w:type="dxa"/>
            <w:gridSpan w:val="2"/>
            <w:vMerge w:val="continue"/>
            <w:shd w:val="clear" w:color="auto" w:fill="auto"/>
            <w:noWrap/>
            <w:vAlign w:val="center"/>
          </w:tcPr>
          <w:p w14:paraId="0CC5E1BE">
            <w:pPr>
              <w:adjustRightInd/>
              <w:spacing w:line="280" w:lineRule="exact"/>
              <w:jc w:val="center"/>
              <w:rPr>
                <w:rFonts w:ascii="仿宋" w:hAnsi="仿宋" w:eastAsia="仿宋" w:cs="仿宋_GB2312"/>
                <w:color w:val="auto"/>
                <w:sz w:val="24"/>
                <w:highlight w:val="none"/>
              </w:rPr>
            </w:pPr>
          </w:p>
        </w:tc>
        <w:tc>
          <w:tcPr>
            <w:tcW w:w="790" w:type="dxa"/>
            <w:vMerge w:val="continue"/>
            <w:shd w:val="clear" w:color="auto" w:fill="auto"/>
            <w:noWrap/>
            <w:vAlign w:val="center"/>
          </w:tcPr>
          <w:p w14:paraId="6AF5A7C7">
            <w:pPr>
              <w:adjustRightInd/>
              <w:spacing w:line="280" w:lineRule="exact"/>
              <w:jc w:val="center"/>
              <w:rPr>
                <w:rFonts w:ascii="仿宋" w:hAnsi="仿宋" w:eastAsia="仿宋" w:cs="仿宋_GB2312"/>
                <w:color w:val="auto"/>
                <w:sz w:val="24"/>
                <w:highlight w:val="none"/>
              </w:rPr>
            </w:pPr>
          </w:p>
        </w:tc>
        <w:tc>
          <w:tcPr>
            <w:tcW w:w="1021" w:type="dxa"/>
            <w:vMerge w:val="continue"/>
            <w:shd w:val="clear" w:color="000000" w:fill="FFFFFF"/>
            <w:noWrap/>
            <w:vAlign w:val="center"/>
          </w:tcPr>
          <w:p w14:paraId="299F9BFB">
            <w:pPr>
              <w:adjustRightInd/>
              <w:spacing w:line="280" w:lineRule="exact"/>
              <w:jc w:val="center"/>
              <w:rPr>
                <w:rFonts w:ascii="仿宋" w:hAnsi="仿宋" w:eastAsia="仿宋" w:cs="仿宋_GB2312"/>
                <w:color w:val="auto"/>
                <w:sz w:val="24"/>
                <w:highlight w:val="none"/>
              </w:rPr>
            </w:pPr>
          </w:p>
        </w:tc>
        <w:tc>
          <w:tcPr>
            <w:tcW w:w="5538" w:type="dxa"/>
            <w:gridSpan w:val="2"/>
            <w:noWrap/>
            <w:vAlign w:val="center"/>
          </w:tcPr>
          <w:p w14:paraId="1CB2331A">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迎检应急工作预案和药物中毒处置预案</w:t>
            </w:r>
            <w:r>
              <w:rPr>
                <w:rFonts w:hint="eastAsia" w:ascii="仿宋" w:hAnsi="仿宋" w:eastAsia="仿宋" w:cs="仿宋"/>
                <w:color w:val="auto"/>
                <w:kern w:val="0"/>
                <w:sz w:val="24"/>
                <w:highlight w:val="none"/>
                <w:lang w:val="en-US" w:eastAsia="zh-CN"/>
              </w:rPr>
              <w:t>进行综合评分。</w:t>
            </w:r>
          </w:p>
          <w:p w14:paraId="139F3C52">
            <w:pPr>
              <w:rPr>
                <w:rFonts w:hint="eastAsia" w:ascii="仿宋" w:hAnsi="仿宋" w:eastAsia="仿宋" w:cs="仿宋"/>
                <w:color w:val="auto"/>
                <w:kern w:val="0"/>
                <w:sz w:val="24"/>
                <w:highlight w:val="none"/>
              </w:rPr>
            </w:pPr>
            <w:r>
              <w:rPr>
                <w:rFonts w:hint="eastAsia" w:ascii="仿宋" w:hAnsi="仿宋" w:eastAsia="仿宋" w:cs="仿宋"/>
                <w:b w:val="0"/>
                <w:color w:val="000000"/>
                <w:sz w:val="24"/>
                <w:highlight w:val="none"/>
              </w:rPr>
              <w:t>方案详细完善的得</w:t>
            </w:r>
            <w:r>
              <w:rPr>
                <w:rFonts w:hint="eastAsia" w:ascii="仿宋" w:hAnsi="仿宋" w:eastAsia="仿宋" w:cs="仿宋"/>
                <w:b w:val="0"/>
                <w:color w:val="000000"/>
                <w:sz w:val="24"/>
                <w:highlight w:val="none"/>
                <w:lang w:val="en-US" w:eastAsia="zh-CN"/>
              </w:rPr>
              <w:t>6</w:t>
            </w:r>
            <w:r>
              <w:rPr>
                <w:rFonts w:hint="eastAsia" w:ascii="仿宋" w:hAnsi="仿宋" w:eastAsia="仿宋" w:cs="仿宋"/>
                <w:b w:val="0"/>
                <w:color w:val="000000"/>
                <w:sz w:val="24"/>
                <w:highlight w:val="none"/>
              </w:rPr>
              <w:t>-</w:t>
            </w:r>
            <w:r>
              <w:rPr>
                <w:rFonts w:hint="eastAsia" w:ascii="仿宋" w:hAnsi="仿宋" w:eastAsia="仿宋" w:cs="仿宋"/>
                <w:b w:val="0"/>
                <w:color w:val="000000"/>
                <w:sz w:val="24"/>
                <w:highlight w:val="none"/>
                <w:lang w:val="en-US" w:eastAsia="zh-CN"/>
              </w:rPr>
              <w:t>8</w:t>
            </w:r>
            <w:r>
              <w:rPr>
                <w:rFonts w:hint="eastAsia" w:ascii="仿宋" w:hAnsi="仿宋" w:eastAsia="仿宋" w:cs="仿宋"/>
                <w:b w:val="0"/>
                <w:color w:val="000000"/>
                <w:sz w:val="24"/>
                <w:highlight w:val="none"/>
              </w:rPr>
              <w:t>分，方案较详细完善的得</w:t>
            </w:r>
            <w:r>
              <w:rPr>
                <w:rFonts w:hint="eastAsia" w:ascii="仿宋" w:hAnsi="仿宋" w:eastAsia="仿宋" w:cs="仿宋"/>
                <w:b w:val="0"/>
                <w:color w:val="000000"/>
                <w:sz w:val="24"/>
                <w:highlight w:val="none"/>
                <w:lang w:val="en-US" w:eastAsia="zh-CN"/>
              </w:rPr>
              <w:t>3</w:t>
            </w:r>
            <w:r>
              <w:rPr>
                <w:rFonts w:hint="eastAsia" w:ascii="仿宋" w:hAnsi="仿宋" w:eastAsia="仿宋" w:cs="仿宋"/>
                <w:b w:val="0"/>
                <w:color w:val="000000"/>
                <w:sz w:val="24"/>
                <w:highlight w:val="none"/>
              </w:rPr>
              <w:t>-</w:t>
            </w:r>
            <w:r>
              <w:rPr>
                <w:rFonts w:hint="eastAsia" w:ascii="仿宋" w:hAnsi="仿宋" w:eastAsia="仿宋" w:cs="仿宋"/>
                <w:b w:val="0"/>
                <w:color w:val="000000"/>
                <w:sz w:val="24"/>
                <w:highlight w:val="none"/>
                <w:lang w:val="en-US" w:eastAsia="zh-CN"/>
              </w:rPr>
              <w:t>5</w:t>
            </w:r>
            <w:r>
              <w:rPr>
                <w:rFonts w:hint="eastAsia" w:ascii="仿宋" w:hAnsi="仿宋" w:eastAsia="仿宋" w:cs="仿宋"/>
                <w:b w:val="0"/>
                <w:color w:val="000000"/>
                <w:sz w:val="24"/>
                <w:highlight w:val="none"/>
              </w:rPr>
              <w:t>.9分，方案不够详细完善的得0-</w:t>
            </w:r>
            <w:r>
              <w:rPr>
                <w:rFonts w:hint="eastAsia" w:ascii="仿宋" w:hAnsi="仿宋" w:eastAsia="仿宋" w:cs="仿宋"/>
                <w:b w:val="0"/>
                <w:color w:val="000000"/>
                <w:sz w:val="24"/>
                <w:highlight w:val="none"/>
                <w:lang w:val="en-US" w:eastAsia="zh-CN"/>
              </w:rPr>
              <w:t>2</w:t>
            </w:r>
            <w:r>
              <w:rPr>
                <w:rFonts w:hint="eastAsia" w:ascii="仿宋" w:hAnsi="仿宋" w:eastAsia="仿宋" w:cs="仿宋"/>
                <w:b w:val="0"/>
                <w:color w:val="000000"/>
                <w:sz w:val="24"/>
                <w:highlight w:val="none"/>
              </w:rPr>
              <w:t>.9分</w:t>
            </w:r>
            <w:r>
              <w:rPr>
                <w:rFonts w:hint="eastAsia" w:ascii="仿宋" w:hAnsi="仿宋" w:eastAsia="仿宋" w:cs="仿宋"/>
                <w:b w:val="0"/>
                <w:color w:val="000000"/>
                <w:sz w:val="24"/>
                <w:highlight w:val="none"/>
                <w:lang w:eastAsia="zh-CN"/>
              </w:rPr>
              <w:t>。</w:t>
            </w:r>
            <w:r>
              <w:rPr>
                <w:rFonts w:hint="eastAsia" w:ascii="仿宋" w:hAnsi="仿宋" w:eastAsia="仿宋" w:cs="宋体"/>
                <w:b w:val="0"/>
                <w:color w:val="000000"/>
                <w:sz w:val="24"/>
                <w:highlight w:val="none"/>
                <w:shd w:val="clear" w:color="FFFFFF" w:fill="auto"/>
              </w:rPr>
              <w:t xml:space="preserve">  </w:t>
            </w:r>
          </w:p>
        </w:tc>
        <w:tc>
          <w:tcPr>
            <w:tcW w:w="801" w:type="dxa"/>
            <w:gridSpan w:val="2"/>
            <w:noWrap/>
            <w:vAlign w:val="center"/>
          </w:tcPr>
          <w:p w14:paraId="51D00D0D">
            <w:pPr>
              <w:jc w:val="center"/>
              <w:rPr>
                <w:rFonts w:hint="eastAsia" w:ascii="仿宋" w:hAnsi="仿宋" w:eastAsia="仿宋" w:cs="仿宋"/>
                <w:color w:val="auto"/>
                <w:kern w:val="0"/>
                <w:sz w:val="24"/>
                <w:highlight w:val="none"/>
                <w:lang w:eastAsia="zh-CN"/>
              </w:rPr>
            </w:pPr>
            <w:r>
              <w:rPr>
                <w:rFonts w:hint="eastAsia" w:ascii="仿宋" w:hAnsi="仿宋" w:eastAsia="仿宋" w:cs="仿宋"/>
                <w:bCs/>
                <w:color w:val="auto"/>
                <w:kern w:val="0"/>
                <w:sz w:val="24"/>
                <w:highlight w:val="none"/>
                <w:lang w:val="en-US" w:eastAsia="zh-CN"/>
              </w:rPr>
              <w:t>0-</w:t>
            </w:r>
            <w:r>
              <w:rPr>
                <w:rFonts w:hint="eastAsia" w:ascii="仿宋" w:hAnsi="仿宋" w:eastAsia="仿宋" w:cs="仿宋"/>
                <w:color w:val="auto"/>
                <w:kern w:val="0"/>
                <w:sz w:val="24"/>
                <w:highlight w:val="none"/>
                <w:lang w:val="en-US" w:eastAsia="zh-CN"/>
              </w:rPr>
              <w:t>8</w:t>
            </w:r>
          </w:p>
        </w:tc>
        <w:tc>
          <w:tcPr>
            <w:tcW w:w="945" w:type="dxa"/>
            <w:noWrap/>
            <w:vAlign w:val="center"/>
          </w:tcPr>
          <w:p w14:paraId="23449482">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主观分</w:t>
            </w:r>
          </w:p>
        </w:tc>
      </w:tr>
      <w:tr w14:paraId="56A5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76" w:hRule="atLeast"/>
        </w:trPr>
        <w:tc>
          <w:tcPr>
            <w:tcW w:w="791" w:type="dxa"/>
            <w:gridSpan w:val="2"/>
            <w:vMerge w:val="continue"/>
            <w:shd w:val="clear" w:color="auto" w:fill="auto"/>
            <w:noWrap/>
            <w:vAlign w:val="center"/>
          </w:tcPr>
          <w:p w14:paraId="61D24892">
            <w:pPr>
              <w:adjustRightInd/>
              <w:spacing w:line="280" w:lineRule="exact"/>
              <w:jc w:val="center"/>
              <w:rPr>
                <w:rFonts w:ascii="仿宋" w:hAnsi="仿宋" w:eastAsia="仿宋" w:cs="仿宋_GB2312"/>
                <w:color w:val="auto"/>
                <w:sz w:val="24"/>
                <w:highlight w:val="none"/>
              </w:rPr>
            </w:pPr>
          </w:p>
        </w:tc>
        <w:tc>
          <w:tcPr>
            <w:tcW w:w="790" w:type="dxa"/>
            <w:vMerge w:val="continue"/>
            <w:shd w:val="clear" w:color="auto" w:fill="auto"/>
            <w:noWrap/>
            <w:vAlign w:val="center"/>
          </w:tcPr>
          <w:p w14:paraId="5CDAFF60">
            <w:pPr>
              <w:adjustRightInd/>
              <w:spacing w:line="280" w:lineRule="exact"/>
              <w:jc w:val="center"/>
              <w:rPr>
                <w:rFonts w:ascii="仿宋" w:hAnsi="仿宋" w:eastAsia="仿宋" w:cs="仿宋_GB2312"/>
                <w:color w:val="auto"/>
                <w:sz w:val="24"/>
                <w:highlight w:val="none"/>
              </w:rPr>
            </w:pPr>
          </w:p>
        </w:tc>
        <w:tc>
          <w:tcPr>
            <w:tcW w:w="1021" w:type="dxa"/>
            <w:vMerge w:val="continue"/>
            <w:shd w:val="clear" w:color="000000" w:fill="FFFFFF"/>
            <w:noWrap/>
            <w:vAlign w:val="center"/>
          </w:tcPr>
          <w:p w14:paraId="4277B9C0">
            <w:pPr>
              <w:adjustRightInd/>
              <w:spacing w:line="280" w:lineRule="exact"/>
              <w:jc w:val="center"/>
              <w:rPr>
                <w:rFonts w:ascii="仿宋" w:hAnsi="仿宋" w:eastAsia="仿宋" w:cs="仿宋_GB2312"/>
                <w:color w:val="auto"/>
                <w:sz w:val="24"/>
                <w:highlight w:val="none"/>
              </w:rPr>
            </w:pPr>
          </w:p>
        </w:tc>
        <w:tc>
          <w:tcPr>
            <w:tcW w:w="5538" w:type="dxa"/>
            <w:gridSpan w:val="2"/>
            <w:noWrap/>
            <w:vAlign w:val="center"/>
          </w:tcPr>
          <w:p w14:paraId="37F5B712">
            <w:pPr>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rPr>
              <w:t>“除四害”培训、宣传方案安排科学</w:t>
            </w:r>
            <w:r>
              <w:rPr>
                <w:rFonts w:hint="eastAsia" w:ascii="仿宋" w:hAnsi="仿宋" w:eastAsia="仿宋" w:cs="仿宋"/>
                <w:color w:val="auto"/>
                <w:kern w:val="0"/>
                <w:sz w:val="24"/>
                <w:highlight w:val="none"/>
                <w:lang w:val="en-US" w:eastAsia="zh-CN"/>
              </w:rPr>
              <w:t>性方案进行综合评分。</w:t>
            </w:r>
          </w:p>
          <w:p w14:paraId="6DC98542">
            <w:pPr>
              <w:rPr>
                <w:rFonts w:hint="eastAsia" w:ascii="仿宋" w:hAnsi="仿宋" w:eastAsia="仿宋" w:cs="仿宋"/>
                <w:color w:val="auto"/>
                <w:sz w:val="24"/>
                <w:highlight w:val="none"/>
                <w:lang w:val="en-US" w:eastAsia="zh-CN"/>
              </w:rPr>
            </w:pPr>
            <w:r>
              <w:rPr>
                <w:rFonts w:hint="eastAsia" w:ascii="仿宋" w:hAnsi="仿宋" w:eastAsia="仿宋" w:cs="仿宋"/>
                <w:b w:val="0"/>
                <w:color w:val="000000"/>
                <w:sz w:val="24"/>
                <w:highlight w:val="none"/>
              </w:rPr>
              <w:t>方案详细完善的得</w:t>
            </w:r>
            <w:r>
              <w:rPr>
                <w:rFonts w:hint="eastAsia" w:ascii="仿宋" w:hAnsi="仿宋" w:eastAsia="仿宋" w:cs="仿宋"/>
                <w:b w:val="0"/>
                <w:color w:val="000000"/>
                <w:sz w:val="24"/>
                <w:highlight w:val="none"/>
                <w:lang w:val="en-US" w:eastAsia="zh-CN"/>
              </w:rPr>
              <w:t>6</w:t>
            </w:r>
            <w:r>
              <w:rPr>
                <w:rFonts w:hint="eastAsia" w:ascii="仿宋" w:hAnsi="仿宋" w:eastAsia="仿宋" w:cs="仿宋"/>
                <w:b w:val="0"/>
                <w:color w:val="000000"/>
                <w:sz w:val="24"/>
                <w:highlight w:val="none"/>
              </w:rPr>
              <w:t>-</w:t>
            </w:r>
            <w:r>
              <w:rPr>
                <w:rFonts w:hint="eastAsia" w:ascii="仿宋" w:hAnsi="仿宋" w:eastAsia="仿宋" w:cs="仿宋"/>
                <w:b w:val="0"/>
                <w:color w:val="000000"/>
                <w:sz w:val="24"/>
                <w:highlight w:val="none"/>
                <w:lang w:val="en-US" w:eastAsia="zh-CN"/>
              </w:rPr>
              <w:t>8</w:t>
            </w:r>
            <w:r>
              <w:rPr>
                <w:rFonts w:hint="eastAsia" w:ascii="仿宋" w:hAnsi="仿宋" w:eastAsia="仿宋" w:cs="仿宋"/>
                <w:b w:val="0"/>
                <w:color w:val="000000"/>
                <w:sz w:val="24"/>
                <w:highlight w:val="none"/>
              </w:rPr>
              <w:t>分，方案较详细完善的得</w:t>
            </w:r>
            <w:r>
              <w:rPr>
                <w:rFonts w:hint="eastAsia" w:ascii="仿宋" w:hAnsi="仿宋" w:eastAsia="仿宋" w:cs="仿宋"/>
                <w:b w:val="0"/>
                <w:color w:val="000000"/>
                <w:sz w:val="24"/>
                <w:highlight w:val="none"/>
                <w:lang w:val="en-US" w:eastAsia="zh-CN"/>
              </w:rPr>
              <w:t>3</w:t>
            </w:r>
            <w:r>
              <w:rPr>
                <w:rFonts w:hint="eastAsia" w:ascii="仿宋" w:hAnsi="仿宋" w:eastAsia="仿宋" w:cs="仿宋"/>
                <w:b w:val="0"/>
                <w:color w:val="000000"/>
                <w:sz w:val="24"/>
                <w:highlight w:val="none"/>
              </w:rPr>
              <w:t>-</w:t>
            </w:r>
            <w:r>
              <w:rPr>
                <w:rFonts w:hint="eastAsia" w:ascii="仿宋" w:hAnsi="仿宋" w:eastAsia="仿宋" w:cs="仿宋"/>
                <w:b w:val="0"/>
                <w:color w:val="000000"/>
                <w:sz w:val="24"/>
                <w:highlight w:val="none"/>
                <w:lang w:val="en-US" w:eastAsia="zh-CN"/>
              </w:rPr>
              <w:t>5</w:t>
            </w:r>
            <w:r>
              <w:rPr>
                <w:rFonts w:hint="eastAsia" w:ascii="仿宋" w:hAnsi="仿宋" w:eastAsia="仿宋" w:cs="仿宋"/>
                <w:b w:val="0"/>
                <w:color w:val="000000"/>
                <w:sz w:val="24"/>
                <w:highlight w:val="none"/>
              </w:rPr>
              <w:t>.9分，方案不够详细完善的得0-</w:t>
            </w:r>
            <w:r>
              <w:rPr>
                <w:rFonts w:hint="eastAsia" w:ascii="仿宋" w:hAnsi="仿宋" w:eastAsia="仿宋" w:cs="仿宋"/>
                <w:b w:val="0"/>
                <w:color w:val="000000"/>
                <w:sz w:val="24"/>
                <w:highlight w:val="none"/>
                <w:lang w:val="en-US" w:eastAsia="zh-CN"/>
              </w:rPr>
              <w:t>2</w:t>
            </w:r>
            <w:r>
              <w:rPr>
                <w:rFonts w:hint="eastAsia" w:ascii="仿宋" w:hAnsi="仿宋" w:eastAsia="仿宋" w:cs="仿宋"/>
                <w:b w:val="0"/>
                <w:color w:val="000000"/>
                <w:sz w:val="24"/>
                <w:highlight w:val="none"/>
              </w:rPr>
              <w:t>.9分</w:t>
            </w:r>
            <w:r>
              <w:rPr>
                <w:rFonts w:hint="eastAsia" w:ascii="仿宋" w:hAnsi="仿宋" w:eastAsia="仿宋" w:cs="仿宋"/>
                <w:b w:val="0"/>
                <w:color w:val="000000"/>
                <w:sz w:val="24"/>
                <w:highlight w:val="none"/>
                <w:lang w:eastAsia="zh-CN"/>
              </w:rPr>
              <w:t>。</w:t>
            </w:r>
            <w:r>
              <w:rPr>
                <w:rFonts w:hint="eastAsia" w:ascii="仿宋" w:hAnsi="仿宋" w:eastAsia="仿宋" w:cs="宋体"/>
                <w:b w:val="0"/>
                <w:color w:val="000000"/>
                <w:sz w:val="24"/>
                <w:highlight w:val="none"/>
                <w:shd w:val="clear" w:color="FFFFFF" w:fill="auto"/>
              </w:rPr>
              <w:t xml:space="preserve">  </w:t>
            </w:r>
          </w:p>
        </w:tc>
        <w:tc>
          <w:tcPr>
            <w:tcW w:w="801" w:type="dxa"/>
            <w:gridSpan w:val="2"/>
            <w:noWrap/>
            <w:vAlign w:val="center"/>
          </w:tcPr>
          <w:p w14:paraId="2A0C0DE4">
            <w:pPr>
              <w:jc w:val="center"/>
              <w:rPr>
                <w:rFonts w:hint="eastAsia" w:ascii="仿宋" w:hAnsi="仿宋" w:eastAsia="仿宋" w:cs="仿宋"/>
                <w:color w:val="auto"/>
                <w:kern w:val="0"/>
                <w:sz w:val="24"/>
                <w:highlight w:val="none"/>
                <w:lang w:eastAsia="zh-CN"/>
              </w:rPr>
            </w:pPr>
            <w:r>
              <w:rPr>
                <w:rFonts w:hint="eastAsia" w:ascii="仿宋" w:hAnsi="仿宋" w:eastAsia="仿宋" w:cs="仿宋"/>
                <w:bCs/>
                <w:color w:val="auto"/>
                <w:kern w:val="0"/>
                <w:sz w:val="24"/>
                <w:highlight w:val="none"/>
                <w:lang w:val="en-US" w:eastAsia="zh-CN"/>
              </w:rPr>
              <w:t>0-</w:t>
            </w:r>
            <w:r>
              <w:rPr>
                <w:rFonts w:hint="eastAsia" w:ascii="仿宋" w:hAnsi="仿宋" w:eastAsia="仿宋" w:cs="仿宋"/>
                <w:color w:val="auto"/>
                <w:kern w:val="0"/>
                <w:sz w:val="24"/>
                <w:highlight w:val="none"/>
                <w:lang w:val="en-US" w:eastAsia="zh-CN"/>
              </w:rPr>
              <w:t>8</w:t>
            </w:r>
          </w:p>
        </w:tc>
        <w:tc>
          <w:tcPr>
            <w:tcW w:w="945" w:type="dxa"/>
            <w:noWrap/>
            <w:vAlign w:val="center"/>
          </w:tcPr>
          <w:p w14:paraId="16AF5FD2">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主观分</w:t>
            </w:r>
          </w:p>
        </w:tc>
      </w:tr>
      <w:tr w14:paraId="6F18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76" w:hRule="atLeast"/>
        </w:trPr>
        <w:tc>
          <w:tcPr>
            <w:tcW w:w="791" w:type="dxa"/>
            <w:gridSpan w:val="2"/>
            <w:vMerge w:val="continue"/>
            <w:tcBorders>
              <w:bottom w:val="nil"/>
            </w:tcBorders>
            <w:shd w:val="clear" w:color="auto" w:fill="auto"/>
            <w:noWrap/>
            <w:vAlign w:val="center"/>
          </w:tcPr>
          <w:p w14:paraId="29B36045">
            <w:pPr>
              <w:adjustRightInd/>
              <w:spacing w:line="280" w:lineRule="exact"/>
              <w:jc w:val="center"/>
              <w:rPr>
                <w:rFonts w:ascii="仿宋" w:hAnsi="仿宋" w:eastAsia="仿宋" w:cs="仿宋_GB2312"/>
                <w:color w:val="auto"/>
                <w:sz w:val="24"/>
                <w:highlight w:val="none"/>
              </w:rPr>
            </w:pPr>
          </w:p>
        </w:tc>
        <w:tc>
          <w:tcPr>
            <w:tcW w:w="790" w:type="dxa"/>
            <w:vMerge w:val="continue"/>
            <w:shd w:val="clear" w:color="auto" w:fill="auto"/>
            <w:noWrap/>
            <w:vAlign w:val="center"/>
          </w:tcPr>
          <w:p w14:paraId="09DE6FC4">
            <w:pPr>
              <w:adjustRightInd/>
              <w:spacing w:line="280" w:lineRule="exact"/>
              <w:jc w:val="center"/>
              <w:rPr>
                <w:rFonts w:ascii="仿宋" w:hAnsi="仿宋" w:eastAsia="仿宋" w:cs="仿宋_GB2312"/>
                <w:color w:val="auto"/>
                <w:sz w:val="24"/>
                <w:highlight w:val="none"/>
              </w:rPr>
            </w:pPr>
          </w:p>
        </w:tc>
        <w:tc>
          <w:tcPr>
            <w:tcW w:w="1021" w:type="dxa"/>
            <w:vMerge w:val="continue"/>
            <w:shd w:val="clear" w:color="000000" w:fill="FFFFFF"/>
            <w:noWrap/>
            <w:vAlign w:val="center"/>
          </w:tcPr>
          <w:p w14:paraId="08E30A20">
            <w:pPr>
              <w:adjustRightInd/>
              <w:spacing w:line="280" w:lineRule="exact"/>
              <w:jc w:val="center"/>
              <w:rPr>
                <w:rFonts w:ascii="仿宋" w:hAnsi="仿宋" w:eastAsia="仿宋" w:cs="仿宋_GB2312"/>
                <w:color w:val="auto"/>
                <w:sz w:val="24"/>
                <w:highlight w:val="none"/>
              </w:rPr>
            </w:pPr>
          </w:p>
        </w:tc>
        <w:tc>
          <w:tcPr>
            <w:tcW w:w="5538" w:type="dxa"/>
            <w:gridSpan w:val="2"/>
            <w:noWrap/>
            <w:vAlign w:val="center"/>
          </w:tcPr>
          <w:p w14:paraId="092410E5">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登革热疫情防控措施</w:t>
            </w:r>
            <w:r>
              <w:rPr>
                <w:rFonts w:hint="eastAsia" w:ascii="仿宋" w:hAnsi="仿宋" w:eastAsia="仿宋" w:cs="仿宋"/>
                <w:color w:val="auto"/>
                <w:kern w:val="0"/>
                <w:sz w:val="24"/>
                <w:highlight w:val="none"/>
                <w:lang w:val="en-US" w:eastAsia="zh-CN"/>
              </w:rPr>
              <w:t>方案进行综合评分。</w:t>
            </w:r>
          </w:p>
          <w:p w14:paraId="2459C7EC">
            <w:pPr>
              <w:rPr>
                <w:rFonts w:hint="eastAsia" w:ascii="仿宋" w:hAnsi="仿宋" w:eastAsia="仿宋" w:cs="仿宋"/>
                <w:color w:val="auto"/>
                <w:kern w:val="0"/>
                <w:sz w:val="24"/>
                <w:highlight w:val="none"/>
              </w:rPr>
            </w:pPr>
            <w:r>
              <w:rPr>
                <w:rFonts w:hint="eastAsia" w:ascii="仿宋" w:hAnsi="仿宋" w:eastAsia="仿宋" w:cs="仿宋"/>
                <w:b w:val="0"/>
                <w:color w:val="000000"/>
                <w:sz w:val="24"/>
                <w:highlight w:val="none"/>
              </w:rPr>
              <w:t>方案详细完善的得</w:t>
            </w:r>
            <w:r>
              <w:rPr>
                <w:rFonts w:hint="eastAsia" w:ascii="仿宋" w:hAnsi="仿宋" w:eastAsia="仿宋" w:cs="仿宋"/>
                <w:b w:val="0"/>
                <w:color w:val="000000"/>
                <w:sz w:val="24"/>
                <w:highlight w:val="none"/>
                <w:lang w:val="en-US" w:eastAsia="zh-CN"/>
              </w:rPr>
              <w:t>6</w:t>
            </w:r>
            <w:r>
              <w:rPr>
                <w:rFonts w:hint="eastAsia" w:ascii="仿宋" w:hAnsi="仿宋" w:eastAsia="仿宋" w:cs="仿宋"/>
                <w:b w:val="0"/>
                <w:color w:val="000000"/>
                <w:sz w:val="24"/>
                <w:highlight w:val="none"/>
              </w:rPr>
              <w:t>-</w:t>
            </w:r>
            <w:r>
              <w:rPr>
                <w:rFonts w:hint="eastAsia" w:ascii="仿宋" w:hAnsi="仿宋" w:eastAsia="仿宋" w:cs="仿宋"/>
                <w:b w:val="0"/>
                <w:color w:val="000000"/>
                <w:sz w:val="24"/>
                <w:highlight w:val="none"/>
                <w:lang w:val="en-US" w:eastAsia="zh-CN"/>
              </w:rPr>
              <w:t>7</w:t>
            </w:r>
            <w:r>
              <w:rPr>
                <w:rFonts w:hint="eastAsia" w:ascii="仿宋" w:hAnsi="仿宋" w:eastAsia="仿宋" w:cs="仿宋"/>
                <w:b w:val="0"/>
                <w:color w:val="000000"/>
                <w:sz w:val="24"/>
                <w:highlight w:val="none"/>
              </w:rPr>
              <w:t>分，方案较详细完善的得</w:t>
            </w:r>
            <w:r>
              <w:rPr>
                <w:rFonts w:hint="eastAsia" w:ascii="仿宋" w:hAnsi="仿宋" w:eastAsia="仿宋" w:cs="仿宋"/>
                <w:b w:val="0"/>
                <w:color w:val="000000"/>
                <w:sz w:val="24"/>
                <w:highlight w:val="none"/>
                <w:lang w:val="en-US" w:eastAsia="zh-CN"/>
              </w:rPr>
              <w:t>3</w:t>
            </w:r>
            <w:r>
              <w:rPr>
                <w:rFonts w:hint="eastAsia" w:ascii="仿宋" w:hAnsi="仿宋" w:eastAsia="仿宋" w:cs="仿宋"/>
                <w:b w:val="0"/>
                <w:color w:val="000000"/>
                <w:sz w:val="24"/>
                <w:highlight w:val="none"/>
              </w:rPr>
              <w:t>-</w:t>
            </w:r>
            <w:r>
              <w:rPr>
                <w:rFonts w:hint="eastAsia" w:ascii="仿宋" w:hAnsi="仿宋" w:eastAsia="仿宋" w:cs="仿宋"/>
                <w:b w:val="0"/>
                <w:color w:val="000000"/>
                <w:sz w:val="24"/>
                <w:highlight w:val="none"/>
                <w:lang w:val="en-US" w:eastAsia="zh-CN"/>
              </w:rPr>
              <w:t>5</w:t>
            </w:r>
            <w:r>
              <w:rPr>
                <w:rFonts w:hint="eastAsia" w:ascii="仿宋" w:hAnsi="仿宋" w:eastAsia="仿宋" w:cs="仿宋"/>
                <w:b w:val="0"/>
                <w:color w:val="000000"/>
                <w:sz w:val="24"/>
                <w:highlight w:val="none"/>
              </w:rPr>
              <w:t>.9分，方案不够详细完善的得0-</w:t>
            </w:r>
            <w:r>
              <w:rPr>
                <w:rFonts w:hint="eastAsia" w:ascii="仿宋" w:hAnsi="仿宋" w:eastAsia="仿宋" w:cs="仿宋"/>
                <w:b w:val="0"/>
                <w:color w:val="000000"/>
                <w:sz w:val="24"/>
                <w:highlight w:val="none"/>
                <w:lang w:val="en-US" w:eastAsia="zh-CN"/>
              </w:rPr>
              <w:t>2</w:t>
            </w:r>
            <w:r>
              <w:rPr>
                <w:rFonts w:hint="eastAsia" w:ascii="仿宋" w:hAnsi="仿宋" w:eastAsia="仿宋" w:cs="仿宋"/>
                <w:b w:val="0"/>
                <w:color w:val="000000"/>
                <w:sz w:val="24"/>
                <w:highlight w:val="none"/>
              </w:rPr>
              <w:t>.9分</w:t>
            </w:r>
            <w:r>
              <w:rPr>
                <w:rFonts w:hint="eastAsia" w:ascii="仿宋" w:hAnsi="仿宋" w:eastAsia="仿宋" w:cs="仿宋"/>
                <w:b w:val="0"/>
                <w:color w:val="000000"/>
                <w:sz w:val="24"/>
                <w:highlight w:val="none"/>
                <w:lang w:eastAsia="zh-CN"/>
              </w:rPr>
              <w:t>。</w:t>
            </w:r>
            <w:r>
              <w:rPr>
                <w:rFonts w:hint="eastAsia" w:ascii="仿宋" w:hAnsi="仿宋" w:eastAsia="仿宋" w:cs="宋体"/>
                <w:b w:val="0"/>
                <w:color w:val="000000"/>
                <w:sz w:val="24"/>
                <w:highlight w:val="none"/>
                <w:shd w:val="clear" w:color="FFFFFF" w:fill="auto"/>
              </w:rPr>
              <w:t xml:space="preserve">  </w:t>
            </w:r>
          </w:p>
        </w:tc>
        <w:tc>
          <w:tcPr>
            <w:tcW w:w="801" w:type="dxa"/>
            <w:gridSpan w:val="2"/>
            <w:noWrap/>
            <w:vAlign w:val="center"/>
          </w:tcPr>
          <w:p w14:paraId="4C9AD136">
            <w:pPr>
              <w:jc w:val="center"/>
              <w:rPr>
                <w:rFonts w:hint="eastAsia" w:ascii="仿宋" w:hAnsi="仿宋" w:eastAsia="仿宋" w:cs="仿宋"/>
                <w:color w:val="auto"/>
                <w:kern w:val="0"/>
                <w:sz w:val="24"/>
                <w:highlight w:val="none"/>
                <w:lang w:eastAsia="zh-CN"/>
              </w:rPr>
            </w:pPr>
            <w:r>
              <w:rPr>
                <w:rFonts w:hint="eastAsia" w:ascii="仿宋" w:hAnsi="仿宋" w:eastAsia="仿宋" w:cs="仿宋"/>
                <w:bCs/>
                <w:color w:val="auto"/>
                <w:kern w:val="0"/>
                <w:sz w:val="24"/>
                <w:highlight w:val="none"/>
                <w:lang w:val="en-US" w:eastAsia="zh-CN"/>
              </w:rPr>
              <w:t>0-</w:t>
            </w:r>
            <w:r>
              <w:rPr>
                <w:rFonts w:hint="eastAsia" w:ascii="仿宋" w:hAnsi="仿宋" w:eastAsia="仿宋" w:cs="仿宋"/>
                <w:color w:val="auto"/>
                <w:kern w:val="0"/>
                <w:sz w:val="24"/>
                <w:highlight w:val="none"/>
                <w:lang w:val="en-US" w:eastAsia="zh-CN"/>
              </w:rPr>
              <w:t>7</w:t>
            </w:r>
          </w:p>
        </w:tc>
        <w:tc>
          <w:tcPr>
            <w:tcW w:w="945" w:type="dxa"/>
            <w:noWrap/>
            <w:vAlign w:val="center"/>
          </w:tcPr>
          <w:p w14:paraId="6EEC6F62">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主观分</w:t>
            </w:r>
          </w:p>
        </w:tc>
      </w:tr>
      <w:tr w14:paraId="23E1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695" w:hRule="atLeast"/>
        </w:trPr>
        <w:tc>
          <w:tcPr>
            <w:tcW w:w="791" w:type="dxa"/>
            <w:gridSpan w:val="2"/>
            <w:vMerge w:val="restart"/>
            <w:tcBorders>
              <w:top w:val="nil"/>
            </w:tcBorders>
            <w:shd w:val="clear" w:color="auto" w:fill="auto"/>
            <w:noWrap/>
            <w:vAlign w:val="center"/>
          </w:tcPr>
          <w:p w14:paraId="0991EBDB">
            <w:pPr>
              <w:widowControl/>
              <w:spacing w:line="280" w:lineRule="exact"/>
              <w:jc w:val="center"/>
              <w:rPr>
                <w:rFonts w:hint="eastAsia" w:ascii="仿宋" w:hAnsi="仿宋" w:eastAsia="仿宋" w:cs="仿宋"/>
                <w:color w:val="auto"/>
                <w:kern w:val="0"/>
                <w:sz w:val="24"/>
                <w:highlight w:val="none"/>
              </w:rPr>
            </w:pPr>
          </w:p>
        </w:tc>
        <w:tc>
          <w:tcPr>
            <w:tcW w:w="790" w:type="dxa"/>
            <w:shd w:val="clear" w:color="auto" w:fill="auto"/>
            <w:noWrap/>
            <w:vAlign w:val="center"/>
          </w:tcPr>
          <w:p w14:paraId="40B9AA71">
            <w:pPr>
              <w:widowControl/>
              <w:spacing w:line="28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021" w:type="dxa"/>
            <w:shd w:val="clear" w:color="000000" w:fill="FFFFFF"/>
            <w:noWrap/>
            <w:vAlign w:val="center"/>
          </w:tcPr>
          <w:p w14:paraId="0B16C225">
            <w:pPr>
              <w:widowControl/>
              <w:spacing w:line="2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项目团队</w:t>
            </w:r>
          </w:p>
        </w:tc>
        <w:tc>
          <w:tcPr>
            <w:tcW w:w="5538" w:type="dxa"/>
            <w:gridSpan w:val="2"/>
            <w:noWrap/>
            <w:vAlign w:val="center"/>
          </w:tcPr>
          <w:p w14:paraId="3D819744">
            <w:pPr>
              <w:widowControl/>
              <w:spacing w:line="2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拟投入本项目的施工技术人员</w:t>
            </w:r>
            <w:r>
              <w:rPr>
                <w:rFonts w:hint="eastAsia" w:ascii="仿宋" w:hAnsi="仿宋" w:eastAsia="仿宋" w:cs="仿宋"/>
                <w:color w:val="auto"/>
                <w:sz w:val="24"/>
                <w:highlight w:val="none"/>
                <w:lang w:val="en-US" w:eastAsia="zh-CN"/>
              </w:rPr>
              <w:t>具有</w:t>
            </w:r>
            <w:r>
              <w:rPr>
                <w:rFonts w:hint="eastAsia" w:ascii="仿宋" w:hAnsi="仿宋" w:eastAsia="仿宋" w:cs="仿宋"/>
                <w:color w:val="auto"/>
                <w:sz w:val="24"/>
                <w:highlight w:val="none"/>
              </w:rPr>
              <w:t>浙江省病媒生物预防控制培训合格证明，每一人得</w:t>
            </w:r>
            <w:r>
              <w:rPr>
                <w:rFonts w:ascii="仿宋" w:hAnsi="仿宋" w:eastAsia="仿宋" w:cs="仿宋"/>
                <w:color w:val="auto"/>
                <w:sz w:val="24"/>
                <w:highlight w:val="none"/>
              </w:rPr>
              <w:t>2</w:t>
            </w:r>
            <w:r>
              <w:rPr>
                <w:rFonts w:hint="eastAsia" w:ascii="仿宋" w:hAnsi="仿宋" w:eastAsia="仿宋" w:cs="仿宋"/>
                <w:color w:val="auto"/>
                <w:sz w:val="24"/>
                <w:highlight w:val="none"/>
              </w:rPr>
              <w:t>分，最多得</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w:t>
            </w:r>
          </w:p>
          <w:p w14:paraId="2D0056E5">
            <w:pPr>
              <w:widowControl/>
              <w:spacing w:line="2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提供合格证明和投标截止时间最近三个月的社保缴纳证明，否则不得分。</w:t>
            </w:r>
          </w:p>
        </w:tc>
        <w:tc>
          <w:tcPr>
            <w:tcW w:w="801" w:type="dxa"/>
            <w:gridSpan w:val="2"/>
            <w:noWrap/>
            <w:vAlign w:val="center"/>
          </w:tcPr>
          <w:p w14:paraId="429AD0B1">
            <w:pPr>
              <w:widowControl/>
              <w:spacing w:line="400" w:lineRule="exact"/>
              <w:jc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val="en-US" w:eastAsia="zh-CN"/>
              </w:rPr>
              <w:t>0-6</w:t>
            </w:r>
          </w:p>
        </w:tc>
        <w:tc>
          <w:tcPr>
            <w:tcW w:w="945" w:type="dxa"/>
            <w:noWrap/>
            <w:vAlign w:val="center"/>
          </w:tcPr>
          <w:p w14:paraId="29C46136">
            <w:pPr>
              <w:widowControl/>
              <w:spacing w:line="400" w:lineRule="exac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客观分</w:t>
            </w:r>
          </w:p>
        </w:tc>
      </w:tr>
      <w:tr w14:paraId="7B56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335" w:hRule="atLeast"/>
        </w:trPr>
        <w:tc>
          <w:tcPr>
            <w:tcW w:w="791" w:type="dxa"/>
            <w:gridSpan w:val="2"/>
            <w:vMerge w:val="continue"/>
            <w:shd w:val="clear" w:color="auto" w:fill="auto"/>
            <w:noWrap/>
            <w:vAlign w:val="center"/>
          </w:tcPr>
          <w:p w14:paraId="66A1162A">
            <w:pPr>
              <w:widowControl/>
              <w:spacing w:line="280" w:lineRule="exact"/>
              <w:jc w:val="center"/>
              <w:rPr>
                <w:rFonts w:hint="eastAsia" w:ascii="仿宋" w:hAnsi="仿宋" w:eastAsia="仿宋" w:cs="仿宋"/>
                <w:color w:val="auto"/>
                <w:kern w:val="0"/>
                <w:sz w:val="24"/>
                <w:highlight w:val="none"/>
              </w:rPr>
            </w:pPr>
          </w:p>
        </w:tc>
        <w:tc>
          <w:tcPr>
            <w:tcW w:w="790" w:type="dxa"/>
            <w:shd w:val="clear" w:color="auto" w:fill="auto"/>
            <w:noWrap/>
            <w:vAlign w:val="center"/>
          </w:tcPr>
          <w:p w14:paraId="417070F1">
            <w:pPr>
              <w:widowControl/>
              <w:spacing w:line="28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w:t>
            </w:r>
          </w:p>
        </w:tc>
        <w:tc>
          <w:tcPr>
            <w:tcW w:w="6559" w:type="dxa"/>
            <w:gridSpan w:val="3"/>
            <w:shd w:val="clear" w:color="000000" w:fill="FFFFFF"/>
            <w:noWrap/>
            <w:vAlign w:val="center"/>
          </w:tcPr>
          <w:p w14:paraId="14AA9343">
            <w:pPr>
              <w:widowControl/>
              <w:spacing w:line="2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药品使用符合国家有关规定，必须使用农药登记证、产品生产批准证书、产品标准及产品标准备案证书等证件齐备的产品，建立索证制度，药品“三证”齐全等</w:t>
            </w:r>
            <w:r>
              <w:rPr>
                <w:rFonts w:hint="eastAsia" w:ascii="仿宋" w:hAnsi="仿宋" w:eastAsia="仿宋" w:cs="仿宋"/>
                <w:color w:val="auto"/>
                <w:kern w:val="0"/>
                <w:sz w:val="24"/>
                <w:highlight w:val="none"/>
                <w:lang w:val="en-US" w:eastAsia="zh-CN"/>
              </w:rPr>
              <w:t>进行综合评分。</w:t>
            </w:r>
          </w:p>
          <w:p w14:paraId="4F7D6A9C">
            <w:pPr>
              <w:widowControl/>
              <w:spacing w:line="280" w:lineRule="exact"/>
              <w:rPr>
                <w:rFonts w:hint="eastAsia" w:ascii="仿宋" w:hAnsi="仿宋" w:eastAsia="仿宋" w:cs="仿宋"/>
                <w:color w:val="auto"/>
                <w:sz w:val="24"/>
                <w:highlight w:val="none"/>
              </w:rPr>
            </w:pPr>
            <w:r>
              <w:rPr>
                <w:rFonts w:hint="eastAsia" w:ascii="仿宋" w:hAnsi="仿宋" w:eastAsia="仿宋" w:cs="仿宋"/>
                <w:b w:val="0"/>
                <w:color w:val="000000"/>
                <w:sz w:val="24"/>
                <w:highlight w:val="none"/>
              </w:rPr>
              <w:t>方案详细完善的得</w:t>
            </w:r>
            <w:r>
              <w:rPr>
                <w:rFonts w:hint="eastAsia" w:ascii="仿宋" w:hAnsi="仿宋" w:eastAsia="仿宋" w:cs="仿宋"/>
                <w:b w:val="0"/>
                <w:color w:val="000000"/>
                <w:sz w:val="24"/>
                <w:highlight w:val="none"/>
                <w:lang w:val="en-US" w:eastAsia="zh-CN"/>
              </w:rPr>
              <w:t>6</w:t>
            </w:r>
            <w:r>
              <w:rPr>
                <w:rFonts w:hint="eastAsia" w:ascii="仿宋" w:hAnsi="仿宋" w:eastAsia="仿宋" w:cs="仿宋"/>
                <w:b w:val="0"/>
                <w:color w:val="000000"/>
                <w:sz w:val="24"/>
                <w:highlight w:val="none"/>
              </w:rPr>
              <w:t>-</w:t>
            </w:r>
            <w:r>
              <w:rPr>
                <w:rFonts w:hint="eastAsia" w:ascii="仿宋" w:hAnsi="仿宋" w:eastAsia="仿宋" w:cs="仿宋"/>
                <w:b w:val="0"/>
                <w:color w:val="000000"/>
                <w:sz w:val="24"/>
                <w:highlight w:val="none"/>
                <w:lang w:val="en-US" w:eastAsia="zh-CN"/>
              </w:rPr>
              <w:t>8</w:t>
            </w:r>
            <w:r>
              <w:rPr>
                <w:rFonts w:hint="eastAsia" w:ascii="仿宋" w:hAnsi="仿宋" w:eastAsia="仿宋" w:cs="仿宋"/>
                <w:b w:val="0"/>
                <w:color w:val="000000"/>
                <w:sz w:val="24"/>
                <w:highlight w:val="none"/>
              </w:rPr>
              <w:t>分，方案较详细完善的得</w:t>
            </w:r>
            <w:r>
              <w:rPr>
                <w:rFonts w:hint="eastAsia" w:ascii="仿宋" w:hAnsi="仿宋" w:eastAsia="仿宋" w:cs="仿宋"/>
                <w:b w:val="0"/>
                <w:color w:val="000000"/>
                <w:sz w:val="24"/>
                <w:highlight w:val="none"/>
                <w:lang w:val="en-US" w:eastAsia="zh-CN"/>
              </w:rPr>
              <w:t>3</w:t>
            </w:r>
            <w:r>
              <w:rPr>
                <w:rFonts w:hint="eastAsia" w:ascii="仿宋" w:hAnsi="仿宋" w:eastAsia="仿宋" w:cs="仿宋"/>
                <w:b w:val="0"/>
                <w:color w:val="000000"/>
                <w:sz w:val="24"/>
                <w:highlight w:val="none"/>
              </w:rPr>
              <w:t>-</w:t>
            </w:r>
            <w:r>
              <w:rPr>
                <w:rFonts w:hint="eastAsia" w:ascii="仿宋" w:hAnsi="仿宋" w:eastAsia="仿宋" w:cs="仿宋"/>
                <w:b w:val="0"/>
                <w:color w:val="000000"/>
                <w:sz w:val="24"/>
                <w:highlight w:val="none"/>
                <w:lang w:val="en-US" w:eastAsia="zh-CN"/>
              </w:rPr>
              <w:t>5</w:t>
            </w:r>
            <w:r>
              <w:rPr>
                <w:rFonts w:hint="eastAsia" w:ascii="仿宋" w:hAnsi="仿宋" w:eastAsia="仿宋" w:cs="仿宋"/>
                <w:b w:val="0"/>
                <w:color w:val="000000"/>
                <w:sz w:val="24"/>
                <w:highlight w:val="none"/>
              </w:rPr>
              <w:t>.9分，方案不够详细完善的得0-</w:t>
            </w:r>
            <w:r>
              <w:rPr>
                <w:rFonts w:hint="eastAsia" w:ascii="仿宋" w:hAnsi="仿宋" w:eastAsia="仿宋" w:cs="仿宋"/>
                <w:b w:val="0"/>
                <w:color w:val="000000"/>
                <w:sz w:val="24"/>
                <w:highlight w:val="none"/>
                <w:lang w:val="en-US" w:eastAsia="zh-CN"/>
              </w:rPr>
              <w:t>2</w:t>
            </w:r>
            <w:r>
              <w:rPr>
                <w:rFonts w:hint="eastAsia" w:ascii="仿宋" w:hAnsi="仿宋" w:eastAsia="仿宋" w:cs="仿宋"/>
                <w:b w:val="0"/>
                <w:color w:val="000000"/>
                <w:sz w:val="24"/>
                <w:highlight w:val="none"/>
              </w:rPr>
              <w:t>.9分</w:t>
            </w:r>
            <w:r>
              <w:rPr>
                <w:rFonts w:hint="eastAsia" w:ascii="仿宋" w:hAnsi="仿宋" w:eastAsia="仿宋" w:cs="仿宋"/>
                <w:b w:val="0"/>
                <w:color w:val="000000"/>
                <w:sz w:val="24"/>
                <w:highlight w:val="none"/>
                <w:lang w:eastAsia="zh-CN"/>
              </w:rPr>
              <w:t>。</w:t>
            </w:r>
            <w:r>
              <w:rPr>
                <w:rFonts w:hint="eastAsia" w:ascii="仿宋" w:hAnsi="仿宋" w:eastAsia="仿宋" w:cs="宋体"/>
                <w:b w:val="0"/>
                <w:color w:val="000000"/>
                <w:sz w:val="24"/>
                <w:highlight w:val="none"/>
                <w:shd w:val="clear" w:color="FFFFFF" w:fill="auto"/>
              </w:rPr>
              <w:t xml:space="preserve">  </w:t>
            </w:r>
          </w:p>
        </w:tc>
        <w:tc>
          <w:tcPr>
            <w:tcW w:w="801" w:type="dxa"/>
            <w:gridSpan w:val="2"/>
            <w:noWrap/>
            <w:vAlign w:val="center"/>
          </w:tcPr>
          <w:p w14:paraId="2B0BFD89">
            <w:pPr>
              <w:widowControl/>
              <w:spacing w:line="40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0-</w:t>
            </w:r>
            <w:r>
              <w:rPr>
                <w:rFonts w:hint="eastAsia" w:ascii="仿宋" w:hAnsi="仿宋" w:eastAsia="仿宋" w:cs="仿宋"/>
                <w:bCs/>
                <w:color w:val="auto"/>
                <w:kern w:val="0"/>
                <w:sz w:val="24"/>
                <w:highlight w:val="none"/>
              </w:rPr>
              <w:t>8</w:t>
            </w:r>
          </w:p>
        </w:tc>
        <w:tc>
          <w:tcPr>
            <w:tcW w:w="945" w:type="dxa"/>
            <w:noWrap/>
            <w:vAlign w:val="center"/>
          </w:tcPr>
          <w:p w14:paraId="717B0F5C">
            <w:pPr>
              <w:widowControl/>
              <w:spacing w:line="400" w:lineRule="exac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主观分</w:t>
            </w:r>
          </w:p>
        </w:tc>
      </w:tr>
      <w:tr w14:paraId="5208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2800" w:hRule="atLeast"/>
        </w:trPr>
        <w:tc>
          <w:tcPr>
            <w:tcW w:w="791" w:type="dxa"/>
            <w:gridSpan w:val="2"/>
            <w:vMerge w:val="continue"/>
            <w:shd w:val="clear" w:color="auto" w:fill="auto"/>
            <w:noWrap/>
            <w:vAlign w:val="center"/>
          </w:tcPr>
          <w:p w14:paraId="61256689">
            <w:pPr>
              <w:widowControl/>
              <w:spacing w:line="280" w:lineRule="exact"/>
              <w:jc w:val="center"/>
              <w:rPr>
                <w:rFonts w:hint="eastAsia" w:ascii="仿宋" w:hAnsi="仿宋" w:eastAsia="仿宋" w:cs="仿宋"/>
                <w:color w:val="auto"/>
                <w:kern w:val="0"/>
                <w:sz w:val="24"/>
                <w:highlight w:val="none"/>
              </w:rPr>
            </w:pPr>
          </w:p>
        </w:tc>
        <w:tc>
          <w:tcPr>
            <w:tcW w:w="790" w:type="dxa"/>
            <w:vMerge w:val="restart"/>
            <w:shd w:val="clear" w:color="auto" w:fill="auto"/>
            <w:noWrap/>
            <w:vAlign w:val="center"/>
          </w:tcPr>
          <w:p w14:paraId="3CA0C20A">
            <w:pPr>
              <w:widowControl/>
              <w:spacing w:line="28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w:t>
            </w:r>
          </w:p>
        </w:tc>
        <w:tc>
          <w:tcPr>
            <w:tcW w:w="1860" w:type="dxa"/>
            <w:gridSpan w:val="2"/>
            <w:vMerge w:val="restart"/>
            <w:shd w:val="clear" w:color="000000" w:fill="FFFFFF"/>
            <w:noWrap/>
            <w:vAlign w:val="center"/>
          </w:tcPr>
          <w:p w14:paraId="6E68C16E">
            <w:pPr>
              <w:widowControl/>
              <w:spacing w:line="2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器械情况</w:t>
            </w:r>
          </w:p>
        </w:tc>
        <w:tc>
          <w:tcPr>
            <w:tcW w:w="4699" w:type="dxa"/>
            <w:noWrap/>
            <w:vAlign w:val="center"/>
          </w:tcPr>
          <w:p w14:paraId="433A9077">
            <w:pPr>
              <w:widowControl/>
              <w:spacing w:line="2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项目中使用的器材需提供清单。</w:t>
            </w:r>
          </w:p>
          <w:p w14:paraId="782E474E">
            <w:pPr>
              <w:widowControl/>
              <w:spacing w:line="2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（1）配备背负式及手动喷雾器：配备超低容量喷雾器每有1台得1分，最多得3分；配备热烟雾器大型器械每有1台得1分。</w:t>
            </w:r>
          </w:p>
          <w:p w14:paraId="2AC83E40">
            <w:pPr>
              <w:widowControl/>
              <w:spacing w:line="2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（2）配备交通工具：喷有公司标识的小型汽车，每有1辆得2分，最多得4分。</w:t>
            </w:r>
          </w:p>
          <w:p w14:paraId="01339BE3">
            <w:pPr>
              <w:widowControl/>
              <w:spacing w:line="280" w:lineRule="exact"/>
              <w:jc w:val="left"/>
              <w:rPr>
                <w:rFonts w:ascii="仿宋" w:hAnsi="仿宋" w:eastAsia="仿宋" w:cs="仿宋"/>
                <w:color w:val="auto"/>
                <w:sz w:val="24"/>
                <w:highlight w:val="none"/>
              </w:rPr>
            </w:pPr>
            <w:r>
              <w:rPr>
                <w:rFonts w:hint="eastAsia" w:ascii="仿宋" w:hAnsi="仿宋" w:eastAsia="仿宋" w:cs="仿宋"/>
                <w:b/>
                <w:bCs/>
                <w:color w:val="auto"/>
                <w:sz w:val="24"/>
                <w:highlight w:val="none"/>
              </w:rPr>
              <w:t>注：器材情况投标时需提供清单，并附器材自有或租赁凭证（发票或租赁协议）及器材照片，若为自有器材，其上还需喷漆投标单位名称标识及编号。未提供不得分。</w:t>
            </w:r>
          </w:p>
        </w:tc>
        <w:tc>
          <w:tcPr>
            <w:tcW w:w="801" w:type="dxa"/>
            <w:gridSpan w:val="2"/>
            <w:noWrap/>
            <w:vAlign w:val="center"/>
          </w:tcPr>
          <w:p w14:paraId="24D2692A">
            <w:pPr>
              <w:widowControl/>
              <w:spacing w:line="40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0-</w:t>
            </w:r>
            <w:r>
              <w:rPr>
                <w:rFonts w:hint="eastAsia" w:ascii="仿宋" w:hAnsi="仿宋" w:eastAsia="仿宋" w:cs="仿宋"/>
                <w:bCs/>
                <w:color w:val="auto"/>
                <w:kern w:val="0"/>
                <w:sz w:val="24"/>
                <w:highlight w:val="none"/>
              </w:rPr>
              <w:t>8</w:t>
            </w:r>
          </w:p>
        </w:tc>
        <w:tc>
          <w:tcPr>
            <w:tcW w:w="945" w:type="dxa"/>
            <w:shd w:val="clear" w:color="000000" w:fill="FFFFFF"/>
            <w:noWrap/>
            <w:vAlign w:val="center"/>
          </w:tcPr>
          <w:p w14:paraId="3F5C3736">
            <w:pPr>
              <w:widowControl/>
              <w:spacing w:line="400" w:lineRule="exac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客观分</w:t>
            </w:r>
          </w:p>
        </w:tc>
      </w:tr>
      <w:tr w14:paraId="5511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2170" w:hRule="atLeast"/>
        </w:trPr>
        <w:tc>
          <w:tcPr>
            <w:tcW w:w="791" w:type="dxa"/>
            <w:gridSpan w:val="2"/>
            <w:vMerge w:val="continue"/>
            <w:shd w:val="clear" w:color="auto" w:fill="auto"/>
            <w:noWrap/>
            <w:vAlign w:val="center"/>
          </w:tcPr>
          <w:p w14:paraId="7D9E43F6">
            <w:pPr>
              <w:widowControl/>
              <w:spacing w:line="400" w:lineRule="exact"/>
              <w:rPr>
                <w:color w:val="auto"/>
                <w:highlight w:val="none"/>
              </w:rPr>
            </w:pPr>
          </w:p>
        </w:tc>
        <w:tc>
          <w:tcPr>
            <w:tcW w:w="790" w:type="dxa"/>
            <w:vMerge w:val="continue"/>
            <w:shd w:val="clear" w:color="auto" w:fill="auto"/>
            <w:noWrap/>
            <w:vAlign w:val="center"/>
          </w:tcPr>
          <w:p w14:paraId="310B9A5F">
            <w:pPr>
              <w:widowControl/>
              <w:spacing w:line="400" w:lineRule="exact"/>
              <w:jc w:val="center"/>
              <w:rPr>
                <w:color w:val="auto"/>
                <w:highlight w:val="none"/>
              </w:rPr>
            </w:pPr>
          </w:p>
        </w:tc>
        <w:tc>
          <w:tcPr>
            <w:tcW w:w="1860" w:type="dxa"/>
            <w:gridSpan w:val="2"/>
            <w:vMerge w:val="continue"/>
            <w:shd w:val="clear" w:color="000000" w:fill="FFFFFF"/>
            <w:noWrap/>
            <w:vAlign w:val="center"/>
          </w:tcPr>
          <w:p w14:paraId="6FC406EC">
            <w:pPr>
              <w:widowControl/>
              <w:spacing w:line="280" w:lineRule="exact"/>
              <w:jc w:val="left"/>
              <w:rPr>
                <w:rFonts w:ascii="仿宋" w:hAnsi="仿宋" w:eastAsia="仿宋" w:cs="仿宋"/>
                <w:color w:val="auto"/>
                <w:sz w:val="24"/>
                <w:highlight w:val="none"/>
              </w:rPr>
            </w:pPr>
          </w:p>
        </w:tc>
        <w:tc>
          <w:tcPr>
            <w:tcW w:w="4699" w:type="dxa"/>
            <w:noWrap/>
            <w:vAlign w:val="center"/>
          </w:tcPr>
          <w:p w14:paraId="25B15B7C">
            <w:pPr>
              <w:widowControl/>
              <w:spacing w:line="2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配备相应的工作器具：天平、稀释量筒、搅拌器具、手电筒、工具箱等用具；鼠、蚊、蝇、蟑螂密度监测工具；适于不同季节穿着的工作服、帽子、防护口罩（面具）、防护眼镜及防护手套等个人防护用品等情况</w:t>
            </w:r>
            <w:r>
              <w:rPr>
                <w:rFonts w:hint="eastAsia" w:ascii="仿宋" w:hAnsi="仿宋" w:eastAsia="仿宋" w:cs="仿宋"/>
                <w:color w:val="auto"/>
                <w:kern w:val="0"/>
                <w:sz w:val="24"/>
                <w:highlight w:val="none"/>
                <w:lang w:val="en-US" w:eastAsia="zh-CN"/>
              </w:rPr>
              <w:t>进行综合评分。</w:t>
            </w:r>
          </w:p>
          <w:p w14:paraId="6627B4D9">
            <w:pPr>
              <w:widowControl/>
              <w:spacing w:line="280" w:lineRule="exact"/>
              <w:jc w:val="left"/>
              <w:rPr>
                <w:rFonts w:hint="eastAsia" w:ascii="仿宋" w:hAnsi="仿宋" w:eastAsia="仿宋" w:cs="仿宋"/>
                <w:color w:val="auto"/>
                <w:sz w:val="24"/>
                <w:highlight w:val="none"/>
              </w:rPr>
            </w:pPr>
            <w:r>
              <w:rPr>
                <w:rFonts w:hint="eastAsia" w:ascii="仿宋" w:hAnsi="仿宋" w:eastAsia="仿宋" w:cs="仿宋"/>
                <w:b w:val="0"/>
                <w:color w:val="000000"/>
                <w:sz w:val="24"/>
                <w:highlight w:val="none"/>
              </w:rPr>
              <w:t>方案详细完善的得</w:t>
            </w:r>
            <w:r>
              <w:rPr>
                <w:rFonts w:hint="eastAsia" w:ascii="仿宋" w:hAnsi="仿宋" w:eastAsia="仿宋" w:cs="仿宋"/>
                <w:b w:val="0"/>
                <w:color w:val="000000"/>
                <w:sz w:val="24"/>
                <w:highlight w:val="none"/>
                <w:lang w:val="en-US" w:eastAsia="zh-CN"/>
              </w:rPr>
              <w:t>6</w:t>
            </w:r>
            <w:r>
              <w:rPr>
                <w:rFonts w:hint="eastAsia" w:ascii="仿宋" w:hAnsi="仿宋" w:eastAsia="仿宋" w:cs="仿宋"/>
                <w:b w:val="0"/>
                <w:color w:val="000000"/>
                <w:sz w:val="24"/>
                <w:highlight w:val="none"/>
              </w:rPr>
              <w:t>-</w:t>
            </w:r>
            <w:r>
              <w:rPr>
                <w:rFonts w:hint="eastAsia" w:ascii="仿宋" w:hAnsi="仿宋" w:eastAsia="仿宋" w:cs="仿宋"/>
                <w:b w:val="0"/>
                <w:color w:val="000000"/>
                <w:sz w:val="24"/>
                <w:highlight w:val="none"/>
                <w:lang w:val="en-US" w:eastAsia="zh-CN"/>
              </w:rPr>
              <w:t>8</w:t>
            </w:r>
            <w:r>
              <w:rPr>
                <w:rFonts w:hint="eastAsia" w:ascii="仿宋" w:hAnsi="仿宋" w:eastAsia="仿宋" w:cs="仿宋"/>
                <w:b w:val="0"/>
                <w:color w:val="000000"/>
                <w:sz w:val="24"/>
                <w:highlight w:val="none"/>
              </w:rPr>
              <w:t>分，方案较详细完善的得</w:t>
            </w:r>
            <w:r>
              <w:rPr>
                <w:rFonts w:hint="eastAsia" w:ascii="仿宋" w:hAnsi="仿宋" w:eastAsia="仿宋" w:cs="仿宋"/>
                <w:b w:val="0"/>
                <w:color w:val="000000"/>
                <w:sz w:val="24"/>
                <w:highlight w:val="none"/>
                <w:lang w:val="en-US" w:eastAsia="zh-CN"/>
              </w:rPr>
              <w:t>3</w:t>
            </w:r>
            <w:r>
              <w:rPr>
                <w:rFonts w:hint="eastAsia" w:ascii="仿宋" w:hAnsi="仿宋" w:eastAsia="仿宋" w:cs="仿宋"/>
                <w:b w:val="0"/>
                <w:color w:val="000000"/>
                <w:sz w:val="24"/>
                <w:highlight w:val="none"/>
              </w:rPr>
              <w:t>-</w:t>
            </w:r>
            <w:r>
              <w:rPr>
                <w:rFonts w:hint="eastAsia" w:ascii="仿宋" w:hAnsi="仿宋" w:eastAsia="仿宋" w:cs="仿宋"/>
                <w:b w:val="0"/>
                <w:color w:val="000000"/>
                <w:sz w:val="24"/>
                <w:highlight w:val="none"/>
                <w:lang w:val="en-US" w:eastAsia="zh-CN"/>
              </w:rPr>
              <w:t>5</w:t>
            </w:r>
            <w:r>
              <w:rPr>
                <w:rFonts w:hint="eastAsia" w:ascii="仿宋" w:hAnsi="仿宋" w:eastAsia="仿宋" w:cs="仿宋"/>
                <w:b w:val="0"/>
                <w:color w:val="000000"/>
                <w:sz w:val="24"/>
                <w:highlight w:val="none"/>
              </w:rPr>
              <w:t>.9分，方案不够详细完善的得0-</w:t>
            </w:r>
            <w:r>
              <w:rPr>
                <w:rFonts w:hint="eastAsia" w:ascii="仿宋" w:hAnsi="仿宋" w:eastAsia="仿宋" w:cs="仿宋"/>
                <w:b w:val="0"/>
                <w:color w:val="000000"/>
                <w:sz w:val="24"/>
                <w:highlight w:val="none"/>
                <w:lang w:val="en-US" w:eastAsia="zh-CN"/>
              </w:rPr>
              <w:t>2</w:t>
            </w:r>
            <w:r>
              <w:rPr>
                <w:rFonts w:hint="eastAsia" w:ascii="仿宋" w:hAnsi="仿宋" w:eastAsia="仿宋" w:cs="仿宋"/>
                <w:b w:val="0"/>
                <w:color w:val="000000"/>
                <w:sz w:val="24"/>
                <w:highlight w:val="none"/>
              </w:rPr>
              <w:t>.9分</w:t>
            </w:r>
            <w:r>
              <w:rPr>
                <w:rFonts w:hint="eastAsia" w:ascii="仿宋" w:hAnsi="仿宋" w:eastAsia="仿宋" w:cs="仿宋"/>
                <w:b w:val="0"/>
                <w:color w:val="000000"/>
                <w:sz w:val="24"/>
                <w:highlight w:val="none"/>
                <w:lang w:eastAsia="zh-CN"/>
              </w:rPr>
              <w:t>。</w:t>
            </w:r>
            <w:r>
              <w:rPr>
                <w:rFonts w:hint="eastAsia" w:ascii="仿宋" w:hAnsi="仿宋" w:eastAsia="仿宋" w:cs="宋体"/>
                <w:b w:val="0"/>
                <w:color w:val="000000"/>
                <w:sz w:val="24"/>
                <w:highlight w:val="none"/>
                <w:shd w:val="clear" w:color="FFFFFF" w:fill="auto"/>
              </w:rPr>
              <w:t xml:space="preserve">  </w:t>
            </w:r>
          </w:p>
        </w:tc>
        <w:tc>
          <w:tcPr>
            <w:tcW w:w="801" w:type="dxa"/>
            <w:gridSpan w:val="2"/>
            <w:noWrap/>
            <w:vAlign w:val="center"/>
          </w:tcPr>
          <w:p w14:paraId="67AB06D5">
            <w:pPr>
              <w:widowControl/>
              <w:spacing w:line="400" w:lineRule="exact"/>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val="en-US" w:eastAsia="zh-CN"/>
              </w:rPr>
              <w:t>0-</w:t>
            </w:r>
            <w:r>
              <w:rPr>
                <w:rFonts w:hint="eastAsia" w:ascii="仿宋" w:hAnsi="仿宋" w:eastAsia="仿宋" w:cs="仿宋"/>
                <w:bCs/>
                <w:color w:val="auto"/>
                <w:kern w:val="0"/>
                <w:sz w:val="24"/>
                <w:highlight w:val="none"/>
              </w:rPr>
              <w:t>8</w:t>
            </w:r>
          </w:p>
        </w:tc>
        <w:tc>
          <w:tcPr>
            <w:tcW w:w="945" w:type="dxa"/>
            <w:shd w:val="clear" w:color="000000" w:fill="FFFFFF"/>
            <w:noWrap/>
            <w:vAlign w:val="center"/>
          </w:tcPr>
          <w:p w14:paraId="4639E8DF">
            <w:pPr>
              <w:widowControl/>
              <w:spacing w:line="400" w:lineRule="exac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主观分</w:t>
            </w:r>
          </w:p>
        </w:tc>
      </w:tr>
      <w:tr w14:paraId="3788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855" w:hRule="atLeast"/>
        </w:trPr>
        <w:tc>
          <w:tcPr>
            <w:tcW w:w="791" w:type="dxa"/>
            <w:gridSpan w:val="2"/>
            <w:vMerge w:val="continue"/>
            <w:shd w:val="clear" w:color="auto" w:fill="auto"/>
            <w:noWrap/>
            <w:vAlign w:val="center"/>
          </w:tcPr>
          <w:p w14:paraId="7E02890E">
            <w:pPr>
              <w:widowControl/>
              <w:spacing w:line="400" w:lineRule="exact"/>
              <w:rPr>
                <w:rFonts w:hint="eastAsia"/>
                <w:color w:val="auto"/>
                <w:highlight w:val="none"/>
                <w:lang w:val="en-US" w:eastAsia="zh-CN"/>
              </w:rPr>
            </w:pPr>
            <w:bookmarkStart w:id="392" w:name="_GoBack" w:colFirst="2" w:colLast="5"/>
          </w:p>
        </w:tc>
        <w:tc>
          <w:tcPr>
            <w:tcW w:w="790" w:type="dxa"/>
            <w:shd w:val="clear" w:color="auto" w:fill="auto"/>
            <w:noWrap/>
            <w:vAlign w:val="center"/>
          </w:tcPr>
          <w:p w14:paraId="3783F286">
            <w:pPr>
              <w:widowControl/>
              <w:spacing w:line="400" w:lineRule="exact"/>
              <w:jc w:val="center"/>
              <w:rPr>
                <w:rFonts w:hint="eastAsia" w:eastAsia="宋体"/>
                <w:color w:val="auto"/>
                <w:highlight w:val="none"/>
                <w:lang w:val="en-US" w:eastAsia="zh-CN"/>
              </w:rPr>
            </w:pPr>
            <w:r>
              <w:rPr>
                <w:rFonts w:hint="eastAsia"/>
                <w:color w:val="auto"/>
                <w:highlight w:val="none"/>
                <w:lang w:val="en-US" w:eastAsia="zh-CN"/>
              </w:rPr>
              <w:t>8</w:t>
            </w:r>
          </w:p>
        </w:tc>
        <w:tc>
          <w:tcPr>
            <w:tcW w:w="1860" w:type="dxa"/>
            <w:gridSpan w:val="2"/>
            <w:shd w:val="clear" w:color="auto" w:fill="auto"/>
            <w:noWrap/>
            <w:vAlign w:val="center"/>
          </w:tcPr>
          <w:p w14:paraId="63DDB04A">
            <w:pPr>
              <w:widowControl/>
              <w:spacing w:line="28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工作场所</w:t>
            </w:r>
          </w:p>
        </w:tc>
        <w:tc>
          <w:tcPr>
            <w:tcW w:w="4699" w:type="dxa"/>
            <w:noWrap/>
            <w:vAlign w:val="center"/>
          </w:tcPr>
          <w:p w14:paraId="54B9345F">
            <w:pPr>
              <w:widowControl/>
              <w:spacing w:line="2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要求有固定的工作场所和独立的药械库房，通风条件良好，防火防盗措施落实，药械存放整齐、有序，符合安全存放要求等情况</w:t>
            </w:r>
            <w:r>
              <w:rPr>
                <w:rFonts w:hint="eastAsia" w:ascii="仿宋" w:hAnsi="仿宋" w:eastAsia="仿宋" w:cs="仿宋"/>
                <w:color w:val="auto"/>
                <w:kern w:val="0"/>
                <w:sz w:val="24"/>
                <w:highlight w:val="none"/>
                <w:lang w:val="en-US" w:eastAsia="zh-CN"/>
              </w:rPr>
              <w:t>进行综合评分。</w:t>
            </w:r>
          </w:p>
          <w:p w14:paraId="5AFE5F53">
            <w:pPr>
              <w:widowControl/>
              <w:spacing w:line="280" w:lineRule="exact"/>
              <w:jc w:val="left"/>
              <w:rPr>
                <w:rFonts w:ascii="仿宋" w:hAnsi="仿宋" w:eastAsia="仿宋" w:cs="仿宋"/>
                <w:color w:val="auto"/>
                <w:sz w:val="24"/>
                <w:highlight w:val="none"/>
              </w:rPr>
            </w:pPr>
            <w:r>
              <w:rPr>
                <w:rFonts w:hint="eastAsia" w:ascii="仿宋" w:hAnsi="仿宋" w:eastAsia="仿宋" w:cs="仿宋"/>
                <w:b w:val="0"/>
                <w:color w:val="000000"/>
                <w:sz w:val="24"/>
                <w:highlight w:val="none"/>
              </w:rPr>
              <w:t>方案详细完善的得</w:t>
            </w:r>
            <w:r>
              <w:rPr>
                <w:rFonts w:hint="eastAsia" w:ascii="仿宋" w:hAnsi="仿宋" w:eastAsia="仿宋" w:cs="仿宋"/>
                <w:b w:val="0"/>
                <w:color w:val="000000"/>
                <w:sz w:val="24"/>
                <w:highlight w:val="none"/>
                <w:lang w:val="en-US" w:eastAsia="zh-CN"/>
              </w:rPr>
              <w:t>6</w:t>
            </w:r>
            <w:r>
              <w:rPr>
                <w:rFonts w:hint="eastAsia" w:ascii="仿宋" w:hAnsi="仿宋" w:eastAsia="仿宋" w:cs="仿宋"/>
                <w:b w:val="0"/>
                <w:color w:val="000000"/>
                <w:sz w:val="24"/>
                <w:highlight w:val="none"/>
              </w:rPr>
              <w:t>-</w:t>
            </w:r>
            <w:r>
              <w:rPr>
                <w:rFonts w:hint="eastAsia" w:ascii="仿宋" w:hAnsi="仿宋" w:eastAsia="仿宋" w:cs="仿宋"/>
                <w:b w:val="0"/>
                <w:color w:val="000000"/>
                <w:sz w:val="24"/>
                <w:highlight w:val="none"/>
                <w:lang w:val="en-US" w:eastAsia="zh-CN"/>
              </w:rPr>
              <w:t>7</w:t>
            </w:r>
            <w:r>
              <w:rPr>
                <w:rFonts w:hint="eastAsia" w:ascii="仿宋" w:hAnsi="仿宋" w:eastAsia="仿宋" w:cs="仿宋"/>
                <w:b w:val="0"/>
                <w:color w:val="000000"/>
                <w:sz w:val="24"/>
                <w:highlight w:val="none"/>
              </w:rPr>
              <w:t>分，方案较详细完善的得</w:t>
            </w:r>
            <w:r>
              <w:rPr>
                <w:rFonts w:hint="eastAsia" w:ascii="仿宋" w:hAnsi="仿宋" w:eastAsia="仿宋" w:cs="仿宋"/>
                <w:b w:val="0"/>
                <w:color w:val="000000"/>
                <w:sz w:val="24"/>
                <w:highlight w:val="none"/>
                <w:lang w:val="en-US" w:eastAsia="zh-CN"/>
              </w:rPr>
              <w:t>3</w:t>
            </w:r>
            <w:r>
              <w:rPr>
                <w:rFonts w:hint="eastAsia" w:ascii="仿宋" w:hAnsi="仿宋" w:eastAsia="仿宋" w:cs="仿宋"/>
                <w:b w:val="0"/>
                <w:color w:val="000000"/>
                <w:sz w:val="24"/>
                <w:highlight w:val="none"/>
              </w:rPr>
              <w:t>-</w:t>
            </w:r>
            <w:r>
              <w:rPr>
                <w:rFonts w:hint="eastAsia" w:ascii="仿宋" w:hAnsi="仿宋" w:eastAsia="仿宋" w:cs="仿宋"/>
                <w:b w:val="0"/>
                <w:color w:val="000000"/>
                <w:sz w:val="24"/>
                <w:highlight w:val="none"/>
                <w:lang w:val="en-US" w:eastAsia="zh-CN"/>
              </w:rPr>
              <w:t>5</w:t>
            </w:r>
            <w:r>
              <w:rPr>
                <w:rFonts w:hint="eastAsia" w:ascii="仿宋" w:hAnsi="仿宋" w:eastAsia="仿宋" w:cs="仿宋"/>
                <w:b w:val="0"/>
                <w:color w:val="000000"/>
                <w:sz w:val="24"/>
                <w:highlight w:val="none"/>
              </w:rPr>
              <w:t>.9分，方案不够详细完善的得0-</w:t>
            </w:r>
            <w:r>
              <w:rPr>
                <w:rFonts w:hint="eastAsia" w:ascii="仿宋" w:hAnsi="仿宋" w:eastAsia="仿宋" w:cs="仿宋"/>
                <w:b w:val="0"/>
                <w:color w:val="000000"/>
                <w:sz w:val="24"/>
                <w:highlight w:val="none"/>
                <w:lang w:val="en-US" w:eastAsia="zh-CN"/>
              </w:rPr>
              <w:t>2</w:t>
            </w:r>
            <w:r>
              <w:rPr>
                <w:rFonts w:hint="eastAsia" w:ascii="仿宋" w:hAnsi="仿宋" w:eastAsia="仿宋" w:cs="仿宋"/>
                <w:b w:val="0"/>
                <w:color w:val="000000"/>
                <w:sz w:val="24"/>
                <w:highlight w:val="none"/>
              </w:rPr>
              <w:t>.9分</w:t>
            </w:r>
            <w:r>
              <w:rPr>
                <w:rFonts w:hint="eastAsia" w:ascii="仿宋" w:hAnsi="仿宋" w:eastAsia="仿宋" w:cs="仿宋"/>
                <w:b w:val="0"/>
                <w:color w:val="000000"/>
                <w:sz w:val="24"/>
                <w:highlight w:val="none"/>
                <w:lang w:eastAsia="zh-CN"/>
              </w:rPr>
              <w:t>。</w:t>
            </w:r>
            <w:r>
              <w:rPr>
                <w:rFonts w:hint="eastAsia" w:ascii="仿宋" w:hAnsi="仿宋" w:eastAsia="仿宋" w:cs="宋体"/>
                <w:b w:val="0"/>
                <w:color w:val="000000"/>
                <w:sz w:val="24"/>
                <w:highlight w:val="none"/>
                <w:shd w:val="clear" w:color="FFFFFF" w:fill="auto"/>
              </w:rPr>
              <w:t xml:space="preserve">  </w:t>
            </w:r>
          </w:p>
        </w:tc>
        <w:tc>
          <w:tcPr>
            <w:tcW w:w="801" w:type="dxa"/>
            <w:gridSpan w:val="2"/>
            <w:noWrap/>
            <w:vAlign w:val="center"/>
          </w:tcPr>
          <w:p w14:paraId="1B80ADE9">
            <w:pPr>
              <w:widowControl/>
              <w:spacing w:line="400" w:lineRule="exact"/>
              <w:jc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val="en-US" w:eastAsia="zh-CN"/>
              </w:rPr>
              <w:t>0-7</w:t>
            </w:r>
          </w:p>
        </w:tc>
        <w:tc>
          <w:tcPr>
            <w:tcW w:w="945" w:type="dxa"/>
            <w:shd w:val="clear" w:color="000000" w:fill="FFFFFF"/>
            <w:noWrap/>
            <w:vAlign w:val="center"/>
          </w:tcPr>
          <w:p w14:paraId="2E6E95C7">
            <w:pPr>
              <w:widowControl/>
              <w:spacing w:line="400" w:lineRule="exac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主观分</w:t>
            </w:r>
          </w:p>
        </w:tc>
      </w:tr>
    </w:tbl>
    <w:p w14:paraId="52AAD1D7">
      <w:pPr>
        <w:snapToGrid w:val="0"/>
        <w:spacing w:line="360" w:lineRule="auto"/>
        <w:rPr>
          <w:rFonts w:hint="eastAsia" w:ascii="仿宋" w:hAnsi="仿宋" w:eastAsia="仿宋" w:cs="仿宋"/>
          <w:color w:val="auto"/>
          <w:sz w:val="24"/>
          <w:highlight w:val="none"/>
        </w:rPr>
      </w:pPr>
    </w:p>
    <w:p w14:paraId="799613B1">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价格分</w:t>
      </w:r>
    </w:p>
    <w:tbl>
      <w:tblPr>
        <w:tblStyle w:val="63"/>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8166"/>
      </w:tblGrid>
      <w:tr w14:paraId="1CBB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14:paraId="0D7E6CD5">
            <w:pPr>
              <w:autoSpaceDE w:val="0"/>
              <w:autoSpaceDN w:val="0"/>
              <w:adjustRightInd/>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价格权值</w:t>
            </w:r>
          </w:p>
        </w:tc>
        <w:tc>
          <w:tcPr>
            <w:tcW w:w="8166" w:type="dxa"/>
            <w:tcBorders>
              <w:top w:val="single" w:color="auto" w:sz="4" w:space="0"/>
              <w:left w:val="single" w:color="auto" w:sz="4" w:space="0"/>
              <w:bottom w:val="single" w:color="auto" w:sz="4" w:space="0"/>
              <w:right w:val="single" w:color="auto" w:sz="4" w:space="0"/>
            </w:tcBorders>
            <w:vAlign w:val="center"/>
          </w:tcPr>
          <w:p w14:paraId="4621E0D9">
            <w:pPr>
              <w:autoSpaceDE w:val="0"/>
              <w:autoSpaceDN w:val="0"/>
              <w:adjustRightInd/>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计算方法</w:t>
            </w:r>
          </w:p>
        </w:tc>
      </w:tr>
      <w:tr w14:paraId="3536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14:paraId="6B632913">
            <w:pPr>
              <w:pStyle w:val="24"/>
              <w:snapToGrid w:val="0"/>
              <w:spacing w:line="360" w:lineRule="atLeast"/>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价格权值=0.</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0</w:t>
            </w:r>
          </w:p>
        </w:tc>
        <w:tc>
          <w:tcPr>
            <w:tcW w:w="8166" w:type="dxa"/>
            <w:tcBorders>
              <w:top w:val="single" w:color="auto" w:sz="4" w:space="0"/>
              <w:left w:val="single" w:color="auto" w:sz="4" w:space="0"/>
              <w:bottom w:val="single" w:color="auto" w:sz="4" w:space="0"/>
              <w:right w:val="single" w:color="auto" w:sz="4" w:space="0"/>
            </w:tcBorders>
            <w:vAlign w:val="center"/>
          </w:tcPr>
          <w:p w14:paraId="562BAA19">
            <w:pPr>
              <w:pStyle w:val="24"/>
              <w:snapToGrid w:val="0"/>
              <w:spacing w:line="360" w:lineRule="atLeast"/>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最低有效响应价格为评标基准价</w:t>
            </w:r>
          </w:p>
          <w:p w14:paraId="64296602">
            <w:pPr>
              <w:pStyle w:val="24"/>
              <w:snapToGrid w:val="0"/>
              <w:spacing w:line="360" w:lineRule="atLeast"/>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响应报价得分=(评标基准价／响应报价)×价格权值×100</w:t>
            </w:r>
          </w:p>
          <w:p w14:paraId="233B4E45">
            <w:pPr>
              <w:snapToGrid w:val="0"/>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（计算得分保留小数点后2位）</w:t>
            </w:r>
          </w:p>
        </w:tc>
      </w:tr>
    </w:tbl>
    <w:p w14:paraId="02A6C039">
      <w:pPr>
        <w:widowControl/>
        <w:numPr>
          <w:ilvl w:val="0"/>
          <w:numId w:val="3"/>
        </w:numPr>
        <w:spacing w:line="360" w:lineRule="auto"/>
        <w:ind w:firstLine="480"/>
        <w:rPr>
          <w:rFonts w:hint="eastAsia" w:ascii="仿宋" w:hAnsi="仿宋" w:eastAsia="仿宋" w:cs="仿宋"/>
          <w:color w:val="auto"/>
          <w:highlight w:val="none"/>
        </w:rPr>
      </w:pPr>
      <w:r>
        <w:rPr>
          <w:rFonts w:hint="eastAsia" w:ascii="仿宋" w:hAnsi="仿宋" w:eastAsia="仿宋" w:cs="仿宋"/>
          <w:color w:val="auto"/>
          <w:sz w:val="24"/>
          <w:highlight w:val="none"/>
        </w:rPr>
        <w:t>响应文件中如附有外文资料，必须逐一对应翻译成中文并加盖供应商公章后附在相关外文资料后面，否则外文资料不予认可。翻译的中文资料与外文资料不符的，均不予认可。翻译严重错误的，将视同提供虚假资料。</w:t>
      </w:r>
    </w:p>
    <w:p w14:paraId="5228FFFB">
      <w:pPr>
        <w:rPr>
          <w:rFonts w:hint="eastAsia" w:ascii="仿宋" w:hAnsi="仿宋" w:eastAsia="仿宋" w:cs="仿宋"/>
          <w:b/>
          <w:color w:val="auto"/>
          <w:sz w:val="28"/>
          <w:szCs w:val="28"/>
          <w:highlight w:val="none"/>
        </w:rPr>
      </w:pPr>
      <w:r>
        <w:rPr>
          <w:rFonts w:hint="eastAsia" w:ascii="仿宋" w:hAnsi="仿宋" w:eastAsia="仿宋" w:cs="仿宋"/>
          <w:b/>
          <w:color w:val="auto"/>
          <w:sz w:val="32"/>
          <w:highlight w:val="none"/>
        </w:rPr>
        <w:t>一、评标方法</w:t>
      </w:r>
    </w:p>
    <w:p w14:paraId="09F11FA6">
      <w:pPr>
        <w:adjustRightInd/>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1.本项目采用综合评分法。</w:t>
      </w:r>
      <w:r>
        <w:rPr>
          <w:rFonts w:hint="eastAsia" w:ascii="仿宋" w:hAnsi="仿宋" w:eastAsia="仿宋" w:cs="仿宋"/>
          <w:color w:val="auto"/>
          <w:kern w:val="0"/>
          <w:sz w:val="24"/>
          <w:highlight w:val="none"/>
        </w:rPr>
        <w:t>综合评分法，是指响应文件满足交易文件全部实质性要求，且按照评审因素的量化指标评审得分最高的供应商为成交候选人的评标方法。</w:t>
      </w:r>
    </w:p>
    <w:p w14:paraId="0257D729">
      <w:pPr>
        <w:adjustRightInd/>
        <w:spacing w:line="360" w:lineRule="auto"/>
        <w:rPr>
          <w:rFonts w:hint="eastAsia" w:ascii="仿宋" w:hAnsi="仿宋" w:eastAsia="仿宋" w:cs="仿宋"/>
          <w:color w:val="auto"/>
          <w:kern w:val="0"/>
          <w:sz w:val="24"/>
          <w:highlight w:val="none"/>
        </w:rPr>
      </w:pPr>
      <w:r>
        <w:rPr>
          <w:rFonts w:hint="eastAsia" w:ascii="仿宋" w:hAnsi="仿宋" w:eastAsia="仿宋" w:cs="仿宋"/>
          <w:b/>
          <w:color w:val="auto"/>
          <w:sz w:val="32"/>
          <w:highlight w:val="none"/>
        </w:rPr>
        <w:t>二、评标标准</w:t>
      </w:r>
    </w:p>
    <w:p w14:paraId="7EE5E7AE">
      <w:pPr>
        <w:spacing w:line="360" w:lineRule="auto"/>
        <w:ind w:firstLine="472" w:firstLineChars="196"/>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评标标准：</w:t>
      </w:r>
      <w:r>
        <w:rPr>
          <w:rFonts w:hint="eastAsia" w:ascii="仿宋" w:hAnsi="仿宋" w:eastAsia="仿宋" w:cs="仿宋"/>
          <w:color w:val="auto"/>
          <w:kern w:val="0"/>
          <w:sz w:val="24"/>
          <w:highlight w:val="none"/>
        </w:rPr>
        <w:t>见评标办法前附表。</w:t>
      </w:r>
    </w:p>
    <w:p w14:paraId="54F5E95C">
      <w:pPr>
        <w:spacing w:line="360" w:lineRule="auto"/>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三、评标程序</w:t>
      </w:r>
    </w:p>
    <w:p w14:paraId="79065598">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3.1符合性审查。</w:t>
      </w:r>
      <w:r>
        <w:rPr>
          <w:rFonts w:hint="eastAsia" w:ascii="仿宋" w:hAnsi="仿宋" w:eastAsia="仿宋" w:cs="仿宋"/>
          <w:color w:val="auto"/>
          <w:kern w:val="0"/>
          <w:sz w:val="24"/>
          <w:highlight w:val="none"/>
        </w:rPr>
        <w:t>评标委员会应当对符合资格的供应商的响应文件进行符合性审查，以确定其是否满足交易文件的实质性要求。不满足交易文件的实质性要求的，交易无效。</w:t>
      </w:r>
    </w:p>
    <w:p w14:paraId="030EACFF">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3.2 比较与评价。</w:t>
      </w:r>
      <w:r>
        <w:rPr>
          <w:rFonts w:hint="eastAsia" w:ascii="仿宋" w:hAnsi="仿宋" w:eastAsia="仿宋" w:cs="仿宋"/>
          <w:color w:val="auto"/>
          <w:kern w:val="0"/>
          <w:sz w:val="24"/>
          <w:highlight w:val="none"/>
        </w:rPr>
        <w:t>评标委员会应当按照交易文件中规定的评标方法和标准，对符合性审查合格的响应文件进行商务和技术评估，综合比较与评价。</w:t>
      </w:r>
    </w:p>
    <w:p w14:paraId="650F6104">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3.3汇总商务技术得分。</w:t>
      </w:r>
      <w:r>
        <w:rPr>
          <w:rFonts w:hint="eastAsia" w:ascii="仿宋" w:hAnsi="仿宋" w:eastAsia="仿宋" w:cs="仿宋"/>
          <w:color w:val="auto"/>
          <w:kern w:val="0"/>
          <w:sz w:val="24"/>
          <w:highlight w:val="none"/>
        </w:rPr>
        <w:t>评标委员会各成员应当独立对每个供应商的商务和技术文件进行评价，并汇总商务技术得分情况。</w:t>
      </w:r>
    </w:p>
    <w:p w14:paraId="1A09C102">
      <w:pPr>
        <w:spacing w:line="360" w:lineRule="auto"/>
        <w:ind w:firstLine="472" w:firstLineChars="196"/>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3.4报价评审。</w:t>
      </w:r>
    </w:p>
    <w:p w14:paraId="033E1916">
      <w:pPr>
        <w:pStyle w:val="131"/>
        <w:spacing w:before="0"/>
        <w:ind w:firstLine="508" w:firstLineChars="212"/>
        <w:rPr>
          <w:rFonts w:hint="eastAsia" w:ascii="仿宋" w:hAnsi="仿宋" w:eastAsia="仿宋" w:cs="仿宋"/>
          <w:color w:val="auto"/>
          <w:kern w:val="0"/>
          <w:highlight w:val="none"/>
        </w:rPr>
      </w:pPr>
      <w:r>
        <w:rPr>
          <w:rFonts w:hint="eastAsia" w:ascii="仿宋" w:hAnsi="仿宋" w:eastAsia="仿宋" w:cs="仿宋"/>
          <w:color w:val="auto"/>
          <w:kern w:val="0"/>
          <w:highlight w:val="none"/>
        </w:rPr>
        <w:t>3.4.1响应文件报价出现前后不一致的，按照下列规定修正：</w:t>
      </w:r>
    </w:p>
    <w:p w14:paraId="00550CAE">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3.4.1.1响应文件中交易一览表(报价表)内容与响应文件中相应内容不一致的，以交易一览表(报价表)为准;</w:t>
      </w:r>
    </w:p>
    <w:p w14:paraId="59D41EB7">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3.4.1.2大写金额和小写金额不一致的，以大写金额为准;</w:t>
      </w:r>
    </w:p>
    <w:p w14:paraId="39AB4976">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3.4.1.3单价金额小数点或者百分比有明显错位的，以交易一览表的总价为准，并修改单价;</w:t>
      </w:r>
    </w:p>
    <w:p w14:paraId="7B2E0E87">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3.4.1.4总价金额与按单价汇总金额不一致的，以单价金额计算结果为准。</w:t>
      </w:r>
    </w:p>
    <w:p w14:paraId="30F04901">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3.4.1.5同时出现两种以上不一致的，按照3.4.1规定的顺序修正。修正后的报价按照财政部第87号令 《政府采购货物和服务招标投标管理办法》第五十一条第二款的规定经供应商确认后产生约束力。</w:t>
      </w:r>
    </w:p>
    <w:p w14:paraId="0D2D7DDD">
      <w:pPr>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3.4.2响应文件出现不是唯一的、有选择性相应报价的，交易无效。</w:t>
      </w:r>
    </w:p>
    <w:p w14:paraId="25423A3D">
      <w:pPr>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3.4.3响应报价超过交易文件中规定的预算金额或者最高限价的，交易无效。</w:t>
      </w:r>
    </w:p>
    <w:p w14:paraId="78C0FD6A">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3.4.4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响应处理。</w:t>
      </w:r>
    </w:p>
    <w:p w14:paraId="1EC6C1BF">
      <w:pPr>
        <w:spacing w:line="360" w:lineRule="auto"/>
        <w:ind w:firstLine="482" w:firstLineChars="200"/>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3.5排序与推荐。</w:t>
      </w:r>
      <w:r>
        <w:rPr>
          <w:rFonts w:hint="eastAsia" w:ascii="仿宋" w:hAnsi="仿宋" w:eastAsia="仿宋" w:cs="仿宋"/>
          <w:color w:val="auto"/>
          <w:kern w:val="0"/>
          <w:sz w:val="24"/>
          <w:highlight w:val="none"/>
        </w:rPr>
        <w:t>采用综合评分法的，评标结果按评审后得分由高到低顺序排列。得分相同的，按响应报价由低到高顺序排列。得分且响应报价相同的并列。响应文件满足交易文件全部实质性要求，且按照评审因素的量化指标评审得分最高的供应商为排名第一的成交候选人。</w:t>
      </w:r>
    </w:p>
    <w:p w14:paraId="4A038824">
      <w:pPr>
        <w:spacing w:line="360" w:lineRule="auto"/>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rPr>
        <w:t>多家供应商提供相同品牌产品（单一产品采购项目中的该产品或者非单一产品采购项目的核心产品）且通过资格审查、符合性审查的不同供应商参加同一合同项下响应的，按一家供应商计算，评审后得分最高的同品牌供应商获得成交人推荐资格；评审得分相同的，采取随机抽取方式确定，其他同品牌供应商不作为成交候选人。</w:t>
      </w:r>
    </w:p>
    <w:p w14:paraId="048A990F">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3.6编写评标报告。</w:t>
      </w:r>
      <w:r>
        <w:rPr>
          <w:rFonts w:hint="eastAsia" w:ascii="仿宋" w:hAnsi="仿宋" w:eastAsia="仿宋" w:cs="仿宋"/>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41E8EF8">
      <w:pPr>
        <w:widowControl/>
        <w:shd w:val="clear" w:color="auto" w:fill="FFFFFF"/>
        <w:adjustRightInd/>
        <w:spacing w:after="225" w:line="315" w:lineRule="atLeast"/>
        <w:jc w:val="left"/>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四、评标中的其他事项</w:t>
      </w:r>
    </w:p>
    <w:p w14:paraId="335F949D">
      <w:pPr>
        <w:pStyle w:val="131"/>
        <w:spacing w:before="0"/>
        <w:ind w:firstLine="472" w:firstLineChars="196"/>
        <w:rPr>
          <w:rFonts w:hint="eastAsia" w:ascii="仿宋" w:hAnsi="仿宋" w:eastAsia="仿宋" w:cs="仿宋"/>
          <w:color w:val="auto"/>
          <w:kern w:val="0"/>
          <w:szCs w:val="24"/>
          <w:highlight w:val="none"/>
        </w:rPr>
      </w:pPr>
      <w:r>
        <w:rPr>
          <w:rFonts w:hint="eastAsia" w:ascii="仿宋" w:hAnsi="仿宋" w:eastAsia="仿宋" w:cs="仿宋"/>
          <w:b/>
          <w:color w:val="auto"/>
          <w:kern w:val="0"/>
          <w:szCs w:val="24"/>
          <w:highlight w:val="none"/>
        </w:rPr>
        <w:t>4.1供应商澄清、说明或者补正。</w:t>
      </w:r>
      <w:r>
        <w:rPr>
          <w:rFonts w:hint="eastAsia" w:ascii="仿宋" w:hAnsi="仿宋" w:eastAsia="仿宋" w:cs="仿宋"/>
          <w:color w:val="auto"/>
          <w:kern w:val="0"/>
          <w:szCs w:val="24"/>
          <w:highlight w:val="none"/>
        </w:rPr>
        <w:t>对于响应文件中含义不明确、同类问题表述不一致或者有明显文字和计算错误的内容需要供应商作出必要的澄清、说明或者补正的，评标委员会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74D520AD">
      <w:pPr>
        <w:pStyle w:val="24"/>
        <w:spacing w:line="360" w:lineRule="auto"/>
        <w:ind w:left="954" w:leftChars="226" w:hanging="479" w:firstLineChars="0"/>
        <w:rPr>
          <w:rFonts w:hint="eastAsia" w:ascii="仿宋" w:hAnsi="仿宋" w:eastAsia="仿宋" w:cs="仿宋"/>
          <w:color w:val="auto"/>
          <w:szCs w:val="21"/>
          <w:highlight w:val="none"/>
        </w:rPr>
      </w:pPr>
      <w:r>
        <w:rPr>
          <w:rFonts w:hint="eastAsia" w:ascii="仿宋" w:hAnsi="仿宋" w:eastAsia="仿宋" w:cs="仿宋"/>
          <w:b/>
          <w:color w:val="auto"/>
          <w:kern w:val="0"/>
          <w:highlight w:val="none"/>
        </w:rPr>
        <w:t>4.2交易无效。</w:t>
      </w:r>
      <w:r>
        <w:rPr>
          <w:rFonts w:hint="eastAsia" w:ascii="仿宋" w:hAnsi="仿宋" w:eastAsia="仿宋" w:cs="仿宋"/>
          <w:color w:val="auto"/>
          <w:szCs w:val="21"/>
          <w:highlight w:val="none"/>
        </w:rPr>
        <w:t>有下列情形之一的，交易无效：</w:t>
      </w:r>
    </w:p>
    <w:p w14:paraId="2F537E4A">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4.2.1供应商不具备交易文件中规定的资格要求的（供应商未提供有效的资格文件的，视为供应商不具备交易文件中规定的资格要求）；</w:t>
      </w:r>
    </w:p>
    <w:p w14:paraId="3120B706">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4.2.2响应文件未按照交易文件要求签署、盖章的；</w:t>
      </w:r>
    </w:p>
    <w:p w14:paraId="4F1A285C">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4.2.3响应文件含有采购人不能接受的附加条件的；</w:t>
      </w:r>
    </w:p>
    <w:p w14:paraId="398B40B1">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4.2.4响应文件中承诺的交易有效期少于交易文件中载明的交易有效期的；</w:t>
      </w:r>
    </w:p>
    <w:p w14:paraId="2E3D960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4.2.5响应文件出现不是唯一的、有选择性响应报价的;</w:t>
      </w:r>
    </w:p>
    <w:p w14:paraId="0BB14836">
      <w:pPr>
        <w:snapToGrid w:val="0"/>
        <w:spacing w:line="360" w:lineRule="auto"/>
        <w:ind w:firstLine="120" w:firstLineChars="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4.2.6响应报价超过交易文件中规定的预算金额或者最高限价的;</w:t>
      </w:r>
    </w:p>
    <w:p w14:paraId="2B2C05E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4.2.7报价明显低于其他通过符合性审查供应商的报价，有可能影响产品质量或者不能诚信履约的，未能按要求提供书面说明或者提交相关证明材料，不能证明其报价合理性的;</w:t>
      </w:r>
    </w:p>
    <w:p w14:paraId="52EB30EE">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4.2.8供应商对根据修正原则修正后的报价不确认的；</w:t>
      </w:r>
    </w:p>
    <w:p w14:paraId="23C0F54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4.2.9供应商提供虚假材料响应的；</w:t>
      </w:r>
    </w:p>
    <w:p w14:paraId="3C8E5DF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4.2.10供应商有恶意串通、妨碍其他供应商的竞争行为、损害采购人或者其他供应商的合法权益情形的；</w:t>
      </w:r>
    </w:p>
    <w:p w14:paraId="3CB796E9">
      <w:pPr>
        <w:spacing w:line="360" w:lineRule="auto"/>
        <w:ind w:firstLine="240" w:firstLine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4.2.11供应商仅提交备份响应文件，未在电子交易平台传输递交响应文件的，交易无效；</w:t>
      </w:r>
    </w:p>
    <w:p w14:paraId="6A253BBD">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4.2.12响应文件不满足交易文件的其它实质性要求的；</w:t>
      </w:r>
    </w:p>
    <w:p w14:paraId="3171AC5C">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4.2.13 法律、法规、规章（适用本市的）及省级以上规范性文件（适用本市的）规定的其他无效情形。</w:t>
      </w:r>
    </w:p>
    <w:p w14:paraId="70EE1212">
      <w:pPr>
        <w:pStyle w:val="24"/>
        <w:snapToGrid w:val="0"/>
        <w:spacing w:line="360" w:lineRule="auto"/>
        <w:ind w:firstLine="472" w:firstLineChars="196"/>
        <w:rPr>
          <w:rFonts w:hint="eastAsia" w:ascii="仿宋" w:hAnsi="仿宋" w:eastAsia="仿宋" w:cs="仿宋"/>
          <w:color w:val="auto"/>
          <w:highlight w:val="none"/>
        </w:rPr>
      </w:pPr>
      <w:r>
        <w:rPr>
          <w:rFonts w:hint="eastAsia" w:ascii="仿宋" w:hAnsi="仿宋" w:eastAsia="仿宋" w:cs="仿宋"/>
          <w:b/>
          <w:color w:val="auto"/>
          <w:highlight w:val="none"/>
        </w:rPr>
        <w:t>5.废标。</w:t>
      </w:r>
      <w:r>
        <w:rPr>
          <w:rFonts w:hint="eastAsia" w:ascii="仿宋" w:hAnsi="仿宋" w:eastAsia="仿宋" w:cs="仿宋"/>
          <w:color w:val="auto"/>
          <w:highlight w:val="none"/>
        </w:rPr>
        <w:t>在采购中，出现下列情形之一的，应予废标：</w:t>
      </w:r>
    </w:p>
    <w:p w14:paraId="783835C5">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5.1符合专业条件的供应商或者对交易文件作实质响应的供应商不足3家的；</w:t>
      </w:r>
    </w:p>
    <w:p w14:paraId="1F73C2E0">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5.2出现影响采购公正的违法、违规行为的；</w:t>
      </w:r>
    </w:p>
    <w:p w14:paraId="3707CC0A">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5.3供应商的报价均超过了采购预算，采购人不能支付的；</w:t>
      </w:r>
    </w:p>
    <w:p w14:paraId="412B6C1B">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5.4因重大变故，采购任务取消的。</w:t>
      </w:r>
    </w:p>
    <w:p w14:paraId="39DF24CC">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废标后，采购机构应当将废标理由通知所有供应商。</w:t>
      </w:r>
    </w:p>
    <w:p w14:paraId="4093698C">
      <w:pPr>
        <w:pStyle w:val="24"/>
        <w:snapToGrid w:val="0"/>
        <w:spacing w:line="360" w:lineRule="auto"/>
        <w:ind w:firstLine="590" w:firstLineChars="245"/>
        <w:rPr>
          <w:rFonts w:hint="eastAsia" w:ascii="仿宋" w:hAnsi="仿宋" w:eastAsia="仿宋" w:cs="仿宋"/>
          <w:color w:val="auto"/>
          <w:highlight w:val="none"/>
        </w:rPr>
      </w:pPr>
      <w:r>
        <w:rPr>
          <w:rFonts w:hint="eastAsia" w:ascii="仿宋" w:hAnsi="仿宋" w:eastAsia="仿宋" w:cs="仿宋"/>
          <w:b/>
          <w:color w:val="auto"/>
          <w:highlight w:val="none"/>
        </w:rPr>
        <w:t>6.修改交易文件，重新组织采购活动。</w:t>
      </w:r>
      <w:r>
        <w:rPr>
          <w:rFonts w:hint="eastAsia" w:ascii="仿宋" w:hAnsi="仿宋" w:eastAsia="仿宋" w:cs="仿宋"/>
          <w:color w:val="auto"/>
          <w:highlight w:val="none"/>
        </w:rPr>
        <w:t>评标委员会发现交易文件存在歧义、重大缺陷导致评标工作无法进行，或者交易文件内容违反国家有关强制性规定的，将停止评标工作，并与采购人、采购机构沟通并作书面记录。采购人、采购机构确认后，将修改交易文件，重新组织采购活动。</w:t>
      </w:r>
    </w:p>
    <w:p w14:paraId="7244E59D">
      <w:pPr>
        <w:pStyle w:val="24"/>
        <w:snapToGrid w:val="0"/>
        <w:spacing w:line="360" w:lineRule="auto"/>
        <w:ind w:firstLine="590" w:firstLineChars="245"/>
        <w:rPr>
          <w:rFonts w:hint="eastAsia" w:ascii="仿宋" w:hAnsi="仿宋" w:eastAsia="仿宋" w:cs="仿宋"/>
          <w:color w:val="auto"/>
          <w:highlight w:val="none"/>
        </w:rPr>
      </w:pPr>
      <w:r>
        <w:rPr>
          <w:rFonts w:hint="eastAsia" w:ascii="仿宋" w:hAnsi="仿宋" w:eastAsia="仿宋" w:cs="仿宋"/>
          <w:b/>
          <w:color w:val="auto"/>
          <w:kern w:val="0"/>
          <w:highlight w:val="none"/>
        </w:rPr>
        <w:t>7.重新开展采购。</w:t>
      </w:r>
      <w:r>
        <w:rPr>
          <w:rFonts w:hint="eastAsia" w:ascii="仿宋" w:hAnsi="仿宋" w:eastAsia="仿宋" w:cs="仿宋"/>
          <w:color w:val="auto"/>
          <w:highlight w:val="none"/>
        </w:rPr>
        <w:t>有影响或者可能影响成交、成交结果的，依照下列规定处理：</w:t>
      </w:r>
    </w:p>
    <w:p w14:paraId="5829BC5B">
      <w:pPr>
        <w:pStyle w:val="24"/>
        <w:snapToGrid w:val="0"/>
        <w:spacing w:line="360" w:lineRule="auto"/>
        <w:ind w:firstLine="600" w:firstLineChars="250"/>
        <w:rPr>
          <w:rFonts w:hint="eastAsia" w:ascii="仿宋" w:hAnsi="仿宋" w:eastAsia="仿宋" w:cs="仿宋"/>
          <w:color w:val="auto"/>
          <w:highlight w:val="none"/>
        </w:rPr>
      </w:pPr>
      <w:r>
        <w:rPr>
          <w:rFonts w:hint="eastAsia" w:ascii="仿宋" w:hAnsi="仿宋" w:eastAsia="仿宋" w:cs="仿宋"/>
          <w:color w:val="auto"/>
          <w:highlight w:val="none"/>
        </w:rPr>
        <w:t>7.1未确定成交或者成交人的，终止本次采购活动，重新开展采购活动。</w:t>
      </w:r>
    </w:p>
    <w:p w14:paraId="542BE6DE">
      <w:pPr>
        <w:pStyle w:val="24"/>
        <w:snapToGrid w:val="0"/>
        <w:spacing w:line="360" w:lineRule="auto"/>
        <w:ind w:firstLine="600" w:firstLineChars="250"/>
        <w:rPr>
          <w:rFonts w:hint="eastAsia" w:ascii="仿宋" w:hAnsi="仿宋" w:eastAsia="仿宋" w:cs="仿宋"/>
          <w:color w:val="auto"/>
          <w:highlight w:val="none"/>
        </w:rPr>
      </w:pPr>
      <w:r>
        <w:rPr>
          <w:rFonts w:hint="eastAsia" w:ascii="仿宋" w:hAnsi="仿宋" w:eastAsia="仿宋" w:cs="仿宋"/>
          <w:color w:val="auto"/>
          <w:highlight w:val="none"/>
        </w:rPr>
        <w:t>7.2已确定成交或者成交人但尚未签订采购合同的，成交或者成交结果无效，从合格的成交或者成交候选人中另行确定成交或者成交人；没有合格的成交或者成交候选人的，重新开展采购活动。</w:t>
      </w:r>
    </w:p>
    <w:p w14:paraId="3344BD7F">
      <w:pPr>
        <w:pStyle w:val="24"/>
        <w:snapToGrid w:val="0"/>
        <w:spacing w:line="360" w:lineRule="auto"/>
        <w:ind w:firstLine="600" w:firstLineChars="250"/>
        <w:rPr>
          <w:rFonts w:hint="eastAsia" w:ascii="仿宋" w:hAnsi="仿宋" w:eastAsia="仿宋" w:cs="仿宋"/>
          <w:color w:val="auto"/>
          <w:highlight w:val="none"/>
        </w:rPr>
      </w:pPr>
      <w:r>
        <w:rPr>
          <w:rFonts w:hint="eastAsia" w:ascii="仿宋" w:hAnsi="仿宋" w:eastAsia="仿宋" w:cs="仿宋"/>
          <w:color w:val="auto"/>
          <w:highlight w:val="none"/>
        </w:rPr>
        <w:t>7.3采购合同已签订但尚未履行的，撤销合同，从合格的成交或者成交候选人中另行确定成交或者成交人；没有合格的成交或者成交候选人的，重新开展采购活动。</w:t>
      </w:r>
    </w:p>
    <w:p w14:paraId="6F268BB9">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7.4采购合同已经履行，给采购人、供应商造成损失的，由责任人承担赔偿责任。</w:t>
      </w:r>
    </w:p>
    <w:p w14:paraId="34CB2933">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7.5采购当事人有其他违反相关</w:t>
      </w:r>
      <w:r>
        <w:rPr>
          <w:rFonts w:hint="eastAsia" w:ascii="仿宋" w:hAnsi="仿宋" w:eastAsia="仿宋" w:cs="仿宋"/>
          <w:color w:val="auto"/>
          <w:kern w:val="0"/>
          <w:highlight w:val="none"/>
        </w:rPr>
        <w:t>法律法规规定</w:t>
      </w:r>
      <w:r>
        <w:rPr>
          <w:rFonts w:hint="eastAsia" w:ascii="仿宋" w:hAnsi="仿宋" w:eastAsia="仿宋" w:cs="仿宋"/>
          <w:color w:val="auto"/>
          <w:highlight w:val="none"/>
        </w:rPr>
        <w:t>的行为，经改正后仍然影响或者可能影响成交、成交结果或者依法被认定为成交、成交无效的，依照7.1-7.4规定处理。</w:t>
      </w:r>
    </w:p>
    <w:bookmarkEnd w:id="17"/>
    <w:p w14:paraId="4EE4984C">
      <w:pPr>
        <w:rPr>
          <w:rFonts w:hint="eastAsia" w:ascii="仿宋" w:hAnsi="仿宋" w:eastAsia="仿宋" w:cs="仿宋"/>
          <w:b/>
          <w:color w:val="auto"/>
          <w:sz w:val="36"/>
          <w:szCs w:val="36"/>
          <w:highlight w:val="none"/>
        </w:rPr>
      </w:pPr>
      <w:bookmarkStart w:id="384" w:name="第五部分"/>
      <w:bookmarkStart w:id="385" w:name="_Toc86217003"/>
      <w:r>
        <w:rPr>
          <w:rFonts w:hint="eastAsia" w:ascii="仿宋" w:hAnsi="仿宋" w:eastAsia="仿宋" w:cs="仿宋"/>
          <w:b/>
          <w:color w:val="auto"/>
          <w:sz w:val="36"/>
          <w:szCs w:val="36"/>
          <w:highlight w:val="none"/>
        </w:rPr>
        <w:br w:type="page"/>
      </w:r>
    </w:p>
    <w:p w14:paraId="250B4A4E">
      <w:pPr>
        <w:rPr>
          <w:rFonts w:hint="eastAsia" w:ascii="仿宋" w:hAnsi="仿宋" w:eastAsia="仿宋" w:cs="仿宋"/>
          <w:b/>
          <w:color w:val="auto"/>
          <w:sz w:val="36"/>
          <w:szCs w:val="36"/>
          <w:highlight w:val="none"/>
        </w:rPr>
      </w:pPr>
    </w:p>
    <w:p w14:paraId="32B38376">
      <w:pPr>
        <w:spacing w:line="360" w:lineRule="auto"/>
        <w:ind w:left="-420" w:leftChars="-200" w:right="-420" w:rightChars="-200" w:firstLine="723" w:firstLineChars="200"/>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36"/>
          <w:highlight w:val="none"/>
        </w:rPr>
        <w:t xml:space="preserve">第五部分 </w:t>
      </w:r>
      <w:bookmarkEnd w:id="384"/>
      <w:r>
        <w:rPr>
          <w:rFonts w:hint="eastAsia" w:ascii="仿宋" w:hAnsi="仿宋" w:eastAsia="仿宋" w:cs="仿宋"/>
          <w:b/>
          <w:color w:val="auto"/>
          <w:sz w:val="36"/>
          <w:szCs w:val="20"/>
          <w:highlight w:val="none"/>
        </w:rPr>
        <w:t xml:space="preserve"> </w:t>
      </w:r>
      <w:bookmarkEnd w:id="385"/>
      <w:r>
        <w:rPr>
          <w:rFonts w:hint="eastAsia" w:ascii="仿宋" w:hAnsi="仿宋" w:eastAsia="仿宋" w:cs="仿宋"/>
          <w:b/>
          <w:color w:val="auto"/>
          <w:sz w:val="36"/>
          <w:szCs w:val="20"/>
          <w:highlight w:val="none"/>
        </w:rPr>
        <w:t>应提交的有关格式范例</w:t>
      </w:r>
    </w:p>
    <w:p w14:paraId="2BC71644">
      <w:pPr>
        <w:spacing w:line="360" w:lineRule="auto"/>
        <w:jc w:val="center"/>
        <w:outlineLvl w:val="0"/>
        <w:rPr>
          <w:rFonts w:hint="eastAsia" w:ascii="仿宋" w:hAnsi="仿宋" w:eastAsia="仿宋" w:cs="仿宋"/>
          <w:b/>
          <w:color w:val="auto"/>
          <w:kern w:val="0"/>
          <w:sz w:val="36"/>
          <w:szCs w:val="36"/>
          <w:highlight w:val="none"/>
        </w:rPr>
      </w:pPr>
    </w:p>
    <w:p w14:paraId="0FAE04B9">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资格文件部分</w:t>
      </w:r>
    </w:p>
    <w:p w14:paraId="21F7F4C4">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4075C896">
      <w:pPr>
        <w:spacing w:line="360" w:lineRule="auto"/>
        <w:jc w:val="center"/>
        <w:outlineLvl w:val="0"/>
        <w:rPr>
          <w:rFonts w:hint="eastAsia" w:ascii="仿宋" w:hAnsi="仿宋" w:eastAsia="仿宋" w:cs="仿宋"/>
          <w:b/>
          <w:color w:val="auto"/>
          <w:kern w:val="0"/>
          <w:sz w:val="36"/>
          <w:szCs w:val="36"/>
          <w:highlight w:val="none"/>
        </w:rPr>
      </w:pPr>
    </w:p>
    <w:p w14:paraId="019D03F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（1）符合参加采购活动应当具备的一般条件的承诺函……………（页码）</w:t>
      </w:r>
    </w:p>
    <w:p w14:paraId="7FAE4D5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（2）落实采购政策需满足的资格要求………………………………（页码）</w:t>
      </w:r>
    </w:p>
    <w:p w14:paraId="5CDA9D7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（3）本项目的特定资格要求…………………………………………（页码）</w:t>
      </w:r>
    </w:p>
    <w:p w14:paraId="49D7918E">
      <w:pPr>
        <w:pStyle w:val="5"/>
        <w:rPr>
          <w:color w:val="auto"/>
          <w:highlight w:val="none"/>
        </w:rPr>
      </w:pPr>
    </w:p>
    <w:p w14:paraId="6DF7DEAF">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color w:val="auto"/>
          <w:kern w:val="0"/>
          <w:sz w:val="24"/>
          <w:highlight w:val="none"/>
        </w:rPr>
        <w:br w:type="page"/>
      </w:r>
      <w:r>
        <w:rPr>
          <w:rFonts w:hint="eastAsia" w:ascii="仿宋" w:hAnsi="仿宋" w:eastAsia="仿宋" w:cs="仿宋"/>
          <w:b/>
          <w:color w:val="auto"/>
          <w:kern w:val="0"/>
          <w:sz w:val="32"/>
          <w:szCs w:val="32"/>
          <w:highlight w:val="none"/>
        </w:rPr>
        <w:t xml:space="preserve">  一、 符合参加采购活动应当具备的一般条件的承诺函</w:t>
      </w:r>
    </w:p>
    <w:p w14:paraId="5926C13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w:t>
      </w:r>
    </w:p>
    <w:p w14:paraId="3ECEDBC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我方参与（项目名称）【交易编号：       】采购活动，郑重承诺：</w:t>
      </w:r>
    </w:p>
    <w:p w14:paraId="20D3479A">
      <w:pPr>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（一）具备以下条件：</w:t>
      </w:r>
    </w:p>
    <w:p w14:paraId="646EA9A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046F22D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2、具有良好的商业信誉和健全的财务会计制度； </w:t>
      </w:r>
    </w:p>
    <w:p w14:paraId="369779C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6C27969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45C8194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5、参加采购活动前三年内，在经营活动中没有重大违法记录；</w:t>
      </w:r>
    </w:p>
    <w:p w14:paraId="287DD81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6、具有法律、行政法规规定的其他条件。</w:t>
      </w:r>
    </w:p>
    <w:p w14:paraId="7ED6A48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（二）不存在以下情况：</w:t>
      </w:r>
    </w:p>
    <w:p w14:paraId="0B73545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1、单位负责人为同一人或者存在直接控股、管理关系的不同供应商参加同一合同项下的采购活动的；</w:t>
      </w:r>
    </w:p>
    <w:p w14:paraId="62768FF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2、为采购项目提供整体设计、规范编制或者项目管理、监理、检测等服务后再参加该采购项目的其他采购活动的。</w:t>
      </w:r>
    </w:p>
    <w:p w14:paraId="797D4606">
      <w:pPr>
        <w:pStyle w:val="3"/>
        <w:rPr>
          <w:rFonts w:hint="eastAsia" w:ascii="仿宋" w:eastAsia="仿宋" w:cs="仿宋"/>
          <w:color w:val="auto"/>
          <w:sz w:val="24"/>
          <w:highlight w:val="none"/>
        </w:rPr>
      </w:pPr>
    </w:p>
    <w:p w14:paraId="55F451D5">
      <w:pPr>
        <w:spacing w:line="360" w:lineRule="auto"/>
        <w:rPr>
          <w:rFonts w:hint="eastAsia" w:ascii="仿宋" w:hAnsi="仿宋" w:eastAsia="仿宋" w:cs="仿宋"/>
          <w:color w:val="auto"/>
          <w:highlight w:val="none"/>
        </w:rPr>
      </w:pPr>
    </w:p>
    <w:p w14:paraId="18F449C0">
      <w:pPr>
        <w:snapToGrid w:val="0"/>
        <w:spacing w:line="360" w:lineRule="auto"/>
        <w:ind w:firstLine="5520" w:firstLineChars="2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供应商名称(电子签名)：</w:t>
      </w:r>
    </w:p>
    <w:p w14:paraId="6EBDF76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08C93484">
      <w:pPr>
        <w:snapToGrid w:val="0"/>
        <w:spacing w:line="360" w:lineRule="auto"/>
        <w:ind w:right="480"/>
        <w:jc w:val="center"/>
        <w:rPr>
          <w:rFonts w:hint="eastAsia" w:ascii="仿宋" w:hAnsi="仿宋" w:eastAsia="仿宋" w:cs="仿宋"/>
          <w:b/>
          <w:color w:val="auto"/>
          <w:kern w:val="0"/>
          <w:sz w:val="32"/>
          <w:szCs w:val="32"/>
          <w:highlight w:val="none"/>
        </w:rPr>
      </w:pPr>
    </w:p>
    <w:p w14:paraId="29F05670">
      <w:pPr>
        <w:snapToGrid w:val="0"/>
        <w:spacing w:line="360" w:lineRule="auto"/>
        <w:ind w:right="480"/>
        <w:jc w:val="center"/>
        <w:rPr>
          <w:rFonts w:hint="eastAsia" w:ascii="仿宋" w:hAnsi="仿宋" w:eastAsia="仿宋" w:cs="仿宋"/>
          <w:b/>
          <w:color w:val="auto"/>
          <w:kern w:val="0"/>
          <w:sz w:val="32"/>
          <w:szCs w:val="32"/>
          <w:highlight w:val="none"/>
        </w:rPr>
      </w:pPr>
    </w:p>
    <w:p w14:paraId="0430E028">
      <w:pPr>
        <w:rPr>
          <w:rFonts w:hint="eastAsia" w:ascii="仿宋" w:hAnsi="仿宋" w:eastAsia="仿宋" w:cs="仿宋"/>
          <w:color w:val="auto"/>
          <w:highlight w:val="none"/>
        </w:rPr>
      </w:pPr>
    </w:p>
    <w:p w14:paraId="62140D5C">
      <w:pPr>
        <w:snapToGrid w:val="0"/>
        <w:spacing w:line="360" w:lineRule="auto"/>
        <w:ind w:right="480"/>
        <w:jc w:val="center"/>
        <w:rPr>
          <w:rFonts w:hint="eastAsia" w:ascii="仿宋" w:hAnsi="仿宋" w:eastAsia="仿宋" w:cs="仿宋"/>
          <w:b/>
          <w:color w:val="auto"/>
          <w:kern w:val="0"/>
          <w:sz w:val="32"/>
          <w:szCs w:val="32"/>
          <w:highlight w:val="none"/>
        </w:rPr>
      </w:pPr>
    </w:p>
    <w:p w14:paraId="3651706B">
      <w:pPr>
        <w:snapToGrid w:val="0"/>
        <w:spacing w:line="360" w:lineRule="auto"/>
        <w:ind w:right="480"/>
        <w:jc w:val="center"/>
        <w:rPr>
          <w:rFonts w:hint="eastAsia" w:ascii="仿宋" w:hAnsi="仿宋" w:eastAsia="仿宋" w:cs="仿宋"/>
          <w:b/>
          <w:color w:val="auto"/>
          <w:kern w:val="0"/>
          <w:sz w:val="32"/>
          <w:szCs w:val="32"/>
          <w:highlight w:val="none"/>
        </w:rPr>
      </w:pPr>
    </w:p>
    <w:p w14:paraId="6D528538">
      <w:pPr>
        <w:snapToGrid w:val="0"/>
        <w:spacing w:line="360" w:lineRule="auto"/>
        <w:ind w:right="480"/>
        <w:jc w:val="center"/>
        <w:rPr>
          <w:rFonts w:hint="eastAsia" w:ascii="仿宋" w:hAnsi="仿宋" w:eastAsia="仿宋" w:cs="仿宋"/>
          <w:b/>
          <w:color w:val="auto"/>
          <w:kern w:val="0"/>
          <w:sz w:val="32"/>
          <w:szCs w:val="32"/>
          <w:highlight w:val="none"/>
        </w:rPr>
      </w:pPr>
    </w:p>
    <w:p w14:paraId="11CDB912">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1C41A79B">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二、落实采购政策需满足的资格要求</w:t>
      </w:r>
    </w:p>
    <w:p w14:paraId="1DC7A467">
      <w:pPr>
        <w:spacing w:line="360" w:lineRule="auto"/>
        <w:jc w:val="center"/>
        <w:rPr>
          <w:rFonts w:hint="eastAsia" w:ascii="宋体" w:hAnsi="宋体" w:cs="宋体"/>
          <w:color w:val="auto"/>
          <w:sz w:val="24"/>
          <w:highlight w:val="none"/>
          <w:u w:val="single"/>
        </w:rPr>
      </w:pPr>
      <w:r>
        <w:rPr>
          <w:rFonts w:hint="eastAsia" w:ascii="仿宋" w:hAnsi="仿宋" w:eastAsia="仿宋" w:cs="仿宋"/>
          <w:color w:val="auto"/>
          <w:sz w:val="24"/>
          <w:highlight w:val="none"/>
        </w:rPr>
        <w:t>（根据交易公告落实采购政策需满足的资格要求选择提供相应的材料；未要求的，无需提供）</w:t>
      </w:r>
    </w:p>
    <w:p w14:paraId="0EFAB4A6">
      <w:pPr>
        <w:spacing w:line="360" w:lineRule="auto"/>
        <w:rPr>
          <w:rFonts w:hint="eastAsia" w:ascii="仿宋" w:hAnsi="仿宋" w:eastAsia="仿宋" w:cs="仿宋"/>
          <w:b/>
          <w:color w:val="auto"/>
          <w:sz w:val="32"/>
          <w:szCs w:val="32"/>
          <w:highlight w:val="none"/>
        </w:rPr>
      </w:pPr>
    </w:p>
    <w:p w14:paraId="42F104BE">
      <w:pPr>
        <w:widowControl/>
        <w:spacing w:line="360" w:lineRule="auto"/>
        <w:ind w:firstLine="2249" w:firstLineChars="70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三、本项目的特定资格要求</w:t>
      </w:r>
    </w:p>
    <w:p w14:paraId="334FCEF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（根据交易公告本项目的特定资格要求提供相应的材料；未要求的，无需提供）</w:t>
      </w:r>
    </w:p>
    <w:p w14:paraId="17C34FFE">
      <w:pPr>
        <w:pStyle w:val="62"/>
        <w:rPr>
          <w:rFonts w:hint="eastAsia" w:ascii="仿宋" w:hAnsi="仿宋" w:eastAsia="仿宋" w:cs="仿宋"/>
          <w:color w:val="auto"/>
          <w:highlight w:val="none"/>
        </w:rPr>
      </w:pPr>
    </w:p>
    <w:p w14:paraId="3AE08596">
      <w:pPr>
        <w:rPr>
          <w:rFonts w:hint="eastAsia" w:ascii="仿宋" w:hAnsi="仿宋" w:eastAsia="仿宋" w:cs="仿宋"/>
          <w:color w:val="auto"/>
          <w:highlight w:val="none"/>
        </w:rPr>
      </w:pPr>
    </w:p>
    <w:p w14:paraId="52719BD1">
      <w:pPr>
        <w:snapToGrid w:val="0"/>
        <w:spacing w:line="360" w:lineRule="auto"/>
        <w:ind w:right="480"/>
        <w:jc w:val="center"/>
        <w:rPr>
          <w:rFonts w:hint="eastAsia" w:ascii="仿宋" w:hAnsi="仿宋" w:eastAsia="仿宋" w:cs="仿宋"/>
          <w:b/>
          <w:color w:val="auto"/>
          <w:kern w:val="0"/>
          <w:sz w:val="32"/>
          <w:szCs w:val="32"/>
          <w:highlight w:val="none"/>
        </w:rPr>
      </w:pPr>
    </w:p>
    <w:p w14:paraId="6B736FF9">
      <w:pPr>
        <w:rPr>
          <w:rFonts w:hint="eastAsia" w:ascii="仿宋" w:hAnsi="仿宋" w:eastAsia="仿宋" w:cs="仿宋"/>
          <w:color w:val="auto"/>
          <w:highlight w:val="none"/>
        </w:rPr>
      </w:pPr>
    </w:p>
    <w:p w14:paraId="469B957F">
      <w:pPr>
        <w:snapToGrid w:val="0"/>
        <w:spacing w:line="360" w:lineRule="auto"/>
        <w:ind w:right="480"/>
        <w:jc w:val="center"/>
        <w:rPr>
          <w:rFonts w:hint="eastAsia" w:ascii="仿宋" w:hAnsi="仿宋" w:eastAsia="仿宋" w:cs="仿宋"/>
          <w:b/>
          <w:color w:val="auto"/>
          <w:kern w:val="0"/>
          <w:sz w:val="32"/>
          <w:szCs w:val="32"/>
          <w:highlight w:val="none"/>
        </w:rPr>
      </w:pPr>
    </w:p>
    <w:p w14:paraId="59C314A8">
      <w:pPr>
        <w:snapToGrid w:val="0"/>
        <w:spacing w:line="360" w:lineRule="auto"/>
        <w:ind w:right="480"/>
        <w:jc w:val="center"/>
        <w:rPr>
          <w:rFonts w:hint="eastAsia" w:ascii="仿宋" w:hAnsi="仿宋" w:eastAsia="仿宋" w:cs="仿宋"/>
          <w:b/>
          <w:color w:val="auto"/>
          <w:kern w:val="0"/>
          <w:sz w:val="32"/>
          <w:szCs w:val="32"/>
          <w:highlight w:val="none"/>
        </w:rPr>
      </w:pPr>
    </w:p>
    <w:p w14:paraId="2BFC63F9">
      <w:pPr>
        <w:snapToGrid w:val="0"/>
        <w:spacing w:line="360" w:lineRule="auto"/>
        <w:ind w:right="480"/>
        <w:jc w:val="center"/>
        <w:rPr>
          <w:rFonts w:hint="eastAsia" w:ascii="仿宋" w:hAnsi="仿宋" w:eastAsia="仿宋" w:cs="仿宋"/>
          <w:b/>
          <w:color w:val="auto"/>
          <w:kern w:val="0"/>
          <w:sz w:val="32"/>
          <w:szCs w:val="32"/>
          <w:highlight w:val="none"/>
        </w:rPr>
      </w:pPr>
    </w:p>
    <w:p w14:paraId="0C94135D">
      <w:pPr>
        <w:snapToGrid w:val="0"/>
        <w:spacing w:line="360" w:lineRule="auto"/>
        <w:ind w:right="480"/>
        <w:jc w:val="center"/>
        <w:rPr>
          <w:rFonts w:hint="eastAsia" w:ascii="仿宋" w:hAnsi="仿宋" w:eastAsia="仿宋" w:cs="仿宋"/>
          <w:b/>
          <w:color w:val="auto"/>
          <w:kern w:val="0"/>
          <w:sz w:val="32"/>
          <w:szCs w:val="32"/>
          <w:highlight w:val="none"/>
        </w:rPr>
      </w:pPr>
    </w:p>
    <w:p w14:paraId="27B78A56">
      <w:pPr>
        <w:snapToGrid w:val="0"/>
        <w:spacing w:line="360" w:lineRule="auto"/>
        <w:ind w:right="480"/>
        <w:jc w:val="center"/>
        <w:rPr>
          <w:rFonts w:hint="eastAsia" w:ascii="仿宋" w:hAnsi="仿宋" w:eastAsia="仿宋" w:cs="仿宋"/>
          <w:b/>
          <w:color w:val="auto"/>
          <w:kern w:val="0"/>
          <w:sz w:val="32"/>
          <w:szCs w:val="32"/>
          <w:highlight w:val="none"/>
        </w:rPr>
      </w:pPr>
    </w:p>
    <w:p w14:paraId="4742DDE2">
      <w:pPr>
        <w:rPr>
          <w:rFonts w:hint="eastAsia" w:ascii="仿宋" w:hAnsi="仿宋" w:eastAsia="仿宋" w:cs="仿宋"/>
          <w:b/>
          <w:color w:val="auto"/>
          <w:kern w:val="0"/>
          <w:sz w:val="36"/>
          <w:szCs w:val="36"/>
          <w:highlight w:val="none"/>
        </w:rPr>
      </w:pPr>
    </w:p>
    <w:p w14:paraId="6B46FC5E">
      <w:pPr>
        <w:spacing w:line="360" w:lineRule="auto"/>
        <w:ind w:right="420" w:firstLine="3614" w:firstLineChars="1000"/>
        <w:rPr>
          <w:rFonts w:hint="eastAsia" w:ascii="仿宋" w:hAnsi="仿宋" w:eastAsia="仿宋" w:cs="仿宋"/>
          <w:b/>
          <w:color w:val="auto"/>
          <w:kern w:val="0"/>
          <w:sz w:val="36"/>
          <w:szCs w:val="36"/>
          <w:highlight w:val="none"/>
        </w:rPr>
      </w:pPr>
    </w:p>
    <w:p w14:paraId="1D4C971D">
      <w:pPr>
        <w:spacing w:line="360" w:lineRule="auto"/>
        <w:ind w:right="420"/>
        <w:jc w:val="center"/>
        <w:rPr>
          <w:rFonts w:hint="eastAsia" w:ascii="仿宋" w:hAnsi="仿宋" w:eastAsia="仿宋" w:cs="仿宋"/>
          <w:b/>
          <w:color w:val="auto"/>
          <w:kern w:val="0"/>
          <w:sz w:val="36"/>
          <w:szCs w:val="36"/>
          <w:highlight w:val="none"/>
        </w:rPr>
      </w:pPr>
    </w:p>
    <w:p w14:paraId="1E4DFBD8">
      <w:pPr>
        <w:pStyle w:val="4"/>
        <w:rPr>
          <w:rFonts w:hint="eastAsia" w:ascii="仿宋" w:hAnsi="仿宋" w:eastAsia="仿宋" w:cs="仿宋"/>
          <w:color w:val="auto"/>
          <w:kern w:val="0"/>
          <w:sz w:val="36"/>
          <w:szCs w:val="36"/>
          <w:highlight w:val="none"/>
        </w:rPr>
      </w:pPr>
    </w:p>
    <w:p w14:paraId="30C34BCF">
      <w:pPr>
        <w:rPr>
          <w:rFonts w:hint="eastAsia" w:ascii="仿宋" w:hAnsi="仿宋" w:eastAsia="仿宋" w:cs="仿宋"/>
          <w:b/>
          <w:color w:val="auto"/>
          <w:kern w:val="0"/>
          <w:sz w:val="36"/>
          <w:szCs w:val="36"/>
          <w:highlight w:val="none"/>
        </w:rPr>
      </w:pPr>
    </w:p>
    <w:p w14:paraId="4F4022D5">
      <w:pPr>
        <w:pStyle w:val="4"/>
        <w:rPr>
          <w:rFonts w:hint="eastAsia" w:ascii="仿宋" w:hAnsi="仿宋" w:eastAsia="仿宋" w:cs="仿宋"/>
          <w:color w:val="auto"/>
          <w:kern w:val="0"/>
          <w:sz w:val="36"/>
          <w:szCs w:val="36"/>
          <w:highlight w:val="none"/>
        </w:rPr>
      </w:pPr>
    </w:p>
    <w:p w14:paraId="6A852F07">
      <w:pPr>
        <w:rPr>
          <w:rFonts w:hint="eastAsia" w:ascii="仿宋" w:hAnsi="仿宋" w:eastAsia="仿宋" w:cs="仿宋"/>
          <w:b/>
          <w:color w:val="auto"/>
          <w:kern w:val="0"/>
          <w:sz w:val="36"/>
          <w:szCs w:val="36"/>
          <w:highlight w:val="none"/>
        </w:rPr>
      </w:pPr>
    </w:p>
    <w:p w14:paraId="1269FDBB">
      <w:pPr>
        <w:pStyle w:val="4"/>
        <w:rPr>
          <w:color w:val="auto"/>
          <w:highlight w:val="none"/>
        </w:rPr>
      </w:pPr>
    </w:p>
    <w:p w14:paraId="0737AEC7">
      <w:pPr>
        <w:spacing w:line="360" w:lineRule="auto"/>
        <w:ind w:right="420"/>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商务技术文件部分</w:t>
      </w:r>
    </w:p>
    <w:p w14:paraId="7E38B279">
      <w:pPr>
        <w:spacing w:line="360" w:lineRule="auto"/>
        <w:jc w:val="center"/>
        <w:outlineLvl w:val="0"/>
        <w:rPr>
          <w:rFonts w:hint="eastAsia" w:ascii="仿宋" w:hAnsi="仿宋" w:eastAsia="仿宋" w:cs="仿宋"/>
          <w:b/>
          <w:color w:val="auto"/>
          <w:kern w:val="0"/>
          <w:sz w:val="24"/>
          <w:highlight w:val="none"/>
        </w:rPr>
      </w:pPr>
    </w:p>
    <w:p w14:paraId="6023D646">
      <w:pPr>
        <w:spacing w:line="360" w:lineRule="auto"/>
        <w:jc w:val="center"/>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目录</w:t>
      </w:r>
    </w:p>
    <w:p w14:paraId="59E02142">
      <w:p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（1）响应函</w:t>
      </w:r>
      <w:r>
        <w:rPr>
          <w:rFonts w:hint="eastAsia" w:ascii="仿宋" w:hAnsi="仿宋" w:eastAsia="仿宋" w:cs="仿宋"/>
          <w:color w:val="auto"/>
          <w:highlight w:val="none"/>
        </w:rPr>
        <w:t>…………………………………………………………………………………（页码）</w:t>
      </w:r>
      <w:r>
        <w:rPr>
          <w:rFonts w:hint="eastAsia" w:ascii="仿宋" w:hAnsi="仿宋" w:eastAsia="仿宋" w:cs="仿宋"/>
          <w:color w:val="auto"/>
          <w:sz w:val="24"/>
          <w:highlight w:val="none"/>
        </w:rPr>
        <w:t>（2）授权委托书或法定代表人（单位负责人、自然人本人）身份证明</w:t>
      </w:r>
      <w:r>
        <w:rPr>
          <w:rFonts w:hint="eastAsia" w:ascii="仿宋" w:hAnsi="仿宋" w:eastAsia="仿宋" w:cs="仿宋"/>
          <w:color w:val="auto"/>
          <w:highlight w:val="none"/>
        </w:rPr>
        <w:t>………（页码）</w:t>
      </w:r>
    </w:p>
    <w:p w14:paraId="0668B50D">
      <w:pPr>
        <w:snapToGrid w:val="0"/>
        <w:spacing w:line="36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 xml:space="preserve">（3）符合性审查资料 </w:t>
      </w:r>
      <w:r>
        <w:rPr>
          <w:rFonts w:hint="eastAsia" w:ascii="仿宋" w:hAnsi="仿宋" w:eastAsia="仿宋" w:cs="仿宋"/>
          <w:color w:val="auto"/>
          <w:highlight w:val="none"/>
        </w:rPr>
        <w:t>……………………………………………………………………（页码）</w:t>
      </w:r>
    </w:p>
    <w:p w14:paraId="79F65F8D">
      <w:pPr>
        <w:snapToGrid w:val="0"/>
        <w:spacing w:line="360" w:lineRule="auto"/>
        <w:ind w:left="479" w:left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（4） 评标标准相应的商务技术资料……………………………………………（页码）</w:t>
      </w:r>
    </w:p>
    <w:p w14:paraId="7BBCAE63">
      <w:pPr>
        <w:snapToGrid w:val="0"/>
        <w:spacing w:line="360" w:lineRule="auto"/>
        <w:ind w:left="479" w:left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（5）交易标的清单………………………………………………………………（页码）</w:t>
      </w:r>
    </w:p>
    <w:p w14:paraId="107B0A13">
      <w:pPr>
        <w:snapToGrid w:val="0"/>
        <w:spacing w:line="360" w:lineRule="auto"/>
        <w:ind w:left="479" w:left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（6）商务技术偏离表……………………………………………………………（页码）</w:t>
      </w:r>
    </w:p>
    <w:p w14:paraId="5B3E22FD">
      <w:pPr>
        <w:snapToGrid w:val="0"/>
        <w:spacing w:line="360" w:lineRule="auto"/>
        <w:ind w:left="479" w:left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zh-CN"/>
        </w:rPr>
        <w:t>采购供应商廉洁自律承诺书</w:t>
      </w:r>
      <w:r>
        <w:rPr>
          <w:rFonts w:hint="eastAsia" w:ascii="仿宋" w:hAnsi="仿宋" w:eastAsia="仿宋" w:cs="仿宋"/>
          <w:color w:val="auto"/>
          <w:sz w:val="24"/>
          <w:highlight w:val="none"/>
        </w:rPr>
        <w:t>………………………………………………（页码）</w:t>
      </w:r>
    </w:p>
    <w:p w14:paraId="79D12490">
      <w:pPr>
        <w:snapToGrid w:val="0"/>
        <w:spacing w:line="360" w:lineRule="auto"/>
        <w:jc w:val="center"/>
        <w:rPr>
          <w:rFonts w:hint="eastAsia" w:ascii="仿宋" w:hAnsi="仿宋" w:eastAsia="仿宋" w:cs="仿宋"/>
          <w:b/>
          <w:color w:val="auto"/>
          <w:kern w:val="0"/>
          <w:sz w:val="32"/>
          <w:szCs w:val="32"/>
          <w:highlight w:val="none"/>
          <w:lang w:val="zh-CN"/>
        </w:rPr>
      </w:pPr>
    </w:p>
    <w:p w14:paraId="6774B4A7">
      <w:pPr>
        <w:snapToGrid w:val="0"/>
        <w:spacing w:line="360" w:lineRule="auto"/>
        <w:jc w:val="center"/>
        <w:rPr>
          <w:rFonts w:hint="eastAsia" w:ascii="仿宋" w:hAnsi="仿宋" w:eastAsia="仿宋" w:cs="仿宋"/>
          <w:b/>
          <w:color w:val="auto"/>
          <w:kern w:val="0"/>
          <w:sz w:val="32"/>
          <w:szCs w:val="32"/>
          <w:highlight w:val="none"/>
          <w:lang w:val="zh-CN"/>
        </w:rPr>
      </w:pPr>
    </w:p>
    <w:p w14:paraId="03434CC1">
      <w:pPr>
        <w:snapToGrid w:val="0"/>
        <w:spacing w:line="360" w:lineRule="auto"/>
        <w:jc w:val="center"/>
        <w:rPr>
          <w:rFonts w:hint="eastAsia" w:ascii="仿宋" w:hAnsi="仿宋" w:eastAsia="仿宋" w:cs="仿宋"/>
          <w:b/>
          <w:color w:val="auto"/>
          <w:kern w:val="0"/>
          <w:sz w:val="32"/>
          <w:szCs w:val="32"/>
          <w:highlight w:val="none"/>
          <w:lang w:val="zh-CN"/>
        </w:rPr>
      </w:pPr>
    </w:p>
    <w:p w14:paraId="47E432AC">
      <w:pPr>
        <w:snapToGrid w:val="0"/>
        <w:spacing w:line="360" w:lineRule="auto"/>
        <w:jc w:val="center"/>
        <w:rPr>
          <w:rFonts w:hint="eastAsia" w:ascii="仿宋" w:hAnsi="仿宋" w:eastAsia="仿宋" w:cs="仿宋"/>
          <w:b/>
          <w:color w:val="auto"/>
          <w:kern w:val="0"/>
          <w:sz w:val="32"/>
          <w:szCs w:val="32"/>
          <w:highlight w:val="none"/>
          <w:lang w:val="zh-CN"/>
        </w:rPr>
      </w:pPr>
    </w:p>
    <w:p w14:paraId="1878D0EC">
      <w:pPr>
        <w:snapToGrid w:val="0"/>
        <w:spacing w:line="360" w:lineRule="auto"/>
        <w:jc w:val="center"/>
        <w:rPr>
          <w:rFonts w:hint="eastAsia" w:ascii="仿宋" w:hAnsi="仿宋" w:eastAsia="仿宋" w:cs="仿宋"/>
          <w:b/>
          <w:color w:val="auto"/>
          <w:kern w:val="0"/>
          <w:sz w:val="32"/>
          <w:szCs w:val="32"/>
          <w:highlight w:val="none"/>
          <w:lang w:val="zh-CN"/>
        </w:rPr>
      </w:pPr>
    </w:p>
    <w:p w14:paraId="6DF3AF72">
      <w:pPr>
        <w:snapToGrid w:val="0"/>
        <w:spacing w:line="360" w:lineRule="auto"/>
        <w:jc w:val="center"/>
        <w:outlineLvl w:val="0"/>
        <w:rPr>
          <w:rFonts w:hint="eastAsia" w:ascii="仿宋" w:hAnsi="仿宋" w:eastAsia="仿宋" w:cs="仿宋"/>
          <w:b/>
          <w:color w:val="auto"/>
          <w:kern w:val="0"/>
          <w:sz w:val="32"/>
          <w:szCs w:val="32"/>
          <w:highlight w:val="none"/>
        </w:rPr>
      </w:pPr>
    </w:p>
    <w:p w14:paraId="389E8DB8">
      <w:pPr>
        <w:snapToGrid w:val="0"/>
        <w:spacing w:line="360" w:lineRule="auto"/>
        <w:jc w:val="center"/>
        <w:outlineLvl w:val="0"/>
        <w:rPr>
          <w:rFonts w:hint="eastAsia" w:ascii="仿宋" w:hAnsi="仿宋" w:eastAsia="仿宋" w:cs="仿宋"/>
          <w:b/>
          <w:color w:val="auto"/>
          <w:kern w:val="0"/>
          <w:sz w:val="32"/>
          <w:szCs w:val="32"/>
          <w:highlight w:val="none"/>
        </w:rPr>
      </w:pPr>
    </w:p>
    <w:p w14:paraId="35AF9580">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2C07182F">
      <w:pPr>
        <w:jc w:val="center"/>
        <w:rPr>
          <w:rFonts w:hint="eastAsia" w:ascii="仿宋" w:hAnsi="仿宋" w:eastAsia="仿宋" w:cs="仿宋"/>
          <w:b/>
          <w:color w:val="auto"/>
          <w:sz w:val="32"/>
          <w:szCs w:val="32"/>
          <w:highlight w:val="none"/>
        </w:rPr>
      </w:pPr>
      <w:r>
        <w:rPr>
          <w:rFonts w:hint="eastAsia" w:ascii="仿宋" w:hAnsi="仿宋" w:eastAsia="仿宋" w:cs="仿宋"/>
          <w:b/>
          <w:color w:val="auto"/>
          <w:kern w:val="0"/>
          <w:sz w:val="32"/>
          <w:szCs w:val="32"/>
          <w:highlight w:val="none"/>
        </w:rPr>
        <w:t>一、响应</w:t>
      </w:r>
      <w:r>
        <w:rPr>
          <w:rFonts w:hint="eastAsia" w:ascii="仿宋" w:hAnsi="仿宋" w:eastAsia="仿宋" w:cs="仿宋"/>
          <w:b/>
          <w:color w:val="auto"/>
          <w:sz w:val="32"/>
          <w:szCs w:val="32"/>
          <w:highlight w:val="none"/>
        </w:rPr>
        <w:t>函</w:t>
      </w:r>
    </w:p>
    <w:p w14:paraId="27377DE5">
      <w:pP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（采购人）、（采购代理机构）</w:t>
      </w:r>
      <w:r>
        <w:rPr>
          <w:rFonts w:hint="eastAsia" w:ascii="仿宋" w:hAnsi="仿宋" w:eastAsia="仿宋" w:cs="仿宋"/>
          <w:color w:val="auto"/>
          <w:sz w:val="24"/>
          <w:highlight w:val="none"/>
        </w:rPr>
        <w:t>：</w:t>
      </w:r>
    </w:p>
    <w:p w14:paraId="16E58439">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我方参加你方组织的</w:t>
      </w:r>
      <w:r>
        <w:rPr>
          <w:rFonts w:hint="eastAsia" w:ascii="仿宋" w:hAnsi="仿宋" w:eastAsia="仿宋" w:cs="仿宋"/>
          <w:color w:val="auto"/>
          <w:sz w:val="24"/>
          <w:highlight w:val="none"/>
          <w:u w:val="single"/>
        </w:rPr>
        <w:t>（项目名称）【交易编号：       】</w:t>
      </w:r>
      <w:r>
        <w:rPr>
          <w:rFonts w:hint="eastAsia" w:ascii="仿宋" w:hAnsi="仿宋" w:eastAsia="仿宋" w:cs="仿宋"/>
          <w:color w:val="auto"/>
          <w:sz w:val="24"/>
          <w:highlight w:val="none"/>
        </w:rPr>
        <w:t>交易的有关活动，并对此项目进行响应。为此：</w:t>
      </w:r>
    </w:p>
    <w:p w14:paraId="7E0E43DD">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1、我方承诺交易有效期从提交响应文件的截止之日起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天（不少于90天）</w:t>
      </w:r>
      <w:r>
        <w:rPr>
          <w:rFonts w:hint="eastAsia" w:ascii="仿宋" w:hAnsi="仿宋" w:eastAsia="仿宋" w:cs="仿宋"/>
          <w:color w:val="auto"/>
          <w:highlight w:val="none"/>
        </w:rPr>
        <w:t>，</w:t>
      </w:r>
      <w:r>
        <w:rPr>
          <w:rFonts w:hint="eastAsia" w:ascii="仿宋" w:hAnsi="仿宋" w:eastAsia="仿宋" w:cs="仿宋"/>
          <w:color w:val="auto"/>
          <w:sz w:val="24"/>
          <w:highlight w:val="none"/>
        </w:rPr>
        <w:t>本响应文件在交易有效期满之前均具有约束力。</w:t>
      </w:r>
    </w:p>
    <w:p w14:paraId="044E683B">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2、我方的响应文件包括以下内容：</w:t>
      </w:r>
    </w:p>
    <w:p w14:paraId="4F01451F">
      <w:pPr>
        <w:snapToGrid w:val="0"/>
        <w:spacing w:line="440" w:lineRule="exact"/>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2.1资格文件：</w:t>
      </w:r>
    </w:p>
    <w:p w14:paraId="7EC59E1C">
      <w:pPr>
        <w:snapToGrid w:val="0"/>
        <w:spacing w:line="440" w:lineRule="exact"/>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2.1.1承诺函；</w:t>
      </w:r>
    </w:p>
    <w:p w14:paraId="7E4F8EEE">
      <w:pPr>
        <w:snapToGrid w:val="0"/>
        <w:spacing w:line="440" w:lineRule="exact"/>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2.1.2落实政府采购政策需满足的资格要求（如果有）；</w:t>
      </w:r>
    </w:p>
    <w:p w14:paraId="4D2B3CEB">
      <w:pPr>
        <w:snapToGrid w:val="0"/>
        <w:spacing w:line="440" w:lineRule="exact"/>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2.1.3本项目的特定资格要求（如果有）；</w:t>
      </w:r>
    </w:p>
    <w:p w14:paraId="0ECCD1F9">
      <w:pPr>
        <w:snapToGrid w:val="0"/>
        <w:spacing w:line="440" w:lineRule="exact"/>
        <w:ind w:left="420" w:leftChars="20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lang w:val="zh-CN"/>
        </w:rPr>
        <w:t>文件：</w:t>
      </w:r>
    </w:p>
    <w:p w14:paraId="62A005B0">
      <w:pPr>
        <w:snapToGrid w:val="0"/>
        <w:spacing w:line="440" w:lineRule="exact"/>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2.2.1响应函；</w:t>
      </w:r>
      <w:r>
        <w:rPr>
          <w:rFonts w:hint="eastAsia" w:ascii="仿宋" w:hAnsi="仿宋" w:eastAsia="仿宋" w:cs="仿宋"/>
          <w:color w:val="auto"/>
          <w:sz w:val="24"/>
          <w:highlight w:val="none"/>
          <w:lang w:val="zh-CN"/>
        </w:rPr>
        <w:t xml:space="preserve"> </w:t>
      </w:r>
    </w:p>
    <w:p w14:paraId="30070EAD">
      <w:pPr>
        <w:snapToGrid w:val="0"/>
        <w:spacing w:line="440" w:lineRule="exact"/>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2.2.2授权委托书或法定代表人（单位负责人）身份证明；</w:t>
      </w:r>
    </w:p>
    <w:p w14:paraId="19CABF3E">
      <w:pPr>
        <w:snapToGrid w:val="0"/>
        <w:spacing w:line="440" w:lineRule="exact"/>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2.2.3符合性审查资料；</w:t>
      </w:r>
    </w:p>
    <w:p w14:paraId="12177070">
      <w:pPr>
        <w:snapToGrid w:val="0"/>
        <w:spacing w:line="440" w:lineRule="exact"/>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2.2.4评标标准相应的商务技术资料；</w:t>
      </w:r>
    </w:p>
    <w:p w14:paraId="28413408">
      <w:pPr>
        <w:snapToGrid w:val="0"/>
        <w:spacing w:line="440" w:lineRule="exact"/>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2.2.5交易标的清单；</w:t>
      </w:r>
    </w:p>
    <w:p w14:paraId="6875EB59">
      <w:pPr>
        <w:snapToGrid w:val="0"/>
        <w:spacing w:line="440" w:lineRule="exact"/>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2.2.6商务技术偏离表；</w:t>
      </w:r>
    </w:p>
    <w:p w14:paraId="0ED2AA60">
      <w:pPr>
        <w:snapToGrid w:val="0"/>
        <w:spacing w:line="440" w:lineRule="exact"/>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2.2.7</w:t>
      </w:r>
      <w:r>
        <w:rPr>
          <w:rFonts w:hint="eastAsia" w:ascii="仿宋" w:hAnsi="仿宋" w:eastAsia="仿宋" w:cs="仿宋"/>
          <w:color w:val="auto"/>
          <w:sz w:val="24"/>
          <w:highlight w:val="none"/>
          <w:lang w:val="zh-CN"/>
        </w:rPr>
        <w:t>采购供应商廉洁自律承诺书</w:t>
      </w:r>
      <w:r>
        <w:rPr>
          <w:rFonts w:hint="eastAsia" w:ascii="仿宋" w:hAnsi="仿宋" w:eastAsia="仿宋" w:cs="仿宋"/>
          <w:color w:val="auto"/>
          <w:sz w:val="24"/>
          <w:highlight w:val="none"/>
        </w:rPr>
        <w:t>；</w:t>
      </w:r>
    </w:p>
    <w:p w14:paraId="42DECDB6">
      <w:pPr>
        <w:snapToGrid w:val="0"/>
        <w:spacing w:line="440" w:lineRule="exact"/>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3报价文件</w:t>
      </w:r>
    </w:p>
    <w:p w14:paraId="788698BA">
      <w:pPr>
        <w:snapToGrid w:val="0"/>
        <w:spacing w:line="440" w:lineRule="exact"/>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2.3.1交易一览表（报价表）；</w:t>
      </w:r>
    </w:p>
    <w:p w14:paraId="5E9E2110">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3、我方承诺除商务技术偏离表列出的偏离外，我方响应交易文件的全部要求。</w:t>
      </w:r>
    </w:p>
    <w:p w14:paraId="736748A3">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4、如我方成交，我方承诺：</w:t>
      </w:r>
    </w:p>
    <w:p w14:paraId="5C5A8FA5">
      <w:pPr>
        <w:snapToGrid w:val="0"/>
        <w:spacing w:line="440" w:lineRule="exact"/>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4.1在收到成交通知书后，在成交通知书规定的期限内与你方签订合同； </w:t>
      </w:r>
    </w:p>
    <w:p w14:paraId="1945A5A7">
      <w:pPr>
        <w:snapToGrid w:val="0"/>
        <w:spacing w:line="440" w:lineRule="exact"/>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4.2在签订合同时不向你方提出附加条件； </w:t>
      </w:r>
    </w:p>
    <w:p w14:paraId="1FF0C30C">
      <w:pPr>
        <w:snapToGrid w:val="0"/>
        <w:spacing w:line="440" w:lineRule="exact"/>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4.3按照交易文件要求提交履约保证金； </w:t>
      </w:r>
    </w:p>
    <w:p w14:paraId="727772DB">
      <w:pPr>
        <w:snapToGrid w:val="0"/>
        <w:spacing w:line="440" w:lineRule="exact"/>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4.4在合同约定的期限内完成合同规定的全部义务。 </w:t>
      </w:r>
    </w:p>
    <w:p w14:paraId="6B7E310B">
      <w:pPr>
        <w:snapToGrid w:val="0"/>
        <w:spacing w:line="440" w:lineRule="exact"/>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5、其他补充说明: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32C6C01">
      <w:pPr>
        <w:spacing w:line="440" w:lineRule="exact"/>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供应商名称（电子签名）：                          </w:t>
      </w:r>
    </w:p>
    <w:p w14:paraId="3A3849B1">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       注：按本格式和要求提供。</w:t>
      </w:r>
    </w:p>
    <w:p w14:paraId="1C6FD149">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8BCAA06">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二、授权委托书或法定代表人（单位负责人、自然人本人）身份证明</w:t>
      </w:r>
    </w:p>
    <w:p w14:paraId="48D36D1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20DCF91">
      <w:pPr>
        <w:snapToGrid w:val="0"/>
        <w:spacing w:line="360" w:lineRule="auto"/>
        <w:jc w:val="center"/>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lang w:val="zh-CN"/>
        </w:rPr>
        <w:t>授权委托书</w:t>
      </w:r>
    </w:p>
    <w:p w14:paraId="16E0EC4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（采购人）、（采购代理机构）</w:t>
      </w:r>
      <w:r>
        <w:rPr>
          <w:rFonts w:hint="eastAsia" w:ascii="仿宋" w:hAnsi="仿宋" w:eastAsia="仿宋" w:cs="仿宋"/>
          <w:color w:val="auto"/>
          <w:kern w:val="0"/>
          <w:sz w:val="24"/>
          <w:highlight w:val="none"/>
          <w:lang w:val="zh-CN"/>
        </w:rPr>
        <w:t>：</w:t>
      </w:r>
    </w:p>
    <w:p w14:paraId="4DD64546">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rPr>
        <w:t>（项目名称）【交易编号：    】</w:t>
      </w:r>
      <w:r>
        <w:rPr>
          <w:rFonts w:hint="eastAsia" w:ascii="仿宋" w:hAnsi="仿宋" w:eastAsia="仿宋" w:cs="仿宋"/>
          <w:color w:val="auto"/>
          <w:kern w:val="0"/>
          <w:sz w:val="24"/>
          <w:highlight w:val="none"/>
          <w:lang w:val="zh-CN"/>
        </w:rPr>
        <w:t>交易的一切事项，其法律后果由我方承担。</w:t>
      </w:r>
    </w:p>
    <w:p w14:paraId="302C7F93">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3626E88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0DB3000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供应商名称(电子签名)：</w:t>
      </w:r>
    </w:p>
    <w:p w14:paraId="27159C03">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签发日期：  年  月   日</w:t>
      </w:r>
    </w:p>
    <w:p w14:paraId="030ED5CB">
      <w:pPr>
        <w:snapToGrid w:val="0"/>
        <w:spacing w:line="360" w:lineRule="auto"/>
        <w:rPr>
          <w:rFonts w:hint="eastAsia" w:ascii="仿宋" w:hAnsi="仿宋" w:eastAsia="仿宋" w:cs="仿宋"/>
          <w:color w:val="auto"/>
          <w:sz w:val="24"/>
          <w:highlight w:val="none"/>
        </w:rPr>
      </w:pPr>
    </w:p>
    <w:p w14:paraId="6B2C70C9">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b/>
          <w:color w:val="auto"/>
          <w:kern w:val="0"/>
          <w:sz w:val="32"/>
          <w:szCs w:val="32"/>
          <w:highlight w:val="none"/>
          <w:lang w:val="zh-CN"/>
        </w:rPr>
        <w:t xml:space="preserve">      </w:t>
      </w:r>
    </w:p>
    <w:p w14:paraId="22EFB706">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0"/>
          <w:sz w:val="32"/>
          <w:szCs w:val="32"/>
          <w:highlight w:val="none"/>
          <w:lang w:val="zh-CN"/>
        </w:rPr>
        <w:t>法定代表人、单位负责人或自然人本人</w:t>
      </w:r>
      <w:r>
        <w:rPr>
          <w:rFonts w:hint="eastAsia" w:ascii="仿宋" w:hAnsi="仿宋" w:eastAsia="仿宋" w:cs="仿宋"/>
          <w:b/>
          <w:color w:val="auto"/>
          <w:sz w:val="30"/>
          <w:szCs w:val="30"/>
          <w:highlight w:val="none"/>
        </w:rPr>
        <w:t>的身份证明（适用于法定代表人、单位负责人或者自然人本人代表供应商参加交易）</w:t>
      </w:r>
    </w:p>
    <w:p w14:paraId="614D303A">
      <w:pPr>
        <w:pStyle w:val="149"/>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8FD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jc w:val="center"/>
        </w:trPr>
        <w:tc>
          <w:tcPr>
            <w:tcW w:w="9207" w:type="dxa"/>
          </w:tcPr>
          <w:p w14:paraId="6940131C">
            <w:pPr>
              <w:pStyle w:val="149"/>
              <w:adjustRightIn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正面：                                 反面：</w:t>
            </w:r>
          </w:p>
          <w:p w14:paraId="5A2A048B">
            <w:pPr>
              <w:pStyle w:val="149"/>
              <w:adjustRightInd w:val="0"/>
              <w:spacing w:line="360" w:lineRule="auto"/>
              <w:rPr>
                <w:rFonts w:hint="eastAsia" w:ascii="仿宋" w:hAnsi="仿宋" w:eastAsia="仿宋" w:cs="仿宋"/>
                <w:bCs/>
                <w:color w:val="auto"/>
                <w:sz w:val="24"/>
                <w:highlight w:val="none"/>
              </w:rPr>
            </w:pPr>
          </w:p>
        </w:tc>
      </w:tr>
    </w:tbl>
    <w:p w14:paraId="43C75BA5">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5213A21B">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供应商名称(电子签名)：                              </w:t>
      </w:r>
    </w:p>
    <w:p w14:paraId="563EC57E">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412B4AE4">
      <w:pPr>
        <w:jc w:val="center"/>
        <w:rPr>
          <w:rFonts w:hint="eastAsia" w:ascii="仿宋" w:hAnsi="仿宋" w:eastAsia="仿宋" w:cs="仿宋"/>
          <w:b/>
          <w:color w:val="auto"/>
          <w:kern w:val="0"/>
          <w:sz w:val="32"/>
          <w:szCs w:val="32"/>
          <w:highlight w:val="none"/>
        </w:rPr>
      </w:pPr>
    </w:p>
    <w:p w14:paraId="34E4D7AF">
      <w:pPr>
        <w:snapToGrid w:val="0"/>
        <w:spacing w:line="360" w:lineRule="auto"/>
        <w:rPr>
          <w:rFonts w:hint="eastAsia" w:ascii="仿宋" w:hAnsi="仿宋" w:eastAsia="仿宋" w:cs="仿宋"/>
          <w:color w:val="auto"/>
          <w:kern w:val="0"/>
          <w:sz w:val="24"/>
          <w:highlight w:val="none"/>
        </w:rPr>
      </w:pPr>
    </w:p>
    <w:p w14:paraId="4A3319A8">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三、符合性审查资料</w:t>
      </w:r>
    </w:p>
    <w:p w14:paraId="256C2E01">
      <w:pPr>
        <w:jc w:val="center"/>
        <w:rPr>
          <w:rFonts w:hint="eastAsia" w:ascii="仿宋" w:hAnsi="仿宋" w:eastAsia="仿宋" w:cs="仿宋"/>
          <w:b/>
          <w:color w:val="auto"/>
          <w:kern w:val="0"/>
          <w:sz w:val="32"/>
          <w:szCs w:val="32"/>
          <w:highlight w:val="none"/>
        </w:rPr>
      </w:pPr>
    </w:p>
    <w:tbl>
      <w:tblPr>
        <w:tblStyle w:val="6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672"/>
        <w:gridCol w:w="2551"/>
        <w:gridCol w:w="1418"/>
      </w:tblGrid>
      <w:tr w14:paraId="0F0C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22DAC63">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4672" w:type="dxa"/>
            <w:vAlign w:val="center"/>
          </w:tcPr>
          <w:p w14:paraId="6D3B2B80">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实质性要求</w:t>
            </w:r>
          </w:p>
        </w:tc>
        <w:tc>
          <w:tcPr>
            <w:tcW w:w="2551" w:type="dxa"/>
            <w:vAlign w:val="center"/>
          </w:tcPr>
          <w:p w14:paraId="1200D007">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需要提供的符合性审查资料</w:t>
            </w:r>
          </w:p>
        </w:tc>
        <w:tc>
          <w:tcPr>
            <w:tcW w:w="1418" w:type="dxa"/>
            <w:vAlign w:val="center"/>
          </w:tcPr>
          <w:p w14:paraId="44396034">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响应文件中的</w:t>
            </w:r>
          </w:p>
          <w:p w14:paraId="682C858D">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页码位置</w:t>
            </w:r>
          </w:p>
        </w:tc>
      </w:tr>
      <w:tr w14:paraId="5EA1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A525F7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4672" w:type="dxa"/>
            <w:vAlign w:val="center"/>
          </w:tcPr>
          <w:p w14:paraId="75265D7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响应文件按照交易文件要求签署、盖章。</w:t>
            </w:r>
          </w:p>
        </w:tc>
        <w:tc>
          <w:tcPr>
            <w:tcW w:w="2551" w:type="dxa"/>
            <w:vAlign w:val="center"/>
          </w:tcPr>
          <w:p w14:paraId="5BDD296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需要使用电子签名或者签字盖章的响应文件的组成部分</w:t>
            </w:r>
          </w:p>
        </w:tc>
        <w:tc>
          <w:tcPr>
            <w:tcW w:w="1418" w:type="dxa"/>
            <w:vAlign w:val="center"/>
          </w:tcPr>
          <w:p w14:paraId="4E8B0A3F">
            <w:pPr>
              <w:jc w:val="center"/>
              <w:rPr>
                <w:rFonts w:hint="eastAsia" w:ascii="仿宋" w:hAnsi="仿宋" w:eastAsia="仿宋" w:cs="仿宋"/>
                <w:color w:val="auto"/>
                <w:sz w:val="24"/>
                <w:highlight w:val="none"/>
              </w:rPr>
            </w:pPr>
          </w:p>
          <w:p w14:paraId="4714EFF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w:t>
            </w:r>
          </w:p>
          <w:p w14:paraId="094607AF">
            <w:pPr>
              <w:jc w:val="center"/>
              <w:rPr>
                <w:rFonts w:hint="eastAsia" w:ascii="仿宋" w:hAnsi="仿宋" w:eastAsia="仿宋" w:cs="仿宋"/>
                <w:color w:val="auto"/>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42E3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5A6A3F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4672" w:type="dxa"/>
            <w:vAlign w:val="center"/>
          </w:tcPr>
          <w:p w14:paraId="14EC956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响应文件中承诺的交易有效期不少于交易文件中载明的交易有效期。</w:t>
            </w:r>
          </w:p>
        </w:tc>
        <w:tc>
          <w:tcPr>
            <w:tcW w:w="2551" w:type="dxa"/>
            <w:vAlign w:val="center"/>
          </w:tcPr>
          <w:p w14:paraId="532CF25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响应函</w:t>
            </w:r>
          </w:p>
        </w:tc>
        <w:tc>
          <w:tcPr>
            <w:tcW w:w="1418" w:type="dxa"/>
            <w:vAlign w:val="center"/>
          </w:tcPr>
          <w:p w14:paraId="7E594CCA">
            <w:pPr>
              <w:jc w:val="center"/>
              <w:rPr>
                <w:rFonts w:hint="eastAsia" w:ascii="仿宋" w:hAnsi="仿宋" w:eastAsia="仿宋" w:cs="仿宋"/>
                <w:color w:val="auto"/>
                <w:highlight w:val="none"/>
              </w:rPr>
            </w:pPr>
            <w:r>
              <w:rPr>
                <w:rFonts w:hint="eastAsia" w:ascii="仿宋" w:hAnsi="仿宋" w:eastAsia="仿宋" w:cs="仿宋"/>
                <w:color w:val="auto"/>
                <w:sz w:val="24"/>
                <w:highlight w:val="none"/>
              </w:rPr>
              <w:t>见响应文件第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1232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ACDCF3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4672" w:type="dxa"/>
            <w:vAlign w:val="center"/>
          </w:tcPr>
          <w:p w14:paraId="0492428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响应文件满足交易文件的其它实质性要求。</w:t>
            </w:r>
          </w:p>
        </w:tc>
        <w:tc>
          <w:tcPr>
            <w:tcW w:w="2551" w:type="dxa"/>
            <w:vAlign w:val="center"/>
          </w:tcPr>
          <w:p w14:paraId="7A0FD417">
            <w:pPr>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交易文件其它实质性要求相应的材料（“▲” 系指实质性要求条款，交易文件无其它实质性要求的，无需提供）</w:t>
            </w:r>
          </w:p>
        </w:tc>
        <w:tc>
          <w:tcPr>
            <w:tcW w:w="1418" w:type="dxa"/>
            <w:vAlign w:val="center"/>
          </w:tcPr>
          <w:p w14:paraId="4C487163">
            <w:pPr>
              <w:jc w:val="center"/>
              <w:rPr>
                <w:rFonts w:hint="eastAsia" w:ascii="仿宋" w:hAnsi="仿宋" w:eastAsia="仿宋" w:cs="仿宋"/>
                <w:color w:val="auto"/>
                <w:highlight w:val="none"/>
              </w:rPr>
            </w:pPr>
            <w:r>
              <w:rPr>
                <w:rFonts w:hint="eastAsia" w:ascii="仿宋" w:hAnsi="仿宋" w:eastAsia="仿宋" w:cs="仿宋"/>
                <w:color w:val="auto"/>
                <w:sz w:val="24"/>
                <w:highlight w:val="none"/>
              </w:rPr>
              <w:t>见响应文件第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bl>
    <w:p w14:paraId="40FD6B70">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550F7A2F">
      <w:pPr>
        <w:jc w:val="center"/>
        <w:rPr>
          <w:rFonts w:hint="eastAsia" w:ascii="仿宋" w:hAnsi="仿宋" w:eastAsia="仿宋" w:cs="仿宋"/>
          <w:b/>
          <w:color w:val="auto"/>
          <w:kern w:val="0"/>
          <w:sz w:val="32"/>
          <w:szCs w:val="32"/>
          <w:highlight w:val="none"/>
        </w:rPr>
      </w:pPr>
    </w:p>
    <w:p w14:paraId="4DCF3663">
      <w:pPr>
        <w:jc w:val="center"/>
        <w:rPr>
          <w:rFonts w:hint="eastAsia" w:ascii="仿宋" w:hAnsi="仿宋" w:eastAsia="仿宋" w:cs="仿宋"/>
          <w:b/>
          <w:color w:val="auto"/>
          <w:kern w:val="0"/>
          <w:sz w:val="32"/>
          <w:szCs w:val="32"/>
          <w:highlight w:val="none"/>
        </w:rPr>
      </w:pPr>
    </w:p>
    <w:p w14:paraId="21666196">
      <w:pPr>
        <w:jc w:val="center"/>
        <w:rPr>
          <w:rFonts w:hint="eastAsia" w:ascii="仿宋" w:hAnsi="仿宋" w:eastAsia="仿宋" w:cs="仿宋"/>
          <w:b/>
          <w:color w:val="auto"/>
          <w:kern w:val="0"/>
          <w:sz w:val="32"/>
          <w:szCs w:val="32"/>
          <w:highlight w:val="none"/>
        </w:rPr>
      </w:pPr>
    </w:p>
    <w:p w14:paraId="6FBA875D">
      <w:pPr>
        <w:jc w:val="center"/>
        <w:rPr>
          <w:rFonts w:hint="eastAsia" w:ascii="仿宋" w:hAnsi="仿宋" w:eastAsia="仿宋" w:cs="仿宋"/>
          <w:b/>
          <w:color w:val="auto"/>
          <w:kern w:val="0"/>
          <w:sz w:val="32"/>
          <w:szCs w:val="32"/>
          <w:highlight w:val="none"/>
        </w:rPr>
      </w:pPr>
    </w:p>
    <w:p w14:paraId="61E7ECC0">
      <w:pPr>
        <w:jc w:val="center"/>
        <w:rPr>
          <w:rFonts w:hint="eastAsia" w:ascii="仿宋" w:hAnsi="仿宋" w:eastAsia="仿宋" w:cs="仿宋"/>
          <w:b/>
          <w:color w:val="auto"/>
          <w:kern w:val="0"/>
          <w:sz w:val="32"/>
          <w:szCs w:val="32"/>
          <w:highlight w:val="none"/>
        </w:rPr>
      </w:pPr>
    </w:p>
    <w:p w14:paraId="1972663B">
      <w:pPr>
        <w:jc w:val="center"/>
        <w:rPr>
          <w:rFonts w:hint="eastAsia" w:ascii="仿宋" w:hAnsi="仿宋" w:eastAsia="仿宋" w:cs="仿宋"/>
          <w:b/>
          <w:color w:val="auto"/>
          <w:kern w:val="0"/>
          <w:sz w:val="32"/>
          <w:szCs w:val="32"/>
          <w:highlight w:val="none"/>
        </w:rPr>
      </w:pPr>
    </w:p>
    <w:p w14:paraId="54C8AF29">
      <w:pPr>
        <w:jc w:val="center"/>
        <w:rPr>
          <w:rFonts w:hint="eastAsia" w:ascii="仿宋" w:hAnsi="仿宋" w:eastAsia="仿宋" w:cs="仿宋"/>
          <w:b/>
          <w:color w:val="auto"/>
          <w:kern w:val="0"/>
          <w:sz w:val="32"/>
          <w:szCs w:val="32"/>
          <w:highlight w:val="none"/>
        </w:rPr>
      </w:pPr>
    </w:p>
    <w:p w14:paraId="31F4ADE8">
      <w:pPr>
        <w:jc w:val="center"/>
        <w:rPr>
          <w:rFonts w:hint="eastAsia" w:ascii="仿宋" w:hAnsi="仿宋" w:eastAsia="仿宋" w:cs="仿宋"/>
          <w:b/>
          <w:color w:val="auto"/>
          <w:kern w:val="0"/>
          <w:sz w:val="32"/>
          <w:szCs w:val="32"/>
          <w:highlight w:val="none"/>
        </w:rPr>
      </w:pPr>
    </w:p>
    <w:p w14:paraId="12C07A58">
      <w:pPr>
        <w:jc w:val="center"/>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rPr>
        <w:t>四、评标标准相应的商务技术资料</w:t>
      </w:r>
    </w:p>
    <w:p w14:paraId="7D224C5E">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（按交易文件第四部分评标办法前附表中“响应文件中评标标准相应的商务技术资料目录”提供资料。）</w:t>
      </w:r>
    </w:p>
    <w:p w14:paraId="27D8C084">
      <w:pPr>
        <w:jc w:val="center"/>
        <w:rPr>
          <w:rFonts w:hint="eastAsia" w:ascii="仿宋" w:hAnsi="仿宋" w:eastAsia="仿宋" w:cs="仿宋"/>
          <w:b/>
          <w:color w:val="auto"/>
          <w:kern w:val="0"/>
          <w:sz w:val="32"/>
          <w:szCs w:val="32"/>
          <w:highlight w:val="none"/>
        </w:rPr>
      </w:pPr>
    </w:p>
    <w:p w14:paraId="415E3FED">
      <w:pPr>
        <w:jc w:val="center"/>
        <w:rPr>
          <w:rFonts w:hint="eastAsia" w:ascii="仿宋" w:hAnsi="仿宋" w:eastAsia="仿宋" w:cs="仿宋"/>
          <w:b/>
          <w:color w:val="auto"/>
          <w:kern w:val="0"/>
          <w:sz w:val="32"/>
          <w:szCs w:val="32"/>
          <w:highlight w:val="none"/>
        </w:rPr>
      </w:pPr>
    </w:p>
    <w:p w14:paraId="57C734DF">
      <w:pPr>
        <w:jc w:val="center"/>
        <w:rPr>
          <w:rFonts w:hint="eastAsia" w:ascii="仿宋" w:hAnsi="仿宋" w:eastAsia="仿宋" w:cs="仿宋"/>
          <w:b/>
          <w:color w:val="auto"/>
          <w:kern w:val="0"/>
          <w:sz w:val="32"/>
          <w:szCs w:val="32"/>
          <w:highlight w:val="none"/>
        </w:rPr>
      </w:pPr>
    </w:p>
    <w:p w14:paraId="10443DAF">
      <w:pPr>
        <w:jc w:val="center"/>
        <w:rPr>
          <w:rFonts w:hint="eastAsia" w:ascii="仿宋" w:hAnsi="仿宋" w:eastAsia="仿宋" w:cs="仿宋"/>
          <w:b/>
          <w:color w:val="auto"/>
          <w:kern w:val="0"/>
          <w:sz w:val="32"/>
          <w:szCs w:val="32"/>
          <w:highlight w:val="none"/>
        </w:rPr>
      </w:pPr>
    </w:p>
    <w:p w14:paraId="24FF20EB">
      <w:pPr>
        <w:jc w:val="center"/>
        <w:rPr>
          <w:rFonts w:hint="eastAsia" w:ascii="仿宋" w:hAnsi="仿宋" w:eastAsia="仿宋" w:cs="仿宋"/>
          <w:b/>
          <w:color w:val="auto"/>
          <w:kern w:val="0"/>
          <w:sz w:val="32"/>
          <w:szCs w:val="32"/>
          <w:highlight w:val="none"/>
        </w:rPr>
      </w:pPr>
    </w:p>
    <w:p w14:paraId="6A9E8FA4">
      <w:pPr>
        <w:jc w:val="center"/>
        <w:rPr>
          <w:rFonts w:hint="eastAsia" w:ascii="仿宋" w:hAnsi="仿宋" w:eastAsia="仿宋" w:cs="仿宋"/>
          <w:b/>
          <w:color w:val="auto"/>
          <w:kern w:val="0"/>
          <w:sz w:val="32"/>
          <w:szCs w:val="32"/>
          <w:highlight w:val="none"/>
        </w:rPr>
      </w:pPr>
    </w:p>
    <w:p w14:paraId="5FF9703A">
      <w:pPr>
        <w:jc w:val="center"/>
        <w:rPr>
          <w:rFonts w:hint="eastAsia" w:ascii="仿宋" w:hAnsi="仿宋" w:eastAsia="仿宋" w:cs="仿宋"/>
          <w:b/>
          <w:color w:val="auto"/>
          <w:kern w:val="0"/>
          <w:sz w:val="32"/>
          <w:szCs w:val="32"/>
          <w:highlight w:val="none"/>
        </w:rPr>
      </w:pPr>
    </w:p>
    <w:p w14:paraId="7F533F40">
      <w:pPr>
        <w:ind w:firstLine="2891" w:firstLineChars="90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五、交易标的清单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7227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7AE86D1">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D76D079">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center"/>
          </w:tcPr>
          <w:p w14:paraId="122895EA">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3A0BF153">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型号（如果有）</w:t>
            </w:r>
          </w:p>
        </w:tc>
        <w:tc>
          <w:tcPr>
            <w:tcW w:w="2775" w:type="dxa"/>
            <w:tcBorders>
              <w:top w:val="single" w:color="auto" w:sz="4" w:space="0"/>
              <w:left w:val="single" w:color="auto" w:sz="4" w:space="0"/>
              <w:bottom w:val="single" w:color="auto" w:sz="4" w:space="0"/>
              <w:right w:val="single" w:color="auto" w:sz="4" w:space="0"/>
            </w:tcBorders>
            <w:vAlign w:val="center"/>
          </w:tcPr>
          <w:p w14:paraId="7735C348">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14:paraId="6491A1F5">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526" w:type="dxa"/>
            <w:tcBorders>
              <w:top w:val="single" w:color="auto" w:sz="4" w:space="0"/>
              <w:left w:val="single" w:color="auto" w:sz="4" w:space="0"/>
              <w:bottom w:val="single" w:color="auto" w:sz="4" w:space="0"/>
              <w:right w:val="single" w:color="auto" w:sz="4" w:space="0"/>
            </w:tcBorders>
            <w:vAlign w:val="center"/>
          </w:tcPr>
          <w:p w14:paraId="41FF1722">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43B4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A922DE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04F81A0A">
            <w:pPr>
              <w:snapToGrid w:val="0"/>
              <w:spacing w:line="360" w:lineRule="auto"/>
              <w:jc w:val="center"/>
              <w:rPr>
                <w:rFonts w:hint="eastAsia" w:ascii="仿宋" w:hAnsi="仿宋" w:eastAsia="仿宋" w:cs="仿宋"/>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D0BB5AB">
            <w:pPr>
              <w:snapToGrid w:val="0"/>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5453844">
            <w:pPr>
              <w:snapToGrid w:val="0"/>
              <w:spacing w:line="360" w:lineRule="auto"/>
              <w:jc w:val="center"/>
              <w:rPr>
                <w:rFonts w:hint="eastAsia" w:ascii="仿宋" w:hAnsi="仿宋" w:eastAsia="仿宋" w:cs="仿宋"/>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B8C45B2">
            <w:pPr>
              <w:spacing w:line="360" w:lineRule="auto"/>
              <w:jc w:val="center"/>
              <w:rPr>
                <w:rFonts w:hint="eastAsia" w:ascii="仿宋" w:hAnsi="仿宋" w:eastAsia="仿宋" w:cs="仿宋"/>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F5A91F5">
            <w:pPr>
              <w:spacing w:line="360" w:lineRule="auto"/>
              <w:jc w:val="center"/>
              <w:rPr>
                <w:rFonts w:hint="eastAsia" w:ascii="仿宋" w:hAnsi="仿宋" w:eastAsia="仿宋" w:cs="仿宋"/>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309E4B1B">
            <w:pPr>
              <w:spacing w:line="360" w:lineRule="auto"/>
              <w:jc w:val="center"/>
              <w:rPr>
                <w:rFonts w:hint="eastAsia" w:ascii="仿宋" w:hAnsi="仿宋" w:eastAsia="仿宋" w:cs="仿宋"/>
                <w:color w:val="auto"/>
                <w:sz w:val="24"/>
                <w:highlight w:val="none"/>
              </w:rPr>
            </w:pPr>
          </w:p>
        </w:tc>
      </w:tr>
      <w:tr w14:paraId="15C1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092CA1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4A60A4B5">
            <w:pPr>
              <w:snapToGrid w:val="0"/>
              <w:spacing w:line="360" w:lineRule="auto"/>
              <w:jc w:val="center"/>
              <w:rPr>
                <w:rFonts w:hint="eastAsia" w:ascii="仿宋" w:hAnsi="仿宋" w:eastAsia="仿宋" w:cs="仿宋"/>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89B9C6D">
            <w:pPr>
              <w:snapToGrid w:val="0"/>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4CCF84A">
            <w:pPr>
              <w:snapToGrid w:val="0"/>
              <w:spacing w:line="360" w:lineRule="auto"/>
              <w:jc w:val="center"/>
              <w:rPr>
                <w:rFonts w:hint="eastAsia" w:ascii="仿宋" w:hAnsi="仿宋" w:eastAsia="仿宋" w:cs="仿宋"/>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65DD792">
            <w:pPr>
              <w:spacing w:line="360" w:lineRule="auto"/>
              <w:jc w:val="center"/>
              <w:rPr>
                <w:rFonts w:hint="eastAsia" w:ascii="仿宋" w:hAnsi="仿宋" w:eastAsia="仿宋" w:cs="仿宋"/>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1923C7B8">
            <w:pPr>
              <w:spacing w:line="360" w:lineRule="auto"/>
              <w:jc w:val="center"/>
              <w:rPr>
                <w:rFonts w:hint="eastAsia" w:ascii="仿宋" w:hAnsi="仿宋" w:eastAsia="仿宋" w:cs="仿宋"/>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0CB1A2DB">
            <w:pPr>
              <w:spacing w:line="360" w:lineRule="auto"/>
              <w:jc w:val="center"/>
              <w:rPr>
                <w:rFonts w:hint="eastAsia" w:ascii="仿宋" w:hAnsi="仿宋" w:eastAsia="仿宋" w:cs="仿宋"/>
                <w:color w:val="auto"/>
                <w:sz w:val="24"/>
                <w:highlight w:val="none"/>
              </w:rPr>
            </w:pPr>
          </w:p>
        </w:tc>
      </w:tr>
      <w:tr w14:paraId="02C0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813FAA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718471A5">
            <w:pPr>
              <w:snapToGrid w:val="0"/>
              <w:spacing w:line="360" w:lineRule="auto"/>
              <w:jc w:val="center"/>
              <w:rPr>
                <w:rFonts w:hint="eastAsia" w:ascii="仿宋" w:hAnsi="仿宋" w:eastAsia="仿宋" w:cs="仿宋"/>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108CCFE">
            <w:pPr>
              <w:snapToGrid w:val="0"/>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9ACDE1A">
            <w:pPr>
              <w:snapToGrid w:val="0"/>
              <w:spacing w:line="360" w:lineRule="auto"/>
              <w:jc w:val="center"/>
              <w:rPr>
                <w:rFonts w:hint="eastAsia" w:ascii="仿宋" w:hAnsi="仿宋" w:eastAsia="仿宋" w:cs="仿宋"/>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7D15D46">
            <w:pPr>
              <w:spacing w:line="360" w:lineRule="auto"/>
              <w:jc w:val="center"/>
              <w:rPr>
                <w:rFonts w:hint="eastAsia" w:ascii="仿宋" w:hAnsi="仿宋" w:eastAsia="仿宋" w:cs="仿宋"/>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05F3EC7F">
            <w:pPr>
              <w:spacing w:line="360" w:lineRule="auto"/>
              <w:jc w:val="center"/>
              <w:rPr>
                <w:rFonts w:hint="eastAsia" w:ascii="仿宋" w:hAnsi="仿宋" w:eastAsia="仿宋" w:cs="仿宋"/>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79C48219">
            <w:pPr>
              <w:spacing w:line="360" w:lineRule="auto"/>
              <w:jc w:val="center"/>
              <w:rPr>
                <w:rFonts w:hint="eastAsia" w:ascii="仿宋" w:hAnsi="仿宋" w:eastAsia="仿宋" w:cs="仿宋"/>
                <w:color w:val="auto"/>
                <w:sz w:val="24"/>
                <w:highlight w:val="none"/>
              </w:rPr>
            </w:pPr>
          </w:p>
        </w:tc>
      </w:tr>
    </w:tbl>
    <w:p w14:paraId="1B0A48FD">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749ED5CB">
      <w:pPr>
        <w:jc w:val="center"/>
        <w:rPr>
          <w:rFonts w:hint="eastAsia" w:ascii="仿宋" w:hAnsi="仿宋" w:eastAsia="仿宋" w:cs="仿宋"/>
          <w:b/>
          <w:color w:val="auto"/>
          <w:kern w:val="0"/>
          <w:sz w:val="32"/>
          <w:szCs w:val="32"/>
          <w:highlight w:val="none"/>
        </w:rPr>
      </w:pPr>
    </w:p>
    <w:p w14:paraId="0C7CD352">
      <w:pPr>
        <w:jc w:val="center"/>
        <w:rPr>
          <w:rFonts w:hint="eastAsia" w:ascii="仿宋" w:hAnsi="仿宋" w:eastAsia="仿宋" w:cs="仿宋"/>
          <w:b/>
          <w:color w:val="auto"/>
          <w:kern w:val="0"/>
          <w:sz w:val="32"/>
          <w:szCs w:val="32"/>
          <w:highlight w:val="none"/>
        </w:rPr>
      </w:pPr>
    </w:p>
    <w:p w14:paraId="2BC3ACF5">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六、商务技术偏离表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6AB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CCF0760">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83" w:type="dxa"/>
          </w:tcPr>
          <w:p w14:paraId="7D5AB594">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交易文件章节及具体内容</w:t>
            </w:r>
          </w:p>
        </w:tc>
        <w:tc>
          <w:tcPr>
            <w:tcW w:w="3546" w:type="dxa"/>
          </w:tcPr>
          <w:p w14:paraId="1BF4E874">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响应文件章节及具体内容</w:t>
            </w:r>
          </w:p>
        </w:tc>
        <w:tc>
          <w:tcPr>
            <w:tcW w:w="1276" w:type="dxa"/>
          </w:tcPr>
          <w:p w14:paraId="1D865D05">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偏离说明</w:t>
            </w:r>
          </w:p>
        </w:tc>
      </w:tr>
      <w:tr w14:paraId="6C72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42064CE">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83" w:type="dxa"/>
          </w:tcPr>
          <w:p w14:paraId="59C7FE10">
            <w:pPr>
              <w:jc w:val="center"/>
              <w:rPr>
                <w:rFonts w:hint="eastAsia" w:ascii="仿宋" w:hAnsi="仿宋" w:eastAsia="仿宋" w:cs="仿宋"/>
                <w:b/>
                <w:color w:val="auto"/>
                <w:kern w:val="0"/>
                <w:sz w:val="32"/>
                <w:szCs w:val="32"/>
                <w:highlight w:val="none"/>
              </w:rPr>
            </w:pPr>
          </w:p>
        </w:tc>
        <w:tc>
          <w:tcPr>
            <w:tcW w:w="3546" w:type="dxa"/>
          </w:tcPr>
          <w:p w14:paraId="686A93BC">
            <w:pPr>
              <w:jc w:val="center"/>
              <w:rPr>
                <w:rFonts w:hint="eastAsia" w:ascii="仿宋" w:hAnsi="仿宋" w:eastAsia="仿宋" w:cs="仿宋"/>
                <w:b/>
                <w:color w:val="auto"/>
                <w:kern w:val="0"/>
                <w:sz w:val="32"/>
                <w:szCs w:val="32"/>
                <w:highlight w:val="none"/>
              </w:rPr>
            </w:pPr>
          </w:p>
        </w:tc>
        <w:tc>
          <w:tcPr>
            <w:tcW w:w="1276" w:type="dxa"/>
          </w:tcPr>
          <w:p w14:paraId="5BB29106">
            <w:pPr>
              <w:jc w:val="center"/>
              <w:rPr>
                <w:rFonts w:hint="eastAsia" w:ascii="仿宋" w:hAnsi="仿宋" w:eastAsia="仿宋" w:cs="仿宋"/>
                <w:b/>
                <w:color w:val="auto"/>
                <w:kern w:val="0"/>
                <w:sz w:val="32"/>
                <w:szCs w:val="32"/>
                <w:highlight w:val="none"/>
              </w:rPr>
            </w:pPr>
          </w:p>
        </w:tc>
      </w:tr>
      <w:tr w14:paraId="7DA6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15C35FC">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83" w:type="dxa"/>
          </w:tcPr>
          <w:p w14:paraId="498FC669">
            <w:pPr>
              <w:jc w:val="center"/>
              <w:rPr>
                <w:rFonts w:hint="eastAsia" w:ascii="仿宋" w:hAnsi="仿宋" w:eastAsia="仿宋" w:cs="仿宋"/>
                <w:b/>
                <w:color w:val="auto"/>
                <w:kern w:val="0"/>
                <w:sz w:val="32"/>
                <w:szCs w:val="32"/>
                <w:highlight w:val="none"/>
              </w:rPr>
            </w:pPr>
          </w:p>
        </w:tc>
        <w:tc>
          <w:tcPr>
            <w:tcW w:w="3546" w:type="dxa"/>
          </w:tcPr>
          <w:p w14:paraId="2BBB7706">
            <w:pPr>
              <w:jc w:val="center"/>
              <w:rPr>
                <w:rFonts w:hint="eastAsia" w:ascii="仿宋" w:hAnsi="仿宋" w:eastAsia="仿宋" w:cs="仿宋"/>
                <w:b/>
                <w:color w:val="auto"/>
                <w:kern w:val="0"/>
                <w:sz w:val="32"/>
                <w:szCs w:val="32"/>
                <w:highlight w:val="none"/>
              </w:rPr>
            </w:pPr>
          </w:p>
        </w:tc>
        <w:tc>
          <w:tcPr>
            <w:tcW w:w="1276" w:type="dxa"/>
          </w:tcPr>
          <w:p w14:paraId="51D1EE0E">
            <w:pPr>
              <w:jc w:val="center"/>
              <w:rPr>
                <w:rFonts w:hint="eastAsia" w:ascii="仿宋" w:hAnsi="仿宋" w:eastAsia="仿宋" w:cs="仿宋"/>
                <w:b/>
                <w:color w:val="auto"/>
                <w:kern w:val="0"/>
                <w:sz w:val="32"/>
                <w:szCs w:val="32"/>
                <w:highlight w:val="none"/>
              </w:rPr>
            </w:pPr>
          </w:p>
        </w:tc>
      </w:tr>
      <w:tr w14:paraId="6C22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62AC5B6">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83" w:type="dxa"/>
          </w:tcPr>
          <w:p w14:paraId="61EFD79E">
            <w:pPr>
              <w:jc w:val="center"/>
              <w:rPr>
                <w:rFonts w:hint="eastAsia" w:ascii="仿宋" w:hAnsi="仿宋" w:eastAsia="仿宋" w:cs="仿宋"/>
                <w:b/>
                <w:color w:val="auto"/>
                <w:kern w:val="0"/>
                <w:sz w:val="32"/>
                <w:szCs w:val="32"/>
                <w:highlight w:val="none"/>
              </w:rPr>
            </w:pPr>
          </w:p>
        </w:tc>
        <w:tc>
          <w:tcPr>
            <w:tcW w:w="3546" w:type="dxa"/>
          </w:tcPr>
          <w:p w14:paraId="492FB605">
            <w:pPr>
              <w:jc w:val="center"/>
              <w:rPr>
                <w:rFonts w:hint="eastAsia" w:ascii="仿宋" w:hAnsi="仿宋" w:eastAsia="仿宋" w:cs="仿宋"/>
                <w:b/>
                <w:color w:val="auto"/>
                <w:kern w:val="0"/>
                <w:sz w:val="32"/>
                <w:szCs w:val="32"/>
                <w:highlight w:val="none"/>
              </w:rPr>
            </w:pPr>
          </w:p>
        </w:tc>
        <w:tc>
          <w:tcPr>
            <w:tcW w:w="1276" w:type="dxa"/>
          </w:tcPr>
          <w:p w14:paraId="4666ADB1">
            <w:pPr>
              <w:jc w:val="center"/>
              <w:rPr>
                <w:rFonts w:hint="eastAsia" w:ascii="仿宋" w:hAnsi="仿宋" w:eastAsia="仿宋" w:cs="仿宋"/>
                <w:b/>
                <w:color w:val="auto"/>
                <w:kern w:val="0"/>
                <w:sz w:val="32"/>
                <w:szCs w:val="32"/>
                <w:highlight w:val="none"/>
              </w:rPr>
            </w:pPr>
          </w:p>
        </w:tc>
      </w:tr>
    </w:tbl>
    <w:p w14:paraId="75D4C452">
      <w:pP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供应商保证：除商务技术偏离表列出的偏离外，供应商响应交易文件的全部要求</w:t>
      </w:r>
    </w:p>
    <w:p w14:paraId="7E7C66E9">
      <w:pPr>
        <w:jc w:val="center"/>
        <w:rPr>
          <w:rFonts w:hint="eastAsia" w:ascii="仿宋" w:hAnsi="仿宋" w:eastAsia="仿宋" w:cs="仿宋"/>
          <w:b/>
          <w:color w:val="auto"/>
          <w:kern w:val="0"/>
          <w:sz w:val="32"/>
          <w:szCs w:val="32"/>
          <w:highlight w:val="none"/>
        </w:rPr>
      </w:pPr>
    </w:p>
    <w:p w14:paraId="0584F2DB">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586578EC">
      <w:pPr>
        <w:jc w:val="center"/>
        <w:rPr>
          <w:rFonts w:hint="eastAsia" w:ascii="仿宋" w:hAnsi="仿宋" w:eastAsia="仿宋" w:cs="仿宋"/>
          <w:b/>
          <w:color w:val="auto"/>
          <w:kern w:val="0"/>
          <w:sz w:val="32"/>
          <w:szCs w:val="32"/>
          <w:highlight w:val="none"/>
        </w:rPr>
      </w:pPr>
    </w:p>
    <w:p w14:paraId="47DCECDF">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0177F983">
      <w:pPr>
        <w:ind w:firstLine="1911" w:firstLineChars="595"/>
        <w:rPr>
          <w:rFonts w:hint="eastAsia" w:ascii="仿宋" w:hAnsi="仿宋" w:eastAsia="仿宋" w:cs="仿宋"/>
          <w:b/>
          <w:color w:val="auto"/>
          <w:kern w:val="0"/>
          <w:sz w:val="32"/>
          <w:szCs w:val="32"/>
          <w:highlight w:val="none"/>
        </w:rPr>
      </w:pPr>
      <w:r>
        <w:rPr>
          <w:rFonts w:hint="eastAsia" w:ascii="仿宋" w:hAnsi="仿宋" w:eastAsia="仿宋" w:cs="仿宋"/>
          <w:b/>
          <w:bCs/>
          <w:color w:val="auto"/>
          <w:sz w:val="32"/>
          <w:szCs w:val="32"/>
          <w:highlight w:val="none"/>
        </w:rPr>
        <w:t>七</w:t>
      </w:r>
      <w:r>
        <w:rPr>
          <w:rFonts w:hint="eastAsia" w:ascii="仿宋" w:hAnsi="仿宋" w:eastAsia="仿宋" w:cs="仿宋"/>
          <w:b/>
          <w:color w:val="auto"/>
          <w:kern w:val="0"/>
          <w:sz w:val="32"/>
          <w:szCs w:val="32"/>
          <w:highlight w:val="none"/>
        </w:rPr>
        <w:t>、</w:t>
      </w:r>
      <w:r>
        <w:rPr>
          <w:rFonts w:hint="eastAsia" w:ascii="仿宋" w:hAnsi="仿宋" w:eastAsia="仿宋" w:cs="仿宋"/>
          <w:b/>
          <w:color w:val="auto"/>
          <w:kern w:val="0"/>
          <w:sz w:val="32"/>
          <w:szCs w:val="32"/>
          <w:highlight w:val="none"/>
          <w:lang w:val="zh-CN"/>
        </w:rPr>
        <w:t>采购供应商廉洁自律承诺书</w:t>
      </w:r>
    </w:p>
    <w:p w14:paraId="72ABC98A">
      <w:pPr>
        <w:snapToGrid w:val="0"/>
        <w:spacing w:line="360" w:lineRule="auto"/>
        <w:rPr>
          <w:rFonts w:hint="eastAsia" w:ascii="仿宋" w:hAnsi="仿宋" w:eastAsia="仿宋" w:cs="仿宋"/>
          <w:color w:val="auto"/>
          <w:sz w:val="24"/>
          <w:highlight w:val="none"/>
        </w:rPr>
      </w:pPr>
    </w:p>
    <w:p w14:paraId="435FA0C1">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u w:val="single"/>
        </w:rPr>
        <w:t>（采购人）、（采购代理机构）</w:t>
      </w:r>
      <w:r>
        <w:rPr>
          <w:rFonts w:hint="eastAsia" w:ascii="仿宋" w:hAnsi="仿宋" w:eastAsia="仿宋" w:cs="仿宋"/>
          <w:color w:val="auto"/>
          <w:kern w:val="0"/>
          <w:sz w:val="24"/>
          <w:highlight w:val="none"/>
          <w:lang w:val="zh-CN"/>
        </w:rPr>
        <w:t>：</w:t>
      </w:r>
    </w:p>
    <w:p w14:paraId="46A6E79A">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我单位响应你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项目交易要求参加响应。在这次响应过程中和成交后，我们将严格遵守国家法律法规要求，并郑重承诺：</w:t>
      </w:r>
    </w:p>
    <w:p w14:paraId="0C0FD079">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一、不向项目有关人员及部门赠送礼金礼物、有价证券、回扣以及中介费、介绍费、咨询费等好处费； </w:t>
      </w:r>
    </w:p>
    <w:p w14:paraId="55BD570C">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二、不为项目有关人员及部门报销应由你方单位或个人支付的费用； </w:t>
      </w:r>
    </w:p>
    <w:p w14:paraId="5BC13DD3">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三、不向项目有关人员及部门提供有可能影响公正的宴请和健身娱乐等活动； </w:t>
      </w:r>
    </w:p>
    <w:p w14:paraId="1F6DB905">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四、不为项目有关人员及部门出国（境）、旅游等提供方便；</w:t>
      </w:r>
    </w:p>
    <w:p w14:paraId="4F5FC7D6">
      <w:pP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五、不为项目有关人员个人装修住房、婚丧嫁娶、配偶子女工作安排等提供</w:t>
      </w:r>
    </w:p>
    <w:p w14:paraId="28824079">
      <w:pP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好处；</w:t>
      </w:r>
    </w:p>
    <w:p w14:paraId="27F032BB">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六、严格遵守相关法律法规，诚实守信，合法经营，坚决抵制各种违法违纪行为。 </w:t>
      </w:r>
    </w:p>
    <w:p w14:paraId="44D7026E">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如违反上述承诺，你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有权立即取消我单位响应、成交或在建项目的建设资格，有权拒绝我单位在一定时期内进入你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进行项目建设或其他经营活动，并通报市财政局。由此引起的相应损失均由我单位承担。</w:t>
      </w:r>
    </w:p>
    <w:p w14:paraId="07850F47">
      <w:pPr>
        <w:autoSpaceDE w:val="0"/>
        <w:autoSpaceDN w:val="0"/>
        <w:spacing w:line="360" w:lineRule="auto"/>
        <w:ind w:left="2"/>
        <w:jc w:val="left"/>
        <w:rPr>
          <w:rFonts w:hint="eastAsia" w:ascii="仿宋" w:hAnsi="仿宋" w:eastAsia="仿宋" w:cs="仿宋"/>
          <w:color w:val="auto"/>
          <w:kern w:val="0"/>
          <w:sz w:val="24"/>
          <w:highlight w:val="none"/>
          <w:lang w:val="zh-CN"/>
        </w:rPr>
      </w:pPr>
    </w:p>
    <w:p w14:paraId="16A7DE0D">
      <w:pPr>
        <w:autoSpaceDE w:val="0"/>
        <w:autoSpaceDN w:val="0"/>
        <w:spacing w:line="360" w:lineRule="auto"/>
        <w:ind w:left="2"/>
        <w:jc w:val="left"/>
        <w:rPr>
          <w:rFonts w:hint="eastAsia" w:ascii="仿宋" w:hAnsi="仿宋" w:eastAsia="仿宋" w:cs="仿宋"/>
          <w:color w:val="auto"/>
          <w:kern w:val="0"/>
          <w:sz w:val="24"/>
          <w:highlight w:val="none"/>
          <w:lang w:val="zh-CN"/>
        </w:rPr>
      </w:pPr>
    </w:p>
    <w:p w14:paraId="40FE6899">
      <w:pPr>
        <w:autoSpaceDE w:val="0"/>
        <w:autoSpaceDN w:val="0"/>
        <w:spacing w:line="360" w:lineRule="auto"/>
        <w:ind w:left="2"/>
        <w:jc w:val="left"/>
        <w:rPr>
          <w:rFonts w:hint="eastAsia" w:ascii="仿宋" w:hAnsi="仿宋" w:eastAsia="仿宋" w:cs="仿宋"/>
          <w:color w:val="auto"/>
          <w:kern w:val="0"/>
          <w:sz w:val="24"/>
          <w:highlight w:val="none"/>
          <w:lang w:val="zh-CN"/>
        </w:rPr>
      </w:pPr>
    </w:p>
    <w:p w14:paraId="7AFF812E">
      <w:pPr>
        <w:autoSpaceDE w:val="0"/>
        <w:autoSpaceDN w:val="0"/>
        <w:spacing w:line="360" w:lineRule="auto"/>
        <w:ind w:left="2" w:leftChars="1" w:right="1120" w:firstLine="4560" w:firstLineChars="19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供应商名称（</w:t>
      </w:r>
      <w:r>
        <w:rPr>
          <w:rFonts w:hint="eastAsia" w:ascii="仿宋" w:hAnsi="仿宋" w:eastAsia="仿宋" w:cs="仿宋"/>
          <w:color w:val="auto"/>
          <w:sz w:val="24"/>
          <w:highlight w:val="none"/>
        </w:rPr>
        <w:t>电子签名</w:t>
      </w:r>
      <w:r>
        <w:rPr>
          <w:rFonts w:hint="eastAsia" w:ascii="仿宋" w:hAnsi="仿宋" w:eastAsia="仿宋" w:cs="仿宋"/>
          <w:color w:val="auto"/>
          <w:kern w:val="0"/>
          <w:sz w:val="24"/>
          <w:highlight w:val="none"/>
          <w:lang w:val="zh-CN"/>
        </w:rPr>
        <w:t xml:space="preserve">）：                                                                                                                                                                                                               </w:t>
      </w:r>
    </w:p>
    <w:p w14:paraId="370BCC7B">
      <w:pPr>
        <w:spacing w:line="360" w:lineRule="auto"/>
        <w:ind w:left="4620" w:leftChars="2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 xml:space="preserve">   年   月   日</w:t>
      </w:r>
    </w:p>
    <w:p w14:paraId="5AB04D72">
      <w:pPr>
        <w:spacing w:line="360" w:lineRule="auto"/>
        <w:jc w:val="center"/>
        <w:rPr>
          <w:rFonts w:hint="eastAsia" w:ascii="仿宋" w:hAnsi="仿宋" w:eastAsia="仿宋" w:cs="仿宋"/>
          <w:b/>
          <w:bCs/>
          <w:color w:val="auto"/>
          <w:sz w:val="24"/>
          <w:highlight w:val="none"/>
        </w:rPr>
      </w:pPr>
    </w:p>
    <w:p w14:paraId="3897E22F">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06395998">
      <w:pPr>
        <w:spacing w:line="360" w:lineRule="auto"/>
        <w:jc w:val="center"/>
        <w:rPr>
          <w:rFonts w:hint="eastAsia" w:ascii="仿宋" w:hAnsi="仿宋" w:eastAsia="仿宋" w:cs="仿宋"/>
          <w:b/>
          <w:bCs/>
          <w:color w:val="auto"/>
          <w:sz w:val="24"/>
          <w:highlight w:val="none"/>
        </w:rPr>
        <w:sectPr>
          <w:headerReference r:id="rId4" w:type="first"/>
          <w:footerReference r:id="rId6" w:type="first"/>
          <w:headerReference r:id="rId3" w:type="default"/>
          <w:footerReference r:id="rId5" w:type="default"/>
          <w:pgSz w:w="11906" w:h="16838"/>
          <w:pgMar w:top="1276" w:right="1418" w:bottom="1247" w:left="1418" w:header="851" w:footer="992" w:gutter="0"/>
          <w:cols w:space="720" w:num="1"/>
          <w:titlePg/>
          <w:docGrid w:linePitch="312" w:charSpace="0"/>
        </w:sectPr>
      </w:pPr>
    </w:p>
    <w:p w14:paraId="14C963C5">
      <w:pPr>
        <w:spacing w:line="360" w:lineRule="auto"/>
        <w:jc w:val="center"/>
        <w:outlineLvl w:val="0"/>
        <w:rPr>
          <w:rFonts w:hint="eastAsia" w:ascii="仿宋" w:hAnsi="仿宋" w:eastAsia="仿宋" w:cs="仿宋"/>
          <w:b/>
          <w:color w:val="auto"/>
          <w:kern w:val="0"/>
          <w:sz w:val="36"/>
          <w:szCs w:val="36"/>
          <w:highlight w:val="none"/>
        </w:rPr>
      </w:pPr>
    </w:p>
    <w:p w14:paraId="0D052C73">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报价文件部分</w:t>
      </w:r>
    </w:p>
    <w:p w14:paraId="1A86EDE1">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456089C2">
      <w:pPr>
        <w:spacing w:line="360" w:lineRule="auto"/>
        <w:jc w:val="center"/>
        <w:outlineLvl w:val="0"/>
        <w:rPr>
          <w:rFonts w:hint="eastAsia" w:ascii="仿宋" w:hAnsi="仿宋" w:eastAsia="仿宋" w:cs="仿宋"/>
          <w:b/>
          <w:color w:val="auto"/>
          <w:kern w:val="0"/>
          <w:sz w:val="36"/>
          <w:szCs w:val="36"/>
          <w:highlight w:val="none"/>
        </w:rPr>
      </w:pPr>
    </w:p>
    <w:p w14:paraId="2391BA1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（1）交易一览表（报价表）………………………………………………………（页码）</w:t>
      </w:r>
    </w:p>
    <w:p w14:paraId="289C92F8">
      <w:pPr>
        <w:snapToGrid w:val="0"/>
        <w:spacing w:line="360" w:lineRule="auto"/>
        <w:ind w:right="480"/>
        <w:jc w:val="center"/>
        <w:rPr>
          <w:rFonts w:hint="eastAsia" w:ascii="仿宋" w:hAnsi="仿宋" w:eastAsia="仿宋" w:cs="仿宋"/>
          <w:b/>
          <w:color w:val="auto"/>
          <w:kern w:val="0"/>
          <w:sz w:val="32"/>
          <w:szCs w:val="32"/>
          <w:highlight w:val="none"/>
        </w:rPr>
      </w:pPr>
    </w:p>
    <w:p w14:paraId="19BEF7AF">
      <w:pPr>
        <w:snapToGrid w:val="0"/>
        <w:spacing w:line="360" w:lineRule="auto"/>
        <w:ind w:right="480"/>
        <w:jc w:val="center"/>
        <w:rPr>
          <w:rFonts w:hint="eastAsia" w:ascii="仿宋" w:hAnsi="仿宋" w:eastAsia="仿宋" w:cs="仿宋"/>
          <w:b/>
          <w:color w:val="auto"/>
          <w:kern w:val="0"/>
          <w:sz w:val="32"/>
          <w:szCs w:val="32"/>
          <w:highlight w:val="none"/>
        </w:rPr>
      </w:pPr>
    </w:p>
    <w:p w14:paraId="4E30A1E8">
      <w:pPr>
        <w:snapToGrid w:val="0"/>
        <w:spacing w:line="360" w:lineRule="auto"/>
        <w:ind w:right="480"/>
        <w:jc w:val="center"/>
        <w:rPr>
          <w:rFonts w:hint="eastAsia" w:ascii="仿宋" w:hAnsi="仿宋" w:eastAsia="仿宋" w:cs="仿宋"/>
          <w:b/>
          <w:color w:val="auto"/>
          <w:kern w:val="0"/>
          <w:sz w:val="32"/>
          <w:szCs w:val="32"/>
          <w:highlight w:val="none"/>
        </w:rPr>
      </w:pPr>
    </w:p>
    <w:p w14:paraId="3AC01700">
      <w:pPr>
        <w:snapToGrid w:val="0"/>
        <w:spacing w:line="360" w:lineRule="auto"/>
        <w:ind w:right="480"/>
        <w:jc w:val="center"/>
        <w:rPr>
          <w:rFonts w:hint="eastAsia" w:ascii="仿宋" w:hAnsi="仿宋" w:eastAsia="仿宋" w:cs="仿宋"/>
          <w:b/>
          <w:color w:val="auto"/>
          <w:kern w:val="0"/>
          <w:sz w:val="32"/>
          <w:szCs w:val="32"/>
          <w:highlight w:val="none"/>
        </w:rPr>
      </w:pPr>
    </w:p>
    <w:p w14:paraId="763F2D0B">
      <w:pPr>
        <w:snapToGrid w:val="0"/>
        <w:spacing w:line="360" w:lineRule="auto"/>
        <w:ind w:right="480"/>
        <w:jc w:val="center"/>
        <w:rPr>
          <w:rFonts w:hint="eastAsia" w:ascii="仿宋" w:hAnsi="仿宋" w:eastAsia="仿宋" w:cs="仿宋"/>
          <w:b/>
          <w:color w:val="auto"/>
          <w:kern w:val="0"/>
          <w:sz w:val="32"/>
          <w:szCs w:val="32"/>
          <w:highlight w:val="none"/>
        </w:rPr>
      </w:pPr>
    </w:p>
    <w:p w14:paraId="70AFFB39">
      <w:pPr>
        <w:snapToGrid w:val="0"/>
        <w:spacing w:line="360" w:lineRule="auto"/>
        <w:ind w:right="480"/>
        <w:jc w:val="center"/>
        <w:rPr>
          <w:rFonts w:hint="eastAsia" w:ascii="仿宋" w:hAnsi="仿宋" w:eastAsia="仿宋" w:cs="仿宋"/>
          <w:b/>
          <w:color w:val="auto"/>
          <w:kern w:val="0"/>
          <w:sz w:val="32"/>
          <w:szCs w:val="32"/>
          <w:highlight w:val="none"/>
        </w:rPr>
      </w:pPr>
    </w:p>
    <w:p w14:paraId="2A45C034">
      <w:pPr>
        <w:snapToGrid w:val="0"/>
        <w:spacing w:line="360" w:lineRule="auto"/>
        <w:ind w:right="480"/>
        <w:jc w:val="center"/>
        <w:rPr>
          <w:rFonts w:hint="eastAsia" w:ascii="仿宋" w:hAnsi="仿宋" w:eastAsia="仿宋" w:cs="仿宋"/>
          <w:b/>
          <w:color w:val="auto"/>
          <w:kern w:val="0"/>
          <w:sz w:val="32"/>
          <w:szCs w:val="32"/>
          <w:highlight w:val="none"/>
        </w:rPr>
      </w:pPr>
    </w:p>
    <w:p w14:paraId="50EB6687">
      <w:pPr>
        <w:snapToGrid w:val="0"/>
        <w:spacing w:line="360" w:lineRule="auto"/>
        <w:ind w:right="480"/>
        <w:jc w:val="center"/>
        <w:rPr>
          <w:rFonts w:hint="eastAsia" w:ascii="仿宋" w:hAnsi="仿宋" w:eastAsia="仿宋" w:cs="仿宋"/>
          <w:b/>
          <w:color w:val="auto"/>
          <w:kern w:val="0"/>
          <w:sz w:val="32"/>
          <w:szCs w:val="32"/>
          <w:highlight w:val="none"/>
        </w:rPr>
      </w:pPr>
    </w:p>
    <w:p w14:paraId="71C92880">
      <w:pPr>
        <w:snapToGrid w:val="0"/>
        <w:spacing w:line="360" w:lineRule="auto"/>
        <w:ind w:right="480"/>
        <w:jc w:val="center"/>
        <w:rPr>
          <w:rFonts w:hint="eastAsia" w:ascii="仿宋" w:hAnsi="仿宋" w:eastAsia="仿宋" w:cs="仿宋"/>
          <w:b/>
          <w:color w:val="auto"/>
          <w:kern w:val="0"/>
          <w:sz w:val="32"/>
          <w:szCs w:val="32"/>
          <w:highlight w:val="none"/>
        </w:rPr>
      </w:pPr>
    </w:p>
    <w:p w14:paraId="4D23A013">
      <w:pPr>
        <w:snapToGrid w:val="0"/>
        <w:spacing w:line="360" w:lineRule="auto"/>
        <w:ind w:right="480"/>
        <w:jc w:val="center"/>
        <w:rPr>
          <w:rFonts w:hint="eastAsia" w:ascii="仿宋" w:hAnsi="仿宋" w:eastAsia="仿宋" w:cs="仿宋"/>
          <w:b/>
          <w:color w:val="auto"/>
          <w:kern w:val="0"/>
          <w:sz w:val="32"/>
          <w:szCs w:val="32"/>
          <w:highlight w:val="none"/>
        </w:rPr>
      </w:pPr>
    </w:p>
    <w:p w14:paraId="6AC0D031">
      <w:pPr>
        <w:snapToGrid w:val="0"/>
        <w:spacing w:line="360" w:lineRule="auto"/>
        <w:ind w:right="480"/>
        <w:jc w:val="center"/>
        <w:rPr>
          <w:rFonts w:hint="eastAsia" w:ascii="仿宋" w:hAnsi="仿宋" w:eastAsia="仿宋" w:cs="仿宋"/>
          <w:b/>
          <w:color w:val="auto"/>
          <w:kern w:val="0"/>
          <w:sz w:val="32"/>
          <w:szCs w:val="32"/>
          <w:highlight w:val="none"/>
        </w:rPr>
      </w:pPr>
    </w:p>
    <w:p w14:paraId="01FFD919">
      <w:pPr>
        <w:snapToGrid w:val="0"/>
        <w:spacing w:line="360" w:lineRule="auto"/>
        <w:ind w:right="480"/>
        <w:jc w:val="center"/>
        <w:rPr>
          <w:rFonts w:hint="eastAsia" w:ascii="仿宋" w:hAnsi="仿宋" w:eastAsia="仿宋" w:cs="仿宋"/>
          <w:b/>
          <w:color w:val="auto"/>
          <w:kern w:val="0"/>
          <w:sz w:val="32"/>
          <w:szCs w:val="32"/>
          <w:highlight w:val="none"/>
        </w:rPr>
      </w:pPr>
    </w:p>
    <w:p w14:paraId="4F3839C5">
      <w:pPr>
        <w:snapToGrid w:val="0"/>
        <w:spacing w:line="360" w:lineRule="auto"/>
        <w:ind w:right="480"/>
        <w:jc w:val="center"/>
        <w:rPr>
          <w:rFonts w:hint="eastAsia" w:ascii="仿宋" w:hAnsi="仿宋" w:eastAsia="仿宋" w:cs="仿宋"/>
          <w:b/>
          <w:color w:val="auto"/>
          <w:kern w:val="0"/>
          <w:sz w:val="32"/>
          <w:szCs w:val="32"/>
          <w:highlight w:val="none"/>
        </w:rPr>
      </w:pPr>
    </w:p>
    <w:p w14:paraId="3407263A">
      <w:pPr>
        <w:pStyle w:val="692"/>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sectPr>
          <w:headerReference r:id="rId8" w:type="first"/>
          <w:footerReference r:id="rId10" w:type="first"/>
          <w:headerReference r:id="rId7" w:type="default"/>
          <w:footerReference r:id="rId9" w:type="default"/>
          <w:pgSz w:w="11906" w:h="16838"/>
          <w:pgMar w:top="1276" w:right="1418" w:bottom="1247" w:left="1418" w:header="851" w:footer="992" w:gutter="0"/>
          <w:cols w:space="720" w:num="1"/>
          <w:titlePg/>
          <w:docGrid w:linePitch="312" w:charSpace="0"/>
        </w:sectPr>
      </w:pPr>
    </w:p>
    <w:p w14:paraId="01EE4A47">
      <w:pPr>
        <w:pStyle w:val="692"/>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一、交易一览表（报价表）</w:t>
      </w:r>
    </w:p>
    <w:p w14:paraId="2DA42C62">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u w:val="single"/>
        </w:rPr>
        <w:t>（采购人）、（采购代理机构）</w:t>
      </w:r>
      <w:r>
        <w:rPr>
          <w:rFonts w:hint="eastAsia" w:ascii="仿宋" w:hAnsi="仿宋" w:eastAsia="仿宋" w:cs="仿宋"/>
          <w:color w:val="auto"/>
          <w:kern w:val="0"/>
          <w:sz w:val="24"/>
          <w:highlight w:val="none"/>
          <w:lang w:val="zh-CN"/>
        </w:rPr>
        <w:t>：</w:t>
      </w:r>
    </w:p>
    <w:p w14:paraId="0E4773FD">
      <w:pPr>
        <w:snapToGrid w:val="0"/>
        <w:spacing w:line="360" w:lineRule="auto"/>
        <w:ind w:firstLine="482"/>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按你方交易文件要求，我们，本响应文件签字方，谨此向你方发出要约如下：如你方接受本响应，我方承诺按照如下交易一览表（报价表）的价格完成</w:t>
      </w:r>
      <w:r>
        <w:rPr>
          <w:rFonts w:hint="eastAsia" w:ascii="仿宋" w:hAnsi="仿宋" w:eastAsia="仿宋" w:cs="仿宋"/>
          <w:color w:val="auto"/>
          <w:sz w:val="24"/>
          <w:highlight w:val="none"/>
          <w:u w:val="single"/>
        </w:rPr>
        <w:t>（项目名称）</w:t>
      </w:r>
      <w:r>
        <w:rPr>
          <w:rFonts w:hint="eastAsia" w:ascii="仿宋" w:hAnsi="仿宋" w:eastAsia="仿宋" w:cs="仿宋"/>
          <w:color w:val="auto"/>
          <w:kern w:val="0"/>
          <w:sz w:val="24"/>
          <w:highlight w:val="none"/>
          <w:u w:val="single"/>
          <w:lang w:val="zh-CN"/>
        </w:rPr>
        <w:t>【交易编号：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lang w:val="zh-CN"/>
        </w:rPr>
        <w:t>。</w:t>
      </w:r>
    </w:p>
    <w:p w14:paraId="663966DB">
      <w:pPr>
        <w:spacing w:line="360" w:lineRule="auto"/>
        <w:jc w:val="center"/>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开标一览表（报价表）(单位均为人民币元)</w:t>
      </w:r>
    </w:p>
    <w:tbl>
      <w:tblPr>
        <w:tblStyle w:val="6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5397"/>
        <w:gridCol w:w="1989"/>
        <w:gridCol w:w="1838"/>
        <w:gridCol w:w="2241"/>
        <w:gridCol w:w="2378"/>
      </w:tblGrid>
      <w:tr w14:paraId="3F4B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31" w:type="pct"/>
            <w:tcBorders>
              <w:top w:val="single" w:color="auto" w:sz="4" w:space="0"/>
              <w:left w:val="single" w:color="auto" w:sz="4" w:space="0"/>
              <w:bottom w:val="single" w:color="auto" w:sz="4" w:space="0"/>
              <w:right w:val="single" w:color="auto" w:sz="4" w:space="0"/>
            </w:tcBorders>
            <w:vAlign w:val="center"/>
          </w:tcPr>
          <w:p w14:paraId="71A89820">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859" w:type="pct"/>
            <w:tcBorders>
              <w:top w:val="single" w:color="auto" w:sz="4" w:space="0"/>
              <w:left w:val="single" w:color="auto" w:sz="4" w:space="0"/>
              <w:bottom w:val="single" w:color="auto" w:sz="4" w:space="0"/>
              <w:right w:val="single" w:color="auto" w:sz="4" w:space="0"/>
            </w:tcBorders>
            <w:vAlign w:val="center"/>
          </w:tcPr>
          <w:p w14:paraId="7BE1779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名称</w:t>
            </w:r>
          </w:p>
        </w:tc>
        <w:tc>
          <w:tcPr>
            <w:tcW w:w="685" w:type="pct"/>
            <w:tcBorders>
              <w:top w:val="single" w:color="auto" w:sz="4" w:space="0"/>
              <w:left w:val="single" w:color="auto" w:sz="4" w:space="0"/>
              <w:bottom w:val="single" w:color="auto" w:sz="4" w:space="0"/>
              <w:right w:val="single" w:color="auto" w:sz="4" w:space="0"/>
            </w:tcBorders>
            <w:vAlign w:val="center"/>
          </w:tcPr>
          <w:p w14:paraId="64C1463D">
            <w:pPr>
              <w:snapToGrid w:val="0"/>
              <w:spacing w:line="360" w:lineRule="auto"/>
              <w:ind w:right="-21" w:rightChars="-10"/>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数量</w:t>
            </w:r>
          </w:p>
        </w:tc>
        <w:tc>
          <w:tcPr>
            <w:tcW w:w="633" w:type="pct"/>
            <w:tcBorders>
              <w:top w:val="single" w:color="auto" w:sz="4" w:space="0"/>
              <w:left w:val="single" w:color="auto" w:sz="4" w:space="0"/>
              <w:bottom w:val="single" w:color="auto" w:sz="4" w:space="0"/>
              <w:right w:val="single" w:color="auto" w:sz="4" w:space="0"/>
            </w:tcBorders>
            <w:vAlign w:val="center"/>
          </w:tcPr>
          <w:p w14:paraId="0FF45D7B">
            <w:pPr>
              <w:snapToGrid w:val="0"/>
              <w:spacing w:line="360" w:lineRule="auto"/>
              <w:ind w:right="-21" w:rightChars="-10"/>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单价</w:t>
            </w:r>
          </w:p>
        </w:tc>
        <w:tc>
          <w:tcPr>
            <w:tcW w:w="772" w:type="pct"/>
            <w:tcBorders>
              <w:top w:val="single" w:color="auto" w:sz="4" w:space="0"/>
              <w:left w:val="single" w:color="auto" w:sz="4" w:space="0"/>
              <w:bottom w:val="single" w:color="auto" w:sz="4" w:space="0"/>
              <w:right w:val="single" w:color="auto" w:sz="4" w:space="0"/>
            </w:tcBorders>
            <w:vAlign w:val="center"/>
          </w:tcPr>
          <w:p w14:paraId="58CE7AB8">
            <w:pPr>
              <w:snapToGrid w:val="0"/>
              <w:spacing w:line="360" w:lineRule="auto"/>
              <w:ind w:right="-21" w:rightChars="-10"/>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rPr>
              <w:t>合</w:t>
            </w:r>
            <w:r>
              <w:rPr>
                <w:rFonts w:hint="eastAsia" w:ascii="仿宋" w:hAnsi="仿宋" w:eastAsia="仿宋" w:cs="仿宋"/>
                <w:b/>
                <w:bCs/>
                <w:color w:val="000000"/>
                <w:sz w:val="24"/>
                <w:szCs w:val="24"/>
                <w:lang w:val="en-US" w:eastAsia="zh-CN"/>
              </w:rPr>
              <w:t>计</w:t>
            </w:r>
          </w:p>
        </w:tc>
        <w:tc>
          <w:tcPr>
            <w:tcW w:w="819" w:type="pct"/>
            <w:tcBorders>
              <w:top w:val="single" w:color="auto" w:sz="4" w:space="0"/>
              <w:left w:val="single" w:color="auto" w:sz="4" w:space="0"/>
              <w:bottom w:val="single" w:color="auto" w:sz="4" w:space="0"/>
              <w:right w:val="single" w:color="auto" w:sz="4" w:space="0"/>
            </w:tcBorders>
            <w:vAlign w:val="center"/>
          </w:tcPr>
          <w:p w14:paraId="0D8A21CC">
            <w:pPr>
              <w:spacing w:line="360" w:lineRule="auto"/>
              <w:jc w:val="center"/>
              <w:rPr>
                <w:rFonts w:hint="eastAsia" w:ascii="仿宋" w:hAnsi="仿宋" w:eastAsia="仿宋" w:cs="仿宋"/>
                <w:b/>
                <w:sz w:val="24"/>
                <w:szCs w:val="24"/>
                <w:highlight w:val="none"/>
              </w:rPr>
            </w:pPr>
            <w:r>
              <w:rPr>
                <w:rFonts w:hint="eastAsia" w:ascii="仿宋" w:hAnsi="仿宋" w:eastAsia="仿宋" w:cs="仿宋"/>
                <w:b/>
                <w:color w:val="auto"/>
                <w:sz w:val="24"/>
                <w:szCs w:val="24"/>
                <w:highlight w:val="none"/>
              </w:rPr>
              <w:t>备注（如果有）</w:t>
            </w:r>
          </w:p>
        </w:tc>
      </w:tr>
      <w:tr w14:paraId="3B6C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31" w:type="pct"/>
            <w:tcBorders>
              <w:top w:val="single" w:color="auto" w:sz="4" w:space="0"/>
              <w:left w:val="single" w:color="auto" w:sz="4" w:space="0"/>
              <w:bottom w:val="single" w:color="auto" w:sz="4" w:space="0"/>
              <w:right w:val="single" w:color="auto" w:sz="4" w:space="0"/>
            </w:tcBorders>
            <w:vAlign w:val="center"/>
          </w:tcPr>
          <w:p w14:paraId="3AC75A0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859" w:type="pct"/>
            <w:tcBorders>
              <w:top w:val="single" w:color="auto" w:sz="4" w:space="0"/>
              <w:left w:val="single" w:color="auto" w:sz="4" w:space="0"/>
              <w:bottom w:val="single" w:color="auto" w:sz="4" w:space="0"/>
              <w:right w:val="single" w:color="auto" w:sz="4" w:space="0"/>
            </w:tcBorders>
            <w:vAlign w:val="center"/>
          </w:tcPr>
          <w:p w14:paraId="6372D04B">
            <w:pPr>
              <w:snapToGrid w:val="0"/>
              <w:spacing w:line="360" w:lineRule="auto"/>
              <w:jc w:val="center"/>
              <w:rPr>
                <w:rFonts w:hint="eastAsia" w:ascii="仿宋" w:hAnsi="仿宋" w:eastAsia="仿宋" w:cs="仿宋"/>
                <w:sz w:val="24"/>
                <w:szCs w:val="24"/>
                <w:highlight w:val="none"/>
                <w:lang w:eastAsia="zh-CN"/>
              </w:rPr>
            </w:pPr>
          </w:p>
        </w:tc>
        <w:tc>
          <w:tcPr>
            <w:tcW w:w="685" w:type="pct"/>
            <w:tcBorders>
              <w:top w:val="single" w:color="auto" w:sz="4" w:space="0"/>
              <w:left w:val="single" w:color="auto" w:sz="4" w:space="0"/>
              <w:bottom w:val="single" w:color="auto" w:sz="4" w:space="0"/>
              <w:right w:val="single" w:color="auto" w:sz="4" w:space="0"/>
            </w:tcBorders>
            <w:vAlign w:val="center"/>
          </w:tcPr>
          <w:p w14:paraId="7FD252E9">
            <w:pPr>
              <w:snapToGrid w:val="0"/>
              <w:spacing w:line="360" w:lineRule="auto"/>
              <w:ind w:right="-21" w:rightChars="-10"/>
              <w:jc w:val="center"/>
              <w:rPr>
                <w:rFonts w:hint="eastAsia" w:ascii="仿宋" w:hAnsi="仿宋" w:eastAsia="仿宋" w:cs="仿宋"/>
                <w:sz w:val="24"/>
                <w:szCs w:val="24"/>
                <w:highlight w:val="none"/>
              </w:rPr>
            </w:pPr>
          </w:p>
        </w:tc>
        <w:tc>
          <w:tcPr>
            <w:tcW w:w="633" w:type="pct"/>
            <w:tcBorders>
              <w:top w:val="single" w:color="auto" w:sz="4" w:space="0"/>
              <w:left w:val="single" w:color="auto" w:sz="4" w:space="0"/>
              <w:bottom w:val="single" w:color="auto" w:sz="4" w:space="0"/>
              <w:right w:val="single" w:color="auto" w:sz="4" w:space="0"/>
            </w:tcBorders>
            <w:vAlign w:val="center"/>
          </w:tcPr>
          <w:p w14:paraId="30858B6E">
            <w:pPr>
              <w:snapToGrid w:val="0"/>
              <w:spacing w:line="360" w:lineRule="auto"/>
              <w:ind w:right="-21" w:rightChars="-10"/>
              <w:jc w:val="center"/>
              <w:rPr>
                <w:rFonts w:hint="eastAsia" w:ascii="仿宋" w:hAnsi="仿宋" w:eastAsia="仿宋" w:cs="仿宋"/>
                <w:sz w:val="24"/>
                <w:szCs w:val="24"/>
                <w:highlight w:val="none"/>
              </w:rPr>
            </w:pPr>
          </w:p>
        </w:tc>
        <w:tc>
          <w:tcPr>
            <w:tcW w:w="772" w:type="pct"/>
            <w:tcBorders>
              <w:top w:val="single" w:color="auto" w:sz="4" w:space="0"/>
              <w:left w:val="single" w:color="auto" w:sz="4" w:space="0"/>
              <w:bottom w:val="single" w:color="auto" w:sz="4" w:space="0"/>
              <w:right w:val="single" w:color="auto" w:sz="4" w:space="0"/>
            </w:tcBorders>
            <w:vAlign w:val="center"/>
          </w:tcPr>
          <w:p w14:paraId="1535C1AE">
            <w:pPr>
              <w:snapToGrid w:val="0"/>
              <w:spacing w:line="360" w:lineRule="auto"/>
              <w:ind w:right="-21" w:rightChars="-10"/>
              <w:jc w:val="center"/>
              <w:rPr>
                <w:rFonts w:hint="eastAsia" w:ascii="仿宋" w:hAnsi="仿宋" w:eastAsia="仿宋" w:cs="仿宋"/>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vAlign w:val="center"/>
          </w:tcPr>
          <w:p w14:paraId="52B0CE47">
            <w:pPr>
              <w:spacing w:line="360" w:lineRule="auto"/>
              <w:jc w:val="center"/>
              <w:rPr>
                <w:rFonts w:hint="eastAsia" w:ascii="仿宋" w:hAnsi="仿宋" w:eastAsia="仿宋" w:cs="仿宋"/>
                <w:sz w:val="24"/>
                <w:szCs w:val="24"/>
                <w:highlight w:val="none"/>
              </w:rPr>
            </w:pPr>
          </w:p>
        </w:tc>
      </w:tr>
      <w:tr w14:paraId="6AB0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90" w:type="pct"/>
            <w:gridSpan w:val="2"/>
            <w:tcBorders>
              <w:top w:val="single" w:color="auto" w:sz="4" w:space="0"/>
              <w:left w:val="single" w:color="auto" w:sz="4" w:space="0"/>
              <w:bottom w:val="single" w:color="auto" w:sz="4" w:space="0"/>
              <w:right w:val="single" w:color="auto" w:sz="4" w:space="0"/>
            </w:tcBorders>
            <w:vAlign w:val="center"/>
          </w:tcPr>
          <w:p w14:paraId="22C2A3E5">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b/>
                <w:sz w:val="24"/>
                <w:szCs w:val="24"/>
              </w:rPr>
              <w:t>投标报价（小写）</w:t>
            </w:r>
          </w:p>
        </w:tc>
        <w:tc>
          <w:tcPr>
            <w:tcW w:w="2909" w:type="pct"/>
            <w:gridSpan w:val="4"/>
            <w:tcBorders>
              <w:top w:val="single" w:color="auto" w:sz="4" w:space="0"/>
              <w:left w:val="single" w:color="auto" w:sz="4" w:space="0"/>
              <w:bottom w:val="single" w:color="auto" w:sz="4" w:space="0"/>
              <w:right w:val="single" w:color="auto" w:sz="4" w:space="0"/>
            </w:tcBorders>
            <w:vAlign w:val="center"/>
          </w:tcPr>
          <w:p w14:paraId="51C4F88F">
            <w:pPr>
              <w:spacing w:line="360" w:lineRule="auto"/>
              <w:jc w:val="center"/>
              <w:rPr>
                <w:rFonts w:hint="eastAsia" w:ascii="仿宋" w:hAnsi="仿宋" w:eastAsia="仿宋" w:cs="仿宋"/>
                <w:sz w:val="24"/>
                <w:szCs w:val="24"/>
                <w:highlight w:val="none"/>
              </w:rPr>
            </w:pPr>
          </w:p>
        </w:tc>
      </w:tr>
      <w:tr w14:paraId="03AB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090" w:type="pct"/>
            <w:gridSpan w:val="2"/>
            <w:tcBorders>
              <w:top w:val="single" w:color="auto" w:sz="4" w:space="0"/>
              <w:left w:val="single" w:color="auto" w:sz="4" w:space="0"/>
              <w:bottom w:val="single" w:color="auto" w:sz="4" w:space="0"/>
              <w:right w:val="single" w:color="auto" w:sz="4" w:space="0"/>
            </w:tcBorders>
            <w:vAlign w:val="center"/>
          </w:tcPr>
          <w:p w14:paraId="53F456E6">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b/>
                <w:sz w:val="24"/>
                <w:szCs w:val="24"/>
              </w:rPr>
              <w:t>投标报价（大写）</w:t>
            </w:r>
          </w:p>
        </w:tc>
        <w:tc>
          <w:tcPr>
            <w:tcW w:w="2909" w:type="pct"/>
            <w:gridSpan w:val="4"/>
            <w:tcBorders>
              <w:top w:val="single" w:color="auto" w:sz="4" w:space="0"/>
              <w:left w:val="single" w:color="auto" w:sz="4" w:space="0"/>
              <w:bottom w:val="single" w:color="auto" w:sz="4" w:space="0"/>
              <w:right w:val="single" w:color="auto" w:sz="4" w:space="0"/>
            </w:tcBorders>
            <w:vAlign w:val="center"/>
          </w:tcPr>
          <w:p w14:paraId="2641A4C3">
            <w:pPr>
              <w:spacing w:line="360" w:lineRule="auto"/>
              <w:jc w:val="center"/>
              <w:rPr>
                <w:rFonts w:hint="eastAsia" w:ascii="仿宋" w:hAnsi="仿宋" w:eastAsia="仿宋" w:cs="仿宋"/>
                <w:sz w:val="24"/>
                <w:szCs w:val="24"/>
                <w:highlight w:val="none"/>
              </w:rPr>
            </w:pPr>
          </w:p>
        </w:tc>
      </w:tr>
    </w:tbl>
    <w:p w14:paraId="1BCFBB0F">
      <w:pPr>
        <w:snapToGrid w:val="0"/>
        <w:spacing w:line="360" w:lineRule="auto"/>
        <w:ind w:left="480"/>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注：</w:t>
      </w:r>
    </w:p>
    <w:p w14:paraId="0B47E1B4">
      <w:pPr>
        <w:spacing w:line="360" w:lineRule="auto"/>
        <w:ind w:left="-2" w:leftChars="-1"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1、供应商需按本表格式填写，不得自行更改。</w:t>
      </w:r>
    </w:p>
    <w:p w14:paraId="5FAA7328">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2、有关本项目实施所涉及的一切费用均计入报价。</w:t>
      </w:r>
      <w:r>
        <w:rPr>
          <w:rFonts w:hint="eastAsia" w:ascii="仿宋" w:hAnsi="仿宋" w:eastAsia="仿宋" w:cs="仿宋"/>
          <w:b/>
          <w:color w:val="auto"/>
          <w:kern w:val="0"/>
          <w:sz w:val="24"/>
          <w:highlight w:val="none"/>
          <w:lang w:val="zh-CN"/>
        </w:rPr>
        <w:t>采购人将以合同形式有偿取得货物或服务，不接受供应商给予的赠品、回扣或者与采购无关的其他商品、服务</w:t>
      </w:r>
      <w:r>
        <w:rPr>
          <w:rFonts w:hint="eastAsia" w:ascii="仿宋" w:hAnsi="仿宋" w:eastAsia="仿宋" w:cs="仿宋"/>
          <w:color w:val="auto"/>
          <w:kern w:val="0"/>
          <w:sz w:val="24"/>
          <w:highlight w:val="none"/>
          <w:lang w:val="zh-CN"/>
        </w:rPr>
        <w:t>，</w:t>
      </w:r>
      <w:r>
        <w:rPr>
          <w:rFonts w:hint="eastAsia" w:ascii="仿宋" w:hAnsi="仿宋" w:eastAsia="仿宋" w:cs="仿宋"/>
          <w:b/>
          <w:color w:val="auto"/>
          <w:kern w:val="0"/>
          <w:sz w:val="24"/>
          <w:highlight w:val="none"/>
          <w:lang w:val="zh-CN"/>
        </w:rPr>
        <w:t>不得出现“0元”“免费赠送”等形式的无偿报价，</w:t>
      </w:r>
      <w:r>
        <w:rPr>
          <w:rFonts w:hint="eastAsia" w:ascii="仿宋" w:hAnsi="仿宋" w:eastAsia="仿宋" w:cs="仿宋"/>
          <w:b/>
          <w:color w:val="auto"/>
          <w:kern w:val="0"/>
          <w:sz w:val="24"/>
          <w:highlight w:val="none"/>
        </w:rPr>
        <w:t>否则视为</w:t>
      </w:r>
      <w:r>
        <w:rPr>
          <w:rFonts w:hint="eastAsia" w:ascii="仿宋" w:hAnsi="仿宋" w:eastAsia="仿宋" w:cs="仿宋"/>
          <w:b/>
          <w:color w:val="auto"/>
          <w:sz w:val="24"/>
          <w:highlight w:val="none"/>
        </w:rPr>
        <w:t>响应文件含有采购人不能接受的附加条件的，交易无效</w:t>
      </w:r>
      <w:r>
        <w:rPr>
          <w:rFonts w:hint="eastAsia" w:ascii="仿宋" w:hAnsi="仿宋" w:eastAsia="仿宋" w:cs="仿宋"/>
          <w:b/>
          <w:color w:val="auto"/>
          <w:kern w:val="0"/>
          <w:sz w:val="24"/>
          <w:highlight w:val="none"/>
          <w:lang w:val="zh-CN"/>
        </w:rPr>
        <w:t>；采购内容未包含在《交易一览表（报价表）》名称栏中，供应商不能作出合理解释的，</w:t>
      </w:r>
      <w:r>
        <w:rPr>
          <w:rFonts w:hint="eastAsia" w:ascii="仿宋" w:hAnsi="仿宋" w:eastAsia="仿宋" w:cs="仿宋"/>
          <w:b/>
          <w:color w:val="auto"/>
          <w:kern w:val="0"/>
          <w:sz w:val="24"/>
          <w:highlight w:val="none"/>
        </w:rPr>
        <w:t>视为</w:t>
      </w:r>
      <w:r>
        <w:rPr>
          <w:rFonts w:hint="eastAsia" w:ascii="仿宋" w:hAnsi="仿宋" w:eastAsia="仿宋" w:cs="仿宋"/>
          <w:b/>
          <w:color w:val="auto"/>
          <w:sz w:val="24"/>
          <w:highlight w:val="none"/>
        </w:rPr>
        <w:t>响应文件含有采购人不能接受的附加条件的，交易无效。</w:t>
      </w:r>
    </w:p>
    <w:p w14:paraId="2910AB49">
      <w:pPr>
        <w:snapToGrid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3、以上表格要求细分项目及报价，在“规格型号（或具体服务）”一栏中，货物类项目填写规格型号，服务类项目填写具体服务。</w:t>
      </w:r>
    </w:p>
    <w:p w14:paraId="7F87DC9E">
      <w:pPr>
        <w:snapToGrid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4、特别提示：采购机构将对项目名称和项目编号，成交供应商名称、地址和成交金额，主要成交标的的名称、规格型号、数量、单价、服务要求等予以公示。</w:t>
      </w:r>
    </w:p>
    <w:p w14:paraId="1A279615">
      <w:pPr>
        <w:spacing w:line="360" w:lineRule="auto"/>
        <w:ind w:firstLine="482" w:firstLineChars="200"/>
        <w:rPr>
          <w:rFonts w:hint="eastAsia" w:ascii="仿宋" w:hAnsi="仿宋" w:eastAsia="仿宋" w:cs="仿宋"/>
          <w:b/>
          <w:color w:val="auto"/>
          <w:kern w:val="0"/>
          <w:sz w:val="24"/>
          <w:highlight w:val="none"/>
        </w:rPr>
      </w:pPr>
    </w:p>
    <w:p w14:paraId="7BB560B1">
      <w:pPr>
        <w:pStyle w:val="692"/>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pPr>
    </w:p>
    <w:p w14:paraId="72CFFB68">
      <w:pPr>
        <w:pStyle w:val="692"/>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7FDED239">
      <w:pPr>
        <w:pStyle w:val="2"/>
        <w:keepNext w:val="0"/>
        <w:keepLines w:val="0"/>
        <w:pageBreakBefore/>
        <w:widowControl/>
        <w:spacing w:before="100" w:beforeAutospacing="1" w:after="100" w:afterAutospacing="1" w:line="360" w:lineRule="auto"/>
        <w:ind w:left="26" w:hanging="27" w:hangingChars="6"/>
        <w:jc w:val="left"/>
        <w:rPr>
          <w:rFonts w:hint="eastAsia" w:ascii="仿宋" w:hAnsi="仿宋" w:eastAsia="仿宋" w:cs="仿宋"/>
          <w:color w:val="auto"/>
          <w:sz w:val="24"/>
          <w:highlight w:val="none"/>
        </w:rPr>
      </w:pPr>
      <w:bookmarkStart w:id="386" w:name="_Toc465665161"/>
      <w:r>
        <w:rPr>
          <w:rFonts w:hint="eastAsia" w:ascii="仿宋" w:hAnsi="仿宋" w:eastAsia="仿宋" w:cs="仿宋"/>
          <w:color w:val="auto"/>
          <w:highlight w:val="none"/>
        </w:rPr>
        <w:t>附件</w:t>
      </w:r>
      <w:bookmarkEnd w:id="386"/>
    </w:p>
    <w:p w14:paraId="2233E0E6">
      <w:pPr>
        <w:pStyle w:val="3"/>
        <w:rPr>
          <w:rFonts w:hint="eastAsia" w:ascii="仿宋" w:eastAsia="仿宋" w:cs="仿宋"/>
          <w:color w:val="auto"/>
          <w:sz w:val="24"/>
          <w:highlight w:val="none"/>
        </w:rPr>
      </w:pPr>
      <w:r>
        <w:rPr>
          <w:rFonts w:hint="eastAsia" w:ascii="仿宋" w:eastAsia="仿宋" w:cs="仿宋"/>
          <w:color w:val="auto"/>
          <w:highlight w:val="none"/>
        </w:rPr>
        <w:t>附件</w:t>
      </w:r>
      <w:r>
        <w:rPr>
          <w:rFonts w:hint="eastAsia" w:ascii="仿宋" w:eastAsia="仿宋" w:cs="仿宋"/>
          <w:color w:val="auto"/>
          <w:highlight w:val="none"/>
          <w:lang w:val="en-US"/>
        </w:rPr>
        <w:t>1：</w:t>
      </w:r>
      <w:r>
        <w:rPr>
          <w:rFonts w:hint="eastAsia" w:ascii="仿宋" w:eastAsia="仿宋" w:cs="仿宋"/>
          <w:color w:val="auto"/>
          <w:highlight w:val="none"/>
        </w:rPr>
        <w:t>样品（演示）授权委托书</w:t>
      </w:r>
    </w:p>
    <w:p w14:paraId="3B47ABB3">
      <w:pPr>
        <w:jc w:val="center"/>
        <w:rPr>
          <w:rFonts w:hint="eastAsia" w:ascii="仿宋" w:hAnsi="仿宋" w:eastAsia="仿宋" w:cs="仿宋"/>
          <w:color w:val="auto"/>
          <w:sz w:val="40"/>
          <w:highlight w:val="none"/>
        </w:rPr>
      </w:pPr>
      <w:r>
        <w:rPr>
          <w:rFonts w:hint="eastAsia" w:ascii="仿宋" w:hAnsi="仿宋" w:eastAsia="仿宋" w:cs="仿宋"/>
          <w:color w:val="auto"/>
          <w:sz w:val="40"/>
          <w:highlight w:val="none"/>
        </w:rPr>
        <w:t>样品（演示）授权委托书</w:t>
      </w:r>
    </w:p>
    <w:p w14:paraId="4792CB31">
      <w:pPr>
        <w:jc w:val="center"/>
        <w:rPr>
          <w:rFonts w:hint="eastAsia" w:ascii="仿宋" w:hAnsi="仿宋" w:eastAsia="仿宋" w:cs="仿宋"/>
          <w:color w:val="auto"/>
          <w:sz w:val="40"/>
          <w:highlight w:val="none"/>
        </w:rPr>
      </w:pPr>
    </w:p>
    <w:p w14:paraId="6589F67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XXX（单位名称或采购机构名称）</w:t>
      </w:r>
      <w:r>
        <w:rPr>
          <w:rFonts w:hint="eastAsia" w:ascii="仿宋" w:hAnsi="仿宋" w:eastAsia="仿宋" w:cs="仿宋"/>
          <w:color w:val="auto"/>
          <w:sz w:val="24"/>
          <w:highlight w:val="none"/>
          <w:lang w:val="zh-CN"/>
        </w:rPr>
        <w:t>：</w:t>
      </w:r>
    </w:p>
    <w:p w14:paraId="78C1CB29">
      <w:pPr>
        <w:snapToGrid w:val="0"/>
        <w:spacing w:line="360" w:lineRule="auto"/>
        <w:ind w:left="254" w:leftChars="121" w:firstLine="480" w:firstLineChars="20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兹委派</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先生/女士，身份证号：</w:t>
      </w:r>
      <w:r>
        <w:rPr>
          <w:rFonts w:hint="eastAsia" w:ascii="仿宋" w:hAnsi="仿宋" w:eastAsia="仿宋" w:cs="仿宋"/>
          <w:color w:val="auto"/>
          <w:sz w:val="24"/>
          <w:highlight w:val="none"/>
          <w:u w:val="single"/>
          <w:lang w:val="zh-CN"/>
        </w:rPr>
        <w:t xml:space="preserve">                   </w:t>
      </w:r>
    </w:p>
    <w:p w14:paraId="3D9BD51D">
      <w:pPr>
        <w:snapToGrid w:val="0"/>
        <w:spacing w:line="360" w:lineRule="auto"/>
        <w:ind w:left="254" w:leftChars="12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手机：</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，代表我公司前来递交</w:t>
      </w:r>
      <w:r>
        <w:rPr>
          <w:rFonts w:hint="eastAsia" w:ascii="仿宋" w:hAnsi="仿宋" w:eastAsia="仿宋" w:cs="仿宋"/>
          <w:color w:val="auto"/>
          <w:sz w:val="24"/>
          <w:highlight w:val="none"/>
          <w:u w:val="single"/>
          <w:lang w:val="zh-CN"/>
        </w:rPr>
        <w:t xml:space="preserve">                           采购项目</w:t>
      </w:r>
      <w:r>
        <w:rPr>
          <w:rFonts w:hint="eastAsia" w:ascii="仿宋" w:hAnsi="仿宋" w:eastAsia="仿宋" w:cs="仿宋"/>
          <w:color w:val="auto"/>
          <w:sz w:val="24"/>
          <w:highlight w:val="none"/>
          <w:lang w:val="zh-CN"/>
        </w:rPr>
        <w:t>【项目编号：              】（标项号：  ）样品或参加演示，并全权负责标后取回样品等其他处理事宜。</w:t>
      </w:r>
    </w:p>
    <w:p w14:paraId="1E4B7EB2">
      <w:pPr>
        <w:snapToGrid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  </w:t>
      </w:r>
    </w:p>
    <w:p w14:paraId="51483F3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    特此告知。</w:t>
      </w:r>
    </w:p>
    <w:p w14:paraId="5BAEF96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                                                  供应商名称(公章)：</w:t>
      </w:r>
    </w:p>
    <w:p w14:paraId="62A3A48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                                                  </w:t>
      </w:r>
    </w:p>
    <w:p w14:paraId="3AEB0E3B">
      <w:pPr>
        <w:snapToGrid w:val="0"/>
        <w:spacing w:line="360" w:lineRule="auto"/>
        <w:ind w:right="240"/>
        <w:jc w:val="righ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签发日期：  年  月   日</w:t>
      </w:r>
    </w:p>
    <w:p w14:paraId="668DC2B3">
      <w:pPr>
        <w:snapToGrid w:val="0"/>
        <w:spacing w:line="360" w:lineRule="auto"/>
        <w:ind w:right="240"/>
        <w:jc w:val="right"/>
        <w:rPr>
          <w:rFonts w:hint="eastAsia" w:ascii="仿宋" w:hAnsi="仿宋" w:eastAsia="仿宋" w:cs="仿宋"/>
          <w:color w:val="auto"/>
          <w:sz w:val="24"/>
          <w:highlight w:val="none"/>
          <w:lang w:val="zh-CN"/>
        </w:rPr>
      </w:pPr>
    </w:p>
    <w:p w14:paraId="677341FD">
      <w:pPr>
        <w:snapToGrid w:val="0"/>
        <w:spacing w:line="360" w:lineRule="auto"/>
        <w:ind w:right="1920"/>
        <w:rPr>
          <w:rFonts w:hint="eastAsia" w:ascii="仿宋" w:hAnsi="仿宋" w:eastAsia="仿宋" w:cs="仿宋"/>
          <w:color w:val="auto"/>
          <w:sz w:val="24"/>
          <w:highlight w:val="none"/>
          <w:lang w:val="zh-CN"/>
        </w:rPr>
      </w:pPr>
    </w:p>
    <w:p w14:paraId="4BB77581">
      <w:pPr>
        <w:snapToGrid w:val="0"/>
        <w:spacing w:line="360" w:lineRule="auto"/>
        <w:ind w:right="240"/>
        <w:jc w:val="right"/>
        <w:rPr>
          <w:rFonts w:hint="eastAsia" w:ascii="仿宋" w:hAnsi="仿宋" w:eastAsia="仿宋" w:cs="仿宋"/>
          <w:color w:val="auto"/>
          <w:sz w:val="24"/>
          <w:highlight w:val="none"/>
          <w:lang w:val="zh-CN"/>
        </w:rPr>
      </w:pPr>
    </w:p>
    <w:p w14:paraId="5823B399">
      <w:pPr>
        <w:snapToGrid w:val="0"/>
        <w:spacing w:line="360" w:lineRule="auto"/>
        <w:ind w:right="24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受委托人</w:t>
      </w:r>
      <w:r>
        <w:rPr>
          <w:rFonts w:hint="eastAsia" w:ascii="仿宋" w:hAnsi="仿宋" w:eastAsia="仿宋" w:cs="仿宋"/>
          <w:color w:val="auto"/>
          <w:sz w:val="24"/>
          <w:highlight w:val="none"/>
          <w:lang w:val="zh-CN"/>
        </w:rPr>
        <w:t>身份证复印件：</w:t>
      </w:r>
    </w:p>
    <w:p w14:paraId="6CADD756">
      <w:pPr>
        <w:snapToGrid w:val="0"/>
        <w:spacing w:line="360" w:lineRule="auto"/>
        <w:ind w:right="240"/>
        <w:rPr>
          <w:rFonts w:hint="eastAsia" w:ascii="仿宋" w:hAnsi="仿宋" w:eastAsia="仿宋" w:cs="仿宋"/>
          <w:color w:val="auto"/>
          <w:sz w:val="24"/>
          <w:highlight w:val="none"/>
          <w:lang w:val="zh-CN"/>
        </w:rPr>
      </w:pPr>
    </w:p>
    <w:p w14:paraId="642AE784">
      <w:pPr>
        <w:snapToGrid w:val="0"/>
        <w:spacing w:line="360" w:lineRule="auto"/>
        <w:ind w:right="24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说明：本委托书在有样品或演示时由受委托人携带至指定地点。</w:t>
      </w:r>
    </w:p>
    <w:p w14:paraId="5D0094BC">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同时有样品和演示的，可委托不同人员。</w:t>
      </w:r>
    </w:p>
    <w:p w14:paraId="53DA53B8">
      <w:pPr>
        <w:spacing w:line="360" w:lineRule="auto"/>
        <w:jc w:val="left"/>
        <w:rPr>
          <w:rFonts w:hint="eastAsia" w:ascii="仿宋" w:hAnsi="仿宋" w:eastAsia="仿宋" w:cs="仿宋"/>
          <w:b/>
          <w:color w:val="auto"/>
          <w:spacing w:val="6"/>
          <w:sz w:val="32"/>
          <w:szCs w:val="32"/>
          <w:highlight w:val="none"/>
        </w:rPr>
        <w:sectPr>
          <w:headerReference r:id="rId12" w:type="first"/>
          <w:footerReference r:id="rId14" w:type="first"/>
          <w:headerReference r:id="rId11" w:type="default"/>
          <w:footerReference r:id="rId13" w:type="default"/>
          <w:pgSz w:w="11906" w:h="16838"/>
          <w:pgMar w:top="1276" w:right="1418" w:bottom="1247" w:left="1418" w:header="851" w:footer="992" w:gutter="0"/>
          <w:cols w:space="720" w:num="1"/>
          <w:titlePg/>
          <w:docGrid w:linePitch="312" w:charSpace="0"/>
        </w:sectPr>
      </w:pPr>
    </w:p>
    <w:p w14:paraId="6ED1CFAB">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附件2：质疑函范本及制作说明</w:t>
      </w:r>
    </w:p>
    <w:p w14:paraId="0218C923">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质疑函范本</w:t>
      </w:r>
    </w:p>
    <w:p w14:paraId="0BE8FA7E">
      <w:pPr>
        <w:snapToGrid w:val="0"/>
        <w:spacing w:before="240" w:beforeLines="100"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一、质疑供应商基本信息</w:t>
      </w:r>
    </w:p>
    <w:p w14:paraId="03DE5ECA">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04E7198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30CB3CC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7FE80822">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038CED7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507F8A4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47E8DD00">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4B73119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1877418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32197FD5">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1749D32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0636C25C">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7DCAFD90">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6F6E7BB7">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7C8D05C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49248015">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18529427">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330A4C93">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2D2863E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018DF0E9">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3D5FD983">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2128394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1F2A311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30A8E53E">
      <w:pPr>
        <w:spacing w:line="360" w:lineRule="auto"/>
        <w:jc w:val="center"/>
        <w:rPr>
          <w:rFonts w:hint="eastAsia" w:ascii="仿宋" w:hAnsi="仿宋" w:eastAsia="仿宋" w:cs="仿宋"/>
          <w:b/>
          <w:bCs/>
          <w:color w:val="auto"/>
          <w:sz w:val="24"/>
          <w:highlight w:val="none"/>
        </w:rPr>
      </w:pPr>
    </w:p>
    <w:p w14:paraId="5A6F385D">
      <w:pPr>
        <w:spacing w:line="360" w:lineRule="auto"/>
        <w:rPr>
          <w:rFonts w:hint="eastAsia" w:ascii="仿宋" w:hAnsi="仿宋" w:eastAsia="仿宋" w:cs="仿宋"/>
          <w:b/>
          <w:color w:val="auto"/>
          <w:sz w:val="24"/>
          <w:highlight w:val="none"/>
        </w:rPr>
      </w:pPr>
    </w:p>
    <w:p w14:paraId="77D23481">
      <w:pPr>
        <w:spacing w:line="360" w:lineRule="auto"/>
        <w:rPr>
          <w:rFonts w:hint="eastAsia" w:ascii="仿宋" w:hAnsi="仿宋" w:eastAsia="仿宋" w:cs="仿宋"/>
          <w:b/>
          <w:color w:val="auto"/>
          <w:sz w:val="24"/>
          <w:highlight w:val="none"/>
        </w:rPr>
      </w:pPr>
    </w:p>
    <w:p w14:paraId="56352835">
      <w:pPr>
        <w:spacing w:line="360" w:lineRule="auto"/>
        <w:rPr>
          <w:rFonts w:hint="eastAsia" w:ascii="仿宋" w:hAnsi="仿宋" w:eastAsia="仿宋" w:cs="仿宋"/>
          <w:b/>
          <w:color w:val="auto"/>
          <w:sz w:val="24"/>
          <w:highlight w:val="none"/>
        </w:rPr>
      </w:pPr>
    </w:p>
    <w:p w14:paraId="50545018">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4D919690">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6549F717">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619912F5">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48792688">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6AC80DF7">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17CC9F6A">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200C6187">
      <w:pPr>
        <w:widowControl/>
        <w:spacing w:line="360" w:lineRule="auto"/>
        <w:ind w:firstLine="600" w:firstLineChars="200"/>
        <w:jc w:val="left"/>
        <w:rPr>
          <w:rFonts w:hint="eastAsia" w:ascii="仿宋" w:hAnsi="仿宋" w:eastAsia="仿宋" w:cs="仿宋"/>
          <w:color w:val="auto"/>
          <w:sz w:val="30"/>
          <w:szCs w:val="30"/>
          <w:highlight w:val="none"/>
        </w:rPr>
      </w:pPr>
    </w:p>
    <w:p w14:paraId="16063E7A">
      <w:pPr>
        <w:spacing w:line="360" w:lineRule="auto"/>
        <w:jc w:val="center"/>
        <w:rPr>
          <w:rFonts w:hint="eastAsia" w:ascii="仿宋" w:hAnsi="仿宋" w:eastAsia="仿宋" w:cs="仿宋"/>
          <w:b/>
          <w:color w:val="auto"/>
          <w:spacing w:val="6"/>
          <w:sz w:val="32"/>
          <w:szCs w:val="32"/>
          <w:highlight w:val="none"/>
        </w:rPr>
      </w:pPr>
    </w:p>
    <w:p w14:paraId="08979E46">
      <w:pPr>
        <w:spacing w:line="360" w:lineRule="auto"/>
        <w:jc w:val="center"/>
        <w:rPr>
          <w:rFonts w:hint="eastAsia" w:ascii="仿宋" w:hAnsi="仿宋" w:eastAsia="仿宋" w:cs="仿宋"/>
          <w:b/>
          <w:color w:val="auto"/>
          <w:spacing w:val="6"/>
          <w:sz w:val="32"/>
          <w:szCs w:val="32"/>
          <w:highlight w:val="none"/>
        </w:rPr>
      </w:pPr>
    </w:p>
    <w:p w14:paraId="3B9F8FA3">
      <w:pPr>
        <w:spacing w:line="360" w:lineRule="auto"/>
        <w:jc w:val="center"/>
        <w:rPr>
          <w:rFonts w:hint="eastAsia" w:ascii="仿宋" w:hAnsi="仿宋" w:eastAsia="仿宋" w:cs="仿宋"/>
          <w:b/>
          <w:color w:val="auto"/>
          <w:spacing w:val="6"/>
          <w:sz w:val="32"/>
          <w:szCs w:val="32"/>
          <w:highlight w:val="none"/>
        </w:rPr>
      </w:pPr>
    </w:p>
    <w:p w14:paraId="7356407F">
      <w:pPr>
        <w:spacing w:line="360" w:lineRule="auto"/>
        <w:jc w:val="center"/>
        <w:rPr>
          <w:rFonts w:hint="eastAsia" w:ascii="仿宋" w:hAnsi="仿宋" w:eastAsia="仿宋" w:cs="仿宋"/>
          <w:b/>
          <w:color w:val="auto"/>
          <w:spacing w:val="6"/>
          <w:sz w:val="32"/>
          <w:szCs w:val="32"/>
          <w:highlight w:val="none"/>
        </w:rPr>
      </w:pPr>
    </w:p>
    <w:p w14:paraId="4EF531A3">
      <w:pPr>
        <w:spacing w:line="360" w:lineRule="auto"/>
        <w:jc w:val="center"/>
        <w:rPr>
          <w:rFonts w:hint="eastAsia" w:ascii="仿宋" w:hAnsi="仿宋" w:eastAsia="仿宋" w:cs="仿宋"/>
          <w:b/>
          <w:color w:val="auto"/>
          <w:spacing w:val="6"/>
          <w:sz w:val="32"/>
          <w:szCs w:val="32"/>
          <w:highlight w:val="none"/>
        </w:rPr>
      </w:pPr>
    </w:p>
    <w:p w14:paraId="2F7E0A77">
      <w:pPr>
        <w:spacing w:line="360" w:lineRule="auto"/>
        <w:jc w:val="center"/>
        <w:rPr>
          <w:rFonts w:hint="eastAsia" w:ascii="仿宋" w:hAnsi="仿宋" w:eastAsia="仿宋" w:cs="仿宋"/>
          <w:b/>
          <w:color w:val="auto"/>
          <w:spacing w:val="6"/>
          <w:sz w:val="32"/>
          <w:szCs w:val="32"/>
          <w:highlight w:val="none"/>
        </w:rPr>
      </w:pPr>
    </w:p>
    <w:p w14:paraId="11643F51">
      <w:pPr>
        <w:spacing w:line="360" w:lineRule="auto"/>
        <w:jc w:val="center"/>
        <w:rPr>
          <w:rFonts w:hint="eastAsia" w:ascii="仿宋" w:hAnsi="仿宋" w:eastAsia="仿宋" w:cs="仿宋"/>
          <w:b/>
          <w:color w:val="auto"/>
          <w:spacing w:val="6"/>
          <w:sz w:val="32"/>
          <w:szCs w:val="32"/>
          <w:highlight w:val="none"/>
        </w:rPr>
      </w:pPr>
    </w:p>
    <w:p w14:paraId="4DDDAFDC">
      <w:pPr>
        <w:spacing w:line="360" w:lineRule="auto"/>
        <w:jc w:val="center"/>
        <w:rPr>
          <w:rFonts w:hint="eastAsia" w:ascii="仿宋" w:hAnsi="仿宋" w:eastAsia="仿宋" w:cs="仿宋"/>
          <w:b/>
          <w:color w:val="auto"/>
          <w:spacing w:val="6"/>
          <w:sz w:val="32"/>
          <w:szCs w:val="32"/>
          <w:highlight w:val="none"/>
        </w:rPr>
      </w:pPr>
    </w:p>
    <w:p w14:paraId="4CB075EB">
      <w:pPr>
        <w:spacing w:line="360" w:lineRule="auto"/>
        <w:jc w:val="center"/>
        <w:rPr>
          <w:rFonts w:hint="eastAsia" w:ascii="仿宋" w:hAnsi="仿宋" w:eastAsia="仿宋" w:cs="仿宋"/>
          <w:b/>
          <w:color w:val="auto"/>
          <w:spacing w:val="6"/>
          <w:sz w:val="32"/>
          <w:szCs w:val="32"/>
          <w:highlight w:val="none"/>
        </w:rPr>
      </w:pPr>
    </w:p>
    <w:p w14:paraId="28A8A0E6">
      <w:pPr>
        <w:spacing w:line="360" w:lineRule="auto"/>
        <w:jc w:val="center"/>
        <w:rPr>
          <w:rFonts w:hint="eastAsia" w:ascii="仿宋" w:hAnsi="仿宋" w:eastAsia="仿宋" w:cs="仿宋"/>
          <w:b/>
          <w:color w:val="auto"/>
          <w:spacing w:val="6"/>
          <w:sz w:val="32"/>
          <w:szCs w:val="32"/>
          <w:highlight w:val="none"/>
        </w:rPr>
      </w:pPr>
    </w:p>
    <w:p w14:paraId="683159F0">
      <w:pPr>
        <w:spacing w:line="360" w:lineRule="auto"/>
        <w:jc w:val="center"/>
        <w:rPr>
          <w:rFonts w:hint="eastAsia" w:ascii="仿宋" w:hAnsi="仿宋" w:eastAsia="仿宋" w:cs="仿宋"/>
          <w:b/>
          <w:color w:val="auto"/>
          <w:spacing w:val="6"/>
          <w:sz w:val="32"/>
          <w:szCs w:val="32"/>
          <w:highlight w:val="none"/>
        </w:rPr>
      </w:pPr>
    </w:p>
    <w:p w14:paraId="485449D8">
      <w:pP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64A1AE65">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附件3：投诉书范本及制作说明</w:t>
      </w:r>
    </w:p>
    <w:p w14:paraId="29AC4B1C">
      <w:pPr>
        <w:spacing w:line="360" w:lineRule="auto"/>
        <w:jc w:val="center"/>
        <w:rPr>
          <w:rFonts w:hint="eastAsia" w:ascii="仿宋" w:hAnsi="仿宋" w:eastAsia="仿宋" w:cs="仿宋"/>
          <w:b/>
          <w:color w:val="auto"/>
          <w:sz w:val="24"/>
          <w:highlight w:val="none"/>
        </w:rPr>
      </w:pPr>
    </w:p>
    <w:p w14:paraId="51CA32A9">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投诉书范本</w:t>
      </w:r>
    </w:p>
    <w:p w14:paraId="55064DC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一、投诉相关</w:t>
      </w:r>
      <w:r>
        <w:rPr>
          <w:rFonts w:hint="eastAsia" w:ascii="仿宋" w:hAnsi="仿宋" w:eastAsia="仿宋" w:cs="仿宋"/>
          <w:color w:val="auto"/>
          <w:sz w:val="24"/>
          <w:highlight w:val="none"/>
          <w:lang w:eastAsia="zh-CN"/>
        </w:rPr>
        <w:t>杭州国际博览中心有限公司</w:t>
      </w:r>
      <w:r>
        <w:rPr>
          <w:rFonts w:hint="eastAsia" w:ascii="仿宋" w:hAnsi="仿宋" w:eastAsia="仿宋" w:cs="仿宋"/>
          <w:color w:val="auto"/>
          <w:sz w:val="24"/>
          <w:highlight w:val="none"/>
        </w:rPr>
        <w:t>基本情况</w:t>
      </w:r>
    </w:p>
    <w:p w14:paraId="6DE33AC3">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w:t>
      </w:r>
      <w:r>
        <w:rPr>
          <w:rFonts w:hint="eastAsia" w:ascii="仿宋" w:hAnsi="仿宋" w:eastAsia="仿宋" w:cs="仿宋"/>
          <w:color w:val="auto"/>
          <w:sz w:val="24"/>
          <w:highlight w:val="none"/>
          <w:u w:val="dotted"/>
        </w:rPr>
        <w:t xml:space="preserve">                                               </w:t>
      </w:r>
    </w:p>
    <w:p w14:paraId="415238C3">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A58564D">
      <w:pPr>
        <w:tabs>
          <w:tab w:val="left" w:pos="651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法定代表人/主要负责人：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79F38A0E">
      <w:pPr>
        <w:tabs>
          <w:tab w:val="left" w:pos="6510"/>
        </w:tabs>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0F04433C">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319409EC">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dotted"/>
        </w:rPr>
        <w:t xml:space="preserve">                   </w:t>
      </w:r>
    </w:p>
    <w:p w14:paraId="174D744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被投诉人1：</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1171D36F">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6C8F96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7715BBF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被投诉人2</w:t>
      </w:r>
    </w:p>
    <w:p w14:paraId="17D8C5C1">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72273A7A">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相关供应商：</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65FB5174">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7570C826">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2BB410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二、投诉项目基本情况</w:t>
      </w:r>
    </w:p>
    <w:p w14:paraId="64BB9B9D">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dotted"/>
        </w:rPr>
        <w:t xml:space="preserve">                                        </w:t>
      </w:r>
    </w:p>
    <w:p w14:paraId="0C4DB49A">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1C1624E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18928B29">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代理机构名称：</w:t>
      </w:r>
      <w:r>
        <w:rPr>
          <w:rFonts w:hint="eastAsia" w:ascii="仿宋" w:hAnsi="仿宋" w:eastAsia="仿宋" w:cs="仿宋"/>
          <w:color w:val="auto"/>
          <w:sz w:val="24"/>
          <w:highlight w:val="none"/>
          <w:u w:val="dotted"/>
        </w:rPr>
        <w:t xml:space="preserve">                                         </w:t>
      </w:r>
    </w:p>
    <w:p w14:paraId="48F1642F">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采购文件公告: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6F9D3311">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采购结果公告: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7CBD04C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三、质疑基本情况</w:t>
      </w:r>
    </w:p>
    <w:p w14:paraId="7A6CBB20">
      <w:pPr>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日,向</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提出质疑，质疑事项为：</w:t>
      </w:r>
      <w:r>
        <w:rPr>
          <w:rFonts w:hint="eastAsia" w:ascii="仿宋" w:hAnsi="仿宋" w:eastAsia="仿宋" w:cs="仿宋"/>
          <w:color w:val="auto"/>
          <w:sz w:val="24"/>
          <w:highlight w:val="none"/>
          <w:u w:val="dotted"/>
        </w:rPr>
        <w:t xml:space="preserve">                                </w:t>
      </w:r>
    </w:p>
    <w:p w14:paraId="3853B86E">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7ED72CE6">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采购人/代理机构</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日,就质疑事项作出了答复/没有在法定期限内作出答复。</w:t>
      </w:r>
    </w:p>
    <w:p w14:paraId="1FE264B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四、投诉事项具体内容</w:t>
      </w:r>
    </w:p>
    <w:p w14:paraId="4B3DE54B">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投诉事项 1：</w:t>
      </w:r>
      <w:r>
        <w:rPr>
          <w:rFonts w:hint="eastAsia" w:ascii="仿宋" w:hAnsi="仿宋" w:eastAsia="仿宋" w:cs="仿宋"/>
          <w:color w:val="auto"/>
          <w:sz w:val="24"/>
          <w:highlight w:val="none"/>
          <w:u w:val="dotted"/>
        </w:rPr>
        <w:t xml:space="preserve">                                       </w:t>
      </w:r>
    </w:p>
    <w:p w14:paraId="209245E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2690E96B">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2057655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53D6BE26">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70499CF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投诉事项2</w:t>
      </w:r>
    </w:p>
    <w:p w14:paraId="53174516">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3EC22DF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五、与投诉事项相关的投诉请求</w:t>
      </w:r>
    </w:p>
    <w:p w14:paraId="3A6B2A5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3C430C04">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7330BDD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2FEF800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12104D50">
      <w:pPr>
        <w:spacing w:line="360" w:lineRule="auto"/>
        <w:rPr>
          <w:rFonts w:hint="eastAsia" w:ascii="仿宋" w:hAnsi="仿宋" w:eastAsia="仿宋" w:cs="仿宋"/>
          <w:b/>
          <w:color w:val="auto"/>
          <w:sz w:val="24"/>
          <w:highlight w:val="none"/>
        </w:rPr>
      </w:pPr>
    </w:p>
    <w:p w14:paraId="1672C0B2">
      <w:pPr>
        <w:spacing w:line="360" w:lineRule="auto"/>
        <w:rPr>
          <w:rFonts w:hint="eastAsia" w:ascii="仿宋" w:hAnsi="仿宋" w:eastAsia="仿宋" w:cs="仿宋"/>
          <w:b/>
          <w:color w:val="auto"/>
          <w:sz w:val="24"/>
          <w:highlight w:val="none"/>
        </w:rPr>
      </w:pPr>
    </w:p>
    <w:p w14:paraId="4B571CD8">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67FA5C70">
      <w:pPr>
        <w:widowControl/>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1.投诉人提起投诉时，应当提交投诉书和必要的证明材料，并按照被投诉人和与投诉事项有关的供应商数量提供投诉书副本。</w:t>
      </w:r>
    </w:p>
    <w:p w14:paraId="0AB929F4">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highlight w:val="none"/>
        </w:rPr>
        <w:t>投诉人签署的授权委托书。授权委托书应当载明代理人的姓名或者名称、代理事项、具体权限、期限和相关事项。</w:t>
      </w:r>
    </w:p>
    <w:p w14:paraId="7C8B3361">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3.投诉人若对项目的某一分包进行投诉，投诉书应列明具体分包号。</w:t>
      </w:r>
    </w:p>
    <w:p w14:paraId="033F03DB">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4.投诉书应简要列明质疑事项，质疑函、质疑答复等作为附件材料提供。</w:t>
      </w:r>
    </w:p>
    <w:p w14:paraId="2383A687">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5.投诉书的投诉事项应具体、明确，并有必要的事实依据和法律依据。</w:t>
      </w:r>
    </w:p>
    <w:p w14:paraId="0C9844D7">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6.投诉书的投诉请求应与投诉事项相关。</w:t>
      </w:r>
    </w:p>
    <w:p w14:paraId="4895B4A3">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7.投诉人为自然人的，投诉书应当由本人签字；投诉人为法人或者其他组织的，投诉书应当由法定代表人、主要负责人，或者其授权代表签字或者盖章，并加盖公章。</w:t>
      </w:r>
    </w:p>
    <w:p w14:paraId="323FA476">
      <w:pPr>
        <w:spacing w:line="360" w:lineRule="auto"/>
        <w:rPr>
          <w:rFonts w:hint="eastAsia" w:ascii="仿宋" w:hAnsi="仿宋" w:eastAsia="仿宋" w:cs="仿宋"/>
          <w:b/>
          <w:color w:val="auto"/>
          <w:sz w:val="24"/>
          <w:highlight w:val="none"/>
        </w:rPr>
      </w:pPr>
    </w:p>
    <w:p w14:paraId="4E951523">
      <w:pPr>
        <w:autoSpaceDE w:val="0"/>
        <w:autoSpaceDN w:val="0"/>
        <w:jc w:val="center"/>
        <w:rPr>
          <w:rFonts w:hint="eastAsia" w:ascii="仿宋" w:hAnsi="仿宋" w:eastAsia="仿宋" w:cs="仿宋"/>
          <w:b/>
          <w:color w:val="auto"/>
          <w:spacing w:val="6"/>
          <w:sz w:val="32"/>
          <w:szCs w:val="32"/>
          <w:highlight w:val="none"/>
        </w:rPr>
      </w:pPr>
    </w:p>
    <w:p w14:paraId="4858CA7D">
      <w:pPr>
        <w:autoSpaceDE w:val="0"/>
        <w:autoSpaceDN w:val="0"/>
        <w:jc w:val="center"/>
        <w:rPr>
          <w:rFonts w:hint="eastAsia" w:ascii="仿宋" w:hAnsi="仿宋" w:eastAsia="仿宋" w:cs="仿宋"/>
          <w:b/>
          <w:color w:val="auto"/>
          <w:spacing w:val="6"/>
          <w:sz w:val="32"/>
          <w:szCs w:val="32"/>
          <w:highlight w:val="none"/>
        </w:rPr>
      </w:pPr>
    </w:p>
    <w:p w14:paraId="115CF109">
      <w:pP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35978EA8">
      <w:pPr>
        <w:autoSpaceDE w:val="0"/>
        <w:autoSpaceDN w:val="0"/>
        <w:jc w:val="center"/>
        <w:rPr>
          <w:rFonts w:hint="eastAsia" w:ascii="仿宋" w:hAnsi="仿宋" w:eastAsia="仿宋" w:cs="仿宋"/>
          <w:b/>
          <w:bCs/>
          <w:color w:val="auto"/>
          <w:sz w:val="32"/>
          <w:szCs w:val="32"/>
          <w:highlight w:val="none"/>
        </w:rPr>
      </w:pPr>
      <w:r>
        <w:rPr>
          <w:rFonts w:hint="eastAsia" w:ascii="仿宋" w:hAnsi="仿宋" w:eastAsia="仿宋" w:cs="仿宋"/>
          <w:b/>
          <w:color w:val="auto"/>
          <w:spacing w:val="6"/>
          <w:sz w:val="32"/>
          <w:szCs w:val="32"/>
          <w:highlight w:val="none"/>
        </w:rPr>
        <w:t>附件4：</w:t>
      </w:r>
      <w:r>
        <w:rPr>
          <w:rFonts w:hint="eastAsia" w:ascii="仿宋" w:hAnsi="仿宋" w:eastAsia="仿宋" w:cs="仿宋"/>
          <w:b/>
          <w:bCs/>
          <w:color w:val="auto"/>
          <w:sz w:val="32"/>
          <w:szCs w:val="32"/>
          <w:highlight w:val="none"/>
        </w:rPr>
        <w:t>业务专用章使用说明函</w:t>
      </w:r>
    </w:p>
    <w:p w14:paraId="1248993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（采购人）、（采购代理机构）</w:t>
      </w:r>
    </w:p>
    <w:p w14:paraId="062A0F0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(供应商全称)是中华人民共和国依法登记注册的合法企业，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你方组织的</w:t>
      </w:r>
      <w:r>
        <w:rPr>
          <w:rFonts w:hint="eastAsia" w:ascii="仿宋" w:hAnsi="仿宋" w:eastAsia="仿宋" w:cs="仿宋"/>
          <w:color w:val="auto"/>
          <w:sz w:val="24"/>
          <w:highlight w:val="none"/>
          <w:u w:val="single"/>
        </w:rPr>
        <w:t>（项目名称）项目【交易编号：      】</w:t>
      </w:r>
      <w:r>
        <w:rPr>
          <w:rFonts w:hint="eastAsia" w:ascii="仿宋" w:hAnsi="仿宋" w:eastAsia="仿宋" w:cs="仿宋"/>
          <w:bCs/>
          <w:color w:val="auto"/>
          <w:sz w:val="24"/>
          <w:highlight w:val="none"/>
        </w:rPr>
        <w:t>交易活动中作如下说明：</w:t>
      </w:r>
      <w:r>
        <w:rPr>
          <w:rFonts w:hint="eastAsia" w:ascii="仿宋" w:hAnsi="仿宋" w:eastAsia="仿宋" w:cs="仿宋"/>
          <w:color w:val="auto"/>
          <w:sz w:val="24"/>
          <w:highlight w:val="none"/>
        </w:rPr>
        <w:t xml:space="preserve">我方所使用的“XX专用章”与法定名称章具有同等的法律效力，对使用“XX专用章”的行为予以完全承认，并愿意承担相应责任。   </w:t>
      </w:r>
    </w:p>
    <w:p w14:paraId="168F165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特此说明。</w:t>
      </w:r>
    </w:p>
    <w:p w14:paraId="0A582A06">
      <w:pPr>
        <w:spacing w:line="360" w:lineRule="auto"/>
        <w:ind w:firstLine="494"/>
        <w:rPr>
          <w:rFonts w:hint="eastAsia" w:ascii="仿宋" w:hAnsi="仿宋" w:eastAsia="仿宋" w:cs="仿宋"/>
          <w:color w:val="auto"/>
          <w:sz w:val="24"/>
          <w:highlight w:val="none"/>
        </w:rPr>
      </w:pPr>
    </w:p>
    <w:p w14:paraId="7350E0AC">
      <w:pPr>
        <w:spacing w:line="360" w:lineRule="auto"/>
        <w:ind w:firstLine="494"/>
        <w:rPr>
          <w:rFonts w:hint="eastAsia" w:ascii="仿宋" w:hAnsi="仿宋" w:eastAsia="仿宋" w:cs="仿宋"/>
          <w:color w:val="auto"/>
          <w:sz w:val="24"/>
          <w:highlight w:val="none"/>
        </w:rPr>
      </w:pPr>
    </w:p>
    <w:p w14:paraId="00C8250B">
      <w:pPr>
        <w:spacing w:line="360" w:lineRule="auto"/>
        <w:ind w:firstLine="494"/>
        <w:rPr>
          <w:rFonts w:hint="eastAsia" w:ascii="仿宋" w:hAnsi="仿宋" w:eastAsia="仿宋" w:cs="仿宋"/>
          <w:color w:val="auto"/>
          <w:sz w:val="24"/>
          <w:highlight w:val="none"/>
        </w:rPr>
      </w:pPr>
    </w:p>
    <w:p w14:paraId="1941C288">
      <w:pPr>
        <w:spacing w:line="360" w:lineRule="auto"/>
        <w:ind w:firstLine="494"/>
        <w:rPr>
          <w:rFonts w:hint="eastAsia" w:ascii="仿宋" w:hAnsi="仿宋" w:eastAsia="仿宋" w:cs="仿宋"/>
          <w:color w:val="auto"/>
          <w:sz w:val="24"/>
          <w:highlight w:val="none"/>
        </w:rPr>
      </w:pPr>
    </w:p>
    <w:p w14:paraId="0AD0A358">
      <w:pPr>
        <w:spacing w:line="360" w:lineRule="auto"/>
        <w:ind w:right="480"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响应单位（法定名称章）：</w:t>
      </w:r>
    </w:p>
    <w:p w14:paraId="01170DF9">
      <w:pPr>
        <w:ind w:right="1440" w:firstLine="49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6C7FBE9E">
      <w:pPr>
        <w:rPr>
          <w:rFonts w:hint="eastAsia" w:ascii="仿宋" w:hAnsi="仿宋" w:eastAsia="仿宋" w:cs="仿宋"/>
          <w:color w:val="auto"/>
          <w:sz w:val="24"/>
          <w:highlight w:val="none"/>
        </w:rPr>
      </w:pPr>
      <w:r>
        <w:rPr>
          <w:rFonts w:hint="eastAsia" w:ascii="仿宋" w:hAnsi="仿宋" w:eastAsia="仿宋" w:cs="仿宋"/>
          <w:color w:val="auto"/>
          <w:sz w:val="24"/>
          <w:highlight w:val="none"/>
        </w:rPr>
        <w:t>附：</w:t>
      </w:r>
    </w:p>
    <w:p w14:paraId="7BC09B96">
      <w:pPr>
        <w:spacing w:line="360" w:lineRule="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color w:val="auto"/>
          <w:sz w:val="24"/>
          <w:highlight w:val="none"/>
        </w:rPr>
        <w:t>响应单位法定名称章（印模）                响应单位“XX专用章”（印模）</w:t>
      </w:r>
    </w:p>
    <w:p w14:paraId="271DB192">
      <w:pPr>
        <w:autoSpaceDE w:val="0"/>
        <w:autoSpaceDN w:val="0"/>
        <w:jc w:val="center"/>
        <w:rPr>
          <w:rFonts w:hint="eastAsia" w:ascii="仿宋" w:hAnsi="仿宋" w:eastAsia="仿宋" w:cs="仿宋"/>
          <w:b/>
          <w:color w:val="auto"/>
          <w:spacing w:val="6"/>
          <w:sz w:val="32"/>
          <w:szCs w:val="32"/>
          <w:highlight w:val="none"/>
        </w:rPr>
      </w:pPr>
    </w:p>
    <w:p w14:paraId="3931ED0E">
      <w:pPr>
        <w:autoSpaceDE w:val="0"/>
        <w:autoSpaceDN w:val="0"/>
        <w:jc w:val="center"/>
        <w:rPr>
          <w:rFonts w:hint="eastAsia" w:ascii="仿宋" w:hAnsi="仿宋" w:eastAsia="仿宋" w:cs="仿宋"/>
          <w:b/>
          <w:color w:val="auto"/>
          <w:spacing w:val="6"/>
          <w:sz w:val="32"/>
          <w:szCs w:val="32"/>
          <w:highlight w:val="none"/>
        </w:rPr>
      </w:pPr>
    </w:p>
    <w:p w14:paraId="4B6002B5">
      <w:pPr>
        <w:autoSpaceDE w:val="0"/>
        <w:autoSpaceDN w:val="0"/>
        <w:jc w:val="center"/>
        <w:rPr>
          <w:rFonts w:hint="eastAsia" w:ascii="仿宋" w:hAnsi="仿宋" w:eastAsia="仿宋" w:cs="仿宋"/>
          <w:b/>
          <w:color w:val="auto"/>
          <w:spacing w:val="6"/>
          <w:sz w:val="32"/>
          <w:szCs w:val="32"/>
          <w:highlight w:val="none"/>
        </w:rPr>
      </w:pPr>
    </w:p>
    <w:p w14:paraId="3D54C4AD">
      <w:pPr>
        <w:autoSpaceDE w:val="0"/>
        <w:autoSpaceDN w:val="0"/>
        <w:jc w:val="center"/>
        <w:rPr>
          <w:rFonts w:hint="eastAsia" w:ascii="仿宋" w:hAnsi="仿宋" w:eastAsia="仿宋" w:cs="仿宋"/>
          <w:b/>
          <w:color w:val="auto"/>
          <w:spacing w:val="6"/>
          <w:sz w:val="32"/>
          <w:szCs w:val="32"/>
          <w:highlight w:val="none"/>
        </w:rPr>
      </w:pPr>
    </w:p>
    <w:p w14:paraId="780A0267">
      <w:pPr>
        <w:autoSpaceDE w:val="0"/>
        <w:autoSpaceDN w:val="0"/>
        <w:jc w:val="center"/>
        <w:rPr>
          <w:rFonts w:hint="eastAsia" w:ascii="仿宋" w:hAnsi="仿宋" w:eastAsia="仿宋" w:cs="仿宋"/>
          <w:b/>
          <w:color w:val="auto"/>
          <w:spacing w:val="6"/>
          <w:sz w:val="32"/>
          <w:szCs w:val="32"/>
          <w:highlight w:val="none"/>
        </w:rPr>
      </w:pPr>
    </w:p>
    <w:p w14:paraId="330B164A">
      <w:pPr>
        <w:autoSpaceDE w:val="0"/>
        <w:autoSpaceDN w:val="0"/>
        <w:jc w:val="center"/>
        <w:rPr>
          <w:rFonts w:hint="eastAsia" w:ascii="仿宋" w:hAnsi="仿宋" w:eastAsia="仿宋" w:cs="仿宋"/>
          <w:b/>
          <w:color w:val="auto"/>
          <w:spacing w:val="6"/>
          <w:sz w:val="32"/>
          <w:szCs w:val="32"/>
          <w:highlight w:val="none"/>
        </w:rPr>
      </w:pPr>
    </w:p>
    <w:p w14:paraId="4B62EBE0">
      <w:pPr>
        <w:autoSpaceDE w:val="0"/>
        <w:autoSpaceDN w:val="0"/>
        <w:jc w:val="center"/>
        <w:rPr>
          <w:rFonts w:hint="eastAsia" w:ascii="仿宋" w:hAnsi="仿宋" w:eastAsia="仿宋" w:cs="仿宋"/>
          <w:b/>
          <w:color w:val="auto"/>
          <w:spacing w:val="6"/>
          <w:sz w:val="32"/>
          <w:szCs w:val="32"/>
          <w:highlight w:val="none"/>
        </w:rPr>
      </w:pPr>
    </w:p>
    <w:p w14:paraId="2CFFC5CB">
      <w:pPr>
        <w:autoSpaceDE w:val="0"/>
        <w:autoSpaceDN w:val="0"/>
        <w:jc w:val="center"/>
        <w:rPr>
          <w:rFonts w:hint="eastAsia" w:ascii="仿宋" w:hAnsi="仿宋" w:eastAsia="仿宋" w:cs="仿宋"/>
          <w:b/>
          <w:color w:val="auto"/>
          <w:spacing w:val="6"/>
          <w:sz w:val="32"/>
          <w:szCs w:val="32"/>
          <w:highlight w:val="none"/>
        </w:rPr>
      </w:pPr>
    </w:p>
    <w:p w14:paraId="6B53D948">
      <w:pPr>
        <w:autoSpaceDE w:val="0"/>
        <w:autoSpaceDN w:val="0"/>
        <w:jc w:val="center"/>
        <w:rPr>
          <w:rFonts w:hint="eastAsia" w:ascii="仿宋" w:hAnsi="仿宋" w:eastAsia="仿宋" w:cs="仿宋"/>
          <w:b/>
          <w:color w:val="auto"/>
          <w:spacing w:val="6"/>
          <w:sz w:val="32"/>
          <w:szCs w:val="32"/>
          <w:highlight w:val="none"/>
        </w:rPr>
      </w:pPr>
    </w:p>
    <w:p w14:paraId="0AC38583">
      <w:pPr>
        <w:autoSpaceDE w:val="0"/>
        <w:autoSpaceDN w:val="0"/>
        <w:jc w:val="center"/>
        <w:rPr>
          <w:rFonts w:hint="eastAsia" w:ascii="仿宋" w:hAnsi="仿宋" w:eastAsia="仿宋" w:cs="仿宋"/>
          <w:b/>
          <w:color w:val="auto"/>
          <w:spacing w:val="6"/>
          <w:sz w:val="32"/>
          <w:szCs w:val="32"/>
          <w:highlight w:val="none"/>
        </w:rPr>
      </w:pPr>
    </w:p>
    <w:p w14:paraId="09E5AADD">
      <w:pPr>
        <w:autoSpaceDE w:val="0"/>
        <w:autoSpaceDN w:val="0"/>
        <w:jc w:val="center"/>
        <w:rPr>
          <w:rFonts w:hint="eastAsia" w:ascii="仿宋" w:hAnsi="仿宋" w:eastAsia="仿宋" w:cs="仿宋"/>
          <w:b/>
          <w:color w:val="auto"/>
          <w:spacing w:val="6"/>
          <w:sz w:val="32"/>
          <w:szCs w:val="32"/>
          <w:highlight w:val="none"/>
        </w:rPr>
      </w:pPr>
    </w:p>
    <w:p w14:paraId="4AD8A392">
      <w:pPr>
        <w:autoSpaceDE w:val="0"/>
        <w:autoSpaceDN w:val="0"/>
        <w:jc w:val="center"/>
        <w:rPr>
          <w:rFonts w:hint="eastAsia" w:ascii="仿宋" w:hAnsi="仿宋" w:eastAsia="仿宋" w:cs="仿宋"/>
          <w:b/>
          <w:color w:val="auto"/>
          <w:spacing w:val="6"/>
          <w:sz w:val="32"/>
          <w:szCs w:val="32"/>
          <w:highlight w:val="none"/>
        </w:rPr>
      </w:pPr>
    </w:p>
    <w:p w14:paraId="7407F639">
      <w:pPr>
        <w:autoSpaceDE w:val="0"/>
        <w:autoSpaceDN w:val="0"/>
        <w:jc w:val="center"/>
        <w:rPr>
          <w:rFonts w:hint="eastAsia" w:ascii="仿宋" w:hAnsi="仿宋" w:eastAsia="仿宋" w:cs="仿宋"/>
          <w:b/>
          <w:color w:val="auto"/>
          <w:spacing w:val="6"/>
          <w:sz w:val="32"/>
          <w:szCs w:val="32"/>
          <w:highlight w:val="none"/>
        </w:rPr>
      </w:pPr>
    </w:p>
    <w:p w14:paraId="707DCEE8">
      <w:pPr>
        <w:autoSpaceDE w:val="0"/>
        <w:autoSpaceDN w:val="0"/>
        <w:jc w:val="center"/>
        <w:rPr>
          <w:rFonts w:hint="eastAsia" w:ascii="仿宋" w:hAnsi="仿宋" w:eastAsia="仿宋" w:cs="仿宋"/>
          <w:b/>
          <w:color w:val="auto"/>
          <w:spacing w:val="6"/>
          <w:sz w:val="32"/>
          <w:szCs w:val="32"/>
          <w:highlight w:val="none"/>
        </w:rPr>
      </w:pPr>
    </w:p>
    <w:p w14:paraId="25779132">
      <w:pPr>
        <w:autoSpaceDE w:val="0"/>
        <w:autoSpaceDN w:val="0"/>
        <w:jc w:val="center"/>
        <w:rPr>
          <w:rFonts w:hint="eastAsia" w:ascii="仿宋" w:hAnsi="仿宋" w:eastAsia="仿宋" w:cs="仿宋"/>
          <w:b/>
          <w:color w:val="auto"/>
          <w:spacing w:val="6"/>
          <w:sz w:val="32"/>
          <w:szCs w:val="32"/>
          <w:highlight w:val="none"/>
        </w:rPr>
      </w:pPr>
    </w:p>
    <w:p w14:paraId="7709E8D4">
      <w:pPr>
        <w:autoSpaceDE w:val="0"/>
        <w:autoSpaceDN w:val="0"/>
        <w:jc w:val="center"/>
        <w:rPr>
          <w:rFonts w:hint="eastAsia" w:ascii="仿宋" w:hAnsi="仿宋" w:eastAsia="仿宋" w:cs="仿宋"/>
          <w:b/>
          <w:color w:val="auto"/>
          <w:spacing w:val="6"/>
          <w:sz w:val="32"/>
          <w:szCs w:val="32"/>
          <w:highlight w:val="none"/>
        </w:rPr>
      </w:pPr>
    </w:p>
    <w:p w14:paraId="5235F9A9">
      <w:pPr>
        <w:autoSpaceDE w:val="0"/>
        <w:autoSpaceDN w:val="0"/>
        <w:jc w:val="center"/>
        <w:rPr>
          <w:rFonts w:hint="eastAsia" w:ascii="仿宋" w:hAnsi="仿宋" w:eastAsia="仿宋" w:cs="仿宋"/>
          <w:b/>
          <w:color w:val="auto"/>
          <w:spacing w:val="6"/>
          <w:sz w:val="32"/>
          <w:szCs w:val="32"/>
          <w:highlight w:val="none"/>
        </w:rPr>
      </w:pPr>
    </w:p>
    <w:p w14:paraId="7BB7B0EB">
      <w:pPr>
        <w:autoSpaceDE w:val="0"/>
        <w:autoSpaceDN w:val="0"/>
        <w:jc w:val="center"/>
        <w:rPr>
          <w:rFonts w:hint="eastAsia" w:ascii="仿宋" w:hAnsi="仿宋" w:eastAsia="仿宋" w:cs="仿宋"/>
          <w:b/>
          <w:color w:val="auto"/>
          <w:spacing w:val="6"/>
          <w:sz w:val="32"/>
          <w:szCs w:val="32"/>
          <w:highlight w:val="none"/>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4EC93BD2-4DB9-4142-9354-99704A1EEF12}"/>
  </w:font>
  <w:font w:name="仿宋">
    <w:panose1 w:val="02010609060101010101"/>
    <w:charset w:val="86"/>
    <w:family w:val="modern"/>
    <w:pitch w:val="default"/>
    <w:sig w:usb0="800002BF" w:usb1="38CF7CFA" w:usb2="00000016" w:usb3="00000000" w:csb0="00040001" w:csb1="00000000"/>
    <w:embedRegular r:id="rId2" w:fontKey="{3B1F58F4-6F1F-422C-8C38-9309CD201072}"/>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隶书">
    <w:altName w:val="微软雅黑"/>
    <w:panose1 w:val="02010800040101010101"/>
    <w:charset w:val="86"/>
    <w:family w:val="auto"/>
    <w:pitch w:val="default"/>
    <w:sig w:usb0="00000000" w:usb1="0000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Saturday Sans Regular">
    <w:altName w:val="宋体"/>
    <w:panose1 w:val="02010600010101010101"/>
    <w:charset w:val="86"/>
    <w:family w:val="auto"/>
    <w:pitch w:val="default"/>
    <w:sig w:usb0="00000000" w:usb1="00000000" w:usb2="00000000" w:usb3="00000000" w:csb0="00040000" w:csb1="00000000"/>
  </w:font>
  <w:font w:name="Lucida Casual Regular">
    <w:altName w:val="宋体"/>
    <w:panose1 w:val="02010600010101010101"/>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幼线_GBK">
    <w:altName w:val="宋体"/>
    <w:panose1 w:val="02000000000000000000"/>
    <w:charset w:val="86"/>
    <w:family w:val="auto"/>
    <w:pitch w:val="default"/>
    <w:sig w:usb0="00000000" w:usb1="00000000" w:usb2="00000000"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Wonder Arial">
    <w:altName w:val="Arial"/>
    <w:panose1 w:val="00000500000000000000"/>
    <w:charset w:val="00"/>
    <w:family w:val="auto"/>
    <w:pitch w:val="default"/>
    <w:sig w:usb0="00000000" w:usb1="00000000" w:usb2="00000000" w:usb3="00000000" w:csb0="20000011" w:csb1="00000000"/>
  </w:font>
  <w:font w:name="Arial Unicode MS">
    <w:altName w:val="宋体"/>
    <w:panose1 w:val="020B0604020202020204"/>
    <w:charset w:val="86"/>
    <w:family w:val="swiss"/>
    <w:pitch w:val="default"/>
    <w:sig w:usb0="00000000" w:usb1="00000000" w:usb2="0000003F" w:usb3="00000000" w:csb0="603F01FF" w:csb1="FFFF0000"/>
  </w:font>
  <w:font w:name="Sweetie">
    <w:altName w:val="Segoe Print"/>
    <w:panose1 w:val="020B0606030804020204"/>
    <w:charset w:val="00"/>
    <w:family w:val="auto"/>
    <w:pitch w:val="default"/>
    <w:sig w:usb0="00000000" w:usb1="00000000" w:usb2="00000028" w:usb3="00000000" w:csb0="2000019F" w:csb1="00000000"/>
  </w:font>
  <w:font w:name="方正复古粗宋体">
    <w:altName w:val="宋体"/>
    <w:panose1 w:val="02010600010101010101"/>
    <w:charset w:val="86"/>
    <w:family w:val="auto"/>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Yu Gothic UI">
    <w:panose1 w:val="020B0500000000000000"/>
    <w:charset w:val="80"/>
    <w:family w:val="auto"/>
    <w:pitch w:val="default"/>
    <w:sig w:usb0="E00002FF" w:usb1="2AC7FDFF" w:usb2="00000016" w:usb3="00000000" w:csb0="2002009F" w:csb1="00000000"/>
  </w:font>
  <w:font w:name="Melanie BT Std Roman">
    <w:altName w:val="宋体"/>
    <w:panose1 w:val="02010600010101010101"/>
    <w:charset w:val="86"/>
    <w:family w:val="auto"/>
    <w:pitch w:val="default"/>
    <w:sig w:usb0="00000000" w:usb1="00000000" w:usb2="00000000" w:usb3="00000000" w:csb0="00040000" w:csb1="00000000"/>
  </w:font>
  <w:font w:name="方正全福体">
    <w:altName w:val="宋体"/>
    <w:panose1 w:val="020005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7C873563-EFF5-46D5-A031-F4CF53A1439A}"/>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BBBC0">
    <w:pPr>
      <w:pStyle w:val="40"/>
      <w:jc w:val="center"/>
      <w:rPr>
        <w:rFonts w:ascii="方正仿宋_GB2312" w:eastAsia="方正仿宋_GB2312"/>
      </w:rPr>
    </w:pPr>
    <w:r>
      <w:rPr>
        <w:rFonts w:hint="eastAsia" w:ascii="方正仿宋_GB2312" w:eastAsia="方正仿宋_GB2312"/>
        <w:kern w:val="0"/>
      </w:rPr>
      <w:t xml:space="preserve">第 </w:t>
    </w:r>
    <w:r>
      <w:rPr>
        <w:rFonts w:hint="eastAsia" w:ascii="方正仿宋_GB2312" w:eastAsia="方正仿宋_GB2312"/>
        <w:kern w:val="0"/>
      </w:rPr>
      <w:fldChar w:fldCharType="begin"/>
    </w:r>
    <w:r>
      <w:rPr>
        <w:rFonts w:hint="eastAsia" w:ascii="方正仿宋_GB2312" w:eastAsia="方正仿宋_GB2312"/>
        <w:kern w:val="0"/>
      </w:rPr>
      <w:instrText xml:space="preserve"> PAGE </w:instrText>
    </w:r>
    <w:r>
      <w:rPr>
        <w:rFonts w:hint="eastAsia" w:ascii="方正仿宋_GB2312" w:eastAsia="方正仿宋_GB2312"/>
        <w:kern w:val="0"/>
      </w:rPr>
      <w:fldChar w:fldCharType="separate"/>
    </w:r>
    <w:r>
      <w:rPr>
        <w:rFonts w:ascii="方正仿宋_GB2312" w:eastAsia="方正仿宋_GB2312"/>
        <w:kern w:val="0"/>
      </w:rPr>
      <w:t>55</w:t>
    </w:r>
    <w:r>
      <w:rPr>
        <w:rFonts w:hint="eastAsia" w:ascii="方正仿宋_GB2312" w:eastAsia="方正仿宋_GB2312"/>
        <w:kern w:val="0"/>
      </w:rPr>
      <w:fldChar w:fldCharType="end"/>
    </w:r>
    <w:r>
      <w:rPr>
        <w:rFonts w:hint="eastAsia" w:ascii="方正仿宋_GB2312" w:eastAsia="方正仿宋_GB2312"/>
        <w:kern w:val="0"/>
      </w:rPr>
      <w:t xml:space="preserve"> 页 共 </w:t>
    </w:r>
    <w:r>
      <w:rPr>
        <w:rFonts w:hint="eastAsia" w:ascii="方正仿宋_GB2312" w:eastAsia="方正仿宋_GB2312"/>
        <w:kern w:val="0"/>
      </w:rPr>
      <w:fldChar w:fldCharType="begin"/>
    </w:r>
    <w:r>
      <w:rPr>
        <w:rFonts w:hint="eastAsia" w:ascii="方正仿宋_GB2312" w:eastAsia="方正仿宋_GB2312"/>
        <w:kern w:val="0"/>
      </w:rPr>
      <w:instrText xml:space="preserve"> NUMPAGES </w:instrText>
    </w:r>
    <w:r>
      <w:rPr>
        <w:rFonts w:hint="eastAsia" w:ascii="方正仿宋_GB2312" w:eastAsia="方正仿宋_GB2312"/>
        <w:kern w:val="0"/>
      </w:rPr>
      <w:fldChar w:fldCharType="separate"/>
    </w:r>
    <w:r>
      <w:rPr>
        <w:rFonts w:ascii="方正仿宋_GB2312" w:eastAsia="方正仿宋_GB2312"/>
        <w:kern w:val="0"/>
      </w:rPr>
      <w:t>71</w:t>
    </w:r>
    <w:r>
      <w:rPr>
        <w:rFonts w:hint="eastAsia" w:ascii="方正仿宋_GB2312" w:eastAsia="方正仿宋_GB2312"/>
        <w:kern w:val="0"/>
      </w:rPr>
      <w:fldChar w:fldCharType="end"/>
    </w:r>
    <w:r>
      <w:rPr>
        <w:rFonts w:hint="eastAsia" w:ascii="方正仿宋_GB2312" w:eastAsia="方正仿宋_GB2312"/>
        <w:kern w:val="0"/>
      </w:rPr>
      <w:t xml:space="preserve"> 页</w:t>
    </w:r>
  </w:p>
  <w:p w14:paraId="59EE788F">
    <w:pPr>
      <w:rPr>
        <w:rFonts w:ascii="方正仿宋_GB2312" w:eastAsia="方正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E044D">
    <w:pPr>
      <w:pStyle w:val="40"/>
      <w:jc w:val="center"/>
      <w:rPr>
        <w:rFonts w:ascii="方正仿宋_GB2312" w:eastAsia="方正仿宋_GB2312"/>
      </w:rPr>
    </w:pPr>
    <w:r>
      <w:rPr>
        <w:rFonts w:hint="eastAsia" w:ascii="方正仿宋_GB2312" w:eastAsia="方正仿宋_GB2312"/>
        <w:kern w:val="0"/>
      </w:rPr>
      <w:t xml:space="preserve">第 </w:t>
    </w:r>
    <w:r>
      <w:rPr>
        <w:rFonts w:hint="eastAsia" w:ascii="方正仿宋_GB2312" w:eastAsia="方正仿宋_GB2312"/>
        <w:kern w:val="0"/>
      </w:rPr>
      <w:fldChar w:fldCharType="begin"/>
    </w:r>
    <w:r>
      <w:rPr>
        <w:rFonts w:hint="eastAsia" w:ascii="方正仿宋_GB2312" w:eastAsia="方正仿宋_GB2312"/>
        <w:kern w:val="0"/>
      </w:rPr>
      <w:instrText xml:space="preserve"> PAGE </w:instrText>
    </w:r>
    <w:r>
      <w:rPr>
        <w:rFonts w:hint="eastAsia" w:ascii="方正仿宋_GB2312" w:eastAsia="方正仿宋_GB2312"/>
        <w:kern w:val="0"/>
      </w:rPr>
      <w:fldChar w:fldCharType="separate"/>
    </w:r>
    <w:r>
      <w:rPr>
        <w:rFonts w:ascii="方正仿宋_GB2312" w:eastAsia="方正仿宋_GB2312"/>
        <w:kern w:val="0"/>
      </w:rPr>
      <w:t>52</w:t>
    </w:r>
    <w:r>
      <w:rPr>
        <w:rFonts w:hint="eastAsia" w:ascii="方正仿宋_GB2312" w:eastAsia="方正仿宋_GB2312"/>
        <w:kern w:val="0"/>
      </w:rPr>
      <w:fldChar w:fldCharType="end"/>
    </w:r>
    <w:r>
      <w:rPr>
        <w:rFonts w:hint="eastAsia" w:ascii="方正仿宋_GB2312" w:eastAsia="方正仿宋_GB2312"/>
        <w:kern w:val="0"/>
      </w:rPr>
      <w:t xml:space="preserve"> 页 共 </w:t>
    </w:r>
    <w:r>
      <w:rPr>
        <w:rFonts w:hint="eastAsia" w:ascii="方正仿宋_GB2312" w:eastAsia="方正仿宋_GB2312"/>
        <w:kern w:val="0"/>
      </w:rPr>
      <w:fldChar w:fldCharType="begin"/>
    </w:r>
    <w:r>
      <w:rPr>
        <w:rFonts w:hint="eastAsia" w:ascii="方正仿宋_GB2312" w:eastAsia="方正仿宋_GB2312"/>
        <w:kern w:val="0"/>
      </w:rPr>
      <w:instrText xml:space="preserve"> NUMPAGES </w:instrText>
    </w:r>
    <w:r>
      <w:rPr>
        <w:rFonts w:hint="eastAsia" w:ascii="方正仿宋_GB2312" w:eastAsia="方正仿宋_GB2312"/>
        <w:kern w:val="0"/>
      </w:rPr>
      <w:fldChar w:fldCharType="separate"/>
    </w:r>
    <w:r>
      <w:rPr>
        <w:rFonts w:ascii="方正仿宋_GB2312" w:eastAsia="方正仿宋_GB2312"/>
        <w:kern w:val="0"/>
      </w:rPr>
      <w:t>72</w:t>
    </w:r>
    <w:r>
      <w:rPr>
        <w:rFonts w:hint="eastAsia" w:ascii="方正仿宋_GB2312" w:eastAsia="方正仿宋_GB2312"/>
        <w:kern w:val="0"/>
      </w:rPr>
      <w:fldChar w:fldCharType="end"/>
    </w:r>
    <w:r>
      <w:rPr>
        <w:rFonts w:hint="eastAsia" w:ascii="方正仿宋_GB2312" w:eastAsia="方正仿宋_GB2312"/>
        <w:kern w:val="0"/>
      </w:rPr>
      <w:t xml:space="preserve"> 页</w:t>
    </w:r>
  </w:p>
  <w:p w14:paraId="5697F795">
    <w:pPr>
      <w:rPr>
        <w:rFonts w:ascii="方正仿宋_GB2312" w:eastAsia="方正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B2844">
    <w:pPr>
      <w:pStyle w:val="40"/>
      <w:jc w:val="center"/>
      <w:rPr>
        <w:rFonts w:ascii="方正仿宋_GB2312" w:eastAsia="方正仿宋_GB2312"/>
      </w:rPr>
    </w:pPr>
    <w:r>
      <w:rPr>
        <w:rFonts w:hint="eastAsia" w:ascii="方正仿宋_GB2312" w:eastAsia="方正仿宋_GB2312"/>
        <w:kern w:val="0"/>
      </w:rPr>
      <w:t xml:space="preserve">第 </w:t>
    </w:r>
    <w:r>
      <w:rPr>
        <w:rFonts w:hint="eastAsia" w:ascii="方正仿宋_GB2312" w:eastAsia="方正仿宋_GB2312"/>
        <w:kern w:val="0"/>
      </w:rPr>
      <w:fldChar w:fldCharType="begin"/>
    </w:r>
    <w:r>
      <w:rPr>
        <w:rFonts w:hint="eastAsia" w:ascii="方正仿宋_GB2312" w:eastAsia="方正仿宋_GB2312"/>
        <w:kern w:val="0"/>
      </w:rPr>
      <w:instrText xml:space="preserve"> PAGE </w:instrText>
    </w:r>
    <w:r>
      <w:rPr>
        <w:rFonts w:hint="eastAsia" w:ascii="方正仿宋_GB2312" w:eastAsia="方正仿宋_GB2312"/>
        <w:kern w:val="0"/>
      </w:rPr>
      <w:fldChar w:fldCharType="separate"/>
    </w:r>
    <w:r>
      <w:rPr>
        <w:rFonts w:ascii="方正仿宋_GB2312" w:eastAsia="方正仿宋_GB2312"/>
        <w:kern w:val="0"/>
      </w:rPr>
      <w:t>58</w:t>
    </w:r>
    <w:r>
      <w:rPr>
        <w:rFonts w:hint="eastAsia" w:ascii="方正仿宋_GB2312" w:eastAsia="方正仿宋_GB2312"/>
        <w:kern w:val="0"/>
      </w:rPr>
      <w:fldChar w:fldCharType="end"/>
    </w:r>
    <w:r>
      <w:rPr>
        <w:rFonts w:hint="eastAsia" w:ascii="方正仿宋_GB2312" w:eastAsia="方正仿宋_GB2312"/>
        <w:kern w:val="0"/>
      </w:rPr>
      <w:t xml:space="preserve"> 页 共 </w:t>
    </w:r>
    <w:r>
      <w:rPr>
        <w:rFonts w:hint="eastAsia" w:ascii="方正仿宋_GB2312" w:eastAsia="方正仿宋_GB2312"/>
        <w:kern w:val="0"/>
      </w:rPr>
      <w:fldChar w:fldCharType="begin"/>
    </w:r>
    <w:r>
      <w:rPr>
        <w:rFonts w:hint="eastAsia" w:ascii="方正仿宋_GB2312" w:eastAsia="方正仿宋_GB2312"/>
        <w:kern w:val="0"/>
      </w:rPr>
      <w:instrText xml:space="preserve"> NUMPAGES </w:instrText>
    </w:r>
    <w:r>
      <w:rPr>
        <w:rFonts w:hint="eastAsia" w:ascii="方正仿宋_GB2312" w:eastAsia="方正仿宋_GB2312"/>
        <w:kern w:val="0"/>
      </w:rPr>
      <w:fldChar w:fldCharType="separate"/>
    </w:r>
    <w:r>
      <w:rPr>
        <w:rFonts w:ascii="方正仿宋_GB2312" w:eastAsia="方正仿宋_GB2312"/>
        <w:kern w:val="0"/>
      </w:rPr>
      <w:t>72</w:t>
    </w:r>
    <w:r>
      <w:rPr>
        <w:rFonts w:hint="eastAsia" w:ascii="方正仿宋_GB2312" w:eastAsia="方正仿宋_GB2312"/>
        <w:kern w:val="0"/>
      </w:rPr>
      <w:fldChar w:fldCharType="end"/>
    </w:r>
    <w:r>
      <w:rPr>
        <w:rFonts w:hint="eastAsia" w:ascii="方正仿宋_GB2312" w:eastAsia="方正仿宋_GB2312"/>
        <w:kern w:val="0"/>
      </w:rPr>
      <w:t xml:space="preserve"> 页</w:t>
    </w:r>
  </w:p>
  <w:p w14:paraId="01D49FF5">
    <w:pPr>
      <w:rPr>
        <w:rFonts w:ascii="方正仿宋_GB2312" w:eastAsia="方正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78EEE">
    <w:pPr>
      <w:pStyle w:val="40"/>
      <w:jc w:val="center"/>
      <w:rPr>
        <w:rFonts w:ascii="方正仿宋_GB2312" w:eastAsia="方正仿宋_GB2312"/>
      </w:rPr>
    </w:pPr>
    <w:r>
      <w:rPr>
        <w:rFonts w:hint="eastAsia" w:ascii="方正仿宋_GB2312" w:eastAsia="方正仿宋_GB2312"/>
        <w:kern w:val="0"/>
      </w:rPr>
      <w:t xml:space="preserve">第 </w:t>
    </w:r>
    <w:r>
      <w:rPr>
        <w:rFonts w:hint="eastAsia" w:ascii="方正仿宋_GB2312" w:eastAsia="方正仿宋_GB2312"/>
        <w:kern w:val="0"/>
      </w:rPr>
      <w:fldChar w:fldCharType="begin"/>
    </w:r>
    <w:r>
      <w:rPr>
        <w:rFonts w:hint="eastAsia" w:ascii="方正仿宋_GB2312" w:eastAsia="方正仿宋_GB2312"/>
        <w:kern w:val="0"/>
      </w:rPr>
      <w:instrText xml:space="preserve"> PAGE </w:instrText>
    </w:r>
    <w:r>
      <w:rPr>
        <w:rFonts w:hint="eastAsia" w:ascii="方正仿宋_GB2312" w:eastAsia="方正仿宋_GB2312"/>
        <w:kern w:val="0"/>
      </w:rPr>
      <w:fldChar w:fldCharType="separate"/>
    </w:r>
    <w:r>
      <w:rPr>
        <w:rFonts w:ascii="方正仿宋_GB2312" w:eastAsia="方正仿宋_GB2312"/>
        <w:kern w:val="0"/>
      </w:rPr>
      <w:t>57</w:t>
    </w:r>
    <w:r>
      <w:rPr>
        <w:rFonts w:hint="eastAsia" w:ascii="方正仿宋_GB2312" w:eastAsia="方正仿宋_GB2312"/>
        <w:kern w:val="0"/>
      </w:rPr>
      <w:fldChar w:fldCharType="end"/>
    </w:r>
    <w:r>
      <w:rPr>
        <w:rFonts w:hint="eastAsia" w:ascii="方正仿宋_GB2312" w:eastAsia="方正仿宋_GB2312"/>
        <w:kern w:val="0"/>
      </w:rPr>
      <w:t xml:space="preserve"> 页 共 </w:t>
    </w:r>
    <w:r>
      <w:rPr>
        <w:rFonts w:hint="eastAsia" w:ascii="方正仿宋_GB2312" w:eastAsia="方正仿宋_GB2312"/>
        <w:kern w:val="0"/>
      </w:rPr>
      <w:fldChar w:fldCharType="begin"/>
    </w:r>
    <w:r>
      <w:rPr>
        <w:rFonts w:hint="eastAsia" w:ascii="方正仿宋_GB2312" w:eastAsia="方正仿宋_GB2312"/>
        <w:kern w:val="0"/>
      </w:rPr>
      <w:instrText xml:space="preserve"> NUMPAGES </w:instrText>
    </w:r>
    <w:r>
      <w:rPr>
        <w:rFonts w:hint="eastAsia" w:ascii="方正仿宋_GB2312" w:eastAsia="方正仿宋_GB2312"/>
        <w:kern w:val="0"/>
      </w:rPr>
      <w:fldChar w:fldCharType="separate"/>
    </w:r>
    <w:r>
      <w:rPr>
        <w:rFonts w:ascii="方正仿宋_GB2312" w:eastAsia="方正仿宋_GB2312"/>
        <w:kern w:val="0"/>
      </w:rPr>
      <w:t>72</w:t>
    </w:r>
    <w:r>
      <w:rPr>
        <w:rFonts w:hint="eastAsia" w:ascii="方正仿宋_GB2312" w:eastAsia="方正仿宋_GB2312"/>
        <w:kern w:val="0"/>
      </w:rPr>
      <w:fldChar w:fldCharType="end"/>
    </w:r>
    <w:r>
      <w:rPr>
        <w:rFonts w:hint="eastAsia" w:ascii="方正仿宋_GB2312" w:eastAsia="方正仿宋_GB2312"/>
        <w:kern w:val="0"/>
      </w:rPr>
      <w:t xml:space="preserve"> 页</w:t>
    </w:r>
  </w:p>
  <w:p w14:paraId="7B73271C">
    <w:pPr>
      <w:rPr>
        <w:rFonts w:ascii="方正仿宋_GB2312" w:eastAsia="方正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0A8F5">
    <w:pPr>
      <w:pStyle w:val="40"/>
      <w:jc w:val="center"/>
      <w:rPr>
        <w:rFonts w:ascii="方正仿宋_GB2312" w:eastAsia="方正仿宋_GB2312"/>
        <w:szCs w:val="24"/>
      </w:rPr>
    </w:pPr>
    <w:r>
      <w:rPr>
        <w:rFonts w:hint="eastAsia" w:ascii="方正仿宋_GB2312" w:eastAsia="方正仿宋_GB2312"/>
        <w:kern w:val="0"/>
        <w:szCs w:val="21"/>
      </w:rPr>
      <w:t xml:space="preserve">第 </w:t>
    </w:r>
    <w:r>
      <w:rPr>
        <w:rFonts w:hint="eastAsia" w:ascii="方正仿宋_GB2312" w:eastAsia="方正仿宋_GB2312"/>
        <w:kern w:val="0"/>
        <w:szCs w:val="21"/>
      </w:rPr>
      <w:fldChar w:fldCharType="begin"/>
    </w:r>
    <w:r>
      <w:rPr>
        <w:rFonts w:hint="eastAsia" w:ascii="方正仿宋_GB2312" w:eastAsia="方正仿宋_GB2312"/>
        <w:kern w:val="0"/>
        <w:szCs w:val="21"/>
      </w:rPr>
      <w:instrText xml:space="preserve"> PAGE </w:instrText>
    </w:r>
    <w:r>
      <w:rPr>
        <w:rFonts w:hint="eastAsia" w:ascii="方正仿宋_GB2312" w:eastAsia="方正仿宋_GB2312"/>
        <w:kern w:val="0"/>
        <w:szCs w:val="21"/>
      </w:rPr>
      <w:fldChar w:fldCharType="separate"/>
    </w:r>
    <w:r>
      <w:rPr>
        <w:rFonts w:ascii="方正仿宋_GB2312" w:eastAsia="方正仿宋_GB2312"/>
        <w:kern w:val="0"/>
        <w:szCs w:val="21"/>
      </w:rPr>
      <w:t>71</w:t>
    </w:r>
    <w:r>
      <w:rPr>
        <w:rFonts w:hint="eastAsia" w:ascii="方正仿宋_GB2312" w:eastAsia="方正仿宋_GB2312"/>
        <w:kern w:val="0"/>
        <w:szCs w:val="21"/>
      </w:rPr>
      <w:fldChar w:fldCharType="end"/>
    </w:r>
    <w:r>
      <w:rPr>
        <w:rFonts w:hint="eastAsia" w:ascii="方正仿宋_GB2312" w:eastAsia="方正仿宋_GB2312"/>
        <w:kern w:val="0"/>
        <w:szCs w:val="21"/>
      </w:rPr>
      <w:t xml:space="preserve"> 页 共 </w:t>
    </w:r>
    <w:r>
      <w:rPr>
        <w:rFonts w:hint="eastAsia" w:ascii="方正仿宋_GB2312" w:eastAsia="方正仿宋_GB2312"/>
        <w:kern w:val="0"/>
        <w:szCs w:val="21"/>
      </w:rPr>
      <w:fldChar w:fldCharType="begin"/>
    </w:r>
    <w:r>
      <w:rPr>
        <w:rFonts w:hint="eastAsia" w:ascii="方正仿宋_GB2312" w:eastAsia="方正仿宋_GB2312"/>
        <w:kern w:val="0"/>
        <w:szCs w:val="21"/>
      </w:rPr>
      <w:instrText xml:space="preserve"> NUMPAGES </w:instrText>
    </w:r>
    <w:r>
      <w:rPr>
        <w:rFonts w:hint="eastAsia" w:ascii="方正仿宋_GB2312" w:eastAsia="方正仿宋_GB2312"/>
        <w:kern w:val="0"/>
        <w:szCs w:val="21"/>
      </w:rPr>
      <w:fldChar w:fldCharType="separate"/>
    </w:r>
    <w:r>
      <w:rPr>
        <w:rFonts w:ascii="方正仿宋_GB2312" w:eastAsia="方正仿宋_GB2312"/>
        <w:kern w:val="0"/>
        <w:szCs w:val="21"/>
      </w:rPr>
      <w:t>72</w:t>
    </w:r>
    <w:r>
      <w:rPr>
        <w:rFonts w:hint="eastAsia" w:ascii="方正仿宋_GB2312" w:eastAsia="方正仿宋_GB2312"/>
        <w:kern w:val="0"/>
        <w:szCs w:val="21"/>
      </w:rPr>
      <w:fldChar w:fldCharType="end"/>
    </w:r>
    <w:r>
      <w:rPr>
        <w:rFonts w:hint="eastAsia" w:ascii="方正仿宋_GB2312" w:eastAsia="方正仿宋_GB2312"/>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5E047">
    <w:pPr>
      <w:pStyle w:val="40"/>
      <w:jc w:val="center"/>
      <w:rPr>
        <w:rFonts w:ascii="方正仿宋_GB2312" w:eastAsia="方正仿宋_GB2312"/>
      </w:rPr>
    </w:pPr>
    <w:r>
      <w:rPr>
        <w:rFonts w:hint="eastAsia" w:ascii="方正仿宋_GB2312" w:eastAsia="方正仿宋_GB2312"/>
        <w:kern w:val="0"/>
        <w:szCs w:val="21"/>
      </w:rPr>
      <w:t xml:space="preserve">第 </w:t>
    </w:r>
    <w:r>
      <w:rPr>
        <w:rFonts w:hint="eastAsia" w:ascii="方正仿宋_GB2312" w:eastAsia="方正仿宋_GB2312"/>
        <w:kern w:val="0"/>
        <w:szCs w:val="21"/>
      </w:rPr>
      <w:fldChar w:fldCharType="begin"/>
    </w:r>
    <w:r>
      <w:rPr>
        <w:rFonts w:hint="eastAsia" w:ascii="方正仿宋_GB2312" w:eastAsia="方正仿宋_GB2312"/>
        <w:kern w:val="0"/>
        <w:szCs w:val="21"/>
      </w:rPr>
      <w:instrText xml:space="preserve"> PAGE </w:instrText>
    </w:r>
    <w:r>
      <w:rPr>
        <w:rFonts w:hint="eastAsia" w:ascii="方正仿宋_GB2312" w:eastAsia="方正仿宋_GB2312"/>
        <w:kern w:val="0"/>
        <w:szCs w:val="21"/>
      </w:rPr>
      <w:fldChar w:fldCharType="separate"/>
    </w:r>
    <w:r>
      <w:rPr>
        <w:rFonts w:ascii="方正仿宋_GB2312" w:eastAsia="方正仿宋_GB2312"/>
        <w:kern w:val="0"/>
        <w:szCs w:val="21"/>
      </w:rPr>
      <w:t>59</w:t>
    </w:r>
    <w:r>
      <w:rPr>
        <w:rFonts w:hint="eastAsia" w:ascii="方正仿宋_GB2312" w:eastAsia="方正仿宋_GB2312"/>
        <w:kern w:val="0"/>
        <w:szCs w:val="21"/>
      </w:rPr>
      <w:fldChar w:fldCharType="end"/>
    </w:r>
    <w:r>
      <w:rPr>
        <w:rFonts w:hint="eastAsia" w:ascii="方正仿宋_GB2312" w:eastAsia="方正仿宋_GB2312"/>
        <w:kern w:val="0"/>
        <w:szCs w:val="21"/>
      </w:rPr>
      <w:t xml:space="preserve"> 页 共 </w:t>
    </w:r>
    <w:r>
      <w:rPr>
        <w:rFonts w:hint="eastAsia" w:ascii="方正仿宋_GB2312" w:eastAsia="方正仿宋_GB2312"/>
        <w:kern w:val="0"/>
        <w:szCs w:val="21"/>
      </w:rPr>
      <w:fldChar w:fldCharType="begin"/>
    </w:r>
    <w:r>
      <w:rPr>
        <w:rFonts w:hint="eastAsia" w:ascii="方正仿宋_GB2312" w:eastAsia="方正仿宋_GB2312"/>
        <w:kern w:val="0"/>
        <w:szCs w:val="21"/>
      </w:rPr>
      <w:instrText xml:space="preserve"> NUMPAGES </w:instrText>
    </w:r>
    <w:r>
      <w:rPr>
        <w:rFonts w:hint="eastAsia" w:ascii="方正仿宋_GB2312" w:eastAsia="方正仿宋_GB2312"/>
        <w:kern w:val="0"/>
        <w:szCs w:val="21"/>
      </w:rPr>
      <w:fldChar w:fldCharType="separate"/>
    </w:r>
    <w:r>
      <w:rPr>
        <w:rFonts w:ascii="方正仿宋_GB2312" w:eastAsia="方正仿宋_GB2312"/>
        <w:kern w:val="0"/>
        <w:szCs w:val="21"/>
      </w:rPr>
      <w:t>72</w:t>
    </w:r>
    <w:r>
      <w:rPr>
        <w:rFonts w:hint="eastAsia" w:ascii="方正仿宋_GB2312" w:eastAsia="方正仿宋_GB2312"/>
        <w:kern w:val="0"/>
        <w:szCs w:val="21"/>
      </w:rPr>
      <w:fldChar w:fldCharType="end"/>
    </w:r>
    <w:bookmarkStart w:id="387" w:name="_Toc36110187"/>
    <w:bookmarkStart w:id="388" w:name="_Toc164085800"/>
    <w:bookmarkStart w:id="389" w:name="_Toc91899912"/>
    <w:bookmarkStart w:id="390" w:name="_Toc131845147"/>
    <w:r>
      <w:rPr>
        <w:rFonts w:hint="eastAsia" w:ascii="方正仿宋_GB2312" w:eastAsia="方正仿宋_GB2312"/>
        <w:kern w:val="0"/>
        <w:szCs w:val="21"/>
      </w:rPr>
      <w:t xml:space="preserve"> 页</w:t>
    </w:r>
    <w:bookmarkEnd w:id="387"/>
    <w:bookmarkEnd w:id="388"/>
    <w:bookmarkEnd w:id="389"/>
    <w:bookmarkEnd w:id="39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27C0">
    <w:pPr>
      <w:pStyle w:val="42"/>
      <w:jc w:val="right"/>
      <w:rPr>
        <w:rFonts w:ascii="方正仿宋_GB2312"/>
        <w:b/>
        <w:i/>
        <w:u w:val="single"/>
      </w:rPr>
    </w:pPr>
    <w:r>
      <w:t></w:t>
    </w:r>
    <w:r>
      <w:rPr>
        <w:rFonts w:hint="eastAsia"/>
      </w:rPr>
      <w:t xml:space="preserve">                                                  </w:t>
    </w:r>
    <w:r>
      <w:t>公开</w:t>
    </w:r>
    <w:r>
      <w:rPr>
        <w:rFonts w:hint="eastAsia"/>
      </w:rPr>
      <w:t>交易文件</w:t>
    </w:r>
  </w:p>
  <w:p w14:paraId="5DBDD8AD">
    <w:pPr>
      <w:rPr>
        <w:rFonts w:ascii="方正仿宋_GB2312" w:eastAsia="方正仿宋_GB2312"/>
        <w:b/>
        <w:i/>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36094">
    <w:pPr>
      <w:pStyle w:val="42"/>
    </w:pPr>
    <w:r>
      <w:t></w:t>
    </w:r>
    <w:r>
      <w:rPr>
        <w:rFonts w:hint="eastAsia"/>
      </w:rPr>
      <w:t xml:space="preserve">         </w:t>
    </w:r>
  </w:p>
  <w:p w14:paraId="480CE0F0">
    <w:pPr>
      <w:pStyle w:val="42"/>
      <w:jc w:val="right"/>
    </w:pPr>
    <w:r>
      <w:rPr>
        <w:rFonts w:hint="eastAsia"/>
      </w:rPr>
      <w:t xml:space="preserve">                                                                   </w:t>
    </w:r>
    <w:r>
      <w:t>公开</w:t>
    </w:r>
    <w:r>
      <w:rPr>
        <w:rFonts w:hint="eastAsia"/>
      </w:rPr>
      <w:t>交易文件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3D0B3">
    <w:pPr>
      <w:pStyle w:val="42"/>
      <w:jc w:val="right"/>
      <w:rPr>
        <w:rFonts w:ascii="方正仿宋_GB2312"/>
        <w:b/>
        <w:i/>
        <w:u w:val="single"/>
      </w:rPr>
    </w:pPr>
    <w:r>
      <w:rPr>
        <w:rFonts w:hint="eastAsia"/>
      </w:rPr>
      <w:t xml:space="preserve">                                 </w:t>
    </w:r>
    <w:r>
      <w:t>公开</w:t>
    </w:r>
    <w:r>
      <w:rPr>
        <w:rFonts w:hint="eastAsia"/>
      </w:rPr>
      <w:t>交易文件</w:t>
    </w:r>
  </w:p>
  <w:p w14:paraId="2CDA3287">
    <w:pPr>
      <w:rPr>
        <w:rFonts w:ascii="方正仿宋_GB2312" w:eastAsia="方正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3052E">
    <w:pPr>
      <w:pStyle w:val="42"/>
      <w:jc w:val="right"/>
    </w:pPr>
    <w:r>
      <w:rPr>
        <w:rFonts w:hint="eastAsia"/>
      </w:rPr>
      <w:t xml:space="preserve">                                                                                                         </w:t>
    </w:r>
    <w:r>
      <w:t>公开</w:t>
    </w:r>
    <w:r>
      <w:rPr>
        <w:rFonts w:hint="eastAsia"/>
      </w:rPr>
      <w:t>交易文件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08774">
    <w:pPr>
      <w:pStyle w:val="42"/>
      <w:jc w:val="right"/>
      <w:rPr>
        <w:rFonts w:ascii="方正仿宋_GB2312"/>
        <w:b/>
        <w:i/>
        <w:iCs/>
        <w:u w:val="single"/>
      </w:rPr>
    </w:pPr>
    <w:r>
      <w:t>公开</w:t>
    </w:r>
    <w:r>
      <w:rPr>
        <w:rFonts w:hint="eastAsia"/>
      </w:rPr>
      <w:t>交易文件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9E15D">
    <w:pPr>
      <w:pStyle w:val="42"/>
      <w:jc w:val="right"/>
    </w:pPr>
    <w:r>
      <w:t></w:t>
    </w:r>
    <w:r>
      <w:rPr>
        <w:rFonts w:hint="eastAsia"/>
      </w:rPr>
      <w:t xml:space="preserve">                                            </w:t>
    </w:r>
    <w:r>
      <w:t>公开</w:t>
    </w:r>
    <w:r>
      <w:rPr>
        <w:rFonts w:hint="eastAsia"/>
      </w:rPr>
      <w:t>交易文件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3CAA7"/>
    <w:multiLevelType w:val="singleLevel"/>
    <w:tmpl w:val="8033CAA7"/>
    <w:lvl w:ilvl="0" w:tentative="0">
      <w:start w:val="3"/>
      <w:numFmt w:val="decimal"/>
      <w:suff w:val="nothing"/>
      <w:lvlText w:val="%1、"/>
      <w:lvlJc w:val="left"/>
    </w:lvl>
  </w:abstractNum>
  <w:abstractNum w:abstractNumId="1">
    <w:nsid w:val="8C451674"/>
    <w:multiLevelType w:val="singleLevel"/>
    <w:tmpl w:val="8C451674"/>
    <w:lvl w:ilvl="0" w:tentative="0">
      <w:start w:val="1"/>
      <w:numFmt w:val="decimal"/>
      <w:suff w:val="nothing"/>
      <w:lvlText w:val="%1）"/>
      <w:lvlJc w:val="left"/>
      <w:pPr>
        <w:ind w:left="273"/>
      </w:pPr>
    </w:lvl>
  </w:abstractNum>
  <w:abstractNum w:abstractNumId="2">
    <w:nsid w:val="0BAB6B76"/>
    <w:multiLevelType w:val="singleLevel"/>
    <w:tmpl w:val="0BAB6B76"/>
    <w:lvl w:ilvl="0" w:tentative="0">
      <w:start w:val="3"/>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63C08"/>
    <w:rsid w:val="10560F5C"/>
    <w:rsid w:val="1A5204BD"/>
    <w:rsid w:val="2FEE3E84"/>
    <w:rsid w:val="42D00246"/>
    <w:rsid w:val="50DA4103"/>
    <w:rsid w:val="5CC3468B"/>
    <w:rsid w:val="656C5B97"/>
    <w:rsid w:val="6CBF7B12"/>
    <w:rsid w:val="7FAB6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方正仿宋_GB2312" w:hAnsi="仿宋" w:eastAsia="方正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3"/>
    <w:qFormat/>
    <w:uiPriority w:val="99"/>
    <w:pPr>
      <w:jc w:val="left"/>
    </w:pPr>
  </w:style>
  <w:style w:type="paragraph" w:styleId="20">
    <w:name w:val="Salutation"/>
    <w:basedOn w:val="1"/>
    <w:next w:val="1"/>
    <w:link w:val="297"/>
    <w:qFormat/>
    <w:uiPriority w:val="0"/>
    <w:rPr>
      <w:rFonts w:ascii="方正仿宋_GB2312" w:eastAsia="方正仿宋_GB2312"/>
      <w:sz w:val="28"/>
      <w:szCs w:val="20"/>
    </w:rPr>
  </w:style>
  <w:style w:type="paragraph" w:styleId="21">
    <w:name w:val="Body Text 3"/>
    <w:basedOn w:val="1"/>
    <w:link w:val="329"/>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29"/>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25"/>
    <w:link w:val="264"/>
    <w:qFormat/>
    <w:uiPriority w:val="0"/>
    <w:pPr>
      <w:spacing w:line="480" w:lineRule="exact"/>
      <w:ind w:firstLine="480" w:firstLineChars="200"/>
    </w:pPr>
    <w:rPr>
      <w:rFonts w:ascii="宋体" w:hAnsi="宋体"/>
      <w:sz w:val="24"/>
    </w:rPr>
  </w:style>
  <w:style w:type="paragraph" w:styleId="25">
    <w:name w:val="Body Text First Indent 2"/>
    <w:basedOn w:val="24"/>
    <w:next w:val="1"/>
    <w:link w:val="121"/>
    <w:qFormat/>
    <w:uiPriority w:val="0"/>
    <w:pPr>
      <w:adjustRightInd/>
      <w:spacing w:after="120" w:line="240" w:lineRule="auto"/>
      <w:ind w:left="420" w:leftChars="200" w:firstLine="210"/>
    </w:pPr>
    <w:rPr>
      <w:sz w:val="21"/>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方正仿宋_GB2312" w:eastAsia="方正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34"/>
    <w:link w:val="125"/>
    <w:qFormat/>
    <w:uiPriority w:val="0"/>
    <w:rPr>
      <w:rFonts w:ascii="宋体" w:hAnsi="Courier New" w:cs="Arial"/>
      <w:snapToGrid w:val="0"/>
      <w:szCs w:val="21"/>
    </w:rPr>
  </w:style>
  <w:style w:type="paragraph" w:styleId="34">
    <w:name w:val="Date"/>
    <w:basedOn w:val="1"/>
    <w:next w:val="1"/>
    <w:link w:val="181"/>
    <w:qFormat/>
    <w:uiPriority w:val="0"/>
    <w:pPr>
      <w:ind w:left="100" w:leftChars="2500"/>
    </w:pPr>
    <w:rPr>
      <w:rFonts w:ascii="宋体"/>
      <w:sz w:val="24"/>
      <w:szCs w:val="21"/>
      <w:lang w:val="zh-CN"/>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Body Text Indent 2"/>
    <w:basedOn w:val="1"/>
    <w:link w:val="307"/>
    <w:qFormat/>
    <w:uiPriority w:val="0"/>
    <w:pPr>
      <w:spacing w:line="360" w:lineRule="auto"/>
      <w:ind w:firstLine="601"/>
      <w:textAlignment w:val="baseline"/>
    </w:pPr>
    <w:rPr>
      <w:rFonts w:ascii="宋体"/>
      <w:kern w:val="0"/>
      <w:sz w:val="28"/>
      <w:szCs w:val="20"/>
    </w:rPr>
  </w:style>
  <w:style w:type="paragraph" w:styleId="38">
    <w:name w:val="endnote text"/>
    <w:basedOn w:val="1"/>
    <w:link w:val="931"/>
    <w:qFormat/>
    <w:uiPriority w:val="0"/>
    <w:rPr>
      <w:lang w:val="zh-CN"/>
    </w:rPr>
  </w:style>
  <w:style w:type="paragraph" w:styleId="39">
    <w:name w:val="Balloon Text"/>
    <w:basedOn w:val="1"/>
    <w:link w:val="188"/>
    <w:qFormat/>
    <w:uiPriority w:val="0"/>
    <w:rPr>
      <w:sz w:val="18"/>
      <w:szCs w:val="18"/>
    </w:rPr>
  </w:style>
  <w:style w:type="paragraph" w:styleId="40">
    <w:name w:val="footer"/>
    <w:basedOn w:val="1"/>
    <w:link w:val="382"/>
    <w:qFormat/>
    <w:uiPriority w:val="99"/>
    <w:pPr>
      <w:tabs>
        <w:tab w:val="center" w:pos="4153"/>
        <w:tab w:val="right" w:pos="8306"/>
      </w:tabs>
      <w:snapToGrid w:val="0"/>
      <w:jc w:val="left"/>
    </w:pPr>
    <w:rPr>
      <w:sz w:val="18"/>
      <w:szCs w:val="18"/>
    </w:rPr>
  </w:style>
  <w:style w:type="paragraph" w:styleId="41">
    <w:name w:val="envelope return"/>
    <w:basedOn w:val="1"/>
    <w:unhideWhenUsed/>
    <w:qFormat/>
    <w:uiPriority w:val="99"/>
    <w:pPr>
      <w:snapToGrid w:val="0"/>
    </w:pPr>
    <w:rPr>
      <w:rFonts w:ascii="Arial" w:hAnsi="Arial"/>
    </w:rPr>
  </w:style>
  <w:style w:type="paragraph" w:styleId="42">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4"/>
    <w:qFormat/>
    <w:uiPriority w:val="0"/>
    <w:pPr>
      <w:spacing w:after="600" w:line="312" w:lineRule="atLeast"/>
      <w:jc w:val="center"/>
      <w:textAlignment w:val="baseline"/>
    </w:pPr>
    <w:rPr>
      <w:rFonts w:eastAsia="方正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3"/>
    <w:qFormat/>
    <w:uiPriority w:val="0"/>
    <w:pPr>
      <w:adjustRightInd w:val="0"/>
      <w:snapToGrid w:val="0"/>
      <w:spacing w:before="240" w:after="480"/>
      <w:jc w:val="center"/>
    </w:pPr>
    <w:rPr>
      <w:rFonts w:ascii="Arial" w:hAnsi="Arial" w:eastAsia="华文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5"/>
    <w:link w:val="309"/>
    <w:qFormat/>
    <w:uiPriority w:val="0"/>
    <w:pPr>
      <w:adjustRightInd/>
      <w:snapToGrid/>
      <w:spacing w:before="60" w:after="60" w:line="300" w:lineRule="exact"/>
      <w:ind w:firstLine="0"/>
    </w:pPr>
    <w:rPr>
      <w:rFonts w:ascii="Calibri"/>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4"/>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1"/>
    <w:qFormat/>
    <w:uiPriority w:val="0"/>
    <w:pPr>
      <w:spacing w:after="120" w:line="480" w:lineRule="auto"/>
    </w:pPr>
  </w:style>
  <w:style w:type="paragraph" w:styleId="58">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next w:val="1"/>
    <w:link w:val="285"/>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19"/>
    <w:next w:val="19"/>
    <w:link w:val="96"/>
    <w:qFormat/>
    <w:uiPriority w:val="0"/>
    <w:rPr>
      <w:b/>
      <w:bCs/>
    </w:rPr>
  </w:style>
  <w:style w:type="paragraph" w:styleId="62">
    <w:name w:val="Body Text First Indent"/>
    <w:basedOn w:val="23"/>
    <w:next w:val="52"/>
    <w:link w:val="320"/>
    <w:qFormat/>
    <w:uiPriority w:val="0"/>
    <w:pPr>
      <w:ind w:firstLine="420"/>
    </w:pPr>
    <w:rPr>
      <w:rFonts w:hAnsi="Calibri" w:cs="Times New Roman"/>
      <w:szCs w:val="20"/>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方正楷体_GB2312"/>
      <w:sz w:val="20"/>
      <w:szCs w:val="20"/>
    </w:rPr>
  </w:style>
  <w:style w:type="character" w:styleId="79">
    <w:name w:val="annotation reference"/>
    <w:qFormat/>
    <w:uiPriority w:val="99"/>
    <w:rPr>
      <w:sz w:val="21"/>
      <w:szCs w:val="21"/>
    </w:rPr>
  </w:style>
  <w:style w:type="paragraph" w:customStyle="1" w:styleId="80">
    <w:name w:val="Default"/>
    <w:next w:val="81"/>
    <w:link w:val="234"/>
    <w:qFormat/>
    <w:uiPriority w:val="0"/>
    <w:pPr>
      <w:widowControl w:val="0"/>
      <w:autoSpaceDE w:val="0"/>
      <w:autoSpaceDN w:val="0"/>
      <w:adjustRightInd w:val="0"/>
    </w:pPr>
    <w:rPr>
      <w:rFonts w:ascii="方正仿宋_GB2312" w:hAnsi="Times New Roman" w:eastAsia="方正仿宋_GB2312" w:cs="方正仿宋_GB2312"/>
      <w:color w:val="000000"/>
      <w:sz w:val="24"/>
      <w:szCs w:val="24"/>
      <w:lang w:val="en-US" w:eastAsia="zh-CN" w:bidi="ar-SA"/>
    </w:rPr>
  </w:style>
  <w:style w:type="paragraph" w:customStyle="1" w:styleId="81">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2">
    <w:name w:val="表格非标题文字 Char"/>
    <w:link w:val="83"/>
    <w:qFormat/>
    <w:uiPriority w:val="0"/>
    <w:rPr>
      <w:rFonts w:ascii="Segoe Print" w:hAnsi="Segoe Print"/>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Segoe Print" w:hAnsi="Segoe Print"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方正仿宋_GB2312" w:hAnsi="方正仿宋_GB2312" w:eastAsia="方正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55" w:afterLines="55"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字符"/>
    <w:link w:val="61"/>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方正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方正仿宋_GB2312" w:hAnsi="微软雅黑" w:eastAsia="方正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方正仿宋_GB2312" w:hAnsi="微软雅黑" w:eastAsia="方正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方正仿宋_GB2312" w:hAnsi="宋体" w:eastAsia="方正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方正仿宋_GB2312" w:eastAsia="方正仿宋_GB2312"/>
      <w:b/>
      <w:bCs/>
      <w:kern w:val="2"/>
      <w:sz w:val="24"/>
      <w:szCs w:val="24"/>
      <w:lang w:val="zh-CN" w:eastAsia="zh-CN" w:bidi="ar-SA"/>
    </w:rPr>
  </w:style>
  <w:style w:type="character" w:customStyle="1" w:styleId="121">
    <w:name w:val="正文文本首行缩进 2 字符"/>
    <w:link w:val="25"/>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70"/>
    <w:qFormat/>
    <w:uiPriority w:val="0"/>
    <w:rPr>
      <w:rFonts w:ascii="Arial" w:hAnsi="Arial" w:eastAsia="黑体" w:cs="Arial"/>
      <w:snapToGrid w:val="0"/>
      <w:kern w:val="0"/>
      <w:szCs w:val="21"/>
    </w:rPr>
  </w:style>
  <w:style w:type="character" w:customStyle="1" w:styleId="125">
    <w:name w:val="纯文本 字符1"/>
    <w:link w:val="33"/>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方正仿宋_GB2312" w:hAnsi="仿宋" w:eastAsia="方正仿宋_GB2312"/>
      <w:kern w:val="2"/>
      <w:sz w:val="24"/>
      <w:szCs w:val="24"/>
    </w:rPr>
  </w:style>
  <w:style w:type="character" w:customStyle="1" w:styleId="128">
    <w:name w:val="样式4 Char"/>
    <w:qFormat/>
    <w:uiPriority w:val="0"/>
    <w:rPr>
      <w:rFonts w:ascii="方正仿宋_GB2312" w:hAnsi="仿宋" w:eastAsia="方正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字符"/>
    <w:link w:val="48"/>
    <w:qFormat/>
    <w:uiPriority w:val="0"/>
    <w:rPr>
      <w:rFonts w:ascii="Arial" w:hAnsi="Arial" w:eastAsia="华文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方正仿宋_GB2312" w:hAnsi="仿宋" w:eastAsia="方正仿宋_GB2312"/>
      <w:b/>
      <w:kern w:val="2"/>
      <w:sz w:val="24"/>
      <w:szCs w:val="24"/>
    </w:rPr>
  </w:style>
  <w:style w:type="character" w:customStyle="1" w:styleId="142">
    <w:name w:val="font12gray1"/>
    <w:qFormat/>
    <w:uiPriority w:val="0"/>
    <w:rPr>
      <w:rFonts w:ascii="方正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basedOn w:val="70"/>
    <w:qFormat/>
    <w:uiPriority w:val="0"/>
    <w:rPr>
      <w:rFonts w:hint="eastAsia" w:ascii="方正仿宋_GB2312" w:eastAsia="方正仿宋_GB2312" w:cs="方正仿宋_GB2312"/>
      <w:color w:val="000000"/>
      <w:sz w:val="22"/>
      <w:szCs w:val="22"/>
      <w:u w:val="none"/>
    </w:rPr>
  </w:style>
  <w:style w:type="character" w:customStyle="1" w:styleId="147">
    <w:name w:val="标题 6 字符"/>
    <w:link w:val="7"/>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方正仿宋_GB2312" w:hAnsi="方正仿宋_GB2312" w:eastAsia="方正仿宋_GB2312"/>
      <w:kern w:val="2"/>
      <w:sz w:val="24"/>
      <w:lang w:bidi="ar-SA"/>
    </w:rPr>
  </w:style>
  <w:style w:type="character" w:customStyle="1" w:styleId="153">
    <w:name w:val="正文 项目 Char"/>
    <w:qFormat/>
    <w:uiPriority w:val="0"/>
    <w:rPr>
      <w:rFonts w:ascii="方正仿宋_GB2312" w:hAnsi="方正仿宋_GB2312" w:eastAsia="方正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方正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方正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方正仿宋_GB2312" w:hAnsi="Times New Roman" w:eastAsia="方正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方正仿宋_GB2312" w:hAnsi="仿宋" w:eastAsia="方正仿宋_GB2312" w:cs="方正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字符"/>
    <w:link w:val="34"/>
    <w:qFormat/>
    <w:uiPriority w:val="0"/>
    <w:rPr>
      <w:rFonts w:ascii="宋体"/>
      <w:kern w:val="2"/>
      <w:sz w:val="24"/>
      <w:szCs w:val="21"/>
      <w:lang w:val="zh-CN"/>
    </w:rPr>
  </w:style>
  <w:style w:type="character" w:customStyle="1" w:styleId="182">
    <w:name w:val="标题 9 字符"/>
    <w:link w:val="10"/>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字符1"/>
    <w:link w:val="39"/>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方正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字符2"/>
    <w:link w:val="1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方正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z w:val="28"/>
    </w:rPr>
  </w:style>
  <w:style w:type="paragraph" w:customStyle="1" w:styleId="199">
    <w:name w:val="3级"/>
    <w:basedOn w:val="200"/>
    <w:link w:val="198"/>
    <w:qFormat/>
    <w:uiPriority w:val="0"/>
    <w:pPr>
      <w:ind w:left="0" w:right="466" w:firstLine="288"/>
    </w:pPr>
    <w:rPr>
      <w:rFonts w:hAnsi="宋体"/>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方正仿宋_GB2312" w:eastAsia="微软雅黑"/>
      <w:b/>
      <w:kern w:val="2"/>
      <w:sz w:val="32"/>
      <w:szCs w:val="32"/>
      <w:lang w:val="en-US" w:eastAsia="zh-CN" w:bidi="ar-SA"/>
    </w:rPr>
  </w:style>
  <w:style w:type="character" w:customStyle="1" w:styleId="202">
    <w:name w:val="文档结构图 字符"/>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Saturday Sans Regular" w:hAnsi="Saturday Sans Regular"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70"/>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方正仿宋_GB2312" w:hAnsi="仿宋" w:eastAsia="方正仿宋_GB2312" w:cs="方正仿宋_GB2312"/>
      <w:sz w:val="32"/>
      <w:szCs w:val="30"/>
      <w:lang w:val="zh-CN"/>
    </w:rPr>
  </w:style>
  <w:style w:type="character" w:customStyle="1" w:styleId="219">
    <w:name w:val="HTML 地址 字符"/>
    <w:link w:val="30"/>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5"/>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方正仿宋_GB2312" w:eastAsia="方正仿宋_GB2312"/>
      <w:b/>
      <w:bCs/>
      <w:kern w:val="2"/>
      <w:sz w:val="24"/>
      <w:szCs w:val="24"/>
      <w:lang w:val="zh-CN" w:eastAsia="zh-CN" w:bidi="ar-SA"/>
    </w:rPr>
  </w:style>
  <w:style w:type="character" w:customStyle="1" w:styleId="229">
    <w:name w:val="题注 字符"/>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方正仿宋_GB2312" w:eastAsia="方正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80"/>
    <w:qFormat/>
    <w:uiPriority w:val="0"/>
    <w:rPr>
      <w:rFonts w:ascii="方正仿宋_GB2312" w:eastAsia="方正仿宋_GB2312" w:cs="方正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方正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方正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方正仿宋_GB2312" w:eastAsia="方正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方正仿宋_GB2312" w:hAnsi="方正仿宋_GB2312" w:eastAsia="方正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7">
    <w:name w:val="List Paragraph"/>
    <w:basedOn w:val="1"/>
    <w:qFormat/>
    <w:uiPriority w:val="34"/>
    <w:pPr>
      <w:spacing w:line="360" w:lineRule="auto"/>
      <w:ind w:firstLine="200" w:firstLineChars="200"/>
    </w:pPr>
    <w:rPr>
      <w:rFonts w:eastAsia="方正楷体_GB2312" w:cs="Lucida Casual Regular"/>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方正仿宋_GB2312" w:eastAsia="方正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字符1"/>
    <w:link w:val="24"/>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字符1"/>
    <w:link w:val="2"/>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字符"/>
    <w:link w:val="60"/>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方正仿宋_GB2312" w:eastAsia="微软雅黑"/>
      <w:b/>
      <w:kern w:val="2"/>
      <w:sz w:val="23"/>
      <w:szCs w:val="23"/>
      <w:lang w:val="en-US" w:eastAsia="zh-CN" w:bidi="ar-SA"/>
    </w:rPr>
  </w:style>
  <w:style w:type="character" w:customStyle="1" w:styleId="289">
    <w:name w:val="样式8 Char"/>
    <w:qFormat/>
    <w:uiPriority w:val="0"/>
    <w:rPr>
      <w:rFonts w:ascii="方正仿宋_GB2312" w:hAnsi="宋体" w:eastAsia="方正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字符"/>
    <w:link w:val="6"/>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方正仿宋_GB2312" w:eastAsia="方正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字符"/>
    <w:link w:val="20"/>
    <w:qFormat/>
    <w:uiPriority w:val="0"/>
    <w:rPr>
      <w:rFonts w:ascii="方正仿宋_GB2312" w:eastAsia="方正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字符"/>
    <w:link w:val="58"/>
    <w:qFormat/>
    <w:uiPriority w:val="0"/>
    <w:rPr>
      <w:rFonts w:ascii="黑体" w:hAnsi="Courier New" w:eastAsia="黑体"/>
    </w:rPr>
  </w:style>
  <w:style w:type="character" w:customStyle="1" w:styleId="301">
    <w:name w:val="正文文本 2 字符1"/>
    <w:link w:val="57"/>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5"/>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字符"/>
    <w:link w:val="8"/>
    <w:qFormat/>
    <w:uiPriority w:val="0"/>
    <w:rPr>
      <w:b/>
      <w:bCs/>
      <w:kern w:val="2"/>
      <w:sz w:val="24"/>
      <w:szCs w:val="24"/>
    </w:rPr>
  </w:style>
  <w:style w:type="character" w:customStyle="1" w:styleId="307">
    <w:name w:val="正文文本缩进 2 字符"/>
    <w:link w:val="37"/>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字符"/>
    <w:link w:val="51"/>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文本首行缩进 字符"/>
    <w:link w:val="62"/>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字符1"/>
    <w:link w:val="5"/>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字符"/>
    <w:link w:val="21"/>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方正仿宋_GB2312" w:eastAsia="方正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方正仿宋_GB2312" w:hAnsi="Courier New" w:eastAsia="方正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字符1"/>
    <w:link w:val="19"/>
    <w:qFormat/>
    <w:uiPriority w:val="0"/>
    <w:rPr>
      <w:kern w:val="2"/>
      <w:sz w:val="21"/>
      <w:szCs w:val="24"/>
    </w:rPr>
  </w:style>
  <w:style w:type="character" w:customStyle="1" w:styleId="344">
    <w:name w:val="签名 字符"/>
    <w:link w:val="43"/>
    <w:qFormat/>
    <w:uiPriority w:val="0"/>
    <w:rPr>
      <w:rFonts w:eastAsia="方正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方正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方正楷体_GB2312" w:cs="Lucida Casual Regular"/>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方正仿宋_GB2312" w:eastAsia="方正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方正仿宋_GB2312" w:eastAsia="方正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字符"/>
    <w:link w:val="9"/>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方正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字符"/>
    <w:link w:val="54"/>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方正仿宋_GB2312" w:eastAsia="方正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字符2"/>
    <w:link w:val="40"/>
    <w:qFormat/>
    <w:locked/>
    <w:uiPriority w:val="99"/>
    <w:rPr>
      <w:kern w:val="2"/>
      <w:sz w:val="18"/>
      <w:szCs w:val="18"/>
    </w:rPr>
  </w:style>
  <w:style w:type="character" w:customStyle="1" w:styleId="383">
    <w:name w:val="Char Char36"/>
    <w:qFormat/>
    <w:uiPriority w:val="6"/>
    <w:rPr>
      <w:rFonts w:ascii="方正仿宋_GB2312" w:hAnsi="方正仿宋_GB2312" w:eastAsia="方正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字符2"/>
    <w:link w:val="42"/>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方正楷体_GB2312" w:hAnsi="Arial" w:eastAsia="方正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微软雅黑" w:hAnsi="微软雅黑"/>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方正仿宋_GB2312" w:eastAsia="方正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方正仿宋_GB2312" w:eastAsia="方正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70"/>
    <w:qFormat/>
    <w:uiPriority w:val="0"/>
    <w:rPr>
      <w:rFonts w:ascii="Arial" w:hAnsi="Arial" w:eastAsia="黑体" w:cs="Arial"/>
      <w:snapToGrid w:val="0"/>
      <w:kern w:val="0"/>
      <w:szCs w:val="21"/>
    </w:rPr>
  </w:style>
  <w:style w:type="character" w:customStyle="1" w:styleId="421">
    <w:name w:val="pt9"/>
    <w:qFormat/>
    <w:uiPriority w:val="0"/>
    <w:rPr>
      <w:rFonts w:ascii="方正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15"/>
    <w:link w:val="427"/>
    <w:qFormat/>
    <w:uiPriority w:val="0"/>
    <w:pPr>
      <w:widowControl w:val="0"/>
      <w:adjustRightInd/>
      <w:snapToGrid/>
      <w:spacing w:line="360" w:lineRule="auto"/>
      <w:ind w:firstLine="200" w:firstLineChars="200"/>
    </w:pPr>
    <w:rPr>
      <w:rFonts w:ascii="Calibri"/>
      <w:color w:val="auto"/>
      <w:kern w:val="2"/>
      <w:sz w:val="24"/>
    </w:rPr>
  </w:style>
  <w:style w:type="character" w:customStyle="1" w:styleId="429">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30">
    <w:name w:val="gray6"/>
    <w:basedOn w:val="70"/>
    <w:qFormat/>
    <w:uiPriority w:val="0"/>
    <w:rPr>
      <w:rFonts w:ascii="Arial" w:hAnsi="Arial" w:eastAsia="黑体" w:cs="Arial"/>
      <w:snapToGrid w:val="0"/>
      <w:kern w:val="0"/>
      <w:szCs w:val="21"/>
    </w:rPr>
  </w:style>
  <w:style w:type="character" w:customStyle="1" w:styleId="431">
    <w:name w:val="hui"/>
    <w:basedOn w:val="70"/>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方正仿宋_GB2312" w:hAnsi="Times New Roman" w:eastAsia="方正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5"/>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方正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方正仿宋_GB2312" w:hAnsi="方正仿宋_GB2312" w:eastAsia="方正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方正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方正仿宋_GB2312" w:hAnsi="仿宋" w:eastAsia="方正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方正幼线_GBK"/>
    </w:rPr>
  </w:style>
  <w:style w:type="paragraph" w:customStyle="1" w:styleId="462">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方正仿宋_GB2312" w:eastAsia="方正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方正仿宋_GB2312" w:eastAsia="方正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方正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2">
    <w:name w:val="No Spacing"/>
    <w:basedOn w:val="1"/>
    <w:link w:val="932"/>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方正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3"/>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方正仿宋_GB2312" w:eastAsia="方正仿宋_GB2312"/>
      <w:b/>
      <w:sz w:val="32"/>
      <w:szCs w:val="32"/>
    </w:rPr>
  </w:style>
  <w:style w:type="paragraph" w:customStyle="1" w:styleId="491">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方正仿宋_GB2312" w:eastAsia="方正仿宋_GB2312"/>
      <w:b/>
      <w:sz w:val="32"/>
      <w:szCs w:val="32"/>
    </w:rPr>
  </w:style>
  <w:style w:type="paragraph" w:customStyle="1" w:styleId="495">
    <w:name w:val="数字标题3"/>
    <w:basedOn w:val="4"/>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6"/>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方正仿宋_GB2312" w:eastAsia="方正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方正仿宋_GB2312" w:eastAsia="方正仿宋_GB2312"/>
      <w:b/>
      <w:sz w:val="32"/>
      <w:szCs w:val="32"/>
    </w:rPr>
  </w:style>
  <w:style w:type="paragraph" w:customStyle="1" w:styleId="502">
    <w:name w:val="Char2 Char Char Char1"/>
    <w:basedOn w:val="1"/>
    <w:qFormat/>
    <w:uiPriority w:val="6"/>
    <w:rPr>
      <w:rFonts w:ascii="方正仿宋_GB2312" w:eastAsia="方正仿宋_GB2312"/>
      <w:b/>
      <w:sz w:val="32"/>
      <w:szCs w:val="32"/>
    </w:rPr>
  </w:style>
  <w:style w:type="paragraph" w:customStyle="1" w:styleId="503">
    <w:name w:val="默认段落样式"/>
    <w:basedOn w:val="131"/>
    <w:qFormat/>
    <w:uiPriority w:val="0"/>
    <w:pPr>
      <w:spacing w:before="0"/>
      <w:ind w:firstLine="480"/>
      <w:outlineLvl w:val="2"/>
    </w:pPr>
    <w:rPr>
      <w:rFonts w:ascii="方正仿宋_GB2312" w:hAnsi="宋体" w:eastAsia="方正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4"/>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方正楷体_GB2312" w:cs="Lucida Casual Regular"/>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方正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6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方正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方正仿宋_GB2312" w:eastAsia="方正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方正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5"/>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80"/>
    <w:next w:val="80"/>
    <w:qFormat/>
    <w:uiPriority w:val="0"/>
    <w:pPr>
      <w:spacing w:after="68"/>
    </w:pPr>
    <w:rPr>
      <w:rFonts w:ascii="宋体" w:eastAsia="宋体"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方正仿宋_GB2312"/>
      <w:sz w:val="28"/>
    </w:rPr>
  </w:style>
  <w:style w:type="paragraph" w:customStyle="1" w:styleId="548">
    <w:name w:val="正文文字 2"/>
    <w:basedOn w:val="80"/>
    <w:next w:val="80"/>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方正仿宋_GB2312" w:eastAsia="方正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方正仿宋_GB2312" w:eastAsia="方正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Wonder Arial" w:hAnsi="Wonder Arial"/>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1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571">
    <w:name w:val="Char Char Char Char Char Char Char Char Char Char"/>
    <w:basedOn w:val="1"/>
    <w:qFormat/>
    <w:uiPriority w:val="0"/>
    <w:rPr>
      <w:rFonts w:ascii="方正仿宋_GB2312" w:eastAsia="方正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方正仿宋_GB2312" w:hAnsi="仿宋" w:eastAsia="方正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方正仿宋_GB2312" w:eastAsia="方正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3"/>
    <w:qFormat/>
    <w:uiPriority w:val="0"/>
    <w:pPr>
      <w:spacing w:line="460" w:lineRule="exact"/>
      <w:outlineLvl w:val="2"/>
    </w:pPr>
    <w:rPr>
      <w:rFonts w:ascii="方正仿宋_GB2312" w:hAnsi="宋体" w:eastAsia="方正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方正仿宋_GB2312" w:eastAsia="方正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7"/>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方正仿宋_GB2312"/>
      <w:bCs/>
      <w:sz w:val="28"/>
    </w:rPr>
  </w:style>
  <w:style w:type="paragraph" w:customStyle="1" w:styleId="605">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方正仿宋_GB2312" w:eastAsia="方正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方正楷体_GB2312" w:cs="Lucida Casual Regular"/>
      <w:sz w:val="24"/>
    </w:rPr>
  </w:style>
  <w:style w:type="paragraph" w:customStyle="1" w:styleId="612">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方正仿宋_GB2312" w:eastAsia="方正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方正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2"/>
    <w:qFormat/>
    <w:uiPriority w:val="0"/>
    <w:pPr>
      <w:tabs>
        <w:tab w:val="left" w:pos="840"/>
      </w:tabs>
      <w:adjustRightInd/>
      <w:ind w:left="840" w:hanging="420"/>
    </w:pPr>
  </w:style>
  <w:style w:type="paragraph" w:customStyle="1" w:styleId="625">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5"/>
    <w:qFormat/>
    <w:uiPriority w:val="0"/>
    <w:pPr>
      <w:keepLines w:val="0"/>
      <w:snapToGrid w:val="0"/>
      <w:spacing w:before="0" w:after="0" w:line="300" w:lineRule="auto"/>
    </w:pPr>
    <w:rPr>
      <w:rFonts w:ascii="Arial Narrow" w:hAnsi="Arial Narrow" w:eastAsia="方正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方正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Segoe Print" w:hAnsi="Segoe Print"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方正仿宋_GB2312" w:eastAsia="方正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方正仿宋_GB2312" w:hAnsi="仿宋" w:eastAsia="方正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方正仿宋_GB2312" w:hAnsi="方正仿宋_GB2312" w:eastAsia="方正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Sweetie" w:hAnsi="Sweetie"/>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微软雅黑" w:hAnsi="微软雅黑" w:eastAsia="方正复古粗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方正楷体_GB2312" w:hAnsi="宋体" w:eastAsia="方正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5"/>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方正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方正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3"/>
    <w:qFormat/>
    <w:uiPriority w:val="0"/>
    <w:pPr>
      <w:widowControl/>
      <w:autoSpaceDE/>
      <w:autoSpaceDN/>
      <w:adjustRightInd/>
      <w:spacing w:line="240" w:lineRule="auto"/>
      <w:ind w:firstLine="200" w:firstLineChars="200"/>
      <w:jc w:val="left"/>
    </w:pPr>
    <w:rPr>
      <w:rFonts w:ascii="Courier New" w:hAnsi="Courier New"/>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方正楷体_GB2312" w:cs="Segoe UI Semilight"/>
      <w:sz w:val="24"/>
      <w:szCs w:val="21"/>
    </w:rPr>
  </w:style>
  <w:style w:type="paragraph" w:customStyle="1" w:styleId="700">
    <w:name w:val="Char Char Char Char Char Char Char1"/>
    <w:basedOn w:val="1"/>
    <w:qFormat/>
    <w:uiPriority w:val="6"/>
    <w:rPr>
      <w:rFonts w:ascii="方正仿宋_GB2312" w:eastAsia="方正仿宋_GB2312"/>
      <w:b/>
      <w:sz w:val="32"/>
      <w:szCs w:val="32"/>
    </w:rPr>
  </w:style>
  <w:style w:type="paragraph" w:customStyle="1" w:styleId="70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方正仿宋_GB2312" w:eastAsia="方正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方正仿宋_GB2312" w:eastAsia="新宋体"/>
      <w:sz w:val="24"/>
      <w:szCs w:val="20"/>
    </w:rPr>
  </w:style>
  <w:style w:type="paragraph" w:customStyle="1" w:styleId="721">
    <w:name w:val="4"/>
    <w:basedOn w:val="1"/>
    <w:next w:val="37"/>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4"/>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方正仿宋_GB2312" w:eastAsia="方正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方正仿宋_GB2312" w:eastAsia="方正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方正仿宋_GB2312" w:eastAsia="方正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方正仿宋_GB2312" w:eastAsia="方正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方正楷体_GB2312" w:cs="Lucida Casual Regular"/>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方正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方正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方正仿宋_GB2312" w:hAnsi="宋体" w:eastAsia="方正仿宋_GB2312"/>
      <w:b/>
      <w:bCs/>
      <w:sz w:val="24"/>
    </w:rPr>
  </w:style>
  <w:style w:type="paragraph" w:customStyle="1" w:styleId="760">
    <w:name w:val="_Style 5"/>
    <w:basedOn w:val="1"/>
    <w:qFormat/>
    <w:uiPriority w:val="34"/>
    <w:pPr>
      <w:adjustRightInd/>
      <w:ind w:firstLine="420" w:firstLineChars="200"/>
    </w:pPr>
    <w:rPr>
      <w:rFonts w:eastAsia="方正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Segoe Print" w:hAnsi="Segoe Print" w:cs="Segoe Print"/>
      <w:kern w:val="0"/>
      <w:sz w:val="18"/>
      <w:szCs w:val="18"/>
    </w:rPr>
  </w:style>
  <w:style w:type="paragraph" w:customStyle="1" w:styleId="762">
    <w:name w:val="列出段落*"/>
    <w:basedOn w:val="1"/>
    <w:qFormat/>
    <w:uiPriority w:val="0"/>
    <w:pPr>
      <w:adjustRightInd/>
      <w:spacing w:line="360" w:lineRule="auto"/>
      <w:ind w:firstLine="200"/>
    </w:pPr>
    <w:rPr>
      <w:rFonts w:eastAsia="方正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方正仿宋_GB2312" w:eastAsia="方正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方正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方正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方正仿宋_GB2312" w:eastAsia="方正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方正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方正仿宋_GB2312" w:eastAsia="方正仿宋_GB2312"/>
      <w:b/>
      <w:sz w:val="32"/>
      <w:szCs w:val="32"/>
    </w:rPr>
  </w:style>
  <w:style w:type="paragraph" w:customStyle="1" w:styleId="785">
    <w:name w:val="Char111"/>
    <w:basedOn w:val="1"/>
    <w:qFormat/>
    <w:uiPriority w:val="0"/>
    <w:rPr>
      <w:rFonts w:ascii="方正仿宋_GB2312" w:eastAsia="方正仿宋_GB2312"/>
      <w:b/>
      <w:sz w:val="32"/>
      <w:szCs w:val="32"/>
    </w:rPr>
  </w:style>
  <w:style w:type="paragraph" w:customStyle="1" w:styleId="786">
    <w:name w:val="标题3"/>
    <w:basedOn w:val="4"/>
    <w:next w:val="54"/>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方正仿宋_GB2312" w:eastAsia="方正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方正仿宋_GB2312" w:eastAsia="方正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方正仿宋_GB2312" w:hAnsi="宋体" w:eastAsia="方正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Sweetie" w:hAnsi="Sweetie"/>
      <w:kern w:val="1"/>
      <w:sz w:val="20"/>
      <w:szCs w:val="20"/>
    </w:rPr>
  </w:style>
  <w:style w:type="paragraph" w:customStyle="1" w:styleId="814">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方正仿宋_GB2312" w:eastAsia="方正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5"/>
    <w:qFormat/>
    <w:uiPriority w:val="0"/>
    <w:pPr>
      <w:tabs>
        <w:tab w:val="left" w:pos="0"/>
        <w:tab w:val="clear" w:pos="864"/>
      </w:tabs>
      <w:spacing w:before="0" w:after="0" w:line="360" w:lineRule="auto"/>
      <w:ind w:left="1"/>
    </w:pPr>
    <w:rPr>
      <w:rFonts w:eastAsia="方正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Yu Gothic UI" w:hAnsi="Yu Gothic UI"/>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Segoe Print" w:hAnsi="Segoe Print" w:cs="Segoe Print"/>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Segoe Print" w:hAnsi="Segoe Print"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方正仿宋_GB2312"/>
      <w:sz w:val="24"/>
      <w:szCs w:val="20"/>
    </w:rPr>
  </w:style>
  <w:style w:type="paragraph" w:customStyle="1" w:styleId="839">
    <w:name w:val="正文1"/>
    <w:basedOn w:val="32"/>
    <w:qFormat/>
    <w:uiPriority w:val="0"/>
    <w:pPr>
      <w:ind w:left="0" w:leftChars="0" w:firstLine="480" w:firstLineChars="200"/>
    </w:pPr>
    <w:rPr>
      <w:rFonts w:ascii="方正仿宋_GB2312" w:hAnsi="Courier New" w:eastAsia="方正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方正仿宋_GB2312" w:eastAsia="方正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方正仿宋_GB2312" w:eastAsia="方正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Segoe Print" w:hAnsi="Segoe Print" w:cs="Segoe Print"/>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方正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方正楷体_GB2312" w:cs="Lucida Casual Regular"/>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Melanie BT Std Roman" w:hAnsi="Melanie BT Std Roman"/>
      <w:kern w:val="0"/>
      <w:sz w:val="20"/>
      <w:szCs w:val="20"/>
    </w:rPr>
  </w:style>
  <w:style w:type="paragraph" w:customStyle="1" w:styleId="855">
    <w:name w:val="Char31"/>
    <w:basedOn w:val="1"/>
    <w:qFormat/>
    <w:uiPriority w:val="0"/>
    <w:pPr>
      <w:adjustRightInd/>
    </w:pPr>
    <w:rPr>
      <w:rFonts w:ascii="方正仿宋_GB2312" w:eastAsia="方正仿宋_GB2312"/>
      <w:b/>
      <w:sz w:val="32"/>
      <w:szCs w:val="32"/>
    </w:rPr>
  </w:style>
  <w:style w:type="paragraph" w:customStyle="1" w:styleId="8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方正仿宋_GB2312"/>
      <w:sz w:val="28"/>
    </w:rPr>
  </w:style>
  <w:style w:type="paragraph" w:customStyle="1" w:styleId="860">
    <w:name w:val="Char21"/>
    <w:basedOn w:val="1"/>
    <w:qFormat/>
    <w:uiPriority w:val="0"/>
    <w:pPr>
      <w:adjustRightInd/>
      <w:ind w:firstLine="200" w:firstLineChars="200"/>
    </w:pPr>
    <w:rPr>
      <w:rFonts w:ascii="方正仿宋_GB2312" w:eastAsia="方正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方正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方正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方正仿宋_GB2312" w:hAnsi="Arial" w:eastAsia="方正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18"/>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方正仿宋_GB2312" w:eastAsia="方正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方正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方正仿宋_GB2312" w:eastAsia="方正仿宋_GB2312"/>
      <w:b/>
      <w:sz w:val="32"/>
      <w:szCs w:val="32"/>
    </w:rPr>
  </w:style>
  <w:style w:type="paragraph" w:customStyle="1" w:styleId="885">
    <w:name w:val="正文箭头"/>
    <w:basedOn w:val="537"/>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4"/>
    <w:qFormat/>
    <w:uiPriority w:val="0"/>
    <w:pPr>
      <w:keepLines w:val="0"/>
      <w:widowControl/>
      <w:snapToGrid w:val="0"/>
      <w:spacing w:before="120" w:after="60" w:line="300" w:lineRule="auto"/>
      <w:jc w:val="left"/>
    </w:pPr>
    <w:rPr>
      <w:rFonts w:ascii="Arial Narrow" w:hAnsi="Arial Narrow" w:eastAsia="方正仿宋_GB2312"/>
      <w:b w:val="0"/>
      <w:bCs w:val="0"/>
      <w:color w:val="000000"/>
      <w:kern w:val="0"/>
      <w:sz w:val="28"/>
    </w:rPr>
  </w:style>
  <w:style w:type="paragraph" w:customStyle="1" w:styleId="890">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方正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6"/>
    <w:next w:val="1"/>
    <w:qFormat/>
    <w:uiPriority w:val="0"/>
    <w:pPr>
      <w:tabs>
        <w:tab w:val="left" w:pos="1080"/>
      </w:tabs>
      <w:ind w:left="1080" w:hanging="1080"/>
    </w:pPr>
  </w:style>
  <w:style w:type="paragraph" w:customStyle="1" w:styleId="896">
    <w:name w:val="数字标题1"/>
    <w:basedOn w:val="2"/>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Wonder Arial" w:hAnsi="Wonder Arial"/>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方正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方正仿宋_GB2312"/>
      <w:sz w:val="28"/>
    </w:rPr>
  </w:style>
  <w:style w:type="paragraph" w:customStyle="1" w:styleId="905">
    <w:name w:val="样式5"/>
    <w:basedOn w:val="1"/>
    <w:qFormat/>
    <w:uiPriority w:val="0"/>
    <w:pPr>
      <w:spacing w:line="440" w:lineRule="exact"/>
      <w:ind w:left="2" w:firstLine="480" w:firstLineChars="200"/>
    </w:pPr>
    <w:rPr>
      <w:rFonts w:ascii="方正仿宋_GB2312" w:hAnsi="仿宋" w:eastAsia="方正仿宋_GB2312"/>
      <w:sz w:val="24"/>
    </w:rPr>
  </w:style>
  <w:style w:type="paragraph" w:customStyle="1" w:styleId="906">
    <w:name w:val="_Style 8"/>
    <w:basedOn w:val="1"/>
    <w:qFormat/>
    <w:uiPriority w:val="34"/>
    <w:pPr>
      <w:adjustRightInd/>
      <w:ind w:firstLine="420" w:firstLineChars="200"/>
    </w:pPr>
    <w:rPr>
      <w:rFonts w:eastAsia="方正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方正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字符"/>
    <w:link w:val="38"/>
    <w:qFormat/>
    <w:uiPriority w:val="0"/>
    <w:rPr>
      <w:kern w:val="2"/>
      <w:sz w:val="21"/>
      <w:szCs w:val="24"/>
      <w:lang w:val="zh-CN"/>
    </w:rPr>
  </w:style>
  <w:style w:type="character" w:customStyle="1" w:styleId="932">
    <w:name w:val="无间隔 字符"/>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Yu Gothic UI"/>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Yu Gothic UI" w:hAnsi="Yu Gothic UI" w:eastAsia="Yu Gothic UI"/>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Yu Gothic UI" w:hAnsi="方正楷体_GB2312" w:eastAsia="Yu Gothic UI"/>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Yu Gothic UI" w:hAnsi="Yu Gothic UI"/>
      <w:kern w:val="0"/>
      <w:sz w:val="24"/>
      <w:szCs w:val="20"/>
    </w:rPr>
  </w:style>
  <w:style w:type="paragraph" w:customStyle="1" w:styleId="953">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方正全福体" w:eastAsia="方正全福体"/>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方正楷体_GB2312" w:hAnsi="方正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0"/>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character" w:customStyle="1" w:styleId="963">
    <w:name w:val="fontstyle01"/>
    <w:basedOn w:val="70"/>
    <w:qFormat/>
    <w:uiPriority w:val="0"/>
    <w:rPr>
      <w:rFonts w:hint="eastAsia" w:ascii="宋体" w:hAnsi="宋体" w:eastAsia="宋体"/>
      <w:color w:val="000000"/>
      <w:sz w:val="24"/>
      <w:szCs w:val="24"/>
    </w:rPr>
  </w:style>
  <w:style w:type="table" w:customStyle="1" w:styleId="964">
    <w:name w:val="Table Normal"/>
    <w:qFormat/>
    <w:uiPriority w:val="0"/>
    <w:rPr>
      <w:rFonts w:eastAsiaTheme="minorEastAsia"/>
    </w:rPr>
    <w:tblPr>
      <w:tblCellMar>
        <w:top w:w="0" w:type="dxa"/>
        <w:left w:w="0" w:type="dxa"/>
        <w:bottom w:w="0" w:type="dxa"/>
        <w:right w:w="0" w:type="dxa"/>
      </w:tblCellMar>
    </w:tblPr>
  </w:style>
  <w:style w:type="paragraph" w:customStyle="1" w:styleId="965">
    <w:name w:val="_Style 4"/>
    <w:basedOn w:val="1"/>
    <w:qFormat/>
    <w:uiPriority w:val="34"/>
    <w:pPr>
      <w:ind w:firstLine="420" w:firstLineChars="200"/>
    </w:pPr>
    <w:rPr>
      <w:rFonts w:eastAsia="方正仿宋_GB2312"/>
      <w:sz w:val="28"/>
      <w:szCs w:val="22"/>
    </w:rPr>
  </w:style>
  <w:style w:type="paragraph" w:customStyle="1" w:styleId="966">
    <w:name w:val="封面编号"/>
    <w:basedOn w:val="1"/>
    <w:qFormat/>
    <w:uiPriority w:val="99"/>
    <w:pPr>
      <w:spacing w:line="360" w:lineRule="auto"/>
      <w:jc w:val="center"/>
    </w:pPr>
    <w:rPr>
      <w:rFonts w:ascii="黑体" w:hAnsi="宋体" w:eastAsia="黑体" w:cs="宋体"/>
      <w:b/>
      <w:bCs/>
      <w:sz w:val="38"/>
    </w:rPr>
  </w:style>
  <w:style w:type="paragraph" w:customStyle="1" w:styleId="967">
    <w:name w:val="reader-word-layer reader-word-s2-3"/>
    <w:basedOn w:val="1"/>
    <w:qFormat/>
    <w:uiPriority w:val="0"/>
    <w:pPr>
      <w:widowControl/>
      <w:spacing w:before="100" w:beforeAutospacing="1" w:after="100" w:afterAutospacing="1"/>
      <w:jc w:val="left"/>
    </w:pPr>
    <w:rPr>
      <w:rFonts w:ascii="宋体" w:hAnsi="宋体" w:cs="宋体"/>
      <w:kern w:val="0"/>
      <w:sz w:val="24"/>
    </w:rPr>
  </w:style>
  <w:style w:type="paragraph" w:customStyle="1" w:styleId="96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969">
    <w:name w:val="不明显强调1"/>
    <w:qFormat/>
    <w:uiPriority w:val="19"/>
    <w:rPr>
      <w:i/>
      <w:iCs/>
    </w:rPr>
  </w:style>
  <w:style w:type="paragraph" w:customStyle="1" w:styleId="970">
    <w:name w:val="格 正文"/>
    <w:basedOn w:val="1"/>
    <w:qFormat/>
    <w:uiPriority w:val="0"/>
    <w:pPr>
      <w:spacing w:line="360" w:lineRule="auto"/>
      <w:ind w:firstLine="420"/>
    </w:pPr>
    <w:rPr>
      <w:rFonts w:ascii="宋体" w:hAnsi="宋体"/>
      <w:sz w:val="24"/>
      <w:szCs w:val="22"/>
    </w:rPr>
  </w:style>
  <w:style w:type="paragraph" w:customStyle="1" w:styleId="971">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972">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97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41</Pages>
  <Words>13314</Words>
  <Characters>14490</Characters>
  <Lines>918</Lines>
  <Paragraphs>1029</Paragraphs>
  <TotalTime>13</TotalTime>
  <ScaleCrop>false</ScaleCrop>
  <LinksUpToDate>false</LinksUpToDate>
  <CharactersWithSpaces>14759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Administrator</dc:creator>
  <cp:lastModifiedBy>招标代理</cp:lastModifiedBy>
  <cp:lastPrinted>2024-04-07T09:35:00Z</cp:lastPrinted>
  <dcterms:modified xsi:type="dcterms:W3CDTF">2026-03-23T05:51:17Z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ED2D23034C7E4759AC4FCE9BB2945396_13</vt:lpwstr>
  </property>
  <property fmtid="{D5CDD505-2E9C-101B-9397-08002B2CF9AE}" pid="5" name="KSOTemplateDocerSaveRecord">
    <vt:lpwstr>eyJoZGlkIjoiZjA0Mzg0NzJhYTdkYWZlYTc2YzQ5ZTk2Y2U5NDZjYzkiLCJ1c2VySWQiOiI0MjI1NzE4NTIifQ==</vt:lpwstr>
  </property>
</Properties>
</file>