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A0CF0">
      <w:pPr>
        <w:spacing w:line="400" w:lineRule="exact"/>
        <w:ind w:right="600" w:firstLine="480"/>
        <w:jc w:val="center"/>
        <w:rPr>
          <w:rFonts w:hint="default" w:ascii="宋体" w:hAnsi="宋体" w:cs="宋体"/>
          <w:color w:val="000000"/>
          <w:sz w:val="24"/>
          <w:highlight w:val="none"/>
          <w:lang w:val="en-US"/>
        </w:rPr>
      </w:pPr>
      <w:bookmarkStart w:id="0" w:name="_Toc522805903"/>
      <w:bookmarkStart w:id="1" w:name="_Toc138586203"/>
      <w:r>
        <w:rPr>
          <w:rFonts w:hint="eastAsia" w:ascii="宋体" w:hAnsi="宋体" w:cs="宋体"/>
          <w:b/>
          <w:bCs/>
          <w:sz w:val="32"/>
          <w:szCs w:val="32"/>
          <w:highlight w:val="none"/>
          <w:lang w:val="en-US" w:eastAsia="zh-CN"/>
        </w:rPr>
        <w:t>2026年华中·中交城四害消杀服务合同</w:t>
      </w:r>
    </w:p>
    <w:p w14:paraId="7A6F2A2D">
      <w:pPr>
        <w:spacing w:line="400" w:lineRule="exact"/>
        <w:ind w:firstLine="480" w:firstLineChars="200"/>
        <w:rPr>
          <w:rFonts w:hint="eastAsia" w:ascii="宋体" w:hAnsi="宋体" w:cs="宋体"/>
          <w:sz w:val="24"/>
        </w:rPr>
      </w:pPr>
      <w:r>
        <w:rPr>
          <w:rFonts w:hint="eastAsia" w:ascii="宋体" w:hAnsi="宋体" w:cs="宋体"/>
          <w:sz w:val="24"/>
        </w:rPr>
        <w:t>合同编号：</w:t>
      </w:r>
    </w:p>
    <w:p w14:paraId="15B1FC22">
      <w:pPr>
        <w:spacing w:line="400" w:lineRule="exact"/>
        <w:ind w:firstLine="480" w:firstLineChars="200"/>
        <w:rPr>
          <w:rFonts w:hint="eastAsia" w:ascii="宋体" w:hAnsi="宋体" w:cs="宋体"/>
          <w:sz w:val="24"/>
        </w:rPr>
      </w:pPr>
      <w:r>
        <w:rPr>
          <w:rFonts w:hint="eastAsia" w:ascii="宋体" w:hAnsi="宋体" w:cs="宋体"/>
          <w:sz w:val="24"/>
        </w:rPr>
        <w:t>签订地点：</w:t>
      </w:r>
    </w:p>
    <w:p w14:paraId="68225A86">
      <w:pPr>
        <w:spacing w:line="400" w:lineRule="exact"/>
        <w:ind w:firstLine="480" w:firstLineChars="200"/>
        <w:rPr>
          <w:rFonts w:hint="eastAsia" w:ascii="宋体" w:hAnsi="宋体" w:cs="宋体"/>
          <w:sz w:val="24"/>
        </w:rPr>
      </w:pPr>
      <w:r>
        <w:rPr>
          <w:rFonts w:hint="eastAsia" w:ascii="宋体" w:hAnsi="宋体" w:cs="宋体"/>
          <w:sz w:val="24"/>
        </w:rPr>
        <w:t>签订日期：</w:t>
      </w:r>
      <w:r>
        <w:rPr>
          <w:rFonts w:hint="eastAsia" w:ascii="宋体" w:hAnsi="宋体" w:cs="宋体"/>
          <w:sz w:val="24"/>
          <w:lang w:val="en-US" w:eastAsia="zh-CN"/>
        </w:rPr>
        <w:t xml:space="preserve">    </w:t>
      </w:r>
      <w:r>
        <w:rPr>
          <w:rFonts w:hint="eastAsia" w:ascii="宋体" w:hAnsi="宋体" w:cs="宋体"/>
          <w:sz w:val="24"/>
        </w:rPr>
        <w:t>年   月   日</w:t>
      </w:r>
    </w:p>
    <w:p w14:paraId="08F7AD09">
      <w:pPr>
        <w:spacing w:line="400" w:lineRule="exact"/>
        <w:ind w:firstLine="482" w:firstLineChars="200"/>
        <w:rPr>
          <w:rFonts w:hint="eastAsia" w:ascii="宋体" w:hAnsi="宋体" w:cs="宋体"/>
          <w:sz w:val="24"/>
        </w:rPr>
      </w:pPr>
      <w:r>
        <w:rPr>
          <w:rFonts w:hint="eastAsia" w:ascii="宋体" w:hAnsi="宋体" w:cs="宋体"/>
          <w:b/>
          <w:bCs/>
          <w:sz w:val="24"/>
        </w:rPr>
        <w:t>甲方一（委托人）</w:t>
      </w:r>
      <w:r>
        <w:rPr>
          <w:rFonts w:hint="eastAsia" w:ascii="宋体" w:hAnsi="宋体" w:cs="宋体"/>
          <w:sz w:val="24"/>
        </w:rPr>
        <w:t>：中交二航局（武汉）城市运营管理有限公司</w:t>
      </w:r>
    </w:p>
    <w:p w14:paraId="20B5EA65">
      <w:pPr>
        <w:spacing w:line="400" w:lineRule="exact"/>
        <w:ind w:firstLine="482" w:firstLineChars="200"/>
        <w:rPr>
          <w:rFonts w:hint="eastAsia" w:ascii="宋体" w:hAnsi="宋体" w:cs="宋体"/>
          <w:color w:val="auto"/>
          <w:sz w:val="24"/>
        </w:rPr>
      </w:pPr>
      <w:r>
        <w:rPr>
          <w:rFonts w:hint="eastAsia" w:ascii="宋体" w:hAnsi="宋体" w:cs="宋体"/>
          <w:b/>
          <w:bCs/>
          <w:sz w:val="24"/>
        </w:rPr>
        <w:t>甲方二（委托人）</w:t>
      </w:r>
      <w:r>
        <w:rPr>
          <w:rFonts w:hint="eastAsia" w:ascii="宋体" w:hAnsi="宋体" w:cs="宋体"/>
          <w:sz w:val="24"/>
        </w:rPr>
        <w:t>：</w:t>
      </w:r>
      <w:r>
        <w:rPr>
          <w:rFonts w:hint="eastAsia" w:ascii="宋体" w:hAnsi="宋体" w:cs="宋体"/>
          <w:color w:val="auto"/>
          <w:sz w:val="24"/>
        </w:rPr>
        <w:t>武汉开城置业发展有限公司酒店管理分公司</w:t>
      </w:r>
    </w:p>
    <w:p w14:paraId="7DEDDA09">
      <w:pPr>
        <w:spacing w:line="400" w:lineRule="exact"/>
        <w:ind w:firstLine="482" w:firstLineChars="200"/>
        <w:rPr>
          <w:rFonts w:hint="eastAsia" w:ascii="宋体" w:hAnsi="宋体" w:cs="宋体"/>
          <w:sz w:val="24"/>
        </w:rPr>
      </w:pPr>
      <w:r>
        <w:rPr>
          <w:rFonts w:hint="eastAsia" w:ascii="宋体" w:hAnsi="宋体" w:cs="宋体"/>
          <w:b/>
          <w:bCs/>
          <w:sz w:val="24"/>
        </w:rPr>
        <w:t>乙方（承揽人）</w:t>
      </w:r>
      <w:r>
        <w:rPr>
          <w:rFonts w:hint="eastAsia" w:ascii="宋体" w:hAnsi="宋体" w:cs="宋体"/>
          <w:sz w:val="24"/>
        </w:rPr>
        <w:t>：</w:t>
      </w:r>
    </w:p>
    <w:p w14:paraId="28D29810">
      <w:pPr>
        <w:spacing w:line="400" w:lineRule="exact"/>
        <w:ind w:firstLine="480" w:firstLineChars="200"/>
        <w:rPr>
          <w:rFonts w:hint="eastAsia" w:ascii="宋体" w:hAnsi="宋体" w:cs="宋体"/>
          <w:sz w:val="24"/>
          <w:u w:val="single"/>
        </w:rPr>
      </w:pPr>
    </w:p>
    <w:p w14:paraId="32205CFA">
      <w:pPr>
        <w:spacing w:line="400" w:lineRule="exact"/>
        <w:ind w:firstLine="480" w:firstLineChars="200"/>
        <w:rPr>
          <w:rFonts w:hint="eastAsia" w:ascii="宋体" w:hAnsi="宋体" w:cs="宋体"/>
          <w:bCs/>
          <w:sz w:val="24"/>
        </w:rPr>
      </w:pPr>
      <w:r>
        <w:rPr>
          <w:rFonts w:hint="eastAsia" w:ascii="宋体" w:hAnsi="宋体" w:cs="宋体"/>
          <w:bCs/>
          <w:sz w:val="24"/>
        </w:rPr>
        <w:t>根据招标文件、中标通知书、乙方的报价文件及相关保证和承诺，就乙方承揽甲方委托的华中·中交城四害消杀服务工作，甲、乙双方经过平等协商，在真实、充分地表达各自意愿的基础上，根据《中华人民共和国民法典》等法律、法规的规定，达成如下协议，并由双方共同恪守。</w:t>
      </w:r>
    </w:p>
    <w:p w14:paraId="1E9BC162">
      <w:pPr>
        <w:pStyle w:val="5"/>
        <w:spacing w:before="0" w:beforeAutospacing="0" w:after="0" w:afterAutospacing="0" w:line="400" w:lineRule="exact"/>
        <w:rPr>
          <w:rFonts w:hint="eastAsia" w:ascii="宋体" w:hAnsi="宋体" w:cs="宋体"/>
          <w:b/>
          <w:bCs/>
          <w:sz w:val="24"/>
        </w:rPr>
      </w:pPr>
      <w:r>
        <w:rPr>
          <w:rFonts w:hint="eastAsia" w:ascii="宋体" w:hAnsi="宋体" w:cs="宋体"/>
          <w:b/>
          <w:bCs/>
          <w:sz w:val="24"/>
        </w:rPr>
        <w:t>一、防治区域、防治标靶物</w:t>
      </w:r>
    </w:p>
    <w:p w14:paraId="585688EB">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1.1防治区域：华中·中交城A区（含A栋总部大楼、B栋酒店、园区外围公共区域、生活垃圾房及地下停车场），华中·中交城B区（含H1栋公寓公区、H2栋首层大堂、园区外围公共区域及地下停车场）等。</w:t>
      </w:r>
    </w:p>
    <w:p w14:paraId="0ACF81AE">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1.2防治标靶物：鼠、蚊、蝇、蝉螂、蛇等。（详见附件一：《四害消杀服务清单及费用明细表》）</w:t>
      </w:r>
    </w:p>
    <w:p w14:paraId="55AEAFAD">
      <w:pPr>
        <w:spacing w:line="400" w:lineRule="exact"/>
        <w:rPr>
          <w:rFonts w:hint="eastAsia" w:asciiTheme="minorEastAsia" w:hAnsiTheme="minorEastAsia" w:eastAsiaTheme="minorEastAsia"/>
          <w:sz w:val="24"/>
        </w:rPr>
      </w:pPr>
      <w:r>
        <w:rPr>
          <w:rFonts w:hint="eastAsia" w:asciiTheme="minorEastAsia" w:hAnsiTheme="minorEastAsia" w:eastAsiaTheme="minorEastAsia"/>
          <w:sz w:val="24"/>
        </w:rPr>
        <w:t>1.3消杀频率：乙方保证在双方约定的时间内进行定期消杀；灭害则视蛇鼠害情况而定。（详见附件二《四害消杀服务内容要求及频率》）</w:t>
      </w:r>
    </w:p>
    <w:p w14:paraId="299653EB">
      <w:pPr>
        <w:pStyle w:val="5"/>
        <w:spacing w:before="0" w:beforeAutospacing="0" w:after="0" w:afterAutospacing="0" w:line="400" w:lineRule="exact"/>
        <w:rPr>
          <w:rFonts w:hint="eastAsia" w:ascii="宋体" w:hAnsi="宋体" w:cs="宋体"/>
          <w:b/>
          <w:bCs/>
          <w:kern w:val="0"/>
          <w:sz w:val="24"/>
        </w:rPr>
      </w:pPr>
      <w:r>
        <w:rPr>
          <w:rFonts w:hint="eastAsia" w:ascii="宋体" w:hAnsi="宋体" w:cs="宋体"/>
          <w:b/>
          <w:bCs/>
          <w:kern w:val="0"/>
          <w:sz w:val="24"/>
        </w:rPr>
        <w:t>二、防治效果标准</w:t>
      </w:r>
      <w:r>
        <w:rPr>
          <w:rFonts w:hint="eastAsia" w:ascii="宋体" w:hAnsi="宋体" w:cs="宋体"/>
          <w:b/>
          <w:bCs/>
          <w:sz w:val="24"/>
        </w:rPr>
        <w:t>及消杀频率</w:t>
      </w:r>
    </w:p>
    <w:p w14:paraId="071E3092">
      <w:pPr>
        <w:spacing w:line="360" w:lineRule="auto"/>
        <w:rPr>
          <w:rFonts w:hint="eastAsia" w:asciiTheme="minorEastAsia" w:hAnsiTheme="minorEastAsia" w:eastAsiaTheme="minorEastAsia"/>
          <w:sz w:val="24"/>
          <w:lang w:eastAsia="zh-CN"/>
        </w:rPr>
      </w:pPr>
      <w:r>
        <w:rPr>
          <w:rFonts w:hint="eastAsia" w:asciiTheme="minorEastAsia" w:hAnsiTheme="minorEastAsia" w:eastAsiaTheme="minorEastAsia"/>
          <w:sz w:val="24"/>
        </w:rPr>
        <w:t>2.1华中·中交城</w:t>
      </w:r>
      <w:r>
        <w:rPr>
          <w:rFonts w:hint="eastAsia" w:asciiTheme="minorEastAsia" w:hAnsiTheme="minorEastAsia" w:eastAsiaTheme="minorEastAsia"/>
          <w:sz w:val="24"/>
          <w:lang w:eastAsia="zh-CN"/>
        </w:rPr>
        <w:t>A区（不含酒店）、B区</w:t>
      </w:r>
    </w:p>
    <w:p w14:paraId="2C3A0E7B">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（1）防治区域</w:t>
      </w:r>
    </w:p>
    <w:p w14:paraId="4A4A5C6D">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华中·中交城A区（含A栋总部大</w:t>
      </w:r>
      <w:r>
        <w:rPr>
          <w:rFonts w:hint="eastAsia" w:asciiTheme="minorEastAsia" w:hAnsiTheme="minorEastAsia" w:eastAsiaTheme="minorEastAsia"/>
          <w:sz w:val="24"/>
          <w:lang w:val="en-US" w:eastAsia="zh-CN"/>
        </w:rPr>
        <w:t>楼</w:t>
      </w:r>
      <w:r>
        <w:rPr>
          <w:rFonts w:hint="eastAsia" w:asciiTheme="minorEastAsia" w:hAnsiTheme="minorEastAsia" w:eastAsiaTheme="minorEastAsia"/>
          <w:sz w:val="24"/>
        </w:rPr>
        <w:t>、园区外围公共区域、生活垃圾房及地下停车场），华中·中交城B区（含H1栋公寓公区、H2栋首层大堂、园区外围公共区域及地下停车场）等区域</w:t>
      </w:r>
    </w:p>
    <w:p w14:paraId="21C88FF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（2）防治标准及频率要求（详见附件二《四害消杀服务内容要求及频率》）</w:t>
      </w:r>
    </w:p>
    <w:p w14:paraId="26481D26">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（3）防治效果</w:t>
      </w:r>
    </w:p>
    <w:p w14:paraId="3792FE8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消杀单位的四害消杀服务客户整体满意度应达到90%以上，且检验标准符合国家、地方及行业相关标准、规范，主要有：</w:t>
      </w:r>
    </w:p>
    <w:p w14:paraId="1D3BD5C4">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①灭鼠标准:服务区域不同类型外环境累计2000米，鼠迹不超过5处，有鼠洞、鼠咬痕迹的房间不超过2%;防鼠设施不合格处不超过5%。鼠粪、</w:t>
      </w:r>
    </w:p>
    <w:p w14:paraId="1B848DAE">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②灭蚊标准:采用目测法检测，目测无蚊，白天人诱蚊30分钟，平均每人次诱获成蚊数不超过1只。</w:t>
      </w:r>
    </w:p>
    <w:p w14:paraId="473C1F02">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③灭蝇标准:服务区域外环境累计2000米蝇类孳生地不超过3处,垃圾收集点(箱车、房)等目视无明显苍蝇在飞。</w:t>
      </w:r>
    </w:p>
    <w:p w14:paraId="687E5E8D">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④灭蟑标准:采用目测法检测，服务区域内下水道、窑井等处蟑螂成虫或若虫平均每处大蠊不超过5只，小镰不超过10只。</w:t>
      </w:r>
    </w:p>
    <w:p w14:paraId="52FE245C">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2.3华中·中交城A区B栋酒店</w:t>
      </w:r>
    </w:p>
    <w:p w14:paraId="7AC5AEC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（1）防治区域</w:t>
      </w:r>
    </w:p>
    <w:p w14:paraId="0CCF85A1">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rPr>
        <w:t>华中·中交城A区B栋酒店内环</w:t>
      </w:r>
      <w:r>
        <w:rPr>
          <w:rFonts w:hint="eastAsia" w:asciiTheme="minorEastAsia" w:hAnsiTheme="minorEastAsia" w:eastAsiaTheme="minorEastAsia"/>
          <w:sz w:val="24"/>
          <w:highlight w:val="none"/>
        </w:rPr>
        <w:t>境及外围，包括：客房区域、餐饮区域、酒店内公共区域、会议室、员工餐厅、员工宿舍、</w:t>
      </w:r>
      <w:r>
        <w:rPr>
          <w:rFonts w:hint="eastAsia" w:asciiTheme="minorEastAsia" w:hAnsiTheme="minorEastAsia" w:eastAsiaTheme="minorEastAsia"/>
          <w:color w:val="auto"/>
          <w:sz w:val="24"/>
          <w:highlight w:val="none"/>
        </w:rPr>
        <w:t>行政</w:t>
      </w:r>
      <w:r>
        <w:rPr>
          <w:rFonts w:hint="eastAsia" w:asciiTheme="minorEastAsia" w:hAnsiTheme="minorEastAsia" w:eastAsiaTheme="minorEastAsia"/>
          <w:color w:val="auto"/>
          <w:sz w:val="24"/>
          <w:highlight w:val="none"/>
          <w:lang w:val="en-US" w:eastAsia="zh-CN"/>
        </w:rPr>
        <w:t>酒</w:t>
      </w:r>
      <w:r>
        <w:rPr>
          <w:rFonts w:hint="eastAsia" w:asciiTheme="minorEastAsia" w:hAnsiTheme="minorEastAsia" w:eastAsiaTheme="minorEastAsia"/>
          <w:color w:val="auto"/>
          <w:sz w:val="24"/>
          <w:highlight w:val="none"/>
        </w:rPr>
        <w:t>廊、</w:t>
      </w:r>
      <w:r>
        <w:rPr>
          <w:rFonts w:hint="eastAsia" w:asciiTheme="minorEastAsia" w:hAnsiTheme="minorEastAsia" w:eastAsiaTheme="minorEastAsia"/>
          <w:sz w:val="24"/>
          <w:highlight w:val="none"/>
        </w:rPr>
        <w:t>洗衣房等。</w:t>
      </w:r>
    </w:p>
    <w:p w14:paraId="104629EA">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（2）防治效果标准的评价应依照国家爱卫办制定的有关法律、法规标准即内环境达到无害标准（以下为注解）；外环境近似达到无害标准。</w:t>
      </w:r>
    </w:p>
    <w:p w14:paraId="6EC2A0DD">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蚊子：①路径指数是指评价人员在评价过程中走过的路径程度为1000米，所发现有蚊幼的阳性积水处数≤0.5处。路径指数=阳性积水/路径长度（千米）乘1000。②用500ml收集勺采集城区内大中型水体中的蚊幼或蛹阳性率不超过3，阳性勺内幼虫或蛹的平均数不超过5只（蚊密度检测采用诱集法；每月度一次）。</w:t>
      </w:r>
    </w:p>
    <w:p w14:paraId="3BA23A97">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苍蝇：生产销售直接入口的场所无蝇，室内无蝇类孽生地，房间阳性率不高于10%，阳性房间蝇密度不高于3只/间。幼虫和蛹的检出率不超过3%（蝇密度检测采用笼诱法；每季度一次）。</w:t>
      </w:r>
    </w:p>
    <w:p w14:paraId="59AE99E1">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蟑螂：①蟑螂成虫若虫阳性率不高于5%，平均每阳性房间大蠊≤5只，小蠊≤10只。②有活蟑螂卵鞘房间不超过2%，平均每间房不超过4只。（蟑密度检测采用粘铺法检测或用0.3二氯苯醚菊酯酒精溶液喷射孔、洞、缝隙，将蟑螂驱赶出来，并记录；每月度一次）</w:t>
      </w:r>
    </w:p>
    <w:p w14:paraId="1A524394">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老鼠：外环境无鼠洞、死鼠、活鼠及鼠迹。（鼠密度采用盗食法、粉块法；每月度一次）</w:t>
      </w:r>
    </w:p>
    <w:p w14:paraId="60F73B63">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蛇：内外环境近似无害。</w:t>
      </w:r>
    </w:p>
    <w:p w14:paraId="07AE2EC4">
      <w:pPr>
        <w:spacing w:line="360" w:lineRule="auto"/>
        <w:rPr>
          <w:rFonts w:hint="eastAsia" w:asciiTheme="minorEastAsia" w:hAnsiTheme="minorEastAsia" w:eastAsiaTheme="minorEastAsia"/>
          <w:sz w:val="24"/>
          <w:highlight w:val="none"/>
        </w:rPr>
      </w:pPr>
      <w:r>
        <w:rPr>
          <w:rFonts w:hint="eastAsia" w:asciiTheme="minorEastAsia" w:hAnsiTheme="minorEastAsia" w:eastAsiaTheme="minorEastAsia"/>
          <w:sz w:val="24"/>
        </w:rPr>
        <w:t>以上阳性房间系指有虫害的房间：以上标准如国家的法律、法规标准在合同期内更改，本条则应做出符合国家法律、法规标准的更改。在合作期间公司的各类资质的有效性符</w:t>
      </w:r>
      <w:r>
        <w:rPr>
          <w:rFonts w:hint="eastAsia" w:asciiTheme="minorEastAsia" w:hAnsiTheme="minorEastAsia" w:eastAsiaTheme="minorEastAsia"/>
          <w:sz w:val="24"/>
          <w:highlight w:val="none"/>
        </w:rPr>
        <w:t>合国家相关规范，并有义务协助确保甲方通过上级主管部门业务审批或检查。</w:t>
      </w:r>
    </w:p>
    <w:p w14:paraId="4044DAF6">
      <w:pPr>
        <w:pStyle w:val="5"/>
        <w:spacing w:before="0" w:beforeAutospacing="0" w:after="0" w:afterAutospacing="0" w:line="400" w:lineRule="exact"/>
        <w:rPr>
          <w:rFonts w:hint="eastAsia" w:ascii="宋体" w:hAnsi="宋体" w:cs="宋体"/>
          <w:b/>
          <w:bCs/>
          <w:sz w:val="24"/>
          <w:highlight w:val="none"/>
        </w:rPr>
      </w:pPr>
      <w:r>
        <w:rPr>
          <w:rFonts w:hint="eastAsia" w:ascii="宋体" w:hAnsi="宋体" w:cs="宋体"/>
          <w:b/>
          <w:bCs/>
          <w:sz w:val="24"/>
          <w:highlight w:val="none"/>
        </w:rPr>
        <w:t>三、服务期限</w:t>
      </w:r>
    </w:p>
    <w:p w14:paraId="2C90ED54">
      <w:pPr>
        <w:pStyle w:val="5"/>
        <w:spacing w:before="0" w:beforeAutospacing="0" w:after="0" w:afterAutospacing="0" w:line="400" w:lineRule="exact"/>
        <w:rPr>
          <w:rFonts w:hint="eastAsia" w:ascii="宋体" w:hAnsi="宋体" w:cs="宋体"/>
          <w:color w:val="000000"/>
          <w:sz w:val="24"/>
          <w:highlight w:val="none"/>
        </w:rPr>
      </w:pPr>
      <w:r>
        <w:rPr>
          <w:rFonts w:hint="eastAsia" w:ascii="宋体" w:hAnsi="宋体" w:cs="宋体"/>
          <w:color w:val="000000"/>
          <w:sz w:val="24"/>
          <w:highlight w:val="none"/>
        </w:rPr>
        <w:t>本合同</w:t>
      </w:r>
      <w:r>
        <w:rPr>
          <w:rFonts w:hint="eastAsia" w:ascii="宋体" w:hAnsi="宋体" w:cs="宋体"/>
          <w:color w:val="000000"/>
          <w:sz w:val="24"/>
          <w:highlight w:val="none"/>
          <w:lang w:eastAsia="zh-CN"/>
        </w:rPr>
        <w:t>采取1+1模式，第一年合同</w:t>
      </w:r>
      <w:r>
        <w:rPr>
          <w:rFonts w:hint="eastAsia" w:ascii="宋体" w:hAnsi="宋体" w:cs="宋体"/>
          <w:color w:val="000000"/>
          <w:sz w:val="24"/>
          <w:highlight w:val="none"/>
          <w:lang w:val="en-US" w:eastAsia="zh-CN"/>
        </w:rPr>
        <w:t>期限</w:t>
      </w:r>
      <w:r>
        <w:rPr>
          <w:rFonts w:hint="eastAsia" w:ascii="宋体" w:hAnsi="宋体" w:cs="宋体"/>
          <w:color w:val="000000"/>
          <w:sz w:val="24"/>
          <w:highlight w:val="none"/>
        </w:rPr>
        <w:t>为：</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日至</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rPr>
        <w:t>日</w:t>
      </w:r>
      <w:r>
        <w:rPr>
          <w:rFonts w:hint="eastAsia" w:ascii="宋体" w:hAnsi="宋体" w:cs="宋体"/>
          <w:color w:val="000000"/>
          <w:sz w:val="24"/>
          <w:highlight w:val="none"/>
          <w:lang w:eastAsia="zh-CN"/>
        </w:rPr>
        <w:t>（以合同实际签订时间为准），第一年合同期满，经甲方认可同意后，由双方协商一致，可以再续签一年并另行签订合同，续签合同的单价按照本合同约定的第一年单价执行</w:t>
      </w:r>
      <w:r>
        <w:rPr>
          <w:rFonts w:hint="eastAsia" w:ascii="宋体" w:hAnsi="宋体" w:cs="宋体"/>
          <w:color w:val="000000"/>
          <w:sz w:val="24"/>
          <w:highlight w:val="none"/>
        </w:rPr>
        <w:t>。</w:t>
      </w:r>
    </w:p>
    <w:p w14:paraId="0873887A">
      <w:pPr>
        <w:pStyle w:val="5"/>
        <w:numPr>
          <w:ilvl w:val="0"/>
          <w:numId w:val="1"/>
        </w:numPr>
        <w:spacing w:before="0" w:beforeAutospacing="0" w:after="0" w:afterAutospacing="0" w:line="400" w:lineRule="exact"/>
        <w:rPr>
          <w:rFonts w:hint="eastAsia" w:ascii="宋体" w:hAnsi="宋体" w:cs="宋体"/>
          <w:b/>
          <w:bCs/>
          <w:sz w:val="24"/>
          <w:highlight w:val="none"/>
        </w:rPr>
      </w:pPr>
      <w:r>
        <w:rPr>
          <w:rFonts w:hint="eastAsia" w:ascii="宋体" w:hAnsi="宋体" w:cs="宋体"/>
          <w:b/>
          <w:bCs/>
          <w:sz w:val="24"/>
          <w:highlight w:val="none"/>
        </w:rPr>
        <w:t>合同价款、结算、支付与发票</w:t>
      </w:r>
    </w:p>
    <w:p w14:paraId="53476CC9">
      <w:pPr>
        <w:pStyle w:val="5"/>
        <w:spacing w:before="0" w:beforeAutospacing="0" w:after="0" w:afterAutospacing="0" w:line="400" w:lineRule="exac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4.1费用实行包干制，此费用包括（但不限于）各种材料费、劳务费、管理费、设备费、交通费、保险、因达不到服务标准的返工、管理费、利润、税金及合同明示或暗示的所有一切风险、责任和义务的费用。</w:t>
      </w:r>
    </w:p>
    <w:p w14:paraId="76254B42">
      <w:pPr>
        <w:pStyle w:val="5"/>
        <w:spacing w:before="0" w:beforeAutospacing="0" w:after="0" w:afterAutospacing="0" w:line="400" w:lineRule="exact"/>
        <w:rPr>
          <w:rFonts w:hint="eastAsia" w:ascii="宋体" w:hAnsi="宋体" w:cs="宋体"/>
          <w:color w:val="000000"/>
          <w:sz w:val="24"/>
          <w:highlight w:val="none"/>
        </w:rPr>
      </w:pPr>
      <w:r>
        <w:rPr>
          <w:rFonts w:hint="eastAsia" w:ascii="宋体" w:hAnsi="宋体" w:cs="宋体"/>
          <w:color w:val="000000"/>
          <w:sz w:val="24"/>
          <w:highlight w:val="none"/>
        </w:rPr>
        <w:t>4.2合同价款</w:t>
      </w:r>
    </w:p>
    <w:p w14:paraId="0AC1A082">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color w:val="000000"/>
          <w:sz w:val="24"/>
          <w:lang w:val="en-US" w:eastAsia="zh-CN"/>
        </w:rPr>
      </w:pPr>
      <w:r>
        <w:rPr>
          <w:rFonts w:hint="eastAsia" w:ascii="宋体" w:hAnsi="宋体" w:cs="宋体"/>
          <w:color w:val="000000"/>
          <w:sz w:val="24"/>
        </w:rPr>
        <w:t>含税服务费</w:t>
      </w:r>
      <w:r>
        <w:rPr>
          <w:rFonts w:hint="eastAsia" w:ascii="宋体" w:hAnsi="宋体" w:cs="宋体"/>
          <w:color w:val="000000"/>
          <w:sz w:val="24"/>
          <w:lang w:val="en-US" w:eastAsia="zh-CN"/>
        </w:rPr>
        <w:t>总计</w:t>
      </w:r>
      <w:r>
        <w:rPr>
          <w:rFonts w:hint="eastAsia" w:ascii="宋体" w:hAnsi="宋体" w:cs="宋体"/>
          <w:color w:val="000000"/>
          <w:sz w:val="24"/>
        </w:rPr>
        <w:t>暂定为：¥</w:t>
      </w:r>
      <w:r>
        <w:rPr>
          <w:rFonts w:hint="eastAsia" w:ascii="宋体" w:hAnsi="宋体" w:cs="宋体"/>
          <w:color w:val="000000"/>
          <w:sz w:val="24"/>
          <w:u w:val="single"/>
          <w:lang w:val="en-US" w:eastAsia="zh-CN"/>
        </w:rPr>
        <w:t xml:space="preserve">    </w:t>
      </w:r>
      <w:r>
        <w:rPr>
          <w:rFonts w:hint="eastAsia" w:ascii="宋体" w:hAnsi="宋体" w:cs="宋体"/>
          <w:color w:val="000000"/>
          <w:sz w:val="24"/>
        </w:rPr>
        <w:t>元（大写</w:t>
      </w:r>
      <w:r>
        <w:rPr>
          <w:rFonts w:hint="eastAsia" w:ascii="宋体" w:hAnsi="宋体" w:cs="宋体"/>
          <w:color w:val="000000"/>
          <w:sz w:val="24"/>
          <w:lang w:eastAsia="zh-CN"/>
        </w:rPr>
        <w:t>：</w:t>
      </w:r>
      <w:r>
        <w:rPr>
          <w:rFonts w:hint="eastAsia" w:ascii="宋体" w:hAnsi="宋体" w:cs="宋体"/>
          <w:color w:val="000000"/>
          <w:sz w:val="24"/>
        </w:rPr>
        <w:t>人民币</w:t>
      </w:r>
      <w:r>
        <w:rPr>
          <w:rFonts w:hint="eastAsia" w:ascii="宋体" w:hAnsi="宋体" w:cs="宋体"/>
          <w:color w:val="000000"/>
          <w:sz w:val="24"/>
          <w:u w:val="single"/>
          <w:lang w:val="en-US" w:eastAsia="zh-CN"/>
        </w:rPr>
        <w:t xml:space="preserve">    </w:t>
      </w:r>
      <w:r>
        <w:rPr>
          <w:rFonts w:hint="eastAsia" w:ascii="宋体" w:hAnsi="宋体" w:cs="宋体"/>
          <w:color w:val="000000"/>
          <w:sz w:val="24"/>
        </w:rPr>
        <w:t>），</w:t>
      </w:r>
      <w:r>
        <w:rPr>
          <w:rFonts w:hint="eastAsia" w:ascii="宋体" w:hAnsi="宋体" w:cs="宋体"/>
          <w:color w:val="000000"/>
          <w:sz w:val="24"/>
          <w:lang w:val="en-US" w:eastAsia="zh-CN"/>
        </w:rPr>
        <w:t>其中：</w:t>
      </w:r>
    </w:p>
    <w:p w14:paraId="422BABB0">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cs="宋体"/>
          <w:b w:val="0"/>
          <w:bCs w:val="0"/>
          <w:color w:val="000000"/>
          <w:sz w:val="24"/>
          <w:szCs w:val="24"/>
          <w:u w:val="none"/>
          <w:lang w:val="en-US" w:eastAsia="zh-CN"/>
        </w:rPr>
      </w:pPr>
      <w:r>
        <w:rPr>
          <w:rFonts w:hint="eastAsia" w:ascii="宋体" w:hAnsi="宋体" w:cs="宋体"/>
          <w:b w:val="0"/>
          <w:bCs w:val="0"/>
          <w:color w:val="000000"/>
          <w:sz w:val="24"/>
          <w:szCs w:val="24"/>
          <w:lang w:val="en-US" w:eastAsia="zh-CN"/>
        </w:rPr>
        <w:t>甲方一</w:t>
      </w:r>
      <w:r>
        <w:rPr>
          <w:rFonts w:hint="eastAsia" w:ascii="宋体" w:hAnsi="宋体" w:eastAsia="宋体" w:cs="宋体"/>
          <w:b w:val="0"/>
          <w:bCs w:val="0"/>
          <w:color w:val="000000"/>
          <w:sz w:val="24"/>
          <w:szCs w:val="24"/>
          <w:lang w:val="en-US" w:eastAsia="zh-CN"/>
        </w:rPr>
        <w:t>含税服务费暂定为：¥</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，其中</w:t>
      </w:r>
      <w:r>
        <w:rPr>
          <w:rFonts w:hint="eastAsia" w:ascii="宋体" w:hAnsi="宋体" w:eastAsia="宋体" w:cs="宋体"/>
          <w:b w:val="0"/>
          <w:bCs w:val="0"/>
          <w:color w:val="000000"/>
          <w:sz w:val="24"/>
          <w:szCs w:val="24"/>
          <w:lang w:val="en-US" w:eastAsia="zh-CN"/>
        </w:rPr>
        <w:t>增值税税率为</w:t>
      </w:r>
      <w:r>
        <w:rPr>
          <w:rFonts w:hint="eastAsia" w:ascii="宋体" w:hAnsi="宋体" w:cs="宋体"/>
          <w:color w:val="000000"/>
          <w:sz w:val="24"/>
          <w:u w:val="single"/>
          <w:lang w:val="en-US" w:eastAsia="zh-CN"/>
        </w:rPr>
        <w:t xml:space="preserve">    </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%，增值税税额为¥</w:t>
      </w:r>
      <w:r>
        <w:rPr>
          <w:rFonts w:hint="eastAsia" w:ascii="宋体" w:hAnsi="宋体" w:eastAsia="宋体" w:cs="宋体"/>
          <w:b w:val="0"/>
          <w:bCs w:val="0"/>
          <w:color w:val="000000"/>
          <w:sz w:val="24"/>
          <w:szCs w:val="24"/>
          <w:u w:val="single"/>
          <w:lang w:val="en-US" w:eastAsia="zh-CN"/>
        </w:rPr>
        <w:t xml:space="preserve"> </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），不含税金额为¥</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。每季度含税服务费</w:t>
      </w:r>
      <w:r>
        <w:rPr>
          <w:rFonts w:hint="eastAsia" w:ascii="宋体" w:hAnsi="宋体" w:eastAsia="宋体" w:cs="宋体"/>
          <w:b w:val="0"/>
          <w:bCs w:val="0"/>
          <w:color w:val="000000"/>
          <w:sz w:val="24"/>
          <w:szCs w:val="24"/>
          <w:lang w:val="en-US" w:eastAsia="zh-CN"/>
        </w:rPr>
        <w:t>为：¥</w:t>
      </w:r>
      <w:r>
        <w:rPr>
          <w:rFonts w:hint="eastAsia" w:ascii="宋体" w:hAnsi="宋体" w:cs="宋体"/>
          <w:color w:val="000000"/>
          <w:sz w:val="24"/>
          <w:u w:val="single"/>
          <w:lang w:val="en-US" w:eastAsia="zh-CN"/>
        </w:rPr>
        <w:t xml:space="preserve">    </w:t>
      </w:r>
      <w:r>
        <w:rPr>
          <w:rFonts w:hint="eastAsia" w:ascii="宋体" w:hAnsi="宋体" w:cs="宋体"/>
          <w:b w:val="0"/>
          <w:bCs w:val="0"/>
          <w:color w:val="000000"/>
          <w:sz w:val="24"/>
          <w:szCs w:val="24"/>
          <w:u w:val="none"/>
          <w:lang w:val="en-US" w:eastAsia="zh-CN"/>
        </w:rPr>
        <w:t>，增值税税额</w:t>
      </w:r>
      <w:r>
        <w:rPr>
          <w:rFonts w:hint="eastAsia" w:ascii="宋体" w:hAnsi="宋体" w:eastAsia="宋体" w:cs="宋体"/>
          <w:b w:val="0"/>
          <w:bCs w:val="0"/>
          <w:color w:val="000000"/>
          <w:sz w:val="24"/>
          <w:szCs w:val="24"/>
          <w:lang w:val="en-US" w:eastAsia="zh-CN"/>
        </w:rPr>
        <w:t>¥</w:t>
      </w:r>
      <w:r>
        <w:rPr>
          <w:rFonts w:hint="eastAsia" w:ascii="宋体" w:hAnsi="宋体" w:cs="宋体"/>
          <w:color w:val="000000"/>
          <w:sz w:val="24"/>
          <w:u w:val="single"/>
          <w:lang w:val="en-US" w:eastAsia="zh-CN"/>
        </w:rPr>
        <w:t xml:space="preserve">    </w:t>
      </w:r>
      <w:r>
        <w:rPr>
          <w:rFonts w:hint="eastAsia" w:ascii="宋体" w:hAnsi="宋体" w:cs="宋体"/>
          <w:b w:val="0"/>
          <w:bCs w:val="0"/>
          <w:color w:val="000000"/>
          <w:sz w:val="24"/>
          <w:szCs w:val="24"/>
          <w:u w:val="none"/>
          <w:lang w:val="en-US" w:eastAsia="zh-CN"/>
        </w:rPr>
        <w:t>元</w:t>
      </w:r>
      <w:r>
        <w:rPr>
          <w:rFonts w:hint="eastAsia" w:ascii="宋体" w:hAnsi="宋体" w:eastAsia="宋体" w:cs="宋体"/>
          <w:b w:val="0"/>
          <w:bCs w:val="0"/>
          <w:color w:val="000000"/>
          <w:sz w:val="24"/>
          <w:szCs w:val="24"/>
          <w:lang w:val="en-US" w:eastAsia="zh-CN"/>
        </w:rPr>
        <w:t>（大写：人民币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不含税金额为¥</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00BEE93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cs="宋体"/>
          <w:b w:val="0"/>
          <w:bCs w:val="0"/>
          <w:color w:val="000000"/>
          <w:sz w:val="24"/>
          <w:lang w:val="en-US" w:eastAsia="zh-CN"/>
        </w:rPr>
      </w:pPr>
      <w:r>
        <w:rPr>
          <w:rFonts w:hint="eastAsia" w:ascii="宋体" w:hAnsi="宋体" w:cs="宋体"/>
          <w:b w:val="0"/>
          <w:bCs w:val="0"/>
          <w:color w:val="000000"/>
          <w:sz w:val="24"/>
          <w:szCs w:val="24"/>
          <w:lang w:val="en-US" w:eastAsia="zh-CN"/>
        </w:rPr>
        <w:t>甲方二</w:t>
      </w:r>
      <w:r>
        <w:rPr>
          <w:rFonts w:hint="eastAsia" w:ascii="宋体" w:hAnsi="宋体" w:eastAsia="宋体" w:cs="宋体"/>
          <w:b w:val="0"/>
          <w:bCs w:val="0"/>
          <w:color w:val="000000"/>
          <w:sz w:val="24"/>
          <w:szCs w:val="24"/>
          <w:lang w:val="en-US" w:eastAsia="zh-CN"/>
        </w:rPr>
        <w:t>含税服务费暂定为：¥</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cs="宋体"/>
          <w:b w:val="0"/>
          <w:bCs w:val="0"/>
          <w:color w:val="000000"/>
          <w:sz w:val="24"/>
          <w:szCs w:val="24"/>
          <w:lang w:val="en-US" w:eastAsia="zh-CN"/>
        </w:rPr>
        <w:t>，其中</w:t>
      </w:r>
      <w:r>
        <w:rPr>
          <w:rFonts w:hint="eastAsia" w:ascii="宋体" w:hAnsi="宋体" w:eastAsia="宋体" w:cs="宋体"/>
          <w:b w:val="0"/>
          <w:bCs w:val="0"/>
          <w:color w:val="000000"/>
          <w:sz w:val="24"/>
          <w:szCs w:val="24"/>
          <w:lang w:val="en-US" w:eastAsia="zh-CN"/>
        </w:rPr>
        <w:t>增值税税率为</w:t>
      </w:r>
      <w:r>
        <w:rPr>
          <w:rFonts w:hint="eastAsia" w:ascii="宋体" w:hAnsi="宋体" w:cs="宋体"/>
          <w:color w:val="000000"/>
          <w:sz w:val="24"/>
          <w:u w:val="single"/>
          <w:lang w:val="en-US" w:eastAsia="zh-CN"/>
        </w:rPr>
        <w:t xml:space="preserve">    </w:t>
      </w:r>
      <w:r>
        <w:rPr>
          <w:rFonts w:hint="eastAsia" w:ascii="宋体" w:hAnsi="宋体" w:cs="宋体"/>
          <w:b w:val="0"/>
          <w:bCs w:val="0"/>
          <w:color w:val="000000"/>
          <w:sz w:val="24"/>
          <w:szCs w:val="24"/>
          <w:u w:val="single"/>
          <w:lang w:val="en-US" w:eastAsia="zh-CN"/>
        </w:rPr>
        <w:t xml:space="preserve"> </w:t>
      </w:r>
      <w:r>
        <w:rPr>
          <w:rFonts w:hint="eastAsia" w:ascii="宋体" w:hAnsi="宋体" w:eastAsia="宋体" w:cs="宋体"/>
          <w:b w:val="0"/>
          <w:bCs w:val="0"/>
          <w:color w:val="000000"/>
          <w:sz w:val="24"/>
          <w:szCs w:val="24"/>
          <w:lang w:val="en-US" w:eastAsia="zh-CN"/>
        </w:rPr>
        <w:t>%，增值税税额为</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），不含税金额为</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。每季度含税服务费</w:t>
      </w:r>
      <w:r>
        <w:rPr>
          <w:rFonts w:hint="eastAsia" w:ascii="宋体" w:hAnsi="宋体" w:eastAsia="宋体" w:cs="宋体"/>
          <w:b w:val="0"/>
          <w:bCs w:val="0"/>
          <w:color w:val="000000"/>
          <w:sz w:val="24"/>
          <w:szCs w:val="24"/>
          <w:lang w:val="en-US" w:eastAsia="zh-CN"/>
        </w:rPr>
        <w:t>为：¥</w:t>
      </w:r>
      <w:r>
        <w:rPr>
          <w:rFonts w:hint="eastAsia" w:ascii="宋体" w:hAnsi="宋体" w:cs="宋体"/>
          <w:color w:val="000000"/>
          <w:sz w:val="24"/>
          <w:u w:val="single"/>
          <w:lang w:val="en-US" w:eastAsia="zh-CN"/>
        </w:rPr>
        <w:t xml:space="preserve">    </w:t>
      </w:r>
      <w:r>
        <w:rPr>
          <w:rFonts w:hint="eastAsia" w:ascii="宋体" w:hAnsi="宋体" w:cs="宋体"/>
          <w:b w:val="0"/>
          <w:bCs w:val="0"/>
          <w:color w:val="000000"/>
          <w:sz w:val="24"/>
          <w:szCs w:val="24"/>
          <w:u w:val="none"/>
          <w:lang w:val="en-US" w:eastAsia="zh-CN"/>
        </w:rPr>
        <w:t>，增值税税额</w:t>
      </w:r>
      <w:r>
        <w:rPr>
          <w:rFonts w:hint="eastAsia" w:ascii="宋体" w:hAnsi="宋体" w:eastAsia="宋体" w:cs="宋体"/>
          <w:b w:val="0"/>
          <w:bCs w:val="0"/>
          <w:color w:val="000000"/>
          <w:sz w:val="24"/>
          <w:szCs w:val="24"/>
          <w:lang w:val="en-US" w:eastAsia="zh-CN"/>
        </w:rPr>
        <w:t>¥</w:t>
      </w:r>
      <w:r>
        <w:rPr>
          <w:rFonts w:hint="eastAsia" w:ascii="宋体" w:hAnsi="宋体" w:cs="宋体"/>
          <w:color w:val="000000"/>
          <w:sz w:val="24"/>
          <w:u w:val="single"/>
          <w:lang w:val="en-US" w:eastAsia="zh-CN"/>
        </w:rPr>
        <w:t xml:space="preserve">    </w:t>
      </w:r>
      <w:r>
        <w:rPr>
          <w:rFonts w:hint="eastAsia" w:ascii="宋体" w:hAnsi="宋体" w:cs="宋体"/>
          <w:b w:val="0"/>
          <w:bCs w:val="0"/>
          <w:color w:val="000000"/>
          <w:sz w:val="24"/>
          <w:szCs w:val="24"/>
          <w:u w:val="none"/>
          <w:lang w:val="en-US" w:eastAsia="zh-CN"/>
        </w:rPr>
        <w:t>元</w:t>
      </w:r>
      <w:r>
        <w:rPr>
          <w:rFonts w:hint="eastAsia" w:ascii="宋体" w:hAnsi="宋体" w:eastAsia="宋体" w:cs="宋体"/>
          <w:b w:val="0"/>
          <w:bCs w:val="0"/>
          <w:color w:val="000000"/>
          <w:sz w:val="24"/>
          <w:szCs w:val="24"/>
          <w:lang w:val="en-US" w:eastAsia="zh-CN"/>
        </w:rPr>
        <w:t>（大写：人民币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lang w:val="en-US" w:eastAsia="zh-CN"/>
        </w:rPr>
        <w:t>不含税金额为¥</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元（大写：人民币</w:t>
      </w:r>
      <w:r>
        <w:rPr>
          <w:rFonts w:hint="eastAsia" w:ascii="宋体" w:hAnsi="宋体" w:cs="宋体"/>
          <w:color w:val="000000"/>
          <w:sz w:val="24"/>
          <w:u w:val="single"/>
          <w:lang w:val="en-US" w:eastAsia="zh-CN"/>
        </w:rPr>
        <w:t xml:space="preserve">    </w:t>
      </w:r>
      <w:r>
        <w:rPr>
          <w:rFonts w:hint="eastAsia" w:ascii="宋体" w:hAnsi="宋体" w:eastAsia="宋体" w:cs="宋体"/>
          <w:b w:val="0"/>
          <w:bCs w:val="0"/>
          <w:color w:val="000000"/>
          <w:sz w:val="24"/>
          <w:szCs w:val="24"/>
          <w:lang w:val="en-US" w:eastAsia="zh-CN"/>
        </w:rPr>
        <w:t>）</w:t>
      </w:r>
    </w:p>
    <w:p w14:paraId="629AEF87">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4.3费用支付按季度。每季度首月5日前甲乙双方根据服务现场验收单办理上季度服务费用结算。在双方办理完结算后，乙方根据本期结算单在7个工作日内开具并送达真实、合法、有效的全额增值税专用发票给甲方，甲方在乙方提供正规税务发票后30个工作日内支付上季度消杀服务费，如遇节假日则付款日相应顺延。</w:t>
      </w:r>
    </w:p>
    <w:p w14:paraId="6CE3E9FA">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4.4履约期间如国家调整增值税税率，则本合同不含增值税价不变，按照调整后的增值税税率进行结算。</w:t>
      </w:r>
    </w:p>
    <w:p w14:paraId="7E941726">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4.5乙方指定收款账号：</w:t>
      </w:r>
    </w:p>
    <w:p w14:paraId="12490C69">
      <w:pPr>
        <w:pStyle w:val="5"/>
        <w:spacing w:before="0" w:beforeAutospacing="0" w:after="0" w:afterAutospacing="0" w:line="400" w:lineRule="exact"/>
        <w:rPr>
          <w:rFonts w:hint="eastAsia" w:ascii="宋体" w:hAnsi="宋体" w:cs="宋体"/>
          <w:color w:val="000000"/>
          <w:sz w:val="24"/>
          <w:u w:val="single"/>
        </w:rPr>
      </w:pPr>
      <w:r>
        <w:rPr>
          <w:rFonts w:hint="eastAsia" w:ascii="宋体" w:hAnsi="宋体" w:cs="宋体"/>
          <w:color w:val="000000"/>
          <w:sz w:val="24"/>
        </w:rPr>
        <w:t>户</w:t>
      </w:r>
      <w:r>
        <w:rPr>
          <w:rFonts w:hint="eastAsia" w:ascii="宋体" w:hAnsi="宋体" w:cs="宋体"/>
          <w:color w:val="000000"/>
          <w:sz w:val="24"/>
          <w:lang w:val="en-US" w:eastAsia="zh-CN"/>
        </w:rPr>
        <w:t xml:space="preserve">  </w:t>
      </w:r>
      <w:r>
        <w:rPr>
          <w:rFonts w:hint="eastAsia" w:ascii="宋体" w:hAnsi="宋体" w:cs="宋体"/>
          <w:color w:val="000000"/>
          <w:sz w:val="24"/>
        </w:rPr>
        <w:t>名：</w:t>
      </w:r>
      <w:r>
        <w:rPr>
          <w:rFonts w:hint="eastAsia" w:ascii="宋体" w:hAnsi="宋体" w:cs="宋体"/>
          <w:color w:val="000000"/>
          <w:sz w:val="24"/>
          <w:u w:val="single"/>
        </w:rPr>
        <w:t xml:space="preserve">                         </w:t>
      </w:r>
    </w:p>
    <w:p w14:paraId="176DD883">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账</w:t>
      </w:r>
      <w:r>
        <w:rPr>
          <w:rFonts w:hint="eastAsia" w:ascii="宋体" w:hAnsi="宋体" w:cs="宋体"/>
          <w:color w:val="000000"/>
          <w:sz w:val="24"/>
          <w:lang w:val="en-US" w:eastAsia="zh-CN"/>
        </w:rPr>
        <w:t xml:space="preserve">  </w:t>
      </w:r>
      <w:r>
        <w:rPr>
          <w:rFonts w:hint="eastAsia" w:ascii="宋体" w:hAnsi="宋体" w:cs="宋体"/>
          <w:color w:val="000000"/>
          <w:sz w:val="24"/>
        </w:rPr>
        <w:t>号：</w:t>
      </w:r>
      <w:r>
        <w:rPr>
          <w:rFonts w:hint="eastAsia" w:ascii="宋体" w:hAnsi="宋体" w:cs="宋体"/>
          <w:color w:val="000000"/>
          <w:sz w:val="24"/>
          <w:u w:val="single"/>
        </w:rPr>
        <w:t xml:space="preserve">                         </w:t>
      </w:r>
    </w:p>
    <w:p w14:paraId="6C17CE30">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开户行：</w:t>
      </w:r>
      <w:r>
        <w:rPr>
          <w:rFonts w:hint="eastAsia" w:ascii="宋体" w:hAnsi="宋体" w:cs="宋体"/>
          <w:color w:val="000000"/>
          <w:sz w:val="24"/>
          <w:u w:val="single"/>
        </w:rPr>
        <w:t xml:space="preserve">                         </w:t>
      </w:r>
    </w:p>
    <w:p w14:paraId="684DF4E8">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4.8发票</w:t>
      </w:r>
    </w:p>
    <w:p w14:paraId="11B950A9">
      <w:pPr>
        <w:pStyle w:val="5"/>
        <w:widowControl/>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本合同中约定的价款或交易金额为含税金额，乙方应向甲方提供正规全额增值税</w:t>
      </w:r>
      <w:r>
        <w:rPr>
          <w:rFonts w:hint="eastAsia" w:ascii="宋体" w:hAnsi="宋体" w:cs="宋体"/>
          <w:color w:val="000000"/>
          <w:sz w:val="24"/>
        </w:rPr>
        <w:sym w:font="Wingdings 2" w:char="0052"/>
      </w:r>
      <w:r>
        <w:rPr>
          <w:rFonts w:hint="eastAsia" w:ascii="宋体" w:hAnsi="宋体" w:cs="宋体"/>
          <w:color w:val="000000"/>
          <w:sz w:val="24"/>
        </w:rPr>
        <w:t>专用/</w:t>
      </w:r>
      <w:r>
        <w:rPr>
          <w:rFonts w:hint="eastAsia" w:ascii="宋体" w:hAnsi="宋体" w:cs="宋体"/>
          <w:color w:val="000000"/>
          <w:sz w:val="24"/>
        </w:rPr>
        <w:sym w:font="Wingdings 2" w:char="00A3"/>
      </w:r>
      <w:r>
        <w:rPr>
          <w:rFonts w:hint="eastAsia" w:ascii="宋体" w:hAnsi="宋体" w:cs="宋体"/>
          <w:color w:val="000000"/>
          <w:sz w:val="24"/>
        </w:rPr>
        <w:t>普通发票。双方发票信息如下：</w:t>
      </w:r>
    </w:p>
    <w:p w14:paraId="0D5817D9">
      <w:pPr>
        <w:pStyle w:val="5"/>
        <w:widowControl/>
        <w:spacing w:before="0" w:beforeAutospacing="0" w:after="0" w:afterAutospacing="0" w:line="400" w:lineRule="exact"/>
        <w:rPr>
          <w:rFonts w:hint="eastAsia" w:ascii="宋体" w:hAnsi="宋体" w:cs="宋体"/>
          <w:color w:val="000000"/>
          <w:sz w:val="24"/>
        </w:rPr>
      </w:pPr>
    </w:p>
    <w:tbl>
      <w:tblPr>
        <w:tblStyle w:val="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4"/>
        <w:gridCol w:w="2659"/>
        <w:gridCol w:w="2884"/>
        <w:gridCol w:w="2322"/>
      </w:tblGrid>
      <w:tr w14:paraId="40784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tcPr>
          <w:p w14:paraId="07979902">
            <w:pPr>
              <w:widowControl/>
              <w:spacing w:line="400" w:lineRule="exact"/>
              <w:jc w:val="center"/>
              <w:rPr>
                <w:rFonts w:hint="eastAsia" w:ascii="宋体" w:hAnsi="宋体" w:cs="宋体"/>
                <w:sz w:val="24"/>
              </w:rPr>
            </w:pPr>
            <w:r>
              <w:rPr>
                <w:rFonts w:hint="eastAsia" w:ascii="宋体" w:hAnsi="宋体" w:cs="宋体"/>
                <w:sz w:val="24"/>
              </w:rPr>
              <w:t>项目</w:t>
            </w:r>
          </w:p>
        </w:tc>
        <w:tc>
          <w:tcPr>
            <w:tcW w:w="1432" w:type="pct"/>
          </w:tcPr>
          <w:p w14:paraId="5DD5858A">
            <w:pPr>
              <w:widowControl/>
              <w:spacing w:line="400" w:lineRule="exact"/>
              <w:jc w:val="center"/>
              <w:rPr>
                <w:rFonts w:hint="eastAsia" w:ascii="宋体" w:hAnsi="宋体" w:cs="宋体"/>
                <w:sz w:val="24"/>
              </w:rPr>
            </w:pPr>
            <w:r>
              <w:rPr>
                <w:rFonts w:hint="eastAsia" w:ascii="宋体" w:hAnsi="宋体" w:cs="宋体"/>
                <w:sz w:val="24"/>
              </w:rPr>
              <w:t>甲方一</w:t>
            </w:r>
          </w:p>
        </w:tc>
        <w:tc>
          <w:tcPr>
            <w:tcW w:w="1553" w:type="pct"/>
          </w:tcPr>
          <w:p w14:paraId="6370F897">
            <w:pPr>
              <w:widowControl/>
              <w:spacing w:line="400" w:lineRule="exact"/>
              <w:jc w:val="center"/>
              <w:rPr>
                <w:rFonts w:hint="eastAsia" w:ascii="宋体" w:hAnsi="宋体" w:cs="宋体"/>
                <w:sz w:val="24"/>
              </w:rPr>
            </w:pPr>
            <w:r>
              <w:rPr>
                <w:rFonts w:hint="eastAsia" w:ascii="宋体" w:hAnsi="宋体" w:cs="宋体"/>
                <w:sz w:val="24"/>
              </w:rPr>
              <w:t>甲方二</w:t>
            </w:r>
          </w:p>
        </w:tc>
        <w:tc>
          <w:tcPr>
            <w:tcW w:w="1250" w:type="pct"/>
          </w:tcPr>
          <w:p w14:paraId="7FFDA38D">
            <w:pPr>
              <w:widowControl/>
              <w:spacing w:line="400" w:lineRule="exact"/>
              <w:jc w:val="center"/>
              <w:rPr>
                <w:rFonts w:hint="eastAsia" w:ascii="宋体" w:hAnsi="宋体" w:cs="宋体"/>
                <w:sz w:val="24"/>
              </w:rPr>
            </w:pPr>
            <w:r>
              <w:rPr>
                <w:rFonts w:hint="eastAsia" w:ascii="宋体" w:hAnsi="宋体" w:cs="宋体"/>
                <w:sz w:val="24"/>
              </w:rPr>
              <w:t>乙方</w:t>
            </w:r>
          </w:p>
        </w:tc>
      </w:tr>
      <w:tr w14:paraId="751EB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vAlign w:val="center"/>
          </w:tcPr>
          <w:p w14:paraId="61EB361B">
            <w:pPr>
              <w:widowControl/>
              <w:spacing w:line="400" w:lineRule="exact"/>
              <w:jc w:val="center"/>
              <w:rPr>
                <w:rFonts w:hint="eastAsia" w:ascii="宋体" w:hAnsi="宋体" w:cs="宋体"/>
                <w:sz w:val="24"/>
              </w:rPr>
            </w:pPr>
            <w:r>
              <w:rPr>
                <w:rFonts w:hint="eastAsia" w:ascii="宋体" w:hAnsi="宋体" w:cs="宋体"/>
                <w:sz w:val="24"/>
              </w:rPr>
              <w:t>全称</w:t>
            </w:r>
          </w:p>
        </w:tc>
        <w:tc>
          <w:tcPr>
            <w:tcW w:w="1432" w:type="pct"/>
            <w:vAlign w:val="center"/>
          </w:tcPr>
          <w:p w14:paraId="17878693">
            <w:pPr>
              <w:widowControl/>
              <w:spacing w:line="400" w:lineRule="exact"/>
              <w:jc w:val="center"/>
              <w:rPr>
                <w:rFonts w:hint="eastAsia" w:ascii="宋体" w:hAnsi="宋体" w:cs="宋体"/>
                <w:sz w:val="24"/>
              </w:rPr>
            </w:pPr>
            <w:r>
              <w:rPr>
                <w:rFonts w:hint="eastAsia" w:ascii="宋体" w:hAnsi="宋体" w:cs="宋体"/>
                <w:sz w:val="24"/>
              </w:rPr>
              <w:t>中交二航局（武汉）城市运营管理有限公司</w:t>
            </w:r>
          </w:p>
        </w:tc>
        <w:tc>
          <w:tcPr>
            <w:tcW w:w="1553" w:type="pct"/>
          </w:tcPr>
          <w:p w14:paraId="454263EF">
            <w:pPr>
              <w:widowControl/>
              <w:spacing w:line="400" w:lineRule="exact"/>
              <w:jc w:val="center"/>
              <w:rPr>
                <w:rFonts w:hint="eastAsia" w:ascii="宋体" w:hAnsi="宋体" w:cs="宋体"/>
                <w:sz w:val="24"/>
              </w:rPr>
            </w:pPr>
            <w:r>
              <w:rPr>
                <w:rFonts w:hint="eastAsia" w:ascii="宋体" w:hAnsi="宋体" w:cs="宋体"/>
                <w:color w:val="auto"/>
                <w:sz w:val="24"/>
              </w:rPr>
              <w:t>武汉开城置业发展有限公司酒店管理分公司</w:t>
            </w:r>
          </w:p>
        </w:tc>
        <w:tc>
          <w:tcPr>
            <w:tcW w:w="1250" w:type="pct"/>
          </w:tcPr>
          <w:p w14:paraId="1F0099F3">
            <w:pPr>
              <w:widowControl/>
              <w:spacing w:line="400" w:lineRule="exact"/>
              <w:jc w:val="center"/>
              <w:rPr>
                <w:rFonts w:hint="eastAsia" w:ascii="宋体" w:hAnsi="宋体" w:cs="宋体"/>
                <w:sz w:val="24"/>
              </w:rPr>
            </w:pPr>
          </w:p>
        </w:tc>
      </w:tr>
      <w:tr w14:paraId="2CCE4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vAlign w:val="center"/>
          </w:tcPr>
          <w:p w14:paraId="362F629D">
            <w:pPr>
              <w:widowControl/>
              <w:spacing w:line="400" w:lineRule="exact"/>
              <w:jc w:val="center"/>
              <w:rPr>
                <w:rFonts w:hint="eastAsia" w:ascii="宋体" w:hAnsi="宋体" w:cs="宋体"/>
                <w:sz w:val="24"/>
              </w:rPr>
            </w:pPr>
            <w:r>
              <w:rPr>
                <w:rFonts w:hint="eastAsia" w:ascii="宋体" w:hAnsi="宋体" w:cs="宋体"/>
                <w:sz w:val="24"/>
              </w:rPr>
              <w:t>纳税人身份</w:t>
            </w:r>
          </w:p>
        </w:tc>
        <w:tc>
          <w:tcPr>
            <w:tcW w:w="1432" w:type="pct"/>
            <w:vAlign w:val="center"/>
          </w:tcPr>
          <w:p w14:paraId="52E6EF2F">
            <w:pPr>
              <w:widowControl/>
              <w:spacing w:line="400" w:lineRule="exact"/>
              <w:jc w:val="center"/>
              <w:rPr>
                <w:rFonts w:hint="eastAsia" w:ascii="宋体" w:hAnsi="宋体" w:cs="宋体"/>
                <w:sz w:val="24"/>
              </w:rPr>
            </w:pPr>
            <w:r>
              <w:rPr>
                <w:rFonts w:hint="eastAsia" w:ascii="宋体" w:hAnsi="宋体" w:cs="宋体"/>
                <w:sz w:val="24"/>
              </w:rPr>
              <w:t>一般纳税人</w:t>
            </w:r>
          </w:p>
        </w:tc>
        <w:tc>
          <w:tcPr>
            <w:tcW w:w="1553" w:type="pct"/>
            <w:vAlign w:val="center"/>
          </w:tcPr>
          <w:p w14:paraId="0072C93A">
            <w:pPr>
              <w:widowControl/>
              <w:spacing w:line="400" w:lineRule="exact"/>
              <w:jc w:val="center"/>
              <w:rPr>
                <w:rFonts w:hint="eastAsia" w:ascii="宋体" w:hAnsi="宋体" w:cs="宋体"/>
                <w:sz w:val="24"/>
              </w:rPr>
            </w:pPr>
            <w:r>
              <w:rPr>
                <w:rFonts w:hint="eastAsia" w:ascii="宋体" w:hAnsi="宋体" w:cs="宋体"/>
                <w:sz w:val="24"/>
              </w:rPr>
              <w:t>一般纳税人</w:t>
            </w:r>
          </w:p>
        </w:tc>
        <w:tc>
          <w:tcPr>
            <w:tcW w:w="1250" w:type="pct"/>
          </w:tcPr>
          <w:p w14:paraId="4E9E5FCE">
            <w:pPr>
              <w:widowControl/>
              <w:spacing w:line="400" w:lineRule="exact"/>
              <w:jc w:val="center"/>
              <w:rPr>
                <w:rFonts w:hint="eastAsia" w:ascii="宋体" w:hAnsi="宋体" w:cs="宋体"/>
                <w:sz w:val="24"/>
              </w:rPr>
            </w:pPr>
          </w:p>
        </w:tc>
      </w:tr>
      <w:tr w14:paraId="0BF58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vAlign w:val="center"/>
          </w:tcPr>
          <w:p w14:paraId="7FD40D78">
            <w:pPr>
              <w:widowControl/>
              <w:spacing w:line="400" w:lineRule="exact"/>
              <w:jc w:val="center"/>
              <w:rPr>
                <w:rFonts w:hint="eastAsia" w:ascii="宋体" w:hAnsi="宋体" w:cs="宋体"/>
                <w:sz w:val="24"/>
              </w:rPr>
            </w:pPr>
            <w:r>
              <w:rPr>
                <w:rFonts w:hint="eastAsia" w:ascii="宋体" w:hAnsi="宋体" w:cs="宋体"/>
                <w:sz w:val="24"/>
              </w:rPr>
              <w:t>纳税人</w:t>
            </w:r>
          </w:p>
          <w:p w14:paraId="0515BD31">
            <w:pPr>
              <w:widowControl/>
              <w:spacing w:line="400" w:lineRule="exact"/>
              <w:jc w:val="center"/>
              <w:rPr>
                <w:rFonts w:hint="eastAsia" w:ascii="宋体" w:hAnsi="宋体" w:cs="宋体"/>
                <w:sz w:val="24"/>
              </w:rPr>
            </w:pPr>
            <w:r>
              <w:rPr>
                <w:rFonts w:hint="eastAsia" w:ascii="宋体" w:hAnsi="宋体" w:cs="宋体"/>
                <w:sz w:val="24"/>
              </w:rPr>
              <w:t>识别号</w:t>
            </w:r>
          </w:p>
        </w:tc>
        <w:tc>
          <w:tcPr>
            <w:tcW w:w="1432" w:type="pct"/>
            <w:vAlign w:val="center"/>
          </w:tcPr>
          <w:p w14:paraId="2E07B960">
            <w:pPr>
              <w:widowControl/>
              <w:spacing w:line="400" w:lineRule="exact"/>
              <w:rPr>
                <w:rFonts w:hint="eastAsia" w:ascii="宋体" w:hAnsi="宋体" w:cs="宋体"/>
                <w:sz w:val="24"/>
              </w:rPr>
            </w:pPr>
            <w:r>
              <w:rPr>
                <w:rFonts w:hint="eastAsia" w:ascii="宋体" w:hAnsi="宋体" w:cs="宋体"/>
                <w:sz w:val="24"/>
              </w:rPr>
              <w:t>91420100300026640Y</w:t>
            </w:r>
          </w:p>
        </w:tc>
        <w:tc>
          <w:tcPr>
            <w:tcW w:w="1553" w:type="pct"/>
            <w:vAlign w:val="center"/>
          </w:tcPr>
          <w:p w14:paraId="795F50AB">
            <w:pPr>
              <w:widowControl/>
              <w:spacing w:line="400" w:lineRule="exact"/>
              <w:jc w:val="center"/>
              <w:rPr>
                <w:rFonts w:hint="eastAsia" w:ascii="宋体" w:hAnsi="宋体" w:cs="宋体"/>
                <w:sz w:val="24"/>
              </w:rPr>
            </w:pPr>
            <w:r>
              <w:rPr>
                <w:rFonts w:hint="eastAsia" w:ascii="宋体" w:hAnsi="宋体" w:cs="宋体"/>
                <w:sz w:val="24"/>
              </w:rPr>
              <w:t>91420100MA49L8MJ4R</w:t>
            </w:r>
          </w:p>
        </w:tc>
        <w:tc>
          <w:tcPr>
            <w:tcW w:w="1250" w:type="pct"/>
          </w:tcPr>
          <w:p w14:paraId="58A6A42F">
            <w:pPr>
              <w:widowControl/>
              <w:spacing w:line="400" w:lineRule="exact"/>
              <w:jc w:val="center"/>
              <w:rPr>
                <w:rFonts w:hint="eastAsia" w:ascii="宋体" w:hAnsi="宋体" w:cs="宋体"/>
                <w:sz w:val="24"/>
              </w:rPr>
            </w:pPr>
          </w:p>
        </w:tc>
      </w:tr>
      <w:tr w14:paraId="7FAF9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vAlign w:val="center"/>
          </w:tcPr>
          <w:p w14:paraId="654322A0">
            <w:pPr>
              <w:widowControl/>
              <w:spacing w:line="400" w:lineRule="exact"/>
              <w:jc w:val="center"/>
              <w:rPr>
                <w:rFonts w:hint="eastAsia" w:ascii="宋体" w:hAnsi="宋体" w:cs="宋体"/>
                <w:sz w:val="24"/>
              </w:rPr>
            </w:pPr>
          </w:p>
          <w:p w14:paraId="5B942E43">
            <w:pPr>
              <w:widowControl/>
              <w:spacing w:line="400" w:lineRule="exact"/>
              <w:jc w:val="center"/>
              <w:rPr>
                <w:rFonts w:hint="eastAsia" w:ascii="宋体" w:hAnsi="宋体" w:cs="宋体"/>
                <w:sz w:val="24"/>
              </w:rPr>
            </w:pPr>
            <w:r>
              <w:rPr>
                <w:rFonts w:hint="eastAsia" w:ascii="宋体" w:hAnsi="宋体" w:cs="宋体"/>
                <w:sz w:val="24"/>
              </w:rPr>
              <w:t>注册地址</w:t>
            </w:r>
          </w:p>
        </w:tc>
        <w:tc>
          <w:tcPr>
            <w:tcW w:w="1432" w:type="pct"/>
            <w:vAlign w:val="center"/>
          </w:tcPr>
          <w:p w14:paraId="5EBFADE2">
            <w:pPr>
              <w:widowControl/>
              <w:spacing w:line="400" w:lineRule="exact"/>
              <w:jc w:val="center"/>
              <w:rPr>
                <w:rFonts w:hint="eastAsia" w:ascii="宋体" w:hAnsi="宋体" w:cs="宋体"/>
                <w:sz w:val="24"/>
              </w:rPr>
            </w:pPr>
            <w:r>
              <w:rPr>
                <w:rFonts w:hint="eastAsia" w:ascii="宋体" w:hAnsi="宋体" w:cs="宋体"/>
                <w:sz w:val="24"/>
              </w:rPr>
              <w:t>武汉经济技术开发区蔷薇路668号华中·中交城A区3层</w:t>
            </w:r>
          </w:p>
        </w:tc>
        <w:tc>
          <w:tcPr>
            <w:tcW w:w="1553" w:type="pct"/>
            <w:vAlign w:val="center"/>
          </w:tcPr>
          <w:p w14:paraId="7A7EA65E">
            <w:pPr>
              <w:widowControl/>
              <w:spacing w:line="400" w:lineRule="exact"/>
              <w:jc w:val="center"/>
              <w:rPr>
                <w:rFonts w:hint="eastAsia" w:ascii="宋体" w:hAnsi="宋体" w:cs="宋体"/>
                <w:sz w:val="24"/>
              </w:rPr>
            </w:pPr>
            <w:r>
              <w:rPr>
                <w:rFonts w:hint="eastAsia" w:ascii="宋体" w:hAnsi="宋体" w:cs="宋体"/>
                <w:sz w:val="24"/>
              </w:rPr>
              <w:t>武汉经济技术开发区蔷薇路668号华中·中交城(A区)</w:t>
            </w:r>
          </w:p>
        </w:tc>
        <w:tc>
          <w:tcPr>
            <w:tcW w:w="1250" w:type="pct"/>
          </w:tcPr>
          <w:p w14:paraId="67C15A3C">
            <w:pPr>
              <w:widowControl/>
              <w:spacing w:line="400" w:lineRule="exact"/>
              <w:jc w:val="center"/>
              <w:rPr>
                <w:rFonts w:hint="eastAsia" w:ascii="宋体" w:hAnsi="宋体" w:cs="宋体"/>
                <w:sz w:val="24"/>
              </w:rPr>
            </w:pPr>
          </w:p>
        </w:tc>
      </w:tr>
      <w:tr w14:paraId="68A84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vAlign w:val="center"/>
          </w:tcPr>
          <w:p w14:paraId="0DC6F24D">
            <w:pPr>
              <w:widowControl/>
              <w:spacing w:line="400" w:lineRule="exact"/>
              <w:jc w:val="center"/>
              <w:rPr>
                <w:rFonts w:hint="eastAsia" w:ascii="宋体" w:hAnsi="宋体" w:cs="宋体"/>
                <w:sz w:val="24"/>
              </w:rPr>
            </w:pPr>
            <w:r>
              <w:rPr>
                <w:rFonts w:hint="eastAsia" w:ascii="宋体" w:hAnsi="宋体" w:cs="宋体"/>
                <w:sz w:val="24"/>
              </w:rPr>
              <w:t>注册电话</w:t>
            </w:r>
          </w:p>
        </w:tc>
        <w:tc>
          <w:tcPr>
            <w:tcW w:w="1432" w:type="pct"/>
            <w:vAlign w:val="center"/>
          </w:tcPr>
          <w:p w14:paraId="244A3623">
            <w:pPr>
              <w:widowControl/>
              <w:spacing w:line="400" w:lineRule="exact"/>
              <w:jc w:val="center"/>
              <w:rPr>
                <w:rFonts w:hint="eastAsia" w:ascii="宋体" w:hAnsi="宋体" w:cs="宋体"/>
                <w:sz w:val="24"/>
              </w:rPr>
            </w:pPr>
            <w:r>
              <w:rPr>
                <w:rFonts w:hint="eastAsia" w:ascii="宋体" w:hAnsi="宋体" w:cs="宋体"/>
                <w:sz w:val="24"/>
              </w:rPr>
              <w:t>027-59738291</w:t>
            </w:r>
          </w:p>
        </w:tc>
        <w:tc>
          <w:tcPr>
            <w:tcW w:w="1553" w:type="pct"/>
          </w:tcPr>
          <w:p w14:paraId="4E0B9F1A">
            <w:pPr>
              <w:widowControl/>
              <w:spacing w:line="400" w:lineRule="exact"/>
              <w:jc w:val="center"/>
              <w:rPr>
                <w:rFonts w:hint="eastAsia" w:ascii="宋体" w:hAnsi="宋体" w:cs="宋体"/>
                <w:sz w:val="24"/>
              </w:rPr>
            </w:pPr>
            <w:r>
              <w:rPr>
                <w:rFonts w:hint="eastAsia" w:ascii="宋体" w:hAnsi="宋体" w:cs="宋体"/>
                <w:sz w:val="24"/>
              </w:rPr>
              <w:t>027-50162666</w:t>
            </w:r>
          </w:p>
        </w:tc>
        <w:tc>
          <w:tcPr>
            <w:tcW w:w="1250" w:type="pct"/>
          </w:tcPr>
          <w:p w14:paraId="2EE37FBD">
            <w:pPr>
              <w:widowControl/>
              <w:spacing w:line="400" w:lineRule="exact"/>
              <w:jc w:val="center"/>
              <w:rPr>
                <w:rFonts w:hint="eastAsia" w:ascii="宋体" w:hAnsi="宋体" w:cs="宋体"/>
                <w:sz w:val="24"/>
              </w:rPr>
            </w:pPr>
          </w:p>
        </w:tc>
      </w:tr>
      <w:tr w14:paraId="1D118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vAlign w:val="center"/>
          </w:tcPr>
          <w:p w14:paraId="19C2ACE9">
            <w:pPr>
              <w:widowControl/>
              <w:spacing w:line="400" w:lineRule="exact"/>
              <w:jc w:val="center"/>
              <w:rPr>
                <w:rFonts w:hint="eastAsia" w:ascii="宋体" w:hAnsi="宋体" w:cs="宋体"/>
                <w:sz w:val="24"/>
              </w:rPr>
            </w:pPr>
            <w:r>
              <w:rPr>
                <w:rFonts w:hint="eastAsia" w:ascii="宋体" w:hAnsi="宋体" w:cs="宋体"/>
                <w:sz w:val="24"/>
              </w:rPr>
              <w:t>开户行</w:t>
            </w:r>
          </w:p>
        </w:tc>
        <w:tc>
          <w:tcPr>
            <w:tcW w:w="1432" w:type="pct"/>
            <w:vAlign w:val="center"/>
          </w:tcPr>
          <w:p w14:paraId="5C702821">
            <w:pPr>
              <w:widowControl/>
              <w:spacing w:line="400" w:lineRule="exact"/>
              <w:jc w:val="center"/>
              <w:rPr>
                <w:rFonts w:hint="eastAsia" w:ascii="宋体" w:hAnsi="宋体" w:cs="宋体"/>
                <w:sz w:val="24"/>
              </w:rPr>
            </w:pPr>
            <w:r>
              <w:rPr>
                <w:rFonts w:hint="eastAsia" w:ascii="宋体" w:hAnsi="宋体" w:cs="宋体"/>
                <w:sz w:val="24"/>
              </w:rPr>
              <w:t>中国建设银行江岸支行</w:t>
            </w:r>
          </w:p>
        </w:tc>
        <w:tc>
          <w:tcPr>
            <w:tcW w:w="1553" w:type="pct"/>
          </w:tcPr>
          <w:p w14:paraId="55C070C0">
            <w:pPr>
              <w:widowControl/>
              <w:spacing w:line="400" w:lineRule="exact"/>
              <w:jc w:val="center"/>
              <w:rPr>
                <w:rFonts w:hint="eastAsia" w:ascii="宋体" w:hAnsi="宋体" w:cs="宋体"/>
                <w:sz w:val="24"/>
              </w:rPr>
            </w:pPr>
            <w:r>
              <w:rPr>
                <w:rFonts w:hint="eastAsia" w:ascii="宋体" w:hAnsi="宋体" w:cs="宋体"/>
                <w:sz w:val="24"/>
              </w:rPr>
              <w:t>上海浦东发展银行股份有限公司武汉沌口支行</w:t>
            </w:r>
          </w:p>
        </w:tc>
        <w:tc>
          <w:tcPr>
            <w:tcW w:w="1250" w:type="pct"/>
          </w:tcPr>
          <w:p w14:paraId="52B24BC4">
            <w:pPr>
              <w:widowControl/>
              <w:spacing w:line="400" w:lineRule="exact"/>
              <w:jc w:val="center"/>
              <w:rPr>
                <w:rFonts w:hint="eastAsia" w:ascii="宋体" w:hAnsi="宋体" w:cs="宋体"/>
                <w:sz w:val="24"/>
              </w:rPr>
            </w:pPr>
          </w:p>
        </w:tc>
      </w:tr>
      <w:tr w14:paraId="48383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63" w:type="pct"/>
            <w:vAlign w:val="center"/>
          </w:tcPr>
          <w:p w14:paraId="45396D02">
            <w:pPr>
              <w:widowControl/>
              <w:spacing w:line="400" w:lineRule="exact"/>
              <w:jc w:val="center"/>
              <w:rPr>
                <w:rFonts w:hint="eastAsia" w:ascii="宋体" w:hAnsi="宋体" w:cs="宋体"/>
                <w:sz w:val="24"/>
              </w:rPr>
            </w:pPr>
            <w:r>
              <w:rPr>
                <w:rFonts w:hint="eastAsia" w:ascii="宋体" w:hAnsi="宋体" w:cs="宋体"/>
                <w:sz w:val="24"/>
              </w:rPr>
              <w:t>账号</w:t>
            </w:r>
          </w:p>
        </w:tc>
        <w:tc>
          <w:tcPr>
            <w:tcW w:w="1432" w:type="pct"/>
            <w:vAlign w:val="center"/>
          </w:tcPr>
          <w:p w14:paraId="4717C735">
            <w:pPr>
              <w:widowControl/>
              <w:spacing w:line="400" w:lineRule="exact"/>
              <w:jc w:val="center"/>
              <w:rPr>
                <w:rFonts w:hint="eastAsia" w:ascii="宋体" w:hAnsi="宋体" w:cs="宋体"/>
                <w:sz w:val="24"/>
              </w:rPr>
            </w:pPr>
            <w:r>
              <w:rPr>
                <w:rFonts w:hint="eastAsia" w:ascii="宋体" w:hAnsi="宋体" w:cs="宋体"/>
                <w:sz w:val="24"/>
              </w:rPr>
              <w:t>42001116208053021590</w:t>
            </w:r>
          </w:p>
        </w:tc>
        <w:tc>
          <w:tcPr>
            <w:tcW w:w="1553" w:type="pct"/>
            <w:vAlign w:val="center"/>
          </w:tcPr>
          <w:p w14:paraId="76422227">
            <w:pPr>
              <w:widowControl/>
              <w:spacing w:line="400" w:lineRule="exact"/>
              <w:jc w:val="center"/>
              <w:rPr>
                <w:rFonts w:hint="eastAsia" w:ascii="宋体" w:hAnsi="宋体" w:cs="宋体"/>
                <w:sz w:val="24"/>
              </w:rPr>
            </w:pPr>
            <w:r>
              <w:rPr>
                <w:rFonts w:hint="eastAsia" w:ascii="宋体" w:hAnsi="宋体" w:cs="宋体"/>
                <w:sz w:val="24"/>
              </w:rPr>
              <w:t>70060078801200001022</w:t>
            </w:r>
          </w:p>
        </w:tc>
        <w:tc>
          <w:tcPr>
            <w:tcW w:w="1250" w:type="pct"/>
            <w:vAlign w:val="center"/>
          </w:tcPr>
          <w:p w14:paraId="62253391">
            <w:pPr>
              <w:widowControl/>
              <w:spacing w:line="400" w:lineRule="exact"/>
              <w:jc w:val="center"/>
              <w:rPr>
                <w:rFonts w:hint="eastAsia" w:ascii="宋体" w:hAnsi="宋体" w:cs="宋体"/>
                <w:sz w:val="24"/>
              </w:rPr>
            </w:pPr>
          </w:p>
        </w:tc>
      </w:tr>
    </w:tbl>
    <w:p w14:paraId="2F83BA96">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乙方充分了解和承诺：如乙方不按甲方要求提供发票和收据，则视为付款条件未成就，甲方有权拒绝支付，且无需承担任何责任，且乙方的各项合同义务仍应按合同约定履行。如甲方方增值税专用发票丢失、毁损，乙方应协助办理进项税发票认证抵扣相关事宜。</w:t>
      </w:r>
    </w:p>
    <w:p w14:paraId="6B99DC97">
      <w:pPr>
        <w:widowControl/>
        <w:spacing w:line="400" w:lineRule="exact"/>
      </w:pPr>
      <w:r>
        <w:rPr>
          <w:rFonts w:hint="eastAsia" w:ascii="宋体" w:hAnsi="宋体" w:cs="宋体"/>
          <w:b/>
          <w:bCs/>
          <w:sz w:val="24"/>
        </w:rPr>
        <w:t>五、应急服务</w:t>
      </w:r>
    </w:p>
    <w:p w14:paraId="08B06D5E">
      <w:pPr>
        <w:pStyle w:val="5"/>
        <w:spacing w:before="0" w:beforeAutospacing="0" w:after="0" w:afterAutospacing="0" w:line="400" w:lineRule="exact"/>
        <w:rPr>
          <w:rFonts w:hint="eastAsia" w:ascii="宋体" w:hAnsi="宋体" w:cs="宋体"/>
          <w:b/>
          <w:bCs/>
          <w:sz w:val="24"/>
        </w:rPr>
      </w:pPr>
      <w:r>
        <w:rPr>
          <w:rFonts w:hint="eastAsia" w:asciiTheme="minorEastAsia" w:hAnsiTheme="minorEastAsia" w:eastAsiaTheme="minorEastAsia"/>
          <w:sz w:val="24"/>
        </w:rPr>
        <w:t>乙方服务（抢修）热线电话：</w:t>
      </w:r>
      <w:r>
        <w:rPr>
          <w:rFonts w:hint="eastAsia" w:ascii="宋体" w:hAnsi="宋体" w:cs="宋体"/>
          <w:color w:val="000000"/>
          <w:sz w:val="24"/>
          <w:u w:val="single"/>
        </w:rPr>
        <w:t xml:space="preserve">              </w:t>
      </w:r>
      <w:r>
        <w:rPr>
          <w:rFonts w:hint="eastAsia" w:ascii="宋体" w:hAnsi="宋体" w:cs="宋体"/>
          <w:color w:val="000000"/>
          <w:sz w:val="24"/>
        </w:rPr>
        <w:t>。</w:t>
      </w:r>
    </w:p>
    <w:p w14:paraId="736060D3">
      <w:pPr>
        <w:widowControl/>
        <w:spacing w:line="400" w:lineRule="exact"/>
        <w:rPr>
          <w:rFonts w:hint="eastAsia" w:ascii="宋体" w:hAnsi="宋体" w:cs="宋体"/>
          <w:b/>
          <w:bCs/>
          <w:sz w:val="24"/>
        </w:rPr>
      </w:pPr>
      <w:r>
        <w:rPr>
          <w:rFonts w:hint="eastAsia" w:ascii="宋体" w:hAnsi="宋体" w:cs="宋体"/>
          <w:b/>
          <w:bCs/>
          <w:sz w:val="24"/>
        </w:rPr>
        <w:t>六、驻场服务</w:t>
      </w:r>
    </w:p>
    <w:p w14:paraId="536F68E6">
      <w:pPr>
        <w:widowControl/>
        <w:spacing w:line="400" w:lineRule="exact"/>
        <w:rPr>
          <w:rFonts w:hint="eastAsia" w:ascii="宋体" w:hAnsi="宋体" w:cs="宋体"/>
          <w:b/>
          <w:bCs/>
          <w:sz w:val="24"/>
        </w:rPr>
      </w:pPr>
      <w:r>
        <w:rPr>
          <w:rFonts w:hint="eastAsia" w:ascii="宋体" w:hAnsi="宋体" w:cs="宋体"/>
          <w:color w:val="000000"/>
          <w:sz w:val="24"/>
        </w:rPr>
        <w:t>乙方（□是☑否）提供驻场作业服务。</w:t>
      </w:r>
    </w:p>
    <w:p w14:paraId="74182F45">
      <w:pPr>
        <w:pStyle w:val="5"/>
        <w:spacing w:before="0" w:beforeAutospacing="0" w:after="0" w:afterAutospacing="0" w:line="400" w:lineRule="exact"/>
        <w:rPr>
          <w:rFonts w:hint="eastAsia" w:ascii="宋体" w:hAnsi="宋体" w:cs="宋体"/>
          <w:b/>
          <w:bCs/>
          <w:sz w:val="24"/>
        </w:rPr>
      </w:pPr>
      <w:r>
        <w:rPr>
          <w:rFonts w:hint="eastAsia" w:ascii="宋体" w:hAnsi="宋体" w:cs="宋体"/>
          <w:b/>
          <w:bCs/>
          <w:color w:val="000000"/>
          <w:sz w:val="24"/>
        </w:rPr>
        <w:t>七、双方</w:t>
      </w:r>
      <w:r>
        <w:rPr>
          <w:rFonts w:hint="eastAsia" w:ascii="宋体" w:hAnsi="宋体" w:cs="宋体"/>
          <w:b/>
          <w:bCs/>
          <w:sz w:val="24"/>
        </w:rPr>
        <w:t>权利和义务</w:t>
      </w:r>
    </w:p>
    <w:p w14:paraId="5EDA6399">
      <w:pPr>
        <w:pStyle w:val="5"/>
        <w:spacing w:before="0" w:beforeAutospacing="0" w:after="0" w:afterAutospacing="0" w:line="400" w:lineRule="exact"/>
        <w:rPr>
          <w:rFonts w:hint="eastAsia" w:asciiTheme="minorEastAsia" w:hAnsiTheme="minorEastAsia" w:eastAsiaTheme="minorEastAsia"/>
          <w:sz w:val="24"/>
        </w:rPr>
      </w:pPr>
      <w:bookmarkStart w:id="2" w:name="_Hlk140265238"/>
      <w:r>
        <w:rPr>
          <w:rFonts w:hint="eastAsia" w:asciiTheme="minorEastAsia" w:hAnsiTheme="minorEastAsia" w:eastAsiaTheme="minorEastAsia"/>
          <w:sz w:val="24"/>
        </w:rPr>
        <w:t>7.1甲方的权利和义务</w:t>
      </w:r>
    </w:p>
    <w:p w14:paraId="7B2BD665">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（1）垃圾、污水、粪便的卫生基础设施和防鼠防蝇防蟑设施符合有关要求，搞好环境卫生，清理卫生死角和杂物。</w:t>
      </w:r>
    </w:p>
    <w:p w14:paraId="5BCCDD85">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（2）指定人员负责“四害消杀”监督管理工作，协助提供工作方便，如入室进行消杀、检测等，监督检测乙方工作情况，督促乙方执行合同有关规定</w:t>
      </w:r>
    </w:p>
    <w:p w14:paraId="5D5B28D5">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（3）合同期间内，服务范围内的“四害消杀”如达不到规定标准，甲方有权向乙方提出警告并要求乙方进行整改。</w:t>
      </w:r>
    </w:p>
    <w:p w14:paraId="0D3A5457">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（4）对乙方的服务过程进行监督并对乙方工作进行考核。</w:t>
      </w:r>
    </w:p>
    <w:p w14:paraId="11C242BC">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（5）按本合同约定支付服务费，以保证乙方消杀服务工作正常开展。</w:t>
      </w:r>
    </w:p>
    <w:p w14:paraId="6486D174">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（6）因卫生检查或甲方有重大活动需要，有权要求乙方给予协助进行消杀的，乙方须给予配合。</w:t>
      </w:r>
    </w:p>
    <w:p w14:paraId="231E40F5">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7.2乙方的权利和义务</w:t>
      </w:r>
    </w:p>
    <w:p w14:paraId="5AAECD78">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（1）乙方采用包工包料的消杀服务方式。</w:t>
      </w:r>
    </w:p>
    <w:p w14:paraId="7F0D65F5">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（2）须持有《中国有害生物防治服务企业（甲级）资质等级证书》等有效证件。</w:t>
      </w:r>
    </w:p>
    <w:p w14:paraId="400D6163">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（3）严格执行当地政府关于“四害消杀”的管理规定，接受市、区、街道办(镇)爱卫办监督检查和考核。</w:t>
      </w:r>
    </w:p>
    <w:p w14:paraId="5C5DF6B1">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（4）建立规章制度，做好查、处理、检查、监测工作并做好记录，以备查验。</w:t>
      </w:r>
    </w:p>
    <w:p w14:paraId="1BCDDB70">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（5）乙方进行现场消杀时，应提前告知甲方，并须做好现场的安全防范和警示措施，若因乙方消杀工作有不当之处，造成了人员意外伤害，或引起投诉、起诉等，由乙方承担所有法律责任。</w:t>
      </w:r>
    </w:p>
    <w:p w14:paraId="43682A2F">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（6）乙方进场消杀的所有工作人员均须持有效职业资格证书，统一着装、佩戴工作证上岗，文明作业。</w:t>
      </w:r>
    </w:p>
    <w:p w14:paraId="0E272664">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（7）为了满足项目的管理和质量要求，乙方须配置专职人员，严格按照要求执行现场各项管理、指导监督、检查、协调沟通工作。</w:t>
      </w:r>
    </w:p>
    <w:p w14:paraId="0EF89197">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（8）因乙方或乙方工作人员过错(包括乙方工作人员的违法、犯罪行为)给甲方的工作人员或项目业主、住户造成人身、财产损失，由乙方承担相应法律责任。</w:t>
      </w:r>
    </w:p>
    <w:p w14:paraId="70F5F75D">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（9）注意药物的使用安全，投(施)药时需在防护的部位告之甲方并采取有效的防护措施。</w:t>
      </w:r>
    </w:p>
    <w:p w14:paraId="271F9CC1">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（10）消杀所使用的灭鼠虫害药物按国家规定或使用爱卫办推荐认可的药物，严禁使用急性灭鼠药或其它禁用药物。</w:t>
      </w:r>
    </w:p>
    <w:p w14:paraId="02CD563C">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（11）乙方在甲方现场工作完毕后，要将一切药品和消杀工具带走，不得存放于消杀服务区。</w:t>
      </w:r>
    </w:p>
    <w:bookmarkEnd w:id="2"/>
    <w:p w14:paraId="1A71DF2A">
      <w:pPr>
        <w:pStyle w:val="5"/>
        <w:numPr>
          <w:ilvl w:val="1"/>
          <w:numId w:val="0"/>
        </w:numPr>
        <w:spacing w:before="0" w:beforeAutospacing="0" w:after="0" w:afterAutospacing="0" w:line="400" w:lineRule="exact"/>
        <w:rPr>
          <w:rFonts w:hint="eastAsia" w:ascii="宋体" w:hAnsi="宋体" w:cs="宋体"/>
          <w:b/>
          <w:bCs/>
          <w:sz w:val="24"/>
        </w:rPr>
      </w:pPr>
      <w:r>
        <w:rPr>
          <w:rFonts w:hint="eastAsia" w:ascii="宋体" w:hAnsi="宋体" w:cs="宋体"/>
          <w:b/>
          <w:bCs/>
          <w:sz w:val="24"/>
        </w:rPr>
        <w:t>八、安全生产、职业健康</w:t>
      </w:r>
    </w:p>
    <w:p w14:paraId="1D8B1DE9">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8.1乙方应确保提供的消杀服务方案等资料符合国家法律、法规、标准、规范及合同中关于安全生产的相关规定。</w:t>
      </w:r>
    </w:p>
    <w:p w14:paraId="7D074157">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8.2乙方负责履行合同中的安全生产、职业健康管理工作，乙方应对履约中的安全生产、职业健康管理全面负责，保证在履约过程的安全作业并承担责任和义务，若发生致人伤亡的事故，由乙方负责。</w:t>
      </w:r>
    </w:p>
    <w:p w14:paraId="1A62B4AC">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8.3乙方应认真组织实施现场作业人员的技能培训、岗前培训、安全教育培训等。</w:t>
      </w:r>
    </w:p>
    <w:p w14:paraId="57B9ECF2">
      <w:pPr>
        <w:pStyle w:val="5"/>
        <w:numPr>
          <w:ilvl w:val="1"/>
          <w:numId w:val="0"/>
        </w:numPr>
        <w:spacing w:before="0" w:beforeAutospacing="0" w:after="0" w:afterAutospacing="0" w:line="400" w:lineRule="exact"/>
        <w:rPr>
          <w:rFonts w:hint="eastAsia" w:ascii="宋体" w:hAnsi="宋体" w:cs="宋体"/>
          <w:b/>
          <w:bCs/>
          <w:sz w:val="24"/>
        </w:rPr>
      </w:pPr>
      <w:r>
        <w:rPr>
          <w:rFonts w:hint="eastAsia" w:ascii="宋体" w:hAnsi="宋体" w:cs="宋体"/>
          <w:b/>
          <w:bCs/>
          <w:sz w:val="24"/>
        </w:rPr>
        <w:t>九、违约责任</w:t>
      </w:r>
    </w:p>
    <w:p w14:paraId="12C3DE2D">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9.1甲方违约责任</w:t>
      </w:r>
    </w:p>
    <w:p w14:paraId="7F2F2B27">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甲方无正当理由不按约定向乙方支付合同款项，乙方给予2个月免息宽限期。如甲方仍未付款，自宽限期到期后甲方应按应付款额和延期时间(天)以及中国人民银行发布的6个月贷款基准利率向乙方支付利息，但利息最高不超过应付款额的5%。</w:t>
      </w:r>
    </w:p>
    <w:p w14:paraId="4F9769F5">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甲方单方无故解除合同的，甲方应向乙方支付3个月消杀服务费标准的违约</w:t>
      </w:r>
      <w:r>
        <w:rPr>
          <w:rFonts w:hint="eastAsia" w:asciiTheme="minorEastAsia" w:hAnsiTheme="minorEastAsia" w:eastAsiaTheme="minorEastAsia"/>
          <w:sz w:val="24"/>
        </w:rPr>
        <w:t>金。</w:t>
      </w:r>
    </w:p>
    <w:p w14:paraId="7EC8C054">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9.2乙方违约责任</w:t>
      </w:r>
    </w:p>
    <w:p w14:paraId="76875F08">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乙方不得将本合同约定服务内容再行分包、转包，否则，甲方有权单方解除合同，乙方应向甲方支付5个月服务费标准的违约金。</w:t>
      </w:r>
    </w:p>
    <w:p w14:paraId="4255B44F">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乙方月度考评为90分以下的,每</w:t>
      </w:r>
      <w:r>
        <w:rPr>
          <w:rFonts w:hint="eastAsia" w:asciiTheme="minorEastAsia" w:hAnsiTheme="minorEastAsia" w:eastAsiaTheme="minorEastAsia"/>
          <w:sz w:val="24"/>
        </w:rPr>
        <w:t>少</w:t>
      </w:r>
      <w:r>
        <w:rPr>
          <w:rFonts w:asciiTheme="minorEastAsia" w:hAnsiTheme="minorEastAsia" w:eastAsiaTheme="minorEastAsia"/>
          <w:sz w:val="24"/>
        </w:rPr>
        <w:t>一分,乙方应向甲方支付100元的违约金</w:t>
      </w:r>
      <w:r>
        <w:rPr>
          <w:rFonts w:hint="eastAsia" w:asciiTheme="minorEastAsia" w:hAnsiTheme="minorEastAsia" w:eastAsiaTheme="minorEastAsia"/>
          <w:sz w:val="24"/>
        </w:rPr>
        <w:t>；</w:t>
      </w:r>
      <w:r>
        <w:rPr>
          <w:rFonts w:asciiTheme="minorEastAsia" w:hAnsiTheme="minorEastAsia" w:eastAsiaTheme="minorEastAsia"/>
          <w:sz w:val="24"/>
        </w:rPr>
        <w:t>乙方连续三个月度考核不合格的</w:t>
      </w:r>
      <w:r>
        <w:rPr>
          <w:rFonts w:hint="eastAsia" w:asciiTheme="minorEastAsia" w:hAnsiTheme="minorEastAsia" w:eastAsiaTheme="minorEastAsia"/>
          <w:sz w:val="24"/>
        </w:rPr>
        <w:t>，</w:t>
      </w:r>
      <w:r>
        <w:rPr>
          <w:rFonts w:asciiTheme="minorEastAsia" w:hAnsiTheme="minorEastAsia" w:eastAsiaTheme="minorEastAsia"/>
          <w:sz w:val="24"/>
        </w:rPr>
        <w:t>甲方有权单方解除合同</w:t>
      </w:r>
      <w:r>
        <w:rPr>
          <w:rFonts w:hint="eastAsia" w:asciiTheme="minorEastAsia" w:hAnsiTheme="minorEastAsia" w:eastAsiaTheme="minorEastAsia"/>
          <w:sz w:val="24"/>
        </w:rPr>
        <w:t>；</w:t>
      </w:r>
      <w:r>
        <w:rPr>
          <w:rFonts w:asciiTheme="minorEastAsia" w:hAnsiTheme="minorEastAsia" w:eastAsiaTheme="minorEastAsia"/>
          <w:sz w:val="24"/>
        </w:rPr>
        <w:t>合同解除后，乙方应向甲方支付3个月消杀服务费标准的违约</w:t>
      </w:r>
      <w:r>
        <w:rPr>
          <w:rFonts w:hint="eastAsia" w:asciiTheme="minorEastAsia" w:hAnsiTheme="minorEastAsia" w:eastAsiaTheme="minorEastAsia"/>
          <w:sz w:val="24"/>
        </w:rPr>
        <w:t>（详见附件三《四害消杀服务考评检查表》）</w:t>
      </w:r>
      <w:r>
        <w:rPr>
          <w:rFonts w:asciiTheme="minorEastAsia" w:hAnsiTheme="minorEastAsia" w:eastAsiaTheme="minorEastAsia"/>
          <w:sz w:val="24"/>
        </w:rPr>
        <w:t>。</w:t>
      </w:r>
    </w:p>
    <w:p w14:paraId="6CF32505">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乙方单方无故解除合同的</w:t>
      </w:r>
      <w:r>
        <w:rPr>
          <w:rFonts w:hint="eastAsia" w:asciiTheme="minorEastAsia" w:hAnsiTheme="minorEastAsia" w:eastAsiaTheme="minorEastAsia"/>
          <w:sz w:val="24"/>
        </w:rPr>
        <w:t>，乙方应向甲方</w:t>
      </w:r>
      <w:r>
        <w:rPr>
          <w:rFonts w:asciiTheme="minorEastAsia" w:hAnsiTheme="minorEastAsia" w:eastAsiaTheme="minorEastAsia"/>
          <w:sz w:val="24"/>
        </w:rPr>
        <w:t>方支付3个月消杀服务费标准的违约金</w:t>
      </w:r>
      <w:r>
        <w:rPr>
          <w:rFonts w:hint="eastAsia" w:asciiTheme="minorEastAsia" w:hAnsiTheme="minorEastAsia" w:eastAsiaTheme="minorEastAsia"/>
          <w:sz w:val="24"/>
        </w:rPr>
        <w:t>。</w:t>
      </w:r>
    </w:p>
    <w:p w14:paraId="46E0275A">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如乙方违约，甲方保留单方解除本合同的权力。乙方应赔偿因违约导致的甲方一切经济损失，违约金与经济损失直接从乙方履约保证金和(或)甲方应付款中扣除，不足由乙方另行支付。</w:t>
      </w:r>
    </w:p>
    <w:p w14:paraId="20528F53">
      <w:pPr>
        <w:pStyle w:val="5"/>
        <w:numPr>
          <w:ilvl w:val="1"/>
          <w:numId w:val="0"/>
        </w:numPr>
        <w:spacing w:before="0" w:beforeAutospacing="0" w:after="0" w:afterAutospacing="0" w:line="400" w:lineRule="exact"/>
        <w:ind w:firstLine="482" w:firstLineChars="200"/>
        <w:rPr>
          <w:rFonts w:hint="eastAsia" w:ascii="宋体" w:hAnsi="宋体" w:cs="宋体"/>
          <w:color w:val="000000"/>
          <w:sz w:val="24"/>
        </w:rPr>
      </w:pPr>
      <w:r>
        <w:rPr>
          <w:rFonts w:ascii="宋体" w:hAnsi="宋体" w:cs="宋体"/>
          <w:b/>
          <w:bCs/>
          <w:color w:val="000000"/>
          <w:sz w:val="24"/>
        </w:rPr>
        <w:t>乙方充分了解和承诺:在本合同履行过程中，如因乙方与第三人之间的纠纷导致甲方作为共同被告或发生其他有损甲方利益的事宜，由乙方承担因此给甲方造成的一切损失和后果，包括不限于甲方支出的诉讼费用、律师费用、其他应诉抗辩费用以及经有关机构裁决需由甲方承担的全部费用等。甲方有权从当期应支付乙方服务费、扣留的乙方各类保留金、乙方提交的履约担保中及时收取违约金，不足部分由乙方及时补齐。</w:t>
      </w:r>
    </w:p>
    <w:p w14:paraId="1A511EA6">
      <w:pPr>
        <w:pStyle w:val="5"/>
        <w:numPr>
          <w:ilvl w:val="1"/>
          <w:numId w:val="0"/>
        </w:numPr>
        <w:spacing w:before="0" w:beforeAutospacing="0" w:after="0" w:afterAutospacing="0" w:line="400" w:lineRule="exact"/>
        <w:rPr>
          <w:rFonts w:hint="eastAsia" w:ascii="宋体" w:hAnsi="宋体" w:cs="宋体"/>
          <w:b/>
          <w:bCs/>
          <w:color w:val="000000"/>
          <w:sz w:val="24"/>
        </w:rPr>
      </w:pPr>
      <w:r>
        <w:rPr>
          <w:rFonts w:hint="eastAsia" w:ascii="宋体" w:hAnsi="宋体" w:cs="宋体"/>
          <w:b/>
          <w:bCs/>
          <w:color w:val="000000"/>
          <w:sz w:val="24"/>
        </w:rPr>
        <w:t>十、不可抗力</w:t>
      </w:r>
    </w:p>
    <w:p w14:paraId="35118253">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 xml:space="preserve">10.1不可抗力事件系指甲乙双方在缔结合同时所不能预见的，并且它的发生及其后果是无法避免和克服的事件，诸如战争、严重火灾、洪水、台风、地震等。        </w:t>
      </w:r>
    </w:p>
    <w:p w14:paraId="7BC17095">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10.2在不可抗力事件发生后，遭受不可抗力的一方应尽快以书面形式将不可抗力的情况和原因通知对方。并应在不可抗力事件发生后14日内将有关当局或机构出具的证明文件提交给合同另一方。</w:t>
      </w:r>
    </w:p>
    <w:p w14:paraId="4708FA71">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10.3不可抗力后果承担</w:t>
      </w:r>
    </w:p>
    <w:p w14:paraId="3E7C93B2">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10.4不可抗力导致的人员伤亡、财产损失和（或）工期延误等后果，由甲方或乙方承担各自人员伤亡和财产的损失，服务期限顺延。</w:t>
      </w:r>
    </w:p>
    <w:p w14:paraId="4C3AFAEA">
      <w:pPr>
        <w:pStyle w:val="5"/>
        <w:numPr>
          <w:ilvl w:val="1"/>
          <w:numId w:val="0"/>
        </w:numPr>
        <w:spacing w:before="0" w:beforeAutospacing="0" w:after="0" w:afterAutospacing="0" w:line="400" w:lineRule="exact"/>
        <w:rPr>
          <w:rFonts w:hint="eastAsia" w:ascii="宋体" w:hAnsi="宋体" w:cs="宋体"/>
          <w:color w:val="000000"/>
          <w:sz w:val="24"/>
        </w:rPr>
      </w:pPr>
      <w:r>
        <w:rPr>
          <w:rFonts w:asciiTheme="minorEastAsia" w:hAnsiTheme="minorEastAsia" w:eastAsiaTheme="minorEastAsia"/>
          <w:sz w:val="24"/>
        </w:rPr>
        <w:t>10.5因乙方迟延履行合同义务，在迟延履行期间遭遇不可抗力的，不免除乙方违约责任。</w:t>
      </w:r>
    </w:p>
    <w:p w14:paraId="0DB8C864">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10.6一旦不可抗力事件的影响持续</w:t>
      </w:r>
      <w:r>
        <w:rPr>
          <w:rFonts w:ascii="宋体" w:hAnsi="宋体" w:cs="宋体"/>
          <w:color w:val="000000"/>
          <w:sz w:val="24"/>
          <w:u w:val="single"/>
        </w:rPr>
        <w:t xml:space="preserve">     </w:t>
      </w:r>
      <w:r>
        <w:rPr>
          <w:rFonts w:asciiTheme="minorEastAsia" w:hAnsiTheme="minorEastAsia" w:eastAsiaTheme="minorEastAsia"/>
          <w:sz w:val="24"/>
        </w:rPr>
        <w:t>天以上，双方应通过友好协商在合理的时间内达成进一步履行合同或终止合同的协议。</w:t>
      </w:r>
    </w:p>
    <w:p w14:paraId="04EC4E97">
      <w:pPr>
        <w:pStyle w:val="5"/>
        <w:numPr>
          <w:ilvl w:val="1"/>
          <w:numId w:val="0"/>
        </w:numPr>
        <w:spacing w:before="0" w:beforeAutospacing="0" w:after="0" w:afterAutospacing="0" w:line="400" w:lineRule="exact"/>
        <w:rPr>
          <w:rFonts w:hint="eastAsia" w:ascii="宋体" w:hAnsi="宋体" w:cs="宋体"/>
          <w:b/>
          <w:bCs/>
          <w:color w:val="000000"/>
          <w:sz w:val="24"/>
        </w:rPr>
      </w:pPr>
      <w:r>
        <w:rPr>
          <w:rFonts w:hint="eastAsia" w:ascii="宋体" w:hAnsi="宋体" w:cs="宋体"/>
          <w:b/>
          <w:bCs/>
          <w:color w:val="000000"/>
          <w:sz w:val="24"/>
        </w:rPr>
        <w:t>十一、知识产权</w:t>
      </w:r>
    </w:p>
    <w:p w14:paraId="788FBB69">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11.1</w:t>
      </w:r>
      <w:r>
        <w:rPr>
          <w:rFonts w:asciiTheme="minorEastAsia" w:hAnsiTheme="minorEastAsia" w:eastAsiaTheme="minorEastAsia"/>
          <w:sz w:val="24"/>
        </w:rPr>
        <w:t>除合同条款另有约定外，甲方提供给乙方的图纸、技术规格书以及反映甲方要求的或其他类似性质的文件的知识产权属于甲方，乙方可以为实现合同目的而复制、使用此类文件，但不能用于与合同无关的其他事项。未经甲方书面同意，乙方不得为了合同以外的目的而复制、使用上述文件或将之提供给任何第三方。</w:t>
      </w:r>
    </w:p>
    <w:p w14:paraId="3D15B311">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11.2</w:t>
      </w:r>
      <w:r>
        <w:rPr>
          <w:rFonts w:asciiTheme="minorEastAsia" w:hAnsiTheme="minorEastAsia" w:eastAsiaTheme="minorEastAsia"/>
          <w:sz w:val="24"/>
        </w:rPr>
        <w:t>乙方承诺甲方在使用其提交本合同项下成果或成果的任何一部分时，免受第三方提出的侵犯其专利权、商标权、著作权或其他知识产权的起诉。任何第三方提出的侵权指控，乙方必须与第三方交涉并承担由此引起的一切法律责任和费用（包括但不限于甲方支出的诉讼费用、律师费用、其他应诉抗辩费用以及经有关机构裁决需由甲方承担的索赔人所主张的损失赔偿、诉讼费用、律师费用等）。</w:t>
      </w:r>
    </w:p>
    <w:p w14:paraId="048359D6">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11.3</w:t>
      </w:r>
      <w:r>
        <w:rPr>
          <w:rFonts w:asciiTheme="minorEastAsia" w:hAnsiTheme="minorEastAsia" w:eastAsiaTheme="minorEastAsia"/>
          <w:sz w:val="24"/>
        </w:rPr>
        <w:t>除合同条款另有约定外，乙方为实施本合同义务所编制的文件、提供的视频资料等，除署名权以外的知识产权属于甲方，乙方可因实施合同的目的而复制、使用此类文件，但不能用于与合同无关的其他事项。未经甲方书面同意，乙方不得为了合同以外的目的而复制、使用上述文件或将之提供给任何第三方。</w:t>
      </w:r>
    </w:p>
    <w:p w14:paraId="3E1A253C">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11.4</w:t>
      </w:r>
      <w:r>
        <w:rPr>
          <w:rFonts w:asciiTheme="minorEastAsia" w:hAnsiTheme="minorEastAsia" w:eastAsiaTheme="minorEastAsia"/>
          <w:sz w:val="24"/>
        </w:rPr>
        <w:t>除合同条款另有约定外，乙方在合同签订前和签订时已确定采用的专利、专有技术、技术秘密的使用费已包含在签约合同价中。</w:t>
      </w:r>
    </w:p>
    <w:p w14:paraId="0C133502">
      <w:pPr>
        <w:pStyle w:val="5"/>
        <w:numPr>
          <w:ilvl w:val="1"/>
          <w:numId w:val="0"/>
        </w:numPr>
        <w:spacing w:before="0" w:beforeAutospacing="0" w:after="0" w:afterAutospacing="0" w:line="400" w:lineRule="exact"/>
        <w:rPr>
          <w:rFonts w:hint="eastAsia" w:ascii="宋体" w:hAnsi="宋体" w:cs="宋体"/>
          <w:b/>
          <w:bCs/>
          <w:color w:val="000000"/>
          <w:sz w:val="24"/>
        </w:rPr>
      </w:pPr>
      <w:r>
        <w:rPr>
          <w:rFonts w:hint="eastAsia" w:ascii="宋体" w:hAnsi="宋体" w:cs="宋体"/>
          <w:b/>
          <w:bCs/>
          <w:color w:val="000000"/>
          <w:sz w:val="24"/>
        </w:rPr>
        <w:t>十二、保密</w:t>
      </w:r>
    </w:p>
    <w:p w14:paraId="57E548C5">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12.1保密信息是指合同双方雇员、顾问、代理人或其他相关人员因执行本合同而创造、取得和/或开发的尚未公开的信息，包括但不限于本合同中的全部条款及信息、未公开的发明、发现，商业秘密、技术秘密，包括但不限于项目技术文件、技术成果等其他相关的信息。</w:t>
      </w:r>
    </w:p>
    <w:p w14:paraId="12258C81">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12.2合同双方同意对保密信息采取保密措施，未经权利人书面同意，合同任何一方不得以任何方式向第三方披露，包括但不限于展示、发表文章、复制等。合同双方同意并保证，除为履行本合同而必须知悉上述保密信息的合同双方雇员和相关人员之外，不得向任何其他人披露。合同双方与其雇员或相关人员应有书面保密协议（包括单独签订的保密协议或劳动合同的相关条款等），其保密义务不得低于本合同规定。合同一方雇员及相关人员违反保密规定造成的损失，由该合同方承担一切法律后果和赔偿责任。</w:t>
      </w:r>
    </w:p>
    <w:p w14:paraId="458BE9A9">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12.3合同双方同意为履行本合同目的，向合同对方披露的、各自的保密信息均不构成或意味着该方将其所拥有的保密信息转让或许可给合同对方，也不构成向合同对方授予保密信息或其他专有权利（包括但不限于申请专利权、专利申请权或专利权）的许可或其他授权。</w:t>
      </w:r>
    </w:p>
    <w:p w14:paraId="238FC619">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12.4合同双方同意，保密期限为合同有效期限内及合同终止后的3年。保密期届满，未经权利人书面同意，不得采取任何方式公开保密信息。</w:t>
      </w:r>
    </w:p>
    <w:p w14:paraId="5DAF6E6B">
      <w:pPr>
        <w:pStyle w:val="5"/>
        <w:numPr>
          <w:ilvl w:val="1"/>
          <w:numId w:val="0"/>
        </w:numPr>
        <w:spacing w:before="0" w:beforeAutospacing="0" w:after="0" w:afterAutospacing="0" w:line="400" w:lineRule="exact"/>
        <w:rPr>
          <w:rFonts w:hint="eastAsia" w:ascii="宋体" w:hAnsi="宋体" w:cs="宋体"/>
          <w:b/>
          <w:bCs/>
          <w:color w:val="000000"/>
          <w:sz w:val="24"/>
        </w:rPr>
      </w:pPr>
      <w:r>
        <w:rPr>
          <w:rFonts w:hint="eastAsia" w:ascii="宋体" w:hAnsi="宋体" w:cs="宋体"/>
          <w:b/>
          <w:bCs/>
          <w:color w:val="000000"/>
          <w:sz w:val="24"/>
        </w:rPr>
        <w:t>十三、合同的变更与解除</w:t>
      </w:r>
    </w:p>
    <w:p w14:paraId="2E2BE7B2">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13.1合同的变更</w:t>
      </w:r>
    </w:p>
    <w:p w14:paraId="656475EC">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经双方协商一致，可以对本合同条款进行变更，合同变更文件必须由双方法定代表人（或授权代表）签字、盖章确认，变更文件为本合同组成部分。</w:t>
      </w:r>
    </w:p>
    <w:p w14:paraId="5A0CCBE7">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13.2合同的解除</w:t>
      </w:r>
    </w:p>
    <w:p w14:paraId="37F74FB5">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13.2.1甲乙双方协商一致可以书面形式解除本合同，且应于解除时明确双方的权利义务。</w:t>
      </w:r>
    </w:p>
    <w:p w14:paraId="25B9B716">
      <w:pPr>
        <w:pStyle w:val="5"/>
        <w:numPr>
          <w:ilvl w:val="1"/>
          <w:numId w:val="0"/>
        </w:numPr>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13.2.2出现下列情形时，甲方有权解除合同：</w:t>
      </w:r>
    </w:p>
    <w:p w14:paraId="60B182C9">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（1）乙方或乙方人员造成自身或他人人身伤害事故的；</w:t>
      </w:r>
    </w:p>
    <w:p w14:paraId="14F330EA">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（2）乙方提供服务的类型、数量、质量等不满足合同约定的要求；</w:t>
      </w:r>
    </w:p>
    <w:p w14:paraId="50A836F5">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（3）甲方对乙方消杀成果进行定期检验与验收时且要求其整改，乙方经次整改仍未达到合同约定标准的；</w:t>
      </w:r>
    </w:p>
    <w:p w14:paraId="60512673">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（4）乙方在消杀活动过程中出现违反安全作业的行为，经甲方制止后仍不改进；</w:t>
      </w:r>
    </w:p>
    <w:p w14:paraId="243CF4A1">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（5）乙方或受其管理人员给甲方造成损失超过元或其他重大损失的；</w:t>
      </w:r>
    </w:p>
    <w:p w14:paraId="518178B6">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（6）本合同约定的甲方可以解除的其他情形。</w:t>
      </w:r>
    </w:p>
    <w:p w14:paraId="6F00CF1B">
      <w:pPr>
        <w:pStyle w:val="5"/>
        <w:spacing w:before="0" w:beforeAutospacing="0" w:after="0" w:afterAutospacing="0" w:line="400" w:lineRule="exact"/>
        <w:rPr>
          <w:rFonts w:hint="eastAsia" w:ascii="宋体" w:hAnsi="宋体" w:cs="宋体"/>
          <w:b/>
          <w:bCs/>
          <w:color w:val="000000"/>
          <w:sz w:val="24"/>
        </w:rPr>
      </w:pPr>
      <w:bookmarkStart w:id="3" w:name="_Hlk140305557"/>
      <w:r>
        <w:rPr>
          <w:rFonts w:hint="eastAsia" w:ascii="宋体" w:hAnsi="宋体" w:cs="宋体"/>
          <w:b/>
          <w:bCs/>
          <w:color w:val="000000"/>
          <w:sz w:val="24"/>
        </w:rPr>
        <w:t>十四、联系方式</w:t>
      </w:r>
    </w:p>
    <w:p w14:paraId="0D163BB8">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.1双方授权代表及联系方式、地址及工作内容</w:t>
      </w:r>
    </w:p>
    <w:p w14:paraId="28FDAD87">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（1）甲方</w:t>
      </w:r>
      <w:r>
        <w:rPr>
          <w:rFonts w:hint="eastAsia" w:asciiTheme="minorEastAsia" w:hAnsiTheme="minorEastAsia" w:eastAsiaTheme="minorEastAsia"/>
          <w:sz w:val="24"/>
        </w:rPr>
        <w:t>一</w:t>
      </w:r>
      <w:r>
        <w:rPr>
          <w:rFonts w:asciiTheme="minorEastAsia" w:hAnsiTheme="minorEastAsia" w:eastAsiaTheme="minorEastAsia"/>
          <w:sz w:val="24"/>
        </w:rPr>
        <w:t>授权代表为：</w:t>
      </w:r>
    </w:p>
    <w:p w14:paraId="26F6E9EA">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联系电话：</w:t>
      </w:r>
    </w:p>
    <w:p w14:paraId="69786FA0">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邮箱：通讯地址：</w:t>
      </w:r>
    </w:p>
    <w:p w14:paraId="4C5F411D">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工作内容：在本合同执行过程中与乙方联系、沟通协调、工作联系函的收发处理、结算单的办理、对乙方异议的处理等。</w:t>
      </w:r>
    </w:p>
    <w:p w14:paraId="7D51D644">
      <w:pPr>
        <w:pStyle w:val="5"/>
        <w:spacing w:before="0" w:beforeAutospacing="0" w:after="0" w:afterAutospacing="0" w:line="400" w:lineRule="exact"/>
        <w:rPr>
          <w:rFonts w:hint="eastAsia" w:ascii="宋体" w:hAnsi="宋体" w:cs="宋体"/>
          <w:color w:val="000000"/>
          <w:sz w:val="24"/>
        </w:rPr>
      </w:pPr>
    </w:p>
    <w:p w14:paraId="4795DBA6">
      <w:pPr>
        <w:pStyle w:val="5"/>
        <w:spacing w:before="0" w:beforeAutospacing="0" w:after="0" w:afterAutospacing="0" w:line="400" w:lineRule="exact"/>
        <w:rPr>
          <w:rFonts w:hint="eastAsia" w:ascii="宋体" w:hAnsi="宋体" w:cs="宋体"/>
          <w:color w:val="000000"/>
          <w:sz w:val="24"/>
        </w:rPr>
      </w:pPr>
      <w:r>
        <w:rPr>
          <w:rFonts w:ascii="宋体" w:hAnsi="宋体" w:cs="宋体"/>
          <w:color w:val="000000"/>
          <w:sz w:val="24"/>
        </w:rPr>
        <w:t>（</w:t>
      </w:r>
      <w:r>
        <w:rPr>
          <w:rFonts w:hint="eastAsia" w:ascii="宋体" w:hAnsi="宋体" w:cs="宋体"/>
          <w:color w:val="000000"/>
          <w:sz w:val="24"/>
        </w:rPr>
        <w:t>2</w:t>
      </w:r>
      <w:r>
        <w:rPr>
          <w:rFonts w:ascii="宋体" w:hAnsi="宋体" w:cs="宋体"/>
          <w:color w:val="000000"/>
          <w:sz w:val="24"/>
        </w:rPr>
        <w:t>）甲方</w:t>
      </w:r>
      <w:r>
        <w:rPr>
          <w:rFonts w:hint="eastAsia" w:ascii="宋体" w:hAnsi="宋体" w:cs="宋体"/>
          <w:color w:val="000000"/>
          <w:sz w:val="24"/>
        </w:rPr>
        <w:t>二</w:t>
      </w:r>
      <w:r>
        <w:rPr>
          <w:rFonts w:ascii="宋体" w:hAnsi="宋体" w:cs="宋体"/>
          <w:color w:val="000000"/>
          <w:sz w:val="24"/>
        </w:rPr>
        <w:t>授权代表为：</w:t>
      </w:r>
    </w:p>
    <w:p w14:paraId="5B184D57">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联系电话：</w:t>
      </w:r>
    </w:p>
    <w:p w14:paraId="4E5BDADF">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邮箱：通讯地址：</w:t>
      </w:r>
    </w:p>
    <w:p w14:paraId="34E875CE">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工作内容：在本合同执行过程中与乙方联系、沟通协调、工作联系函的收发处理、结算单的办理、对乙方异议的处理等。</w:t>
      </w:r>
    </w:p>
    <w:p w14:paraId="54FC1CAD">
      <w:pPr>
        <w:pStyle w:val="5"/>
        <w:spacing w:before="0" w:beforeAutospacing="0" w:after="0" w:afterAutospacing="0" w:line="400" w:lineRule="exact"/>
        <w:rPr>
          <w:rFonts w:hint="eastAsia" w:ascii="宋体" w:hAnsi="宋体" w:cs="宋体"/>
          <w:color w:val="000000"/>
          <w:sz w:val="24"/>
        </w:rPr>
      </w:pPr>
    </w:p>
    <w:p w14:paraId="66E50591">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）乙方授权代表为：</w:t>
      </w:r>
    </w:p>
    <w:p w14:paraId="7B137B04">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联系电话：</w:t>
      </w:r>
    </w:p>
    <w:p w14:paraId="35634582">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邮箱：通讯地址：</w:t>
      </w:r>
    </w:p>
    <w:p w14:paraId="3C6E6C36">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工作内容：在本合同执行过程中与甲方联系、沟通协调、工作联系函的收发处理、结算单的办理，对甲方异议的处理等。</w:t>
      </w:r>
    </w:p>
    <w:p w14:paraId="733A213D">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.2如有变更，需提前天书面通知对方确认。</w:t>
      </w:r>
    </w:p>
    <w:p w14:paraId="181A2842">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4</w:t>
      </w:r>
      <w:r>
        <w:rPr>
          <w:rFonts w:asciiTheme="minorEastAsia" w:hAnsiTheme="minorEastAsia" w:eastAsiaTheme="minorEastAsia"/>
          <w:sz w:val="24"/>
        </w:rPr>
        <w:t>.3通知、函件等送达的约定</w:t>
      </w:r>
    </w:p>
    <w:p w14:paraId="3E8732A2">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（1）甲、乙双方向对方发出的通知、函件等，均按照本合同协议联系方式第七条所列明的联系方式，以邮递、电子邮件、手机短信等方式发送给对方（可采用一种或者多种方式发送）。</w:t>
      </w:r>
    </w:p>
    <w:p w14:paraId="63AE55B4">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2）甲、乙双方通过邮递方式发送的，以邮寄之日后的第个自然日即视为送达日，无论邮件是否签收、拒收、代收或退回；甲、乙双方通过电子邮件、手机短信等数据电文方式发送的，以该数据电文进入相关系统之日即视为送达。通过专人送达的，以签收之日视为送达日（如拒收则以送达专人在送达回证上记明情况之日视为送达日）。</w:t>
      </w:r>
    </w:p>
    <w:p w14:paraId="321AC6F7">
      <w:pPr>
        <w:pStyle w:val="5"/>
        <w:spacing w:before="0" w:beforeAutospacing="0" w:after="0" w:afterAutospacing="0" w:line="400" w:lineRule="exact"/>
        <w:rPr>
          <w:rFonts w:hint="eastAsia" w:asciiTheme="minorEastAsia" w:hAnsiTheme="minorEastAsia" w:eastAsiaTheme="minorEastAsia"/>
          <w:sz w:val="24"/>
        </w:rPr>
      </w:pPr>
      <w:r>
        <w:rPr>
          <w:rFonts w:asciiTheme="minorEastAsia" w:hAnsiTheme="minorEastAsia" w:eastAsiaTheme="minorEastAsia"/>
          <w:sz w:val="24"/>
        </w:rPr>
        <w:t>（3）甲、乙双方应当保证所提供的联系方式是准确、有效的，并进行实时更新。</w:t>
      </w:r>
      <w:bookmarkEnd w:id="3"/>
    </w:p>
    <w:p w14:paraId="484FACC6">
      <w:pPr>
        <w:pStyle w:val="5"/>
        <w:spacing w:before="0" w:beforeAutospacing="0" w:after="0" w:afterAutospacing="0" w:line="400" w:lineRule="exact"/>
        <w:rPr>
          <w:rFonts w:hint="eastAsia" w:ascii="宋体" w:hAnsi="宋体" w:cs="宋体"/>
          <w:sz w:val="24"/>
        </w:rPr>
      </w:pPr>
      <w:r>
        <w:rPr>
          <w:rFonts w:hint="eastAsia" w:ascii="宋体" w:hAnsi="宋体" w:cs="宋体"/>
          <w:b/>
          <w:color w:val="000000"/>
          <w:kern w:val="0"/>
          <w:sz w:val="24"/>
        </w:rPr>
        <w:t>十五、</w:t>
      </w:r>
      <w:r>
        <w:rPr>
          <w:rFonts w:hint="eastAsia" w:ascii="宋体" w:hAnsi="宋体" w:cs="宋体"/>
          <w:b/>
          <w:sz w:val="24"/>
        </w:rPr>
        <w:t>廉洁约定</w:t>
      </w:r>
    </w:p>
    <w:p w14:paraId="33A406DD">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13.1甲、乙双方及工作人员不得向对方索要回扣等物质或非物质利益；不得接受对方人员给予的金钱及其他财物；不得参加可能对公正处理业务有影响的吃、喝、玩、乐等娱乐活动；不得以满足个人利益为目的而要挟和刁难对方。</w:t>
      </w:r>
    </w:p>
    <w:p w14:paraId="36A82B72">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13.2甲、乙双方及工作人员出现索贿行为的，应及时向对方领导或纪检监督部门投诉。</w:t>
      </w:r>
    </w:p>
    <w:p w14:paraId="6C97821D">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13.3甲、乙双方及工作人员不得发生关联交易、利益输送等其他不正当经济往来。</w:t>
      </w:r>
    </w:p>
    <w:p w14:paraId="0B677A3D">
      <w:pPr>
        <w:pStyle w:val="5"/>
        <w:spacing w:before="0" w:beforeAutospacing="0" w:after="0" w:afterAutospacing="0" w:line="400" w:lineRule="exact"/>
        <w:rPr>
          <w:rFonts w:hint="eastAsia" w:asciiTheme="minorEastAsia" w:hAnsiTheme="minorEastAsia" w:eastAsiaTheme="minorEastAsia"/>
          <w:sz w:val="24"/>
          <w:u w:val="single"/>
        </w:rPr>
      </w:pPr>
      <w:r>
        <w:rPr>
          <w:rFonts w:hint="eastAsia" w:asciiTheme="minorEastAsia" w:hAnsiTheme="minorEastAsia" w:eastAsiaTheme="minorEastAsia"/>
          <w:sz w:val="24"/>
        </w:rPr>
        <w:t>13.4甲方纪检监督部门联系人：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，举报电话：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，举报邮箱：</w:t>
      </w:r>
      <w:r>
        <w:rPr>
          <w:rFonts w:hint="eastAsia" w:asciiTheme="minorEastAsia" w:hAnsiTheme="minorEastAsia" w:eastAsiaTheme="minorEastAsia"/>
          <w:sz w:val="24"/>
          <w:u w:val="single"/>
        </w:rPr>
        <w:t xml:space="preserve">          </w:t>
      </w:r>
    </w:p>
    <w:p w14:paraId="1BC938A0">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乙方纪检监督部门联系人：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，举报电话：</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，举报邮箱：</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14:paraId="118E0A06">
      <w:pPr>
        <w:pStyle w:val="5"/>
        <w:spacing w:before="0" w:beforeAutospacing="0" w:after="0" w:afterAutospacing="0" w:line="400" w:lineRule="exact"/>
        <w:rPr>
          <w:rFonts w:hint="eastAsia" w:asciiTheme="minorEastAsia" w:hAnsiTheme="minorEastAsia" w:eastAsiaTheme="minorEastAsia"/>
          <w:sz w:val="24"/>
        </w:rPr>
      </w:pPr>
      <w:r>
        <w:rPr>
          <w:rFonts w:hint="eastAsia" w:asciiTheme="minorEastAsia" w:hAnsiTheme="minorEastAsia" w:eastAsiaTheme="minorEastAsia"/>
          <w:sz w:val="24"/>
        </w:rPr>
        <w:t>13.5如双方签署有廉洁合作协议，应符合廉洁合作约定。（详见附件四）</w:t>
      </w:r>
    </w:p>
    <w:p w14:paraId="11234EFD">
      <w:pPr>
        <w:pStyle w:val="5"/>
        <w:spacing w:before="0" w:beforeAutospacing="0" w:after="0" w:afterAutospacing="0" w:line="400" w:lineRule="exact"/>
        <w:rPr>
          <w:rFonts w:hint="eastAsia" w:ascii="宋体" w:hAnsi="宋体" w:cs="宋体"/>
          <w:b/>
          <w:bCs/>
          <w:color w:val="000000"/>
          <w:sz w:val="24"/>
        </w:rPr>
      </w:pPr>
      <w:r>
        <w:rPr>
          <w:rFonts w:hint="eastAsia" w:ascii="宋体" w:hAnsi="宋体" w:cs="宋体"/>
          <w:b/>
          <w:bCs/>
          <w:color w:val="000000"/>
          <w:sz w:val="24"/>
        </w:rPr>
        <w:t>十六、履约保证金</w:t>
      </w:r>
    </w:p>
    <w:p w14:paraId="129A0C57">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16.1乙方在接到甲方成交通知书30个工作日内，向甲方缴纳本合同履约保证金（合同总价的5%）¥</w:t>
      </w:r>
      <w:r>
        <w:rPr>
          <w:rFonts w:hint="eastAsia" w:ascii="宋体" w:hAnsi="宋体" w:cs="宋体"/>
          <w:color w:val="000000"/>
          <w:sz w:val="24"/>
          <w:u w:val="single"/>
        </w:rPr>
        <w:t xml:space="preserve">      </w:t>
      </w:r>
      <w:r>
        <w:rPr>
          <w:rFonts w:hint="eastAsia" w:ascii="宋体" w:hAnsi="宋体" w:cs="宋体"/>
          <w:color w:val="000000"/>
          <w:sz w:val="24"/>
        </w:rPr>
        <w:t>元（大写：</w:t>
      </w:r>
      <w:r>
        <w:rPr>
          <w:rFonts w:hint="eastAsia" w:ascii="宋体" w:hAnsi="宋体" w:cs="宋体"/>
          <w:color w:val="000000"/>
          <w:sz w:val="24"/>
          <w:u w:val="single"/>
        </w:rPr>
        <w:t xml:space="preserve">              </w:t>
      </w:r>
      <w:r>
        <w:rPr>
          <w:rFonts w:hint="eastAsia" w:ascii="宋体" w:hAnsi="宋体" w:cs="宋体"/>
          <w:color w:val="000000"/>
          <w:sz w:val="24"/>
        </w:rPr>
        <w:t>）。</w:t>
      </w:r>
    </w:p>
    <w:p w14:paraId="3AD82392">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16.2本合同终止或解除，甲、乙双方无任何纠纷存续，甲方在合同终止或解除后45个工作日内一次性无息退还乙方履约保证金。</w:t>
      </w:r>
    </w:p>
    <w:p w14:paraId="10D97A33">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16.3若乙方在合同期内有违约或损害甲方权益的行为，甲方有权不经通知且无需征得乙方同意的情况下直接没收履约保证金或从该履约保证金中扣除相应金额赔偿甲方的损失。若对甲方造成的损失超过乙方所交履约保证金金额的，乙方还应按甲方要求补足赔偿部分，补足部分的金额乙方须在10日内补缴，否则甲方有权解除合同，所有责任皆由乙方负责。</w:t>
      </w:r>
    </w:p>
    <w:p w14:paraId="0231A80F">
      <w:pPr>
        <w:pStyle w:val="5"/>
        <w:spacing w:before="0" w:beforeAutospacing="0" w:after="0" w:afterAutospacing="0" w:line="400" w:lineRule="exact"/>
        <w:rPr>
          <w:rFonts w:hint="eastAsia" w:ascii="宋体" w:hAnsi="宋体" w:cs="宋体"/>
          <w:color w:val="000000"/>
          <w:sz w:val="24"/>
        </w:rPr>
      </w:pPr>
      <w:r>
        <w:rPr>
          <w:rFonts w:hint="eastAsia" w:ascii="宋体" w:hAnsi="宋体" w:cs="宋体"/>
          <w:color w:val="000000"/>
          <w:sz w:val="24"/>
        </w:rPr>
        <w:t>16.4如乙方提前解除本合同（乙方提出单方面解除合同），则视为乙方违约，甲方有权不予退还履约保证金。</w:t>
      </w:r>
    </w:p>
    <w:p w14:paraId="4608FD66">
      <w:pPr>
        <w:pStyle w:val="5"/>
        <w:spacing w:before="0" w:beforeAutospacing="0" w:after="0" w:afterAutospacing="0" w:line="400" w:lineRule="exact"/>
        <w:rPr>
          <w:rFonts w:hint="eastAsia" w:ascii="宋体" w:hAnsi="宋体" w:cs="宋体"/>
          <w:b/>
          <w:bCs/>
          <w:sz w:val="24"/>
        </w:rPr>
      </w:pPr>
      <w:r>
        <w:rPr>
          <w:rFonts w:hint="eastAsia" w:ascii="宋体" w:hAnsi="宋体" w:cs="宋体"/>
          <w:b/>
          <w:bCs/>
          <w:sz w:val="24"/>
        </w:rPr>
        <w:t>十七、争议解决</w:t>
      </w:r>
    </w:p>
    <w:p w14:paraId="61EE0381">
      <w:pPr>
        <w:spacing w:line="400" w:lineRule="exact"/>
        <w:rPr>
          <w:rFonts w:hint="eastAsia" w:ascii="宋体" w:hAnsi="宋体" w:cs="宋体"/>
          <w:b/>
          <w:bCs/>
          <w:color w:val="000000"/>
          <w:sz w:val="24"/>
        </w:rPr>
      </w:pPr>
      <w:r>
        <w:rPr>
          <w:rFonts w:hint="eastAsia" w:ascii="宋体" w:hAnsi="宋体" w:cs="宋体"/>
          <w:sz w:val="24"/>
        </w:rPr>
        <w:t>因本合同引起的或与本合同有关的争议，双方应尽量通过友好协商解决。协商不成时，双方约定向甲方住所地有管辖权的人民法院诉讼解决，即人民法院。</w:t>
      </w:r>
    </w:p>
    <w:p w14:paraId="0309475B">
      <w:pPr>
        <w:spacing w:line="400" w:lineRule="exact"/>
        <w:rPr>
          <w:rFonts w:hint="eastAsia" w:ascii="宋体" w:hAnsi="宋体" w:cs="宋体"/>
          <w:b/>
          <w:sz w:val="24"/>
        </w:rPr>
      </w:pPr>
      <w:r>
        <w:rPr>
          <w:rFonts w:hint="eastAsia" w:ascii="宋体" w:hAnsi="宋体" w:cs="宋体"/>
          <w:b/>
          <w:color w:val="000000"/>
          <w:kern w:val="0"/>
          <w:sz w:val="24"/>
        </w:rPr>
        <w:t>十八、</w:t>
      </w:r>
      <w:r>
        <w:rPr>
          <w:rFonts w:hint="eastAsia" w:ascii="宋体" w:hAnsi="宋体" w:cs="宋体"/>
          <w:b/>
          <w:sz w:val="24"/>
        </w:rPr>
        <w:t>附则</w:t>
      </w:r>
    </w:p>
    <w:p w14:paraId="16031938">
      <w:pPr>
        <w:pStyle w:val="5"/>
        <w:numPr>
          <w:ilvl w:val="1"/>
          <w:numId w:val="0"/>
        </w:numPr>
        <w:spacing w:before="0" w:beforeAutospacing="0" w:after="0" w:afterAutospacing="0" w:line="400" w:lineRule="exact"/>
        <w:rPr>
          <w:rFonts w:hint="eastAsia" w:ascii="宋体" w:hAnsi="宋体" w:cs="宋体"/>
          <w:sz w:val="24"/>
        </w:rPr>
      </w:pPr>
      <w:r>
        <w:rPr>
          <w:rFonts w:hint="eastAsia" w:ascii="宋体" w:hAnsi="宋体" w:cs="宋体"/>
          <w:kern w:val="0"/>
          <w:sz w:val="24"/>
        </w:rPr>
        <w:t>18.1</w:t>
      </w:r>
      <w:r>
        <w:rPr>
          <w:rFonts w:hint="eastAsia" w:ascii="宋体" w:hAnsi="宋体" w:cs="宋体"/>
          <w:sz w:val="24"/>
        </w:rPr>
        <w:t>本合同一式肆份，甲方贰份、乙方贰份，经双方签字并盖章后生效。各份合同文本具有同等法律效力。</w:t>
      </w:r>
    </w:p>
    <w:p w14:paraId="0FEB44CD">
      <w:pPr>
        <w:pStyle w:val="5"/>
        <w:numPr>
          <w:ilvl w:val="1"/>
          <w:numId w:val="0"/>
        </w:numPr>
        <w:spacing w:before="0" w:beforeAutospacing="0" w:after="0" w:afterAutospacing="0" w:line="400" w:lineRule="exact"/>
        <w:rPr>
          <w:rFonts w:hint="eastAsia" w:ascii="宋体" w:hAnsi="宋体" w:cs="宋体"/>
          <w:sz w:val="24"/>
        </w:rPr>
      </w:pPr>
      <w:r>
        <w:rPr>
          <w:rFonts w:hint="eastAsia" w:ascii="宋体" w:hAnsi="宋体" w:cs="宋体"/>
          <w:kern w:val="0"/>
          <w:sz w:val="24"/>
        </w:rPr>
        <w:t>18.2</w:t>
      </w:r>
      <w:r>
        <w:rPr>
          <w:rFonts w:hint="eastAsia" w:ascii="宋体" w:hAnsi="宋体" w:cs="宋体"/>
          <w:sz w:val="24"/>
        </w:rPr>
        <w:t>本合同未规定的事宜，均遵循国家有关法律、法规和规章执行。</w:t>
      </w:r>
    </w:p>
    <w:p w14:paraId="4FBB3394">
      <w:pPr>
        <w:pStyle w:val="5"/>
        <w:numPr>
          <w:ilvl w:val="1"/>
          <w:numId w:val="0"/>
        </w:numPr>
        <w:spacing w:before="0" w:beforeAutospacing="0" w:after="0" w:afterAutospacing="0" w:line="400" w:lineRule="exact"/>
        <w:rPr>
          <w:rFonts w:hint="eastAsia" w:ascii="宋体" w:hAnsi="宋体" w:cs="宋体"/>
          <w:sz w:val="24"/>
        </w:rPr>
      </w:pPr>
      <w:r>
        <w:rPr>
          <w:rFonts w:hint="eastAsia" w:ascii="宋体" w:hAnsi="宋体" w:cs="宋体"/>
          <w:kern w:val="0"/>
          <w:sz w:val="24"/>
        </w:rPr>
        <w:t>18.3</w:t>
      </w:r>
      <w:r>
        <w:rPr>
          <w:rFonts w:hint="eastAsia" w:ascii="宋体" w:hAnsi="宋体" w:cs="宋体"/>
          <w:sz w:val="24"/>
        </w:rPr>
        <w:t>本合同其他未尽事宜，双方可另行以书面形式签订补充协议。</w:t>
      </w:r>
    </w:p>
    <w:p w14:paraId="5BB69D10">
      <w:pPr>
        <w:pStyle w:val="5"/>
        <w:numPr>
          <w:ilvl w:val="1"/>
          <w:numId w:val="0"/>
        </w:numPr>
        <w:spacing w:before="0" w:beforeAutospacing="0" w:after="0" w:afterAutospacing="0" w:line="400" w:lineRule="exact"/>
        <w:rPr>
          <w:rFonts w:hint="eastAsia" w:ascii="宋体" w:hAnsi="宋体" w:cs="宋体"/>
          <w:sz w:val="24"/>
        </w:rPr>
      </w:pPr>
      <w:r>
        <w:rPr>
          <w:rFonts w:hint="eastAsia" w:ascii="宋体" w:hAnsi="宋体" w:cs="宋体"/>
          <w:kern w:val="0"/>
          <w:sz w:val="24"/>
        </w:rPr>
        <w:t>18.4</w:t>
      </w:r>
      <w:r>
        <w:rPr>
          <w:rFonts w:hint="eastAsia" w:ascii="宋体" w:hAnsi="宋体" w:cs="宋体"/>
          <w:sz w:val="24"/>
        </w:rPr>
        <w:t>下述合同附件为本合同不可分割的部分，并与本合同具有同等效力。</w:t>
      </w:r>
    </w:p>
    <w:p w14:paraId="07B46906">
      <w:pPr>
        <w:spacing w:line="400" w:lineRule="exact"/>
        <w:rPr>
          <w:rFonts w:hint="eastAsia" w:ascii="宋体" w:hAnsi="宋体" w:cs="宋体"/>
          <w:b/>
          <w:bCs/>
          <w:color w:val="000000"/>
          <w:sz w:val="24"/>
        </w:rPr>
      </w:pPr>
      <w:r>
        <w:rPr>
          <w:rFonts w:hint="eastAsia" w:ascii="宋体" w:hAnsi="宋体" w:cs="宋体"/>
          <w:b/>
          <w:bCs/>
          <w:color w:val="000000"/>
          <w:sz w:val="24"/>
        </w:rPr>
        <w:t>十九、合同附件</w:t>
      </w:r>
    </w:p>
    <w:p w14:paraId="2F2DC879">
      <w:pPr>
        <w:pStyle w:val="5"/>
        <w:numPr>
          <w:ilvl w:val="1"/>
          <w:numId w:val="0"/>
        </w:numPr>
        <w:spacing w:before="0" w:beforeAutospacing="0" w:after="0" w:afterAutospacing="0" w:line="400" w:lineRule="exact"/>
        <w:rPr>
          <w:rFonts w:hint="eastAsia" w:ascii="宋体" w:hAnsi="宋体" w:cs="宋体"/>
          <w:kern w:val="0"/>
          <w:sz w:val="24"/>
        </w:rPr>
      </w:pPr>
      <w:r>
        <w:rPr>
          <w:rFonts w:hint="eastAsia" w:ascii="宋体" w:hAnsi="宋体" w:cs="宋体"/>
          <w:kern w:val="0"/>
          <w:sz w:val="24"/>
        </w:rPr>
        <w:t>下述合同附件为本合同不可分割的部分，并与本合同具有同等效力。</w:t>
      </w:r>
    </w:p>
    <w:p w14:paraId="0A7093C4">
      <w:pPr>
        <w:pStyle w:val="5"/>
        <w:numPr>
          <w:ilvl w:val="1"/>
          <w:numId w:val="0"/>
        </w:numPr>
        <w:spacing w:before="0" w:beforeAutospacing="0" w:after="0" w:afterAutospacing="0" w:line="400" w:lineRule="exact"/>
        <w:rPr>
          <w:rFonts w:hint="eastAsia" w:ascii="宋体" w:hAnsi="宋体" w:cs="宋体"/>
          <w:kern w:val="0"/>
          <w:sz w:val="24"/>
        </w:rPr>
      </w:pPr>
      <w:r>
        <w:rPr>
          <w:rFonts w:hint="eastAsia" w:ascii="宋体" w:hAnsi="宋体" w:cs="宋体"/>
          <w:kern w:val="0"/>
          <w:sz w:val="24"/>
        </w:rPr>
        <w:t>附件一：四害消杀服务清单及费用明细表</w:t>
      </w:r>
    </w:p>
    <w:p w14:paraId="1BE17676">
      <w:pPr>
        <w:pStyle w:val="5"/>
        <w:numPr>
          <w:ilvl w:val="1"/>
          <w:numId w:val="0"/>
        </w:numPr>
        <w:spacing w:before="0" w:beforeAutospacing="0" w:after="0" w:afterAutospacing="0" w:line="400" w:lineRule="exact"/>
        <w:rPr>
          <w:rFonts w:hint="eastAsia" w:ascii="宋体" w:hAnsi="宋体" w:cs="宋体"/>
          <w:kern w:val="0"/>
          <w:sz w:val="24"/>
        </w:rPr>
      </w:pPr>
      <w:r>
        <w:rPr>
          <w:rFonts w:hint="eastAsia" w:ascii="宋体" w:hAnsi="宋体" w:cs="宋体"/>
          <w:kern w:val="0"/>
          <w:sz w:val="24"/>
        </w:rPr>
        <w:t>附件二：</w:t>
      </w:r>
      <w:r>
        <w:rPr>
          <w:rFonts w:hint="eastAsia" w:ascii="宋体" w:hAnsi="宋体" w:cs="宋体"/>
          <w:sz w:val="24"/>
        </w:rPr>
        <w:t>四害消杀服务内容要求及频率</w:t>
      </w:r>
    </w:p>
    <w:p w14:paraId="338A3F72">
      <w:pPr>
        <w:pStyle w:val="5"/>
        <w:numPr>
          <w:ilvl w:val="1"/>
          <w:numId w:val="0"/>
        </w:numPr>
        <w:spacing w:before="0" w:beforeAutospacing="0" w:after="0" w:afterAutospacing="0" w:line="400" w:lineRule="exact"/>
        <w:rPr>
          <w:rFonts w:hint="eastAsia" w:ascii="宋体" w:hAnsi="宋体" w:cs="宋体"/>
          <w:color w:val="000000"/>
          <w:sz w:val="24"/>
        </w:rPr>
      </w:pPr>
      <w:r>
        <w:rPr>
          <w:rFonts w:hint="eastAsia" w:ascii="宋体" w:hAnsi="宋体" w:cs="宋体"/>
          <w:kern w:val="0"/>
          <w:sz w:val="24"/>
        </w:rPr>
        <w:t>附件三：</w:t>
      </w:r>
      <w:r>
        <w:rPr>
          <w:rFonts w:hint="eastAsia" w:ascii="宋体" w:hAnsi="宋体" w:cs="宋体"/>
          <w:color w:val="000000"/>
          <w:sz w:val="24"/>
        </w:rPr>
        <w:t>四害消杀服务考评检查表</w:t>
      </w:r>
    </w:p>
    <w:p w14:paraId="59B0C331">
      <w:pPr>
        <w:pStyle w:val="5"/>
        <w:numPr>
          <w:ilvl w:val="1"/>
          <w:numId w:val="0"/>
        </w:numPr>
        <w:spacing w:before="0" w:beforeAutospacing="0" w:after="0" w:afterAutospacing="0" w:line="400" w:lineRule="exact"/>
        <w:rPr>
          <w:rFonts w:hint="eastAsia" w:ascii="宋体" w:hAnsi="宋体" w:cs="宋体"/>
          <w:kern w:val="0"/>
          <w:sz w:val="24"/>
        </w:rPr>
      </w:pPr>
      <w:r>
        <w:rPr>
          <w:rFonts w:hint="eastAsia" w:ascii="宋体" w:hAnsi="宋体" w:cs="宋体"/>
          <w:kern w:val="0"/>
          <w:sz w:val="24"/>
        </w:rPr>
        <w:t>附件四：廉洁合作协议</w:t>
      </w:r>
    </w:p>
    <w:p w14:paraId="6D3D1347">
      <w:pPr>
        <w:pStyle w:val="5"/>
        <w:numPr>
          <w:ilvl w:val="1"/>
          <w:numId w:val="0"/>
        </w:numPr>
        <w:spacing w:before="0" w:beforeAutospacing="0" w:after="0" w:afterAutospacing="0" w:line="400" w:lineRule="exact"/>
        <w:rPr>
          <w:rFonts w:hint="eastAsia" w:ascii="宋体" w:hAnsi="宋体" w:cs="宋体"/>
          <w:kern w:val="0"/>
          <w:sz w:val="24"/>
        </w:rPr>
      </w:pPr>
      <w:r>
        <w:rPr>
          <w:rFonts w:hint="eastAsia" w:ascii="宋体" w:hAnsi="宋体" w:cs="宋体"/>
          <w:kern w:val="0"/>
          <w:sz w:val="24"/>
        </w:rPr>
        <w:t>附件五：合规保护标准条款</w:t>
      </w:r>
    </w:p>
    <w:p w14:paraId="5B197AE2">
      <w:pPr>
        <w:pStyle w:val="5"/>
        <w:numPr>
          <w:ilvl w:val="1"/>
          <w:numId w:val="0"/>
        </w:numPr>
        <w:spacing w:before="0" w:beforeAutospacing="0" w:after="0" w:afterAutospacing="0" w:line="400" w:lineRule="exact"/>
        <w:rPr>
          <w:rFonts w:hint="eastAsia" w:ascii="宋体" w:hAnsi="宋体" w:cs="宋体"/>
          <w:kern w:val="0"/>
          <w:sz w:val="24"/>
        </w:rPr>
      </w:pPr>
      <w:r>
        <w:rPr>
          <w:rFonts w:hint="eastAsia" w:ascii="宋体" w:hAnsi="宋体" w:cs="宋体"/>
          <w:kern w:val="0"/>
          <w:sz w:val="24"/>
        </w:rPr>
        <w:t>附件六：安全管理协议</w:t>
      </w:r>
    </w:p>
    <w:p w14:paraId="7B8C261C">
      <w:pPr>
        <w:spacing w:line="400" w:lineRule="exact"/>
        <w:rPr>
          <w:rFonts w:hint="eastAsia" w:ascii="宋体" w:hAnsi="宋体" w:cs="宋体"/>
          <w:sz w:val="24"/>
        </w:rPr>
      </w:pPr>
      <w:r>
        <w:rPr>
          <w:rFonts w:hint="eastAsia" w:ascii="宋体" w:hAnsi="宋体" w:cs="宋体"/>
          <w:sz w:val="24"/>
        </w:rPr>
        <w:t>（以下无正文）</w:t>
      </w:r>
    </w:p>
    <w:p w14:paraId="4A9F0399">
      <w:pPr>
        <w:rPr>
          <w:rFonts w:hint="eastAsia" w:ascii="宋体" w:hAnsi="宋体" w:cs="宋体"/>
          <w:sz w:val="24"/>
        </w:rPr>
      </w:pPr>
      <w:r>
        <w:rPr>
          <w:rFonts w:hint="eastAsia" w:ascii="宋体" w:hAnsi="宋体" w:cs="宋体"/>
          <w:sz w:val="24"/>
        </w:rPr>
        <w:br w:type="page"/>
      </w:r>
    </w:p>
    <w:p w14:paraId="5159CF23">
      <w:pPr>
        <w:spacing w:line="400" w:lineRule="exact"/>
        <w:rPr>
          <w:rFonts w:hint="eastAsia" w:ascii="宋体" w:hAnsi="宋体" w:cs="宋体"/>
          <w:sz w:val="24"/>
        </w:rPr>
      </w:pPr>
    </w:p>
    <w:p w14:paraId="7D6C4149">
      <w:pPr>
        <w:spacing w:line="400" w:lineRule="exact"/>
        <w:rPr>
          <w:rFonts w:hint="eastAsia" w:ascii="宋体" w:hAnsi="宋体" w:cs="宋体"/>
          <w:sz w:val="24"/>
        </w:rPr>
      </w:pPr>
    </w:p>
    <w:p w14:paraId="3D1189FA">
      <w:pPr>
        <w:spacing w:line="400" w:lineRule="exact"/>
        <w:rPr>
          <w:rFonts w:hint="eastAsia" w:ascii="宋体" w:hAnsi="宋体" w:cs="宋体"/>
          <w:sz w:val="24"/>
        </w:rPr>
      </w:pPr>
    </w:p>
    <w:p w14:paraId="64E70A6B">
      <w:pPr>
        <w:spacing w:line="400" w:lineRule="exact"/>
        <w:rPr>
          <w:rFonts w:hint="eastAsia" w:ascii="宋体" w:hAnsi="宋体" w:cstheme="minorBidi"/>
          <w:sz w:val="24"/>
        </w:rPr>
      </w:pPr>
      <w:r>
        <w:rPr>
          <w:rFonts w:hint="eastAsia" w:ascii="宋体" w:hAnsi="宋体" w:cstheme="minorBidi"/>
          <w:sz w:val="24"/>
        </w:rPr>
        <w:t xml:space="preserve">甲方一（盖章）：                  </w:t>
      </w:r>
      <w:r>
        <w:rPr>
          <w:rFonts w:hint="eastAsia" w:ascii="宋体" w:hAnsi="宋体" w:cstheme="minorBidi"/>
          <w:sz w:val="24"/>
          <w:lang w:val="en-US" w:eastAsia="zh-CN"/>
        </w:rPr>
        <w:t xml:space="preserve">     </w:t>
      </w:r>
      <w:r>
        <w:rPr>
          <w:rFonts w:hint="eastAsia" w:ascii="宋体" w:hAnsi="宋体" w:cstheme="minorBidi"/>
          <w:sz w:val="24"/>
        </w:rPr>
        <w:t>甲方二（盖章）：</w:t>
      </w:r>
    </w:p>
    <w:p w14:paraId="0E879978">
      <w:pPr>
        <w:spacing w:line="400" w:lineRule="exact"/>
        <w:jc w:val="left"/>
        <w:rPr>
          <w:rFonts w:hint="eastAsia" w:ascii="宋体" w:hAnsi="宋体" w:cstheme="minorBidi"/>
          <w:sz w:val="24"/>
        </w:rPr>
      </w:pPr>
    </w:p>
    <w:p w14:paraId="031747F8">
      <w:pPr>
        <w:spacing w:line="400" w:lineRule="exact"/>
        <w:jc w:val="left"/>
        <w:rPr>
          <w:rFonts w:hint="eastAsia" w:ascii="宋体" w:hAnsi="宋体" w:cstheme="minorBidi"/>
          <w:sz w:val="24"/>
        </w:rPr>
      </w:pPr>
    </w:p>
    <w:p w14:paraId="2F30B17D">
      <w:pPr>
        <w:spacing w:line="400" w:lineRule="exact"/>
        <w:jc w:val="left"/>
        <w:rPr>
          <w:rFonts w:hint="eastAsia" w:ascii="宋体" w:hAnsi="宋体" w:cstheme="minorBidi"/>
          <w:sz w:val="24"/>
        </w:rPr>
      </w:pPr>
      <w:r>
        <w:rPr>
          <w:rFonts w:hint="eastAsia" w:ascii="宋体" w:hAnsi="宋体" w:cstheme="minorBidi"/>
          <w:sz w:val="24"/>
        </w:rPr>
        <w:t xml:space="preserve">法定代表人或授权代表人：        </w:t>
      </w:r>
      <w:r>
        <w:rPr>
          <w:rFonts w:hint="eastAsia" w:ascii="宋体" w:hAnsi="宋体" w:cstheme="minorBidi"/>
          <w:sz w:val="24"/>
          <w:lang w:val="en-US" w:eastAsia="zh-CN"/>
        </w:rPr>
        <w:t xml:space="preserve">    </w:t>
      </w:r>
      <w:r>
        <w:rPr>
          <w:rFonts w:hint="eastAsia" w:ascii="宋体" w:hAnsi="宋体" w:cstheme="minorBidi"/>
          <w:sz w:val="24"/>
        </w:rPr>
        <w:t xml:space="preserve">  法定代表人或授权代表人：</w:t>
      </w:r>
    </w:p>
    <w:p w14:paraId="7A15CB52">
      <w:pPr>
        <w:spacing w:line="400" w:lineRule="exact"/>
        <w:jc w:val="left"/>
        <w:rPr>
          <w:rFonts w:hint="eastAsia" w:ascii="宋体" w:hAnsi="宋体" w:cstheme="minorBidi"/>
          <w:sz w:val="24"/>
        </w:rPr>
      </w:pPr>
    </w:p>
    <w:p w14:paraId="31260180">
      <w:pPr>
        <w:spacing w:line="400" w:lineRule="exact"/>
        <w:jc w:val="left"/>
        <w:rPr>
          <w:rFonts w:hint="eastAsia" w:ascii="宋体" w:hAnsi="宋体" w:cstheme="minorBidi"/>
          <w:sz w:val="24"/>
        </w:rPr>
      </w:pPr>
    </w:p>
    <w:p w14:paraId="1A1456F5">
      <w:pPr>
        <w:spacing w:line="400" w:lineRule="exact"/>
        <w:ind w:firstLine="1200" w:firstLineChars="500"/>
        <w:jc w:val="left"/>
        <w:rPr>
          <w:rFonts w:hint="eastAsia" w:ascii="宋体" w:hAnsi="宋体" w:cstheme="minorBidi"/>
          <w:sz w:val="24"/>
        </w:rPr>
      </w:pPr>
      <w:r>
        <w:rPr>
          <w:rFonts w:ascii="宋体" w:hAnsi="宋体" w:cstheme="minorBidi"/>
          <w:sz w:val="24"/>
        </w:rPr>
        <w:t>年</w:t>
      </w:r>
      <w:r>
        <w:rPr>
          <w:rFonts w:hint="eastAsia" w:ascii="宋体" w:hAnsi="宋体" w:cstheme="minorBidi"/>
          <w:sz w:val="24"/>
        </w:rPr>
        <w:t xml:space="preserve">   </w:t>
      </w:r>
      <w:r>
        <w:rPr>
          <w:rFonts w:ascii="宋体" w:hAnsi="宋体" w:cstheme="minorBidi"/>
          <w:sz w:val="24"/>
        </w:rPr>
        <w:t>月</w:t>
      </w:r>
      <w:r>
        <w:rPr>
          <w:rFonts w:hint="eastAsia" w:ascii="宋体" w:hAnsi="宋体" w:cstheme="minorBidi"/>
          <w:sz w:val="24"/>
        </w:rPr>
        <w:t xml:space="preserve">   </w:t>
      </w:r>
      <w:r>
        <w:rPr>
          <w:rFonts w:ascii="宋体" w:hAnsi="宋体" w:cstheme="minorBidi"/>
          <w:sz w:val="24"/>
        </w:rPr>
        <w:t>日</w:t>
      </w:r>
      <w:r>
        <w:rPr>
          <w:rFonts w:hint="eastAsia" w:ascii="宋体" w:hAnsi="宋体" w:cstheme="minorBidi"/>
          <w:sz w:val="24"/>
        </w:rPr>
        <w:t xml:space="preserve">                    </w:t>
      </w:r>
      <w:r>
        <w:rPr>
          <w:rFonts w:hint="eastAsia" w:ascii="宋体" w:hAnsi="宋体" w:cstheme="minorBidi"/>
          <w:sz w:val="24"/>
          <w:lang w:val="en-US" w:eastAsia="zh-CN"/>
        </w:rPr>
        <w:t xml:space="preserve">            </w:t>
      </w:r>
      <w:r>
        <w:rPr>
          <w:rFonts w:hint="eastAsia" w:ascii="宋体" w:hAnsi="宋体" w:cstheme="minorBidi"/>
          <w:sz w:val="24"/>
        </w:rPr>
        <w:t xml:space="preserve">  </w:t>
      </w:r>
      <w:r>
        <w:rPr>
          <w:rFonts w:ascii="宋体" w:hAnsi="宋体" w:cstheme="minorBidi"/>
          <w:sz w:val="24"/>
        </w:rPr>
        <w:t>年</w:t>
      </w:r>
      <w:r>
        <w:rPr>
          <w:rFonts w:hint="eastAsia" w:ascii="宋体" w:hAnsi="宋体" w:cstheme="minorBidi"/>
          <w:sz w:val="24"/>
        </w:rPr>
        <w:t xml:space="preserve">   </w:t>
      </w:r>
      <w:r>
        <w:rPr>
          <w:rFonts w:ascii="宋体" w:hAnsi="宋体" w:cstheme="minorBidi"/>
          <w:sz w:val="24"/>
        </w:rPr>
        <w:t>月</w:t>
      </w:r>
      <w:r>
        <w:rPr>
          <w:rFonts w:hint="eastAsia" w:ascii="宋体" w:hAnsi="宋体" w:cstheme="minorBidi"/>
          <w:sz w:val="24"/>
        </w:rPr>
        <w:t xml:space="preserve">   </w:t>
      </w:r>
      <w:r>
        <w:rPr>
          <w:rFonts w:ascii="宋体" w:hAnsi="宋体" w:cstheme="minorBidi"/>
          <w:sz w:val="24"/>
        </w:rPr>
        <w:t>日</w:t>
      </w:r>
    </w:p>
    <w:p w14:paraId="1958A51C">
      <w:pPr>
        <w:spacing w:line="400" w:lineRule="exact"/>
        <w:jc w:val="left"/>
        <w:rPr>
          <w:rFonts w:hint="eastAsia" w:ascii="宋体" w:hAnsi="宋体" w:cstheme="minorBidi"/>
          <w:sz w:val="24"/>
        </w:rPr>
      </w:pPr>
    </w:p>
    <w:p w14:paraId="78C2EE2C">
      <w:pPr>
        <w:spacing w:line="400" w:lineRule="exact"/>
        <w:jc w:val="left"/>
        <w:rPr>
          <w:rFonts w:hint="eastAsia" w:ascii="宋体" w:hAnsi="宋体" w:cstheme="minorBidi"/>
          <w:sz w:val="24"/>
        </w:rPr>
      </w:pPr>
    </w:p>
    <w:p w14:paraId="6938075E">
      <w:pPr>
        <w:spacing w:line="400" w:lineRule="exact"/>
        <w:jc w:val="left"/>
        <w:rPr>
          <w:rFonts w:hint="eastAsia" w:ascii="宋体" w:hAnsi="宋体" w:cstheme="minorBidi"/>
          <w:sz w:val="24"/>
        </w:rPr>
      </w:pPr>
    </w:p>
    <w:p w14:paraId="257F84E1">
      <w:pPr>
        <w:spacing w:line="400" w:lineRule="exact"/>
        <w:jc w:val="left"/>
        <w:rPr>
          <w:rFonts w:hint="eastAsia" w:ascii="宋体" w:hAnsi="宋体" w:cstheme="minorBidi"/>
          <w:sz w:val="24"/>
        </w:rPr>
      </w:pPr>
    </w:p>
    <w:p w14:paraId="28197C83">
      <w:pPr>
        <w:widowControl/>
        <w:spacing w:before="100" w:after="100" w:line="360" w:lineRule="auto"/>
        <w:jc w:val="left"/>
        <w:rPr>
          <w:rFonts w:hint="eastAsia" w:ascii="宋体" w:hAnsi="宋体" w:cstheme="minorBidi"/>
          <w:sz w:val="24"/>
        </w:rPr>
      </w:pPr>
      <w:r>
        <w:rPr>
          <w:rFonts w:hint="eastAsia" w:ascii="宋体" w:hAnsi="宋体" w:cstheme="minorBidi"/>
          <w:sz w:val="24"/>
        </w:rPr>
        <w:t>乙方（盖章）：</w:t>
      </w:r>
    </w:p>
    <w:p w14:paraId="17A0A54F">
      <w:pPr>
        <w:widowControl/>
        <w:spacing w:before="100" w:after="100" w:line="360" w:lineRule="auto"/>
        <w:jc w:val="left"/>
        <w:rPr>
          <w:rFonts w:hint="eastAsia" w:ascii="宋体" w:hAnsi="宋体" w:cstheme="minorBidi"/>
          <w:sz w:val="24"/>
        </w:rPr>
      </w:pPr>
    </w:p>
    <w:p w14:paraId="08F28EF6">
      <w:pPr>
        <w:widowControl/>
        <w:spacing w:before="100" w:after="100" w:line="360" w:lineRule="auto"/>
        <w:jc w:val="left"/>
        <w:rPr>
          <w:rFonts w:hint="eastAsia" w:ascii="宋体" w:hAnsi="宋体" w:cstheme="minorBidi"/>
          <w:sz w:val="24"/>
        </w:rPr>
      </w:pPr>
      <w:r>
        <w:rPr>
          <w:rFonts w:hint="eastAsia" w:ascii="宋体" w:hAnsi="宋体" w:cstheme="minorBidi"/>
          <w:sz w:val="24"/>
        </w:rPr>
        <w:t>法定代表人或授权代表人：</w:t>
      </w:r>
    </w:p>
    <w:p w14:paraId="5C631CE0">
      <w:pPr>
        <w:widowControl/>
        <w:spacing w:before="100" w:after="100" w:line="360" w:lineRule="auto"/>
        <w:jc w:val="left"/>
        <w:rPr>
          <w:rFonts w:hint="eastAsia" w:ascii="宋体" w:hAnsi="宋体" w:cstheme="minorBidi"/>
          <w:sz w:val="24"/>
        </w:rPr>
      </w:pPr>
    </w:p>
    <w:p w14:paraId="6157AF57">
      <w:pPr>
        <w:widowControl/>
        <w:spacing w:before="100" w:after="100" w:line="360" w:lineRule="auto"/>
        <w:ind w:firstLine="1200" w:firstLineChars="500"/>
        <w:jc w:val="left"/>
        <w:rPr>
          <w:rFonts w:hint="eastAsia" w:ascii="宋体" w:hAnsi="宋体" w:cstheme="minorBidi"/>
          <w:sz w:val="24"/>
        </w:rPr>
      </w:pPr>
      <w:r>
        <w:rPr>
          <w:rFonts w:ascii="宋体" w:hAnsi="宋体" w:cstheme="minorBidi"/>
          <w:sz w:val="24"/>
        </w:rPr>
        <w:t>年</w:t>
      </w:r>
      <w:r>
        <w:rPr>
          <w:rFonts w:hint="eastAsia" w:ascii="宋体" w:hAnsi="宋体" w:cstheme="minorBidi"/>
          <w:sz w:val="24"/>
        </w:rPr>
        <w:t xml:space="preserve">   </w:t>
      </w:r>
      <w:r>
        <w:rPr>
          <w:rFonts w:ascii="宋体" w:hAnsi="宋体" w:cstheme="minorBidi"/>
          <w:sz w:val="24"/>
        </w:rPr>
        <w:t>月</w:t>
      </w:r>
      <w:r>
        <w:rPr>
          <w:rFonts w:hint="eastAsia" w:ascii="宋体" w:hAnsi="宋体" w:cstheme="minorBidi"/>
          <w:sz w:val="24"/>
        </w:rPr>
        <w:t xml:space="preserve">   </w:t>
      </w:r>
      <w:r>
        <w:rPr>
          <w:rFonts w:ascii="宋体" w:hAnsi="宋体" w:cstheme="minorBidi"/>
          <w:sz w:val="24"/>
        </w:rPr>
        <w:t>日</w:t>
      </w:r>
    </w:p>
    <w:p w14:paraId="7BEE8102">
      <w:pPr>
        <w:widowControl/>
        <w:spacing w:before="100" w:after="100" w:line="360" w:lineRule="auto"/>
        <w:ind w:firstLine="720" w:firstLineChars="300"/>
        <w:jc w:val="left"/>
        <w:rPr>
          <w:rFonts w:hint="eastAsia" w:ascii="宋体" w:hAnsi="宋体" w:cstheme="minorBidi"/>
          <w:sz w:val="24"/>
        </w:rPr>
      </w:pPr>
    </w:p>
    <w:p w14:paraId="07D812DB">
      <w:pPr>
        <w:pStyle w:val="2"/>
        <w:sectPr>
          <w:footerReference r:id="rId4" w:type="first"/>
          <w:footerReference r:id="rId3" w:type="default"/>
          <w:pgSz w:w="11906" w:h="16838"/>
          <w:pgMar w:top="1418" w:right="1418" w:bottom="1418" w:left="1418" w:header="851" w:footer="992" w:gutter="0"/>
          <w:cols w:space="720" w:num="1"/>
          <w:titlePg/>
          <w:docGrid w:type="lines" w:linePitch="312" w:charSpace="0"/>
        </w:sectPr>
      </w:pPr>
    </w:p>
    <w:p w14:paraId="0758090B">
      <w:pPr>
        <w:pStyle w:val="3"/>
        <w:widowControl/>
        <w:spacing w:before="100" w:after="100"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附件一：</w:t>
      </w:r>
      <w:r>
        <w:rPr>
          <w:rFonts w:hint="eastAsia" w:ascii="宋体" w:hAnsi="宋体" w:cs="宋体"/>
          <w:kern w:val="0"/>
          <w:sz w:val="24"/>
          <w:szCs w:val="24"/>
        </w:rPr>
        <w:t>四害消杀服务</w:t>
      </w:r>
      <w:r>
        <w:rPr>
          <w:rFonts w:hint="eastAsia" w:ascii="宋体" w:hAnsi="宋体" w:eastAsia="宋体" w:cs="宋体"/>
          <w:kern w:val="0"/>
          <w:sz w:val="24"/>
          <w:szCs w:val="24"/>
        </w:rPr>
        <w:t>清单及费用明细表</w:t>
      </w:r>
    </w:p>
    <w:tbl>
      <w:tblPr>
        <w:tblStyle w:val="6"/>
        <w:tblpPr w:leftFromText="180" w:rightFromText="180" w:vertAnchor="text" w:horzAnchor="page" w:tblpX="1532" w:tblpY="481"/>
        <w:tblOverlap w:val="never"/>
        <w:tblW w:w="13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20"/>
        <w:gridCol w:w="1180"/>
        <w:gridCol w:w="3305"/>
        <w:gridCol w:w="920"/>
        <w:gridCol w:w="1368"/>
        <w:gridCol w:w="1155"/>
        <w:gridCol w:w="919"/>
        <w:gridCol w:w="1352"/>
        <w:gridCol w:w="2521"/>
      </w:tblGrid>
      <w:tr w14:paraId="50FC8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3640" w:type="dxa"/>
            <w:gridSpan w:val="9"/>
            <w:shd w:val="clear" w:color="auto" w:fill="auto"/>
            <w:vAlign w:val="center"/>
          </w:tcPr>
          <w:p w14:paraId="354B6A95">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一、华中·中交城A区（不含酒店）、B区消杀服务报价清单</w:t>
            </w:r>
          </w:p>
        </w:tc>
      </w:tr>
      <w:tr w14:paraId="7C65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920" w:type="dxa"/>
            <w:shd w:val="clear" w:color="auto" w:fill="CCCCCC"/>
            <w:vAlign w:val="center"/>
          </w:tcPr>
          <w:p w14:paraId="0DACFF2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序号</w:t>
            </w:r>
          </w:p>
        </w:tc>
        <w:tc>
          <w:tcPr>
            <w:tcW w:w="1180" w:type="dxa"/>
            <w:shd w:val="clear" w:color="auto" w:fill="CCCCCC"/>
            <w:vAlign w:val="center"/>
          </w:tcPr>
          <w:p w14:paraId="650734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项目</w:t>
            </w:r>
          </w:p>
        </w:tc>
        <w:tc>
          <w:tcPr>
            <w:tcW w:w="3305" w:type="dxa"/>
            <w:shd w:val="clear" w:color="auto" w:fill="CCCCCC"/>
            <w:vAlign w:val="center"/>
          </w:tcPr>
          <w:p w14:paraId="796C63C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型号/类型</w:t>
            </w:r>
          </w:p>
        </w:tc>
        <w:tc>
          <w:tcPr>
            <w:tcW w:w="920" w:type="dxa"/>
            <w:shd w:val="clear" w:color="auto" w:fill="CCCCCC"/>
            <w:vAlign w:val="center"/>
          </w:tcPr>
          <w:p w14:paraId="2FE421B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单位</w:t>
            </w:r>
          </w:p>
        </w:tc>
        <w:tc>
          <w:tcPr>
            <w:tcW w:w="1368" w:type="dxa"/>
            <w:shd w:val="clear" w:color="auto" w:fill="CCCCCC"/>
            <w:vAlign w:val="center"/>
          </w:tcPr>
          <w:p w14:paraId="09789F4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w:t>
            </w:r>
          </w:p>
          <w:p w14:paraId="2748EB4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单价</w:t>
            </w:r>
          </w:p>
        </w:tc>
        <w:tc>
          <w:tcPr>
            <w:tcW w:w="1155" w:type="dxa"/>
            <w:shd w:val="clear" w:color="auto" w:fill="CCCCCC"/>
            <w:vAlign w:val="center"/>
          </w:tcPr>
          <w:p w14:paraId="57EDE14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数量</w:t>
            </w:r>
          </w:p>
        </w:tc>
        <w:tc>
          <w:tcPr>
            <w:tcW w:w="919" w:type="dxa"/>
            <w:shd w:val="clear" w:color="auto" w:fill="CCCCCC"/>
            <w:vAlign w:val="center"/>
          </w:tcPr>
          <w:p w14:paraId="0A8237F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频次</w:t>
            </w:r>
          </w:p>
        </w:tc>
        <w:tc>
          <w:tcPr>
            <w:tcW w:w="1352" w:type="dxa"/>
            <w:shd w:val="clear" w:color="auto" w:fill="CCCCCC"/>
            <w:vAlign w:val="center"/>
          </w:tcPr>
          <w:p w14:paraId="4E33FE9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w:t>
            </w:r>
          </w:p>
          <w:p w14:paraId="56E9B3D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小计</w:t>
            </w:r>
          </w:p>
        </w:tc>
        <w:tc>
          <w:tcPr>
            <w:tcW w:w="2521" w:type="dxa"/>
            <w:shd w:val="clear" w:color="auto" w:fill="CCCCCC"/>
            <w:vAlign w:val="center"/>
          </w:tcPr>
          <w:p w14:paraId="5307D5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备注</w:t>
            </w:r>
          </w:p>
        </w:tc>
      </w:tr>
      <w:tr w14:paraId="7068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2E45328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80" w:type="dxa"/>
            <w:shd w:val="clear" w:color="auto" w:fill="FFFFFF"/>
            <w:vAlign w:val="center"/>
          </w:tcPr>
          <w:p w14:paraId="2C2C5E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粘鼠板</w:t>
            </w:r>
          </w:p>
        </w:tc>
        <w:tc>
          <w:tcPr>
            <w:tcW w:w="3305" w:type="dxa"/>
            <w:shd w:val="clear" w:color="auto" w:fill="FFFFFF"/>
            <w:vAlign w:val="center"/>
          </w:tcPr>
          <w:p w14:paraId="49B763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粘捕折叠/平铺</w:t>
            </w:r>
          </w:p>
        </w:tc>
        <w:tc>
          <w:tcPr>
            <w:tcW w:w="920" w:type="dxa"/>
            <w:shd w:val="clear" w:color="auto" w:fill="FFFFFF"/>
            <w:vAlign w:val="center"/>
          </w:tcPr>
          <w:p w14:paraId="15E0774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68" w:type="dxa"/>
            <w:shd w:val="clear" w:color="auto" w:fill="FFFFFF"/>
            <w:vAlign w:val="center"/>
          </w:tcPr>
          <w:p w14:paraId="3DB69903">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363626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919" w:type="dxa"/>
            <w:shd w:val="clear" w:color="auto" w:fill="FFFFFF"/>
            <w:vAlign w:val="center"/>
          </w:tcPr>
          <w:p w14:paraId="23D88D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352" w:type="dxa"/>
            <w:shd w:val="clear" w:color="auto" w:fill="FFFFFF"/>
            <w:vAlign w:val="center"/>
          </w:tcPr>
          <w:p w14:paraId="6F8DC2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4645E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平铺</w:t>
            </w:r>
          </w:p>
        </w:tc>
      </w:tr>
      <w:tr w14:paraId="3A34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7A0EAF2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180" w:type="dxa"/>
            <w:shd w:val="clear" w:color="auto" w:fill="FFFFFF"/>
            <w:vAlign w:val="center"/>
          </w:tcPr>
          <w:p w14:paraId="5ED9A53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诱饵站</w:t>
            </w:r>
          </w:p>
        </w:tc>
        <w:tc>
          <w:tcPr>
            <w:tcW w:w="3305" w:type="dxa"/>
            <w:shd w:val="clear" w:color="auto" w:fill="FFFFFF"/>
            <w:vAlign w:val="center"/>
          </w:tcPr>
          <w:p w14:paraId="400B6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景隆4005（个）</w:t>
            </w:r>
          </w:p>
        </w:tc>
        <w:tc>
          <w:tcPr>
            <w:tcW w:w="920" w:type="dxa"/>
            <w:shd w:val="clear" w:color="auto" w:fill="FFFFFF"/>
            <w:vAlign w:val="center"/>
          </w:tcPr>
          <w:p w14:paraId="18E2A2A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68" w:type="dxa"/>
            <w:shd w:val="clear" w:color="auto" w:fill="FFFFFF"/>
            <w:vAlign w:val="center"/>
          </w:tcPr>
          <w:p w14:paraId="01C81A98">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599301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80</w:t>
            </w:r>
          </w:p>
        </w:tc>
        <w:tc>
          <w:tcPr>
            <w:tcW w:w="919" w:type="dxa"/>
            <w:shd w:val="clear" w:color="auto" w:fill="FFFFFF"/>
            <w:vAlign w:val="center"/>
          </w:tcPr>
          <w:p w14:paraId="7EF7D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1352" w:type="dxa"/>
            <w:shd w:val="clear" w:color="auto" w:fill="FFFFFF"/>
            <w:vAlign w:val="center"/>
          </w:tcPr>
          <w:p w14:paraId="28384D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768E59A8">
            <w:pPr>
              <w:jc w:val="center"/>
              <w:rPr>
                <w:rFonts w:hint="eastAsia" w:asciiTheme="minorEastAsia" w:hAnsiTheme="minorEastAsia" w:eastAsiaTheme="minorEastAsia" w:cstheme="minorEastAsia"/>
                <w:i w:val="0"/>
                <w:iCs w:val="0"/>
                <w:color w:val="000000"/>
                <w:sz w:val="24"/>
                <w:szCs w:val="24"/>
                <w:u w:val="none"/>
              </w:rPr>
            </w:pPr>
          </w:p>
        </w:tc>
      </w:tr>
      <w:tr w14:paraId="4DC3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65EC090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180" w:type="dxa"/>
            <w:shd w:val="clear" w:color="auto" w:fill="FFFFFF"/>
            <w:vAlign w:val="center"/>
          </w:tcPr>
          <w:p w14:paraId="725AC79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抽绳灯</w:t>
            </w:r>
          </w:p>
        </w:tc>
        <w:tc>
          <w:tcPr>
            <w:tcW w:w="3305" w:type="dxa"/>
            <w:shd w:val="clear" w:color="auto" w:fill="FFFFFF"/>
            <w:vAlign w:val="center"/>
          </w:tcPr>
          <w:p w14:paraId="11806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卫捕士J12（台）</w:t>
            </w:r>
          </w:p>
        </w:tc>
        <w:tc>
          <w:tcPr>
            <w:tcW w:w="920" w:type="dxa"/>
            <w:shd w:val="clear" w:color="auto" w:fill="FFFFFF"/>
            <w:vAlign w:val="center"/>
          </w:tcPr>
          <w:p w14:paraId="4FDFE2A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368" w:type="dxa"/>
            <w:shd w:val="clear" w:color="auto" w:fill="FFFFFF"/>
            <w:vAlign w:val="center"/>
          </w:tcPr>
          <w:p w14:paraId="0E7E4B4C">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5E94A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919" w:type="dxa"/>
            <w:shd w:val="clear" w:color="auto" w:fill="FFFFFF"/>
            <w:vAlign w:val="center"/>
          </w:tcPr>
          <w:p w14:paraId="01340E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1352" w:type="dxa"/>
            <w:shd w:val="clear" w:color="auto" w:fill="FFFFFF"/>
            <w:vAlign w:val="center"/>
          </w:tcPr>
          <w:p w14:paraId="3C1A40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6772243B">
            <w:pPr>
              <w:jc w:val="center"/>
              <w:rPr>
                <w:rFonts w:hint="eastAsia" w:asciiTheme="minorEastAsia" w:hAnsiTheme="minorEastAsia" w:eastAsiaTheme="minorEastAsia" w:cstheme="minorEastAsia"/>
                <w:i w:val="0"/>
                <w:iCs w:val="0"/>
                <w:color w:val="000000"/>
                <w:sz w:val="24"/>
                <w:szCs w:val="24"/>
                <w:u w:val="none"/>
              </w:rPr>
            </w:pPr>
          </w:p>
        </w:tc>
      </w:tr>
      <w:tr w14:paraId="6C31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6067EE0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180" w:type="dxa"/>
            <w:shd w:val="clear" w:color="auto" w:fill="FFFFFF"/>
            <w:vAlign w:val="center"/>
          </w:tcPr>
          <w:p w14:paraId="4735238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灯纸</w:t>
            </w:r>
          </w:p>
        </w:tc>
        <w:tc>
          <w:tcPr>
            <w:tcW w:w="3305" w:type="dxa"/>
            <w:shd w:val="clear" w:color="auto" w:fill="FFFFFF"/>
            <w:vAlign w:val="center"/>
          </w:tcPr>
          <w:p w14:paraId="4BE46E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粘捕（张）</w:t>
            </w:r>
          </w:p>
        </w:tc>
        <w:tc>
          <w:tcPr>
            <w:tcW w:w="920" w:type="dxa"/>
            <w:shd w:val="clear" w:color="auto" w:fill="FFFFFF"/>
            <w:vAlign w:val="center"/>
          </w:tcPr>
          <w:p w14:paraId="4FEB7EB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1368" w:type="dxa"/>
            <w:shd w:val="clear" w:color="auto" w:fill="FFFFFF"/>
            <w:vAlign w:val="center"/>
          </w:tcPr>
          <w:p w14:paraId="4E1998BE">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68CE4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919" w:type="dxa"/>
            <w:shd w:val="clear" w:color="auto" w:fill="FFFFFF"/>
            <w:vAlign w:val="center"/>
          </w:tcPr>
          <w:p w14:paraId="701780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352" w:type="dxa"/>
            <w:shd w:val="clear" w:color="auto" w:fill="FFFFFF"/>
            <w:vAlign w:val="center"/>
          </w:tcPr>
          <w:p w14:paraId="67D1F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631E1391">
            <w:pPr>
              <w:jc w:val="center"/>
              <w:rPr>
                <w:rFonts w:hint="eastAsia" w:asciiTheme="minorEastAsia" w:hAnsiTheme="minorEastAsia" w:eastAsiaTheme="minorEastAsia" w:cstheme="minorEastAsia"/>
                <w:i w:val="0"/>
                <w:iCs w:val="0"/>
                <w:color w:val="000000"/>
                <w:sz w:val="24"/>
                <w:szCs w:val="24"/>
                <w:u w:val="none"/>
              </w:rPr>
            </w:pPr>
          </w:p>
        </w:tc>
      </w:tr>
      <w:tr w14:paraId="2504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7C5B36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180" w:type="dxa"/>
            <w:shd w:val="clear" w:color="auto" w:fill="FFFFFF"/>
            <w:vAlign w:val="center"/>
          </w:tcPr>
          <w:p w14:paraId="127CFAC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05" w:type="dxa"/>
            <w:shd w:val="clear" w:color="auto" w:fill="FFFFFF"/>
            <w:vAlign w:val="center"/>
          </w:tcPr>
          <w:p w14:paraId="3B37DBF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带留喷洒（瓶/1000ml；大灭）</w:t>
            </w:r>
          </w:p>
        </w:tc>
        <w:tc>
          <w:tcPr>
            <w:tcW w:w="920" w:type="dxa"/>
            <w:shd w:val="clear" w:color="auto" w:fill="FFFFFF"/>
            <w:vAlign w:val="center"/>
          </w:tcPr>
          <w:p w14:paraId="5340832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368" w:type="dxa"/>
            <w:shd w:val="clear" w:color="auto" w:fill="FFFFFF"/>
            <w:vAlign w:val="center"/>
          </w:tcPr>
          <w:p w14:paraId="6BCCB155">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6E05B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19" w:type="dxa"/>
            <w:shd w:val="clear" w:color="auto" w:fill="FFFFFF"/>
            <w:vAlign w:val="center"/>
          </w:tcPr>
          <w:p w14:paraId="49EB2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1352" w:type="dxa"/>
            <w:shd w:val="clear" w:color="auto" w:fill="FFFFFF"/>
            <w:vAlign w:val="center"/>
          </w:tcPr>
          <w:p w14:paraId="11A58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43CAB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带留喷洒</w:t>
            </w:r>
          </w:p>
        </w:tc>
      </w:tr>
      <w:tr w14:paraId="2FB3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2ABFFF3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180" w:type="dxa"/>
            <w:shd w:val="clear" w:color="auto" w:fill="FFFFFF"/>
            <w:vAlign w:val="center"/>
          </w:tcPr>
          <w:p w14:paraId="03DAA74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05" w:type="dxa"/>
            <w:shd w:val="clear" w:color="auto" w:fill="FFFFFF"/>
            <w:vAlign w:val="center"/>
          </w:tcPr>
          <w:p w14:paraId="68E2B37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缓蚀剂投放（袋/500g）（安备）</w:t>
            </w:r>
          </w:p>
        </w:tc>
        <w:tc>
          <w:tcPr>
            <w:tcW w:w="920" w:type="dxa"/>
            <w:shd w:val="clear" w:color="auto" w:fill="FFFFFF"/>
            <w:vAlign w:val="center"/>
          </w:tcPr>
          <w:p w14:paraId="76224B4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袋</w:t>
            </w:r>
          </w:p>
        </w:tc>
        <w:tc>
          <w:tcPr>
            <w:tcW w:w="1368" w:type="dxa"/>
            <w:shd w:val="clear" w:color="auto" w:fill="FFFFFF"/>
            <w:vAlign w:val="center"/>
          </w:tcPr>
          <w:p w14:paraId="2D3669F3">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77ADE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919" w:type="dxa"/>
            <w:shd w:val="clear" w:color="auto" w:fill="FFFFFF"/>
            <w:vAlign w:val="center"/>
          </w:tcPr>
          <w:p w14:paraId="31207B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352" w:type="dxa"/>
            <w:shd w:val="clear" w:color="auto" w:fill="FFFFFF"/>
            <w:vAlign w:val="center"/>
          </w:tcPr>
          <w:p w14:paraId="0A232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0CF932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缓蚀剂投放</w:t>
            </w:r>
          </w:p>
        </w:tc>
      </w:tr>
      <w:tr w14:paraId="036B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0" w:type="dxa"/>
            <w:shd w:val="clear" w:color="auto" w:fill="FFFFFF"/>
            <w:vAlign w:val="center"/>
          </w:tcPr>
          <w:p w14:paraId="72EABA0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180" w:type="dxa"/>
            <w:shd w:val="clear" w:color="auto" w:fill="FFFFFF"/>
            <w:vAlign w:val="center"/>
          </w:tcPr>
          <w:p w14:paraId="47CE1B0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05" w:type="dxa"/>
            <w:shd w:val="clear" w:color="auto" w:fill="FFFFFF"/>
            <w:vAlign w:val="center"/>
          </w:tcPr>
          <w:p w14:paraId="6C4B122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胶饵处理（支/30g）（拜灭士）</w:t>
            </w:r>
          </w:p>
        </w:tc>
        <w:tc>
          <w:tcPr>
            <w:tcW w:w="920" w:type="dxa"/>
            <w:shd w:val="clear" w:color="auto" w:fill="FFFFFF"/>
            <w:vAlign w:val="center"/>
          </w:tcPr>
          <w:p w14:paraId="4A4B774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支</w:t>
            </w:r>
          </w:p>
        </w:tc>
        <w:tc>
          <w:tcPr>
            <w:tcW w:w="1368" w:type="dxa"/>
            <w:shd w:val="clear" w:color="auto" w:fill="FFFFFF"/>
            <w:vAlign w:val="center"/>
          </w:tcPr>
          <w:p w14:paraId="1104969C">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0D75E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19" w:type="dxa"/>
            <w:shd w:val="clear" w:color="auto" w:fill="FFFFFF"/>
            <w:vAlign w:val="center"/>
          </w:tcPr>
          <w:p w14:paraId="753DE4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352" w:type="dxa"/>
            <w:shd w:val="clear" w:color="auto" w:fill="FFFFFF"/>
            <w:vAlign w:val="center"/>
          </w:tcPr>
          <w:p w14:paraId="473C8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08B625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胶饵处理</w:t>
            </w:r>
          </w:p>
        </w:tc>
      </w:tr>
      <w:tr w14:paraId="65E5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20" w:type="dxa"/>
            <w:shd w:val="clear" w:color="auto" w:fill="FFFFFF"/>
            <w:vAlign w:val="center"/>
          </w:tcPr>
          <w:p w14:paraId="7023590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180" w:type="dxa"/>
            <w:shd w:val="clear" w:color="auto" w:fill="FFFFFF"/>
            <w:vAlign w:val="center"/>
          </w:tcPr>
          <w:p w14:paraId="6DE3EFC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05" w:type="dxa"/>
            <w:shd w:val="clear" w:color="auto" w:fill="FFFFFF"/>
            <w:vAlign w:val="center"/>
          </w:tcPr>
          <w:p w14:paraId="651ADC3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空间喷雾（瓶1000ml）（四氟酸）</w:t>
            </w:r>
          </w:p>
        </w:tc>
        <w:tc>
          <w:tcPr>
            <w:tcW w:w="920" w:type="dxa"/>
            <w:shd w:val="clear" w:color="auto" w:fill="FFFFFF"/>
            <w:vAlign w:val="center"/>
          </w:tcPr>
          <w:p w14:paraId="64DDFDE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368" w:type="dxa"/>
            <w:shd w:val="clear" w:color="auto" w:fill="FFFFFF"/>
            <w:vAlign w:val="center"/>
          </w:tcPr>
          <w:p w14:paraId="5BE287A3">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03B989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19" w:type="dxa"/>
            <w:shd w:val="clear" w:color="auto" w:fill="FFFFFF"/>
            <w:vAlign w:val="center"/>
          </w:tcPr>
          <w:p w14:paraId="467FC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352" w:type="dxa"/>
            <w:shd w:val="clear" w:color="auto" w:fill="FFFFFF"/>
            <w:vAlign w:val="center"/>
          </w:tcPr>
          <w:p w14:paraId="51B05D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51967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空间喷雾</w:t>
            </w:r>
          </w:p>
        </w:tc>
      </w:tr>
      <w:tr w14:paraId="7655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7" w:hRule="atLeast"/>
        </w:trPr>
        <w:tc>
          <w:tcPr>
            <w:tcW w:w="920" w:type="dxa"/>
            <w:shd w:val="clear" w:color="auto" w:fill="FFFFFF"/>
            <w:vAlign w:val="center"/>
          </w:tcPr>
          <w:p w14:paraId="4E42B0E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180" w:type="dxa"/>
            <w:shd w:val="clear" w:color="auto" w:fill="FFFFFF"/>
            <w:vAlign w:val="center"/>
          </w:tcPr>
          <w:p w14:paraId="276A682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药剂</w:t>
            </w:r>
          </w:p>
        </w:tc>
        <w:tc>
          <w:tcPr>
            <w:tcW w:w="3305" w:type="dxa"/>
            <w:shd w:val="clear" w:color="auto" w:fill="FFFFFF"/>
            <w:vAlign w:val="center"/>
          </w:tcPr>
          <w:p w14:paraId="7A01DEC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热烟雾处理（瓶2000ml）（辛克）</w:t>
            </w:r>
          </w:p>
        </w:tc>
        <w:tc>
          <w:tcPr>
            <w:tcW w:w="920" w:type="dxa"/>
            <w:shd w:val="clear" w:color="auto" w:fill="FFFFFF"/>
            <w:vAlign w:val="center"/>
          </w:tcPr>
          <w:p w14:paraId="70BE6AF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瓶</w:t>
            </w:r>
          </w:p>
        </w:tc>
        <w:tc>
          <w:tcPr>
            <w:tcW w:w="1368" w:type="dxa"/>
            <w:shd w:val="clear" w:color="auto" w:fill="FFFFFF"/>
            <w:vAlign w:val="center"/>
          </w:tcPr>
          <w:p w14:paraId="62D7D845">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3E632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919" w:type="dxa"/>
            <w:shd w:val="clear" w:color="auto" w:fill="FFFFFF"/>
            <w:vAlign w:val="center"/>
          </w:tcPr>
          <w:p w14:paraId="6FA870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352" w:type="dxa"/>
            <w:shd w:val="clear" w:color="auto" w:fill="FFFFFF"/>
            <w:vAlign w:val="center"/>
          </w:tcPr>
          <w:p w14:paraId="486E1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32C0F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热烟雾处理</w:t>
            </w:r>
          </w:p>
        </w:tc>
      </w:tr>
      <w:tr w14:paraId="60BEE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54E2C03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1180" w:type="dxa"/>
            <w:shd w:val="clear" w:color="auto" w:fill="FFFFFF"/>
            <w:vAlign w:val="center"/>
          </w:tcPr>
          <w:p w14:paraId="1686F7F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药剂</w:t>
            </w:r>
          </w:p>
        </w:tc>
        <w:tc>
          <w:tcPr>
            <w:tcW w:w="3305" w:type="dxa"/>
            <w:shd w:val="clear" w:color="auto" w:fill="FFFFFF"/>
            <w:vAlign w:val="center"/>
          </w:tcPr>
          <w:p w14:paraId="3772710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鼠饵（桶/10kg）（杀他仗）</w:t>
            </w:r>
          </w:p>
        </w:tc>
        <w:tc>
          <w:tcPr>
            <w:tcW w:w="920" w:type="dxa"/>
            <w:shd w:val="clear" w:color="auto" w:fill="FFFFFF"/>
            <w:vAlign w:val="center"/>
          </w:tcPr>
          <w:p w14:paraId="635DEA3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桶</w:t>
            </w:r>
          </w:p>
        </w:tc>
        <w:tc>
          <w:tcPr>
            <w:tcW w:w="1368" w:type="dxa"/>
            <w:shd w:val="clear" w:color="auto" w:fill="FFFFFF"/>
            <w:vAlign w:val="center"/>
          </w:tcPr>
          <w:p w14:paraId="511155F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611485D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919" w:type="dxa"/>
            <w:shd w:val="clear" w:color="auto" w:fill="FFFFFF"/>
            <w:vAlign w:val="center"/>
          </w:tcPr>
          <w:p w14:paraId="2DDD53D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4</w:t>
            </w:r>
          </w:p>
        </w:tc>
        <w:tc>
          <w:tcPr>
            <w:tcW w:w="1352" w:type="dxa"/>
            <w:shd w:val="clear" w:color="auto" w:fill="FFFFFF"/>
            <w:vAlign w:val="center"/>
          </w:tcPr>
          <w:p w14:paraId="21365EF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2E969AE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鼠饵</w:t>
            </w:r>
          </w:p>
        </w:tc>
      </w:tr>
      <w:tr w14:paraId="3E46E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0" w:type="dxa"/>
            <w:shd w:val="clear" w:color="auto" w:fill="FFFFFF"/>
            <w:vAlign w:val="center"/>
          </w:tcPr>
          <w:p w14:paraId="0CFB249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180" w:type="dxa"/>
            <w:shd w:val="clear" w:color="auto" w:fill="FFFFFF"/>
            <w:vAlign w:val="center"/>
          </w:tcPr>
          <w:p w14:paraId="1BCE8C7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人员</w:t>
            </w:r>
          </w:p>
        </w:tc>
        <w:tc>
          <w:tcPr>
            <w:tcW w:w="3305" w:type="dxa"/>
            <w:shd w:val="clear" w:color="auto" w:fill="FFFFFF"/>
            <w:vAlign w:val="center"/>
          </w:tcPr>
          <w:p w14:paraId="61D6E60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人工</w:t>
            </w:r>
          </w:p>
        </w:tc>
        <w:tc>
          <w:tcPr>
            <w:tcW w:w="920" w:type="dxa"/>
            <w:shd w:val="clear" w:color="auto" w:fill="FFFFFF"/>
            <w:vAlign w:val="center"/>
          </w:tcPr>
          <w:p w14:paraId="0F227B0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次/人</w:t>
            </w:r>
          </w:p>
        </w:tc>
        <w:tc>
          <w:tcPr>
            <w:tcW w:w="1368" w:type="dxa"/>
            <w:shd w:val="clear" w:color="auto" w:fill="FFFFFF"/>
            <w:vAlign w:val="center"/>
          </w:tcPr>
          <w:p w14:paraId="2F73708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0B27743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2</w:t>
            </w:r>
          </w:p>
        </w:tc>
        <w:tc>
          <w:tcPr>
            <w:tcW w:w="919" w:type="dxa"/>
            <w:shd w:val="clear" w:color="auto" w:fill="FFFFFF"/>
            <w:vAlign w:val="center"/>
          </w:tcPr>
          <w:p w14:paraId="1E1E53F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36</w:t>
            </w:r>
          </w:p>
        </w:tc>
        <w:tc>
          <w:tcPr>
            <w:tcW w:w="1352" w:type="dxa"/>
            <w:shd w:val="clear" w:color="auto" w:fill="FFFFFF"/>
            <w:vAlign w:val="center"/>
          </w:tcPr>
          <w:p w14:paraId="2DECB1D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56E2A91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2066F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54517F6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5405" w:type="dxa"/>
            <w:gridSpan w:val="3"/>
            <w:shd w:val="clear" w:color="auto" w:fill="FFFFFF"/>
            <w:vAlign w:val="center"/>
          </w:tcPr>
          <w:p w14:paraId="78A8BB1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华中·中交城A区（不含酒店）、B区不含税总价</w:t>
            </w:r>
          </w:p>
        </w:tc>
        <w:tc>
          <w:tcPr>
            <w:tcW w:w="4794" w:type="dxa"/>
            <w:gridSpan w:val="4"/>
            <w:shd w:val="clear" w:color="auto" w:fill="FFFFFF"/>
            <w:vAlign w:val="center"/>
          </w:tcPr>
          <w:p w14:paraId="293585BB">
            <w:pPr>
              <w:jc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7E703889">
            <w:pPr>
              <w:jc w:val="center"/>
              <w:rPr>
                <w:rFonts w:hint="eastAsia" w:asciiTheme="minorEastAsia" w:hAnsiTheme="minorEastAsia" w:eastAsiaTheme="minorEastAsia" w:cstheme="minorEastAsia"/>
                <w:i w:val="0"/>
                <w:iCs w:val="0"/>
                <w:color w:val="000000"/>
                <w:sz w:val="24"/>
                <w:szCs w:val="24"/>
                <w:u w:val="none"/>
              </w:rPr>
            </w:pPr>
          </w:p>
        </w:tc>
      </w:tr>
      <w:tr w14:paraId="219D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64F7920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5405" w:type="dxa"/>
            <w:gridSpan w:val="3"/>
            <w:shd w:val="clear" w:color="auto" w:fill="FFFFFF"/>
            <w:vAlign w:val="center"/>
          </w:tcPr>
          <w:p w14:paraId="1D48292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税额（税率</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4794" w:type="dxa"/>
            <w:gridSpan w:val="4"/>
            <w:shd w:val="clear" w:color="auto" w:fill="FFFFFF"/>
            <w:vAlign w:val="center"/>
          </w:tcPr>
          <w:p w14:paraId="496B4EF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521" w:type="dxa"/>
            <w:shd w:val="clear" w:color="auto" w:fill="FFFFFF"/>
            <w:vAlign w:val="center"/>
          </w:tcPr>
          <w:p w14:paraId="3B28EEB9">
            <w:pPr>
              <w:jc w:val="center"/>
              <w:rPr>
                <w:rFonts w:hint="eastAsia" w:asciiTheme="minorEastAsia" w:hAnsiTheme="minorEastAsia" w:eastAsiaTheme="minorEastAsia" w:cstheme="minorEastAsia"/>
                <w:i w:val="0"/>
                <w:iCs w:val="0"/>
                <w:color w:val="000000"/>
                <w:sz w:val="24"/>
                <w:szCs w:val="24"/>
                <w:u w:val="none"/>
              </w:rPr>
            </w:pPr>
          </w:p>
        </w:tc>
      </w:tr>
      <w:tr w14:paraId="0C41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0" w:type="dxa"/>
            <w:shd w:val="clear" w:color="auto" w:fill="FFFFFF"/>
            <w:vAlign w:val="center"/>
          </w:tcPr>
          <w:p w14:paraId="0B19F30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5405" w:type="dxa"/>
            <w:gridSpan w:val="3"/>
            <w:shd w:val="clear" w:color="auto" w:fill="FFFFFF"/>
            <w:vAlign w:val="center"/>
          </w:tcPr>
          <w:p w14:paraId="0D88D68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华中·中交城A区（不含酒店）、B区含税总价</w:t>
            </w:r>
          </w:p>
        </w:tc>
        <w:tc>
          <w:tcPr>
            <w:tcW w:w="4794" w:type="dxa"/>
            <w:gridSpan w:val="4"/>
            <w:shd w:val="clear" w:color="auto" w:fill="FFFFFF"/>
            <w:vAlign w:val="center"/>
          </w:tcPr>
          <w:p w14:paraId="68EC3B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2521" w:type="dxa"/>
            <w:shd w:val="clear" w:color="auto" w:fill="FFFFFF"/>
            <w:vAlign w:val="center"/>
          </w:tcPr>
          <w:p w14:paraId="091D1E23">
            <w:pPr>
              <w:jc w:val="center"/>
              <w:rPr>
                <w:rFonts w:hint="eastAsia" w:asciiTheme="minorEastAsia" w:hAnsiTheme="minorEastAsia" w:eastAsiaTheme="minorEastAsia" w:cstheme="minorEastAsia"/>
                <w:i w:val="0"/>
                <w:iCs w:val="0"/>
                <w:color w:val="000000"/>
                <w:sz w:val="24"/>
                <w:szCs w:val="24"/>
                <w:u w:val="none"/>
              </w:rPr>
            </w:pPr>
          </w:p>
        </w:tc>
      </w:tr>
      <w:tr w14:paraId="4F250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3640" w:type="dxa"/>
            <w:gridSpan w:val="9"/>
            <w:shd w:val="clear" w:color="auto" w:fill="auto"/>
            <w:vAlign w:val="center"/>
          </w:tcPr>
          <w:p w14:paraId="6FF3E3E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二、华中·中交城A区B栋（酒店）消杀服务报价清单</w:t>
            </w:r>
          </w:p>
        </w:tc>
      </w:tr>
      <w:tr w14:paraId="3D24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5" w:hRule="atLeast"/>
        </w:trPr>
        <w:tc>
          <w:tcPr>
            <w:tcW w:w="13640" w:type="dxa"/>
            <w:gridSpan w:val="9"/>
            <w:shd w:val="clear" w:color="auto" w:fill="auto"/>
            <w:vAlign w:val="center"/>
          </w:tcPr>
          <w:p w14:paraId="232DA34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服务频次：5月至10月 </w:t>
            </w:r>
            <w:r>
              <w:rPr>
                <w:rFonts w:hint="eastAsia" w:asciiTheme="minorEastAsia" w:hAnsiTheme="minorEastAsia" w:eastAsiaTheme="minorEastAsia" w:cstheme="minorEastAsia"/>
                <w:b/>
                <w:bCs/>
                <w:i w:val="0"/>
                <w:iCs w:val="0"/>
                <w:color w:val="000000"/>
                <w:kern w:val="0"/>
                <w:sz w:val="24"/>
                <w:szCs w:val="24"/>
                <w:u w:val="single"/>
                <w:lang w:val="en-US" w:eastAsia="zh-CN" w:bidi="ar"/>
              </w:rPr>
              <w:t>5</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次/月，11月至4月 </w:t>
            </w:r>
            <w:r>
              <w:rPr>
                <w:rFonts w:hint="eastAsia" w:asciiTheme="minorEastAsia" w:hAnsiTheme="minorEastAsia" w:eastAsiaTheme="minorEastAsia" w:cstheme="minorEastAsia"/>
                <w:b/>
                <w:bCs/>
                <w:i w:val="0"/>
                <w:iCs w:val="0"/>
                <w:color w:val="000000"/>
                <w:kern w:val="0"/>
                <w:sz w:val="24"/>
                <w:szCs w:val="24"/>
                <w:u w:val="single"/>
                <w:lang w:val="en-US" w:eastAsia="zh-CN" w:bidi="ar"/>
              </w:rPr>
              <w:t>3</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次/月,客房全面覆盖 </w:t>
            </w:r>
            <w:r>
              <w:rPr>
                <w:rFonts w:hint="eastAsia" w:asciiTheme="minorEastAsia" w:hAnsiTheme="minorEastAsia" w:eastAsiaTheme="minorEastAsia" w:cstheme="minorEastAsia"/>
                <w:b/>
                <w:bCs/>
                <w:i w:val="0"/>
                <w:iCs w:val="0"/>
                <w:color w:val="000000"/>
                <w:kern w:val="0"/>
                <w:sz w:val="24"/>
                <w:szCs w:val="24"/>
                <w:u w:val="single"/>
                <w:lang w:val="en-US" w:eastAsia="zh-CN" w:bidi="ar"/>
              </w:rPr>
              <w:t>1</w:t>
            </w:r>
            <w:r>
              <w:rPr>
                <w:rFonts w:hint="eastAsia" w:asciiTheme="minorEastAsia" w:hAnsiTheme="minorEastAsia" w:eastAsiaTheme="minorEastAsia" w:cstheme="minorEastAsia"/>
                <w:b/>
                <w:bCs/>
                <w:i w:val="0"/>
                <w:iCs w:val="0"/>
                <w:color w:val="000000"/>
                <w:kern w:val="0"/>
                <w:sz w:val="24"/>
                <w:szCs w:val="24"/>
                <w:u w:val="none"/>
                <w:lang w:val="en-US" w:eastAsia="zh-CN" w:bidi="ar"/>
              </w:rPr>
              <w:t xml:space="preserve"> 次/月。</w:t>
            </w:r>
          </w:p>
        </w:tc>
      </w:tr>
      <w:tr w14:paraId="1E97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20" w:type="dxa"/>
            <w:shd w:val="clear" w:color="auto" w:fill="CCCCCC"/>
            <w:vAlign w:val="center"/>
          </w:tcPr>
          <w:p w14:paraId="3A4FB7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序号</w:t>
            </w:r>
          </w:p>
        </w:tc>
        <w:tc>
          <w:tcPr>
            <w:tcW w:w="1180" w:type="dxa"/>
            <w:shd w:val="clear" w:color="auto" w:fill="CCCCCC"/>
            <w:vAlign w:val="center"/>
          </w:tcPr>
          <w:p w14:paraId="5695911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成本构成</w:t>
            </w:r>
          </w:p>
        </w:tc>
        <w:tc>
          <w:tcPr>
            <w:tcW w:w="3305" w:type="dxa"/>
            <w:shd w:val="clear" w:color="auto" w:fill="CCCCCC"/>
            <w:vAlign w:val="center"/>
          </w:tcPr>
          <w:p w14:paraId="43630F5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费用明细情况描述</w:t>
            </w:r>
          </w:p>
        </w:tc>
        <w:tc>
          <w:tcPr>
            <w:tcW w:w="920" w:type="dxa"/>
            <w:shd w:val="clear" w:color="auto" w:fill="CCCCCC"/>
            <w:vAlign w:val="center"/>
          </w:tcPr>
          <w:p w14:paraId="579BD52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单位</w:t>
            </w:r>
          </w:p>
        </w:tc>
        <w:tc>
          <w:tcPr>
            <w:tcW w:w="1368" w:type="dxa"/>
            <w:shd w:val="clear" w:color="auto" w:fill="CCCCCC"/>
            <w:vAlign w:val="center"/>
          </w:tcPr>
          <w:p w14:paraId="2A56FBE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kern w:val="0"/>
                <w:sz w:val="24"/>
                <w:szCs w:val="24"/>
                <w:u w:val="none"/>
                <w:lang w:val="en-US" w:eastAsia="zh-CN" w:bidi="ar"/>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w:t>
            </w:r>
          </w:p>
          <w:p w14:paraId="3541F24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单价</w:t>
            </w:r>
          </w:p>
        </w:tc>
        <w:tc>
          <w:tcPr>
            <w:tcW w:w="1155" w:type="dxa"/>
            <w:shd w:val="clear" w:color="auto" w:fill="CCCCCC"/>
            <w:vAlign w:val="center"/>
          </w:tcPr>
          <w:p w14:paraId="6C901C9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数量</w:t>
            </w:r>
          </w:p>
        </w:tc>
        <w:tc>
          <w:tcPr>
            <w:tcW w:w="2271" w:type="dxa"/>
            <w:gridSpan w:val="2"/>
            <w:shd w:val="clear" w:color="auto" w:fill="CCCCCC"/>
            <w:vAlign w:val="center"/>
          </w:tcPr>
          <w:p w14:paraId="4DCD4D5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不含税小计</w:t>
            </w:r>
          </w:p>
        </w:tc>
        <w:tc>
          <w:tcPr>
            <w:tcW w:w="2521" w:type="dxa"/>
            <w:shd w:val="clear" w:color="auto" w:fill="CCCCCC"/>
            <w:vAlign w:val="center"/>
          </w:tcPr>
          <w:p w14:paraId="0C26427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b/>
                <w:bCs/>
                <w:i w:val="0"/>
                <w:iCs w:val="0"/>
                <w:color w:val="08090C"/>
                <w:sz w:val="24"/>
                <w:szCs w:val="24"/>
                <w:u w:val="none"/>
              </w:rPr>
            </w:pPr>
            <w:r>
              <w:rPr>
                <w:rFonts w:hint="eastAsia" w:asciiTheme="minorEastAsia" w:hAnsiTheme="minorEastAsia" w:eastAsiaTheme="minorEastAsia" w:cstheme="minorEastAsia"/>
                <w:b/>
                <w:bCs/>
                <w:i w:val="0"/>
                <w:iCs w:val="0"/>
                <w:color w:val="08090C"/>
                <w:kern w:val="0"/>
                <w:sz w:val="24"/>
                <w:szCs w:val="24"/>
                <w:u w:val="none"/>
                <w:lang w:val="en-US" w:eastAsia="zh-CN" w:bidi="ar"/>
              </w:rPr>
              <w:t>备注</w:t>
            </w:r>
          </w:p>
        </w:tc>
      </w:tr>
      <w:tr w14:paraId="0F0C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5D6E5BF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180" w:type="dxa"/>
            <w:shd w:val="clear" w:color="auto" w:fill="FFFFFF"/>
            <w:vAlign w:val="center"/>
          </w:tcPr>
          <w:p w14:paraId="4ED345D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人工费用</w:t>
            </w:r>
          </w:p>
        </w:tc>
        <w:tc>
          <w:tcPr>
            <w:tcW w:w="3305" w:type="dxa"/>
            <w:shd w:val="clear" w:color="auto" w:fill="FFFFFF"/>
            <w:vAlign w:val="center"/>
          </w:tcPr>
          <w:p w14:paraId="0E7A5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工资+保险</w:t>
            </w:r>
          </w:p>
        </w:tc>
        <w:tc>
          <w:tcPr>
            <w:tcW w:w="920" w:type="dxa"/>
            <w:shd w:val="clear" w:color="auto" w:fill="FFFFFF"/>
            <w:vAlign w:val="center"/>
          </w:tcPr>
          <w:p w14:paraId="4DC8603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次/人</w:t>
            </w:r>
          </w:p>
        </w:tc>
        <w:tc>
          <w:tcPr>
            <w:tcW w:w="1368" w:type="dxa"/>
            <w:shd w:val="clear" w:color="auto" w:fill="FFFFFF"/>
            <w:vAlign w:val="center"/>
          </w:tcPr>
          <w:p w14:paraId="0DE00840">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7D5F4F7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271" w:type="dxa"/>
            <w:gridSpan w:val="2"/>
            <w:shd w:val="clear" w:color="auto" w:fill="FFFFFF"/>
            <w:vAlign w:val="center"/>
          </w:tcPr>
          <w:p w14:paraId="64649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62599C0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48频次</w:t>
            </w:r>
          </w:p>
        </w:tc>
      </w:tr>
      <w:tr w14:paraId="0FB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vMerge w:val="restart"/>
            <w:shd w:val="clear" w:color="auto" w:fill="FFFFFF"/>
            <w:vAlign w:val="center"/>
          </w:tcPr>
          <w:p w14:paraId="0B6062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180" w:type="dxa"/>
            <w:vMerge w:val="restart"/>
            <w:shd w:val="clear" w:color="auto" w:fill="FFFFFF"/>
            <w:vAlign w:val="center"/>
          </w:tcPr>
          <w:p w14:paraId="10A9B8E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耗材类</w:t>
            </w:r>
          </w:p>
        </w:tc>
        <w:tc>
          <w:tcPr>
            <w:tcW w:w="3305" w:type="dxa"/>
            <w:shd w:val="clear" w:color="auto" w:fill="FFFFFF"/>
            <w:vAlign w:val="center"/>
          </w:tcPr>
          <w:p w14:paraId="16DEE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大毒鼠饵站</w:t>
            </w:r>
          </w:p>
        </w:tc>
        <w:tc>
          <w:tcPr>
            <w:tcW w:w="920" w:type="dxa"/>
            <w:shd w:val="clear" w:color="auto" w:fill="FFFFFF"/>
            <w:vAlign w:val="center"/>
          </w:tcPr>
          <w:p w14:paraId="609C29B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68" w:type="dxa"/>
            <w:shd w:val="clear" w:color="auto" w:fill="FFFFFF"/>
            <w:vAlign w:val="center"/>
          </w:tcPr>
          <w:p w14:paraId="354644D1">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5AB5C3D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30</w:t>
            </w:r>
          </w:p>
        </w:tc>
        <w:tc>
          <w:tcPr>
            <w:tcW w:w="2271" w:type="dxa"/>
            <w:gridSpan w:val="2"/>
            <w:shd w:val="clear" w:color="auto" w:fill="FFFFFF"/>
            <w:vAlign w:val="center"/>
          </w:tcPr>
          <w:p w14:paraId="23698C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44D20715">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天津海尔斯</w:t>
            </w:r>
          </w:p>
        </w:tc>
      </w:tr>
      <w:tr w14:paraId="733A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vMerge w:val="continue"/>
            <w:shd w:val="clear" w:color="auto" w:fill="FFFFFF"/>
            <w:vAlign w:val="center"/>
          </w:tcPr>
          <w:p w14:paraId="45A1B7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0" w:type="dxa"/>
            <w:vMerge w:val="continue"/>
            <w:shd w:val="clear" w:color="auto" w:fill="FFFFFF"/>
            <w:vAlign w:val="center"/>
          </w:tcPr>
          <w:p w14:paraId="29073EBA">
            <w:pPr>
              <w:jc w:val="center"/>
              <w:rPr>
                <w:rFonts w:hint="eastAsia" w:asciiTheme="minorEastAsia" w:hAnsiTheme="minorEastAsia" w:eastAsiaTheme="minorEastAsia" w:cstheme="minorEastAsia"/>
                <w:i w:val="0"/>
                <w:iCs w:val="0"/>
                <w:color w:val="000000"/>
                <w:sz w:val="24"/>
                <w:szCs w:val="24"/>
                <w:u w:val="none"/>
              </w:rPr>
            </w:pPr>
          </w:p>
        </w:tc>
        <w:tc>
          <w:tcPr>
            <w:tcW w:w="3305" w:type="dxa"/>
            <w:shd w:val="clear" w:color="auto" w:fill="FFFFFF"/>
            <w:vAlign w:val="center"/>
          </w:tcPr>
          <w:p w14:paraId="63374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室内鼠板</w:t>
            </w:r>
          </w:p>
        </w:tc>
        <w:tc>
          <w:tcPr>
            <w:tcW w:w="920" w:type="dxa"/>
            <w:shd w:val="clear" w:color="auto" w:fill="FFFFFF"/>
            <w:vAlign w:val="center"/>
          </w:tcPr>
          <w:p w14:paraId="08506D6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个</w:t>
            </w:r>
          </w:p>
        </w:tc>
        <w:tc>
          <w:tcPr>
            <w:tcW w:w="1368" w:type="dxa"/>
            <w:shd w:val="clear" w:color="auto" w:fill="FFFFFF"/>
            <w:vAlign w:val="center"/>
          </w:tcPr>
          <w:p w14:paraId="3CEF3A4E">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220C6BA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500</w:t>
            </w:r>
          </w:p>
        </w:tc>
        <w:tc>
          <w:tcPr>
            <w:tcW w:w="2271" w:type="dxa"/>
            <w:gridSpan w:val="2"/>
            <w:shd w:val="clear" w:color="auto" w:fill="FFFFFF"/>
            <w:vAlign w:val="center"/>
          </w:tcPr>
          <w:p w14:paraId="2E5698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6D8304B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猫山王</w:t>
            </w:r>
          </w:p>
        </w:tc>
      </w:tr>
      <w:tr w14:paraId="567D3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20" w:type="dxa"/>
            <w:vMerge w:val="continue"/>
            <w:shd w:val="clear" w:color="auto" w:fill="FFFFFF"/>
            <w:vAlign w:val="center"/>
          </w:tcPr>
          <w:p w14:paraId="336CA84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0" w:type="dxa"/>
            <w:vMerge w:val="continue"/>
            <w:shd w:val="clear" w:color="auto" w:fill="FFFFFF"/>
            <w:vAlign w:val="center"/>
          </w:tcPr>
          <w:p w14:paraId="33242900">
            <w:pPr>
              <w:jc w:val="center"/>
              <w:rPr>
                <w:rFonts w:hint="eastAsia" w:asciiTheme="minorEastAsia" w:hAnsiTheme="minorEastAsia" w:eastAsiaTheme="minorEastAsia" w:cstheme="minorEastAsia"/>
                <w:i w:val="0"/>
                <w:iCs w:val="0"/>
                <w:color w:val="000000"/>
                <w:sz w:val="24"/>
                <w:szCs w:val="24"/>
                <w:u w:val="none"/>
              </w:rPr>
            </w:pPr>
          </w:p>
        </w:tc>
        <w:tc>
          <w:tcPr>
            <w:tcW w:w="3305" w:type="dxa"/>
            <w:shd w:val="clear" w:color="auto" w:fill="FFFFFF"/>
            <w:vAlign w:val="center"/>
          </w:tcPr>
          <w:p w14:paraId="66347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灭蝇灯（补增）</w:t>
            </w:r>
          </w:p>
        </w:tc>
        <w:tc>
          <w:tcPr>
            <w:tcW w:w="920" w:type="dxa"/>
            <w:shd w:val="clear" w:color="auto" w:fill="FFFFFF"/>
            <w:vAlign w:val="center"/>
          </w:tcPr>
          <w:p w14:paraId="0B433A8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1368" w:type="dxa"/>
            <w:shd w:val="clear" w:color="auto" w:fill="FFFFFF"/>
            <w:vAlign w:val="center"/>
          </w:tcPr>
          <w:p w14:paraId="08911E5E">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42FF952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10</w:t>
            </w:r>
          </w:p>
        </w:tc>
        <w:tc>
          <w:tcPr>
            <w:tcW w:w="2271" w:type="dxa"/>
            <w:gridSpan w:val="2"/>
            <w:shd w:val="clear" w:color="auto" w:fill="FFFFFF"/>
            <w:vAlign w:val="center"/>
          </w:tcPr>
          <w:p w14:paraId="0A951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0BE27C5D">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卫捕士粘捕式捕蝇灯J12</w:t>
            </w:r>
          </w:p>
        </w:tc>
      </w:tr>
      <w:tr w14:paraId="6C8F9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vMerge w:val="continue"/>
            <w:shd w:val="clear" w:color="auto" w:fill="FFFFFF"/>
            <w:vAlign w:val="center"/>
          </w:tcPr>
          <w:p w14:paraId="3D23E9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180" w:type="dxa"/>
            <w:vMerge w:val="continue"/>
            <w:shd w:val="clear" w:color="auto" w:fill="FFFFFF"/>
            <w:vAlign w:val="center"/>
          </w:tcPr>
          <w:p w14:paraId="7279A5E4">
            <w:pPr>
              <w:jc w:val="center"/>
              <w:rPr>
                <w:rFonts w:hint="eastAsia" w:asciiTheme="minorEastAsia" w:hAnsiTheme="minorEastAsia" w:eastAsiaTheme="minorEastAsia" w:cstheme="minorEastAsia"/>
                <w:i w:val="0"/>
                <w:iCs w:val="0"/>
                <w:color w:val="000000"/>
                <w:sz w:val="24"/>
                <w:szCs w:val="24"/>
                <w:u w:val="none"/>
              </w:rPr>
            </w:pPr>
          </w:p>
        </w:tc>
        <w:tc>
          <w:tcPr>
            <w:tcW w:w="3305" w:type="dxa"/>
            <w:shd w:val="clear" w:color="auto" w:fill="FFFFFF"/>
            <w:vAlign w:val="center"/>
          </w:tcPr>
          <w:p w14:paraId="7B755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粘蝇纸</w:t>
            </w:r>
          </w:p>
        </w:tc>
        <w:tc>
          <w:tcPr>
            <w:tcW w:w="920" w:type="dxa"/>
            <w:shd w:val="clear" w:color="auto" w:fill="FFFFFF"/>
            <w:vAlign w:val="center"/>
          </w:tcPr>
          <w:p w14:paraId="0323A7E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1368" w:type="dxa"/>
            <w:shd w:val="clear" w:color="auto" w:fill="FFFFFF"/>
            <w:vAlign w:val="center"/>
          </w:tcPr>
          <w:p w14:paraId="6C99688A">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68B1B19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1000</w:t>
            </w:r>
          </w:p>
        </w:tc>
        <w:tc>
          <w:tcPr>
            <w:tcW w:w="2271" w:type="dxa"/>
            <w:gridSpan w:val="2"/>
            <w:shd w:val="clear" w:color="auto" w:fill="FFFFFF"/>
            <w:vAlign w:val="center"/>
          </w:tcPr>
          <w:p w14:paraId="4BDF4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1F3D57B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卫捕士粘蝇纸</w:t>
            </w:r>
          </w:p>
        </w:tc>
      </w:tr>
      <w:tr w14:paraId="26E1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7" w:hRule="atLeast"/>
        </w:trPr>
        <w:tc>
          <w:tcPr>
            <w:tcW w:w="920" w:type="dxa"/>
            <w:shd w:val="clear" w:color="auto" w:fill="FFFFFF"/>
            <w:vAlign w:val="center"/>
          </w:tcPr>
          <w:p w14:paraId="44BF1E2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180" w:type="dxa"/>
            <w:shd w:val="clear" w:color="auto" w:fill="FFFFFF"/>
            <w:vAlign w:val="center"/>
          </w:tcPr>
          <w:p w14:paraId="52617B1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药品费用</w:t>
            </w:r>
          </w:p>
        </w:tc>
        <w:tc>
          <w:tcPr>
            <w:tcW w:w="3305" w:type="dxa"/>
            <w:shd w:val="clear" w:color="auto" w:fill="FFFFFF"/>
            <w:vAlign w:val="center"/>
          </w:tcPr>
          <w:p w14:paraId="0BE2FE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灭蚊蝇、蟑螂、灭鼠</w:t>
            </w:r>
          </w:p>
        </w:tc>
        <w:tc>
          <w:tcPr>
            <w:tcW w:w="920" w:type="dxa"/>
            <w:shd w:val="clear" w:color="auto" w:fill="FFFFFF"/>
            <w:vAlign w:val="center"/>
          </w:tcPr>
          <w:p w14:paraId="2E877B6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年</w:t>
            </w:r>
          </w:p>
        </w:tc>
        <w:tc>
          <w:tcPr>
            <w:tcW w:w="1368" w:type="dxa"/>
            <w:shd w:val="clear" w:color="auto" w:fill="FFFFFF"/>
            <w:vAlign w:val="center"/>
          </w:tcPr>
          <w:p w14:paraId="0E8CA3BA">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4092689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2271" w:type="dxa"/>
            <w:gridSpan w:val="2"/>
            <w:shd w:val="clear" w:color="auto" w:fill="FFFFFF"/>
            <w:vAlign w:val="center"/>
          </w:tcPr>
          <w:p w14:paraId="104998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760C8FC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含德国拜耳、呋虫胺等强效药剂</w:t>
            </w:r>
          </w:p>
        </w:tc>
      </w:tr>
      <w:tr w14:paraId="2D77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0" w:type="dxa"/>
            <w:shd w:val="clear" w:color="auto" w:fill="FFFFFF"/>
            <w:vAlign w:val="center"/>
          </w:tcPr>
          <w:p w14:paraId="06D617D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180" w:type="dxa"/>
            <w:shd w:val="clear" w:color="auto" w:fill="FFFFFF"/>
            <w:vAlign w:val="center"/>
          </w:tcPr>
          <w:p w14:paraId="11F48DD7">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器械损耗</w:t>
            </w:r>
          </w:p>
        </w:tc>
        <w:tc>
          <w:tcPr>
            <w:tcW w:w="3305" w:type="dxa"/>
            <w:shd w:val="clear" w:color="auto" w:fill="FFFFFF"/>
            <w:vAlign w:val="center"/>
          </w:tcPr>
          <w:p w14:paraId="0A8BC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灭蚊蝇器械</w:t>
            </w:r>
          </w:p>
        </w:tc>
        <w:tc>
          <w:tcPr>
            <w:tcW w:w="920" w:type="dxa"/>
            <w:shd w:val="clear" w:color="auto" w:fill="FFFFFF"/>
            <w:vAlign w:val="center"/>
          </w:tcPr>
          <w:p w14:paraId="7C0C4E6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月</w:t>
            </w:r>
          </w:p>
        </w:tc>
        <w:tc>
          <w:tcPr>
            <w:tcW w:w="1368" w:type="dxa"/>
            <w:shd w:val="clear" w:color="auto" w:fill="FFFFFF"/>
            <w:vAlign w:val="center"/>
          </w:tcPr>
          <w:p w14:paraId="3D1FA599">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17AAF6E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2271" w:type="dxa"/>
            <w:gridSpan w:val="2"/>
            <w:shd w:val="clear" w:color="auto" w:fill="FFFFFF"/>
            <w:vAlign w:val="center"/>
          </w:tcPr>
          <w:p w14:paraId="4F274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313E1F22">
            <w:pPr>
              <w:jc w:val="center"/>
              <w:rPr>
                <w:rFonts w:hint="eastAsia" w:asciiTheme="minorEastAsia" w:hAnsiTheme="minorEastAsia" w:eastAsiaTheme="minorEastAsia" w:cstheme="minorEastAsia"/>
                <w:i w:val="0"/>
                <w:iCs w:val="0"/>
                <w:color w:val="000000"/>
                <w:sz w:val="24"/>
                <w:szCs w:val="24"/>
                <w:u w:val="none"/>
              </w:rPr>
            </w:pPr>
          </w:p>
        </w:tc>
      </w:tr>
      <w:tr w14:paraId="3A6C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0" w:type="dxa"/>
            <w:shd w:val="clear" w:color="auto" w:fill="FFFFFF"/>
            <w:vAlign w:val="center"/>
          </w:tcPr>
          <w:p w14:paraId="6F721A0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180" w:type="dxa"/>
            <w:shd w:val="clear" w:color="auto" w:fill="FFFFFF"/>
            <w:vAlign w:val="center"/>
          </w:tcPr>
          <w:p w14:paraId="2D67DCD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交通费用</w:t>
            </w:r>
          </w:p>
        </w:tc>
        <w:tc>
          <w:tcPr>
            <w:tcW w:w="3305" w:type="dxa"/>
            <w:shd w:val="clear" w:color="auto" w:fill="FFFFFF"/>
            <w:vAlign w:val="center"/>
          </w:tcPr>
          <w:p w14:paraId="401A5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油费、车费</w:t>
            </w:r>
          </w:p>
        </w:tc>
        <w:tc>
          <w:tcPr>
            <w:tcW w:w="920" w:type="dxa"/>
            <w:shd w:val="clear" w:color="auto" w:fill="FFFFFF"/>
            <w:vAlign w:val="center"/>
          </w:tcPr>
          <w:p w14:paraId="0A3B6EDF">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次</w:t>
            </w:r>
          </w:p>
        </w:tc>
        <w:tc>
          <w:tcPr>
            <w:tcW w:w="1368" w:type="dxa"/>
            <w:shd w:val="clear" w:color="auto" w:fill="FFFFFF"/>
            <w:vAlign w:val="center"/>
          </w:tcPr>
          <w:p w14:paraId="40193602">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789C29F4">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48</w:t>
            </w:r>
          </w:p>
        </w:tc>
        <w:tc>
          <w:tcPr>
            <w:tcW w:w="2271" w:type="dxa"/>
            <w:gridSpan w:val="2"/>
            <w:shd w:val="clear" w:color="auto" w:fill="FFFFFF"/>
            <w:vAlign w:val="center"/>
          </w:tcPr>
          <w:p w14:paraId="345FB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0828F115">
            <w:pPr>
              <w:jc w:val="center"/>
              <w:rPr>
                <w:rFonts w:hint="eastAsia" w:asciiTheme="minorEastAsia" w:hAnsiTheme="minorEastAsia" w:eastAsiaTheme="minorEastAsia" w:cstheme="minorEastAsia"/>
                <w:i w:val="0"/>
                <w:iCs w:val="0"/>
                <w:color w:val="000000"/>
                <w:sz w:val="24"/>
                <w:szCs w:val="24"/>
                <w:u w:val="none"/>
              </w:rPr>
            </w:pPr>
          </w:p>
        </w:tc>
      </w:tr>
      <w:tr w14:paraId="1FDC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020B90E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180" w:type="dxa"/>
            <w:shd w:val="clear" w:color="auto" w:fill="FFFFFF"/>
            <w:vAlign w:val="center"/>
          </w:tcPr>
          <w:p w14:paraId="397149F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管理费</w:t>
            </w:r>
          </w:p>
        </w:tc>
        <w:tc>
          <w:tcPr>
            <w:tcW w:w="3305" w:type="dxa"/>
            <w:shd w:val="clear" w:color="auto" w:fill="FFFFFF"/>
            <w:vAlign w:val="center"/>
          </w:tcPr>
          <w:p w14:paraId="7AC6F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人工管理、车辆管理</w:t>
            </w:r>
          </w:p>
        </w:tc>
        <w:tc>
          <w:tcPr>
            <w:tcW w:w="920" w:type="dxa"/>
            <w:shd w:val="clear" w:color="auto" w:fill="FFFFFF"/>
            <w:vAlign w:val="center"/>
          </w:tcPr>
          <w:p w14:paraId="45497A11">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月</w:t>
            </w:r>
          </w:p>
        </w:tc>
        <w:tc>
          <w:tcPr>
            <w:tcW w:w="1368" w:type="dxa"/>
            <w:shd w:val="clear" w:color="auto" w:fill="FFFFFF"/>
            <w:vAlign w:val="center"/>
          </w:tcPr>
          <w:p w14:paraId="61965A5B">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49BF7D0B">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12</w:t>
            </w:r>
          </w:p>
        </w:tc>
        <w:tc>
          <w:tcPr>
            <w:tcW w:w="2271" w:type="dxa"/>
            <w:gridSpan w:val="2"/>
            <w:shd w:val="clear" w:color="auto" w:fill="FFFFFF"/>
            <w:vAlign w:val="center"/>
          </w:tcPr>
          <w:p w14:paraId="5098F1E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2EB937A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r>
      <w:tr w14:paraId="3CC3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7C95235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180" w:type="dxa"/>
            <w:shd w:val="clear" w:color="auto" w:fill="FFFFFF"/>
            <w:vAlign w:val="center"/>
          </w:tcPr>
          <w:p w14:paraId="08258ACC">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保险</w:t>
            </w:r>
          </w:p>
        </w:tc>
        <w:tc>
          <w:tcPr>
            <w:tcW w:w="3305" w:type="dxa"/>
            <w:shd w:val="clear" w:color="auto" w:fill="FFFFFF"/>
            <w:vAlign w:val="center"/>
          </w:tcPr>
          <w:p w14:paraId="0E6BA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公共责任险</w:t>
            </w:r>
          </w:p>
        </w:tc>
        <w:tc>
          <w:tcPr>
            <w:tcW w:w="920" w:type="dxa"/>
            <w:shd w:val="clear" w:color="auto" w:fill="FFFFFF"/>
            <w:vAlign w:val="center"/>
          </w:tcPr>
          <w:p w14:paraId="5B2DCA33">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年</w:t>
            </w:r>
          </w:p>
        </w:tc>
        <w:tc>
          <w:tcPr>
            <w:tcW w:w="1368" w:type="dxa"/>
            <w:shd w:val="clear" w:color="auto" w:fill="FFFFFF"/>
            <w:vAlign w:val="center"/>
          </w:tcPr>
          <w:p w14:paraId="5DFFEA4C">
            <w:pPr>
              <w:jc w:val="center"/>
              <w:rPr>
                <w:rFonts w:hint="eastAsia" w:asciiTheme="minorEastAsia" w:hAnsiTheme="minorEastAsia" w:eastAsiaTheme="minorEastAsia" w:cstheme="minorEastAsia"/>
                <w:i w:val="0"/>
                <w:iCs w:val="0"/>
                <w:color w:val="000000"/>
                <w:sz w:val="24"/>
                <w:szCs w:val="24"/>
                <w:u w:val="none"/>
              </w:rPr>
            </w:pPr>
          </w:p>
        </w:tc>
        <w:tc>
          <w:tcPr>
            <w:tcW w:w="1155" w:type="dxa"/>
            <w:shd w:val="clear" w:color="auto" w:fill="FFFFFF"/>
            <w:vAlign w:val="center"/>
          </w:tcPr>
          <w:p w14:paraId="7B4F5DF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1</w:t>
            </w:r>
          </w:p>
        </w:tc>
        <w:tc>
          <w:tcPr>
            <w:tcW w:w="2271" w:type="dxa"/>
            <w:gridSpan w:val="2"/>
            <w:shd w:val="clear" w:color="auto" w:fill="FFFFFF"/>
            <w:vAlign w:val="center"/>
          </w:tcPr>
          <w:p w14:paraId="31349839">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5EDF660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sz w:val="24"/>
                <w:szCs w:val="24"/>
                <w:u w:val="none"/>
                <w:lang w:val="en-US" w:eastAsia="zh-CN"/>
              </w:rPr>
              <w:t>一年费用</w:t>
            </w:r>
          </w:p>
        </w:tc>
      </w:tr>
      <w:tr w14:paraId="7F32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0" w:hRule="atLeast"/>
        </w:trPr>
        <w:tc>
          <w:tcPr>
            <w:tcW w:w="920" w:type="dxa"/>
            <w:shd w:val="clear" w:color="auto" w:fill="FFFFFF"/>
            <w:vAlign w:val="center"/>
          </w:tcPr>
          <w:p w14:paraId="1E426B96">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5405" w:type="dxa"/>
            <w:gridSpan w:val="3"/>
            <w:shd w:val="clear" w:color="auto" w:fill="FFFFFF"/>
            <w:vAlign w:val="center"/>
          </w:tcPr>
          <w:p w14:paraId="2231A6E0">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华中·中交城A区B栋（酒店）不含税总价</w:t>
            </w:r>
          </w:p>
        </w:tc>
        <w:tc>
          <w:tcPr>
            <w:tcW w:w="4794" w:type="dxa"/>
            <w:gridSpan w:val="4"/>
            <w:shd w:val="clear" w:color="auto" w:fill="FFFFFF"/>
            <w:vAlign w:val="center"/>
          </w:tcPr>
          <w:p w14:paraId="2433C9EF">
            <w:pPr>
              <w:jc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694A8038">
            <w:pPr>
              <w:jc w:val="center"/>
              <w:rPr>
                <w:rFonts w:hint="eastAsia" w:asciiTheme="minorEastAsia" w:hAnsiTheme="minorEastAsia" w:eastAsiaTheme="minorEastAsia" w:cstheme="minorEastAsia"/>
                <w:i w:val="0"/>
                <w:iCs w:val="0"/>
                <w:color w:val="000000"/>
                <w:sz w:val="24"/>
                <w:szCs w:val="24"/>
                <w:u w:val="none"/>
              </w:rPr>
            </w:pPr>
          </w:p>
        </w:tc>
      </w:tr>
      <w:tr w14:paraId="28BC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0" w:type="dxa"/>
            <w:shd w:val="clear" w:color="auto" w:fill="FFFFFF"/>
            <w:vAlign w:val="center"/>
          </w:tcPr>
          <w:p w14:paraId="322ECF2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5405" w:type="dxa"/>
            <w:gridSpan w:val="3"/>
            <w:shd w:val="clear" w:color="auto" w:fill="FFFFFF"/>
            <w:vAlign w:val="center"/>
          </w:tcPr>
          <w:p w14:paraId="3A3A1B08">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税额（税率</w:t>
            </w:r>
            <w:r>
              <w:rPr>
                <w:rFonts w:hint="eastAsia" w:asciiTheme="minorEastAsia" w:hAnsiTheme="minorEastAsia" w:eastAsiaTheme="minorEastAsia" w:cstheme="minorEastAsia"/>
                <w:i w:val="0"/>
                <w:iCs w:val="0"/>
                <w:color w:val="000000"/>
                <w:kern w:val="0"/>
                <w:sz w:val="24"/>
                <w:szCs w:val="24"/>
                <w:u w:val="single"/>
                <w:lang w:val="en-US" w:eastAsia="zh-CN" w:bidi="ar"/>
              </w:rPr>
              <w:t xml:space="preserve">   </w:t>
            </w:r>
            <w:r>
              <w:rPr>
                <w:rFonts w:hint="eastAsia" w:asciiTheme="minorEastAsia" w:hAnsiTheme="minorEastAsia" w:eastAsiaTheme="minorEastAsia" w:cstheme="minorEastAsia"/>
                <w:i w:val="0"/>
                <w:iCs w:val="0"/>
                <w:color w:val="000000"/>
                <w:kern w:val="0"/>
                <w:sz w:val="24"/>
                <w:szCs w:val="24"/>
                <w:u w:val="none"/>
                <w:lang w:val="en-US" w:eastAsia="zh-CN" w:bidi="ar"/>
              </w:rPr>
              <w:t>%）</w:t>
            </w:r>
          </w:p>
        </w:tc>
        <w:tc>
          <w:tcPr>
            <w:tcW w:w="4794" w:type="dxa"/>
            <w:gridSpan w:val="4"/>
            <w:shd w:val="clear" w:color="auto" w:fill="FFFFFF"/>
            <w:vAlign w:val="center"/>
          </w:tcPr>
          <w:p w14:paraId="4E964340">
            <w:pPr>
              <w:jc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1FA798FF">
            <w:pPr>
              <w:jc w:val="center"/>
              <w:rPr>
                <w:rFonts w:hint="eastAsia" w:asciiTheme="minorEastAsia" w:hAnsiTheme="minorEastAsia" w:eastAsiaTheme="minorEastAsia" w:cstheme="minorEastAsia"/>
                <w:i w:val="0"/>
                <w:iCs w:val="0"/>
                <w:color w:val="000000"/>
                <w:sz w:val="24"/>
                <w:szCs w:val="24"/>
                <w:u w:val="none"/>
              </w:rPr>
            </w:pPr>
          </w:p>
        </w:tc>
      </w:tr>
      <w:tr w14:paraId="70BF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920" w:type="dxa"/>
            <w:shd w:val="clear" w:color="auto" w:fill="FFFFFF"/>
            <w:vAlign w:val="center"/>
          </w:tcPr>
          <w:p w14:paraId="035B8D6A">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5405" w:type="dxa"/>
            <w:gridSpan w:val="3"/>
            <w:shd w:val="clear" w:color="auto" w:fill="FFFFFF"/>
            <w:vAlign w:val="center"/>
          </w:tcPr>
          <w:p w14:paraId="04DC9CB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华中·中交城A区B栋（酒店）含税总价</w:t>
            </w:r>
          </w:p>
        </w:tc>
        <w:tc>
          <w:tcPr>
            <w:tcW w:w="4794" w:type="dxa"/>
            <w:gridSpan w:val="4"/>
            <w:shd w:val="clear" w:color="auto" w:fill="FFFFFF"/>
            <w:vAlign w:val="center"/>
          </w:tcPr>
          <w:p w14:paraId="0D90A83E">
            <w:pPr>
              <w:jc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416AAE4B">
            <w:pPr>
              <w:jc w:val="center"/>
              <w:rPr>
                <w:rFonts w:hint="eastAsia" w:asciiTheme="minorEastAsia" w:hAnsiTheme="minorEastAsia" w:eastAsiaTheme="minorEastAsia" w:cstheme="minorEastAsia"/>
                <w:i w:val="0"/>
                <w:iCs w:val="0"/>
                <w:color w:val="000000"/>
                <w:sz w:val="24"/>
                <w:szCs w:val="24"/>
                <w:u w:val="none"/>
              </w:rPr>
            </w:pPr>
          </w:p>
        </w:tc>
      </w:tr>
      <w:tr w14:paraId="7299B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325" w:type="dxa"/>
            <w:gridSpan w:val="4"/>
            <w:shd w:val="clear" w:color="auto" w:fill="FFFFFF"/>
            <w:vAlign w:val="center"/>
          </w:tcPr>
          <w:p w14:paraId="4FC1AF02">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一、二项合计总费用（不含税）</w:t>
            </w:r>
          </w:p>
        </w:tc>
        <w:tc>
          <w:tcPr>
            <w:tcW w:w="4794" w:type="dxa"/>
            <w:gridSpan w:val="4"/>
            <w:shd w:val="clear" w:color="auto" w:fill="FFFFFF"/>
            <w:vAlign w:val="center"/>
          </w:tcPr>
          <w:p w14:paraId="5D92C316">
            <w:pPr>
              <w:jc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77611384">
            <w:pPr>
              <w:jc w:val="center"/>
              <w:rPr>
                <w:rFonts w:hint="eastAsia" w:asciiTheme="minorEastAsia" w:hAnsiTheme="minorEastAsia" w:eastAsiaTheme="minorEastAsia" w:cstheme="minorEastAsia"/>
                <w:i w:val="0"/>
                <w:iCs w:val="0"/>
                <w:color w:val="000000"/>
                <w:sz w:val="24"/>
                <w:szCs w:val="24"/>
                <w:u w:val="none"/>
              </w:rPr>
            </w:pPr>
          </w:p>
        </w:tc>
      </w:tr>
      <w:tr w14:paraId="2DF1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3" w:hRule="atLeast"/>
        </w:trPr>
        <w:tc>
          <w:tcPr>
            <w:tcW w:w="6325" w:type="dxa"/>
            <w:gridSpan w:val="4"/>
            <w:shd w:val="clear" w:color="auto" w:fill="FFFFFF"/>
            <w:vAlign w:val="center"/>
          </w:tcPr>
          <w:p w14:paraId="56196E1E">
            <w:pPr>
              <w:keepNext w:val="0"/>
              <w:keepLines w:val="0"/>
              <w:widowControl/>
              <w:suppressLineNumbers w:val="0"/>
              <w:ind w:left="0" w:leftChars="0" w:firstLine="0" w:firstLineChars="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一、二项合计总费用（含税）</w:t>
            </w:r>
          </w:p>
        </w:tc>
        <w:tc>
          <w:tcPr>
            <w:tcW w:w="4794" w:type="dxa"/>
            <w:gridSpan w:val="4"/>
            <w:shd w:val="clear" w:color="auto" w:fill="FFFFFF"/>
            <w:vAlign w:val="center"/>
          </w:tcPr>
          <w:p w14:paraId="005A2147">
            <w:pPr>
              <w:jc w:val="center"/>
              <w:rPr>
                <w:rFonts w:hint="eastAsia" w:asciiTheme="minorEastAsia" w:hAnsiTheme="minorEastAsia" w:eastAsiaTheme="minorEastAsia" w:cstheme="minorEastAsia"/>
                <w:i w:val="0"/>
                <w:iCs w:val="0"/>
                <w:color w:val="000000"/>
                <w:sz w:val="24"/>
                <w:szCs w:val="24"/>
                <w:u w:val="none"/>
              </w:rPr>
            </w:pPr>
          </w:p>
        </w:tc>
        <w:tc>
          <w:tcPr>
            <w:tcW w:w="2521" w:type="dxa"/>
            <w:shd w:val="clear" w:color="auto" w:fill="FFFFFF"/>
            <w:vAlign w:val="center"/>
          </w:tcPr>
          <w:p w14:paraId="46F059C1">
            <w:pPr>
              <w:jc w:val="center"/>
              <w:rPr>
                <w:rFonts w:hint="eastAsia" w:asciiTheme="minorEastAsia" w:hAnsiTheme="minorEastAsia" w:eastAsiaTheme="minorEastAsia" w:cstheme="minorEastAsia"/>
                <w:i w:val="0"/>
                <w:iCs w:val="0"/>
                <w:color w:val="000000"/>
                <w:sz w:val="24"/>
                <w:szCs w:val="24"/>
                <w:u w:val="none"/>
              </w:rPr>
            </w:pPr>
          </w:p>
        </w:tc>
      </w:tr>
    </w:tbl>
    <w:p w14:paraId="060BDF10">
      <w:pPr>
        <w:ind w:firstLine="0" w:firstLineChars="0"/>
        <w:jc w:val="left"/>
        <w:rPr>
          <w:b w:val="0"/>
          <w:bCs w:val="0"/>
          <w:highlight w:val="none"/>
        </w:rPr>
      </w:pPr>
      <w:r>
        <w:rPr>
          <w:rFonts w:hint="eastAsia"/>
          <w:b w:val="0"/>
          <w:bCs w:val="0"/>
          <w:highlight w:val="none"/>
        </w:rPr>
        <w:t>注:另按甲方所需免费提供5次园区独栋消杀服务。</w:t>
      </w:r>
    </w:p>
    <w:p w14:paraId="0173F1BE">
      <w:pPr>
        <w:pStyle w:val="2"/>
        <w:sectPr>
          <w:pgSz w:w="16838" w:h="11906" w:orient="landscape"/>
          <w:pgMar w:top="1418" w:right="1418" w:bottom="1418" w:left="1418" w:header="851" w:footer="992" w:gutter="0"/>
          <w:cols w:space="720" w:num="1"/>
          <w:titlePg/>
          <w:docGrid w:type="lines" w:linePitch="312" w:charSpace="0"/>
        </w:sectPr>
      </w:pPr>
    </w:p>
    <w:p w14:paraId="1D099919">
      <w:pPr>
        <w:pStyle w:val="3"/>
        <w:widowControl/>
        <w:spacing w:before="100" w:after="100"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附件二：</w:t>
      </w:r>
      <w:r>
        <w:rPr>
          <w:rFonts w:hint="eastAsia" w:ascii="宋体" w:hAnsi="宋体" w:cs="宋体"/>
          <w:sz w:val="24"/>
          <w:szCs w:val="24"/>
        </w:rPr>
        <w:t>四害消杀</w:t>
      </w:r>
      <w:r>
        <w:rPr>
          <w:rFonts w:hint="eastAsia" w:ascii="宋体" w:hAnsi="宋体" w:eastAsia="宋体" w:cs="宋体"/>
          <w:sz w:val="24"/>
          <w:szCs w:val="24"/>
        </w:rPr>
        <w:t>服务内容要求</w:t>
      </w:r>
      <w:r>
        <w:rPr>
          <w:rFonts w:hint="eastAsia" w:ascii="宋体" w:hAnsi="宋体" w:cs="宋体"/>
          <w:sz w:val="24"/>
          <w:szCs w:val="24"/>
        </w:rPr>
        <w:t>及频率</w:t>
      </w:r>
    </w:p>
    <w:tbl>
      <w:tblPr>
        <w:tblStyle w:val="6"/>
        <w:tblW w:w="10118" w:type="dxa"/>
        <w:tblInd w:w="-382" w:type="dxa"/>
        <w:tblLayout w:type="fixed"/>
        <w:tblCellMar>
          <w:top w:w="0" w:type="dxa"/>
          <w:left w:w="108" w:type="dxa"/>
          <w:bottom w:w="0" w:type="dxa"/>
          <w:right w:w="108" w:type="dxa"/>
        </w:tblCellMar>
      </w:tblPr>
      <w:tblGrid>
        <w:gridCol w:w="911"/>
        <w:gridCol w:w="1467"/>
        <w:gridCol w:w="1194"/>
        <w:gridCol w:w="2118"/>
        <w:gridCol w:w="4428"/>
      </w:tblGrid>
      <w:tr w14:paraId="47F27703">
        <w:tblPrEx>
          <w:tblCellMar>
            <w:top w:w="0" w:type="dxa"/>
            <w:left w:w="108" w:type="dxa"/>
            <w:bottom w:w="0" w:type="dxa"/>
            <w:right w:w="108" w:type="dxa"/>
          </w:tblCellMar>
        </w:tblPrEx>
        <w:trPr>
          <w:trHeight w:val="35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1E1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区域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3B1">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覆盖范围</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903D">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针对虫害</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B669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处理方式</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FD42">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频率</w:t>
            </w:r>
          </w:p>
        </w:tc>
      </w:tr>
      <w:tr w14:paraId="52ED401C">
        <w:tblPrEx>
          <w:tblCellMar>
            <w:top w:w="0" w:type="dxa"/>
            <w:left w:w="108" w:type="dxa"/>
            <w:bottom w:w="0" w:type="dxa"/>
            <w:right w:w="108" w:type="dxa"/>
          </w:tblCellMar>
        </w:tblPrEx>
        <w:trPr>
          <w:trHeight w:val="35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C841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A区</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EDB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园区外围、地下停车场</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E45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D8E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鼠饵站监控</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222F">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每月一次，全年12次</w:t>
            </w:r>
          </w:p>
        </w:tc>
      </w:tr>
      <w:tr w14:paraId="65FE6BFB">
        <w:tblPrEx>
          <w:tblCellMar>
            <w:top w:w="0" w:type="dxa"/>
            <w:left w:w="108" w:type="dxa"/>
            <w:bottom w:w="0" w:type="dxa"/>
            <w:right w:w="108" w:type="dxa"/>
          </w:tblCellMar>
        </w:tblPrEx>
        <w:trPr>
          <w:trHeight w:val="3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669C">
            <w:pPr>
              <w:jc w:val="center"/>
              <w:rPr>
                <w:rFonts w:hint="eastAsia" w:ascii="宋体" w:hAnsi="宋体" w:cs="宋体"/>
                <w:color w:val="000000"/>
                <w:sz w:val="24"/>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A52D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外围绿化带</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497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飞虫</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278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投放散装鼠饵（必要时）</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AF7E">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每季度投放一次</w:t>
            </w:r>
          </w:p>
        </w:tc>
      </w:tr>
      <w:tr w14:paraId="7BDE656F">
        <w:tblPrEx>
          <w:tblCellMar>
            <w:top w:w="0" w:type="dxa"/>
            <w:left w:w="108" w:type="dxa"/>
            <w:bottom w:w="0" w:type="dxa"/>
            <w:right w:w="108" w:type="dxa"/>
          </w:tblCellMar>
        </w:tblPrEx>
        <w:trPr>
          <w:trHeight w:val="3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7C15">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23428">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A632">
            <w:pPr>
              <w:jc w:val="center"/>
              <w:rPr>
                <w:rFonts w:hint="eastAsia" w:ascii="宋体" w:hAnsi="宋体" w:cs="宋体"/>
                <w:color w:val="000000"/>
                <w:sz w:val="24"/>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F807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滞留喷洒、</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026D5">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7C5F21B5">
        <w:tblPrEx>
          <w:tblCellMar>
            <w:top w:w="0" w:type="dxa"/>
            <w:left w:w="108" w:type="dxa"/>
            <w:bottom w:w="0" w:type="dxa"/>
            <w:right w:w="108" w:type="dxa"/>
          </w:tblCellMar>
        </w:tblPrEx>
        <w:trPr>
          <w:trHeight w:val="17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4C09">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C0B9">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14FAD">
            <w:pPr>
              <w:jc w:val="center"/>
              <w:rPr>
                <w:rFonts w:hint="eastAsia" w:ascii="宋体" w:hAnsi="宋体" w:cs="宋体"/>
                <w:color w:val="000000"/>
                <w:sz w:val="24"/>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6AD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热烟雾处理</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003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热烟雾处理：5-10月每月两次</w:t>
            </w:r>
          </w:p>
        </w:tc>
      </w:tr>
      <w:tr w14:paraId="6ED7FE32">
        <w:tblPrEx>
          <w:tblCellMar>
            <w:top w:w="0" w:type="dxa"/>
            <w:left w:w="108" w:type="dxa"/>
            <w:bottom w:w="0" w:type="dxa"/>
            <w:right w:w="108" w:type="dxa"/>
          </w:tblCellMar>
        </w:tblPrEx>
        <w:trPr>
          <w:trHeight w:val="3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13F6">
            <w:pPr>
              <w:jc w:val="center"/>
              <w:rPr>
                <w:rFonts w:hint="eastAsia" w:ascii="宋体" w:hAnsi="宋体" w:cs="宋体"/>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C44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外围景观池及积水处</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673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孑孓</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061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投放灭幼剂</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CA162">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5-10月每月两次</w:t>
            </w:r>
          </w:p>
        </w:tc>
      </w:tr>
      <w:tr w14:paraId="77878240">
        <w:tblPrEx>
          <w:tblCellMar>
            <w:top w:w="0" w:type="dxa"/>
            <w:left w:w="108" w:type="dxa"/>
            <w:bottom w:w="0" w:type="dxa"/>
            <w:right w:w="108" w:type="dxa"/>
          </w:tblCellMar>
        </w:tblPrEx>
        <w:trPr>
          <w:trHeight w:val="35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FBCF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A栋公区</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0889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大堂、会议中心、消防通道</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2D9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蚊蝇、蟑螂</w:t>
            </w:r>
          </w:p>
        </w:tc>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5D4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滞留喷洒、空间喷雾</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71C0">
            <w:pPr>
              <w:widowControl/>
              <w:jc w:val="left"/>
              <w:textAlignment w:val="center"/>
              <w:rPr>
                <w:rFonts w:hint="eastAsia" w:ascii="宋体" w:hAnsi="宋体" w:cs="宋体"/>
                <w:sz w:val="24"/>
              </w:rPr>
            </w:pPr>
            <w:r>
              <w:rPr>
                <w:rFonts w:hint="eastAsia" w:ascii="宋体" w:hAnsi="宋体" w:cs="宋体"/>
                <w:color w:val="000000"/>
                <w:kern w:val="0"/>
                <w:sz w:val="24"/>
                <w:lang w:bidi="ar"/>
              </w:rPr>
              <w:t>滞留喷洒：5-10月每月四次，11-4月每月两次</w:t>
            </w:r>
          </w:p>
        </w:tc>
      </w:tr>
      <w:tr w14:paraId="74955317">
        <w:tblPrEx>
          <w:tblCellMar>
            <w:top w:w="0" w:type="dxa"/>
            <w:left w:w="108" w:type="dxa"/>
            <w:bottom w:w="0" w:type="dxa"/>
            <w:right w:w="108" w:type="dxa"/>
          </w:tblCellMar>
        </w:tblPrEx>
        <w:trPr>
          <w:trHeight w:val="17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CD799">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07D649">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6FDC">
            <w:pPr>
              <w:jc w:val="center"/>
              <w:rPr>
                <w:rFonts w:hint="eastAsia" w:ascii="宋体" w:hAnsi="宋体" w:cs="宋体"/>
                <w:color w:val="000000"/>
                <w:sz w:val="24"/>
              </w:rPr>
            </w:pP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0D63">
            <w:pPr>
              <w:jc w:val="center"/>
              <w:rPr>
                <w:rFonts w:hint="eastAsia" w:ascii="宋体" w:hAnsi="宋体" w:cs="宋体"/>
                <w:color w:val="000000"/>
                <w:sz w:val="24"/>
              </w:rPr>
            </w:pP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46D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空间喷雾：5-10月每月两次</w:t>
            </w:r>
          </w:p>
        </w:tc>
      </w:tr>
      <w:tr w14:paraId="3B27DB90">
        <w:tblPrEx>
          <w:tblCellMar>
            <w:top w:w="0" w:type="dxa"/>
            <w:left w:w="108" w:type="dxa"/>
            <w:bottom w:w="0" w:type="dxa"/>
            <w:right w:w="108" w:type="dxa"/>
          </w:tblCellMar>
        </w:tblPrEx>
        <w:trPr>
          <w:trHeight w:val="693"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8C26">
            <w:pPr>
              <w:jc w:val="center"/>
              <w:rPr>
                <w:rFonts w:hint="eastAsia" w:ascii="宋体" w:hAnsi="宋体" w:cs="宋体"/>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4BC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垃圾房、卸货区、卫生间</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A6B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鼠、蚊蝇、蟑螂</w:t>
            </w:r>
          </w:p>
        </w:tc>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DF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布放粘鼠板、滞留喷洒</w:t>
            </w:r>
          </w:p>
        </w:tc>
        <w:tc>
          <w:tcPr>
            <w:tcW w:w="4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9E65">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布放粘鼠板：5-10月每月两次，11-4月每月一次</w:t>
            </w:r>
          </w:p>
          <w:p w14:paraId="616D5A23">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042020DA">
        <w:tblPrEx>
          <w:tblCellMar>
            <w:top w:w="0" w:type="dxa"/>
            <w:left w:w="108" w:type="dxa"/>
            <w:bottom w:w="0" w:type="dxa"/>
            <w:right w:w="108" w:type="dxa"/>
          </w:tblCellMar>
        </w:tblPrEx>
        <w:trPr>
          <w:trHeight w:val="693"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FDE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A栋设备间</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518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管道井</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83E6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鼠、蟑螂</w:t>
            </w: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DE65">
            <w:pPr>
              <w:jc w:val="center"/>
              <w:rPr>
                <w:rFonts w:hint="eastAsia" w:ascii="宋体" w:hAnsi="宋体" w:cs="宋体"/>
                <w:color w:val="000000"/>
                <w:sz w:val="24"/>
              </w:rPr>
            </w:pPr>
          </w:p>
        </w:tc>
        <w:tc>
          <w:tcPr>
            <w:tcW w:w="4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8E86">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布放粘鼠板：5-10月每月两次，11-4月每月一次</w:t>
            </w:r>
          </w:p>
          <w:p w14:paraId="0CE68F9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4DC62E26">
        <w:tblPrEx>
          <w:tblCellMar>
            <w:top w:w="0" w:type="dxa"/>
            <w:left w:w="108" w:type="dxa"/>
            <w:bottom w:w="0" w:type="dxa"/>
            <w:right w:w="108" w:type="dxa"/>
          </w:tblCellMar>
        </w:tblPrEx>
        <w:trPr>
          <w:trHeight w:val="693"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021E">
            <w:pPr>
              <w:jc w:val="center"/>
              <w:rPr>
                <w:rFonts w:hint="eastAsia" w:ascii="宋体" w:hAnsi="宋体" w:cs="宋体"/>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183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配电房、空调机房、监控中心</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484E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鼠、蟑螂</w:t>
            </w: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FE49">
            <w:pPr>
              <w:jc w:val="center"/>
              <w:rPr>
                <w:rFonts w:hint="eastAsia" w:ascii="宋体" w:hAnsi="宋体" w:cs="宋体"/>
                <w:color w:val="000000"/>
                <w:sz w:val="24"/>
              </w:rPr>
            </w:pPr>
          </w:p>
        </w:tc>
        <w:tc>
          <w:tcPr>
            <w:tcW w:w="4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201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布放粘鼠板：5-10月每月两次，11-4月每月一次</w:t>
            </w:r>
          </w:p>
          <w:p w14:paraId="004E0FF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5C0EB6AC">
        <w:tblPrEx>
          <w:tblCellMar>
            <w:top w:w="0" w:type="dxa"/>
            <w:left w:w="108" w:type="dxa"/>
            <w:bottom w:w="0" w:type="dxa"/>
            <w:right w:w="108" w:type="dxa"/>
          </w:tblCellMar>
        </w:tblPrEx>
        <w:trPr>
          <w:trHeight w:val="350"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537F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A栋办公区</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67A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办公室、茶水间</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373B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鼠、蚊蝇、蟑螂</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A6CA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布放粘鼠板；滞留喷洒</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7E9B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如出现虫害问题，则服务当天进行处理</w:t>
            </w:r>
          </w:p>
        </w:tc>
      </w:tr>
      <w:tr w14:paraId="6BF8C673">
        <w:tblPrEx>
          <w:tblCellMar>
            <w:top w:w="0" w:type="dxa"/>
            <w:left w:w="108" w:type="dxa"/>
            <w:bottom w:w="0" w:type="dxa"/>
            <w:right w:w="108" w:type="dxa"/>
          </w:tblCellMar>
        </w:tblPrEx>
        <w:trPr>
          <w:trHeight w:val="35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DB7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餐饮中心</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A758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餐厅、包厢、后厨、备菜间、洗碗间</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B2A8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鼠、蚊蝇、蟑螂</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AA1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布放粘鼠板及蟑螂监测站</w:t>
            </w:r>
          </w:p>
        </w:tc>
        <w:tc>
          <w:tcPr>
            <w:tcW w:w="44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C5800">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5-10月每月四次，11-4月每月两次</w:t>
            </w:r>
          </w:p>
        </w:tc>
      </w:tr>
      <w:tr w14:paraId="3340CD81">
        <w:tblPrEx>
          <w:tblCellMar>
            <w:top w:w="0" w:type="dxa"/>
            <w:left w:w="108" w:type="dxa"/>
            <w:bottom w:w="0" w:type="dxa"/>
            <w:right w:w="108" w:type="dxa"/>
          </w:tblCellMar>
        </w:tblPrEx>
        <w:trPr>
          <w:trHeight w:val="3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0A6F">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2A74">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46DB8">
            <w:pPr>
              <w:jc w:val="center"/>
              <w:rPr>
                <w:rFonts w:hint="eastAsia" w:ascii="宋体" w:hAnsi="宋体" w:cs="宋体"/>
                <w:color w:val="000000"/>
                <w:sz w:val="24"/>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213E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滞留喷洒、蟑螂胶饵</w:t>
            </w:r>
          </w:p>
        </w:tc>
        <w:tc>
          <w:tcPr>
            <w:tcW w:w="4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303AC">
            <w:pPr>
              <w:jc w:val="left"/>
              <w:rPr>
                <w:rFonts w:hint="eastAsia" w:ascii="宋体" w:hAnsi="宋体" w:cs="宋体"/>
                <w:color w:val="000000"/>
                <w:sz w:val="24"/>
              </w:rPr>
            </w:pPr>
          </w:p>
        </w:tc>
      </w:tr>
      <w:tr w14:paraId="74358D11">
        <w:tblPrEx>
          <w:tblCellMar>
            <w:top w:w="0" w:type="dxa"/>
            <w:left w:w="108" w:type="dxa"/>
            <w:bottom w:w="0" w:type="dxa"/>
            <w:right w:w="108" w:type="dxa"/>
          </w:tblCellMar>
        </w:tblPrEx>
        <w:trPr>
          <w:trHeight w:val="3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968B">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433AE">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F643E">
            <w:pPr>
              <w:jc w:val="center"/>
              <w:rPr>
                <w:rFonts w:hint="eastAsia" w:ascii="宋体" w:hAnsi="宋体" w:cs="宋体"/>
                <w:color w:val="000000"/>
                <w:sz w:val="24"/>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63B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安装粘捕式灭蝇灯</w:t>
            </w:r>
          </w:p>
        </w:tc>
        <w:tc>
          <w:tcPr>
            <w:tcW w:w="44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DFD27">
            <w:pPr>
              <w:jc w:val="left"/>
              <w:rPr>
                <w:rFonts w:hint="eastAsia" w:ascii="宋体" w:hAnsi="宋体" w:cs="宋体"/>
                <w:color w:val="000000"/>
                <w:sz w:val="24"/>
              </w:rPr>
            </w:pPr>
          </w:p>
        </w:tc>
      </w:tr>
      <w:tr w14:paraId="45FA0E95">
        <w:tblPrEx>
          <w:tblCellMar>
            <w:top w:w="0" w:type="dxa"/>
            <w:left w:w="108" w:type="dxa"/>
            <w:bottom w:w="0" w:type="dxa"/>
            <w:right w:w="108" w:type="dxa"/>
          </w:tblCellMar>
        </w:tblPrEx>
        <w:trPr>
          <w:trHeight w:val="35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1C57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B区</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CBC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外围公共区域</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8CE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2EB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鼠饵站监控</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1515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每月一次，全年12次</w:t>
            </w:r>
          </w:p>
        </w:tc>
      </w:tr>
      <w:tr w14:paraId="699BBB9C">
        <w:tblPrEx>
          <w:tblCellMar>
            <w:top w:w="0" w:type="dxa"/>
            <w:left w:w="108" w:type="dxa"/>
            <w:bottom w:w="0" w:type="dxa"/>
            <w:right w:w="108" w:type="dxa"/>
          </w:tblCellMar>
        </w:tblPrEx>
        <w:trPr>
          <w:trHeight w:val="350"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E48C4">
            <w:pPr>
              <w:jc w:val="center"/>
              <w:rPr>
                <w:rFonts w:hint="eastAsia" w:ascii="宋体" w:hAnsi="宋体" w:cs="宋体"/>
                <w:color w:val="000000"/>
                <w:sz w:val="24"/>
              </w:rPr>
            </w:pP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A4A7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外围绿化带</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87B9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5C6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投放散装鼠饵（必要时）</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6BC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每季度投放一次</w:t>
            </w:r>
          </w:p>
        </w:tc>
      </w:tr>
      <w:tr w14:paraId="454B99F5">
        <w:tblPrEx>
          <w:tblCellMar>
            <w:top w:w="0" w:type="dxa"/>
            <w:left w:w="108" w:type="dxa"/>
            <w:bottom w:w="0" w:type="dxa"/>
            <w:right w:w="108" w:type="dxa"/>
          </w:tblCellMar>
        </w:tblPrEx>
        <w:trPr>
          <w:trHeight w:val="17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355B">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08F4B">
            <w:pPr>
              <w:jc w:val="center"/>
              <w:rPr>
                <w:rFonts w:hint="eastAsia" w:ascii="宋体" w:hAnsi="宋体" w:cs="宋体"/>
                <w:color w:val="000000"/>
                <w:sz w:val="24"/>
              </w:rPr>
            </w:pP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02AC">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飞虫</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2C7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滞留喷洒</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C2F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1FB1EFA5">
        <w:tblPrEx>
          <w:tblCellMar>
            <w:top w:w="0" w:type="dxa"/>
            <w:left w:w="108" w:type="dxa"/>
            <w:bottom w:w="0" w:type="dxa"/>
            <w:right w:w="108" w:type="dxa"/>
          </w:tblCellMar>
        </w:tblPrEx>
        <w:trPr>
          <w:trHeight w:val="17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1B22">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3AAA3">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0D66">
            <w:pPr>
              <w:jc w:val="center"/>
              <w:rPr>
                <w:rFonts w:hint="eastAsia" w:ascii="宋体" w:hAnsi="宋体" w:cs="宋体"/>
                <w:color w:val="000000"/>
                <w:sz w:val="24"/>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F6A5">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热烟雾处理</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E3B1">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热烟雾处理：5-10月每月两次</w:t>
            </w:r>
          </w:p>
        </w:tc>
      </w:tr>
      <w:tr w14:paraId="01004316">
        <w:tblPrEx>
          <w:tblCellMar>
            <w:top w:w="0" w:type="dxa"/>
            <w:left w:w="108" w:type="dxa"/>
            <w:bottom w:w="0" w:type="dxa"/>
            <w:right w:w="108" w:type="dxa"/>
          </w:tblCellMar>
        </w:tblPrEx>
        <w:trPr>
          <w:trHeight w:val="17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3479D">
            <w:pPr>
              <w:jc w:val="center"/>
              <w:rPr>
                <w:rFonts w:hint="eastAsia" w:ascii="宋体" w:hAnsi="宋体" w:cs="宋体"/>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0E2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地下停车场</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DD56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292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鼠饵站监控</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B67A">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每月一次，全年12次</w:t>
            </w:r>
          </w:p>
        </w:tc>
      </w:tr>
      <w:tr w14:paraId="6D6531E9">
        <w:tblPrEx>
          <w:tblCellMar>
            <w:top w:w="0" w:type="dxa"/>
            <w:left w:w="108" w:type="dxa"/>
            <w:bottom w:w="0" w:type="dxa"/>
            <w:right w:w="108" w:type="dxa"/>
          </w:tblCellMar>
        </w:tblPrEx>
        <w:trPr>
          <w:trHeight w:val="17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5187">
            <w:pPr>
              <w:jc w:val="center"/>
              <w:rPr>
                <w:rFonts w:hint="eastAsia" w:ascii="宋体" w:hAnsi="宋体" w:cs="宋体"/>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53C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外围积水处</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C7C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孑孓</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323C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投放灭幼剂</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1E2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5-10月每月两次</w:t>
            </w:r>
          </w:p>
        </w:tc>
      </w:tr>
      <w:tr w14:paraId="1C50C785">
        <w:tblPrEx>
          <w:tblCellMar>
            <w:top w:w="0" w:type="dxa"/>
            <w:left w:w="108" w:type="dxa"/>
            <w:bottom w:w="0" w:type="dxa"/>
            <w:right w:w="108" w:type="dxa"/>
          </w:tblCellMar>
        </w:tblPrEx>
        <w:trPr>
          <w:trHeight w:val="35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9843">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H1公区</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6380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大堂</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324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蚊蝇、蟑螂</w:t>
            </w:r>
          </w:p>
        </w:tc>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8252">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滞留喷洒、空间喷雾</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43ED">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47E81CE5">
        <w:tblPrEx>
          <w:tblCellMar>
            <w:top w:w="0" w:type="dxa"/>
            <w:left w:w="108" w:type="dxa"/>
            <w:bottom w:w="0" w:type="dxa"/>
            <w:right w:w="108" w:type="dxa"/>
          </w:tblCellMar>
        </w:tblPrEx>
        <w:trPr>
          <w:trHeight w:val="178"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0CDC">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14211">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076">
            <w:pPr>
              <w:jc w:val="center"/>
              <w:rPr>
                <w:rFonts w:hint="eastAsia" w:ascii="宋体" w:hAnsi="宋体" w:cs="宋体"/>
                <w:color w:val="000000"/>
                <w:sz w:val="24"/>
              </w:rPr>
            </w:pP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8A59">
            <w:pPr>
              <w:jc w:val="center"/>
              <w:rPr>
                <w:rFonts w:hint="eastAsia" w:ascii="宋体" w:hAnsi="宋体" w:cs="宋体"/>
                <w:color w:val="000000"/>
                <w:sz w:val="24"/>
              </w:rPr>
            </w:pP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5F5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空间喷雾：5-10月每月两次</w:t>
            </w:r>
          </w:p>
        </w:tc>
      </w:tr>
      <w:tr w14:paraId="0FCC0ED4">
        <w:tblPrEx>
          <w:tblCellMar>
            <w:top w:w="0" w:type="dxa"/>
            <w:left w:w="108" w:type="dxa"/>
            <w:bottom w:w="0" w:type="dxa"/>
            <w:right w:w="108" w:type="dxa"/>
          </w:tblCellMar>
        </w:tblPrEx>
        <w:trPr>
          <w:trHeight w:val="693"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95A54">
            <w:pPr>
              <w:jc w:val="center"/>
              <w:rPr>
                <w:rFonts w:hint="eastAsia" w:ascii="宋体" w:hAnsi="宋体" w:cs="宋体"/>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19E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楼层公共区域</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CFD5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鼠、蚊蝇、蟑螂</w:t>
            </w:r>
          </w:p>
        </w:tc>
        <w:tc>
          <w:tcPr>
            <w:tcW w:w="21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F7A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布放粘鼠板、滞留喷洒</w:t>
            </w:r>
          </w:p>
        </w:tc>
        <w:tc>
          <w:tcPr>
            <w:tcW w:w="4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D9878">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布放粘鼠板：5-10月每月两次，11-4月每月一次</w:t>
            </w:r>
          </w:p>
          <w:p w14:paraId="0D0EE74C">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72006207">
        <w:tblPrEx>
          <w:tblCellMar>
            <w:top w:w="0" w:type="dxa"/>
            <w:left w:w="108" w:type="dxa"/>
            <w:bottom w:w="0" w:type="dxa"/>
            <w:right w:w="108" w:type="dxa"/>
          </w:tblCellMar>
        </w:tblPrEx>
        <w:trPr>
          <w:trHeight w:val="693"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181AE">
            <w:pPr>
              <w:jc w:val="center"/>
              <w:rPr>
                <w:rFonts w:hint="eastAsia" w:ascii="宋体" w:hAnsi="宋体" w:cs="宋体"/>
                <w:color w:val="000000"/>
                <w:sz w:val="24"/>
              </w:rPr>
            </w:pP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BF9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消防通道、管道井</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B87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鼠、蟑螂</w:t>
            </w: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E163">
            <w:pPr>
              <w:jc w:val="center"/>
              <w:rPr>
                <w:rFonts w:hint="eastAsia" w:ascii="宋体" w:hAnsi="宋体" w:cs="宋体"/>
                <w:color w:val="000000"/>
                <w:sz w:val="24"/>
              </w:rPr>
            </w:pPr>
          </w:p>
        </w:tc>
        <w:tc>
          <w:tcPr>
            <w:tcW w:w="4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E798A">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布放粘鼠板：5-10月每月两次，11-4月每月一次</w:t>
            </w:r>
          </w:p>
          <w:p w14:paraId="51A99686">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693013E4">
        <w:tblPrEx>
          <w:tblCellMar>
            <w:top w:w="0" w:type="dxa"/>
            <w:left w:w="108" w:type="dxa"/>
            <w:bottom w:w="0" w:type="dxa"/>
            <w:right w:w="108" w:type="dxa"/>
          </w:tblCellMar>
        </w:tblPrEx>
        <w:trPr>
          <w:trHeight w:val="693" w:hRule="atLeast"/>
        </w:trPr>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D8E19">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H1设备间</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09C1">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机房、监控中心</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258D">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鼠、蟑螂</w:t>
            </w:r>
          </w:p>
        </w:tc>
        <w:tc>
          <w:tcPr>
            <w:tcW w:w="21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7666">
            <w:pPr>
              <w:jc w:val="center"/>
              <w:rPr>
                <w:rFonts w:hint="eastAsia" w:ascii="宋体" w:hAnsi="宋体" w:cs="宋体"/>
                <w:color w:val="000000"/>
                <w:sz w:val="24"/>
              </w:rPr>
            </w:pPr>
          </w:p>
        </w:tc>
        <w:tc>
          <w:tcPr>
            <w:tcW w:w="4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21A4">
            <w:pPr>
              <w:widowControl/>
              <w:jc w:val="left"/>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布放粘鼠板：5-10月每月两次，11-4月每月一次</w:t>
            </w:r>
          </w:p>
          <w:p w14:paraId="410B4A59">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滞留喷洒：5-10月每月四次，11-4月每月两次</w:t>
            </w:r>
          </w:p>
        </w:tc>
      </w:tr>
      <w:tr w14:paraId="1001D22C">
        <w:tblPrEx>
          <w:tblCellMar>
            <w:top w:w="0" w:type="dxa"/>
            <w:left w:w="108" w:type="dxa"/>
            <w:bottom w:w="0" w:type="dxa"/>
            <w:right w:w="108" w:type="dxa"/>
          </w:tblCellMar>
        </w:tblPrEx>
        <w:trPr>
          <w:trHeight w:val="350" w:hRule="atLeast"/>
        </w:trPr>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810A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H2公区</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4D0E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一楼大堂</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F2B1F">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蚊蝇、蟑螂</w:t>
            </w: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321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滞留喷洒</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1A97">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滞留喷洒：5-10月每月两次，11-4月每月一次</w:t>
            </w:r>
          </w:p>
        </w:tc>
      </w:tr>
      <w:tr w14:paraId="6A1C0EF3">
        <w:tblPrEx>
          <w:tblCellMar>
            <w:top w:w="0" w:type="dxa"/>
            <w:left w:w="108" w:type="dxa"/>
            <w:bottom w:w="0" w:type="dxa"/>
            <w:right w:w="108" w:type="dxa"/>
          </w:tblCellMar>
        </w:tblPrEx>
        <w:trPr>
          <w:trHeight w:val="183" w:hRule="atLeast"/>
        </w:trPr>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A81E">
            <w:pPr>
              <w:jc w:val="center"/>
              <w:rPr>
                <w:rFonts w:hint="eastAsia" w:ascii="宋体" w:hAnsi="宋体" w:cs="宋体"/>
                <w:color w:val="000000"/>
                <w:sz w:val="24"/>
              </w:rPr>
            </w:pP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66156">
            <w:pPr>
              <w:jc w:val="center"/>
              <w:rPr>
                <w:rFonts w:hint="eastAsia" w:ascii="宋体" w:hAnsi="宋体" w:cs="宋体"/>
                <w:color w:val="000000"/>
                <w:sz w:val="24"/>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034D">
            <w:pPr>
              <w:jc w:val="center"/>
              <w:rPr>
                <w:rFonts w:hint="eastAsia" w:ascii="宋体" w:hAnsi="宋体" w:cs="宋体"/>
                <w:color w:val="000000"/>
                <w:sz w:val="24"/>
              </w:rPr>
            </w:pPr>
          </w:p>
        </w:tc>
        <w:tc>
          <w:tcPr>
            <w:tcW w:w="21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5964">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空间喷雾</w:t>
            </w:r>
          </w:p>
        </w:tc>
        <w:tc>
          <w:tcPr>
            <w:tcW w:w="4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48EB">
            <w:pPr>
              <w:widowControl/>
              <w:jc w:val="left"/>
              <w:textAlignment w:val="center"/>
              <w:rPr>
                <w:rFonts w:hint="eastAsia" w:ascii="宋体" w:hAnsi="宋体" w:cs="宋体"/>
                <w:color w:val="000000"/>
                <w:sz w:val="24"/>
              </w:rPr>
            </w:pPr>
            <w:r>
              <w:rPr>
                <w:rFonts w:hint="eastAsia" w:ascii="宋体" w:hAnsi="宋体" w:cs="宋体"/>
                <w:color w:val="000000"/>
                <w:kern w:val="0"/>
                <w:sz w:val="24"/>
                <w:lang w:bidi="ar"/>
              </w:rPr>
              <w:t>空间喷雾：5-10月每月两次</w:t>
            </w:r>
          </w:p>
        </w:tc>
      </w:tr>
    </w:tbl>
    <w:p w14:paraId="5176673A">
      <w:pPr>
        <w:rPr>
          <w:rFonts w:hint="eastAsia" w:ascii="宋体" w:hAnsi="宋体" w:cs="宋体"/>
          <w:sz w:val="24"/>
        </w:rPr>
      </w:pPr>
    </w:p>
    <w:p w14:paraId="46630BF0">
      <w:r>
        <w:rPr>
          <w:rFonts w:hint="eastAsia" w:ascii="宋体" w:hAnsi="宋体" w:cs="宋体"/>
          <w:kern w:val="0"/>
          <w:sz w:val="24"/>
        </w:rPr>
        <w:br w:type="page"/>
      </w:r>
    </w:p>
    <w:p w14:paraId="60CDD74B">
      <w:pPr>
        <w:pStyle w:val="3"/>
        <w:widowControl/>
        <w:spacing w:before="100" w:after="100" w:line="360" w:lineRule="auto"/>
        <w:jc w:val="both"/>
        <w:rPr>
          <w:rFonts w:hint="eastAsia" w:ascii="宋体" w:hAnsi="宋体" w:eastAsia="宋体" w:cs="宋体"/>
          <w:kern w:val="0"/>
          <w:sz w:val="24"/>
          <w:szCs w:val="24"/>
        </w:rPr>
      </w:pPr>
      <w:r>
        <w:rPr>
          <w:rFonts w:hint="eastAsia" w:ascii="宋体" w:hAnsi="宋体" w:eastAsia="宋体" w:cs="宋体"/>
          <w:kern w:val="0"/>
          <w:sz w:val="24"/>
          <w:szCs w:val="24"/>
        </w:rPr>
        <w:t>附件三：</w:t>
      </w:r>
      <w:r>
        <w:rPr>
          <w:rFonts w:hint="eastAsia" w:ascii="宋体" w:hAnsi="宋体" w:eastAsia="宋体" w:cs="宋体"/>
          <w:color w:val="000000"/>
          <w:sz w:val="24"/>
          <w:szCs w:val="24"/>
        </w:rPr>
        <w:t>四害消杀服务考评检查表</w:t>
      </w:r>
    </w:p>
    <w:p w14:paraId="53C941AB">
      <w:pPr>
        <w:pStyle w:val="3"/>
        <w:spacing w:before="100" w:after="100" w:line="360" w:lineRule="auto"/>
        <w:ind w:left="-420" w:leftChars="-200"/>
        <w:jc w:val="both"/>
        <w:rPr>
          <w:rFonts w:hint="eastAsia" w:ascii="宋体" w:hAnsi="宋体" w:eastAsia="宋体" w:cs="宋体"/>
          <w:sz w:val="24"/>
          <w:szCs w:val="24"/>
        </w:rPr>
      </w:pPr>
      <w:r>
        <w:drawing>
          <wp:inline distT="0" distB="0" distL="114300" distR="114300">
            <wp:extent cx="6129655" cy="8416925"/>
            <wp:effectExtent l="0" t="0" r="4445" b="317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6129655" cy="8416925"/>
                    </a:xfrm>
                    <a:prstGeom prst="rect">
                      <a:avLst/>
                    </a:prstGeom>
                    <a:noFill/>
                    <a:ln>
                      <a:noFill/>
                    </a:ln>
                  </pic:spPr>
                </pic:pic>
              </a:graphicData>
            </a:graphic>
          </wp:inline>
        </w:drawing>
      </w:r>
    </w:p>
    <w:p w14:paraId="6AE92CC3">
      <w:pPr>
        <w:pStyle w:val="3"/>
        <w:spacing w:before="100" w:after="100" w:line="360" w:lineRule="auto"/>
        <w:jc w:val="both"/>
        <w:rPr>
          <w:rFonts w:hint="eastAsia" w:ascii="宋体" w:hAnsi="宋体" w:eastAsia="宋体" w:cs="宋体"/>
          <w:sz w:val="24"/>
          <w:szCs w:val="24"/>
        </w:rPr>
      </w:pPr>
      <w:r>
        <w:rPr>
          <w:rFonts w:hint="eastAsia" w:ascii="宋体" w:hAnsi="宋体" w:eastAsia="宋体" w:cs="宋体"/>
          <w:sz w:val="24"/>
          <w:szCs w:val="24"/>
        </w:rPr>
        <w:t>附件四：</w:t>
      </w:r>
    </w:p>
    <w:p w14:paraId="0E672769">
      <w:pPr>
        <w:pStyle w:val="3"/>
        <w:spacing w:before="100" w:after="100" w:line="360" w:lineRule="auto"/>
        <w:rPr>
          <w:rFonts w:hint="eastAsia" w:ascii="宋体" w:hAnsi="宋体" w:eastAsia="宋体" w:cs="宋体"/>
          <w:sz w:val="24"/>
          <w:szCs w:val="24"/>
        </w:rPr>
      </w:pPr>
      <w:r>
        <w:rPr>
          <w:rFonts w:hint="eastAsia" w:ascii="宋体" w:hAnsi="宋体" w:eastAsia="宋体" w:cs="宋体"/>
          <w:sz w:val="24"/>
          <w:szCs w:val="24"/>
        </w:rPr>
        <w:t>廉洁合作协议</w:t>
      </w:r>
    </w:p>
    <w:p w14:paraId="265F9048">
      <w:pPr>
        <w:spacing w:before="100" w:after="100" w:line="38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sz w:val="24"/>
        </w:rPr>
        <w:t>甲方一：</w:t>
      </w:r>
    </w:p>
    <w:p w14:paraId="3B2EE948">
      <w:pPr>
        <w:spacing w:before="100" w:after="100" w:line="380" w:lineRule="exact"/>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甲方二：</w:t>
      </w:r>
    </w:p>
    <w:p w14:paraId="11B841CE">
      <w:pPr>
        <w:spacing w:before="100" w:after="100" w:line="380" w:lineRule="exact"/>
        <w:ind w:firstLine="480" w:firstLineChars="200"/>
        <w:rPr>
          <w:rFonts w:hint="eastAsia" w:ascii="宋体" w:hAnsi="宋体" w:cs="宋体"/>
          <w:sz w:val="24"/>
        </w:rPr>
      </w:pPr>
      <w:r>
        <w:rPr>
          <w:rFonts w:hint="eastAsia" w:ascii="宋体" w:hAnsi="宋体" w:cs="宋体"/>
          <w:sz w:val="24"/>
        </w:rPr>
        <w:t>乙方：</w:t>
      </w:r>
    </w:p>
    <w:p w14:paraId="64C13CB9">
      <w:pPr>
        <w:spacing w:before="100" w:after="100" w:line="380" w:lineRule="exact"/>
        <w:ind w:firstLine="480" w:firstLineChars="200"/>
        <w:rPr>
          <w:rFonts w:hint="eastAsia" w:ascii="宋体" w:hAnsi="宋体" w:cs="宋体"/>
          <w:sz w:val="24"/>
        </w:rPr>
      </w:pPr>
    </w:p>
    <w:p w14:paraId="64436A95">
      <w:pPr>
        <w:spacing w:before="100" w:after="100" w:line="380" w:lineRule="exact"/>
        <w:ind w:firstLine="480" w:firstLineChars="200"/>
        <w:rPr>
          <w:rFonts w:hint="eastAsia" w:ascii="宋体" w:hAnsi="宋体" w:cs="宋体"/>
          <w:sz w:val="24"/>
        </w:rPr>
      </w:pPr>
      <w:r>
        <w:rPr>
          <w:rFonts w:hint="eastAsia" w:ascii="宋体" w:hAnsi="宋体" w:cs="宋体"/>
          <w:sz w:val="24"/>
        </w:rPr>
        <w:t>双方针对本合同，为加强合作期间的廉洁合作，双方经协商签订本协议并作为双方共同遵守的廉洁合作行为准则。</w:t>
      </w:r>
    </w:p>
    <w:p w14:paraId="095CCD1E">
      <w:pPr>
        <w:numPr>
          <w:ilvl w:val="0"/>
          <w:numId w:val="2"/>
        </w:numPr>
        <w:tabs>
          <w:tab w:val="left" w:pos="360"/>
          <w:tab w:val="clear" w:pos="900"/>
        </w:tabs>
        <w:spacing w:before="100" w:after="100" w:line="380" w:lineRule="exact"/>
        <w:ind w:left="0" w:firstLine="480" w:firstLineChars="200"/>
        <w:rPr>
          <w:rFonts w:hint="eastAsia" w:ascii="宋体" w:hAnsi="宋体" w:cs="宋体"/>
          <w:sz w:val="24"/>
        </w:rPr>
      </w:pPr>
      <w:r>
        <w:rPr>
          <w:rFonts w:hint="eastAsia" w:ascii="宋体" w:hAnsi="宋体" w:cs="宋体"/>
          <w:sz w:val="24"/>
        </w:rPr>
        <w:t>保证己方有关人员了解本协议的规定，并遵照执行。</w:t>
      </w:r>
    </w:p>
    <w:p w14:paraId="4835BC75">
      <w:pPr>
        <w:numPr>
          <w:ilvl w:val="0"/>
          <w:numId w:val="2"/>
        </w:numPr>
        <w:tabs>
          <w:tab w:val="left" w:pos="360"/>
          <w:tab w:val="clear" w:pos="900"/>
        </w:tabs>
        <w:spacing w:before="100" w:after="100" w:line="380" w:lineRule="exact"/>
        <w:ind w:left="0" w:firstLine="480" w:firstLineChars="200"/>
        <w:rPr>
          <w:rFonts w:hint="eastAsia" w:ascii="宋体" w:hAnsi="宋体" w:cs="宋体"/>
          <w:sz w:val="24"/>
        </w:rPr>
      </w:pPr>
      <w:r>
        <w:rPr>
          <w:rFonts w:hint="eastAsia" w:ascii="宋体" w:hAnsi="宋体" w:cs="宋体"/>
          <w:sz w:val="24"/>
        </w:rPr>
        <w:t>不得宴请另一方人员，不得以任何形式赠送实物、现金或礼券。</w:t>
      </w:r>
    </w:p>
    <w:p w14:paraId="508BB60F">
      <w:pPr>
        <w:numPr>
          <w:ilvl w:val="0"/>
          <w:numId w:val="2"/>
        </w:numPr>
        <w:tabs>
          <w:tab w:val="left" w:pos="360"/>
          <w:tab w:val="clear" w:pos="900"/>
        </w:tabs>
        <w:spacing w:before="100" w:after="100" w:line="380" w:lineRule="exact"/>
        <w:ind w:left="0" w:firstLine="480" w:firstLineChars="200"/>
        <w:rPr>
          <w:rFonts w:hint="eastAsia" w:ascii="宋体" w:hAnsi="宋体" w:cs="宋体"/>
          <w:sz w:val="24"/>
        </w:rPr>
      </w:pPr>
      <w:r>
        <w:rPr>
          <w:rFonts w:hint="eastAsia" w:ascii="宋体" w:hAnsi="宋体" w:cs="宋体"/>
          <w:sz w:val="24"/>
        </w:rPr>
        <w:t>一方单位在合同执行期间发现另一方人员任何向己方人员行贿行为，均应及时采取措施予以制止，并及时通报另一方。</w:t>
      </w:r>
    </w:p>
    <w:p w14:paraId="1AD44A53">
      <w:pPr>
        <w:numPr>
          <w:ilvl w:val="0"/>
          <w:numId w:val="2"/>
        </w:numPr>
        <w:tabs>
          <w:tab w:val="left" w:pos="360"/>
          <w:tab w:val="clear" w:pos="900"/>
        </w:tabs>
        <w:spacing w:before="100" w:after="100" w:line="380" w:lineRule="exact"/>
        <w:ind w:left="0" w:firstLine="480" w:firstLineChars="200"/>
        <w:rPr>
          <w:rFonts w:hint="eastAsia" w:ascii="宋体" w:hAnsi="宋体" w:cs="宋体"/>
          <w:sz w:val="24"/>
        </w:rPr>
      </w:pPr>
      <w:r>
        <w:rPr>
          <w:rFonts w:hint="eastAsia" w:ascii="宋体" w:hAnsi="宋体" w:cs="宋体"/>
          <w:sz w:val="24"/>
        </w:rPr>
        <w:t>有责任接受另一方对己方在合同执行期间廉洁合作管理执行情况的监督。</w:t>
      </w:r>
    </w:p>
    <w:p w14:paraId="5D3402B4">
      <w:pPr>
        <w:numPr>
          <w:ilvl w:val="0"/>
          <w:numId w:val="2"/>
        </w:numPr>
        <w:tabs>
          <w:tab w:val="left" w:pos="360"/>
          <w:tab w:val="clear" w:pos="900"/>
        </w:tabs>
        <w:spacing w:before="100" w:after="100" w:line="380" w:lineRule="exact"/>
        <w:ind w:left="0" w:firstLine="480" w:firstLineChars="200"/>
        <w:rPr>
          <w:rFonts w:hint="eastAsia" w:ascii="宋体" w:hAnsi="宋体" w:cs="宋体"/>
          <w:sz w:val="24"/>
        </w:rPr>
      </w:pPr>
      <w:r>
        <w:rPr>
          <w:rFonts w:hint="eastAsia" w:ascii="宋体" w:hAnsi="宋体" w:cs="宋体"/>
          <w:sz w:val="24"/>
        </w:rPr>
        <w:t>双方单位人员有义务就双方人员任何形式的索贿或受贿行为及时向对守约方举报；如甲方向乙方人员行贿，或乙方人员向甲方索贿，违约方满足其要求且并未向守约方举报的，一经查实，除追回由此给守约方造成的损失外，违约方承诺承担合同已发生费用%的违约金，并对本方知情不报人员进行相应处罚。</w:t>
      </w:r>
    </w:p>
    <w:p w14:paraId="2F58A835">
      <w:pPr>
        <w:numPr>
          <w:ilvl w:val="0"/>
          <w:numId w:val="2"/>
        </w:numPr>
        <w:tabs>
          <w:tab w:val="left" w:pos="360"/>
          <w:tab w:val="clear" w:pos="900"/>
        </w:tabs>
        <w:spacing w:before="100" w:after="100" w:line="380" w:lineRule="exact"/>
        <w:ind w:left="0" w:firstLine="480" w:firstLineChars="200"/>
        <w:rPr>
          <w:rFonts w:hint="eastAsia" w:ascii="宋体" w:hAnsi="宋体" w:cs="宋体"/>
          <w:sz w:val="24"/>
        </w:rPr>
      </w:pPr>
      <w:r>
        <w:rPr>
          <w:rFonts w:hint="eastAsia" w:ascii="宋体" w:hAnsi="宋体" w:cs="宋体"/>
          <w:sz w:val="24"/>
        </w:rPr>
        <w:t>如因一方单位及人员在合同执行期间贿赂对方人员，被检查机关立案查处的，守约方有权取消或终止服务合同的履行，由此给守约方造成的直接损失由违约方负责赔偿。</w:t>
      </w:r>
    </w:p>
    <w:p w14:paraId="7739B38C">
      <w:pPr>
        <w:numPr>
          <w:ilvl w:val="0"/>
          <w:numId w:val="2"/>
        </w:numPr>
        <w:tabs>
          <w:tab w:val="left" w:pos="360"/>
          <w:tab w:val="clear" w:pos="900"/>
        </w:tabs>
        <w:spacing w:before="100" w:after="100" w:line="380" w:lineRule="exact"/>
        <w:ind w:left="0" w:firstLine="480" w:firstLineChars="200"/>
        <w:rPr>
          <w:rFonts w:hint="eastAsia" w:ascii="宋体" w:hAnsi="宋体" w:cs="宋体"/>
          <w:sz w:val="24"/>
        </w:rPr>
      </w:pPr>
      <w:r>
        <w:rPr>
          <w:rFonts w:hint="eastAsia" w:ascii="宋体" w:hAnsi="宋体" w:cs="宋体"/>
          <w:sz w:val="24"/>
        </w:rPr>
        <w:t>乙方接受甲方实名或匿名投诉，常设举报部门及电话：。</w:t>
      </w:r>
    </w:p>
    <w:p w14:paraId="7BA9E7D5">
      <w:pPr>
        <w:tabs>
          <w:tab w:val="left" w:pos="360"/>
          <w:tab w:val="left" w:pos="420"/>
          <w:tab w:val="left" w:pos="540"/>
          <w:tab w:val="left" w:pos="720"/>
        </w:tabs>
        <w:spacing w:before="100" w:after="100" w:line="380" w:lineRule="exact"/>
        <w:ind w:firstLine="480" w:firstLineChars="200"/>
        <w:rPr>
          <w:rFonts w:hint="eastAsia" w:ascii="宋体" w:hAnsi="宋体" w:cs="宋体"/>
          <w:sz w:val="24"/>
        </w:rPr>
      </w:pPr>
      <w:r>
        <w:rPr>
          <w:rFonts w:hint="eastAsia" w:ascii="宋体" w:hAnsi="宋体" w:cs="宋体"/>
          <w:sz w:val="24"/>
        </w:rPr>
        <w:t>8.甲方接受乙方实名或匿名投诉，常设举报部门及电话：。</w:t>
      </w:r>
    </w:p>
    <w:p w14:paraId="402FDED3">
      <w:pPr>
        <w:tabs>
          <w:tab w:val="left" w:pos="360"/>
          <w:tab w:val="left" w:pos="420"/>
          <w:tab w:val="left" w:pos="540"/>
          <w:tab w:val="left" w:pos="720"/>
        </w:tabs>
        <w:spacing w:before="100" w:after="100" w:line="380" w:lineRule="exact"/>
        <w:ind w:firstLine="480" w:firstLineChars="200"/>
        <w:rPr>
          <w:rFonts w:hint="eastAsia" w:ascii="宋体" w:hAnsi="宋体" w:cs="宋体"/>
          <w:sz w:val="24"/>
        </w:rPr>
      </w:pPr>
      <w:r>
        <w:rPr>
          <w:rFonts w:hint="eastAsia" w:ascii="宋体" w:hAnsi="宋体" w:cs="宋体"/>
          <w:sz w:val="24"/>
        </w:rPr>
        <w:t>9.在本廉洁合作协议中，任何一方委托的相关公司等相关工作人员视为该一方人员，同样应遵守本协议条款。</w:t>
      </w:r>
    </w:p>
    <w:p w14:paraId="078415A7">
      <w:pPr>
        <w:spacing w:before="100" w:after="100" w:line="380" w:lineRule="exact"/>
        <w:ind w:firstLine="480" w:firstLineChars="200"/>
        <w:rPr>
          <w:rFonts w:hint="eastAsia" w:ascii="宋体" w:hAnsi="宋体" w:cs="宋体"/>
          <w:sz w:val="24"/>
        </w:rPr>
      </w:pPr>
    </w:p>
    <w:p w14:paraId="713F68B4">
      <w:pPr>
        <w:spacing w:before="100" w:after="100" w:line="380" w:lineRule="exact"/>
        <w:ind w:firstLine="480" w:firstLineChars="200"/>
        <w:rPr>
          <w:rFonts w:hint="eastAsia" w:ascii="宋体" w:hAnsi="宋体" w:cs="宋体"/>
          <w:sz w:val="24"/>
        </w:rPr>
      </w:pPr>
    </w:p>
    <w:p w14:paraId="28A0B4B5">
      <w:pPr>
        <w:spacing w:before="100" w:after="100" w:line="380" w:lineRule="exact"/>
        <w:rPr>
          <w:rFonts w:hint="eastAsia" w:ascii="宋体" w:hAnsi="宋体" w:cs="宋体"/>
          <w:bCs/>
          <w:sz w:val="24"/>
        </w:rPr>
      </w:pPr>
      <w:r>
        <w:rPr>
          <w:rFonts w:hint="eastAsia" w:ascii="宋体" w:hAnsi="宋体" w:cs="宋体"/>
          <w:sz w:val="24"/>
        </w:rPr>
        <w:t xml:space="preserve">甲方一（盖章）：       </w:t>
      </w:r>
      <w:r>
        <w:rPr>
          <w:rFonts w:hint="eastAsia" w:ascii="宋体" w:hAnsi="宋体" w:cs="宋体"/>
          <w:sz w:val="24"/>
          <w:lang w:val="en-US" w:eastAsia="zh-CN"/>
        </w:rPr>
        <w:t xml:space="preserve">   </w:t>
      </w:r>
      <w:r>
        <w:rPr>
          <w:rFonts w:hint="eastAsia" w:ascii="宋体" w:hAnsi="宋体" w:cs="宋体"/>
          <w:sz w:val="24"/>
        </w:rPr>
        <w:t xml:space="preserve">甲方二（盖章）：           </w:t>
      </w:r>
      <w:r>
        <w:rPr>
          <w:rFonts w:hint="eastAsia" w:ascii="宋体" w:hAnsi="宋体" w:cs="宋体"/>
          <w:sz w:val="24"/>
          <w:lang w:val="en-US" w:eastAsia="zh-CN"/>
        </w:rPr>
        <w:t xml:space="preserve"> </w:t>
      </w:r>
      <w:r>
        <w:rPr>
          <w:rFonts w:hint="eastAsia" w:ascii="宋体" w:hAnsi="宋体" w:cs="宋体"/>
          <w:sz w:val="24"/>
        </w:rPr>
        <w:t xml:space="preserve">  乙方（盖章）：</w:t>
      </w:r>
    </w:p>
    <w:p w14:paraId="38414C36">
      <w:pPr>
        <w:spacing w:before="100" w:after="100" w:line="380" w:lineRule="exact"/>
        <w:rPr>
          <w:rFonts w:hint="eastAsia" w:ascii="宋体" w:hAnsi="宋体" w:cs="宋体"/>
          <w:sz w:val="24"/>
        </w:rPr>
      </w:pPr>
      <w:r>
        <w:rPr>
          <w:rFonts w:hint="eastAsia" w:ascii="宋体" w:hAnsi="宋体" w:cs="宋体"/>
          <w:sz w:val="24"/>
        </w:rPr>
        <w:t xml:space="preserve">法定代表人：           </w:t>
      </w:r>
      <w:r>
        <w:rPr>
          <w:rFonts w:hint="eastAsia" w:ascii="宋体" w:hAnsi="宋体" w:cs="宋体"/>
          <w:sz w:val="24"/>
          <w:lang w:val="en-US" w:eastAsia="zh-CN"/>
        </w:rPr>
        <w:t xml:space="preserve"> </w:t>
      </w:r>
      <w:r>
        <w:rPr>
          <w:rFonts w:hint="eastAsia" w:ascii="宋体" w:hAnsi="宋体" w:cs="宋体"/>
          <w:sz w:val="24"/>
        </w:rPr>
        <w:t xml:space="preserve"> 法定代表人：                 法定代表人：</w:t>
      </w:r>
    </w:p>
    <w:p w14:paraId="3C157FE5">
      <w:pPr>
        <w:spacing w:before="100" w:after="100" w:line="380" w:lineRule="exact"/>
        <w:rPr>
          <w:rFonts w:hint="eastAsia" w:ascii="宋体" w:hAnsi="宋体" w:cs="宋体"/>
          <w:sz w:val="24"/>
        </w:rPr>
      </w:pPr>
      <w:r>
        <w:rPr>
          <w:rFonts w:hint="eastAsia" w:ascii="宋体" w:hAnsi="宋体" w:cs="宋体"/>
          <w:sz w:val="24"/>
        </w:rPr>
        <w:t xml:space="preserve">或授权代表人：          </w:t>
      </w:r>
      <w:r>
        <w:rPr>
          <w:rFonts w:hint="eastAsia" w:ascii="宋体" w:hAnsi="宋体" w:cs="宋体"/>
          <w:sz w:val="24"/>
          <w:lang w:val="en-US" w:eastAsia="zh-CN"/>
        </w:rPr>
        <w:t xml:space="preserve"> </w:t>
      </w:r>
      <w:r>
        <w:rPr>
          <w:rFonts w:hint="eastAsia" w:ascii="宋体" w:hAnsi="宋体" w:cs="宋体"/>
          <w:sz w:val="24"/>
        </w:rPr>
        <w:t>或授权代表人：               或授权代表人：</w:t>
      </w:r>
    </w:p>
    <w:p w14:paraId="1FD84A96">
      <w:pPr>
        <w:spacing w:before="100" w:after="100" w:line="380" w:lineRule="exact"/>
        <w:ind w:firstLine="240" w:firstLineChars="100"/>
        <w:rPr>
          <w:rFonts w:hint="eastAsia" w:ascii="宋体" w:hAnsi="宋体" w:cs="宋体"/>
          <w:sz w:val="24"/>
        </w:rPr>
      </w:pPr>
      <w:r>
        <w:rPr>
          <w:rFonts w:hint="eastAsia" w:ascii="宋体" w:hAnsi="宋体" w:cs="宋体"/>
          <w:sz w:val="24"/>
        </w:rPr>
        <w:t>年   月   日</w:t>
      </w:r>
      <w:bookmarkStart w:id="4" w:name="_附件6房屋接收标准（毛坯房）（案例）"/>
      <w:bookmarkEnd w:id="4"/>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 年   月   日                 年   月   日</w:t>
      </w:r>
    </w:p>
    <w:p w14:paraId="47B22087">
      <w:pPr>
        <w:rPr>
          <w:rFonts w:hint="eastAsia" w:ascii="宋体" w:hAnsi="宋体" w:cs="宋体"/>
          <w:sz w:val="24"/>
        </w:rPr>
      </w:pPr>
      <w:r>
        <w:rPr>
          <w:rFonts w:hint="eastAsia" w:ascii="宋体" w:hAnsi="宋体" w:cs="宋体"/>
          <w:sz w:val="24"/>
        </w:rPr>
        <w:br w:type="page"/>
      </w:r>
    </w:p>
    <w:p w14:paraId="1796B230">
      <w:pPr>
        <w:spacing w:line="360" w:lineRule="auto"/>
        <w:rPr>
          <w:rFonts w:hint="eastAsia" w:ascii="宋体" w:hAnsi="宋体" w:cs="宋体"/>
          <w:b/>
          <w:sz w:val="24"/>
        </w:rPr>
      </w:pPr>
      <w:r>
        <w:rPr>
          <w:rFonts w:hint="eastAsia" w:ascii="宋体" w:hAnsi="宋体" w:cs="宋体"/>
          <w:b/>
          <w:sz w:val="24"/>
        </w:rPr>
        <w:t>附件五：</w:t>
      </w:r>
    </w:p>
    <w:p w14:paraId="0B3E986F">
      <w:pPr>
        <w:spacing w:line="360" w:lineRule="auto"/>
        <w:jc w:val="center"/>
        <w:rPr>
          <w:rFonts w:hint="eastAsia" w:ascii="宋体" w:hAnsi="宋体" w:cs="宋体"/>
          <w:b/>
          <w:sz w:val="24"/>
        </w:rPr>
      </w:pPr>
      <w:r>
        <w:rPr>
          <w:rFonts w:hint="eastAsia" w:ascii="宋体" w:hAnsi="宋体" w:cs="宋体"/>
          <w:b/>
          <w:sz w:val="24"/>
        </w:rPr>
        <w:t>合规保护标准条款</w:t>
      </w:r>
    </w:p>
    <w:p w14:paraId="7B6A8841">
      <w:pPr>
        <w:autoSpaceDE w:val="0"/>
        <w:autoSpaceDN w:val="0"/>
        <w:adjustRightInd w:val="0"/>
        <w:spacing w:line="360" w:lineRule="auto"/>
        <w:ind w:firstLine="480" w:firstLineChars="200"/>
        <w:jc w:val="left"/>
        <w:rPr>
          <w:rFonts w:hint="eastAsia" w:ascii="宋体" w:hAnsi="宋体" w:cs="宋体"/>
          <w:sz w:val="24"/>
        </w:rPr>
      </w:pPr>
    </w:p>
    <w:p w14:paraId="40FA0CB7">
      <w:pPr>
        <w:autoSpaceDE w:val="0"/>
        <w:autoSpaceDN w:val="0"/>
        <w:adjustRightInd w:val="0"/>
        <w:spacing w:line="360" w:lineRule="auto"/>
        <w:ind w:firstLine="480" w:firstLineChars="200"/>
        <w:jc w:val="left"/>
        <w:rPr>
          <w:rFonts w:hint="eastAsia" w:ascii="宋体" w:hAnsi="宋体" w:cs="宋体"/>
          <w:b/>
          <w:sz w:val="24"/>
        </w:rPr>
      </w:pPr>
      <w:r>
        <w:rPr>
          <w:rFonts w:hint="eastAsia" w:ascii="宋体" w:hAnsi="宋体" w:cs="宋体"/>
          <w:sz w:val="24"/>
        </w:rPr>
        <w:t>双方同意，本合规保护标准条款构成双方之间订立的合同的重要组成部分，双方应共同遵守。</w:t>
      </w:r>
    </w:p>
    <w:p w14:paraId="53C69FEC">
      <w:pPr>
        <w:adjustRightInd w:val="0"/>
        <w:snapToGrid w:val="0"/>
        <w:spacing w:line="360" w:lineRule="auto"/>
        <w:rPr>
          <w:rFonts w:hint="eastAsia" w:ascii="宋体" w:hAnsi="宋体" w:cs="宋体"/>
          <w:b/>
          <w:sz w:val="24"/>
        </w:rPr>
      </w:pPr>
      <w:r>
        <w:rPr>
          <w:rFonts w:hint="eastAsia" w:ascii="宋体" w:hAnsi="宋体" w:cs="宋体"/>
          <w:b/>
          <w:sz w:val="24"/>
        </w:rPr>
        <w:t>一、公务人员的定义</w:t>
      </w:r>
    </w:p>
    <w:p w14:paraId="05F1F99A">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（一）政府的官员、雇员、代表以及代表政府或者经公共权力授权行使权力的公司、组织或个人；</w:t>
      </w:r>
    </w:p>
    <w:p w14:paraId="2F014CC2">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（二）国际组织的官员、雇员和代表；</w:t>
      </w:r>
    </w:p>
    <w:p w14:paraId="5FEA70B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（三）行使公共权力的政治组织的官员、雇员、代表，或皇室成员；</w:t>
      </w:r>
    </w:p>
    <w:p w14:paraId="3FF2E5D6">
      <w:pPr>
        <w:adjustRightInd w:val="0"/>
        <w:snapToGrid w:val="0"/>
        <w:spacing w:line="360" w:lineRule="auto"/>
        <w:ind w:firstLine="480" w:firstLineChars="200"/>
        <w:jc w:val="left"/>
        <w:rPr>
          <w:rFonts w:hint="eastAsia" w:ascii="宋体" w:hAnsi="宋体" w:cs="宋体"/>
          <w:sz w:val="24"/>
        </w:rPr>
      </w:pPr>
      <w:r>
        <w:rPr>
          <w:rFonts w:hint="eastAsia" w:ascii="宋体" w:hAnsi="宋体" w:cs="宋体"/>
          <w:sz w:val="24"/>
        </w:rPr>
        <w:t>（四）公共企业（政府直接或间接控制或施加决定性影响力的企业）的官员及雇员。</w:t>
      </w:r>
    </w:p>
    <w:p w14:paraId="646815E9">
      <w:pPr>
        <w:adjustRightInd w:val="0"/>
        <w:snapToGrid w:val="0"/>
        <w:spacing w:line="360" w:lineRule="auto"/>
        <w:rPr>
          <w:rFonts w:hint="eastAsia" w:ascii="宋体" w:hAnsi="宋体" w:cs="宋体"/>
          <w:b/>
          <w:sz w:val="24"/>
        </w:rPr>
      </w:pPr>
      <w:r>
        <w:rPr>
          <w:rFonts w:hint="eastAsia" w:ascii="宋体" w:hAnsi="宋体" w:cs="宋体"/>
          <w:b/>
          <w:sz w:val="24"/>
        </w:rPr>
        <w:t>二、遵守反腐败法律</w:t>
      </w:r>
    </w:p>
    <w:p w14:paraId="081D7D5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乙方在此声明、保证及承诺，与本协议项下进行的活动或交易相关的乙方及乙方的关联公司、子公司、董事、高级管理人员、雇员、代理、顾问、承包商、受托人、最终受益人和股东，及所有直接或间接代表乙方行事的个人及相关方，过去未曾、将来亦不会违反，或致使甲方违反《中华人民共和国刑法》、《联合国反腐败公约》、《经济合作与发展组织关于打击国际商业交易中行贿外国公职人员行为的公约》，及业务所在国的反腐败、反欺诈、反串谋及公平竞争法律、法规及规则等（合称“反腐败法律”）。</w:t>
      </w:r>
    </w:p>
    <w:p w14:paraId="6E5D2E9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二）乙方特此声明、保证及承诺：乙方及乙方关联公司、董事、高级管理人员、雇员、代理、顾问、承包商、受托人、最终受益人和股东，及所有代表乙方行事的个人及相关方，过去未曾、将来亦不会发生以下行为：</w:t>
      </w:r>
    </w:p>
    <w:p w14:paraId="07D15078">
      <w:pPr>
        <w:pStyle w:val="8"/>
        <w:adjustRightInd w:val="0"/>
        <w:snapToGrid w:val="0"/>
        <w:spacing w:line="360" w:lineRule="auto"/>
        <w:ind w:firstLine="0" w:firstLineChars="0"/>
        <w:rPr>
          <w:rFonts w:hint="eastAsia" w:ascii="宋体" w:hAnsi="宋体" w:cs="宋体"/>
          <w:sz w:val="24"/>
        </w:rPr>
      </w:pPr>
      <w:r>
        <w:rPr>
          <w:rFonts w:hint="eastAsia" w:ascii="宋体" w:hAnsi="宋体" w:cs="宋体"/>
          <w:sz w:val="24"/>
        </w:rPr>
        <w:t>1、为如下目的给予或承诺给予公务人员、个人或实体任何利</w:t>
      </w:r>
    </w:p>
    <w:p w14:paraId="0408B795">
      <w:pPr>
        <w:pStyle w:val="8"/>
        <w:adjustRightInd w:val="0"/>
        <w:snapToGrid w:val="0"/>
        <w:spacing w:line="360" w:lineRule="auto"/>
        <w:ind w:firstLine="0" w:firstLineChars="0"/>
        <w:rPr>
          <w:rFonts w:hint="eastAsia" w:ascii="宋体" w:hAnsi="宋体" w:cs="宋体"/>
          <w:sz w:val="24"/>
        </w:rPr>
      </w:pPr>
      <w:r>
        <w:rPr>
          <w:rFonts w:hint="eastAsia" w:ascii="宋体" w:hAnsi="宋体" w:cs="宋体"/>
          <w:sz w:val="24"/>
        </w:rPr>
        <w:t>益：</w:t>
      </w:r>
    </w:p>
    <w:p w14:paraId="5D77742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（1）不当影响公务人员的行为或决定；</w:t>
      </w:r>
    </w:p>
    <w:p w14:paraId="4AAF7EF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（2）诱使公务人员违反其法定职责从而作为或不作为；</w:t>
      </w:r>
    </w:p>
    <w:p w14:paraId="49A5B2A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（3）诱使公务人员直接通过其个人影响力，或通过其对国内外政府或政府部门的影响力，影响该政府或政府部门的行为或决定；</w:t>
      </w:r>
    </w:p>
    <w:p w14:paraId="74C4697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（4）协助甲方或甲方关联方不当获得或保持商业机会或使其获得不当优势。</w:t>
      </w:r>
    </w:p>
    <w:p w14:paraId="2E0FEE0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2、为如下目的给予或承诺给予个人任何利益，无论其是否为公务人员：</w:t>
      </w:r>
    </w:p>
    <w:p w14:paraId="342B41B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（1）意图使该个人不当履行其应尽的职责或义务；</w:t>
      </w:r>
    </w:p>
    <w:p w14:paraId="7A849B4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（2）知悉或相信该个人接受利益即构成不当履行其应尽的职责或义务。</w:t>
      </w:r>
    </w:p>
    <w:p w14:paraId="4C472EBE">
      <w:pPr>
        <w:adjustRightInd w:val="0"/>
        <w:snapToGrid w:val="0"/>
        <w:spacing w:line="360" w:lineRule="auto"/>
        <w:rPr>
          <w:rFonts w:hint="eastAsia" w:ascii="宋体" w:hAnsi="宋体" w:cs="宋体"/>
          <w:b/>
          <w:sz w:val="24"/>
        </w:rPr>
      </w:pPr>
      <w:r>
        <w:rPr>
          <w:rFonts w:hint="eastAsia" w:ascii="宋体" w:hAnsi="宋体" w:cs="宋体"/>
          <w:b/>
          <w:sz w:val="24"/>
        </w:rPr>
        <w:t>三、持续义务</w:t>
      </w:r>
    </w:p>
    <w:p w14:paraId="61D9116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乙方在此声明并保证：乙方和乙方的关联公司、董事、高级管理人员、雇员、代理、顾问、承包商、受托人、最终受益人和股东，及所有代表乙方行事的个人及相关方，在本协议有效期内均会遵守反腐败法律的相关规定。</w:t>
      </w:r>
    </w:p>
    <w:p w14:paraId="5F7D8936">
      <w:pPr>
        <w:adjustRightInd w:val="0"/>
        <w:snapToGrid w:val="0"/>
        <w:spacing w:line="360" w:lineRule="auto"/>
        <w:rPr>
          <w:rFonts w:hint="eastAsia" w:ascii="宋体" w:hAnsi="宋体" w:cs="宋体"/>
          <w:b/>
          <w:sz w:val="24"/>
        </w:rPr>
      </w:pPr>
      <w:r>
        <w:rPr>
          <w:rFonts w:hint="eastAsia" w:ascii="宋体" w:hAnsi="宋体" w:cs="宋体"/>
          <w:b/>
          <w:sz w:val="24"/>
        </w:rPr>
        <w:t>四、公务人员参与</w:t>
      </w:r>
    </w:p>
    <w:p w14:paraId="6E05D2E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除已向甲方披露的情形外，乙方现有的董事、高级管理人员、雇员、最终受益人股东（不包括上市公司的股东）均非公务人员，其直系亲属亦均非公务人员；若发现上述董事、高级管理人员、雇员、最终受益人或股东成为公务人员时，乙方应在合理时间内通知甲方。</w:t>
      </w:r>
    </w:p>
    <w:p w14:paraId="7079C708">
      <w:pPr>
        <w:adjustRightInd w:val="0"/>
        <w:snapToGrid w:val="0"/>
        <w:spacing w:line="360" w:lineRule="auto"/>
        <w:rPr>
          <w:rFonts w:hint="eastAsia" w:ascii="宋体" w:hAnsi="宋体" w:cs="宋体"/>
          <w:b/>
          <w:sz w:val="24"/>
        </w:rPr>
      </w:pPr>
      <w:r>
        <w:rPr>
          <w:rFonts w:hint="eastAsia" w:ascii="宋体" w:hAnsi="宋体" w:cs="宋体"/>
          <w:b/>
          <w:sz w:val="24"/>
        </w:rPr>
        <w:t>五、无私设资金</w:t>
      </w:r>
    </w:p>
    <w:p w14:paraId="0AD55E5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在本协议有效期内，乙方不会因为接受反腐败法律所禁止的支付，或为便利从事反腐败法律所禁止的其他行为，而设立或保有秘密或账外资金、账户或资产，无论其是否与本协议下拟进行的交易相关。</w:t>
      </w:r>
    </w:p>
    <w:p w14:paraId="369100C1">
      <w:pPr>
        <w:adjustRightInd w:val="0"/>
        <w:snapToGrid w:val="0"/>
        <w:spacing w:line="360" w:lineRule="auto"/>
        <w:rPr>
          <w:rFonts w:hint="eastAsia" w:ascii="宋体" w:hAnsi="宋体" w:cs="宋体"/>
          <w:b/>
          <w:sz w:val="24"/>
        </w:rPr>
      </w:pPr>
      <w:r>
        <w:rPr>
          <w:rFonts w:hint="eastAsia" w:ascii="宋体" w:hAnsi="宋体" w:cs="宋体"/>
          <w:b/>
          <w:sz w:val="24"/>
        </w:rPr>
        <w:t>六、合规声明</w:t>
      </w:r>
    </w:p>
    <w:p w14:paraId="73D6BB1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自本协议签署之日起，每满一年之前30天内，乙方应提供其遵守反腐败法律的年度合规证明。</w:t>
      </w:r>
    </w:p>
    <w:p w14:paraId="0FD42611">
      <w:pPr>
        <w:adjustRightInd w:val="0"/>
        <w:snapToGrid w:val="0"/>
        <w:spacing w:line="360" w:lineRule="auto"/>
        <w:rPr>
          <w:rFonts w:hint="eastAsia" w:ascii="宋体" w:hAnsi="宋体" w:cs="宋体"/>
          <w:b/>
          <w:sz w:val="24"/>
        </w:rPr>
      </w:pPr>
      <w:r>
        <w:rPr>
          <w:rFonts w:hint="eastAsia" w:ascii="宋体" w:hAnsi="宋体" w:cs="宋体"/>
          <w:b/>
          <w:sz w:val="24"/>
        </w:rPr>
        <w:t>七、赔偿</w:t>
      </w:r>
    </w:p>
    <w:p w14:paraId="58C52361">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乙方承诺：甲方及其代表、董事、高级管理人员、雇员及股东不承担由于乙方违反本附件项下反腐败陈述、保证与承诺而造成的损失及后果，包括但不限于罚金、赔偿金或上述个人或相关方的经济损失。</w:t>
      </w:r>
    </w:p>
    <w:p w14:paraId="1DEB2BD6">
      <w:pPr>
        <w:adjustRightInd w:val="0"/>
        <w:snapToGrid w:val="0"/>
        <w:spacing w:line="360" w:lineRule="auto"/>
        <w:rPr>
          <w:rFonts w:hint="eastAsia" w:ascii="宋体" w:hAnsi="宋体" w:cs="宋体"/>
          <w:b/>
          <w:sz w:val="24"/>
        </w:rPr>
      </w:pPr>
      <w:r>
        <w:rPr>
          <w:rFonts w:hint="eastAsia" w:ascii="宋体" w:hAnsi="宋体" w:cs="宋体"/>
          <w:b/>
          <w:sz w:val="24"/>
        </w:rPr>
        <w:t>八、终止权</w:t>
      </w:r>
    </w:p>
    <w:p w14:paraId="61FD8449">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根据可靠消息，包括但不限于乙方陈述或有正当来源的新闻报道，如甲方认为乙方已实质性违反其在本附件中关于遵守反腐败法律的相关陈述、保证与承诺，则视为乙方实质性违反本协议。无论乙方是否因为违反反腐败法律而获罪或受到其他处罚，甲方都有权终止本协议，且无须为此承担违约金或对乙方进行赔偿。</w:t>
      </w:r>
    </w:p>
    <w:p w14:paraId="55C8D2AA">
      <w:pPr>
        <w:adjustRightInd w:val="0"/>
        <w:snapToGrid w:val="0"/>
        <w:spacing w:line="360" w:lineRule="auto"/>
        <w:rPr>
          <w:rFonts w:hint="eastAsia" w:ascii="宋体" w:hAnsi="宋体" w:cs="宋体"/>
          <w:b/>
          <w:sz w:val="24"/>
        </w:rPr>
      </w:pPr>
      <w:r>
        <w:rPr>
          <w:rFonts w:hint="eastAsia" w:ascii="宋体" w:hAnsi="宋体" w:cs="宋体"/>
          <w:b/>
          <w:sz w:val="24"/>
        </w:rPr>
        <w:t>九、审核权</w:t>
      </w:r>
    </w:p>
    <w:p w14:paraId="14469E0D">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乙方应保留所有必要记录以证明其遵守本合规保护标准条款规定。乙方同意，经甲方事先通知，甲方或甲方指派的审计事务所可查阅或审核乙方与本协议履行相关的会计账簿和记录。甲方及其指派的审计事务所对前述会计账簿和记录的查阅或审核应严格限于本协议所述工作范围，且仅为合规审核目的。本条所列审核费用由甲方承担。</w:t>
      </w:r>
    </w:p>
    <w:p w14:paraId="742A077A">
      <w:pPr>
        <w:adjustRightInd w:val="0"/>
        <w:snapToGrid w:val="0"/>
        <w:spacing w:line="360" w:lineRule="auto"/>
        <w:rPr>
          <w:rFonts w:hint="eastAsia" w:ascii="宋体" w:hAnsi="宋体" w:cs="宋体"/>
          <w:b/>
          <w:sz w:val="24"/>
        </w:rPr>
      </w:pPr>
      <w:r>
        <w:rPr>
          <w:rFonts w:hint="eastAsia" w:ascii="宋体" w:hAnsi="宋体" w:cs="宋体"/>
          <w:b/>
          <w:sz w:val="24"/>
        </w:rPr>
        <w:t>十、费用</w:t>
      </w:r>
    </w:p>
    <w:p w14:paraId="0B6DBA5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乙方履行本合规保护标准条款项下义务所产生的成本及费用由乙方承担，甲方事先同意承担的除外。</w:t>
      </w:r>
    </w:p>
    <w:p w14:paraId="0B92B8E2">
      <w:pPr>
        <w:adjustRightInd w:val="0"/>
        <w:snapToGrid w:val="0"/>
        <w:spacing w:line="360" w:lineRule="auto"/>
        <w:rPr>
          <w:rFonts w:hint="eastAsia" w:ascii="宋体" w:hAnsi="宋体" w:cs="宋体"/>
          <w:b/>
          <w:sz w:val="24"/>
        </w:rPr>
      </w:pPr>
      <w:r>
        <w:rPr>
          <w:rFonts w:hint="eastAsia" w:ascii="宋体" w:hAnsi="宋体" w:cs="宋体"/>
          <w:b/>
          <w:sz w:val="24"/>
        </w:rPr>
        <w:t>十一、调查通知</w:t>
      </w:r>
    </w:p>
    <w:p w14:paraId="16CB73B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乙方同意，如发现其因与本协议相关的行为正被执法或监管机关、政府机构、国际组织、证券交易所或非政府组织调查，应立即通知甲方；此外，如乙方发现其因违反反腐败法律而正被执法或监管机关、政府机构、国际组织、证券交易所或非政府组织调查，无论被调查行为是否与本协议相关，应立即通知甲方。</w:t>
      </w:r>
    </w:p>
    <w:p w14:paraId="162232FB">
      <w:pPr>
        <w:pStyle w:val="2"/>
        <w:rPr>
          <w:rFonts w:hint="eastAsia" w:ascii="宋体" w:hAnsi="宋体" w:cs="宋体"/>
          <w:sz w:val="24"/>
        </w:rPr>
      </w:pPr>
    </w:p>
    <w:p w14:paraId="390A8D51">
      <w:pPr>
        <w:rPr>
          <w:rFonts w:hint="eastAsia" w:ascii="宋体" w:hAnsi="宋体" w:cs="宋体"/>
          <w:sz w:val="24"/>
        </w:rPr>
      </w:pPr>
    </w:p>
    <w:p w14:paraId="64DC36DD">
      <w:pPr>
        <w:pStyle w:val="2"/>
        <w:rPr>
          <w:rFonts w:hint="eastAsia" w:ascii="宋体" w:hAnsi="宋体" w:cs="宋体"/>
          <w:sz w:val="24"/>
        </w:rPr>
      </w:pPr>
    </w:p>
    <w:p w14:paraId="6F319F56">
      <w:pPr>
        <w:rPr>
          <w:rFonts w:hint="eastAsia" w:ascii="宋体" w:hAnsi="宋体" w:cs="宋体"/>
          <w:sz w:val="24"/>
        </w:rPr>
      </w:pPr>
    </w:p>
    <w:p w14:paraId="5DBAAB63">
      <w:pPr>
        <w:pStyle w:val="2"/>
        <w:rPr>
          <w:rFonts w:hint="eastAsia" w:ascii="宋体" w:hAnsi="宋体" w:cs="宋体"/>
          <w:sz w:val="24"/>
        </w:rPr>
      </w:pPr>
    </w:p>
    <w:p w14:paraId="5D4DECA0">
      <w:pPr>
        <w:rPr>
          <w:rFonts w:hint="eastAsia" w:ascii="宋体" w:hAnsi="宋体" w:cs="宋体"/>
          <w:sz w:val="24"/>
        </w:rPr>
      </w:pPr>
    </w:p>
    <w:p w14:paraId="117B930A">
      <w:pPr>
        <w:pStyle w:val="2"/>
        <w:rPr>
          <w:rFonts w:hint="eastAsia" w:ascii="宋体" w:hAnsi="宋体" w:cs="宋体"/>
          <w:sz w:val="24"/>
        </w:rPr>
      </w:pPr>
    </w:p>
    <w:p w14:paraId="4CC4A319">
      <w:pPr>
        <w:rPr>
          <w:rFonts w:hint="eastAsia" w:ascii="宋体" w:hAnsi="宋体" w:cs="宋体"/>
          <w:sz w:val="24"/>
        </w:rPr>
      </w:pPr>
    </w:p>
    <w:p w14:paraId="2EB1E653">
      <w:pPr>
        <w:pStyle w:val="2"/>
        <w:rPr>
          <w:rFonts w:hint="eastAsia" w:ascii="宋体" w:hAnsi="宋体" w:cs="宋体"/>
          <w:sz w:val="24"/>
        </w:rPr>
      </w:pPr>
    </w:p>
    <w:p w14:paraId="79DDDBBC">
      <w:pPr>
        <w:rPr>
          <w:rFonts w:hint="eastAsia" w:ascii="宋体" w:hAnsi="宋体" w:cs="宋体"/>
          <w:sz w:val="24"/>
        </w:rPr>
      </w:pPr>
    </w:p>
    <w:p w14:paraId="4F43B67A">
      <w:pPr>
        <w:pStyle w:val="2"/>
        <w:rPr>
          <w:rFonts w:hint="eastAsia" w:ascii="宋体" w:hAnsi="宋体" w:cs="宋体"/>
          <w:sz w:val="24"/>
        </w:rPr>
      </w:pPr>
    </w:p>
    <w:p w14:paraId="73BC57D5">
      <w:pPr>
        <w:rPr>
          <w:rFonts w:hint="eastAsia" w:ascii="宋体" w:hAnsi="宋体" w:cs="宋体"/>
          <w:sz w:val="24"/>
        </w:rPr>
      </w:pPr>
    </w:p>
    <w:p w14:paraId="578BDBB4">
      <w:pPr>
        <w:spacing w:line="360" w:lineRule="auto"/>
        <w:rPr>
          <w:rFonts w:hint="eastAsia" w:ascii="宋体" w:hAnsi="宋体" w:cs="宋体"/>
          <w:b/>
          <w:sz w:val="24"/>
        </w:rPr>
      </w:pPr>
      <w:r>
        <w:rPr>
          <w:rFonts w:hint="eastAsia" w:ascii="宋体" w:hAnsi="宋体" w:cs="宋体"/>
          <w:b/>
          <w:sz w:val="24"/>
        </w:rPr>
        <w:t>附件六：安全管理协议</w:t>
      </w:r>
    </w:p>
    <w:p w14:paraId="2B786D8C">
      <w:pPr>
        <w:adjustRightInd w:val="0"/>
        <w:snapToGrid w:val="0"/>
        <w:spacing w:line="360" w:lineRule="auto"/>
        <w:jc w:val="center"/>
        <w:rPr>
          <w:rFonts w:hint="eastAsia" w:ascii="宋体" w:hAnsi="宋体" w:cs="宋体"/>
          <w:sz w:val="24"/>
        </w:rPr>
      </w:pPr>
    </w:p>
    <w:p w14:paraId="546CB1B0">
      <w:pPr>
        <w:adjustRightInd w:val="0"/>
        <w:snapToGrid w:val="0"/>
        <w:spacing w:line="360" w:lineRule="auto"/>
        <w:jc w:val="center"/>
        <w:rPr>
          <w:rFonts w:hint="eastAsia" w:ascii="宋体" w:hAnsi="宋体" w:cs="宋体"/>
          <w:sz w:val="24"/>
        </w:rPr>
      </w:pPr>
      <w:r>
        <w:rPr>
          <w:rFonts w:hint="eastAsia" w:ascii="宋体" w:hAnsi="宋体" w:cs="宋体"/>
          <w:b/>
          <w:bCs/>
          <w:sz w:val="24"/>
        </w:rPr>
        <w:t>安全管理协议</w:t>
      </w:r>
    </w:p>
    <w:p w14:paraId="68E98D5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甲方一：  </w:t>
      </w:r>
    </w:p>
    <w:p w14:paraId="62E14695">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甲方二：                  </w:t>
      </w:r>
    </w:p>
    <w:p w14:paraId="775DB07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乙方：                     </w:t>
      </w:r>
    </w:p>
    <w:p w14:paraId="6048E75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一、目的</w:t>
      </w:r>
    </w:p>
    <w:p w14:paraId="67DF70A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    为维护甲乙双方的共同利益，保证作业质量和安全，保持良好的工作秩序和作业场所的卫生环境，经甲乙双方平等协商，签定本协议。</w:t>
      </w:r>
    </w:p>
    <w:p w14:paraId="01F0DF0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项目名称：                        </w:t>
      </w:r>
    </w:p>
    <w:p w14:paraId="10A7EF4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三、协议内容：</w:t>
      </w:r>
    </w:p>
    <w:p w14:paraId="159315F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1.双方均必须认真贯彻“预防为主、防消结合”的方针。乙方在作业前制订具体安全方案，落实可靠措施，在甲方工作的人员必须服从甲方有关部门及人员指挥。</w:t>
      </w:r>
    </w:p>
    <w:p w14:paraId="46BE84CA">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2.乙方人员在甲方作业，应遵守国家有关法律法规规范、甲方的安全规章制度及安全规定，如有违章违纪与甲方员工同等处理。</w:t>
      </w:r>
    </w:p>
    <w:p w14:paraId="15F90DF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乙方人员有义务接受甲方的安全培训教育，并在培训合格后方能进入现场，甲方安全管理人员要向乙方作业人员或负责人交待清楚安全工作等问题，由乙方作业人员或负责人及时向具体工作人员传达甲方所要求的安全事项，并负责经常进行教育和严格管理，乙方作业人员必须配备好必要防护用品（如安全帽等），并在作业过程中正确穿戴。如乙方负责人不认真进行教育或未给作业人员配备好必要的防护用品，一旦由此发生事故的由乙方负责人及乙方单位负责。甲方的安全管理人员应随时进行现场检查和监督。</w:t>
      </w:r>
    </w:p>
    <w:p w14:paraId="0E9A0C6F">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4.乙方作业时如遇安全底细不清时，应先停止工作，主动与甲方联系。在生产条件允许下，甲方应积极主动配合乙方安全作业。甲、乙双方均不许擅自动用对方的工具、设备和其它装置。</w:t>
      </w:r>
    </w:p>
    <w:p w14:paraId="46DBC54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乙方在作业中需动用或拆除甲方水、电、机电、设备、仪表、工艺装置、建筑物、地面、预留孔盖板、各类安全装置和从事特种作业（如动火作业、高空作业等）时，应事先向甲方安全管理人员提出，经甲方安全管理人员与有关部门办妥手续后方允许进行。</w:t>
      </w:r>
    </w:p>
    <w:p w14:paraId="782C358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6.乙方在作业中遇到不安全因素或有自己解决不了的安全问题时，应立即停止作业，并与甲方安全管理人员联系商议提出处理意见，如盲目蛮干和违章作业造成事故由乙方负责。</w:t>
      </w:r>
    </w:p>
    <w:p w14:paraId="530E0B6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7.乙方在作业中出现人身、设备、电器等事故，一切责任由乙方全权负责，与甲方无任何关联。如因此而造成甲方的损失，由乙方负责赔偿。</w:t>
      </w:r>
    </w:p>
    <w:p w14:paraId="5CD8516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8.乙方在甲方禁火区内作业时必须严格遵守禁止吸烟规定。否则，造成一切后果由乙方负责并按章罚款。</w:t>
      </w:r>
    </w:p>
    <w:p w14:paraId="71B78DDE">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9.乙方在当天的作业结束后，应对作业现场彻底清理，做到工完、料尽、场地清。清理出的垃圾不能随意堆放在甲方管理的场地内，否则可根据实际情况进行罚款。</w:t>
      </w:r>
    </w:p>
    <w:p w14:paraId="29CA795B">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以上各条双方必须严格执行，如违反均按此协议承担经济和法律责任。</w:t>
      </w:r>
    </w:p>
    <w:p w14:paraId="579E6DB3">
      <w:pPr>
        <w:adjustRightInd w:val="0"/>
        <w:snapToGrid w:val="0"/>
        <w:spacing w:line="360" w:lineRule="auto"/>
        <w:ind w:firstLine="480" w:firstLineChars="200"/>
        <w:rPr>
          <w:rFonts w:hint="eastAsia" w:ascii="宋体" w:hAnsi="宋体" w:cs="宋体"/>
          <w:sz w:val="24"/>
        </w:rPr>
      </w:pPr>
    </w:p>
    <w:p w14:paraId="73E35D77">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甲方一（公章）：             </w:t>
      </w:r>
      <w:r>
        <w:rPr>
          <w:rFonts w:hint="eastAsia" w:ascii="宋体" w:hAnsi="宋体" w:cs="宋体"/>
          <w:sz w:val="24"/>
          <w:lang w:val="en-US" w:eastAsia="zh-CN"/>
        </w:rPr>
        <w:t xml:space="preserve"> </w:t>
      </w:r>
      <w:r>
        <w:rPr>
          <w:rFonts w:hint="eastAsia" w:ascii="宋体" w:hAnsi="宋体" w:cs="宋体"/>
          <w:sz w:val="24"/>
        </w:rPr>
        <w:t xml:space="preserve">        甲方二（公章）：</w:t>
      </w:r>
    </w:p>
    <w:p w14:paraId="74859E94">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法定代表人：                         法定代表人：</w:t>
      </w:r>
    </w:p>
    <w:p w14:paraId="452199D0">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或委托代理人：                       或委托代理人：</w:t>
      </w:r>
    </w:p>
    <w:p w14:paraId="351698C1">
      <w:pPr>
        <w:adjustRightInd w:val="0"/>
        <w:snapToGrid w:val="0"/>
        <w:spacing w:line="360" w:lineRule="auto"/>
        <w:ind w:firstLine="720" w:firstLineChars="300"/>
        <w:rPr>
          <w:rFonts w:hint="eastAsia" w:ascii="宋体" w:hAnsi="宋体" w:cs="宋体"/>
          <w:sz w:val="24"/>
        </w:rPr>
      </w:pPr>
      <w:r>
        <w:rPr>
          <w:rFonts w:hint="eastAsia" w:ascii="宋体" w:hAnsi="宋体" w:cs="宋体"/>
          <w:sz w:val="24"/>
        </w:rPr>
        <w:t>年    月    日                         年    月    日</w:t>
      </w:r>
    </w:p>
    <w:p w14:paraId="3EEEF5EF">
      <w:pPr>
        <w:adjustRightInd w:val="0"/>
        <w:snapToGrid w:val="0"/>
        <w:spacing w:line="360" w:lineRule="auto"/>
        <w:ind w:firstLine="480" w:firstLineChars="200"/>
        <w:rPr>
          <w:rFonts w:hint="eastAsia" w:ascii="宋体" w:hAnsi="宋体" w:cs="宋体"/>
          <w:sz w:val="24"/>
        </w:rPr>
      </w:pPr>
    </w:p>
    <w:p w14:paraId="705DB926">
      <w:pPr>
        <w:adjustRightInd w:val="0"/>
        <w:snapToGrid w:val="0"/>
        <w:spacing w:line="360" w:lineRule="auto"/>
        <w:ind w:firstLine="480" w:firstLineChars="200"/>
        <w:rPr>
          <w:rFonts w:hint="eastAsia" w:ascii="宋体" w:hAnsi="宋体" w:cs="宋体"/>
          <w:sz w:val="24"/>
        </w:rPr>
      </w:pPr>
    </w:p>
    <w:p w14:paraId="5694D326">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乙方（公章）：                      </w:t>
      </w:r>
    </w:p>
    <w:p w14:paraId="26754BD2">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法定代表人：                         </w:t>
      </w:r>
    </w:p>
    <w:p w14:paraId="7CEA8A28">
      <w:pPr>
        <w:adjustRightInd w:val="0"/>
        <w:snapToGrid w:val="0"/>
        <w:spacing w:line="360" w:lineRule="auto"/>
        <w:ind w:firstLine="480" w:firstLineChars="200"/>
        <w:rPr>
          <w:rFonts w:hint="eastAsia" w:ascii="宋体" w:hAnsi="宋体" w:cs="宋体"/>
          <w:sz w:val="24"/>
        </w:rPr>
      </w:pPr>
      <w:r>
        <w:rPr>
          <w:rFonts w:hint="eastAsia" w:ascii="宋体" w:hAnsi="宋体" w:cs="宋体"/>
          <w:sz w:val="24"/>
        </w:rPr>
        <w:t xml:space="preserve">或委托代理人：                       </w:t>
      </w:r>
    </w:p>
    <w:p w14:paraId="7178E623">
      <w:pPr>
        <w:adjustRightInd w:val="0"/>
        <w:snapToGrid w:val="0"/>
        <w:spacing w:line="360" w:lineRule="auto"/>
        <w:ind w:firstLine="720" w:firstLineChars="300"/>
        <w:rPr>
          <w:rFonts w:hint="eastAsia" w:ascii="宋体" w:hAnsi="宋体"/>
          <w:b/>
          <w:bCs/>
          <w:color w:val="FF0000"/>
          <w:sz w:val="24"/>
        </w:rPr>
      </w:pPr>
      <w:r>
        <w:rPr>
          <w:rFonts w:hint="eastAsia" w:ascii="宋体" w:hAnsi="宋体" w:cs="宋体"/>
          <w:sz w:val="24"/>
        </w:rPr>
        <w:t>年    月    日</w:t>
      </w:r>
      <w:bookmarkEnd w:id="0"/>
      <w:bookmarkEnd w:id="1"/>
    </w:p>
    <w:p w14:paraId="1E5A5952">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FD7A4">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239489"/>
                          </w:sdtPr>
                          <w:sdtContent>
                            <w:p w14:paraId="76B150F3">
                              <w:pPr>
                                <w:pStyle w:val="4"/>
                                <w:jc w:val="center"/>
                              </w:pPr>
                              <w:r>
                                <w:fldChar w:fldCharType="begin"/>
                              </w:r>
                              <w:r>
                                <w:instrText xml:space="preserve">PAGE   \* MERGEFORMAT</w:instrText>
                              </w:r>
                              <w:r>
                                <w:fldChar w:fldCharType="separate"/>
                              </w:r>
                              <w:r>
                                <w:rPr>
                                  <w:lang w:val="zh-CN"/>
                                </w:rPr>
                                <w:t>5</w:t>
                              </w:r>
                              <w:r>
                                <w:fldChar w:fldCharType="end"/>
                              </w:r>
                            </w:p>
                          </w:sdtContent>
                        </w:sdt>
                        <w:p w14:paraId="0B7B6641"/>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2239489"/>
                    </w:sdtPr>
                    <w:sdtContent>
                      <w:p w14:paraId="76B150F3">
                        <w:pPr>
                          <w:pStyle w:val="4"/>
                          <w:jc w:val="center"/>
                        </w:pPr>
                        <w:r>
                          <w:fldChar w:fldCharType="begin"/>
                        </w:r>
                        <w:r>
                          <w:instrText xml:space="preserve">PAGE   \* MERGEFORMAT</w:instrText>
                        </w:r>
                        <w:r>
                          <w:fldChar w:fldCharType="separate"/>
                        </w:r>
                        <w:r>
                          <w:rPr>
                            <w:lang w:val="zh-CN"/>
                          </w:rPr>
                          <w:t>5</w:t>
                        </w:r>
                        <w:r>
                          <w:fldChar w:fldCharType="end"/>
                        </w:r>
                      </w:p>
                    </w:sdtContent>
                  </w:sdt>
                  <w:p w14:paraId="0B7B664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DBD6">
    <w:pPr>
      <w:pStyle w:val="4"/>
      <w:tabs>
        <w:tab w:val="left" w:pos="6315"/>
        <w:tab w:val="center" w:pos="7001"/>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239490"/>
                          </w:sdtPr>
                          <w:sdtContent>
                            <w:p w14:paraId="17B1788E">
                              <w:pPr>
                                <w:pStyle w:val="4"/>
                                <w:tabs>
                                  <w:tab w:val="left" w:pos="6315"/>
                                  <w:tab w:val="center" w:pos="7001"/>
                                </w:tabs>
                                <w:jc w:val="center"/>
                              </w:pPr>
                              <w:r>
                                <w:fldChar w:fldCharType="begin"/>
                              </w:r>
                              <w:r>
                                <w:instrText xml:space="preserve">PAGE   \* MERGEFORMAT</w:instrText>
                              </w:r>
                              <w:r>
                                <w:fldChar w:fldCharType="separate"/>
                              </w:r>
                              <w:r>
                                <w:rPr>
                                  <w:lang w:val="zh-CN"/>
                                </w:rPr>
                                <w:t>4</w:t>
                              </w:r>
                              <w:r>
                                <w:fldChar w:fldCharType="end"/>
                              </w:r>
                            </w:p>
                          </w:sdtContent>
                        </w:sdt>
                        <w:p w14:paraId="0E6A915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2239490"/>
                    </w:sdtPr>
                    <w:sdtContent>
                      <w:p w14:paraId="17B1788E">
                        <w:pPr>
                          <w:pStyle w:val="4"/>
                          <w:tabs>
                            <w:tab w:val="left" w:pos="6315"/>
                            <w:tab w:val="center" w:pos="7001"/>
                          </w:tabs>
                          <w:jc w:val="center"/>
                        </w:pPr>
                        <w:r>
                          <w:fldChar w:fldCharType="begin"/>
                        </w:r>
                        <w:r>
                          <w:instrText xml:space="preserve">PAGE   \* MERGEFORMAT</w:instrText>
                        </w:r>
                        <w:r>
                          <w:fldChar w:fldCharType="separate"/>
                        </w:r>
                        <w:r>
                          <w:rPr>
                            <w:lang w:val="zh-CN"/>
                          </w:rPr>
                          <w:t>4</w:t>
                        </w:r>
                        <w:r>
                          <w:fldChar w:fldCharType="end"/>
                        </w:r>
                      </w:p>
                    </w:sdtContent>
                  </w:sdt>
                  <w:p w14:paraId="0E6A9157"/>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AE26C9"/>
    <w:multiLevelType w:val="singleLevel"/>
    <w:tmpl w:val="53AE26C9"/>
    <w:lvl w:ilvl="0" w:tentative="0">
      <w:start w:val="4"/>
      <w:numFmt w:val="chineseCounting"/>
      <w:suff w:val="nothing"/>
      <w:lvlText w:val="%1、"/>
      <w:lvlJc w:val="left"/>
      <w:rPr>
        <w:rFonts w:hint="eastAsia"/>
      </w:rPr>
    </w:lvl>
  </w:abstractNum>
  <w:abstractNum w:abstractNumId="1">
    <w:nsid w:val="5C364DED"/>
    <w:multiLevelType w:val="multilevel"/>
    <w:tmpl w:val="5C364DED"/>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283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jc w:val="center"/>
      <w:outlineLvl w:val="1"/>
    </w:pPr>
    <w:rPr>
      <w:rFonts w:ascii="Arial" w:hAnsi="Arial" w:eastAsiaTheme="majorEastAsia"/>
      <w:b/>
      <w:bCs/>
      <w:sz w:val="28"/>
      <w:szCs w:val="32"/>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20"/>
    </w:rPr>
  </w:style>
  <w:style w:type="paragraph" w:styleId="5">
    <w:name w:val="Normal (Web)"/>
    <w:basedOn w:val="1"/>
    <w:qFormat/>
    <w:uiPriority w:val="99"/>
    <w:pPr>
      <w:spacing w:before="100" w:beforeAutospacing="1" w:after="100" w:afterAutospacing="1"/>
    </w:pPr>
  </w:style>
  <w:style w:type="paragraph" w:customStyle="1" w:styleId="8">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2026-03-20T09:32:14Z</dcterms:created>
  <dc:creator>asus</dc:creator>
  <cp:lastModifiedBy>cpco会员发展部阳耀辉</cp:lastModifiedBy>
  <dcterms:modified xsi:type="dcterms:W3CDTF">2026-03-20T09:32:25Z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eyJoZGlkIjoiMGM5MDcwYzEzMjNkY2ZmNGVmMTk4YjgzOTZjNmI0ODkiLCJ1c2VySWQiOiIxMzQwMTAxNDE1In0=</vt:lpwstr>
  </property>
  <property fmtid="{D5CDD505-2E9C-101B-9397-08002B2CF9AE}" pid="4" name="ICV">
    <vt:lpwstr>61839162C8294979BDDAD667613479A4_12</vt:lpwstr>
  </property>
</Properties>
</file>