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00CC">
      <w:pPr>
        <w:ind w:left="0" w:leftChars="0" w:right="0" w:rightChars="0" w:firstLine="0" w:firstLineChars="0"/>
        <w:jc w:val="center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采购报告</w:t>
      </w:r>
    </w:p>
    <w:p w14:paraId="75C1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一、基本情况</w:t>
      </w:r>
      <w:bookmarkStart w:id="0" w:name="_GoBack"/>
      <w:bookmarkEnd w:id="0"/>
    </w:p>
    <w:p w14:paraId="392AD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学校建筑面积437310平方米，绿地面积 227083平方米，包含宿舍24栋、办公楼2栋、教学用楼6栋、图书馆1栋、体育场1栋等建筑设施，需定期进行专业系统的有害生物（苍蝇、蚊虫、蟑螂、老鼠）消杀工作，以控制媒生物传染病，保障校园卫生安全及师生健康安全与居住体验。</w:t>
      </w:r>
    </w:p>
    <w:p w14:paraId="2C868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1100"/>
        <w:textAlignment w:val="auto"/>
        <w:rPr>
          <w:rFonts w:hint="default" w:ascii="Calibri" w:hAnsi="Calibri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8"/>
          <w:szCs w:val="28"/>
          <w:lang w:val="en-US" w:eastAsia="zh-CN"/>
        </w:rPr>
        <w:t>服务区域面积明细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970"/>
        <w:gridCol w:w="1725"/>
        <w:gridCol w:w="2652"/>
      </w:tblGrid>
      <w:tr w14:paraId="3697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</w:tcPr>
          <w:p w14:paraId="0A01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970" w:type="dxa"/>
            <w:vAlign w:val="top"/>
          </w:tcPr>
          <w:p w14:paraId="77B2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1725" w:type="dxa"/>
            <w:vAlign w:val="top"/>
          </w:tcPr>
          <w:p w14:paraId="3613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vertAlign w:val="baseline"/>
                <w:lang w:val="en-US" w:eastAsia="zh-CN"/>
              </w:rPr>
              <w:t>量（</w:t>
            </w: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栋）</w:t>
            </w:r>
          </w:p>
        </w:tc>
        <w:tc>
          <w:tcPr>
            <w:tcW w:w="2652" w:type="dxa"/>
            <w:vAlign w:val="top"/>
          </w:tcPr>
          <w:p w14:paraId="3067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vertAlign w:val="baseline"/>
                <w:lang w:val="en-US" w:eastAsia="zh-CN"/>
              </w:rPr>
              <w:t>积（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平方米）</w:t>
            </w:r>
          </w:p>
        </w:tc>
      </w:tr>
      <w:tr w14:paraId="0B5F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restart"/>
            <w:vAlign w:val="center"/>
          </w:tcPr>
          <w:p w14:paraId="5C7D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楼宇</w:t>
            </w:r>
          </w:p>
        </w:tc>
        <w:tc>
          <w:tcPr>
            <w:tcW w:w="2970" w:type="dxa"/>
            <w:vAlign w:val="top"/>
          </w:tcPr>
          <w:p w14:paraId="10EE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宿舍</w:t>
            </w:r>
          </w:p>
        </w:tc>
        <w:tc>
          <w:tcPr>
            <w:tcW w:w="1725" w:type="dxa"/>
            <w:vAlign w:val="top"/>
          </w:tcPr>
          <w:p w14:paraId="25A5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52" w:type="dxa"/>
            <w:vAlign w:val="top"/>
          </w:tcPr>
          <w:p w14:paraId="37C0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246706</w:t>
            </w:r>
          </w:p>
        </w:tc>
      </w:tr>
      <w:tr w14:paraId="585B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1286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5E83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教学楼</w:t>
            </w:r>
          </w:p>
        </w:tc>
        <w:tc>
          <w:tcPr>
            <w:tcW w:w="1725" w:type="dxa"/>
            <w:vAlign w:val="top"/>
          </w:tcPr>
          <w:p w14:paraId="200C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2" w:type="dxa"/>
            <w:vAlign w:val="top"/>
          </w:tcPr>
          <w:p w14:paraId="6AAD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75769</w:t>
            </w:r>
          </w:p>
        </w:tc>
      </w:tr>
      <w:tr w14:paraId="3FAD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6144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5A1F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铭福楼</w:t>
            </w:r>
          </w:p>
        </w:tc>
        <w:tc>
          <w:tcPr>
            <w:tcW w:w="1725" w:type="dxa"/>
            <w:vAlign w:val="top"/>
          </w:tcPr>
          <w:p w14:paraId="2E83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2" w:type="dxa"/>
            <w:vAlign w:val="top"/>
          </w:tcPr>
          <w:p w14:paraId="5947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3408</w:t>
            </w:r>
          </w:p>
        </w:tc>
      </w:tr>
      <w:tr w14:paraId="03C5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7764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0B51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青春馆</w:t>
            </w:r>
          </w:p>
        </w:tc>
        <w:tc>
          <w:tcPr>
            <w:tcW w:w="1725" w:type="dxa"/>
            <w:vAlign w:val="top"/>
          </w:tcPr>
          <w:p w14:paraId="6C03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2" w:type="dxa"/>
            <w:vAlign w:val="top"/>
          </w:tcPr>
          <w:p w14:paraId="0BE9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10950</w:t>
            </w:r>
          </w:p>
        </w:tc>
      </w:tr>
      <w:tr w14:paraId="50D6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7E57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0E2A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实训楼</w:t>
            </w:r>
          </w:p>
        </w:tc>
        <w:tc>
          <w:tcPr>
            <w:tcW w:w="1725" w:type="dxa"/>
            <w:vAlign w:val="top"/>
          </w:tcPr>
          <w:p w14:paraId="06F1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2" w:type="dxa"/>
            <w:vAlign w:val="top"/>
          </w:tcPr>
          <w:p w14:paraId="017B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17190</w:t>
            </w:r>
          </w:p>
        </w:tc>
      </w:tr>
      <w:tr w14:paraId="5013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3D2A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0600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体育场</w:t>
            </w:r>
          </w:p>
        </w:tc>
        <w:tc>
          <w:tcPr>
            <w:tcW w:w="1725" w:type="dxa"/>
            <w:vAlign w:val="top"/>
          </w:tcPr>
          <w:p w14:paraId="1335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2" w:type="dxa"/>
            <w:vAlign w:val="top"/>
          </w:tcPr>
          <w:p w14:paraId="6736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8000</w:t>
            </w:r>
          </w:p>
        </w:tc>
      </w:tr>
      <w:tr w14:paraId="195D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3A83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4E55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图书馆</w:t>
            </w:r>
          </w:p>
        </w:tc>
        <w:tc>
          <w:tcPr>
            <w:tcW w:w="1725" w:type="dxa"/>
            <w:vAlign w:val="top"/>
          </w:tcPr>
          <w:p w14:paraId="3D84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2" w:type="dxa"/>
            <w:vAlign w:val="top"/>
          </w:tcPr>
          <w:p w14:paraId="3474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40000</w:t>
            </w:r>
          </w:p>
        </w:tc>
      </w:tr>
      <w:tr w14:paraId="1DBF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5104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D4F4F2" w:themeColor="accent5" w:themeTint="33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2970" w:type="dxa"/>
            <w:vAlign w:val="top"/>
          </w:tcPr>
          <w:p w14:paraId="248D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D4F4F2" w:themeColor="accent5" w:themeTint="33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研究院</w:t>
            </w:r>
          </w:p>
        </w:tc>
        <w:tc>
          <w:tcPr>
            <w:tcW w:w="1725" w:type="dxa"/>
            <w:vAlign w:val="top"/>
          </w:tcPr>
          <w:p w14:paraId="2382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652" w:type="dxa"/>
            <w:vAlign w:val="top"/>
          </w:tcPr>
          <w:p w14:paraId="0F9E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16269</w:t>
            </w:r>
          </w:p>
        </w:tc>
      </w:tr>
      <w:tr w14:paraId="54AE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4F38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D4F4F2" w:themeColor="accent5" w:themeTint="33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2970" w:type="dxa"/>
            <w:vAlign w:val="top"/>
          </w:tcPr>
          <w:p w14:paraId="2917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textAlignment w:val="auto"/>
              <w:rPr>
                <w:rFonts w:hint="default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新工科实验楼</w:t>
            </w:r>
          </w:p>
        </w:tc>
        <w:tc>
          <w:tcPr>
            <w:tcW w:w="1725" w:type="dxa"/>
            <w:vAlign w:val="top"/>
          </w:tcPr>
          <w:p w14:paraId="27B0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652" w:type="dxa"/>
            <w:vAlign w:val="top"/>
          </w:tcPr>
          <w:p w14:paraId="632C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17105</w:t>
            </w:r>
          </w:p>
        </w:tc>
      </w:tr>
      <w:tr w14:paraId="4946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6D25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D4F4F2" w:themeColor="accent5" w:themeTint="33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2970" w:type="dxa"/>
            <w:vAlign w:val="top"/>
          </w:tcPr>
          <w:p w14:paraId="23E6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科艺中心</w:t>
            </w:r>
          </w:p>
        </w:tc>
        <w:tc>
          <w:tcPr>
            <w:tcW w:w="1725" w:type="dxa"/>
            <w:vAlign w:val="top"/>
          </w:tcPr>
          <w:p w14:paraId="291A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652" w:type="dxa"/>
            <w:vAlign w:val="top"/>
          </w:tcPr>
          <w:p w14:paraId="420F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1913</w:t>
            </w:r>
          </w:p>
        </w:tc>
      </w:tr>
      <w:tr w14:paraId="050E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restart"/>
            <w:vAlign w:val="center"/>
          </w:tcPr>
          <w:p w14:paraId="748A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室外公共区域绿化面积</w:t>
            </w:r>
          </w:p>
        </w:tc>
        <w:tc>
          <w:tcPr>
            <w:tcW w:w="2970" w:type="dxa"/>
            <w:vAlign w:val="top"/>
          </w:tcPr>
          <w:p w14:paraId="291C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一期绿化用地</w:t>
            </w:r>
          </w:p>
        </w:tc>
        <w:tc>
          <w:tcPr>
            <w:tcW w:w="1725" w:type="dxa"/>
          </w:tcPr>
          <w:p w14:paraId="5D05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2" w:type="dxa"/>
            <w:vAlign w:val="top"/>
          </w:tcPr>
          <w:p w14:paraId="5C7E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146532</w:t>
            </w:r>
          </w:p>
        </w:tc>
      </w:tr>
      <w:tr w14:paraId="60D4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5" w:type="dxa"/>
            <w:vMerge w:val="continue"/>
          </w:tcPr>
          <w:p w14:paraId="73B6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40369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二期绿化用地</w:t>
            </w:r>
          </w:p>
        </w:tc>
        <w:tc>
          <w:tcPr>
            <w:tcW w:w="1725" w:type="dxa"/>
          </w:tcPr>
          <w:p w14:paraId="1706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2" w:type="dxa"/>
            <w:vAlign w:val="top"/>
          </w:tcPr>
          <w:p w14:paraId="38A06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26231</w:t>
            </w:r>
          </w:p>
        </w:tc>
      </w:tr>
      <w:tr w14:paraId="4E2A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75" w:type="dxa"/>
            <w:vMerge w:val="continue"/>
          </w:tcPr>
          <w:p w14:paraId="0AE8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7BD8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三期绿化用地</w:t>
            </w:r>
          </w:p>
        </w:tc>
        <w:tc>
          <w:tcPr>
            <w:tcW w:w="1725" w:type="dxa"/>
          </w:tcPr>
          <w:p w14:paraId="6E4C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2" w:type="dxa"/>
            <w:vAlign w:val="top"/>
          </w:tcPr>
          <w:p w14:paraId="0550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42122</w:t>
            </w:r>
          </w:p>
        </w:tc>
      </w:tr>
      <w:tr w14:paraId="6D62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75" w:type="dxa"/>
            <w:vMerge w:val="continue"/>
          </w:tcPr>
          <w:p w14:paraId="5CA4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514B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四期绿化用地</w:t>
            </w:r>
          </w:p>
        </w:tc>
        <w:tc>
          <w:tcPr>
            <w:tcW w:w="1725" w:type="dxa"/>
          </w:tcPr>
          <w:p w14:paraId="3106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2" w:type="dxa"/>
            <w:vAlign w:val="top"/>
          </w:tcPr>
          <w:p w14:paraId="4FE2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12198</w:t>
            </w:r>
          </w:p>
        </w:tc>
      </w:tr>
      <w:tr w14:paraId="192A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870" w:type="dxa"/>
            <w:gridSpan w:val="3"/>
          </w:tcPr>
          <w:p w14:paraId="0D58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合计面积</w:t>
            </w:r>
          </w:p>
        </w:tc>
        <w:tc>
          <w:tcPr>
            <w:tcW w:w="2652" w:type="dxa"/>
            <w:vAlign w:val="top"/>
          </w:tcPr>
          <w:p w14:paraId="307D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664393</w:t>
            </w:r>
          </w:p>
        </w:tc>
      </w:tr>
    </w:tbl>
    <w:p w14:paraId="52AA9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</w:p>
    <w:p w14:paraId="31C7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二、服务内容</w:t>
      </w:r>
    </w:p>
    <w:p w14:paraId="0C9C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1. 对全校学生宿舍、办公楼、实验/实训楼、图书馆、体育场、教学楼、研究院及全校绿地进行苍蝇、蚊虫、蟑螂、老鼠的消杀工作。</w:t>
      </w:r>
    </w:p>
    <w:p w14:paraId="5583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2. 消杀前制定应急预案，作业过程需规范、安全，承担因消杀导致的安全事故、人员危害、设施损坏等责任，并做好设施复原与场地清洁。</w:t>
      </w:r>
    </w:p>
    <w:p w14:paraId="54D18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三、服务期限与费用</w:t>
      </w:r>
    </w:p>
    <w:p w14:paraId="2A11E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1.服务期限：3年（2026 年 4月 1 日 - 2029年 3月31 日），按年消杀，固定总价包干。</w:t>
      </w:r>
    </w:p>
    <w:p w14:paraId="1471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四、工作措施</w:t>
      </w:r>
    </w:p>
    <w:p w14:paraId="35C6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1. 采用先进药械与科学方法，定期检查、监测与处理虫害。</w:t>
      </w:r>
    </w:p>
    <w:p w14:paraId="0AFA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2. 改善校园内外环境，加强防虫防鼠设施建设。</w:t>
      </w:r>
    </w:p>
    <w:p w14:paraId="6EA1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3. 运用安全有效方法控制害虫，及时处理活跃虫害。</w:t>
      </w:r>
    </w:p>
    <w:p w14:paraId="127E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4. 开展专业指导培训，增强师生防虫防鼠意识。</w:t>
      </w:r>
    </w:p>
    <w:p w14:paraId="7F70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5. 通过工作报告提出跟进与改善建议。</w:t>
      </w:r>
    </w:p>
    <w:p w14:paraId="4496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五、施工计划</w:t>
      </w:r>
    </w:p>
    <w:tbl>
      <w:tblPr>
        <w:tblStyle w:val="2"/>
        <w:tblW w:w="8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422"/>
      </w:tblGrid>
      <w:tr w14:paraId="1403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647C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服务项目</w:t>
            </w:r>
          </w:p>
        </w:tc>
        <w:tc>
          <w:tcPr>
            <w:tcW w:w="7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7165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服务内容</w:t>
            </w:r>
          </w:p>
        </w:tc>
      </w:tr>
      <w:tr w14:paraId="3C532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863B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灭蚊</w:t>
            </w: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D9C3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室内公共区域、室外（含外扩覆盖面）丛林草坪、垃圾桶等喷药处理</w:t>
            </w:r>
          </w:p>
        </w:tc>
      </w:tr>
      <w:tr w14:paraId="12B9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8E6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5CEB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下水道及沉沙井进行热烟雾处理</w:t>
            </w:r>
          </w:p>
        </w:tc>
      </w:tr>
      <w:tr w14:paraId="338DF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DF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C786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检查清理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校园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环境内的小积水，控制蚊虫孳生，并施药处理</w:t>
            </w:r>
          </w:p>
        </w:tc>
      </w:tr>
      <w:tr w14:paraId="5424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826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B614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进行密度监测</w:t>
            </w:r>
          </w:p>
        </w:tc>
      </w:tr>
      <w:tr w14:paraId="088AF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B3CC9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灭蝇 </w:t>
            </w:r>
          </w:p>
        </w:tc>
        <w:tc>
          <w:tcPr>
            <w:tcW w:w="7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51AD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检查室内环境，视情进行滞留喷洒灭杀</w:t>
            </w:r>
          </w:p>
        </w:tc>
      </w:tr>
      <w:tr w14:paraId="3CF0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9E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F493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对区域内（含外扩覆盖面）垃圾桶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点位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卫生间等重点部位喷杀，以及食堂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周边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等重要场所灭蝇</w:t>
            </w:r>
          </w:p>
        </w:tc>
      </w:tr>
      <w:tr w14:paraId="15C89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9F2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2585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进行密度监测</w:t>
            </w:r>
          </w:p>
        </w:tc>
      </w:tr>
      <w:tr w14:paraId="1C1A7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FAD1F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灭蟑</w:t>
            </w: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E0F8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跟踪检查和清理室内蟑迹，并视情施药处理</w:t>
            </w:r>
          </w:p>
        </w:tc>
      </w:tr>
      <w:tr w14:paraId="42807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733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534F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对下水道进行热烟雾处理</w:t>
            </w:r>
          </w:p>
        </w:tc>
      </w:tr>
      <w:tr w14:paraId="415B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C4D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C4B5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宿舍、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周边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、垃圾桶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点位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等重点地方重点跟踪，视情处理</w:t>
            </w:r>
          </w:p>
        </w:tc>
      </w:tr>
      <w:tr w14:paraId="59CC5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934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E90D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进行密度监测</w:t>
            </w:r>
          </w:p>
        </w:tc>
      </w:tr>
      <w:tr w14:paraId="24C7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34A9D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灭鼠</w:t>
            </w: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33FB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公共环境（含外扩面）、楼内消防通道饱和投放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饵和布放器械</w:t>
            </w:r>
          </w:p>
        </w:tc>
      </w:tr>
      <w:tr w14:paraId="2EC1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47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445F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公共环境检查鼠迹，对发现鼠迹的区域投放或补充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饵</w:t>
            </w:r>
          </w:p>
        </w:tc>
      </w:tr>
      <w:tr w14:paraId="7B43D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8B3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63B0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宿舍及食堂周边等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重点地方进行重点跟踪和灭杀</w:t>
            </w:r>
          </w:p>
        </w:tc>
      </w:tr>
      <w:tr w14:paraId="43725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EEF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1E8D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Times New Roman"/>
                <w:sz w:val="22"/>
                <w:szCs w:val="22"/>
                <w:lang w:val="en-US" w:eastAsia="zh-CN"/>
              </w:rPr>
              <w:t>进行密度监测</w:t>
            </w:r>
          </w:p>
        </w:tc>
      </w:tr>
    </w:tbl>
    <w:p w14:paraId="581489C4">
      <w:pPr>
        <w:widowControl/>
        <w:numPr>
          <w:ilvl w:val="0"/>
          <w:numId w:val="0"/>
        </w:numPr>
        <w:shd w:val="clear" w:color="auto" w:fill="FFFFFF"/>
        <w:snapToGrid w:val="0"/>
        <w:spacing w:before="100" w:beforeAutospacing="1" w:after="100" w:afterAutospacing="1"/>
        <w:ind w:firstLine="281" w:firstLineChars="1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6C86F33D">
      <w:pPr>
        <w:widowControl/>
        <w:numPr>
          <w:numId w:val="0"/>
        </w:numPr>
        <w:shd w:val="clear" w:color="auto" w:fill="FFFFFF"/>
        <w:snapToGrid w:val="0"/>
        <w:spacing w:before="100" w:beforeAutospacing="1" w:after="100" w:afterAutospacing="1"/>
        <w:ind w:left="420" w:leftChars="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服务标准</w:t>
      </w:r>
    </w:p>
    <w:p w14:paraId="6218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1.药剂和设备使用</w:t>
      </w:r>
    </w:p>
    <w:p w14:paraId="7FF42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1.药剂选择：使用符合国家规定的高效、低毒、环保型药剂，避免使用国家禁用的高毒、高残留农药。如选用对人体相对安全的拟除虫菊酯类杀虫剂来灭蚊蝇。</w:t>
      </w:r>
    </w:p>
    <w:p w14:paraId="0DE4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2.设备选用：配备专业、有效的设备，如喷雾器要能保证药剂均匀喷洒，捕鼠器要灵敏有效。</w:t>
      </w:r>
    </w:p>
    <w:p w14:paraId="2B797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3.安全操作：服务人员在操作过程中应严格遵守安全操作规程，如使用药剂时要穿戴好防护用品，防止药剂接触皮肤和呼吸道。</w:t>
      </w:r>
    </w:p>
    <w:p w14:paraId="0E1D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2.服务过程要求</w:t>
      </w:r>
    </w:p>
    <w:p w14:paraId="125E3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ab/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1.鼠害防制：</w:t>
      </w:r>
    </w:p>
    <w:p w14:paraId="6382F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（1）根据鼠类生活习性合理放置毒饵和捕鼠器械，如在墙角、管道周边等老鼠经常出没的地方布放。</w:t>
      </w:r>
    </w:p>
    <w:p w14:paraId="5734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（2）定期检查和补充毒饵，更换失效的捕鼠器械，确保防制效果持续。</w:t>
      </w:r>
    </w:p>
    <w:p w14:paraId="55C6E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2.蚊蝇防制：</w:t>
      </w:r>
    </w:p>
    <w:p w14:paraId="02E4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（1）对室内外的蚊蝇孳生地（如水沟、垃圾桶等）进行清理和处理，如投放杀虫剂.</w:t>
      </w:r>
    </w:p>
    <w:p w14:paraId="1B18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（2）采用空间喷洒、滞留喷洒等方法消灭成蚊蝇，根据蚊蝇密度和场所环境调整喷洒周期和剂量。</w:t>
      </w:r>
    </w:p>
    <w:p w14:paraId="5E22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3.蟑螂防制</w:t>
      </w:r>
    </w:p>
    <w:p w14:paraId="37EF0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（1）对宿舍、卫生间等蟑螂易滋生的场所进行重点处理，如在家具角落、水池下方等位置使用胶饵。</w:t>
      </w:r>
    </w:p>
    <w:p w14:paraId="32123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（2）检查和清除蟑螂卵鞘，防止蟑螂繁殖。</w:t>
      </w:r>
    </w:p>
    <w:p w14:paraId="0875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30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3.服务频次</w:t>
      </w:r>
    </w:p>
    <w:p w14:paraId="211D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每月实施两次固定的消杀工作，其中鉴于5月和6月蚊虫、苍蝇繁殖活跃且数量显著增多的特点，在这两个月中，每月实施三次消杀工作。除遵循常规月度消杀工作中的各项操作规范与要求外，针对蚊虫与苍蝇的防治工作进一步强化措施。另外在突发情况发生时，一旦接到学校通知，需在一个工作日内迅速开展应急处理工作。</w:t>
      </w:r>
    </w:p>
    <w:p w14:paraId="2515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30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4.服务效果</w:t>
      </w:r>
    </w:p>
    <w:p w14:paraId="1BC85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1.有效降低四害密度，达到国家或地方规定的卫生标准。例如，使鼠密度控制在国家标准范围内，蚊蝇密度显著下降，蟑螂侵害率降低。</w:t>
      </w:r>
    </w:p>
    <w:p w14:paraId="13A9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2.服务完成后，持续跟踪观察，提供一定期限的质量保证，如在一周内如果发现四害密度明显反弹，及时进行免费返工处理。</w:t>
      </w:r>
    </w:p>
    <w:p w14:paraId="7FE0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5.服务后清理与环保</w:t>
      </w:r>
    </w:p>
    <w:p w14:paraId="6286E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1.清理服务过程中产生的死鼠、死虫等，进行无害化处理，如统一收集深埋或焚烧。</w:t>
      </w:r>
    </w:p>
    <w:p w14:paraId="7C30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default" w:ascii="宋体" w:hAnsi="宋体" w:cs="宋体" w:eastAsia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2.妥善处理剩余药剂和包装，避免对环境造成污染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。 </w:t>
      </w:r>
    </w:p>
    <w:p w14:paraId="77DCD2C3">
      <w:pPr>
        <w:widowControl/>
        <w:numPr>
          <w:numId w:val="0"/>
        </w:numPr>
        <w:shd w:val="clear" w:color="auto" w:fill="FFFFFF"/>
        <w:snapToGrid w:val="0"/>
        <w:spacing w:before="100" w:beforeAutospacing="1" w:after="100" w:afterAutospacing="1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七、验收标准</w:t>
      </w:r>
    </w:p>
    <w:tbl>
      <w:tblPr>
        <w:tblStyle w:val="2"/>
        <w:tblW w:w="92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905"/>
        <w:gridCol w:w="2325"/>
        <w:gridCol w:w="2175"/>
        <w:gridCol w:w="2249"/>
      </w:tblGrid>
      <w:tr w14:paraId="3606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4ED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E0DF">
            <w:pPr>
              <w:widowControl/>
              <w:spacing w:before="100" w:beforeAutospacing="1" w:after="100" w:afterAutospacing="1"/>
              <w:ind w:firstLine="3373" w:firstLineChars="1400"/>
              <w:jc w:val="both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四害消杀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0992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EBC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082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蚊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91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蝇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E8D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蟑螂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BAA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老鼠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28F75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D1348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质量检查方法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01A2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1、检查各种存水容器和积水，计算蚊幼及蛹的阳性率；2、在区域内的水体，沿其边缘的不同地点，用500ml收集勺采集水样不少于100勺，检查蚊幼及蛹数量；3、选择15处特殊场所(垃圾桶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点位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、消防通道等)，白天人诱蚊30分钟(考核人员静坐、暴露胳膊和小腿)，检查诱获成蚊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24A6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1、检查4000㎡，其中重点区域占60%，一般区域占40%，检查区域内成蝇数和重点场所的防蝇设施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2、检查蝇类孳生地，计算幼虫和蛹的检出率。检查包括：室内卫生间垃圾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；3、外环境生活垃圾存放容器(箱、桶、通道等)；4、外环境200米延长线中散在暴露的孳生地，并计算幼虫和蛹的检出率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6FEF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1、检查4000㎡，其中重点区域占60%，一般区域占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0%，车库占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0%；2、采用药激法，喷洒蟑螂孳生地栖息场所(包括下水道)，观察激出的成若虫数量；3、采用目测法，检查活卵鞘和蟑迹(粪便、蜕皮、空卵鞘壳、死尸等)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   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DF5F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1、室内鼠迹检查，检查4000㎡。其中重点区域占60%，一般区域占40%；2、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宿舍、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食堂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周边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、垃圾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桶点位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、消防通道、排水沟等累计200米延长外环境中的鼠迹(包括鼠洞、鼠粪、鼠咬痕及鼠道)；3、防鼠设施检查：检查重点单位和一般单位重点部位的门、窗、下水道(地沟)及通风口等处的防鼠设施状况。 </w:t>
            </w:r>
          </w:p>
        </w:tc>
      </w:tr>
      <w:tr w14:paraId="7A40E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6373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质量检查标准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BCD3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、外环境各种存水容器和积水中，蚊幼及蛹的阳性率不超过3%。2、用500ml收集勺采集区域内大中型水体中的蚊幼和蛹阳性率不过3%，阳性勺内幼和蛹平均数不过5只。3、特殊场所白天人诱蚊30分钟，平均每人次诱获成蚊数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超过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1只。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0BF7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1、在辖区内有蝇类滋生或滋生地如垃圾桶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点位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及容易滋生蝇幼的地方调查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个点,如发现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个以上点有蝇幼(蛆)或蛹为不达标,重点场所有蝇不超过1%，其他场所不超过5%，平均每间房间蝇幼(蛆)或阳性蛹不超过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只，重点场所防蝇实施不合格房间不超过3%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。2、蝇类孪生地得到有效治理，幼虫和蛹的检出率不超过3%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E5C1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1、以15平米为基准单位在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区内选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个房间,用眼睛直接查看登记,对房间洞缝处用开水或药水激法,对空洞缝处浇灌、喷注激出的大蟑螂或小蟑螂不得超过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只,室内有蟑螂成虫或幼虫阳性房间不超过3%，平均每间房间大蠊不超过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只，小蠊不超过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只为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标。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2、有活蟑螂卵鞘房间不超过2%，平均每间不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超4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只。3、有蟑螂粪便、蜕皮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蟑迹的房间不超过5%。  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E79D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1、以15平米标准间为基准单位每处布防20X20厘米滑石粉块两块，在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区内共放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个点,傍晚布放,凌晨检查,滑石粉块上有鼠印为阳性,阳性粉块不超过3%，鼠洞、鼠类、鼠药痕迹等鼠迹的房间不超过2%，重点区域防鼠设施不合格处不超过5%。2、不同类型的外环境累计2000平米，鼠迹不超过5处。</w:t>
            </w:r>
          </w:p>
        </w:tc>
      </w:tr>
    </w:tbl>
    <w:p w14:paraId="6E31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6763"/>
    <w:rsid w:val="002410F1"/>
    <w:rsid w:val="004C0647"/>
    <w:rsid w:val="00E84B06"/>
    <w:rsid w:val="019F1377"/>
    <w:rsid w:val="01FE5971"/>
    <w:rsid w:val="02145195"/>
    <w:rsid w:val="02685C0C"/>
    <w:rsid w:val="02A46519"/>
    <w:rsid w:val="03411FB9"/>
    <w:rsid w:val="035C6DF3"/>
    <w:rsid w:val="03ED6503"/>
    <w:rsid w:val="040C25C7"/>
    <w:rsid w:val="04131BA8"/>
    <w:rsid w:val="046D2C49"/>
    <w:rsid w:val="04704C25"/>
    <w:rsid w:val="04F512AE"/>
    <w:rsid w:val="05880374"/>
    <w:rsid w:val="0737795B"/>
    <w:rsid w:val="07832BA1"/>
    <w:rsid w:val="07EA2C20"/>
    <w:rsid w:val="08206641"/>
    <w:rsid w:val="08872B64"/>
    <w:rsid w:val="096B4234"/>
    <w:rsid w:val="0BDA2FAB"/>
    <w:rsid w:val="0CCE2B10"/>
    <w:rsid w:val="0E2D1AB8"/>
    <w:rsid w:val="0E2E291C"/>
    <w:rsid w:val="0E4B1D4D"/>
    <w:rsid w:val="0E88562B"/>
    <w:rsid w:val="0EFB3964"/>
    <w:rsid w:val="0F1B4006"/>
    <w:rsid w:val="0F4F5A5E"/>
    <w:rsid w:val="0F6D1BB1"/>
    <w:rsid w:val="0F8676E6"/>
    <w:rsid w:val="1017657C"/>
    <w:rsid w:val="105C0433"/>
    <w:rsid w:val="1102547E"/>
    <w:rsid w:val="110D797F"/>
    <w:rsid w:val="112F5B47"/>
    <w:rsid w:val="117526ED"/>
    <w:rsid w:val="12086AC4"/>
    <w:rsid w:val="12E84200"/>
    <w:rsid w:val="13053004"/>
    <w:rsid w:val="13F37300"/>
    <w:rsid w:val="14C12F5A"/>
    <w:rsid w:val="14FE41AE"/>
    <w:rsid w:val="158A31C2"/>
    <w:rsid w:val="18BC234B"/>
    <w:rsid w:val="194C312C"/>
    <w:rsid w:val="1AEC52B1"/>
    <w:rsid w:val="1BD33DB0"/>
    <w:rsid w:val="1C47468D"/>
    <w:rsid w:val="1C76287C"/>
    <w:rsid w:val="1C8F393E"/>
    <w:rsid w:val="1CF0166C"/>
    <w:rsid w:val="1CF71C0F"/>
    <w:rsid w:val="1DC878B0"/>
    <w:rsid w:val="1DF24184"/>
    <w:rsid w:val="1E955C6F"/>
    <w:rsid w:val="1EFA16F0"/>
    <w:rsid w:val="20142AD8"/>
    <w:rsid w:val="221C0C67"/>
    <w:rsid w:val="22BD1205"/>
    <w:rsid w:val="235558E1"/>
    <w:rsid w:val="2386089C"/>
    <w:rsid w:val="23BF71FF"/>
    <w:rsid w:val="240F5C1B"/>
    <w:rsid w:val="24135430"/>
    <w:rsid w:val="26086C3B"/>
    <w:rsid w:val="262308A7"/>
    <w:rsid w:val="275A1718"/>
    <w:rsid w:val="27B506FD"/>
    <w:rsid w:val="288B6F5D"/>
    <w:rsid w:val="28F2772E"/>
    <w:rsid w:val="290B2CB6"/>
    <w:rsid w:val="29453D02"/>
    <w:rsid w:val="29455AB0"/>
    <w:rsid w:val="2A30050E"/>
    <w:rsid w:val="2A900FAD"/>
    <w:rsid w:val="2A90584B"/>
    <w:rsid w:val="2AB96EC1"/>
    <w:rsid w:val="2B2636BF"/>
    <w:rsid w:val="2B2A558E"/>
    <w:rsid w:val="2C26606D"/>
    <w:rsid w:val="2CC3566A"/>
    <w:rsid w:val="2CE12A31"/>
    <w:rsid w:val="2D347138"/>
    <w:rsid w:val="2D426ED6"/>
    <w:rsid w:val="2DA60AE7"/>
    <w:rsid w:val="2E0B67ED"/>
    <w:rsid w:val="2E3E6AE2"/>
    <w:rsid w:val="2E5D4DF1"/>
    <w:rsid w:val="2E9F2C7F"/>
    <w:rsid w:val="2EFD6ECF"/>
    <w:rsid w:val="2FCC2A87"/>
    <w:rsid w:val="30185CCC"/>
    <w:rsid w:val="304E7940"/>
    <w:rsid w:val="30650CC3"/>
    <w:rsid w:val="312E3527"/>
    <w:rsid w:val="314825E1"/>
    <w:rsid w:val="32853008"/>
    <w:rsid w:val="32973162"/>
    <w:rsid w:val="33B72FAF"/>
    <w:rsid w:val="340B78F6"/>
    <w:rsid w:val="34BC6025"/>
    <w:rsid w:val="35B30245"/>
    <w:rsid w:val="35C43238"/>
    <w:rsid w:val="369736C3"/>
    <w:rsid w:val="36CE0219"/>
    <w:rsid w:val="37152F66"/>
    <w:rsid w:val="378B76CC"/>
    <w:rsid w:val="37C246DF"/>
    <w:rsid w:val="383279DE"/>
    <w:rsid w:val="38B22A36"/>
    <w:rsid w:val="392E47B3"/>
    <w:rsid w:val="393873DF"/>
    <w:rsid w:val="395835DE"/>
    <w:rsid w:val="398B6763"/>
    <w:rsid w:val="3A72247D"/>
    <w:rsid w:val="3AEF7F72"/>
    <w:rsid w:val="3AFF3892"/>
    <w:rsid w:val="3B84690C"/>
    <w:rsid w:val="3C025A83"/>
    <w:rsid w:val="3C667DC0"/>
    <w:rsid w:val="3CBB45AF"/>
    <w:rsid w:val="3D424389"/>
    <w:rsid w:val="3D475E43"/>
    <w:rsid w:val="3E1A70B4"/>
    <w:rsid w:val="3E94330A"/>
    <w:rsid w:val="3EBC016B"/>
    <w:rsid w:val="3F177A97"/>
    <w:rsid w:val="3FDB4A82"/>
    <w:rsid w:val="3FFF452F"/>
    <w:rsid w:val="4041301D"/>
    <w:rsid w:val="40AA0BC3"/>
    <w:rsid w:val="425A3F23"/>
    <w:rsid w:val="42770F78"/>
    <w:rsid w:val="428611BC"/>
    <w:rsid w:val="435D4BC0"/>
    <w:rsid w:val="43FB34E3"/>
    <w:rsid w:val="44827761"/>
    <w:rsid w:val="46242F77"/>
    <w:rsid w:val="463F1DAD"/>
    <w:rsid w:val="46BD2CD2"/>
    <w:rsid w:val="481A3BB3"/>
    <w:rsid w:val="484E277B"/>
    <w:rsid w:val="49F44C5D"/>
    <w:rsid w:val="4C9B5863"/>
    <w:rsid w:val="4D7A191D"/>
    <w:rsid w:val="4E1C688B"/>
    <w:rsid w:val="4E8F51A9"/>
    <w:rsid w:val="4EB83466"/>
    <w:rsid w:val="4EFF3FC2"/>
    <w:rsid w:val="4FDC68BF"/>
    <w:rsid w:val="50493828"/>
    <w:rsid w:val="50844A63"/>
    <w:rsid w:val="51497F84"/>
    <w:rsid w:val="51D535C6"/>
    <w:rsid w:val="52A116FA"/>
    <w:rsid w:val="52E57838"/>
    <w:rsid w:val="53FA37B7"/>
    <w:rsid w:val="542E3461"/>
    <w:rsid w:val="54337A32"/>
    <w:rsid w:val="56082321"/>
    <w:rsid w:val="56FB3ACE"/>
    <w:rsid w:val="581B3CFC"/>
    <w:rsid w:val="58405511"/>
    <w:rsid w:val="591C6D1C"/>
    <w:rsid w:val="592D1F39"/>
    <w:rsid w:val="5939268C"/>
    <w:rsid w:val="59C7413C"/>
    <w:rsid w:val="5AAD1584"/>
    <w:rsid w:val="5B6634E0"/>
    <w:rsid w:val="5C044343"/>
    <w:rsid w:val="5C3655A9"/>
    <w:rsid w:val="5D5A5247"/>
    <w:rsid w:val="5E781EA8"/>
    <w:rsid w:val="5F2B2A77"/>
    <w:rsid w:val="6151078F"/>
    <w:rsid w:val="615A7643"/>
    <w:rsid w:val="61880654"/>
    <w:rsid w:val="62402D30"/>
    <w:rsid w:val="627110E9"/>
    <w:rsid w:val="62EA0E9B"/>
    <w:rsid w:val="63275C4B"/>
    <w:rsid w:val="64527503"/>
    <w:rsid w:val="65183A9D"/>
    <w:rsid w:val="654B3E73"/>
    <w:rsid w:val="66A31A8D"/>
    <w:rsid w:val="66C855AA"/>
    <w:rsid w:val="66FD53B0"/>
    <w:rsid w:val="67112E9A"/>
    <w:rsid w:val="67144738"/>
    <w:rsid w:val="67D41B8B"/>
    <w:rsid w:val="69790883"/>
    <w:rsid w:val="69AF24F6"/>
    <w:rsid w:val="69D34437"/>
    <w:rsid w:val="6A923C86"/>
    <w:rsid w:val="6AE14931"/>
    <w:rsid w:val="6B2F1B41"/>
    <w:rsid w:val="6BCF6E80"/>
    <w:rsid w:val="6BD050D2"/>
    <w:rsid w:val="6BE26BB3"/>
    <w:rsid w:val="6BEC1471"/>
    <w:rsid w:val="6C9A123C"/>
    <w:rsid w:val="6CB57E72"/>
    <w:rsid w:val="6CE10C19"/>
    <w:rsid w:val="6CEB74F1"/>
    <w:rsid w:val="6CFC5A53"/>
    <w:rsid w:val="6D036DE1"/>
    <w:rsid w:val="6D095382"/>
    <w:rsid w:val="6D4D4500"/>
    <w:rsid w:val="6D763A57"/>
    <w:rsid w:val="6D9013CC"/>
    <w:rsid w:val="6DA32372"/>
    <w:rsid w:val="70233EFA"/>
    <w:rsid w:val="70536E9E"/>
    <w:rsid w:val="70D206F6"/>
    <w:rsid w:val="71463740"/>
    <w:rsid w:val="71FB452B"/>
    <w:rsid w:val="72FD2525"/>
    <w:rsid w:val="7306587D"/>
    <w:rsid w:val="731A30D6"/>
    <w:rsid w:val="74147B26"/>
    <w:rsid w:val="74A013B9"/>
    <w:rsid w:val="74A52E74"/>
    <w:rsid w:val="764D731F"/>
    <w:rsid w:val="768236B0"/>
    <w:rsid w:val="771B11CB"/>
    <w:rsid w:val="78212811"/>
    <w:rsid w:val="78245C38"/>
    <w:rsid w:val="782D7408"/>
    <w:rsid w:val="786077DD"/>
    <w:rsid w:val="7971572F"/>
    <w:rsid w:val="7A305DAE"/>
    <w:rsid w:val="7AD62C51"/>
    <w:rsid w:val="7AF24EBB"/>
    <w:rsid w:val="7B4C4049"/>
    <w:rsid w:val="7B915F00"/>
    <w:rsid w:val="7BC167E5"/>
    <w:rsid w:val="7BF30969"/>
    <w:rsid w:val="7C081327"/>
    <w:rsid w:val="7C930A71"/>
    <w:rsid w:val="7CDA1B6D"/>
    <w:rsid w:val="7E235535"/>
    <w:rsid w:val="7E310E70"/>
    <w:rsid w:val="7E7C2E97"/>
    <w:rsid w:val="7FBF7792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3085</Words>
  <Characters>3269</Characters>
  <Lines>0</Lines>
  <Paragraphs>0</Paragraphs>
  <TotalTime>295</TotalTime>
  <ScaleCrop>false</ScaleCrop>
  <LinksUpToDate>false</LinksUpToDate>
  <CharactersWithSpaces>3314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2024-11-29T01:11:00Z</dcterms:created>
  <dc:creator>张春燕</dc:creator>
  <cp:lastModifiedBy>吉利学院招采处胡炫</cp:lastModifiedBy>
  <dcterms:modified xsi:type="dcterms:W3CDTF">2026-01-08T02:16:43Z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71E542BE96264DB09B4B294D82A0124C_13</vt:lpwstr>
  </property>
  <property fmtid="{D5CDD505-2E9C-101B-9397-08002B2CF9AE}" pid="4" name="KSOTemplateDocerSaveRecord">
    <vt:lpwstr>eyJoZGlkIjoiZjY2YjFhOTdlZDg4M2RhMjhjYTZmYWI3NTJiNjFlYjYiLCJ1c2VySWQiOiI0NTA5Njg1NDQifQ==</vt:lpwstr>
  </property>
</Properties>
</file>