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58ED8">
      <w:pPr>
        <w:pStyle w:val="3"/>
        <w:numPr>
          <w:ilvl w:val="0"/>
          <w:numId w:val="0"/>
        </w:numPr>
        <w:spacing w:line="360" w:lineRule="auto"/>
        <w:jc w:val="center"/>
        <w:rPr>
          <w:rFonts w:hint="eastAsia" w:ascii="Times New Roman" w:hAnsi="宋体" w:eastAsia="宋体" w:cs="Times New Roman"/>
          <w:b/>
          <w:bCs/>
          <w:color w:val="000000"/>
        </w:rPr>
      </w:pPr>
      <w:r>
        <w:rPr>
          <w:rFonts w:hint="eastAsia" w:ascii="Times New Roman" w:hAnsi="宋体" w:eastAsia="宋体" w:cs="Times New Roman"/>
          <w:b/>
          <w:bCs/>
          <w:color w:val="000000"/>
          <w:lang w:val="en-US" w:eastAsia="zh-CN"/>
        </w:rPr>
        <w:t xml:space="preserve"> </w:t>
      </w:r>
      <w:r>
        <w:rPr>
          <w:rFonts w:hint="eastAsia" w:ascii="Times New Roman" w:hAnsi="宋体" w:eastAsia="宋体" w:cs="Times New Roman"/>
          <w:b/>
          <w:bCs/>
          <w:color w:val="000000"/>
        </w:rPr>
        <w:t>合同条款</w:t>
      </w:r>
    </w:p>
    <w:p w14:paraId="26558E34">
      <w:pPr>
        <w:spacing w:line="360" w:lineRule="auto"/>
        <w:jc w:val="center"/>
        <w:outlineLvl w:val="1"/>
        <w:rPr>
          <w:rFonts w:hint="eastAsia"/>
        </w:rPr>
      </w:pPr>
      <w:bookmarkStart w:id="0" w:name="_Toc5669_WPSOffice_Level2"/>
      <w:bookmarkStart w:id="1" w:name="_Toc6762_WPSOffice_Level2"/>
      <w:bookmarkStart w:id="2" w:name="_Toc17311"/>
      <w:r>
        <w:rPr>
          <w:rFonts w:hint="eastAsia"/>
        </w:rPr>
        <w:t>（仅供参考）</w:t>
      </w:r>
      <w:bookmarkEnd w:id="0"/>
      <w:bookmarkEnd w:id="1"/>
      <w:bookmarkEnd w:id="2"/>
    </w:p>
    <w:p w14:paraId="15992D13">
      <w:pPr>
        <w:snapToGrid w:val="0"/>
        <w:spacing w:before="19" w:line="500" w:lineRule="exact"/>
        <w:rPr>
          <w:rFonts w:hAnsi="宋体"/>
          <w:b/>
          <w:sz w:val="24"/>
          <w:u w:val="single"/>
        </w:rPr>
      </w:pPr>
      <w:r>
        <w:rPr>
          <w:rFonts w:hint="eastAsia" w:hAnsi="宋体"/>
          <w:sz w:val="24"/>
        </w:rPr>
        <w:t>甲方:</w:t>
      </w:r>
      <w:r>
        <w:rPr>
          <w:rFonts w:hint="eastAsia" w:hAnsi="宋体"/>
          <w:b/>
          <w:bCs/>
          <w:sz w:val="24"/>
        </w:rPr>
        <w:t xml:space="preserve"> </w:t>
      </w:r>
      <w:r>
        <w:rPr>
          <w:rFonts w:hint="eastAsia" w:hAnsi="宋体"/>
          <w:b/>
          <w:sz w:val="24"/>
          <w:u w:val="single"/>
        </w:rPr>
        <w:t xml:space="preserve">                            </w:t>
      </w:r>
    </w:p>
    <w:p w14:paraId="3C8F93FA">
      <w:pPr>
        <w:snapToGrid w:val="0"/>
        <w:spacing w:before="19" w:line="500" w:lineRule="exact"/>
        <w:rPr>
          <w:rFonts w:hAnsi="宋体"/>
          <w:b/>
          <w:sz w:val="24"/>
          <w:u w:val="single"/>
        </w:rPr>
      </w:pPr>
      <w:r>
        <w:rPr>
          <w:rFonts w:hint="eastAsia" w:hAnsi="宋体"/>
          <w:sz w:val="24"/>
        </w:rPr>
        <w:t>乙方:</w:t>
      </w:r>
      <w:r>
        <w:rPr>
          <w:rFonts w:hint="eastAsia" w:hAnsi="宋体"/>
          <w:b/>
          <w:sz w:val="24"/>
        </w:rPr>
        <w:t xml:space="preserve">  </w:t>
      </w:r>
      <w:r>
        <w:rPr>
          <w:rFonts w:hint="eastAsia" w:hAnsi="宋体"/>
          <w:b/>
          <w:sz w:val="24"/>
          <w:u w:val="single"/>
        </w:rPr>
        <w:t xml:space="preserve">                           </w:t>
      </w:r>
    </w:p>
    <w:p w14:paraId="30276F6B">
      <w:pPr>
        <w:snapToGrid w:val="0"/>
        <w:spacing w:before="19" w:line="500" w:lineRule="exact"/>
        <w:rPr>
          <w:rFonts w:hAnsi="宋体"/>
          <w:sz w:val="24"/>
          <w:u w:val="single"/>
        </w:rPr>
      </w:pPr>
    </w:p>
    <w:p w14:paraId="649A8E48">
      <w:pPr>
        <w:snapToGrid w:val="0"/>
        <w:spacing w:line="360" w:lineRule="auto"/>
        <w:ind w:firstLine="480" w:firstLineChars="200"/>
        <w:rPr>
          <w:b/>
          <w:kern w:val="2"/>
          <w:sz w:val="36"/>
          <w:szCs w:val="36"/>
        </w:rPr>
      </w:pPr>
      <w:r>
        <w:rPr>
          <w:rFonts w:hint="eastAsia" w:hAnsi="宋体"/>
          <w:sz w:val="24"/>
        </w:rPr>
        <w:t>甲乙双方根据</w:t>
      </w: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日</w:t>
      </w:r>
      <w:r>
        <w:rPr>
          <w:rFonts w:hint="eastAsia" w:hAnsi="宋体"/>
          <w:sz w:val="24"/>
          <w:u w:val="single"/>
          <w:lang w:val="en-US" w:eastAsia="zh-CN"/>
        </w:rPr>
        <w:t xml:space="preserve"> 项目名称：  </w:t>
      </w:r>
      <w:bookmarkStart w:id="39" w:name="_GoBack"/>
      <w:bookmarkEnd w:id="39"/>
      <w:r>
        <w:rPr>
          <w:rFonts w:hint="eastAsia" w:hAnsi="宋体"/>
          <w:sz w:val="24"/>
          <w:u w:val="single"/>
          <w:lang w:val="en-US" w:eastAsia="zh-CN"/>
        </w:rPr>
        <w:t xml:space="preserve"> </w:t>
      </w:r>
      <w:r>
        <w:rPr>
          <w:rFonts w:hint="eastAsia" w:hAnsi="宋体"/>
          <w:sz w:val="24"/>
        </w:rPr>
        <w:t>（项目</w:t>
      </w:r>
      <w:r>
        <w:rPr>
          <w:rFonts w:hint="eastAsia" w:hAnsi="宋体"/>
          <w:sz w:val="24"/>
          <w:lang w:val="en-US" w:eastAsia="zh-CN"/>
        </w:rPr>
        <w:t>标包</w:t>
      </w:r>
      <w:r>
        <w:rPr>
          <w:rFonts w:hint="eastAsia" w:hAnsi="宋体"/>
          <w:sz w:val="24"/>
        </w:rPr>
        <w:t>:</w:t>
      </w:r>
      <w:r>
        <w:rPr>
          <w:rFonts w:hint="eastAsia" w:hAnsi="宋体"/>
          <w:sz w:val="24"/>
          <w:lang w:val="en-US" w:eastAsia="zh-CN"/>
        </w:rPr>
        <w:t xml:space="preserve">  </w:t>
      </w:r>
      <w:r>
        <w:rPr>
          <w:rFonts w:hint="eastAsia" w:hAnsi="宋体"/>
          <w:sz w:val="24"/>
        </w:rPr>
        <w:t>）公开成交结果及磋商文件的要求，经协商一致，同意以下专用条款作为本项目合同条款的补充。当合同条款与专用条款不一致时，以专用条款为准。</w:t>
      </w:r>
    </w:p>
    <w:p w14:paraId="06FB3488">
      <w:pPr>
        <w:numPr>
          <w:ilvl w:val="0"/>
          <w:numId w:val="1"/>
          <w:numberingChange w:id="0" w:author="User" w:date="2018-11-26T15:37:00Z" w:original="%1:1:11:、"/>
        </w:numPr>
        <w:autoSpaceDE/>
        <w:autoSpaceDN/>
        <w:adjustRightInd/>
        <w:snapToGrid w:val="0"/>
        <w:spacing w:before="19" w:line="360" w:lineRule="auto"/>
        <w:jc w:val="both"/>
        <w:outlineLvl w:val="1"/>
        <w:rPr>
          <w:rFonts w:hint="eastAsia" w:hAnsi="宋体"/>
          <w:b/>
          <w:sz w:val="28"/>
          <w:szCs w:val="28"/>
        </w:rPr>
      </w:pPr>
      <w:bookmarkStart w:id="3" w:name="_Toc508_WPSOffice_Level2"/>
      <w:bookmarkStart w:id="4" w:name="_Toc3479"/>
      <w:bookmarkStart w:id="5" w:name="_Toc15479_WPSOffice_Level2"/>
      <w:bookmarkStart w:id="6" w:name="_Toc17109_WPSOffice_Level2"/>
      <w:r>
        <w:rPr>
          <w:rFonts w:hint="eastAsia" w:hAnsi="宋体"/>
          <w:b/>
          <w:sz w:val="28"/>
          <w:szCs w:val="28"/>
        </w:rPr>
        <w:t>合同标的及金额等</w:t>
      </w:r>
      <w:bookmarkEnd w:id="3"/>
      <w:bookmarkEnd w:id="4"/>
      <w:bookmarkEnd w:id="5"/>
      <w:bookmarkEnd w:id="6"/>
    </w:p>
    <w:tbl>
      <w:tblPr>
        <w:tblStyle w:val="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04"/>
        <w:gridCol w:w="2203"/>
        <w:gridCol w:w="1440"/>
        <w:gridCol w:w="900"/>
        <w:gridCol w:w="900"/>
        <w:gridCol w:w="1620"/>
        <w:gridCol w:w="900"/>
      </w:tblGrid>
      <w:tr w14:paraId="43C0FC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86" w:hRule="exact"/>
        </w:trPr>
        <w:tc>
          <w:tcPr>
            <w:tcW w:w="804" w:type="dxa"/>
            <w:noWrap w:val="0"/>
            <w:vAlign w:val="center"/>
          </w:tcPr>
          <w:p w14:paraId="51B5F92E">
            <w:pPr>
              <w:jc w:val="center"/>
              <w:rPr>
                <w:rFonts w:hAnsi="宋体"/>
                <w:b/>
                <w:sz w:val="24"/>
              </w:rPr>
            </w:pPr>
            <w:r>
              <w:rPr>
                <w:rFonts w:hint="eastAsia" w:hAnsi="宋体"/>
                <w:b/>
                <w:sz w:val="24"/>
              </w:rPr>
              <w:t>序号</w:t>
            </w:r>
          </w:p>
        </w:tc>
        <w:tc>
          <w:tcPr>
            <w:tcW w:w="2203" w:type="dxa"/>
            <w:noWrap w:val="0"/>
            <w:vAlign w:val="center"/>
          </w:tcPr>
          <w:p w14:paraId="5C58BAA1">
            <w:pPr>
              <w:jc w:val="center"/>
              <w:rPr>
                <w:rFonts w:hAnsi="宋体" w:cs="Arial"/>
                <w:b/>
                <w:sz w:val="24"/>
                <w:szCs w:val="21"/>
              </w:rPr>
            </w:pPr>
            <w:r>
              <w:rPr>
                <w:rFonts w:hint="eastAsia" w:hAnsi="宋体"/>
                <w:b/>
                <w:sz w:val="24"/>
              </w:rPr>
              <w:t>项目名称</w:t>
            </w:r>
          </w:p>
        </w:tc>
        <w:tc>
          <w:tcPr>
            <w:tcW w:w="1440" w:type="dxa"/>
            <w:tcBorders>
              <w:right w:val="single" w:color="auto" w:sz="4" w:space="0"/>
            </w:tcBorders>
            <w:noWrap w:val="0"/>
            <w:vAlign w:val="center"/>
          </w:tcPr>
          <w:p w14:paraId="10E2E1D5">
            <w:pPr>
              <w:jc w:val="center"/>
              <w:rPr>
                <w:rFonts w:hint="default" w:hAnsi="宋体" w:eastAsia="宋体" w:cs="Arial"/>
                <w:b/>
                <w:sz w:val="24"/>
                <w:szCs w:val="21"/>
                <w:lang w:val="en-US" w:eastAsia="zh-CN"/>
              </w:rPr>
            </w:pPr>
            <w:r>
              <w:rPr>
                <w:rFonts w:hint="eastAsia" w:hAnsi="宋体" w:cs="Arial"/>
                <w:b/>
                <w:sz w:val="24"/>
                <w:szCs w:val="21"/>
                <w:lang w:val="en-US" w:eastAsia="zh-CN"/>
              </w:rPr>
              <w:t>服务内容</w:t>
            </w:r>
          </w:p>
        </w:tc>
        <w:tc>
          <w:tcPr>
            <w:tcW w:w="900" w:type="dxa"/>
            <w:tcBorders>
              <w:left w:val="single" w:color="auto" w:sz="4" w:space="0"/>
              <w:right w:val="single" w:color="auto" w:sz="4" w:space="0"/>
            </w:tcBorders>
            <w:noWrap w:val="0"/>
            <w:vAlign w:val="center"/>
          </w:tcPr>
          <w:p w14:paraId="6BEAFE9C">
            <w:pPr>
              <w:jc w:val="center"/>
              <w:rPr>
                <w:rFonts w:hint="eastAsia" w:hAnsi="宋体" w:eastAsia="宋体" w:cs="Arial"/>
                <w:b/>
                <w:sz w:val="24"/>
                <w:szCs w:val="21"/>
                <w:lang w:eastAsia="zh-CN"/>
              </w:rPr>
            </w:pPr>
            <w:r>
              <w:rPr>
                <w:rFonts w:hint="eastAsia" w:hAnsi="宋体" w:cs="Arial"/>
                <w:b/>
                <w:sz w:val="24"/>
                <w:szCs w:val="21"/>
                <w:lang w:val="en-US" w:eastAsia="zh-CN"/>
              </w:rPr>
              <w:t>单位</w:t>
            </w:r>
          </w:p>
        </w:tc>
        <w:tc>
          <w:tcPr>
            <w:tcW w:w="900" w:type="dxa"/>
            <w:tcBorders>
              <w:left w:val="single" w:color="auto" w:sz="4" w:space="0"/>
            </w:tcBorders>
            <w:noWrap w:val="0"/>
            <w:vAlign w:val="center"/>
          </w:tcPr>
          <w:p w14:paraId="49CA4254">
            <w:pPr>
              <w:ind w:left="105"/>
              <w:jc w:val="center"/>
              <w:rPr>
                <w:rFonts w:hAnsi="宋体" w:cs="Arial"/>
                <w:b/>
                <w:sz w:val="24"/>
                <w:szCs w:val="21"/>
              </w:rPr>
            </w:pPr>
            <w:r>
              <w:rPr>
                <w:rFonts w:hint="eastAsia" w:hAnsi="宋体" w:cs="Arial"/>
                <w:b/>
                <w:sz w:val="24"/>
                <w:szCs w:val="21"/>
              </w:rPr>
              <w:t>单价</w:t>
            </w:r>
          </w:p>
        </w:tc>
        <w:tc>
          <w:tcPr>
            <w:tcW w:w="1620" w:type="dxa"/>
            <w:tcBorders>
              <w:right w:val="single" w:color="auto" w:sz="4" w:space="0"/>
            </w:tcBorders>
            <w:noWrap w:val="0"/>
            <w:vAlign w:val="center"/>
          </w:tcPr>
          <w:p w14:paraId="01F992E4">
            <w:pPr>
              <w:jc w:val="center"/>
              <w:rPr>
                <w:rFonts w:hAnsi="宋体" w:cs="Arial"/>
                <w:b/>
                <w:sz w:val="24"/>
                <w:szCs w:val="21"/>
              </w:rPr>
            </w:pPr>
            <w:r>
              <w:rPr>
                <w:rFonts w:hint="eastAsia" w:hAnsi="宋体" w:cs="Arial"/>
                <w:b/>
                <w:sz w:val="24"/>
                <w:szCs w:val="21"/>
              </w:rPr>
              <w:t>小计</w:t>
            </w:r>
          </w:p>
        </w:tc>
        <w:tc>
          <w:tcPr>
            <w:tcW w:w="900" w:type="dxa"/>
            <w:tcBorders>
              <w:left w:val="single" w:color="auto" w:sz="4" w:space="0"/>
            </w:tcBorders>
            <w:noWrap w:val="0"/>
            <w:vAlign w:val="center"/>
          </w:tcPr>
          <w:p w14:paraId="30EF8609">
            <w:pPr>
              <w:jc w:val="center"/>
              <w:rPr>
                <w:rFonts w:hAnsi="宋体" w:cs="Arial"/>
                <w:b/>
                <w:sz w:val="24"/>
                <w:szCs w:val="21"/>
              </w:rPr>
            </w:pPr>
            <w:r>
              <w:rPr>
                <w:rFonts w:hint="eastAsia" w:hAnsi="宋体" w:cs="Arial"/>
                <w:b/>
                <w:sz w:val="24"/>
                <w:szCs w:val="21"/>
              </w:rPr>
              <w:t>备注</w:t>
            </w:r>
          </w:p>
        </w:tc>
      </w:tr>
      <w:tr w14:paraId="3F0C42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81" w:hRule="exact"/>
        </w:trPr>
        <w:tc>
          <w:tcPr>
            <w:tcW w:w="804" w:type="dxa"/>
            <w:noWrap w:val="0"/>
            <w:vAlign w:val="center"/>
          </w:tcPr>
          <w:p w14:paraId="68740A7D">
            <w:pPr>
              <w:jc w:val="center"/>
              <w:rPr>
                <w:rFonts w:hAnsi="宋体"/>
                <w:sz w:val="24"/>
              </w:rPr>
            </w:pPr>
            <w:r>
              <w:rPr>
                <w:rFonts w:hint="eastAsia" w:hAnsi="宋体"/>
                <w:sz w:val="24"/>
              </w:rPr>
              <w:t>1</w:t>
            </w:r>
          </w:p>
        </w:tc>
        <w:tc>
          <w:tcPr>
            <w:tcW w:w="2203" w:type="dxa"/>
            <w:noWrap w:val="0"/>
            <w:vAlign w:val="center"/>
          </w:tcPr>
          <w:p w14:paraId="2C1D1B76">
            <w:pPr>
              <w:jc w:val="center"/>
              <w:rPr>
                <w:szCs w:val="21"/>
              </w:rPr>
            </w:pPr>
          </w:p>
        </w:tc>
        <w:tc>
          <w:tcPr>
            <w:tcW w:w="1440" w:type="dxa"/>
            <w:tcBorders>
              <w:right w:val="single" w:color="auto" w:sz="4" w:space="0"/>
            </w:tcBorders>
            <w:noWrap w:val="0"/>
            <w:vAlign w:val="center"/>
          </w:tcPr>
          <w:p w14:paraId="6FC6E6FE">
            <w:pPr>
              <w:jc w:val="center"/>
              <w:rPr>
                <w:rFonts w:hAnsi="宋体"/>
                <w:sz w:val="24"/>
              </w:rPr>
            </w:pPr>
          </w:p>
        </w:tc>
        <w:tc>
          <w:tcPr>
            <w:tcW w:w="900" w:type="dxa"/>
            <w:tcBorders>
              <w:left w:val="single" w:color="auto" w:sz="4" w:space="0"/>
              <w:right w:val="single" w:color="auto" w:sz="4" w:space="0"/>
            </w:tcBorders>
            <w:noWrap w:val="0"/>
            <w:vAlign w:val="center"/>
          </w:tcPr>
          <w:p w14:paraId="1A9F8683">
            <w:pPr>
              <w:jc w:val="center"/>
              <w:rPr>
                <w:rFonts w:hAnsi="宋体"/>
                <w:sz w:val="24"/>
              </w:rPr>
            </w:pPr>
          </w:p>
        </w:tc>
        <w:tc>
          <w:tcPr>
            <w:tcW w:w="900" w:type="dxa"/>
            <w:tcBorders>
              <w:left w:val="single" w:color="auto" w:sz="4" w:space="0"/>
            </w:tcBorders>
            <w:noWrap w:val="0"/>
            <w:vAlign w:val="center"/>
          </w:tcPr>
          <w:p w14:paraId="4399FCCB">
            <w:pPr>
              <w:jc w:val="center"/>
              <w:rPr>
                <w:rFonts w:hAnsi="宋体"/>
                <w:sz w:val="24"/>
              </w:rPr>
            </w:pPr>
          </w:p>
        </w:tc>
        <w:tc>
          <w:tcPr>
            <w:tcW w:w="1620" w:type="dxa"/>
            <w:tcBorders>
              <w:right w:val="single" w:color="auto" w:sz="4" w:space="0"/>
            </w:tcBorders>
            <w:noWrap w:val="0"/>
            <w:vAlign w:val="center"/>
          </w:tcPr>
          <w:p w14:paraId="6256BDDE">
            <w:pPr>
              <w:jc w:val="center"/>
              <w:rPr>
                <w:rFonts w:hAnsi="宋体"/>
                <w:sz w:val="24"/>
              </w:rPr>
            </w:pPr>
          </w:p>
        </w:tc>
        <w:tc>
          <w:tcPr>
            <w:tcW w:w="900" w:type="dxa"/>
            <w:tcBorders>
              <w:left w:val="single" w:color="auto" w:sz="4" w:space="0"/>
            </w:tcBorders>
            <w:noWrap w:val="0"/>
            <w:vAlign w:val="center"/>
          </w:tcPr>
          <w:p w14:paraId="76DEFBCB">
            <w:pPr>
              <w:jc w:val="center"/>
              <w:rPr>
                <w:rFonts w:hAnsi="宋体"/>
                <w:sz w:val="24"/>
              </w:rPr>
            </w:pPr>
          </w:p>
        </w:tc>
      </w:tr>
      <w:tr w14:paraId="71A2E0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80" w:hRule="exact"/>
        </w:trPr>
        <w:tc>
          <w:tcPr>
            <w:tcW w:w="804" w:type="dxa"/>
            <w:noWrap w:val="0"/>
            <w:vAlign w:val="center"/>
          </w:tcPr>
          <w:p w14:paraId="3F930AFE">
            <w:pPr>
              <w:jc w:val="center"/>
              <w:rPr>
                <w:rFonts w:hAnsi="宋体"/>
                <w:sz w:val="24"/>
              </w:rPr>
            </w:pPr>
            <w:r>
              <w:rPr>
                <w:rFonts w:hint="eastAsia" w:hAnsi="宋体"/>
                <w:sz w:val="24"/>
              </w:rPr>
              <w:t>2</w:t>
            </w:r>
          </w:p>
        </w:tc>
        <w:tc>
          <w:tcPr>
            <w:tcW w:w="2203" w:type="dxa"/>
            <w:noWrap w:val="0"/>
            <w:vAlign w:val="center"/>
          </w:tcPr>
          <w:p w14:paraId="5E625E9E">
            <w:pPr>
              <w:jc w:val="center"/>
              <w:rPr>
                <w:szCs w:val="21"/>
              </w:rPr>
            </w:pPr>
          </w:p>
        </w:tc>
        <w:tc>
          <w:tcPr>
            <w:tcW w:w="1440" w:type="dxa"/>
            <w:tcBorders>
              <w:right w:val="single" w:color="auto" w:sz="4" w:space="0"/>
            </w:tcBorders>
            <w:noWrap w:val="0"/>
            <w:vAlign w:val="center"/>
          </w:tcPr>
          <w:p w14:paraId="4BF0426F">
            <w:pPr>
              <w:jc w:val="center"/>
              <w:rPr>
                <w:rFonts w:hAnsi="宋体"/>
                <w:sz w:val="24"/>
              </w:rPr>
            </w:pPr>
          </w:p>
        </w:tc>
        <w:tc>
          <w:tcPr>
            <w:tcW w:w="900" w:type="dxa"/>
            <w:tcBorders>
              <w:left w:val="single" w:color="auto" w:sz="4" w:space="0"/>
              <w:right w:val="single" w:color="auto" w:sz="4" w:space="0"/>
            </w:tcBorders>
            <w:noWrap w:val="0"/>
            <w:vAlign w:val="center"/>
          </w:tcPr>
          <w:p w14:paraId="5AFB81EB">
            <w:pPr>
              <w:jc w:val="center"/>
              <w:rPr>
                <w:rFonts w:hAnsi="宋体"/>
                <w:sz w:val="24"/>
              </w:rPr>
            </w:pPr>
          </w:p>
        </w:tc>
        <w:tc>
          <w:tcPr>
            <w:tcW w:w="900" w:type="dxa"/>
            <w:tcBorders>
              <w:left w:val="single" w:color="auto" w:sz="4" w:space="0"/>
            </w:tcBorders>
            <w:noWrap w:val="0"/>
            <w:vAlign w:val="center"/>
          </w:tcPr>
          <w:p w14:paraId="74536840">
            <w:pPr>
              <w:jc w:val="center"/>
              <w:rPr>
                <w:rFonts w:hAnsi="宋体"/>
                <w:sz w:val="24"/>
              </w:rPr>
            </w:pPr>
          </w:p>
        </w:tc>
        <w:tc>
          <w:tcPr>
            <w:tcW w:w="1620" w:type="dxa"/>
            <w:tcBorders>
              <w:right w:val="single" w:color="auto" w:sz="4" w:space="0"/>
            </w:tcBorders>
            <w:noWrap w:val="0"/>
            <w:vAlign w:val="center"/>
          </w:tcPr>
          <w:p w14:paraId="4FF20823">
            <w:pPr>
              <w:jc w:val="center"/>
              <w:rPr>
                <w:rFonts w:hAnsi="宋体"/>
                <w:sz w:val="24"/>
              </w:rPr>
            </w:pPr>
          </w:p>
        </w:tc>
        <w:tc>
          <w:tcPr>
            <w:tcW w:w="900" w:type="dxa"/>
            <w:tcBorders>
              <w:left w:val="single" w:color="auto" w:sz="4" w:space="0"/>
            </w:tcBorders>
            <w:noWrap w:val="0"/>
            <w:vAlign w:val="center"/>
          </w:tcPr>
          <w:p w14:paraId="2693D1D8">
            <w:pPr>
              <w:jc w:val="center"/>
              <w:rPr>
                <w:rFonts w:hAnsi="宋体"/>
                <w:sz w:val="24"/>
              </w:rPr>
            </w:pPr>
          </w:p>
        </w:tc>
      </w:tr>
      <w:tr w14:paraId="18BAC1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64" w:hRule="atLeast"/>
        </w:trPr>
        <w:tc>
          <w:tcPr>
            <w:tcW w:w="3007" w:type="dxa"/>
            <w:gridSpan w:val="2"/>
            <w:vMerge w:val="restart"/>
            <w:noWrap w:val="0"/>
            <w:vAlign w:val="center"/>
          </w:tcPr>
          <w:p w14:paraId="76CAD4BD">
            <w:pPr>
              <w:jc w:val="center"/>
              <w:rPr>
                <w:rFonts w:hAnsi="宋体"/>
                <w:sz w:val="24"/>
              </w:rPr>
            </w:pPr>
            <w:r>
              <w:rPr>
                <w:rFonts w:hint="eastAsia" w:hAnsi="宋体"/>
                <w:b/>
                <w:sz w:val="24"/>
              </w:rPr>
              <w:t xml:space="preserve">报价总额  </w:t>
            </w:r>
          </w:p>
        </w:tc>
        <w:tc>
          <w:tcPr>
            <w:tcW w:w="5760" w:type="dxa"/>
            <w:gridSpan w:val="5"/>
            <w:noWrap w:val="0"/>
            <w:vAlign w:val="center"/>
          </w:tcPr>
          <w:p w14:paraId="2AED51EA">
            <w:pPr>
              <w:rPr>
                <w:rFonts w:hAnsi="宋体"/>
                <w:sz w:val="24"/>
              </w:rPr>
            </w:pPr>
            <w:r>
              <w:rPr>
                <w:rFonts w:hint="eastAsia" w:hAnsi="宋体"/>
                <w:sz w:val="24"/>
              </w:rPr>
              <w:t xml:space="preserve">（小写）：            </w:t>
            </w:r>
          </w:p>
        </w:tc>
      </w:tr>
      <w:tr w14:paraId="2BD76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75" w:hRule="exact"/>
        </w:trPr>
        <w:tc>
          <w:tcPr>
            <w:tcW w:w="3007" w:type="dxa"/>
            <w:gridSpan w:val="2"/>
            <w:vMerge w:val="continue"/>
            <w:noWrap w:val="0"/>
            <w:vAlign w:val="center"/>
          </w:tcPr>
          <w:p w14:paraId="0ED409C2">
            <w:pPr>
              <w:jc w:val="center"/>
              <w:rPr>
                <w:rFonts w:hAnsi="宋体"/>
                <w:sz w:val="24"/>
              </w:rPr>
            </w:pPr>
          </w:p>
        </w:tc>
        <w:tc>
          <w:tcPr>
            <w:tcW w:w="5760" w:type="dxa"/>
            <w:gridSpan w:val="5"/>
            <w:noWrap w:val="0"/>
            <w:vAlign w:val="center"/>
          </w:tcPr>
          <w:p w14:paraId="24B1AF1C">
            <w:pPr>
              <w:rPr>
                <w:rFonts w:hAnsi="宋体"/>
                <w:sz w:val="24"/>
              </w:rPr>
            </w:pPr>
            <w:r>
              <w:rPr>
                <w:rFonts w:hint="eastAsia" w:hAnsi="宋体"/>
                <w:sz w:val="24"/>
              </w:rPr>
              <w:t xml:space="preserve">（大写）：                      </w:t>
            </w:r>
          </w:p>
        </w:tc>
      </w:tr>
    </w:tbl>
    <w:p w14:paraId="534A3B09">
      <w:pPr>
        <w:snapToGrid w:val="0"/>
        <w:spacing w:line="360" w:lineRule="auto"/>
        <w:jc w:val="both"/>
        <w:outlineLvl w:val="1"/>
        <w:rPr>
          <w:rFonts w:hint="default" w:hAnsi="宋体" w:eastAsia="宋体"/>
          <w:b/>
          <w:sz w:val="24"/>
          <w:lang w:val="en-US" w:eastAsia="zh-CN"/>
        </w:rPr>
      </w:pPr>
      <w:bookmarkStart w:id="7" w:name="_Toc12021_WPSOffice_Level2"/>
      <w:bookmarkStart w:id="8" w:name="_Toc31922_WPSOffice_Level2"/>
      <w:bookmarkStart w:id="9" w:name="_Toc11372_WPSOffice_Level2"/>
      <w:bookmarkStart w:id="10" w:name="_Toc9477"/>
      <w:r>
        <w:rPr>
          <w:rFonts w:hint="eastAsia" w:hAnsi="宋体"/>
          <w:b/>
          <w:sz w:val="28"/>
          <w:szCs w:val="28"/>
        </w:rPr>
        <w:t>二、地点：</w:t>
      </w:r>
      <w:bookmarkEnd w:id="7"/>
      <w:bookmarkEnd w:id="8"/>
      <w:bookmarkEnd w:id="9"/>
      <w:bookmarkEnd w:id="10"/>
      <w:r>
        <w:rPr>
          <w:rFonts w:hint="eastAsia" w:hAnsi="宋体"/>
          <w:b/>
          <w:sz w:val="28"/>
          <w:szCs w:val="28"/>
          <w:lang w:val="en-US" w:eastAsia="zh-CN"/>
        </w:rPr>
        <w:t>采购人指定。</w:t>
      </w:r>
    </w:p>
    <w:p w14:paraId="109F8F4A">
      <w:pPr>
        <w:snapToGrid w:val="0"/>
        <w:spacing w:line="360" w:lineRule="auto"/>
        <w:jc w:val="both"/>
        <w:outlineLvl w:val="1"/>
        <w:rPr>
          <w:rFonts w:hAnsi="宋体"/>
          <w:b/>
          <w:sz w:val="28"/>
          <w:szCs w:val="28"/>
        </w:rPr>
      </w:pPr>
      <w:bookmarkStart w:id="11" w:name="_Toc233_WPSOffice_Level2"/>
      <w:bookmarkStart w:id="12" w:name="_Toc2151"/>
      <w:bookmarkStart w:id="13" w:name="_Toc19871_WPSOffice_Level2"/>
      <w:bookmarkStart w:id="14" w:name="_Toc16604_WPSOffice_Level2"/>
      <w:r>
        <w:rPr>
          <w:rFonts w:hint="eastAsia" w:hAnsi="宋体"/>
          <w:b/>
          <w:sz w:val="28"/>
          <w:szCs w:val="28"/>
        </w:rPr>
        <w:t>三、付款</w:t>
      </w:r>
      <w:bookmarkEnd w:id="11"/>
      <w:bookmarkEnd w:id="12"/>
      <w:bookmarkEnd w:id="13"/>
      <w:bookmarkEnd w:id="14"/>
    </w:p>
    <w:p w14:paraId="7D15F055">
      <w:pPr>
        <w:snapToGrid w:val="0"/>
        <w:spacing w:line="360" w:lineRule="auto"/>
        <w:ind w:firstLine="470" w:firstLineChars="196"/>
        <w:rPr>
          <w:rFonts w:hint="eastAsia" w:hAnsi="宋体"/>
          <w:sz w:val="24"/>
        </w:rPr>
      </w:pPr>
      <w:r>
        <w:rPr>
          <w:rFonts w:hint="eastAsia" w:hAnsi="宋体"/>
          <w:sz w:val="24"/>
          <w:lang w:val="en-US" w:eastAsia="zh-CN"/>
        </w:rPr>
        <w:t>详见采购需求</w:t>
      </w:r>
      <w:r>
        <w:rPr>
          <w:rFonts w:hint="eastAsia" w:hAnsi="宋体"/>
          <w:sz w:val="24"/>
        </w:rPr>
        <w:t>。</w:t>
      </w:r>
    </w:p>
    <w:p w14:paraId="541943C4">
      <w:pPr>
        <w:numPr>
          <w:ilvl w:val="0"/>
          <w:numId w:val="2"/>
        </w:numPr>
        <w:snapToGrid w:val="0"/>
        <w:spacing w:line="360" w:lineRule="auto"/>
        <w:outlineLvl w:val="1"/>
        <w:rPr>
          <w:rFonts w:hint="eastAsia" w:hAnsi="宋体"/>
          <w:b/>
          <w:sz w:val="28"/>
          <w:szCs w:val="28"/>
        </w:rPr>
      </w:pPr>
      <w:bookmarkStart w:id="15" w:name="_Toc1070"/>
      <w:bookmarkStart w:id="16" w:name="_Toc25246_WPSOffice_Level2"/>
      <w:bookmarkStart w:id="17" w:name="_Toc25713_WPSOffice_Level2"/>
      <w:bookmarkStart w:id="18" w:name="_Toc13472_WPSOffice_Level2"/>
      <w:r>
        <w:rPr>
          <w:rFonts w:hint="eastAsia" w:hAnsi="宋体"/>
          <w:b/>
          <w:sz w:val="28"/>
          <w:szCs w:val="28"/>
        </w:rPr>
        <w:t>违约赔偿</w:t>
      </w:r>
      <w:bookmarkEnd w:id="15"/>
      <w:bookmarkEnd w:id="16"/>
      <w:bookmarkEnd w:id="17"/>
      <w:bookmarkEnd w:id="18"/>
    </w:p>
    <w:p w14:paraId="772FB76D">
      <w:pPr>
        <w:snapToGrid w:val="0"/>
        <w:spacing w:line="360" w:lineRule="auto"/>
        <w:ind w:firstLine="470" w:firstLineChars="196"/>
        <w:rPr>
          <w:rFonts w:hint="default" w:hAnsi="宋体"/>
          <w:sz w:val="24"/>
          <w:lang w:val="en-US" w:eastAsia="zh-CN"/>
        </w:rPr>
      </w:pPr>
      <w:r>
        <w:rPr>
          <w:rFonts w:hint="eastAsia" w:hAnsi="宋体"/>
          <w:sz w:val="24"/>
          <w:lang w:val="en-US" w:eastAsia="zh-CN"/>
        </w:rPr>
        <w:t>双方自行协商</w:t>
      </w:r>
    </w:p>
    <w:p w14:paraId="622ACC6B">
      <w:pPr>
        <w:snapToGrid w:val="0"/>
        <w:spacing w:line="360" w:lineRule="auto"/>
        <w:outlineLvl w:val="1"/>
        <w:rPr>
          <w:rFonts w:hAnsi="宋体"/>
          <w:b/>
          <w:sz w:val="28"/>
          <w:szCs w:val="28"/>
        </w:rPr>
      </w:pPr>
      <w:bookmarkStart w:id="19" w:name="_Toc16436_WPSOffice_Level2"/>
      <w:bookmarkStart w:id="20" w:name="_Toc2013_WPSOffice_Level2"/>
      <w:bookmarkStart w:id="21" w:name="_Toc30276"/>
      <w:bookmarkStart w:id="22" w:name="_Toc10260_WPSOffice_Level2"/>
      <w:r>
        <w:rPr>
          <w:rFonts w:hint="eastAsia" w:hAnsi="宋体"/>
          <w:b/>
          <w:sz w:val="28"/>
          <w:szCs w:val="28"/>
        </w:rPr>
        <w:t>五、合同纠纷处理</w:t>
      </w:r>
      <w:bookmarkEnd w:id="19"/>
      <w:bookmarkEnd w:id="20"/>
      <w:bookmarkEnd w:id="21"/>
      <w:bookmarkEnd w:id="22"/>
    </w:p>
    <w:p w14:paraId="17D70A1D">
      <w:pPr>
        <w:tabs>
          <w:tab w:val="left" w:pos="1980"/>
        </w:tabs>
        <w:snapToGrid w:val="0"/>
        <w:spacing w:line="360" w:lineRule="auto"/>
        <w:ind w:firstLine="470" w:firstLineChars="196"/>
        <w:rPr>
          <w:rFonts w:hAnsi="宋体"/>
          <w:sz w:val="24"/>
        </w:rPr>
      </w:pPr>
      <w:r>
        <w:rPr>
          <w:rFonts w:hint="eastAsia" w:hAnsi="宋体"/>
          <w:sz w:val="24"/>
        </w:rPr>
        <w:t>本合同执行过程中发生纠纷，作如下处理：</w:t>
      </w:r>
    </w:p>
    <w:p w14:paraId="5C07C3AE">
      <w:pPr>
        <w:tabs>
          <w:tab w:val="left" w:pos="1980"/>
        </w:tabs>
        <w:snapToGrid w:val="0"/>
        <w:spacing w:line="360" w:lineRule="auto"/>
        <w:ind w:firstLine="470" w:firstLineChars="196"/>
        <w:rPr>
          <w:rFonts w:hAnsi="宋体"/>
          <w:sz w:val="24"/>
        </w:rPr>
      </w:pPr>
      <w:r>
        <w:rPr>
          <w:rFonts w:hint="eastAsia" w:hAnsi="宋体"/>
          <w:sz w:val="24"/>
        </w:rPr>
        <w:t>1、申请仲裁。仲裁机构为海南仲裁委员会。</w:t>
      </w:r>
    </w:p>
    <w:p w14:paraId="112A3AD5">
      <w:pPr>
        <w:tabs>
          <w:tab w:val="left" w:pos="1980"/>
        </w:tabs>
        <w:snapToGrid w:val="0"/>
        <w:spacing w:line="360" w:lineRule="auto"/>
        <w:ind w:firstLine="470" w:firstLineChars="196"/>
        <w:rPr>
          <w:rFonts w:hAnsi="宋体"/>
          <w:sz w:val="24"/>
        </w:rPr>
      </w:pPr>
      <w:r>
        <w:rPr>
          <w:rFonts w:hint="eastAsia" w:hAnsi="宋体"/>
          <w:sz w:val="24"/>
        </w:rPr>
        <w:t>2、提起诉讼。诉讼地点为采购人所在地。</w:t>
      </w:r>
    </w:p>
    <w:p w14:paraId="01A44B75">
      <w:pPr>
        <w:snapToGrid w:val="0"/>
        <w:spacing w:line="360" w:lineRule="auto"/>
        <w:jc w:val="both"/>
        <w:outlineLvl w:val="1"/>
        <w:rPr>
          <w:rFonts w:hAnsi="宋体"/>
          <w:b/>
          <w:sz w:val="28"/>
          <w:szCs w:val="28"/>
        </w:rPr>
      </w:pPr>
      <w:bookmarkStart w:id="23" w:name="_Toc6111_WPSOffice_Level2"/>
      <w:bookmarkStart w:id="24" w:name="_Toc32507_WPSOffice_Level2"/>
      <w:bookmarkStart w:id="25" w:name="_Toc16301_WPSOffice_Level2"/>
      <w:bookmarkStart w:id="26" w:name="_Toc10799"/>
      <w:r>
        <w:rPr>
          <w:rFonts w:hint="eastAsia" w:hAnsi="宋体"/>
          <w:b/>
          <w:sz w:val="28"/>
          <w:szCs w:val="28"/>
        </w:rPr>
        <w:t>六、合同生效</w:t>
      </w:r>
      <w:bookmarkEnd w:id="23"/>
      <w:bookmarkEnd w:id="24"/>
      <w:bookmarkEnd w:id="25"/>
      <w:bookmarkEnd w:id="26"/>
    </w:p>
    <w:p w14:paraId="09B756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firstLineChars="200"/>
        <w:rPr>
          <w:rFonts w:cs="宋体"/>
          <w:sz w:val="24"/>
          <w:lang w:val="zh-CN"/>
        </w:rPr>
      </w:pPr>
      <w:r>
        <w:rPr>
          <w:rFonts w:hint="eastAsia" w:cs="宋体"/>
          <w:sz w:val="24"/>
          <w:lang w:val="zh-CN"/>
        </w:rPr>
        <w:t>本合同经甲乙双方各自指定的代表人签字和盖章、以及采购代理机构签字和盖章后生效。</w:t>
      </w:r>
    </w:p>
    <w:p w14:paraId="6D815471">
      <w:pPr>
        <w:snapToGrid w:val="0"/>
        <w:spacing w:line="360" w:lineRule="auto"/>
        <w:jc w:val="both"/>
        <w:outlineLvl w:val="1"/>
        <w:rPr>
          <w:rFonts w:hAnsi="宋体"/>
          <w:b/>
          <w:sz w:val="28"/>
          <w:szCs w:val="28"/>
        </w:rPr>
      </w:pPr>
      <w:bookmarkStart w:id="27" w:name="_Toc9017_WPSOffice_Level2"/>
      <w:bookmarkStart w:id="28" w:name="_Toc18530_WPSOffice_Level2"/>
      <w:bookmarkStart w:id="29" w:name="_Toc23823_WPSOffice_Level2"/>
      <w:bookmarkStart w:id="30" w:name="_Toc153"/>
      <w:r>
        <w:rPr>
          <w:rFonts w:hint="eastAsia" w:hAnsi="宋体"/>
          <w:b/>
          <w:sz w:val="28"/>
          <w:szCs w:val="28"/>
        </w:rPr>
        <w:t>七、合同鉴证</w:t>
      </w:r>
      <w:bookmarkEnd w:id="27"/>
      <w:bookmarkEnd w:id="28"/>
      <w:bookmarkEnd w:id="29"/>
      <w:bookmarkEnd w:id="30"/>
    </w:p>
    <w:p w14:paraId="24C90675">
      <w:pPr>
        <w:snapToGrid w:val="0"/>
        <w:spacing w:line="360" w:lineRule="auto"/>
        <w:ind w:firstLine="480" w:firstLineChars="200"/>
        <w:rPr>
          <w:rFonts w:hAnsi="宋体"/>
          <w:b/>
          <w:sz w:val="24"/>
        </w:rPr>
      </w:pPr>
      <w:r>
        <w:rPr>
          <w:rFonts w:hint="eastAsia" w:hAnsi="宋体"/>
          <w:sz w:val="24"/>
        </w:rPr>
        <w:t>采购代理机构应当在本合同上签章，以证明本合同条款与磋商文件、磋商响应文件的相关要求相符并且未对采购内容和技术参数进行实质性修改。</w:t>
      </w:r>
    </w:p>
    <w:p w14:paraId="1A9F7F8F">
      <w:pPr>
        <w:snapToGrid w:val="0"/>
        <w:spacing w:line="360" w:lineRule="auto"/>
        <w:jc w:val="both"/>
        <w:outlineLvl w:val="1"/>
        <w:rPr>
          <w:rFonts w:hAnsi="宋体"/>
          <w:b/>
          <w:sz w:val="28"/>
          <w:szCs w:val="28"/>
        </w:rPr>
      </w:pPr>
      <w:bookmarkStart w:id="31" w:name="_Toc30414_WPSOffice_Level2"/>
      <w:bookmarkStart w:id="32" w:name="_Toc4216_WPSOffice_Level2"/>
      <w:bookmarkStart w:id="33" w:name="_Toc26999_WPSOffice_Level2"/>
      <w:bookmarkStart w:id="34" w:name="_Toc13513"/>
      <w:r>
        <w:rPr>
          <w:rFonts w:hint="eastAsia" w:hAnsi="宋体"/>
          <w:b/>
          <w:sz w:val="28"/>
          <w:szCs w:val="28"/>
        </w:rPr>
        <w:t>八、组成本合同的文件包括：</w:t>
      </w:r>
      <w:bookmarkEnd w:id="31"/>
      <w:bookmarkEnd w:id="32"/>
      <w:bookmarkEnd w:id="33"/>
      <w:bookmarkEnd w:id="34"/>
    </w:p>
    <w:p w14:paraId="586752F9">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1.合同通用条款和专用条款；</w:t>
      </w:r>
    </w:p>
    <w:p w14:paraId="1B5E1EBC">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2.磋商文件、乙方的磋商响应文件和评标时的澄清函（如有）；</w:t>
      </w:r>
    </w:p>
    <w:p w14:paraId="0107DFF5">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3.成交通知书；</w:t>
      </w:r>
    </w:p>
    <w:p w14:paraId="50C8A047">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4.甲乙双方商定的其他必要文件。</w:t>
      </w:r>
    </w:p>
    <w:p w14:paraId="38FFA37D">
      <w:pPr>
        <w:snapToGrid w:val="0"/>
        <w:spacing w:line="360" w:lineRule="auto"/>
        <w:ind w:firstLine="480" w:firstLineChars="200"/>
        <w:rPr>
          <w:rFonts w:hAnsi="宋体"/>
          <w:bCs/>
          <w:sz w:val="24"/>
        </w:rPr>
      </w:pPr>
      <w:r>
        <w:rPr>
          <w:rFonts w:hint="eastAsia" w:hAnsi="宋体"/>
          <w:bCs/>
          <w:sz w:val="24"/>
        </w:rPr>
        <w:t>上述合同文件内容互为补充，如有不明确，由甲方负责解释。</w:t>
      </w:r>
    </w:p>
    <w:p w14:paraId="0767B869">
      <w:pPr>
        <w:snapToGrid w:val="0"/>
        <w:spacing w:line="360" w:lineRule="auto"/>
        <w:jc w:val="both"/>
        <w:outlineLvl w:val="1"/>
        <w:rPr>
          <w:rFonts w:hAnsi="宋体"/>
          <w:b/>
          <w:sz w:val="28"/>
          <w:szCs w:val="28"/>
        </w:rPr>
      </w:pPr>
      <w:bookmarkStart w:id="35" w:name="_Toc17422_WPSOffice_Level2"/>
      <w:bookmarkStart w:id="36" w:name="_Toc6027_WPSOffice_Level2"/>
      <w:bookmarkStart w:id="37" w:name="_Toc5768_WPSOffice_Level2"/>
      <w:bookmarkStart w:id="38" w:name="_Toc2074"/>
      <w:r>
        <w:rPr>
          <w:rFonts w:hint="eastAsia" w:hAnsi="宋体"/>
          <w:b/>
          <w:sz w:val="28"/>
          <w:szCs w:val="28"/>
        </w:rPr>
        <w:t>九、合同备案</w:t>
      </w:r>
      <w:bookmarkEnd w:id="35"/>
      <w:bookmarkEnd w:id="36"/>
      <w:bookmarkEnd w:id="37"/>
      <w:bookmarkEnd w:id="38"/>
    </w:p>
    <w:p w14:paraId="14F473F7">
      <w:pPr>
        <w:snapToGrid w:val="0"/>
        <w:spacing w:line="360" w:lineRule="auto"/>
        <w:ind w:firstLine="480" w:firstLineChars="200"/>
        <w:jc w:val="both"/>
        <w:rPr>
          <w:rFonts w:hAnsi="宋体"/>
          <w:bCs/>
          <w:sz w:val="24"/>
        </w:rPr>
      </w:pPr>
      <w:r>
        <w:rPr>
          <w:rFonts w:hint="eastAsia" w:hAnsi="宋体"/>
          <w:bCs/>
          <w:sz w:val="24"/>
        </w:rPr>
        <w:t>本合同一式伍份，中文书写。甲方执两份，乙方、采购代理机构各执一份，另外一份由采购代理机构报政府采购主管部门备案。</w:t>
      </w:r>
    </w:p>
    <w:p w14:paraId="717C76D9">
      <w:pPr>
        <w:snapToGrid w:val="0"/>
        <w:spacing w:line="360" w:lineRule="auto"/>
        <w:ind w:firstLine="480" w:firstLineChars="200"/>
        <w:rPr>
          <w:rFonts w:hAnsi="宋体"/>
          <w:bCs/>
          <w:sz w:val="24"/>
        </w:rPr>
      </w:pPr>
    </w:p>
    <w:p w14:paraId="3BABE921">
      <w:pPr>
        <w:snapToGrid w:val="0"/>
        <w:spacing w:line="360" w:lineRule="auto"/>
        <w:rPr>
          <w:rFonts w:hAnsi="宋体"/>
          <w:b/>
          <w:sz w:val="24"/>
          <w:u w:val="single"/>
        </w:rPr>
      </w:pPr>
      <w:r>
        <w:rPr>
          <w:rFonts w:hint="eastAsia" w:hAnsi="宋体"/>
          <w:b/>
          <w:sz w:val="24"/>
        </w:rPr>
        <w:t>甲方：</w:t>
      </w:r>
      <w:r>
        <w:rPr>
          <w:rFonts w:hint="eastAsia" w:hAnsi="宋体"/>
          <w:b/>
          <w:sz w:val="24"/>
          <w:u w:val="single"/>
        </w:rPr>
        <w:t xml:space="preserve">                   （盖章）</w:t>
      </w:r>
      <w:r>
        <w:rPr>
          <w:rFonts w:hint="eastAsia" w:hAnsi="宋体"/>
          <w:b/>
          <w:sz w:val="24"/>
        </w:rPr>
        <w:t xml:space="preserve">     乙方：</w:t>
      </w:r>
      <w:r>
        <w:rPr>
          <w:rFonts w:hint="eastAsia" w:hAnsi="宋体"/>
          <w:b/>
          <w:sz w:val="24"/>
          <w:u w:val="single"/>
        </w:rPr>
        <w:t xml:space="preserve">                  （盖章）</w:t>
      </w:r>
    </w:p>
    <w:p w14:paraId="4EBB6F9E">
      <w:pPr>
        <w:snapToGrid w:val="0"/>
        <w:spacing w:line="360" w:lineRule="auto"/>
        <w:rPr>
          <w:rFonts w:hAnsi="宋体"/>
          <w:sz w:val="24"/>
          <w:u w:val="single"/>
        </w:rPr>
      </w:pPr>
      <w:r>
        <w:rPr>
          <w:rFonts w:hint="eastAsia" w:hAnsi="宋体"/>
          <w:sz w:val="24"/>
        </w:rPr>
        <w:t>地址：</w:t>
      </w:r>
      <w:r>
        <w:rPr>
          <w:rFonts w:hint="eastAsia" w:hAnsi="宋体"/>
          <w:sz w:val="24"/>
          <w:u w:val="single"/>
        </w:rPr>
        <w:t xml:space="preserve">                           </w:t>
      </w:r>
      <w:r>
        <w:rPr>
          <w:rFonts w:hint="eastAsia" w:hAnsi="宋体"/>
          <w:sz w:val="24"/>
        </w:rPr>
        <w:t xml:space="preserve">      地址：</w:t>
      </w:r>
      <w:r>
        <w:rPr>
          <w:rFonts w:hint="eastAsia" w:hAnsi="宋体"/>
          <w:sz w:val="24"/>
          <w:u w:val="single"/>
        </w:rPr>
        <w:t xml:space="preserve">                                           </w:t>
      </w:r>
    </w:p>
    <w:p w14:paraId="625881DD">
      <w:pPr>
        <w:snapToGrid w:val="0"/>
        <w:spacing w:line="360" w:lineRule="auto"/>
        <w:rPr>
          <w:rFonts w:hAnsi="宋体"/>
          <w:sz w:val="24"/>
        </w:rPr>
      </w:pPr>
      <w:r>
        <w:rPr>
          <w:rFonts w:hint="eastAsia" w:hAnsi="宋体"/>
          <w:sz w:val="24"/>
        </w:rPr>
        <w:t>法定（或授权）代表人：</w:t>
      </w:r>
      <w:r>
        <w:rPr>
          <w:rFonts w:hint="eastAsia" w:hAnsi="宋体"/>
          <w:sz w:val="24"/>
          <w:u w:val="single"/>
        </w:rPr>
        <w:t xml:space="preserve">            </w:t>
      </w:r>
      <w:r>
        <w:rPr>
          <w:rFonts w:hint="eastAsia" w:hAnsi="宋体"/>
          <w:sz w:val="24"/>
        </w:rPr>
        <w:t xml:space="preserve">     法定（或授权）代表人：</w:t>
      </w:r>
      <w:r>
        <w:rPr>
          <w:rFonts w:hint="eastAsia" w:hAnsi="宋体"/>
          <w:sz w:val="24"/>
          <w:u w:val="single"/>
        </w:rPr>
        <w:t xml:space="preserve">            </w:t>
      </w:r>
    </w:p>
    <w:p w14:paraId="4A8DD590">
      <w:pPr>
        <w:snapToGrid w:val="0"/>
        <w:spacing w:line="360" w:lineRule="auto"/>
        <w:rPr>
          <w:rFonts w:hint="eastAsia" w:hAnsi="宋体" w:cs="宋体"/>
          <w:b/>
          <w:sz w:val="24"/>
        </w:rPr>
      </w:pP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 xml:space="preserve">日                   </w:t>
      </w: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日</w:t>
      </w:r>
    </w:p>
    <w:p w14:paraId="1A70CE10">
      <w:pPr>
        <w:snapToGrid w:val="0"/>
        <w:spacing w:before="312" w:beforeLines="100" w:line="360" w:lineRule="auto"/>
        <w:ind w:firstLine="482" w:firstLineChars="200"/>
        <w:rPr>
          <w:rFonts w:hAnsi="宋体" w:cs="宋体"/>
          <w:b/>
          <w:sz w:val="24"/>
        </w:rPr>
      </w:pPr>
      <w:r>
        <w:rPr>
          <w:rFonts w:hint="eastAsia" w:hAnsi="宋体" w:cs="宋体"/>
          <w:b/>
          <w:sz w:val="24"/>
        </w:rPr>
        <w:t>代理人声明：本合同标的经海南政兴源项目管理有限公司依法定程序采购，合同主要条款内容与磋商文件、乙方的磋商响应文件的内容一致。</w:t>
      </w:r>
    </w:p>
    <w:p w14:paraId="3BF27427">
      <w:pPr>
        <w:snapToGrid w:val="0"/>
        <w:spacing w:before="312" w:beforeLines="100" w:line="360" w:lineRule="auto"/>
        <w:ind w:firstLine="480" w:firstLineChars="200"/>
        <w:rPr>
          <w:rFonts w:hAnsi="宋体" w:cs="宋体"/>
          <w:bCs/>
          <w:sz w:val="24"/>
        </w:rPr>
      </w:pPr>
      <w:r>
        <w:rPr>
          <w:rFonts w:hint="eastAsia" w:hAnsi="宋体" w:cs="宋体"/>
          <w:bCs/>
          <w:sz w:val="24"/>
        </w:rPr>
        <w:t>代理人：</w:t>
      </w:r>
      <w:r>
        <w:rPr>
          <w:rFonts w:hint="eastAsia" w:hAnsi="宋体"/>
          <w:b/>
          <w:sz w:val="24"/>
          <w:u w:val="single"/>
        </w:rPr>
        <w:t xml:space="preserve">         </w:t>
      </w:r>
      <w:r>
        <w:rPr>
          <w:rFonts w:hint="eastAsia" w:hAnsi="宋体" w:cs="宋体"/>
          <w:bCs/>
          <w:sz w:val="24"/>
        </w:rPr>
        <w:t>（公章）</w:t>
      </w:r>
    </w:p>
    <w:p w14:paraId="32C1F5FE">
      <w:pPr>
        <w:snapToGrid w:val="0"/>
        <w:spacing w:before="312" w:beforeLines="100" w:line="360" w:lineRule="auto"/>
        <w:ind w:firstLine="480" w:firstLineChars="200"/>
        <w:jc w:val="left"/>
        <w:rPr>
          <w:rFonts w:hint="eastAsia"/>
        </w:rPr>
      </w:pPr>
      <w:r>
        <w:rPr>
          <w:rFonts w:hint="eastAsia" w:hAnsi="宋体" w:cs="宋体"/>
          <w:bCs/>
          <w:sz w:val="24"/>
        </w:rPr>
        <w:t>经办人：</w:t>
      </w:r>
      <w:r>
        <w:rPr>
          <w:rFonts w:hint="eastAsia" w:hAnsi="宋体" w:cs="宋体"/>
          <w:bCs/>
          <w:sz w:val="24"/>
          <w:lang w:val="en-US" w:eastAsia="zh-CN"/>
        </w:rPr>
        <w:t xml:space="preserve">                            </w:t>
      </w:r>
      <w:r>
        <w:rPr>
          <w:rFonts w:hint="eastAsia" w:hAnsi="宋体" w:cs="宋体"/>
          <w:bCs/>
          <w:sz w:val="24"/>
        </w:rPr>
        <w:t>日    期：</w:t>
      </w:r>
      <w:r>
        <w:rPr>
          <w:rFonts w:hint="eastAsia" w:hAnsi="宋体" w:cs="宋体"/>
          <w:bCs/>
          <w:sz w:val="24"/>
          <w:u w:val="single"/>
        </w:rPr>
        <w:t xml:space="preserve">     </w:t>
      </w:r>
      <w:r>
        <w:rPr>
          <w:rFonts w:hint="eastAsia" w:hAnsi="宋体" w:cs="宋体"/>
          <w:bCs/>
          <w:sz w:val="24"/>
        </w:rPr>
        <w:t>年</w:t>
      </w:r>
      <w:r>
        <w:rPr>
          <w:rFonts w:hint="eastAsia" w:hAnsi="宋体" w:cs="宋体"/>
          <w:bCs/>
          <w:sz w:val="24"/>
          <w:u w:val="single"/>
        </w:rPr>
        <w:t xml:space="preserve">    </w:t>
      </w:r>
      <w:r>
        <w:rPr>
          <w:rFonts w:hint="eastAsia" w:hAnsi="宋体" w:cs="宋体"/>
          <w:bCs/>
          <w:sz w:val="24"/>
        </w:rPr>
        <w:t>月</w:t>
      </w:r>
      <w:r>
        <w:rPr>
          <w:rFonts w:hint="eastAsia" w:hAnsi="宋体" w:cs="宋体"/>
          <w:bCs/>
          <w:sz w:val="24"/>
          <w:u w:val="single"/>
        </w:rPr>
        <w:t xml:space="preserve">    </w:t>
      </w:r>
      <w:r>
        <w:rPr>
          <w:rFonts w:hint="eastAsia" w:hAnsi="宋体" w:cs="宋体"/>
          <w:bCs/>
          <w:sz w:val="24"/>
        </w:rPr>
        <w:t>日</w:t>
      </w:r>
    </w:p>
    <w:p w14:paraId="6AF1E58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FD915"/>
    <w:multiLevelType w:val="singleLevel"/>
    <w:tmpl w:val="006FD915"/>
    <w:lvl w:ilvl="0" w:tentative="0">
      <w:start w:val="4"/>
      <w:numFmt w:val="chineseCounting"/>
      <w:suff w:val="nothing"/>
      <w:lvlText w:val="%1、"/>
      <w:lvlJc w:val="left"/>
      <w:rPr>
        <w:rFonts w:hint="eastAsia"/>
      </w:rPr>
    </w:lvl>
  </w:abstractNum>
  <w:abstractNum w:abstractNumId="1">
    <w:nsid w:val="6F573B92"/>
    <w:multiLevelType w:val="multilevel"/>
    <w:tmpl w:val="6F573B92"/>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E76EB"/>
    <w:rsid w:val="085003D2"/>
    <w:rsid w:val="41FE7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pacing w:line="315" w:lineRule="atLeast"/>
    </w:pPr>
    <w:rPr>
      <w:rFonts w:ascii="宋体" w:hAnsi="Times New Roman" w:eastAsia="宋体" w:cs="Times New Roman"/>
      <w:sz w:val="30"/>
      <w:lang w:val="en-US" w:eastAsia="zh-CN" w:bidi="ar-SA"/>
    </w:rPr>
  </w:style>
  <w:style w:type="paragraph" w:styleId="3">
    <w:name w:val="heading 1"/>
    <w:basedOn w:val="1"/>
    <w:next w:val="1"/>
    <w:qFormat/>
    <w:uiPriority w:val="0"/>
    <w:pPr>
      <w:keepNext/>
      <w:keepLines/>
      <w:spacing w:before="340" w:after="330" w:line="576" w:lineRule="auto"/>
      <w:outlineLvl w:val="0"/>
    </w:pPr>
    <w:rPr>
      <w:rFonts w:ascii="Times New Roman"/>
      <w:b/>
      <w:bCs/>
      <w:kern w:val="44"/>
      <w:sz w:val="44"/>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659</Words>
  <Characters>671</Characters>
  <Lines>0</Lines>
  <Paragraphs>0</Paragraphs>
  <TotalTime>2</TotalTime>
  <ScaleCrop>false</ScaleCrop>
  <LinksUpToDate>false</LinksUpToDate>
  <CharactersWithSpaces>1034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2025-12-18T05:19:00Z</dcterms:created>
  <dc:creator>爱二货的俊秀</dc:creator>
  <cp:lastModifiedBy>爱二货的俊秀</cp:lastModifiedBy>
  <dcterms:modified xsi:type="dcterms:W3CDTF">2025-12-25T08:19:15Z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AED09C8C554B4FCD9C9FCE81F9DB35B6_11</vt:lpwstr>
  </property>
  <property fmtid="{D5CDD505-2E9C-101B-9397-08002B2CF9AE}" pid="4" name="KSOTemplateDocerSaveRecord">
    <vt:lpwstr>eyJoZGlkIjoiMmM4NWYwNmM0YzljNGU2YzE2OTQxM2I0N2ZjYjhkMDAiLCJ1c2VySWQiOiIyOTg1Mjk2ODQifQ==</vt:lpwstr>
  </property>
</Properties>
</file>