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441900021-2025-00575</w:t>
      </w:r>
    </w:p>
    <w:p>
      <w:pPr>
        <w:pStyle w:val="null3"/>
        <w:jc w:val="center"/>
        <w:outlineLvl w:val="3"/>
      </w:pPr>
      <w:r>
        <w:rPr>
          <w:sz w:val="24"/>
          <w:b/>
        </w:rPr>
        <w:t>采购项目编号：</w:t>
      </w:r>
      <w:r>
        <w:rPr>
          <w:sz w:val="24"/>
          <w:b/>
        </w:rPr>
        <w:t>441900021-2025-00575</w:t>
      </w:r>
    </w:p>
    <w:p>
      <w:pPr>
        <w:pStyle w:val="null3"/>
        <w:jc w:val="center"/>
        <w:outlineLvl w:val="3"/>
      </w:pPr>
      <w:r>
        <w:rPr>
          <w:sz w:val="24"/>
          <w:b/>
        </w:rPr>
        <w:t>项目名称：</w:t>
      </w:r>
      <w:r>
        <w:rPr>
          <w:sz w:val="24"/>
          <w:b/>
        </w:rPr>
        <w:t>大朗镇中心区除“四害”项目</w:t>
      </w:r>
    </w:p>
    <w:p>
      <w:pPr>
        <w:pStyle w:val="null3"/>
        <w:jc w:val="center"/>
        <w:outlineLvl w:val="3"/>
      </w:pPr>
      <w:r>
        <w:rPr>
          <w:sz w:val="24"/>
          <w:b/>
        </w:rPr>
        <w:t>采购人：</w:t>
      </w:r>
      <w:r>
        <w:rPr>
          <w:sz w:val="24"/>
          <w:b/>
        </w:rPr>
        <w:t>东莞市大朗镇公用事业服务中心</w:t>
      </w:r>
    </w:p>
    <w:p>
      <w:pPr>
        <w:pStyle w:val="null3"/>
        <w:jc w:val="center"/>
        <w:outlineLvl w:val="3"/>
      </w:pPr>
      <w:r>
        <w:rPr>
          <w:sz w:val="24"/>
          <w:b/>
        </w:rPr>
        <w:t>采购代理机构：</w:t>
      </w:r>
      <w:r>
        <w:rPr>
          <w:sz w:val="24"/>
          <w:b/>
        </w:rPr>
        <w:t>广东互盈招标有限公司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广东互盈招标有限公司</w:t>
      </w:r>
      <w:r>
        <w:rPr/>
        <w:t>受</w:t>
      </w:r>
      <w:r>
        <w:rPr/>
        <w:t>东莞市大朗镇公用事业服务中心</w:t>
      </w:r>
      <w:r>
        <w:rPr/>
        <w:t>的委托，采用</w:t>
      </w:r>
      <w:r>
        <w:rPr/>
        <w:t>公开招标</w:t>
      </w:r>
      <w:r>
        <w:rPr/>
        <w:t>方式组织采购</w:t>
      </w:r>
      <w:r>
        <w:rPr/>
        <w:t>大朗镇中心区除“四害”项目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大朗镇中心区除“四害”项目</w:t>
      </w:r>
    </w:p>
    <w:p>
      <w:pPr>
        <w:pStyle w:val="null3"/>
        <w:ind w:firstLine="480"/>
      </w:pPr>
      <w:r>
        <w:rPr/>
        <w:t>采购计划编号：</w:t>
      </w:r>
      <w:r>
        <w:rPr/>
        <w:t>441900021-2025-00575</w:t>
      </w:r>
    </w:p>
    <w:p>
      <w:pPr>
        <w:pStyle w:val="null3"/>
        <w:ind w:firstLine="480"/>
      </w:pPr>
      <w:r>
        <w:rPr/>
        <w:t>采购项目编号：</w:t>
      </w:r>
      <w:r>
        <w:rPr/>
        <w:t>441900021-2025-00575</w:t>
      </w:r>
    </w:p>
    <w:p>
      <w:pPr>
        <w:pStyle w:val="null3"/>
        <w:ind w:firstLine="480"/>
      </w:pPr>
      <w:r>
        <w:rPr/>
        <w:t>采购方式：</w:t>
      </w:r>
      <w:r>
        <w:rPr/>
        <w:t>公开招标</w:t>
      </w:r>
    </w:p>
    <w:p>
      <w:pPr>
        <w:pStyle w:val="null3"/>
        <w:ind w:firstLine="480"/>
      </w:pPr>
      <w:r>
        <w:rPr/>
        <w:t>预算金额：</w:t>
      </w:r>
      <w:r>
        <w:rPr/>
        <w:t>1,579,300.00</w:t>
      </w:r>
      <w:r>
        <w:rPr/>
        <w:t>元</w:t>
      </w:r>
    </w:p>
    <w:p>
      <w:pPr>
        <w:pStyle w:val="null3"/>
        <w:outlineLvl w:val="3"/>
      </w:pPr>
      <w:r>
        <w:rPr>
          <w:sz w:val="24"/>
          <w:b/>
        </w:rPr>
        <w:t>2.项目内容及需求情况（采购项目技术规格、参数及要求）</w:t>
      </w:r>
    </w:p>
    <w:p>
      <w:pPr>
        <w:pStyle w:val="null3"/>
      </w:pPr>
      <w:r>
        <w:rPr/>
        <w:t>采购包1(大朗镇中心区除“四害”项目):</w:t>
      </w:r>
    </w:p>
    <w:p>
      <w:pPr>
        <w:pStyle w:val="null3"/>
      </w:pPr>
      <w:r>
        <w:rPr/>
        <w:t>采购包预算金额：1,579,300.00元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大朗镇中心区除“四害”项目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合同履行期限：二年。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1）具有独立承担民事责任的能力：投标人具有独立承担民事责任的能力的证明文件（提供营业执照或事业单位法人证书等证明文件，自然人投标的提供身份证明，复印件加盖投标人公章）；</w:t>
      </w:r>
    </w:p>
    <w:p>
      <w:pPr>
        <w:pStyle w:val="null3"/>
      </w:pPr>
      <w:r>
        <w:rPr/>
        <w:t>2）有依法缴纳税收和社会保障资金的良好记录：具有依法缴纳税收和社会保障资金的良好记录的证明文件（投标人自行提供，依法免税的，提供相关证明文件，复印件加盖投标人公章）【投标文件中提供相关证明材料或《资格条件承诺函》】；</w:t>
      </w:r>
    </w:p>
    <w:p>
      <w:pPr>
        <w:pStyle w:val="null3"/>
      </w:pPr>
      <w:r>
        <w:rPr/>
        <w:t>3）具有良好的商业信誉和健全的财务会计制度：具有良好的商业信誉和健全的财务会计制度证明文件（提供近年度的财务状况说明文件；若投标人新成立的，提供成立至今的月或季度财务状况报告或基本开户行出具的资信证明，复印件加盖投标人公章）【投标文件中提供相关证明材料或《资格条件承诺函》】；</w:t>
      </w:r>
    </w:p>
    <w:p>
      <w:pPr>
        <w:pStyle w:val="null3"/>
      </w:pPr>
      <w:r>
        <w:rPr/>
        <w:t>4）履行合同所必需的设备和专业技术能力：具有履行合同所必需的设备和专业技术能力证明文件【投标文件中提供相关证明材料或《资格条件承诺函》】；</w:t>
      </w:r>
    </w:p>
    <w:p>
      <w:pPr>
        <w:pStyle w:val="null3"/>
      </w:pPr>
      <w:r>
        <w:rPr/>
        <w:t>5）参加采购活动前3年内，在经营活动中没有重大违法记录：参加政府采购活动前三年内，在经营活动中没有重大违法记录的书面声明文件【投标文件中提供书面声明文件或《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采购包1（大朗镇中心区除“四害”项目）：</w:t>
      </w:r>
      <w:r>
        <w:rPr/>
        <w:t>本项目专门面向中小企业采购。</w:t>
      </w:r>
    </w:p>
    <w:p>
      <w:pPr>
        <w:pStyle w:val="null3"/>
        <w:outlineLvl w:val="3"/>
      </w:pPr>
      <w:r>
        <w:rPr>
          <w:sz w:val="24"/>
          <w:b/>
        </w:rPr>
        <w:t>3.本项目特定的资格要求：</w:t>
      </w:r>
    </w:p>
    <w:p>
      <w:pPr>
        <w:pStyle w:val="null3"/>
      </w:pPr>
      <w:r>
        <w:rPr/>
        <w:t>采购包1（大朗镇中心区除“四害”项目）：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东莞市大朗镇公用事业服务中心</w:t>
      </w:r>
    </w:p>
    <w:p>
      <w:pPr>
        <w:pStyle w:val="null3"/>
        <w:ind w:firstLine="480"/>
      </w:pPr>
      <w:r>
        <w:rPr/>
        <w:t xml:space="preserve"> 地址：</w:t>
      </w:r>
      <w:r>
        <w:rPr/>
        <w:t>东莞市大朗镇升平路1号城管大楼</w:t>
      </w:r>
    </w:p>
    <w:p>
      <w:pPr>
        <w:pStyle w:val="null3"/>
        <w:ind w:firstLine="480"/>
      </w:pPr>
      <w:r>
        <w:rPr/>
        <w:t xml:space="preserve"> 联系方式：</w:t>
      </w:r>
      <w:r>
        <w:rPr/>
        <w:t>0769-83315631</w:t>
      </w:r>
    </w:p>
    <w:p>
      <w:pPr>
        <w:pStyle w:val="null3"/>
        <w:outlineLvl w:val="3"/>
      </w:pPr>
      <w:r>
        <w:rPr>
          <w:sz w:val="24"/>
          <w:b/>
        </w:rPr>
        <w:t xml:space="preserve"> 2.采购代理机构信息</w:t>
      </w:r>
    </w:p>
    <w:p>
      <w:pPr>
        <w:pStyle w:val="null3"/>
        <w:ind w:firstLine="480"/>
      </w:pPr>
      <w:r>
        <w:rPr/>
        <w:t xml:space="preserve"> 名称：</w:t>
      </w:r>
      <w:r>
        <w:rPr/>
        <w:t>广东互盈招标有限公司</w:t>
      </w:r>
    </w:p>
    <w:p>
      <w:pPr>
        <w:pStyle w:val="null3"/>
        <w:ind w:firstLine="480"/>
      </w:pPr>
      <w:r>
        <w:rPr/>
        <w:t xml:space="preserve"> 地址：</w:t>
      </w:r>
      <w:r>
        <w:rPr/>
        <w:t>东莞市南城街道银丰路银城大厦4楼401号</w:t>
      </w:r>
    </w:p>
    <w:p>
      <w:pPr>
        <w:pStyle w:val="null3"/>
        <w:ind w:firstLine="480"/>
      </w:pPr>
      <w:r>
        <w:rPr/>
        <w:t xml:space="preserve"> 联系方式：</w:t>
      </w:r>
      <w:r>
        <w:rPr/>
        <w:t>0769-21661522</w:t>
      </w:r>
    </w:p>
    <w:p>
      <w:pPr>
        <w:pStyle w:val="null3"/>
        <w:outlineLvl w:val="3"/>
      </w:pPr>
      <w:r>
        <w:rPr>
          <w:sz w:val="24"/>
          <w:b/>
        </w:rPr>
        <w:t xml:space="preserve"> 3.项目联系方式</w:t>
      </w:r>
    </w:p>
    <w:p>
      <w:pPr>
        <w:pStyle w:val="null3"/>
        <w:ind w:firstLine="480"/>
      </w:pPr>
      <w:r>
        <w:rPr/>
        <w:t xml:space="preserve"> 项目联系人：</w:t>
      </w:r>
      <w:r>
        <w:rPr/>
        <w:t>钟丹</w:t>
      </w:r>
    </w:p>
    <w:p>
      <w:pPr>
        <w:pStyle w:val="null3"/>
        <w:ind w:firstLine="480"/>
      </w:pPr>
      <w:r>
        <w:rPr/>
        <w:t xml:space="preserve"> 电话：</w:t>
      </w:r>
      <w:r>
        <w:rPr/>
        <w:t>0769-21661522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广东互盈招标有限公司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color w:val="000000"/>
        </w:rPr>
        <w:t>本项目为</w:t>
      </w:r>
      <w:r>
        <w:rPr>
          <w:sz w:val="20"/>
        </w:rPr>
        <w:t>大朗镇中心区除</w:t>
      </w:r>
      <w:r>
        <w:rPr>
          <w:sz w:val="20"/>
        </w:rPr>
        <w:t>“四害”</w:t>
      </w:r>
      <w:r>
        <w:rPr>
          <w:sz w:val="20"/>
        </w:rPr>
        <w:t>采购</w:t>
      </w:r>
      <w:r>
        <w:rPr>
          <w:sz w:val="20"/>
          <w:color w:val="000000"/>
        </w:rPr>
        <w:t>。</w:t>
      </w:r>
    </w:p>
    <w:p>
      <w:pPr>
        <w:pStyle w:val="null3"/>
      </w:pPr>
      <w:r>
        <w:rPr/>
        <w:t>采购包1（大朗镇中心区除“四害”项目）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二年。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季度结算费用：1、自本合同期内第二个季度开始，每季度第一个月5日前，采购人结合考评结果支付上季度承包费，中标人将上一个季度相关结算资料送交采购人，采购人在收到结算资料后3个工作日内完成审查并通知中标人审查结果。（1）审查通过后5个工作日内，采购人向中标人支付相应款项；（2）审查未通过且中标人提交的结算资料确有问题的，中标人应当重新提交审查资料，审查通过后5个工作日内，采购人向中标人支付相应款项。2、每次付款前，中标人须先向采购人出具等额合法发票，否则采购人有权延迟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对中标人承包范围内的除“四害”质量进行检查，每次检查按百分制打分，分好(100分-90分)、中(89分-80分)、差(79分以下)三个档次。2、除“四害”检查打分在(100分-90分)属好，不扣款；(89分-80分)属中，每少1分扣除当季度承包费的1％；(79分以下)属差，每少1分扣除当季度承包费的2％。累计5次属差的，采购人可单方面终止合同。 3、检查扣分标准：按《大朗镇中心区除“四害”现场考核评分暂行标准》执行（详见合同附件）。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大朗镇中心区除“四害”项目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1,579,300.00</w:t>
            </w:r>
          </w:p>
        </w:tc>
        <w:tc>
          <w:tcPr>
            <w:tcW w:type="dxa" w:w="933"/>
          </w:tcPr>
          <w:p>
            <w:pPr>
              <w:pStyle w:val="null3"/>
              <w:jc w:val="right"/>
            </w:pPr>
            <w:r>
              <w:rPr/>
              <w:t>1,579,300.00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大朗镇中心区除“四害”项目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color w:val="000000"/>
              </w:rPr>
              <w:t>一、除四害服务范围及消杀次数</w:t>
            </w:r>
          </w:p>
          <w:p>
            <w:pPr>
              <w:pStyle w:val="null3"/>
              <w:jc w:val="both"/>
            </w:pPr>
            <w:r>
              <w:rPr>
                <w:sz w:val="20"/>
                <w:b/>
                <w:color w:val="000000"/>
              </w:rPr>
              <w:t>（</w:t>
            </w:r>
            <w:r>
              <w:rPr>
                <w:sz w:val="20"/>
                <w:b/>
                <w:color w:val="000000"/>
              </w:rPr>
              <w:t>一</w:t>
            </w:r>
            <w:r>
              <w:rPr>
                <w:sz w:val="20"/>
                <w:b/>
                <w:color w:val="000000"/>
              </w:rPr>
              <w:t>）</w:t>
            </w:r>
            <w:r>
              <w:rPr>
                <w:sz w:val="20"/>
                <w:color w:val="000000"/>
              </w:rPr>
              <w:t>在</w:t>
            </w:r>
            <w:r>
              <w:rPr>
                <w:sz w:val="20"/>
                <w:color w:val="000000"/>
              </w:rPr>
              <w:t>服务期</w:t>
            </w:r>
            <w:r>
              <w:rPr>
                <w:sz w:val="20"/>
                <w:color w:val="000000"/>
              </w:rPr>
              <w:t>内，</w:t>
            </w:r>
            <w:r>
              <w:rPr>
                <w:sz w:val="20"/>
                <w:color w:val="000000"/>
              </w:rPr>
              <w:t>中标人</w:t>
            </w:r>
            <w:r>
              <w:rPr>
                <w:sz w:val="20"/>
                <w:color w:val="000000"/>
              </w:rPr>
              <w:t>负责大朗镇中心区的除</w:t>
            </w:r>
            <w:r>
              <w:rPr>
                <w:sz w:val="20"/>
                <w:color w:val="000000"/>
              </w:rPr>
              <w:t>“四害”工作，具体范围如下：</w:t>
            </w:r>
          </w:p>
          <w:tbl>
            <w:tblPr>
              <w:tblInd w:type="dxa" w:w="120"/>
              <w:tblBorders>
                <w:top w:val="none" w:color="000000" w:sz="4"/>
                <w:left w:val="none" w:color="000000" w:sz="4"/>
                <w:bottom w:val="none" w:color="000000" w:sz="4"/>
                <w:right w:val="none" w:color="000000" w:sz="4"/>
                <w:insideH w:val="none"/>
                <w:insideV w:val="none"/>
              </w:tblBorders>
            </w:tblPr>
            <w:tblGrid>
              <w:gridCol w:w="459"/>
              <w:gridCol w:w="4030"/>
              <w:gridCol w:w="996"/>
              <w:gridCol w:w="447"/>
              <w:gridCol w:w="682"/>
              <w:gridCol w:w="369"/>
            </w:tblGrid>
            <w:tr>
              <w:tc>
                <w:tcPr>
                  <w:tcW w:type="dxa" w:w="4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40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名称</w:t>
                  </w:r>
                </w:p>
              </w:tc>
              <w:tc>
                <w:tcPr>
                  <w:tcW w:type="dxa" w:w="9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绿化带面积（㎡）</w:t>
                  </w:r>
                </w:p>
              </w:tc>
              <w:tc>
                <w:tcPr>
                  <w:tcW w:type="dxa" w:w="4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次数</w:t>
                  </w:r>
                </w:p>
              </w:tc>
              <w:tc>
                <w:tcPr>
                  <w:tcW w:type="dxa" w:w="6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下水道长（</w:t>
                  </w:r>
                  <w:r>
                    <w:rPr>
                      <w:sz w:val="20"/>
                      <w:color w:val="000000"/>
                    </w:rPr>
                    <w:t>m）</w:t>
                  </w:r>
                </w:p>
              </w:tc>
              <w:tc>
                <w:tcPr>
                  <w:tcW w:type="dxa" w:w="3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次数</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美景路（银朗路口</w:t>
                  </w:r>
                  <w:r>
                    <w:rPr>
                      <w:sz w:val="20"/>
                      <w:color w:val="000000"/>
                    </w:rPr>
                    <w:t>-美景中路洋坑塘红绿灯）</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富华路（富华南路</w:t>
                  </w:r>
                  <w:r>
                    <w:rPr>
                      <w:sz w:val="20"/>
                      <w:color w:val="000000"/>
                    </w:rPr>
                    <w:t>-富华中路-富华北路）</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19600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3920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金朗路（金朗北路东坑路口</w:t>
                  </w:r>
                  <w:r>
                    <w:rPr>
                      <w:sz w:val="20"/>
                      <w:color w:val="000000"/>
                    </w:rPr>
                    <w:t>-金朗中路-金朗南路与银朗南路交汇处）</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19500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银朗路（银朗北路</w:t>
                  </w:r>
                  <w:r>
                    <w:rPr>
                      <w:sz w:val="20"/>
                      <w:color w:val="000000"/>
                    </w:rPr>
                    <w:t>-银朗南路与金朗南路交汇处）</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5400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富民路（富民北路东坑路口</w:t>
                  </w:r>
                  <w:r>
                    <w:rPr>
                      <w:sz w:val="20"/>
                      <w:color w:val="000000"/>
                    </w:rPr>
                    <w:t>-富民南路大朗人力资源分局止）</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87000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5800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松佛路（松山湖畅园路口红绿灯处</w:t>
                  </w:r>
                  <w:r>
                    <w:rPr>
                      <w:sz w:val="20"/>
                      <w:color w:val="000000"/>
                    </w:rPr>
                    <w:t>-美景中路口）3140米</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3140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迎宾路（富民中路交汇处</w:t>
                  </w:r>
                  <w:r>
                    <w:rPr>
                      <w:sz w:val="20"/>
                      <w:color w:val="000000"/>
                    </w:rPr>
                    <w:t>-松山湖象洋北路交汇处）</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6660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1480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怡朗路（金朗中路交汇处路口</w:t>
                  </w:r>
                  <w:r>
                    <w:rPr>
                      <w:sz w:val="20"/>
                      <w:color w:val="000000"/>
                    </w:rPr>
                    <w:t>-人和路口）</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473</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怡安路（人和路口</w:t>
                  </w:r>
                  <w:r>
                    <w:rPr>
                      <w:sz w:val="20"/>
                      <w:color w:val="000000"/>
                    </w:rPr>
                    <w:t>-金朗中路口）</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1337.5</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535</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福兴街（美景中路口</w:t>
                  </w:r>
                  <w:r>
                    <w:rPr>
                      <w:sz w:val="20"/>
                      <w:color w:val="000000"/>
                    </w:rPr>
                    <w:t>-怡朗路口）</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215</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人和路（美景中路口</w:t>
                  </w:r>
                  <w:r>
                    <w:rPr>
                      <w:sz w:val="20"/>
                      <w:color w:val="000000"/>
                    </w:rPr>
                    <w:t>-凯悦美景花园正门路口）</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468</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政通路（与育才路交汇处</w:t>
                  </w:r>
                  <w:r>
                    <w:rPr>
                      <w:sz w:val="20"/>
                      <w:color w:val="000000"/>
                    </w:rPr>
                    <w:t>-与怡安路交汇处）</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1064</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育才路（金丽路口</w:t>
                  </w:r>
                  <w:r>
                    <w:rPr>
                      <w:sz w:val="20"/>
                      <w:color w:val="000000"/>
                    </w:rPr>
                    <w:t>-政通路口）</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金丽路（金朗中路口</w:t>
                  </w:r>
                  <w:r>
                    <w:rPr>
                      <w:sz w:val="20"/>
                      <w:color w:val="000000"/>
                    </w:rPr>
                    <w:t>-怡安路口，含金丽一巷、金丽二巷）</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1517</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富康路（富民北路口</w:t>
                  </w:r>
                  <w:r>
                    <w:rPr>
                      <w:sz w:val="20"/>
                      <w:color w:val="000000"/>
                    </w:rPr>
                    <w:t>-富华中路口）</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10500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2100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大朗广场</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15228</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憩趣园</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4315</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政府大院</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6250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原金丽酒店</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旧中心小学</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政府宿舍</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敬老院</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行政服务中心</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10900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大朗镇朗豪儿童公园</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1960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大朗镇长盛公园</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8666.67</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大朗镇友善公园</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大朗镇莲湖公园</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53000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大朗镇巷头三角公园</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3333.33</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40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大朗城管分局</w:t>
                  </w:r>
                </w:p>
              </w:tc>
              <w:tc>
                <w:tcPr>
                  <w:tcW w:type="dxa" w:w="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448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累计</w:t>
                  </w:r>
                </w:p>
              </w:tc>
              <w:tc>
                <w:tcPr>
                  <w:tcW w:type="dxa" w:w="144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绿化带年服务面积：</w:t>
                  </w:r>
                  <w:r>
                    <w:rPr>
                      <w:sz w:val="20"/>
                      <w:color w:val="000000"/>
                    </w:rPr>
                    <w:t>3731428.5㎡/年</w:t>
                  </w:r>
                </w:p>
              </w:tc>
              <w:tc>
                <w:tcPr>
                  <w:tcW w:type="dxa" w:w="105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下水道年服务长度：</w:t>
                  </w:r>
                  <w:r>
                    <w:rPr>
                      <w:sz w:val="20"/>
                      <w:color w:val="000000"/>
                    </w:rPr>
                    <w:t>256984m/年</w:t>
                  </w:r>
                </w:p>
              </w:tc>
            </w:tr>
          </w:tbl>
          <w:p>
            <w:pPr>
              <w:pStyle w:val="null3"/>
              <w:ind w:firstLine="400"/>
            </w:pPr>
            <w:r>
              <w:rPr>
                <w:sz w:val="20"/>
                <w:color w:val="000000"/>
              </w:rPr>
              <w:t>（二）消杀时间安排：</w:t>
            </w:r>
            <w:r>
              <w:rPr>
                <w:sz w:val="20"/>
                <w:color w:val="000000"/>
              </w:rPr>
              <w:t>根据</w:t>
            </w:r>
            <w:r>
              <w:rPr>
                <w:sz w:val="20"/>
                <w:color w:val="000000"/>
              </w:rPr>
              <w:t>采购人</w:t>
            </w:r>
            <w:r>
              <w:rPr>
                <w:sz w:val="20"/>
                <w:color w:val="000000"/>
              </w:rPr>
              <w:t>需求结合建筑结构、生物生态环境特点安排全年消杀次数。常规与应急相结合。</w:t>
            </w:r>
          </w:p>
          <w:p>
            <w:pPr>
              <w:pStyle w:val="null3"/>
              <w:ind w:firstLine="400"/>
            </w:pPr>
            <w:r>
              <w:rPr>
                <w:sz w:val="20"/>
                <w:color w:val="000000"/>
              </w:rPr>
              <w:t>A、道路（含大朗广场）除“四害”频次，全年共7次：</w:t>
            </w:r>
          </w:p>
          <w:p>
            <w:pPr>
              <w:pStyle w:val="null3"/>
              <w:ind w:firstLine="400"/>
            </w:pPr>
            <w:r>
              <w:rPr>
                <w:sz w:val="20"/>
                <w:color w:val="000000"/>
              </w:rPr>
              <w:t>第一季度（</w:t>
            </w:r>
            <w:r>
              <w:rPr>
                <w:sz w:val="20"/>
                <w:color w:val="000000"/>
              </w:rPr>
              <w:t>1至3月）：天气较凉爽，安排3月下旬消杀一次；</w:t>
            </w:r>
          </w:p>
          <w:p>
            <w:pPr>
              <w:pStyle w:val="null3"/>
              <w:ind w:firstLine="400"/>
            </w:pPr>
            <w:r>
              <w:rPr>
                <w:sz w:val="20"/>
                <w:color w:val="000000"/>
              </w:rPr>
              <w:t>第二季度（</w:t>
            </w:r>
            <w:r>
              <w:rPr>
                <w:sz w:val="20"/>
                <w:color w:val="000000"/>
              </w:rPr>
              <w:t>4至6月）：气温回升，雨水增加，蚊密度上升形成高峰，安排4月下旬、5月上旬各消杀一次。</w:t>
            </w:r>
          </w:p>
          <w:p>
            <w:pPr>
              <w:pStyle w:val="null3"/>
              <w:ind w:firstLine="400"/>
            </w:pPr>
            <w:r>
              <w:rPr>
                <w:sz w:val="20"/>
                <w:color w:val="000000"/>
              </w:rPr>
              <w:t>第三季度：（</w:t>
            </w:r>
            <w:r>
              <w:rPr>
                <w:sz w:val="20"/>
                <w:color w:val="000000"/>
              </w:rPr>
              <w:t>7至9月）进入夏季，蝇蟑密度上升形成高峰，安排8月下旬、9月下旬各消杀一次。</w:t>
            </w:r>
          </w:p>
          <w:p>
            <w:pPr>
              <w:pStyle w:val="null3"/>
              <w:ind w:firstLine="400"/>
            </w:pPr>
            <w:r>
              <w:rPr>
                <w:sz w:val="20"/>
                <w:color w:val="000000"/>
              </w:rPr>
              <w:t>第四季度（</w:t>
            </w:r>
            <w:r>
              <w:rPr>
                <w:sz w:val="20"/>
                <w:color w:val="000000"/>
              </w:rPr>
              <w:t>10至12月）：进入秋冬季节，蚊密度形成第二次高峰，蝇蟑密度开始下降，安排10月下旬、12月上旬各消杀一次。</w:t>
            </w:r>
          </w:p>
          <w:p>
            <w:pPr>
              <w:pStyle w:val="null3"/>
              <w:ind w:firstLine="400"/>
            </w:pPr>
            <w:r>
              <w:rPr>
                <w:sz w:val="20"/>
                <w:color w:val="000000"/>
              </w:rPr>
              <w:t>B、单位除“四害”频次：</w:t>
            </w:r>
          </w:p>
          <w:p>
            <w:pPr>
              <w:pStyle w:val="null3"/>
              <w:ind w:firstLine="400"/>
            </w:pPr>
            <w:r>
              <w:rPr>
                <w:sz w:val="20"/>
                <w:color w:val="000000"/>
              </w:rPr>
              <w:t>1、大朗镇政府大院：杀虫30次，灭鼠12次。高峰期3-5月、9-11月每月杀虫4次，6-8月、12-2月每月杀虫1次。灭鼠每月1次。</w:t>
            </w:r>
          </w:p>
          <w:p>
            <w:pPr>
              <w:pStyle w:val="null3"/>
              <w:ind w:firstLine="400"/>
            </w:pPr>
            <w:r>
              <w:rPr>
                <w:sz w:val="20"/>
                <w:color w:val="000000"/>
              </w:rPr>
              <w:t>2、原金丽酒店：杀虫18次，灭鼠12次。高峰期3-5月、9-11月每月杀虫2次，6-8月、12-2月每月杀虫1次。灭鼠每月1次。</w:t>
            </w:r>
          </w:p>
          <w:p>
            <w:pPr>
              <w:pStyle w:val="null3"/>
              <w:ind w:firstLine="400"/>
            </w:pPr>
            <w:r>
              <w:rPr>
                <w:sz w:val="20"/>
                <w:color w:val="000000"/>
              </w:rPr>
              <w:t>3、旧中心小学：杀虫18次，灭鼠12次。高峰期3-5月、9-11月每月杀虫2次，6-8月、12-2月每月杀虫1次。灭鼠每月1次。</w:t>
            </w:r>
          </w:p>
          <w:p>
            <w:pPr>
              <w:pStyle w:val="null3"/>
              <w:ind w:firstLine="400"/>
            </w:pPr>
            <w:r>
              <w:rPr>
                <w:sz w:val="20"/>
                <w:color w:val="000000"/>
              </w:rPr>
              <w:t>4、镇政府宿舍：杀虫18次，灭鼠12次。高峰期3-5月、9-11月每月杀虫2次，6-8月、12-2月每月杀虫1次。灭鼠每月1次。</w:t>
            </w:r>
          </w:p>
          <w:p>
            <w:pPr>
              <w:pStyle w:val="null3"/>
              <w:ind w:firstLine="400"/>
            </w:pPr>
            <w:r>
              <w:rPr>
                <w:sz w:val="20"/>
                <w:color w:val="000000"/>
              </w:rPr>
              <w:t>5、敬老院：杀虫18次，灭鼠12次。高峰期3-5月、9-11月每月杀虫2次，6-8月、12-2月每月杀虫1次。灭鼠每月1次。</w:t>
            </w:r>
          </w:p>
          <w:p>
            <w:pPr>
              <w:pStyle w:val="null3"/>
              <w:ind w:firstLine="560"/>
            </w:pPr>
            <w:r>
              <w:rPr>
                <w:sz w:val="20"/>
                <w:color w:val="000000"/>
              </w:rPr>
              <w:t>6、行政服务中心：杀虫18次，灭鼠12次。高峰期3-5月、9-11月每月杀虫2次，6-8月、12-2月每月杀虫1次。灭鼠每月1次。</w:t>
            </w:r>
          </w:p>
          <w:p>
            <w:pPr>
              <w:pStyle w:val="null3"/>
              <w:ind w:firstLine="400"/>
            </w:pPr>
            <w:r>
              <w:rPr>
                <w:sz w:val="20"/>
                <w:color w:val="000000"/>
              </w:rPr>
              <w:t>7、大朗镇朗豪儿童公园、大朗镇长盛公园、大朗镇友善公园、大朗镇莲湖公园、大朗镇憩趣园、大朗镇巷头三角公园：杀虫18次，灭鼠12次。高峰期3-5月、9-11月每月杀虫2次，6-8月、12-2月每月杀虫1次。灭鼠每月1次。</w:t>
            </w:r>
          </w:p>
          <w:p>
            <w:pPr>
              <w:pStyle w:val="null3"/>
              <w:ind w:firstLine="400"/>
            </w:pPr>
            <w:r>
              <w:rPr>
                <w:sz w:val="20"/>
                <w:color w:val="000000"/>
              </w:rPr>
              <w:t>8、大朗城管分局：杀虫18次，灭鼠12次。高峰期3-5月、9-11月每月杀虫2次，6-8月、12-2月每月杀虫1次。灭鼠每月1次。</w:t>
            </w:r>
          </w:p>
          <w:p>
            <w:pPr>
              <w:pStyle w:val="null3"/>
              <w:ind w:firstLine="400"/>
              <w:jc w:val="left"/>
            </w:pPr>
            <w:r>
              <w:rPr>
                <w:sz w:val="20"/>
                <w:color w:val="000000"/>
              </w:rPr>
              <w:t>（三）特殊情况消杀安排：</w:t>
            </w:r>
          </w:p>
          <w:p>
            <w:pPr>
              <w:pStyle w:val="null3"/>
              <w:ind w:firstLine="400"/>
              <w:jc w:val="left"/>
            </w:pPr>
            <w:r>
              <w:rPr>
                <w:sz w:val="20"/>
                <w:color w:val="000000"/>
              </w:rPr>
              <w:t>1、如有创文、创卫等重大迎检工作时，需按工作要求布置，随时加大消杀频率，保证顺利完成相关迎检工作。</w:t>
            </w:r>
          </w:p>
          <w:p>
            <w:pPr>
              <w:pStyle w:val="null3"/>
              <w:ind w:firstLine="400"/>
              <w:jc w:val="left"/>
            </w:pPr>
            <w:r>
              <w:rPr>
                <w:sz w:val="20"/>
                <w:color w:val="000000"/>
              </w:rPr>
              <w:t>2、如辖区范围内出现登革热</w:t>
            </w:r>
            <w:r>
              <w:rPr>
                <w:sz w:val="20"/>
                <w:color w:val="000000"/>
              </w:rPr>
              <w:t>、基孔肯尼亚热</w:t>
            </w:r>
            <w:r>
              <w:rPr>
                <w:sz w:val="20"/>
                <w:color w:val="000000"/>
              </w:rPr>
              <w:t>（疑似）疫情，承包人需根据要求防控，快速建立应急</w:t>
            </w:r>
            <w:r>
              <w:rPr>
                <w:sz w:val="20"/>
                <w:color w:val="000000"/>
              </w:rPr>
              <w:t>队伍</w:t>
            </w:r>
            <w:r>
              <w:rPr>
                <w:sz w:val="20"/>
                <w:color w:val="000000"/>
              </w:rPr>
              <w:t>进行防控，按合同进行消杀服务；如遇承包范围内登革热</w:t>
            </w:r>
            <w:r>
              <w:rPr>
                <w:sz w:val="20"/>
                <w:color w:val="000000"/>
              </w:rPr>
              <w:t>、基孔肯尼亚热</w:t>
            </w:r>
            <w:r>
              <w:rPr>
                <w:sz w:val="20"/>
                <w:color w:val="000000"/>
              </w:rPr>
              <w:t>疫情</w:t>
            </w:r>
            <w:r>
              <w:rPr>
                <w:sz w:val="20"/>
                <w:color w:val="000000"/>
              </w:rPr>
              <w:t>暴发</w:t>
            </w:r>
            <w:r>
              <w:rPr>
                <w:sz w:val="20"/>
                <w:color w:val="000000"/>
              </w:rPr>
              <w:t>，承包人必须</w:t>
            </w:r>
            <w:r>
              <w:rPr>
                <w:sz w:val="20"/>
                <w:color w:val="000000"/>
              </w:rPr>
              <w:t>24小时内成立至少8人、2组消杀设备的特别应急队伍，开展有偿消杀服务。</w:t>
            </w:r>
          </w:p>
          <w:p>
            <w:pPr>
              <w:pStyle w:val="null3"/>
              <w:ind w:firstLine="560"/>
            </w:pPr>
            <w:r>
              <w:rPr>
                <w:sz w:val="20"/>
                <w:color w:val="000000"/>
              </w:rPr>
              <w:t>（四）配合市、</w:t>
            </w:r>
            <w:r>
              <w:rPr>
                <w:sz w:val="20"/>
                <w:color w:val="000000"/>
              </w:rPr>
              <w:t>镇</w:t>
            </w:r>
            <w:r>
              <w:rPr>
                <w:sz w:val="20"/>
                <w:color w:val="000000"/>
              </w:rPr>
              <w:t>疾控部</w:t>
            </w:r>
            <w:r>
              <w:rPr>
                <w:sz w:val="20"/>
                <w:color w:val="000000"/>
              </w:rPr>
              <w:t>门在</w:t>
            </w:r>
            <w:r>
              <w:rPr>
                <w:sz w:val="20"/>
                <w:color w:val="000000"/>
              </w:rPr>
              <w:t>在</w:t>
            </w:r>
            <w:r>
              <w:rPr>
                <w:sz w:val="20"/>
                <w:color w:val="000000"/>
              </w:rPr>
              <w:t>辖区范围内开展布雷图指数检测工作，密度监测设置：东、南、西、北、中五个密度监测点，进行定时、定期、定点的密度监测。</w:t>
            </w:r>
          </w:p>
          <w:p>
            <w:pPr>
              <w:pStyle w:val="null3"/>
              <w:ind w:firstLine="400"/>
              <w:jc w:val="left"/>
            </w:pPr>
            <w:r>
              <w:rPr>
                <w:sz w:val="20"/>
                <w:color w:val="000000"/>
              </w:rPr>
              <w:t>（五）承包人应自行清理遗留在施工现场的杂物，及时处理治灭的善后工作，以免因孳生物</w:t>
            </w:r>
            <w:r>
              <w:rPr>
                <w:sz w:val="20"/>
                <w:color w:val="000000"/>
              </w:rPr>
              <w:t>遗留</w:t>
            </w:r>
            <w:r>
              <w:rPr>
                <w:sz w:val="20"/>
                <w:color w:val="000000"/>
              </w:rPr>
              <w:t>影响项目的质量；有固定的鼠尸处理场地及防疫实验室确保鼠尸病不传播，杜绝环境污染。</w:t>
            </w:r>
          </w:p>
          <w:p>
            <w:pPr>
              <w:pStyle w:val="null3"/>
              <w:ind w:firstLine="400"/>
              <w:jc w:val="left"/>
            </w:pPr>
            <w:r>
              <w:rPr>
                <w:sz w:val="20"/>
                <w:color w:val="000000"/>
              </w:rPr>
              <w:t>二、制订完整的病媒生物预防控制操作规程。保证灭蚊、灭蝇、灭蟑螂、灭鼠达到国家除</w:t>
            </w:r>
            <w:r>
              <w:rPr>
                <w:sz w:val="20"/>
                <w:color w:val="000000"/>
              </w:rPr>
              <w:t>“四害”消杀标准，并具有完善的事故应急方案。达到“病媒生物密度控制水平”系列国家标准（GB/T27770-2011、GB/T27771-2011、GB/T27772-</w:t>
            </w:r>
            <w:r>
              <w:rPr>
                <w:sz w:val="20"/>
                <w:color w:val="000000"/>
              </w:rPr>
              <w:t>20</w:t>
            </w:r>
            <w:r>
              <w:rPr>
                <w:sz w:val="20"/>
                <w:color w:val="000000"/>
              </w:rPr>
              <w:t>25</w:t>
            </w:r>
            <w:r>
              <w:rPr>
                <w:sz w:val="20"/>
                <w:color w:val="000000"/>
              </w:rPr>
              <w:t>、</w:t>
            </w:r>
            <w:r>
              <w:rPr>
                <w:sz w:val="20"/>
                <w:color w:val="000000"/>
              </w:rPr>
              <w:t>GB/T27773-2011）的C级要求，具体如下：</w:t>
            </w:r>
          </w:p>
          <w:p>
            <w:pPr>
              <w:pStyle w:val="null3"/>
              <w:ind w:firstLine="400"/>
              <w:jc w:val="left"/>
            </w:pPr>
            <w:r>
              <w:rPr>
                <w:sz w:val="20"/>
                <w:color w:val="000000"/>
              </w:rPr>
              <w:t>1）灭蚊标准</w:t>
            </w:r>
          </w:p>
          <w:p>
            <w:pPr>
              <w:pStyle w:val="null3"/>
              <w:ind w:firstLine="400"/>
              <w:jc w:val="left"/>
            </w:pPr>
            <w:r>
              <w:rPr>
                <w:sz w:val="20"/>
                <w:color w:val="000000"/>
              </w:rPr>
              <w:t>①小型积水蚊虫密度控制水平小于或等于0.8处/千米。</w:t>
            </w:r>
          </w:p>
          <w:p>
            <w:pPr>
              <w:pStyle w:val="null3"/>
              <w:ind w:firstLine="400"/>
              <w:jc w:val="left"/>
            </w:pPr>
            <w:r>
              <w:rPr>
                <w:sz w:val="20"/>
                <w:color w:val="000000"/>
              </w:rPr>
              <w:t>②用500ml收集勺采集城区内大中型水体中的蚊幼虫或蛹的阳性率不超过5%，阳性勺内幼虫或蛹的平均数不超过8只。</w:t>
            </w:r>
          </w:p>
          <w:p>
            <w:pPr>
              <w:pStyle w:val="null3"/>
              <w:ind w:firstLine="400"/>
              <w:jc w:val="left"/>
            </w:pPr>
            <w:r>
              <w:rPr>
                <w:sz w:val="20"/>
                <w:color w:val="000000"/>
              </w:rPr>
              <w:t>③特殊场所外环境蚊虫停落指数小于或等于1.5只。</w:t>
            </w:r>
          </w:p>
          <w:p>
            <w:pPr>
              <w:pStyle w:val="null3"/>
              <w:ind w:firstLine="400"/>
              <w:jc w:val="left"/>
            </w:pPr>
            <w:r>
              <w:rPr>
                <w:sz w:val="20"/>
                <w:color w:val="000000"/>
              </w:rPr>
              <w:t>2）灭蝇标准</w:t>
            </w:r>
          </w:p>
          <w:p>
            <w:pPr>
              <w:pStyle w:val="null3"/>
              <w:ind w:firstLine="400"/>
              <w:jc w:val="left"/>
            </w:pPr>
            <w:r>
              <w:rPr>
                <w:sz w:val="20"/>
                <w:color w:val="000000"/>
              </w:rPr>
              <w:t>①室内成蝇阳性率≤6%，阳性间密度≤2只/间；直接入口食品场所无蝇。</w:t>
            </w:r>
          </w:p>
          <w:p>
            <w:pPr>
              <w:pStyle w:val="null3"/>
              <w:ind w:firstLine="400"/>
              <w:jc w:val="left"/>
            </w:pPr>
            <w:r>
              <w:rPr>
                <w:sz w:val="20"/>
                <w:color w:val="000000"/>
              </w:rPr>
              <w:t>②蝇类孳生地得到有效治理，幼虫和蛹的检出率不超过5%。</w:t>
            </w:r>
          </w:p>
          <w:p>
            <w:pPr>
              <w:pStyle w:val="null3"/>
              <w:ind w:firstLine="400"/>
              <w:jc w:val="left"/>
            </w:pPr>
            <w:r>
              <w:rPr>
                <w:sz w:val="20"/>
                <w:color w:val="000000"/>
              </w:rPr>
              <w:t>3）灭鼠标准</w:t>
            </w:r>
          </w:p>
          <w:p>
            <w:pPr>
              <w:pStyle w:val="null3"/>
              <w:ind w:firstLine="400"/>
              <w:jc w:val="left"/>
            </w:pPr>
            <w:r>
              <w:rPr>
                <w:sz w:val="20"/>
                <w:color w:val="000000"/>
              </w:rPr>
              <w:t>①室内鼠密度阳性率小于或等于5%。</w:t>
            </w:r>
          </w:p>
          <w:p>
            <w:pPr>
              <w:pStyle w:val="null3"/>
              <w:ind w:firstLine="400"/>
              <w:jc w:val="left"/>
            </w:pPr>
            <w:r>
              <w:rPr>
                <w:sz w:val="20"/>
                <w:color w:val="000000"/>
              </w:rPr>
              <w:t>②外环境鼠密度路径指数小于或等于5处/千米。</w:t>
            </w:r>
          </w:p>
          <w:p>
            <w:pPr>
              <w:pStyle w:val="null3"/>
              <w:ind w:firstLine="400"/>
              <w:jc w:val="left"/>
            </w:pPr>
            <w:r>
              <w:rPr>
                <w:sz w:val="20"/>
                <w:color w:val="000000"/>
              </w:rPr>
              <w:t>③防鼠设施合格率大于或等于93%</w:t>
            </w:r>
          </w:p>
          <w:p>
            <w:pPr>
              <w:pStyle w:val="null3"/>
              <w:ind w:firstLine="400"/>
              <w:jc w:val="left"/>
            </w:pPr>
            <w:r>
              <w:rPr>
                <w:sz w:val="20"/>
                <w:color w:val="000000"/>
              </w:rPr>
              <w:t>4）灭蟑螂标准</w:t>
            </w:r>
          </w:p>
          <w:p>
            <w:pPr>
              <w:pStyle w:val="null3"/>
              <w:ind w:firstLine="400"/>
              <w:jc w:val="left"/>
            </w:pPr>
            <w:r>
              <w:rPr>
                <w:sz w:val="20"/>
                <w:color w:val="000000"/>
              </w:rPr>
              <w:t>①蜚蠊成若虫侵害率小于或等于5%，平均每阳性间（处）成若虫数小蠊小于或等于10只，大蠊小于或等于5只；</w:t>
            </w:r>
          </w:p>
          <w:p>
            <w:pPr>
              <w:pStyle w:val="null3"/>
              <w:ind w:firstLine="400"/>
              <w:jc w:val="left"/>
            </w:pPr>
            <w:r>
              <w:rPr>
                <w:sz w:val="20"/>
                <w:color w:val="000000"/>
              </w:rPr>
              <w:t>②卵鞘查获率小于或等于3%，平均每阳性间（处）卵鞘数小于或等于8只。</w:t>
            </w:r>
          </w:p>
          <w:p>
            <w:pPr>
              <w:pStyle w:val="null3"/>
              <w:ind w:firstLine="400"/>
              <w:jc w:val="left"/>
            </w:pPr>
            <w:r>
              <w:rPr>
                <w:sz w:val="20"/>
                <w:color w:val="000000"/>
              </w:rPr>
              <w:t>③蟑迹查获率小于或等于7%。</w:t>
            </w:r>
          </w:p>
          <w:p>
            <w:pPr>
              <w:pStyle w:val="null3"/>
              <w:ind w:firstLine="400"/>
              <w:jc w:val="left"/>
            </w:pPr>
            <w:r>
              <w:rPr>
                <w:sz w:val="20"/>
                <w:color w:val="000000"/>
              </w:rPr>
              <w:t>5</w:t>
            </w:r>
            <w:r>
              <w:rPr>
                <w:sz w:val="20"/>
                <w:color w:val="000000"/>
              </w:rPr>
              <w:t>）</w:t>
            </w:r>
            <w:r>
              <w:rPr>
                <w:sz w:val="20"/>
                <w:color w:val="000000"/>
              </w:rPr>
              <w:t>安排专人负责巡查和选点监测除四害效果，并根据实际效果调整用药时间、配方。</w:t>
            </w:r>
          </w:p>
          <w:p>
            <w:pPr>
              <w:pStyle w:val="null3"/>
              <w:ind w:firstLine="400"/>
              <w:jc w:val="left"/>
            </w:pPr>
            <w:r>
              <w:rPr>
                <w:sz w:val="20"/>
                <w:color w:val="000000"/>
              </w:rPr>
              <w:t>三</w:t>
            </w:r>
            <w:r>
              <w:rPr>
                <w:sz w:val="20"/>
                <w:color w:val="000000"/>
              </w:rPr>
              <w:t>、除四害项目人员、设备配置、药物要求</w:t>
            </w:r>
          </w:p>
          <w:p>
            <w:pPr>
              <w:pStyle w:val="null3"/>
              <w:ind w:firstLine="400"/>
              <w:jc w:val="left"/>
            </w:pPr>
            <w:r>
              <w:rPr>
                <w:sz w:val="20"/>
                <w:color w:val="000000"/>
              </w:rPr>
              <w:t>1、项目人员配置：项目技术负责人一名，需具有有害生物防制员高级职业资格证书，在防控上有熟练经验，其他投入的人员不得少于6人，且持有有害生物防制员上岗证。</w:t>
            </w:r>
          </w:p>
          <w:p>
            <w:pPr>
              <w:pStyle w:val="null3"/>
              <w:ind w:firstLine="400"/>
              <w:jc w:val="left"/>
            </w:pPr>
            <w:r>
              <w:rPr>
                <w:sz w:val="20"/>
                <w:color w:val="000000"/>
              </w:rPr>
              <w:t>2、药物要求：</w:t>
            </w:r>
          </w:p>
          <w:p>
            <w:pPr>
              <w:pStyle w:val="null3"/>
              <w:ind w:firstLine="400"/>
              <w:jc w:val="left"/>
            </w:pPr>
            <w:r>
              <w:rPr>
                <w:sz w:val="20"/>
                <w:color w:val="000000"/>
              </w:rPr>
              <w:t>用药标准：承包人必须注重科学合理用药，不能使用假药、国家禁用的药物。使用的药物必须三证齐全并符合《病媒生物控制药物器械安全使用准则》，确保病媒生物控制达到</w:t>
            </w:r>
            <w:r>
              <w:rPr>
                <w:sz w:val="20"/>
                <w:color w:val="000000"/>
              </w:rPr>
              <w:t>“安全、高效、环保”的要求，用于本服务项目的消杀药物投入不能少于消杀面积的正常用药。下面为拟使用药物，经</w:t>
            </w:r>
            <w:r>
              <w:rPr>
                <w:sz w:val="20"/>
                <w:color w:val="000000"/>
              </w:rPr>
              <w:t>采购人</w:t>
            </w:r>
            <w:r>
              <w:rPr>
                <w:sz w:val="20"/>
                <w:color w:val="000000"/>
              </w:rPr>
              <w:t>确认后采购。</w:t>
            </w:r>
          </w:p>
          <w:p>
            <w:pPr>
              <w:pStyle w:val="null3"/>
              <w:ind w:firstLine="400"/>
              <w:jc w:val="left"/>
            </w:pPr>
            <w:r>
              <w:rPr>
                <w:sz w:val="20"/>
                <w:color w:val="000000"/>
              </w:rPr>
              <w:t>3、</w:t>
            </w:r>
            <w:r>
              <w:rPr>
                <w:sz w:val="20"/>
                <w:color w:val="000000"/>
              </w:rPr>
              <w:t>如药物使用不当引起人畜中毒或其他责任事故的，承包人应承担责任。注重科学合理用药，不能使用假药、国家禁用的药物。</w:t>
            </w:r>
          </w:p>
          <w:p>
            <w:pPr>
              <w:pStyle w:val="null3"/>
              <w:ind w:firstLine="400"/>
              <w:jc w:val="left"/>
            </w:pPr>
            <w:r>
              <w:rPr>
                <w:sz w:val="20"/>
                <w:color w:val="000000"/>
              </w:rPr>
              <w:t>4、</w:t>
            </w:r>
            <w:r>
              <w:rPr>
                <w:sz w:val="20"/>
                <w:color w:val="000000"/>
              </w:rPr>
              <w:t>拟使用药物</w:t>
            </w:r>
          </w:p>
          <w:tbl>
            <w:tblPr>
              <w:tblBorders>
                <w:top w:val="none" w:color="000000" w:sz="4"/>
                <w:left w:val="none" w:color="000000" w:sz="4"/>
                <w:bottom w:val="none" w:color="000000" w:sz="4"/>
                <w:right w:val="none" w:color="000000" w:sz="4"/>
                <w:insideH w:val="none"/>
                <w:insideV w:val="none"/>
              </w:tblBorders>
            </w:tblPr>
            <w:tblGrid>
              <w:gridCol w:w="1935"/>
              <w:gridCol w:w="2107"/>
              <w:gridCol w:w="1555"/>
            </w:tblGrid>
            <w:tr>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类别</w:t>
                  </w:r>
                </w:p>
              </w:tc>
              <w:tc>
                <w:tcPr>
                  <w:tcW w:type="dxa" w:w="2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参考使用药物</w:t>
                  </w:r>
                </w:p>
              </w:tc>
              <w:tc>
                <w:tcPr>
                  <w:tcW w:type="dxa" w:w="1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参考药物用量</w:t>
                  </w:r>
                </w:p>
              </w:tc>
            </w:tr>
            <w:tr>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灭鼠</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溴敌隆、杀鼠迷等</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250kg/次</w:t>
                  </w:r>
                </w:p>
              </w:tc>
            </w:tr>
            <w:tr>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杀蚊、蟑螂、苍蝇</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除虫菊酯</w:t>
                  </w:r>
                  <w:r>
                    <w:rPr>
                      <w:sz w:val="20"/>
                      <w:color w:val="000000"/>
                    </w:rPr>
                    <w:t>、家虫清等</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15kg/次</w:t>
                  </w:r>
                </w:p>
              </w:tc>
            </w:tr>
          </w:tbl>
          <w:p>
            <w:pPr>
              <w:pStyle w:val="null3"/>
              <w:jc w:val="left"/>
            </w:pPr>
            <w:r>
              <w:rPr>
                <w:sz w:val="20"/>
                <w:b/>
                <w:color w:val="000000"/>
              </w:rPr>
              <w:t>四</w:t>
            </w:r>
            <w:r>
              <w:rPr>
                <w:sz w:val="20"/>
                <w:b/>
                <w:color w:val="000000"/>
              </w:rPr>
              <w:t>、除四害工作要求</w:t>
            </w:r>
          </w:p>
          <w:p>
            <w:pPr>
              <w:pStyle w:val="null3"/>
              <w:ind w:firstLine="400"/>
              <w:jc w:val="left"/>
            </w:pPr>
            <w:r>
              <w:rPr>
                <w:sz w:val="20"/>
                <w:color w:val="000000"/>
              </w:rPr>
              <w:t>l、承包人须根据大朗镇实际情况和招标书的要求编写《除“四害”工作实施方案》。每个月第一周交本月工作计划，每个月最后一周需将本周施（投）放药物等相关工作图片、施（投）放药物数量、名称、合格证、购买药物的发票（收据）连同工作计划、总结等文字资料作为一次工作汇报（记录）、该工作汇报（记录）将作为月检考核的一项重要依据。</w:t>
            </w:r>
          </w:p>
          <w:p>
            <w:pPr>
              <w:pStyle w:val="null3"/>
              <w:ind w:firstLine="400"/>
              <w:jc w:val="left"/>
            </w:pPr>
            <w:r>
              <w:rPr>
                <w:sz w:val="20"/>
                <w:color w:val="000000"/>
              </w:rPr>
              <w:t>2、投标人须列明除“四害”工作的模式，具备适合的除“四害”工作技术、工作人员等，并向采购人提供有关人员职责名单及资质证、上岗证复印件。</w:t>
            </w:r>
          </w:p>
          <w:p>
            <w:pPr>
              <w:pStyle w:val="null3"/>
              <w:ind w:firstLine="400"/>
              <w:jc w:val="left"/>
            </w:pPr>
            <w:r>
              <w:rPr>
                <w:sz w:val="20"/>
                <w:color w:val="000000"/>
              </w:rPr>
              <w:t>3、承包人投入本项目的机械设备清单(注明名称、规格、数量)，所采用的设备必须满足国家有关技术操作规程的要求；承包人投入的机械设备在合同签订后20天内要经采购人验收认定。</w:t>
            </w:r>
          </w:p>
          <w:p>
            <w:pPr>
              <w:pStyle w:val="null3"/>
              <w:ind w:firstLine="400"/>
              <w:jc w:val="left"/>
            </w:pPr>
            <w:r>
              <w:rPr>
                <w:sz w:val="20"/>
                <w:color w:val="000000"/>
              </w:rPr>
              <w:t>4、在施工的时候，须有采购人代表在场，施工完毕后，承包人应及时请采购人代表现场签证。</w:t>
            </w:r>
          </w:p>
          <w:p>
            <w:pPr>
              <w:pStyle w:val="null3"/>
              <w:ind w:firstLine="400"/>
              <w:jc w:val="left"/>
            </w:pPr>
            <w:r>
              <w:rPr>
                <w:sz w:val="20"/>
                <w:color w:val="000000"/>
              </w:rPr>
              <w:t>5、每次施工完毕，五天内应会同采购人代表到施工现场检查治灭情况，并做好现场记录和签证记录，作为验收依据。</w:t>
            </w:r>
          </w:p>
          <w:p>
            <w:pPr>
              <w:pStyle w:val="null3"/>
              <w:jc w:val="left"/>
            </w:pPr>
            <w:r>
              <w:rPr>
                <w:sz w:val="20"/>
                <w:b/>
                <w:color w:val="000000"/>
              </w:rPr>
              <w:t>五</w:t>
            </w:r>
            <w:r>
              <w:rPr>
                <w:sz w:val="20"/>
                <w:b/>
                <w:color w:val="000000"/>
              </w:rPr>
              <w:t>、施工方法</w:t>
            </w:r>
          </w:p>
          <w:p>
            <w:pPr>
              <w:pStyle w:val="null3"/>
              <w:ind w:firstLine="400"/>
              <w:jc w:val="left"/>
            </w:pPr>
            <w:r>
              <w:rPr>
                <w:sz w:val="20"/>
                <w:color w:val="000000"/>
              </w:rPr>
              <w:t>（</w:t>
            </w:r>
            <w:r>
              <w:rPr>
                <w:sz w:val="20"/>
                <w:color w:val="000000"/>
              </w:rPr>
              <w:t>1）灭鼠：</w:t>
            </w:r>
          </w:p>
          <w:p>
            <w:pPr>
              <w:pStyle w:val="null3"/>
              <w:ind w:firstLine="400"/>
              <w:jc w:val="left"/>
            </w:pPr>
            <w:r>
              <w:rPr>
                <w:sz w:val="20"/>
                <w:color w:val="000000"/>
              </w:rPr>
              <w:t>1.1使用老鼠的嗜好食物，如稻谷、小麦、花生米、快食面等。混拌第二代的低毒、抗凝血慢性灭鼠药剂配制成毒饵，作为防治物进行诱杀。</w:t>
            </w:r>
          </w:p>
          <w:p>
            <w:pPr>
              <w:pStyle w:val="null3"/>
              <w:ind w:firstLine="400"/>
              <w:jc w:val="left"/>
            </w:pPr>
            <w:r>
              <w:rPr>
                <w:sz w:val="20"/>
                <w:color w:val="000000"/>
              </w:rPr>
              <w:t>1.2根据老鼠的生活习性和活动范围分类灭鼠。</w:t>
            </w:r>
          </w:p>
          <w:p>
            <w:pPr>
              <w:pStyle w:val="null3"/>
              <w:ind w:firstLine="400"/>
              <w:jc w:val="left"/>
            </w:pPr>
            <w:r>
              <w:rPr>
                <w:sz w:val="20"/>
                <w:color w:val="000000"/>
              </w:rPr>
              <w:t>1.2.1对闲置工地附近的绿化带、公园实施灭鼠：因绿化带地面较潮湿，采用防潮的小塑料袋装毒饵或药箱定点布放投药。</w:t>
            </w:r>
          </w:p>
          <w:p>
            <w:pPr>
              <w:pStyle w:val="null3"/>
              <w:ind w:firstLine="400"/>
              <w:jc w:val="left"/>
            </w:pPr>
            <w:r>
              <w:rPr>
                <w:sz w:val="20"/>
                <w:color w:val="000000"/>
              </w:rPr>
              <w:t>1.2.2对市场、垃圾中转站、厕所附近的绿化树木实施灭鼠：因上述几处是老鼠活动频繁区域，所以根据鼠害活动区域环境特点，采用沿线周边毒鼠药箱饱和投药。</w:t>
            </w:r>
          </w:p>
          <w:p>
            <w:pPr>
              <w:pStyle w:val="null3"/>
              <w:ind w:firstLine="400"/>
              <w:jc w:val="left"/>
            </w:pPr>
            <w:r>
              <w:rPr>
                <w:sz w:val="20"/>
                <w:color w:val="000000"/>
              </w:rPr>
              <w:t>1.3效果检查和施工跟进。</w:t>
            </w:r>
          </w:p>
          <w:p>
            <w:pPr>
              <w:pStyle w:val="null3"/>
              <w:ind w:firstLine="400"/>
              <w:jc w:val="left"/>
            </w:pPr>
            <w:r>
              <w:rPr>
                <w:sz w:val="20"/>
                <w:color w:val="000000"/>
              </w:rPr>
              <w:t>老鼠在取食毒饵后，一般在</w:t>
            </w:r>
            <w:r>
              <w:rPr>
                <w:sz w:val="20"/>
                <w:color w:val="000000"/>
              </w:rPr>
              <w:t>5-7天内中毒而亡，承包人应在5天内进行效果检查，发现在服务范围内捕获和中毒死亡的鼠类进行清检收回，统一集中进行无毒化处理。发现诱饵被食完要及时补投毒饵，确保消杀效果彻底。</w:t>
            </w:r>
          </w:p>
          <w:p>
            <w:pPr>
              <w:pStyle w:val="null3"/>
              <w:ind w:firstLine="400"/>
              <w:jc w:val="left"/>
            </w:pPr>
            <w:r>
              <w:rPr>
                <w:sz w:val="20"/>
                <w:color w:val="000000"/>
              </w:rPr>
              <w:t>1.4药物投放应采用轮番换药及定时补充投药量相结合的方式，根据鼠害活动走道区域的变化适时调整布药点，让存活鼠害对毒饵有更好的口味和足够的吸食量。同时在施工过程中不断对绿化树木、闲置工地下水道、排水口、管道口、墙洞等附近的绿化树木、绿化带周围环境加以检查，及时完善上述环境的防鼠设施。</w:t>
            </w:r>
          </w:p>
          <w:p>
            <w:pPr>
              <w:pStyle w:val="null3"/>
              <w:ind w:firstLine="400"/>
              <w:jc w:val="left"/>
            </w:pPr>
            <w:r>
              <w:rPr>
                <w:sz w:val="20"/>
                <w:color w:val="000000"/>
              </w:rPr>
              <w:t>1.5，灭鼠药物：0.005%溴敌隆</w:t>
            </w:r>
            <w:r>
              <w:rPr>
                <w:sz w:val="20"/>
                <w:color w:val="000000"/>
              </w:rPr>
              <w:t>；</w:t>
            </w:r>
            <w:r>
              <w:rPr>
                <w:sz w:val="20"/>
                <w:color w:val="000000"/>
              </w:rPr>
              <w:t>0.005%杀鼠醚</w:t>
            </w:r>
            <w:r>
              <w:rPr>
                <w:sz w:val="20"/>
                <w:color w:val="000000"/>
              </w:rPr>
              <w:t>。</w:t>
            </w:r>
          </w:p>
          <w:p>
            <w:pPr>
              <w:pStyle w:val="null3"/>
              <w:ind w:firstLine="400"/>
              <w:jc w:val="left"/>
            </w:pPr>
            <w:r>
              <w:rPr>
                <w:sz w:val="20"/>
                <w:color w:val="000000"/>
              </w:rPr>
              <w:t>（</w:t>
            </w:r>
            <w:r>
              <w:rPr>
                <w:sz w:val="20"/>
                <w:color w:val="000000"/>
              </w:rPr>
              <w:t>2）灭蚊：</w:t>
            </w:r>
          </w:p>
          <w:p>
            <w:pPr>
              <w:pStyle w:val="null3"/>
              <w:ind w:firstLine="400"/>
              <w:jc w:val="left"/>
            </w:pPr>
            <w:r>
              <w:rPr>
                <w:sz w:val="20"/>
                <w:color w:val="000000"/>
              </w:rPr>
              <w:t>2.1灭蚊药物的使用，喷施必须基于“环保、高效”的基础，采用除虫菊酯类药物、生物防治型药物进行消杀防治处理，使用过程中应根据虫害的情况不定期轮番更换施工药物。</w:t>
            </w:r>
          </w:p>
          <w:p>
            <w:pPr>
              <w:pStyle w:val="null3"/>
              <w:ind w:firstLine="400"/>
              <w:jc w:val="left"/>
            </w:pPr>
            <w:r>
              <w:rPr>
                <w:sz w:val="20"/>
                <w:color w:val="000000"/>
              </w:rPr>
              <w:t>2.2灭蚊的方法</w:t>
            </w:r>
          </w:p>
          <w:p>
            <w:pPr>
              <w:pStyle w:val="null3"/>
              <w:ind w:firstLine="400"/>
              <w:jc w:val="left"/>
            </w:pPr>
            <w:r>
              <w:rPr>
                <w:sz w:val="20"/>
                <w:color w:val="000000"/>
              </w:rPr>
              <w:t>对蚊幼滋生地投放杀幼蚊药物控制蚊卵的生长。根据成蚊在黄昏、夜晚、早晨活动范围大，且喜栖息于阴暗潮湿地的特点，采用常用剂量喷杀服务范围内的绿化带附近的下水道口、沙井盖上的成蚊，将蚊害活动密度降低直至灭治</w:t>
            </w:r>
          </w:p>
          <w:p>
            <w:pPr>
              <w:pStyle w:val="null3"/>
              <w:ind w:firstLine="400"/>
              <w:jc w:val="left"/>
            </w:pPr>
            <w:r>
              <w:rPr>
                <w:sz w:val="20"/>
                <w:color w:val="000000"/>
              </w:rPr>
              <w:t>2.3在蚊害高发季节和蚊类危害突发的情况下，应增加喷杀次数，保障环境清新优美。</w:t>
            </w:r>
          </w:p>
          <w:p>
            <w:pPr>
              <w:pStyle w:val="null3"/>
              <w:ind w:firstLine="400"/>
              <w:jc w:val="left"/>
            </w:pPr>
            <w:r>
              <w:rPr>
                <w:sz w:val="20"/>
                <w:color w:val="000000"/>
              </w:rPr>
              <w:t>2.4施工跟进</w:t>
            </w:r>
          </w:p>
          <w:p>
            <w:pPr>
              <w:pStyle w:val="null3"/>
              <w:ind w:firstLine="400"/>
              <w:jc w:val="left"/>
            </w:pPr>
            <w:r>
              <w:rPr>
                <w:sz w:val="20"/>
                <w:color w:val="000000"/>
              </w:rPr>
              <w:t>在施工完毕后的次日，中标人应派出施工人员对喷杀范围环境进行检查，对容易滋生蚊类幼虫的场所如污水积水、阴暗处等，若发现有幼虫产生的，即采用生物药剂投入水体的方法进行消杀处理。</w:t>
            </w:r>
          </w:p>
          <w:p>
            <w:pPr>
              <w:pStyle w:val="null3"/>
              <w:ind w:firstLine="400"/>
              <w:jc w:val="left"/>
            </w:pPr>
            <w:r>
              <w:rPr>
                <w:sz w:val="20"/>
                <w:color w:val="000000"/>
              </w:rPr>
              <w:t>（</w:t>
            </w:r>
            <w:r>
              <w:rPr>
                <w:sz w:val="20"/>
                <w:color w:val="000000"/>
              </w:rPr>
              <w:t>3）灭蝇：</w:t>
            </w:r>
          </w:p>
          <w:p>
            <w:pPr>
              <w:pStyle w:val="null3"/>
              <w:ind w:firstLine="400"/>
              <w:jc w:val="left"/>
            </w:pPr>
            <w:r>
              <w:rPr>
                <w:sz w:val="20"/>
                <w:color w:val="000000"/>
              </w:rPr>
              <w:t>3.1灭蝇措施方法</w:t>
            </w:r>
          </w:p>
          <w:p>
            <w:pPr>
              <w:pStyle w:val="null3"/>
              <w:ind w:firstLine="400"/>
              <w:jc w:val="left"/>
            </w:pPr>
            <w:r>
              <w:rPr>
                <w:sz w:val="20"/>
                <w:color w:val="000000"/>
              </w:rPr>
              <w:t>对服务范围内垃圾处理桶、果皮箱、厕所、肉菜市场等附近绿化带树木容易滋生苍蝇的场所，采用菊酯类的药物喷杀处理，把蝇类进行</w:t>
            </w:r>
            <w:r>
              <w:rPr>
                <w:sz w:val="20"/>
                <w:color w:val="000000"/>
              </w:rPr>
              <w:t>杀灭</w:t>
            </w:r>
            <w:r>
              <w:rPr>
                <w:sz w:val="20"/>
                <w:color w:val="000000"/>
              </w:rPr>
              <w:t>。根据蝇类的滋生及活动区域习性，如成蝇主要</w:t>
            </w:r>
            <w:r>
              <w:rPr>
                <w:sz w:val="20"/>
                <w:color w:val="000000"/>
              </w:rPr>
              <w:t>分布</w:t>
            </w:r>
            <w:r>
              <w:rPr>
                <w:sz w:val="20"/>
                <w:color w:val="000000"/>
              </w:rPr>
              <w:t>在有垃圾堆积的地方等，采用菊酯或残杀威等低毒的杀虫乳油作常量喷洒，重点部位加重剂量喷杀，对不宜喷洒区，则采用不定期悬挂粘蝇纸捕杀。</w:t>
            </w:r>
          </w:p>
          <w:p>
            <w:pPr>
              <w:pStyle w:val="null3"/>
              <w:ind w:firstLine="400"/>
              <w:jc w:val="left"/>
            </w:pPr>
            <w:r>
              <w:rPr>
                <w:sz w:val="20"/>
                <w:color w:val="000000"/>
              </w:rPr>
              <w:t>3.2施工</w:t>
            </w:r>
          </w:p>
          <w:p>
            <w:pPr>
              <w:pStyle w:val="null3"/>
              <w:ind w:firstLine="400"/>
              <w:jc w:val="left"/>
            </w:pPr>
            <w:r>
              <w:rPr>
                <w:sz w:val="20"/>
                <w:color w:val="000000"/>
              </w:rPr>
              <w:t>喷药完毕后，加强对容易滋生蝇幼虫的地方进行巡视，发现有幼虫滋生的即采用灭蝇幼虫药剂喷洒滋生地方的方法进行处理，力求将蝇消灭在萌芽</w:t>
            </w:r>
            <w:r>
              <w:rPr>
                <w:sz w:val="20"/>
                <w:color w:val="000000"/>
                <w:shd w:fill="FFFFFF" w:val="clear"/>
              </w:rPr>
              <w:t>状态</w:t>
            </w:r>
            <w:r>
              <w:rPr>
                <w:sz w:val="20"/>
                <w:color w:val="000000"/>
              </w:rPr>
              <w:t>。</w:t>
            </w:r>
          </w:p>
          <w:p>
            <w:pPr>
              <w:pStyle w:val="null3"/>
              <w:ind w:firstLine="400"/>
              <w:jc w:val="left"/>
            </w:pPr>
            <w:r>
              <w:rPr>
                <w:sz w:val="20"/>
                <w:color w:val="000000"/>
              </w:rPr>
              <w:t>（</w:t>
            </w:r>
            <w:r>
              <w:rPr>
                <w:sz w:val="20"/>
                <w:color w:val="000000"/>
              </w:rPr>
              <w:t>4）灭蟑螂：</w:t>
            </w:r>
          </w:p>
          <w:p>
            <w:pPr>
              <w:pStyle w:val="null3"/>
              <w:ind w:firstLine="400"/>
              <w:jc w:val="left"/>
            </w:pPr>
            <w:r>
              <w:rPr>
                <w:sz w:val="20"/>
                <w:color w:val="000000"/>
              </w:rPr>
              <w:t>4.1蟑螂的防治措施方法</w:t>
            </w:r>
          </w:p>
          <w:p>
            <w:pPr>
              <w:pStyle w:val="null3"/>
              <w:ind w:firstLine="400"/>
              <w:jc w:val="left"/>
            </w:pPr>
            <w:r>
              <w:rPr>
                <w:sz w:val="20"/>
                <w:color w:val="000000"/>
              </w:rPr>
              <w:t>对服务范围内绿化带附近的沙井、下水道采用热烟雾机烟熏和常量剂喷洒处理，对不宜使用热烟雾熏杀处理的区域，采用</w:t>
            </w:r>
            <w:r>
              <w:rPr>
                <w:sz w:val="20"/>
                <w:color w:val="000000"/>
              </w:rPr>
              <w:t>菊酯类</w:t>
            </w:r>
            <w:r>
              <w:rPr>
                <w:sz w:val="20"/>
                <w:color w:val="000000"/>
              </w:rPr>
              <w:t>杀虫乳油实施喷洒，或施放灭蟑粉、灭蟑胶饵。并重点加强对蟑螂栖息的孔洞和缝隙用线状喷头进行缝隙喷洒。</w:t>
            </w:r>
          </w:p>
          <w:p>
            <w:pPr>
              <w:pStyle w:val="null3"/>
              <w:ind w:firstLine="400"/>
              <w:jc w:val="left"/>
            </w:pPr>
            <w:r>
              <w:rPr>
                <w:sz w:val="20"/>
                <w:color w:val="000000"/>
              </w:rPr>
              <w:t>4.2补充措施</w:t>
            </w:r>
          </w:p>
          <w:p>
            <w:pPr>
              <w:pStyle w:val="null3"/>
              <w:ind w:firstLine="400"/>
              <w:jc w:val="left"/>
            </w:pPr>
            <w:r>
              <w:rPr>
                <w:sz w:val="20"/>
                <w:color w:val="000000"/>
              </w:rPr>
              <w:t>对不便喷药的部位及难以杀灭的德国小蠊，则采用毒饵法或定点布放粘捕盒进行诱杀，将毒饵点或捕盒布在蟑螂经常出没的地方，采用量少堆多的方法，以使害虫有更多的机会取食。</w:t>
            </w:r>
          </w:p>
          <w:p>
            <w:pPr>
              <w:pStyle w:val="null3"/>
              <w:ind w:firstLine="400"/>
              <w:jc w:val="left"/>
            </w:pPr>
            <w:r>
              <w:rPr>
                <w:sz w:val="20"/>
                <w:color w:val="000000"/>
              </w:rPr>
              <w:t>4.3施工记录</w:t>
            </w:r>
          </w:p>
          <w:p>
            <w:pPr>
              <w:pStyle w:val="null3"/>
              <w:ind w:firstLine="400"/>
              <w:jc w:val="left"/>
            </w:pPr>
            <w:r>
              <w:rPr>
                <w:sz w:val="20"/>
                <w:color w:val="000000"/>
              </w:rPr>
              <w:t>施工结束后，按要求填写施工日程表，双方代表签字确认。</w:t>
            </w:r>
          </w:p>
          <w:p>
            <w:pPr>
              <w:pStyle w:val="null3"/>
              <w:ind w:firstLine="402"/>
              <w:jc w:val="left"/>
            </w:pPr>
            <w:r>
              <w:rPr>
                <w:sz w:val="20"/>
                <w:b/>
                <w:color w:val="000000"/>
              </w:rPr>
              <w:t>六</w:t>
            </w:r>
            <w:r>
              <w:rPr>
                <w:sz w:val="20"/>
                <w:b/>
                <w:color w:val="000000"/>
              </w:rPr>
              <w:t>、投标要求</w:t>
            </w:r>
          </w:p>
          <w:p>
            <w:pPr>
              <w:pStyle w:val="null3"/>
              <w:ind w:firstLine="400"/>
              <w:jc w:val="both"/>
            </w:pPr>
            <w:r>
              <w:rPr>
                <w:sz w:val="20"/>
                <w:color w:val="000000"/>
              </w:rPr>
              <w:t>1、投标人应</w:t>
            </w:r>
            <w:r>
              <w:rPr>
                <w:sz w:val="20"/>
                <w:color w:val="000000"/>
              </w:rPr>
              <w:t>针对</w:t>
            </w:r>
            <w:r>
              <w:rPr>
                <w:sz w:val="20"/>
                <w:color w:val="000000"/>
              </w:rPr>
              <w:t>本项目</w:t>
            </w:r>
            <w:r>
              <w:rPr>
                <w:sz w:val="20"/>
                <w:color w:val="000000"/>
              </w:rPr>
              <w:t>提出</w:t>
            </w:r>
            <w:r>
              <w:rPr>
                <w:sz w:val="20"/>
                <w:color w:val="000000"/>
              </w:rPr>
              <w:t>理解及实施构思方案（包含但不限于</w:t>
            </w:r>
            <w:r>
              <w:rPr>
                <w:sz w:val="20"/>
                <w:color w:val="000000"/>
              </w:rPr>
              <w:t>①项目的理解、构想②调研分析③重点、难点分析④合理化建议等）</w:t>
            </w:r>
            <w:r>
              <w:rPr>
                <w:sz w:val="20"/>
                <w:color w:val="000000"/>
              </w:rPr>
              <w:t>；</w:t>
            </w:r>
          </w:p>
          <w:p>
            <w:pPr>
              <w:pStyle w:val="null3"/>
              <w:ind w:firstLine="400"/>
              <w:jc w:val="both"/>
            </w:pPr>
            <w:r>
              <w:rPr>
                <w:sz w:val="20"/>
                <w:color w:val="000000"/>
              </w:rPr>
              <w:t>2、投标人应针对本项目制定</w:t>
            </w:r>
            <w:r>
              <w:rPr>
                <w:sz w:val="20"/>
                <w:color w:val="000000"/>
              </w:rPr>
              <w:t>服务质量保障方案（包含但不限于灭蚊标准及服务保障、灭蝇标准及服务保障、灭鼠标准及服务质量保障、灭蟑螂标准及服务质量保障等）</w:t>
            </w:r>
            <w:r>
              <w:rPr>
                <w:sz w:val="20"/>
                <w:color w:val="000000"/>
              </w:rPr>
              <w:t>；</w:t>
            </w:r>
          </w:p>
          <w:p>
            <w:pPr>
              <w:pStyle w:val="null3"/>
              <w:ind w:firstLine="400"/>
              <w:jc w:val="both"/>
            </w:pPr>
            <w:r>
              <w:rPr>
                <w:sz w:val="20"/>
                <w:color w:val="000000"/>
              </w:rPr>
              <w:t>3、</w:t>
            </w:r>
            <w:r>
              <w:rPr>
                <w:sz w:val="20"/>
                <w:color w:val="000000"/>
              </w:rPr>
              <w:t>投标人应针对本项目制定</w:t>
            </w:r>
            <w:r>
              <w:rPr>
                <w:sz w:val="20"/>
                <w:color w:val="000000"/>
              </w:rPr>
              <w:t>项目实施细则及方案（包含但不限于作业次数、灭蚊服务细则、灭蝇服务细则、灭鼠</w:t>
            </w:r>
            <w:r>
              <w:rPr>
                <w:sz w:val="20"/>
                <w:color w:val="000000"/>
              </w:rPr>
              <w:t>服务</w:t>
            </w:r>
            <w:r>
              <w:rPr>
                <w:sz w:val="20"/>
                <w:color w:val="000000"/>
              </w:rPr>
              <w:t>细则、灭蟑螂服务细则、作业记录与监督方案、迎检方案等）</w:t>
            </w:r>
          </w:p>
          <w:p>
            <w:pPr>
              <w:pStyle w:val="null3"/>
              <w:ind w:firstLine="400"/>
              <w:jc w:val="both"/>
            </w:pPr>
            <w:r>
              <w:rPr>
                <w:sz w:val="20"/>
                <w:color w:val="000000"/>
              </w:rPr>
              <w:t>4、</w:t>
            </w:r>
            <w:r>
              <w:rPr>
                <w:sz w:val="20"/>
                <w:color w:val="000000"/>
              </w:rPr>
              <w:t>投标人应针对本项目制定</w:t>
            </w:r>
            <w:r>
              <w:rPr>
                <w:sz w:val="20"/>
                <w:color w:val="000000"/>
              </w:rPr>
              <w:t>人员及设备配置方案（包含</w:t>
            </w:r>
            <w:r>
              <w:rPr>
                <w:sz w:val="20"/>
                <w:color w:val="000000"/>
              </w:rPr>
              <w:t>但不</w:t>
            </w:r>
            <w:r>
              <w:rPr>
                <w:sz w:val="20"/>
                <w:color w:val="000000"/>
              </w:rPr>
              <w:t>限于设备的投入合理性及管理方案，拟投入人员的组织架构、合理配置，人员的服务能力资格证明，人员的培训及考核方案等）</w:t>
            </w:r>
          </w:p>
          <w:p>
            <w:pPr>
              <w:pStyle w:val="null3"/>
              <w:ind w:firstLine="400"/>
              <w:jc w:val="both"/>
            </w:pPr>
            <w:r>
              <w:rPr>
                <w:sz w:val="20"/>
                <w:color w:val="000000"/>
              </w:rPr>
              <w:t>5、</w:t>
            </w:r>
            <w:r>
              <w:rPr>
                <w:sz w:val="20"/>
                <w:color w:val="000000"/>
              </w:rPr>
              <w:t>投标人应针对本项目制定</w:t>
            </w:r>
            <w:r>
              <w:rPr>
                <w:sz w:val="20"/>
                <w:color w:val="000000"/>
              </w:rPr>
              <w:t>拟投入药物方案（包含</w:t>
            </w:r>
            <w:r>
              <w:rPr>
                <w:sz w:val="20"/>
                <w:color w:val="000000"/>
              </w:rPr>
              <w:t>但不</w:t>
            </w:r>
            <w:r>
              <w:rPr>
                <w:sz w:val="20"/>
                <w:color w:val="000000"/>
              </w:rPr>
              <w:t>限于药物配备合理方案、投入数量、符合国家标准要求，药物环保无污染无残留的承诺方案等）</w:t>
            </w:r>
          </w:p>
          <w:p>
            <w:pPr>
              <w:pStyle w:val="null3"/>
              <w:ind w:firstLine="400"/>
              <w:jc w:val="both"/>
            </w:pPr>
            <w:r>
              <w:rPr>
                <w:sz w:val="20"/>
                <w:color w:val="000000"/>
              </w:rPr>
              <w:t>6</w:t>
            </w:r>
            <w:r>
              <w:rPr>
                <w:sz w:val="20"/>
                <w:color w:val="000000"/>
              </w:rPr>
              <w:t>、投标人应提供</w:t>
            </w:r>
            <w:r>
              <w:rPr>
                <w:sz w:val="20"/>
                <w:color w:val="000000"/>
              </w:rPr>
              <w:t>自成立至今具有灭（除）四害业绩</w:t>
            </w:r>
            <w:r>
              <w:rPr>
                <w:sz w:val="20"/>
                <w:color w:val="000000"/>
              </w:rPr>
              <w:t>；</w:t>
            </w:r>
          </w:p>
          <w:p>
            <w:pPr>
              <w:pStyle w:val="null3"/>
              <w:ind w:firstLine="400"/>
              <w:jc w:val="both"/>
            </w:pPr>
            <w:r>
              <w:rPr>
                <w:sz w:val="20"/>
                <w:color w:val="000000"/>
              </w:rPr>
              <w:t>7</w:t>
            </w:r>
            <w:r>
              <w:rPr>
                <w:sz w:val="20"/>
                <w:color w:val="000000"/>
              </w:rPr>
              <w:t>、投标人应具有</w:t>
            </w:r>
            <w:r>
              <w:rPr>
                <w:sz w:val="20"/>
                <w:color w:val="000000"/>
              </w:rPr>
              <w:t>由国家认证认可监督管理部门批准设立的认证机构颁发并在有效期内的环境管理体系认证证书、质量管理体系认证证书、职业健康安全管理体系认证证书</w:t>
            </w:r>
            <w:r>
              <w:rPr>
                <w:sz w:val="20"/>
                <w:color w:val="000000"/>
              </w:rPr>
              <w:t>。</w:t>
            </w:r>
          </w:p>
          <w:p>
            <w:pPr>
              <w:pStyle w:val="null3"/>
            </w:pPr>
            <w:r>
              <w:rPr>
                <w:sz w:val="20"/>
                <w:color w:val="000000"/>
              </w:rPr>
              <w:t xml:space="preserve">       8、</w:t>
            </w:r>
            <w:r>
              <w:rPr>
                <w:sz w:val="20"/>
                <w:color w:val="000000"/>
              </w:rPr>
              <w:t>投标人应</w:t>
            </w:r>
            <w:r>
              <w:rPr>
                <w:sz w:val="20"/>
                <w:color w:val="000000"/>
              </w:rPr>
              <w:t>为本项目提供</w:t>
            </w:r>
            <w:r>
              <w:rPr>
                <w:sz w:val="20"/>
                <w:color w:val="000000"/>
              </w:rPr>
              <w:t>紧急服务响应时间。</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1.采购代理机构：本项目是指广东互盈招标有限公司，负责整个采购活动的组织，依法负责编制和发布招标文件，对招标文件拥有最终的解释权，不以任何身份出任评标委员会成员。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东莞市大朗镇公用事业服务中心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采购机构代理服务收费标准：参照国家计委颁布的《招标代理服务收费管理暂行办法》（计价格[2002]1980号）及国家发改委[发改价格[2011]534号]文及相关规定标准执行。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采购类型，服务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广东互盈招标有限公司</w:t>
      </w:r>
      <w:r>
        <w:rPr/>
        <w:t>代收。具体操作要求详见</w:t>
      </w:r>
      <w:r>
        <w:rPr/>
        <w:t>广东互盈招标有限公司</w:t>
      </w:r>
      <w:r>
        <w:rPr/>
        <w:t>有关指引，递交事宜请自行咨询</w:t>
      </w:r>
      <w:r>
        <w:rPr/>
        <w:t>广东互盈招标有限公司</w:t>
      </w:r>
      <w:r>
        <w:rPr/>
        <w:t>；请各投标人在投标文件递交截止时间前按须知前附表规定的金额递交至</w:t>
      </w:r>
      <w:r>
        <w:rPr/>
        <w:t>广东互盈招标有限公司</w:t>
      </w:r>
      <w:r>
        <w:rPr/>
        <w:t>，到账情况以开标时</w:t>
      </w:r>
      <w:r>
        <w:rPr/>
        <w:t>广东互盈招标有限公司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钟丹</w:t>
      </w:r>
    </w:p>
    <w:p>
      <w:pPr>
        <w:pStyle w:val="null3"/>
        <w:ind w:firstLine="480"/>
      </w:pPr>
      <w:r>
        <w:rPr/>
        <w:t>电话：</w:t>
      </w:r>
      <w:r>
        <w:rPr/>
        <w:t>0769-21661522</w:t>
      </w:r>
    </w:p>
    <w:p>
      <w:pPr>
        <w:pStyle w:val="null3"/>
        <w:ind w:firstLine="480"/>
      </w:pPr>
      <w:r>
        <w:rPr/>
        <w:t>传真：</w:t>
      </w:r>
      <w:r>
        <w:rPr/>
        <w:t>0769-21661522</w:t>
      </w:r>
    </w:p>
    <w:p>
      <w:pPr>
        <w:pStyle w:val="null3"/>
        <w:ind w:firstLine="480"/>
      </w:pPr>
      <w:r>
        <w:rPr/>
        <w:t>邮箱：</w:t>
      </w:r>
      <w:r>
        <w:rPr/>
        <w:t>hyzb_dg@163.com</w:t>
      </w:r>
    </w:p>
    <w:p>
      <w:pPr>
        <w:pStyle w:val="null3"/>
        <w:ind w:firstLine="480"/>
      </w:pPr>
      <w:r>
        <w:rPr/>
        <w:t>地址：</w:t>
      </w:r>
      <w:r>
        <w:rPr/>
        <w:t>东莞市南城街道银丰路银城大厦4楼401号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大朗镇中心区除“四害”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广东互盈招标有限公司</w:t>
      </w:r>
      <w:r>
        <w:rPr/>
        <w:t>统一对外发布。</w:t>
      </w:r>
    </w:p>
    <w:p>
      <w:pPr>
        <w:pStyle w:val="null3"/>
        <w:ind w:firstLine="480"/>
      </w:pPr>
      <w:r>
        <w:rPr/>
        <w:t>（2）对</w:t>
      </w:r>
      <w:r>
        <w:rPr/>
        <w:t>广东互盈招标有限公司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采购包1（大朗镇中心区除“四害”项目）：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采购包1（大朗镇中心区除“四害”项目）：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投标人具有独立承担民事责任的能力的证明文件（提供营业执照或事业单位法人证书等证明文件，自然人投标的提供身份证明，复印件加盖投标人公章）；</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具有依法缴纳税收和社会保障资金的良好记录的证明文件（投标人自行提供，依法免税的，提供相关证明文件，复印件加盖投标人公章）【投标文件中提供相关证明材料或《资格条件承诺函》】；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证明文件（提供近年度的财务状况说明文件；若投标人新成立的，提供成立至今的月或季度财务状况报告或基本开户行出具的资信证明，复印件加盖投标人公章）【投标文件中提供相关证明材料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具有履行合同所必需的设备和专业技术能力证明文件【投标文件中提供相关证明材料或《资格条件承诺函》】；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的书面声明文件【投标文件中提供书面声明文件或《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w:t>
            </w:r>
          </w:p>
        </w:tc>
      </w:tr>
    </w:tbl>
    <w:p>
      <w:pPr>
        <w:pStyle w:val="null3"/>
        <w:ind w:firstLine="480"/>
      </w:pPr>
      <w:r>
        <w:rPr/>
        <w:t>表二符合性审查表：</w:t>
      </w:r>
    </w:p>
    <w:p>
      <w:pPr>
        <w:pStyle w:val="null3"/>
      </w:pPr>
      <w:r>
        <w:rPr/>
        <w:t>采购包1（大朗镇中心区除“四害”项目）：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投标有效期符合本项目招标文件要求。</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投标报价符合招标文件要求。</w:t>
            </w:r>
          </w:p>
        </w:tc>
      </w:tr>
      <w:tr>
        <w:tc>
          <w:tcPr>
            <w:tcW w:type="dxa" w:w="890"/>
          </w:tcPr>
          <w:p>
            <w:pPr>
              <w:pStyle w:val="null3"/>
            </w:pPr>
            <w:r>
              <w:rPr/>
              <w:t>3</w:t>
            </w:r>
          </w:p>
        </w:tc>
        <w:tc>
          <w:tcPr>
            <w:tcW w:type="dxa" w:w="3178"/>
          </w:tcPr>
          <w:p>
            <w:pPr>
              <w:pStyle w:val="null3"/>
            </w:pPr>
            <w:r>
              <w:rPr/>
              <w:t>投标文件的编制</w:t>
            </w:r>
          </w:p>
        </w:tc>
        <w:tc>
          <w:tcPr>
            <w:tcW w:type="dxa" w:w="4238"/>
          </w:tcPr>
          <w:p>
            <w:pPr>
              <w:pStyle w:val="null3"/>
            </w:pPr>
            <w:r>
              <w:rPr/>
              <w:t>（1）投标文件的编制、签字、盖章符合招标文件要求；（2）投标文件的项目名称、编号正确，标的与采购内容相符。</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投标文件符合招标文件中带“★”号要求的条款。</w:t>
            </w:r>
          </w:p>
        </w:tc>
      </w:tr>
      <w:tr>
        <w:tc>
          <w:tcPr>
            <w:tcW w:type="dxa" w:w="890"/>
          </w:tcPr>
          <w:p>
            <w:pPr>
              <w:pStyle w:val="null3"/>
            </w:pPr>
            <w:r>
              <w:rPr/>
              <w:t>5</w:t>
            </w:r>
          </w:p>
        </w:tc>
        <w:tc>
          <w:tcPr>
            <w:tcW w:type="dxa" w:w="3178"/>
          </w:tcPr>
          <w:p>
            <w:pPr>
              <w:pStyle w:val="null3"/>
            </w:pPr>
            <w:r>
              <w:rPr/>
              <w:t>投标报价情况</w:t>
            </w:r>
          </w:p>
        </w:tc>
        <w:tc>
          <w:tcPr>
            <w:tcW w:type="dxa" w:w="4238"/>
          </w:tcPr>
          <w:p>
            <w:pPr>
              <w:pStyle w:val="null3"/>
            </w:pPr>
            <w:r>
              <w:rPr/>
              <w:t>投标报价未出现以下情况：（1）投标报价超过采购预算；（2）投标报价为有选择性的非固定价；（3）投标报价存在重大漏项；（4）投标报价明显不合理或者低于成本，且未能在规定时间内提供书面文件予以解释说明及提供相关证明材料的。</w:t>
            </w:r>
          </w:p>
        </w:tc>
      </w:tr>
      <w:tr>
        <w:tc>
          <w:tcPr>
            <w:tcW w:type="dxa" w:w="890"/>
          </w:tcPr>
          <w:p>
            <w:pPr>
              <w:pStyle w:val="null3"/>
            </w:pPr>
            <w:r>
              <w:rPr/>
              <w:t>6</w:t>
            </w:r>
          </w:p>
        </w:tc>
        <w:tc>
          <w:tcPr>
            <w:tcW w:type="dxa" w:w="3178"/>
          </w:tcPr>
          <w:p>
            <w:pPr>
              <w:pStyle w:val="null3"/>
            </w:pPr>
            <w:r>
              <w:rPr/>
              <w:t>未出现投标无效或废标情形</w:t>
            </w:r>
          </w:p>
        </w:tc>
        <w:tc>
          <w:tcPr>
            <w:tcW w:type="dxa" w:w="4238"/>
          </w:tcPr>
          <w:p>
            <w:pPr>
              <w:pStyle w:val="null3"/>
            </w:pPr>
            <w:r>
              <w:rPr/>
              <w:t>未出现法律法规及招标文件中规定的投标无效或废标的情形。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采购包1(大朗镇中心区除“四害”项目):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对项目的理解及实施构思方案 (13.0分)</w:t>
            </w:r>
          </w:p>
        </w:tc>
        <w:tc>
          <w:tcPr>
            <w:tcW w:type="dxa" w:w="5076"/>
          </w:tcPr>
          <w:p>
            <w:pPr>
              <w:pStyle w:val="null3"/>
              <w:jc w:val="left"/>
            </w:pPr>
            <w:r>
              <w:rPr/>
              <w:t>对投标人根据本项目采购需求提供的对项目的理解及实施构思方案（包含但不限于①项目的理解、构想②调研分析③重点、难点分析④合理化建议等）进行评审：(1)实施方案合理、内容详细，针对性强。满足采购需求的，得13分；(2)实施方案较合理、内容较详细，针对性较强，满足采购需求的，得8分；(3)实施方案不合理、内容简略，针对性一般，不完全满足采购需求的，得4分；(4)未提供对应方案得0分。</w:t>
            </w:r>
          </w:p>
        </w:tc>
      </w:tr>
      <w:tr>
        <w:tc>
          <w:tcPr>
            <w:tcW w:type="dxa" w:w="922"/>
            <w:gridSpan w:val="2"/>
            <w:vMerge/>
          </w:tcPr>
          <w:p/>
        </w:tc>
        <w:tc>
          <w:tcPr>
            <w:tcW w:type="dxa" w:w="2307"/>
          </w:tcPr>
          <w:p>
            <w:pPr>
              <w:pStyle w:val="null3"/>
              <w:jc w:val="left"/>
            </w:pPr>
            <w:r>
              <w:rPr/>
              <w:t>服务质量保障方案 (13.0分)</w:t>
            </w:r>
          </w:p>
        </w:tc>
        <w:tc>
          <w:tcPr>
            <w:tcW w:type="dxa" w:w="5076"/>
          </w:tcPr>
          <w:p>
            <w:pPr>
              <w:pStyle w:val="null3"/>
              <w:jc w:val="left"/>
            </w:pPr>
            <w:r>
              <w:rPr/>
              <w:t>对投标人根据本项目采购需求提供的服务质量保障方案（包含但不限于灭蚊标准及服务保障、灭蝇标准及服务保障、灭鼠标准及服务质量保障、灭蟑螂标准及服务质量保障等）进行评审：(1)保障方案合理、内容详细，针对性强。满足采购需求的，得13分；(2)保障方案较合理、内容较详细，针对性较强，满足采购需求的，得8分；(3)保障方案不合理、内容简略，针对性一般，不完全满足采购需求的，得4分；(4)未提供对应方案得0分。</w:t>
            </w:r>
          </w:p>
        </w:tc>
      </w:tr>
      <w:tr>
        <w:tc>
          <w:tcPr>
            <w:tcW w:type="dxa" w:w="922"/>
            <w:gridSpan w:val="2"/>
            <w:vMerge/>
          </w:tcPr>
          <w:p/>
        </w:tc>
        <w:tc>
          <w:tcPr>
            <w:tcW w:type="dxa" w:w="2307"/>
          </w:tcPr>
          <w:p>
            <w:pPr>
              <w:pStyle w:val="null3"/>
              <w:jc w:val="left"/>
            </w:pPr>
            <w:r>
              <w:rPr/>
              <w:t>项目实施细则及方案 (13.0分)</w:t>
            </w:r>
          </w:p>
        </w:tc>
        <w:tc>
          <w:tcPr>
            <w:tcW w:type="dxa" w:w="5076"/>
          </w:tcPr>
          <w:p>
            <w:pPr>
              <w:pStyle w:val="null3"/>
              <w:jc w:val="left"/>
            </w:pPr>
            <w:r>
              <w:rPr/>
              <w:t>对投标人根据本项目采购需求提供的项目实施细则及方案（包含但不限于作业次数、灭蚊服务细则、灭蝇服务细则、灭鼠服务细则、灭蟑螂服务细则、作业记录与监督方案、迎检方案等）进行评审：(1)方案合理、内容详细，针对性强。满足采购需求的，得13分；(2)方案较合理、内容较详细，针对性较强，满足采购需求的，得8分；(3)方案不合理、内容简略，针对性一般，不完全满足采购需求的，得4分；(4)未提供对应方案得0分。</w:t>
            </w:r>
          </w:p>
        </w:tc>
      </w:tr>
      <w:tr>
        <w:tc>
          <w:tcPr>
            <w:tcW w:type="dxa" w:w="922"/>
            <w:gridSpan w:val="2"/>
            <w:vMerge/>
          </w:tcPr>
          <w:p/>
        </w:tc>
        <w:tc>
          <w:tcPr>
            <w:tcW w:type="dxa" w:w="2307"/>
          </w:tcPr>
          <w:p>
            <w:pPr>
              <w:pStyle w:val="null3"/>
              <w:jc w:val="left"/>
            </w:pPr>
            <w:r>
              <w:rPr/>
              <w:t>人员及设备配置方案 (13.0分)</w:t>
            </w:r>
          </w:p>
        </w:tc>
        <w:tc>
          <w:tcPr>
            <w:tcW w:type="dxa" w:w="5076"/>
          </w:tcPr>
          <w:p>
            <w:pPr>
              <w:pStyle w:val="null3"/>
              <w:jc w:val="left"/>
            </w:pPr>
            <w:r>
              <w:rPr/>
              <w:t>对投标人根据本项目采购需求提供的人员及设备配置方案（包含但不限于设备的投入合理性及管理方案，拟投入人员的组织架构、合理配置，人员的服务能力和资格证明，人员的培训及考核方案等）进行评审：（1）方案合理、内容详细，针对性强。满足采购需求的，得13分；（2）方案较合理、内容较详细，针对性较强，满足采购需求的，得8分；（3）方案不合理、内容简略，针对性一般，不完全满足采购需求的，得4分；（4）未提供对应方案得0分。</w:t>
            </w:r>
          </w:p>
        </w:tc>
      </w:tr>
      <w:tr>
        <w:tc>
          <w:tcPr>
            <w:tcW w:type="dxa" w:w="922"/>
            <w:gridSpan w:val="2"/>
            <w:vMerge/>
          </w:tcPr>
          <w:p/>
        </w:tc>
        <w:tc>
          <w:tcPr>
            <w:tcW w:type="dxa" w:w="2307"/>
          </w:tcPr>
          <w:p>
            <w:pPr>
              <w:pStyle w:val="null3"/>
              <w:jc w:val="left"/>
            </w:pPr>
            <w:r>
              <w:rPr/>
              <w:t>拟投入药物方案 (13.0分)</w:t>
            </w:r>
          </w:p>
        </w:tc>
        <w:tc>
          <w:tcPr>
            <w:tcW w:type="dxa" w:w="5076"/>
          </w:tcPr>
          <w:p>
            <w:pPr>
              <w:pStyle w:val="null3"/>
              <w:jc w:val="left"/>
            </w:pPr>
            <w:r>
              <w:rPr/>
              <w:t>对投标人根据本项目采购需求提供的拟投入药物方案（包含但不限于药物配备合理方案、投入数量、符合国家标准要求，药物环保无污染无残留的承诺方案等）进行评审：（1）方案合理、内容详细，针对性强。满足采购需求的，得13分；（2）方案较合理、内容较详细，针对性较强，满足采购需求的，得8分；（3）方案不合理、内容简略，针对性一般，不完全满足采购需求的，得4分；（4）未提供对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(12.0分)</w:t>
            </w:r>
          </w:p>
        </w:tc>
        <w:tc>
          <w:tcPr>
            <w:tcW w:type="dxa" w:w="5076"/>
          </w:tcPr>
          <w:p>
            <w:pPr>
              <w:pStyle w:val="null3"/>
              <w:jc w:val="left"/>
            </w:pPr>
            <w:r>
              <w:rPr/>
              <w:t>投标人自成立至今具有灭（除）四害业绩，每个业绩得3分，满分12分。 注：须提供服务合同的复印件加盖公章。</w:t>
            </w:r>
          </w:p>
        </w:tc>
      </w:tr>
      <w:tr>
        <w:tc>
          <w:tcPr>
            <w:tcW w:type="dxa" w:w="922"/>
            <w:gridSpan w:val="2"/>
            <w:vMerge/>
          </w:tcPr>
          <w:p/>
        </w:tc>
        <w:tc>
          <w:tcPr>
            <w:tcW w:type="dxa" w:w="2307"/>
          </w:tcPr>
          <w:p>
            <w:pPr>
              <w:pStyle w:val="null3"/>
              <w:jc w:val="left"/>
            </w:pPr>
            <w:r>
              <w:rPr/>
              <w:t>体系认证 (9.0分)</w:t>
            </w:r>
          </w:p>
        </w:tc>
        <w:tc>
          <w:tcPr>
            <w:tcW w:type="dxa" w:w="5076"/>
          </w:tcPr>
          <w:p>
            <w:pPr>
              <w:pStyle w:val="null3"/>
              <w:jc w:val="left"/>
            </w:pPr>
            <w:r>
              <w:rPr/>
              <w:t>投标人具有由国家认证认可监督管理部门批准设立的认证机构颁发并在有效期内的环境管理体系认证证书、质量管理体系认证证书、职业健康安全管理体系认证证书，每个得3分，最高得9分。（提供证书复印件加盖投标人公章，否则不得分）</w:t>
            </w:r>
          </w:p>
        </w:tc>
      </w:tr>
      <w:tr>
        <w:tc>
          <w:tcPr>
            <w:tcW w:type="dxa" w:w="922"/>
            <w:gridSpan w:val="2"/>
            <w:vMerge/>
          </w:tcPr>
          <w:p/>
        </w:tc>
        <w:tc>
          <w:tcPr>
            <w:tcW w:type="dxa" w:w="2307"/>
          </w:tcPr>
          <w:p>
            <w:pPr>
              <w:pStyle w:val="null3"/>
              <w:jc w:val="left"/>
            </w:pPr>
            <w:r>
              <w:rPr/>
              <w:t>紧急服务响应时间 (4.0分)</w:t>
            </w:r>
          </w:p>
        </w:tc>
        <w:tc>
          <w:tcPr>
            <w:tcW w:type="dxa" w:w="5076"/>
          </w:tcPr>
          <w:p>
            <w:pPr>
              <w:pStyle w:val="null3"/>
              <w:jc w:val="left"/>
            </w:pPr>
            <w:r>
              <w:rPr/>
              <w:t>根据投标人针对采购人在紧急情况下提供的服务响应时间进行评审： 投标人承诺在接到采购人通知后2（含）小时内到现场，得4分； 投标人承诺在接到采购人通知后2（不含）至4小时内到现场，得2分； 投标人承诺在接到采购人通知后4（不含）至6小时内到现场，得1分； 其他情况不得分。注：投标人需提供服务承诺书，并加盖投标人公章。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color w:val="000000"/>
        </w:rPr>
        <w:t>大朗镇中心区除</w:t>
      </w:r>
      <w:r>
        <w:rPr>
          <w:sz w:val="48"/>
          <w:b/>
          <w:color w:val="000000"/>
        </w:rPr>
        <w:t>“四害”项目</w:t>
      </w:r>
    </w:p>
    <w:p>
      <w:pPr>
        <w:pStyle w:val="null3"/>
        <w:jc w:val="center"/>
      </w:pPr>
      <w:r>
        <w:rPr>
          <w:sz w:val="48"/>
          <w:b/>
          <w:color w:val="000000"/>
        </w:rPr>
        <w:t>采购合同</w:t>
      </w:r>
    </w:p>
    <w:p>
      <w:pPr>
        <w:pStyle w:val="null3"/>
        <w:jc w:val="center"/>
      </w:pPr>
      <w:r>
        <w:rPr>
          <w:sz w:val="21"/>
          <w:b/>
        </w:rPr>
        <w:t xml:space="preserve">                                                                                                                                                                                                                                                                                                                                                                                                                    </w:t>
      </w:r>
    </w:p>
    <w:p>
      <w:pPr>
        <w:pStyle w:val="null3"/>
        <w:jc w:val="center"/>
      </w:pPr>
      <w:r>
        <w:rPr>
          <w:sz w:val="32"/>
          <w:b/>
          <w:color w:val="000000"/>
          <w:u w:val="single"/>
        </w:rPr>
        <w:t>甲方（采购人）：</w:t>
      </w:r>
      <w:r>
        <w:rPr>
          <w:sz w:val="21"/>
          <w:b/>
          <w:u w:val="single"/>
        </w:rPr>
        <w:t xml:space="preserve"> </w:t>
      </w:r>
      <w:r>
        <w:rPr>
          <w:sz w:val="21"/>
          <w:b/>
          <w:u w:val="single"/>
        </w:rPr>
        <w:t xml:space="preserve">                           </w:t>
      </w:r>
    </w:p>
    <w:p>
      <w:pPr>
        <w:pStyle w:val="null3"/>
        <w:ind w:firstLine="479"/>
        <w:jc w:val="both"/>
      </w:pPr>
      <w:r>
        <w:rPr>
          <w:sz w:val="32"/>
          <w:b/>
          <w:color w:val="000000"/>
          <w:u w:val="single"/>
        </w:rPr>
        <w:t>乙方（中标人）：</w:t>
      </w:r>
      <w:r>
        <w:rPr>
          <w:sz w:val="32"/>
          <w:b/>
          <w:color w:val="000000"/>
          <w:u w:val="single"/>
        </w:rPr>
        <w:t xml:space="preserve">                          </w:t>
      </w:r>
      <w:r>
        <w:rPr>
          <w:sz w:val="21"/>
          <w:u w:val="single"/>
        </w:rPr>
        <w:t xml:space="preserve">   </w:t>
      </w:r>
    </w:p>
    <w:p>
      <w:pPr>
        <w:pStyle w:val="null3"/>
        <w:jc w:val="center"/>
      </w:pPr>
      <w:r>
        <w:rPr>
          <w:sz w:val="32"/>
          <w:b/>
          <w:color w:val="000000"/>
        </w:rPr>
        <w:t>合同签订时间：</w:t>
      </w:r>
      <w:r>
        <w:rPr>
          <w:sz w:val="21"/>
          <w:b/>
          <w:u w:val="single"/>
        </w:rPr>
        <w:t xml:space="preserve">        </w:t>
      </w:r>
      <w:r>
        <w:rPr>
          <w:sz w:val="21"/>
          <w:b/>
          <w:u w:val="single"/>
        </w:rPr>
        <w:t xml:space="preserve"> </w:t>
      </w:r>
      <w:r>
        <w:rPr>
          <w:sz w:val="32"/>
          <w:b/>
          <w:color w:val="000000"/>
          <w:u w:val="single"/>
        </w:rPr>
        <w:t>年</w:t>
      </w:r>
      <w:r>
        <w:rPr>
          <w:sz w:val="32"/>
          <w:b/>
          <w:color w:val="000000"/>
          <w:u w:val="single"/>
        </w:rPr>
        <w:t xml:space="preserve">  </w:t>
      </w:r>
      <w:r>
        <w:rPr>
          <w:sz w:val="32"/>
          <w:b/>
          <w:color w:val="000000"/>
          <w:u w:val="single"/>
        </w:rPr>
        <w:t>月</w:t>
      </w:r>
      <w:r>
        <w:rPr>
          <w:sz w:val="32"/>
          <w:b/>
          <w:color w:val="000000"/>
          <w:u w:val="single"/>
        </w:rPr>
        <w:t xml:space="preserve">  </w:t>
      </w:r>
      <w:r>
        <w:rPr>
          <w:sz w:val="32"/>
          <w:b/>
          <w:color w:val="000000"/>
          <w:u w:val="single"/>
        </w:rPr>
        <w:t>日</w:t>
      </w:r>
      <w:r>
        <w:rPr>
          <w:sz w:val="32"/>
          <w:b/>
          <w:color w:val="000000"/>
          <w:u w:val="single"/>
        </w:rPr>
        <w:t xml:space="preserve">                 </w:t>
      </w:r>
    </w:p>
    <w:p>
      <w:pPr>
        <w:pStyle w:val="null3"/>
        <w:jc w:val="both"/>
      </w:pPr>
      <w:r>
        <w:rPr>
          <w:sz w:val="32"/>
          <w:b/>
          <w:color w:val="000000"/>
        </w:rPr>
        <w:t>合同签订地点：</w:t>
      </w:r>
      <w:r>
        <w:rPr>
          <w:sz w:val="21"/>
          <w:b/>
          <w:u w:val="single"/>
        </w:rPr>
        <w:t xml:space="preserve">                                         </w:t>
      </w:r>
    </w:p>
    <w:p>
      <w:pPr>
        <w:pStyle w:val="null3"/>
        <w:jc w:val="center"/>
      </w:pPr>
      <w:r>
        <w:rPr>
          <w:sz w:val="20"/>
          <w:color w:val="000000"/>
        </w:rPr>
        <w:t>合同编号：</w:t>
      </w:r>
    </w:p>
    <w:p>
      <w:pPr>
        <w:pStyle w:val="null3"/>
      </w:pPr>
      <w:r>
        <w:rPr/>
        <w:t xml:space="preserve"> </w:t>
      </w:r>
    </w:p>
    <w:p>
      <w:pPr>
        <w:pStyle w:val="null3"/>
        <w:ind w:firstLine="420"/>
        <w:jc w:val="left"/>
      </w:pPr>
      <w:r>
        <w:rPr>
          <w:sz w:val="20"/>
          <w:color w:val="000000"/>
        </w:rPr>
        <w:t>根据</w:t>
      </w:r>
      <w:r>
        <w:rPr>
          <w:sz w:val="21"/>
          <w:u w:val="single"/>
        </w:rPr>
        <w:t xml:space="preserve">            </w:t>
      </w:r>
      <w:r>
        <w:rPr>
          <w:sz w:val="20"/>
          <w:color w:val="000000"/>
        </w:rPr>
        <w:t>项目（项目编号</w:t>
      </w:r>
      <w:r>
        <w:rPr>
          <w:sz w:val="21"/>
          <w:u w:val="single"/>
        </w:rPr>
        <w:t xml:space="preserve">        </w:t>
      </w:r>
      <w:r>
        <w:rPr>
          <w:sz w:val="20"/>
          <w:color w:val="000000"/>
        </w:rPr>
        <w:t>）采购结果及招、投标文件，为保护甲乙双方合法权益，根据《中华人民共和国民法典》相关规定，经甲乙双方协商一致，在平等自愿的基础上，按照下面的条款和条件签署本合同。</w:t>
      </w:r>
    </w:p>
    <w:p>
      <w:pPr>
        <w:pStyle w:val="null3"/>
        <w:jc w:val="left"/>
      </w:pPr>
      <w:r>
        <w:rPr>
          <w:sz w:val="20"/>
          <w:b/>
          <w:color w:val="000000"/>
        </w:rPr>
        <w:t>一、合同当事人：</w:t>
      </w:r>
      <w:r>
        <w:rPr>
          <w:sz w:val="20"/>
          <w:b/>
          <w:color w:val="000000"/>
        </w:rPr>
        <w:t xml:space="preserve">                           </w:t>
      </w:r>
    </w:p>
    <w:p>
      <w:pPr>
        <w:pStyle w:val="null3"/>
        <w:ind w:firstLine="420"/>
        <w:jc w:val="left"/>
      </w:pPr>
      <w:r>
        <w:rPr>
          <w:sz w:val="20"/>
          <w:color w:val="000000"/>
        </w:rPr>
        <w:t>甲方：</w:t>
      </w:r>
      <w:r>
        <w:rPr>
          <w:sz w:val="21"/>
          <w:u w:val="single"/>
        </w:rPr>
        <w:t xml:space="preserve">                                         </w:t>
      </w:r>
    </w:p>
    <w:p>
      <w:pPr>
        <w:pStyle w:val="null3"/>
        <w:ind w:firstLine="420"/>
        <w:jc w:val="left"/>
      </w:pPr>
      <w:r>
        <w:rPr>
          <w:sz w:val="20"/>
          <w:color w:val="000000"/>
        </w:rPr>
        <w:t>乙方：</w:t>
      </w:r>
      <w:r>
        <w:rPr>
          <w:sz w:val="21"/>
          <w:u w:val="single"/>
        </w:rPr>
        <w:t xml:space="preserve">                                         </w:t>
      </w:r>
    </w:p>
    <w:p>
      <w:pPr>
        <w:pStyle w:val="null3"/>
        <w:jc w:val="left"/>
      </w:pPr>
      <w:r>
        <w:rPr>
          <w:sz w:val="20"/>
          <w:b/>
          <w:color w:val="000000"/>
        </w:rPr>
        <w:t>二、服务内容：</w:t>
      </w:r>
    </w:p>
    <w:p>
      <w:pPr>
        <w:pStyle w:val="null3"/>
        <w:ind w:firstLine="420"/>
        <w:jc w:val="left"/>
      </w:pPr>
      <w:r>
        <w:rPr>
          <w:sz w:val="20"/>
          <w:color w:val="000000"/>
        </w:rPr>
        <w:t>（</w:t>
      </w:r>
      <w:r>
        <w:rPr>
          <w:sz w:val="20"/>
          <w:color w:val="000000"/>
        </w:rPr>
        <w:t>一</w:t>
      </w:r>
      <w:r>
        <w:rPr>
          <w:sz w:val="20"/>
          <w:color w:val="000000"/>
        </w:rPr>
        <w:t>）在</w:t>
      </w:r>
      <w:r>
        <w:rPr>
          <w:sz w:val="20"/>
          <w:color w:val="000000"/>
        </w:rPr>
        <w:t>服务期</w:t>
      </w:r>
      <w:r>
        <w:rPr>
          <w:sz w:val="20"/>
          <w:color w:val="000000"/>
        </w:rPr>
        <w:t>内，</w:t>
      </w:r>
      <w:r>
        <w:rPr>
          <w:sz w:val="20"/>
          <w:color w:val="000000"/>
        </w:rPr>
        <w:t>乙方</w:t>
      </w:r>
      <w:r>
        <w:rPr>
          <w:sz w:val="20"/>
          <w:color w:val="000000"/>
        </w:rPr>
        <w:t>负责大朗镇中心区的除</w:t>
      </w:r>
      <w:r>
        <w:rPr>
          <w:sz w:val="20"/>
          <w:color w:val="000000"/>
        </w:rPr>
        <w:t>“四害”工作，具体范围如下：</w:t>
      </w:r>
    </w:p>
    <w:tbl>
      <w:tblPr>
        <w:tblW w:w="0" w:type="auto"/>
        <w:tblBorders>
          <w:top w:val="none" w:color="000000" w:sz="4"/>
          <w:left w:val="none" w:color="000000" w:sz="4"/>
          <w:bottom w:val="none" w:color="000000" w:sz="4"/>
          <w:right w:val="none" w:color="000000" w:sz="4"/>
          <w:insideH w:val="none"/>
          <w:insideV w:val="none"/>
        </w:tblBorders>
      </w:tblPr>
      <w:tblGrid>
        <w:gridCol w:w="516"/>
        <w:gridCol w:w="4517"/>
        <w:gridCol w:w="1056"/>
        <w:gridCol w:w="657"/>
        <w:gridCol w:w="892"/>
        <w:gridCol w:w="669"/>
      </w:tblGrid>
      <w:tr>
        <w:tc>
          <w:tcPr>
            <w:tcW w:type="dxa" w:w="51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45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名称</w:t>
            </w:r>
          </w:p>
        </w:tc>
        <w:tc>
          <w:tcPr>
            <w:tcW w:type="dxa" w:w="10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绿化带面积（㎡）</w:t>
            </w:r>
          </w:p>
        </w:tc>
        <w:tc>
          <w:tcPr>
            <w:tcW w:type="dxa" w:w="6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次数</w:t>
            </w:r>
          </w:p>
        </w:tc>
        <w:tc>
          <w:tcPr>
            <w:tcW w:type="dxa" w:w="8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下水道长（</w:t>
            </w:r>
            <w:r>
              <w:rPr>
                <w:sz w:val="20"/>
                <w:color w:val="000000"/>
              </w:rPr>
              <w:t>m）</w:t>
            </w:r>
          </w:p>
        </w:tc>
        <w:tc>
          <w:tcPr>
            <w:tcW w:type="dxa" w:w="6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次数</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美景路（银朗路口</w:t>
            </w:r>
            <w:r>
              <w:rPr>
                <w:sz w:val="20"/>
                <w:color w:val="000000"/>
              </w:rPr>
              <w:t>-美景中路洋坑塘红绿灯）</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4000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富华路（富华南路</w:t>
            </w:r>
            <w:r>
              <w:rPr>
                <w:sz w:val="20"/>
                <w:color w:val="000000"/>
              </w:rPr>
              <w:t>-富华中路-富华北路）</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19600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3920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金朗路（金朗北路东坑路口</w:t>
            </w:r>
            <w:r>
              <w:rPr>
                <w:sz w:val="20"/>
                <w:color w:val="000000"/>
              </w:rPr>
              <w:t>-金朗中路-金朗南路与银朗南路交汇处）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19500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6500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银朗路（银朗北路</w:t>
            </w:r>
            <w:r>
              <w:rPr>
                <w:sz w:val="20"/>
                <w:color w:val="000000"/>
              </w:rPr>
              <w:t>-银朗南路与金朗南路交汇处）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5400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富民路（富民北路东坑路口</w:t>
            </w:r>
            <w:r>
              <w:rPr>
                <w:sz w:val="20"/>
                <w:color w:val="000000"/>
              </w:rPr>
              <w:t>-富民南路大朗人力资源分局止）</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87000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5800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松佛路（松山湖畅园路口红绿灯处</w:t>
            </w:r>
            <w:r>
              <w:rPr>
                <w:sz w:val="20"/>
                <w:color w:val="000000"/>
              </w:rPr>
              <w:t>-美景中路口）3140米</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3140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迎宾路（富民中路交汇处</w:t>
            </w:r>
            <w:r>
              <w:rPr>
                <w:sz w:val="20"/>
                <w:color w:val="000000"/>
              </w:rPr>
              <w:t>-松山湖象洋北路交汇处）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6660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1480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怡朗路（金朗中路交汇处路口</w:t>
            </w:r>
            <w:r>
              <w:rPr>
                <w:sz w:val="20"/>
                <w:color w:val="000000"/>
              </w:rPr>
              <w:t>-人和路口）</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473</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怡安路（人和路口</w:t>
            </w:r>
            <w:r>
              <w:rPr>
                <w:sz w:val="20"/>
                <w:color w:val="000000"/>
              </w:rPr>
              <w:t>-金朗中路口）</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1337.5</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535</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福兴街（美景中路口</w:t>
            </w:r>
            <w:r>
              <w:rPr>
                <w:sz w:val="20"/>
                <w:color w:val="000000"/>
              </w:rPr>
              <w:t>-怡朗路口）</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215</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人和路（美景中路口</w:t>
            </w:r>
            <w:r>
              <w:rPr>
                <w:sz w:val="20"/>
                <w:color w:val="000000"/>
              </w:rPr>
              <w:t>-凯悦美景花园正门路口）</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468</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政通路（与育才路交汇处</w:t>
            </w:r>
            <w:r>
              <w:rPr>
                <w:sz w:val="20"/>
                <w:color w:val="000000"/>
              </w:rPr>
              <w:t>-与怡安路交汇处）</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1064</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育才路（金丽路口</w:t>
            </w:r>
            <w:r>
              <w:rPr>
                <w:sz w:val="20"/>
                <w:color w:val="000000"/>
              </w:rPr>
              <w:t>-政通路口）</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金丽路（金朗中路口</w:t>
            </w:r>
            <w:r>
              <w:rPr>
                <w:sz w:val="20"/>
                <w:color w:val="000000"/>
              </w:rPr>
              <w:t>-怡安路口，含金丽一巷、金丽二巷）</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1517</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富康路（富民北路口</w:t>
            </w:r>
            <w:r>
              <w:rPr>
                <w:sz w:val="20"/>
                <w:color w:val="000000"/>
              </w:rPr>
              <w:t>-富华中路口）</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10500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2100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大朗广场</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15228</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憩趣园</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4315</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政府大院</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6250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原金丽酒店</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旧中心小学</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政府宿舍</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敬老院</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行政服务中心</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10900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大朗镇朗豪儿童公园</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1960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大朗镇长盛公园</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8666.67</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26</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大朗镇友善公园</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27</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大朗镇莲湖公园</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53000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大朗镇巷头三角公园</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3333.33</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29</w:t>
            </w:r>
          </w:p>
        </w:tc>
        <w:tc>
          <w:tcPr>
            <w:tcW w:type="dxa" w:w="4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大朗城管分局</w:t>
            </w:r>
          </w:p>
        </w:tc>
        <w:tc>
          <w:tcPr>
            <w:tcW w:type="dxa" w:w="1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c>
          <w:tcPr>
            <w:tcW w:type="dxa" w:w="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0</w:t>
            </w:r>
          </w:p>
        </w:tc>
      </w:tr>
      <w:tr>
        <w:tc>
          <w:tcPr>
            <w:tcW w:type="dxa" w:w="503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累计</w:t>
            </w:r>
          </w:p>
        </w:tc>
        <w:tc>
          <w:tcPr>
            <w:tcW w:type="dxa" w:w="171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绿化带年服务面积：</w:t>
            </w:r>
            <w:r>
              <w:rPr>
                <w:sz w:val="20"/>
                <w:color w:val="000000"/>
              </w:rPr>
              <w:t>3731428.5㎡/年</w:t>
            </w:r>
          </w:p>
        </w:tc>
        <w:tc>
          <w:tcPr>
            <w:tcW w:type="dxa" w:w="156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下水道年服务长度：</w:t>
            </w:r>
            <w:r>
              <w:rPr>
                <w:sz w:val="20"/>
                <w:color w:val="000000"/>
              </w:rPr>
              <w:t>256984m/年</w:t>
            </w:r>
          </w:p>
        </w:tc>
      </w:tr>
    </w:tbl>
    <w:p>
      <w:pPr>
        <w:pStyle w:val="null3"/>
        <w:ind w:firstLine="400"/>
      </w:pPr>
      <w:r>
        <w:rPr>
          <w:sz w:val="20"/>
          <w:color w:val="000000"/>
        </w:rPr>
        <w:t>（二）消杀时间安排：根据</w:t>
      </w:r>
      <w:r>
        <w:rPr>
          <w:sz w:val="20"/>
          <w:color w:val="000000"/>
        </w:rPr>
        <w:t>甲方</w:t>
      </w:r>
      <w:r>
        <w:rPr>
          <w:sz w:val="20"/>
          <w:color w:val="000000"/>
        </w:rPr>
        <w:t>需求结合建筑结构、生物生态环境特点安排全年消杀次数。常规与应急相结合。</w:t>
      </w:r>
    </w:p>
    <w:p>
      <w:pPr>
        <w:pStyle w:val="null3"/>
        <w:ind w:firstLine="400"/>
      </w:pPr>
      <w:r>
        <w:rPr>
          <w:sz w:val="20"/>
          <w:color w:val="000000"/>
        </w:rPr>
        <w:t>A、道路（含大朗广场）除“四害”频次，全年共7次：</w:t>
      </w:r>
    </w:p>
    <w:p>
      <w:pPr>
        <w:pStyle w:val="null3"/>
        <w:ind w:firstLine="400"/>
      </w:pPr>
      <w:r>
        <w:rPr>
          <w:sz w:val="20"/>
          <w:color w:val="000000"/>
        </w:rPr>
        <w:t>第一季度（</w:t>
      </w:r>
      <w:r>
        <w:rPr>
          <w:sz w:val="20"/>
          <w:color w:val="000000"/>
        </w:rPr>
        <w:t>1至3月）：天气较凉爽，安排3月下旬消杀一次；</w:t>
      </w:r>
    </w:p>
    <w:p>
      <w:pPr>
        <w:pStyle w:val="null3"/>
        <w:ind w:firstLine="400"/>
      </w:pPr>
      <w:r>
        <w:rPr>
          <w:sz w:val="20"/>
          <w:color w:val="000000"/>
        </w:rPr>
        <w:t>第二季度（</w:t>
      </w:r>
      <w:r>
        <w:rPr>
          <w:sz w:val="20"/>
          <w:color w:val="000000"/>
        </w:rPr>
        <w:t>4至6月）：气温回升，雨水增加，蚊密度上升形成高峰，安排4月下旬、5月上旬各消杀一次。</w:t>
      </w:r>
    </w:p>
    <w:p>
      <w:pPr>
        <w:pStyle w:val="null3"/>
        <w:ind w:firstLine="400"/>
      </w:pPr>
      <w:r>
        <w:rPr>
          <w:sz w:val="20"/>
          <w:color w:val="000000"/>
        </w:rPr>
        <w:t>第三季度：（</w:t>
      </w:r>
      <w:r>
        <w:rPr>
          <w:sz w:val="20"/>
          <w:color w:val="000000"/>
        </w:rPr>
        <w:t>7至9月）进入夏季，蝇蟑密度上升形成高峰，安排8月下旬、9月下旬各消杀一次。</w:t>
      </w:r>
    </w:p>
    <w:p>
      <w:pPr>
        <w:pStyle w:val="null3"/>
        <w:ind w:firstLine="400"/>
      </w:pPr>
      <w:r>
        <w:rPr>
          <w:sz w:val="20"/>
          <w:color w:val="000000"/>
        </w:rPr>
        <w:t>第四季度（</w:t>
      </w:r>
      <w:r>
        <w:rPr>
          <w:sz w:val="20"/>
          <w:color w:val="000000"/>
        </w:rPr>
        <w:t>10至12月）：进入秋冬季节，蚊密度形成第二次高峰，蝇蟑密度开始下降，安排10月下旬、12月上旬各消杀一次。</w:t>
      </w:r>
    </w:p>
    <w:p>
      <w:pPr>
        <w:pStyle w:val="null3"/>
        <w:ind w:firstLine="400"/>
      </w:pPr>
      <w:r>
        <w:rPr>
          <w:sz w:val="20"/>
          <w:color w:val="000000"/>
        </w:rPr>
        <w:t>B、单位除“四害”频次：</w:t>
      </w:r>
    </w:p>
    <w:p>
      <w:pPr>
        <w:pStyle w:val="null3"/>
        <w:ind w:firstLine="400"/>
      </w:pPr>
      <w:r>
        <w:rPr>
          <w:sz w:val="20"/>
          <w:color w:val="000000"/>
        </w:rPr>
        <w:t>1、大朗镇政府大院：杀虫30次，灭鼠12次。高峰期3-5月、9-11月每月杀虫4次，6-8月、12-2月每月杀虫1次。灭鼠每月1次。</w:t>
      </w:r>
    </w:p>
    <w:p>
      <w:pPr>
        <w:pStyle w:val="null3"/>
        <w:ind w:firstLine="400"/>
      </w:pPr>
      <w:r>
        <w:rPr>
          <w:sz w:val="20"/>
          <w:color w:val="000000"/>
        </w:rPr>
        <w:t>2、原金丽酒店：杀虫18次，灭鼠12次。高峰期3-5月、9-11月每月杀虫2次，6-8月、12-2月每月杀虫1次。灭鼠每月1次。</w:t>
      </w:r>
    </w:p>
    <w:p>
      <w:pPr>
        <w:pStyle w:val="null3"/>
        <w:ind w:firstLine="400"/>
      </w:pPr>
      <w:r>
        <w:rPr>
          <w:sz w:val="20"/>
          <w:color w:val="000000"/>
        </w:rPr>
        <w:t>3、旧中心小学：杀虫18次，灭鼠12次。高峰期3-5月、9-11月每月杀虫2次，6-8月、12-2月每月杀虫1次。灭鼠每月1次。</w:t>
      </w:r>
    </w:p>
    <w:p>
      <w:pPr>
        <w:pStyle w:val="null3"/>
        <w:ind w:firstLine="400"/>
      </w:pPr>
      <w:r>
        <w:rPr>
          <w:sz w:val="20"/>
          <w:color w:val="000000"/>
        </w:rPr>
        <w:t>4、镇政府宿舍：杀虫18次，灭鼠12次。高峰期3-5月、9-11月每月杀虫2次，6-8月、12-2月每月杀虫1次。灭鼠每月1次。</w:t>
      </w:r>
    </w:p>
    <w:p>
      <w:pPr>
        <w:pStyle w:val="null3"/>
        <w:ind w:firstLine="400"/>
      </w:pPr>
      <w:r>
        <w:rPr>
          <w:sz w:val="20"/>
          <w:color w:val="000000"/>
        </w:rPr>
        <w:t>5、敬老院：杀虫18次，灭鼠12次。高峰期3-5月、9-11月每月杀虫2次，6-8月、12-2月每月杀虫1次。灭鼠每月1次。</w:t>
      </w:r>
    </w:p>
    <w:p>
      <w:pPr>
        <w:pStyle w:val="null3"/>
        <w:ind w:firstLine="560"/>
      </w:pPr>
      <w:r>
        <w:rPr>
          <w:sz w:val="20"/>
          <w:color w:val="000000"/>
        </w:rPr>
        <w:t>6、行政服务中心：杀虫18次，灭鼠12次。高峰期3-5月、9-11月每月杀虫2次，6-8月、12-2月每月杀虫1次。灭鼠每月1次。</w:t>
      </w:r>
    </w:p>
    <w:p>
      <w:pPr>
        <w:pStyle w:val="null3"/>
        <w:ind w:firstLine="400"/>
      </w:pPr>
      <w:r>
        <w:rPr>
          <w:sz w:val="20"/>
          <w:color w:val="000000"/>
        </w:rPr>
        <w:t>7、大朗镇朗豪儿童公园、大朗镇长盛公园、大朗镇友善公园、大朗镇莲湖公园、大朗镇憩趣园、大朗镇巷头三角公园：杀虫18次，灭鼠12次。高峰期3-5月、9-11月每月杀虫2次，6-8月、12-2月每月杀虫1次。灭鼠每月1次。</w:t>
      </w:r>
    </w:p>
    <w:p>
      <w:pPr>
        <w:pStyle w:val="null3"/>
        <w:ind w:firstLine="400"/>
      </w:pPr>
      <w:r>
        <w:rPr>
          <w:sz w:val="20"/>
          <w:color w:val="000000"/>
        </w:rPr>
        <w:t>8、大朗城管分局：杀虫18次，灭鼠12次。高峰期3-5月、9-11月每月杀虫2次，6-8月、12-2月每月杀虫1次。灭鼠每月1次。</w:t>
      </w:r>
    </w:p>
    <w:p>
      <w:pPr>
        <w:pStyle w:val="null3"/>
        <w:ind w:firstLine="400"/>
        <w:jc w:val="left"/>
      </w:pPr>
      <w:r>
        <w:rPr>
          <w:sz w:val="20"/>
          <w:color w:val="000000"/>
        </w:rPr>
        <w:t>（三）特殊情况消杀安排：</w:t>
      </w:r>
    </w:p>
    <w:p>
      <w:pPr>
        <w:pStyle w:val="null3"/>
        <w:ind w:firstLine="400"/>
        <w:jc w:val="left"/>
      </w:pPr>
      <w:r>
        <w:rPr>
          <w:sz w:val="20"/>
          <w:color w:val="000000"/>
        </w:rPr>
        <w:t>1、如有创文、创卫等重大迎检工作时，需按工作要求布置，随时加大消杀频率，保证顺利完成相关迎检工作。</w:t>
      </w:r>
    </w:p>
    <w:p>
      <w:pPr>
        <w:pStyle w:val="null3"/>
        <w:ind w:firstLine="400"/>
        <w:jc w:val="left"/>
      </w:pPr>
      <w:r>
        <w:rPr>
          <w:sz w:val="20"/>
          <w:color w:val="000000"/>
        </w:rPr>
        <w:t>2、如辖区范围内出现登革热</w:t>
      </w:r>
      <w:r>
        <w:rPr>
          <w:sz w:val="20"/>
          <w:color w:val="000000"/>
        </w:rPr>
        <w:t>、基孔肯尼亚热</w:t>
      </w:r>
      <w:r>
        <w:rPr>
          <w:sz w:val="20"/>
          <w:color w:val="000000"/>
        </w:rPr>
        <w:t>（疑似）疫情，承包人需根据要求防控，快速建立应急</w:t>
      </w:r>
      <w:r>
        <w:rPr>
          <w:sz w:val="20"/>
          <w:color w:val="000000"/>
        </w:rPr>
        <w:t>队伍</w:t>
      </w:r>
      <w:r>
        <w:rPr>
          <w:sz w:val="20"/>
          <w:color w:val="000000"/>
        </w:rPr>
        <w:t>进行防控，按合同进行消杀服务；如遇承包范围内登革热</w:t>
      </w:r>
      <w:r>
        <w:rPr>
          <w:sz w:val="20"/>
          <w:color w:val="000000"/>
        </w:rPr>
        <w:t>、基孔肯尼亚热</w:t>
      </w:r>
      <w:r>
        <w:rPr>
          <w:sz w:val="20"/>
          <w:color w:val="000000"/>
        </w:rPr>
        <w:t>疫情</w:t>
      </w:r>
      <w:r>
        <w:rPr>
          <w:sz w:val="20"/>
          <w:color w:val="000000"/>
        </w:rPr>
        <w:t>暴发</w:t>
      </w:r>
      <w:r>
        <w:rPr>
          <w:sz w:val="20"/>
          <w:color w:val="000000"/>
        </w:rPr>
        <w:t>，承包人必须</w:t>
      </w:r>
      <w:r>
        <w:rPr>
          <w:sz w:val="20"/>
          <w:color w:val="000000"/>
        </w:rPr>
        <w:t>24小时内成立至少8人、2组消杀设备的特别应急队伍，开展有偿消杀服务。</w:t>
      </w:r>
    </w:p>
    <w:p>
      <w:pPr>
        <w:pStyle w:val="null3"/>
        <w:ind w:firstLine="560"/>
      </w:pPr>
      <w:r>
        <w:rPr>
          <w:sz w:val="20"/>
          <w:color w:val="000000"/>
        </w:rPr>
        <w:t>（四）配合市</w:t>
      </w:r>
      <w:r>
        <w:rPr>
          <w:sz w:val="20"/>
          <w:color w:val="000000"/>
        </w:rPr>
        <w:t>、</w:t>
      </w:r>
      <w:r>
        <w:rPr>
          <w:sz w:val="20"/>
          <w:color w:val="000000"/>
        </w:rPr>
        <w:t>镇</w:t>
      </w:r>
      <w:r>
        <w:rPr>
          <w:sz w:val="20"/>
          <w:color w:val="000000"/>
        </w:rPr>
        <w:t>级疾控部门</w:t>
      </w:r>
      <w:r>
        <w:rPr>
          <w:sz w:val="20"/>
          <w:color w:val="000000"/>
        </w:rPr>
        <w:t>在</w:t>
      </w:r>
      <w:r>
        <w:rPr>
          <w:sz w:val="20"/>
          <w:color w:val="000000"/>
        </w:rPr>
        <w:t>辖区范围内开展布雷图指数检测工作，密度监测设置：东、南、西、北、中五个密度监测点，进行定时、定期、定点的密度监测。</w:t>
      </w:r>
    </w:p>
    <w:p>
      <w:pPr>
        <w:pStyle w:val="null3"/>
        <w:ind w:firstLine="400"/>
        <w:jc w:val="left"/>
      </w:pPr>
      <w:r>
        <w:rPr>
          <w:sz w:val="20"/>
          <w:color w:val="000000"/>
        </w:rPr>
        <w:t>（五）承包人应自行清理遗留在施工现场的杂物，及时处理治灭的善后工作，以免因孳生物</w:t>
      </w:r>
      <w:r>
        <w:rPr>
          <w:sz w:val="20"/>
          <w:color w:val="000000"/>
        </w:rPr>
        <w:t>遗留</w:t>
      </w:r>
      <w:r>
        <w:rPr>
          <w:sz w:val="20"/>
          <w:color w:val="000000"/>
        </w:rPr>
        <w:t>影响项目的质量；有固定的鼠尸处理场地及防疫实验室确保鼠尸病不传播，杜绝环境污染。</w:t>
      </w:r>
    </w:p>
    <w:p>
      <w:pPr>
        <w:pStyle w:val="null3"/>
        <w:ind w:firstLine="400"/>
        <w:jc w:val="left"/>
      </w:pPr>
      <w:r>
        <w:rPr>
          <w:sz w:val="20"/>
          <w:color w:val="000000"/>
        </w:rPr>
        <w:t>三</w:t>
      </w:r>
      <w:r>
        <w:rPr>
          <w:sz w:val="20"/>
          <w:color w:val="000000"/>
        </w:rPr>
        <w:t>、制订完整的病媒生物预防控制操作规程。保证灭蚊、灭蝇、灭蟑螂、灭鼠达到国家除</w:t>
      </w:r>
      <w:r>
        <w:rPr>
          <w:sz w:val="20"/>
          <w:color w:val="000000"/>
        </w:rPr>
        <w:t>“四害”消杀标准，并具有完善的事故应急方案。达到“病媒生物密度控制水平”系列国家标准（GB/T27770-2011、GB/T27771-2011、GB/T27772-</w:t>
      </w:r>
      <w:r>
        <w:rPr>
          <w:sz w:val="20"/>
          <w:color w:val="000000"/>
        </w:rPr>
        <w:t>20</w:t>
      </w:r>
      <w:r>
        <w:rPr>
          <w:sz w:val="20"/>
          <w:color w:val="000000"/>
        </w:rPr>
        <w:t>25</w:t>
      </w:r>
      <w:r>
        <w:rPr>
          <w:sz w:val="20"/>
          <w:color w:val="000000"/>
        </w:rPr>
        <w:t>、</w:t>
      </w:r>
      <w:r>
        <w:rPr>
          <w:sz w:val="20"/>
          <w:color w:val="000000"/>
        </w:rPr>
        <w:t>GB/T27773-2011）的C级要求，具体如下：</w:t>
      </w:r>
    </w:p>
    <w:p>
      <w:pPr>
        <w:pStyle w:val="null3"/>
        <w:ind w:firstLine="400"/>
        <w:jc w:val="left"/>
      </w:pPr>
      <w:r>
        <w:rPr>
          <w:sz w:val="20"/>
          <w:color w:val="000000"/>
        </w:rPr>
        <w:t>1）灭蚊标准</w:t>
      </w:r>
    </w:p>
    <w:p>
      <w:pPr>
        <w:pStyle w:val="null3"/>
        <w:ind w:firstLine="400"/>
        <w:jc w:val="left"/>
      </w:pPr>
      <w:r>
        <w:rPr>
          <w:sz w:val="20"/>
          <w:color w:val="000000"/>
        </w:rPr>
        <w:t>①小型积水蚊虫密度控制水平小于或等于0.8处/千米。</w:t>
      </w:r>
    </w:p>
    <w:p>
      <w:pPr>
        <w:pStyle w:val="null3"/>
        <w:ind w:firstLine="400"/>
        <w:jc w:val="left"/>
      </w:pPr>
      <w:r>
        <w:rPr>
          <w:sz w:val="20"/>
          <w:color w:val="000000"/>
        </w:rPr>
        <w:t>②用500ml收集勺采集城区内大中型水体中的蚊幼虫或蛹的阳性率不超过5%，阳性勺内幼虫或蛹的平均数不超过8只。</w:t>
      </w:r>
    </w:p>
    <w:p>
      <w:pPr>
        <w:pStyle w:val="null3"/>
        <w:ind w:firstLine="400"/>
        <w:jc w:val="left"/>
      </w:pPr>
      <w:r>
        <w:rPr>
          <w:sz w:val="20"/>
          <w:color w:val="000000"/>
        </w:rPr>
        <w:t>③特殊场所外环境蚊虫停落指数小于或等于1.5只。</w:t>
      </w:r>
    </w:p>
    <w:p>
      <w:pPr>
        <w:pStyle w:val="null3"/>
        <w:ind w:firstLine="400"/>
        <w:jc w:val="left"/>
      </w:pPr>
      <w:r>
        <w:rPr>
          <w:sz w:val="20"/>
          <w:color w:val="000000"/>
        </w:rPr>
        <w:t>2）灭蝇标准</w:t>
      </w:r>
    </w:p>
    <w:p>
      <w:pPr>
        <w:pStyle w:val="null3"/>
        <w:ind w:firstLine="400"/>
        <w:jc w:val="left"/>
      </w:pPr>
      <w:r>
        <w:rPr>
          <w:sz w:val="20"/>
          <w:color w:val="000000"/>
        </w:rPr>
        <w:t>①</w:t>
      </w:r>
      <w:r>
        <w:rPr>
          <w:sz w:val="20"/>
          <w:color w:val="000000"/>
        </w:rPr>
        <w:t>室内成蝇阳性率</w:t>
      </w:r>
      <w:r>
        <w:rPr>
          <w:sz w:val="20"/>
          <w:color w:val="000000"/>
        </w:rPr>
        <w:t>≤6%，阳性间密度≤2只/间；直接入口食品场所无蝇。</w:t>
      </w:r>
    </w:p>
    <w:p>
      <w:pPr>
        <w:pStyle w:val="null3"/>
        <w:ind w:firstLine="400"/>
        <w:jc w:val="left"/>
      </w:pPr>
      <w:r>
        <w:rPr>
          <w:sz w:val="20"/>
          <w:color w:val="000000"/>
        </w:rPr>
        <w:t>②蝇类孳生地得到有效治理，幼虫和蛹的检出率不超过5%。</w:t>
      </w:r>
    </w:p>
    <w:p>
      <w:pPr>
        <w:pStyle w:val="null3"/>
        <w:ind w:firstLine="400"/>
        <w:jc w:val="left"/>
      </w:pPr>
      <w:r>
        <w:rPr>
          <w:sz w:val="20"/>
          <w:color w:val="000000"/>
        </w:rPr>
        <w:t>3）灭鼠标准</w:t>
      </w:r>
    </w:p>
    <w:p>
      <w:pPr>
        <w:pStyle w:val="null3"/>
        <w:ind w:firstLine="400"/>
        <w:jc w:val="left"/>
      </w:pPr>
      <w:r>
        <w:rPr>
          <w:sz w:val="20"/>
          <w:color w:val="000000"/>
        </w:rPr>
        <w:t>①室内鼠密度阳性率小于或等于5%。</w:t>
      </w:r>
    </w:p>
    <w:p>
      <w:pPr>
        <w:pStyle w:val="null3"/>
        <w:ind w:firstLine="400"/>
        <w:jc w:val="left"/>
      </w:pPr>
      <w:r>
        <w:rPr>
          <w:sz w:val="20"/>
          <w:color w:val="000000"/>
        </w:rPr>
        <w:t>②外环境鼠密度路径指数小于或等于5处/千米。</w:t>
      </w:r>
    </w:p>
    <w:p>
      <w:pPr>
        <w:pStyle w:val="null3"/>
        <w:ind w:firstLine="400"/>
        <w:jc w:val="left"/>
      </w:pPr>
      <w:r>
        <w:rPr>
          <w:sz w:val="20"/>
          <w:color w:val="000000"/>
        </w:rPr>
        <w:t>③防鼠设施合格率大于或等于93%</w:t>
      </w:r>
    </w:p>
    <w:p>
      <w:pPr>
        <w:pStyle w:val="null3"/>
        <w:ind w:firstLine="400"/>
        <w:jc w:val="left"/>
      </w:pPr>
      <w:r>
        <w:rPr>
          <w:sz w:val="20"/>
          <w:color w:val="000000"/>
        </w:rPr>
        <w:t>4）灭蟑螂标准</w:t>
      </w:r>
    </w:p>
    <w:p>
      <w:pPr>
        <w:pStyle w:val="null3"/>
        <w:ind w:firstLine="400"/>
        <w:jc w:val="left"/>
      </w:pPr>
      <w:r>
        <w:rPr>
          <w:sz w:val="20"/>
          <w:color w:val="000000"/>
        </w:rPr>
        <w:t>①蜚蠊成若虫侵害率小于或等于5%，平均每阳性间（处）成若虫数小蠊小于或等于10只，大蠊小于或等于5只；</w:t>
      </w:r>
    </w:p>
    <w:p>
      <w:pPr>
        <w:pStyle w:val="null3"/>
        <w:ind w:firstLine="400"/>
        <w:jc w:val="left"/>
      </w:pPr>
      <w:r>
        <w:rPr>
          <w:sz w:val="20"/>
          <w:color w:val="000000"/>
        </w:rPr>
        <w:t>②卵鞘查获率小于或等于3%，平均每阳性间（处）卵鞘数小于或等于8只。</w:t>
      </w:r>
    </w:p>
    <w:p>
      <w:pPr>
        <w:pStyle w:val="null3"/>
        <w:ind w:firstLine="400"/>
        <w:jc w:val="left"/>
      </w:pPr>
      <w:r>
        <w:rPr>
          <w:sz w:val="20"/>
          <w:color w:val="000000"/>
        </w:rPr>
        <w:t>③蟑迹查获率小于或等于7%。</w:t>
      </w:r>
    </w:p>
    <w:p>
      <w:pPr>
        <w:pStyle w:val="null3"/>
        <w:ind w:firstLine="400"/>
        <w:jc w:val="left"/>
      </w:pPr>
      <w:r>
        <w:rPr>
          <w:sz w:val="20"/>
          <w:color w:val="000000"/>
        </w:rPr>
        <w:t>5</w:t>
      </w:r>
      <w:r>
        <w:rPr>
          <w:sz w:val="20"/>
          <w:color w:val="000000"/>
        </w:rPr>
        <w:t>）</w:t>
      </w:r>
      <w:r>
        <w:rPr>
          <w:sz w:val="20"/>
          <w:color w:val="000000"/>
        </w:rPr>
        <w:t>安排专人负责巡查和选点监测除四害效果，并根据实际效果调整用药时间、配方。</w:t>
      </w:r>
    </w:p>
    <w:p>
      <w:pPr>
        <w:pStyle w:val="null3"/>
        <w:ind w:firstLine="400"/>
        <w:jc w:val="left"/>
      </w:pPr>
      <w:r>
        <w:rPr>
          <w:sz w:val="20"/>
          <w:color w:val="000000"/>
        </w:rPr>
        <w:t>四</w:t>
      </w:r>
      <w:r>
        <w:rPr>
          <w:sz w:val="20"/>
          <w:color w:val="000000"/>
        </w:rPr>
        <w:t>、除四害项目人员、设备配置、药物要求</w:t>
      </w:r>
    </w:p>
    <w:p>
      <w:pPr>
        <w:pStyle w:val="null3"/>
        <w:ind w:firstLine="400"/>
        <w:jc w:val="left"/>
      </w:pPr>
      <w:r>
        <w:rPr>
          <w:sz w:val="20"/>
          <w:color w:val="000000"/>
        </w:rPr>
        <w:t>1、项目人员配置：项目技术负责人一名，需具有有害生物防制员高级职业资格证书，在防控上有熟练经验，其他投入的人员不得少于6人，且持有有害生物防制员上岗证。</w:t>
      </w:r>
    </w:p>
    <w:p>
      <w:pPr>
        <w:pStyle w:val="null3"/>
        <w:ind w:firstLine="400"/>
        <w:jc w:val="left"/>
      </w:pPr>
      <w:r>
        <w:rPr>
          <w:sz w:val="20"/>
          <w:color w:val="000000"/>
        </w:rPr>
        <w:t>2、药物要求：</w:t>
      </w:r>
    </w:p>
    <w:p>
      <w:pPr>
        <w:pStyle w:val="null3"/>
        <w:ind w:firstLine="400"/>
        <w:jc w:val="left"/>
      </w:pPr>
      <w:r>
        <w:rPr>
          <w:sz w:val="20"/>
          <w:color w:val="000000"/>
        </w:rPr>
        <w:t>用药标准：承包人必须注重科学合理用药，不能使用假药、国家禁用的药物。使用的药物必须三证齐全并符合《病媒生物控制药物器械安全使用准则》，确保病媒生物控制达到</w:t>
      </w:r>
      <w:r>
        <w:rPr>
          <w:sz w:val="20"/>
          <w:color w:val="000000"/>
        </w:rPr>
        <w:t>“安全、高效、环保”的要求，用于本服务项目的消杀药物投入不能少于消杀面积的正常用药。下面为拟使用药物，经</w:t>
      </w:r>
      <w:r>
        <w:rPr>
          <w:sz w:val="20"/>
          <w:color w:val="000000"/>
        </w:rPr>
        <w:t>甲</w:t>
      </w:r>
      <w:r>
        <w:rPr>
          <w:sz w:val="20"/>
          <w:color w:val="000000"/>
        </w:rPr>
        <w:t>方确认后采购。</w:t>
      </w:r>
    </w:p>
    <w:p>
      <w:pPr>
        <w:pStyle w:val="null3"/>
        <w:ind w:firstLine="400"/>
        <w:jc w:val="left"/>
      </w:pPr>
      <w:r>
        <w:rPr/>
        <w:t>3、</w:t>
      </w:r>
      <w:r>
        <w:rPr>
          <w:sz w:val="20"/>
          <w:color w:val="000000"/>
        </w:rPr>
        <w:t>如药物使用不当引起人畜中毒或其他责任事故的，承包人应承担责任。注重科学合理用药，不能使用假药、国家禁用的药物。</w:t>
      </w:r>
    </w:p>
    <w:p>
      <w:pPr>
        <w:pStyle w:val="null3"/>
        <w:jc w:val="left"/>
      </w:pPr>
      <w:r>
        <w:rPr>
          <w:sz w:val="20"/>
          <w:b/>
          <w:color w:val="000000"/>
        </w:rPr>
        <w:t>五</w:t>
      </w:r>
      <w:r>
        <w:rPr>
          <w:sz w:val="20"/>
          <w:b/>
          <w:color w:val="000000"/>
        </w:rPr>
        <w:t>、除四害工作要求</w:t>
      </w:r>
    </w:p>
    <w:p>
      <w:pPr>
        <w:pStyle w:val="null3"/>
        <w:ind w:firstLine="400"/>
        <w:jc w:val="left"/>
      </w:pPr>
      <w:r>
        <w:rPr>
          <w:sz w:val="20"/>
          <w:color w:val="000000"/>
        </w:rPr>
        <w:t>l、承包人须根据大朗镇实际情况和招标书的要求编写《除“四害”工作实施方案》。每个月第一周交本月工作计划，每个月最后一周需将本周施（投）放药物等相关工作图片、施（投）放药物数量、名称、合格证、购买药物的发票（收据）连同工作计划、总结等文字资料作为一次工作汇报（记录）、该工作汇报（记录）将作为月检考核的一项重要依据。</w:t>
      </w:r>
    </w:p>
    <w:p>
      <w:pPr>
        <w:pStyle w:val="null3"/>
        <w:ind w:firstLine="400"/>
        <w:jc w:val="left"/>
      </w:pPr>
      <w:r>
        <w:rPr>
          <w:sz w:val="20"/>
          <w:color w:val="000000"/>
        </w:rPr>
        <w:t>2、投标人须列明除“四害”工作的模式，具备适合的除“四害”工作技术、工作人员等，并向采购人提供有关人员职责名单及资质证、上岗证复印件。</w:t>
      </w:r>
    </w:p>
    <w:p>
      <w:pPr>
        <w:pStyle w:val="null3"/>
        <w:ind w:firstLine="400"/>
        <w:jc w:val="left"/>
      </w:pPr>
      <w:r>
        <w:rPr>
          <w:sz w:val="20"/>
          <w:color w:val="000000"/>
        </w:rPr>
        <w:t>3、承包人投入本项目的机械设备清单(注明名称、规格、数量)，所采用的设备必须满足国家有关技术操作规程的要求；承包人投入的机械设备在合同签订后20天内要经采购人验收认定。</w:t>
      </w:r>
    </w:p>
    <w:p>
      <w:pPr>
        <w:pStyle w:val="null3"/>
        <w:ind w:firstLine="400"/>
        <w:jc w:val="left"/>
      </w:pPr>
      <w:r>
        <w:rPr>
          <w:sz w:val="20"/>
          <w:color w:val="000000"/>
        </w:rPr>
        <w:t>4、在施工的时候，须有采购人代表在场，施工完毕后，承包人应及时请采购人代表现场签证。</w:t>
      </w:r>
    </w:p>
    <w:p>
      <w:pPr>
        <w:pStyle w:val="null3"/>
        <w:ind w:firstLine="400"/>
        <w:jc w:val="left"/>
      </w:pPr>
      <w:r>
        <w:rPr>
          <w:sz w:val="20"/>
          <w:color w:val="000000"/>
        </w:rPr>
        <w:t>5、每次施工完毕，五天内应会同采购人代表到施工现场检查治灭情况，并做好现场记录和签证记录，作为验收依据。</w:t>
      </w:r>
    </w:p>
    <w:p>
      <w:pPr>
        <w:pStyle w:val="null3"/>
        <w:jc w:val="left"/>
      </w:pPr>
      <w:r>
        <w:rPr>
          <w:sz w:val="20"/>
          <w:b/>
          <w:color w:val="000000"/>
        </w:rPr>
        <w:t>六</w:t>
      </w:r>
      <w:r>
        <w:rPr>
          <w:sz w:val="20"/>
          <w:b/>
          <w:color w:val="000000"/>
        </w:rPr>
        <w:t>、施工方法</w:t>
      </w:r>
    </w:p>
    <w:p>
      <w:pPr>
        <w:pStyle w:val="null3"/>
        <w:ind w:firstLine="400"/>
        <w:jc w:val="left"/>
      </w:pPr>
      <w:r>
        <w:rPr>
          <w:sz w:val="20"/>
          <w:color w:val="000000"/>
        </w:rPr>
        <w:t>（</w:t>
      </w:r>
      <w:r>
        <w:rPr>
          <w:sz w:val="20"/>
          <w:color w:val="000000"/>
        </w:rPr>
        <w:t>1）灭鼠：</w:t>
      </w:r>
    </w:p>
    <w:p>
      <w:pPr>
        <w:pStyle w:val="null3"/>
        <w:ind w:firstLine="400"/>
        <w:jc w:val="left"/>
      </w:pPr>
      <w:r>
        <w:rPr>
          <w:sz w:val="20"/>
          <w:color w:val="000000"/>
        </w:rPr>
        <w:t>1.1使用老鼠的嗜好食物，如稻谷、小麦、花生米、快食面等。混拌第二代的低毒、抗凝血慢性灭鼠药剂配制成毒饵，作为防治物进行诱杀。</w:t>
      </w:r>
    </w:p>
    <w:p>
      <w:pPr>
        <w:pStyle w:val="null3"/>
        <w:ind w:firstLine="400"/>
        <w:jc w:val="left"/>
      </w:pPr>
      <w:r>
        <w:rPr>
          <w:sz w:val="20"/>
          <w:color w:val="000000"/>
        </w:rPr>
        <w:t>1.2根据老鼠的生活习性和活动范围分类灭鼠。</w:t>
      </w:r>
    </w:p>
    <w:p>
      <w:pPr>
        <w:pStyle w:val="null3"/>
        <w:ind w:firstLine="400"/>
        <w:jc w:val="left"/>
      </w:pPr>
      <w:r>
        <w:rPr>
          <w:sz w:val="20"/>
          <w:color w:val="000000"/>
        </w:rPr>
        <w:t>1.2.1对闲置工地附近的绿化带、公园实施灭鼠：因绿化带地面较潮湿，采用防潮的小塑料袋装毒饵或药箱定点布放投药。</w:t>
      </w:r>
    </w:p>
    <w:p>
      <w:pPr>
        <w:pStyle w:val="null3"/>
        <w:ind w:firstLine="400"/>
        <w:jc w:val="left"/>
      </w:pPr>
      <w:r>
        <w:rPr>
          <w:sz w:val="20"/>
          <w:color w:val="000000"/>
        </w:rPr>
        <w:t>1.2.2对市场、垃圾中转站、厕所附近的绿化树木实施灭鼠：因上述几处是老鼠活动频繁区域，所以根据鼠害活动区域环境特点，采用沿线周边毒鼠药箱饱和投药。</w:t>
      </w:r>
    </w:p>
    <w:p>
      <w:pPr>
        <w:pStyle w:val="null3"/>
        <w:ind w:firstLine="400"/>
        <w:jc w:val="left"/>
      </w:pPr>
      <w:r>
        <w:rPr>
          <w:sz w:val="20"/>
          <w:color w:val="000000"/>
        </w:rPr>
        <w:t>1.3效果检查和施工跟进。</w:t>
      </w:r>
    </w:p>
    <w:p>
      <w:pPr>
        <w:pStyle w:val="null3"/>
        <w:ind w:firstLine="400"/>
        <w:jc w:val="left"/>
      </w:pPr>
      <w:r>
        <w:rPr>
          <w:sz w:val="20"/>
          <w:color w:val="000000"/>
        </w:rPr>
        <w:t>老鼠在取食毒饵后，一般在</w:t>
      </w:r>
      <w:r>
        <w:rPr>
          <w:sz w:val="20"/>
          <w:color w:val="000000"/>
        </w:rPr>
        <w:t>5-7天内中毒而亡，承包人应在5天内进行效果检查，发现在服务范围内捕获和中毒死亡的鼠类进行清检收回，统一集中进行无毒化处理。发现诱饵被食完要及时补投毒饵，确保消杀效果彻底。</w:t>
      </w:r>
    </w:p>
    <w:p>
      <w:pPr>
        <w:pStyle w:val="null3"/>
        <w:ind w:firstLine="400"/>
        <w:jc w:val="left"/>
      </w:pPr>
      <w:r>
        <w:rPr>
          <w:sz w:val="20"/>
          <w:color w:val="000000"/>
        </w:rPr>
        <w:t>1.4药物投放应采用轮番换药及定时补充投药量相结合的方式，根据鼠害活动走道区域的变化适时调整布药点，让存活鼠害对毒饵有更好的口味和足够的吸食量。同时在施工过程中不断对绿化树木、闲置工地下水道、排水口、管道口、墙洞等附近的绿化树木、绿化带周围环境加以检查，及时完善上述环境的防鼠设施。</w:t>
      </w:r>
    </w:p>
    <w:p>
      <w:pPr>
        <w:pStyle w:val="null3"/>
        <w:ind w:firstLine="400"/>
        <w:jc w:val="left"/>
      </w:pPr>
      <w:r>
        <w:rPr>
          <w:sz w:val="20"/>
          <w:color w:val="000000"/>
        </w:rPr>
        <w:t>1.5，灭鼠药物：0.005%溴敌隆</w:t>
      </w:r>
      <w:r>
        <w:rPr>
          <w:sz w:val="20"/>
          <w:color w:val="000000"/>
        </w:rPr>
        <w:t>，</w:t>
      </w:r>
      <w:r>
        <w:rPr>
          <w:sz w:val="20"/>
          <w:color w:val="000000"/>
        </w:rPr>
        <w:t>0.005%杀鼠醚</w:t>
      </w:r>
      <w:r>
        <w:rPr>
          <w:sz w:val="20"/>
          <w:color w:val="000000"/>
        </w:rPr>
        <w:t>。</w:t>
      </w:r>
    </w:p>
    <w:p>
      <w:pPr>
        <w:pStyle w:val="null3"/>
        <w:ind w:firstLine="400"/>
        <w:jc w:val="left"/>
      </w:pPr>
      <w:r>
        <w:rPr>
          <w:sz w:val="20"/>
          <w:color w:val="000000"/>
        </w:rPr>
        <w:t>（</w:t>
      </w:r>
      <w:r>
        <w:rPr>
          <w:sz w:val="20"/>
          <w:color w:val="000000"/>
        </w:rPr>
        <w:t>2）灭蚊：</w:t>
      </w:r>
    </w:p>
    <w:p>
      <w:pPr>
        <w:pStyle w:val="null3"/>
        <w:ind w:firstLine="400"/>
        <w:jc w:val="left"/>
      </w:pPr>
      <w:r>
        <w:rPr>
          <w:sz w:val="20"/>
          <w:color w:val="000000"/>
        </w:rPr>
        <w:t>2.1灭蚊药物的使用，喷施必须基于“环保、高效”的基础，采用除虫菊酯类药物、生物防治型药物进行消杀防治处理，使用过程中应根据虫害的情况不定期轮番更换施工药物。</w:t>
      </w:r>
    </w:p>
    <w:p>
      <w:pPr>
        <w:pStyle w:val="null3"/>
        <w:ind w:firstLine="400"/>
        <w:jc w:val="left"/>
      </w:pPr>
      <w:r>
        <w:rPr>
          <w:sz w:val="20"/>
          <w:color w:val="000000"/>
        </w:rPr>
        <w:t>2.2灭蚊的方法</w:t>
      </w:r>
    </w:p>
    <w:p>
      <w:pPr>
        <w:pStyle w:val="null3"/>
        <w:ind w:firstLine="400"/>
        <w:jc w:val="left"/>
      </w:pPr>
      <w:r>
        <w:rPr>
          <w:sz w:val="20"/>
          <w:color w:val="000000"/>
        </w:rPr>
        <w:t>对蚊幼滋生地投放杀幼蚊药物控制蚊卵的生长。根据成蚊在黄昏、夜晚、早晨活动范围大，且喜栖息于阴暗潮湿地的特点，采用常用剂量喷杀服务范围内的绿化带附近的下水道口、沙井盖上的成蚊，将蚊害活动密度降低直至灭治</w:t>
      </w:r>
    </w:p>
    <w:p>
      <w:pPr>
        <w:pStyle w:val="null3"/>
        <w:ind w:firstLine="400"/>
        <w:jc w:val="left"/>
      </w:pPr>
      <w:r>
        <w:rPr>
          <w:sz w:val="20"/>
          <w:color w:val="000000"/>
        </w:rPr>
        <w:t>2.3在蚊害高发季节和蚊类危害突发的情况下，应增加喷杀次数，保障环境清新优美。</w:t>
      </w:r>
    </w:p>
    <w:p>
      <w:pPr>
        <w:pStyle w:val="null3"/>
        <w:ind w:firstLine="400"/>
        <w:jc w:val="left"/>
      </w:pPr>
      <w:r>
        <w:rPr>
          <w:sz w:val="20"/>
          <w:color w:val="000000"/>
        </w:rPr>
        <w:t>2.4施工跟进</w:t>
      </w:r>
    </w:p>
    <w:p>
      <w:pPr>
        <w:pStyle w:val="null3"/>
        <w:ind w:firstLine="400"/>
        <w:jc w:val="left"/>
      </w:pPr>
      <w:r>
        <w:rPr>
          <w:sz w:val="20"/>
          <w:color w:val="000000"/>
        </w:rPr>
        <w:t>在施工完毕后的次日，中标人应派出施工人员对喷杀范围环境进行检查，对容易滋生蚊类幼虫的场所如污水积水、阴暗处等，若发现有幼虫产生的，即采用生物药剂投入水体的方法进行消杀处理。</w:t>
      </w:r>
    </w:p>
    <w:p>
      <w:pPr>
        <w:pStyle w:val="null3"/>
        <w:ind w:firstLine="400"/>
        <w:jc w:val="left"/>
      </w:pPr>
      <w:r>
        <w:rPr>
          <w:sz w:val="20"/>
          <w:color w:val="000000"/>
        </w:rPr>
        <w:t>（</w:t>
      </w:r>
      <w:r>
        <w:rPr>
          <w:sz w:val="20"/>
          <w:color w:val="000000"/>
        </w:rPr>
        <w:t>3）灭蝇：</w:t>
      </w:r>
    </w:p>
    <w:p>
      <w:pPr>
        <w:pStyle w:val="null3"/>
        <w:ind w:firstLine="400"/>
        <w:jc w:val="left"/>
      </w:pPr>
      <w:r>
        <w:rPr>
          <w:sz w:val="20"/>
          <w:color w:val="000000"/>
        </w:rPr>
        <w:t>3.1灭蝇措施方法</w:t>
      </w:r>
    </w:p>
    <w:p>
      <w:pPr>
        <w:pStyle w:val="null3"/>
        <w:ind w:firstLine="400"/>
        <w:jc w:val="left"/>
      </w:pPr>
      <w:r>
        <w:rPr>
          <w:sz w:val="20"/>
          <w:color w:val="000000"/>
        </w:rPr>
        <w:t>对服务范围内垃圾处理桶、果皮箱、厕所、肉菜市场等附近绿化带树木容易滋生苍蝇的场所，采用菊酯类的药物喷杀处理，把蝇类进行治灭。根据蝇类的滋生及活动区域习性，如成蝇主要</w:t>
      </w:r>
      <w:r>
        <w:rPr>
          <w:sz w:val="20"/>
          <w:color w:val="000000"/>
        </w:rPr>
        <w:t>分布</w:t>
      </w:r>
      <w:r>
        <w:rPr>
          <w:sz w:val="20"/>
          <w:color w:val="000000"/>
        </w:rPr>
        <w:t>在有垃圾堆积的地方等，采用菊酯或残杀威等低毒的杀虫乳油作常量喷洒，重点部位加重剂量喷杀，对不宜喷洒区，则采用不定期悬挂粘蝇纸捕杀。</w:t>
      </w:r>
    </w:p>
    <w:p>
      <w:pPr>
        <w:pStyle w:val="null3"/>
        <w:ind w:firstLine="400"/>
        <w:jc w:val="left"/>
      </w:pPr>
      <w:r>
        <w:rPr>
          <w:sz w:val="20"/>
          <w:color w:val="000000"/>
        </w:rPr>
        <w:t>3.2施工</w:t>
      </w:r>
    </w:p>
    <w:p>
      <w:pPr>
        <w:pStyle w:val="null3"/>
        <w:ind w:firstLine="400"/>
        <w:jc w:val="left"/>
      </w:pPr>
      <w:r>
        <w:rPr>
          <w:sz w:val="20"/>
          <w:color w:val="000000"/>
        </w:rPr>
        <w:t>喷药完毕后，加强对容易滋生蝇幼虫的地方进行巡视，发现有幼虫滋生的即采用灭蝇幼虫药剂喷洒滋生地方的方法进行处理，力求将蝇消灭在萌芽</w:t>
      </w:r>
      <w:r>
        <w:rPr>
          <w:sz w:val="20"/>
          <w:color w:val="000000"/>
          <w:shd w:fill="FFFFFF" w:val="clear"/>
        </w:rPr>
        <w:t>状态</w:t>
      </w:r>
      <w:r>
        <w:rPr>
          <w:sz w:val="20"/>
          <w:color w:val="000000"/>
        </w:rPr>
        <w:t>。</w:t>
      </w:r>
    </w:p>
    <w:p>
      <w:pPr>
        <w:pStyle w:val="null3"/>
        <w:ind w:firstLine="400"/>
        <w:jc w:val="left"/>
      </w:pPr>
      <w:r>
        <w:rPr>
          <w:sz w:val="20"/>
          <w:color w:val="000000"/>
        </w:rPr>
        <w:t>（</w:t>
      </w:r>
      <w:r>
        <w:rPr>
          <w:sz w:val="20"/>
          <w:color w:val="000000"/>
        </w:rPr>
        <w:t>4）灭蟑螂：</w:t>
      </w:r>
    </w:p>
    <w:p>
      <w:pPr>
        <w:pStyle w:val="null3"/>
        <w:ind w:firstLine="400"/>
        <w:jc w:val="left"/>
      </w:pPr>
      <w:r>
        <w:rPr>
          <w:sz w:val="20"/>
          <w:color w:val="000000"/>
        </w:rPr>
        <w:t>4.1蟑螂的防治措施方法</w:t>
      </w:r>
    </w:p>
    <w:p>
      <w:pPr>
        <w:pStyle w:val="null3"/>
        <w:ind w:firstLine="400"/>
        <w:jc w:val="left"/>
      </w:pPr>
      <w:r>
        <w:rPr>
          <w:sz w:val="20"/>
          <w:color w:val="000000"/>
        </w:rPr>
        <w:t>对服务范围内绿化带附近的沙井、下水道采用热烟雾机烟熏和常量剂喷洒处理，对不宜使用热烟雾熏杀处理的区域，采用</w:t>
      </w:r>
      <w:r>
        <w:rPr>
          <w:sz w:val="20"/>
          <w:color w:val="000000"/>
        </w:rPr>
        <w:t>菊酯类</w:t>
      </w:r>
      <w:r>
        <w:rPr>
          <w:sz w:val="20"/>
          <w:color w:val="000000"/>
        </w:rPr>
        <w:t>杀虫乳油实施喷洒，或施放灭蟑粉、灭蟑胶饵。并重点加强对蟑螂栖息的孔洞和缝隙用线状喷头进行缝隙喷洒。</w:t>
      </w:r>
    </w:p>
    <w:p>
      <w:pPr>
        <w:pStyle w:val="null3"/>
        <w:ind w:firstLine="400"/>
        <w:jc w:val="left"/>
      </w:pPr>
      <w:r>
        <w:rPr>
          <w:sz w:val="20"/>
          <w:color w:val="000000"/>
        </w:rPr>
        <w:t>4.2补充措施</w:t>
      </w:r>
    </w:p>
    <w:p>
      <w:pPr>
        <w:pStyle w:val="null3"/>
        <w:ind w:firstLine="400"/>
        <w:jc w:val="left"/>
      </w:pPr>
      <w:r>
        <w:rPr>
          <w:sz w:val="20"/>
          <w:color w:val="000000"/>
        </w:rPr>
        <w:t>对不便喷药的部位及难以杀灭的德国小蠊，则采用毒饵法或定点布放粘捕盒进行诱杀，将毒饵点或捕盒布在蟑螂经常出没的地方，采用量少堆多的方法，以使害虫有更多的机会取食。</w:t>
      </w:r>
    </w:p>
    <w:p>
      <w:pPr>
        <w:pStyle w:val="null3"/>
        <w:ind w:firstLine="400"/>
        <w:jc w:val="left"/>
      </w:pPr>
      <w:r>
        <w:rPr>
          <w:sz w:val="20"/>
          <w:color w:val="000000"/>
        </w:rPr>
        <w:t>4.3施工记录</w:t>
      </w:r>
    </w:p>
    <w:p>
      <w:pPr>
        <w:pStyle w:val="null3"/>
        <w:ind w:firstLine="400"/>
        <w:jc w:val="left"/>
      </w:pPr>
      <w:r>
        <w:rPr>
          <w:sz w:val="20"/>
          <w:color w:val="000000"/>
        </w:rPr>
        <w:t>施工结束后，按要求填写施工日程表，双方代表签字确认。</w:t>
      </w:r>
    </w:p>
    <w:p>
      <w:pPr>
        <w:pStyle w:val="null3"/>
        <w:jc w:val="left"/>
      </w:pPr>
      <w:r>
        <w:rPr>
          <w:sz w:val="20"/>
          <w:b/>
          <w:color w:val="000000"/>
        </w:rPr>
        <w:t>七</w:t>
      </w:r>
      <w:r>
        <w:rPr>
          <w:sz w:val="20"/>
          <w:b/>
          <w:color w:val="000000"/>
        </w:rPr>
        <w:t>、合同周期</w:t>
      </w:r>
      <w:r>
        <w:rPr>
          <w:sz w:val="20"/>
          <w:color w:val="000000"/>
        </w:rPr>
        <w:t>：</w:t>
      </w:r>
    </w:p>
    <w:p>
      <w:pPr>
        <w:pStyle w:val="null3"/>
        <w:ind w:firstLine="420"/>
        <w:jc w:val="left"/>
      </w:pPr>
      <w:r>
        <w:rPr>
          <w:sz w:val="20"/>
          <w:color w:val="000000"/>
        </w:rPr>
        <w:t>由</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日起至</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日止。</w:t>
      </w:r>
    </w:p>
    <w:p>
      <w:pPr>
        <w:pStyle w:val="null3"/>
        <w:jc w:val="left"/>
      </w:pPr>
      <w:r>
        <w:rPr>
          <w:sz w:val="20"/>
          <w:b/>
          <w:color w:val="000000"/>
        </w:rPr>
        <w:t>八</w:t>
      </w:r>
      <w:r>
        <w:rPr>
          <w:sz w:val="20"/>
          <w:b/>
          <w:color w:val="000000"/>
        </w:rPr>
        <w:t>、合同期内承包服务费用</w:t>
      </w:r>
      <w:r>
        <w:rPr>
          <w:sz w:val="20"/>
          <w:color w:val="000000"/>
        </w:rPr>
        <w:t>：</w:t>
      </w:r>
    </w:p>
    <w:p>
      <w:pPr>
        <w:pStyle w:val="null3"/>
        <w:ind w:firstLine="420"/>
        <w:jc w:val="left"/>
      </w:pPr>
      <w:r>
        <w:rPr>
          <w:sz w:val="20"/>
          <w:color w:val="000000"/>
        </w:rPr>
        <w:t>含税总价：每季度服务费用人民币￥</w:t>
      </w:r>
      <w:r>
        <w:rPr>
          <w:sz w:val="20"/>
          <w:color w:val="000000"/>
          <w:u w:val="single"/>
        </w:rPr>
        <w:t xml:space="preserve">    </w:t>
      </w:r>
      <w:r>
        <w:rPr>
          <w:sz w:val="20"/>
          <w:color w:val="000000"/>
          <w:u w:val="single"/>
        </w:rPr>
        <w:t>元</w:t>
      </w:r>
      <w:r>
        <w:rPr>
          <w:sz w:val="20"/>
          <w:color w:val="000000"/>
        </w:rPr>
        <w:t>，大写：</w:t>
      </w:r>
      <w:r>
        <w:rPr>
          <w:sz w:val="21"/>
          <w:u w:val="single"/>
        </w:rPr>
        <w:t xml:space="preserve">      </w:t>
      </w:r>
      <w:r>
        <w:rPr>
          <w:sz w:val="20"/>
          <w:color w:val="000000"/>
        </w:rPr>
        <w:t>，合计</w:t>
      </w:r>
      <w:r>
        <w:rPr>
          <w:sz w:val="20"/>
          <w:color w:val="000000"/>
          <w:u w:val="single"/>
        </w:rPr>
        <w:t xml:space="preserve">    </w:t>
      </w:r>
      <w:r>
        <w:rPr>
          <w:sz w:val="20"/>
          <w:color w:val="000000"/>
          <w:u w:val="single"/>
        </w:rPr>
        <w:t>元</w:t>
      </w:r>
      <w:r>
        <w:rPr>
          <w:sz w:val="20"/>
          <w:color w:val="000000"/>
        </w:rPr>
        <w:t>。甲方支付给乙方的服务费中包含了乙方为完成本合同服务内容所需的人工费、材料费、设备费、税费、利润等所有为实现本合同目的所需费用。</w:t>
      </w:r>
    </w:p>
    <w:p>
      <w:pPr>
        <w:pStyle w:val="null3"/>
        <w:jc w:val="both"/>
      </w:pPr>
      <w:r>
        <w:rPr>
          <w:sz w:val="20"/>
          <w:b/>
          <w:color w:val="000000"/>
        </w:rPr>
        <w:t>九</w:t>
      </w:r>
      <w:r>
        <w:rPr>
          <w:sz w:val="20"/>
          <w:b/>
          <w:color w:val="000000"/>
        </w:rPr>
        <w:t>、结算方式</w:t>
      </w:r>
      <w:r>
        <w:rPr>
          <w:sz w:val="20"/>
          <w:color w:val="000000"/>
        </w:rPr>
        <w:t>：</w:t>
      </w:r>
    </w:p>
    <w:p>
      <w:pPr>
        <w:pStyle w:val="null3"/>
        <w:ind w:firstLine="420"/>
        <w:jc w:val="both"/>
      </w:pPr>
      <w:r>
        <w:rPr>
          <w:sz w:val="20"/>
          <w:color w:val="000000"/>
        </w:rPr>
        <w:t>1.</w:t>
      </w:r>
      <w:r>
        <w:rPr>
          <w:sz w:val="20"/>
          <w:color w:val="000000"/>
        </w:rPr>
        <w:t>按</w:t>
      </w:r>
      <w:r>
        <w:rPr>
          <w:sz w:val="20"/>
          <w:color w:val="000000"/>
        </w:rPr>
        <w:t>季度结算费用：自本合同期内第二个</w:t>
      </w:r>
      <w:r>
        <w:rPr>
          <w:sz w:val="20"/>
          <w:color w:val="000000"/>
        </w:rPr>
        <w:t>季度</w:t>
      </w:r>
      <w:r>
        <w:rPr>
          <w:sz w:val="20"/>
          <w:color w:val="000000"/>
        </w:rPr>
        <w:t>开始，每季度第一个月</w:t>
      </w:r>
      <w:r>
        <w:rPr>
          <w:sz w:val="20"/>
          <w:color w:val="000000"/>
        </w:rPr>
        <w:t>5日前，</w:t>
      </w:r>
      <w:r>
        <w:rPr>
          <w:sz w:val="20"/>
          <w:color w:val="000000"/>
        </w:rPr>
        <w:t>甲方</w:t>
      </w:r>
      <w:r>
        <w:rPr>
          <w:sz w:val="20"/>
          <w:color w:val="000000"/>
        </w:rPr>
        <w:t>结合考评结果支付上季度</w:t>
      </w:r>
      <w:r>
        <w:rPr>
          <w:sz w:val="20"/>
          <w:color w:val="000000"/>
        </w:rPr>
        <w:t>承包</w:t>
      </w:r>
      <w:r>
        <w:rPr>
          <w:sz w:val="20"/>
          <w:color w:val="000000"/>
        </w:rPr>
        <w:t>费，</w:t>
      </w:r>
      <w:r>
        <w:rPr>
          <w:sz w:val="20"/>
          <w:color w:val="000000"/>
        </w:rPr>
        <w:t>乙方将上一个季度相关结算资料送交甲方，甲方在收到结算资料后</w:t>
      </w:r>
      <w:r>
        <w:rPr>
          <w:sz w:val="20"/>
          <w:color w:val="000000"/>
        </w:rPr>
        <w:t>3</w:t>
      </w:r>
      <w:r>
        <w:rPr>
          <w:sz w:val="20"/>
          <w:color w:val="000000"/>
        </w:rPr>
        <w:t>个工作日内完成审查并通知乙方审查结果。</w:t>
      </w:r>
    </w:p>
    <w:p>
      <w:pPr>
        <w:pStyle w:val="null3"/>
        <w:ind w:firstLine="420"/>
        <w:jc w:val="both"/>
      </w:pPr>
      <w:r>
        <w:rPr>
          <w:sz w:val="20"/>
          <w:color w:val="000000"/>
        </w:rPr>
        <w:t>（</w:t>
      </w:r>
      <w:r>
        <w:rPr>
          <w:sz w:val="20"/>
          <w:color w:val="000000"/>
        </w:rPr>
        <w:t>1）审查通过后</w:t>
      </w:r>
      <w:r>
        <w:rPr>
          <w:sz w:val="20"/>
          <w:color w:val="000000"/>
        </w:rPr>
        <w:t>5</w:t>
      </w:r>
      <w:r>
        <w:rPr>
          <w:sz w:val="20"/>
          <w:color w:val="000000"/>
        </w:rPr>
        <w:t>个工作日内，甲方向乙方支付相应款项；</w:t>
      </w:r>
    </w:p>
    <w:p>
      <w:pPr>
        <w:pStyle w:val="null3"/>
        <w:ind w:firstLine="420"/>
        <w:jc w:val="both"/>
      </w:pPr>
      <w:r>
        <w:rPr>
          <w:sz w:val="20"/>
          <w:color w:val="000000"/>
        </w:rPr>
        <w:t>（</w:t>
      </w:r>
      <w:r>
        <w:rPr>
          <w:sz w:val="20"/>
          <w:color w:val="000000"/>
        </w:rPr>
        <w:t>2）审查未通过且乙方提交的结算资料确有问题的，乙方应当重新提交审查资料，审查通过后</w:t>
      </w:r>
      <w:r>
        <w:rPr>
          <w:sz w:val="20"/>
          <w:color w:val="000000"/>
        </w:rPr>
        <w:t>5</w:t>
      </w:r>
      <w:r>
        <w:rPr>
          <w:sz w:val="20"/>
          <w:color w:val="000000"/>
        </w:rPr>
        <w:t>个工作日内，甲方向乙方支付相应款项。</w:t>
      </w:r>
    </w:p>
    <w:p>
      <w:pPr>
        <w:pStyle w:val="null3"/>
        <w:ind w:firstLine="420"/>
        <w:jc w:val="both"/>
      </w:pPr>
      <w:r>
        <w:rPr>
          <w:sz w:val="20"/>
          <w:color w:val="000000"/>
        </w:rPr>
        <w:t>2.每次付款前，乙方须先向甲方出具等额合法发票，否则甲方有权延迟付款。</w:t>
      </w:r>
    </w:p>
    <w:p>
      <w:pPr>
        <w:pStyle w:val="null3"/>
        <w:ind w:firstLine="420"/>
        <w:jc w:val="both"/>
      </w:pPr>
      <w:r>
        <w:rPr>
          <w:sz w:val="20"/>
          <w:color w:val="000000"/>
        </w:rPr>
        <w:t>3.甲方增值税发票的开票信息：</w:t>
      </w:r>
    </w:p>
    <w:p>
      <w:pPr>
        <w:pStyle w:val="null3"/>
        <w:ind w:firstLine="482"/>
        <w:jc w:val="both"/>
      </w:pPr>
      <w:r>
        <w:rPr>
          <w:sz w:val="20"/>
          <w:color w:val="000000"/>
        </w:rPr>
        <w:t>名</w:t>
      </w:r>
      <w:r>
        <w:rPr>
          <w:sz w:val="20"/>
          <w:color w:val="000000"/>
        </w:rPr>
        <w:t xml:space="preserve">       </w:t>
      </w:r>
      <w:r>
        <w:rPr>
          <w:sz w:val="20"/>
          <w:color w:val="000000"/>
        </w:rPr>
        <w:t>称：</w:t>
      </w:r>
      <w:r>
        <w:rPr>
          <w:sz w:val="21"/>
          <w:u w:val="single"/>
        </w:rPr>
        <w:t xml:space="preserve">                                                 </w:t>
      </w:r>
      <w:r>
        <w:rPr>
          <w:sz w:val="21"/>
        </w:rPr>
        <w:t xml:space="preserve">                                                </w:t>
      </w:r>
    </w:p>
    <w:p>
      <w:pPr>
        <w:pStyle w:val="null3"/>
        <w:ind w:firstLine="482"/>
        <w:jc w:val="both"/>
      </w:pPr>
      <w:r>
        <w:rPr>
          <w:sz w:val="20"/>
          <w:color w:val="000000"/>
        </w:rPr>
        <w:t>纳税人识别号：</w:t>
      </w:r>
      <w:r>
        <w:rPr>
          <w:sz w:val="21"/>
          <w:u w:val="single"/>
        </w:rPr>
        <w:t xml:space="preserve">                                                 </w:t>
      </w:r>
      <w:r>
        <w:rPr>
          <w:sz w:val="21"/>
        </w:rPr>
        <w:t xml:space="preserve">                                                     </w:t>
      </w:r>
    </w:p>
    <w:p>
      <w:pPr>
        <w:pStyle w:val="null3"/>
        <w:ind w:firstLine="482"/>
        <w:jc w:val="both"/>
      </w:pPr>
      <w:r>
        <w:rPr>
          <w:sz w:val="20"/>
          <w:color w:val="000000"/>
        </w:rPr>
        <w:t>地址与电话：</w:t>
      </w:r>
      <w:r>
        <w:rPr>
          <w:sz w:val="21"/>
          <w:u w:val="single"/>
        </w:rPr>
        <w:t xml:space="preserve">                                                 </w:t>
      </w:r>
      <w:r>
        <w:rPr>
          <w:sz w:val="21"/>
        </w:rPr>
        <w:t xml:space="preserve">                                                       </w:t>
      </w:r>
    </w:p>
    <w:p>
      <w:pPr>
        <w:pStyle w:val="null3"/>
        <w:ind w:firstLine="420"/>
        <w:jc w:val="both"/>
      </w:pPr>
      <w:r>
        <w:rPr>
          <w:sz w:val="20"/>
          <w:color w:val="000000"/>
        </w:rPr>
        <w:t>开户行与账号：</w:t>
      </w:r>
      <w:r>
        <w:rPr>
          <w:sz w:val="21"/>
          <w:u w:val="single"/>
        </w:rPr>
        <w:t xml:space="preserve">                                                 </w:t>
      </w:r>
      <w:r>
        <w:rPr>
          <w:sz w:val="21"/>
        </w:rPr>
        <w:t xml:space="preserve">   </w:t>
      </w:r>
    </w:p>
    <w:p>
      <w:pPr>
        <w:pStyle w:val="null3"/>
        <w:ind w:firstLine="482"/>
        <w:jc w:val="both"/>
      </w:pPr>
      <w:r>
        <w:rPr>
          <w:sz w:val="20"/>
          <w:color w:val="000000"/>
        </w:rPr>
        <w:t>4. 乙方指定收款账户信息如下：</w:t>
      </w:r>
    </w:p>
    <w:p>
      <w:pPr>
        <w:pStyle w:val="null3"/>
        <w:ind w:firstLine="420"/>
        <w:jc w:val="both"/>
      </w:pPr>
      <w:r>
        <w:rPr>
          <w:sz w:val="20"/>
          <w:color w:val="000000"/>
        </w:rPr>
        <w:t>开户行：</w:t>
      </w:r>
      <w:r>
        <w:rPr>
          <w:sz w:val="21"/>
          <w:u w:val="single"/>
        </w:rPr>
        <w:t xml:space="preserve">                                 </w:t>
      </w:r>
    </w:p>
    <w:p>
      <w:pPr>
        <w:pStyle w:val="null3"/>
        <w:ind w:firstLine="420"/>
        <w:jc w:val="both"/>
      </w:pPr>
      <w:r>
        <w:rPr>
          <w:sz w:val="20"/>
          <w:color w:val="000000"/>
        </w:rPr>
        <w:t>账户名称：</w:t>
      </w:r>
      <w:r>
        <w:rPr>
          <w:sz w:val="21"/>
          <w:u w:val="single"/>
        </w:rPr>
        <w:t xml:space="preserve">                               </w:t>
      </w:r>
    </w:p>
    <w:p>
      <w:pPr>
        <w:pStyle w:val="null3"/>
        <w:ind w:firstLine="420"/>
        <w:jc w:val="both"/>
      </w:pPr>
      <w:r>
        <w:rPr>
          <w:sz w:val="20"/>
          <w:color w:val="000000"/>
        </w:rPr>
        <w:t>帐号：</w:t>
      </w:r>
      <w:r>
        <w:rPr>
          <w:sz w:val="21"/>
          <w:u w:val="single"/>
        </w:rPr>
        <w:t xml:space="preserve">                                   </w:t>
      </w:r>
    </w:p>
    <w:p>
      <w:pPr>
        <w:pStyle w:val="null3"/>
        <w:ind w:firstLine="420"/>
        <w:jc w:val="both"/>
      </w:pPr>
      <w:r>
        <w:rPr>
          <w:sz w:val="20"/>
          <w:color w:val="000000"/>
        </w:rPr>
        <w:t>乙方</w:t>
      </w:r>
      <w:r>
        <w:rPr>
          <w:sz w:val="20"/>
          <w:color w:val="000000"/>
        </w:rPr>
        <w:t>如确需变更收款账户，需提前</w:t>
      </w:r>
      <w:r>
        <w:rPr>
          <w:sz w:val="20"/>
          <w:color w:val="000000"/>
        </w:rPr>
        <w:t>20日书面通知甲方。</w:t>
      </w:r>
    </w:p>
    <w:p>
      <w:pPr>
        <w:pStyle w:val="null3"/>
        <w:jc w:val="left"/>
      </w:pPr>
      <w:r>
        <w:rPr>
          <w:sz w:val="20"/>
          <w:b/>
          <w:color w:val="000000"/>
        </w:rPr>
        <w:t>十</w:t>
      </w:r>
      <w:r>
        <w:rPr>
          <w:sz w:val="20"/>
          <w:b/>
          <w:color w:val="000000"/>
        </w:rPr>
        <w:t>、验收标准</w:t>
      </w:r>
    </w:p>
    <w:p>
      <w:pPr>
        <w:pStyle w:val="null3"/>
        <w:jc w:val="left"/>
      </w:pPr>
      <w:r>
        <w:rPr>
          <w:sz w:val="20"/>
          <w:color w:val="000000"/>
        </w:rPr>
        <w:t>1、甲方对乙方承包范围内的除“四害”质量进行检查，每次检查按百分制打分，分好(100分-90分)、中(89分-80分)、差(</w:t>
      </w:r>
      <w:r>
        <w:rPr>
          <w:sz w:val="20"/>
          <w:color w:val="000000"/>
        </w:rPr>
        <w:t>79</w:t>
      </w:r>
      <w:r>
        <w:rPr>
          <w:sz w:val="20"/>
          <w:color w:val="000000"/>
        </w:rPr>
        <w:t>分以下</w:t>
      </w:r>
      <w:r>
        <w:rPr>
          <w:sz w:val="20"/>
          <w:color w:val="000000"/>
        </w:rPr>
        <w:t>)三个档次。</w:t>
      </w:r>
    </w:p>
    <w:p>
      <w:pPr>
        <w:pStyle w:val="null3"/>
        <w:jc w:val="left"/>
      </w:pPr>
      <w:r>
        <w:rPr>
          <w:sz w:val="20"/>
          <w:color w:val="000000"/>
        </w:rPr>
        <w:t>2、</w:t>
      </w:r>
      <w:r>
        <w:rPr>
          <w:sz w:val="20"/>
          <w:color w:val="000000"/>
        </w:rPr>
        <w:t>除</w:t>
      </w:r>
      <w:r>
        <w:rPr>
          <w:sz w:val="20"/>
          <w:color w:val="000000"/>
        </w:rPr>
        <w:t>“四害”检查打分在(100分-90分)属好</w:t>
      </w:r>
      <w:r>
        <w:rPr>
          <w:sz w:val="20"/>
          <w:color w:val="000000"/>
        </w:rPr>
        <w:t>，</w:t>
      </w:r>
      <w:r>
        <w:rPr>
          <w:sz w:val="20"/>
          <w:color w:val="000000"/>
        </w:rPr>
        <w:t>不扣款</w:t>
      </w:r>
      <w:r>
        <w:rPr>
          <w:sz w:val="20"/>
          <w:color w:val="000000"/>
        </w:rPr>
        <w:t>；</w:t>
      </w:r>
      <w:r>
        <w:rPr>
          <w:sz w:val="20"/>
          <w:color w:val="000000"/>
        </w:rPr>
        <w:t>(89分-80分)属中，每少1分扣除当</w:t>
      </w:r>
      <w:r>
        <w:rPr>
          <w:sz w:val="20"/>
          <w:color w:val="000000"/>
        </w:rPr>
        <w:t>季度</w:t>
      </w:r>
      <w:r>
        <w:rPr>
          <w:sz w:val="20"/>
          <w:color w:val="000000"/>
        </w:rPr>
        <w:t>承包费的</w:t>
      </w:r>
      <w:r>
        <w:rPr>
          <w:sz w:val="20"/>
          <w:color w:val="000000"/>
        </w:rPr>
        <w:t>1％；</w:t>
      </w:r>
      <w:r>
        <w:rPr>
          <w:sz w:val="20"/>
          <w:color w:val="000000"/>
        </w:rPr>
        <w:t>(</w:t>
      </w:r>
      <w:r>
        <w:rPr>
          <w:sz w:val="20"/>
          <w:color w:val="000000"/>
        </w:rPr>
        <w:t>79</w:t>
      </w:r>
      <w:r>
        <w:rPr>
          <w:sz w:val="20"/>
          <w:color w:val="000000"/>
        </w:rPr>
        <w:t>分以下</w:t>
      </w:r>
      <w:r>
        <w:rPr>
          <w:sz w:val="20"/>
          <w:color w:val="000000"/>
        </w:rPr>
        <w:t>)属差，每少1分扣除当</w:t>
      </w:r>
      <w:r>
        <w:rPr>
          <w:sz w:val="20"/>
          <w:color w:val="000000"/>
        </w:rPr>
        <w:t>季度</w:t>
      </w:r>
      <w:r>
        <w:rPr>
          <w:sz w:val="20"/>
          <w:color w:val="000000"/>
        </w:rPr>
        <w:t>承包费的</w:t>
      </w:r>
      <w:r>
        <w:rPr>
          <w:sz w:val="20"/>
          <w:color w:val="000000"/>
        </w:rPr>
        <w:t>2％。累计5次属差的，甲方有权单方面终止合同。</w:t>
      </w:r>
    </w:p>
    <w:p>
      <w:pPr>
        <w:pStyle w:val="null3"/>
        <w:jc w:val="left"/>
      </w:pPr>
      <w:r>
        <w:rPr>
          <w:sz w:val="20"/>
          <w:color w:val="000000"/>
        </w:rPr>
        <w:t>3、检查扣分标准：按《</w:t>
      </w:r>
      <w:r>
        <w:rPr>
          <w:sz w:val="20"/>
          <w:color w:val="000000"/>
        </w:rPr>
        <w:t>大朗镇中心区</w:t>
      </w:r>
      <w:r>
        <w:rPr>
          <w:sz w:val="20"/>
          <w:color w:val="000000"/>
        </w:rPr>
        <w:t>除</w:t>
      </w:r>
      <w:r>
        <w:rPr>
          <w:sz w:val="20"/>
          <w:b/>
          <w:color w:val="000000"/>
        </w:rPr>
        <w:t>“</w:t>
      </w:r>
      <w:r>
        <w:rPr>
          <w:sz w:val="20"/>
          <w:color w:val="000000"/>
        </w:rPr>
        <w:t>四害</w:t>
      </w:r>
      <w:r>
        <w:rPr>
          <w:sz w:val="20"/>
          <w:b/>
          <w:color w:val="000000"/>
        </w:rPr>
        <w:t>”</w:t>
      </w:r>
      <w:r>
        <w:rPr>
          <w:sz w:val="20"/>
          <w:color w:val="000000"/>
        </w:rPr>
        <w:t>现场考核评分暂行标准</w:t>
      </w:r>
      <w:r>
        <w:rPr>
          <w:sz w:val="20"/>
          <w:color w:val="000000"/>
        </w:rPr>
        <w:t>》执行（详见附件）。</w:t>
      </w:r>
    </w:p>
    <w:p>
      <w:pPr>
        <w:pStyle w:val="null3"/>
        <w:jc w:val="left"/>
      </w:pPr>
      <w:r>
        <w:rPr>
          <w:sz w:val="20"/>
          <w:b/>
          <w:color w:val="000000"/>
        </w:rPr>
        <w:t>十一</w:t>
      </w:r>
      <w:r>
        <w:rPr>
          <w:sz w:val="20"/>
          <w:b/>
          <w:color w:val="000000"/>
        </w:rPr>
        <w:t>、甲方权利及义务：</w:t>
      </w:r>
    </w:p>
    <w:p>
      <w:pPr>
        <w:pStyle w:val="null3"/>
        <w:ind w:firstLine="420"/>
        <w:jc w:val="left"/>
      </w:pPr>
      <w:r>
        <w:rPr>
          <w:sz w:val="20"/>
          <w:color w:val="000000"/>
        </w:rPr>
        <w:t>1</w:t>
      </w:r>
      <w:r>
        <w:rPr>
          <w:sz w:val="20"/>
          <w:color w:val="000000"/>
        </w:rPr>
        <w:t>.指定人员协助乙方除四害工作，协助提供工作方便。</w:t>
      </w:r>
    </w:p>
    <w:p>
      <w:pPr>
        <w:pStyle w:val="null3"/>
        <w:ind w:firstLine="420"/>
        <w:jc w:val="left"/>
      </w:pPr>
      <w:r>
        <w:rPr>
          <w:sz w:val="20"/>
          <w:color w:val="000000"/>
        </w:rPr>
        <w:t>2</w:t>
      </w:r>
      <w:r>
        <w:rPr>
          <w:sz w:val="20"/>
          <w:color w:val="000000"/>
        </w:rPr>
        <w:t>.合同期间内，服务范围内的除四害如达不到规定标准，甲方有权向乙方提出警告并要求乙方进行整改。</w:t>
      </w:r>
    </w:p>
    <w:p>
      <w:pPr>
        <w:pStyle w:val="null3"/>
        <w:ind w:firstLine="420"/>
        <w:jc w:val="left"/>
      </w:pPr>
      <w:r>
        <w:rPr>
          <w:sz w:val="20"/>
          <w:color w:val="000000"/>
        </w:rPr>
        <w:t>3</w:t>
      </w:r>
      <w:r>
        <w:rPr>
          <w:sz w:val="20"/>
          <w:color w:val="000000"/>
        </w:rPr>
        <w:t>.按本合同约定支付服务费，以保证乙方消杀服务工作正常开展。</w:t>
      </w:r>
    </w:p>
    <w:p>
      <w:pPr>
        <w:pStyle w:val="null3"/>
        <w:ind w:firstLine="420"/>
        <w:jc w:val="left"/>
      </w:pPr>
      <w:r>
        <w:rPr>
          <w:sz w:val="20"/>
          <w:color w:val="000000"/>
        </w:rPr>
        <w:t>4</w:t>
      </w:r>
      <w:r>
        <w:rPr>
          <w:sz w:val="20"/>
          <w:color w:val="000000"/>
        </w:rPr>
        <w:t>.乙方每次开展</w:t>
      </w:r>
      <w:r>
        <w:rPr>
          <w:sz w:val="20"/>
          <w:color w:val="000000"/>
        </w:rPr>
        <w:t>除四害</w:t>
      </w:r>
      <w:r>
        <w:rPr>
          <w:sz w:val="20"/>
          <w:color w:val="000000"/>
        </w:rPr>
        <w:t>工作前，甲方应当提前通知所在园区业主、公司员工等可能影响乙方防治工作的人员，确保乙方消杀服务工作顺利开展。</w:t>
      </w:r>
    </w:p>
    <w:p>
      <w:pPr>
        <w:pStyle w:val="null3"/>
        <w:jc w:val="left"/>
      </w:pPr>
      <w:r>
        <w:rPr>
          <w:sz w:val="20"/>
          <w:b/>
          <w:color w:val="000000"/>
        </w:rPr>
        <w:t>十</w:t>
      </w:r>
      <w:r>
        <w:rPr>
          <w:sz w:val="20"/>
          <w:b/>
          <w:color w:val="000000"/>
        </w:rPr>
        <w:t>二</w:t>
      </w:r>
      <w:r>
        <w:rPr>
          <w:sz w:val="20"/>
          <w:b/>
          <w:color w:val="000000"/>
        </w:rPr>
        <w:t>、乙方权利及义务：</w:t>
      </w:r>
    </w:p>
    <w:p>
      <w:pPr>
        <w:pStyle w:val="null3"/>
        <w:ind w:firstLine="420"/>
        <w:jc w:val="both"/>
      </w:pPr>
      <w:r>
        <w:rPr>
          <w:sz w:val="20"/>
          <w:color w:val="000000"/>
        </w:rPr>
        <w:t>1.</w:t>
      </w:r>
      <w:r>
        <w:rPr>
          <w:sz w:val="20"/>
          <w:color w:val="000000"/>
        </w:rPr>
        <w:t>乙方的消杀人员应当持有消杀人员培训证书或防治员证书。</w:t>
      </w:r>
    </w:p>
    <w:p>
      <w:pPr>
        <w:pStyle w:val="null3"/>
        <w:ind w:firstLine="420"/>
        <w:jc w:val="both"/>
      </w:pPr>
      <w:r>
        <w:rPr>
          <w:sz w:val="20"/>
          <w:color w:val="000000"/>
        </w:rPr>
        <w:t>2.严格执行当地政府关于除四害的管理规定，接受</w:t>
      </w:r>
      <w:r>
        <w:rPr>
          <w:sz w:val="20"/>
          <w:color w:val="000000"/>
        </w:rPr>
        <w:t>市、</w:t>
      </w:r>
      <w:r>
        <w:rPr>
          <w:sz w:val="20"/>
          <w:color w:val="000000"/>
        </w:rPr>
        <w:t>镇</w:t>
      </w:r>
      <w:r>
        <w:rPr>
          <w:sz w:val="20"/>
          <w:color w:val="000000"/>
        </w:rPr>
        <w:t>主管部门及甲方</w:t>
      </w:r>
      <w:r>
        <w:rPr>
          <w:sz w:val="20"/>
          <w:color w:val="000000"/>
        </w:rPr>
        <w:t>监督检查和考核。</w:t>
      </w:r>
    </w:p>
    <w:p>
      <w:pPr>
        <w:pStyle w:val="null3"/>
        <w:ind w:firstLine="420"/>
        <w:jc w:val="both"/>
      </w:pPr>
      <w:r>
        <w:rPr>
          <w:sz w:val="20"/>
          <w:color w:val="000000"/>
        </w:rPr>
        <w:t>3.建立规章制度，做好巡查、处理、检查、监测工作及相应记录，以备查验。</w:t>
      </w:r>
    </w:p>
    <w:p>
      <w:pPr>
        <w:pStyle w:val="null3"/>
        <w:ind w:firstLine="420"/>
        <w:jc w:val="both"/>
      </w:pPr>
      <w:r>
        <w:rPr>
          <w:sz w:val="20"/>
          <w:color w:val="000000"/>
        </w:rPr>
        <w:t>4.乙方必须使用符合国家标准的、对人畜无害的药物进行消杀。</w:t>
      </w:r>
    </w:p>
    <w:p>
      <w:pPr>
        <w:pStyle w:val="null3"/>
        <w:ind w:firstLine="420"/>
        <w:jc w:val="both"/>
      </w:pPr>
      <w:r>
        <w:rPr>
          <w:sz w:val="20"/>
          <w:color w:val="000000"/>
        </w:rPr>
        <w:t>5.乙方进场消杀的所有工作人员均应持证上岗，统一着装、佩戴工作证上岗，文明作业。</w:t>
      </w:r>
    </w:p>
    <w:p>
      <w:pPr>
        <w:pStyle w:val="null3"/>
        <w:ind w:firstLine="420"/>
        <w:jc w:val="both"/>
      </w:pPr>
      <w:r>
        <w:rPr>
          <w:sz w:val="20"/>
          <w:color w:val="000000"/>
        </w:rPr>
        <w:t>6．乙方进行现场消杀时，应提前告知甲方，并须做好现场的安全防范和警示措施，若因乙方消杀工作有不当之处，</w:t>
      </w:r>
      <w:r>
        <w:rPr>
          <w:sz w:val="20"/>
          <w:color w:val="000000"/>
        </w:rPr>
        <w:t>造成</w:t>
      </w:r>
      <w:r>
        <w:rPr>
          <w:sz w:val="20"/>
          <w:color w:val="000000"/>
        </w:rPr>
        <w:t>人员伤害，或引起投诉、起诉等，</w:t>
      </w:r>
      <w:r>
        <w:rPr>
          <w:sz w:val="20"/>
          <w:color w:val="000000"/>
        </w:rPr>
        <w:t>由乙方按照法律法规的规定承担相应责任。</w:t>
      </w:r>
    </w:p>
    <w:p>
      <w:pPr>
        <w:pStyle w:val="null3"/>
        <w:ind w:firstLine="420"/>
        <w:jc w:val="both"/>
      </w:pPr>
      <w:r>
        <w:rPr>
          <w:sz w:val="20"/>
          <w:color w:val="000000"/>
        </w:rPr>
        <w:t>7.乙方必须严格执行国家、地方、行业的施工操作流程，充分保障自身人员及其他人员的安全，如乙方自身工作人员发生人身伤害、财产损失或乙方造成其他第三方的人身、财产损失等事故，</w:t>
      </w:r>
      <w:r>
        <w:rPr>
          <w:sz w:val="20"/>
          <w:color w:val="000000"/>
        </w:rPr>
        <w:t>由乙方自行承担所有责任</w:t>
      </w:r>
      <w:r>
        <w:rPr>
          <w:sz w:val="20"/>
          <w:color w:val="000000"/>
        </w:rPr>
        <w:t>。</w:t>
      </w:r>
    </w:p>
    <w:p>
      <w:pPr>
        <w:pStyle w:val="null3"/>
        <w:ind w:firstLine="420"/>
        <w:jc w:val="both"/>
      </w:pPr>
      <w:r>
        <w:rPr>
          <w:sz w:val="20"/>
          <w:color w:val="000000"/>
        </w:rPr>
        <w:t>8、乙方按照本合同约定完成每次消杀后，有权要求甲方在</w:t>
      </w:r>
      <w:r>
        <w:rPr>
          <w:sz w:val="20"/>
          <w:color w:val="000000"/>
        </w:rPr>
        <w:t>《</w:t>
      </w:r>
      <w:r>
        <w:rPr>
          <w:sz w:val="20"/>
          <w:color w:val="000000"/>
        </w:rPr>
        <w:t>PCO施工记录单》签字确认，甲方签字确认即视为</w:t>
      </w:r>
      <w:r>
        <w:rPr>
          <w:sz w:val="20"/>
          <w:color w:val="000000"/>
        </w:rPr>
        <w:t>知悉和了解本次消杀服务情况</w:t>
      </w:r>
      <w:r>
        <w:rPr>
          <w:sz w:val="20"/>
          <w:color w:val="000000"/>
        </w:rPr>
        <w:t>。</w:t>
      </w:r>
    </w:p>
    <w:p>
      <w:pPr>
        <w:pStyle w:val="null3"/>
        <w:ind w:firstLine="420"/>
        <w:jc w:val="both"/>
      </w:pPr>
      <w:r>
        <w:rPr>
          <w:sz w:val="20"/>
          <w:color w:val="000000"/>
        </w:rPr>
        <w:t>9、</w:t>
      </w:r>
      <w:r>
        <w:rPr>
          <w:sz w:val="20"/>
          <w:color w:val="000000"/>
        </w:rPr>
        <w:t>在合同期内如甲方发现四害危害，应当及时通知乙方，乙方应尽快组织人员到现场处理。</w:t>
      </w:r>
    </w:p>
    <w:p>
      <w:pPr>
        <w:pStyle w:val="null3"/>
        <w:jc w:val="left"/>
      </w:pPr>
      <w:r>
        <w:rPr>
          <w:sz w:val="20"/>
          <w:b/>
          <w:color w:val="000000"/>
        </w:rPr>
        <w:t>十三、知识产权</w:t>
      </w:r>
    </w:p>
    <w:p>
      <w:pPr>
        <w:pStyle w:val="null3"/>
        <w:ind w:firstLine="420"/>
        <w:jc w:val="both"/>
      </w:pPr>
      <w:r>
        <w:rPr>
          <w:sz w:val="20"/>
          <w:color w:val="000000"/>
        </w:rPr>
        <w:t>乙方保证所用消杀技术、药剂配方等不侵犯任何第三方知识产权，如发生侵权纠纷由乙方承担全部责任（含赔偿、维权费用及提供替代方案）</w:t>
      </w:r>
      <w:r>
        <w:rPr>
          <w:sz w:val="20"/>
          <w:color w:val="000000"/>
        </w:rPr>
        <w:t>。</w:t>
      </w:r>
    </w:p>
    <w:p>
      <w:pPr>
        <w:pStyle w:val="null3"/>
        <w:jc w:val="left"/>
      </w:pPr>
      <w:r>
        <w:rPr>
          <w:sz w:val="20"/>
          <w:b/>
          <w:color w:val="000000"/>
        </w:rPr>
        <w:t>十</w:t>
      </w:r>
      <w:r>
        <w:rPr>
          <w:sz w:val="20"/>
          <w:b/>
          <w:color w:val="000000"/>
        </w:rPr>
        <w:t>四</w:t>
      </w:r>
      <w:r>
        <w:rPr>
          <w:sz w:val="20"/>
          <w:b/>
          <w:color w:val="000000"/>
        </w:rPr>
        <w:t>、违约责任及合同终止</w:t>
      </w:r>
    </w:p>
    <w:p>
      <w:pPr>
        <w:pStyle w:val="null3"/>
        <w:ind w:firstLine="420"/>
        <w:jc w:val="both"/>
      </w:pPr>
      <w:r>
        <w:rPr>
          <w:sz w:val="20"/>
          <w:color w:val="000000"/>
        </w:rPr>
        <w:t>1..甲乙双方任一方单方要求无故解除合同的，请求解除方应向对方支付3个月消杀服务费标准的违约金。</w:t>
      </w:r>
    </w:p>
    <w:p>
      <w:pPr>
        <w:pStyle w:val="null3"/>
        <w:ind w:firstLine="420"/>
        <w:jc w:val="both"/>
      </w:pPr>
      <w:r>
        <w:rPr>
          <w:sz w:val="20"/>
          <w:color w:val="000000"/>
        </w:rPr>
        <w:t>2.合同解除后，乙方应妥善做好已购材料的保护和移交工作，按甲方要求将自有工具和人员撤出现场。</w:t>
      </w:r>
    </w:p>
    <w:p>
      <w:pPr>
        <w:pStyle w:val="null3"/>
        <w:jc w:val="left"/>
      </w:pPr>
      <w:r>
        <w:rPr>
          <w:sz w:val="20"/>
          <w:b/>
          <w:color w:val="000000"/>
        </w:rPr>
        <w:t>十</w:t>
      </w:r>
      <w:r>
        <w:rPr>
          <w:sz w:val="20"/>
          <w:b/>
          <w:color w:val="000000"/>
        </w:rPr>
        <w:t>五</w:t>
      </w:r>
      <w:r>
        <w:rPr>
          <w:sz w:val="20"/>
          <w:b/>
          <w:color w:val="000000"/>
        </w:rPr>
        <w:t>、争议解决方法</w:t>
      </w:r>
    </w:p>
    <w:p>
      <w:pPr>
        <w:pStyle w:val="null3"/>
        <w:ind w:firstLine="420"/>
        <w:jc w:val="both"/>
      </w:pPr>
      <w:r>
        <w:rPr>
          <w:sz w:val="20"/>
          <w:color w:val="000000"/>
        </w:rPr>
        <w:t>本合同履行过程中所发生的争议，双方应本着互谅互惠的精神先行协商解决，若经协商无法解决的，甲乙双方同意选择以</w:t>
      </w:r>
      <w:r>
        <w:rPr>
          <w:sz w:val="20"/>
          <w:color w:val="000000"/>
        </w:rPr>
        <w:t>合同履行地人民法院为管</w:t>
      </w:r>
      <w:r>
        <w:rPr>
          <w:sz w:val="20"/>
          <w:color w:val="000000"/>
        </w:rPr>
        <w:t>辖法院，通过诉讼途径解决双方之间所存在的争议。</w:t>
      </w:r>
    </w:p>
    <w:p>
      <w:pPr>
        <w:pStyle w:val="null3"/>
        <w:jc w:val="both"/>
      </w:pPr>
      <w:r>
        <w:rPr>
          <w:sz w:val="20"/>
          <w:b/>
          <w:color w:val="000000"/>
        </w:rPr>
        <w:t>十</w:t>
      </w:r>
      <w:r>
        <w:rPr>
          <w:sz w:val="20"/>
          <w:b/>
          <w:color w:val="000000"/>
        </w:rPr>
        <w:t>六</w:t>
      </w:r>
      <w:r>
        <w:rPr>
          <w:sz w:val="20"/>
          <w:b/>
          <w:color w:val="000000"/>
        </w:rPr>
        <w:t>、</w:t>
      </w:r>
      <w:r>
        <w:rPr>
          <w:sz w:val="20"/>
          <w:color w:val="000000"/>
        </w:rPr>
        <w:t>本合同自双方盖章之日起正式生效，本合同文本</w:t>
      </w:r>
      <w:r>
        <w:rPr>
          <w:sz w:val="20"/>
          <w:color w:val="000000"/>
        </w:rPr>
        <w:t>一</w:t>
      </w:r>
      <w:r>
        <w:rPr>
          <w:sz w:val="20"/>
          <w:color w:val="000000"/>
        </w:rPr>
        <w:t>式伍份，甲乙双方各执贰份，</w:t>
      </w:r>
      <w:r>
        <w:rPr>
          <w:sz w:val="20"/>
          <w:color w:val="000000"/>
        </w:rPr>
        <w:t>代理机构</w:t>
      </w:r>
      <w:r>
        <w:rPr>
          <w:sz w:val="20"/>
          <w:color w:val="000000"/>
        </w:rPr>
        <w:t>执壹份为凭，每份具有同等的法律效力。</w:t>
      </w:r>
    </w:p>
    <w:p>
      <w:pPr>
        <w:pStyle w:val="null3"/>
        <w:jc w:val="left"/>
      </w:pPr>
      <w:r>
        <w:rPr>
          <w:sz w:val="20"/>
          <w:color w:val="000000"/>
        </w:rPr>
        <w:t>以下无正文。</w:t>
      </w:r>
    </w:p>
    <w:p>
      <w:pPr>
        <w:pStyle w:val="null3"/>
        <w:jc w:val="left"/>
      </w:pPr>
      <w:r>
        <w:rPr>
          <w:sz w:val="20"/>
          <w:color w:val="000000"/>
        </w:rPr>
        <w:t>甲方（盖章）：</w:t>
      </w:r>
      <w:r>
        <w:rPr>
          <w:sz w:val="20"/>
          <w:color w:val="000000"/>
        </w:rPr>
        <w:t xml:space="preserve">                    </w:t>
      </w:r>
      <w:r>
        <w:rPr>
          <w:sz w:val="20"/>
          <w:color w:val="000000"/>
        </w:rPr>
        <w:t>乙方（盖章）：</w:t>
      </w:r>
    </w:p>
    <w:p>
      <w:pPr>
        <w:pStyle w:val="null3"/>
        <w:jc w:val="left"/>
      </w:pPr>
      <w:r>
        <w:rPr>
          <w:sz w:val="20"/>
          <w:color w:val="000000"/>
        </w:rPr>
        <w:t>授权代表：</w:t>
      </w:r>
      <w:r>
        <w:rPr>
          <w:sz w:val="20"/>
          <w:color w:val="000000"/>
        </w:rPr>
        <w:t xml:space="preserve">                        </w:t>
      </w:r>
      <w:r>
        <w:rPr>
          <w:sz w:val="20"/>
          <w:color w:val="000000"/>
        </w:rPr>
        <w:t>授权代表：</w:t>
      </w:r>
    </w:p>
    <w:p>
      <w:pPr>
        <w:pStyle w:val="null3"/>
        <w:jc w:val="both"/>
      </w:pPr>
      <w:r>
        <w:rPr>
          <w:sz w:val="20"/>
          <w:color w:val="000000"/>
        </w:rPr>
        <w:t>地址：</w:t>
      </w:r>
      <w:r>
        <w:rPr>
          <w:sz w:val="20"/>
          <w:color w:val="000000"/>
        </w:rPr>
        <w:t xml:space="preserve">                            </w:t>
      </w:r>
      <w:r>
        <w:rPr>
          <w:sz w:val="20"/>
          <w:color w:val="000000"/>
        </w:rPr>
        <w:t>地址</w:t>
      </w:r>
      <w:r>
        <w:rPr>
          <w:sz w:val="20"/>
          <w:color w:val="000000"/>
        </w:rPr>
        <w:t>:</w:t>
      </w:r>
    </w:p>
    <w:p>
      <w:pPr>
        <w:pStyle w:val="null3"/>
        <w:jc w:val="left"/>
      </w:pPr>
      <w:r>
        <w:rPr>
          <w:sz w:val="20"/>
          <w:color w:val="000000"/>
        </w:rPr>
        <w:t>联系电话：</w:t>
      </w:r>
      <w:r>
        <w:rPr>
          <w:sz w:val="20"/>
          <w:color w:val="000000"/>
        </w:rPr>
        <w:t xml:space="preserve">                        </w:t>
      </w:r>
      <w:r>
        <w:rPr>
          <w:sz w:val="20"/>
          <w:color w:val="000000"/>
        </w:rPr>
        <w:t>联系电话：</w:t>
      </w:r>
    </w:p>
    <w:p>
      <w:pPr>
        <w:pStyle w:val="null3"/>
        <w:jc w:val="left"/>
      </w:pPr>
      <w:r>
        <w:rPr>
          <w:sz w:val="20"/>
          <w:color w:val="000000"/>
        </w:rPr>
        <w:t>日期：</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r>
        <w:rPr>
          <w:sz w:val="20"/>
          <w:color w:val="000000"/>
        </w:rPr>
        <w:t xml:space="preserve">       </w:t>
      </w:r>
      <w:r>
        <w:rPr>
          <w:sz w:val="21"/>
        </w:rPr>
        <w:t xml:space="preserve"> </w:t>
      </w:r>
      <w:r>
        <w:rPr>
          <w:sz w:val="20"/>
          <w:color w:val="000000"/>
        </w:rPr>
        <w:t xml:space="preserve">    </w:t>
      </w:r>
      <w:r>
        <w:rPr>
          <w:sz w:val="20"/>
          <w:color w:val="000000"/>
        </w:rPr>
        <w:t>日期：</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p>
      <w:pPr>
        <w:pStyle w:val="null3"/>
        <w:jc w:val="both"/>
      </w:pPr>
      <w:r>
        <w:rPr>
          <w:sz w:val="20"/>
          <w:b/>
          <w:color w:val="000000"/>
        </w:rPr>
        <w:t>此仅为合同书样本，成交供应商需根据实际情况和甲方签订相应的合同！</w:t>
      </w:r>
    </w:p>
    <w:p>
      <w:pPr>
        <w:pStyle w:val="null3"/>
        <w:jc w:val="both"/>
      </w:pPr>
      <w:r>
        <w:rPr>
          <w:sz w:val="20"/>
          <w:color w:val="000000"/>
        </w:rPr>
        <w:t>附件：</w:t>
      </w:r>
    </w:p>
    <w:p>
      <w:pPr>
        <w:pStyle w:val="null3"/>
        <w:jc w:val="center"/>
      </w:pPr>
      <w:r>
        <w:rPr>
          <w:sz w:val="20"/>
          <w:color w:val="000000"/>
        </w:rPr>
        <w:t>大朗镇中心区</w:t>
      </w:r>
      <w:r>
        <w:rPr>
          <w:sz w:val="20"/>
          <w:color w:val="000000"/>
        </w:rPr>
        <w:t>除</w:t>
      </w:r>
      <w:r>
        <w:rPr>
          <w:sz w:val="20"/>
          <w:b/>
          <w:color w:val="000000"/>
        </w:rPr>
        <w:t>“</w:t>
      </w:r>
      <w:r>
        <w:rPr>
          <w:sz w:val="20"/>
          <w:color w:val="000000"/>
        </w:rPr>
        <w:t>四害</w:t>
      </w:r>
      <w:r>
        <w:rPr>
          <w:sz w:val="20"/>
          <w:b/>
          <w:color w:val="000000"/>
        </w:rPr>
        <w:t>”</w:t>
      </w:r>
      <w:r>
        <w:rPr>
          <w:sz w:val="20"/>
          <w:color w:val="000000"/>
        </w:rPr>
        <w:t>现场考核评分暂行标准</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44"/>
        <w:gridCol w:w="808"/>
        <w:gridCol w:w="3484"/>
        <w:gridCol w:w="2616"/>
        <w:gridCol w:w="277"/>
        <w:gridCol w:w="277"/>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总分</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3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考核检查方法及评价依据</w:t>
            </w:r>
          </w:p>
        </w:tc>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扣分方法</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应得分</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实得分</w:t>
            </w: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100分</w:t>
            </w:r>
          </w:p>
        </w:tc>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灭鼠</w:t>
            </w: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
              <w:jc w:val="left"/>
            </w:pPr>
            <w:r>
              <w:rPr>
                <w:sz w:val="20"/>
                <w:color w:val="000000"/>
              </w:rPr>
              <w:t>1、粉迹法(每15平方米房间布放20*20厘米粉板两块)监测鼠足印阳率低于3%</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2、鼠迹(鼠洞、鼠粪、鼠路、鼠咬痕)，有鼠迹房间不超过2%</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3、2000米外环境鼠迹不超过5处</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3、每超过1处扣2分，扣完为止。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灭蚊</w:t>
            </w: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
              <w:jc w:val="left"/>
            </w:pPr>
            <w:r>
              <w:rPr>
                <w:sz w:val="20"/>
                <w:color w:val="000000"/>
              </w:rPr>
              <w:t>1、居民区、单位内外环境各种存水容器和积水中的幼蚊及蛹，阳性率低于3%</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2、用500ML收集勺采集城区内大中型水体中的蚊幼虫或蛹，阳性率低于3%，阳性勺内幼虫或蛹的平均数不超过5只</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2、每超出1只扣1分，扣完为止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3、在特殊场所白天人诱蚊30分钟，平均诱获成蚊不超过1只/人次</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3、每超过1只/人次扣1分，扣完为止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灭蝇</w:t>
            </w: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1、检查绿化带内或附近的果皮箱、垃圾桶、</w:t>
            </w:r>
          </w:p>
          <w:p>
            <w:pPr>
              <w:pStyle w:val="null3"/>
              <w:jc w:val="left"/>
            </w:pPr>
            <w:r>
              <w:rPr>
                <w:sz w:val="20"/>
                <w:color w:val="000000"/>
              </w:rPr>
              <w:t>厕所和菜市场周边的苍蝇密度</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1、每发现3只苍蝇扣1分，扣完为止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2、蝇类孳生地(外环境、垃圾容器、垃圾存放地等)，得到有效治理，幼虫和蛹的检出率不超过3%</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灭蟑</w:t>
            </w: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1、检查室内蟑螂成虫或幼虫，阳性房间不超过3%</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2、有活蟑螂卵鞘房间，阳性房间不超过2%，平均每间房不超过4只</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3、蟑螂孳生栖息场所的清理，查墙的孔洞、缝隙蟑迹：粪便、蜕皮、蟑尸、空卵鞘等，阳性房间不超过5%</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3、每超出0.1%扣1分，扣完为止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1、工作人员要持证上岗，并要与群众保持良好关系</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
              <w:jc w:val="left"/>
            </w:pPr>
            <w:r>
              <w:rPr>
                <w:sz w:val="20"/>
                <w:color w:val="000000"/>
              </w:rPr>
              <w:t>1、没有持证上岗的，每人次扣2分，被群众投诉，情况属实的，每次扣2分，扣完为止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2、每月除“四害”消杀行动要按合同所规定的次数</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2、达不到要求的，每少1次扣2分，扣完</w:t>
            </w:r>
          </w:p>
          <w:p>
            <w:pPr>
              <w:pStyle w:val="null3"/>
              <w:jc w:val="left"/>
            </w:pPr>
            <w:r>
              <w:rPr>
                <w:sz w:val="20"/>
                <w:color w:val="000000"/>
              </w:rPr>
              <w:t>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3、除“四害”工作要确保使用的药物有质量合格证明，作业方式正确</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3、达不到要求的，每次扣1分，扣完为止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4、定期汇报施工情况，每月定期提交的施工汇报资料和其他除四害工作相关的资料</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4、不按要求制作、提交汇报资料的，每次扣2分，扣完为止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vMerge/>
            <w:tcBorders>
              <w:top w:val="none" w:color="000000" w:sz="4"/>
              <w:left w:val="single" w:color="000000" w:sz="4"/>
              <w:bottom w:val="single" w:color="000000" w:sz="4"/>
              <w:right w:val="single" w:color="000000" w:sz="4"/>
            </w:tcBorders>
          </w:tcPr>
          <w:p/>
        </w:tc>
        <w:tc>
          <w:tcPr>
            <w:tcW w:type="dxa" w:w="808"/>
            <w:vMerge/>
            <w:tcBorders>
              <w:top w:val="none" w:color="000000" w:sz="4"/>
              <w:left w:val="single" w:color="000000" w:sz="4"/>
              <w:bottom w:val="single" w:color="000000" w:sz="4"/>
              <w:right w:val="single" w:color="000000" w:sz="4"/>
            </w:tcBorders>
          </w:tcPr>
          <w:p/>
        </w:tc>
        <w:tc>
          <w:tcPr>
            <w:tcW w:type="dxa" w:w="3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5、配合甲方做好相关的检查工作，能及时处理突发事件。不发生被市、</w:t>
            </w:r>
            <w:r>
              <w:rPr>
                <w:sz w:val="20"/>
                <w:color w:val="000000"/>
              </w:rPr>
              <w:t>镇</w:t>
            </w:r>
            <w:r>
              <w:rPr>
                <w:sz w:val="20"/>
                <w:color w:val="000000"/>
              </w:rPr>
              <w:t>领导批评或被媒体曝光情况。</w:t>
            </w:r>
          </w:p>
        </w:tc>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5、未按要求配合的，或出现批评、投诉、曝光情况属实的每次扣2分，扣完为止</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0"/>
          <w:color w:val="000000"/>
        </w:rPr>
        <w:t>按百分制打分，实际得分</w:t>
      </w:r>
      <w:r>
        <w:rPr>
          <w:sz w:val="20"/>
          <w:color w:val="000000"/>
        </w:rPr>
        <w:t>(    )</w:t>
      </w:r>
      <w:r>
        <w:rPr>
          <w:sz w:val="20"/>
          <w:b/>
          <w:color w:val="000000"/>
        </w:rPr>
        <w:t>=</w:t>
      </w:r>
      <w:r>
        <w:rPr>
          <w:sz w:val="20"/>
          <w:color w:val="000000"/>
        </w:rPr>
        <w:t>总分</w:t>
      </w:r>
      <w:r>
        <w:rPr>
          <w:sz w:val="20"/>
          <w:color w:val="000000"/>
        </w:rPr>
        <w:t>(</w:t>
      </w:r>
      <w:r>
        <w:rPr>
          <w:sz w:val="20"/>
          <w:b/>
          <w:color w:val="000000"/>
        </w:rPr>
        <w:t>100</w:t>
      </w:r>
      <w:r>
        <w:rPr>
          <w:sz w:val="20"/>
          <w:color w:val="000000"/>
        </w:rPr>
        <w:t>) －检查扣分 (      )</w:t>
      </w:r>
    </w:p>
    <w:p>
      <w:pPr>
        <w:pStyle w:val="null3"/>
        <w:jc w:val="both"/>
      </w:pPr>
      <w:r>
        <w:rPr>
          <w:sz w:val="20"/>
          <w:color w:val="000000"/>
        </w:rPr>
        <w:t>检查人员签名</w:t>
      </w:r>
      <w:r>
        <w:rPr>
          <w:sz w:val="20"/>
          <w:color w:val="000000"/>
        </w:rPr>
        <w:t xml:space="preserve">:                                </w:t>
      </w:r>
      <w:r>
        <w:rPr>
          <w:sz w:val="20"/>
          <w:color w:val="000000"/>
        </w:rPr>
        <w:t>检查时间</w:t>
      </w:r>
      <w:r>
        <w:rPr>
          <w:sz w:val="20"/>
          <w:color w:val="000000"/>
        </w:rPr>
        <w:t xml:space="preserve">:    </w:t>
      </w:r>
      <w:r>
        <w:rPr>
          <w:sz w:val="20"/>
          <w:color w:val="000000"/>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441900021-2025-00575</w:t>
      </w:r>
    </w:p>
    <w:p>
      <w:pPr>
        <w:pStyle w:val="null3"/>
        <w:jc w:val="center"/>
        <w:outlineLvl w:val="3"/>
      </w:pPr>
      <w:r>
        <w:rPr>
          <w:sz w:val="24"/>
          <w:b/>
        </w:rPr>
        <w:t>采购项目编号：</w:t>
      </w:r>
      <w:r>
        <w:rPr>
          <w:sz w:val="24"/>
          <w:b/>
        </w:rPr>
        <w:t>441900021-2025-00575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广东互盈招标有限公司</w:t>
      </w:r>
    </w:p>
    <w:p>
      <w:pPr>
        <w:pStyle w:val="null3"/>
        <w:ind w:firstLine="480"/>
      </w:pPr>
      <w:r>
        <w:rPr/>
        <w:t xml:space="preserve"> 你方组织的</w:t>
      </w:r>
      <w:r>
        <w:rPr>
          <w:u w:val="single"/>
        </w:rPr>
        <w:t>“</w:t>
      </w:r>
      <w:r>
        <w:rPr>
          <w:u w:val="single"/>
        </w:rPr>
        <w:t>大朗镇中心区除“四害”项目</w:t>
      </w:r>
      <w:r>
        <w:rPr>
          <w:u w:val="single"/>
        </w:rPr>
        <w:t>”</w:t>
      </w:r>
      <w:r>
        <w:rPr/>
        <w:t>项目的招标[采购项目编号为：</w:t>
      </w:r>
      <w:r>
        <w:rPr>
          <w:u w:val="single"/>
        </w:rPr>
        <w:t>441900021-2025-00575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大朗镇中心区除“四害”项目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广东互盈招标有限公司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大朗镇中心区除“四害”项目</w:t>
      </w:r>
      <w:r>
        <w:rPr/>
        <w:t>”项目采购[采购项目编号为</w:t>
      </w:r>
      <w:r>
        <w:rPr/>
        <w:t>441900021-2025-00575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东莞市大朗镇公用事业服务中心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广东互盈招标有限公司</w:t>
      </w:r>
    </w:p>
    <w:p>
      <w:pPr>
        <w:pStyle w:val="null3"/>
        <w:ind w:firstLine="480"/>
      </w:pPr>
      <w:r>
        <w:rPr/>
        <w:t xml:space="preserve"> 如果我方在贵采购代理机构组织的</w:t>
      </w:r>
      <w:r>
        <w:rPr/>
        <w:t>大朗镇中心区除“四害”项目</w:t>
      </w:r>
      <w:r>
        <w:rPr/>
        <w:t>招标中获中标（采购项目编号：</w:t>
      </w:r>
      <w:r>
        <w:rPr/>
        <w:t>441900021-2025-00575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广东互盈招标有限公司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广东互盈招标有限公司</w:t>
      </w:r>
    </w:p>
    <w:p>
      <w:pPr>
        <w:pStyle w:val="null3"/>
        <w:ind w:firstLine="480"/>
      </w:pPr>
      <w:r>
        <w:rPr/>
        <w:t>我单位已登记并准备参与“</w:t>
      </w:r>
      <w:r>
        <w:rPr/>
        <w:t>大朗镇中心区除“四害”项目</w:t>
      </w:r>
      <w:r>
        <w:rPr/>
        <w:t>”项目（采购项目编号：</w:t>
      </w:r>
      <w:r>
        <w:rPr/>
        <w:t>441900021-2025-00575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