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E034E3">
      <w:pPr>
        <w:jc w:val="center"/>
        <w:rPr>
          <w:rFonts w:hint="eastAsia" w:ascii="宋体" w:hAnsi="宋体"/>
          <w:b/>
          <w:color w:val="auto"/>
          <w:sz w:val="32"/>
          <w:szCs w:val="32"/>
          <w:lang w:val="en-US" w:eastAsia="zh-CN"/>
        </w:rPr>
      </w:pPr>
      <w:r>
        <w:rPr>
          <w:rFonts w:hint="eastAsia" w:ascii="宋体" w:hAnsi="宋体"/>
          <w:b/>
          <w:color w:val="auto"/>
          <w:sz w:val="36"/>
          <w:szCs w:val="36"/>
          <w:lang w:val="en-US" w:eastAsia="zh-CN"/>
        </w:rPr>
        <w:t>B包用户需求</w:t>
      </w:r>
    </w:p>
    <w:p w14:paraId="2BBAE276">
      <w:pPr>
        <w:jc w:val="center"/>
        <w:rPr>
          <w:rFonts w:hint="default" w:ascii="宋体" w:hAnsi="宋体" w:eastAsia="宋体"/>
          <w:b/>
          <w:color w:val="auto"/>
          <w:sz w:val="32"/>
          <w:szCs w:val="32"/>
          <w:lang w:val="en-US" w:eastAsia="zh-CN"/>
        </w:rPr>
      </w:pPr>
      <w:r>
        <w:rPr>
          <w:rFonts w:hint="eastAsia" w:ascii="宋体" w:hAnsi="宋体"/>
          <w:b/>
          <w:color w:val="auto"/>
          <w:sz w:val="32"/>
          <w:szCs w:val="32"/>
          <w:lang w:val="en-US" w:eastAsia="zh-CN"/>
        </w:rPr>
        <w:t>技术条款部分</w:t>
      </w:r>
    </w:p>
    <w:p w14:paraId="29D5F3DB">
      <w:pPr>
        <w:rPr>
          <w:rFonts w:hint="eastAsia" w:ascii="宋体" w:hAnsi="宋体"/>
          <w:b/>
          <w:color w:val="auto"/>
          <w:sz w:val="24"/>
        </w:rPr>
      </w:pPr>
    </w:p>
    <w:p w14:paraId="46C77305">
      <w:pPr>
        <w:rPr>
          <w:rFonts w:ascii="宋体" w:hAnsi="宋体"/>
          <w:b/>
          <w:color w:val="auto"/>
          <w:sz w:val="24"/>
        </w:rPr>
      </w:pPr>
      <w:r>
        <w:rPr>
          <w:rFonts w:hint="eastAsia" w:ascii="宋体" w:hAnsi="宋体"/>
          <w:b/>
          <w:color w:val="auto"/>
          <w:sz w:val="24"/>
        </w:rPr>
        <w:t>一、项目概况</w:t>
      </w:r>
    </w:p>
    <w:p w14:paraId="37D20328">
      <w:pPr>
        <w:spacing w:line="450" w:lineRule="exact"/>
        <w:ind w:firstLine="480" w:firstLineChars="200"/>
        <w:rPr>
          <w:rFonts w:hint="eastAsia" w:ascii="宋体" w:hAnsi="宋体" w:cs="仿宋"/>
          <w:color w:val="auto"/>
          <w:sz w:val="24"/>
        </w:rPr>
      </w:pPr>
      <w:r>
        <w:rPr>
          <w:rFonts w:hint="eastAsia" w:ascii="宋体" w:hAnsi="宋体" w:cs="仿宋"/>
          <w:color w:val="auto"/>
          <w:sz w:val="24"/>
        </w:rPr>
        <w:t>为贯彻执行《海口市病媒生物预防控制管理办法》和《海口市病媒生物预防控制经营服务机构管理办法》,</w:t>
      </w:r>
      <w:r>
        <w:rPr>
          <w:rFonts w:hint="eastAsia" w:ascii="宋体" w:hAnsi="宋体"/>
          <w:color w:val="auto"/>
          <w:sz w:val="24"/>
        </w:rPr>
        <w:t xml:space="preserve"> </w:t>
      </w:r>
      <w:r>
        <w:rPr>
          <w:rFonts w:hint="eastAsia" w:ascii="宋体" w:hAnsi="宋体" w:cs="仿宋"/>
          <w:color w:val="auto"/>
          <w:sz w:val="24"/>
        </w:rPr>
        <w:t>海口市秀英区卫生健康委员会拟依法建立健全</w:t>
      </w:r>
      <w:r>
        <w:rPr>
          <w:rFonts w:hint="eastAsia" w:ascii="宋体" w:hAnsi="宋体" w:cs="仿宋"/>
          <w:color w:val="auto"/>
          <w:sz w:val="24"/>
          <w:lang w:val="en-US" w:eastAsia="zh-CN"/>
        </w:rPr>
        <w:t>2025-2026</w:t>
      </w:r>
      <w:r>
        <w:rPr>
          <w:rFonts w:hint="eastAsia" w:ascii="宋体" w:hAnsi="宋体" w:cs="仿宋"/>
          <w:color w:val="auto"/>
          <w:sz w:val="24"/>
        </w:rPr>
        <w:t>年秀英区病媒生物防制服务公共服务机制,提高我区</w:t>
      </w:r>
      <w:r>
        <w:rPr>
          <w:rFonts w:hint="eastAsia" w:ascii="宋体" w:hAnsi="宋体" w:cs="仿宋"/>
          <w:color w:val="auto"/>
          <w:sz w:val="24"/>
          <w:lang w:val="en-US" w:eastAsia="zh-CN"/>
        </w:rPr>
        <w:t>2025-2026</w:t>
      </w:r>
      <w:r>
        <w:rPr>
          <w:rFonts w:hint="eastAsia" w:ascii="宋体" w:hAnsi="宋体" w:cs="仿宋"/>
          <w:color w:val="auto"/>
          <w:sz w:val="24"/>
        </w:rPr>
        <w:t>年秀英区病媒生物防制服务公共服务的效率,有效防止媒介传染病的发生流行。</w:t>
      </w:r>
    </w:p>
    <w:p w14:paraId="5AB0413B">
      <w:pPr>
        <w:widowControl/>
        <w:numPr>
          <w:ilvl w:val="0"/>
          <w:numId w:val="1"/>
        </w:numPr>
        <w:spacing w:line="360" w:lineRule="auto"/>
        <w:jc w:val="left"/>
        <w:outlineLvl w:val="1"/>
        <w:rPr>
          <w:rFonts w:hint="eastAsia" w:ascii="宋体" w:hAnsi="宋体" w:cs="仿宋_GB2312"/>
          <w:color w:val="auto"/>
          <w:sz w:val="24"/>
          <w:lang w:eastAsia="zh-CN"/>
        </w:rPr>
      </w:pPr>
      <w:bookmarkStart w:id="0" w:name="_Toc332971313"/>
      <w:bookmarkStart w:id="1" w:name="_Toc186536723"/>
      <w:r>
        <w:rPr>
          <w:rFonts w:hint="eastAsia" w:ascii="宋体" w:hAnsi="宋体" w:cs="Arial"/>
          <w:b/>
          <w:bCs/>
          <w:color w:val="auto"/>
          <w:kern w:val="0"/>
          <w:sz w:val="24"/>
          <w:lang w:eastAsia="zh-CN"/>
        </w:rPr>
        <w:t>项目服务区域</w:t>
      </w:r>
      <w:bookmarkEnd w:id="0"/>
      <w:bookmarkEnd w:id="1"/>
    </w:p>
    <w:p w14:paraId="07E10EE2">
      <w:pPr>
        <w:pStyle w:val="3"/>
        <w:keepNext w:val="0"/>
        <w:keepLines w:val="0"/>
        <w:widowControl/>
        <w:suppressLineNumbers w:val="0"/>
        <w:jc w:val="left"/>
        <w:rPr>
          <w:rFonts w:hint="eastAsia" w:ascii="宋体" w:hAnsi="宋体" w:cs="仿宋"/>
          <w:b/>
          <w:bCs/>
          <w:color w:val="auto"/>
          <w:sz w:val="24"/>
          <w:lang w:eastAsia="zh-CN"/>
        </w:rPr>
      </w:pPr>
      <w:r>
        <w:rPr>
          <w:rFonts w:hint="eastAsia" w:ascii="宋体" w:hAnsi="宋体" w:cs="仿宋_GB2312"/>
          <w:color w:val="auto"/>
          <w:sz w:val="24"/>
          <w:lang w:val="en-US" w:eastAsia="zh-CN"/>
        </w:rPr>
        <w:t>B</w:t>
      </w:r>
      <w:r>
        <w:rPr>
          <w:rFonts w:hint="eastAsia" w:ascii="宋体" w:hAnsi="宋体" w:cs="仿宋_GB2312"/>
          <w:color w:val="auto"/>
          <w:sz w:val="24"/>
        </w:rPr>
        <w:t>包</w:t>
      </w:r>
      <w:r>
        <w:rPr>
          <w:rFonts w:hint="eastAsia" w:ascii="宋体" w:hAnsi="宋体" w:cs="仿宋_GB2312"/>
          <w:color w:val="auto"/>
          <w:sz w:val="24"/>
          <w:lang w:val="en-US" w:eastAsia="zh-CN"/>
        </w:rPr>
        <w:t>服务区域：秀英街道、高新区（美安生态科技新城、狮子岭工业园、药谷工业园）</w:t>
      </w:r>
      <w:r>
        <w:rPr>
          <w:rFonts w:hint="eastAsia" w:ascii="宋体" w:hAnsi="宋体" w:cs="仿宋_GB2312"/>
          <w:color w:val="auto"/>
          <w:sz w:val="24"/>
          <w:lang w:eastAsia="zh-CN"/>
        </w:rPr>
        <w:t>；</w:t>
      </w:r>
    </w:p>
    <w:p w14:paraId="2C3EDF19">
      <w:pPr>
        <w:spacing w:line="450" w:lineRule="exact"/>
        <w:rPr>
          <w:rFonts w:ascii="宋体" w:hAnsi="宋体" w:cs="仿宋"/>
          <w:color w:val="auto"/>
          <w:sz w:val="24"/>
        </w:rPr>
      </w:pPr>
      <w:r>
        <w:rPr>
          <w:rFonts w:hint="eastAsia" w:ascii="宋体" w:hAnsi="宋体" w:cs="仿宋"/>
          <w:b/>
          <w:bCs/>
          <w:color w:val="auto"/>
          <w:sz w:val="24"/>
          <w:lang w:eastAsia="zh-CN"/>
        </w:rPr>
        <w:t>三</w:t>
      </w:r>
      <w:r>
        <w:rPr>
          <w:rFonts w:hint="eastAsia" w:ascii="宋体" w:hAnsi="宋体" w:cs="仿宋"/>
          <w:b/>
          <w:bCs/>
          <w:color w:val="auto"/>
          <w:sz w:val="24"/>
        </w:rPr>
        <w:t>、服务内容及范围</w:t>
      </w:r>
      <w:r>
        <w:rPr>
          <w:rFonts w:hint="eastAsia" w:ascii="宋体" w:hAnsi="宋体" w:cs="仿宋"/>
          <w:color w:val="auto"/>
          <w:sz w:val="24"/>
        </w:rPr>
        <w:t>:海口市秀英区建成区公共场地、市政下水道、公共绿地、闲置空地、河流、湖泊、潭沟、居民区、垃圾转运站、公厕、废品收购站、城乡结合部等建成区内、外环境,部分检査不合格待整治的区域等,城乡突发性公共卫生事件和省、市重大活动场所的</w:t>
      </w:r>
      <w:r>
        <w:rPr>
          <w:rFonts w:hint="eastAsia" w:ascii="宋体" w:hAnsi="宋体" w:cs="仿宋"/>
          <w:color w:val="auto"/>
          <w:sz w:val="24"/>
          <w:lang w:val="en-US" w:eastAsia="zh-CN"/>
        </w:rPr>
        <w:t>2025-2026</w:t>
      </w:r>
      <w:r>
        <w:rPr>
          <w:rFonts w:hint="eastAsia" w:ascii="宋体" w:hAnsi="宋体" w:cs="仿宋"/>
          <w:color w:val="auto"/>
          <w:sz w:val="24"/>
        </w:rPr>
        <w:t>年秀英区病媒生物防制服务工作。</w:t>
      </w:r>
    </w:p>
    <w:p w14:paraId="6853AD5F">
      <w:pPr>
        <w:spacing w:line="450" w:lineRule="exact"/>
        <w:rPr>
          <w:rFonts w:ascii="宋体" w:hAnsi="宋体" w:cs="仿宋"/>
          <w:b/>
          <w:bCs/>
          <w:color w:val="auto"/>
          <w:sz w:val="24"/>
        </w:rPr>
      </w:pPr>
      <w:r>
        <w:rPr>
          <w:rFonts w:hint="eastAsia" w:ascii="宋体" w:hAnsi="宋体" w:cs="仿宋"/>
          <w:b/>
          <w:bCs/>
          <w:color w:val="auto"/>
          <w:sz w:val="24"/>
        </w:rPr>
        <w:t>四、防制服务对象：</w:t>
      </w:r>
    </w:p>
    <w:p w14:paraId="253D2077">
      <w:pPr>
        <w:spacing w:line="450" w:lineRule="exact"/>
        <w:ind w:firstLine="480" w:firstLineChars="200"/>
        <w:rPr>
          <w:rFonts w:ascii="宋体" w:hAnsi="宋体" w:cs="仿宋"/>
          <w:color w:val="auto"/>
          <w:sz w:val="24"/>
        </w:rPr>
      </w:pPr>
      <w:r>
        <w:rPr>
          <w:rFonts w:hint="eastAsia" w:ascii="宋体" w:hAnsi="宋体" w:cs="仿宋"/>
          <w:color w:val="auto"/>
          <w:sz w:val="24"/>
        </w:rPr>
        <w:t>防制对象为老鼠、蚊子、苍蝇、蟑螂。</w:t>
      </w:r>
    </w:p>
    <w:p w14:paraId="617D7D02">
      <w:pPr>
        <w:spacing w:line="450" w:lineRule="exact"/>
        <w:rPr>
          <w:rFonts w:hint="default" w:ascii="宋体" w:hAnsi="宋体" w:eastAsia="宋体" w:cs="仿宋"/>
          <w:b/>
          <w:bCs/>
          <w:color w:val="auto"/>
          <w:sz w:val="24"/>
          <w:lang w:val="en-US" w:eastAsia="zh-CN"/>
        </w:rPr>
      </w:pPr>
      <w:r>
        <w:rPr>
          <w:rFonts w:hint="eastAsia" w:ascii="宋体" w:hAnsi="宋体" w:cs="仿宋"/>
          <w:b/>
          <w:bCs/>
          <w:color w:val="auto"/>
          <w:sz w:val="24"/>
        </w:rPr>
        <w:t>五、防制服务标准</w:t>
      </w:r>
      <w:r>
        <w:rPr>
          <w:rFonts w:hint="eastAsia" w:ascii="宋体" w:hAnsi="宋体" w:cs="仿宋"/>
          <w:b/>
          <w:bCs/>
          <w:color w:val="auto"/>
          <w:sz w:val="24"/>
          <w:lang w:val="en-US" w:eastAsia="zh-CN"/>
        </w:rPr>
        <w:t>及服务要求</w:t>
      </w:r>
    </w:p>
    <w:p w14:paraId="017160A6">
      <w:pPr>
        <w:spacing w:line="450" w:lineRule="exact"/>
        <w:ind w:firstLine="480" w:firstLineChars="200"/>
        <w:rPr>
          <w:rFonts w:ascii="宋体" w:hAnsi="宋体" w:cs="仿宋"/>
          <w:color w:val="auto"/>
          <w:sz w:val="24"/>
        </w:rPr>
      </w:pPr>
      <w:r>
        <w:rPr>
          <w:rFonts w:hint="eastAsia" w:ascii="宋体" w:hAnsi="宋体" w:cs="仿宋"/>
          <w:color w:val="auto"/>
          <w:sz w:val="24"/>
        </w:rPr>
        <w:t>鼠、蚊、蝇、蟑螂的密度达到国家病媒生物密度控制水平标准C级要求,须第三方机构验收并出具验收报告或通过国家卫生城市检查或省级检查。</w:t>
      </w:r>
    </w:p>
    <w:p w14:paraId="0AAD6DE2">
      <w:pPr>
        <w:spacing w:line="450" w:lineRule="exact"/>
        <w:ind w:firstLine="480" w:firstLineChars="200"/>
        <w:rPr>
          <w:rFonts w:ascii="宋体" w:hAnsi="宋体" w:cs="仿宋"/>
          <w:color w:val="auto"/>
          <w:sz w:val="24"/>
        </w:rPr>
      </w:pPr>
      <w:r>
        <w:rPr>
          <w:rFonts w:hint="eastAsia" w:ascii="宋体" w:hAnsi="宋体" w:cs="仿宋"/>
          <w:color w:val="auto"/>
          <w:sz w:val="24"/>
        </w:rPr>
        <w:t>1、灭鼠方面:</w:t>
      </w:r>
    </w:p>
    <w:p w14:paraId="730A25CF">
      <w:pPr>
        <w:spacing w:line="450" w:lineRule="exact"/>
        <w:ind w:firstLine="480" w:firstLineChars="200"/>
        <w:rPr>
          <w:rFonts w:ascii="宋体" w:hAnsi="宋体" w:cs="仿宋"/>
          <w:color w:val="auto"/>
          <w:sz w:val="24"/>
        </w:rPr>
      </w:pPr>
      <w:r>
        <w:rPr>
          <w:rFonts w:hint="eastAsia" w:ascii="宋体" w:hAnsi="宋体" w:cs="仿宋"/>
          <w:color w:val="auto"/>
          <w:sz w:val="24"/>
        </w:rPr>
        <w:t>(1)环境治理:</w:t>
      </w:r>
    </w:p>
    <w:p w14:paraId="7E2D1C8B">
      <w:pPr>
        <w:spacing w:line="450" w:lineRule="exact"/>
        <w:ind w:firstLine="480" w:firstLineChars="200"/>
        <w:rPr>
          <w:rFonts w:ascii="宋体" w:hAnsi="宋体" w:cs="仿宋"/>
          <w:color w:val="auto"/>
          <w:sz w:val="24"/>
        </w:rPr>
      </w:pPr>
      <w:r>
        <w:rPr>
          <w:rFonts w:hint="eastAsia" w:ascii="宋体" w:hAnsi="宋体" w:cs="仿宋"/>
          <w:color w:val="auto"/>
          <w:sz w:val="24"/>
        </w:rPr>
        <w:t>清洁环境,清除杂物,堵塞鼠洞,断绝鼠粮,重点抓好以下三项工作:①清除鼠患隐藏繁衍的环境,清除杂物、杂草、地面尽量硬化,室内物品堆积离墙离地,保持室内卫生,软土地段注意检查有无鼠洞;②管好垃圾,断绝鼠的食物来源,各家各户都要管好垃圾,垃圾要袋装,垃圾桶要密闭,禁止乱倒垃圾,垃圾要日产日清,各单位、社区要及时清除卫生死角;③饮食和食品行业、食品仓库、禽畜饲养场、粮库、副食品店、配电房和一般单位的重点场所要建设完善防鼠设施。</w:t>
      </w:r>
    </w:p>
    <w:p w14:paraId="2CEDC061">
      <w:pPr>
        <w:spacing w:line="450" w:lineRule="exact"/>
        <w:ind w:firstLine="480" w:firstLineChars="200"/>
        <w:rPr>
          <w:rFonts w:ascii="宋体" w:hAnsi="宋体" w:cs="仿宋"/>
          <w:color w:val="auto"/>
          <w:sz w:val="24"/>
        </w:rPr>
      </w:pPr>
      <w:r>
        <w:rPr>
          <w:rFonts w:hint="eastAsia" w:ascii="宋体" w:hAnsi="宋体" w:cs="仿宋"/>
          <w:color w:val="auto"/>
          <w:sz w:val="24"/>
        </w:rPr>
        <w:t>(2)化学药物防治</w:t>
      </w:r>
    </w:p>
    <w:p w14:paraId="7996AC18">
      <w:pPr>
        <w:spacing w:line="450" w:lineRule="exact"/>
        <w:ind w:firstLine="480" w:firstLineChars="200"/>
        <w:rPr>
          <w:rFonts w:ascii="宋体" w:hAnsi="宋体" w:cs="仿宋"/>
          <w:color w:val="auto"/>
          <w:sz w:val="24"/>
        </w:rPr>
      </w:pPr>
      <w:r>
        <w:rPr>
          <w:rFonts w:hint="eastAsia" w:ascii="宋体" w:hAnsi="宋体" w:cs="仿宋"/>
          <w:color w:val="auto"/>
          <w:sz w:val="24"/>
        </w:rPr>
        <w:t>①要选用国家推广的高效低毒的第二代抗凝血杀剂,鼠药的饵料为稻谷、蜡丸、颗粒剂等,统一时间、步骤和方法在灭鼠达标区内进行全面投放灭鼠毒饵,参与投药的人员一律经培训合格后才能上岗,要求投药员要基本了解鼠药的毒力与药理,根据鼠类的生活习性,以少量多堆、点多面广的方法按“三饱和”(即时间饱和、空间饱和、药物饱和),“二个到位”(即人员到位、药物到位)的原则进行全面投放,连续投药不少于15天,并不断观察老鼠的摄食情况,以吃多少补多少,吃完加倍补的方法及时补药,在投药过程中应做到有鼠害的地方都要有毒饵,尽量做到不遗留任何一个鼠患场所。在施药过程中技术指导小组应及时组织技术力量进行指导和检查,对漏投和投放没到位的场所及部位,及时要求各片负责人和投药员进行返工,以保证灭鼠工作质量。</w:t>
      </w:r>
    </w:p>
    <w:p w14:paraId="461E9E8A">
      <w:pPr>
        <w:spacing w:line="450" w:lineRule="exact"/>
        <w:ind w:firstLine="480" w:firstLineChars="200"/>
        <w:rPr>
          <w:rFonts w:ascii="宋体" w:hAnsi="宋体" w:cs="仿宋"/>
          <w:color w:val="auto"/>
          <w:sz w:val="24"/>
        </w:rPr>
      </w:pPr>
      <w:r>
        <w:rPr>
          <w:rFonts w:hint="eastAsia" w:ascii="宋体" w:hAnsi="宋体" w:cs="仿宋"/>
          <w:color w:val="auto"/>
          <w:sz w:val="24"/>
        </w:rPr>
        <w:t>②在全面投放毒饵的同时,对于一些外环境的鼠洞,进行堵洞法进行灭鼠。对于各区域特殊环境的下水道,选用挂吊腊块等方法来灭杀下水道的老鼠,并不断观察老鼠的摄食情况,定期跟踪检査,确保药物的覆盖率达到85%及以上,从而确保灭鼠效果。</w:t>
      </w:r>
    </w:p>
    <w:p w14:paraId="262B330E">
      <w:pPr>
        <w:spacing w:line="450" w:lineRule="exact"/>
        <w:ind w:firstLine="480" w:firstLineChars="200"/>
        <w:rPr>
          <w:rFonts w:ascii="宋体" w:hAnsi="宋体" w:cs="仿宋"/>
          <w:color w:val="auto"/>
          <w:sz w:val="24"/>
        </w:rPr>
      </w:pPr>
      <w:r>
        <w:rPr>
          <w:rFonts w:hint="eastAsia" w:ascii="宋体" w:hAnsi="宋体" w:cs="仿宋"/>
          <w:color w:val="auto"/>
          <w:sz w:val="24"/>
        </w:rPr>
        <w:t>③在全面投放药物一个月后,技术指导小组再对达标区全范围进行一次鼠密度监测,以后按国家规定的方法每月进行一次鼠密度监测,并记录入册,认真分析鼠类的迁移区域及各片区的鼠密度情况。与投药灭鼠前的鼠密度进行对比,如果发现效果不够理想时,技术小组应立刻采取相应的措施对灭鼠比较差的片区进行及时处理,力求达到最佳效果。</w:t>
      </w:r>
    </w:p>
    <w:p w14:paraId="0E077868">
      <w:pPr>
        <w:spacing w:line="450" w:lineRule="exact"/>
        <w:ind w:firstLine="480" w:firstLineChars="200"/>
        <w:rPr>
          <w:rFonts w:ascii="宋体" w:hAnsi="宋体" w:cs="仿宋"/>
          <w:color w:val="auto"/>
          <w:sz w:val="24"/>
        </w:rPr>
      </w:pPr>
      <w:r>
        <w:rPr>
          <w:rFonts w:hint="eastAsia" w:ascii="宋体" w:hAnsi="宋体" w:cs="仿宋"/>
          <w:color w:val="auto"/>
          <w:sz w:val="24"/>
        </w:rPr>
        <w:t>④在灭鼠三个月后,将不定期组织技术人员进行检查考核,如果技术小组考核达标后,开始对各区的范围全面展开“三清”、“一堵”工作(“三清”即指清理鼠迹、清理残留的旧药、清理孳生隐蔽场;“一堵”就是堵鼠洞)。同时在各区域适当的场地建立毒饵屋,通过不断地投放毒饵来灭杀残存鼠及防止外来鼠的迁入,以巩固灭鼠效果。</w:t>
      </w:r>
    </w:p>
    <w:p w14:paraId="10F7CB9A">
      <w:pPr>
        <w:spacing w:line="450" w:lineRule="exact"/>
        <w:ind w:firstLine="480" w:firstLineChars="200"/>
        <w:rPr>
          <w:rFonts w:ascii="宋体" w:hAnsi="宋体" w:cs="仿宋"/>
          <w:color w:val="auto"/>
          <w:sz w:val="24"/>
        </w:rPr>
      </w:pPr>
      <w:r>
        <w:rPr>
          <w:rFonts w:hint="eastAsia" w:ascii="宋体" w:hAnsi="宋体" w:cs="仿宋"/>
          <w:color w:val="auto"/>
          <w:sz w:val="24"/>
        </w:rPr>
        <w:t>2、灭蚊方面</w:t>
      </w:r>
    </w:p>
    <w:p w14:paraId="0B8C0560">
      <w:pPr>
        <w:spacing w:line="450" w:lineRule="exact"/>
        <w:ind w:firstLine="480" w:firstLineChars="200"/>
        <w:rPr>
          <w:rFonts w:ascii="宋体" w:hAnsi="宋体" w:cs="仿宋"/>
          <w:color w:val="auto"/>
          <w:sz w:val="24"/>
        </w:rPr>
      </w:pPr>
      <w:r>
        <w:rPr>
          <w:rFonts w:hint="eastAsia" w:ascii="宋体" w:hAnsi="宋体" w:cs="仿宋"/>
          <w:color w:val="auto"/>
          <w:sz w:val="24"/>
        </w:rPr>
        <w:t>(1)环境治理:排水明渠、水塘等小型水体要疏通,能养鱼的放养鱼,做好下水道的整治疏通和建设,有条件地方可以动员居民、机关企事业单位改建下水道口“四防”设施,污水沟要加盖,填平洼池,加强建筑工地和各家各户积水的管理,处理各种积水,如采取清疏、填平、密封、翻盆倒灌、定期换水等方法进行处理。</w:t>
      </w:r>
    </w:p>
    <w:p w14:paraId="0BBB1517">
      <w:pPr>
        <w:spacing w:line="450" w:lineRule="exact"/>
        <w:ind w:firstLine="480" w:firstLineChars="200"/>
        <w:rPr>
          <w:rFonts w:ascii="宋体" w:hAnsi="宋体" w:cs="仿宋"/>
          <w:color w:val="auto"/>
          <w:sz w:val="24"/>
        </w:rPr>
      </w:pPr>
      <w:r>
        <w:rPr>
          <w:rFonts w:hint="eastAsia" w:ascii="宋体" w:hAnsi="宋体" w:cs="仿宋"/>
          <w:color w:val="auto"/>
          <w:sz w:val="24"/>
        </w:rPr>
        <w:t>(2)控制幼虫:杀灭幼虫是控制蚊子繁殖的主要措施,在蚊子的孳生地放养鱼类吞食幼虫,使用化学或生物杀虫剂(如:苏云杆菌)灭杀幼虫,定期7一10天检查处理一次,固定积(存)水可使用长效的“缓释剂”(如:经倍硫磷浸泡的软木塞)来控制幼虫孳生。</w:t>
      </w:r>
    </w:p>
    <w:p w14:paraId="05F5662D">
      <w:pPr>
        <w:spacing w:line="450" w:lineRule="exact"/>
        <w:ind w:firstLine="480" w:firstLineChars="200"/>
        <w:rPr>
          <w:rFonts w:ascii="宋体" w:hAnsi="宋体" w:cs="仿宋"/>
          <w:color w:val="auto"/>
          <w:sz w:val="24"/>
        </w:rPr>
      </w:pPr>
      <w:r>
        <w:rPr>
          <w:rFonts w:hint="eastAsia" w:ascii="宋体" w:hAnsi="宋体" w:cs="仿宋"/>
          <w:color w:val="auto"/>
          <w:sz w:val="24"/>
        </w:rPr>
        <w:t>(3)消灭成虫:在处理好孳生地的基础上,辅以卫生杀虫剂灭成蚊,在成蚊高峰季节或成蚊密度高的区域,采用空间喷洒、烟熏、菊酯类药物浸泡蚊帐和窗门帘布等方法来杀灭成蚊。</w:t>
      </w:r>
    </w:p>
    <w:p w14:paraId="5D18CC9D">
      <w:pPr>
        <w:spacing w:line="450" w:lineRule="exact"/>
        <w:ind w:firstLine="480" w:firstLineChars="200"/>
        <w:rPr>
          <w:rFonts w:ascii="宋体" w:hAnsi="宋体" w:cs="仿宋"/>
          <w:color w:val="auto"/>
          <w:sz w:val="24"/>
        </w:rPr>
      </w:pPr>
      <w:r>
        <w:rPr>
          <w:rFonts w:hint="eastAsia" w:ascii="宋体" w:hAnsi="宋体" w:cs="仿宋"/>
          <w:color w:val="auto"/>
          <w:sz w:val="24"/>
        </w:rPr>
        <w:t>3、灭蝇方面</w:t>
      </w:r>
    </w:p>
    <w:p w14:paraId="2D00C345">
      <w:pPr>
        <w:spacing w:line="450" w:lineRule="exact"/>
        <w:ind w:firstLine="480" w:firstLineChars="200"/>
        <w:rPr>
          <w:rFonts w:ascii="宋体" w:hAnsi="宋体" w:cs="仿宋"/>
          <w:color w:val="auto"/>
          <w:sz w:val="24"/>
        </w:rPr>
      </w:pPr>
      <w:r>
        <w:rPr>
          <w:rFonts w:hint="eastAsia" w:ascii="宋体" w:hAnsi="宋体" w:cs="仿宋"/>
          <w:color w:val="auto"/>
          <w:sz w:val="24"/>
        </w:rPr>
        <w:t>(1)环境治理:①路面尽量硬化,保持室内外清洁环境:②严禁乱倒垃圾和垃圾暴露;③做好改造厕所工作,粪便无害化处理,清除城乡结合部、城中村和周边村舍的暴露垃圾和粪缸;④妥善处理饮食、食品行业、酿造业、禽兽饲养场屠宰场、肉菜市场的废弃物;⑤重点场所要完善防蝇措施。</w:t>
      </w:r>
    </w:p>
    <w:p w14:paraId="5A2B427D">
      <w:pPr>
        <w:spacing w:line="450" w:lineRule="exact"/>
        <w:ind w:firstLine="480" w:firstLineChars="200"/>
        <w:rPr>
          <w:rFonts w:ascii="宋体" w:hAnsi="宋体" w:cs="仿宋"/>
          <w:color w:val="auto"/>
          <w:sz w:val="24"/>
        </w:rPr>
      </w:pPr>
      <w:r>
        <w:rPr>
          <w:rFonts w:hint="eastAsia" w:ascii="宋体" w:hAnsi="宋体" w:cs="仿宋"/>
          <w:color w:val="auto"/>
          <w:sz w:val="24"/>
        </w:rPr>
        <w:t>(2)孳生地控制:对一切可能孳生苍蝇的场所和孳生物,定期每7-10天检查一次,灭蛆清蛹用化学杀虫剂灭蛆。</w:t>
      </w:r>
    </w:p>
    <w:p w14:paraId="3376AA05">
      <w:pPr>
        <w:spacing w:line="450" w:lineRule="exact"/>
        <w:ind w:firstLine="480" w:firstLineChars="200"/>
        <w:rPr>
          <w:rFonts w:ascii="宋体" w:hAnsi="宋体" w:cs="仿宋"/>
          <w:color w:val="auto"/>
          <w:sz w:val="24"/>
        </w:rPr>
      </w:pPr>
      <w:r>
        <w:rPr>
          <w:rFonts w:hint="eastAsia" w:ascii="宋体" w:hAnsi="宋体" w:cs="仿宋"/>
          <w:color w:val="auto"/>
          <w:sz w:val="24"/>
        </w:rPr>
        <w:t>(3)成蝇杀灭:在处理孳生地的基础上,进行灭蝇防蝇很重要,灭蝇的主要方法是:使用国家允许的化学卫生杀虫剂进行室内滞留喷洒,速效药物空间喷洒或长效烟熏法灭蝇,同时采用毒饵诱杀、蝇笼诱捕、悬挂药绳、人工拍打等等。饮食、食品加工行业和单位的食堂、厨房等应有防蝇设施,熟食间必须要有严密、完善的防蝇设施,直接入口物不得有蝇接触。</w:t>
      </w:r>
    </w:p>
    <w:p w14:paraId="10455BE7">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4</w:t>
      </w:r>
      <w:r>
        <w:rPr>
          <w:rFonts w:hint="eastAsia" w:ascii="宋体" w:hAnsi="宋体" w:cs="仿宋"/>
          <w:color w:val="auto"/>
          <w:sz w:val="24"/>
        </w:rPr>
        <w:t>、灭蟑螂方面</w:t>
      </w:r>
    </w:p>
    <w:p w14:paraId="13A416B4">
      <w:pPr>
        <w:spacing w:line="450" w:lineRule="exact"/>
        <w:ind w:firstLine="480" w:firstLineChars="200"/>
        <w:rPr>
          <w:rFonts w:ascii="宋体" w:hAnsi="宋体" w:cs="仿宋"/>
          <w:color w:val="auto"/>
          <w:sz w:val="24"/>
        </w:rPr>
      </w:pPr>
      <w:r>
        <w:rPr>
          <w:rFonts w:hint="eastAsia" w:ascii="宋体" w:hAnsi="宋体" w:cs="仿宋"/>
          <w:color w:val="auto"/>
          <w:sz w:val="24"/>
        </w:rPr>
        <w:t>(1)环境治理:各家各户、各单位、店铺、农贸市场大搞室内卫生,重点是一些家具和厨房,把粘附在墙壁、家具、洗碗池等处的卵鞘、蟑粪、卵壳、蟑尸清除干净和用石灰浆将这些夹缝堵抹,家庭厨房、农贸市场鱼、肉砧板底部是蟑螂喜欢产卵鞘的场所,处理时不可忽视。</w:t>
      </w:r>
    </w:p>
    <w:p w14:paraId="2C2494BA">
      <w:pPr>
        <w:spacing w:line="450" w:lineRule="exact"/>
        <w:ind w:firstLine="480" w:firstLineChars="200"/>
        <w:rPr>
          <w:rFonts w:hint="eastAsia" w:ascii="宋体" w:hAnsi="宋体" w:cs="仿宋"/>
          <w:color w:val="auto"/>
          <w:sz w:val="24"/>
        </w:rPr>
      </w:pPr>
      <w:r>
        <w:rPr>
          <w:rFonts w:hint="eastAsia" w:ascii="宋体" w:hAnsi="宋体" w:cs="仿宋"/>
          <w:color w:val="auto"/>
          <w:sz w:val="24"/>
        </w:rPr>
        <w:t>(2)化学药物杀灭:选用国家允许的高效低毒、残效期较长的药物,杀灭的方法采取滞留喷酒、投放毒饵、烟熏(下水道、垃圾槽)等方法,因地制宜,根据各种栖息地场所</w:t>
      </w:r>
      <w:r>
        <w:rPr>
          <w:rFonts w:hint="eastAsia" w:ascii="宋体" w:hAnsi="宋体" w:cs="仿宋"/>
          <w:color w:val="auto"/>
          <w:sz w:val="24"/>
          <w:lang w:val="en-US" w:eastAsia="zh-CN"/>
        </w:rPr>
        <w:t>灵</w:t>
      </w:r>
      <w:r>
        <w:rPr>
          <w:rFonts w:hint="eastAsia" w:ascii="宋体" w:hAnsi="宋体" w:cs="仿宋"/>
          <w:color w:val="auto"/>
          <w:sz w:val="24"/>
        </w:rPr>
        <w:t>活运用,施药要求做到覆盖面大,到位率高,在施药防治同时,认真清理卵鞘(夹)。</w:t>
      </w:r>
    </w:p>
    <w:p w14:paraId="0CD1CE86">
      <w:pPr>
        <w:ind w:firstLine="480" w:firstLineChars="200"/>
        <w:rPr>
          <w:rFonts w:hint="eastAsia" w:ascii="宋体" w:hAnsi="宋体" w:eastAsia="宋体" w:cs="Times New Roman"/>
          <w:b/>
          <w:color w:val="auto"/>
          <w:sz w:val="24"/>
          <w:lang w:val="en-US" w:eastAsia="zh-CN"/>
        </w:rPr>
      </w:pPr>
      <w:r>
        <w:rPr>
          <w:rFonts w:hint="eastAsia" w:ascii="宋体" w:hAnsi="宋体" w:cs="仿宋"/>
          <w:color w:val="auto"/>
          <w:sz w:val="24"/>
          <w:lang w:val="en-US" w:eastAsia="zh-CN"/>
        </w:rPr>
        <w:t>5、</w:t>
      </w:r>
      <w:r>
        <w:rPr>
          <w:rFonts w:hint="eastAsia" w:ascii="宋体" w:hAnsi="宋体" w:eastAsia="宋体" w:cs="Times New Roman"/>
          <w:b/>
          <w:color w:val="auto"/>
          <w:sz w:val="24"/>
          <w:lang w:val="en-US" w:eastAsia="zh-CN"/>
        </w:rPr>
        <w:t>项目服务要求</w:t>
      </w:r>
    </w:p>
    <w:p w14:paraId="2CF855FA">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（一）作业要求</w:t>
      </w:r>
    </w:p>
    <w:p w14:paraId="53E940E1">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（1）实施防制作业前，必须先到现场调查辖区病媒生物的基本情况、记录详细，对病媒生物的种类、栖息部位、密度状况及孳生地环境等情况有全面的了解，因地制宜地制定合理的病媒生物综合防制计划。</w:t>
      </w:r>
    </w:p>
    <w:p w14:paraId="26A83E20">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2）从事病媒生物防制从业人员必须经过职业培训，熟悉卫生杀虫器械的使用，并熟知所用药物说明书上的注意事项和急救措施。在作业过程中要根据防制方案备好药品器械和个人防护用品，按照技术规范要求操作，并做好个人防护工作。在作业过程中，作业人员出现安全事故由供应商全权负责。</w:t>
      </w:r>
    </w:p>
    <w:p w14:paraId="4B224277">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（3）每次作业完成后应认真填写《病媒生物防制现场作业记录表》，保存备查。</w:t>
      </w:r>
    </w:p>
    <w:p w14:paraId="14861D47">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（4）定期进行病媒生物密度监测和防制效果监测，监测资料及时统计、分析上报采购单位，并归档保存。</w:t>
      </w:r>
    </w:p>
    <w:p w14:paraId="0241DD12">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（5）根据实际开展工作情况，供应商应通过美篇的方式当日向采购单位报送工作情况及存在的问题。</w:t>
      </w:r>
    </w:p>
    <w:p w14:paraId="273E8D17">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（二）人员要求</w:t>
      </w:r>
    </w:p>
    <w:p w14:paraId="377E40CA">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1）从事海口市秀英区病媒生物防制作业的技术人员，均需经过专业培训合格后，或取得由国家认可的有关部门颁发的有害生物防制员《职业资格证书》、技能等级证书或培训证后，方可上岗，并统一着装，持证上岗，文明服务，着装要符合防护要求。</w:t>
      </w:r>
    </w:p>
    <w:p w14:paraId="37A7ED87">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（2）合同服务期内供应商日常所投入的人员：A包东山镇、石山镇、永兴镇不得少于5人</w:t>
      </w:r>
      <w:r>
        <w:rPr>
          <w:rFonts w:hint="eastAsia" w:hAnsi="宋体" w:cs="Times New Roman"/>
          <w:b w:val="0"/>
          <w:bCs w:val="0"/>
          <w:color w:val="auto"/>
          <w:sz w:val="24"/>
          <w:szCs w:val="24"/>
          <w:lang w:val="en-US" w:eastAsia="zh-CN"/>
        </w:rPr>
        <w:t>、B</w:t>
      </w:r>
      <w:r>
        <w:rPr>
          <w:rFonts w:hint="eastAsia" w:ascii="Times New Roman" w:hAnsi="宋体" w:eastAsia="宋体" w:cs="Times New Roman"/>
          <w:b w:val="0"/>
          <w:bCs w:val="0"/>
          <w:color w:val="auto"/>
          <w:sz w:val="24"/>
          <w:szCs w:val="24"/>
          <w:lang w:val="en-US" w:eastAsia="zh-CN"/>
        </w:rPr>
        <w:t>包秀英街道</w:t>
      </w:r>
      <w:r>
        <w:rPr>
          <w:rFonts w:hint="eastAsia" w:hAnsi="宋体" w:cs="Times New Roman"/>
          <w:b w:val="0"/>
          <w:bCs w:val="0"/>
          <w:color w:val="auto"/>
          <w:sz w:val="24"/>
          <w:szCs w:val="24"/>
          <w:lang w:val="en-US" w:eastAsia="zh-CN"/>
        </w:rPr>
        <w:t>、高新区</w:t>
      </w:r>
      <w:r>
        <w:rPr>
          <w:rFonts w:hint="eastAsia" w:ascii="Times New Roman" w:hAnsi="宋体" w:eastAsia="宋体" w:cs="Times New Roman"/>
          <w:b w:val="0"/>
          <w:bCs w:val="0"/>
          <w:color w:val="auto"/>
          <w:sz w:val="24"/>
          <w:szCs w:val="24"/>
          <w:lang w:val="en-US" w:eastAsia="zh-CN"/>
        </w:rPr>
        <w:t>不得少于</w:t>
      </w:r>
      <w:r>
        <w:rPr>
          <w:rFonts w:hint="eastAsia" w:hAnsi="宋体" w:cs="Times New Roman"/>
          <w:b w:val="0"/>
          <w:bCs w:val="0"/>
          <w:color w:val="auto"/>
          <w:sz w:val="24"/>
          <w:szCs w:val="24"/>
          <w:lang w:val="en-US" w:eastAsia="zh-CN"/>
        </w:rPr>
        <w:t>5</w:t>
      </w:r>
      <w:r>
        <w:rPr>
          <w:rFonts w:hint="eastAsia" w:ascii="Times New Roman" w:hAnsi="宋体" w:eastAsia="宋体" w:cs="Times New Roman"/>
          <w:b w:val="0"/>
          <w:bCs w:val="0"/>
          <w:color w:val="auto"/>
          <w:sz w:val="24"/>
          <w:szCs w:val="24"/>
          <w:lang w:val="en-US" w:eastAsia="zh-CN"/>
        </w:rPr>
        <w:t>人、C包海秀镇不得少于7人、</w:t>
      </w:r>
      <w:r>
        <w:rPr>
          <w:rFonts w:hint="eastAsia" w:hAnsi="宋体" w:cs="Times New Roman"/>
          <w:b w:val="0"/>
          <w:bCs w:val="0"/>
          <w:color w:val="auto"/>
          <w:sz w:val="24"/>
          <w:szCs w:val="24"/>
          <w:lang w:val="en-US" w:eastAsia="zh-CN"/>
        </w:rPr>
        <w:t>D</w:t>
      </w:r>
      <w:r>
        <w:rPr>
          <w:rFonts w:hint="eastAsia" w:ascii="Times New Roman" w:hAnsi="宋体" w:eastAsia="宋体" w:cs="Times New Roman"/>
          <w:b w:val="0"/>
          <w:bCs w:val="0"/>
          <w:color w:val="auto"/>
          <w:sz w:val="24"/>
          <w:szCs w:val="24"/>
          <w:lang w:val="en-US" w:eastAsia="zh-CN"/>
        </w:rPr>
        <w:t>包海秀街道不得少于4人、</w:t>
      </w:r>
      <w:r>
        <w:rPr>
          <w:rFonts w:hint="eastAsia" w:hAnsi="宋体" w:cs="Times New Roman"/>
          <w:b w:val="0"/>
          <w:bCs w:val="0"/>
          <w:color w:val="auto"/>
          <w:sz w:val="24"/>
          <w:szCs w:val="24"/>
          <w:lang w:val="en-US" w:eastAsia="zh-CN"/>
        </w:rPr>
        <w:t>E</w:t>
      </w:r>
      <w:r>
        <w:rPr>
          <w:rFonts w:hint="eastAsia" w:ascii="Times New Roman" w:hAnsi="宋体" w:eastAsia="宋体" w:cs="Times New Roman"/>
          <w:b w:val="0"/>
          <w:bCs w:val="0"/>
          <w:color w:val="auto"/>
          <w:sz w:val="24"/>
          <w:szCs w:val="24"/>
          <w:lang w:val="en-US" w:eastAsia="zh-CN"/>
        </w:rPr>
        <w:t>包长流镇不得少于8人、</w:t>
      </w:r>
      <w:r>
        <w:rPr>
          <w:rFonts w:hint="eastAsia" w:hAnsi="宋体" w:cs="Times New Roman"/>
          <w:b w:val="0"/>
          <w:bCs w:val="0"/>
          <w:color w:val="auto"/>
          <w:sz w:val="24"/>
          <w:szCs w:val="24"/>
          <w:lang w:val="en-US" w:eastAsia="zh-CN"/>
        </w:rPr>
        <w:t>F</w:t>
      </w:r>
      <w:r>
        <w:rPr>
          <w:rFonts w:hint="eastAsia" w:ascii="Times New Roman" w:hAnsi="宋体" w:eastAsia="宋体" w:cs="Times New Roman"/>
          <w:b w:val="0"/>
          <w:bCs w:val="0"/>
          <w:color w:val="auto"/>
          <w:sz w:val="24"/>
          <w:szCs w:val="24"/>
          <w:lang w:val="en-US" w:eastAsia="zh-CN"/>
        </w:rPr>
        <w:t>包西秀镇不得少于6人。</w:t>
      </w:r>
    </w:p>
    <w:p w14:paraId="0F582410">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（三）药物和器械要求</w:t>
      </w:r>
    </w:p>
    <w:p w14:paraId="4FF11F07">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1）供应商应选择高效低毒卫生杀虫剂、杀鼠剂，药剂不得污染食物。所用药物和方法应符合国家法律法规的相关规定，使用的药物必须是国家规定“三证”齐全的卫生杀虫剂、杀鼠剂，无使用过期、霉烂变质产品，严禁使用国家明令禁止的剧毒急性药物。所用的器械应按照说明书使用，说明书所提及的功能及安全性应通过具有相应资质的控制机构认证。</w:t>
      </w:r>
    </w:p>
    <w:p w14:paraId="240AE970">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（2）病媒生物防制要符合《病媒生物综合管理技术规范 城镇》（GB/T27775-2011）《病媒生物化学防治技术指南 空间喷雾》（GB/T 31714-2015）《病媒生物化学防治技术指南 滞留喷洒》（GB/T 31715-2015）《病媒生物综合管理技术规范 化学防治 蝇类</w:t>
      </w:r>
      <w:r>
        <w:rPr>
          <w:rFonts w:hint="eastAsia" w:ascii="Times New Roman" w:hAnsi="宋体" w:eastAsia="宋体" w:cs="Times New Roman"/>
          <w:b w:val="0"/>
          <w:bCs w:val="0"/>
          <w:color w:val="auto"/>
          <w:sz w:val="24"/>
          <w:szCs w:val="24"/>
          <w:lang w:val="en-US" w:eastAsia="zh-CN"/>
        </w:rPr>
        <w:tab/>
      </w:r>
      <w:r>
        <w:rPr>
          <w:rFonts w:hint="eastAsia" w:ascii="Times New Roman" w:hAnsi="宋体" w:eastAsia="宋体" w:cs="Times New Roman"/>
          <w:b w:val="0"/>
          <w:bCs w:val="0"/>
          <w:color w:val="auto"/>
          <w:sz w:val="24"/>
          <w:szCs w:val="24"/>
          <w:lang w:val="en-US" w:eastAsia="zh-CN"/>
        </w:rPr>
        <w:t>》B/T 31718-2015）《病媒生物综合管理技术规范 化学防治 蜚蠊》GB/T 31719-2015）等技术规范要求，要根据处理面积的大小、处理场所的类型、方便易操作的原则，选择杀虫器械、杀虫杀鼠剂和施药方式。</w:t>
      </w:r>
    </w:p>
    <w:p w14:paraId="77FEDF65">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（3）不同类型药物的混合配伍用药，应注意互补增效作用，并进行相应的测试，避免两用药配伍产生拮抗作用，影响防制效果；供应商使用的药物应根据抗药性检测结果及时更换。</w:t>
      </w:r>
    </w:p>
    <w:p w14:paraId="2D9E1C6C">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（4）供应商必须投入不同品种的数量充足的专业施工服务器械设备，如热烟雾机、背负式电动喷雾器、机动喷雾机、背负式超低容量喷雾器等。</w:t>
      </w:r>
    </w:p>
    <w:p w14:paraId="02711E01">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（5）药物必须存放在专用仓库，应当符合有关安全防火规定；药物要有健全的药物采购及入出仓库的管理制度，设有专人管理，分类离墙离地存放。药物使用完毕，应按照环境保护法的有关规定，妥善处理。</w:t>
      </w:r>
    </w:p>
    <w:p w14:paraId="39EA53F3">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（四）宣传要求</w:t>
      </w:r>
    </w:p>
    <w:p w14:paraId="61145134">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为营造良好的病媒生物防制氛围，提高病媒生物防制工作参与面，供应商每年应在服务期内在人员集中的广场、公园、社区（村）组织1－2次病媒生物防制知识宣传活动。如遇病媒生物传染病的发生和流行要按采购单位要求增加宣传次数。</w:t>
      </w:r>
    </w:p>
    <w:p w14:paraId="2A69E761">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（五）项目效果评估</w:t>
      </w:r>
    </w:p>
    <w:p w14:paraId="07E5D910">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海口市秀英区建成区病媒生物防制效果评估工作，由采购单位委托第三方专业机构进行，效果评估结果作为向供应商付款的依据。效果评估结果，在检查评估后的10个工作日内，以书面形式通报给供应商(紧急情况下，现场口头通报)。供应商要针对存在的问题，及时落实整改。并在规定的期限内将整改情况以书面形式反馈给采购单位。供应商也要自行做到经常性地进行自我检查和监测，确保建成区鼠、蚊、蝇、蟑螂的密度达到国家病媒生物密度控制水平标准C级要求。</w:t>
      </w:r>
    </w:p>
    <w:p w14:paraId="233E6598">
      <w:pPr>
        <w:pStyle w:val="2"/>
        <w:rPr>
          <w:rFonts w:hint="eastAsia" w:eastAsia="宋体"/>
          <w:color w:val="auto"/>
          <w:lang w:val="en-US" w:eastAsia="zh-CN"/>
        </w:rPr>
      </w:pPr>
    </w:p>
    <w:p w14:paraId="03A4E60E">
      <w:pPr>
        <w:spacing w:line="450" w:lineRule="exact"/>
        <w:ind w:firstLine="482" w:firstLineChars="200"/>
        <w:rPr>
          <w:rFonts w:ascii="宋体" w:hAnsi="宋体" w:cs="仿宋"/>
          <w:b/>
          <w:bCs/>
          <w:color w:val="auto"/>
          <w:sz w:val="24"/>
        </w:rPr>
      </w:pPr>
      <w:r>
        <w:rPr>
          <w:rFonts w:hint="eastAsia" w:ascii="宋体" w:hAnsi="宋体" w:cs="仿宋"/>
          <w:b/>
          <w:bCs/>
          <w:color w:val="auto"/>
          <w:sz w:val="24"/>
        </w:rPr>
        <w:t>六、其他要求：</w:t>
      </w:r>
    </w:p>
    <w:p w14:paraId="73213075">
      <w:pPr>
        <w:spacing w:line="450" w:lineRule="exact"/>
        <w:ind w:firstLine="480" w:firstLineChars="200"/>
        <w:rPr>
          <w:rFonts w:hint="eastAsia" w:ascii="宋体" w:hAnsi="宋体" w:cs="仿宋"/>
          <w:color w:val="auto"/>
          <w:sz w:val="24"/>
        </w:rPr>
      </w:pPr>
      <w:r>
        <w:rPr>
          <w:rFonts w:hint="eastAsia" w:ascii="宋体" w:hAnsi="宋体" w:cs="仿宋"/>
          <w:color w:val="auto"/>
          <w:sz w:val="24"/>
        </w:rPr>
        <w:t>1、未尽事宜由采购人与中标候选人双方在采购合同中详细约定。</w:t>
      </w:r>
    </w:p>
    <w:p w14:paraId="23113A68">
      <w:pPr>
        <w:spacing w:line="450" w:lineRule="exact"/>
        <w:ind w:firstLine="480" w:firstLineChars="200"/>
        <w:rPr>
          <w:rFonts w:hint="eastAsia" w:ascii="宋体" w:hAnsi="宋体" w:cs="仿宋"/>
          <w:color w:val="auto"/>
          <w:sz w:val="24"/>
          <w:lang w:val="en-US" w:eastAsia="zh-CN"/>
        </w:rPr>
      </w:pPr>
      <w:r>
        <w:rPr>
          <w:rFonts w:hint="eastAsia" w:ascii="宋体" w:hAnsi="宋体" w:cs="仿宋"/>
          <w:color w:val="auto"/>
          <w:sz w:val="24"/>
          <w:lang w:val="en-US" w:eastAsia="zh-CN"/>
        </w:rPr>
        <w:t>2、各中标公司按照资金分配总额的10%部分用于活动宣传、消杀工具和三防设施的购置与补充，90%部分用于消杀药品购买、劳务支出、病媒生物防制质量和效果评估费（评估费用标准以评估方确定的标准为准）以及其他用于病媒生物防制的费用支出。</w:t>
      </w:r>
    </w:p>
    <w:p w14:paraId="23B5E863">
      <w:pPr>
        <w:spacing w:line="450" w:lineRule="exact"/>
        <w:ind w:firstLine="480" w:firstLineChars="200"/>
        <w:rPr>
          <w:rFonts w:hint="default" w:ascii="宋体" w:hAnsi="宋体" w:eastAsia="宋体" w:cs="仿宋"/>
          <w:color w:val="FF0000"/>
          <w:sz w:val="24"/>
          <w:lang w:val="en-US" w:eastAsia="zh-CN"/>
        </w:rPr>
      </w:pPr>
      <w:r>
        <w:rPr>
          <w:rFonts w:hint="eastAsia" w:ascii="宋体" w:hAnsi="宋体" w:cs="仿宋"/>
          <w:color w:val="FF0000"/>
          <w:sz w:val="24"/>
          <w:lang w:val="en-US" w:eastAsia="zh-CN"/>
        </w:rPr>
        <w:t>3</w:t>
      </w:r>
      <w:r>
        <w:rPr>
          <w:rFonts w:hint="eastAsia" w:ascii="宋体" w:hAnsi="宋体" w:cs="仿宋"/>
          <w:color w:val="FF0000"/>
          <w:sz w:val="24"/>
        </w:rPr>
        <w:t>、保证防治</w:t>
      </w:r>
      <w:r>
        <w:rPr>
          <w:rFonts w:hint="eastAsia" w:ascii="宋体" w:hAnsi="宋体" w:cs="仿宋"/>
          <w:color w:val="FF0000"/>
          <w:sz w:val="24"/>
          <w:lang w:val="en-US" w:eastAsia="zh-CN"/>
        </w:rPr>
        <w:t>用药必须是三证齐全的卫生用药，具有合法来源，需提供承诺函</w:t>
      </w:r>
      <w:r>
        <w:rPr>
          <w:rFonts w:hint="eastAsia" w:ascii="宋体" w:hAnsi="宋体" w:eastAsia="宋体" w:cs="仿宋"/>
          <w:color w:val="FF0000"/>
          <w:sz w:val="24"/>
          <w:lang w:eastAsia="zh-CN"/>
        </w:rPr>
        <w:t>（承诺函格式自拟）。</w:t>
      </w:r>
    </w:p>
    <w:p w14:paraId="0ABF322D">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4</w:t>
      </w:r>
      <w:r>
        <w:rPr>
          <w:rFonts w:hint="eastAsia" w:ascii="宋体" w:hAnsi="宋体" w:cs="仿宋"/>
          <w:color w:val="auto"/>
          <w:sz w:val="24"/>
        </w:rPr>
        <w:t>、业主提出具体需求时,保证5个工作日提供具体实施方案。</w:t>
      </w:r>
    </w:p>
    <w:p w14:paraId="2CA20A07">
      <w:pPr>
        <w:spacing w:line="450" w:lineRule="exact"/>
        <w:ind w:firstLine="480" w:firstLineChars="200"/>
        <w:rPr>
          <w:color w:val="auto"/>
        </w:rPr>
      </w:pPr>
      <w:r>
        <w:rPr>
          <w:rFonts w:hint="eastAsia" w:ascii="宋体" w:hAnsi="宋体" w:cs="仿宋"/>
          <w:color w:val="auto"/>
          <w:sz w:val="24"/>
          <w:lang w:val="en-US" w:eastAsia="zh-CN"/>
        </w:rPr>
        <w:t>5</w:t>
      </w:r>
      <w:r>
        <w:rPr>
          <w:rFonts w:hint="eastAsia" w:ascii="宋体" w:hAnsi="宋体" w:cs="仿宋"/>
          <w:color w:val="auto"/>
          <w:sz w:val="24"/>
        </w:rPr>
        <w:t>、防治过程中能2小时内响应业主提出的改进建议和措施,并在48小时内得到落实。</w:t>
      </w:r>
    </w:p>
    <w:p w14:paraId="63D74BEE">
      <w:pPr>
        <w:pStyle w:val="2"/>
        <w:spacing w:line="440" w:lineRule="exact"/>
        <w:ind w:firstLine="482"/>
        <w:rPr>
          <w:color w:val="auto"/>
          <w:sz w:val="24"/>
        </w:rPr>
      </w:pPr>
      <w:r>
        <w:rPr>
          <w:rFonts w:hint="eastAsia" w:ascii="宋体" w:hAnsi="宋体" w:cs="仿宋"/>
          <w:color w:val="auto"/>
          <w:sz w:val="24"/>
          <w:lang w:val="en-US" w:eastAsia="zh-CN"/>
        </w:rPr>
        <w:t>6</w:t>
      </w:r>
      <w:r>
        <w:rPr>
          <w:rFonts w:hint="eastAsia" w:ascii="宋体" w:hAnsi="宋体" w:cs="仿宋"/>
          <w:color w:val="auto"/>
          <w:sz w:val="24"/>
        </w:rPr>
        <w:t>、支付方式：</w:t>
      </w:r>
      <w:r>
        <w:rPr>
          <w:color w:val="auto"/>
          <w:sz w:val="24"/>
        </w:rPr>
        <w:t>甲方根据合同进度需向乙方支付款项，应委托专业技术机构对乙方病媒生物防制质量和效果进行评估，经专业技术评估机构出具报告确认乙方服务质量和效果，即鼠、蚊、蝇、蟑的密度达到国家病媒生物防制控制水平C级（及以上）要求，甲方应及时拨付款项给乙方。</w:t>
      </w:r>
    </w:p>
    <w:p w14:paraId="7BEE59F5">
      <w:pPr>
        <w:spacing w:line="440" w:lineRule="exact"/>
        <w:ind w:firstLine="482"/>
        <w:rPr>
          <w:rFonts w:hint="eastAsia"/>
          <w:color w:val="auto"/>
          <w:sz w:val="24"/>
          <w:lang w:eastAsia="zh-CN"/>
        </w:rPr>
      </w:pPr>
      <w:r>
        <w:rPr>
          <w:color w:val="auto"/>
          <w:sz w:val="24"/>
        </w:rPr>
        <w:t>服务费每年分两次支付</w:t>
      </w:r>
      <w:r>
        <w:rPr>
          <w:rFonts w:hint="eastAsia"/>
          <w:color w:val="auto"/>
          <w:sz w:val="24"/>
          <w:lang w:eastAsia="zh-CN"/>
        </w:rPr>
        <w:t>，</w:t>
      </w:r>
      <w:r>
        <w:rPr>
          <w:rFonts w:hint="eastAsia"/>
          <w:color w:val="auto"/>
          <w:sz w:val="24"/>
          <w:lang w:val="en-US" w:eastAsia="zh-CN"/>
        </w:rPr>
        <w:t>施工进场6个月后</w:t>
      </w:r>
      <w:r>
        <w:rPr>
          <w:color w:val="auto"/>
          <w:sz w:val="24"/>
        </w:rPr>
        <w:t>，经甲方组织第三方</w:t>
      </w:r>
      <w:r>
        <w:rPr>
          <w:rFonts w:hint="eastAsia"/>
          <w:color w:val="auto"/>
          <w:sz w:val="24"/>
          <w:lang w:val="en-US" w:eastAsia="zh-CN"/>
        </w:rPr>
        <w:t>机构</w:t>
      </w:r>
      <w:r>
        <w:rPr>
          <w:color w:val="auto"/>
          <w:sz w:val="24"/>
        </w:rPr>
        <w:t>进行验收，验收合格后15个工作日内支付乙方的</w:t>
      </w:r>
      <w:r>
        <w:rPr>
          <w:rFonts w:hint="eastAsia"/>
          <w:color w:val="auto"/>
          <w:sz w:val="24"/>
          <w:lang w:val="en-US" w:eastAsia="zh-CN"/>
        </w:rPr>
        <w:t>第一期</w:t>
      </w:r>
      <w:r>
        <w:rPr>
          <w:color w:val="auto"/>
          <w:sz w:val="24"/>
        </w:rPr>
        <w:t>合同</w:t>
      </w:r>
      <w:r>
        <w:rPr>
          <w:rFonts w:hint="eastAsia"/>
          <w:color w:val="auto"/>
          <w:sz w:val="24"/>
          <w:lang w:val="en-US" w:eastAsia="zh-CN"/>
        </w:rPr>
        <w:t>50%</w:t>
      </w:r>
      <w:r>
        <w:rPr>
          <w:color w:val="auto"/>
          <w:sz w:val="24"/>
        </w:rPr>
        <w:t>服务费用；</w:t>
      </w:r>
      <w:r>
        <w:rPr>
          <w:rFonts w:hint="eastAsia"/>
          <w:color w:val="auto"/>
          <w:sz w:val="24"/>
          <w:lang w:val="en-US" w:eastAsia="zh-CN"/>
        </w:rPr>
        <w:t>合同期满，</w:t>
      </w:r>
      <w:r>
        <w:rPr>
          <w:color w:val="auto"/>
          <w:sz w:val="24"/>
        </w:rPr>
        <w:t>经甲方组织第三方</w:t>
      </w:r>
      <w:r>
        <w:rPr>
          <w:rFonts w:hint="eastAsia"/>
          <w:color w:val="auto"/>
          <w:sz w:val="24"/>
          <w:lang w:val="en-US" w:eastAsia="zh-CN"/>
        </w:rPr>
        <w:t>机构</w:t>
      </w:r>
      <w:r>
        <w:rPr>
          <w:color w:val="auto"/>
          <w:sz w:val="24"/>
        </w:rPr>
        <w:t>进行验收，验收合格后15个工作日内支付乙方的</w:t>
      </w:r>
      <w:r>
        <w:rPr>
          <w:rFonts w:hint="eastAsia"/>
          <w:color w:val="auto"/>
          <w:sz w:val="24"/>
          <w:lang w:val="en-US" w:eastAsia="zh-CN"/>
        </w:rPr>
        <w:t>第二期</w:t>
      </w:r>
      <w:r>
        <w:rPr>
          <w:color w:val="auto"/>
          <w:sz w:val="24"/>
        </w:rPr>
        <w:t>合同</w:t>
      </w:r>
      <w:r>
        <w:rPr>
          <w:rFonts w:hint="eastAsia"/>
          <w:color w:val="auto"/>
          <w:sz w:val="24"/>
          <w:lang w:val="en-US" w:eastAsia="zh-CN"/>
        </w:rPr>
        <w:t>50%</w:t>
      </w:r>
      <w:r>
        <w:rPr>
          <w:color w:val="auto"/>
          <w:sz w:val="24"/>
        </w:rPr>
        <w:t>服务费用</w:t>
      </w:r>
      <w:r>
        <w:rPr>
          <w:rFonts w:hint="eastAsia"/>
          <w:color w:val="auto"/>
          <w:sz w:val="24"/>
          <w:lang w:eastAsia="zh-CN"/>
        </w:rPr>
        <w:t>。</w:t>
      </w:r>
    </w:p>
    <w:p w14:paraId="7AD761AA">
      <w:pPr>
        <w:widowControl/>
        <w:numPr>
          <w:ilvl w:val="0"/>
          <w:numId w:val="0"/>
        </w:numPr>
        <w:spacing w:line="360" w:lineRule="auto"/>
        <w:ind w:firstLine="240" w:firstLineChars="100"/>
        <w:jc w:val="left"/>
        <w:outlineLvl w:val="1"/>
        <w:rPr>
          <w:rFonts w:hint="eastAsia" w:ascii="宋体" w:hAnsi="宋体" w:cs="黑体"/>
          <w:b/>
          <w:bCs/>
          <w:color w:val="auto"/>
          <w:sz w:val="24"/>
        </w:rPr>
      </w:pPr>
      <w:r>
        <w:rPr>
          <w:rFonts w:hint="eastAsia"/>
          <w:color w:val="FF0000"/>
          <w:sz w:val="24"/>
          <w:lang w:val="en-US" w:eastAsia="zh-CN"/>
        </w:rPr>
        <w:t>7、近1年内无重大责任事故，需提供</w:t>
      </w:r>
      <w:r>
        <w:rPr>
          <w:rFonts w:hint="eastAsia" w:ascii="宋体" w:hAnsi="宋体" w:eastAsia="宋体" w:cs="仿宋"/>
          <w:color w:val="FF0000"/>
          <w:sz w:val="24"/>
          <w:lang w:eastAsia="zh-CN"/>
        </w:rPr>
        <w:t>承诺函（承诺函格式自拟）</w:t>
      </w:r>
      <w:r>
        <w:rPr>
          <w:rFonts w:hint="eastAsia" w:ascii="宋体" w:hAnsi="宋体" w:eastAsia="宋体" w:cs="仿宋"/>
          <w:color w:val="FF0000"/>
          <w:sz w:val="24"/>
        </w:rPr>
        <w:t>。</w:t>
      </w:r>
      <w:bookmarkStart w:id="2" w:name="_GoBack"/>
      <w:bookmarkEnd w:id="2"/>
    </w:p>
    <w:p w14:paraId="34F064D9">
      <w:pPr>
        <w:jc w:val="center"/>
        <w:rPr>
          <w:rFonts w:hint="default" w:ascii="宋体" w:hAnsi="宋体"/>
          <w:b/>
          <w:color w:val="auto"/>
          <w:sz w:val="32"/>
          <w:szCs w:val="32"/>
          <w:lang w:val="en-US" w:eastAsia="zh-CN"/>
        </w:rPr>
      </w:pPr>
      <w:r>
        <w:rPr>
          <w:rFonts w:hint="eastAsia" w:ascii="宋体" w:hAnsi="宋体"/>
          <w:b/>
          <w:color w:val="auto"/>
          <w:sz w:val="32"/>
          <w:szCs w:val="32"/>
          <w:lang w:val="en-US" w:eastAsia="zh-CN"/>
        </w:rPr>
        <w:t>商务条款部分</w:t>
      </w:r>
    </w:p>
    <w:p w14:paraId="6D330975">
      <w:pPr>
        <w:snapToGrid w:val="0"/>
        <w:spacing w:line="360" w:lineRule="auto"/>
        <w:ind w:firstLine="480" w:firstLineChars="200"/>
        <w:rPr>
          <w:rFonts w:ascii="宋体" w:hAnsi="宋体" w:cs="仿宋"/>
          <w:color w:val="auto"/>
          <w:sz w:val="24"/>
        </w:rPr>
      </w:pPr>
      <w:r>
        <w:rPr>
          <w:rFonts w:hint="eastAsia" w:ascii="宋体" w:hAnsi="宋体" w:cs="仿宋"/>
          <w:color w:val="auto"/>
          <w:sz w:val="24"/>
        </w:rPr>
        <w:t>1、</w:t>
      </w:r>
      <w:r>
        <w:rPr>
          <w:rFonts w:hint="eastAsia" w:ascii="宋体" w:hAnsi="宋体" w:cs="Arial"/>
          <w:color w:val="auto"/>
          <w:sz w:val="24"/>
        </w:rPr>
        <w:t>中标</w:t>
      </w:r>
      <w:r>
        <w:rPr>
          <w:rFonts w:hint="eastAsia" w:ascii="宋体" w:hAnsi="宋体" w:cs="仿宋"/>
          <w:color w:val="auto"/>
          <w:sz w:val="24"/>
        </w:rPr>
        <w:t>人需获得有效的《</w:t>
      </w:r>
      <w:r>
        <w:rPr>
          <w:rFonts w:hint="eastAsia" w:ascii="宋体" w:hAnsi="宋体" w:cs="仿宋"/>
          <w:color w:val="auto"/>
          <w:sz w:val="24"/>
          <w:lang w:val="en-US" w:eastAsia="zh-CN"/>
        </w:rPr>
        <w:t>海南省病媒生物预防控制有偿服务机构备案书</w:t>
      </w:r>
      <w:r>
        <w:rPr>
          <w:rFonts w:hint="eastAsia" w:ascii="宋体" w:hAnsi="宋体" w:cs="仿宋"/>
          <w:color w:val="auto"/>
          <w:sz w:val="24"/>
        </w:rPr>
        <w:t>》。</w:t>
      </w:r>
    </w:p>
    <w:p w14:paraId="28D68117">
      <w:pPr>
        <w:snapToGrid w:val="0"/>
        <w:spacing w:line="360" w:lineRule="auto"/>
        <w:ind w:firstLine="480" w:firstLineChars="200"/>
        <w:rPr>
          <w:rFonts w:ascii="宋体" w:hAnsi="宋体" w:cs="仿宋"/>
          <w:color w:val="auto"/>
          <w:sz w:val="24"/>
        </w:rPr>
      </w:pPr>
      <w:r>
        <w:rPr>
          <w:rFonts w:hint="eastAsia" w:ascii="宋体" w:hAnsi="宋体" w:cs="仿宋"/>
          <w:color w:val="auto"/>
          <w:sz w:val="24"/>
        </w:rPr>
        <w:t>注：若投标人无有效的《</w:t>
      </w:r>
      <w:r>
        <w:rPr>
          <w:rFonts w:hint="eastAsia" w:ascii="宋体" w:hAnsi="宋体" w:cs="仿宋"/>
          <w:color w:val="auto"/>
          <w:sz w:val="24"/>
          <w:lang w:val="en-US" w:eastAsia="zh-CN"/>
        </w:rPr>
        <w:t>海南省病媒生物预防控制有偿服务机构备案书</w:t>
      </w:r>
      <w:r>
        <w:rPr>
          <w:rFonts w:hint="eastAsia" w:ascii="宋体" w:hAnsi="宋体" w:cs="仿宋"/>
          <w:color w:val="auto"/>
          <w:sz w:val="24"/>
        </w:rPr>
        <w:t>》，须承诺</w:t>
      </w:r>
      <w:r>
        <w:rPr>
          <w:rFonts w:hint="eastAsia"/>
          <w:color w:val="FF0000"/>
          <w:sz w:val="24"/>
          <w:lang w:val="en-US" w:eastAsia="zh-CN"/>
        </w:rPr>
        <w:t>（提供承诺函，格式自拟，否则做无效投标处理）</w:t>
      </w:r>
      <w:r>
        <w:rPr>
          <w:rFonts w:hint="eastAsia" w:ascii="宋体" w:hAnsi="宋体" w:cs="仿宋"/>
          <w:color w:val="auto"/>
          <w:sz w:val="24"/>
        </w:rPr>
        <w:t>在收到中标通知书之日起30日内向采购人提供</w:t>
      </w:r>
      <w:r>
        <w:rPr>
          <w:rFonts w:hint="eastAsia" w:ascii="宋体" w:hAnsi="宋体" w:cs="仿宋"/>
          <w:color w:val="auto"/>
          <w:sz w:val="24"/>
          <w:lang w:val="en-US" w:eastAsia="zh-CN"/>
        </w:rPr>
        <w:t>海南省病媒生物预防控制有偿服务机构备案书</w:t>
      </w:r>
      <w:r>
        <w:rPr>
          <w:rFonts w:hint="eastAsia" w:ascii="宋体" w:hAnsi="宋体" w:cs="仿宋"/>
          <w:color w:val="auto"/>
          <w:sz w:val="24"/>
        </w:rPr>
        <w:t>，否则采购人有权取消其中标资格，并追究其相关责任。</w:t>
      </w:r>
    </w:p>
    <w:p w14:paraId="4AEC33C3">
      <w:pPr>
        <w:spacing w:line="440" w:lineRule="exact"/>
        <w:ind w:firstLine="482"/>
        <w:rPr>
          <w:rFonts w:hint="eastAsia" w:ascii="Times New Roman" w:hAnsi="Times New Roman" w:eastAsia="宋体" w:cs="Times New Roman"/>
          <w:color w:val="auto"/>
          <w:sz w:val="24"/>
          <w:lang w:val="en-US" w:eastAsia="zh-CN"/>
        </w:rPr>
      </w:pPr>
      <w:r>
        <w:rPr>
          <w:rFonts w:hint="eastAsia" w:ascii="Times New Roman" w:hAnsi="Times New Roman" w:eastAsia="宋体" w:cs="Times New Roman"/>
          <w:color w:val="auto"/>
          <w:sz w:val="24"/>
          <w:lang w:val="en-US" w:eastAsia="zh-CN"/>
        </w:rPr>
        <w:t>2、中标人必须在采购人所在地（海口市）设有办公服务场地，办公服务场地必须具备办公（办公设施齐全）、食宿、仓库等功能（投标人在海口市的办公场地，租赁期从进场月起（含进场月）不得少于1年，办公、食宿必须和药品仓库分开，不能同一间）</w:t>
      </w:r>
      <w:r>
        <w:rPr>
          <w:rFonts w:hint="eastAsia"/>
          <w:color w:val="FF0000"/>
          <w:sz w:val="24"/>
          <w:lang w:val="en-US" w:eastAsia="zh-CN"/>
        </w:rPr>
        <w:t>（投标时提供租赁合同或提供中标后十日内设立满足上述要求的办公服务场地的承诺函</w:t>
      </w:r>
      <w:r>
        <w:rPr>
          <w:rFonts w:hint="eastAsia" w:ascii="Times New Roman" w:hAnsi="Times New Roman" w:eastAsia="宋体" w:cs="Times New Roman"/>
          <w:color w:val="auto"/>
          <w:sz w:val="24"/>
          <w:lang w:val="en-US" w:eastAsia="zh-CN"/>
        </w:rPr>
        <w:t>）</w:t>
      </w:r>
    </w:p>
    <w:p w14:paraId="279D4332">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3</w:t>
      </w:r>
      <w:r>
        <w:rPr>
          <w:rFonts w:hint="eastAsia" w:ascii="宋体" w:hAnsi="宋体" w:cs="仿宋"/>
          <w:color w:val="auto"/>
          <w:sz w:val="24"/>
        </w:rPr>
        <w:t>、服务期限: 自合同签订之日起</w:t>
      </w:r>
      <w:r>
        <w:rPr>
          <w:rFonts w:hint="eastAsia" w:ascii="宋体" w:hAnsi="宋体" w:cs="仿宋"/>
          <w:color w:val="auto"/>
          <w:sz w:val="24"/>
          <w:lang w:val="en-US" w:eastAsia="zh-CN"/>
        </w:rPr>
        <w:t>1</w:t>
      </w:r>
      <w:r>
        <w:rPr>
          <w:rFonts w:hint="eastAsia" w:ascii="宋体" w:hAnsi="宋体" w:cs="仿宋"/>
          <w:color w:val="auto"/>
          <w:sz w:val="24"/>
        </w:rPr>
        <w:t>年。</w:t>
      </w:r>
    </w:p>
    <w:p w14:paraId="3BC45DC8">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4</w:t>
      </w:r>
      <w:r>
        <w:rPr>
          <w:rFonts w:hint="eastAsia" w:ascii="宋体" w:hAnsi="宋体" w:cs="仿宋"/>
          <w:color w:val="auto"/>
          <w:sz w:val="24"/>
        </w:rPr>
        <w:t>、付款方式:确定中标人后,根据实际工作需要，签订协议,根据服务的内容,分期付款,以合同约定为主。</w:t>
      </w:r>
    </w:p>
    <w:p w14:paraId="045AED09">
      <w:pPr>
        <w:spacing w:line="450" w:lineRule="exact"/>
        <w:ind w:firstLine="480" w:firstLineChars="200"/>
        <w:rPr>
          <w:rFonts w:hint="eastAsia" w:ascii="宋体" w:hAnsi="宋体" w:cs="仿宋"/>
          <w:color w:val="auto"/>
          <w:sz w:val="24"/>
        </w:rPr>
      </w:pPr>
      <w:r>
        <w:rPr>
          <w:rFonts w:hint="eastAsia" w:ascii="宋体" w:hAnsi="宋体" w:cs="仿宋"/>
          <w:color w:val="auto"/>
          <w:sz w:val="24"/>
          <w:lang w:val="en-US" w:eastAsia="zh-CN"/>
        </w:rPr>
        <w:t>5</w:t>
      </w:r>
      <w:r>
        <w:rPr>
          <w:rFonts w:hint="eastAsia" w:ascii="宋体" w:hAnsi="宋体" w:cs="仿宋"/>
          <w:color w:val="auto"/>
          <w:sz w:val="24"/>
        </w:rPr>
        <w:t>、验收方式:密度达到国家病媒生物密度控制水平标准C级要求,须第三方机构验收并出具验收报告或通过国家卫生城市检查或省级检查。</w:t>
      </w:r>
    </w:p>
    <w:p w14:paraId="53981773">
      <w:pPr>
        <w:spacing w:line="440" w:lineRule="exact"/>
        <w:ind w:firstLine="482"/>
        <w:rPr>
          <w:rFonts w:hint="eastAsia"/>
          <w:color w:val="FF0000"/>
          <w:sz w:val="24"/>
          <w:lang w:val="en-US" w:eastAsia="zh-CN"/>
        </w:rPr>
      </w:pPr>
      <w:r>
        <w:rPr>
          <w:rFonts w:hint="eastAsia"/>
          <w:color w:val="auto"/>
          <w:sz w:val="24"/>
          <w:lang w:val="en-US" w:eastAsia="zh-CN"/>
        </w:rPr>
        <w:t>6、中标人未正式上岗前期间，由采购人委托病媒生物防制公司代管。代管期间费用根据本项目中标价格确定每日服务费，以实际代管天数进行费用结算。中标公司收到服务款5个工作日内一次性支付给代管公司，中标人必须履行本项要求并做出承诺</w:t>
      </w:r>
      <w:r>
        <w:rPr>
          <w:rFonts w:hint="eastAsia"/>
          <w:color w:val="FF0000"/>
          <w:sz w:val="24"/>
          <w:lang w:val="en-US" w:eastAsia="zh-CN"/>
        </w:rPr>
        <w:t>（承诺函格式自拟）。</w:t>
      </w:r>
    </w:p>
    <w:p w14:paraId="296C3CA3">
      <w:pPr>
        <w:spacing w:line="440" w:lineRule="exact"/>
        <w:jc w:val="center"/>
        <w:rPr>
          <w:rFonts w:hint="default"/>
          <w:color w:val="FF0000"/>
          <w:sz w:val="24"/>
          <w:lang w:val="en-US" w:eastAsia="zh-CN"/>
        </w:rPr>
      </w:pPr>
      <w:r>
        <w:rPr>
          <w:rFonts w:hint="eastAsia"/>
          <w:color w:val="FF0000"/>
          <w:sz w:val="24"/>
          <w:lang w:val="en-US" w:eastAsia="zh-CN"/>
        </w:rPr>
        <w:t>本标包用户需求不允许偏离，否则投标无效。</w:t>
      </w:r>
    </w:p>
    <w:p w14:paraId="6F7C355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7A"/>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57ED18"/>
    <w:multiLevelType w:val="singleLevel"/>
    <w:tmpl w:val="7C57ED1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125077"/>
    <w:rsid w:val="56FA334F"/>
    <w:rsid w:val="594159E5"/>
    <w:rsid w:val="5E877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uiPriority w:val="0"/>
    <w:pPr>
      <w:spacing w:after="120" w:afterLines="0"/>
    </w:pPr>
    <w:rPr>
      <w:rFonts w:ascii="Times New Roman" w:hAnsi="Times New Roman" w:eastAsia="宋体" w:cs="Times New Roman"/>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2025-12-18T05:03:18Z</dcterms:created>
  <dc:creator>Administrator</dc:creator>
  <cp:lastModifiedBy>爱二货的俊秀</cp:lastModifiedBy>
  <dcterms:modified xsi:type="dcterms:W3CDTF">2025-12-18T05:10:19Z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eyJoZGlkIjoiMmM4NWYwNmM0YzljNGU2YzE2OTQxM2I0N2ZjYjhkMDAiLCJ1c2VySWQiOiIyOTg1Mjk2ODQifQ==</vt:lpwstr>
  </property>
  <property fmtid="{D5CDD505-2E9C-101B-9397-08002B2CF9AE}" pid="4" name="ICV">
    <vt:lpwstr>32AE8EF9B24B4E44AA50334285A05A65_12</vt:lpwstr>
  </property>
</Properties>
</file>