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江西云碧峰国家森林公园白蚁及其他害虫防治方案</w:t>
      </w:r>
    </w:p>
    <w:p>
      <w:pPr>
        <w:pStyle w:val="3"/>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一、概况</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云碧峰国家森林公园位于江西省上饶市信州区东郊，地处信江河南岸，融山、林、江、寺为一体，面积872.5公顷。是上饶市市区最大的一块森林绿地，林木以亚热带天然次生林和人工林为主，森林覆盖率65%，植被种类有乔木、灌木、藤本及草本植物共307种，具有城市公园和森林公园双重功能。</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黑体" w:hAnsi="黑体" w:eastAsia="黑体" w:cs="黑体"/>
          <w:b w:val="0"/>
          <w:bCs/>
          <w:lang w:val="en-US" w:eastAsia="zh-CN"/>
        </w:rPr>
        <w:t>二、</w:t>
      </w:r>
      <w:r>
        <w:rPr>
          <w:rFonts w:hint="eastAsia" w:ascii="黑体" w:hAnsi="黑体" w:eastAsia="黑体" w:cs="黑体"/>
          <w:b w:val="0"/>
          <w:kern w:val="2"/>
          <w:sz w:val="32"/>
          <w:szCs w:val="32"/>
          <w:lang w:val="en-US" w:eastAsia="zh-CN" w:bidi="ar-SA"/>
        </w:rPr>
        <w:t>危害现状</w:t>
      </w:r>
    </w:p>
    <w:p>
      <w:pPr>
        <w:pStyle w:val="2"/>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此前云碧峰国家森林公园于2021年6月至2024年6月进行了3年的白蚁及其他病虫害防治工作，白蚁及其他森林害虫危害控制效果良好。而如今根据项目防治区域白蚁及其他森林害虫危害调查情况及日常管护反馈情况，目前防治范围内白蚁及其他森林害虫又有复苏蔓延迹象，亟需进行系统性防治工作。</w:t>
      </w:r>
    </w:p>
    <w:p>
      <w:pPr>
        <w:pStyle w:val="2"/>
        <w:spacing w:line="360" w:lineRule="auto"/>
        <w:ind w:firstLine="640" w:firstLineChars="200"/>
        <w:rPr>
          <w:rFonts w:hint="eastAsia" w:ascii="Times New Roman" w:hAnsi="Times New Roman" w:eastAsia="宋体" w:cs="Times New Roman"/>
          <w:kern w:val="2"/>
          <w:sz w:val="24"/>
          <w:szCs w:val="24"/>
          <w:lang w:val="en-US" w:bidi="ar-SA"/>
        </w:rPr>
      </w:pPr>
      <w:r>
        <w:rPr>
          <w:rFonts w:hint="eastAsia" w:ascii="仿宋_GB2312" w:hAnsi="仿宋_GB2312" w:eastAsia="仿宋_GB2312" w:cs="仿宋_GB2312"/>
          <w:b w:val="0"/>
          <w:kern w:val="2"/>
          <w:sz w:val="32"/>
          <w:szCs w:val="32"/>
          <w:lang w:val="en-US" w:eastAsia="zh-CN" w:bidi="ar-SA"/>
        </w:rPr>
        <w:t>经调查和品级认定，该区域基本包含所有白蚁种类，及部分食叶类害虫与蛀干类害虫。</w:t>
      </w:r>
    </w:p>
    <w:p>
      <w:pPr>
        <w:pStyle w:val="2"/>
        <w:spacing w:line="360" w:lineRule="auto"/>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云碧峰核心景观区、荔枝山核心景观区土栖白蚁（黑翅土白蚁、黄翅大白蚁）危害比较严重，危害面积最大，散白蚁（黄胸散白蚁、黑胸散白蚁）次之，台湾乳白蚁危害最少，食叶类害虫与主干类害虫呈零星散状分布，虫口密度较小，总体上危害一般。</w:t>
      </w: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lang w:val="en-US" w:eastAsia="zh-CN"/>
        </w:rPr>
      </w:pPr>
      <w:r>
        <w:rPr>
          <w:rFonts w:hint="eastAsia" w:ascii="宋体" w:hAnsi="宋体" w:eastAsia="宋体" w:cs="宋体"/>
          <w:b/>
          <w:bCs/>
          <w:lang w:val="en-US" w:eastAsia="zh-CN"/>
        </w:rPr>
        <w:drawing>
          <wp:inline distT="0" distB="0" distL="114300" distR="114300">
            <wp:extent cx="1566545" cy="2790825"/>
            <wp:effectExtent l="0" t="0" r="14605" b="9525"/>
            <wp:docPr id="1" name="图片 1" descr="白蚁危害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白蚁危害5"/>
                    <pic:cNvPicPr>
                      <a:picLocks noChangeAspect="true"/>
                    </pic:cNvPicPr>
                  </pic:nvPicPr>
                  <pic:blipFill>
                    <a:blip r:embed="rId5"/>
                    <a:stretch>
                      <a:fillRect/>
                    </a:stretch>
                  </pic:blipFill>
                  <pic:spPr>
                    <a:xfrm>
                      <a:off x="0" y="0"/>
                      <a:ext cx="1566545" cy="2790825"/>
                    </a:xfrm>
                    <a:prstGeom prst="rect">
                      <a:avLst/>
                    </a:prstGeom>
                  </pic:spPr>
                </pic:pic>
              </a:graphicData>
            </a:graphic>
          </wp:inline>
        </w:drawing>
      </w:r>
      <w:r>
        <w:rPr>
          <w:rFonts w:hint="eastAsia" w:ascii="宋体" w:hAnsi="宋体" w:eastAsia="宋体" w:cs="宋体"/>
          <w:b/>
          <w:bCs/>
          <w:lang w:val="en-US" w:eastAsia="zh-CN"/>
        </w:rPr>
        <w:drawing>
          <wp:inline distT="0" distB="0" distL="114300" distR="114300">
            <wp:extent cx="1810385" cy="2760980"/>
            <wp:effectExtent l="0" t="0" r="18415" b="1270"/>
            <wp:docPr id="4" name="图片 4" descr="白蚁危害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白蚁危害4"/>
                    <pic:cNvPicPr>
                      <a:picLocks noChangeAspect="true"/>
                    </pic:cNvPicPr>
                  </pic:nvPicPr>
                  <pic:blipFill>
                    <a:blip r:embed="rId6"/>
                    <a:stretch>
                      <a:fillRect/>
                    </a:stretch>
                  </pic:blipFill>
                  <pic:spPr>
                    <a:xfrm>
                      <a:off x="0" y="0"/>
                      <a:ext cx="1810385" cy="2760980"/>
                    </a:xfrm>
                    <a:prstGeom prst="rect">
                      <a:avLst/>
                    </a:prstGeom>
                  </pic:spPr>
                </pic:pic>
              </a:graphicData>
            </a:graphic>
          </wp:inline>
        </w:drawing>
      </w:r>
      <w:r>
        <w:rPr>
          <w:rFonts w:hint="eastAsia" w:ascii="宋体" w:hAnsi="宋体" w:eastAsia="宋体" w:cs="宋体"/>
          <w:b/>
          <w:bCs/>
          <w:lang w:val="en-US" w:eastAsia="zh-CN"/>
        </w:rPr>
        <w:drawing>
          <wp:inline distT="0" distB="0" distL="114300" distR="114300">
            <wp:extent cx="1800860" cy="2787015"/>
            <wp:effectExtent l="0" t="0" r="8890" b="13335"/>
            <wp:docPr id="7" name="图片 7" descr="白蚁危害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白蚁危害3"/>
                    <pic:cNvPicPr>
                      <a:picLocks noChangeAspect="true"/>
                    </pic:cNvPicPr>
                  </pic:nvPicPr>
                  <pic:blipFill>
                    <a:blip r:embed="rId7"/>
                    <a:stretch>
                      <a:fillRect/>
                    </a:stretch>
                  </pic:blipFill>
                  <pic:spPr>
                    <a:xfrm>
                      <a:off x="0" y="0"/>
                      <a:ext cx="1800860" cy="2787015"/>
                    </a:xfrm>
                    <a:prstGeom prst="rect">
                      <a:avLst/>
                    </a:prstGeom>
                  </pic:spPr>
                </pic:pic>
              </a:graphicData>
            </a:graphic>
          </wp:inline>
        </w:drawing>
      </w:r>
      <w:r>
        <w:rPr>
          <w:rFonts w:hint="eastAsia" w:ascii="宋体" w:hAnsi="宋体" w:eastAsia="宋体" w:cs="宋体"/>
          <w:b/>
          <w:bCs/>
          <w:lang w:val="en-US" w:eastAsia="zh-CN"/>
        </w:rPr>
        <w:drawing>
          <wp:inline distT="0" distB="0" distL="114300" distR="114300">
            <wp:extent cx="1558925" cy="2921635"/>
            <wp:effectExtent l="0" t="0" r="3175" b="12065"/>
            <wp:docPr id="6" name="图片 6" descr="白蚁危害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白蚁危害2"/>
                    <pic:cNvPicPr>
                      <a:picLocks noChangeAspect="true"/>
                    </pic:cNvPicPr>
                  </pic:nvPicPr>
                  <pic:blipFill>
                    <a:blip r:embed="rId8"/>
                    <a:stretch>
                      <a:fillRect/>
                    </a:stretch>
                  </pic:blipFill>
                  <pic:spPr>
                    <a:xfrm>
                      <a:off x="0" y="0"/>
                      <a:ext cx="1558925" cy="2921635"/>
                    </a:xfrm>
                    <a:prstGeom prst="rect">
                      <a:avLst/>
                    </a:prstGeom>
                  </pic:spPr>
                </pic:pic>
              </a:graphicData>
            </a:graphic>
          </wp:inline>
        </w:drawing>
      </w:r>
      <w:r>
        <w:rPr>
          <w:rFonts w:hint="eastAsia" w:ascii="宋体" w:hAnsi="宋体" w:eastAsia="宋体" w:cs="宋体"/>
          <w:b/>
          <w:bCs/>
          <w:lang w:val="en-US" w:eastAsia="zh-CN"/>
        </w:rPr>
        <w:drawing>
          <wp:inline distT="0" distB="0" distL="114300" distR="114300">
            <wp:extent cx="1814195" cy="2912745"/>
            <wp:effectExtent l="0" t="0" r="14605" b="1905"/>
            <wp:docPr id="5" name="图片 5" descr="白蚁危害"/>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白蚁危害"/>
                    <pic:cNvPicPr>
                      <a:picLocks noChangeAspect="true"/>
                    </pic:cNvPicPr>
                  </pic:nvPicPr>
                  <pic:blipFill>
                    <a:blip r:embed="rId9"/>
                    <a:stretch>
                      <a:fillRect/>
                    </a:stretch>
                  </pic:blipFill>
                  <pic:spPr>
                    <a:xfrm>
                      <a:off x="0" y="0"/>
                      <a:ext cx="1814195" cy="2912745"/>
                    </a:xfrm>
                    <a:prstGeom prst="rect">
                      <a:avLst/>
                    </a:prstGeom>
                  </pic:spPr>
                </pic:pic>
              </a:graphicData>
            </a:graphic>
          </wp:inline>
        </w:drawing>
      </w:r>
      <w:r>
        <w:rPr>
          <w:rFonts w:hint="eastAsia" w:ascii="宋体" w:hAnsi="宋体" w:eastAsia="宋体" w:cs="宋体"/>
          <w:b/>
          <w:bCs/>
          <w:lang w:val="en-US" w:eastAsia="zh-CN"/>
        </w:rPr>
        <w:drawing>
          <wp:inline distT="0" distB="0" distL="114300" distR="114300">
            <wp:extent cx="1830705" cy="2896870"/>
            <wp:effectExtent l="0" t="0" r="17145" b="17780"/>
            <wp:docPr id="8" name="图片 8" descr="松材线虫病"/>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松材线虫病"/>
                    <pic:cNvPicPr>
                      <a:picLocks noChangeAspect="true"/>
                    </pic:cNvPicPr>
                  </pic:nvPicPr>
                  <pic:blipFill>
                    <a:blip r:embed="rId10"/>
                    <a:stretch>
                      <a:fillRect/>
                    </a:stretch>
                  </pic:blipFill>
                  <pic:spPr>
                    <a:xfrm flipH="true">
                      <a:off x="0" y="0"/>
                      <a:ext cx="1830705" cy="2896870"/>
                    </a:xfrm>
                    <a:prstGeom prst="rect">
                      <a:avLst/>
                    </a:prstGeom>
                  </pic:spPr>
                </pic:pic>
              </a:graphicData>
            </a:graphic>
          </wp:inline>
        </w:drawing>
      </w: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lang w:val="en-US" w:eastAsia="zh-CN"/>
        </w:rPr>
      </w:pPr>
      <w:r>
        <w:rPr>
          <w:rFonts w:hint="eastAsia" w:cs="宋体"/>
          <w:b/>
          <w:bCs/>
          <w:lang w:val="en-US" w:eastAsia="zh-CN"/>
        </w:rPr>
        <w:t>（白蚁及其他虫害照片）</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三、防治范围及防治内容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1.防治范围：此次防治工作防治范围为森林公园核心景区云碧阁、辰钟楼、毓秀台片区及游步道两侧约30米处，面积大约400亩。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2.防治内容：白蚁、松材线虫、榆叶蜂、杨舟蛾类等病虫害。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kern w:val="0"/>
          <w:sz w:val="32"/>
          <w:szCs w:val="28"/>
          <w:lang w:val="en-US" w:eastAsia="zh-CN" w:bidi="ar-SA"/>
        </w:rPr>
        <w:t>3.防治时间：2025年11月至2026年6月。</w:t>
      </w:r>
    </w:p>
    <w:p>
      <w:pPr>
        <w:pStyle w:val="3"/>
        <w:pageBreakBefore w:val="0"/>
        <w:kinsoku/>
        <w:wordWrap/>
        <w:overflowPunct/>
        <w:topLinePunct w:val="0"/>
        <w:autoSpaceDE/>
        <w:autoSpaceDN/>
        <w:bidi w:val="0"/>
        <w:adjustRightInd/>
        <w:snapToGrid/>
        <w:spacing w:before="0" w:beforeLines="0" w:after="0" w:afterLines="0" w:line="600" w:lineRule="exact"/>
        <w:ind w:firstLine="642" w:firstLineChars="200"/>
        <w:textAlignment w:val="auto"/>
        <w:rPr>
          <w:rFonts w:hint="default"/>
          <w:lang w:val="en-US" w:eastAsia="zh-CN"/>
        </w:rPr>
      </w:pPr>
      <w:r>
        <w:rPr>
          <w:rFonts w:hint="eastAsia"/>
          <w:lang w:val="en-US" w:eastAsia="zh-CN"/>
        </w:rPr>
        <w:t>四、防治方法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1.总体安排：对于虫害危害严重区域，协调采用诱杀、监控、灭治等多种方法，整个景区全面治理；对于危害程度一般区域，采用监控、诱杀相结合的方法；对交界区域的树木，采用监控、诱杀、药剂隔离等区域控制措施，形成白蚁及其它虫害控制带，防止通过“飞、爬、带”等形式扩散蔓延至园内危害。对于危害程度较轻的区域，采用检查、灭治相结合的方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针对古树名木，受虫害较严重的树木，采用定点治理方法；对于不同的品种，采用灭治与控制相结合的策略。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2.景区具体灭治方法和措施：由于景区内虫害各危害源的环境、地势、空间位置的差异，及品种的不同，将采用以西部景区为中心，从东到西，从北到南，逐渐推进，全面展开的方案。主要技术措施如下：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（1）精准微创挖巢：在森林公园林地和绿化带通过物理锤探进行探挖白蚁巢，取出主巢灭杀。家白蚁科杀灭时间节点在3-6月或8-10月份，土白蚁科杀灭时间为5-11月。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2）白蚁监测控制：在防治区域内散白蚁和乳白蚁危害区域，根据已掌握的白蚁分布和密度情况，根据治理区域内树木的实际情况，以树木、绿化稠密区为中心，向四周由密至稀，间距不等地有针对性设计白蚁监测装置位置。树木绿化密和白蚁危害严重处以每5㎡设置一套监控装置，其余空间以20㎡—30㎡内设置安装一套监控装置的原则布控。在实际施工中，遇到因地形或环境等原因不能按图设置的，可在现场技术人员的指导下进行调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安装：重点区域为办公楼、公园小木屋、姐妹亭、云碧阁、辰钟楼等一些建筑物和危害树木周围，以及园区内重点区域等交界处。埋设的装置定期进行检查，对发现白蚁且符合施药条件的装置进行喷粉灭杀，并做好相应的后续维护工作和档案记录工作，定期检查确认防治效果；检查过程中发现破损的或饵木霉变的装置及时进行更换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3）饵剂诱杀：在白蚁活动时期，有白蚁危害迹象的树木地面树基四周，投放3-5包的新型白蚁诱杀包，用草泥覆盖，或在危害草坪处浅挖放入诱杀包，用草泥轻轻覆盖。注意天气需几天晴朗，诱杀包周期一般1到2周，要及时检查诱杀包取食情况，做好及时补投，确保防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4）药剂喷洒：对防治区域内的草坪、绿化带树木、栈道两侧树木、林地直径2厘米以上的树木、林地草坪前进行喷洒药剂防治和灭治。根据不同虫害发生情况，在害虫活动时期，及时采取有针对性的防治方法和防治药液，治早、治小，主要针对危害树木和草坪的土栖白蚁、散白蚁，以及其他森林害虫。药剂必须选用</w:t>
      </w:r>
      <w:r>
        <w:rPr>
          <w:rFonts w:hint="eastAsia" w:ascii="仿宋_GB2312" w:hAnsi="仿宋_GB2312" w:eastAsia="仿宋_GB2312" w:cs="仿宋_GB2312"/>
          <w:b/>
          <w:bCs/>
          <w:kern w:val="0"/>
          <w:sz w:val="32"/>
          <w:szCs w:val="28"/>
          <w:lang w:val="en-US" w:eastAsia="zh-CN" w:bidi="ar-SA"/>
        </w:rPr>
        <w:t>高效低毒药剂</w:t>
      </w:r>
      <w:r>
        <w:rPr>
          <w:rFonts w:hint="eastAsia" w:ascii="仿宋_GB2312" w:hAnsi="仿宋_GB2312" w:eastAsia="仿宋_GB2312" w:cs="仿宋_GB2312"/>
          <w:kern w:val="0"/>
          <w:sz w:val="32"/>
          <w:szCs w:val="28"/>
          <w:lang w:val="en-US" w:eastAsia="zh-CN" w:bidi="ar-SA"/>
        </w:rPr>
        <w:t>，喷洒处理时需远离水源，选择晴朗天气施工。对水源附近危害区域选用其他方式防治，确保不污染环境。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5）灯光诱杀：由于治理区地处山势，周围有大量蚁源和森林害虫存在。每年会有大量种类有翅成虫（蚁）飞入治理区域进行繁殖，为有效阻止外界虫害（蚁）的飞入，在项目的重点区域安装太阳能智能黑光灯，进行诱集触杀。同时，特别是对森林害虫按照治早治小原则，在害虫繁殖分飞期间，在山腰或山顶处架支太阳能智能黑灯光，利用昆虫的趋光性诱集触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（6）冬季树木刷白：在冬季用电动喷雾器，配备专用喷头，对公园入口至上山游步道两侧10米内可见的直径5厘米以上树木树干等进行刷白处理</w:t>
      </w:r>
      <w:r>
        <w:rPr>
          <w:rFonts w:hint="eastAsia" w:ascii="仿宋_GB2312" w:hAnsi="仿宋_GB2312" w:eastAsia="仿宋_GB2312" w:cs="仿宋_GB2312"/>
          <w:b/>
          <w:bCs/>
          <w:kern w:val="0"/>
          <w:sz w:val="32"/>
          <w:szCs w:val="28"/>
          <w:lang w:val="en-US" w:eastAsia="zh-CN" w:bidi="ar-SA"/>
        </w:rPr>
        <w:t>（约6000棵，具体数量</w:t>
      </w:r>
      <w:r>
        <w:rPr>
          <w:rFonts w:hint="default" w:ascii="仿宋_GB2312" w:hAnsi="仿宋_GB2312" w:eastAsia="仿宋_GB2312" w:cs="仿宋_GB2312"/>
          <w:b/>
          <w:bCs/>
          <w:kern w:val="0"/>
          <w:sz w:val="32"/>
          <w:szCs w:val="28"/>
          <w:lang w:val="en" w:eastAsia="zh-CN" w:bidi="ar-SA"/>
        </w:rPr>
        <w:t>以</w:t>
      </w:r>
      <w:r>
        <w:rPr>
          <w:rFonts w:hint="eastAsia" w:ascii="仿宋_GB2312" w:hAnsi="仿宋_GB2312" w:eastAsia="仿宋_GB2312" w:cs="仿宋_GB2312"/>
          <w:b/>
          <w:bCs/>
          <w:kern w:val="0"/>
          <w:sz w:val="32"/>
          <w:szCs w:val="28"/>
          <w:lang w:val="en-US" w:eastAsia="zh-CN" w:bidi="ar-SA"/>
        </w:rPr>
        <w:t>实际为准）</w:t>
      </w:r>
      <w:r>
        <w:rPr>
          <w:rFonts w:hint="eastAsia" w:ascii="仿宋_GB2312" w:hAnsi="仿宋_GB2312" w:eastAsia="仿宋_GB2312" w:cs="仿宋_GB2312"/>
          <w:kern w:val="0"/>
          <w:sz w:val="32"/>
          <w:szCs w:val="28"/>
          <w:lang w:val="en-US" w:eastAsia="zh-CN" w:bidi="ar-SA"/>
        </w:rPr>
        <w:t>。选用专用涂白剂，主要由水和生石灰混合而成，有助于帮助杀灭害虫，预防寄</w:t>
      </w:r>
      <w:bookmarkStart w:id="0" w:name="_GoBack"/>
      <w:bookmarkEnd w:id="0"/>
      <w:r>
        <w:rPr>
          <w:rFonts w:hint="eastAsia" w:ascii="仿宋_GB2312" w:hAnsi="仿宋_GB2312" w:eastAsia="仿宋_GB2312" w:cs="仿宋_GB2312"/>
          <w:kern w:val="0"/>
          <w:sz w:val="32"/>
          <w:szCs w:val="28"/>
          <w:lang w:val="en-US" w:eastAsia="zh-CN" w:bidi="ar-SA"/>
        </w:rPr>
        <w:t>生虫，也能避免冬季树干的黑色吸取大量热量导致树干冷热交替引起树皮皲裂。</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黑体" w:hAnsi="黑体" w:eastAsia="黑体" w:cs="黑体"/>
          <w:b w:val="0"/>
          <w:bCs/>
          <w:lang w:val="en" w:eastAsia="zh-CN"/>
        </w:rPr>
      </w:pPr>
      <w:r>
        <w:rPr>
          <w:rFonts w:hint="eastAsia" w:ascii="黑体" w:hAnsi="黑体" w:eastAsia="黑体" w:cs="黑体"/>
          <w:b w:val="0"/>
          <w:bCs/>
          <w:lang w:val="en-US" w:eastAsia="zh-CN"/>
        </w:rPr>
        <w:t>五、质量标准及防治效果验收标准</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28"/>
          <w:lang w:val="en-US" w:eastAsia="zh-CN" w:bidi="ar-SA"/>
        </w:rPr>
      </w:pPr>
      <w:r>
        <w:rPr>
          <w:rFonts w:hint="default" w:ascii="仿宋_GB2312" w:hAnsi="仿宋_GB2312" w:eastAsia="仿宋_GB2312" w:cs="仿宋_GB2312"/>
          <w:kern w:val="0"/>
          <w:sz w:val="32"/>
          <w:szCs w:val="28"/>
          <w:lang w:val="en-US" w:eastAsia="zh-CN" w:bidi="ar-SA"/>
        </w:rPr>
        <w:t>在工程施工全过程中，严格执行国家、行业的有关施工质量规范，</w:t>
      </w:r>
      <w:r>
        <w:rPr>
          <w:rFonts w:hint="eastAsia" w:ascii="仿宋_GB2312" w:hAnsi="仿宋_GB2312" w:eastAsia="仿宋_GB2312" w:cs="仿宋_GB2312"/>
          <w:kern w:val="0"/>
          <w:sz w:val="32"/>
          <w:szCs w:val="28"/>
          <w:lang w:val="en-US" w:eastAsia="zh-CN" w:bidi="ar-SA"/>
        </w:rPr>
        <w:t>施工时避开人流高峰期，做好宣传和悬挂警示标语。</w:t>
      </w:r>
      <w:r>
        <w:rPr>
          <w:rFonts w:hint="default" w:ascii="仿宋_GB2312" w:hAnsi="仿宋_GB2312" w:eastAsia="仿宋_GB2312" w:cs="仿宋_GB2312"/>
          <w:kern w:val="0"/>
          <w:sz w:val="32"/>
          <w:szCs w:val="28"/>
          <w:lang w:val="en-US" w:eastAsia="zh-CN" w:bidi="ar-SA"/>
        </w:rPr>
        <w:t>以项目施工为核心，对影响工程质量的各要素进行严格控制，确保工程质量和进度。</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28"/>
          <w:lang w:val="en-US" w:eastAsia="zh-CN" w:bidi="ar-SA"/>
        </w:rPr>
      </w:pPr>
      <w:r>
        <w:rPr>
          <w:rFonts w:hint="default" w:ascii="仿宋_GB2312" w:hAnsi="仿宋_GB2312" w:eastAsia="仿宋_GB2312" w:cs="仿宋_GB2312"/>
          <w:kern w:val="0"/>
          <w:sz w:val="32"/>
          <w:szCs w:val="28"/>
          <w:lang w:val="en-US" w:eastAsia="zh-CN" w:bidi="ar-SA"/>
        </w:rPr>
        <w:t>按质量管理要求做好施工记录，落实专人执勤，加强日常巡查检查，查漏补缺，发现蚁情，及时防治，治早治小；服从甲方管理、检查、考核，确保通过</w:t>
      </w:r>
      <w:r>
        <w:rPr>
          <w:rFonts w:hint="eastAsia" w:ascii="仿宋_GB2312" w:hAnsi="仿宋_GB2312" w:eastAsia="仿宋_GB2312" w:cs="仿宋_GB2312"/>
          <w:kern w:val="0"/>
          <w:sz w:val="32"/>
          <w:szCs w:val="28"/>
          <w:lang w:val="en-US" w:eastAsia="zh-CN" w:bidi="ar-SA"/>
        </w:rPr>
        <w:t>2025年11月至2026年6月的半年</w:t>
      </w:r>
      <w:r>
        <w:rPr>
          <w:rFonts w:hint="default" w:ascii="仿宋_GB2312" w:hAnsi="仿宋_GB2312" w:eastAsia="仿宋_GB2312" w:cs="仿宋_GB2312"/>
          <w:kern w:val="0"/>
          <w:sz w:val="32"/>
          <w:szCs w:val="28"/>
          <w:lang w:val="en-US" w:eastAsia="zh-CN" w:bidi="ar-SA"/>
        </w:rPr>
        <w:t>治理</w:t>
      </w:r>
      <w:r>
        <w:rPr>
          <w:rFonts w:hint="eastAsia" w:ascii="仿宋_GB2312" w:hAnsi="仿宋_GB2312" w:eastAsia="仿宋_GB2312" w:cs="仿宋_GB2312"/>
          <w:kern w:val="0"/>
          <w:sz w:val="32"/>
          <w:szCs w:val="28"/>
          <w:lang w:val="en-US" w:eastAsia="zh-CN" w:bidi="ar-SA"/>
        </w:rPr>
        <w:t>期</w:t>
      </w:r>
      <w:r>
        <w:rPr>
          <w:rFonts w:hint="default" w:ascii="仿宋_GB2312" w:hAnsi="仿宋_GB2312" w:eastAsia="仿宋_GB2312" w:cs="仿宋_GB2312"/>
          <w:kern w:val="0"/>
          <w:sz w:val="32"/>
          <w:szCs w:val="28"/>
          <w:lang w:val="en-US" w:eastAsia="zh-CN" w:bidi="ar-SA"/>
        </w:rPr>
        <w:t>，达到“</w:t>
      </w:r>
      <w:r>
        <w:rPr>
          <w:rFonts w:hint="eastAsia" w:ascii="仿宋_GB2312" w:hAnsi="仿宋_GB2312" w:eastAsia="仿宋_GB2312" w:cs="仿宋_GB2312"/>
          <w:kern w:val="0"/>
          <w:sz w:val="32"/>
          <w:szCs w:val="28"/>
          <w:lang w:val="en-US" w:eastAsia="zh-CN" w:bidi="ar-SA"/>
        </w:rPr>
        <w:t>基本控制蚁害和园林害虫</w:t>
      </w:r>
      <w:r>
        <w:rPr>
          <w:rFonts w:hint="default" w:ascii="仿宋_GB2312" w:hAnsi="仿宋_GB2312" w:eastAsia="仿宋_GB2312" w:cs="仿宋_GB2312"/>
          <w:kern w:val="0"/>
          <w:sz w:val="32"/>
          <w:szCs w:val="28"/>
          <w:lang w:val="en-US" w:eastAsia="zh-CN" w:bidi="ar-SA"/>
        </w:rPr>
        <w:t>”防治目标，防治工程达到合格，同时，确保绿色环保无公害。检查绿化树木，基本控制白蚁上树危害，没有新的上树危害；检查地表，基本控制白蚁危害，没有新的泥被泥线</w:t>
      </w:r>
      <w:r>
        <w:rPr>
          <w:rFonts w:hint="eastAsia" w:ascii="仿宋_GB2312" w:hAnsi="仿宋_GB2312" w:eastAsia="仿宋_GB2312" w:cs="仿宋_GB2312"/>
          <w:kern w:val="0"/>
          <w:sz w:val="32"/>
          <w:szCs w:val="28"/>
          <w:lang w:val="en-US" w:eastAsia="zh-CN" w:bidi="ar-SA"/>
        </w:rPr>
        <w:t>；基本控制其他森林害虫危害。</w:t>
      </w:r>
    </w:p>
    <w:p>
      <w:pPr>
        <w:pStyle w:val="3"/>
        <w:bidi w:val="0"/>
        <w:ind w:firstLine="642" w:firstLineChars="200"/>
        <w:rPr>
          <w:rFonts w:hint="default"/>
          <w:lang w:val="en-US" w:eastAsia="zh-CN"/>
        </w:rPr>
      </w:pPr>
      <w:r>
        <w:rPr>
          <w:rFonts w:hint="eastAsia"/>
          <w:lang w:val="en-US" w:eastAsia="zh-CN"/>
        </w:rPr>
        <w:t>六、防治经费概算</w:t>
      </w:r>
    </w:p>
    <w:tbl>
      <w:tblPr>
        <w:tblStyle w:val="7"/>
        <w:tblW w:w="8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1984"/>
        <w:gridCol w:w="946"/>
        <w:gridCol w:w="921"/>
        <w:gridCol w:w="1365"/>
        <w:gridCol w:w="1464"/>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r>
              <w:rPr>
                <w:rStyle w:val="9"/>
                <w:rFonts w:ascii="宋体" w:hAnsi="Calibri" w:eastAsia="宋体"/>
                <w:kern w:val="2"/>
                <w:sz w:val="24"/>
                <w:szCs w:val="24"/>
                <w:lang w:val="en-US" w:eastAsia="zh-CN" w:bidi="ar-SA"/>
              </w:rPr>
              <w:t>序号</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防治内容</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r>
              <w:rPr>
                <w:rStyle w:val="9"/>
                <w:rFonts w:ascii="宋体" w:hAnsi="Calibri" w:eastAsia="宋体"/>
                <w:kern w:val="2"/>
                <w:sz w:val="24"/>
                <w:szCs w:val="24"/>
                <w:lang w:val="en-US" w:eastAsia="zh-CN" w:bidi="ar-SA"/>
              </w:rPr>
              <w:t>单位</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r>
              <w:rPr>
                <w:rStyle w:val="9"/>
                <w:rFonts w:ascii="宋体" w:hAnsi="Calibri" w:eastAsia="宋体"/>
                <w:kern w:val="2"/>
                <w:sz w:val="24"/>
                <w:szCs w:val="24"/>
                <w:lang w:val="en-US" w:eastAsia="zh-CN" w:bidi="ar-SA"/>
              </w:rPr>
              <w:t>数量</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r>
              <w:rPr>
                <w:rStyle w:val="9"/>
                <w:rFonts w:ascii="宋体" w:hAnsi="Calibri" w:eastAsia="宋体"/>
                <w:kern w:val="2"/>
                <w:sz w:val="24"/>
                <w:szCs w:val="24"/>
                <w:lang w:val="en-US" w:eastAsia="zh-CN" w:bidi="ar-SA"/>
              </w:rPr>
              <w:t>单价(元)</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r>
              <w:rPr>
                <w:rStyle w:val="9"/>
                <w:rFonts w:ascii="宋体" w:hAnsi="Calibri" w:eastAsia="宋体"/>
                <w:kern w:val="2"/>
                <w:sz w:val="24"/>
                <w:szCs w:val="24"/>
                <w:lang w:val="en-US" w:eastAsia="zh-CN" w:bidi="ar-SA"/>
              </w:rPr>
              <w:t>合价(元)</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r>
              <w:rPr>
                <w:rStyle w:val="9"/>
                <w:rFonts w:ascii="宋体" w:hAnsi="Calibri" w:eastAsia="宋体"/>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1</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精准微创挖巢</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巢</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50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400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20000</w:t>
            </w:r>
          </w:p>
        </w:tc>
        <w:tc>
          <w:tcPr>
            <w:tcW w:w="816" w:type="dxa"/>
            <w:vMerge w:val="restart"/>
            <w:tcBorders>
              <w:top w:val="single" w:color="000000" w:sz="4" w:space="0"/>
              <w:left w:val="single" w:color="000000" w:sz="4" w:space="0"/>
              <w:right w:val="single" w:color="000000" w:sz="4" w:space="0"/>
            </w:tcBorders>
            <w:noWrap w:val="0"/>
            <w:vAlign w:val="center"/>
          </w:tcPr>
          <w:p>
            <w:pPr>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数量及总价以实际结算为准，不超合同总价。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kern w:val="2"/>
                <w:sz w:val="24"/>
                <w:szCs w:val="24"/>
                <w:lang w:val="en-US" w:eastAsia="zh-CN" w:bidi="ar-SA"/>
              </w:rPr>
            </w:pPr>
            <w:r>
              <w:rPr>
                <w:rStyle w:val="9"/>
                <w:rFonts w:hint="eastAsia" w:ascii="宋体"/>
                <w:kern w:val="2"/>
                <w:sz w:val="24"/>
                <w:szCs w:val="24"/>
                <w:lang w:val="en-US" w:eastAsia="zh-CN" w:bidi="ar-SA"/>
              </w:rPr>
              <w:t>2</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kern w:val="2"/>
                <w:sz w:val="24"/>
                <w:szCs w:val="24"/>
                <w:lang w:val="en-US" w:eastAsia="zh-CN" w:bidi="ar-SA"/>
              </w:rPr>
            </w:pPr>
            <w:r>
              <w:rPr>
                <w:rStyle w:val="9"/>
                <w:rFonts w:hint="eastAsia" w:ascii="宋体"/>
                <w:kern w:val="2"/>
                <w:sz w:val="24"/>
                <w:szCs w:val="24"/>
                <w:lang w:val="en-US" w:eastAsia="zh-CN" w:bidi="ar-SA"/>
              </w:rPr>
              <w:t>白蚁监测控制</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套</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1000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35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35000</w:t>
            </w:r>
          </w:p>
        </w:tc>
        <w:tc>
          <w:tcPr>
            <w:tcW w:w="816" w:type="dxa"/>
            <w:vMerge w:val="continue"/>
            <w:tcBorders>
              <w:left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eastAsia" w:ascii="宋体" w:hAnsi="Calibri" w:eastAsia="宋体" w:cs="Times New Roman"/>
                <w:kern w:val="2"/>
                <w:sz w:val="24"/>
                <w:szCs w:val="24"/>
                <w:lang w:val="en-US" w:eastAsia="zh-CN" w:bidi="ar-SA"/>
              </w:rPr>
            </w:pPr>
            <w:r>
              <w:rPr>
                <w:rStyle w:val="9"/>
                <w:rFonts w:hint="eastAsia" w:ascii="宋体"/>
                <w:kern w:val="2"/>
                <w:sz w:val="24"/>
                <w:szCs w:val="24"/>
                <w:lang w:val="en-US" w:eastAsia="zh-CN" w:bidi="ar-SA"/>
              </w:rPr>
              <w:t>3</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kern w:val="2"/>
                <w:sz w:val="24"/>
                <w:szCs w:val="24"/>
                <w:lang w:val="en-US" w:eastAsia="zh-CN" w:bidi="ar-SA"/>
              </w:rPr>
            </w:pPr>
            <w:r>
              <w:rPr>
                <w:rStyle w:val="9"/>
                <w:rFonts w:hint="eastAsia" w:ascii="宋体"/>
                <w:kern w:val="2"/>
                <w:sz w:val="24"/>
                <w:szCs w:val="24"/>
                <w:lang w:val="en-US" w:eastAsia="zh-CN" w:bidi="ar-SA"/>
              </w:rPr>
              <w:t>装置饵芯</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套</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1000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25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25000</w:t>
            </w:r>
          </w:p>
        </w:tc>
        <w:tc>
          <w:tcPr>
            <w:tcW w:w="816" w:type="dxa"/>
            <w:vMerge w:val="continue"/>
            <w:tcBorders>
              <w:left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Style w:val="9"/>
                <w:rFonts w:hint="eastAsia" w:ascii="宋体"/>
                <w:kern w:val="2"/>
                <w:sz w:val="24"/>
                <w:szCs w:val="24"/>
                <w:lang w:val="en-US" w:eastAsia="zh-CN" w:bidi="ar-SA"/>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饵剂诱杀</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包</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6000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24000</w:t>
            </w:r>
          </w:p>
        </w:tc>
        <w:tc>
          <w:tcPr>
            <w:tcW w:w="816" w:type="dxa"/>
            <w:vMerge w:val="continue"/>
            <w:tcBorders>
              <w:left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Style w:val="9"/>
                <w:rFonts w:hint="eastAsia" w:ascii="宋体"/>
                <w:kern w:val="2"/>
                <w:sz w:val="24"/>
                <w:szCs w:val="24"/>
                <w:lang w:val="en-US" w:eastAsia="zh-CN" w:bidi="ar-SA"/>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药剂喷洒</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千克</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40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32000</w:t>
            </w:r>
          </w:p>
        </w:tc>
        <w:tc>
          <w:tcPr>
            <w:tcW w:w="816" w:type="dxa"/>
            <w:vMerge w:val="continue"/>
            <w:tcBorders>
              <w:left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Style w:val="9"/>
                <w:rFonts w:hint="eastAsia" w:ascii="宋体"/>
                <w:kern w:val="2"/>
                <w:sz w:val="24"/>
                <w:szCs w:val="24"/>
                <w:lang w:val="en-US" w:eastAsia="zh-CN" w:bidi="ar-SA"/>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灯光诱杀</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盏</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1200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18000</w:t>
            </w:r>
          </w:p>
        </w:tc>
        <w:tc>
          <w:tcPr>
            <w:tcW w:w="816" w:type="dxa"/>
            <w:vMerge w:val="continue"/>
            <w:tcBorders>
              <w:left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kern w:val="2"/>
                <w:sz w:val="24"/>
                <w:szCs w:val="24"/>
                <w:lang w:val="en-US" w:eastAsia="zh-CN" w:bidi="ar-SA"/>
              </w:rPr>
            </w:pPr>
            <w:r>
              <w:rPr>
                <w:rStyle w:val="9"/>
                <w:rFonts w:hint="eastAsia" w:ascii="宋体"/>
                <w:kern w:val="2"/>
                <w:sz w:val="24"/>
                <w:szCs w:val="24"/>
                <w:lang w:val="en-US" w:eastAsia="zh-CN" w:bidi="ar-SA"/>
              </w:rPr>
              <w:t>7</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冬季树木刷白</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棵</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6000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30000</w:t>
            </w:r>
          </w:p>
        </w:tc>
        <w:tc>
          <w:tcPr>
            <w:tcW w:w="816" w:type="dxa"/>
            <w:vMerge w:val="continue"/>
            <w:tcBorders>
              <w:left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kern w:val="2"/>
                <w:sz w:val="24"/>
                <w:szCs w:val="24"/>
                <w:lang w:val="en-US" w:eastAsia="zh-CN" w:bidi="ar-SA"/>
              </w:rPr>
            </w:pPr>
            <w:r>
              <w:rPr>
                <w:rStyle w:val="9"/>
                <w:rFonts w:hint="eastAsia" w:ascii="宋体"/>
                <w:kern w:val="2"/>
                <w:sz w:val="24"/>
                <w:szCs w:val="24"/>
                <w:lang w:val="en-US" w:eastAsia="zh-CN" w:bidi="ar-SA"/>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其它病虫害处置</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Style w:val="9"/>
                <w:rFonts w:hint="eastAsia"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项</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Fonts w:hint="default"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14000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14000</w:t>
            </w:r>
          </w:p>
        </w:tc>
        <w:tc>
          <w:tcPr>
            <w:tcW w:w="816" w:type="dxa"/>
            <w:vMerge w:val="continue"/>
            <w:tcBorders>
              <w:left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00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r>
              <w:rPr>
                <w:rStyle w:val="9"/>
                <w:rFonts w:ascii="宋体" w:hAnsi="Calibri" w:eastAsia="宋体"/>
                <w:kern w:val="2"/>
                <w:sz w:val="24"/>
                <w:szCs w:val="24"/>
                <w:lang w:val="en-US" w:eastAsia="zh-CN" w:bidi="ar-SA"/>
              </w:rPr>
              <w:t>合计</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hint="default" w:ascii="宋体" w:hAnsi="Calibri" w:eastAsia="宋体"/>
                <w:kern w:val="2"/>
                <w:sz w:val="24"/>
                <w:szCs w:val="24"/>
                <w:lang w:val="en-US" w:eastAsia="zh-CN" w:bidi="ar-SA"/>
              </w:rPr>
            </w:pPr>
            <w:r>
              <w:rPr>
                <w:rStyle w:val="9"/>
                <w:rFonts w:hint="eastAsia" w:ascii="宋体" w:hAnsi="Calibri" w:eastAsia="宋体"/>
                <w:kern w:val="2"/>
                <w:sz w:val="24"/>
                <w:szCs w:val="24"/>
                <w:lang w:val="en-US" w:eastAsia="zh-CN" w:bidi="ar-SA"/>
              </w:rPr>
              <w:t>198000</w:t>
            </w:r>
          </w:p>
        </w:tc>
        <w:tc>
          <w:tcPr>
            <w:tcW w:w="816" w:type="dxa"/>
            <w:vMerge w:val="continue"/>
            <w:tcBorders>
              <w:left w:val="single" w:color="000000" w:sz="4" w:space="0"/>
              <w:bottom w:val="single" w:color="000000" w:sz="4" w:space="0"/>
              <w:right w:val="single" w:color="000000" w:sz="4" w:space="0"/>
            </w:tcBorders>
            <w:noWrap w:val="0"/>
            <w:vAlign w:val="center"/>
          </w:tcPr>
          <w:p>
            <w:pPr>
              <w:spacing w:line="360" w:lineRule="auto"/>
              <w:jc w:val="center"/>
              <w:textAlignment w:val="baseline"/>
              <w:rPr>
                <w:rStyle w:val="9"/>
                <w:rFonts w:ascii="宋体" w:hAnsi="Calibri" w:eastAsia="宋体"/>
                <w:kern w:val="2"/>
                <w:sz w:val="24"/>
                <w:szCs w:val="24"/>
                <w:lang w:val="en-US" w:eastAsia="zh-CN" w:bidi="ar-SA"/>
              </w:rPr>
            </w:pPr>
          </w:p>
        </w:tc>
      </w:tr>
    </w:tbl>
    <w:p>
      <w:pPr>
        <w:bidi w:val="0"/>
        <w:rPr>
          <w:rFonts w:hint="default"/>
          <w:lang w:val="en-US" w:eastAsia="zh-CN"/>
        </w:rPr>
      </w:pPr>
    </w:p>
    <w:p>
      <w:pPr>
        <w:pStyle w:val="2"/>
        <w:rPr>
          <w:rFonts w:hint="default"/>
          <w:lang w:val="en-US" w:eastAsia="zh-CN"/>
        </w:rPr>
      </w:pPr>
    </w:p>
    <w:p>
      <w:pPr>
        <w:pStyle w:val="2"/>
        <w:wordWrap w:val="0"/>
        <w:jc w:val="right"/>
        <w:rPr>
          <w:rFonts w:hint="default"/>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8030705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21A74"/>
    <w:rsid w:val="0EFE8905"/>
    <w:rsid w:val="1028422E"/>
    <w:rsid w:val="11FF3BFC"/>
    <w:rsid w:val="2F7A2FF5"/>
    <w:rsid w:val="39E70FAC"/>
    <w:rsid w:val="4FF0315E"/>
    <w:rsid w:val="54DD0193"/>
    <w:rsid w:val="5FE020FB"/>
    <w:rsid w:val="6CEC7FC4"/>
    <w:rsid w:val="6F37EDD9"/>
    <w:rsid w:val="6FFF68FD"/>
    <w:rsid w:val="73F76FF9"/>
    <w:rsid w:val="76621A74"/>
    <w:rsid w:val="7AFB9EDE"/>
    <w:rsid w:val="7EFEB910"/>
    <w:rsid w:val="875F2C5F"/>
    <w:rsid w:val="B97BE32A"/>
    <w:rsid w:val="F5DEC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w:qFormat/>
    <w:uiPriority w:val="99"/>
    <w:rPr>
      <w:rFonts w:ascii="宋体" w:hAnsi="宋体" w:eastAsia="宋体" w:cs="Times New Roman"/>
      <w:sz w:val="24"/>
      <w:szCs w:val="22"/>
      <w:lang w:val="zh-CN"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3866</Words>
  <Characters>3993</Characters>
  <Lines>0</Lines>
  <Paragraphs>0</Paragraphs>
  <TotalTime>60</TotalTime>
  <ScaleCrop>false</ScaleCrop>
  <LinksUpToDate>false</LinksUpToDate>
  <CharactersWithSpaces>4528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2025-10-19T19:07:00Z</dcterms:created>
  <dc:creator>Yuuu_Zhang</dc:creator>
  <cp:lastModifiedBy>zhw</cp:lastModifiedBy>
  <dcterms:modified xsi:type="dcterms:W3CDTF">2025-11-17T14:42:14Z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DC9B6A61664544ABBACF5CB6D836B4E4_13</vt:lpwstr>
  </property>
  <property fmtid="{D5CDD505-2E9C-101B-9397-08002B2CF9AE}" pid="4" name="KSOTemplateDocerSaveRecord">
    <vt:lpwstr>eyJoZGlkIjoiNmQwNDViYTFlMTBkM2VhMGU2YWE5NTBlOTk2YzEzNTgiLCJ1c2VySWQiOiI4MzI5NTMifQ==</vt:lpwstr>
  </property>
</Properties>
</file>