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46A05">
      <w:pPr>
        <w:keepNext w:val="0"/>
        <w:keepLines w:val="0"/>
        <w:pageBreakBefore w:val="0"/>
        <w:kinsoku/>
        <w:wordWrap/>
        <w:overflowPunct/>
        <w:topLinePunct w:val="0"/>
        <w:autoSpaceDE/>
        <w:autoSpaceDN/>
        <w:bidi w:val="0"/>
        <w:spacing w:line="500" w:lineRule="exact"/>
        <w:jc w:val="center"/>
        <w:rPr>
          <w:rFonts w:hint="eastAsia" w:ascii="黑体" w:hAnsi="黑体" w:eastAsia="黑体" w:cs="黑体"/>
          <w:b w:val="0"/>
          <w:bCs w:val="0"/>
          <w:color w:val="000000" w:themeColor="text1"/>
          <w:sz w:val="44"/>
          <w:szCs w:val="44"/>
          <w14:textFill>
            <w14:solidFill>
              <w14:schemeClr w14:val="tx1"/>
            </w14:solidFill>
          </w14:textFill>
        </w:rPr>
      </w:pPr>
      <w:r>
        <w:rPr>
          <w:rFonts w:hint="eastAsia" w:ascii="黑体" w:hAnsi="黑体" w:eastAsia="黑体" w:cs="黑体"/>
          <w:b w:val="0"/>
          <w:bCs w:val="0"/>
          <w:color w:val="000000" w:themeColor="text1"/>
          <w:sz w:val="44"/>
          <w:szCs w:val="44"/>
          <w14:textFill>
            <w14:solidFill>
              <w14:schemeClr w14:val="tx1"/>
            </w14:solidFill>
          </w14:textFill>
        </w:rPr>
        <w:t>江西师范高等专科学校</w:t>
      </w:r>
    </w:p>
    <w:p w14:paraId="3C305D45">
      <w:pPr>
        <w:keepNext w:val="0"/>
        <w:keepLines w:val="0"/>
        <w:pageBreakBefore w:val="0"/>
        <w:kinsoku/>
        <w:wordWrap/>
        <w:overflowPunct/>
        <w:topLinePunct w:val="0"/>
        <w:autoSpaceDE/>
        <w:autoSpaceDN/>
        <w:bidi w:val="0"/>
        <w:spacing w:line="500" w:lineRule="exact"/>
        <w:jc w:val="center"/>
        <w:rPr>
          <w:rFonts w:hint="eastAsia" w:ascii="黑体" w:hAnsi="黑体" w:eastAsia="黑体" w:cs="黑体"/>
          <w:b w:val="0"/>
          <w:bCs w:val="0"/>
          <w:color w:val="000000" w:themeColor="text1"/>
          <w:sz w:val="44"/>
          <w:szCs w:val="44"/>
          <w:lang w:val="en-US" w:eastAsia="zh-CN"/>
          <w14:textFill>
            <w14:solidFill>
              <w14:schemeClr w14:val="tx1"/>
            </w14:solidFill>
          </w14:textFill>
        </w:rPr>
      </w:pPr>
      <w:r>
        <w:rPr>
          <w:rFonts w:hint="eastAsia" w:ascii="黑体" w:hAnsi="黑体" w:eastAsia="黑体" w:cs="黑体"/>
          <w:b w:val="0"/>
          <w:bCs w:val="0"/>
          <w:color w:val="000000" w:themeColor="text1"/>
          <w:sz w:val="44"/>
          <w:szCs w:val="44"/>
          <w14:textFill>
            <w14:solidFill>
              <w14:schemeClr w14:val="tx1"/>
            </w14:solidFill>
          </w14:textFill>
        </w:rPr>
        <w:t>校园</w:t>
      </w:r>
      <w:r>
        <w:rPr>
          <w:rFonts w:hint="eastAsia" w:ascii="黑体" w:hAnsi="黑体" w:eastAsia="黑体" w:cs="黑体"/>
          <w:b w:val="0"/>
          <w:bCs w:val="0"/>
          <w:color w:val="000000" w:themeColor="text1"/>
          <w:sz w:val="44"/>
          <w:szCs w:val="44"/>
          <w:lang w:val="en-US" w:eastAsia="zh-CN"/>
          <w14:textFill>
            <w14:solidFill>
              <w14:schemeClr w14:val="tx1"/>
            </w14:solidFill>
          </w14:textFill>
        </w:rPr>
        <w:t>“</w:t>
      </w:r>
      <w:r>
        <w:rPr>
          <w:rFonts w:hint="eastAsia" w:ascii="黑体" w:hAnsi="黑体" w:eastAsia="黑体" w:cs="黑体"/>
          <w:b w:val="0"/>
          <w:bCs w:val="0"/>
          <w:color w:val="000000" w:themeColor="text1"/>
          <w:sz w:val="44"/>
          <w:szCs w:val="44"/>
          <w14:textFill>
            <w14:solidFill>
              <w14:schemeClr w14:val="tx1"/>
            </w14:solidFill>
          </w14:textFill>
        </w:rPr>
        <w:t>除四害”</w:t>
      </w:r>
      <w:r>
        <w:rPr>
          <w:rFonts w:hint="eastAsia" w:ascii="黑体" w:hAnsi="黑体" w:eastAsia="黑体" w:cs="黑体"/>
          <w:b w:val="0"/>
          <w:bCs w:val="0"/>
          <w:color w:val="000000" w:themeColor="text1"/>
          <w:sz w:val="44"/>
          <w:szCs w:val="44"/>
          <w:lang w:val="en-US" w:eastAsia="zh-CN"/>
          <w14:textFill>
            <w14:solidFill>
              <w14:schemeClr w14:val="tx1"/>
            </w14:solidFill>
          </w14:textFill>
        </w:rPr>
        <w:t>等</w:t>
      </w:r>
      <w:r>
        <w:rPr>
          <w:rFonts w:hint="eastAsia" w:ascii="黑体" w:hAnsi="黑体" w:eastAsia="黑体" w:cs="黑体"/>
          <w:b w:val="0"/>
          <w:bCs w:val="0"/>
          <w:color w:val="000000" w:themeColor="text1"/>
          <w:sz w:val="44"/>
          <w:szCs w:val="44"/>
          <w14:textFill>
            <w14:solidFill>
              <w14:schemeClr w14:val="tx1"/>
            </w14:solidFill>
          </w14:textFill>
        </w:rPr>
        <w:t>服务项目</w:t>
      </w:r>
      <w:r>
        <w:rPr>
          <w:rFonts w:hint="eastAsia" w:ascii="黑体" w:hAnsi="黑体" w:eastAsia="黑体" w:cs="黑体"/>
          <w:b w:val="0"/>
          <w:bCs w:val="0"/>
          <w:color w:val="000000" w:themeColor="text1"/>
          <w:sz w:val="44"/>
          <w:szCs w:val="44"/>
          <w:lang w:val="en-US" w:eastAsia="zh-CN"/>
          <w14:textFill>
            <w14:solidFill>
              <w14:schemeClr w14:val="tx1"/>
            </w14:solidFill>
          </w14:textFill>
        </w:rPr>
        <w:t>采购需求</w:t>
      </w:r>
    </w:p>
    <w:p w14:paraId="61941D34">
      <w:pPr>
        <w:keepNext w:val="0"/>
        <w:keepLines w:val="0"/>
        <w:pageBreakBefore w:val="0"/>
        <w:kinsoku/>
        <w:wordWrap/>
        <w:overflowPunct/>
        <w:topLinePunct w:val="0"/>
        <w:autoSpaceDE/>
        <w:autoSpaceDN/>
        <w:bidi w:val="0"/>
        <w:spacing w:line="500" w:lineRule="exact"/>
        <w:jc w:val="center"/>
        <w:rPr>
          <w:rFonts w:hint="eastAsia" w:ascii="黑体" w:hAnsi="黑体" w:eastAsia="黑体" w:cs="黑体"/>
          <w:b w:val="0"/>
          <w:bCs w:val="0"/>
          <w:color w:val="000000" w:themeColor="text1"/>
          <w:sz w:val="44"/>
          <w:szCs w:val="44"/>
          <w:lang w:val="en-US" w:eastAsia="zh-CN"/>
          <w14:textFill>
            <w14:solidFill>
              <w14:schemeClr w14:val="tx1"/>
            </w14:solidFill>
          </w14:textFill>
        </w:rPr>
      </w:pPr>
    </w:p>
    <w:p w14:paraId="51A6FB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b/>
          <w:bCs/>
          <w:sz w:val="40"/>
          <w:szCs w:val="40"/>
          <w:lang w:val="en-US" w:eastAsia="zh-CN"/>
        </w:rPr>
      </w:pPr>
      <w:r>
        <w:rPr>
          <w:rFonts w:hint="eastAsia" w:ascii="Calibri" w:hAnsi="Calibri" w:eastAsia="宋体" w:cs="Times New Roman"/>
          <w:b/>
          <w:bCs/>
          <w:sz w:val="40"/>
          <w:szCs w:val="40"/>
          <w:lang w:val="en-US" w:eastAsia="zh-CN"/>
        </w:rPr>
        <w:t>第一部分：投标（响应）须知</w:t>
      </w:r>
    </w:p>
    <w:p w14:paraId="3B6D0FE1">
      <w:pPr>
        <w:keepNext w:val="0"/>
        <w:keepLines w:val="0"/>
        <w:pageBreakBefore w:val="0"/>
        <w:widowControl w:val="0"/>
        <w:numPr>
          <w:ilvl w:val="0"/>
          <w:numId w:val="0"/>
        </w:numPr>
        <w:kinsoku/>
        <w:overflowPunct/>
        <w:topLinePunct w:val="0"/>
        <w:autoSpaceDE/>
        <w:autoSpaceDN/>
        <w:bidi w:val="0"/>
        <w:adjustRightInd/>
        <w:snapToGrid/>
        <w:spacing w:line="560" w:lineRule="exact"/>
        <w:ind w:firstLine="281" w:firstLineChars="100"/>
        <w:jc w:val="both"/>
        <w:textAlignment w:val="auto"/>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供应商按要求在响应附件中提供以下材料，否则投标（响应）无效：</w:t>
      </w:r>
    </w:p>
    <w:p w14:paraId="31537201">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一、营业执照</w:t>
      </w:r>
    </w:p>
    <w:p w14:paraId="4AD9ED85">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60" w:firstLineChars="200"/>
        <w:jc w:val="both"/>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提供营业执照扫描件（或照片或复印件），并加盖投标单位公章。</w:t>
      </w:r>
    </w:p>
    <w:p w14:paraId="47B2E90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560" w:firstLineChars="200"/>
        <w:jc w:val="both"/>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二、报价单、分项报价单</w:t>
      </w:r>
    </w:p>
    <w:p w14:paraId="67DC78AE">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60" w:firstLineChars="200"/>
        <w:jc w:val="both"/>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格式自拟。注意事项：1.必须加盖投标单位公章；2.报价单大写总计金额、报价单小写总计金额、电子卖场任一网页显示的原始</w:t>
      </w:r>
      <w:bookmarkStart w:id="1" w:name="_GoBack"/>
      <w:bookmarkEnd w:id="1"/>
      <w:r>
        <w:rPr>
          <w:rFonts w:hint="eastAsia" w:ascii="Calibri" w:hAnsi="Calibri" w:eastAsia="宋体" w:cs="Times New Roman"/>
          <w:sz w:val="28"/>
          <w:szCs w:val="28"/>
          <w:lang w:val="en-US" w:eastAsia="zh-CN"/>
        </w:rPr>
        <w:t>报价（响应总价）均须一致。</w:t>
      </w:r>
    </w:p>
    <w:p w14:paraId="4535111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三、采购需求响应文件</w:t>
      </w:r>
    </w:p>
    <w:p w14:paraId="545310BF">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60" w:firstLineChars="200"/>
        <w:jc w:val="both"/>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采购需求响应文件中必须能体现完全响应采购需求的结论，并加盖投标单位公章。参考模板如下：</w:t>
      </w:r>
    </w:p>
    <w:p w14:paraId="3A55EFFF">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采购需求响应文件</w:t>
      </w:r>
    </w:p>
    <w:p w14:paraId="17F85AE3">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jc w:val="left"/>
        <w:textAlignment w:val="auto"/>
        <w:rPr>
          <w:rFonts w:hint="eastAsia" w:ascii="Calibri" w:hAnsi="Calibri" w:eastAsia="宋体" w:cs="Times New Roman"/>
          <w:b w:val="0"/>
          <w:bCs w:val="0"/>
          <w:sz w:val="28"/>
          <w:szCs w:val="28"/>
          <w:lang w:val="en-US" w:eastAsia="zh-CN"/>
        </w:rPr>
      </w:pPr>
      <w:r>
        <w:rPr>
          <w:rFonts w:hint="eastAsia" w:ascii="Calibri" w:hAnsi="Calibri" w:eastAsia="宋体" w:cs="Times New Roman"/>
          <w:b w:val="0"/>
          <w:bCs w:val="0"/>
          <w:sz w:val="28"/>
          <w:szCs w:val="28"/>
          <w:lang w:val="en-US" w:eastAsia="zh-CN"/>
        </w:rPr>
        <w:t>江西师范高等专科学校：</w:t>
      </w:r>
    </w:p>
    <w:p w14:paraId="48890894">
      <w:pPr>
        <w:keepNext w:val="0"/>
        <w:keepLines w:val="0"/>
        <w:pageBreakBefore w:val="0"/>
        <w:widowControl w:val="0"/>
        <w:numPr>
          <w:ilvl w:val="0"/>
          <w:numId w:val="0"/>
        </w:numPr>
        <w:kinsoku/>
        <w:overflowPunct/>
        <w:topLinePunct w:val="0"/>
        <w:autoSpaceDE/>
        <w:autoSpaceDN/>
        <w:bidi w:val="0"/>
        <w:adjustRightInd/>
        <w:snapToGrid/>
        <w:spacing w:line="560" w:lineRule="exact"/>
        <w:ind w:firstLine="560" w:firstLineChars="200"/>
        <w:textAlignment w:val="auto"/>
        <w:rPr>
          <w:rFonts w:hint="default" w:ascii="宋体" w:hAnsi="宋体" w:eastAsia="宋体" w:cs="宋体"/>
          <w:b w:val="0"/>
          <w:bCs w:val="0"/>
          <w:kern w:val="0"/>
          <w:sz w:val="28"/>
          <w:szCs w:val="28"/>
          <w:lang w:val="en-US" w:eastAsia="zh-CN" w:bidi="ar-SA"/>
        </w:rPr>
      </w:pPr>
      <w:r>
        <w:rPr>
          <w:rFonts w:hint="eastAsia" w:ascii="Calibri" w:hAnsi="Calibri" w:eastAsia="宋体" w:cs="Times New Roman"/>
          <w:sz w:val="28"/>
          <w:szCs w:val="28"/>
          <w:lang w:val="en-US" w:eastAsia="zh-CN"/>
        </w:rPr>
        <w:t>本单位（公司）已认真阅读</w:t>
      </w:r>
      <w:r>
        <w:rPr>
          <w:rFonts w:hint="eastAsia" w:ascii="Calibri" w:hAnsi="Calibri" w:eastAsia="宋体" w:cs="Times New Roman"/>
          <w:sz w:val="28"/>
          <w:szCs w:val="28"/>
          <w:u w:val="single"/>
          <w:lang w:val="en-US" w:eastAsia="zh-CN"/>
        </w:rPr>
        <w:t xml:space="preserve"> 江西师范高等专科学校校园“除四害”等服务项目</w:t>
      </w:r>
      <w:r>
        <w:rPr>
          <w:rFonts w:hint="eastAsia" w:ascii="Calibri" w:hAnsi="Calibri" w:eastAsia="宋体" w:cs="Times New Roman"/>
          <w:sz w:val="28"/>
          <w:szCs w:val="28"/>
          <w:lang w:val="en-US" w:eastAsia="zh-CN"/>
        </w:rPr>
        <w:t>全部采购需求，完全响应</w:t>
      </w:r>
      <w:r>
        <w:rPr>
          <w:rFonts w:hint="eastAsia" w:ascii="Calibri" w:hAnsi="Calibri" w:eastAsia="宋体" w:cs="Times New Roman"/>
          <w:sz w:val="28"/>
          <w:szCs w:val="28"/>
          <w:u w:val="none"/>
          <w:lang w:val="en-US" w:eastAsia="zh-CN"/>
        </w:rPr>
        <w:t>该</w:t>
      </w:r>
      <w:r>
        <w:rPr>
          <w:rFonts w:hint="eastAsia" w:ascii="Calibri" w:hAnsi="Calibri" w:eastAsia="宋体" w:cs="Times New Roman"/>
          <w:sz w:val="28"/>
          <w:szCs w:val="28"/>
          <w:lang w:val="en-US" w:eastAsia="zh-CN"/>
        </w:rPr>
        <w:t>项目采购需求，如有虚假，愿按相关规定承担全部责任。</w:t>
      </w:r>
    </w:p>
    <w:p w14:paraId="7B76747E">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Calibri" w:hAnsi="Calibri" w:eastAsia="宋体" w:cs="Times New Roman"/>
          <w:sz w:val="28"/>
          <w:szCs w:val="28"/>
          <w:lang w:val="en-US" w:eastAsia="zh-CN"/>
        </w:rPr>
      </w:pPr>
    </w:p>
    <w:p w14:paraId="00F6B55D">
      <w:pPr>
        <w:keepNext w:val="0"/>
        <w:keepLines w:val="0"/>
        <w:pageBreakBefore w:val="0"/>
        <w:widowControl w:val="0"/>
        <w:numPr>
          <w:ilvl w:val="0"/>
          <w:numId w:val="0"/>
        </w:numPr>
        <w:kinsoku/>
        <w:overflowPunct/>
        <w:topLinePunct w:val="0"/>
        <w:autoSpaceDE/>
        <w:autoSpaceDN/>
        <w:bidi w:val="0"/>
        <w:adjustRightInd/>
        <w:snapToGrid/>
        <w:spacing w:line="560" w:lineRule="exact"/>
        <w:ind w:firstLine="3920" w:firstLineChars="1400"/>
        <w:jc w:val="both"/>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 xml:space="preserve">供应商名称：                     </w:t>
      </w:r>
    </w:p>
    <w:p w14:paraId="706B469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Calibri" w:hAnsi="Calibri" w:eastAsia="宋体" w:cs="Times New Roman"/>
          <w:sz w:val="32"/>
          <w:szCs w:val="32"/>
          <w:lang w:val="en-US" w:eastAsia="zh-CN"/>
        </w:rPr>
      </w:pPr>
      <w:r>
        <w:rPr>
          <w:rFonts w:hint="eastAsia" w:ascii="Calibri" w:hAnsi="Calibri" w:eastAsia="宋体" w:cs="Times New Roman"/>
          <w:sz w:val="28"/>
          <w:szCs w:val="28"/>
          <w:lang w:val="en-US" w:eastAsia="zh-CN"/>
        </w:rPr>
        <w:t xml:space="preserve">          （盖章）  </w:t>
      </w:r>
    </w:p>
    <w:p w14:paraId="7D4679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sz w:val="32"/>
          <w:szCs w:val="32"/>
          <w:lang w:val="en-US" w:eastAsia="zh-CN"/>
        </w:rPr>
      </w:pPr>
      <w:r>
        <w:rPr>
          <w:rFonts w:hint="eastAsia" w:ascii="Calibri" w:hAnsi="Calibri" w:eastAsia="宋体" w:cs="Times New Roman"/>
          <w:sz w:val="32"/>
          <w:szCs w:val="32"/>
          <w:lang w:val="en-US" w:eastAsia="zh-CN"/>
        </w:rPr>
        <w:t xml:space="preserve">        </w:t>
      </w:r>
      <w:r>
        <w:rPr>
          <w:rFonts w:hint="eastAsia" w:ascii="Calibri" w:hAnsi="Calibri" w:eastAsia="宋体" w:cs="Times New Roman"/>
          <w:sz w:val="28"/>
          <w:szCs w:val="28"/>
          <w:lang w:val="en-US" w:eastAsia="zh-CN"/>
        </w:rPr>
        <w:t>时间：</w:t>
      </w:r>
    </w:p>
    <w:p w14:paraId="574CF588">
      <w:pPr>
        <w:jc w:val="center"/>
        <w:rPr>
          <w:rFonts w:hint="eastAsia" w:ascii="黑体" w:hAnsi="黑体" w:eastAsia="黑体" w:cs="黑体"/>
          <w:b/>
          <w:bCs/>
          <w:sz w:val="44"/>
          <w:szCs w:val="44"/>
        </w:rPr>
      </w:pPr>
    </w:p>
    <w:p w14:paraId="791B3EA0">
      <w:pPr>
        <w:rPr>
          <w:rFonts w:hint="eastAsia" w:ascii="Calibri" w:hAnsi="Calibri" w:eastAsia="宋体" w:cs="Times New Roman"/>
        </w:rPr>
      </w:pPr>
    </w:p>
    <w:p w14:paraId="3D72387F">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000000" w:themeColor="text1"/>
          <w:sz w:val="36"/>
          <w:szCs w:val="36"/>
          <w:lang w:val="en-US" w:eastAsia="zh-CN"/>
          <w14:textFill>
            <w14:solidFill>
              <w14:schemeClr w14:val="tx1"/>
            </w14:solidFill>
          </w14:textFill>
        </w:rPr>
      </w:pPr>
      <w:r>
        <w:rPr>
          <w:rFonts w:hint="eastAsia" w:ascii="Calibri" w:hAnsi="Calibri" w:eastAsia="宋体" w:cs="Times New Roman"/>
          <w:b/>
          <w:bCs/>
          <w:sz w:val="40"/>
          <w:szCs w:val="40"/>
          <w:lang w:val="en-US" w:eastAsia="zh-CN"/>
        </w:rPr>
        <w:t>第二部分：</w:t>
      </w:r>
      <w:r>
        <w:rPr>
          <w:rFonts w:hint="eastAsia" w:ascii="Calibri" w:hAnsi="Calibri" w:eastAsia="宋体" w:cs="Times New Roman"/>
          <w:b/>
          <w:bCs/>
          <w:color w:val="auto"/>
          <w:sz w:val="40"/>
          <w:szCs w:val="40"/>
          <w:lang w:val="en-US" w:eastAsia="zh-CN"/>
        </w:rPr>
        <w:t>具体采购需求</w:t>
      </w:r>
    </w:p>
    <w:p w14:paraId="3CC55154">
      <w:pPr>
        <w:keepNext w:val="0"/>
        <w:keepLines w:val="0"/>
        <w:pageBreakBefore w:val="0"/>
        <w:kinsoku/>
        <w:wordWrap/>
        <w:overflowPunct/>
        <w:topLinePunct w:val="0"/>
        <w:autoSpaceDE/>
        <w:autoSpaceDN/>
        <w:bidi w:val="0"/>
        <w:spacing w:line="500" w:lineRule="exact"/>
        <w:jc w:val="center"/>
        <w:rPr>
          <w:rFonts w:hint="eastAsia" w:ascii="仿宋" w:hAnsi="仿宋" w:eastAsia="仿宋" w:cs="仿宋"/>
          <w:b/>
          <w:bCs/>
          <w:color w:val="000000" w:themeColor="text1"/>
          <w:sz w:val="32"/>
          <w:szCs w:val="32"/>
          <w:lang w:val="en-US" w:eastAsia="zh-CN"/>
          <w14:textFill>
            <w14:solidFill>
              <w14:schemeClr w14:val="tx1"/>
            </w14:solidFill>
          </w14:textFill>
        </w:rPr>
      </w:pPr>
    </w:p>
    <w:p w14:paraId="54EDD8BE">
      <w:pPr>
        <w:pStyle w:val="4"/>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firstLine="560" w:firstLineChars="200"/>
        <w:rPr>
          <w:rFonts w:hint="eastAsia" w:ascii="黑体" w:hAnsi="黑体" w:eastAsia="黑体" w:cs="黑体"/>
          <w:b w:val="0"/>
          <w:bCs w:val="0"/>
          <w:color w:val="000000" w:themeColor="text1"/>
          <w:sz w:val="28"/>
          <w:szCs w:val="28"/>
          <w:shd w:val="clear" w:color="auto" w:fill="FFFFFF"/>
          <w:lang w:val="en-US" w:eastAsia="zh-CN"/>
          <w14:textFill>
            <w14:solidFill>
              <w14:schemeClr w14:val="tx1"/>
            </w14:solidFill>
          </w14:textFill>
        </w:rPr>
      </w:pPr>
      <w:r>
        <w:rPr>
          <w:rFonts w:hint="eastAsia" w:ascii="黑体" w:hAnsi="黑体" w:eastAsia="黑体" w:cs="黑体"/>
          <w:b w:val="0"/>
          <w:bCs w:val="0"/>
          <w:color w:val="000000" w:themeColor="text1"/>
          <w:sz w:val="28"/>
          <w:szCs w:val="28"/>
          <w:shd w:val="clear" w:color="auto" w:fill="FFFFFF"/>
          <w:lang w:val="en-US" w:eastAsia="zh-CN"/>
          <w14:textFill>
            <w14:solidFill>
              <w14:schemeClr w14:val="tx1"/>
            </w14:solidFill>
          </w14:textFill>
        </w:rPr>
        <w:t>一、采购背景：</w:t>
      </w:r>
    </w:p>
    <w:p w14:paraId="019F291F">
      <w:pPr>
        <w:pStyle w:val="4"/>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firstLine="560" w:firstLineChars="200"/>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校园“除四害”等服务项目将于2025年11月10日到期。现需重新采购校园“除四害”等服务项目。</w:t>
      </w:r>
    </w:p>
    <w:p w14:paraId="4EE424E1">
      <w:pPr>
        <w:pStyle w:val="4"/>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firstLine="560" w:firstLineChars="200"/>
        <w:rPr>
          <w:rFonts w:hint="eastAsia" w:ascii="仿宋" w:hAnsi="仿宋" w:eastAsia="仿宋" w:cs="仿宋"/>
          <w:b w:val="0"/>
          <w:bCs w:val="0"/>
          <w:color w:val="000000" w:themeColor="text1"/>
          <w:w w:val="90"/>
          <w:sz w:val="28"/>
          <w:szCs w:val="28"/>
          <w:shd w:val="clear" w:color="auto" w:fill="FFFFFF"/>
          <w14:textFill>
            <w14:solidFill>
              <w14:schemeClr w14:val="tx1"/>
            </w14:solidFill>
          </w14:textFill>
        </w:rPr>
      </w:pPr>
      <w:r>
        <w:rPr>
          <w:rFonts w:hint="eastAsia" w:ascii="黑体" w:hAnsi="黑体" w:eastAsia="黑体" w:cs="黑体"/>
          <w:b w:val="0"/>
          <w:bCs w:val="0"/>
          <w:color w:val="000000" w:themeColor="text1"/>
          <w:sz w:val="28"/>
          <w:szCs w:val="28"/>
          <w:shd w:val="clear" w:color="auto" w:fill="FFFFFF"/>
          <w:lang w:val="en-US" w:eastAsia="zh-CN"/>
          <w14:textFill>
            <w14:solidFill>
              <w14:schemeClr w14:val="tx1"/>
            </w14:solidFill>
          </w14:textFill>
        </w:rPr>
        <w:t>二、项目名称:</w:t>
      </w:r>
      <w:bookmarkStart w:id="0" w:name="_Hlk105230756"/>
      <w:r>
        <w:rPr>
          <w:rFonts w:hint="eastAsia" w:ascii="仿宋" w:hAnsi="仿宋" w:eastAsia="仿宋" w:cs="仿宋"/>
          <w:b w:val="0"/>
          <w:bCs w:val="0"/>
          <w:color w:val="000000" w:themeColor="text1"/>
          <w:w w:val="90"/>
          <w:sz w:val="28"/>
          <w:szCs w:val="28"/>
          <w:shd w:val="clear" w:color="auto" w:fill="FFFFFF"/>
          <w:lang w:val="en-US" w:eastAsia="zh-CN"/>
          <w14:textFill>
            <w14:solidFill>
              <w14:schemeClr w14:val="tx1"/>
            </w14:solidFill>
          </w14:textFill>
        </w:rPr>
        <w:t>江西师范高等专科学校</w:t>
      </w:r>
      <w:r>
        <w:rPr>
          <w:rFonts w:hint="eastAsia" w:ascii="仿宋" w:hAnsi="仿宋" w:eastAsia="仿宋" w:cs="仿宋"/>
          <w:b w:val="0"/>
          <w:bCs w:val="0"/>
          <w:color w:val="000000" w:themeColor="text1"/>
          <w:w w:val="90"/>
          <w:sz w:val="28"/>
          <w:szCs w:val="28"/>
          <w:shd w:val="clear" w:color="auto" w:fill="FFFFFF"/>
          <w14:textFill>
            <w14:solidFill>
              <w14:schemeClr w14:val="tx1"/>
            </w14:solidFill>
          </w14:textFill>
        </w:rPr>
        <w:t>校园“除四害”</w:t>
      </w:r>
      <w:r>
        <w:rPr>
          <w:rFonts w:hint="eastAsia" w:ascii="仿宋" w:hAnsi="仿宋" w:eastAsia="仿宋" w:cs="仿宋"/>
          <w:b w:val="0"/>
          <w:bCs w:val="0"/>
          <w:color w:val="000000" w:themeColor="text1"/>
          <w:w w:val="90"/>
          <w:sz w:val="28"/>
          <w:szCs w:val="28"/>
          <w:shd w:val="clear" w:color="auto" w:fill="FFFFFF"/>
          <w:lang w:val="en-US" w:eastAsia="zh-CN"/>
          <w14:textFill>
            <w14:solidFill>
              <w14:schemeClr w14:val="tx1"/>
            </w14:solidFill>
          </w14:textFill>
        </w:rPr>
        <w:t>等</w:t>
      </w:r>
      <w:r>
        <w:rPr>
          <w:rFonts w:hint="eastAsia" w:ascii="仿宋" w:hAnsi="仿宋" w:eastAsia="仿宋" w:cs="仿宋"/>
          <w:b w:val="0"/>
          <w:bCs w:val="0"/>
          <w:color w:val="000000" w:themeColor="text1"/>
          <w:w w:val="90"/>
          <w:sz w:val="28"/>
          <w:szCs w:val="28"/>
          <w:shd w:val="clear" w:color="auto" w:fill="FFFFFF"/>
          <w14:textFill>
            <w14:solidFill>
              <w14:schemeClr w14:val="tx1"/>
            </w14:solidFill>
          </w14:textFill>
        </w:rPr>
        <w:t>服务项目</w:t>
      </w:r>
      <w:bookmarkEnd w:id="0"/>
      <w:r>
        <w:rPr>
          <w:rFonts w:hint="eastAsia" w:ascii="仿宋" w:hAnsi="仿宋" w:eastAsia="仿宋" w:cs="仿宋"/>
          <w:b w:val="0"/>
          <w:bCs w:val="0"/>
          <w:color w:val="000000" w:themeColor="text1"/>
          <w:w w:val="90"/>
          <w:sz w:val="28"/>
          <w:szCs w:val="28"/>
          <w:shd w:val="clear" w:color="auto" w:fill="FFFFFF"/>
          <w14:textFill>
            <w14:solidFill>
              <w14:schemeClr w14:val="tx1"/>
            </w14:solidFill>
          </w14:textFill>
        </w:rPr>
        <w:t>。</w:t>
      </w:r>
    </w:p>
    <w:p w14:paraId="69102F6E">
      <w:pPr>
        <w:pStyle w:val="4"/>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firstLine="560" w:firstLineChars="200"/>
        <w:rPr>
          <w:rFonts w:hint="eastAsia" w:ascii="黑体" w:hAnsi="黑体" w:eastAsia="黑体" w:cs="黑体"/>
          <w:b w:val="0"/>
          <w:bCs w:val="0"/>
          <w:color w:val="000000" w:themeColor="text1"/>
          <w:sz w:val="28"/>
          <w:szCs w:val="28"/>
          <w:shd w:val="clear" w:color="auto" w:fill="FFFFFF"/>
          <w:lang w:val="en-US" w:eastAsia="zh-CN"/>
          <w14:textFill>
            <w14:solidFill>
              <w14:schemeClr w14:val="tx1"/>
            </w14:solidFill>
          </w14:textFill>
        </w:rPr>
      </w:pPr>
      <w:r>
        <w:rPr>
          <w:rFonts w:hint="eastAsia" w:ascii="黑体" w:hAnsi="黑体" w:eastAsia="黑体" w:cs="黑体"/>
          <w:b w:val="0"/>
          <w:bCs w:val="0"/>
          <w:color w:val="000000" w:themeColor="text1"/>
          <w:sz w:val="28"/>
          <w:szCs w:val="28"/>
          <w:shd w:val="clear" w:color="auto" w:fill="FFFFFF"/>
          <w:lang w:val="en-US" w:eastAsia="zh-CN"/>
          <w14:textFill>
            <w14:solidFill>
              <w14:schemeClr w14:val="tx1"/>
            </w14:solidFill>
          </w14:textFill>
        </w:rPr>
        <w:t>三、采购内容：</w:t>
      </w:r>
    </w:p>
    <w:tbl>
      <w:tblPr>
        <w:tblStyle w:val="5"/>
        <w:tblW w:w="8424" w:type="dxa"/>
        <w:tblInd w:w="0" w:type="dxa"/>
        <w:tblLayout w:type="fixed"/>
        <w:tblCellMar>
          <w:top w:w="15" w:type="dxa"/>
          <w:left w:w="15" w:type="dxa"/>
          <w:bottom w:w="15" w:type="dxa"/>
          <w:right w:w="15" w:type="dxa"/>
        </w:tblCellMar>
      </w:tblPr>
      <w:tblGrid>
        <w:gridCol w:w="696"/>
        <w:gridCol w:w="1894"/>
        <w:gridCol w:w="1845"/>
        <w:gridCol w:w="885"/>
        <w:gridCol w:w="902"/>
        <w:gridCol w:w="1093"/>
        <w:gridCol w:w="1109"/>
      </w:tblGrid>
      <w:tr w14:paraId="02C45786">
        <w:tblPrEx>
          <w:tblCellMar>
            <w:top w:w="15" w:type="dxa"/>
            <w:left w:w="15" w:type="dxa"/>
            <w:bottom w:w="15" w:type="dxa"/>
            <w:right w:w="15" w:type="dxa"/>
          </w:tblCellMar>
        </w:tblPrEx>
        <w:trPr>
          <w:trHeight w:val="101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15C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kern w:val="0"/>
                <w:sz w:val="28"/>
                <w:szCs w:val="28"/>
                <w:lang w:bidi="ar"/>
                <w14:textFill>
                  <w14:solidFill>
                    <w14:schemeClr w14:val="tx1"/>
                  </w14:solidFill>
                </w14:textFill>
              </w:rPr>
              <w:t>序号</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26A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楷体" w:hAnsi="楷体" w:eastAsia="楷体" w:cs="楷体"/>
                <w:b w:val="0"/>
                <w:bCs w:val="0"/>
                <w:color w:val="000000" w:themeColor="text1"/>
                <w:kern w:val="0"/>
                <w:sz w:val="28"/>
                <w:szCs w:val="28"/>
                <w:lang w:bidi="ar"/>
                <w14:textFill>
                  <w14:solidFill>
                    <w14:schemeClr w14:val="tx1"/>
                  </w14:solidFill>
                </w14:textFill>
              </w:rPr>
            </w:pPr>
            <w:r>
              <w:rPr>
                <w:rFonts w:hint="eastAsia" w:ascii="楷体" w:hAnsi="楷体" w:eastAsia="楷体" w:cs="楷体"/>
                <w:b w:val="0"/>
                <w:bCs w:val="0"/>
                <w:color w:val="000000" w:themeColor="text1"/>
                <w:kern w:val="0"/>
                <w:sz w:val="28"/>
                <w:szCs w:val="28"/>
                <w:lang w:bidi="ar"/>
                <w14:textFill>
                  <w14:solidFill>
                    <w14:schemeClr w14:val="tx1"/>
                  </w14:solidFill>
                </w14:textFill>
              </w:rPr>
              <w:t>物资（服务）</w:t>
            </w:r>
          </w:p>
          <w:p w14:paraId="2229304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kern w:val="0"/>
                <w:sz w:val="28"/>
                <w:szCs w:val="28"/>
                <w:lang w:bidi="ar"/>
                <w14:textFill>
                  <w14:solidFill>
                    <w14:schemeClr w14:val="tx1"/>
                  </w14:solidFill>
                </w14:textFill>
              </w:rPr>
              <w:t>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025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kern w:val="0"/>
                <w:sz w:val="28"/>
                <w:szCs w:val="28"/>
                <w:lang w:bidi="ar"/>
                <w14:textFill>
                  <w14:solidFill>
                    <w14:schemeClr w14:val="tx1"/>
                  </w14:solidFill>
                </w14:textFill>
              </w:rPr>
              <w:t>主要技术参数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F6C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kern w:val="0"/>
                <w:sz w:val="28"/>
                <w:szCs w:val="28"/>
                <w:lang w:bidi="ar"/>
                <w14:textFill>
                  <w14:solidFill>
                    <w14:schemeClr w14:val="tx1"/>
                  </w14:solidFill>
                </w14:textFill>
              </w:rPr>
              <w:t>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1F2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kern w:val="0"/>
                <w:sz w:val="28"/>
                <w:szCs w:val="28"/>
                <w:lang w:bidi="ar"/>
                <w14:textFill>
                  <w14:solidFill>
                    <w14:schemeClr w14:val="tx1"/>
                  </w14:solidFill>
                </w14:textFill>
              </w:rPr>
              <w:t>数量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F5D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楷体" w:hAnsi="楷体" w:eastAsia="楷体" w:cs="楷体"/>
                <w:b w:val="0"/>
                <w:bCs w:val="0"/>
                <w:color w:val="000000" w:themeColor="text1"/>
                <w:kern w:val="0"/>
                <w:sz w:val="28"/>
                <w:szCs w:val="28"/>
                <w:lang w:bidi="ar"/>
                <w14:textFill>
                  <w14:solidFill>
                    <w14:schemeClr w14:val="tx1"/>
                  </w14:solidFill>
                </w14:textFill>
              </w:rPr>
            </w:pPr>
            <w:r>
              <w:rPr>
                <w:rFonts w:hint="eastAsia" w:ascii="楷体" w:hAnsi="楷体" w:eastAsia="楷体" w:cs="楷体"/>
                <w:b w:val="0"/>
                <w:bCs w:val="0"/>
                <w:color w:val="000000" w:themeColor="text1"/>
                <w:kern w:val="0"/>
                <w:sz w:val="28"/>
                <w:szCs w:val="28"/>
                <w:lang w:bidi="ar"/>
                <w14:textFill>
                  <w14:solidFill>
                    <w14:schemeClr w14:val="tx1"/>
                  </w14:solidFill>
                </w14:textFill>
              </w:rPr>
              <w:t>服务</w:t>
            </w:r>
          </w:p>
          <w:p w14:paraId="1A87643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楷体" w:hAnsi="楷体" w:eastAsia="楷体" w:cs="楷体"/>
                <w:b w:val="0"/>
                <w:bCs w:val="0"/>
                <w:color w:val="000000" w:themeColor="text1"/>
                <w:kern w:val="0"/>
                <w:sz w:val="28"/>
                <w:szCs w:val="28"/>
                <w:lang w:bidi="ar"/>
                <w14:textFill>
                  <w14:solidFill>
                    <w14:schemeClr w14:val="tx1"/>
                  </w14:solidFill>
                </w14:textFill>
              </w:rPr>
            </w:pPr>
            <w:r>
              <w:rPr>
                <w:rFonts w:hint="eastAsia" w:ascii="楷体" w:hAnsi="楷体" w:eastAsia="楷体" w:cs="楷体"/>
                <w:b w:val="0"/>
                <w:bCs w:val="0"/>
                <w:color w:val="000000" w:themeColor="text1"/>
                <w:kern w:val="0"/>
                <w:sz w:val="28"/>
                <w:szCs w:val="28"/>
                <w:lang w:bidi="ar"/>
                <w14:textFill>
                  <w14:solidFill>
                    <w14:schemeClr w14:val="tx1"/>
                  </w14:solidFill>
                </w14:textFill>
              </w:rPr>
              <w:t>期限</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4FB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楷体" w:hAnsi="楷体" w:eastAsia="楷体" w:cs="楷体"/>
                <w:b w:val="0"/>
                <w:bCs w:val="0"/>
                <w:color w:val="000000" w:themeColor="text1"/>
                <w:kern w:val="0"/>
                <w:sz w:val="28"/>
                <w:szCs w:val="28"/>
                <w:lang w:bidi="ar"/>
                <w14:textFill>
                  <w14:solidFill>
                    <w14:schemeClr w14:val="tx1"/>
                  </w14:solidFill>
                </w14:textFill>
              </w:rPr>
            </w:pPr>
            <w:r>
              <w:rPr>
                <w:rFonts w:hint="eastAsia" w:ascii="楷体" w:hAnsi="楷体" w:eastAsia="楷体" w:cs="楷体"/>
                <w:b w:val="0"/>
                <w:bCs w:val="0"/>
                <w:color w:val="000000" w:themeColor="text1"/>
                <w:kern w:val="0"/>
                <w:sz w:val="28"/>
                <w:szCs w:val="28"/>
                <w:lang w:bidi="ar"/>
                <w14:textFill>
                  <w14:solidFill>
                    <w14:schemeClr w14:val="tx1"/>
                  </w14:solidFill>
                </w14:textFill>
              </w:rPr>
              <w:t>备注</w:t>
            </w:r>
          </w:p>
        </w:tc>
      </w:tr>
      <w:tr w14:paraId="69E00F89">
        <w:tblPrEx>
          <w:tblCellMar>
            <w:top w:w="15" w:type="dxa"/>
            <w:left w:w="15" w:type="dxa"/>
            <w:bottom w:w="15" w:type="dxa"/>
            <w:right w:w="15" w:type="dxa"/>
          </w:tblCellMar>
        </w:tblPrEx>
        <w:trPr>
          <w:trHeight w:val="128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61B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C4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t>江西师范高等专科学校校园“除四害”等服务项目</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504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t>详见项目服务要求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B44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t>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838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t>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t>3年</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4AC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 w:hAnsi="仿宋" w:eastAsia="仿宋" w:cs="仿宋"/>
                <w:b w:val="0"/>
                <w:bCs w:val="0"/>
                <w:color w:val="000000" w:themeColor="text1"/>
                <w:kern w:val="0"/>
                <w:sz w:val="28"/>
                <w:szCs w:val="28"/>
                <w:shd w:val="clear" w:color="auto" w:fill="FFFFFF"/>
                <w:lang w:val="en-US" w:eastAsia="zh-CN" w:bidi="ar-SA"/>
                <w14:textFill>
                  <w14:solidFill>
                    <w14:schemeClr w14:val="tx1"/>
                  </w14:solidFill>
                </w14:textFill>
              </w:rPr>
            </w:pPr>
          </w:p>
        </w:tc>
      </w:tr>
    </w:tbl>
    <w:p w14:paraId="2F3327BA">
      <w:pPr>
        <w:pStyle w:val="4"/>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firstLine="560" w:firstLineChars="200"/>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黑体" w:hAnsi="黑体" w:eastAsia="黑体" w:cs="黑体"/>
          <w:b w:val="0"/>
          <w:bCs w:val="0"/>
          <w:color w:val="000000" w:themeColor="text1"/>
          <w:sz w:val="28"/>
          <w:szCs w:val="28"/>
          <w:shd w:val="clear" w:color="auto" w:fill="FFFFFF"/>
          <w:lang w:val="en-US" w:eastAsia="zh-CN"/>
          <w14:textFill>
            <w14:solidFill>
              <w14:schemeClr w14:val="tx1"/>
            </w14:solidFill>
          </w14:textFill>
        </w:rPr>
        <w:t>四、项目预算：</w:t>
      </w: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18000元/年</w:t>
      </w:r>
      <w:r>
        <w:rPr>
          <w:rFonts w:hint="default" w:ascii="Arial" w:hAnsi="Arial" w:eastAsia="仿宋" w:cs="Arial"/>
          <w:b w:val="0"/>
          <w:bCs w:val="0"/>
          <w:color w:val="000000" w:themeColor="text1"/>
          <w:sz w:val="28"/>
          <w:szCs w:val="28"/>
          <w:shd w:val="clear" w:color="auto" w:fill="FFFFFF"/>
          <w:lang w:val="en-US" w:eastAsia="zh-CN"/>
          <w14:textFill>
            <w14:solidFill>
              <w14:schemeClr w14:val="tx1"/>
            </w14:solidFill>
          </w14:textFill>
        </w:rPr>
        <w:t>×</w:t>
      </w: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3年=54000元。</w:t>
      </w:r>
    </w:p>
    <w:p w14:paraId="758696EC">
      <w:pPr>
        <w:pStyle w:val="4"/>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firstLine="560" w:firstLineChars="200"/>
        <w:rPr>
          <w:rFonts w:hint="eastAsia" w:ascii="仿宋" w:hAnsi="仿宋" w:eastAsia="仿宋" w:cs="仿宋"/>
          <w:sz w:val="28"/>
          <w:szCs w:val="28"/>
          <w:lang w:eastAsia="zh-CN"/>
        </w:rPr>
      </w:pPr>
      <w:r>
        <w:rPr>
          <w:rFonts w:hint="eastAsia" w:ascii="黑体" w:hAnsi="黑体" w:eastAsia="黑体" w:cs="黑体"/>
          <w:b w:val="0"/>
          <w:bCs w:val="0"/>
          <w:color w:val="000000" w:themeColor="text1"/>
          <w:sz w:val="28"/>
          <w:szCs w:val="28"/>
          <w:shd w:val="clear" w:color="auto" w:fill="FFFFFF"/>
          <w:lang w:val="en-US" w:eastAsia="zh-CN"/>
          <w14:textFill>
            <w14:solidFill>
              <w14:schemeClr w14:val="tx1"/>
            </w14:solidFill>
          </w14:textFill>
        </w:rPr>
        <w:t>五、采购方式：</w:t>
      </w:r>
      <w:r>
        <w:rPr>
          <w:rFonts w:hint="eastAsia" w:ascii="仿宋" w:hAnsi="仿宋" w:eastAsia="仿宋" w:cs="仿宋"/>
          <w:sz w:val="28"/>
          <w:szCs w:val="28"/>
          <w:lang w:eastAsia="zh-CN"/>
        </w:rPr>
        <w:t>通过省政府电子卖场公开竞价。</w:t>
      </w:r>
    </w:p>
    <w:p w14:paraId="4C1B958E">
      <w:pPr>
        <w:pStyle w:val="4"/>
        <w:keepNext w:val="0"/>
        <w:keepLines w:val="0"/>
        <w:pageBreakBefore w:val="0"/>
        <w:widowControl/>
        <w:numPr>
          <w:ilvl w:val="0"/>
          <w:numId w:val="0"/>
        </w:numPr>
        <w:kinsoku/>
        <w:wordWrap/>
        <w:overflowPunct/>
        <w:topLinePunct w:val="0"/>
        <w:autoSpaceDE/>
        <w:autoSpaceDN/>
        <w:bidi w:val="0"/>
        <w:spacing w:beforeAutospacing="0" w:afterAutospacing="0" w:line="500" w:lineRule="exact"/>
        <w:ind w:firstLine="560" w:firstLineChars="200"/>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黑体" w:hAnsi="黑体" w:eastAsia="黑体" w:cs="黑体"/>
          <w:b w:val="0"/>
          <w:bCs w:val="0"/>
          <w:color w:val="000000" w:themeColor="text1"/>
          <w:sz w:val="28"/>
          <w:szCs w:val="28"/>
          <w:shd w:val="clear" w:color="auto" w:fill="FFFFFF"/>
          <w:lang w:val="en-US" w:eastAsia="zh-CN"/>
          <w14:textFill>
            <w14:solidFill>
              <w14:schemeClr w14:val="tx1"/>
            </w14:solidFill>
          </w14:textFill>
        </w:rPr>
        <w:t>六、报价方式：</w:t>
      </w:r>
      <w:r>
        <w:rPr>
          <w:rFonts w:hint="eastAsia" w:ascii="仿宋" w:hAnsi="仿宋" w:eastAsia="仿宋" w:cs="仿宋"/>
          <w:sz w:val="28"/>
          <w:szCs w:val="28"/>
        </w:rPr>
        <w:t>本项目采用</w:t>
      </w:r>
      <w:r>
        <w:rPr>
          <w:rFonts w:hint="eastAsia" w:ascii="仿宋" w:hAnsi="仿宋" w:eastAsia="仿宋" w:cs="仿宋"/>
          <w:sz w:val="28"/>
          <w:szCs w:val="28"/>
          <w:lang w:val="en-US" w:eastAsia="zh-CN"/>
        </w:rPr>
        <w:t>3年</w:t>
      </w:r>
      <w:r>
        <w:rPr>
          <w:rFonts w:hint="eastAsia" w:ascii="仿宋" w:hAnsi="仿宋" w:eastAsia="仿宋" w:cs="仿宋"/>
          <w:sz w:val="28"/>
          <w:szCs w:val="28"/>
        </w:rPr>
        <w:t>总价包干</w:t>
      </w:r>
      <w:r>
        <w:rPr>
          <w:rFonts w:hint="eastAsia" w:ascii="仿宋" w:hAnsi="仿宋" w:eastAsia="仿宋" w:cs="仿宋"/>
          <w:sz w:val="28"/>
          <w:szCs w:val="28"/>
          <w:lang w:eastAsia="zh-CN"/>
        </w:rPr>
        <w:t>的</w:t>
      </w:r>
      <w:r>
        <w:rPr>
          <w:rFonts w:hint="eastAsia" w:ascii="仿宋" w:hAnsi="仿宋" w:eastAsia="仿宋" w:cs="仿宋"/>
          <w:sz w:val="28"/>
          <w:szCs w:val="28"/>
        </w:rPr>
        <w:t>方式报价，报价应包含服务过程中所产生的人工、药品、器械、运输、税费等所有费用，采购方不再另行支付其他费用</w:t>
      </w:r>
      <w:r>
        <w:rPr>
          <w:rFonts w:hint="eastAsia" w:ascii="仿宋" w:hAnsi="仿宋" w:eastAsia="仿宋" w:cs="仿宋"/>
          <w:sz w:val="28"/>
          <w:szCs w:val="28"/>
          <w:lang w:eastAsia="zh-CN"/>
        </w:rPr>
        <w:t>。</w:t>
      </w:r>
    </w:p>
    <w:p w14:paraId="4A7A690D">
      <w:pPr>
        <w:keepNext w:val="0"/>
        <w:keepLines w:val="0"/>
        <w:pageBreakBefore w:val="0"/>
        <w:kinsoku/>
        <w:wordWrap/>
        <w:overflowPunct/>
        <w:topLinePunct w:val="0"/>
        <w:autoSpaceDE/>
        <w:autoSpaceDN/>
        <w:bidi w:val="0"/>
        <w:spacing w:line="500" w:lineRule="exact"/>
        <w:ind w:firstLine="560" w:firstLineChars="200"/>
        <w:rPr>
          <w:rFonts w:hint="default" w:ascii="黑体" w:hAnsi="黑体" w:eastAsia="黑体" w:cs="黑体"/>
          <w:b w:val="0"/>
          <w:bCs w:val="0"/>
          <w:color w:val="000000" w:themeColor="text1"/>
          <w:kern w:val="0"/>
          <w:sz w:val="28"/>
          <w:szCs w:val="28"/>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28"/>
          <w:szCs w:val="28"/>
          <w:shd w:val="clear" w:color="auto" w:fill="FFFFFF"/>
          <w:lang w:val="en-US" w:eastAsia="zh-CN" w:bidi="ar-SA"/>
          <w14:textFill>
            <w14:solidFill>
              <w14:schemeClr w14:val="tx1"/>
            </w14:solidFill>
          </w14:textFill>
        </w:rPr>
        <w:t>七、项目结算方式：</w:t>
      </w:r>
      <w:r>
        <w:rPr>
          <w:rFonts w:hint="eastAsia" w:ascii="仿宋" w:hAnsi="仿宋" w:eastAsia="仿宋" w:cs="仿宋"/>
          <w:kern w:val="0"/>
          <w:sz w:val="28"/>
          <w:szCs w:val="28"/>
          <w:lang w:val="en-US" w:eastAsia="zh-CN" w:bidi="ar-SA"/>
        </w:rPr>
        <w:t>项目实行服务期每满一年一支付，每年支付3年总合同价的1/3费用给中标方。</w:t>
      </w:r>
    </w:p>
    <w:p w14:paraId="6B15B37B">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b/>
          <w:bCs/>
          <w:color w:val="000000" w:themeColor="text1"/>
          <w:sz w:val="28"/>
          <w:szCs w:val="28"/>
          <w:lang w:bidi="ar"/>
          <w14:textFill>
            <w14:solidFill>
              <w14:schemeClr w14:val="tx1"/>
            </w14:solidFill>
          </w14:textFill>
        </w:rPr>
      </w:pPr>
      <w:r>
        <w:rPr>
          <w:rFonts w:hint="eastAsia" w:ascii="黑体" w:hAnsi="黑体" w:eastAsia="黑体" w:cs="黑体"/>
          <w:b w:val="0"/>
          <w:bCs w:val="0"/>
          <w:color w:val="000000" w:themeColor="text1"/>
          <w:kern w:val="0"/>
          <w:sz w:val="28"/>
          <w:szCs w:val="28"/>
          <w:shd w:val="clear" w:color="auto" w:fill="FFFFFF"/>
          <w:lang w:val="en-US" w:eastAsia="zh-CN" w:bidi="ar-SA"/>
          <w14:textFill>
            <w14:solidFill>
              <w14:schemeClr w14:val="tx1"/>
            </w14:solidFill>
          </w14:textFill>
        </w:rPr>
        <w:t>八、项目服务要求：</w:t>
      </w:r>
    </w:p>
    <w:p w14:paraId="3FCE26D4">
      <w:pPr>
        <w:keepNext w:val="0"/>
        <w:keepLines w:val="0"/>
        <w:pageBreakBefore w:val="0"/>
        <w:kinsoku/>
        <w:wordWrap/>
        <w:overflowPunct/>
        <w:topLinePunct w:val="0"/>
        <w:autoSpaceDE/>
        <w:autoSpaceDN/>
        <w:bidi w:val="0"/>
        <w:spacing w:line="500" w:lineRule="exact"/>
        <w:ind w:firstLine="560" w:firstLineChars="200"/>
        <w:rPr>
          <w:rFonts w:hint="eastAsia" w:ascii="楷体" w:hAnsi="楷体" w:eastAsia="楷体" w:cs="楷体"/>
          <w:b w:val="0"/>
          <w:bCs w:val="0"/>
          <w:color w:val="000000" w:themeColor="text1"/>
          <w:sz w:val="28"/>
          <w:szCs w:val="28"/>
          <w14:textFill>
            <w14:solidFill>
              <w14:schemeClr w14:val="tx1"/>
            </w14:solidFill>
          </w14:textFill>
        </w:rPr>
      </w:pPr>
      <w:r>
        <w:rPr>
          <w:rFonts w:hint="eastAsia" w:ascii="楷体" w:hAnsi="楷体" w:eastAsia="楷体" w:cs="楷体"/>
          <w:b w:val="0"/>
          <w:bCs w:val="0"/>
          <w:color w:val="000000" w:themeColor="text1"/>
          <w:sz w:val="28"/>
          <w:szCs w:val="28"/>
          <w:lang w:bidi="ar"/>
          <w14:textFill>
            <w14:solidFill>
              <w14:schemeClr w14:val="tx1"/>
            </w14:solidFill>
          </w14:textFill>
        </w:rPr>
        <w:t>（一）杀灭的对象及范围</w:t>
      </w:r>
    </w:p>
    <w:p w14:paraId="692948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1.杀灭对象：对校园内常见的“四害”，即老鼠、苍蝇、蚊子、蟑螂进行综合消杀，对蚁、蛇等有害昆虫、动物进行防治。确保校园环境符合国家及地方关于病媒生物防制的相关标准。</w:t>
      </w:r>
    </w:p>
    <w:p w14:paraId="16D5B619">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2.杀灭的范围：全校范围。</w:t>
      </w:r>
    </w:p>
    <w:p w14:paraId="559E73FF">
      <w:pPr>
        <w:keepNext w:val="0"/>
        <w:keepLines w:val="0"/>
        <w:pageBreakBefore w:val="0"/>
        <w:kinsoku/>
        <w:wordWrap/>
        <w:overflowPunct/>
        <w:topLinePunct w:val="0"/>
        <w:autoSpaceDE/>
        <w:autoSpaceDN/>
        <w:bidi w:val="0"/>
        <w:spacing w:line="500" w:lineRule="exact"/>
        <w:ind w:firstLine="560" w:firstLineChars="200"/>
        <w:rPr>
          <w:rFonts w:hint="eastAsia" w:ascii="楷体" w:hAnsi="楷体" w:eastAsia="楷体" w:cs="楷体"/>
          <w:b w:val="0"/>
          <w:bCs w:val="0"/>
          <w:color w:val="000000" w:themeColor="text1"/>
          <w:sz w:val="28"/>
          <w:szCs w:val="28"/>
          <w:lang w:val="en-US" w:eastAsia="zh-CN" w:bidi="ar"/>
          <w14:textFill>
            <w14:solidFill>
              <w14:schemeClr w14:val="tx1"/>
            </w14:solidFill>
          </w14:textFill>
        </w:rPr>
      </w:pPr>
      <w:r>
        <w:rPr>
          <w:rFonts w:hint="eastAsia" w:ascii="楷体" w:hAnsi="楷体" w:eastAsia="楷体" w:cs="楷体"/>
          <w:b w:val="0"/>
          <w:bCs w:val="0"/>
          <w:color w:val="000000" w:themeColor="text1"/>
          <w:sz w:val="28"/>
          <w:szCs w:val="28"/>
          <w:lang w:val="en-US" w:eastAsia="zh-CN" w:bidi="ar"/>
          <w14:textFill>
            <w14:solidFill>
              <w14:schemeClr w14:val="tx1"/>
            </w14:solidFill>
          </w14:textFill>
        </w:rPr>
        <w:t>（二）杀灭的技术与措施</w:t>
      </w:r>
    </w:p>
    <w:p w14:paraId="635FA651">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灭鼠：采用高效低毒的抗凝血灭鼠剂，坚持每月2次定期投放，根据鼠类的生活习性，以少量多堆的原则进行全面饱和投药，并不断观察老鼠的摄食情况以吃多补多，吃完加倍补放的原则及时补药。在公共区域建立固定的毒饵站来有效的控制外来鼠的侵入。每次灭鼠后对其效果进行跟踪检查，对实际存在的问题进行分析，结合实际因地制宜进行合理消杀。</w:t>
      </w:r>
    </w:p>
    <w:p w14:paraId="595BD08D">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消杀（蟑螂、蚊子、苍蝇、千足虫）：采取以生态学为基础，根据有害昆虫的习性和学校的环境，采取防与治兼顾，环境治理与化学防治并重的综合防治措施。选用高效、低毒对人畜比较安全、对环境污染小的专业卫生用药。采取多种手段选用专业的药物和器械全面有效的杀灭成虫及控制其幼虫的孳生。</w:t>
      </w:r>
    </w:p>
    <w:p w14:paraId="218C5E38">
      <w:pPr>
        <w:keepNext w:val="0"/>
        <w:keepLines w:val="0"/>
        <w:pageBreakBefore w:val="0"/>
        <w:kinsoku/>
        <w:wordWrap/>
        <w:overflowPunct/>
        <w:topLinePunct w:val="0"/>
        <w:autoSpaceDE/>
        <w:autoSpaceDN/>
        <w:bidi w:val="0"/>
        <w:spacing w:line="500" w:lineRule="exact"/>
        <w:ind w:firstLine="560" w:firstLineChars="200"/>
        <w:rPr>
          <w:rFonts w:hint="eastAsia" w:ascii="楷体" w:hAnsi="楷体" w:eastAsia="楷体" w:cs="楷体"/>
          <w:b w:val="0"/>
          <w:bCs w:val="0"/>
          <w:color w:val="000000" w:themeColor="text1"/>
          <w:sz w:val="28"/>
          <w:szCs w:val="28"/>
          <w:lang w:val="en-US" w:eastAsia="zh-CN" w:bidi="ar"/>
          <w14:textFill>
            <w14:solidFill>
              <w14:schemeClr w14:val="tx1"/>
            </w14:solidFill>
          </w14:textFill>
        </w:rPr>
      </w:pPr>
      <w:r>
        <w:rPr>
          <w:rFonts w:hint="eastAsia" w:ascii="楷体" w:hAnsi="楷体" w:eastAsia="楷体" w:cs="楷体"/>
          <w:b w:val="0"/>
          <w:bCs w:val="0"/>
          <w:color w:val="000000" w:themeColor="text1"/>
          <w:sz w:val="28"/>
          <w:szCs w:val="28"/>
          <w:lang w:val="en-US" w:eastAsia="zh-CN" w:bidi="ar"/>
          <w14:textFill>
            <w14:solidFill>
              <w14:schemeClr w14:val="tx1"/>
            </w14:solidFill>
          </w14:textFill>
        </w:rPr>
        <w:t>（三）蛇害防治</w:t>
      </w:r>
    </w:p>
    <w:p w14:paraId="765888C6">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1.蛇情排除：根据防蛇现场环境，专业人员按照防蛇排查程序对每个区域进行排查及记录确认是否有蛇出入；根据排查记录专业人员做出防蛇施工计划与方案，排除蛇情，布控防蛇设备。</w:t>
      </w:r>
    </w:p>
    <w:p w14:paraId="15E9CA0F">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人工捕蛇：为了避免直接用手接触毒蛇，确保生命安全，用特制的蛇夹，柄较长，夹口向内略呈弧形，从蛇的后面向颈部夹起。用此夹蛇，蛇夹口的大小应与蛇体大小相适应，太大或太小都不易控制，捕蛇后在校外合适的环境予以放生。</w:t>
      </w:r>
    </w:p>
    <w:p w14:paraId="7CAC4170">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3.药物使用：使用云香精、雄黄水向蛇身喷洒。</w:t>
      </w:r>
    </w:p>
    <w:p w14:paraId="36848F47">
      <w:pPr>
        <w:keepNext w:val="0"/>
        <w:keepLines w:val="0"/>
        <w:pageBreakBefore w:val="0"/>
        <w:kinsoku/>
        <w:wordWrap/>
        <w:overflowPunct/>
        <w:topLinePunct w:val="0"/>
        <w:autoSpaceDE/>
        <w:autoSpaceDN/>
        <w:bidi w:val="0"/>
        <w:spacing w:line="500" w:lineRule="exact"/>
        <w:ind w:firstLine="560" w:firstLineChars="200"/>
        <w:rPr>
          <w:rFonts w:hint="eastAsia" w:ascii="楷体" w:hAnsi="楷体" w:eastAsia="楷体" w:cs="楷体"/>
          <w:b w:val="0"/>
          <w:bCs w:val="0"/>
          <w:color w:val="000000" w:themeColor="text1"/>
          <w:sz w:val="28"/>
          <w:szCs w:val="28"/>
          <w:lang w:val="en-US" w:eastAsia="zh-CN" w:bidi="ar"/>
          <w14:textFill>
            <w14:solidFill>
              <w14:schemeClr w14:val="tx1"/>
            </w14:solidFill>
          </w14:textFill>
        </w:rPr>
      </w:pPr>
      <w:r>
        <w:rPr>
          <w:rFonts w:hint="eastAsia" w:ascii="楷体" w:hAnsi="楷体" w:eastAsia="楷体" w:cs="楷体"/>
          <w:b w:val="0"/>
          <w:bCs w:val="0"/>
          <w:color w:val="000000" w:themeColor="text1"/>
          <w:sz w:val="28"/>
          <w:szCs w:val="28"/>
          <w:lang w:val="en-US" w:eastAsia="zh-CN" w:bidi="ar"/>
          <w14:textFill>
            <w14:solidFill>
              <w14:schemeClr w14:val="tx1"/>
            </w14:solidFill>
          </w14:textFill>
        </w:rPr>
        <w:t>（四）工作责任及用药安全</w:t>
      </w:r>
    </w:p>
    <w:p w14:paraId="4B01841E">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应坚持科学及合理用药，确保学校内的老鼠、蚊子、蟑螂、苍蝇的密度有效降低。项目服务期间，中标方及服务团队须配备必要的安全防护设备及警示标识等，确保作业安全。中标方的服务人员或因中标方作业导致的一切安全事故，由中标方承担全部责任。</w:t>
      </w:r>
    </w:p>
    <w:p w14:paraId="235F6637">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2.项目服务期间，采购方需中标方整改的事项，中标方须无条件限期整改，整改后仍不达标将终止合作；若年度内出现2次以上安全违规或重大服务事故，直接解除合同并纳入校园服务商黑名单。</w:t>
      </w:r>
    </w:p>
    <w:p w14:paraId="59F5037A">
      <w:pPr>
        <w:pStyle w:val="7"/>
        <w:keepNext w:val="0"/>
        <w:keepLines w:val="0"/>
        <w:pageBreakBefore w:val="0"/>
        <w:kinsoku/>
        <w:wordWrap/>
        <w:overflowPunct/>
        <w:topLinePunct w:val="0"/>
        <w:autoSpaceDE/>
        <w:autoSpaceDN/>
        <w:bidi w:val="0"/>
        <w:spacing w:line="500" w:lineRule="exact"/>
        <w:ind w:firstLine="560" w:firstLineChars="200"/>
        <w:jc w:val="both"/>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3.应选用高效低毒，对环境无污染，对人畜比较安全的广谱卫生用药，所采购的杀虫药品必须是依法取得农药登记证、农药生产许可证、产品质量标准号证(简称三证)，其中杀虫剂必须是卫生杀虫剂（证号以 WP 开头），禁止将农业用杀虫剂（证号以PD 开头）用于病媒生物防制。</w:t>
      </w:r>
    </w:p>
    <w:p w14:paraId="17993045">
      <w:pPr>
        <w:pStyle w:val="7"/>
        <w:keepNext w:val="0"/>
        <w:keepLines w:val="0"/>
        <w:pageBreakBefore w:val="0"/>
        <w:kinsoku/>
        <w:wordWrap/>
        <w:overflowPunct/>
        <w:topLinePunct w:val="0"/>
        <w:autoSpaceDE/>
        <w:autoSpaceDN/>
        <w:bidi w:val="0"/>
        <w:spacing w:line="500" w:lineRule="exact"/>
        <w:ind w:firstLine="560" w:firstLineChars="200"/>
        <w:jc w:val="both"/>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放药前，应提前发放《灭蚊蝇蟑螂药物使用方法及注意事项》宣传单。内环境用药，要选用低毒、微毒、气味小的水剂和微乳剂，优先选用合格企业生产的质量稳定、已广泛推广应用、社会信誉度好的产品，严禁将中等毒性及以上的卫生杀虫剂产品用于室内；公共外环境用药，要选择卫生、高效、低毒和低残留的卫生杀虫剂。灭蚊烟片、蚊香使用时要放在房屋中间，周围不要有易燃物，施药时关闭门窗、人员离开，半小时后开窗通风。气雾剂不要直接对人喷，也不要喷在衣服或皮肤上，不在温度较高或有明火的地方使用气雾剂。要全过程、经常性地做好巡查工作，对剩余或散落的饵料、药物及时进行收集清理、科学处理，防止造成环境污染、人畜误食中毒。</w:t>
      </w:r>
    </w:p>
    <w:p w14:paraId="4DA3EA5C">
      <w:pPr>
        <w:keepNext w:val="0"/>
        <w:keepLines w:val="0"/>
        <w:pageBreakBefore w:val="0"/>
        <w:kinsoku/>
        <w:wordWrap/>
        <w:overflowPunct/>
        <w:topLinePunct w:val="0"/>
        <w:autoSpaceDE/>
        <w:autoSpaceDN/>
        <w:bidi w:val="0"/>
        <w:spacing w:line="500" w:lineRule="exact"/>
        <w:ind w:firstLine="560" w:firstLineChars="200"/>
        <w:rPr>
          <w:rFonts w:hint="eastAsia" w:ascii="楷体" w:hAnsi="楷体" w:eastAsia="楷体" w:cs="楷体"/>
          <w:b w:val="0"/>
          <w:bCs w:val="0"/>
          <w:color w:val="000000" w:themeColor="text1"/>
          <w:sz w:val="28"/>
          <w:szCs w:val="28"/>
          <w:lang w:val="en-US" w:eastAsia="zh-CN" w:bidi="ar"/>
          <w14:textFill>
            <w14:solidFill>
              <w14:schemeClr w14:val="tx1"/>
            </w14:solidFill>
          </w14:textFill>
        </w:rPr>
      </w:pPr>
      <w:r>
        <w:rPr>
          <w:rFonts w:hint="eastAsia" w:ascii="楷体" w:hAnsi="楷体" w:eastAsia="楷体" w:cs="楷体"/>
          <w:b w:val="0"/>
          <w:bCs w:val="0"/>
          <w:color w:val="000000" w:themeColor="text1"/>
          <w:sz w:val="28"/>
          <w:szCs w:val="28"/>
          <w:lang w:val="en-US" w:eastAsia="zh-CN" w:bidi="ar"/>
          <w14:textFill>
            <w14:solidFill>
              <w14:schemeClr w14:val="tx1"/>
            </w14:solidFill>
          </w14:textFill>
        </w:rPr>
        <w:t>（五）具体要求及质量标准</w:t>
      </w:r>
    </w:p>
    <w:p w14:paraId="25D6071F">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1.灭鼠要求</w:t>
      </w:r>
    </w:p>
    <w:p w14:paraId="2CCC1E73">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1.1每月根据工作计划表投药，因鼠密度较高，应加大控制力度。</w:t>
      </w:r>
    </w:p>
    <w:p w14:paraId="6199CE4F">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1.2投药时内外部所有老鼠经常出入的地方，应重点投放，数量视具体面积和鼠害的程度而定。</w:t>
      </w:r>
    </w:p>
    <w:p w14:paraId="68363329">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1.3投放的诱饵站根据范围制定相应的编号，以便于对所投放药的工作情况有所反馈。</w:t>
      </w:r>
    </w:p>
    <w:p w14:paraId="466866CC">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1.4每月施药须进行彻底性的灭鼠、杀虫服务。</w:t>
      </w:r>
    </w:p>
    <w:p w14:paraId="6149439C">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1.5为了更好地对老鼠加以监控，必须定期派出质检员进行检查，须检查诱饵是否存在，或者更换诱饵以及诱饵的位置是否合理。</w:t>
      </w:r>
    </w:p>
    <w:p w14:paraId="3A0459BE">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1.6灭鼠方法：</w:t>
      </w:r>
    </w:p>
    <w:p w14:paraId="7BA8BEE4">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A.要摸清鼠种情况，明确重点灭鼠方向。鼠情调查可采用粉迹、鼠夹法投放诱饵法，也可根据实际情况安放一定数量布夹式布粉，要做好相应的编号，注意观察并做好统计。</w:t>
      </w:r>
    </w:p>
    <w:p w14:paraId="6A7BEC00">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B.首次调查结果作为基础鼠密度，同时对夹到的鼠尸要进行分类，根据不同鼠种采用不同的毒饵型灭鼠。</w:t>
      </w:r>
    </w:p>
    <w:p w14:paraId="2F3DC149">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C.根据基础调查的结果，要实施全方位灭鼠，方法可采用毒饵控制法、物理控制法，药剂：立克命追踪粉、大隆、敌鼠隆（Brodifacoum）或同类产品。</w:t>
      </w:r>
    </w:p>
    <w:p w14:paraId="3BFF0CDB">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1.7器具：诱饵、盒子、管子、纸盘、粘鼠板方式（药物投放须不显眼的地方或立体放药）。</w:t>
      </w:r>
    </w:p>
    <w:p w14:paraId="48669038">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1.8灭鼠标准：</w:t>
      </w:r>
    </w:p>
    <w:p w14:paraId="3A97B230">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A.15平方米标准房间布防20*20厘米滑石粉块两块，一夜后阳性粉块不超过3%；有鼠洞、鼠粪、鼠咬痕迹等鼠迹的房间不超过2%，重点区域防鼠设施不合格处不超过5%</w:t>
      </w:r>
    </w:p>
    <w:p w14:paraId="5E7C0965">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B.不同类型的外环境累计2000米，鼠粪、鼠迹不超过5处。</w:t>
      </w:r>
    </w:p>
    <w:p w14:paraId="23D981E4">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2.重点楼层/区域灭鼠要求</w:t>
      </w:r>
    </w:p>
    <w:p w14:paraId="017804EA">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2.1外围：沿建筑物外墙所有老鼠出入的地方放置老鼠诱饵站，并进行药物喷洒以控制外围的虫害。</w:t>
      </w:r>
    </w:p>
    <w:p w14:paraId="1B57C112">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2.2公共区域可采用毒鼠站投放于墙壁四周，距离间隔约20~30公尺。</w:t>
      </w:r>
    </w:p>
    <w:p w14:paraId="7A51ACB5">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2.3对容易产生虫害的地方要进行药物喷洒。</w:t>
      </w:r>
    </w:p>
    <w:p w14:paraId="30C6C79C">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2.4对公共区域等进行立体投药。</w:t>
      </w:r>
    </w:p>
    <w:p w14:paraId="52918CB7">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3.爬虫控制要求</w:t>
      </w:r>
    </w:p>
    <w:p w14:paraId="00C6A658">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3.1根据计划对区域等范围进行害虫防治工作，如因密度高，须及时增加防治次数。</w:t>
      </w:r>
    </w:p>
    <w:p w14:paraId="4ACEBA6B">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3.2药物喷洒场所为垃圾堆放处，下水道有蟑螂活动频繁的地方、地面千足虫活动频繁的地方。</w:t>
      </w:r>
    </w:p>
    <w:p w14:paraId="666238BC">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3.3对一些不能喷洒的场所须放置小颗粒药物。</w:t>
      </w:r>
    </w:p>
    <w:p w14:paraId="2F9F6CBD">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3.4灭蟑螂方法：</w:t>
      </w:r>
    </w:p>
    <w:p w14:paraId="48963842">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定期采用灭蟑胶饵、菊酯类的药物进行滞留性缝隙喷洒，下水道可采取快速热烟雾方法快速杀灭蟑螂。</w:t>
      </w:r>
    </w:p>
    <w:p w14:paraId="38E26DDA">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3.5采用药剂：灭蟑胶饵、溴氰菊酯Deltamethrin Ec或同类菊酯类产品。</w:t>
      </w:r>
    </w:p>
    <w:p w14:paraId="1C1DEA9A">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3.6采用设备：电力喷雾器，用扇形喷嘴，浓缩电动喷雾器等。</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YzBmNTg4NDM1MGExN2Q2NWI2YjI2ZTgxMDM1M2MifQ=="/>
  </w:docVars>
  <w:rsids>
    <w:rsidRoot w:val="3707079D"/>
    <w:rsid w:val="08353BCC"/>
    <w:rsid w:val="0919266D"/>
    <w:rsid w:val="1C192A02"/>
    <w:rsid w:val="21D20DDB"/>
    <w:rsid w:val="22D66A83"/>
    <w:rsid w:val="252E644C"/>
    <w:rsid w:val="2BFA0D13"/>
    <w:rsid w:val="2E9F7E5E"/>
    <w:rsid w:val="300223B7"/>
    <w:rsid w:val="31757185"/>
    <w:rsid w:val="3707079D"/>
    <w:rsid w:val="3CD6392F"/>
    <w:rsid w:val="3FCC1F71"/>
    <w:rsid w:val="3FCE0886"/>
    <w:rsid w:val="42DB7D47"/>
    <w:rsid w:val="42EE412F"/>
    <w:rsid w:val="49E5618B"/>
    <w:rsid w:val="4EA212ED"/>
    <w:rsid w:val="50C20CC9"/>
    <w:rsid w:val="57335A1F"/>
    <w:rsid w:val="5B444ECA"/>
    <w:rsid w:val="6D5C5811"/>
    <w:rsid w:val="715B2C51"/>
    <w:rsid w:val="7D6F195F"/>
    <w:rsid w:val="7EDA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无间隔1"/>
    <w:basedOn w:val="1"/>
    <w:qFormat/>
    <w:uiPriority w:val="0"/>
    <w:pPr>
      <w:widowControl/>
      <w:adjustRightInd w:val="0"/>
      <w:snapToGrid w:val="0"/>
      <w:jc w:val="left"/>
    </w:pPr>
    <w:rPr>
      <w:rFonts w:ascii="Tahoma" w:hAnsi="Tahoma" w:eastAsia="微软雅黑" w:cs="宋体"/>
      <w:kern w:val="0"/>
      <w:sz w:val="2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2441</Words>
  <Characters>2553</Characters>
  <Lines>0</Lines>
  <Paragraphs>0</Paragraphs>
  <TotalTime>17</TotalTime>
  <ScaleCrop>false</ScaleCrop>
  <LinksUpToDate>false</LinksUpToDate>
  <CharactersWithSpaces>2557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2022-06-21T01:16:00Z</dcterms:created>
  <dc:creator>Administrator</dc:creator>
  <cp:lastModifiedBy>西瓜子</cp:lastModifiedBy>
  <cp:lastPrinted>2025-10-17T02:59:00Z</cp:lastPrinted>
  <dcterms:modified xsi:type="dcterms:W3CDTF">2025-11-13T07:27:34Z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D26F48C8EA4848A4AF75E0150F1DED78_13</vt:lpwstr>
  </property>
  <property fmtid="{D5CDD505-2E9C-101B-9397-08002B2CF9AE}" pid="4" name="KSOTemplateDocerSaveRecord">
    <vt:lpwstr>eyJoZGlkIjoiMzkxYTFhOTQ2ZDg3N2E4ODIwNmUxOTZkMzI3OGIxZDMiLCJ1c2VySWQiOiIyNjIxNzEwODYifQ==</vt:lpwstr>
  </property>
</Properties>
</file>