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68AA9">
      <w:pPr>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采购需求</w:t>
      </w:r>
    </w:p>
    <w:p w14:paraId="760C3E6E">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2C70C251">
      <w:pPr>
        <w:spacing w:line="360" w:lineRule="auto"/>
        <w:ind w:firstLine="240" w:firstLineChars="100"/>
        <w:rPr>
          <w:rFonts w:ascii="宋体" w:hAnsi="宋体" w:eastAsia="宋体" w:cs="宋体"/>
          <w:sz w:val="24"/>
          <w:szCs w:val="24"/>
          <w:highlight w:val="none"/>
        </w:rPr>
      </w:pPr>
      <w:bookmarkStart w:id="0" w:name="_Hlk16461016"/>
      <w:r>
        <w:rPr>
          <w:rFonts w:hint="eastAsia" w:ascii="宋体" w:hAnsi="宋体" w:eastAsia="宋体" w:cs="宋体"/>
          <w:sz w:val="24"/>
          <w:szCs w:val="24"/>
          <w:highlight w:val="none"/>
        </w:rPr>
        <w:t>1、</w:t>
      </w:r>
      <w:r>
        <w:rPr>
          <w:rFonts w:ascii="宋体" w:hAnsi="宋体" w:eastAsia="宋体" w:cs="宋体"/>
          <w:sz w:val="24"/>
          <w:szCs w:val="24"/>
          <w:highlight w:val="none"/>
        </w:rPr>
        <w:t>本采购需求中提出的服务方案仅为参考，如无明确限制，</w:t>
      </w:r>
      <w:r>
        <w:rPr>
          <w:rFonts w:hint="eastAsia" w:ascii="宋体" w:hAnsi="宋体" w:eastAsia="宋体" w:cs="宋体"/>
          <w:sz w:val="24"/>
          <w:szCs w:val="24"/>
          <w:highlight w:val="none"/>
          <w:lang w:eastAsia="zh-CN"/>
        </w:rPr>
        <w:t>供应商</w:t>
      </w:r>
      <w:r>
        <w:rPr>
          <w:rFonts w:ascii="宋体" w:hAnsi="宋体" w:eastAsia="宋体" w:cs="宋体"/>
          <w:sz w:val="24"/>
          <w:szCs w:val="24"/>
          <w:highlight w:val="none"/>
        </w:rPr>
        <w:t>可以进行优化，提供满足采购人实际需要的更优（或者性能实质上不低于的）服务方案</w:t>
      </w:r>
      <w:r>
        <w:rPr>
          <w:rFonts w:hint="eastAsia" w:ascii="宋体" w:hAnsi="宋体" w:eastAsia="宋体" w:cs="宋体"/>
          <w:sz w:val="24"/>
          <w:szCs w:val="24"/>
          <w:highlight w:val="none"/>
        </w:rPr>
        <w:t>。</w:t>
      </w:r>
    </w:p>
    <w:p w14:paraId="100BB342">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2.下列采购需求中：</w:t>
      </w:r>
    </w:p>
    <w:p w14:paraId="6E177455">
      <w:pPr>
        <w:spacing w:line="360" w:lineRule="auto"/>
        <w:ind w:firstLine="240" w:firstLineChars="100"/>
        <w:rPr>
          <w:rFonts w:hint="eastAsia" w:ascii="宋体" w:hAnsi="宋体" w:eastAsia="宋体" w:cs="宋体"/>
          <w:sz w:val="24"/>
          <w:szCs w:val="24"/>
          <w:highlight w:val="none"/>
          <w:lang w:eastAsia="zh-CN"/>
        </w:rPr>
      </w:pPr>
      <w:r>
        <w:rPr>
          <w:rFonts w:ascii="宋体" w:hAnsi="宋体" w:eastAsia="宋体" w:cs="宋体"/>
          <w:sz w:val="24"/>
          <w:szCs w:val="24"/>
          <w:highlight w:val="none"/>
        </w:rPr>
        <w:t>（1）如属于《节能产品政府采购品目清单》中政府强制采购的节能产品，则</w:t>
      </w:r>
      <w:r>
        <w:rPr>
          <w:rFonts w:hint="eastAsia" w:ascii="宋体" w:hAnsi="宋体" w:eastAsia="宋体" w:cs="宋体"/>
          <w:sz w:val="24"/>
          <w:szCs w:val="24"/>
          <w:highlight w:val="none"/>
        </w:rPr>
        <w:t>供应商</w:t>
      </w:r>
      <w:r>
        <w:rPr>
          <w:rFonts w:ascii="宋体" w:hAnsi="宋体" w:eastAsia="宋体" w:cs="宋体"/>
          <w:sz w:val="24"/>
          <w:szCs w:val="24"/>
          <w:highlight w:val="none"/>
        </w:rPr>
        <w:t>所投产品须具有市场监管总局公布的《参与实施政府采购节能产品认证机构目录》中的认证机构出具的、处于有效期内的节能产品认证证书。</w:t>
      </w:r>
    </w:p>
    <w:p w14:paraId="740B6210">
      <w:pPr>
        <w:spacing w:line="360" w:lineRule="auto"/>
        <w:ind w:firstLine="240" w:firstLineChars="100"/>
        <w:rPr>
          <w:rFonts w:ascii="宋体" w:hAnsi="宋体" w:eastAsia="宋体" w:cs="宋体"/>
          <w:sz w:val="24"/>
          <w:szCs w:val="24"/>
          <w:highlight w:val="none"/>
        </w:rPr>
      </w:pPr>
      <w:r>
        <w:rPr>
          <w:rFonts w:ascii="宋体" w:hAnsi="宋体" w:eastAsia="宋体" w:cs="宋体"/>
          <w:sz w:val="24"/>
          <w:szCs w:val="24"/>
          <w:highlight w:val="none"/>
        </w:rPr>
        <w:t>（2）如涉及商品包装和快递包装，</w:t>
      </w:r>
      <w:r>
        <w:rPr>
          <w:rFonts w:hint="eastAsia" w:ascii="宋体" w:hAnsi="宋体" w:eastAsia="宋体" w:cs="宋体"/>
          <w:sz w:val="24"/>
          <w:szCs w:val="24"/>
          <w:highlight w:val="none"/>
        </w:rPr>
        <w:t>供应商</w:t>
      </w:r>
      <w:r>
        <w:rPr>
          <w:rFonts w:ascii="宋体" w:hAnsi="宋体" w:eastAsia="宋体" w:cs="宋体"/>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D0D61E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3.如采购人允许采用分包方式履行合同的，应当明确可以分包履行的相关内容。</w:t>
      </w:r>
    </w:p>
    <w:p w14:paraId="7E7AECCF">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一、采购需求前附表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3E7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5F47968">
            <w:pPr>
              <w:pStyle w:val="2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59110F24">
            <w:pPr>
              <w:pStyle w:val="2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2DA0569D">
            <w:pPr>
              <w:pStyle w:val="2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7A3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416854">
            <w:pPr>
              <w:pStyle w:val="2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57960C58">
            <w:pPr>
              <w:pStyle w:val="2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3C2DE9D6">
            <w:pPr>
              <w:pStyle w:val="23"/>
              <w:widowControl w:val="0"/>
              <w:spacing w:before="0" w:beforeAutospacing="0" w:after="0" w:afterAutospacing="0" w:line="360" w:lineRule="auto"/>
              <w:jc w:val="both"/>
              <w:rPr>
                <w:rFonts w:hint="default" w:ascii="宋体" w:hAnsi="宋体" w:eastAsia="宋体"/>
                <w:b w:val="0"/>
                <w:bCs/>
                <w:color w:val="auto"/>
                <w:sz w:val="24"/>
                <w:highlight w:val="none"/>
                <w:u w:val="none"/>
                <w:lang w:val="en-US" w:eastAsia="zh-CN"/>
              </w:rPr>
            </w:pPr>
            <w:r>
              <w:rPr>
                <w:rFonts w:hint="eastAsia" w:ascii="宋体" w:hAnsi="宋体" w:eastAsia="宋体"/>
                <w:b w:val="0"/>
                <w:bCs/>
                <w:color w:val="auto"/>
                <w:sz w:val="24"/>
                <w:highlight w:val="none"/>
                <w:u w:val="none"/>
                <w:lang w:val="en-US" w:eastAsia="zh-CN"/>
              </w:rPr>
              <w:t>合同签订后预支付合同价款40%（成交供应商须在提交预付款发票同时提交预付款等额的银行或保险公司或担保公司等金融机构出具的预付款保函），2026年6月验收后支付合同价款30%，待履约完成验收合格后支付合同价款的30%。</w:t>
            </w:r>
          </w:p>
          <w:p w14:paraId="71927D2A">
            <w:pPr>
              <w:pStyle w:val="2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bCs w:val="0"/>
                <w:color w:val="auto"/>
                <w:sz w:val="24"/>
                <w:highlight w:val="none"/>
                <w:u w:val="none"/>
              </w:rPr>
              <w:t>温馨提示：对于满足合同约定支付条件的，采购人原则上在收到发票后</w:t>
            </w:r>
            <w:r>
              <w:rPr>
                <w:rFonts w:hint="eastAsia" w:ascii="宋体" w:hAnsi="宋体" w:eastAsia="宋体"/>
                <w:b/>
                <w:bCs w:val="0"/>
                <w:color w:val="auto"/>
                <w:sz w:val="24"/>
                <w:highlight w:val="none"/>
                <w:u w:val="none"/>
                <w:lang w:val="en-US" w:eastAsia="zh-CN"/>
              </w:rPr>
              <w:t>30</w:t>
            </w:r>
            <w:r>
              <w:rPr>
                <w:rFonts w:hint="eastAsia" w:ascii="宋体" w:hAnsi="宋体" w:eastAsia="宋体"/>
                <w:b/>
                <w:bCs w:val="0"/>
                <w:color w:val="auto"/>
                <w:sz w:val="24"/>
                <w:highlight w:val="none"/>
                <w:u w:val="none"/>
              </w:rPr>
              <w:t>个工作日内将资金支付到成交供应商账户，特种商品或合同另有约定的除外，但最长不得超过5个工作日。对于小型、简单的政府采购项目，鼓励成交供应商在验收合格当天同步开具发票，采购人当天同步支付资金。</w:t>
            </w:r>
          </w:p>
        </w:tc>
      </w:tr>
      <w:tr w14:paraId="3800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D11E9C6">
            <w:pPr>
              <w:pStyle w:val="2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33D5D53F">
            <w:pPr>
              <w:pStyle w:val="2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6" w:type="pct"/>
            <w:vAlign w:val="center"/>
          </w:tcPr>
          <w:p w14:paraId="1A80297C">
            <w:pPr>
              <w:pStyle w:val="23"/>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lang w:val="en-US" w:eastAsia="zh-CN"/>
              </w:rPr>
              <w:t>合肥市包河区</w:t>
            </w:r>
            <w:r>
              <w:rPr>
                <w:rFonts w:hint="eastAsia" w:ascii="宋体" w:hAnsi="宋体" w:eastAsia="宋体"/>
                <w:b w:val="0"/>
                <w:bCs/>
                <w:color w:val="auto"/>
                <w:sz w:val="24"/>
                <w:highlight w:val="none"/>
                <w:u w:val="none"/>
                <w:lang w:val="en-US" w:eastAsia="zh-CN"/>
              </w:rPr>
              <w:t>。</w:t>
            </w:r>
          </w:p>
        </w:tc>
      </w:tr>
      <w:tr w14:paraId="6974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BF0052F">
            <w:pPr>
              <w:pStyle w:val="2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F274DBA">
            <w:pPr>
              <w:pStyle w:val="2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6" w:type="pct"/>
            <w:vAlign w:val="center"/>
          </w:tcPr>
          <w:p w14:paraId="1AAD80AA">
            <w:pPr>
              <w:pStyle w:val="23"/>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lang w:val="en-US" w:eastAsia="zh-CN"/>
              </w:rPr>
              <w:t>自合同签订之日起至2026年12月31日</w:t>
            </w:r>
            <w:r>
              <w:rPr>
                <w:rFonts w:hint="eastAsia" w:ascii="宋体" w:hAnsi="宋体" w:eastAsia="宋体"/>
                <w:b w:val="0"/>
                <w:bCs/>
                <w:color w:val="auto"/>
                <w:sz w:val="24"/>
                <w:highlight w:val="none"/>
                <w:u w:val="none"/>
                <w:lang w:val="en-US" w:eastAsia="zh-CN"/>
              </w:rPr>
              <w:t>。</w:t>
            </w:r>
          </w:p>
        </w:tc>
      </w:tr>
      <w:tr w14:paraId="40E1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A0A9103">
            <w:pPr>
              <w:pStyle w:val="22"/>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宋体" w:hAnsi="宋体" w:eastAsia="宋体"/>
                <w:bCs/>
                <w:color w:val="auto"/>
                <w:kern w:val="2"/>
                <w:highlight w:val="none"/>
                <w:lang w:val="en-US" w:eastAsia="zh-CN"/>
              </w:rPr>
              <w:t>4</w:t>
            </w:r>
          </w:p>
        </w:tc>
        <w:tc>
          <w:tcPr>
            <w:tcW w:w="1192" w:type="pct"/>
            <w:vAlign w:val="center"/>
          </w:tcPr>
          <w:p w14:paraId="146851BC">
            <w:pPr>
              <w:pStyle w:val="23"/>
              <w:widowControl w:val="0"/>
              <w:spacing w:before="0" w:beforeAutospacing="0" w:after="0" w:afterAutospacing="0" w:line="360" w:lineRule="auto"/>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本项目采购标的名称及所属行业</w:t>
            </w:r>
          </w:p>
        </w:tc>
        <w:tc>
          <w:tcPr>
            <w:tcW w:w="3216" w:type="pct"/>
            <w:vAlign w:val="center"/>
          </w:tcPr>
          <w:p w14:paraId="53B36266">
            <w:pPr>
              <w:spacing w:line="360" w:lineRule="auto"/>
              <w:jc w:val="left"/>
              <w:rPr>
                <w:rFonts w:hint="eastAsia"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标的名称：包河区病媒生物传染病综合防制服务采购项目</w:t>
            </w:r>
          </w:p>
          <w:p w14:paraId="15A6052F">
            <w:pPr>
              <w:spacing w:line="360" w:lineRule="auto"/>
              <w:rPr>
                <w:rFonts w:hint="default"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所属行业：其他未列明行业</w:t>
            </w:r>
          </w:p>
        </w:tc>
      </w:tr>
      <w:tr w14:paraId="1F07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70A299">
            <w:pPr>
              <w:pStyle w:val="22"/>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5</w:t>
            </w:r>
          </w:p>
        </w:tc>
        <w:tc>
          <w:tcPr>
            <w:tcW w:w="1192" w:type="pct"/>
            <w:vAlign w:val="center"/>
          </w:tcPr>
          <w:p w14:paraId="50E450D1">
            <w:pPr>
              <w:pStyle w:val="23"/>
              <w:widowControl w:val="0"/>
              <w:spacing w:before="0" w:beforeAutospacing="0" w:after="0" w:afterAutospacing="0" w:line="360" w:lineRule="auto"/>
              <w:rPr>
                <w:rFonts w:hint="default"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初审业绩</w:t>
            </w:r>
          </w:p>
        </w:tc>
        <w:tc>
          <w:tcPr>
            <w:tcW w:w="3216" w:type="pct"/>
            <w:vAlign w:val="center"/>
          </w:tcPr>
          <w:p w14:paraId="19EA0DE8">
            <w:pPr>
              <w:spacing w:line="360" w:lineRule="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自2020年1月1日以来（以合同签订时间为准），供应商具有病媒防制服务项目业绩。</w:t>
            </w:r>
          </w:p>
          <w:p w14:paraId="16F32E10">
            <w:pPr>
              <w:spacing w:line="360" w:lineRule="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注：</w:t>
            </w:r>
          </w:p>
          <w:p w14:paraId="4776771E">
            <w:pPr>
              <w:numPr>
                <w:ilvl w:val="0"/>
                <w:numId w:val="0"/>
              </w:numPr>
              <w:spacing w:line="360" w:lineRule="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lang w:val="en-US" w:eastAsia="zh-CN" w:bidi="ar-SA"/>
              </w:rPr>
              <w:t>（1）</w:t>
            </w:r>
            <w:r>
              <w:rPr>
                <w:rFonts w:hint="eastAsia" w:cs="@仿宋_GB2312" w:asciiTheme="minorEastAsia" w:hAnsiTheme="minorEastAsia" w:eastAsiaTheme="minorEastAsia"/>
                <w:b/>
                <w:bCs w:val="0"/>
                <w:color w:val="auto"/>
                <w:kern w:val="2"/>
                <w:sz w:val="24"/>
                <w:szCs w:val="20"/>
                <w:highlight w:val="none"/>
                <w:lang w:val="en-US" w:eastAsia="zh-CN" w:bidi="ar-SA"/>
              </w:rPr>
              <w:t>本项目仅认可已完成业绩。</w:t>
            </w:r>
          </w:p>
          <w:p w14:paraId="6FBC4C69">
            <w:pPr>
              <w:numPr>
                <w:ilvl w:val="0"/>
                <w:numId w:val="0"/>
              </w:numPr>
              <w:spacing w:line="360" w:lineRule="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default" w:cs="@仿宋_GB2312" w:asciiTheme="minorEastAsia" w:hAnsiTheme="minorEastAsia" w:eastAsiaTheme="minorEastAsia"/>
                <w:b/>
                <w:bCs w:val="0"/>
                <w:color w:val="auto"/>
                <w:kern w:val="2"/>
                <w:sz w:val="24"/>
                <w:szCs w:val="20"/>
                <w:lang w:val="en-US" w:eastAsia="zh-CN" w:bidi="ar-SA"/>
              </w:rPr>
              <w:t>（2）</w:t>
            </w:r>
            <w:r>
              <w:rPr>
                <w:rFonts w:hint="eastAsia" w:cs="@仿宋_GB2312" w:asciiTheme="minorEastAsia" w:hAnsiTheme="minorEastAsia" w:eastAsiaTheme="minorEastAsia"/>
                <w:b/>
                <w:bCs w:val="0"/>
                <w:color w:val="auto"/>
                <w:kern w:val="2"/>
                <w:sz w:val="24"/>
                <w:szCs w:val="20"/>
                <w:lang w:val="en-US" w:eastAsia="zh-CN" w:bidi="ar-SA"/>
              </w:rPr>
              <w:t>响应</w:t>
            </w:r>
            <w:r>
              <w:rPr>
                <w:rFonts w:hint="default" w:cs="@仿宋_GB2312" w:asciiTheme="minorEastAsia" w:hAnsiTheme="minorEastAsia" w:eastAsiaTheme="minorEastAsia"/>
                <w:b/>
                <w:bCs w:val="0"/>
                <w:color w:val="auto"/>
                <w:kern w:val="2"/>
                <w:sz w:val="24"/>
                <w:szCs w:val="20"/>
                <w:highlight w:val="none"/>
                <w:lang w:val="en-US" w:eastAsia="zh-CN" w:bidi="ar-SA"/>
              </w:rPr>
              <w:t>文件中同时提供业绩合同及验收证明材料扫描件，如合同无法体现供应商名称、合同签订时间、项目内容等关键信息，则需另附业主单位（或合同甲方）盖章的证明材料扫描件，否则不予认可</w:t>
            </w:r>
            <w:r>
              <w:rPr>
                <w:rFonts w:hint="eastAsia" w:cs="@仿宋_GB2312" w:asciiTheme="minorEastAsia" w:hAnsiTheme="minorEastAsia" w:eastAsiaTheme="minorEastAsia"/>
                <w:b/>
                <w:bCs w:val="0"/>
                <w:color w:val="auto"/>
                <w:kern w:val="2"/>
                <w:sz w:val="24"/>
                <w:szCs w:val="20"/>
                <w:highlight w:val="none"/>
                <w:lang w:val="en-US" w:eastAsia="zh-CN" w:bidi="ar-SA"/>
              </w:rPr>
              <w:t>。</w:t>
            </w:r>
          </w:p>
          <w:p w14:paraId="7702E947">
            <w:pPr>
              <w:numPr>
                <w:ilvl w:val="0"/>
                <w:numId w:val="0"/>
              </w:numPr>
              <w:spacing w:line="360" w:lineRule="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（3）验收证明材料是指验收报告或审计报告或加盖业主单位（或合同甲方）公章的证明材料。</w:t>
            </w:r>
          </w:p>
          <w:p w14:paraId="37ADA024">
            <w:pPr>
              <w:numPr>
                <w:ilvl w:val="0"/>
                <w:numId w:val="0"/>
              </w:numPr>
              <w:spacing w:line="360" w:lineRule="auto"/>
              <w:rPr>
                <w:rFonts w:hint="default"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（4）若供应商业绩和项目负责人业绩为同一业绩，均予以认可。</w:t>
            </w:r>
          </w:p>
        </w:tc>
      </w:tr>
    </w:tbl>
    <w:p w14:paraId="3C4F4DFE">
      <w:pPr>
        <w:spacing w:line="360" w:lineRule="auto"/>
        <w:ind w:firstLine="482" w:firstLineChars="200"/>
        <w:outlineLvl w:val="1"/>
        <w:rPr>
          <w:rFonts w:ascii="宋体" w:hAnsi="宋体" w:eastAsia="宋体"/>
          <w:b/>
          <w:sz w:val="24"/>
          <w:szCs w:val="18"/>
          <w:highlight w:val="none"/>
        </w:rPr>
      </w:pPr>
      <w:r>
        <w:rPr>
          <w:rFonts w:hint="eastAsia" w:ascii="宋体" w:hAnsi="宋体" w:eastAsia="宋体"/>
          <w:b/>
          <w:sz w:val="24"/>
          <w:szCs w:val="18"/>
          <w:highlight w:val="none"/>
        </w:rPr>
        <w:t>二、项目概况</w:t>
      </w:r>
    </w:p>
    <w:p w14:paraId="4A242D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有效降低全域鼠、蚊、蝇、蟑等病媒生物密度，提升病媒生物传染病疫情处置效率与能力，切实保障辖区居民身体健康与生命安全，计划对居民小区、城中村、城乡结合部、拆迁区域、农贸市场、专业市场等重点区域，开展病媒生物综合防制。近年来，包河区发热伴血小板减少综合征发病逐年上升，前期的健康教育效果欠佳，街镇、大社区消杀灭蜱力度不够，需要引入第三方病媒公司，在2、3、4、5、6、7、9、10月份对临近巢湖的烟墩、义城、大圩等六个街镇大社区的闲置荒地和灌木林地等，开展重点消杀灭蜱。</w:t>
      </w:r>
    </w:p>
    <w:p w14:paraId="7A2B0370">
      <w:pPr>
        <w:spacing w:line="360" w:lineRule="auto"/>
        <w:ind w:firstLine="482" w:firstLineChars="200"/>
        <w:outlineLvl w:val="1"/>
        <w:rPr>
          <w:rFonts w:ascii="宋体" w:hAnsi="宋体" w:eastAsia="宋体"/>
          <w:b/>
          <w:sz w:val="24"/>
          <w:szCs w:val="18"/>
          <w:highlight w:val="none"/>
        </w:rPr>
      </w:pPr>
      <w:r>
        <w:rPr>
          <w:rFonts w:hint="eastAsia" w:ascii="宋体" w:hAnsi="宋体" w:eastAsia="宋体"/>
          <w:b/>
          <w:sz w:val="24"/>
          <w:szCs w:val="18"/>
          <w:highlight w:val="none"/>
        </w:rPr>
        <w:t>三、服务需求</w:t>
      </w:r>
    </w:p>
    <w:p w14:paraId="3056155D">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仿宋_GB2312"/>
          <w:b/>
          <w:bCs w:val="0"/>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1、成交供应商为本项目至少拟配项目负责人1人，</w:t>
      </w:r>
      <w:r>
        <w:rPr>
          <w:rFonts w:hint="eastAsia" w:ascii="宋体" w:hAnsi="宋体" w:eastAsia="宋体" w:cs="@仿宋_GB2312"/>
          <w:b/>
          <w:bCs w:val="0"/>
          <w:color w:val="auto"/>
          <w:kern w:val="0"/>
          <w:sz w:val="24"/>
          <w:szCs w:val="28"/>
          <w:highlight w:val="none"/>
          <w:u w:val="none"/>
          <w:lang w:val="en-US" w:eastAsia="zh-CN" w:bidi="ar-SA"/>
        </w:rPr>
        <w:t>响应文件中提供：</w:t>
      </w:r>
    </w:p>
    <w:p w14:paraId="3453D26F">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2" w:firstLineChars="200"/>
        <w:textAlignment w:val="auto"/>
        <w:rPr>
          <w:rFonts w:hint="eastAsia" w:ascii="宋体" w:hAnsi="宋体" w:eastAsia="宋体" w:cs="@仿宋_GB2312"/>
          <w:b/>
          <w:bCs w:val="0"/>
          <w:color w:val="auto"/>
          <w:kern w:val="0"/>
          <w:sz w:val="24"/>
          <w:szCs w:val="28"/>
          <w:highlight w:val="none"/>
          <w:u w:val="none"/>
          <w:lang w:val="en-US" w:eastAsia="zh-CN" w:bidi="ar-SA"/>
        </w:rPr>
      </w:pPr>
      <w:r>
        <w:rPr>
          <w:rFonts w:hint="eastAsia" w:ascii="宋体" w:hAnsi="宋体" w:eastAsia="宋体" w:cs="@仿宋_GB2312"/>
          <w:b/>
          <w:bCs w:val="0"/>
          <w:color w:val="auto"/>
          <w:kern w:val="0"/>
          <w:sz w:val="24"/>
          <w:szCs w:val="28"/>
          <w:highlight w:val="none"/>
          <w:u w:val="none"/>
          <w:lang w:val="en-US" w:eastAsia="zh-CN" w:bidi="ar-SA"/>
        </w:rPr>
        <w:t>自2020年1月1日以来（以合同签订时间为准），拟配项目负责人具有病媒防制</w:t>
      </w:r>
      <w:r>
        <w:rPr>
          <w:rFonts w:hint="eastAsia" w:cs="@仿宋_GB2312" w:asciiTheme="minorEastAsia" w:hAnsiTheme="minorEastAsia" w:eastAsiaTheme="minorEastAsia"/>
          <w:b/>
          <w:bCs w:val="0"/>
          <w:kern w:val="2"/>
          <w:sz w:val="24"/>
          <w:szCs w:val="20"/>
          <w:highlight w:val="none"/>
          <w:lang w:val="en-US" w:eastAsia="zh-CN" w:bidi="ar-SA"/>
        </w:rPr>
        <w:t>服务</w:t>
      </w:r>
      <w:r>
        <w:rPr>
          <w:rFonts w:hint="eastAsia" w:ascii="宋体" w:hAnsi="宋体" w:eastAsia="宋体" w:cs="@仿宋_GB2312"/>
          <w:b/>
          <w:bCs w:val="0"/>
          <w:color w:val="auto"/>
          <w:kern w:val="0"/>
          <w:sz w:val="24"/>
          <w:szCs w:val="28"/>
          <w:highlight w:val="none"/>
          <w:u w:val="none"/>
          <w:lang w:val="en-US" w:eastAsia="zh-CN" w:bidi="ar-SA"/>
        </w:rPr>
        <w:t>项目业绩。</w:t>
      </w:r>
    </w:p>
    <w:p w14:paraId="7BB63272">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2" w:firstLineChars="200"/>
        <w:textAlignment w:val="auto"/>
        <w:rPr>
          <w:rFonts w:hint="eastAsia" w:ascii="宋体" w:hAnsi="宋体" w:eastAsia="宋体" w:cs="@仿宋_GB2312"/>
          <w:b/>
          <w:bCs w:val="0"/>
          <w:color w:val="auto"/>
          <w:kern w:val="0"/>
          <w:sz w:val="24"/>
          <w:szCs w:val="28"/>
          <w:highlight w:val="none"/>
          <w:u w:val="none"/>
          <w:lang w:val="en-US" w:eastAsia="zh-CN" w:bidi="ar-SA"/>
        </w:rPr>
      </w:pPr>
      <w:r>
        <w:rPr>
          <w:rFonts w:hint="eastAsia" w:ascii="宋体" w:hAnsi="宋体" w:eastAsia="宋体" w:cs="@仿宋_GB2312"/>
          <w:b/>
          <w:bCs w:val="0"/>
          <w:color w:val="auto"/>
          <w:kern w:val="0"/>
          <w:sz w:val="24"/>
          <w:szCs w:val="28"/>
          <w:highlight w:val="none"/>
          <w:u w:val="none"/>
          <w:lang w:val="en-US" w:eastAsia="zh-CN" w:bidi="ar-SA"/>
        </w:rPr>
        <w:t>注：</w:t>
      </w:r>
    </w:p>
    <w:p w14:paraId="18D2C163">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2" w:firstLineChars="200"/>
        <w:textAlignment w:val="auto"/>
        <w:rPr>
          <w:rFonts w:hint="eastAsia" w:ascii="宋体" w:hAnsi="宋体" w:eastAsia="宋体" w:cs="@仿宋_GB2312"/>
          <w:b/>
          <w:bCs w:val="0"/>
          <w:color w:val="auto"/>
          <w:kern w:val="0"/>
          <w:sz w:val="24"/>
          <w:szCs w:val="28"/>
          <w:highlight w:val="none"/>
          <w:u w:val="none"/>
          <w:lang w:val="en-US" w:eastAsia="zh-CN" w:bidi="ar-SA"/>
        </w:rPr>
      </w:pPr>
      <w:r>
        <w:rPr>
          <w:rFonts w:hint="eastAsia" w:ascii="宋体" w:hAnsi="宋体" w:eastAsia="宋体" w:cs="@仿宋_GB2312"/>
          <w:b/>
          <w:bCs w:val="0"/>
          <w:color w:val="auto"/>
          <w:kern w:val="0"/>
          <w:sz w:val="24"/>
          <w:szCs w:val="28"/>
          <w:highlight w:val="none"/>
          <w:u w:val="none"/>
          <w:lang w:val="en-US" w:eastAsia="zh-CN" w:bidi="ar-SA"/>
        </w:rPr>
        <w:t>（1）本项目仅认可已完成业绩。</w:t>
      </w:r>
    </w:p>
    <w:p w14:paraId="03E10F8D">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2" w:firstLineChars="200"/>
        <w:textAlignment w:val="auto"/>
        <w:rPr>
          <w:rFonts w:hint="eastAsia" w:ascii="宋体" w:hAnsi="宋体" w:eastAsia="宋体" w:cs="@仿宋_GB2312"/>
          <w:b/>
          <w:bCs w:val="0"/>
          <w:color w:val="auto"/>
          <w:kern w:val="0"/>
          <w:sz w:val="24"/>
          <w:szCs w:val="28"/>
          <w:highlight w:val="none"/>
          <w:u w:val="none"/>
          <w:lang w:val="en-US" w:eastAsia="zh-CN" w:bidi="ar-SA"/>
        </w:rPr>
      </w:pPr>
      <w:r>
        <w:rPr>
          <w:rFonts w:hint="eastAsia" w:ascii="宋体" w:hAnsi="宋体" w:eastAsia="宋体" w:cs="@仿宋_GB2312"/>
          <w:b/>
          <w:bCs w:val="0"/>
          <w:color w:val="auto"/>
          <w:kern w:val="0"/>
          <w:sz w:val="24"/>
          <w:szCs w:val="28"/>
          <w:highlight w:val="none"/>
          <w:u w:val="none"/>
          <w:lang w:val="en-US" w:eastAsia="zh-CN" w:bidi="ar-SA"/>
        </w:rPr>
        <w:t>（2）响应文件中同时提供业绩合同及验收证明材料扫描件，如合同无法体现项目负责人姓名、合同签订时间、项目内容等关键信息，则需另附业主单位（或合同甲方）盖章的证明材料扫描件，否则不予认可。</w:t>
      </w:r>
    </w:p>
    <w:p w14:paraId="73360EC0">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2" w:firstLineChars="200"/>
        <w:textAlignment w:val="auto"/>
        <w:rPr>
          <w:rFonts w:hint="default"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bCs w:val="0"/>
          <w:color w:val="auto"/>
          <w:kern w:val="0"/>
          <w:sz w:val="24"/>
          <w:szCs w:val="28"/>
          <w:highlight w:val="none"/>
          <w:u w:val="none"/>
          <w:lang w:val="en-US" w:eastAsia="zh-CN" w:bidi="ar-SA"/>
        </w:rPr>
        <w:t>（3）验收证明材料是指验收报告或审计报告或加盖业主单位（或合同甲方）公章的证明材料。</w:t>
      </w:r>
    </w:p>
    <w:p w14:paraId="018B7C86">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2" w:firstLineChars="200"/>
        <w:textAlignment w:val="auto"/>
        <w:rPr>
          <w:rFonts w:hint="eastAsia" w:cs="宋体"/>
          <w:spacing w:val="-4"/>
          <w:sz w:val="24"/>
          <w:szCs w:val="24"/>
          <w:highlight w:val="none"/>
          <w:lang w:val="en-US" w:eastAsia="zh-CN"/>
        </w:rPr>
      </w:pPr>
      <w:r>
        <w:rPr>
          <w:rFonts w:hint="eastAsia" w:cs="@仿宋_GB2312" w:asciiTheme="minorEastAsia" w:hAnsiTheme="minorEastAsia" w:eastAsiaTheme="minorEastAsia"/>
          <w:b/>
          <w:bCs w:val="0"/>
          <w:kern w:val="2"/>
          <w:sz w:val="24"/>
          <w:szCs w:val="20"/>
          <w:highlight w:val="none"/>
          <w:lang w:val="en-US" w:eastAsia="zh-CN" w:bidi="ar-SA"/>
        </w:rPr>
        <w:t>（4）若供应商业绩和项目负责人业绩为同一业绩，均予以认可。</w:t>
      </w:r>
    </w:p>
    <w:p w14:paraId="24A64A63">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default" w:cs="宋体"/>
          <w:spacing w:val="-4"/>
          <w:sz w:val="24"/>
          <w:szCs w:val="24"/>
          <w:highlight w:val="none"/>
          <w:lang w:val="en-US" w:eastAsia="zh-CN"/>
        </w:rPr>
      </w:pPr>
      <w:r>
        <w:rPr>
          <w:rFonts w:hint="eastAsia" w:cs="宋体"/>
          <w:spacing w:val="-4"/>
          <w:sz w:val="24"/>
          <w:szCs w:val="24"/>
          <w:highlight w:val="none"/>
          <w:lang w:val="en-US" w:eastAsia="zh-CN"/>
        </w:rPr>
        <w:t>2、</w:t>
      </w:r>
      <w:r>
        <w:rPr>
          <w:rFonts w:hint="eastAsia" w:ascii="宋体" w:hAnsi="宋体" w:eastAsia="宋体" w:cs="宋体"/>
          <w:spacing w:val="-4"/>
          <w:sz w:val="24"/>
          <w:szCs w:val="24"/>
          <w:highlight w:val="none"/>
          <w:lang w:val="en-US" w:eastAsia="zh-CN"/>
        </w:rPr>
        <w:t>成交供应商在开展病媒防制工作时，要做到工作前健康提醒、警示到位，工作中</w:t>
      </w:r>
      <w:r>
        <w:rPr>
          <w:rFonts w:hint="eastAsia" w:cs="宋体"/>
          <w:spacing w:val="-4"/>
          <w:sz w:val="24"/>
          <w:szCs w:val="24"/>
          <w:highlight w:val="none"/>
          <w:lang w:val="en-US" w:eastAsia="zh-CN"/>
        </w:rPr>
        <w:t>遵循规范、防护到位，完成后药械及包装等妥善处理。因成交供应商的毒饵站设置不隐蔽、消杀药物喷洒等造成的安全事件，由成交供应商承担全部责任。</w:t>
      </w:r>
    </w:p>
    <w:p w14:paraId="03BA47E1">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66" w:firstLineChars="200"/>
        <w:textAlignment w:val="auto"/>
        <w:rPr>
          <w:rFonts w:hint="default" w:cs="宋体"/>
          <w:b/>
          <w:bCs/>
          <w:spacing w:val="-4"/>
          <w:sz w:val="24"/>
          <w:szCs w:val="24"/>
          <w:highlight w:val="none"/>
          <w:lang w:val="en-US" w:eastAsia="zh-CN"/>
        </w:rPr>
      </w:pPr>
      <w:r>
        <w:rPr>
          <w:rFonts w:hint="eastAsia" w:cs="宋体"/>
          <w:b/>
          <w:bCs/>
          <w:spacing w:val="-4"/>
          <w:sz w:val="24"/>
          <w:szCs w:val="24"/>
          <w:highlight w:val="none"/>
          <w:lang w:val="en-US" w:eastAsia="zh-CN"/>
        </w:rPr>
        <w:t>3、服务清单</w:t>
      </w:r>
    </w:p>
    <w:tbl>
      <w:tblPr>
        <w:tblStyle w:val="24"/>
        <w:tblW w:w="91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079"/>
        <w:gridCol w:w="1015"/>
        <w:gridCol w:w="2478"/>
        <w:gridCol w:w="2917"/>
        <w:gridCol w:w="833"/>
      </w:tblGrid>
      <w:tr w14:paraId="1D2A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jc w:val="center"/>
        </w:trPr>
        <w:tc>
          <w:tcPr>
            <w:tcW w:w="820" w:type="dxa"/>
            <w:vAlign w:val="center"/>
          </w:tcPr>
          <w:p w14:paraId="507E4B44">
            <w:pPr>
              <w:keepNext w:val="0"/>
              <w:keepLines w:val="0"/>
              <w:widowControl/>
              <w:suppressLineNumbers w:val="0"/>
              <w:jc w:val="center"/>
              <w:textAlignment w:val="center"/>
              <w:rPr>
                <w:rFonts w:hint="eastAsia"/>
                <w:b/>
                <w:bCs/>
                <w:sz w:val="21"/>
                <w:szCs w:val="21"/>
                <w:highlight w:val="none"/>
                <w:lang w:val="en-US" w:eastAsia="zh-CN"/>
              </w:rPr>
            </w:pPr>
            <w:r>
              <w:rPr>
                <w:rFonts w:hint="eastAsia" w:ascii="宋体" w:hAnsi="宋体" w:eastAsia="宋体" w:cs="宋体"/>
                <w:b/>
                <w:bCs/>
                <w:i w:val="0"/>
                <w:iCs w:val="0"/>
                <w:snapToGrid w:val="0"/>
                <w:color w:val="000000"/>
                <w:kern w:val="0"/>
                <w:sz w:val="21"/>
                <w:szCs w:val="21"/>
                <w:highlight w:val="none"/>
                <w:u w:val="none"/>
                <w:lang w:val="en-US" w:eastAsia="zh-CN" w:bidi="ar"/>
              </w:rPr>
              <w:t>序号</w:t>
            </w:r>
          </w:p>
        </w:tc>
        <w:tc>
          <w:tcPr>
            <w:tcW w:w="1079" w:type="dxa"/>
            <w:vAlign w:val="center"/>
          </w:tcPr>
          <w:p w14:paraId="07556840">
            <w:pPr>
              <w:keepNext w:val="0"/>
              <w:keepLines w:val="0"/>
              <w:widowControl/>
              <w:suppressLineNumbers w:val="0"/>
              <w:jc w:val="center"/>
              <w:textAlignment w:val="center"/>
              <w:rPr>
                <w:rFonts w:hint="default"/>
                <w:b/>
                <w:bCs/>
                <w:sz w:val="21"/>
                <w:szCs w:val="21"/>
                <w:highlight w:val="none"/>
                <w:lang w:val="en-US" w:eastAsia="zh-CN"/>
              </w:rPr>
            </w:pPr>
            <w:r>
              <w:rPr>
                <w:rFonts w:hint="eastAsia" w:ascii="宋体" w:hAnsi="宋体" w:eastAsia="宋体" w:cs="宋体"/>
                <w:b/>
                <w:bCs/>
                <w:i w:val="0"/>
                <w:iCs w:val="0"/>
                <w:snapToGrid w:val="0"/>
                <w:color w:val="000000"/>
                <w:kern w:val="0"/>
                <w:sz w:val="21"/>
                <w:szCs w:val="21"/>
                <w:highlight w:val="none"/>
                <w:u w:val="none"/>
                <w:lang w:val="en-US" w:eastAsia="zh-CN" w:bidi="ar"/>
              </w:rPr>
              <w:t>项目类别</w:t>
            </w:r>
          </w:p>
        </w:tc>
        <w:tc>
          <w:tcPr>
            <w:tcW w:w="1015" w:type="dxa"/>
            <w:tcBorders>
              <w:right w:val="single" w:color="auto" w:sz="4" w:space="0"/>
            </w:tcBorders>
            <w:vAlign w:val="center"/>
          </w:tcPr>
          <w:p w14:paraId="2C2093AE">
            <w:pPr>
              <w:keepNext w:val="0"/>
              <w:keepLines w:val="0"/>
              <w:widowControl/>
              <w:suppressLineNumbers w:val="0"/>
              <w:jc w:val="center"/>
              <w:textAlignment w:val="center"/>
              <w:rPr>
                <w:rFonts w:hint="default"/>
                <w:b/>
                <w:bCs/>
                <w:sz w:val="21"/>
                <w:szCs w:val="21"/>
                <w:highlight w:val="none"/>
                <w:lang w:val="en-US" w:eastAsia="zh-CN"/>
              </w:rPr>
            </w:pPr>
            <w:r>
              <w:rPr>
                <w:rFonts w:hint="eastAsia" w:ascii="宋体" w:hAnsi="宋体" w:eastAsia="宋体" w:cs="宋体"/>
                <w:b/>
                <w:bCs/>
                <w:i w:val="0"/>
                <w:iCs w:val="0"/>
                <w:snapToGrid w:val="0"/>
                <w:color w:val="000000"/>
                <w:kern w:val="0"/>
                <w:sz w:val="21"/>
                <w:szCs w:val="21"/>
                <w:highlight w:val="none"/>
                <w:u w:val="none"/>
                <w:lang w:val="en-US" w:eastAsia="zh-CN" w:bidi="ar"/>
              </w:rPr>
              <w:t>项目内容</w:t>
            </w:r>
          </w:p>
        </w:tc>
        <w:tc>
          <w:tcPr>
            <w:tcW w:w="2478" w:type="dxa"/>
            <w:tcBorders>
              <w:left w:val="single" w:color="auto" w:sz="4" w:space="0"/>
              <w:right w:val="single" w:color="auto" w:sz="4" w:space="0"/>
            </w:tcBorders>
            <w:vAlign w:val="center"/>
          </w:tcPr>
          <w:p w14:paraId="05B0C9D2">
            <w:pPr>
              <w:keepNext w:val="0"/>
              <w:keepLines w:val="0"/>
              <w:widowControl/>
              <w:suppressLineNumbers w:val="0"/>
              <w:jc w:val="center"/>
              <w:textAlignment w:val="center"/>
              <w:rPr>
                <w:rFonts w:hint="eastAsia"/>
                <w:b/>
                <w:bCs/>
                <w:sz w:val="21"/>
                <w:szCs w:val="21"/>
                <w:highlight w:val="none"/>
                <w:lang w:val="en-US" w:eastAsia="zh-CN"/>
              </w:rPr>
            </w:pPr>
            <w:r>
              <w:rPr>
                <w:rFonts w:hint="eastAsia" w:ascii="宋体" w:hAnsi="宋体" w:eastAsia="宋体" w:cs="宋体"/>
                <w:b/>
                <w:bCs/>
                <w:i w:val="0"/>
                <w:iCs w:val="0"/>
                <w:snapToGrid w:val="0"/>
                <w:color w:val="000000"/>
                <w:kern w:val="0"/>
                <w:sz w:val="21"/>
                <w:szCs w:val="21"/>
                <w:highlight w:val="none"/>
                <w:u w:val="none"/>
                <w:lang w:val="en-US" w:eastAsia="zh-CN" w:bidi="ar"/>
              </w:rPr>
              <w:t>数量</w:t>
            </w:r>
          </w:p>
        </w:tc>
        <w:tc>
          <w:tcPr>
            <w:tcW w:w="2917" w:type="dxa"/>
            <w:tcBorders>
              <w:left w:val="single" w:color="auto" w:sz="4" w:space="0"/>
            </w:tcBorders>
            <w:vAlign w:val="center"/>
          </w:tcPr>
          <w:p w14:paraId="79A54034">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工作要求</w:t>
            </w:r>
          </w:p>
        </w:tc>
        <w:tc>
          <w:tcPr>
            <w:tcW w:w="833" w:type="dxa"/>
            <w:tcBorders>
              <w:right w:val="single" w:color="auto" w:sz="4" w:space="0"/>
            </w:tcBorders>
            <w:vAlign w:val="center"/>
          </w:tcPr>
          <w:p w14:paraId="581286A7">
            <w:pPr>
              <w:keepNext w:val="0"/>
              <w:keepLines w:val="0"/>
              <w:widowControl/>
              <w:suppressLineNumbers w:val="0"/>
              <w:jc w:val="center"/>
              <w:textAlignment w:val="center"/>
              <w:rPr>
                <w:rFonts w:hint="eastAsia"/>
                <w:b/>
                <w:bCs/>
                <w:sz w:val="21"/>
                <w:szCs w:val="21"/>
                <w:highlight w:val="none"/>
                <w:lang w:val="en-US" w:eastAsia="zh-CN"/>
              </w:rPr>
            </w:pPr>
            <w:r>
              <w:rPr>
                <w:rFonts w:hint="eastAsia" w:ascii="宋体" w:hAnsi="宋体" w:eastAsia="宋体" w:cs="宋体"/>
                <w:b/>
                <w:bCs/>
                <w:i w:val="0"/>
                <w:iCs w:val="0"/>
                <w:snapToGrid w:val="0"/>
                <w:color w:val="000000"/>
                <w:kern w:val="0"/>
                <w:sz w:val="21"/>
                <w:szCs w:val="21"/>
                <w:highlight w:val="none"/>
                <w:u w:val="none"/>
                <w:lang w:val="en-US" w:eastAsia="zh-CN" w:bidi="ar"/>
              </w:rPr>
              <w:t>控制单价</w:t>
            </w:r>
            <w:r>
              <w:rPr>
                <w:rFonts w:hint="eastAsia" w:ascii="宋体" w:hAnsi="宋体" w:eastAsia="宋体" w:cs="宋体"/>
                <w:b/>
                <w:bCs/>
                <w:i w:val="0"/>
                <w:iCs w:val="0"/>
                <w:snapToGrid w:val="0"/>
                <w:color w:val="000000"/>
                <w:kern w:val="0"/>
                <w:sz w:val="21"/>
                <w:szCs w:val="21"/>
                <w:highlight w:val="none"/>
                <w:u w:val="none"/>
                <w:lang w:val="en-US" w:eastAsia="zh-CN" w:bidi="ar"/>
              </w:rPr>
              <w:br w:type="textWrapping"/>
            </w:r>
            <w:r>
              <w:rPr>
                <w:rFonts w:hint="eastAsia" w:ascii="宋体" w:hAnsi="宋体" w:eastAsia="宋体" w:cs="宋体"/>
                <w:b/>
                <w:bCs/>
                <w:i w:val="0"/>
                <w:iCs w:val="0"/>
                <w:snapToGrid w:val="0"/>
                <w:color w:val="000000"/>
                <w:kern w:val="0"/>
                <w:sz w:val="21"/>
                <w:szCs w:val="21"/>
                <w:highlight w:val="none"/>
                <w:u w:val="none"/>
                <w:lang w:val="en-US" w:eastAsia="zh-CN" w:bidi="ar"/>
              </w:rPr>
              <w:t>（万元）</w:t>
            </w:r>
          </w:p>
        </w:tc>
      </w:tr>
      <w:tr w14:paraId="7F0A2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jc w:val="center"/>
        </w:trPr>
        <w:tc>
          <w:tcPr>
            <w:tcW w:w="820" w:type="dxa"/>
            <w:vAlign w:val="center"/>
          </w:tcPr>
          <w:p w14:paraId="302E3154">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8"/>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1079" w:type="dxa"/>
            <w:vMerge w:val="restart"/>
            <w:vAlign w:val="center"/>
          </w:tcPr>
          <w:p w14:paraId="7091ED2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常规病媒生物防制</w:t>
            </w:r>
          </w:p>
          <w:p w14:paraId="2642348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5"/>
                <w:sz w:val="21"/>
                <w:szCs w:val="21"/>
                <w:highlight w:val="none"/>
              </w:rPr>
            </w:pPr>
          </w:p>
        </w:tc>
        <w:tc>
          <w:tcPr>
            <w:tcW w:w="1015" w:type="dxa"/>
            <w:tcBorders>
              <w:right w:val="single" w:color="auto" w:sz="4" w:space="0"/>
            </w:tcBorders>
            <w:vAlign w:val="center"/>
          </w:tcPr>
          <w:p w14:paraId="0CE85DDA">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b/>
                <w:bCs/>
                <w:spacing w:val="-5"/>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灭鼠毒饵站、捕蝇笼安装与维护，病媒防制宣传教育</w:t>
            </w:r>
          </w:p>
        </w:tc>
        <w:tc>
          <w:tcPr>
            <w:tcW w:w="2478" w:type="dxa"/>
            <w:tcBorders>
              <w:left w:val="single" w:color="auto" w:sz="4" w:space="0"/>
              <w:bottom w:val="single" w:color="auto" w:sz="4" w:space="0"/>
              <w:right w:val="single" w:color="auto" w:sz="4" w:space="0"/>
            </w:tcBorders>
            <w:vAlign w:val="center"/>
          </w:tcPr>
          <w:p w14:paraId="410C582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1.新安装毒饵站4000个。定期开展毒饵站维护及药品更换，每轮不少于10000个，项目维护7次。</w:t>
            </w:r>
          </w:p>
          <w:p w14:paraId="32FB474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2.悬挂捕蝇笼4000个。5-10月份每月维护及药品更换每轮不少于4000个，每月2次，项目维护12次。</w:t>
            </w:r>
          </w:p>
          <w:p w14:paraId="5B78B79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3.所有毒饵站和捕蝇笼设置病媒防制宣传标签，不少于14000处，张贴率≥95%。</w:t>
            </w:r>
          </w:p>
          <w:p w14:paraId="7EB8DD9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2917" w:type="dxa"/>
            <w:tcBorders>
              <w:left w:val="single" w:color="auto" w:sz="4" w:space="0"/>
              <w:bottom w:val="single" w:color="auto" w:sz="4" w:space="0"/>
            </w:tcBorders>
            <w:vAlign w:val="center"/>
          </w:tcPr>
          <w:p w14:paraId="5C66470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1.毒饵站维护对象为辖区内安装的所有毒饵站和属地反馈的其它需要维护的毒饵站。捕蝇笼主要悬挂在农贸市场、垃圾转运点等重点区域。</w:t>
            </w:r>
          </w:p>
          <w:p w14:paraId="7AD8364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2.毒饵站、捕蝇笼损坏或丢失应及时更换、重新安装，且不计入新安装总数，项目结束后按照实际数量结算，不得超过项目任务量。</w:t>
            </w:r>
          </w:p>
          <w:p w14:paraId="324C47F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3.成交供应商预备1000个捕蝇笼用于应急密度控制。</w:t>
            </w:r>
          </w:p>
          <w:p w14:paraId="5B69144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4.捕获的病媒生物应按区疾控中心要求送检，无需送检应无害化处理。</w:t>
            </w:r>
          </w:p>
          <w:p w14:paraId="4A7FB7C7">
            <w:pPr>
              <w:keepNext w:val="0"/>
              <w:keepLines w:val="0"/>
              <w:pageBreakBefore w:val="0"/>
              <w:widowControl/>
              <w:suppressLineNumbers w:val="0"/>
              <w:wordWrap/>
              <w:overflowPunct/>
              <w:topLinePunct w:val="0"/>
              <w:bidi w:val="0"/>
              <w:spacing w:line="400" w:lineRule="exact"/>
              <w:jc w:val="left"/>
              <w:textAlignment w:val="center"/>
              <w:rPr>
                <w:rFonts w:hint="default"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5.在设置维护捕蝇笼和毒饵站同时设置病媒防制宣传标签，常态化宣传。在开展病媒消杀同时针对七小单位（指：小饭店、小熟食店、小食品加工店；小浴池、小理发店、小歌舞厅、小旅店）业主开展病媒防制指导，发放防制知识宣传单页。</w:t>
            </w:r>
          </w:p>
          <w:p w14:paraId="71C7AE6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6.毒饵站和捕蝇笼规格参数：毒饵站统一采用防水环保安全型水泥制式灭鼠毒饵站，①长≥30cm，宽≥10cm，高≥10cm，毒饵盒离地≥3.5cm；②沿墙根安装固定；③家畜家禽儿童等不易碰触到；④防雨、防水、防潮坚固耐用、投药方便、有编号和警告标识（参考下图）；⑤网格化设置：城镇间距50-200m。毒饵统一使用第二代抗凝血、慢性杀鼠剂（0.005%</w:t>
            </w:r>
            <w:r>
              <w:rPr>
                <w:rFonts w:hint="eastAsia" w:ascii="宋体" w:hAnsi="宋体" w:eastAsia="宋体" w:cs="宋体"/>
                <w:spacing w:val="-4"/>
                <w:sz w:val="21"/>
                <w:szCs w:val="21"/>
                <w:highlight w:val="none"/>
                <w:lang w:val="en-US" w:eastAsia="zh-CN"/>
              </w:rPr>
              <w:t>溴</w:t>
            </w:r>
            <w:r>
              <w:rPr>
                <w:rFonts w:hint="eastAsia" w:ascii="宋体" w:hAnsi="宋体" w:eastAsia="宋体" w:cs="宋体"/>
                <w:i w:val="0"/>
                <w:iCs w:val="0"/>
                <w:snapToGrid w:val="0"/>
                <w:color w:val="000000"/>
                <w:kern w:val="0"/>
                <w:sz w:val="21"/>
                <w:szCs w:val="21"/>
                <w:highlight w:val="none"/>
                <w:u w:val="none"/>
                <w:lang w:val="en-US" w:eastAsia="zh-CN" w:bidi="ar"/>
              </w:rPr>
              <w:t>敌隆或溴敌灵），室外投放毒饵20-30g（室内使用粘鼠板替代毒饵站）。出现破损缺失及时更换，毒饵不可外溢。</w:t>
            </w:r>
          </w:p>
          <w:p w14:paraId="2A60AC2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32385</wp:posOffset>
                  </wp:positionV>
                  <wp:extent cx="1796415" cy="956310"/>
                  <wp:effectExtent l="0" t="0" r="13335" b="1524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1796415" cy="95631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1"/>
                <w:szCs w:val="21"/>
                <w:highlight w:val="none"/>
                <w:u w:val="none"/>
                <w:lang w:val="en-US" w:eastAsia="zh-CN" w:bidi="ar"/>
              </w:rPr>
              <w:t>诱蝇笼:直径≥20cm；高度≥26cm；椎体高≥20cm 顶部采用具有透光性能的透明薄膜，具防水功能。悬挂高度推荐底部离地1m。出现破损缺失及时更换。</w:t>
            </w:r>
          </w:p>
        </w:tc>
        <w:tc>
          <w:tcPr>
            <w:tcW w:w="833" w:type="dxa"/>
            <w:tcBorders>
              <w:right w:val="single" w:color="auto" w:sz="4" w:space="0"/>
            </w:tcBorders>
            <w:vAlign w:val="center"/>
          </w:tcPr>
          <w:p w14:paraId="38636D3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5"/>
                <w:sz w:val="21"/>
                <w:szCs w:val="21"/>
                <w:highlight w:val="none"/>
                <w:lang w:val="en-US"/>
              </w:rPr>
            </w:pPr>
            <w:r>
              <w:rPr>
                <w:rFonts w:hint="eastAsia" w:ascii="宋体" w:hAnsi="宋体" w:eastAsia="宋体" w:cs="宋体"/>
                <w:i w:val="0"/>
                <w:iCs w:val="0"/>
                <w:snapToGrid w:val="0"/>
                <w:color w:val="000000"/>
                <w:kern w:val="0"/>
                <w:sz w:val="21"/>
                <w:szCs w:val="21"/>
                <w:highlight w:val="none"/>
                <w:u w:val="none"/>
                <w:lang w:val="en-US" w:eastAsia="zh-CN" w:bidi="ar"/>
              </w:rPr>
              <w:t>18.6</w:t>
            </w:r>
          </w:p>
        </w:tc>
      </w:tr>
      <w:tr w14:paraId="43029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820" w:type="dxa"/>
            <w:vAlign w:val="center"/>
          </w:tcPr>
          <w:p w14:paraId="1B0943A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8"/>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1079" w:type="dxa"/>
            <w:vMerge w:val="continue"/>
            <w:vAlign w:val="center"/>
          </w:tcPr>
          <w:p w14:paraId="5BF76F2E">
            <w:pPr>
              <w:keepNext w:val="0"/>
              <w:keepLines w:val="0"/>
              <w:pageBreakBefore w:val="0"/>
              <w:widowControl/>
              <w:wordWrap/>
              <w:overflowPunct/>
              <w:topLinePunct w:val="0"/>
              <w:bidi w:val="0"/>
              <w:spacing w:line="400" w:lineRule="exact"/>
              <w:jc w:val="center"/>
              <w:rPr>
                <w:rFonts w:hint="eastAsia" w:ascii="宋体" w:hAnsi="宋体" w:eastAsia="宋体" w:cs="宋体"/>
                <w:b/>
                <w:bCs/>
                <w:spacing w:val="-5"/>
                <w:sz w:val="21"/>
                <w:szCs w:val="21"/>
                <w:highlight w:val="none"/>
              </w:rPr>
            </w:pPr>
          </w:p>
        </w:tc>
        <w:tc>
          <w:tcPr>
            <w:tcW w:w="1015" w:type="dxa"/>
            <w:tcBorders>
              <w:right w:val="single" w:color="auto" w:sz="4" w:space="0"/>
            </w:tcBorders>
            <w:vAlign w:val="center"/>
          </w:tcPr>
          <w:p w14:paraId="3A99CEB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b/>
                <w:bCs/>
                <w:spacing w:val="-5"/>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公共区域蚊蝇消杀</w:t>
            </w:r>
          </w:p>
        </w:tc>
        <w:tc>
          <w:tcPr>
            <w:tcW w:w="2478" w:type="dxa"/>
            <w:tcBorders>
              <w:left w:val="single" w:color="auto" w:sz="4" w:space="0"/>
              <w:right w:val="single" w:color="auto" w:sz="4" w:space="0"/>
            </w:tcBorders>
            <w:vAlign w:val="center"/>
          </w:tcPr>
          <w:p w14:paraId="60BA079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b/>
                <w:bCs/>
                <w:spacing w:val="-5"/>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重点公共区域开展蚊蝇消杀，5-10月份每月消杀2次，项目共计12次，每次施药面积不少于400万平方米。</w:t>
            </w:r>
          </w:p>
        </w:tc>
        <w:tc>
          <w:tcPr>
            <w:tcW w:w="2917" w:type="dxa"/>
            <w:tcBorders>
              <w:left w:val="single" w:color="auto" w:sz="4" w:space="0"/>
            </w:tcBorders>
            <w:vAlign w:val="center"/>
          </w:tcPr>
          <w:p w14:paraId="5213D97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1.主要针对无物管小区、垃圾转运站、公厕、城中村、城乡结合部等重点公共区域开展蚊蝇消杀。</w:t>
            </w:r>
          </w:p>
          <w:p w14:paraId="2F32F45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2.用药浓度不低于GB/T31715-2015《</w:t>
            </w:r>
            <w:bookmarkStart w:id="1" w:name="1"/>
            <w:bookmarkEnd w:id="1"/>
            <w:r>
              <w:rPr>
                <w:rFonts w:hint="eastAsia" w:ascii="宋体" w:hAnsi="宋体" w:eastAsia="宋体" w:cs="宋体"/>
                <w:i w:val="0"/>
                <w:iCs w:val="0"/>
                <w:snapToGrid w:val="0"/>
                <w:color w:val="000000"/>
                <w:kern w:val="0"/>
                <w:sz w:val="21"/>
                <w:szCs w:val="21"/>
                <w:highlight w:val="none"/>
                <w:u w:val="none"/>
                <w:lang w:val="en-US" w:eastAsia="zh-CN" w:bidi="ar"/>
              </w:rPr>
              <w:t>病媒生物化学防治技术指南 滞留喷洒》文件标准。</w:t>
            </w:r>
          </w:p>
        </w:tc>
        <w:tc>
          <w:tcPr>
            <w:tcW w:w="833" w:type="dxa"/>
            <w:tcBorders>
              <w:right w:val="single" w:color="auto" w:sz="4" w:space="0"/>
            </w:tcBorders>
            <w:vAlign w:val="center"/>
          </w:tcPr>
          <w:p w14:paraId="5E4EFC6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5"/>
                <w:sz w:val="21"/>
                <w:szCs w:val="21"/>
                <w:highlight w:val="none"/>
                <w:lang w:val="en-US"/>
              </w:rPr>
            </w:pPr>
            <w:r>
              <w:rPr>
                <w:rFonts w:hint="eastAsia" w:ascii="宋体" w:hAnsi="宋体" w:eastAsia="宋体" w:cs="宋体"/>
                <w:i w:val="0"/>
                <w:iCs w:val="0"/>
                <w:snapToGrid w:val="0"/>
                <w:color w:val="000000"/>
                <w:kern w:val="0"/>
                <w:sz w:val="21"/>
                <w:szCs w:val="21"/>
                <w:highlight w:val="none"/>
                <w:u w:val="none"/>
                <w:lang w:val="en-US" w:eastAsia="zh-CN" w:bidi="ar"/>
              </w:rPr>
              <w:t>6.6</w:t>
            </w:r>
          </w:p>
        </w:tc>
      </w:tr>
      <w:tr w14:paraId="73FA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2" w:hRule="exact"/>
          <w:jc w:val="center"/>
        </w:trPr>
        <w:tc>
          <w:tcPr>
            <w:tcW w:w="820" w:type="dxa"/>
            <w:vAlign w:val="center"/>
          </w:tcPr>
          <w:p w14:paraId="3FB0F8C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8"/>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1079" w:type="dxa"/>
            <w:vMerge w:val="continue"/>
            <w:vAlign w:val="center"/>
          </w:tcPr>
          <w:p w14:paraId="7DF199A0">
            <w:pPr>
              <w:keepNext w:val="0"/>
              <w:keepLines w:val="0"/>
              <w:pageBreakBefore w:val="0"/>
              <w:widowControl/>
              <w:wordWrap/>
              <w:overflowPunct/>
              <w:topLinePunct w:val="0"/>
              <w:bidi w:val="0"/>
              <w:spacing w:line="400" w:lineRule="exact"/>
              <w:jc w:val="center"/>
              <w:rPr>
                <w:rFonts w:hint="eastAsia" w:ascii="宋体" w:hAnsi="宋体" w:eastAsia="宋体" w:cs="宋体"/>
                <w:b/>
                <w:bCs/>
                <w:spacing w:val="-5"/>
                <w:sz w:val="21"/>
                <w:szCs w:val="21"/>
                <w:highlight w:val="none"/>
              </w:rPr>
            </w:pPr>
          </w:p>
        </w:tc>
        <w:tc>
          <w:tcPr>
            <w:tcW w:w="1015" w:type="dxa"/>
            <w:tcBorders>
              <w:right w:val="single" w:color="auto" w:sz="4" w:space="0"/>
            </w:tcBorders>
            <w:vAlign w:val="center"/>
          </w:tcPr>
          <w:p w14:paraId="0D4B6929">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b/>
                <w:bCs/>
                <w:spacing w:val="-5"/>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蚊媒传染病受影响区域（疫点）蚊密度长效控制</w:t>
            </w:r>
          </w:p>
        </w:tc>
        <w:tc>
          <w:tcPr>
            <w:tcW w:w="2478" w:type="dxa"/>
            <w:tcBorders>
              <w:left w:val="single" w:color="auto" w:sz="4" w:space="0"/>
              <w:right w:val="single" w:color="auto" w:sz="4" w:space="0"/>
            </w:tcBorders>
            <w:vAlign w:val="center"/>
          </w:tcPr>
          <w:p w14:paraId="7D077A2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b/>
                <w:bCs/>
                <w:spacing w:val="-5"/>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预计完成10处蚊媒传染病受影响区域的消杀处置、积水清理等。</w:t>
            </w:r>
          </w:p>
        </w:tc>
        <w:tc>
          <w:tcPr>
            <w:tcW w:w="2917" w:type="dxa"/>
            <w:tcBorders>
              <w:left w:val="single" w:color="auto" w:sz="4" w:space="0"/>
            </w:tcBorders>
            <w:vAlign w:val="center"/>
          </w:tcPr>
          <w:p w14:paraId="3E38A50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1.具体措施、要求和目标见《关于印发登革热防控方案(2025年版)的通知》、《基孔肯雅热防控技术指南（2025年版）》和省市工作要求。</w:t>
            </w:r>
          </w:p>
          <w:p w14:paraId="745CAA42">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2.结算方式：项目结束时按照实际处置点位数结算，每个点位数结算价=单项成交价/10。</w:t>
            </w:r>
          </w:p>
        </w:tc>
        <w:tc>
          <w:tcPr>
            <w:tcW w:w="833" w:type="dxa"/>
            <w:tcBorders>
              <w:right w:val="single" w:color="auto" w:sz="4" w:space="0"/>
            </w:tcBorders>
            <w:vAlign w:val="center"/>
          </w:tcPr>
          <w:p w14:paraId="21DC4BE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5"/>
                <w:sz w:val="21"/>
                <w:szCs w:val="21"/>
                <w:highlight w:val="none"/>
                <w:lang w:val="en-US"/>
              </w:rPr>
            </w:pPr>
            <w:r>
              <w:rPr>
                <w:rFonts w:hint="eastAsia" w:ascii="宋体" w:hAnsi="宋体" w:eastAsia="宋体" w:cs="宋体"/>
                <w:i w:val="0"/>
                <w:iCs w:val="0"/>
                <w:snapToGrid w:val="0"/>
                <w:color w:val="000000"/>
                <w:kern w:val="0"/>
                <w:sz w:val="21"/>
                <w:szCs w:val="21"/>
                <w:highlight w:val="none"/>
                <w:u w:val="none"/>
                <w:lang w:val="en-US" w:eastAsia="zh-CN" w:bidi="ar"/>
              </w:rPr>
              <w:t>20</w:t>
            </w:r>
          </w:p>
        </w:tc>
      </w:tr>
      <w:tr w14:paraId="337F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jc w:val="center"/>
        </w:trPr>
        <w:tc>
          <w:tcPr>
            <w:tcW w:w="820" w:type="dxa"/>
            <w:vAlign w:val="center"/>
          </w:tcPr>
          <w:p w14:paraId="065D68D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8"/>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1079" w:type="dxa"/>
            <w:vMerge w:val="continue"/>
            <w:vAlign w:val="center"/>
          </w:tcPr>
          <w:p w14:paraId="4E3EBBC8">
            <w:pPr>
              <w:keepNext w:val="0"/>
              <w:keepLines w:val="0"/>
              <w:pageBreakBefore w:val="0"/>
              <w:widowControl/>
              <w:wordWrap/>
              <w:overflowPunct/>
              <w:topLinePunct w:val="0"/>
              <w:bidi w:val="0"/>
              <w:spacing w:line="400" w:lineRule="exact"/>
              <w:jc w:val="center"/>
              <w:rPr>
                <w:rFonts w:hint="eastAsia" w:ascii="宋体" w:hAnsi="宋体" w:eastAsia="宋体" w:cs="宋体"/>
                <w:b/>
                <w:bCs/>
                <w:spacing w:val="-5"/>
                <w:sz w:val="21"/>
                <w:szCs w:val="21"/>
                <w:highlight w:val="none"/>
              </w:rPr>
            </w:pPr>
          </w:p>
        </w:tc>
        <w:tc>
          <w:tcPr>
            <w:tcW w:w="1015" w:type="dxa"/>
            <w:tcBorders>
              <w:right w:val="single" w:color="auto" w:sz="4" w:space="0"/>
            </w:tcBorders>
            <w:vAlign w:val="center"/>
          </w:tcPr>
          <w:p w14:paraId="4A6EB51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农贸市场、专业市场、七小单位四害控制和病媒生物孳生地、栖息地治理。</w:t>
            </w:r>
          </w:p>
        </w:tc>
        <w:tc>
          <w:tcPr>
            <w:tcW w:w="2478" w:type="dxa"/>
            <w:tcBorders>
              <w:left w:val="single" w:color="auto" w:sz="4" w:space="0"/>
              <w:right w:val="single" w:color="auto" w:sz="4" w:space="0"/>
            </w:tcBorders>
            <w:vAlign w:val="center"/>
          </w:tcPr>
          <w:p w14:paraId="6741D89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1.辖区所有农贸市场、专业市场以及5000家七小单位鼠蟑消杀，每月1轮，共14轮。</w:t>
            </w:r>
          </w:p>
          <w:p w14:paraId="46ACFDA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2.在5-10月，每月对所有农贸市场以及5000家七小单位（指：小饭店、小熟食店、小食品加工店；小浴池、小理发店、小歌舞厅、小旅店）开展2次蚊蝇消杀，共计12轮。</w:t>
            </w:r>
          </w:p>
          <w:p w14:paraId="70E1FC7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2917" w:type="dxa"/>
            <w:tcBorders>
              <w:left w:val="single" w:color="auto" w:sz="4" w:space="0"/>
            </w:tcBorders>
            <w:vAlign w:val="center"/>
          </w:tcPr>
          <w:p w14:paraId="6162301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1.采取消杀、宣教、指导等控制措施，开展四害控制。</w:t>
            </w:r>
          </w:p>
          <w:p w14:paraId="03A0AF4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2.专业市场包括南翔汽车智慧新城、南翔华夏国际茶博城、长春街汽车城、周谷堆市场、坝上街干货市场、五里庙装饰世界、五金商贸城等。</w:t>
            </w:r>
          </w:p>
          <w:p w14:paraId="702A3C3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w:t>
            </w:r>
            <w:r>
              <w:rPr>
                <w:rFonts w:hint="eastAsia" w:ascii="宋体" w:hAnsi="宋体" w:eastAsia="宋体" w:cs="宋体"/>
                <w:spacing w:val="-4"/>
                <w:sz w:val="21"/>
                <w:szCs w:val="21"/>
                <w:highlight w:val="none"/>
                <w:lang w:val="en-US" w:eastAsia="zh-CN"/>
              </w:rPr>
              <w:t>发现</w:t>
            </w:r>
            <w:r>
              <w:rPr>
                <w:rFonts w:hint="eastAsia" w:ascii="宋体" w:hAnsi="宋体" w:eastAsia="宋体" w:cs="宋体"/>
                <w:i w:val="0"/>
                <w:iCs w:val="0"/>
                <w:snapToGrid w:val="0"/>
                <w:color w:val="000000"/>
                <w:kern w:val="0"/>
                <w:sz w:val="21"/>
                <w:szCs w:val="21"/>
                <w:highlight w:val="none"/>
                <w:u w:val="none"/>
                <w:lang w:val="en-US" w:eastAsia="zh-CN" w:bidi="ar"/>
              </w:rPr>
              <w:t>病媒生物孳生地、栖息地及时处理。对于不易清除或不能清除的要及时反馈给属地街镇、大社区和包河区爱国卫生运动委员会办公室。</w:t>
            </w:r>
          </w:p>
        </w:tc>
        <w:tc>
          <w:tcPr>
            <w:tcW w:w="833" w:type="dxa"/>
            <w:tcBorders>
              <w:right w:val="single" w:color="auto" w:sz="4" w:space="0"/>
            </w:tcBorders>
            <w:vAlign w:val="center"/>
          </w:tcPr>
          <w:p w14:paraId="21001BA3">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5"/>
                <w:sz w:val="21"/>
                <w:szCs w:val="21"/>
                <w:highlight w:val="none"/>
                <w:lang w:val="en-US"/>
              </w:rPr>
            </w:pPr>
            <w:r>
              <w:rPr>
                <w:rFonts w:hint="eastAsia" w:ascii="宋体" w:hAnsi="宋体" w:eastAsia="宋体" w:cs="宋体"/>
                <w:i w:val="0"/>
                <w:iCs w:val="0"/>
                <w:snapToGrid w:val="0"/>
                <w:color w:val="000000"/>
                <w:kern w:val="0"/>
                <w:sz w:val="21"/>
                <w:szCs w:val="21"/>
                <w:highlight w:val="none"/>
                <w:u w:val="none"/>
                <w:lang w:val="en-US" w:eastAsia="zh-CN" w:bidi="ar"/>
              </w:rPr>
              <w:t>17.9</w:t>
            </w:r>
          </w:p>
        </w:tc>
      </w:tr>
      <w:tr w14:paraId="52F06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820" w:type="dxa"/>
            <w:vAlign w:val="center"/>
          </w:tcPr>
          <w:p w14:paraId="004FB087">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8"/>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1079" w:type="dxa"/>
            <w:vMerge w:val="continue"/>
            <w:vAlign w:val="center"/>
          </w:tcPr>
          <w:p w14:paraId="64334618">
            <w:pPr>
              <w:keepNext w:val="0"/>
              <w:keepLines w:val="0"/>
              <w:pageBreakBefore w:val="0"/>
              <w:widowControl/>
              <w:wordWrap/>
              <w:overflowPunct/>
              <w:topLinePunct w:val="0"/>
              <w:bidi w:val="0"/>
              <w:spacing w:line="400" w:lineRule="exact"/>
              <w:jc w:val="center"/>
              <w:rPr>
                <w:rFonts w:hint="eastAsia" w:ascii="宋体" w:hAnsi="宋体" w:eastAsia="宋体" w:cs="宋体"/>
                <w:b/>
                <w:bCs/>
                <w:spacing w:val="-5"/>
                <w:sz w:val="21"/>
                <w:szCs w:val="21"/>
                <w:highlight w:val="none"/>
              </w:rPr>
            </w:pPr>
          </w:p>
        </w:tc>
        <w:tc>
          <w:tcPr>
            <w:tcW w:w="1015" w:type="dxa"/>
            <w:tcBorders>
              <w:right w:val="single" w:color="auto" w:sz="4" w:space="0"/>
            </w:tcBorders>
            <w:vAlign w:val="center"/>
          </w:tcPr>
          <w:p w14:paraId="22C89324">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风险点位、区域排查和协助培训指导</w:t>
            </w:r>
          </w:p>
        </w:tc>
        <w:tc>
          <w:tcPr>
            <w:tcW w:w="2478" w:type="dxa"/>
            <w:tcBorders>
              <w:left w:val="single" w:color="auto" w:sz="4" w:space="0"/>
              <w:right w:val="single" w:color="auto" w:sz="4" w:space="0"/>
            </w:tcBorders>
            <w:vAlign w:val="center"/>
          </w:tcPr>
          <w:p w14:paraId="0E9F7F02">
            <w:pPr>
              <w:keepNext w:val="0"/>
              <w:keepLines w:val="0"/>
              <w:pageBreakBefore w:val="0"/>
              <w:widowControl/>
              <w:numPr>
                <w:ilvl w:val="0"/>
                <w:numId w:val="1"/>
              </w:numPr>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风险点位和区域排查，每月1次，共14次。</w:t>
            </w:r>
          </w:p>
          <w:p w14:paraId="1B3D3009">
            <w:pPr>
              <w:keepNext w:val="0"/>
              <w:keepLines w:val="0"/>
              <w:pageBreakBefore w:val="0"/>
              <w:widowControl/>
              <w:numPr>
                <w:ilvl w:val="0"/>
                <w:numId w:val="0"/>
              </w:numPr>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2.上级通报的有关乙方责任内的问题，需于5个工作日内完成整改并举一反三。针对省市区反馈的风险点位开展专项消杀。</w:t>
            </w:r>
          </w:p>
          <w:p w14:paraId="241A72F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pacing w:val="-4"/>
                <w:sz w:val="21"/>
                <w:szCs w:val="21"/>
                <w:highlight w:val="none"/>
                <w:lang w:val="en-US" w:eastAsia="zh-CN"/>
              </w:rPr>
            </w:pPr>
          </w:p>
        </w:tc>
        <w:tc>
          <w:tcPr>
            <w:tcW w:w="2917" w:type="dxa"/>
            <w:tcBorders>
              <w:left w:val="single" w:color="auto" w:sz="4" w:space="0"/>
            </w:tcBorders>
            <w:vAlign w:val="center"/>
          </w:tcPr>
          <w:p w14:paraId="5B1B4902">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1.风险点位和区域排查需在采购人指导下，按照健康城市建设工作要求开展，每月25日前上报工作总结。</w:t>
            </w:r>
          </w:p>
          <w:p w14:paraId="48B71B9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2.配合采购人以及采购人要求的单位开展病媒生物防制培训与现场技术指导，提升基层工作人员病媒防制能力。</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highlight w:val="none"/>
                <w:u w:val="none"/>
                <w:lang w:val="en-US" w:eastAsia="zh-CN" w:bidi="ar"/>
              </w:rPr>
              <w:t>3.协助区级按照健康城市建设工作要求开展工作资料的收集整理及相关咨询服务。协助区级邀请省内、外专家开展工作培训指导。</w:t>
            </w:r>
          </w:p>
        </w:tc>
        <w:tc>
          <w:tcPr>
            <w:tcW w:w="833" w:type="dxa"/>
            <w:tcBorders>
              <w:right w:val="single" w:color="auto" w:sz="4" w:space="0"/>
            </w:tcBorders>
            <w:vAlign w:val="center"/>
          </w:tcPr>
          <w:p w14:paraId="71B17199">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5"/>
                <w:sz w:val="21"/>
                <w:szCs w:val="21"/>
                <w:highlight w:val="none"/>
                <w:lang w:val="en-US"/>
              </w:rPr>
            </w:pPr>
            <w:r>
              <w:rPr>
                <w:rFonts w:hint="eastAsia" w:ascii="宋体" w:hAnsi="宋体" w:eastAsia="宋体" w:cs="宋体"/>
                <w:i w:val="0"/>
                <w:iCs w:val="0"/>
                <w:snapToGrid w:val="0"/>
                <w:color w:val="000000"/>
                <w:kern w:val="0"/>
                <w:sz w:val="21"/>
                <w:szCs w:val="21"/>
                <w:highlight w:val="none"/>
                <w:u w:val="none"/>
                <w:lang w:val="en-US" w:eastAsia="zh-CN" w:bidi="ar"/>
              </w:rPr>
              <w:t>2.1</w:t>
            </w:r>
          </w:p>
        </w:tc>
      </w:tr>
      <w:tr w14:paraId="451D7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820" w:type="dxa"/>
            <w:vAlign w:val="center"/>
          </w:tcPr>
          <w:p w14:paraId="7552821A">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8"/>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1079" w:type="dxa"/>
            <w:vMerge w:val="restart"/>
            <w:vAlign w:val="center"/>
          </w:tcPr>
          <w:p w14:paraId="4DB0C02D">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5"/>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蜱虫消杀控制</w:t>
            </w:r>
          </w:p>
        </w:tc>
        <w:tc>
          <w:tcPr>
            <w:tcW w:w="1015" w:type="dxa"/>
            <w:tcBorders>
              <w:right w:val="single" w:color="auto" w:sz="4" w:space="0"/>
            </w:tcBorders>
            <w:vAlign w:val="center"/>
          </w:tcPr>
          <w:p w14:paraId="4ED842B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游离蜱消杀</w:t>
            </w:r>
          </w:p>
        </w:tc>
        <w:tc>
          <w:tcPr>
            <w:tcW w:w="2478" w:type="dxa"/>
            <w:tcBorders>
              <w:left w:val="single" w:color="auto" w:sz="4" w:space="0"/>
              <w:right w:val="single" w:color="auto" w:sz="4" w:space="0"/>
            </w:tcBorders>
            <w:vAlign w:val="center"/>
          </w:tcPr>
          <w:p w14:paraId="1179CD87">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1.游离蜱消杀每月2次，两次间隔大于1周，共计16轮。每轮消杀面积为2.4万亩，约1600万平方米。</w:t>
            </w:r>
          </w:p>
        </w:tc>
        <w:tc>
          <w:tcPr>
            <w:tcW w:w="2917" w:type="dxa"/>
            <w:tcBorders>
              <w:left w:val="single" w:color="auto" w:sz="4" w:space="0"/>
            </w:tcBorders>
            <w:vAlign w:val="center"/>
          </w:tcPr>
          <w:p w14:paraId="3A72B57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1.具体按照《包河区2026年蜱虫消杀工作方案》要求，在2026年的2、3、4、5、6、7、9、10月开展。</w:t>
            </w:r>
          </w:p>
          <w:p w14:paraId="5583AD7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2.区疾控按照《全国病媒生物监测技术指南（2025版）》的蜱类监测方法开展随机抽查监测，高效氯氟氰菊酯（配比后有效浓度0.04%）消杀7天内，游离蜱密度应达到下降90%的效果。</w:t>
            </w:r>
          </w:p>
        </w:tc>
        <w:tc>
          <w:tcPr>
            <w:tcW w:w="833" w:type="dxa"/>
            <w:tcBorders>
              <w:right w:val="single" w:color="auto" w:sz="4" w:space="0"/>
            </w:tcBorders>
            <w:vAlign w:val="center"/>
          </w:tcPr>
          <w:p w14:paraId="619193C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27.2</w:t>
            </w:r>
          </w:p>
        </w:tc>
      </w:tr>
      <w:tr w14:paraId="40E7E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820" w:type="dxa"/>
            <w:vAlign w:val="center"/>
          </w:tcPr>
          <w:p w14:paraId="47119FAC">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8"/>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1079" w:type="dxa"/>
            <w:vMerge w:val="continue"/>
            <w:vAlign w:val="center"/>
          </w:tcPr>
          <w:p w14:paraId="2D726703">
            <w:pPr>
              <w:keepNext w:val="0"/>
              <w:keepLines w:val="0"/>
              <w:pageBreakBefore w:val="0"/>
              <w:widowControl/>
              <w:wordWrap/>
              <w:overflowPunct/>
              <w:topLinePunct w:val="0"/>
              <w:bidi w:val="0"/>
              <w:spacing w:line="400" w:lineRule="exact"/>
              <w:jc w:val="center"/>
              <w:rPr>
                <w:rFonts w:hint="eastAsia" w:ascii="宋体" w:hAnsi="宋体" w:eastAsia="宋体" w:cs="宋体"/>
                <w:spacing w:val="-4"/>
                <w:sz w:val="21"/>
                <w:szCs w:val="21"/>
                <w:highlight w:val="none"/>
                <w:lang w:val="en-US" w:eastAsia="zh-CN"/>
              </w:rPr>
            </w:pPr>
          </w:p>
        </w:tc>
        <w:tc>
          <w:tcPr>
            <w:tcW w:w="1015" w:type="dxa"/>
            <w:tcBorders>
              <w:right w:val="single" w:color="auto" w:sz="4" w:space="0"/>
            </w:tcBorders>
            <w:vAlign w:val="center"/>
          </w:tcPr>
          <w:p w14:paraId="4663F0DB">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寄生蜱消杀</w:t>
            </w:r>
          </w:p>
        </w:tc>
        <w:tc>
          <w:tcPr>
            <w:tcW w:w="2478" w:type="dxa"/>
            <w:tcBorders>
              <w:left w:val="single" w:color="auto" w:sz="4" w:space="0"/>
              <w:right w:val="single" w:color="auto" w:sz="4" w:space="0"/>
            </w:tcBorders>
            <w:vAlign w:val="center"/>
          </w:tcPr>
          <w:p w14:paraId="1563B6A0">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1.两家养殖场寄生蜱和游离蜱消杀8轮。</w:t>
            </w:r>
          </w:p>
          <w:p w14:paraId="03EA4F8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2.在2026年3月底前提供2000份体表驱避剂。</w:t>
            </w:r>
          </w:p>
        </w:tc>
        <w:tc>
          <w:tcPr>
            <w:tcW w:w="2917" w:type="dxa"/>
            <w:tcBorders>
              <w:left w:val="single" w:color="auto" w:sz="4" w:space="0"/>
            </w:tcBorders>
            <w:vAlign w:val="center"/>
          </w:tcPr>
          <w:p w14:paraId="45CCA30E">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1.开展烟墩街道养殖场寄生蜱和游离蜱消杀。2026年3-10月份开展，每月1次，共计8轮。</w:t>
            </w:r>
          </w:p>
          <w:p w14:paraId="79194563">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2.体表驱避剂（阿维菌素透皮溶液，100ml/瓶）用于各街镇、大社区开展辖区散养动物体表驱蜱。</w:t>
            </w:r>
          </w:p>
        </w:tc>
        <w:tc>
          <w:tcPr>
            <w:tcW w:w="833" w:type="dxa"/>
            <w:tcBorders>
              <w:right w:val="single" w:color="auto" w:sz="4" w:space="0"/>
            </w:tcBorders>
            <w:vAlign w:val="center"/>
          </w:tcPr>
          <w:p w14:paraId="1A4E6CE0">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5"/>
                <w:sz w:val="21"/>
                <w:szCs w:val="21"/>
                <w:highlight w:val="none"/>
                <w:lang w:val="en-US"/>
              </w:rPr>
            </w:pPr>
            <w:r>
              <w:rPr>
                <w:rFonts w:hint="eastAsia" w:ascii="宋体" w:hAnsi="宋体" w:eastAsia="宋体" w:cs="宋体"/>
                <w:i w:val="0"/>
                <w:iCs w:val="0"/>
                <w:snapToGrid w:val="0"/>
                <w:color w:val="000000"/>
                <w:kern w:val="0"/>
                <w:sz w:val="21"/>
                <w:szCs w:val="21"/>
                <w:highlight w:val="none"/>
                <w:u w:val="none"/>
                <w:lang w:val="en-US" w:eastAsia="zh-CN" w:bidi="ar"/>
              </w:rPr>
              <w:t>2.6</w:t>
            </w:r>
          </w:p>
        </w:tc>
      </w:tr>
      <w:tr w14:paraId="6D65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820" w:type="dxa"/>
            <w:vAlign w:val="center"/>
          </w:tcPr>
          <w:p w14:paraId="2EEF4FBF">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1079" w:type="dxa"/>
            <w:vMerge w:val="continue"/>
            <w:vAlign w:val="center"/>
          </w:tcPr>
          <w:p w14:paraId="1F72FB43">
            <w:pPr>
              <w:keepNext w:val="0"/>
              <w:keepLines w:val="0"/>
              <w:pageBreakBefore w:val="0"/>
              <w:widowControl/>
              <w:wordWrap/>
              <w:overflowPunct/>
              <w:topLinePunct w:val="0"/>
              <w:bidi w:val="0"/>
              <w:spacing w:line="400" w:lineRule="exact"/>
              <w:jc w:val="center"/>
              <w:rPr>
                <w:rFonts w:hint="eastAsia" w:ascii="宋体" w:hAnsi="宋体" w:eastAsia="宋体" w:cs="宋体"/>
                <w:spacing w:val="-4"/>
                <w:sz w:val="21"/>
                <w:szCs w:val="21"/>
                <w:highlight w:val="none"/>
                <w:lang w:val="en-US" w:eastAsia="zh-CN"/>
              </w:rPr>
            </w:pPr>
          </w:p>
        </w:tc>
        <w:tc>
          <w:tcPr>
            <w:tcW w:w="1015" w:type="dxa"/>
            <w:tcBorders>
              <w:right w:val="single" w:color="auto" w:sz="4" w:space="0"/>
            </w:tcBorders>
            <w:vAlign w:val="center"/>
          </w:tcPr>
          <w:p w14:paraId="3C603DC5">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蜱传疾病受影响区域（疫点）蜱密度长效控制</w:t>
            </w:r>
          </w:p>
        </w:tc>
        <w:tc>
          <w:tcPr>
            <w:tcW w:w="2478" w:type="dxa"/>
            <w:tcBorders>
              <w:left w:val="single" w:color="auto" w:sz="4" w:space="0"/>
              <w:right w:val="single" w:color="auto" w:sz="4" w:space="0"/>
            </w:tcBorders>
            <w:vAlign w:val="center"/>
          </w:tcPr>
          <w:p w14:paraId="77E71F9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预计完成20处蜱传疾病受影响区域的除草、消杀处置和纳入长效控制等。</w:t>
            </w:r>
          </w:p>
        </w:tc>
        <w:tc>
          <w:tcPr>
            <w:tcW w:w="2917" w:type="dxa"/>
            <w:tcBorders>
              <w:left w:val="single" w:color="auto" w:sz="4" w:space="0"/>
            </w:tcBorders>
            <w:vAlign w:val="center"/>
          </w:tcPr>
          <w:p w14:paraId="6EF9DC66">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1.具体措施、要求和目标见《包河区2026年蜱虫消杀工作方案》和省市工作要求。高效氯氟氰菊酯（配比后有效浓度0.04%）消杀7天内，游离蜱密度应达到下降90%的效果。</w:t>
            </w:r>
          </w:p>
          <w:p w14:paraId="618BD33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2.结算方式：项目结束时按照实际处置点位数结算，每个点位数结算价=单项成交价/20。</w:t>
            </w:r>
          </w:p>
        </w:tc>
        <w:tc>
          <w:tcPr>
            <w:tcW w:w="833" w:type="dxa"/>
            <w:tcBorders>
              <w:right w:val="single" w:color="auto" w:sz="4" w:space="0"/>
            </w:tcBorders>
            <w:vAlign w:val="center"/>
          </w:tcPr>
          <w:p w14:paraId="7BB2D9E2">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4</w:t>
            </w:r>
          </w:p>
        </w:tc>
      </w:tr>
      <w:tr w14:paraId="5D29C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820" w:type="dxa"/>
            <w:vAlign w:val="center"/>
          </w:tcPr>
          <w:p w14:paraId="40992A16">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b/>
                <w:bCs/>
                <w:spacing w:val="-8"/>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1079" w:type="dxa"/>
            <w:vAlign w:val="center"/>
          </w:tcPr>
          <w:p w14:paraId="47752D35">
            <w:pPr>
              <w:keepNext w:val="0"/>
              <w:keepLines w:val="0"/>
              <w:pageBreakBefore w:val="0"/>
              <w:widowControl/>
              <w:suppressLineNumbers w:val="0"/>
              <w:wordWrap/>
              <w:overflowPunct/>
              <w:topLinePunct w:val="0"/>
              <w:bidi w:val="0"/>
              <w:spacing w:line="400" w:lineRule="exact"/>
              <w:jc w:val="center"/>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质量控制</w:t>
            </w:r>
          </w:p>
        </w:tc>
        <w:tc>
          <w:tcPr>
            <w:tcW w:w="1015" w:type="dxa"/>
            <w:tcBorders>
              <w:right w:val="single" w:color="auto" w:sz="4" w:space="0"/>
            </w:tcBorders>
            <w:vAlign w:val="center"/>
          </w:tcPr>
          <w:p w14:paraId="492AD31D">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质量控制要求</w:t>
            </w:r>
          </w:p>
        </w:tc>
        <w:tc>
          <w:tcPr>
            <w:tcW w:w="2478" w:type="dxa"/>
            <w:tcBorders>
              <w:left w:val="single" w:color="auto" w:sz="4" w:space="0"/>
              <w:right w:val="single" w:color="auto" w:sz="4" w:space="0"/>
            </w:tcBorders>
            <w:vAlign w:val="center"/>
          </w:tcPr>
          <w:p w14:paraId="43439E51">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1.每月25日前上报工作量佐证资料，每季度上报一次工作资料；</w:t>
            </w:r>
          </w:p>
          <w:p w14:paraId="71899F1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2.所有工作完成情况均需属地街镇、大社区验收确认；</w:t>
            </w:r>
          </w:p>
          <w:p w14:paraId="10F82A8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3.消杀前侵害调查1次。第三方专业机构消杀后效果评价2次。</w:t>
            </w:r>
          </w:p>
          <w:p w14:paraId="320788D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spacing w:val="-4"/>
                <w:sz w:val="21"/>
                <w:szCs w:val="21"/>
                <w:highlight w:val="none"/>
                <w:lang w:val="en-US" w:eastAsia="zh-CN"/>
              </w:rPr>
            </w:pPr>
            <w:r>
              <w:rPr>
                <w:rFonts w:hint="eastAsia" w:ascii="宋体" w:hAnsi="宋体" w:eastAsia="宋体" w:cs="宋体"/>
                <w:i w:val="0"/>
                <w:iCs w:val="0"/>
                <w:snapToGrid w:val="0"/>
                <w:color w:val="000000"/>
                <w:kern w:val="0"/>
                <w:sz w:val="21"/>
                <w:szCs w:val="21"/>
                <w:highlight w:val="none"/>
                <w:u w:val="none"/>
                <w:lang w:val="en-US" w:eastAsia="zh-CN" w:bidi="ar"/>
              </w:rPr>
              <w:t>4.采购人每季度抽查工作开展情况。</w:t>
            </w:r>
          </w:p>
        </w:tc>
        <w:tc>
          <w:tcPr>
            <w:tcW w:w="2917" w:type="dxa"/>
            <w:tcBorders>
              <w:left w:val="single" w:color="auto" w:sz="4" w:space="0"/>
            </w:tcBorders>
            <w:vAlign w:val="center"/>
          </w:tcPr>
          <w:p w14:paraId="71CF675F">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1.工作量佐证资料和工作资料包括消杀维护记录、毒饵站/捕蝇笼位置一览表和统计表、现场水印照片、消杀药械说明书和采购发票复印件等；</w:t>
            </w:r>
          </w:p>
          <w:p w14:paraId="29376538">
            <w:pPr>
              <w:keepNext w:val="0"/>
              <w:keepLines w:val="0"/>
              <w:pageBreakBefore w:val="0"/>
              <w:widowControl/>
              <w:suppressLineNumbers w:val="0"/>
              <w:wordWrap/>
              <w:overflowPunct/>
              <w:topLinePunct w:val="0"/>
              <w:bidi w:val="0"/>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2.消杀前侵害调查在合同签订后15天内完成。</w:t>
            </w:r>
          </w:p>
          <w:p w14:paraId="67F3CB6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成交供应商邀请市级以上第三方专业机构（如市有害生物防制协会、市疾控中心消杀与病媒生物防制科、省疾控中心消毒与媒介生物防制所等），每半年开展一次消杀后效果评价，经费包含在报价内。鼠蚊蝇蟑的防制效果应达到国家病媒生物密度控制水平（GB/T 27770-2011、GB/T 27771-2011、GB/T 27772-2011、GB/T 27773-2011）要求的C级标准。监测具体事项参见《全国病媒生物监测实施方案》、国家病媒生物密度监测方法（GB/T23798-2009，GB/T23797-2020，GB/T23796-2009，GB/T23795-2009）、《安徽省防控病媒生物管理办法》、《国家卫生城镇标准（2021版）指导手册》和《安徽省病媒生物监测实施方案》；4.采购人抽查采取随机、实地查看等，核实真实性、规范性和有效性。</w:t>
            </w:r>
          </w:p>
        </w:tc>
        <w:tc>
          <w:tcPr>
            <w:tcW w:w="833" w:type="dxa"/>
            <w:tcBorders>
              <w:right w:val="single" w:color="auto" w:sz="4" w:space="0"/>
            </w:tcBorders>
            <w:vAlign w:val="center"/>
          </w:tcPr>
          <w:p w14:paraId="1EF391CC">
            <w:pPr>
              <w:keepNext w:val="0"/>
              <w:keepLines w:val="0"/>
              <w:pageBreakBefore w:val="0"/>
              <w:widowControl/>
              <w:wordWrap/>
              <w:overflowPunct/>
              <w:topLinePunct w:val="0"/>
              <w:bidi w:val="0"/>
              <w:spacing w:line="400" w:lineRule="exact"/>
              <w:jc w:val="center"/>
              <w:rPr>
                <w:rFonts w:hint="eastAsia" w:ascii="宋体" w:hAnsi="宋体" w:eastAsia="宋体" w:cs="宋体"/>
                <w:b/>
                <w:bCs/>
                <w:spacing w:val="-5"/>
                <w:sz w:val="21"/>
                <w:szCs w:val="21"/>
                <w:highlight w:val="none"/>
                <w:lang w:val="en-US" w:eastAsia="zh-CN"/>
              </w:rPr>
            </w:pPr>
            <w:r>
              <w:rPr>
                <w:rFonts w:hint="eastAsia" w:ascii="宋体" w:hAnsi="宋体" w:eastAsia="宋体" w:cs="宋体"/>
                <w:b w:val="0"/>
                <w:bCs w:val="0"/>
                <w:spacing w:val="-5"/>
                <w:sz w:val="21"/>
                <w:szCs w:val="21"/>
                <w:highlight w:val="none"/>
                <w:lang w:val="en-US" w:eastAsia="zh-CN"/>
              </w:rPr>
              <w:t>1</w:t>
            </w:r>
          </w:p>
        </w:tc>
      </w:tr>
    </w:tbl>
    <w:p w14:paraId="79BA4C9D">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2" w:firstLineChars="200"/>
        <w:jc w:val="both"/>
        <w:textAlignment w:val="auto"/>
        <w:rPr>
          <w:rFonts w:hint="eastAsia" w:ascii="宋体" w:hAnsi="宋体" w:eastAsia="宋体" w:cs="@仿宋_GB2312"/>
          <w:b/>
          <w:bCs/>
          <w:kern w:val="2"/>
          <w:sz w:val="24"/>
          <w:szCs w:val="20"/>
          <w:highlight w:val="none"/>
          <w:lang w:val="en-US" w:eastAsia="zh-CN" w:bidi="ar-SA"/>
        </w:rPr>
      </w:pPr>
      <w:r>
        <w:rPr>
          <w:rFonts w:hint="eastAsia" w:ascii="宋体" w:hAnsi="宋体" w:eastAsia="宋体" w:cs="@仿宋_GB2312"/>
          <w:b/>
          <w:bCs/>
          <w:kern w:val="2"/>
          <w:sz w:val="24"/>
          <w:szCs w:val="20"/>
          <w:highlight w:val="none"/>
          <w:lang w:val="en-US" w:eastAsia="zh-CN" w:bidi="ar-SA"/>
        </w:rPr>
        <w:t>注：服务清单中列明的数量为预估使用量,实际履约中有可能会有变动（减小或单项不进行采购的），供应商应充分考虑相关风险进行报价。</w:t>
      </w:r>
    </w:p>
    <w:p w14:paraId="4AAAD6BD">
      <w:pPr>
        <w:numPr>
          <w:ilvl w:val="0"/>
          <w:numId w:val="2"/>
        </w:numPr>
        <w:spacing w:line="360" w:lineRule="auto"/>
        <w:ind w:firstLine="482" w:firstLineChars="200"/>
        <w:outlineLvl w:val="1"/>
        <w:rPr>
          <w:rFonts w:hint="eastAsia" w:ascii="宋体" w:hAnsi="宋体" w:eastAsia="宋体"/>
          <w:b/>
          <w:sz w:val="24"/>
          <w:szCs w:val="18"/>
          <w:highlight w:val="none"/>
        </w:rPr>
      </w:pPr>
      <w:r>
        <w:rPr>
          <w:rFonts w:hint="eastAsia" w:ascii="宋体" w:hAnsi="宋体" w:eastAsia="宋体"/>
          <w:b/>
          <w:sz w:val="24"/>
          <w:szCs w:val="18"/>
          <w:highlight w:val="none"/>
        </w:rPr>
        <w:t>报价要求</w:t>
      </w:r>
    </w:p>
    <w:p w14:paraId="3DD292D9">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outlineLvl w:val="1"/>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bCs/>
          <w:spacing w:val="-4"/>
          <w:sz w:val="24"/>
          <w:szCs w:val="24"/>
          <w:highlight w:val="none"/>
          <w:lang w:val="en-US" w:eastAsia="zh-CN"/>
        </w:rPr>
        <w:t>本项目报投标总价和分项报价，</w:t>
      </w:r>
      <w:r>
        <w:rPr>
          <w:rFonts w:hint="eastAsia" w:ascii="宋体" w:hAnsi="宋体" w:eastAsia="宋体" w:cs="宋体"/>
          <w:b w:val="0"/>
          <w:bCs w:val="0"/>
          <w:spacing w:val="-4"/>
          <w:sz w:val="24"/>
          <w:szCs w:val="24"/>
          <w:highlight w:val="none"/>
          <w:lang w:val="en-US" w:eastAsia="zh-CN"/>
        </w:rPr>
        <w:t>报价包括但不限于人员工资、配套产品及服务费用、消杀药械费用、宣贯费用、监测服务费用、管理费、办公费、交通费、通讯费、税金、利润、合同工期内的风险费用等。</w:t>
      </w:r>
    </w:p>
    <w:p w14:paraId="74A5D3FE">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outlineLvl w:val="1"/>
        <w:rPr>
          <w:rFonts w:hint="eastAsia" w:ascii="宋体" w:hAnsi="宋体" w:eastAsia="宋体" w:cs="宋体"/>
          <w:b/>
          <w:bCs/>
          <w:spacing w:val="-4"/>
          <w:sz w:val="24"/>
          <w:szCs w:val="24"/>
          <w:highlight w:val="none"/>
          <w:lang w:val="en-US" w:eastAsia="zh-CN"/>
        </w:rPr>
      </w:pPr>
      <w:r>
        <w:rPr>
          <w:rFonts w:hint="eastAsia" w:ascii="宋体" w:hAnsi="宋体" w:eastAsia="宋体" w:cs="宋体"/>
          <w:b/>
          <w:bCs/>
          <w:spacing w:val="-4"/>
          <w:sz w:val="24"/>
          <w:szCs w:val="24"/>
          <w:highlight w:val="none"/>
          <w:lang w:val="en-US" w:eastAsia="zh-CN"/>
        </w:rPr>
        <w:t>总价为分项报价的合价，为定标依据。成交后，项目根据实际发生量和供应商所报成交单价据实结算，其中蚊媒传染病受影响区域（疫点）蚊密度长效控制和蜱传疾病受影响区域（疫点）蜱密度长效控制按照实际点位数据实结算。本项目最终结算总费用不超过本项目预算。</w:t>
      </w:r>
    </w:p>
    <w:p w14:paraId="5EF63667">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2" w:firstLineChars="200"/>
        <w:jc w:val="both"/>
        <w:textAlignment w:val="auto"/>
        <w:rPr>
          <w:rFonts w:hint="eastAsia" w:ascii="宋体" w:hAnsi="宋体" w:eastAsia="宋体" w:cs="@仿宋_GB2312"/>
          <w:b/>
          <w:bCs/>
          <w:kern w:val="2"/>
          <w:sz w:val="24"/>
          <w:szCs w:val="20"/>
          <w:highlight w:val="none"/>
          <w:lang w:val="en-US" w:eastAsia="zh-CN" w:bidi="ar-SA"/>
        </w:rPr>
      </w:pPr>
      <w:r>
        <w:rPr>
          <w:rFonts w:hint="eastAsia" w:ascii="宋体" w:hAnsi="宋体" w:eastAsia="宋体" w:cs="@仿宋_GB2312"/>
          <w:b/>
          <w:bCs/>
          <w:kern w:val="2"/>
          <w:sz w:val="24"/>
          <w:szCs w:val="20"/>
          <w:highlight w:val="none"/>
          <w:lang w:val="en-US" w:eastAsia="zh-CN" w:bidi="ar-SA"/>
        </w:rPr>
        <w:t>最终分项单价按供应商最后报价承诺报价的降幅同比例下浮其第一次分项报价，最终分项报价不得超过分项控制单价，否则响应无效（分项单价报价格式详见第六章 响应文件格式一、1-2 分项报价表）。</w:t>
      </w:r>
    </w:p>
    <w:p w14:paraId="7904C0A5">
      <w:pPr>
        <w:spacing w:line="360" w:lineRule="auto"/>
        <w:ind w:firstLine="482" w:firstLineChars="200"/>
        <w:outlineLvl w:val="1"/>
        <w:rPr>
          <w:rFonts w:ascii="宋体" w:hAnsi="宋体" w:eastAsia="宋体"/>
          <w:b/>
          <w:sz w:val="24"/>
          <w:szCs w:val="18"/>
          <w:highlight w:val="none"/>
        </w:rPr>
      </w:pPr>
      <w:r>
        <w:rPr>
          <w:rFonts w:hint="eastAsia" w:ascii="宋体" w:hAnsi="宋体" w:eastAsia="宋体"/>
          <w:b/>
          <w:sz w:val="24"/>
          <w:szCs w:val="18"/>
          <w:highlight w:val="none"/>
        </w:rPr>
        <w:t>五、其他要求</w:t>
      </w:r>
    </w:p>
    <w:p w14:paraId="32E6FA52">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仿宋_GB2312"/>
          <w:kern w:val="2"/>
          <w:sz w:val="24"/>
          <w:szCs w:val="20"/>
          <w:highlight w:val="none"/>
          <w:lang w:val="en-US" w:eastAsia="zh-CN" w:bidi="ar-SA"/>
        </w:rPr>
      </w:pPr>
      <w:r>
        <w:rPr>
          <w:rFonts w:hint="eastAsia" w:ascii="宋体" w:hAnsi="宋体" w:eastAsia="宋体" w:cs="@仿宋_GB2312"/>
          <w:kern w:val="2"/>
          <w:sz w:val="24"/>
          <w:szCs w:val="20"/>
          <w:highlight w:val="none"/>
          <w:lang w:val="en-US" w:eastAsia="zh-CN" w:bidi="ar-SA"/>
        </w:rPr>
        <w:t>本项目采取资料考核和现场考核相结合形式，对其病媒生物防制工作执行情况和防制效果作出评价，目的是监督合同执行、发现问题、提出建议，指导和促进整改，提高病媒生物防制水平。</w:t>
      </w:r>
    </w:p>
    <w:p w14:paraId="4686AC46">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仿宋_GB2312"/>
          <w:kern w:val="2"/>
          <w:sz w:val="24"/>
          <w:szCs w:val="20"/>
          <w:highlight w:val="none"/>
          <w:lang w:val="en-US" w:eastAsia="zh-CN" w:bidi="ar-SA"/>
        </w:rPr>
      </w:pPr>
      <w:r>
        <w:rPr>
          <w:rFonts w:hint="eastAsia" w:ascii="宋体" w:hAnsi="宋体" w:eastAsia="宋体" w:cs="@仿宋_GB2312"/>
          <w:kern w:val="2"/>
          <w:sz w:val="24"/>
          <w:szCs w:val="20"/>
          <w:highlight w:val="none"/>
          <w:lang w:val="en-US" w:eastAsia="zh-CN" w:bidi="ar-SA"/>
        </w:rPr>
        <w:t>项目按照实际完成的工作量结算，采购人（或其要求的社会第三方服务机构）在项目结束时组织验收，项目中期2026年6月和项目结束2026年12月分别进行考核。</w:t>
      </w:r>
    </w:p>
    <w:p w14:paraId="7EB1E313">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仿宋_GB2312"/>
          <w:kern w:val="2"/>
          <w:sz w:val="24"/>
          <w:szCs w:val="20"/>
          <w:highlight w:val="none"/>
          <w:lang w:val="en-US" w:eastAsia="zh-CN" w:bidi="ar-SA"/>
        </w:rPr>
      </w:pPr>
      <w:r>
        <w:rPr>
          <w:rFonts w:hint="eastAsia" w:ascii="宋体" w:hAnsi="宋体" w:eastAsia="宋体" w:cs="@仿宋_GB2312"/>
          <w:kern w:val="2"/>
          <w:sz w:val="24"/>
          <w:szCs w:val="20"/>
          <w:highlight w:val="none"/>
          <w:lang w:val="en-US" w:eastAsia="zh-CN" w:bidi="ar-SA"/>
        </w:rPr>
        <w:t>监督与考核工作实行百分制考核制度，详见下述附件：《包河区病媒生物传染病综合防制服务考核表》，考核得分在95分(含)以上的，支付合同价款的30%；95分（不含）～90分（含）每低1分扣合同价款的0.5%，90分（不含）～80分（含）每低1分扣合同价款的1%；80分（不含）～70分（含）每低1分扣合同价款的1.5%。考核得分在70分（不含）以下的，采购人将不予支付任何费用，并有权追究成交供应商违约责任。</w:t>
      </w:r>
    </w:p>
    <w:bookmarkEnd w:id="0"/>
    <w:p w14:paraId="5F26355E">
      <w:pPr>
        <w:pStyle w:val="7"/>
        <w:spacing w:before="179" w:line="290" w:lineRule="auto"/>
        <w:ind w:right="113"/>
        <w:jc w:val="center"/>
        <w:rPr>
          <w:rFonts w:hint="eastAsia" w:cs="宋体"/>
          <w:spacing w:val="-4"/>
          <w:sz w:val="24"/>
          <w:szCs w:val="24"/>
          <w:highlight w:val="none"/>
          <w:lang w:val="en-US" w:eastAsia="zh-CN"/>
        </w:rPr>
      </w:pPr>
      <w:r>
        <w:rPr>
          <w:rFonts w:hint="eastAsia" w:cs="宋体"/>
          <w:spacing w:val="-4"/>
          <w:sz w:val="24"/>
          <w:szCs w:val="24"/>
          <w:highlight w:val="none"/>
          <w:lang w:val="en-US" w:eastAsia="zh-CN"/>
        </w:rPr>
        <w:t>包河区</w:t>
      </w:r>
      <w:r>
        <w:rPr>
          <w:rFonts w:hint="eastAsia" w:ascii="宋体" w:hAnsi="宋体" w:eastAsia="宋体" w:cs="宋体"/>
          <w:spacing w:val="-4"/>
          <w:sz w:val="24"/>
          <w:szCs w:val="24"/>
          <w:highlight w:val="none"/>
          <w:lang w:val="en-US" w:eastAsia="zh-CN"/>
        </w:rPr>
        <w:t>病媒生物</w:t>
      </w:r>
      <w:r>
        <w:rPr>
          <w:rFonts w:hint="eastAsia" w:cs="宋体"/>
          <w:spacing w:val="-4"/>
          <w:sz w:val="24"/>
          <w:szCs w:val="24"/>
          <w:highlight w:val="none"/>
          <w:lang w:val="en-US" w:eastAsia="zh-CN"/>
        </w:rPr>
        <w:t>传染病综合防制服务考核表</w:t>
      </w:r>
    </w:p>
    <w:tbl>
      <w:tblPr>
        <w:tblStyle w:val="18"/>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586"/>
        <w:gridCol w:w="666"/>
        <w:gridCol w:w="4612"/>
        <w:gridCol w:w="741"/>
      </w:tblGrid>
      <w:tr w14:paraId="193C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4" w:type="dxa"/>
            <w:vAlign w:val="center"/>
          </w:tcPr>
          <w:p w14:paraId="4298C008">
            <w:pPr>
              <w:pStyle w:val="7"/>
              <w:keepNext w:val="0"/>
              <w:keepLines w:val="0"/>
              <w:pageBreakBefore w:val="0"/>
              <w:widowControl w:val="0"/>
              <w:kinsoku w:val="0"/>
              <w:wordWrap/>
              <w:overflowPunct/>
              <w:topLinePunct w:val="0"/>
              <w:autoSpaceDE w:val="0"/>
              <w:autoSpaceDN w:val="0"/>
              <w:bidi w:val="0"/>
              <w:adjustRightInd w:val="0"/>
              <w:snapToGrid w:val="0"/>
              <w:spacing w:after="0" w:line="300" w:lineRule="exact"/>
              <w:ind w:right="0"/>
              <w:jc w:val="center"/>
              <w:textAlignment w:val="auto"/>
              <w:rPr>
                <w:rFonts w:hint="default"/>
                <w:b/>
                <w:bCs/>
                <w:sz w:val="22"/>
                <w:szCs w:val="22"/>
                <w:lang w:val="en-US" w:eastAsia="zh-CN"/>
              </w:rPr>
            </w:pPr>
            <w:r>
              <w:rPr>
                <w:rFonts w:hint="eastAsia"/>
                <w:b/>
                <w:bCs/>
                <w:sz w:val="22"/>
                <w:szCs w:val="22"/>
                <w:lang w:val="en-US" w:eastAsia="zh-CN"/>
              </w:rPr>
              <w:t>序号</w:t>
            </w:r>
          </w:p>
        </w:tc>
        <w:tc>
          <w:tcPr>
            <w:tcW w:w="2586" w:type="dxa"/>
            <w:vAlign w:val="center"/>
          </w:tcPr>
          <w:p w14:paraId="40826DAB">
            <w:pPr>
              <w:pStyle w:val="7"/>
              <w:keepNext w:val="0"/>
              <w:keepLines w:val="0"/>
              <w:pageBreakBefore w:val="0"/>
              <w:widowControl w:val="0"/>
              <w:kinsoku w:val="0"/>
              <w:wordWrap/>
              <w:overflowPunct/>
              <w:topLinePunct w:val="0"/>
              <w:autoSpaceDE w:val="0"/>
              <w:autoSpaceDN w:val="0"/>
              <w:bidi w:val="0"/>
              <w:adjustRightInd w:val="0"/>
              <w:snapToGrid w:val="0"/>
              <w:spacing w:line="300" w:lineRule="exact"/>
              <w:ind w:right="0"/>
              <w:jc w:val="center"/>
              <w:textAlignment w:val="auto"/>
              <w:rPr>
                <w:rFonts w:hint="default"/>
                <w:b/>
                <w:bCs/>
                <w:sz w:val="22"/>
                <w:szCs w:val="22"/>
                <w:lang w:val="en-US" w:eastAsia="zh-CN"/>
              </w:rPr>
            </w:pPr>
            <w:r>
              <w:rPr>
                <w:rFonts w:hint="eastAsia"/>
                <w:b/>
                <w:bCs/>
                <w:sz w:val="22"/>
                <w:szCs w:val="22"/>
                <w:lang w:val="en-US" w:eastAsia="zh-CN"/>
              </w:rPr>
              <w:t>内容</w:t>
            </w:r>
          </w:p>
        </w:tc>
        <w:tc>
          <w:tcPr>
            <w:tcW w:w="666" w:type="dxa"/>
            <w:vAlign w:val="center"/>
          </w:tcPr>
          <w:p w14:paraId="7A88AD48">
            <w:pPr>
              <w:pStyle w:val="7"/>
              <w:keepNext w:val="0"/>
              <w:keepLines w:val="0"/>
              <w:pageBreakBefore w:val="0"/>
              <w:widowControl w:val="0"/>
              <w:kinsoku w:val="0"/>
              <w:wordWrap/>
              <w:overflowPunct/>
              <w:topLinePunct w:val="0"/>
              <w:autoSpaceDE w:val="0"/>
              <w:autoSpaceDN w:val="0"/>
              <w:bidi w:val="0"/>
              <w:adjustRightInd w:val="0"/>
              <w:snapToGrid w:val="0"/>
              <w:spacing w:line="300" w:lineRule="exact"/>
              <w:ind w:right="0"/>
              <w:jc w:val="center"/>
              <w:textAlignment w:val="auto"/>
              <w:rPr>
                <w:rFonts w:hint="eastAsia"/>
                <w:b/>
                <w:bCs/>
                <w:sz w:val="22"/>
                <w:szCs w:val="22"/>
                <w:lang w:val="en-US" w:eastAsia="zh-CN"/>
              </w:rPr>
            </w:pPr>
            <w:r>
              <w:rPr>
                <w:rFonts w:hint="eastAsia"/>
                <w:b/>
                <w:bCs/>
                <w:sz w:val="22"/>
                <w:szCs w:val="22"/>
                <w:lang w:val="en-US" w:eastAsia="zh-CN"/>
              </w:rPr>
              <w:t>分值</w:t>
            </w:r>
          </w:p>
        </w:tc>
        <w:tc>
          <w:tcPr>
            <w:tcW w:w="4612" w:type="dxa"/>
            <w:vAlign w:val="center"/>
          </w:tcPr>
          <w:p w14:paraId="5C962CC1">
            <w:pPr>
              <w:pStyle w:val="7"/>
              <w:keepNext w:val="0"/>
              <w:keepLines w:val="0"/>
              <w:pageBreakBefore w:val="0"/>
              <w:widowControl w:val="0"/>
              <w:kinsoku w:val="0"/>
              <w:wordWrap/>
              <w:overflowPunct/>
              <w:topLinePunct w:val="0"/>
              <w:autoSpaceDE w:val="0"/>
              <w:autoSpaceDN w:val="0"/>
              <w:bidi w:val="0"/>
              <w:adjustRightInd w:val="0"/>
              <w:snapToGrid w:val="0"/>
              <w:spacing w:line="300" w:lineRule="exact"/>
              <w:ind w:right="0"/>
              <w:jc w:val="center"/>
              <w:textAlignment w:val="auto"/>
              <w:rPr>
                <w:rFonts w:hint="default"/>
                <w:b/>
                <w:bCs/>
                <w:sz w:val="22"/>
                <w:szCs w:val="22"/>
                <w:lang w:val="en-US" w:eastAsia="zh-CN"/>
              </w:rPr>
            </w:pPr>
            <w:r>
              <w:rPr>
                <w:rFonts w:hint="eastAsia"/>
                <w:b/>
                <w:bCs/>
                <w:sz w:val="22"/>
                <w:szCs w:val="22"/>
                <w:lang w:val="en-US" w:eastAsia="zh-CN"/>
              </w:rPr>
              <w:t>扣分标准</w:t>
            </w:r>
          </w:p>
        </w:tc>
        <w:tc>
          <w:tcPr>
            <w:tcW w:w="741" w:type="dxa"/>
            <w:vAlign w:val="center"/>
          </w:tcPr>
          <w:p w14:paraId="2738CE37">
            <w:pPr>
              <w:pStyle w:val="7"/>
              <w:keepNext w:val="0"/>
              <w:keepLines w:val="0"/>
              <w:pageBreakBefore w:val="0"/>
              <w:widowControl w:val="0"/>
              <w:kinsoku w:val="0"/>
              <w:wordWrap/>
              <w:overflowPunct/>
              <w:topLinePunct w:val="0"/>
              <w:autoSpaceDE w:val="0"/>
              <w:autoSpaceDN w:val="0"/>
              <w:bidi w:val="0"/>
              <w:adjustRightInd w:val="0"/>
              <w:snapToGrid w:val="0"/>
              <w:spacing w:line="300" w:lineRule="exact"/>
              <w:ind w:right="0"/>
              <w:jc w:val="center"/>
              <w:textAlignment w:val="auto"/>
              <w:rPr>
                <w:rFonts w:hint="eastAsia"/>
                <w:b/>
                <w:bCs/>
                <w:sz w:val="22"/>
                <w:szCs w:val="22"/>
                <w:lang w:val="en-US" w:eastAsia="zh-CN"/>
              </w:rPr>
            </w:pPr>
            <w:r>
              <w:rPr>
                <w:rFonts w:hint="eastAsia"/>
                <w:b/>
                <w:bCs/>
                <w:sz w:val="22"/>
                <w:szCs w:val="22"/>
                <w:lang w:val="en-US" w:eastAsia="zh-CN"/>
              </w:rPr>
              <w:t>得分</w:t>
            </w:r>
          </w:p>
        </w:tc>
      </w:tr>
      <w:tr w14:paraId="4EB0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vAlign w:val="center"/>
          </w:tcPr>
          <w:p w14:paraId="42837EE7">
            <w:pPr>
              <w:pStyle w:val="7"/>
              <w:widowControl w:val="0"/>
              <w:spacing w:before="179" w:line="290" w:lineRule="auto"/>
              <w:ind w:right="113" w:rightChars="0"/>
              <w:jc w:val="center"/>
              <w:rPr>
                <w:rFonts w:hint="eastAsia" w:ascii="宋体" w:hAnsi="宋体" w:eastAsia="宋体" w:cs="宋体"/>
                <w:spacing w:val="-4"/>
                <w:kern w:val="2"/>
                <w:sz w:val="21"/>
                <w:szCs w:val="21"/>
                <w:highlight w:val="none"/>
                <w:vertAlign w:val="baseline"/>
                <w:lang w:val="en-US" w:eastAsia="zh-CN" w:bidi="ar-SA"/>
              </w:rPr>
            </w:pPr>
            <w:r>
              <w:rPr>
                <w:rFonts w:hint="eastAsia" w:ascii="宋体" w:hAnsi="宋体" w:eastAsia="宋体" w:cs="宋体"/>
                <w:spacing w:val="-4"/>
                <w:sz w:val="21"/>
                <w:szCs w:val="21"/>
                <w:highlight w:val="none"/>
                <w:vertAlign w:val="baseline"/>
                <w:lang w:val="en-US" w:eastAsia="zh-CN"/>
              </w:rPr>
              <w:t>1</w:t>
            </w:r>
          </w:p>
        </w:tc>
        <w:tc>
          <w:tcPr>
            <w:tcW w:w="2586" w:type="dxa"/>
            <w:shd w:val="clear" w:color="auto" w:fill="auto"/>
            <w:vAlign w:val="center"/>
          </w:tcPr>
          <w:p w14:paraId="1279CD4A">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rightChars="0"/>
              <w:jc w:val="center"/>
              <w:rPr>
                <w:rFonts w:hint="eastAsia" w:ascii="宋体" w:hAnsi="宋体" w:eastAsia="宋体" w:cs="宋体"/>
                <w:spacing w:val="-4"/>
                <w:kern w:val="2"/>
                <w:sz w:val="21"/>
                <w:szCs w:val="21"/>
                <w:highlight w:val="none"/>
                <w:vertAlign w:val="baseli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灭鼠毒饵站和捕蝇笼安装与维护</w:t>
            </w:r>
          </w:p>
        </w:tc>
        <w:tc>
          <w:tcPr>
            <w:tcW w:w="666" w:type="dxa"/>
            <w:shd w:val="clear" w:color="auto" w:fill="auto"/>
            <w:vAlign w:val="center"/>
          </w:tcPr>
          <w:p w14:paraId="669E2FC7">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rightChars="0"/>
              <w:jc w:val="center"/>
              <w:rPr>
                <w:rFonts w:hint="eastAsia" w:ascii="宋体" w:hAnsi="宋体" w:eastAsia="宋体" w:cs="宋体"/>
                <w:spacing w:val="-4"/>
                <w:kern w:val="2"/>
                <w:sz w:val="21"/>
                <w:szCs w:val="21"/>
                <w:highlight w:val="none"/>
                <w:vertAlign w:val="baseline"/>
                <w:lang w:val="en-US" w:eastAsia="zh-CN" w:bidi="ar-SA"/>
              </w:rPr>
            </w:pPr>
            <w:r>
              <w:rPr>
                <w:rFonts w:hint="eastAsia" w:ascii="宋体" w:hAnsi="宋体" w:eastAsia="宋体" w:cs="宋体"/>
                <w:spacing w:val="-4"/>
                <w:sz w:val="21"/>
                <w:szCs w:val="21"/>
                <w:highlight w:val="none"/>
                <w:vertAlign w:val="baseline"/>
                <w:lang w:val="en-US" w:eastAsia="zh-CN"/>
              </w:rPr>
              <w:t>15</w:t>
            </w:r>
          </w:p>
        </w:tc>
        <w:tc>
          <w:tcPr>
            <w:tcW w:w="4612" w:type="dxa"/>
            <w:shd w:val="clear" w:color="auto" w:fill="auto"/>
            <w:vAlign w:val="center"/>
          </w:tcPr>
          <w:p w14:paraId="61A9EDDB">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1.毒饵站和捕蝇笼维护缺少1轮扣5分，扣完为止。2.毒饵站和捕蝇笼规范设置，发现一处不合理扣0.5分，扣完5分为止。</w:t>
            </w:r>
          </w:p>
        </w:tc>
        <w:tc>
          <w:tcPr>
            <w:tcW w:w="741" w:type="dxa"/>
            <w:shd w:val="clear" w:color="auto" w:fill="auto"/>
            <w:vAlign w:val="top"/>
          </w:tcPr>
          <w:p w14:paraId="217EF532">
            <w:pPr>
              <w:pStyle w:val="7"/>
              <w:widowControl w:val="0"/>
              <w:spacing w:before="179" w:line="290" w:lineRule="auto"/>
              <w:ind w:right="113" w:rightChars="0"/>
              <w:jc w:val="center"/>
              <w:rPr>
                <w:rFonts w:hint="eastAsia" w:ascii="宋体" w:hAnsi="宋体" w:eastAsia="宋体" w:cs="宋体"/>
                <w:spacing w:val="-4"/>
                <w:kern w:val="2"/>
                <w:sz w:val="21"/>
                <w:szCs w:val="21"/>
                <w:highlight w:val="none"/>
                <w:vertAlign w:val="baseline"/>
                <w:lang w:val="en-US" w:eastAsia="zh-CN" w:bidi="ar-SA"/>
              </w:rPr>
            </w:pPr>
          </w:p>
        </w:tc>
      </w:tr>
      <w:tr w14:paraId="3A9C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9FEAB3E">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2</w:t>
            </w:r>
          </w:p>
        </w:tc>
        <w:tc>
          <w:tcPr>
            <w:tcW w:w="2586" w:type="dxa"/>
            <w:vAlign w:val="center"/>
          </w:tcPr>
          <w:p w14:paraId="058F4528">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ascii="宋体" w:hAnsi="宋体" w:eastAsia="宋体" w:cs="宋体"/>
                <w:i w:val="0"/>
                <w:iCs w:val="0"/>
                <w:snapToGrid w:val="0"/>
                <w:color w:val="000000"/>
                <w:kern w:val="0"/>
                <w:sz w:val="21"/>
                <w:szCs w:val="21"/>
                <w:u w:val="none"/>
                <w:lang w:val="en-US" w:eastAsia="zh-CN" w:bidi="ar"/>
              </w:rPr>
              <w:t>病媒防制宣传教育</w:t>
            </w:r>
          </w:p>
        </w:tc>
        <w:tc>
          <w:tcPr>
            <w:tcW w:w="666" w:type="dxa"/>
            <w:vAlign w:val="center"/>
          </w:tcPr>
          <w:p w14:paraId="2108843F">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10</w:t>
            </w:r>
          </w:p>
        </w:tc>
        <w:tc>
          <w:tcPr>
            <w:tcW w:w="4612" w:type="dxa"/>
            <w:vAlign w:val="center"/>
          </w:tcPr>
          <w:p w14:paraId="54341D37">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宣传张贴率每降低5%扣1分，≤70%本项不得分。</w:t>
            </w:r>
          </w:p>
        </w:tc>
        <w:tc>
          <w:tcPr>
            <w:tcW w:w="741" w:type="dxa"/>
          </w:tcPr>
          <w:p w14:paraId="3AF4CD41">
            <w:pPr>
              <w:pStyle w:val="7"/>
              <w:widowControl w:val="0"/>
              <w:spacing w:before="179" w:line="290" w:lineRule="auto"/>
              <w:ind w:right="113"/>
              <w:jc w:val="center"/>
              <w:rPr>
                <w:rFonts w:hint="eastAsia" w:ascii="宋体" w:hAnsi="宋体" w:eastAsia="宋体" w:cs="宋体"/>
                <w:spacing w:val="-4"/>
                <w:sz w:val="21"/>
                <w:szCs w:val="21"/>
                <w:highlight w:val="none"/>
                <w:vertAlign w:val="baseline"/>
                <w:lang w:val="en-US" w:eastAsia="zh-CN"/>
              </w:rPr>
            </w:pPr>
          </w:p>
        </w:tc>
      </w:tr>
      <w:tr w14:paraId="21BF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64" w:type="dxa"/>
            <w:vAlign w:val="center"/>
          </w:tcPr>
          <w:p w14:paraId="51FBD699">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3</w:t>
            </w:r>
          </w:p>
        </w:tc>
        <w:tc>
          <w:tcPr>
            <w:tcW w:w="2586" w:type="dxa"/>
            <w:vAlign w:val="center"/>
          </w:tcPr>
          <w:p w14:paraId="70989669">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ascii="宋体" w:hAnsi="宋体" w:eastAsia="宋体" w:cs="宋体"/>
                <w:i w:val="0"/>
                <w:iCs w:val="0"/>
                <w:snapToGrid w:val="0"/>
                <w:color w:val="000000"/>
                <w:kern w:val="0"/>
                <w:sz w:val="21"/>
                <w:szCs w:val="21"/>
                <w:u w:val="none"/>
                <w:lang w:val="en-US" w:eastAsia="zh-CN" w:bidi="ar"/>
              </w:rPr>
              <w:t>公共区域蚊蝇消杀</w:t>
            </w:r>
          </w:p>
        </w:tc>
        <w:tc>
          <w:tcPr>
            <w:tcW w:w="666" w:type="dxa"/>
            <w:vAlign w:val="center"/>
          </w:tcPr>
          <w:p w14:paraId="7F5240E3">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10</w:t>
            </w:r>
          </w:p>
        </w:tc>
        <w:tc>
          <w:tcPr>
            <w:tcW w:w="4612" w:type="dxa"/>
            <w:vAlign w:val="center"/>
          </w:tcPr>
          <w:p w14:paraId="0BA602B3">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1.消杀缺少1轮扣5分，扣完为止。</w:t>
            </w:r>
          </w:p>
        </w:tc>
        <w:tc>
          <w:tcPr>
            <w:tcW w:w="741" w:type="dxa"/>
          </w:tcPr>
          <w:p w14:paraId="46615AC3">
            <w:pPr>
              <w:pStyle w:val="7"/>
              <w:widowControl w:val="0"/>
              <w:spacing w:before="179" w:line="290" w:lineRule="auto"/>
              <w:ind w:right="113"/>
              <w:jc w:val="center"/>
              <w:rPr>
                <w:rFonts w:hint="eastAsia" w:ascii="宋体" w:hAnsi="宋体" w:eastAsia="宋体" w:cs="宋体"/>
                <w:spacing w:val="-4"/>
                <w:sz w:val="21"/>
                <w:szCs w:val="21"/>
                <w:highlight w:val="none"/>
                <w:vertAlign w:val="baseline"/>
                <w:lang w:val="en-US" w:eastAsia="zh-CN"/>
              </w:rPr>
            </w:pPr>
          </w:p>
        </w:tc>
      </w:tr>
      <w:tr w14:paraId="594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512EB1DF">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4</w:t>
            </w:r>
          </w:p>
        </w:tc>
        <w:tc>
          <w:tcPr>
            <w:tcW w:w="2586" w:type="dxa"/>
            <w:vAlign w:val="center"/>
          </w:tcPr>
          <w:p w14:paraId="41E20686">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ascii="宋体" w:hAnsi="宋体" w:eastAsia="宋体" w:cs="宋体"/>
                <w:i w:val="0"/>
                <w:iCs w:val="0"/>
                <w:snapToGrid w:val="0"/>
                <w:color w:val="000000"/>
                <w:kern w:val="0"/>
                <w:sz w:val="21"/>
                <w:szCs w:val="21"/>
                <w:u w:val="none"/>
                <w:lang w:val="en-US" w:eastAsia="zh-CN" w:bidi="ar"/>
              </w:rPr>
              <w:t>蚊媒传染病受影响区域（疫点）蚊密度长效控制</w:t>
            </w:r>
          </w:p>
        </w:tc>
        <w:tc>
          <w:tcPr>
            <w:tcW w:w="666" w:type="dxa"/>
            <w:vAlign w:val="center"/>
          </w:tcPr>
          <w:p w14:paraId="41CC5C62">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5</w:t>
            </w:r>
          </w:p>
        </w:tc>
        <w:tc>
          <w:tcPr>
            <w:tcW w:w="4612" w:type="dxa"/>
            <w:vAlign w:val="center"/>
          </w:tcPr>
          <w:p w14:paraId="201BD6CA">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1.消杀缺少1轮扣5分。2.监测蚊密度发现1次未达标扣1分。扣完5分为止。</w:t>
            </w:r>
          </w:p>
        </w:tc>
        <w:tc>
          <w:tcPr>
            <w:tcW w:w="741" w:type="dxa"/>
          </w:tcPr>
          <w:p w14:paraId="4948B7BC">
            <w:pPr>
              <w:pStyle w:val="7"/>
              <w:widowControl w:val="0"/>
              <w:spacing w:before="179" w:line="290" w:lineRule="auto"/>
              <w:ind w:right="113"/>
              <w:jc w:val="center"/>
              <w:rPr>
                <w:rFonts w:hint="eastAsia" w:ascii="宋体" w:hAnsi="宋体" w:eastAsia="宋体" w:cs="宋体"/>
                <w:spacing w:val="-4"/>
                <w:sz w:val="21"/>
                <w:szCs w:val="21"/>
                <w:highlight w:val="none"/>
                <w:vertAlign w:val="baseline"/>
                <w:lang w:val="en-US" w:eastAsia="zh-CN"/>
              </w:rPr>
            </w:pPr>
          </w:p>
        </w:tc>
      </w:tr>
      <w:tr w14:paraId="4E28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177B7C4C">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5</w:t>
            </w:r>
          </w:p>
        </w:tc>
        <w:tc>
          <w:tcPr>
            <w:tcW w:w="2586" w:type="dxa"/>
            <w:vAlign w:val="center"/>
          </w:tcPr>
          <w:p w14:paraId="20682539">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ascii="宋体" w:hAnsi="宋体" w:eastAsia="宋体" w:cs="宋体"/>
                <w:i w:val="0"/>
                <w:iCs w:val="0"/>
                <w:snapToGrid w:val="0"/>
                <w:color w:val="000000"/>
                <w:kern w:val="0"/>
                <w:sz w:val="21"/>
                <w:szCs w:val="21"/>
                <w:u w:val="none"/>
                <w:lang w:val="en-US" w:eastAsia="zh-CN" w:bidi="ar"/>
              </w:rPr>
              <w:t>农贸市场、专业市场和七小单位四害控制</w:t>
            </w:r>
          </w:p>
        </w:tc>
        <w:tc>
          <w:tcPr>
            <w:tcW w:w="666" w:type="dxa"/>
            <w:vAlign w:val="center"/>
          </w:tcPr>
          <w:p w14:paraId="0AFA004D">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1</w:t>
            </w:r>
            <w:r>
              <w:rPr>
                <w:rFonts w:hint="eastAsia" w:cs="宋体"/>
                <w:spacing w:val="-4"/>
                <w:sz w:val="21"/>
                <w:szCs w:val="21"/>
                <w:highlight w:val="none"/>
                <w:vertAlign w:val="baseline"/>
                <w:lang w:val="en-US" w:eastAsia="zh-CN"/>
              </w:rPr>
              <w:t>0</w:t>
            </w:r>
          </w:p>
        </w:tc>
        <w:tc>
          <w:tcPr>
            <w:tcW w:w="4612" w:type="dxa"/>
            <w:vAlign w:val="center"/>
          </w:tcPr>
          <w:p w14:paraId="1E3E4D8A">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1，未按要求覆盖所有农贸市场、专业市场，七小单位（小饭店、小熟食店、小食品加工店；小浴池、小理发店、小歌舞厅、小旅店）未达5000家，本项不得分。2.消杀缺少1轮扣5分，扣完为止。</w:t>
            </w:r>
          </w:p>
        </w:tc>
        <w:tc>
          <w:tcPr>
            <w:tcW w:w="741" w:type="dxa"/>
          </w:tcPr>
          <w:p w14:paraId="1B7CE3B5">
            <w:pPr>
              <w:pStyle w:val="7"/>
              <w:widowControl w:val="0"/>
              <w:spacing w:before="179" w:line="290" w:lineRule="auto"/>
              <w:ind w:right="113"/>
              <w:jc w:val="center"/>
              <w:rPr>
                <w:rFonts w:hint="eastAsia" w:ascii="宋体" w:hAnsi="宋体" w:eastAsia="宋体" w:cs="宋体"/>
                <w:spacing w:val="-4"/>
                <w:sz w:val="21"/>
                <w:szCs w:val="21"/>
                <w:highlight w:val="none"/>
                <w:vertAlign w:val="baseline"/>
                <w:lang w:val="en-US" w:eastAsia="zh-CN"/>
              </w:rPr>
            </w:pPr>
          </w:p>
        </w:tc>
      </w:tr>
      <w:tr w14:paraId="686B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19842CDD">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7</w:t>
            </w:r>
          </w:p>
        </w:tc>
        <w:tc>
          <w:tcPr>
            <w:tcW w:w="2586" w:type="dxa"/>
            <w:vAlign w:val="center"/>
          </w:tcPr>
          <w:p w14:paraId="4645B4C8">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风险点位和区域排查</w:t>
            </w:r>
          </w:p>
        </w:tc>
        <w:tc>
          <w:tcPr>
            <w:tcW w:w="666" w:type="dxa"/>
            <w:vAlign w:val="center"/>
          </w:tcPr>
          <w:p w14:paraId="13B15C07">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5</w:t>
            </w:r>
          </w:p>
        </w:tc>
        <w:tc>
          <w:tcPr>
            <w:tcW w:w="4612" w:type="dxa"/>
            <w:vAlign w:val="center"/>
          </w:tcPr>
          <w:p w14:paraId="194E274E">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缺少1轮扣1分，扣完为止。</w:t>
            </w:r>
          </w:p>
        </w:tc>
        <w:tc>
          <w:tcPr>
            <w:tcW w:w="741" w:type="dxa"/>
          </w:tcPr>
          <w:p w14:paraId="129D3359">
            <w:pPr>
              <w:pStyle w:val="7"/>
              <w:widowControl w:val="0"/>
              <w:spacing w:before="179" w:line="290" w:lineRule="auto"/>
              <w:ind w:right="113"/>
              <w:jc w:val="center"/>
              <w:rPr>
                <w:rFonts w:hint="eastAsia" w:ascii="宋体" w:hAnsi="宋体" w:eastAsia="宋体" w:cs="宋体"/>
                <w:spacing w:val="-4"/>
                <w:sz w:val="21"/>
                <w:szCs w:val="21"/>
                <w:highlight w:val="none"/>
                <w:vertAlign w:val="baseline"/>
                <w:lang w:val="en-US" w:eastAsia="zh-CN"/>
              </w:rPr>
            </w:pPr>
          </w:p>
        </w:tc>
      </w:tr>
      <w:tr w14:paraId="2314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152EC56B">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8</w:t>
            </w:r>
          </w:p>
        </w:tc>
        <w:tc>
          <w:tcPr>
            <w:tcW w:w="2586" w:type="dxa"/>
            <w:vAlign w:val="center"/>
          </w:tcPr>
          <w:p w14:paraId="57081320">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游离蜱消杀</w:t>
            </w:r>
          </w:p>
        </w:tc>
        <w:tc>
          <w:tcPr>
            <w:tcW w:w="666" w:type="dxa"/>
            <w:vAlign w:val="center"/>
          </w:tcPr>
          <w:p w14:paraId="4EC42A31">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default" w:ascii="宋体" w:hAnsi="宋体" w:eastAsia="宋体" w:cs="宋体"/>
                <w:spacing w:val="-4"/>
                <w:sz w:val="21"/>
                <w:szCs w:val="21"/>
                <w:highlight w:val="none"/>
                <w:vertAlign w:val="baseline"/>
                <w:lang w:val="en-US" w:eastAsia="zh-CN"/>
              </w:rPr>
            </w:pPr>
            <w:r>
              <w:rPr>
                <w:rFonts w:hint="eastAsia" w:cs="宋体"/>
                <w:spacing w:val="-4"/>
                <w:sz w:val="21"/>
                <w:szCs w:val="21"/>
                <w:highlight w:val="none"/>
                <w:vertAlign w:val="baseline"/>
                <w:lang w:val="en-US" w:eastAsia="zh-CN"/>
              </w:rPr>
              <w:t>20</w:t>
            </w:r>
          </w:p>
        </w:tc>
        <w:tc>
          <w:tcPr>
            <w:tcW w:w="4612" w:type="dxa"/>
            <w:vAlign w:val="center"/>
          </w:tcPr>
          <w:p w14:paraId="546B0311">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1.未按要求覆盖辖区应消杀区域，用药选择未与街镇确定，本项不得分。2.消杀缺少1轮扣5分，扣完为止。</w:t>
            </w:r>
            <w:r>
              <w:rPr>
                <w:rFonts w:hint="eastAsia" w:ascii="宋体" w:hAnsi="宋体" w:eastAsia="宋体" w:cs="宋体"/>
                <w:i w:val="0"/>
                <w:iCs w:val="0"/>
                <w:snapToGrid w:val="0"/>
                <w:color w:val="000000"/>
                <w:kern w:val="0"/>
                <w:sz w:val="21"/>
                <w:szCs w:val="21"/>
                <w:highlight w:val="none"/>
                <w:u w:val="none"/>
                <w:lang w:val="en-US" w:eastAsia="zh-CN" w:bidi="ar"/>
              </w:rPr>
              <w:t>3.区疾控监测发现1处消杀7日内蜱密度未达标扣2分，扣完为止。</w:t>
            </w:r>
          </w:p>
        </w:tc>
        <w:tc>
          <w:tcPr>
            <w:tcW w:w="741" w:type="dxa"/>
          </w:tcPr>
          <w:p w14:paraId="15C14C69">
            <w:pPr>
              <w:pStyle w:val="7"/>
              <w:widowControl w:val="0"/>
              <w:spacing w:before="179" w:line="290" w:lineRule="auto"/>
              <w:ind w:right="113"/>
              <w:jc w:val="center"/>
              <w:rPr>
                <w:rFonts w:hint="eastAsia" w:ascii="宋体" w:hAnsi="宋体" w:eastAsia="宋体" w:cs="宋体"/>
                <w:spacing w:val="-4"/>
                <w:sz w:val="21"/>
                <w:szCs w:val="21"/>
                <w:highlight w:val="none"/>
                <w:vertAlign w:val="baseline"/>
                <w:lang w:val="en-US" w:eastAsia="zh-CN"/>
              </w:rPr>
            </w:pPr>
          </w:p>
        </w:tc>
      </w:tr>
      <w:tr w14:paraId="772A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4" w:type="dxa"/>
            <w:vAlign w:val="center"/>
          </w:tcPr>
          <w:p w14:paraId="78A3A72A">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9</w:t>
            </w:r>
          </w:p>
        </w:tc>
        <w:tc>
          <w:tcPr>
            <w:tcW w:w="2586" w:type="dxa"/>
            <w:vAlign w:val="center"/>
          </w:tcPr>
          <w:p w14:paraId="709F8890">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i w:val="0"/>
                <w:iCs w:val="0"/>
                <w:snapToGrid w:val="0"/>
                <w:color w:val="000000"/>
                <w:kern w:val="0"/>
                <w:sz w:val="21"/>
                <w:szCs w:val="21"/>
                <w:u w:val="none"/>
                <w:lang w:val="en-US" w:eastAsia="zh-CN" w:bidi="ar"/>
              </w:rPr>
            </w:pPr>
            <w:r>
              <w:rPr>
                <w:rFonts w:hint="eastAsia" w:cs="宋体"/>
                <w:i w:val="0"/>
                <w:iCs w:val="0"/>
                <w:snapToGrid w:val="0"/>
                <w:color w:val="000000"/>
                <w:kern w:val="0"/>
                <w:sz w:val="21"/>
                <w:szCs w:val="21"/>
                <w:u w:val="none"/>
                <w:lang w:val="en-US" w:eastAsia="zh-CN" w:bidi="ar"/>
              </w:rPr>
              <w:t>寄生</w:t>
            </w:r>
            <w:r>
              <w:rPr>
                <w:rFonts w:hint="eastAsia" w:ascii="宋体" w:hAnsi="宋体" w:eastAsia="宋体" w:cs="宋体"/>
                <w:i w:val="0"/>
                <w:iCs w:val="0"/>
                <w:snapToGrid w:val="0"/>
                <w:color w:val="000000"/>
                <w:kern w:val="0"/>
                <w:sz w:val="21"/>
                <w:szCs w:val="21"/>
                <w:u w:val="none"/>
                <w:lang w:val="en-US" w:eastAsia="zh-CN" w:bidi="ar"/>
              </w:rPr>
              <w:t>蜱消杀</w:t>
            </w:r>
          </w:p>
        </w:tc>
        <w:tc>
          <w:tcPr>
            <w:tcW w:w="666" w:type="dxa"/>
            <w:vAlign w:val="center"/>
          </w:tcPr>
          <w:p w14:paraId="06724905">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spacing w:val="-4"/>
                <w:sz w:val="21"/>
                <w:szCs w:val="21"/>
                <w:highlight w:val="none"/>
                <w:vertAlign w:val="baseline"/>
                <w:lang w:val="en-US" w:eastAsia="zh-CN"/>
              </w:rPr>
            </w:pPr>
            <w:r>
              <w:rPr>
                <w:rFonts w:hint="eastAsia" w:cs="宋体"/>
                <w:spacing w:val="-4"/>
                <w:sz w:val="21"/>
                <w:szCs w:val="21"/>
                <w:highlight w:val="none"/>
                <w:vertAlign w:val="baseline"/>
                <w:lang w:val="en-US" w:eastAsia="zh-CN"/>
              </w:rPr>
              <w:t>5</w:t>
            </w:r>
          </w:p>
        </w:tc>
        <w:tc>
          <w:tcPr>
            <w:tcW w:w="4612" w:type="dxa"/>
            <w:vAlign w:val="center"/>
          </w:tcPr>
          <w:p w14:paraId="4B2403EF">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1.消杀缺少1轮扣5分，扣完为止。</w:t>
            </w:r>
          </w:p>
        </w:tc>
        <w:tc>
          <w:tcPr>
            <w:tcW w:w="741" w:type="dxa"/>
          </w:tcPr>
          <w:p w14:paraId="07248BD0">
            <w:pPr>
              <w:pStyle w:val="7"/>
              <w:widowControl w:val="0"/>
              <w:spacing w:before="179" w:line="290" w:lineRule="auto"/>
              <w:ind w:right="113"/>
              <w:jc w:val="center"/>
              <w:rPr>
                <w:rFonts w:hint="eastAsia" w:ascii="宋体" w:hAnsi="宋体" w:eastAsia="宋体" w:cs="宋体"/>
                <w:spacing w:val="-4"/>
                <w:sz w:val="21"/>
                <w:szCs w:val="21"/>
                <w:highlight w:val="none"/>
                <w:vertAlign w:val="baseline"/>
                <w:lang w:val="en-US" w:eastAsia="zh-CN"/>
              </w:rPr>
            </w:pPr>
          </w:p>
        </w:tc>
      </w:tr>
      <w:tr w14:paraId="3C64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232F4811">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10</w:t>
            </w:r>
          </w:p>
        </w:tc>
        <w:tc>
          <w:tcPr>
            <w:tcW w:w="2586" w:type="dxa"/>
            <w:vAlign w:val="center"/>
          </w:tcPr>
          <w:p w14:paraId="3EFAAFA1">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质量控制</w:t>
            </w:r>
          </w:p>
        </w:tc>
        <w:tc>
          <w:tcPr>
            <w:tcW w:w="666" w:type="dxa"/>
            <w:vAlign w:val="center"/>
          </w:tcPr>
          <w:p w14:paraId="3A6B87CA">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default" w:ascii="宋体" w:hAnsi="宋体" w:eastAsia="宋体" w:cs="宋体"/>
                <w:spacing w:val="-4"/>
                <w:sz w:val="21"/>
                <w:szCs w:val="21"/>
                <w:highlight w:val="none"/>
                <w:vertAlign w:val="baseline"/>
                <w:lang w:val="en-US" w:eastAsia="zh-CN"/>
              </w:rPr>
            </w:pPr>
            <w:r>
              <w:rPr>
                <w:rFonts w:hint="eastAsia" w:cs="宋体"/>
                <w:spacing w:val="-4"/>
                <w:sz w:val="21"/>
                <w:szCs w:val="21"/>
                <w:highlight w:val="none"/>
                <w:vertAlign w:val="baseline"/>
                <w:lang w:val="en-US" w:eastAsia="zh-CN"/>
              </w:rPr>
              <w:t>20</w:t>
            </w:r>
          </w:p>
        </w:tc>
        <w:tc>
          <w:tcPr>
            <w:tcW w:w="4612" w:type="dxa"/>
            <w:vAlign w:val="center"/>
          </w:tcPr>
          <w:p w14:paraId="2CDD122A">
            <w:pPr>
              <w:keepNext w:val="0"/>
              <w:keepLines w:val="0"/>
              <w:pageBreakBefore w:val="0"/>
              <w:widowControl/>
              <w:numPr>
                <w:ilvl w:val="0"/>
                <w:numId w:val="3"/>
              </w:numPr>
              <w:suppressLineNumbers w:val="0"/>
              <w:kinsoku w:val="0"/>
              <w:wordWrap/>
              <w:overflowPunct/>
              <w:topLinePunct w:val="0"/>
              <w:autoSpaceDE w:val="0"/>
              <w:autoSpaceDN w:val="0"/>
              <w:bidi w:val="0"/>
              <w:adjustRightInd w:val="0"/>
              <w:snapToGrid w:val="0"/>
              <w:spacing w:line="320" w:lineRule="exact"/>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未按照要求开展侵害调查和效果评价，本项不得分。2.未按照要求上报资料，发现1次扣1分，扣完为止。3.佐证资料科学完整，无服务记录发现1处扣1分，无服务对象签字确认发现1处扣1分，扣完5分为止。4.核查消杀工作数据，面积、用药及施药方法等未达到项目要求，发现1处扣1分，扣完5分为止。5.区疾控中心随机现场抽查施药规范性和合理性（面积、药剂、用药浓度、施药方法等）发现1处未达标扣1分，扣完5分为止。</w:t>
            </w:r>
            <w:r>
              <w:rPr>
                <w:rFonts w:hint="eastAsia" w:ascii="宋体" w:hAnsi="宋体" w:eastAsia="宋体" w:cs="宋体"/>
                <w:i w:val="0"/>
                <w:iCs w:val="0"/>
                <w:snapToGrid w:val="0"/>
                <w:color w:val="000000"/>
                <w:kern w:val="0"/>
                <w:sz w:val="21"/>
                <w:szCs w:val="21"/>
                <w:highlight w:val="none"/>
                <w:u w:val="none"/>
                <w:lang w:val="en-US" w:eastAsia="zh-CN" w:bidi="ar"/>
              </w:rPr>
              <w:t>6.区疾控中心在病媒生物日常监测（不含蜱监测）中，发现1处密度未达标扣1分，</w:t>
            </w:r>
            <w:r>
              <w:rPr>
                <w:rFonts w:hint="default" w:ascii="宋体" w:hAnsi="宋体" w:eastAsia="宋体" w:cs="宋体"/>
                <w:i w:val="0"/>
                <w:iCs w:val="0"/>
                <w:snapToGrid w:val="0"/>
                <w:color w:val="000000"/>
                <w:kern w:val="0"/>
                <w:sz w:val="21"/>
                <w:szCs w:val="21"/>
                <w:highlight w:val="none"/>
                <w:u w:val="none"/>
                <w:lang w:val="en-US" w:eastAsia="zh-CN" w:bidi="ar"/>
              </w:rPr>
              <w:t>省市督查</w:t>
            </w:r>
            <w:r>
              <w:rPr>
                <w:rFonts w:hint="eastAsia" w:ascii="宋体" w:hAnsi="宋体" w:eastAsia="宋体" w:cs="宋体"/>
                <w:i w:val="0"/>
                <w:iCs w:val="0"/>
                <w:snapToGrid w:val="0"/>
                <w:color w:val="000000"/>
                <w:kern w:val="0"/>
                <w:sz w:val="21"/>
                <w:szCs w:val="21"/>
                <w:highlight w:val="none"/>
                <w:u w:val="none"/>
                <w:lang w:val="en-US" w:eastAsia="zh-CN" w:bidi="ar"/>
              </w:rPr>
              <w:t>中通报的成交供应商工作范围内工作未到位问题，1处扣1分。</w:t>
            </w:r>
          </w:p>
        </w:tc>
        <w:tc>
          <w:tcPr>
            <w:tcW w:w="741" w:type="dxa"/>
          </w:tcPr>
          <w:p w14:paraId="523E9F97">
            <w:pPr>
              <w:pStyle w:val="7"/>
              <w:widowControl w:val="0"/>
              <w:spacing w:before="179" w:line="290" w:lineRule="auto"/>
              <w:ind w:right="113"/>
              <w:jc w:val="center"/>
              <w:rPr>
                <w:rFonts w:hint="eastAsia" w:ascii="宋体" w:hAnsi="宋体" w:eastAsia="宋体" w:cs="宋体"/>
                <w:spacing w:val="-4"/>
                <w:sz w:val="21"/>
                <w:szCs w:val="21"/>
                <w:highlight w:val="none"/>
                <w:vertAlign w:val="baseline"/>
                <w:lang w:val="en-US" w:eastAsia="zh-CN"/>
              </w:rPr>
            </w:pPr>
          </w:p>
        </w:tc>
      </w:tr>
      <w:tr w14:paraId="39F2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gridSpan w:val="2"/>
            <w:vAlign w:val="center"/>
          </w:tcPr>
          <w:p w14:paraId="12E1E2D7">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合计</w:t>
            </w:r>
          </w:p>
        </w:tc>
        <w:tc>
          <w:tcPr>
            <w:tcW w:w="666" w:type="dxa"/>
            <w:vAlign w:val="center"/>
          </w:tcPr>
          <w:p w14:paraId="210F493A">
            <w:pPr>
              <w:pStyle w:val="7"/>
              <w:keepNext w:val="0"/>
              <w:keepLines w:val="0"/>
              <w:pageBreakBefore w:val="0"/>
              <w:widowControl w:val="0"/>
              <w:kinsoku w:val="0"/>
              <w:wordWrap/>
              <w:overflowPunct/>
              <w:topLinePunct w:val="0"/>
              <w:autoSpaceDE w:val="0"/>
              <w:autoSpaceDN w:val="0"/>
              <w:bidi w:val="0"/>
              <w:adjustRightInd w:val="0"/>
              <w:snapToGrid w:val="0"/>
              <w:spacing w:before="179" w:line="320" w:lineRule="exact"/>
              <w:ind w:right="113"/>
              <w:jc w:val="center"/>
              <w:rPr>
                <w:rFonts w:hint="default" w:ascii="宋体" w:hAnsi="宋体" w:eastAsia="宋体" w:cs="宋体"/>
                <w:spacing w:val="-4"/>
                <w:sz w:val="21"/>
                <w:szCs w:val="21"/>
                <w:highlight w:val="none"/>
                <w:vertAlign w:val="baseline"/>
                <w:lang w:val="en-US" w:eastAsia="zh-CN"/>
              </w:rPr>
            </w:pPr>
            <w:r>
              <w:rPr>
                <w:rFonts w:hint="eastAsia" w:ascii="宋体" w:hAnsi="宋体" w:eastAsia="宋体" w:cs="宋体"/>
                <w:spacing w:val="-4"/>
                <w:sz w:val="21"/>
                <w:szCs w:val="21"/>
                <w:highlight w:val="none"/>
                <w:vertAlign w:val="baseline"/>
                <w:lang w:val="en-US" w:eastAsia="zh-CN"/>
              </w:rPr>
              <w:t>100</w:t>
            </w:r>
          </w:p>
        </w:tc>
        <w:tc>
          <w:tcPr>
            <w:tcW w:w="4612" w:type="dxa"/>
            <w:vAlign w:val="center"/>
          </w:tcPr>
          <w:p w14:paraId="785F61E2">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41" w:type="dxa"/>
          </w:tcPr>
          <w:p w14:paraId="7EB3A837">
            <w:pPr>
              <w:pStyle w:val="7"/>
              <w:widowControl w:val="0"/>
              <w:spacing w:before="179" w:line="290" w:lineRule="auto"/>
              <w:ind w:right="113"/>
              <w:jc w:val="center"/>
              <w:rPr>
                <w:rFonts w:hint="default" w:ascii="宋体" w:hAnsi="宋体" w:eastAsia="宋体" w:cs="宋体"/>
                <w:spacing w:val="-4"/>
                <w:sz w:val="21"/>
                <w:szCs w:val="21"/>
                <w:highlight w:val="none"/>
                <w:vertAlign w:val="baseline"/>
                <w:lang w:val="en-US" w:eastAsia="zh-CN"/>
              </w:rPr>
            </w:pPr>
          </w:p>
        </w:tc>
      </w:tr>
    </w:tbl>
    <w:p w14:paraId="704AB63B">
      <w:pPr>
        <w:spacing w:line="360" w:lineRule="auto"/>
        <w:jc w:val="both"/>
        <w:outlineLvl w:val="0"/>
        <w:rPr>
          <w:rFonts w:asciiTheme="minorEastAsia" w:hAnsiTheme="minorEastAsia" w:eastAsiaTheme="minorEastAsia"/>
          <w:sz w:val="24"/>
          <w:highlight w:val="none"/>
        </w:rPr>
      </w:pPr>
    </w:p>
    <w:p w14:paraId="06D5DB70">
      <w:pP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br w:type="page"/>
      </w:r>
    </w:p>
    <w:p w14:paraId="745D5933">
      <w:pPr>
        <w:spacing w:line="360" w:lineRule="auto"/>
        <w:ind w:firstLine="420" w:firstLineChars="200"/>
        <w:rPr>
          <w:rFonts w:hint="eastAsia" w:ascii="宋体" w:hAnsi="宋体" w:eastAsia="宋体" w:cs="宋体"/>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yriad Pro">
    <w:altName w:val="Corbel"/>
    <w:panose1 w:val="020B0503030403020204"/>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17CF9"/>
    <w:multiLevelType w:val="singleLevel"/>
    <w:tmpl w:val="8FA17CF9"/>
    <w:lvl w:ilvl="0" w:tentative="0">
      <w:start w:val="4"/>
      <w:numFmt w:val="chineseCounting"/>
      <w:suff w:val="nothing"/>
      <w:lvlText w:val="%1、"/>
      <w:lvlJc w:val="left"/>
      <w:rPr>
        <w:rFonts w:hint="eastAsia"/>
      </w:rPr>
    </w:lvl>
  </w:abstractNum>
  <w:abstractNum w:abstractNumId="1">
    <w:nsid w:val="991A0CBF"/>
    <w:multiLevelType w:val="singleLevel"/>
    <w:tmpl w:val="991A0CBF"/>
    <w:lvl w:ilvl="0" w:tentative="0">
      <w:start w:val="1"/>
      <w:numFmt w:val="decimal"/>
      <w:lvlText w:val="%1."/>
      <w:lvlJc w:val="left"/>
      <w:pPr>
        <w:tabs>
          <w:tab w:val="left" w:pos="312"/>
        </w:tabs>
      </w:pPr>
    </w:lvl>
  </w:abstractNum>
  <w:abstractNum w:abstractNumId="2">
    <w:nsid w:val="F0C19009"/>
    <w:multiLevelType w:val="singleLevel"/>
    <w:tmpl w:val="F0C19009"/>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D6AE0"/>
    <w:rsid w:val="05D66F16"/>
    <w:rsid w:val="06AE6755"/>
    <w:rsid w:val="0A6A6125"/>
    <w:rsid w:val="0A7A10E4"/>
    <w:rsid w:val="0C6314A5"/>
    <w:rsid w:val="0D677034"/>
    <w:rsid w:val="0DA844CA"/>
    <w:rsid w:val="0ECA21FE"/>
    <w:rsid w:val="0F8D3BED"/>
    <w:rsid w:val="0FF83139"/>
    <w:rsid w:val="117A223A"/>
    <w:rsid w:val="117A2B04"/>
    <w:rsid w:val="157920DA"/>
    <w:rsid w:val="1A9E1C1F"/>
    <w:rsid w:val="1CB85FCA"/>
    <w:rsid w:val="1EB322BB"/>
    <w:rsid w:val="1EF70303"/>
    <w:rsid w:val="21D16DB1"/>
    <w:rsid w:val="232D773A"/>
    <w:rsid w:val="23C969A7"/>
    <w:rsid w:val="24AF4B7D"/>
    <w:rsid w:val="24B41A7A"/>
    <w:rsid w:val="24E24AB6"/>
    <w:rsid w:val="29667359"/>
    <w:rsid w:val="2B122FBC"/>
    <w:rsid w:val="303666FB"/>
    <w:rsid w:val="30DB3642"/>
    <w:rsid w:val="3186612F"/>
    <w:rsid w:val="32DF5AEB"/>
    <w:rsid w:val="32F74E7E"/>
    <w:rsid w:val="33CD7943"/>
    <w:rsid w:val="34A02D7F"/>
    <w:rsid w:val="37670F57"/>
    <w:rsid w:val="37B42473"/>
    <w:rsid w:val="39293048"/>
    <w:rsid w:val="394F129B"/>
    <w:rsid w:val="3A6D40AF"/>
    <w:rsid w:val="3ABA6CC2"/>
    <w:rsid w:val="3C7153B7"/>
    <w:rsid w:val="3D606BE3"/>
    <w:rsid w:val="3EDE0783"/>
    <w:rsid w:val="47FD2993"/>
    <w:rsid w:val="4847261C"/>
    <w:rsid w:val="4CAE1689"/>
    <w:rsid w:val="4D8A0C37"/>
    <w:rsid w:val="523305E6"/>
    <w:rsid w:val="530E6DAC"/>
    <w:rsid w:val="549701B3"/>
    <w:rsid w:val="54D523D1"/>
    <w:rsid w:val="57024506"/>
    <w:rsid w:val="58D66167"/>
    <w:rsid w:val="59094141"/>
    <w:rsid w:val="5D9D1B59"/>
    <w:rsid w:val="6653255C"/>
    <w:rsid w:val="667358D3"/>
    <w:rsid w:val="6BED19EC"/>
    <w:rsid w:val="6BF26C49"/>
    <w:rsid w:val="6C9349E3"/>
    <w:rsid w:val="6EEF2172"/>
    <w:rsid w:val="72BA1761"/>
    <w:rsid w:val="7644123B"/>
    <w:rsid w:val="773C2941"/>
    <w:rsid w:val="791E3AD5"/>
    <w:rsid w:val="7C321637"/>
    <w:rsid w:val="7F9055F5"/>
    <w:rsid w:val="7FE63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link w:val="42"/>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qFormat/>
    <w:uiPriority w:val="0"/>
    <w:pPr>
      <w:jc w:val="left"/>
    </w:pPr>
    <w:rPr>
      <w:rFonts w:ascii="Arial" w:hAnsi="Arial" w:eastAsia="黑体" w:cs="Arial"/>
    </w:rPr>
  </w:style>
  <w:style w:type="paragraph" w:styleId="7">
    <w:name w:val="Body Text"/>
    <w:basedOn w:val="1"/>
    <w:qFormat/>
    <w:uiPriority w:val="0"/>
    <w:pPr>
      <w:spacing w:after="120"/>
    </w:pPr>
    <w:rPr>
      <w:rFonts w:ascii="@微软简标宋" w:hAnsi="@微软简标宋" w:eastAsia="@微软简标宋" w:cs="@微软简标宋"/>
      <w:szCs w:val="24"/>
      <w:lang w:val="zh-CN"/>
    </w:rPr>
  </w:style>
  <w:style w:type="paragraph" w:styleId="8">
    <w:name w:val="Body Text Indent"/>
    <w:basedOn w:val="1"/>
    <w:qFormat/>
    <w:uiPriority w:val="0"/>
    <w:pPr>
      <w:ind w:firstLine="645"/>
    </w:pPr>
    <w:rPr>
      <w:rFonts w:ascii="楷体_GB2312" w:eastAsia="楷体_GB2312"/>
      <w:sz w:val="32"/>
    </w:rPr>
  </w:style>
  <w:style w:type="paragraph" w:styleId="9">
    <w:name w:val="Plain Text"/>
    <w:basedOn w:val="1"/>
    <w:qFormat/>
    <w:uiPriority w:val="99"/>
    <w:rPr>
      <w:rFonts w:ascii="宋体" w:hAnsi="Courier New" w:eastAsiaTheme="minorEastAsia" w:cstheme="minorBidi"/>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pPr>
    <w:rPr>
      <w:rFonts w:ascii="Calibri" w:hAnsi="Calibri"/>
      <w:szCs w:val="22"/>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7"/>
    <w:unhideWhenUsed/>
    <w:qFormat/>
    <w:uiPriority w:val="99"/>
    <w:pPr>
      <w:ind w:firstLine="420" w:firstLineChars="100"/>
    </w:pPr>
  </w:style>
  <w:style w:type="paragraph" w:styleId="16">
    <w:name w:val="Body Text First Indent 2"/>
    <w:basedOn w:val="8"/>
    <w:semiHidden/>
    <w:qFormat/>
    <w:uiPriority w:val="0"/>
    <w:pPr>
      <w:spacing w:after="120"/>
      <w:ind w:left="420" w:leftChars="200" w:firstLine="420" w:firstLineChars="200"/>
    </w:pPr>
    <w:rPr>
      <w:rFonts w:ascii="Times New Roman" w:hAnsi="Times New Roman" w:eastAsia="宋体"/>
      <w:sz w:val="21"/>
      <w:szCs w:val="24"/>
    </w:rPr>
  </w:style>
  <w:style w:type="table" w:styleId="18">
    <w:name w:val="Table Grid"/>
    <w:basedOn w:val="1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unhideWhenUsed/>
    <w:qFormat/>
    <w:uiPriority w:val="99"/>
    <w:rPr>
      <w:sz w:val="21"/>
      <w:szCs w:val="21"/>
    </w:rPr>
  </w:style>
  <w:style w:type="paragraph" w:customStyle="1" w:styleId="21">
    <w:name w:val="Default"/>
    <w:qFormat/>
    <w:uiPriority w:val="0"/>
    <w:pPr>
      <w:widowControl w:val="0"/>
      <w:autoSpaceDE w:val="0"/>
      <w:autoSpaceDN w:val="0"/>
      <w:adjustRightInd w:val="0"/>
    </w:pPr>
    <w:rPr>
      <w:rFonts w:ascii="Myriad Pro" w:hAnsi="Times New Roman" w:eastAsia="Myriad Pro" w:cs="Myriad Pro"/>
      <w:color w:val="000000"/>
      <w:sz w:val="24"/>
      <w:szCs w:val="24"/>
      <w:lang w:val="en-US" w:eastAsia="zh-CN" w:bidi="ar-SA"/>
    </w:rPr>
  </w:style>
  <w:style w:type="paragraph" w:customStyle="1" w:styleId="22">
    <w:name w:val="D&amp;L"/>
    <w:basedOn w:val="1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3">
    <w:name w:val="xl31"/>
    <w:basedOn w:val="1"/>
    <w:autoRedefine/>
    <w:qFormat/>
    <w:uiPriority w:val="0"/>
    <w:pPr>
      <w:widowControl/>
      <w:spacing w:before="100" w:beforeAutospacing="1" w:after="100" w:afterAutospacing="1"/>
      <w:jc w:val="center"/>
    </w:pPr>
    <w:rPr>
      <w:b/>
      <w:bCs/>
      <w:kern w:val="0"/>
      <w:sz w:val="28"/>
      <w:szCs w:val="28"/>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列出段落1"/>
    <w:basedOn w:val="1"/>
    <w:qFormat/>
    <w:uiPriority w:val="0"/>
    <w:pPr>
      <w:ind w:firstLine="420" w:firstLineChars="200"/>
    </w:pPr>
    <w:rPr>
      <w:rFonts w:ascii="Calibri" w:hAnsi="Calibri" w:eastAsia="宋体" w:cs="Times New Roman"/>
      <w:szCs w:val="22"/>
    </w:rPr>
  </w:style>
  <w:style w:type="paragraph" w:customStyle="1" w:styleId="26">
    <w:name w:val="Table Paragraph"/>
    <w:basedOn w:val="1"/>
    <w:qFormat/>
    <w:uiPriority w:val="1"/>
    <w:rPr>
      <w:rFonts w:ascii="宋体" w:hAnsi="宋体" w:eastAsia="宋体" w:cs="宋体"/>
      <w:lang w:val="zh-CN" w:bidi="zh-CN"/>
    </w:rPr>
  </w:style>
  <w:style w:type="paragraph" w:customStyle="1" w:styleId="27">
    <w:name w:val="UserStyle_0"/>
    <w:basedOn w:val="1"/>
    <w:next w:val="1"/>
    <w:qFormat/>
    <w:uiPriority w:val="99"/>
    <w:pPr>
      <w:widowControl/>
      <w:spacing w:after="120" w:line="480" w:lineRule="auto"/>
      <w:ind w:left="420" w:leftChars="200"/>
      <w:textAlignment w:val="baseline"/>
    </w:pPr>
    <w:rPr>
      <w:rFonts w:ascii="Calibri" w:hAnsi="Calibri" w:eastAsia="宋体" w:cs="Calibri"/>
    </w:rPr>
  </w:style>
  <w:style w:type="paragraph" w:customStyle="1" w:styleId="28">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character" w:customStyle="1" w:styleId="30">
    <w:name w:val="font91"/>
    <w:basedOn w:val="19"/>
    <w:qFormat/>
    <w:uiPriority w:val="0"/>
    <w:rPr>
      <w:rFonts w:hint="eastAsia" w:ascii="宋体" w:hAnsi="宋体" w:eastAsia="宋体" w:cs="宋体"/>
      <w:b/>
      <w:bCs/>
      <w:color w:val="000000"/>
      <w:sz w:val="20"/>
      <w:szCs w:val="20"/>
      <w:u w:val="none"/>
    </w:rPr>
  </w:style>
  <w:style w:type="character" w:customStyle="1" w:styleId="31">
    <w:name w:val="font12"/>
    <w:basedOn w:val="19"/>
    <w:qFormat/>
    <w:uiPriority w:val="0"/>
    <w:rPr>
      <w:rFonts w:hint="eastAsia" w:ascii="宋体" w:hAnsi="宋体" w:eastAsia="宋体" w:cs="宋体"/>
      <w:color w:val="000000"/>
      <w:sz w:val="20"/>
      <w:szCs w:val="20"/>
      <w:u w:val="none"/>
    </w:rPr>
  </w:style>
  <w:style w:type="character" w:customStyle="1" w:styleId="32">
    <w:name w:val="font51"/>
    <w:basedOn w:val="19"/>
    <w:qFormat/>
    <w:uiPriority w:val="0"/>
    <w:rPr>
      <w:rFonts w:hint="eastAsia" w:ascii="宋体" w:hAnsi="宋体" w:eastAsia="宋体" w:cs="宋体"/>
      <w:b/>
      <w:bCs/>
      <w:color w:val="000000"/>
      <w:sz w:val="20"/>
      <w:szCs w:val="20"/>
      <w:u w:val="none"/>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61"/>
    <w:basedOn w:val="19"/>
    <w:qFormat/>
    <w:uiPriority w:val="0"/>
    <w:rPr>
      <w:rFonts w:hint="eastAsia" w:ascii="宋体" w:hAnsi="宋体" w:eastAsia="宋体" w:cs="宋体"/>
      <w:b/>
      <w:bCs/>
      <w:color w:val="000000"/>
      <w:sz w:val="20"/>
      <w:szCs w:val="20"/>
      <w:u w:val="none"/>
    </w:rPr>
  </w:style>
  <w:style w:type="character" w:customStyle="1" w:styleId="35">
    <w:name w:val="font81"/>
    <w:basedOn w:val="19"/>
    <w:qFormat/>
    <w:uiPriority w:val="0"/>
    <w:rPr>
      <w:rFonts w:hint="eastAsia" w:ascii="宋体" w:hAnsi="宋体" w:eastAsia="宋体" w:cs="宋体"/>
      <w:color w:val="4874CB"/>
      <w:sz w:val="20"/>
      <w:szCs w:val="20"/>
      <w:u w:val="none"/>
    </w:rPr>
  </w:style>
  <w:style w:type="character" w:customStyle="1" w:styleId="36">
    <w:name w:val="font31"/>
    <w:basedOn w:val="19"/>
    <w:qFormat/>
    <w:uiPriority w:val="0"/>
    <w:rPr>
      <w:rFonts w:hint="eastAsia" w:ascii="宋体" w:hAnsi="宋体" w:eastAsia="宋体" w:cs="宋体"/>
      <w:color w:val="000000"/>
      <w:sz w:val="20"/>
      <w:szCs w:val="20"/>
      <w:u w:val="none"/>
    </w:rPr>
  </w:style>
  <w:style w:type="character" w:customStyle="1" w:styleId="37">
    <w:name w:val="font41"/>
    <w:basedOn w:val="19"/>
    <w:qFormat/>
    <w:uiPriority w:val="0"/>
    <w:rPr>
      <w:rFonts w:hint="eastAsia" w:ascii="宋体" w:hAnsi="宋体" w:eastAsia="宋体" w:cs="宋体"/>
      <w:color w:val="000000"/>
      <w:sz w:val="20"/>
      <w:szCs w:val="20"/>
      <w:u w:val="none"/>
    </w:rPr>
  </w:style>
  <w:style w:type="character" w:customStyle="1" w:styleId="38">
    <w:name w:val="font101"/>
    <w:basedOn w:val="19"/>
    <w:qFormat/>
    <w:uiPriority w:val="0"/>
    <w:rPr>
      <w:rFonts w:hint="eastAsia" w:ascii="宋体" w:hAnsi="宋体" w:eastAsia="宋体" w:cs="宋体"/>
      <w:b/>
      <w:bCs/>
      <w:color w:val="000000"/>
      <w:sz w:val="20"/>
      <w:szCs w:val="20"/>
      <w:u w:val="none"/>
    </w:rPr>
  </w:style>
  <w:style w:type="character" w:customStyle="1" w:styleId="39">
    <w:name w:val="font111"/>
    <w:basedOn w:val="19"/>
    <w:qFormat/>
    <w:uiPriority w:val="0"/>
    <w:rPr>
      <w:rFonts w:hint="eastAsia" w:ascii="宋体" w:hAnsi="宋体" w:eastAsia="宋体" w:cs="宋体"/>
      <w:b/>
      <w:bCs/>
      <w:color w:val="000000"/>
      <w:sz w:val="20"/>
      <w:szCs w:val="20"/>
      <w:u w:val="none"/>
    </w:rPr>
  </w:style>
  <w:style w:type="character" w:customStyle="1" w:styleId="40">
    <w:name w:val="font11"/>
    <w:basedOn w:val="19"/>
    <w:qFormat/>
    <w:uiPriority w:val="0"/>
    <w:rPr>
      <w:rFonts w:hint="eastAsia" w:ascii="宋体" w:hAnsi="宋体" w:eastAsia="宋体" w:cs="宋体"/>
      <w:color w:val="000000"/>
      <w:sz w:val="24"/>
      <w:szCs w:val="24"/>
      <w:u w:val="none"/>
    </w:rPr>
  </w:style>
  <w:style w:type="character" w:customStyle="1" w:styleId="41">
    <w:name w:val="font71"/>
    <w:basedOn w:val="19"/>
    <w:qFormat/>
    <w:uiPriority w:val="0"/>
    <w:rPr>
      <w:rFonts w:ascii="宋体" w:hAnsi="宋体" w:eastAsia="宋体" w:cs="宋体"/>
      <w:color w:val="000000"/>
      <w:sz w:val="24"/>
      <w:szCs w:val="24"/>
      <w:u w:val="none"/>
    </w:rPr>
  </w:style>
  <w:style w:type="character" w:customStyle="1" w:styleId="42">
    <w:name w:val="正文缩进 Char"/>
    <w:link w:val="5"/>
    <w:qFormat/>
    <w:uiPriority w:val="0"/>
    <w:rPr>
      <w:rFonts w:ascii="宋体"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1397</Words>
  <Characters>1454</Characters>
  <Lines>0</Lines>
  <Paragraphs>0</Paragraphs>
  <TotalTime>0</TotalTime>
  <ScaleCrop>false</ScaleCrop>
  <LinksUpToDate>false</LinksUpToDate>
  <CharactersWithSpaces>1456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2024-11-28T06:01:00Z</dcterms:created>
  <dc:creator>Administrator</dc:creator>
  <cp:lastModifiedBy>张靓</cp:lastModifiedBy>
  <cp:lastPrinted>2025-07-14T08:46:00Z</cp:lastPrinted>
  <dcterms:modified xsi:type="dcterms:W3CDTF">2025-10-27T02:57:41Z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B858EDD66BCB4E1A84B378A37065ABF2_12</vt:lpwstr>
  </property>
  <property fmtid="{D5CDD505-2E9C-101B-9397-08002B2CF9AE}" pid="4" name="KSOTemplateDocerSaveRecord">
    <vt:lpwstr>eyJoZGlkIjoiN2IwMGExZDRiNGM5NTQ2ODk3MjBkOGYxYzIzZmRkMzIiLCJ1c2VySWQiOiIxNjg3NDE2OTYwIn0=</vt:lpwstr>
  </property>
</Properties>
</file>