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6D7687">
      <w:pPr>
        <w:jc w:val="center"/>
        <w:rPr>
          <w:rFonts w:ascii="宋体" w:hAnsi="宋体"/>
        </w:rPr>
      </w:pPr>
      <w:r>
        <w:rPr>
          <w:rFonts w:hint="eastAsia" w:ascii="宋体" w:hAnsi="宋体"/>
        </w:rPr>
        <w:t xml:space="preserve"> </w:t>
      </w:r>
    </w:p>
    <w:p w14:paraId="066A6D92">
      <w:pPr>
        <w:pStyle w:val="24"/>
        <w:spacing w:line="360" w:lineRule="auto"/>
        <w:ind w:left="4560" w:leftChars="343" w:hanging="3600" w:hangingChars="500"/>
        <w:rPr>
          <w:rFonts w:ascii="方正黑体_GBK" w:hAnsi="方正黑体_GBK" w:eastAsia="方正黑体_GBK" w:cs="方正黑体_GBK"/>
          <w:bCs/>
          <w:sz w:val="72"/>
          <w:szCs w:val="72"/>
        </w:rPr>
      </w:pPr>
    </w:p>
    <w:p w14:paraId="31DD9A38">
      <w:pPr>
        <w:pStyle w:val="24"/>
        <w:spacing w:line="240" w:lineRule="auto"/>
        <w:ind w:left="0" w:leftChars="0" w:firstLine="0" w:firstLineChars="0"/>
        <w:jc w:val="center"/>
        <w:rPr>
          <w:rFonts w:hint="eastAsia" w:ascii="方正黑体_GBK" w:hAnsi="方正黑体_GBK" w:eastAsia="方正黑体_GBK" w:cs="方正黑体_GBK"/>
          <w:bCs/>
          <w:sz w:val="72"/>
          <w:szCs w:val="72"/>
          <w:highlight w:val="none"/>
        </w:rPr>
      </w:pPr>
      <w:r>
        <w:rPr>
          <w:rFonts w:hint="eastAsia" w:ascii="方正黑体_GBK" w:hAnsi="方正黑体_GBK" w:eastAsia="方正黑体_GBK" w:cs="方正黑体_GBK"/>
          <w:bCs/>
          <w:sz w:val="72"/>
          <w:szCs w:val="72"/>
          <w:highlight w:val="none"/>
          <w:lang w:eastAsia="zh-CN"/>
        </w:rPr>
        <w:t>跳磴镇病媒生物防制</w:t>
      </w:r>
      <w:r>
        <w:rPr>
          <w:rFonts w:hint="eastAsia" w:ascii="方正黑体_GBK" w:hAnsi="方正黑体_GBK" w:eastAsia="方正黑体_GBK" w:cs="方正黑体_GBK"/>
          <w:bCs/>
          <w:sz w:val="72"/>
          <w:szCs w:val="72"/>
          <w:highlight w:val="none"/>
        </w:rPr>
        <w:t>项目</w:t>
      </w:r>
    </w:p>
    <w:p w14:paraId="6B60F85B">
      <w:pPr>
        <w:pStyle w:val="24"/>
        <w:spacing w:line="240" w:lineRule="auto"/>
        <w:ind w:left="0" w:leftChars="0" w:firstLine="0" w:firstLineChars="0"/>
        <w:jc w:val="center"/>
        <w:rPr>
          <w:rFonts w:ascii="方正黑体_GBK" w:hAnsi="方正黑体_GBK" w:eastAsia="方正黑体_GBK" w:cs="方正黑体_GBK"/>
          <w:bCs/>
          <w:sz w:val="72"/>
          <w:szCs w:val="72"/>
          <w:highlight w:val="none"/>
        </w:rPr>
      </w:pPr>
      <w:r>
        <w:rPr>
          <w:rFonts w:hint="eastAsia" w:ascii="方正黑体_GBK" w:hAnsi="方正黑体_GBK" w:eastAsia="方正黑体_GBK" w:cs="方正黑体_GBK"/>
          <w:bCs/>
          <w:sz w:val="72"/>
          <w:szCs w:val="72"/>
          <w:highlight w:val="none"/>
        </w:rPr>
        <w:t>询价采购文件</w:t>
      </w:r>
    </w:p>
    <w:p w14:paraId="7D5935FC">
      <w:pPr>
        <w:pStyle w:val="24"/>
        <w:spacing w:line="240" w:lineRule="auto"/>
        <w:ind w:left="3760" w:leftChars="343" w:hanging="2800" w:hangingChars="500"/>
        <w:jc w:val="center"/>
        <w:rPr>
          <w:rFonts w:hint="eastAsia" w:ascii="方正黑体_GBK" w:hAnsi="方正黑体_GBK" w:eastAsia="方正黑体_GBK" w:cs="方正黑体_GBK"/>
          <w:bCs/>
          <w:sz w:val="56"/>
          <w:szCs w:val="56"/>
        </w:rPr>
      </w:pPr>
    </w:p>
    <w:p w14:paraId="61697E21">
      <w:pPr>
        <w:pStyle w:val="24"/>
        <w:spacing w:line="240" w:lineRule="auto"/>
        <w:ind w:left="3760" w:leftChars="343" w:hanging="2800" w:hangingChars="500"/>
        <w:jc w:val="center"/>
        <w:rPr>
          <w:rFonts w:hint="eastAsia" w:ascii="方正黑体_GBK" w:hAnsi="方正黑体_GBK" w:eastAsia="方正黑体_GBK" w:cs="方正黑体_GBK"/>
          <w:bCs/>
          <w:sz w:val="56"/>
          <w:szCs w:val="56"/>
        </w:rPr>
      </w:pPr>
    </w:p>
    <w:p w14:paraId="7278FFAA">
      <w:pPr>
        <w:pStyle w:val="24"/>
        <w:spacing w:line="240" w:lineRule="auto"/>
        <w:ind w:left="0" w:leftChars="0" w:firstLine="0" w:firstLineChars="0"/>
        <w:jc w:val="center"/>
        <w:rPr>
          <w:rFonts w:ascii="方正黑体_GBK" w:hAnsi="方正黑体_GBK" w:eastAsia="方正黑体_GBK" w:cs="方正黑体_GBK"/>
          <w:bCs/>
          <w:sz w:val="60"/>
          <w:szCs w:val="60"/>
        </w:rPr>
      </w:pPr>
      <w:r>
        <w:rPr>
          <w:rFonts w:hint="eastAsia" w:ascii="方正黑体_GBK" w:hAnsi="方正黑体_GBK" w:eastAsia="方正黑体_GBK" w:cs="方正黑体_GBK"/>
          <w:bCs/>
          <w:sz w:val="56"/>
          <w:szCs w:val="56"/>
        </w:rPr>
        <w:t>（综合评分法）</w:t>
      </w:r>
    </w:p>
    <w:p w14:paraId="77B6E858">
      <w:pPr>
        <w:pStyle w:val="24"/>
        <w:spacing w:line="360" w:lineRule="auto"/>
        <w:ind w:left="560"/>
        <w:jc w:val="center"/>
        <w:rPr>
          <w:rFonts w:ascii="方正黑体_GBK" w:hAnsi="方正黑体_GBK" w:eastAsia="方正黑体_GBK" w:cs="方正黑体_GBK"/>
          <w:bCs/>
          <w:sz w:val="56"/>
          <w:szCs w:val="56"/>
        </w:rPr>
      </w:pPr>
    </w:p>
    <w:p w14:paraId="782659E6">
      <w:pPr>
        <w:pStyle w:val="24"/>
        <w:spacing w:line="360" w:lineRule="auto"/>
        <w:ind w:left="560"/>
        <w:jc w:val="center"/>
        <w:rPr>
          <w:rFonts w:ascii="方正黑体_GBK" w:hAnsi="方正黑体_GBK" w:eastAsia="方正黑体_GBK" w:cs="方正黑体_GBK"/>
          <w:bCs/>
          <w:sz w:val="56"/>
          <w:szCs w:val="56"/>
        </w:rPr>
      </w:pPr>
    </w:p>
    <w:p w14:paraId="5D7BFDB9">
      <w:pPr>
        <w:pStyle w:val="24"/>
        <w:spacing w:line="360" w:lineRule="auto"/>
        <w:ind w:left="0" w:leftChars="0" w:firstLine="0" w:firstLineChars="0"/>
        <w:jc w:val="both"/>
        <w:rPr>
          <w:rFonts w:ascii="方正黑体_GBK" w:hAnsi="方正黑体_GBK" w:eastAsia="方正黑体_GBK" w:cs="方正黑体_GBK"/>
          <w:bCs/>
          <w:sz w:val="56"/>
          <w:szCs w:val="56"/>
        </w:rPr>
      </w:pPr>
    </w:p>
    <w:p w14:paraId="5BF1FFA6">
      <w:pPr>
        <w:pStyle w:val="24"/>
        <w:spacing w:line="360" w:lineRule="auto"/>
        <w:ind w:leftChars="343" w:firstLine="1200" w:firstLineChars="300"/>
        <w:jc w:val="left"/>
        <w:rPr>
          <w:rFonts w:ascii="方正黑体_GBK" w:hAnsi="方正黑体_GBK" w:eastAsia="方正黑体_GBK" w:cs="方正黑体_GBK"/>
          <w:bCs/>
          <w:sz w:val="40"/>
          <w:szCs w:val="40"/>
        </w:rPr>
      </w:pPr>
      <w:r>
        <w:rPr>
          <w:rFonts w:hint="eastAsia" w:ascii="方正黑体_GBK" w:hAnsi="方正黑体_GBK" w:eastAsia="方正黑体_GBK" w:cs="方正黑体_GBK"/>
          <w:bCs/>
          <w:sz w:val="40"/>
          <w:szCs w:val="40"/>
        </w:rPr>
        <w:t>采 购 人：重庆市大渡口区跳磴镇</w:t>
      </w:r>
    </w:p>
    <w:p w14:paraId="3932DAAF">
      <w:pPr>
        <w:pStyle w:val="24"/>
        <w:spacing w:line="360" w:lineRule="auto"/>
        <w:ind w:leftChars="343" w:firstLine="1200" w:firstLineChars="300"/>
        <w:jc w:val="left"/>
        <w:rPr>
          <w:rFonts w:ascii="方正黑体_GBK" w:hAnsi="方正黑体_GBK" w:eastAsia="方正黑体_GBK" w:cs="方正黑体_GBK"/>
          <w:bCs/>
          <w:sz w:val="40"/>
          <w:szCs w:val="40"/>
          <w:highlight w:val="yellow"/>
        </w:rPr>
      </w:pPr>
      <w:r>
        <w:rPr>
          <w:rFonts w:hint="eastAsia" w:ascii="方正黑体_GBK" w:hAnsi="方正黑体_GBK" w:eastAsia="方正黑体_GBK" w:cs="方正黑体_GBK"/>
          <w:bCs/>
          <w:sz w:val="40"/>
          <w:szCs w:val="40"/>
        </w:rPr>
        <w:t>采购时间</w:t>
      </w:r>
      <w:r>
        <w:rPr>
          <w:rFonts w:hint="eastAsia" w:ascii="方正黑体_GBK" w:hAnsi="方正黑体_GBK" w:eastAsia="方正黑体_GBK" w:cs="方正黑体_GBK"/>
          <w:bCs/>
          <w:sz w:val="40"/>
          <w:szCs w:val="40"/>
          <w:highlight w:val="none"/>
        </w:rPr>
        <w:t>：202</w:t>
      </w:r>
      <w:r>
        <w:rPr>
          <w:rFonts w:hint="eastAsia" w:ascii="方正黑体_GBK" w:hAnsi="方正黑体_GBK" w:eastAsia="方正黑体_GBK" w:cs="方正黑体_GBK"/>
          <w:bCs/>
          <w:sz w:val="40"/>
          <w:szCs w:val="40"/>
          <w:highlight w:val="none"/>
          <w:lang w:val="en-US" w:eastAsia="zh-CN"/>
        </w:rPr>
        <w:t>5</w:t>
      </w:r>
      <w:r>
        <w:rPr>
          <w:rFonts w:hint="eastAsia" w:ascii="方正黑体_GBK" w:hAnsi="方正黑体_GBK" w:eastAsia="方正黑体_GBK" w:cs="方正黑体_GBK"/>
          <w:bCs/>
          <w:sz w:val="40"/>
          <w:szCs w:val="40"/>
          <w:highlight w:val="none"/>
        </w:rPr>
        <w:t>年</w:t>
      </w:r>
      <w:r>
        <w:rPr>
          <w:rFonts w:hint="eastAsia" w:ascii="方正黑体_GBK" w:hAnsi="方正黑体_GBK" w:eastAsia="方正黑体_GBK" w:cs="方正黑体_GBK"/>
          <w:bCs/>
          <w:sz w:val="40"/>
          <w:szCs w:val="40"/>
          <w:highlight w:val="none"/>
          <w:lang w:val="en-US" w:eastAsia="zh-CN"/>
        </w:rPr>
        <w:t>10</w:t>
      </w:r>
      <w:r>
        <w:rPr>
          <w:rFonts w:hint="eastAsia" w:ascii="方正黑体_GBK" w:hAnsi="方正黑体_GBK" w:eastAsia="方正黑体_GBK" w:cs="方正黑体_GBK"/>
          <w:bCs/>
          <w:sz w:val="40"/>
          <w:szCs w:val="40"/>
          <w:highlight w:val="none"/>
        </w:rPr>
        <w:t>月</w:t>
      </w:r>
    </w:p>
    <w:p w14:paraId="3335116A">
      <w:pPr>
        <w:jc w:val="both"/>
        <w:outlineLvl w:val="0"/>
        <w:rPr>
          <w:rFonts w:ascii="黑体" w:hAnsi="黑体" w:eastAsia="黑体"/>
          <w:b/>
          <w:bCs/>
          <w:spacing w:val="80"/>
          <w:sz w:val="44"/>
          <w:szCs w:val="44"/>
        </w:rPr>
      </w:pPr>
    </w:p>
    <w:p w14:paraId="1B66C82C">
      <w:pPr>
        <w:pStyle w:val="24"/>
        <w:spacing w:line="240" w:lineRule="auto"/>
        <w:ind w:left="3019" w:leftChars="153" w:hanging="2591" w:hangingChars="589"/>
        <w:jc w:val="center"/>
        <w:rPr>
          <w:rFonts w:hint="eastAsia" w:ascii="方正小标宋_GBK" w:hAnsi="方正黑体_GBK" w:eastAsia="方正小标宋_GBK" w:cs="方正黑体_GBK"/>
          <w:bCs/>
          <w:szCs w:val="44"/>
        </w:rPr>
      </w:pPr>
    </w:p>
    <w:p w14:paraId="0B49BF5C">
      <w:pPr>
        <w:pStyle w:val="24"/>
        <w:spacing w:line="240" w:lineRule="auto"/>
        <w:ind w:left="3019" w:leftChars="153" w:hanging="2591" w:hangingChars="589"/>
        <w:jc w:val="center"/>
        <w:rPr>
          <w:rFonts w:hint="eastAsia" w:ascii="方正小标宋_GBK" w:hAnsi="方正黑体_GBK" w:eastAsia="方正小标宋_GBK" w:cs="方正黑体_GBK"/>
          <w:bCs/>
          <w:szCs w:val="44"/>
        </w:rPr>
      </w:pPr>
    </w:p>
    <w:p w14:paraId="315BD037">
      <w:pPr>
        <w:pStyle w:val="24"/>
        <w:spacing w:line="240" w:lineRule="auto"/>
        <w:ind w:left="3019" w:leftChars="153" w:hanging="2591" w:hangingChars="589"/>
        <w:jc w:val="center"/>
        <w:rPr>
          <w:rFonts w:ascii="方正小标宋_GBK" w:hAnsi="方正黑体_GBK" w:eastAsia="方正小标宋_GBK" w:cs="方正黑体_GBK"/>
          <w:bCs/>
          <w:szCs w:val="44"/>
        </w:rPr>
      </w:pPr>
      <w:r>
        <w:rPr>
          <w:rFonts w:hint="eastAsia" w:ascii="方正小标宋_GBK" w:hAnsi="方正黑体_GBK" w:eastAsia="方正小标宋_GBK" w:cs="方正黑体_GBK"/>
          <w:bCs/>
          <w:szCs w:val="44"/>
        </w:rPr>
        <w:t>跳磴镇病媒生物防制项目询价采购邀请</w:t>
      </w:r>
    </w:p>
    <w:p w14:paraId="07B2F3BB">
      <w:pPr>
        <w:pStyle w:val="24"/>
        <w:spacing w:line="240" w:lineRule="auto"/>
        <w:ind w:left="3160" w:leftChars="343" w:hanging="2200" w:hangingChars="500"/>
        <w:jc w:val="center"/>
        <w:rPr>
          <w:rFonts w:ascii="方正小标宋_GBK" w:hAnsi="方正黑体_GBK" w:eastAsia="方正小标宋_GBK" w:cs="方正黑体_GBK"/>
          <w:bCs/>
          <w:szCs w:val="44"/>
        </w:rPr>
      </w:pPr>
    </w:p>
    <w:p w14:paraId="024F6662">
      <w:pPr>
        <w:snapToGrid w:val="0"/>
        <w:ind w:firstLine="640" w:firstLineChars="200"/>
        <w:rPr>
          <w:rFonts w:ascii="方正仿宋_GBK" w:hAnsi="宋体" w:eastAsia="方正仿宋_GBK"/>
          <w:sz w:val="32"/>
          <w:szCs w:val="32"/>
        </w:rPr>
      </w:pPr>
      <w:r>
        <w:rPr>
          <w:rFonts w:hint="eastAsia" w:ascii="方正仿宋_GBK" w:hAnsi="宋体" w:eastAsia="方正仿宋_GBK"/>
          <w:sz w:val="32"/>
          <w:szCs w:val="32"/>
        </w:rPr>
        <w:t>大渡口区跳磴镇人民政府</w:t>
      </w:r>
      <w:r>
        <w:rPr>
          <w:rFonts w:hint="eastAsia" w:ascii="方正仿宋_GBK" w:hAnsi="宋体" w:eastAsia="方正仿宋_GBK"/>
          <w:sz w:val="32"/>
          <w:szCs w:val="32"/>
          <w:highlight w:val="none"/>
        </w:rPr>
        <w:t>对跳磴镇病媒生物防制</w:t>
      </w:r>
      <w:r>
        <w:rPr>
          <w:rFonts w:hint="eastAsia" w:ascii="方正仿宋_GBK" w:hAnsi="宋体" w:eastAsia="方正仿宋_GBK"/>
          <w:sz w:val="32"/>
          <w:szCs w:val="32"/>
        </w:rPr>
        <w:t>项目采用网上询价方式进行采购，欢迎符合资格要求并有供货能力的供应商参与询价。</w:t>
      </w:r>
    </w:p>
    <w:p w14:paraId="3D6B4838">
      <w:pPr>
        <w:pStyle w:val="4"/>
        <w:spacing w:before="0" w:after="0" w:line="240" w:lineRule="auto"/>
        <w:ind w:firstLine="640" w:firstLineChars="200"/>
        <w:rPr>
          <w:rFonts w:ascii="方正黑体_GBK" w:hAnsi="宋体" w:eastAsia="方正黑体_GBK" w:cs="宋体"/>
          <w:b w:val="0"/>
          <w:szCs w:val="32"/>
        </w:rPr>
      </w:pPr>
      <w:bookmarkStart w:id="0" w:name="_Toc12808"/>
      <w:bookmarkStart w:id="1" w:name="_Toc317775175"/>
      <w:bookmarkStart w:id="2" w:name="_Toc7625"/>
      <w:bookmarkStart w:id="3" w:name="_Toc3463"/>
      <w:bookmarkStart w:id="4" w:name="_Toc313893526"/>
      <w:bookmarkStart w:id="5" w:name="_Toc18881"/>
      <w:bookmarkStart w:id="6" w:name="_Toc26820"/>
      <w:bookmarkStart w:id="7" w:name="_Toc25458"/>
      <w:bookmarkStart w:id="8" w:name="_Toc18159"/>
      <w:r>
        <w:rPr>
          <w:rFonts w:hint="eastAsia" w:ascii="方正黑体_GBK" w:hAnsi="宋体" w:eastAsia="方正黑体_GBK" w:cs="宋体"/>
          <w:b w:val="0"/>
          <w:szCs w:val="32"/>
        </w:rPr>
        <w:t>一、采购内容</w:t>
      </w:r>
      <w:bookmarkEnd w:id="0"/>
      <w:bookmarkEnd w:id="1"/>
      <w:bookmarkEnd w:id="2"/>
      <w:bookmarkEnd w:id="3"/>
      <w:bookmarkEnd w:id="4"/>
      <w:bookmarkEnd w:id="5"/>
      <w:bookmarkEnd w:id="6"/>
      <w:bookmarkEnd w:id="7"/>
      <w:bookmarkEnd w:id="8"/>
    </w:p>
    <w:tbl>
      <w:tblPr>
        <w:tblStyle w:val="58"/>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602"/>
        <w:gridCol w:w="1530"/>
        <w:gridCol w:w="4574"/>
      </w:tblGrid>
      <w:tr w14:paraId="2EE1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111" w:type="dxa"/>
            <w:tcBorders>
              <w:top w:val="single" w:color="auto" w:sz="4" w:space="0"/>
              <w:left w:val="single" w:color="auto" w:sz="4" w:space="0"/>
              <w:right w:val="single" w:color="auto" w:sz="4" w:space="0"/>
            </w:tcBorders>
            <w:vAlign w:val="center"/>
          </w:tcPr>
          <w:p w14:paraId="419AB490">
            <w:pPr>
              <w:widowControl/>
              <w:jc w:val="center"/>
              <w:rPr>
                <w:rFonts w:ascii="宋体" w:hAnsi="宋体" w:cs="宋体"/>
                <w:b/>
                <w:bCs/>
                <w:kern w:val="0"/>
                <w:sz w:val="32"/>
                <w:szCs w:val="32"/>
                <w:highlight w:val="none"/>
              </w:rPr>
            </w:pPr>
            <w:r>
              <w:rPr>
                <w:rFonts w:hint="eastAsia" w:ascii="宋体" w:hAnsi="宋体" w:cs="宋体"/>
                <w:b/>
                <w:bCs/>
                <w:kern w:val="0"/>
                <w:sz w:val="32"/>
                <w:szCs w:val="32"/>
                <w:highlight w:val="none"/>
              </w:rPr>
              <w:t>项目名称</w:t>
            </w:r>
          </w:p>
        </w:tc>
        <w:tc>
          <w:tcPr>
            <w:tcW w:w="1602" w:type="dxa"/>
            <w:tcBorders>
              <w:top w:val="single" w:color="auto" w:sz="4" w:space="0"/>
              <w:left w:val="single" w:color="auto" w:sz="4" w:space="0"/>
              <w:right w:val="single" w:color="auto" w:sz="4" w:space="0"/>
            </w:tcBorders>
            <w:vAlign w:val="center"/>
          </w:tcPr>
          <w:p w14:paraId="5F8479A7">
            <w:pPr>
              <w:widowControl/>
              <w:jc w:val="center"/>
              <w:rPr>
                <w:rFonts w:ascii="宋体" w:hAnsi="宋体" w:cs="宋体"/>
                <w:b/>
                <w:bCs/>
                <w:kern w:val="0"/>
                <w:sz w:val="32"/>
                <w:szCs w:val="32"/>
                <w:highlight w:val="none"/>
              </w:rPr>
            </w:pPr>
            <w:r>
              <w:rPr>
                <w:rFonts w:hint="eastAsia" w:ascii="宋体" w:hAnsi="宋体" w:cs="宋体"/>
                <w:b/>
                <w:bCs/>
                <w:kern w:val="0"/>
                <w:sz w:val="32"/>
                <w:szCs w:val="32"/>
                <w:highlight w:val="none"/>
              </w:rPr>
              <w:t>采购预算</w:t>
            </w:r>
          </w:p>
          <w:p w14:paraId="41BB42B0">
            <w:pPr>
              <w:jc w:val="center"/>
              <w:rPr>
                <w:rFonts w:ascii="宋体" w:hAnsi="宋体" w:cs="宋体"/>
                <w:b/>
                <w:bCs/>
                <w:kern w:val="0"/>
                <w:sz w:val="32"/>
                <w:szCs w:val="32"/>
                <w:highlight w:val="none"/>
              </w:rPr>
            </w:pPr>
            <w:r>
              <w:rPr>
                <w:rFonts w:hint="eastAsia" w:ascii="宋体" w:hAnsi="宋体" w:cs="宋体"/>
                <w:b/>
                <w:bCs/>
                <w:kern w:val="0"/>
                <w:sz w:val="32"/>
                <w:szCs w:val="32"/>
                <w:highlight w:val="none"/>
              </w:rPr>
              <w:t>（</w:t>
            </w:r>
            <w:r>
              <w:rPr>
                <w:rFonts w:hint="eastAsia" w:ascii="宋体" w:hAnsi="宋体" w:cs="宋体"/>
                <w:b/>
                <w:bCs/>
                <w:kern w:val="0"/>
                <w:sz w:val="32"/>
                <w:szCs w:val="32"/>
                <w:highlight w:val="none"/>
                <w:lang w:eastAsia="zh-CN"/>
              </w:rPr>
              <w:t>万</w:t>
            </w:r>
            <w:r>
              <w:rPr>
                <w:rFonts w:hint="eastAsia" w:ascii="宋体" w:hAnsi="宋体" w:cs="宋体"/>
                <w:b/>
                <w:bCs/>
                <w:kern w:val="0"/>
                <w:sz w:val="32"/>
                <w:szCs w:val="32"/>
                <w:highlight w:val="none"/>
              </w:rPr>
              <w:t>元）</w:t>
            </w:r>
          </w:p>
        </w:tc>
        <w:tc>
          <w:tcPr>
            <w:tcW w:w="1530" w:type="dxa"/>
            <w:tcBorders>
              <w:top w:val="single" w:color="auto" w:sz="4" w:space="0"/>
              <w:left w:val="single" w:color="auto" w:sz="4" w:space="0"/>
              <w:right w:val="single" w:color="auto" w:sz="4" w:space="0"/>
            </w:tcBorders>
            <w:vAlign w:val="center"/>
          </w:tcPr>
          <w:p w14:paraId="48E521F3">
            <w:pPr>
              <w:jc w:val="center"/>
              <w:rPr>
                <w:rFonts w:ascii="宋体" w:hAnsi="宋体" w:cs="宋体"/>
                <w:b/>
                <w:bCs/>
                <w:kern w:val="0"/>
                <w:sz w:val="32"/>
                <w:szCs w:val="32"/>
                <w:highlight w:val="none"/>
              </w:rPr>
            </w:pPr>
            <w:r>
              <w:rPr>
                <w:rFonts w:hint="eastAsia" w:ascii="宋体" w:hAnsi="宋体" w:cs="宋体"/>
                <w:b/>
                <w:bCs/>
                <w:kern w:val="0"/>
                <w:sz w:val="32"/>
                <w:szCs w:val="32"/>
                <w:highlight w:val="none"/>
              </w:rPr>
              <w:t>资金来源</w:t>
            </w:r>
          </w:p>
        </w:tc>
        <w:tc>
          <w:tcPr>
            <w:tcW w:w="4574" w:type="dxa"/>
            <w:tcBorders>
              <w:top w:val="single" w:color="auto" w:sz="4" w:space="0"/>
              <w:left w:val="single" w:color="auto" w:sz="4" w:space="0"/>
              <w:right w:val="single" w:color="auto" w:sz="4" w:space="0"/>
            </w:tcBorders>
            <w:vAlign w:val="center"/>
          </w:tcPr>
          <w:p w14:paraId="44AD8EAD">
            <w:pPr>
              <w:jc w:val="center"/>
              <w:rPr>
                <w:rFonts w:ascii="宋体" w:hAnsi="宋体" w:cs="宋体"/>
                <w:b/>
                <w:bCs/>
                <w:kern w:val="0"/>
                <w:sz w:val="32"/>
                <w:szCs w:val="32"/>
                <w:highlight w:val="none"/>
              </w:rPr>
            </w:pPr>
            <w:r>
              <w:rPr>
                <w:rFonts w:hint="eastAsia" w:ascii="宋体" w:hAnsi="宋体" w:cs="宋体"/>
                <w:b/>
                <w:bCs/>
                <w:kern w:val="0"/>
                <w:sz w:val="32"/>
                <w:szCs w:val="32"/>
                <w:highlight w:val="none"/>
              </w:rPr>
              <w:t>备注</w:t>
            </w:r>
          </w:p>
        </w:tc>
      </w:tr>
      <w:tr w14:paraId="698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111" w:type="dxa"/>
            <w:tcBorders>
              <w:top w:val="single" w:color="auto" w:sz="4" w:space="0"/>
              <w:left w:val="single" w:color="auto" w:sz="4" w:space="0"/>
              <w:right w:val="single" w:color="auto" w:sz="4" w:space="0"/>
            </w:tcBorders>
            <w:vAlign w:val="center"/>
          </w:tcPr>
          <w:p w14:paraId="1C6A634D">
            <w:pPr>
              <w:snapToGrid w:val="0"/>
              <w:jc w:val="center"/>
              <w:rPr>
                <w:rFonts w:ascii="方正仿宋_GBK" w:hAnsi="宋体" w:eastAsia="方正仿宋_GBK"/>
                <w:sz w:val="30"/>
                <w:szCs w:val="30"/>
                <w:highlight w:val="none"/>
              </w:rPr>
            </w:pPr>
            <w:bookmarkStart w:id="9" w:name="_Hlk344477914"/>
            <w:r>
              <w:rPr>
                <w:rFonts w:hint="eastAsia" w:ascii="方正仿宋_GBK" w:hAnsi="宋体" w:eastAsia="方正仿宋_GBK"/>
                <w:sz w:val="30"/>
                <w:szCs w:val="30"/>
                <w:highlight w:val="none"/>
              </w:rPr>
              <w:t>跳磴镇病媒生物防制项目</w:t>
            </w:r>
          </w:p>
        </w:tc>
        <w:tc>
          <w:tcPr>
            <w:tcW w:w="1602" w:type="dxa"/>
            <w:tcBorders>
              <w:top w:val="single" w:color="auto" w:sz="4" w:space="0"/>
              <w:left w:val="single" w:color="auto" w:sz="4" w:space="0"/>
              <w:right w:val="single" w:color="auto" w:sz="4" w:space="0"/>
            </w:tcBorders>
            <w:vAlign w:val="center"/>
          </w:tcPr>
          <w:p w14:paraId="2F09B11D">
            <w:pPr>
              <w:snapToGrid w:val="0"/>
              <w:jc w:val="center"/>
              <w:rPr>
                <w:rFonts w:hint="default" w:ascii="Tahoma" w:hAnsi="Tahoma" w:eastAsia="方正仿宋_GBK" w:cs="Tahoma"/>
                <w:sz w:val="30"/>
                <w:szCs w:val="30"/>
                <w:highlight w:val="none"/>
                <w:lang w:val="en-US" w:eastAsia="zh-CN"/>
              </w:rPr>
            </w:pPr>
            <w:r>
              <w:rPr>
                <w:rFonts w:hint="eastAsia" w:ascii="Tahoma" w:hAnsi="Tahoma" w:eastAsia="方正仿宋_GBK" w:cs="Tahoma"/>
                <w:sz w:val="30"/>
                <w:szCs w:val="30"/>
                <w:highlight w:val="none"/>
                <w:lang w:val="en-US" w:eastAsia="zh-CN"/>
              </w:rPr>
              <w:t>4</w:t>
            </w:r>
          </w:p>
        </w:tc>
        <w:tc>
          <w:tcPr>
            <w:tcW w:w="1530" w:type="dxa"/>
            <w:tcBorders>
              <w:top w:val="single" w:color="auto" w:sz="4" w:space="0"/>
              <w:left w:val="single" w:color="auto" w:sz="4" w:space="0"/>
              <w:right w:val="single" w:color="auto" w:sz="4" w:space="0"/>
            </w:tcBorders>
            <w:vAlign w:val="center"/>
          </w:tcPr>
          <w:p w14:paraId="04908FFD">
            <w:pPr>
              <w:snapToGrid w:val="0"/>
              <w:jc w:val="center"/>
              <w:rPr>
                <w:rFonts w:ascii="方正仿宋_GBK" w:hAnsi="宋体" w:eastAsia="方正仿宋_GBK"/>
                <w:color w:val="FF0000"/>
                <w:sz w:val="30"/>
                <w:szCs w:val="30"/>
                <w:highlight w:val="none"/>
              </w:rPr>
            </w:pPr>
            <w:r>
              <w:rPr>
                <w:rFonts w:hint="eastAsia" w:ascii="方正仿宋_GBK" w:hAnsi="宋体" w:eastAsia="方正仿宋_GBK"/>
                <w:color w:val="000000" w:themeColor="text1"/>
                <w:sz w:val="30"/>
                <w:szCs w:val="30"/>
                <w:highlight w:val="none"/>
                <w14:textFill>
                  <w14:solidFill>
                    <w14:schemeClr w14:val="tx1"/>
                  </w14:solidFill>
                </w14:textFill>
              </w:rPr>
              <w:t>财政预算资金</w:t>
            </w:r>
          </w:p>
        </w:tc>
        <w:tc>
          <w:tcPr>
            <w:tcW w:w="4574" w:type="dxa"/>
            <w:tcBorders>
              <w:top w:val="single" w:color="auto" w:sz="4" w:space="0"/>
              <w:left w:val="single" w:color="auto" w:sz="4" w:space="0"/>
              <w:right w:val="single" w:color="auto" w:sz="4" w:space="0"/>
            </w:tcBorders>
            <w:vAlign w:val="center"/>
          </w:tcPr>
          <w:p w14:paraId="33B6F155">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宋体" w:eastAsia="方正仿宋_GBK"/>
                <w:sz w:val="32"/>
                <w:szCs w:val="32"/>
                <w:highlight w:val="none"/>
                <w:lang w:eastAsia="zh-CN"/>
              </w:rPr>
            </w:pPr>
            <w:r>
              <w:rPr>
                <w:rFonts w:hint="eastAsia" w:ascii="方正仿宋_GBK" w:hAnsi="宋体" w:eastAsia="方正仿宋_GBK"/>
                <w:sz w:val="21"/>
                <w:szCs w:val="21"/>
                <w:highlight w:val="none"/>
              </w:rPr>
              <w:t>不</w:t>
            </w:r>
            <w:r>
              <w:rPr>
                <w:rFonts w:ascii="方正仿宋_GBK" w:hAnsi="宋体" w:eastAsia="方正仿宋_GBK"/>
                <w:sz w:val="21"/>
                <w:szCs w:val="21"/>
                <w:highlight w:val="none"/>
              </w:rPr>
              <w:t>得分包、转包</w:t>
            </w:r>
            <w:r>
              <w:rPr>
                <w:rFonts w:hint="eastAsia" w:ascii="方正仿宋_GBK" w:hAnsi="宋体" w:eastAsia="方正仿宋_GBK"/>
                <w:sz w:val="21"/>
                <w:szCs w:val="21"/>
                <w:highlight w:val="none"/>
                <w:lang w:eastAsia="zh-CN"/>
              </w:rPr>
              <w:t>。</w:t>
            </w:r>
            <w:r>
              <w:rPr>
                <w:rFonts w:hint="eastAsia" w:ascii="方正仿宋_GBK" w:hAnsi="宋体" w:eastAsia="方正仿宋_GBK"/>
                <w:sz w:val="24"/>
                <w:szCs w:val="24"/>
              </w:rPr>
              <w:t>本次报价为人民币报价，报总价。含以下费用：杀虫剂、毒饵盒安装及维护、人员工资、设备设施使用、交通运输、安全文明施工、警示标志、税费等病媒生物防制效果达到国家C级标准的一切有关费用。</w:t>
            </w:r>
          </w:p>
        </w:tc>
      </w:tr>
      <w:bookmarkEnd w:id="9"/>
    </w:tbl>
    <w:p w14:paraId="312B38BC">
      <w:pPr>
        <w:pStyle w:val="4"/>
        <w:spacing w:before="0" w:after="0" w:line="240" w:lineRule="auto"/>
        <w:ind w:firstLine="640" w:firstLineChars="200"/>
        <w:rPr>
          <w:rFonts w:ascii="方正黑体_GBK" w:hAnsi="宋体" w:eastAsia="方正黑体_GBK" w:cs="宋体"/>
          <w:b w:val="0"/>
          <w:szCs w:val="32"/>
        </w:rPr>
      </w:pPr>
      <w:bookmarkStart w:id="10" w:name="_Toc317775178"/>
      <w:bookmarkStart w:id="11" w:name="_Toc25190"/>
      <w:bookmarkStart w:id="12" w:name="_Toc1790"/>
      <w:bookmarkStart w:id="13" w:name="_Toc373860293"/>
      <w:bookmarkStart w:id="14" w:name="_Toc15576"/>
      <w:bookmarkStart w:id="15" w:name="_Toc22399"/>
      <w:bookmarkStart w:id="16" w:name="_Toc19437"/>
      <w:bookmarkStart w:id="17" w:name="_Toc6462"/>
      <w:bookmarkStart w:id="18" w:name="_Toc15727"/>
      <w:r>
        <w:rPr>
          <w:rFonts w:hint="eastAsia" w:ascii="方正黑体_GBK" w:hAnsi="宋体" w:eastAsia="方正黑体_GBK" w:cs="宋体"/>
          <w:b w:val="0"/>
          <w:szCs w:val="32"/>
        </w:rPr>
        <w:t>二、</w:t>
      </w:r>
      <w:bookmarkEnd w:id="10"/>
      <w:bookmarkEnd w:id="11"/>
      <w:bookmarkEnd w:id="12"/>
      <w:bookmarkEnd w:id="13"/>
      <w:bookmarkEnd w:id="14"/>
      <w:bookmarkEnd w:id="15"/>
      <w:bookmarkEnd w:id="16"/>
      <w:bookmarkEnd w:id="17"/>
      <w:bookmarkEnd w:id="18"/>
      <w:r>
        <w:rPr>
          <w:rFonts w:hint="eastAsia" w:ascii="方正黑体_GBK" w:hAnsi="宋体" w:eastAsia="方正黑体_GBK" w:cs="宋体"/>
          <w:b w:val="0"/>
          <w:szCs w:val="32"/>
        </w:rPr>
        <w:t>供应商资格条件</w:t>
      </w:r>
    </w:p>
    <w:p w14:paraId="34262882">
      <w:pPr>
        <w:pStyle w:val="22"/>
        <w:ind w:firstLine="640" w:firstLineChars="200"/>
        <w:rPr>
          <w:rFonts w:ascii="方正楷体_GBK" w:eastAsia="方正楷体_GBK"/>
          <w:szCs w:val="32"/>
        </w:rPr>
      </w:pPr>
      <w:bookmarkStart w:id="19" w:name="_Toc19252"/>
      <w:bookmarkStart w:id="20" w:name="_Toc18255"/>
      <w:bookmarkStart w:id="21" w:name="_Toc17230"/>
      <w:bookmarkStart w:id="22" w:name="_Toc19483"/>
      <w:r>
        <w:rPr>
          <w:rFonts w:hint="eastAsia" w:ascii="方正楷体_GBK" w:eastAsia="方正楷体_GBK"/>
          <w:szCs w:val="32"/>
        </w:rPr>
        <w:t>（一）基本资格条件</w:t>
      </w:r>
      <w:bookmarkEnd w:id="19"/>
      <w:bookmarkEnd w:id="20"/>
      <w:bookmarkEnd w:id="21"/>
      <w:bookmarkEnd w:id="22"/>
    </w:p>
    <w:p w14:paraId="1B458D0D">
      <w:pPr>
        <w:pStyle w:val="22"/>
        <w:ind w:firstLine="640" w:firstLineChars="200"/>
        <w:rPr>
          <w:rFonts w:ascii="方正仿宋_GBK" w:eastAsia="方正仿宋_GBK"/>
          <w:szCs w:val="32"/>
        </w:rPr>
      </w:pPr>
      <w:r>
        <w:rPr>
          <w:rFonts w:hint="eastAsia" w:ascii="方正仿宋_GBK" w:eastAsia="方正仿宋_GBK"/>
          <w:szCs w:val="32"/>
        </w:rPr>
        <w:t>供应商应具备以下基本条件：</w:t>
      </w:r>
    </w:p>
    <w:p w14:paraId="3B5E6074">
      <w:pPr>
        <w:pStyle w:val="22"/>
        <w:ind w:firstLine="640" w:firstLineChars="200"/>
        <w:rPr>
          <w:rFonts w:ascii="方正仿宋_GBK" w:eastAsia="方正仿宋_GBK"/>
          <w:szCs w:val="32"/>
        </w:rPr>
      </w:pPr>
      <w:r>
        <w:rPr>
          <w:rFonts w:hint="eastAsia" w:ascii="方正仿宋_GBK" w:eastAsia="方正仿宋_GBK"/>
          <w:szCs w:val="32"/>
        </w:rPr>
        <w:t>1、依法设立，具有独立承担民事责任的能力。</w:t>
      </w:r>
    </w:p>
    <w:p w14:paraId="1436A5BC">
      <w:pPr>
        <w:pStyle w:val="22"/>
        <w:ind w:firstLine="640" w:firstLineChars="200"/>
        <w:rPr>
          <w:rFonts w:ascii="方正仿宋_GBK" w:eastAsia="方正仿宋_GBK"/>
          <w:szCs w:val="32"/>
        </w:rPr>
      </w:pPr>
      <w:r>
        <w:rPr>
          <w:rFonts w:hint="eastAsia" w:ascii="方正仿宋_GBK" w:eastAsia="方正仿宋_GBK"/>
          <w:szCs w:val="32"/>
        </w:rPr>
        <w:t>2、具备提供服务所必需的设施设备、人员和专业技术能力。</w:t>
      </w:r>
    </w:p>
    <w:p w14:paraId="20BCFA54">
      <w:pPr>
        <w:pStyle w:val="22"/>
        <w:ind w:firstLine="640" w:firstLineChars="200"/>
        <w:rPr>
          <w:rFonts w:ascii="方正仿宋_GBK" w:eastAsia="方正仿宋_GBK"/>
          <w:szCs w:val="32"/>
        </w:rPr>
      </w:pPr>
      <w:r>
        <w:rPr>
          <w:rFonts w:hint="eastAsia" w:ascii="方正仿宋_GBK" w:eastAsia="方正仿宋_GBK"/>
          <w:szCs w:val="32"/>
        </w:rPr>
        <w:t>3、具有健全的内部治理结构、财务会计和资产管理制度。</w:t>
      </w:r>
    </w:p>
    <w:p w14:paraId="2DC99582">
      <w:pPr>
        <w:pStyle w:val="22"/>
        <w:ind w:firstLine="640" w:firstLineChars="200"/>
        <w:rPr>
          <w:rFonts w:ascii="方正仿宋_GBK" w:eastAsia="方正仿宋_GBK"/>
          <w:szCs w:val="32"/>
        </w:rPr>
      </w:pPr>
      <w:r>
        <w:rPr>
          <w:rFonts w:hint="eastAsia" w:ascii="方正仿宋_GBK" w:eastAsia="方正仿宋_GBK"/>
          <w:szCs w:val="32"/>
        </w:rPr>
        <w:t>4、在参与政府购买服务前三年内无违法、违规记录，年检或年度考核合格，具有良好的社会和商业信誉。</w:t>
      </w:r>
    </w:p>
    <w:p w14:paraId="03C6E9F5">
      <w:pPr>
        <w:pStyle w:val="22"/>
        <w:ind w:firstLine="640" w:firstLineChars="200"/>
        <w:rPr>
          <w:rFonts w:ascii="方正仿宋_GBK" w:eastAsia="方正仿宋_GBK"/>
          <w:szCs w:val="32"/>
        </w:rPr>
      </w:pPr>
      <w:r>
        <w:rPr>
          <w:rFonts w:hint="eastAsia" w:ascii="方正仿宋_GBK" w:eastAsia="方正仿宋_GBK"/>
          <w:szCs w:val="32"/>
        </w:rPr>
        <w:t>5、具有依法缴纳税收和社会保险的良好记录。</w:t>
      </w:r>
    </w:p>
    <w:p w14:paraId="36D54340">
      <w:pPr>
        <w:pStyle w:val="22"/>
        <w:ind w:firstLine="640" w:firstLineChars="200"/>
        <w:rPr>
          <w:rFonts w:ascii="方正仿宋_GBK" w:eastAsia="方正仿宋_GBK"/>
          <w:szCs w:val="32"/>
        </w:rPr>
      </w:pPr>
      <w:r>
        <w:rPr>
          <w:rFonts w:hint="eastAsia" w:ascii="方正仿宋_GBK" w:eastAsia="方正仿宋_GBK"/>
          <w:szCs w:val="32"/>
        </w:rPr>
        <w:t>6、符合法律法规及购买服务项目要求的其他条件。</w:t>
      </w:r>
    </w:p>
    <w:p w14:paraId="1580D502">
      <w:pPr>
        <w:pStyle w:val="4"/>
        <w:spacing w:before="0" w:after="0" w:line="240" w:lineRule="auto"/>
        <w:ind w:firstLine="640" w:firstLineChars="200"/>
        <w:rPr>
          <w:rFonts w:ascii="方正黑体_GBK" w:hAnsi="宋体" w:eastAsia="方正黑体_GBK" w:cs="宋体"/>
          <w:b w:val="0"/>
          <w:color w:val="000000" w:themeColor="text1"/>
          <w:szCs w:val="32"/>
          <w:highlight w:val="none"/>
          <w14:textFill>
            <w14:solidFill>
              <w14:schemeClr w14:val="tx1"/>
            </w14:solidFill>
          </w14:textFill>
        </w:rPr>
      </w:pPr>
      <w:r>
        <w:rPr>
          <w:rFonts w:hint="eastAsia" w:ascii="方正黑体_GBK" w:hAnsi="宋体" w:eastAsia="方正黑体_GBK" w:cs="宋体"/>
          <w:b w:val="0"/>
          <w:color w:val="000000" w:themeColor="text1"/>
          <w:szCs w:val="32"/>
          <w:highlight w:val="none"/>
          <w14:textFill>
            <w14:solidFill>
              <w14:schemeClr w14:val="tx1"/>
            </w14:solidFill>
          </w14:textFill>
        </w:rPr>
        <w:t>三、采购服务内容</w:t>
      </w:r>
    </w:p>
    <w:p w14:paraId="34ECE5D9">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bookmarkStart w:id="23" w:name="OLE_LINK1"/>
      <w:r>
        <w:rPr>
          <w:rFonts w:hint="eastAsia" w:ascii="方正仿宋_GBK" w:hAnsi="宋体" w:eastAsia="方正仿宋_GBK"/>
          <w:bCs/>
          <w:color w:val="000000" w:themeColor="text1"/>
          <w:sz w:val="32"/>
          <w:szCs w:val="32"/>
          <w:highlight w:val="none"/>
          <w14:textFill>
            <w14:solidFill>
              <w14:schemeClr w14:val="tx1"/>
            </w14:solidFill>
          </w14:textFill>
        </w:rPr>
        <w:t>（一）服务范围</w:t>
      </w:r>
    </w:p>
    <w:p w14:paraId="7BD2AA91">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病媒生物防制：</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主要包括</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中顺社区、幸福社区、华庭社区、白沙沱社区、</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蓝沁苑1期2期、欣怡小区、鳌山综合市场、</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幸</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福华庭农超、跳磴镇便民摊区、跳磴镇政府</w:t>
      </w:r>
      <w:r>
        <w:rPr>
          <w:rFonts w:hint="eastAsia" w:ascii="方正仿宋_GBK" w:hAnsi="宋体" w:eastAsia="方正仿宋_GBK"/>
          <w:bCs/>
          <w:color w:val="000000" w:themeColor="text1"/>
          <w:sz w:val="32"/>
          <w:szCs w:val="32"/>
          <w:highlight w:val="none"/>
          <w14:textFill>
            <w14:solidFill>
              <w14:schemeClr w14:val="tx1"/>
            </w14:solidFill>
          </w14:textFill>
        </w:rPr>
        <w:t>等范围</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即：小区内楼栋及周边、公共绿地、水池、边坡、窨井、水沟、生活垃圾桶坑等居民公共活动场所，镇政府、综合市场、农超、便民摊区内及周边的蚊、蝇、蟑螂、鼠的一次性灭杀、对孳生地控制，对垃圾箱、垃圾集中处理点、公厕的防治等）</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w:t>
      </w:r>
    </w:p>
    <w:bookmarkEnd w:id="23"/>
    <w:p w14:paraId="5FBB1624">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（二）药品、器械</w:t>
      </w:r>
    </w:p>
    <w:p w14:paraId="1925D646">
      <w:pPr>
        <w:ind w:firstLine="640" w:firstLineChars="200"/>
        <w:jc w:val="left"/>
        <w:rPr>
          <w:rFonts w:hint="default" w:ascii="方正仿宋_GBK" w:hAnsi="宋体" w:eastAsia="方正仿宋_GBK"/>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1.投标方杜绝使用来源不明无“三证”或质量不稳定的卫生杀虫剂，确保灭效和人畜等各项安全，符合绿色环保的有关要求。按照建议用药目录，投标人必须提供投标药品的有效“三证”（即：农药登记证、农药生产批准证书、技术监督部门备案的企业标准）复印件并加盖单位公章、生产厂家出具的药物质量保证书（原件备查）及生产厂家授权书（原件备查）并加盖生产厂家公章。没有提供或提供不齐全的，视为无效投标。</w:t>
      </w:r>
      <w:r>
        <w:rPr>
          <w:rFonts w:hint="eastAsia" w:ascii="方正仿宋_GBK" w:hAnsi="宋体" w:eastAsia="方正仿宋_GBK"/>
          <w:bCs/>
          <w:color w:val="000000" w:themeColor="text1"/>
          <w:sz w:val="32"/>
          <w:szCs w:val="32"/>
          <w:highlight w:val="none"/>
          <w14:textFill>
            <w14:solidFill>
              <w14:schemeClr w14:val="tx1"/>
            </w14:solidFill>
          </w14:textFill>
        </w:rPr>
        <w:t>签订合同后，采购人有权邀请第三方对消杀药品进行随机成分抽样检测，相应费用由成交人承担。如发现消杀药品有效成分不达标，成交人须向采购人赔付成交金额的10%，退回已支付的服务款，并终止合同。</w:t>
      </w:r>
    </w:p>
    <w:tbl>
      <w:tblPr>
        <w:tblStyle w:val="58"/>
        <w:tblpPr w:leftFromText="180" w:rightFromText="180" w:vertAnchor="text" w:horzAnchor="page" w:tblpX="1977" w:tblpY="37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1890"/>
        <w:gridCol w:w="1185"/>
        <w:gridCol w:w="4260"/>
      </w:tblGrid>
      <w:tr w14:paraId="7522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15" w:type="dxa"/>
            <w:gridSpan w:val="4"/>
            <w:noWrap w:val="0"/>
            <w:vAlign w:val="center"/>
          </w:tcPr>
          <w:p w14:paraId="3DEAF370">
            <w:pPr>
              <w:jc w:val="cente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用药目录</w:t>
            </w:r>
          </w:p>
        </w:tc>
      </w:tr>
      <w:tr w14:paraId="18063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54510F6C">
            <w:pPr>
              <w:jc w:val="cente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编号</w:t>
            </w:r>
          </w:p>
        </w:tc>
        <w:tc>
          <w:tcPr>
            <w:tcW w:w="1890" w:type="dxa"/>
            <w:noWrap w:val="0"/>
            <w:vAlign w:val="center"/>
          </w:tcPr>
          <w:p w14:paraId="201E0A73">
            <w:pPr>
              <w:jc w:val="cente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药品名称</w:t>
            </w:r>
          </w:p>
        </w:tc>
        <w:tc>
          <w:tcPr>
            <w:tcW w:w="1185" w:type="dxa"/>
            <w:noWrap w:val="0"/>
            <w:vAlign w:val="center"/>
          </w:tcPr>
          <w:p w14:paraId="25B102AB">
            <w:pPr>
              <w:jc w:val="cente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用途</w:t>
            </w:r>
          </w:p>
        </w:tc>
        <w:tc>
          <w:tcPr>
            <w:tcW w:w="4260" w:type="dxa"/>
            <w:noWrap w:val="0"/>
            <w:vAlign w:val="center"/>
          </w:tcPr>
          <w:p w14:paraId="26ABFB89">
            <w:pPr>
              <w:jc w:val="cente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主要技术参数</w:t>
            </w:r>
          </w:p>
        </w:tc>
      </w:tr>
      <w:tr w14:paraId="3FC9D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2363E3EB">
            <w:pPr>
              <w:jc w:val="left"/>
              <w:rPr>
                <w:rFonts w:hint="default"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1</w:t>
            </w:r>
          </w:p>
        </w:tc>
        <w:tc>
          <w:tcPr>
            <w:tcW w:w="1890" w:type="dxa"/>
            <w:noWrap w:val="0"/>
            <w:vAlign w:val="center"/>
          </w:tcPr>
          <w:p w14:paraId="73B139BF">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四氟醚菊酯复配剂</w:t>
            </w:r>
          </w:p>
        </w:tc>
        <w:tc>
          <w:tcPr>
            <w:tcW w:w="1185" w:type="dxa"/>
            <w:noWrap w:val="0"/>
            <w:vAlign w:val="center"/>
          </w:tcPr>
          <w:p w14:paraId="413CD5FE">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灭蚊蝇</w:t>
            </w:r>
          </w:p>
        </w:tc>
        <w:tc>
          <w:tcPr>
            <w:tcW w:w="4260" w:type="dxa"/>
            <w:noWrap w:val="0"/>
            <w:vAlign w:val="center"/>
          </w:tcPr>
          <w:p w14:paraId="3253D977">
            <w:pPr>
              <w:numPr>
                <w:ilvl w:val="0"/>
                <w:numId w:val="13"/>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农药类别:卫生杀虫剂</w:t>
            </w:r>
          </w:p>
          <w:p w14:paraId="025EE74D">
            <w:pPr>
              <w:numPr>
                <w:ilvl w:val="0"/>
                <w:numId w:val="13"/>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有效成分含量:≥2%氯菊·四氟醚</w:t>
            </w:r>
          </w:p>
          <w:p w14:paraId="18B0D336">
            <w:pPr>
              <w:numPr>
                <w:ilvl w:val="0"/>
                <w:numId w:val="13"/>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剂型：水乳剂或乳油</w:t>
            </w:r>
          </w:p>
        </w:tc>
      </w:tr>
      <w:tr w14:paraId="6635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2EB20B69">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2</w:t>
            </w:r>
          </w:p>
        </w:tc>
        <w:tc>
          <w:tcPr>
            <w:tcW w:w="1890" w:type="dxa"/>
            <w:noWrap w:val="0"/>
            <w:vAlign w:val="center"/>
          </w:tcPr>
          <w:p w14:paraId="526AB2A2">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高效氯氰菊酯热雾剂</w:t>
            </w:r>
          </w:p>
        </w:tc>
        <w:tc>
          <w:tcPr>
            <w:tcW w:w="1185" w:type="dxa"/>
            <w:noWrap w:val="0"/>
            <w:vAlign w:val="center"/>
          </w:tcPr>
          <w:p w14:paraId="1B67217A">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灭蟑螂</w:t>
            </w:r>
          </w:p>
        </w:tc>
        <w:tc>
          <w:tcPr>
            <w:tcW w:w="4260" w:type="dxa"/>
            <w:noWrap w:val="0"/>
            <w:vAlign w:val="center"/>
          </w:tcPr>
          <w:p w14:paraId="3D5F4082">
            <w:pPr>
              <w:numPr>
                <w:ilvl w:val="0"/>
                <w:numId w:val="14"/>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农药类别:卫生杀虫剂</w:t>
            </w:r>
          </w:p>
          <w:p w14:paraId="387288CA">
            <w:pPr>
              <w:numPr>
                <w:ilvl w:val="0"/>
                <w:numId w:val="14"/>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有效成分含量:≥1%高效氯氰菊酯</w:t>
            </w:r>
          </w:p>
          <w:p w14:paraId="7DC5F75B">
            <w:pPr>
              <w:numPr>
                <w:ilvl w:val="0"/>
                <w:numId w:val="14"/>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剂型：热烟雾剂</w:t>
            </w:r>
          </w:p>
        </w:tc>
      </w:tr>
      <w:tr w14:paraId="774C9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0379D70F">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3</w:t>
            </w:r>
          </w:p>
        </w:tc>
        <w:tc>
          <w:tcPr>
            <w:tcW w:w="1890" w:type="dxa"/>
            <w:noWrap w:val="0"/>
            <w:vAlign w:val="center"/>
          </w:tcPr>
          <w:p w14:paraId="3FCB4108">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氯菊·稀丙菊</w:t>
            </w:r>
          </w:p>
        </w:tc>
        <w:tc>
          <w:tcPr>
            <w:tcW w:w="1185" w:type="dxa"/>
            <w:noWrap w:val="0"/>
            <w:vAlign w:val="center"/>
          </w:tcPr>
          <w:p w14:paraId="0EB75F76">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灭蚊蝇</w:t>
            </w:r>
          </w:p>
        </w:tc>
        <w:tc>
          <w:tcPr>
            <w:tcW w:w="4260" w:type="dxa"/>
            <w:noWrap w:val="0"/>
            <w:vAlign w:val="center"/>
          </w:tcPr>
          <w:p w14:paraId="23E7D481">
            <w:pPr>
              <w:numPr>
                <w:ilvl w:val="0"/>
                <w:numId w:val="15"/>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农药类别:卫生杀虫剂</w:t>
            </w:r>
          </w:p>
          <w:p w14:paraId="7E7DE741">
            <w:pPr>
              <w:numPr>
                <w:ilvl w:val="0"/>
                <w:numId w:val="15"/>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有效成分含量:≥15%氯菊酯·S-生物烯丙菊酯</w:t>
            </w:r>
          </w:p>
          <w:p w14:paraId="008933D0">
            <w:pPr>
              <w:numPr>
                <w:ilvl w:val="0"/>
                <w:numId w:val="15"/>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剂型：水乳剂或乳油</w:t>
            </w:r>
          </w:p>
        </w:tc>
      </w:tr>
      <w:tr w14:paraId="3A16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5E6D78A2">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4</w:t>
            </w:r>
          </w:p>
        </w:tc>
        <w:tc>
          <w:tcPr>
            <w:tcW w:w="1890" w:type="dxa"/>
            <w:noWrap w:val="0"/>
            <w:vAlign w:val="center"/>
          </w:tcPr>
          <w:p w14:paraId="74B02CF5">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杀蟑胶饵</w:t>
            </w:r>
          </w:p>
        </w:tc>
        <w:tc>
          <w:tcPr>
            <w:tcW w:w="1185" w:type="dxa"/>
            <w:noWrap w:val="0"/>
            <w:vAlign w:val="center"/>
          </w:tcPr>
          <w:p w14:paraId="54A86681">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灭蟑螂</w:t>
            </w:r>
          </w:p>
        </w:tc>
        <w:tc>
          <w:tcPr>
            <w:tcW w:w="4260" w:type="dxa"/>
            <w:noWrap w:val="0"/>
            <w:vAlign w:val="center"/>
          </w:tcPr>
          <w:p w14:paraId="555C7665">
            <w:pPr>
              <w:numPr>
                <w:ilvl w:val="0"/>
                <w:numId w:val="16"/>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有效成分含量：≥0.05氟虫腈</w:t>
            </w:r>
          </w:p>
          <w:p w14:paraId="26B84118">
            <w:pPr>
              <w:numPr>
                <w:ilvl w:val="0"/>
                <w:numId w:val="16"/>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剂型：胶饵</w:t>
            </w:r>
          </w:p>
        </w:tc>
      </w:tr>
      <w:tr w14:paraId="4B32A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2282C7E3">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5</w:t>
            </w:r>
          </w:p>
        </w:tc>
        <w:tc>
          <w:tcPr>
            <w:tcW w:w="1890" w:type="dxa"/>
            <w:noWrap w:val="0"/>
            <w:vAlign w:val="center"/>
          </w:tcPr>
          <w:p w14:paraId="2B4B9F09">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高效氯氟氰菊酯</w:t>
            </w:r>
          </w:p>
        </w:tc>
        <w:tc>
          <w:tcPr>
            <w:tcW w:w="1185" w:type="dxa"/>
            <w:noWrap w:val="0"/>
            <w:vAlign w:val="center"/>
          </w:tcPr>
          <w:p w14:paraId="1AA3CE3A">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灭蚊蝇</w:t>
            </w:r>
          </w:p>
        </w:tc>
        <w:tc>
          <w:tcPr>
            <w:tcW w:w="4260" w:type="dxa"/>
            <w:noWrap w:val="0"/>
            <w:vAlign w:val="center"/>
          </w:tcPr>
          <w:p w14:paraId="35A899A5">
            <w:pPr>
              <w:numPr>
                <w:ilvl w:val="0"/>
                <w:numId w:val="17"/>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农药类别:卫生杀虫剂</w:t>
            </w:r>
          </w:p>
          <w:p w14:paraId="17867BD0">
            <w:pPr>
              <w:numPr>
                <w:ilvl w:val="0"/>
                <w:numId w:val="17"/>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有效成分含量：≥2.5%高效氯氟氰菊酯</w:t>
            </w:r>
          </w:p>
          <w:p w14:paraId="6E9BCA3C">
            <w:pPr>
              <w:numPr>
                <w:ilvl w:val="0"/>
                <w:numId w:val="17"/>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剂型：悬浮剂</w:t>
            </w:r>
          </w:p>
        </w:tc>
      </w:tr>
      <w:tr w14:paraId="04BF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7A4458F0">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6</w:t>
            </w:r>
          </w:p>
        </w:tc>
        <w:tc>
          <w:tcPr>
            <w:tcW w:w="1890" w:type="dxa"/>
            <w:noWrap w:val="0"/>
            <w:vAlign w:val="center"/>
          </w:tcPr>
          <w:p w14:paraId="67969701">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吡丙醚</w:t>
            </w:r>
          </w:p>
        </w:tc>
        <w:tc>
          <w:tcPr>
            <w:tcW w:w="1185" w:type="dxa"/>
            <w:noWrap w:val="0"/>
            <w:vAlign w:val="center"/>
          </w:tcPr>
          <w:p w14:paraId="67AC25DA">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灭孑孓</w:t>
            </w:r>
          </w:p>
        </w:tc>
        <w:tc>
          <w:tcPr>
            <w:tcW w:w="4260" w:type="dxa"/>
            <w:noWrap w:val="0"/>
            <w:vAlign w:val="center"/>
          </w:tcPr>
          <w:p w14:paraId="07F534AB">
            <w:pPr>
              <w:numPr>
                <w:ilvl w:val="0"/>
                <w:numId w:val="18"/>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有效成份：≥0.5%吡丙醚（含复配剂）</w:t>
            </w:r>
          </w:p>
          <w:p w14:paraId="24BD4CB3">
            <w:pPr>
              <w:numPr>
                <w:ilvl w:val="0"/>
                <w:numId w:val="18"/>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剂型：颗粒剂</w:t>
            </w:r>
          </w:p>
        </w:tc>
      </w:tr>
      <w:tr w14:paraId="08910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3EEDC7D2">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7</w:t>
            </w:r>
          </w:p>
        </w:tc>
        <w:tc>
          <w:tcPr>
            <w:tcW w:w="1890" w:type="dxa"/>
            <w:noWrap w:val="0"/>
            <w:vAlign w:val="center"/>
          </w:tcPr>
          <w:p w14:paraId="7A94C6E0">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溴敌隆毒饵</w:t>
            </w:r>
          </w:p>
        </w:tc>
        <w:tc>
          <w:tcPr>
            <w:tcW w:w="1185" w:type="dxa"/>
            <w:noWrap w:val="0"/>
            <w:vAlign w:val="center"/>
          </w:tcPr>
          <w:p w14:paraId="6691ECCE">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灭老鼠</w:t>
            </w:r>
          </w:p>
        </w:tc>
        <w:tc>
          <w:tcPr>
            <w:tcW w:w="4260" w:type="dxa"/>
            <w:noWrap w:val="0"/>
            <w:vAlign w:val="center"/>
          </w:tcPr>
          <w:p w14:paraId="7F0DAEF4">
            <w:pPr>
              <w:numPr>
                <w:ilvl w:val="0"/>
                <w:numId w:val="19"/>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、有效成分及含量：≥0.005%溴敌隆</w:t>
            </w:r>
          </w:p>
          <w:p w14:paraId="448DBE90">
            <w:pPr>
              <w:numPr>
                <w:ilvl w:val="0"/>
                <w:numId w:val="19"/>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剂型：稻谷、玉米、小麦及其它赋形剂</w:t>
            </w:r>
          </w:p>
        </w:tc>
      </w:tr>
      <w:tr w14:paraId="779B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0" w:type="dxa"/>
            <w:noWrap w:val="0"/>
            <w:vAlign w:val="center"/>
          </w:tcPr>
          <w:p w14:paraId="1D48825B">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8</w:t>
            </w:r>
          </w:p>
        </w:tc>
        <w:tc>
          <w:tcPr>
            <w:tcW w:w="1890" w:type="dxa"/>
            <w:noWrap w:val="0"/>
            <w:vAlign w:val="center"/>
          </w:tcPr>
          <w:p w14:paraId="01FF27DB">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溴敌隆毒饵</w:t>
            </w:r>
          </w:p>
        </w:tc>
        <w:tc>
          <w:tcPr>
            <w:tcW w:w="1185" w:type="dxa"/>
            <w:noWrap w:val="0"/>
            <w:vAlign w:val="center"/>
          </w:tcPr>
          <w:p w14:paraId="735B4DDE">
            <w:pPr>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灭老鼠</w:t>
            </w:r>
          </w:p>
        </w:tc>
        <w:tc>
          <w:tcPr>
            <w:tcW w:w="4260" w:type="dxa"/>
            <w:noWrap w:val="0"/>
            <w:vAlign w:val="center"/>
          </w:tcPr>
          <w:p w14:paraId="16AA82F0">
            <w:pPr>
              <w:numPr>
                <w:ilvl w:val="0"/>
                <w:numId w:val="20"/>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有效成分及含量：≥0.005%溴敌隆</w:t>
            </w:r>
          </w:p>
          <w:p w14:paraId="7408A993">
            <w:pPr>
              <w:numPr>
                <w:ilvl w:val="0"/>
                <w:numId w:val="20"/>
              </w:numPr>
              <w:ind w:firstLine="480" w:firstLineChars="200"/>
              <w:jc w:val="left"/>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24"/>
                <w:szCs w:val="24"/>
                <w:highlight w:val="none"/>
                <w:lang w:val="en-US" w:eastAsia="zh-CN"/>
                <w14:textFill>
                  <w14:solidFill>
                    <w14:schemeClr w14:val="tx1"/>
                  </w14:solidFill>
                </w14:textFill>
              </w:rPr>
              <w:t>剂型：蜡丸</w:t>
            </w:r>
          </w:p>
        </w:tc>
      </w:tr>
    </w:tbl>
    <w:p w14:paraId="5C18F828">
      <w:pPr>
        <w:ind w:firstLine="640" w:firstLineChars="200"/>
        <w:jc w:val="left"/>
        <w:rPr>
          <w:rFonts w:hint="eastAsia" w:ascii="方正仿宋_GBK" w:hAnsi="宋体" w:eastAsia="方正仿宋_GBK" w:cs="Times New Roman"/>
          <w:bCs/>
          <w:color w:val="000000" w:themeColor="text1"/>
          <w:sz w:val="32"/>
          <w:szCs w:val="32"/>
          <w:highlight w:val="none"/>
          <w:lang w:val="en-US" w:eastAsia="zh-CN"/>
          <w14:textFill>
            <w14:solidFill>
              <w14:schemeClr w14:val="tx1"/>
            </w14:solidFill>
          </w14:textFill>
        </w:rPr>
      </w:pPr>
    </w:p>
    <w:p w14:paraId="2AA4C31C">
      <w:pPr>
        <w:ind w:firstLine="640" w:firstLineChars="200"/>
        <w:jc w:val="left"/>
        <w:rPr>
          <w:rFonts w:hint="eastAsia" w:ascii="方正仿宋_GBK" w:hAnsi="宋体" w:eastAsia="方正仿宋_GBK" w:cs="Times New Roman"/>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cs="Times New Roman"/>
          <w:bCs/>
          <w:color w:val="000000" w:themeColor="text1"/>
          <w:sz w:val="32"/>
          <w:szCs w:val="32"/>
          <w:highlight w:val="none"/>
          <w:lang w:val="en-US" w:eastAsia="zh-CN"/>
          <w14:textFill>
            <w14:solidFill>
              <w14:schemeClr w14:val="tx1"/>
            </w14:solidFill>
          </w14:textFill>
        </w:rPr>
        <w:t xml:space="preserve">2 </w:t>
      </w:r>
    </w:p>
    <w:p w14:paraId="74EA4F35">
      <w:pPr>
        <w:ind w:firstLine="640" w:firstLineChars="200"/>
        <w:jc w:val="left"/>
        <w:rPr>
          <w:rFonts w:hint="eastAsia" w:ascii="方正仿宋_GBK" w:hAnsi="宋体" w:eastAsia="方正仿宋_GBK" w:cs="Times New Roman"/>
          <w:bCs/>
          <w:color w:val="000000" w:themeColor="text1"/>
          <w:sz w:val="32"/>
          <w:szCs w:val="32"/>
          <w:highlight w:val="none"/>
          <w:lang w:val="en-US" w:eastAsia="zh-CN"/>
          <w14:textFill>
            <w14:solidFill>
              <w14:schemeClr w14:val="tx1"/>
            </w14:solidFill>
          </w14:textFill>
        </w:rPr>
      </w:pPr>
    </w:p>
    <w:p w14:paraId="4FABC4E4">
      <w:pPr>
        <w:ind w:firstLine="640" w:firstLineChars="200"/>
        <w:jc w:val="left"/>
        <w:rPr>
          <w:rFonts w:hint="eastAsia" w:ascii="方正仿宋_GBK" w:hAnsi="宋体" w:eastAsia="方正仿宋_GBK" w:cs="Times New Roman"/>
          <w:bCs/>
          <w:color w:val="000000" w:themeColor="text1"/>
          <w:sz w:val="32"/>
          <w:szCs w:val="32"/>
          <w:highlight w:val="none"/>
          <w:lang w:val="en-US" w:eastAsia="zh-CN"/>
          <w14:textFill>
            <w14:solidFill>
              <w14:schemeClr w14:val="tx1"/>
            </w14:solidFill>
          </w14:textFill>
        </w:rPr>
      </w:pPr>
    </w:p>
    <w:p w14:paraId="4679D828">
      <w:pPr>
        <w:ind w:left="0" w:leftChars="0" w:firstLine="0" w:firstLineChars="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p>
    <w:p w14:paraId="0C9568EE">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2.成交人负责</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安装和维护已有</w:t>
      </w:r>
      <w:r>
        <w:rPr>
          <w:rFonts w:hint="eastAsia" w:ascii="方正仿宋_GBK" w:hAnsi="宋体" w:eastAsia="方正仿宋_GBK"/>
          <w:bCs/>
          <w:color w:val="000000" w:themeColor="text1"/>
          <w:sz w:val="32"/>
          <w:szCs w:val="32"/>
          <w:highlight w:val="none"/>
          <w14:textFill>
            <w14:solidFill>
              <w14:schemeClr w14:val="tx1"/>
            </w14:solidFill>
          </w14:textFill>
        </w:rPr>
        <w:t>毒饵盒，</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并</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合理设置毒饵盒</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14:textFill>
            <w14:solidFill>
              <w14:schemeClr w14:val="tx1"/>
            </w14:solidFill>
          </w14:textFill>
        </w:rPr>
        <w:t>（1）毒饵</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盒</w:t>
      </w:r>
      <w:r>
        <w:rPr>
          <w:rFonts w:hint="eastAsia" w:ascii="方正仿宋_GBK" w:hAnsi="宋体" w:eastAsia="方正仿宋_GBK"/>
          <w:bCs/>
          <w:color w:val="000000" w:themeColor="text1"/>
          <w:sz w:val="32"/>
          <w:szCs w:val="32"/>
          <w:highlight w:val="none"/>
          <w14:textFill>
            <w14:solidFill>
              <w14:schemeClr w14:val="tx1"/>
            </w14:solidFill>
          </w14:textFill>
        </w:rPr>
        <w:t>长度要大于25cm</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14:textFill>
            <w14:solidFill>
              <w14:schemeClr w14:val="tx1"/>
            </w14:solidFill>
          </w14:textFill>
        </w:rPr>
        <w:t>（2）选择隐蔽处、沿墙边处摆放</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14:textFill>
            <w14:solidFill>
              <w14:schemeClr w14:val="tx1"/>
            </w14:solidFill>
          </w14:textFill>
        </w:rPr>
        <w:t>（3）不能放置在局部低洼处（避免被雨水浸泡）</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4</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）有明显警示标识</w:t>
      </w:r>
      <w:r>
        <w:rPr>
          <w:rFonts w:hint="eastAsia" w:ascii="方正仿宋_GBK" w:hAnsi="宋体" w:eastAsia="方正仿宋_GBK"/>
          <w:bCs/>
          <w:color w:val="000000" w:themeColor="text1"/>
          <w:sz w:val="32"/>
          <w:szCs w:val="32"/>
          <w:highlight w:val="none"/>
          <w14:textFill>
            <w14:solidFill>
              <w14:schemeClr w14:val="tx1"/>
            </w14:solidFill>
          </w14:textFill>
        </w:rPr>
        <w:t>。</w:t>
      </w:r>
    </w:p>
    <w:p w14:paraId="16E6C29C">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3..成交人负责防制所需药品的仓储、搬运、投放等服务，确保达到国家C级标准的具体防制需求。</w:t>
      </w:r>
    </w:p>
    <w:p w14:paraId="43E363C7">
      <w:pPr>
        <w:ind w:firstLine="643" w:firstLineChars="200"/>
        <w:jc w:val="left"/>
        <w:rPr>
          <w:rFonts w:hint="eastAsia" w:ascii="方正仿宋_GBK" w:hAnsi="宋体" w:eastAsia="方正仿宋_GBK"/>
          <w:b/>
          <w:bCs/>
          <w:color w:val="000000" w:themeColor="text1"/>
          <w:sz w:val="32"/>
          <w:szCs w:val="32"/>
          <w:highlight w:val="none"/>
          <w14:textFill>
            <w14:solidFill>
              <w14:schemeClr w14:val="tx1"/>
            </w14:solidFill>
          </w14:textFill>
        </w:rPr>
      </w:pPr>
      <w:r>
        <w:rPr>
          <w:rFonts w:hint="eastAsia" w:ascii="方正仿宋_GBK" w:hAnsi="宋体" w:eastAsia="方正仿宋_GBK"/>
          <w:b/>
          <w:bCs/>
          <w:color w:val="000000" w:themeColor="text1"/>
          <w:sz w:val="32"/>
          <w:szCs w:val="32"/>
          <w:highlight w:val="none"/>
          <w14:textFill>
            <w14:solidFill>
              <w14:schemeClr w14:val="tx1"/>
            </w14:solidFill>
          </w14:textFill>
        </w:rPr>
        <w:t>注：中标单位签合同提供相关样品。</w:t>
      </w:r>
    </w:p>
    <w:p w14:paraId="706F775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（三）技术服务内容</w:t>
      </w:r>
    </w:p>
    <w:p w14:paraId="061B92D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1.蚊、蝇、蟑螂、老鼠的灭杀及孳生控制技术服务。</w:t>
      </w:r>
    </w:p>
    <w:p w14:paraId="11A95A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2.社区内突发公共卫生事件的环境消毒杀虫技术服务。</w:t>
      </w:r>
    </w:p>
    <w:p w14:paraId="2E57C1F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 xml:space="preserve">3.开展病媒生物防制基础设施调查，向辖区内单位、居民开展蚊、蝇、蟑螂、鼠防制知识宣传活动。 </w:t>
      </w:r>
    </w:p>
    <w:p w14:paraId="4D34B19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4.农贸市场内、公共外环境的灭蟑、灭鼠填缝补洞处理。在合同期间负责无偿补鼠洞、填缝处理和安装维护毒饵盒等。</w:t>
      </w:r>
    </w:p>
    <w:p w14:paraId="091CFE1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5.规范建立健全病媒生物防制服务技术档案，包括实施方案、本底情况调查报告、工作进度安排、监测记录、派工记录、社区和镇街认同签字盖章单等，上述所有档案资料整理后交采购人一份。</w:t>
      </w:r>
    </w:p>
    <w:p w14:paraId="748B757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6.按全市、全区统一时间开展季节性除“四害”活动。</w:t>
      </w:r>
    </w:p>
    <w:p w14:paraId="4C8A8765">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（四）治理频次</w:t>
      </w:r>
    </w:p>
    <w:p w14:paraId="3CA19F9E">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1.鼠：春、夏、秋季每季作两轮防制处理，冬季作一轮防制处理，平时则按2次/月：①社区空旷地、花园、公共绿地、建筑物、小区周边、拆迁地周边等沿建筑物或围墙内侧每个毒饵盒投放鼠药≥30克；②投放于常有老鼠出没的场所，如鼠洞附近、生活垃圾堆（坑）、排水沟周边、下水道窖井口等，根据具体情况投放；③沿河绿化带、边坡或空旷区域，按棋盘式投放，每个毒饵站投放鼠药≥30克。鼠药投放要全范围覆盖，每次先查后投，消失多少补充多少，全部消失加倍补充，连续投放五次作为一轮防制处理。投放鼠药的公共场所要有明显的警示标志，避免人畜误食。④鼠洞填补及鼠药、死鼠清理要求：在防制期间负责填补承包范围内所有鼠洞。鼠药一轮投放完毕，要进行全范围拉网式检查，公共场所的鼠药要即时清扫；清理的死鼠要进行统一填埋或焚烧处理。</w:t>
      </w:r>
    </w:p>
    <w:p w14:paraId="0E9172F4">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2.蚊、蝇、蟑螂：用药严格按照国家规定的用药标准和剂量配制使用，按病媒生物的分布特点、季节消长、主要孳生地的情况做到全范围覆盖和科学合理施药。3～10月，每月至少全范围覆盖喷雾施药3次，其他月份每月至少1次。</w:t>
      </w:r>
    </w:p>
    <w:p w14:paraId="1C2028EF">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（五）质量标准</w:t>
      </w:r>
    </w:p>
    <w:p w14:paraId="2FBF0471">
      <w:pPr>
        <w:ind w:firstLine="64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1.</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按照《国家卫生城市标准》、重庆市卫生城区考核评分细则，鼠类密度控制水平不低于GB/T27770-2011规定的C级要求。蚊虫密度控制水平不低于GB/T27771-2011规定的C级要求。蝇类密度控制水平不低于GB/T27772-2011规定的C级要求。蜚蠊（蟑螂）密度控制水平不低于GB/T27773-2011规定的C级要求。</w:t>
      </w:r>
    </w:p>
    <w:p w14:paraId="2BC5C4F8">
      <w:pPr>
        <w:ind w:firstLine="640" w:firstLineChars="20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eastAsia="zh-CN"/>
          <w14:textFill>
            <w14:solidFill>
              <w14:schemeClr w14:val="tx1"/>
            </w14:solidFill>
          </w14:textFill>
        </w:rPr>
        <w:t>2.群众对公共环境除四害工作满意率达90%，此满意度是群众对满意度的调查统计表进行评价（规定表样）。</w:t>
      </w:r>
    </w:p>
    <w:p w14:paraId="76CA8457">
      <w:pPr>
        <w:ind w:firstLine="640" w:firstLineChars="20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eastAsia="zh-CN"/>
          <w14:textFill>
            <w14:solidFill>
              <w14:schemeClr w14:val="tx1"/>
            </w14:solidFill>
          </w14:textFill>
        </w:rPr>
        <w:t>3.病媒生物防制各项工作达到国卫要求，并成功通过各级检查验收。</w:t>
      </w:r>
    </w:p>
    <w:p w14:paraId="6CCC9B99">
      <w:pPr>
        <w:ind w:firstLine="640" w:firstLineChars="20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eastAsia="zh-CN"/>
          <w14:textFill>
            <w14:solidFill>
              <w14:schemeClr w14:val="tx1"/>
            </w14:solidFill>
          </w14:textFill>
        </w:rPr>
        <w:t>4.完成病媒生物防制服务资料（“四害”密度基数调查，全区“四害”种类、分布情况，防制方案、计划，防制服务情况和设施完善情况等）建设归档。</w:t>
      </w:r>
    </w:p>
    <w:p w14:paraId="15336FB7">
      <w:pPr>
        <w:pStyle w:val="4"/>
        <w:spacing w:before="0" w:after="0" w:line="240" w:lineRule="auto"/>
        <w:ind w:firstLine="640" w:firstLineChars="200"/>
        <w:rPr>
          <w:rFonts w:hint="eastAsia" w:ascii="方正黑体_GBK" w:hAnsi="宋体" w:eastAsia="方正黑体_GBK" w:cs="宋体"/>
          <w:b w:val="0"/>
          <w:color w:val="000000" w:themeColor="text1"/>
          <w:szCs w:val="32"/>
          <w:highlight w:val="none"/>
          <w:lang w:eastAsia="zh-CN"/>
          <w14:textFill>
            <w14:solidFill>
              <w14:schemeClr w14:val="tx1"/>
            </w14:solidFill>
          </w14:textFill>
        </w:rPr>
      </w:pPr>
      <w:r>
        <w:rPr>
          <w:rFonts w:hint="eastAsia" w:ascii="方正黑体_GBK" w:hAnsi="宋体" w:eastAsia="方正黑体_GBK" w:cs="宋体"/>
          <w:b w:val="0"/>
          <w:color w:val="000000" w:themeColor="text1"/>
          <w:szCs w:val="32"/>
          <w:highlight w:val="none"/>
          <w14:textFill>
            <w14:solidFill>
              <w14:schemeClr w14:val="tx1"/>
            </w14:solidFill>
          </w14:textFill>
        </w:rPr>
        <w:t>四、服务期</w:t>
      </w:r>
      <w:r>
        <w:rPr>
          <w:rFonts w:hint="eastAsia" w:ascii="方正黑体_GBK" w:hAnsi="宋体" w:eastAsia="方正黑体_GBK" w:cs="宋体"/>
          <w:b w:val="0"/>
          <w:color w:val="000000" w:themeColor="text1"/>
          <w:szCs w:val="32"/>
          <w:highlight w:val="none"/>
          <w:lang w:eastAsia="zh-CN"/>
          <w14:textFill>
            <w14:solidFill>
              <w14:schemeClr w14:val="tx1"/>
            </w14:solidFill>
          </w14:textFill>
        </w:rPr>
        <w:t>及验收方式</w:t>
      </w:r>
    </w:p>
    <w:p w14:paraId="7CC0035A">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（一）服务期：6个月，从合同签定之日起计算。</w:t>
      </w:r>
    </w:p>
    <w:p w14:paraId="02D2A250">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（二）验收方式：</w:t>
      </w:r>
    </w:p>
    <w:p w14:paraId="133CEF43">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1.镇政府定期或不定期对四害灭杀情况进行检查。</w:t>
      </w:r>
    </w:p>
    <w:p w14:paraId="2C39289B">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2.镇政府、村社区进行日常监督，对中标方人员出勤情况、药品使用和消杀区域等进行日常监督考核，中标方每次出勤及杀灭效果必需由镇政府或村社区工作人员签字、盖章后报镇政府社事办，作为中标方任务完成情况的考核指标。</w:t>
      </w:r>
    </w:p>
    <w:p w14:paraId="07755869">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 xml:space="preserve">3.村社区居民对社区公共外环境及经营单位病媒生物防制工作满意率达90%。每月进行一次居民满意度调查（每月随机抽查不少于15人），满意度调查表格式以合同约定为准，作为中标方杀灭效果的考核指标。 </w:t>
      </w:r>
    </w:p>
    <w:p w14:paraId="385C65E6">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4.区疾控中心每月进行四害密度监测，监测结果每月发给各镇街，作为中标方杀灭效果考核的指标；区爱卫办不定期对病媒生物防制工作情况进行督查，发布整改清单，将是否按要求进行整改作为中标方工作质量考核的指标。</w:t>
      </w:r>
    </w:p>
    <w:p w14:paraId="7AEF3FD8">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5.病媒生物防制工作，建成区鼠、蚊、蝇、蟑螂密度达到国家病媒生物密度控制水平标准C级要求。并顺利通过有关病媒生物指标的专家评定、检查验收。</w:t>
      </w:r>
    </w:p>
    <w:p w14:paraId="67A0BD51">
      <w:pPr>
        <w:pStyle w:val="4"/>
        <w:spacing w:before="0" w:after="0" w:line="240" w:lineRule="auto"/>
        <w:ind w:firstLine="640" w:firstLineChars="200"/>
        <w:rPr>
          <w:rFonts w:ascii="方正黑体_GBK" w:hAnsi="宋体" w:eastAsia="方正黑体_GBK" w:cs="宋体"/>
          <w:b w:val="0"/>
          <w:color w:val="000000" w:themeColor="text1"/>
          <w:szCs w:val="32"/>
          <w:highlight w:val="none"/>
          <w14:textFill>
            <w14:solidFill>
              <w14:schemeClr w14:val="tx1"/>
            </w14:solidFill>
          </w14:textFill>
        </w:rPr>
      </w:pPr>
      <w:r>
        <w:rPr>
          <w:rFonts w:hint="eastAsia" w:ascii="方正黑体_GBK" w:hAnsi="宋体" w:eastAsia="方正黑体_GBK" w:cs="宋体"/>
          <w:b w:val="0"/>
          <w:color w:val="000000" w:themeColor="text1"/>
          <w:szCs w:val="32"/>
          <w:highlight w:val="none"/>
          <w14:textFill>
            <w14:solidFill>
              <w14:schemeClr w14:val="tx1"/>
            </w14:solidFill>
          </w14:textFill>
        </w:rPr>
        <w:t>五、付款方式</w:t>
      </w:r>
    </w:p>
    <w:p w14:paraId="02FA8836">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bookmarkStart w:id="24" w:name="_Toc20778"/>
      <w:bookmarkStart w:id="25" w:name="_Toc9654"/>
      <w:bookmarkStart w:id="26" w:name="_Toc27955"/>
      <w:bookmarkStart w:id="27" w:name="_Toc5085"/>
      <w:bookmarkStart w:id="28" w:name="_Toc11828"/>
      <w:bookmarkStart w:id="29" w:name="_Toc25886"/>
      <w:bookmarkStart w:id="30" w:name="_Toc3475"/>
      <w:bookmarkStart w:id="31" w:name="_Toc31315"/>
      <w:bookmarkStart w:id="32" w:name="_Toc19730"/>
      <w:bookmarkStart w:id="33" w:name="_Toc13969"/>
      <w:bookmarkStart w:id="34" w:name="_Toc25516"/>
      <w:bookmarkStart w:id="35" w:name="_Toc9027"/>
      <w:bookmarkStart w:id="36" w:name="_Toc14778"/>
      <w:bookmarkStart w:id="37" w:name="_Toc15478"/>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服务款分两次支付，第一个月底支付合同金额的50%，合同期满，验收合格后付清尾款；若未严格按照实施方案和技术方案标准执行，未达到质量验收标准的，采购人提出警告并限期整改，在期限内整改完毕，通过验收后支付款项，若未在期限内整改的，采购人不予支付服务款；若成交人中途不履行合同自行退出的，采购人有权不予支付全部服务款，终止合同，重新进行采购。</w:t>
      </w:r>
    </w:p>
    <w:p w14:paraId="0565DF00">
      <w:pPr>
        <w:pStyle w:val="4"/>
        <w:spacing w:before="0" w:after="0" w:line="240" w:lineRule="auto"/>
        <w:ind w:firstLine="640" w:firstLineChars="200"/>
        <w:rPr>
          <w:rFonts w:ascii="方正黑体_GBK" w:hAnsi="宋体" w:eastAsia="方正黑体_GBK" w:cs="宋体"/>
          <w:b w:val="0"/>
          <w:szCs w:val="32"/>
        </w:rPr>
      </w:pPr>
      <w:r>
        <w:rPr>
          <w:rFonts w:hint="eastAsia" w:ascii="方正黑体_GBK" w:hAnsi="宋体" w:eastAsia="方正黑体_GBK" w:cs="宋体"/>
          <w:b w:val="0"/>
          <w:szCs w:val="32"/>
        </w:rPr>
        <w:t>六、联系方式</w:t>
      </w:r>
      <w:bookmarkEnd w:id="24"/>
      <w:bookmarkEnd w:id="25"/>
      <w:bookmarkEnd w:id="26"/>
      <w:bookmarkEnd w:id="27"/>
      <w:bookmarkEnd w:id="28"/>
      <w:bookmarkEnd w:id="29"/>
      <w:bookmarkEnd w:id="30"/>
    </w:p>
    <w:p w14:paraId="3E3C388B">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采购人：</w:t>
      </w:r>
      <w:r>
        <w:rPr>
          <w:rFonts w:ascii="方正仿宋_GBK" w:hAnsi="宋体" w:eastAsia="方正仿宋_GBK" w:cs="宋体"/>
          <w:sz w:val="32"/>
          <w:szCs w:val="32"/>
        </w:rPr>
        <w:t>大渡口区</w:t>
      </w:r>
      <w:r>
        <w:rPr>
          <w:rFonts w:hint="eastAsia" w:ascii="方正仿宋_GBK" w:hAnsi="宋体" w:eastAsia="方正仿宋_GBK" w:cs="宋体"/>
          <w:sz w:val="32"/>
          <w:szCs w:val="32"/>
        </w:rPr>
        <w:t>跳磴镇人民政府</w:t>
      </w:r>
    </w:p>
    <w:p w14:paraId="6B37B3EB">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方正仿宋_GBK" w:hAnsi="宋体" w:eastAsia="方正仿宋_GBK" w:cs="宋体"/>
          <w:sz w:val="32"/>
          <w:szCs w:val="32"/>
          <w:lang w:val="en-US" w:eastAsia="zh-CN"/>
        </w:rPr>
      </w:pPr>
      <w:r>
        <w:rPr>
          <w:rFonts w:hint="eastAsia" w:ascii="方正仿宋_GBK" w:hAnsi="宋体" w:eastAsia="方正仿宋_GBK" w:cs="宋体"/>
          <w:sz w:val="32"/>
          <w:szCs w:val="32"/>
        </w:rPr>
        <w:t>联系人：</w:t>
      </w:r>
      <w:r>
        <w:rPr>
          <w:rFonts w:hint="eastAsia" w:ascii="方正仿宋_GBK" w:hAnsi="宋体" w:eastAsia="方正仿宋_GBK" w:cs="宋体"/>
          <w:sz w:val="32"/>
          <w:szCs w:val="32"/>
          <w:lang w:val="en-US" w:eastAsia="zh-CN"/>
        </w:rPr>
        <w:t>熊甜甜</w:t>
      </w:r>
    </w:p>
    <w:p w14:paraId="51E868EF">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default" w:ascii="方正仿宋_GBK" w:hAnsi="宋体" w:eastAsia="方正仿宋_GBK" w:cs="宋体"/>
          <w:sz w:val="32"/>
          <w:szCs w:val="32"/>
          <w:lang w:val="en-US" w:eastAsia="zh-CN"/>
        </w:rPr>
      </w:pPr>
      <w:r>
        <w:rPr>
          <w:rFonts w:hint="eastAsia" w:ascii="方正仿宋_GBK" w:hAnsi="宋体" w:eastAsia="方正仿宋_GBK" w:cs="宋体"/>
          <w:sz w:val="32"/>
          <w:szCs w:val="32"/>
        </w:rPr>
        <w:t>电  话：</w:t>
      </w:r>
      <w:r>
        <w:rPr>
          <w:rFonts w:hint="eastAsia" w:ascii="方正仿宋_GBK" w:hAnsi="宋体" w:eastAsia="方正仿宋_GBK" w:cs="宋体"/>
          <w:sz w:val="32"/>
          <w:szCs w:val="32"/>
          <w:lang w:val="en-US" w:eastAsia="zh-CN"/>
        </w:rPr>
        <w:t>68535802</w:t>
      </w:r>
    </w:p>
    <w:p w14:paraId="2975B5D9">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地</w:t>
      </w:r>
      <w:r>
        <w:rPr>
          <w:rFonts w:hint="eastAsia" w:ascii="方正仿宋_GBK" w:hAnsi="宋体" w:eastAsia="方正仿宋_GBK" w:cs="宋体"/>
          <w:sz w:val="32"/>
          <w:szCs w:val="32"/>
          <w:lang w:val="en-US" w:eastAsia="zh-CN"/>
        </w:rPr>
        <w:t xml:space="preserve">  </w:t>
      </w:r>
      <w:r>
        <w:rPr>
          <w:rFonts w:hint="eastAsia" w:ascii="方正仿宋_GBK" w:hAnsi="宋体" w:eastAsia="方正仿宋_GBK" w:cs="宋体"/>
          <w:sz w:val="32"/>
          <w:szCs w:val="32"/>
        </w:rPr>
        <w:t>址：大渡口区跳磴镇正街67号</w:t>
      </w:r>
    </w:p>
    <w:p w14:paraId="383CC59D">
      <w:pPr>
        <w:pStyle w:val="4"/>
        <w:spacing w:before="0" w:after="0" w:line="240" w:lineRule="auto"/>
        <w:ind w:firstLine="640" w:firstLineChars="200"/>
        <w:rPr>
          <w:rFonts w:ascii="方正黑体_GBK" w:hAnsi="宋体" w:eastAsia="方正黑体_GBK" w:cs="宋体"/>
          <w:b w:val="0"/>
          <w:szCs w:val="32"/>
        </w:rPr>
      </w:pPr>
      <w:r>
        <w:rPr>
          <w:rFonts w:hint="eastAsia" w:ascii="方正黑体_GBK" w:hAnsi="宋体" w:eastAsia="方正黑体_GBK" w:cs="宋体"/>
          <w:b w:val="0"/>
          <w:szCs w:val="32"/>
        </w:rPr>
        <w:t>七、</w:t>
      </w:r>
      <w:bookmarkEnd w:id="31"/>
      <w:bookmarkEnd w:id="32"/>
      <w:bookmarkEnd w:id="33"/>
      <w:bookmarkEnd w:id="34"/>
      <w:bookmarkEnd w:id="35"/>
      <w:bookmarkEnd w:id="36"/>
      <w:bookmarkEnd w:id="37"/>
      <w:r>
        <w:rPr>
          <w:rFonts w:hint="eastAsia" w:ascii="方正黑体_GBK" w:hAnsi="宋体" w:eastAsia="方正黑体_GBK" w:cs="宋体"/>
          <w:b w:val="0"/>
          <w:szCs w:val="32"/>
        </w:rPr>
        <w:t>其它有关规定</w:t>
      </w:r>
    </w:p>
    <w:p w14:paraId="12804D16">
      <w:pPr>
        <w:snapToGrid w:val="0"/>
        <w:ind w:firstLine="640" w:firstLineChars="200"/>
        <w:rPr>
          <w:rFonts w:ascii="方正仿宋_GBK" w:hAnsi="宋体" w:eastAsia="方正仿宋_GBK" w:cs="宋体"/>
          <w:sz w:val="32"/>
          <w:szCs w:val="32"/>
        </w:rPr>
      </w:pPr>
      <w:r>
        <w:rPr>
          <w:rFonts w:hint="eastAsia" w:ascii="宋体" w:hAnsi="宋体" w:cs="宋体"/>
          <w:sz w:val="32"/>
          <w:szCs w:val="32"/>
        </w:rPr>
        <w:t>（一）</w:t>
      </w:r>
      <w:r>
        <w:rPr>
          <w:rFonts w:hint="eastAsia" w:ascii="方正仿宋_GBK" w:hAnsi="宋体" w:eastAsia="方正仿宋_GBK" w:cs="宋体"/>
          <w:sz w:val="32"/>
          <w:szCs w:val="32"/>
        </w:rPr>
        <w:t>凡有意参加询价的供应商，请于公告发布之日起至报名截止时间之前，在</w:t>
      </w:r>
      <w:r>
        <w:rPr>
          <w:rFonts w:hint="eastAsia" w:ascii="方正仿宋_GBK" w:hAnsi="宋体" w:eastAsia="方正仿宋_GBK" w:cs="宋体"/>
          <w:sz w:val="32"/>
          <w:szCs w:val="32"/>
          <w:highlight w:val="none"/>
          <w:lang w:eastAsia="zh-CN"/>
        </w:rPr>
        <w:t>行采家</w:t>
      </w:r>
      <w:r>
        <w:rPr>
          <w:rFonts w:hint="eastAsia" w:ascii="方正仿宋_GBK" w:hAnsi="宋体" w:eastAsia="方正仿宋_GBK" w:cs="宋体"/>
          <w:sz w:val="32"/>
          <w:szCs w:val="32"/>
          <w:highlight w:val="none"/>
        </w:rPr>
        <w:t>下</w:t>
      </w:r>
      <w:r>
        <w:rPr>
          <w:rFonts w:hint="eastAsia" w:ascii="方正仿宋_GBK" w:hAnsi="宋体" w:eastAsia="方正仿宋_GBK" w:cs="宋体"/>
          <w:sz w:val="32"/>
          <w:szCs w:val="32"/>
        </w:rPr>
        <w:t>载查看本项目需求文件以及变更公告等询价前公布的所有项目资料，无论供应商下载查看与否，均视为已知晓所有询价实质性要求内容。</w:t>
      </w:r>
    </w:p>
    <w:p w14:paraId="5310F2E8">
      <w:pPr>
        <w:snapToGrid w:val="0"/>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w:t>
      </w:r>
      <w:r>
        <w:rPr>
          <w:rFonts w:hint="eastAsia" w:ascii="方正仿宋_GBK" w:hAnsi="宋体" w:eastAsia="方正仿宋_GBK" w:cs="宋体"/>
          <w:sz w:val="32"/>
          <w:szCs w:val="32"/>
          <w:lang w:eastAsia="zh-CN"/>
        </w:rPr>
        <w:t>二</w:t>
      </w:r>
      <w:r>
        <w:rPr>
          <w:rFonts w:hint="eastAsia" w:ascii="方正仿宋_GBK" w:hAnsi="宋体" w:eastAsia="方正仿宋_GBK" w:cs="宋体"/>
          <w:sz w:val="32"/>
          <w:szCs w:val="32"/>
        </w:rPr>
        <w:t>）无论询价结果如何，供应商参与本项目的所有费用均自行承担。</w:t>
      </w:r>
    </w:p>
    <w:p w14:paraId="765BFE49">
      <w:pPr>
        <w:pStyle w:val="4"/>
        <w:spacing w:before="0" w:after="0" w:line="240" w:lineRule="auto"/>
        <w:ind w:firstLine="640" w:firstLineChars="200"/>
        <w:rPr>
          <w:rFonts w:ascii="方正黑体_GBK" w:hAnsi="宋体" w:eastAsia="方正黑体_GBK" w:cs="宋体"/>
          <w:b w:val="0"/>
          <w:szCs w:val="32"/>
        </w:rPr>
      </w:pPr>
      <w:r>
        <w:rPr>
          <w:rFonts w:hint="eastAsia" w:ascii="方正黑体_GBK" w:hAnsi="宋体" w:eastAsia="方正黑体_GBK" w:cs="宋体"/>
          <w:b w:val="0"/>
          <w:szCs w:val="32"/>
        </w:rPr>
        <w:t>八、评选方法</w:t>
      </w:r>
    </w:p>
    <w:p w14:paraId="198FC493">
      <w:pPr>
        <w:snapToGrid w:val="0"/>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综合评分法。满分100分，采购人对已入围评审的报名询价人的响应文件和报价进行评分，得分最高的供应商为成交供应商；未入围的报名供应商不参与评审。</w:t>
      </w:r>
    </w:p>
    <w:p w14:paraId="520B70D2">
      <w:pPr>
        <w:snapToGrid w:val="0"/>
        <w:ind w:firstLine="640" w:firstLineChars="200"/>
        <w:rPr>
          <w:rFonts w:ascii="方正仿宋_GBK" w:hAnsi="宋体" w:eastAsia="方正仿宋_GBK" w:cs="宋体"/>
          <w:sz w:val="32"/>
          <w:szCs w:val="32"/>
        </w:rPr>
      </w:pPr>
      <w:r>
        <w:rPr>
          <w:rFonts w:ascii="方正仿宋_GBK" w:hAnsi="宋体" w:eastAsia="方正仿宋_GBK" w:cs="宋体"/>
          <w:sz w:val="32"/>
          <w:szCs w:val="32"/>
        </w:rPr>
        <w:t>如果出现</w:t>
      </w:r>
      <w:r>
        <w:rPr>
          <w:rFonts w:hint="eastAsia" w:ascii="方正仿宋_GBK" w:hAnsi="宋体" w:eastAsia="方正仿宋_GBK" w:cs="宋体"/>
          <w:sz w:val="32"/>
          <w:szCs w:val="32"/>
        </w:rPr>
        <w:t>供应商</w:t>
      </w:r>
      <w:r>
        <w:rPr>
          <w:rFonts w:ascii="方正仿宋_GBK" w:hAnsi="宋体" w:eastAsia="方正仿宋_GBK" w:cs="宋体"/>
          <w:sz w:val="32"/>
          <w:szCs w:val="32"/>
        </w:rPr>
        <w:t>评分相同的情况，供应商重新提交响应文件和报价按照评审标准进行重新评定。</w:t>
      </w:r>
    </w:p>
    <w:p w14:paraId="40D62CEC">
      <w:pPr>
        <w:pStyle w:val="4"/>
        <w:spacing w:before="0" w:after="0" w:line="240" w:lineRule="auto"/>
        <w:ind w:firstLine="640" w:firstLineChars="200"/>
        <w:rPr>
          <w:rFonts w:ascii="方正黑体_GBK" w:hAnsi="宋体" w:eastAsia="方正黑体_GBK" w:cs="宋体"/>
          <w:b w:val="0"/>
          <w:szCs w:val="32"/>
        </w:rPr>
      </w:pPr>
      <w:r>
        <w:rPr>
          <w:rFonts w:hint="eastAsia" w:ascii="方正黑体_GBK" w:hAnsi="宋体" w:eastAsia="方正黑体_GBK" w:cs="宋体"/>
          <w:b w:val="0"/>
          <w:szCs w:val="32"/>
        </w:rPr>
        <w:t>九、其他</w:t>
      </w:r>
    </w:p>
    <w:p w14:paraId="67737DDE">
      <w:pPr>
        <w:pStyle w:val="22"/>
        <w:ind w:firstLine="640" w:firstLineChars="200"/>
        <w:rPr>
          <w:rFonts w:ascii="方正仿宋_GBK" w:hAnsi="方正仿宋_GBK" w:eastAsia="方正仿宋_GBK" w:cs="方正仿宋_GBK"/>
        </w:rPr>
      </w:pPr>
      <w:r>
        <w:rPr>
          <w:rFonts w:hint="eastAsia" w:ascii="方正仿宋_GBK" w:hAnsi="方正仿宋_GBK" w:eastAsia="方正仿宋_GBK" w:cs="方正仿宋_GBK"/>
          <w:szCs w:val="32"/>
        </w:rPr>
        <w:t>（一）</w:t>
      </w:r>
      <w:r>
        <w:rPr>
          <w:rFonts w:hint="eastAsia" w:ascii="方正仿宋_GBK" w:hAnsi="方正仿宋_GBK" w:eastAsia="方正仿宋_GBK" w:cs="方正仿宋_GBK"/>
        </w:rPr>
        <w:t>凡有意参加询比的供应商，请于公告发布之日起至报名截止时间之前，在</w:t>
      </w:r>
      <w:r>
        <w:rPr>
          <w:rFonts w:hint="eastAsia" w:ascii="方正仿宋_GBK" w:hAnsi="方正仿宋_GBK" w:eastAsia="方正仿宋_GBK" w:cs="方正仿宋_GBK"/>
          <w:highlight w:val="none"/>
          <w:lang w:eastAsia="zh-CN"/>
        </w:rPr>
        <w:t>行采家</w:t>
      </w:r>
      <w:r>
        <w:rPr>
          <w:rFonts w:hint="eastAsia" w:ascii="方正仿宋_GBK" w:hAnsi="方正仿宋_GBK" w:eastAsia="方正仿宋_GBK" w:cs="方正仿宋_GBK"/>
          <w:highlight w:val="none"/>
        </w:rPr>
        <w:t>下载</w:t>
      </w:r>
      <w:r>
        <w:rPr>
          <w:rFonts w:hint="eastAsia" w:ascii="方正仿宋_GBK" w:hAnsi="方正仿宋_GBK" w:eastAsia="方正仿宋_GBK" w:cs="方正仿宋_GBK"/>
        </w:rPr>
        <w:t>查看本项目需求文件以及变更公告等询比前公布的所有项目资料，无论供应商下载查看与否，均视为已知晓所有询比实质性要求内容。</w:t>
      </w:r>
    </w:p>
    <w:p w14:paraId="73E6A086">
      <w:pPr>
        <w:pStyle w:val="22"/>
        <w:ind w:firstLine="640" w:firstLineChars="200"/>
        <w:rPr>
          <w:rFonts w:ascii="方正仿宋_GBK" w:hAnsi="方正仿宋_GBK" w:eastAsia="方正仿宋_GBK" w:cs="方正仿宋_GBK"/>
        </w:rPr>
      </w:pPr>
      <w:r>
        <w:rPr>
          <w:rFonts w:hint="eastAsia" w:ascii="方正仿宋_GBK" w:hAnsi="方正仿宋_GBK" w:eastAsia="方正仿宋_GBK" w:cs="方正仿宋_GBK"/>
          <w:szCs w:val="32"/>
        </w:rPr>
        <w:t>（二）</w:t>
      </w:r>
      <w:r>
        <w:rPr>
          <w:rFonts w:hint="eastAsia" w:ascii="方正仿宋_GBK" w:hAnsi="方正仿宋_GBK" w:eastAsia="方正仿宋_GBK" w:cs="方正仿宋_GBK"/>
        </w:rPr>
        <w:t>供应商须在平台上报名并按要求上传响应文件，未按要求提供的为无效供应商。</w:t>
      </w:r>
    </w:p>
    <w:p w14:paraId="568F4EA9">
      <w:pPr>
        <w:pStyle w:val="22"/>
        <w:ind w:firstLine="640" w:firstLineChars="200"/>
        <w:rPr>
          <w:rFonts w:ascii="方正仿宋_GBK" w:hAnsi="方正仿宋_GBK" w:eastAsia="方正仿宋_GBK" w:cs="方正仿宋_GBK"/>
        </w:rPr>
      </w:pPr>
      <w:r>
        <w:rPr>
          <w:rFonts w:hint="eastAsia" w:ascii="方正仿宋_GBK" w:hAnsi="方正仿宋_GBK" w:eastAsia="方正仿宋_GBK" w:cs="方正仿宋_GBK"/>
          <w:szCs w:val="32"/>
        </w:rPr>
        <w:t>（三）</w:t>
      </w:r>
      <w:r>
        <w:rPr>
          <w:rFonts w:hint="eastAsia" w:ascii="方正仿宋_GBK" w:hAnsi="方正仿宋_GBK" w:eastAsia="方正仿宋_GBK" w:cs="方正仿宋_GBK"/>
        </w:rPr>
        <w:t>无论询比结果如何，供应商参与本项目的所有费用均由自行承担。</w:t>
      </w:r>
    </w:p>
    <w:p w14:paraId="74C3ED40">
      <w:pPr>
        <w:pStyle w:val="4"/>
        <w:spacing w:before="0" w:after="0" w:line="240" w:lineRule="auto"/>
        <w:ind w:firstLine="640" w:firstLineChars="200"/>
        <w:rPr>
          <w:rFonts w:ascii="方正黑体_GBK" w:hAnsi="宋体" w:eastAsia="方正黑体_GBK" w:cs="宋体"/>
          <w:b w:val="0"/>
          <w:szCs w:val="32"/>
        </w:rPr>
      </w:pPr>
      <w:r>
        <w:rPr>
          <w:rFonts w:hint="eastAsia" w:ascii="方正黑体_GBK" w:hAnsi="宋体" w:eastAsia="方正黑体_GBK" w:cs="宋体"/>
          <w:b w:val="0"/>
          <w:szCs w:val="32"/>
        </w:rPr>
        <w:t>十、供应商提交响应文件</w:t>
      </w:r>
    </w:p>
    <w:p w14:paraId="6BB5736F">
      <w:pPr>
        <w:snapToGrid w:val="0"/>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（一）供应商线上报名、报价时需上传盖章后的电子文档一份。</w:t>
      </w:r>
    </w:p>
    <w:p w14:paraId="79E8FD6B">
      <w:pPr>
        <w:snapToGrid w:val="0"/>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（二）采购人将以平台的线上资料作为评判依据，供应商纸质响应文件辅助评审。</w:t>
      </w:r>
    </w:p>
    <w:p w14:paraId="47786FC6">
      <w:pPr>
        <w:snapToGrid w:val="0"/>
        <w:ind w:firstLine="640" w:firstLineChars="200"/>
        <w:rPr>
          <w:rFonts w:ascii="宋体" w:hAnsi="宋体" w:cs="宋体"/>
          <w:sz w:val="32"/>
          <w:szCs w:val="32"/>
        </w:rPr>
      </w:pPr>
      <w:r>
        <w:rPr>
          <w:rFonts w:hint="eastAsia" w:ascii="方正仿宋_GBK" w:hAnsi="宋体" w:eastAsia="方正仿宋_GBK" w:cs="宋体"/>
          <w:sz w:val="32"/>
          <w:szCs w:val="32"/>
        </w:rPr>
        <w:t xml:space="preserve">（三）供应商制作的响应文件电子文档，须按照要求制作，规定签字、盖章的地方必须按其规定签字、盖章，未按要求制作响应文件的进行废标处理。 </w:t>
      </w:r>
    </w:p>
    <w:p w14:paraId="57A63F8C">
      <w:pPr>
        <w:spacing w:line="312" w:lineRule="auto"/>
        <w:jc w:val="center"/>
        <w:rPr>
          <w:rFonts w:ascii="宋体" w:hAnsi="宋体"/>
          <w:b/>
          <w:bCs/>
        </w:rPr>
      </w:pPr>
      <w:r>
        <w:rPr>
          <w:rFonts w:hint="eastAsia" w:ascii="宋体" w:hAnsi="宋体"/>
          <w:b/>
          <w:bCs/>
        </w:rPr>
        <w:t>评审标准</w:t>
      </w:r>
    </w:p>
    <w:tbl>
      <w:tblPr>
        <w:tblStyle w:val="5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4"/>
        <w:gridCol w:w="1201"/>
        <w:gridCol w:w="709"/>
        <w:gridCol w:w="4635"/>
        <w:gridCol w:w="1732"/>
      </w:tblGrid>
      <w:tr w14:paraId="362C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75" w:type="dxa"/>
            <w:tcBorders>
              <w:top w:val="single" w:color="auto" w:sz="4" w:space="0"/>
              <w:left w:val="single" w:color="auto" w:sz="4" w:space="0"/>
              <w:bottom w:val="single" w:color="auto" w:sz="4" w:space="0"/>
              <w:right w:val="single" w:color="auto" w:sz="4" w:space="0"/>
            </w:tcBorders>
            <w:vAlign w:val="center"/>
          </w:tcPr>
          <w:p w14:paraId="3DABE8D2">
            <w:pPr>
              <w:spacing w:line="240" w:lineRule="atLeast"/>
              <w:ind w:firstLine="28"/>
              <w:jc w:val="center"/>
              <w:rPr>
                <w:rFonts w:ascii="方正仿宋_GBK" w:hAnsi="宋体" w:eastAsia="方正仿宋_GBK"/>
                <w:b/>
              </w:rPr>
            </w:pPr>
            <w:r>
              <w:rPr>
                <w:rFonts w:hint="eastAsia" w:ascii="方正仿宋_GBK" w:hAnsi="宋体" w:eastAsia="方正仿宋_GBK"/>
                <w:b/>
              </w:rPr>
              <w:t>序号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EB033A3">
            <w:pPr>
              <w:spacing w:line="240" w:lineRule="atLeast"/>
              <w:ind w:firstLine="28"/>
              <w:jc w:val="center"/>
              <w:rPr>
                <w:rFonts w:ascii="方正仿宋_GBK" w:hAnsi="宋体" w:eastAsia="方正仿宋_GBK"/>
                <w:b/>
              </w:rPr>
            </w:pPr>
            <w:r>
              <w:rPr>
                <w:rFonts w:hint="eastAsia" w:ascii="方正仿宋_GBK" w:hAnsi="宋体" w:eastAsia="方正仿宋_GBK"/>
                <w:b/>
              </w:rPr>
              <w:t>评分因素及权值</w:t>
            </w:r>
          </w:p>
        </w:tc>
        <w:tc>
          <w:tcPr>
            <w:tcW w:w="709" w:type="dxa"/>
            <w:tcBorders>
              <w:top w:val="single" w:color="auto" w:sz="4" w:space="0"/>
              <w:left w:val="single" w:color="auto" w:sz="4" w:space="0"/>
              <w:bottom w:val="single" w:color="auto" w:sz="4" w:space="0"/>
              <w:right w:val="single" w:color="auto" w:sz="4" w:space="0"/>
            </w:tcBorders>
            <w:vAlign w:val="center"/>
          </w:tcPr>
          <w:p w14:paraId="4F1E204B">
            <w:pPr>
              <w:spacing w:line="240" w:lineRule="atLeast"/>
              <w:ind w:firstLine="28"/>
              <w:jc w:val="center"/>
              <w:rPr>
                <w:rFonts w:ascii="方正仿宋_GBK" w:hAnsi="宋体" w:eastAsia="方正仿宋_GBK"/>
                <w:b/>
              </w:rPr>
            </w:pPr>
            <w:r>
              <w:rPr>
                <w:rFonts w:hint="eastAsia" w:ascii="方正仿宋_GBK" w:hAnsi="宋体" w:eastAsia="方正仿宋_GBK"/>
                <w:b/>
              </w:rPr>
              <w:t>分值</w:t>
            </w:r>
          </w:p>
        </w:tc>
        <w:tc>
          <w:tcPr>
            <w:tcW w:w="4635" w:type="dxa"/>
            <w:tcBorders>
              <w:top w:val="single" w:color="auto" w:sz="4" w:space="0"/>
              <w:left w:val="single" w:color="auto" w:sz="4" w:space="0"/>
              <w:bottom w:val="single" w:color="auto" w:sz="4" w:space="0"/>
              <w:right w:val="single" w:color="auto" w:sz="4" w:space="0"/>
            </w:tcBorders>
            <w:vAlign w:val="center"/>
          </w:tcPr>
          <w:p w14:paraId="7DC188EA">
            <w:pPr>
              <w:spacing w:line="240" w:lineRule="atLeast"/>
              <w:ind w:firstLine="28"/>
              <w:jc w:val="center"/>
              <w:rPr>
                <w:rFonts w:ascii="方正仿宋_GBK" w:hAnsi="宋体" w:eastAsia="方正仿宋_GBK"/>
                <w:b/>
              </w:rPr>
            </w:pPr>
            <w:r>
              <w:rPr>
                <w:rFonts w:hint="eastAsia" w:ascii="方正仿宋_GBK" w:hAnsi="宋体" w:eastAsia="方正仿宋_GBK"/>
                <w:b/>
              </w:rPr>
              <w:t>评分标准</w:t>
            </w:r>
          </w:p>
        </w:tc>
        <w:tc>
          <w:tcPr>
            <w:tcW w:w="1732" w:type="dxa"/>
            <w:tcBorders>
              <w:top w:val="single" w:color="auto" w:sz="4" w:space="0"/>
              <w:left w:val="single" w:color="auto" w:sz="4" w:space="0"/>
              <w:bottom w:val="single" w:color="auto" w:sz="4" w:space="0"/>
              <w:right w:val="single" w:color="auto" w:sz="4" w:space="0"/>
            </w:tcBorders>
            <w:vAlign w:val="center"/>
          </w:tcPr>
          <w:p w14:paraId="51EF3112">
            <w:pPr>
              <w:spacing w:line="240" w:lineRule="atLeast"/>
              <w:ind w:firstLine="562" w:firstLineChars="200"/>
              <w:rPr>
                <w:rFonts w:ascii="方正仿宋_GBK" w:hAnsi="宋体" w:eastAsia="方正仿宋_GBK"/>
                <w:b/>
              </w:rPr>
            </w:pPr>
            <w:r>
              <w:rPr>
                <w:rFonts w:hint="eastAsia" w:ascii="方正仿宋_GBK" w:hAnsi="宋体" w:eastAsia="方正仿宋_GBK"/>
                <w:b/>
              </w:rPr>
              <w:t>说明</w:t>
            </w:r>
          </w:p>
        </w:tc>
      </w:tr>
      <w:tr w14:paraId="1437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75" w:type="dxa"/>
            <w:tcBorders>
              <w:top w:val="single" w:color="auto" w:sz="4" w:space="0"/>
              <w:left w:val="single" w:color="auto" w:sz="4" w:space="0"/>
              <w:bottom w:val="single" w:color="auto" w:sz="4" w:space="0"/>
              <w:right w:val="single" w:color="auto" w:sz="4" w:space="0"/>
            </w:tcBorders>
            <w:vAlign w:val="center"/>
          </w:tcPr>
          <w:p w14:paraId="14D18858">
            <w:pPr>
              <w:spacing w:line="360" w:lineRule="atLeast"/>
              <w:jc w:val="center"/>
              <w:rPr>
                <w:rFonts w:eastAsia="方正仿宋_GBK"/>
                <w:sz w:val="24"/>
                <w:szCs w:val="24"/>
              </w:rPr>
            </w:pPr>
            <w:r>
              <w:rPr>
                <w:rFonts w:eastAsia="方正仿宋_GBK"/>
                <w:sz w:val="24"/>
                <w:szCs w:val="24"/>
              </w:rPr>
              <w:t>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4A9A690">
            <w:pPr>
              <w:spacing w:line="312" w:lineRule="auto"/>
              <w:jc w:val="left"/>
              <w:rPr>
                <w:sz w:val="24"/>
                <w:szCs w:val="24"/>
              </w:rPr>
            </w:pPr>
            <w:r>
              <w:rPr>
                <w:rFonts w:ascii="宋体" w:hAnsi="宋体"/>
                <w:sz w:val="24"/>
                <w:szCs w:val="24"/>
              </w:rPr>
              <w:t>询比报价</w:t>
            </w:r>
          </w:p>
          <w:p w14:paraId="3D69E959">
            <w:pPr>
              <w:spacing w:line="312" w:lineRule="auto"/>
              <w:jc w:val="left"/>
              <w:rPr>
                <w:sz w:val="24"/>
                <w:szCs w:val="24"/>
              </w:rPr>
            </w:pPr>
            <w:r>
              <w:rPr>
                <w:rFonts w:ascii="宋体" w:hAnsi="宋体"/>
                <w:sz w:val="24"/>
                <w:szCs w:val="24"/>
              </w:rPr>
              <w:t>（</w:t>
            </w:r>
            <w:r>
              <w:rPr>
                <w:rFonts w:hint="eastAsia" w:ascii="宋体" w:hAnsi="宋体"/>
                <w:sz w:val="24"/>
                <w:szCs w:val="24"/>
                <w:lang w:val="en-US" w:eastAsia="zh-CN"/>
              </w:rPr>
              <w:t>2</w:t>
            </w:r>
            <w:r>
              <w:rPr>
                <w:rFonts w:hint="eastAsia"/>
                <w:sz w:val="24"/>
                <w:szCs w:val="24"/>
              </w:rPr>
              <w:t>0</w:t>
            </w:r>
            <w:r>
              <w:rPr>
                <w:sz w:val="24"/>
                <w:szCs w:val="24"/>
              </w:rPr>
              <w:t>%</w:t>
            </w:r>
            <w:r>
              <w:rPr>
                <w:rFonts w:ascii="宋体" w:hAnsi="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14:paraId="69EC08FF">
            <w:pPr>
              <w:snapToGrid w:val="0"/>
              <w:spacing w:line="540" w:lineRule="exact"/>
              <w:ind w:firstLine="28" w:firstLineChars="0"/>
              <w:jc w:val="center"/>
              <w:rPr>
                <w:sz w:val="24"/>
                <w:szCs w:val="24"/>
              </w:rPr>
            </w:pPr>
            <w:r>
              <w:rPr>
                <w:rFonts w:hint="eastAsia" w:eastAsia="方正仿宋_GBK"/>
                <w:sz w:val="24"/>
                <w:lang w:val="en-US" w:eastAsia="zh-CN"/>
              </w:rPr>
              <w:t>2</w:t>
            </w:r>
            <w:r>
              <w:rPr>
                <w:rFonts w:eastAsia="方正仿宋_GBK"/>
                <w:sz w:val="24"/>
              </w:rPr>
              <w:t>0</w:t>
            </w:r>
          </w:p>
        </w:tc>
        <w:tc>
          <w:tcPr>
            <w:tcW w:w="4635" w:type="dxa"/>
            <w:tcBorders>
              <w:top w:val="single" w:color="auto" w:sz="4" w:space="0"/>
              <w:left w:val="single" w:color="auto" w:sz="4" w:space="0"/>
              <w:bottom w:val="single" w:color="auto" w:sz="4" w:space="0"/>
              <w:right w:val="single" w:color="auto" w:sz="4" w:space="0"/>
            </w:tcBorders>
            <w:vAlign w:val="center"/>
          </w:tcPr>
          <w:p w14:paraId="323CA14C">
            <w:pPr>
              <w:spacing w:line="240" w:lineRule="atLeast"/>
              <w:rPr>
                <w:rFonts w:ascii="方正仿宋_GBK" w:hAnsi="宋体" w:eastAsia="方正仿宋_GBK"/>
                <w:sz w:val="24"/>
                <w:szCs w:val="24"/>
              </w:rPr>
            </w:pPr>
            <w:r>
              <w:rPr>
                <w:rFonts w:ascii="方正仿宋_GBK" w:hAnsi="宋体" w:eastAsia="方正仿宋_GBK"/>
                <w:sz w:val="24"/>
                <w:szCs w:val="24"/>
              </w:rPr>
              <w:t>满足资格要求且最后报价最低的供应商的价格为基准价，按照下列公式计算每个供应商的报价得分。</w:t>
            </w:r>
          </w:p>
          <w:p w14:paraId="4531F7B2">
            <w:pPr>
              <w:snapToGrid w:val="0"/>
              <w:jc w:val="left"/>
              <w:rPr>
                <w:sz w:val="24"/>
                <w:szCs w:val="24"/>
              </w:rPr>
            </w:pPr>
            <w:r>
              <w:rPr>
                <w:rFonts w:ascii="方正仿宋_GBK" w:hAnsi="宋体" w:eastAsia="方正仿宋_GBK"/>
                <w:sz w:val="24"/>
                <w:szCs w:val="24"/>
              </w:rPr>
              <w:t>报价得分=（基准价/最后报价）×100</w:t>
            </w:r>
          </w:p>
        </w:tc>
        <w:tc>
          <w:tcPr>
            <w:tcW w:w="1732" w:type="dxa"/>
            <w:tcBorders>
              <w:top w:val="single" w:color="auto" w:sz="4" w:space="0"/>
              <w:left w:val="single" w:color="auto" w:sz="4" w:space="0"/>
              <w:bottom w:val="single" w:color="auto" w:sz="4" w:space="0"/>
              <w:right w:val="single" w:color="auto" w:sz="4" w:space="0"/>
            </w:tcBorders>
            <w:vAlign w:val="center"/>
          </w:tcPr>
          <w:p w14:paraId="57A71451">
            <w:pPr>
              <w:spacing w:line="240" w:lineRule="atLeast"/>
              <w:rPr>
                <w:rFonts w:hint="default" w:ascii="方正仿宋_GBK" w:hAnsi="宋体" w:eastAsia="方正仿宋_GBK" w:cs="Times New Roman"/>
                <w:sz w:val="24"/>
                <w:szCs w:val="24"/>
              </w:rPr>
            </w:pPr>
            <w:r>
              <w:rPr>
                <w:rFonts w:hint="default" w:ascii="方正仿宋_GBK" w:hAnsi="宋体" w:eastAsia="方正仿宋_GBK" w:cs="Times New Roman"/>
                <w:sz w:val="24"/>
                <w:szCs w:val="24"/>
              </w:rPr>
              <w:t>仅面向中小微企业</w:t>
            </w:r>
          </w:p>
          <w:p w14:paraId="126BCCA1">
            <w:pPr>
              <w:spacing w:line="240" w:lineRule="atLeast"/>
              <w:rPr>
                <w:sz w:val="24"/>
                <w:szCs w:val="24"/>
              </w:rPr>
            </w:pPr>
          </w:p>
        </w:tc>
      </w:tr>
      <w:tr w14:paraId="0CB3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trPr>
        <w:tc>
          <w:tcPr>
            <w:tcW w:w="675" w:type="dxa"/>
            <w:vMerge w:val="restart"/>
            <w:tcBorders>
              <w:top w:val="nil"/>
              <w:left w:val="single" w:color="auto" w:sz="4" w:space="0"/>
              <w:bottom w:val="single" w:color="auto" w:sz="4" w:space="0"/>
              <w:right w:val="single" w:color="auto" w:sz="4" w:space="0"/>
            </w:tcBorders>
            <w:vAlign w:val="center"/>
          </w:tcPr>
          <w:p w14:paraId="772ECE6B">
            <w:pPr>
              <w:spacing w:line="360" w:lineRule="exact"/>
              <w:jc w:val="center"/>
              <w:rPr>
                <w:rFonts w:eastAsia="方正仿宋_GBK"/>
                <w:sz w:val="24"/>
                <w:szCs w:val="24"/>
              </w:rPr>
            </w:pPr>
            <w:r>
              <w:rPr>
                <w:rFonts w:eastAsia="方正仿宋_GBK"/>
                <w:sz w:val="24"/>
                <w:szCs w:val="24"/>
              </w:rPr>
              <w:t>2</w:t>
            </w:r>
          </w:p>
        </w:tc>
        <w:tc>
          <w:tcPr>
            <w:tcW w:w="784" w:type="dxa"/>
            <w:vMerge w:val="restart"/>
            <w:tcBorders>
              <w:top w:val="nil"/>
              <w:left w:val="single" w:color="auto" w:sz="4" w:space="0"/>
              <w:bottom w:val="single" w:color="auto" w:sz="4" w:space="0"/>
              <w:right w:val="single" w:color="auto" w:sz="4" w:space="0"/>
            </w:tcBorders>
            <w:vAlign w:val="center"/>
          </w:tcPr>
          <w:p w14:paraId="6729998F">
            <w:pPr>
              <w:spacing w:line="360" w:lineRule="auto"/>
              <w:jc w:val="center"/>
              <w:rPr>
                <w:rFonts w:eastAsia="方正仿宋_GBK"/>
                <w:b/>
                <w:bCs/>
                <w:color w:val="000000"/>
                <w:sz w:val="24"/>
              </w:rPr>
            </w:pPr>
            <w:r>
              <w:rPr>
                <w:rFonts w:eastAsia="方正仿宋_GBK"/>
                <w:b/>
                <w:bCs/>
                <w:color w:val="000000"/>
                <w:sz w:val="24"/>
              </w:rPr>
              <w:t>技术部分</w:t>
            </w:r>
          </w:p>
          <w:p w14:paraId="13DF5AAF">
            <w:pPr>
              <w:spacing w:line="360" w:lineRule="auto"/>
              <w:jc w:val="center"/>
              <w:rPr>
                <w:sz w:val="24"/>
                <w:szCs w:val="24"/>
              </w:rPr>
            </w:pPr>
            <w:r>
              <w:rPr>
                <w:rFonts w:eastAsia="方正仿宋_GBK"/>
                <w:b/>
                <w:bCs/>
                <w:color w:val="000000"/>
                <w:sz w:val="24"/>
              </w:rPr>
              <w:t>（</w:t>
            </w:r>
            <w:r>
              <w:rPr>
                <w:rFonts w:hint="eastAsia" w:eastAsia="方正仿宋_GBK"/>
                <w:b/>
                <w:bCs/>
                <w:color w:val="000000"/>
                <w:sz w:val="24"/>
                <w:lang w:val="en-US" w:eastAsia="zh-CN"/>
              </w:rPr>
              <w:t>5</w:t>
            </w:r>
            <w:r>
              <w:rPr>
                <w:rFonts w:hint="eastAsia" w:eastAsia="方正仿宋_GBK"/>
                <w:b/>
                <w:bCs/>
                <w:color w:val="000000"/>
                <w:sz w:val="24"/>
              </w:rPr>
              <w:t>0</w:t>
            </w:r>
            <w:r>
              <w:rPr>
                <w:rFonts w:eastAsia="方正仿宋_GBK"/>
                <w:b/>
                <w:bCs/>
                <w:color w:val="000000"/>
                <w:sz w:val="24"/>
              </w:rPr>
              <w:t>%）</w:t>
            </w:r>
          </w:p>
        </w:tc>
        <w:tc>
          <w:tcPr>
            <w:tcW w:w="1201" w:type="dxa"/>
            <w:tcBorders>
              <w:top w:val="single" w:color="auto" w:sz="4" w:space="0"/>
              <w:left w:val="single" w:color="auto" w:sz="4" w:space="0"/>
              <w:bottom w:val="single" w:color="auto" w:sz="4" w:space="0"/>
              <w:right w:val="single" w:color="auto" w:sz="4" w:space="0"/>
            </w:tcBorders>
            <w:vAlign w:val="center"/>
          </w:tcPr>
          <w:p w14:paraId="2F6075C3">
            <w:pPr>
              <w:spacing w:line="360" w:lineRule="auto"/>
              <w:jc w:val="center"/>
              <w:rPr>
                <w:sz w:val="24"/>
                <w:szCs w:val="24"/>
              </w:rPr>
            </w:pPr>
            <w:r>
              <w:rPr>
                <w:rFonts w:hint="eastAsia" w:eastAsia="方正仿宋_GBK"/>
                <w:sz w:val="24"/>
              </w:rPr>
              <w:t>专业队伍（</w:t>
            </w:r>
            <w:r>
              <w:rPr>
                <w:rFonts w:hint="eastAsia" w:eastAsia="方正仿宋_GBK"/>
                <w:sz w:val="24"/>
                <w:lang w:val="en-US" w:eastAsia="zh-CN"/>
              </w:rPr>
              <w:t>15</w:t>
            </w:r>
            <w:r>
              <w:rPr>
                <w:rFonts w:hint="eastAsia" w:eastAsia="方正仿宋_GBK"/>
                <w:sz w:val="24"/>
              </w:rPr>
              <w:t>%）</w:t>
            </w:r>
          </w:p>
        </w:tc>
        <w:tc>
          <w:tcPr>
            <w:tcW w:w="709" w:type="dxa"/>
            <w:tcBorders>
              <w:top w:val="single" w:color="auto" w:sz="4" w:space="0"/>
              <w:left w:val="single" w:color="auto" w:sz="4" w:space="0"/>
              <w:bottom w:val="single" w:color="auto" w:sz="4" w:space="0"/>
              <w:right w:val="single" w:color="auto" w:sz="4" w:space="0"/>
            </w:tcBorders>
            <w:vAlign w:val="center"/>
          </w:tcPr>
          <w:p w14:paraId="0D191126">
            <w:pPr>
              <w:snapToGrid w:val="0"/>
              <w:spacing w:line="540" w:lineRule="exact"/>
              <w:ind w:firstLine="28" w:firstLineChars="0"/>
              <w:jc w:val="center"/>
              <w:rPr>
                <w:rFonts w:hint="default" w:eastAsia="宋体"/>
                <w:sz w:val="24"/>
                <w:szCs w:val="24"/>
                <w:lang w:val="en-US" w:eastAsia="zh-CN"/>
              </w:rPr>
            </w:pPr>
            <w:r>
              <w:rPr>
                <w:rFonts w:hint="eastAsia" w:eastAsia="方正仿宋_GBK"/>
                <w:sz w:val="24"/>
                <w:lang w:val="en-US" w:eastAsia="zh-CN"/>
              </w:rPr>
              <w:t>15</w:t>
            </w:r>
          </w:p>
        </w:tc>
        <w:tc>
          <w:tcPr>
            <w:tcW w:w="4635" w:type="dxa"/>
            <w:tcBorders>
              <w:top w:val="single" w:color="auto" w:sz="4" w:space="0"/>
              <w:left w:val="single" w:color="auto" w:sz="4" w:space="0"/>
              <w:bottom w:val="single" w:color="auto" w:sz="4" w:space="0"/>
              <w:right w:val="single" w:color="auto" w:sz="4" w:space="0"/>
            </w:tcBorders>
            <w:vAlign w:val="center"/>
          </w:tcPr>
          <w:p w14:paraId="467CDF66">
            <w:pPr>
              <w:snapToGrid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1、持有省（含直辖市、自治区）级</w:t>
            </w:r>
            <w:r>
              <w:rPr>
                <w:rFonts w:hint="default" w:ascii="Times New Roman" w:hAnsi="Times New Roman" w:eastAsia="方正仿宋_GBK" w:cs="Times New Roman"/>
                <w:color w:val="auto"/>
                <w:sz w:val="24"/>
                <w:szCs w:val="24"/>
                <w:lang w:val="en-US" w:eastAsia="zh-CN"/>
              </w:rPr>
              <w:t>颁发的</w:t>
            </w: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eastAsia="zh-CN"/>
              </w:rPr>
              <w:t>有害生物防制服</w:t>
            </w:r>
            <w:r>
              <w:rPr>
                <w:rFonts w:hint="default" w:ascii="Times New Roman" w:hAnsi="Times New Roman" w:eastAsia="方正仿宋_GBK" w:cs="Times New Roman"/>
                <w:color w:val="auto"/>
                <w:sz w:val="24"/>
                <w:szCs w:val="24"/>
              </w:rPr>
              <w:t>务机构</w:t>
            </w:r>
            <w:r>
              <w:rPr>
                <w:rFonts w:hint="eastAsia" w:ascii="Times New Roman" w:hAnsi="Times New Roman" w:eastAsia="方正仿宋_GBK" w:cs="Times New Roman"/>
                <w:color w:val="auto"/>
                <w:sz w:val="24"/>
                <w:szCs w:val="24"/>
                <w:lang w:eastAsia="zh-CN"/>
              </w:rPr>
              <w:t>服务能力</w:t>
            </w:r>
            <w:r>
              <w:rPr>
                <w:rFonts w:hint="default" w:ascii="Times New Roman" w:hAnsi="Times New Roman" w:eastAsia="方正仿宋_GBK" w:cs="Times New Roman"/>
                <w:color w:val="auto"/>
                <w:sz w:val="24"/>
                <w:szCs w:val="24"/>
              </w:rPr>
              <w:t>认定证》，并有3年及以上实践经验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经营达3年的得</w:t>
            </w: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分、4年的得</w:t>
            </w: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分、5年</w:t>
            </w:r>
            <w:r>
              <w:rPr>
                <w:rFonts w:hint="default" w:ascii="Times New Roman" w:hAnsi="Times New Roman" w:eastAsia="方正仿宋_GBK" w:cs="Times New Roman"/>
                <w:color w:val="auto"/>
                <w:sz w:val="24"/>
                <w:szCs w:val="24"/>
                <w:lang w:eastAsia="zh-CN"/>
              </w:rPr>
              <w:t>的得</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分，以此类推最多得</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分（</w:t>
            </w:r>
            <w:r>
              <w:rPr>
                <w:rFonts w:hint="eastAsia" w:ascii="Times New Roman" w:hAnsi="Times New Roman" w:eastAsia="方正仿宋_GBK" w:cs="Times New Roman"/>
                <w:color w:val="auto"/>
                <w:sz w:val="24"/>
                <w:szCs w:val="24"/>
                <w:lang w:eastAsia="zh-CN"/>
              </w:rPr>
              <w:t>经营时间</w:t>
            </w:r>
            <w:r>
              <w:rPr>
                <w:rFonts w:hint="default" w:ascii="Times New Roman" w:hAnsi="Times New Roman" w:eastAsia="方正仿宋_GBK" w:cs="Times New Roman"/>
                <w:color w:val="auto"/>
                <w:sz w:val="24"/>
                <w:szCs w:val="24"/>
              </w:rPr>
              <w:t>以营业执照时间为准）；</w:t>
            </w:r>
          </w:p>
          <w:p w14:paraId="1F6B4208">
            <w:pPr>
              <w:snapToGrid w:val="0"/>
              <w:rPr>
                <w:sz w:val="24"/>
                <w:szCs w:val="24"/>
              </w:rPr>
            </w:pPr>
            <w:r>
              <w:rPr>
                <w:rFonts w:hint="default" w:ascii="Times New Roman" w:hAnsi="Times New Roman" w:eastAsia="方正仿宋_GBK" w:cs="Times New Roman"/>
                <w:color w:val="auto"/>
                <w:sz w:val="24"/>
                <w:szCs w:val="24"/>
              </w:rPr>
              <w:t>2、本项目服务团队人员</w:t>
            </w:r>
            <w:r>
              <w:rPr>
                <w:rFonts w:hint="eastAsia" w:ascii="Times New Roman" w:hAnsi="Times New Roman" w:eastAsia="方正仿宋_GBK" w:cs="Times New Roman"/>
                <w:color w:val="auto"/>
                <w:sz w:val="24"/>
                <w:szCs w:val="24"/>
                <w:lang w:eastAsia="zh-CN"/>
              </w:rPr>
              <w:t>有</w:t>
            </w:r>
            <w:r>
              <w:rPr>
                <w:rFonts w:hint="eastAsia" w:ascii="Times New Roman" w:hAnsi="Times New Roman" w:eastAsia="方正仿宋_GBK" w:cs="Times New Roman"/>
                <w:color w:val="auto"/>
                <w:sz w:val="24"/>
                <w:szCs w:val="24"/>
              </w:rPr>
              <w:t>五级或初级</w:t>
            </w:r>
            <w:r>
              <w:rPr>
                <w:rFonts w:hint="eastAsia" w:ascii="Times New Roman" w:hAnsi="Times New Roman" w:eastAsia="方正仿宋_GBK" w:cs="Times New Roman"/>
                <w:color w:val="auto"/>
                <w:sz w:val="24"/>
                <w:szCs w:val="24"/>
                <w:lang w:eastAsia="zh-CN"/>
              </w:rPr>
              <w:t>技术人员</w:t>
            </w:r>
            <w:r>
              <w:rPr>
                <w:rFonts w:hint="eastAsia" w:eastAsia="方正仿宋_GBK" w:cs="Times New Roman"/>
                <w:color w:val="auto"/>
                <w:sz w:val="24"/>
                <w:szCs w:val="24"/>
                <w:lang w:val="en-US" w:eastAsia="zh-CN"/>
              </w:rPr>
              <w:t>6</w:t>
            </w:r>
            <w:r>
              <w:rPr>
                <w:rFonts w:hint="eastAsia" w:ascii="Times New Roman" w:hAnsi="Times New Roman" w:eastAsia="方正仿宋_GBK" w:cs="Times New Roman"/>
                <w:color w:val="auto"/>
                <w:sz w:val="24"/>
                <w:szCs w:val="24"/>
              </w:rPr>
              <w:t>人</w:t>
            </w:r>
            <w:r>
              <w:rPr>
                <w:rFonts w:hint="eastAsia" w:ascii="Times New Roman" w:hAnsi="Times New Roman" w:eastAsia="方正仿宋_GBK" w:cs="Times New Roman"/>
                <w:color w:val="auto"/>
                <w:sz w:val="24"/>
                <w:szCs w:val="24"/>
                <w:lang w:eastAsia="zh-CN"/>
              </w:rPr>
              <w:t>得</w:t>
            </w:r>
            <w:r>
              <w:rPr>
                <w:rFonts w:hint="eastAsia" w:ascii="Times New Roman" w:hAnsi="Times New Roman" w:eastAsia="方正仿宋_GBK" w:cs="Times New Roman"/>
                <w:color w:val="auto"/>
                <w:sz w:val="24"/>
                <w:szCs w:val="24"/>
                <w:lang w:val="en-US" w:eastAsia="zh-CN"/>
              </w:rPr>
              <w:t>1分；四级或</w:t>
            </w:r>
            <w:r>
              <w:rPr>
                <w:rFonts w:hint="default" w:ascii="Times New Roman" w:hAnsi="Times New Roman" w:eastAsia="方正仿宋_GBK" w:cs="Times New Roman"/>
                <w:color w:val="auto"/>
                <w:sz w:val="24"/>
                <w:szCs w:val="24"/>
              </w:rPr>
              <w:t>中级技术人员</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人得1分，</w:t>
            </w:r>
            <w:r>
              <w:rPr>
                <w:rFonts w:hint="default" w:ascii="Times New Roman" w:hAnsi="Times New Roman" w:eastAsia="方正仿宋_GBK" w:cs="Times New Roman"/>
                <w:color w:val="auto"/>
                <w:sz w:val="24"/>
                <w:szCs w:val="24"/>
                <w:lang w:eastAsia="zh-CN"/>
              </w:rPr>
              <w:t>每增加</w:t>
            </w:r>
            <w:r>
              <w:rPr>
                <w:rFonts w:hint="default" w:ascii="Times New Roman" w:hAnsi="Times New Roman" w:eastAsia="方正仿宋_GBK" w:cs="Times New Roman"/>
                <w:color w:val="auto"/>
                <w:sz w:val="24"/>
                <w:szCs w:val="24"/>
                <w:lang w:val="en-US" w:eastAsia="zh-CN"/>
              </w:rPr>
              <w:t>1人得1分，最高</w:t>
            </w:r>
            <w:r>
              <w:rPr>
                <w:rFonts w:hint="eastAsia" w:ascii="Times New Roman" w:hAnsi="Times New Roman" w:eastAsia="方正仿宋_GBK" w:cs="Times New Roman"/>
                <w:color w:val="auto"/>
                <w:sz w:val="24"/>
                <w:szCs w:val="24"/>
                <w:lang w:val="en-US" w:eastAsia="zh-CN"/>
              </w:rPr>
              <w:t>得5</w:t>
            </w:r>
            <w:r>
              <w:rPr>
                <w:rFonts w:hint="default" w:ascii="Times New Roman" w:hAnsi="Times New Roman" w:eastAsia="方正仿宋_GBK" w:cs="Times New Roman"/>
                <w:color w:val="auto"/>
                <w:sz w:val="24"/>
                <w:szCs w:val="24"/>
                <w:lang w:val="en-US" w:eastAsia="zh-CN"/>
              </w:rPr>
              <w:t>分；</w:t>
            </w:r>
            <w:r>
              <w:rPr>
                <w:rFonts w:hint="eastAsia" w:ascii="Times New Roman" w:hAnsi="Times New Roman" w:eastAsia="方正仿宋_GBK" w:cs="Times New Roman"/>
                <w:color w:val="auto"/>
                <w:sz w:val="24"/>
                <w:szCs w:val="24"/>
                <w:lang w:val="en-US" w:eastAsia="zh-CN"/>
              </w:rPr>
              <w:t>三级或</w:t>
            </w:r>
            <w:r>
              <w:rPr>
                <w:rFonts w:hint="default" w:ascii="Times New Roman" w:hAnsi="Times New Roman" w:eastAsia="方正仿宋_GBK" w:cs="Times New Roman"/>
                <w:color w:val="auto"/>
                <w:sz w:val="24"/>
                <w:szCs w:val="24"/>
              </w:rPr>
              <w:t>高级技术人员</w:t>
            </w: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人得2分</w:t>
            </w:r>
            <w:r>
              <w:rPr>
                <w:rFonts w:hint="default" w:ascii="Times New Roman" w:hAnsi="Times New Roman" w:eastAsia="方正仿宋_GBK" w:cs="Times New Roman"/>
                <w:color w:val="auto"/>
                <w:sz w:val="24"/>
                <w:szCs w:val="24"/>
                <w:lang w:eastAsia="zh-CN"/>
              </w:rPr>
              <w:t>，每增加</w:t>
            </w:r>
            <w:r>
              <w:rPr>
                <w:rFonts w:hint="default" w:ascii="Times New Roman" w:hAnsi="Times New Roman" w:eastAsia="方正仿宋_GBK" w:cs="Times New Roman"/>
                <w:color w:val="auto"/>
                <w:sz w:val="24"/>
                <w:szCs w:val="24"/>
                <w:lang w:val="en-US" w:eastAsia="zh-CN"/>
              </w:rPr>
              <w:t>1人得1分，</w:t>
            </w:r>
            <w:r>
              <w:rPr>
                <w:rFonts w:hint="default" w:ascii="Times New Roman" w:hAnsi="Times New Roman" w:eastAsia="方正仿宋_GBK" w:cs="Times New Roman"/>
                <w:color w:val="auto"/>
                <w:sz w:val="24"/>
                <w:szCs w:val="24"/>
                <w:lang w:eastAsia="zh-CN"/>
              </w:rPr>
              <w:t>最高</w:t>
            </w:r>
            <w:r>
              <w:rPr>
                <w:rFonts w:hint="eastAsia" w:ascii="Times New Roman" w:hAnsi="Times New Roman" w:eastAsia="方正仿宋_GBK" w:cs="Times New Roman"/>
                <w:color w:val="auto"/>
                <w:sz w:val="24"/>
                <w:szCs w:val="24"/>
                <w:lang w:eastAsia="zh-CN"/>
              </w:rPr>
              <w:t>得</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w:t>
            </w:r>
            <w:r>
              <w:rPr>
                <w:rFonts w:hint="default" w:ascii="Times New Roman" w:hAnsi="Times New Roman" w:eastAsia="方正仿宋_GBK" w:cs="Times New Roman"/>
                <w:color w:val="auto"/>
                <w:sz w:val="24"/>
                <w:szCs w:val="24"/>
                <w:lang w:eastAsia="zh-CN"/>
              </w:rPr>
              <w:t>。</w:t>
            </w:r>
          </w:p>
        </w:tc>
        <w:tc>
          <w:tcPr>
            <w:tcW w:w="1732" w:type="dxa"/>
            <w:tcBorders>
              <w:top w:val="single" w:color="auto" w:sz="4" w:space="0"/>
              <w:left w:val="single" w:color="auto" w:sz="4" w:space="0"/>
              <w:bottom w:val="single" w:color="auto" w:sz="4" w:space="0"/>
              <w:right w:val="single" w:color="auto" w:sz="4" w:space="0"/>
            </w:tcBorders>
            <w:vAlign w:val="center"/>
          </w:tcPr>
          <w:p w14:paraId="43FD2B5B">
            <w:pPr>
              <w:keepNext w:val="0"/>
              <w:keepLines w:val="0"/>
              <w:pageBreakBefore w:val="0"/>
              <w:widowControl w:val="0"/>
              <w:kinsoku/>
              <w:wordWrap/>
              <w:overflowPunct/>
              <w:topLinePunct w:val="0"/>
              <w:autoSpaceDE/>
              <w:autoSpaceDN/>
              <w:bidi w:val="0"/>
              <w:adjustRightInd w:val="0"/>
              <w:snapToGrid w:val="0"/>
              <w:spacing w:line="320" w:lineRule="exact"/>
              <w:ind w:left="-38" w:leftChars="0"/>
              <w:textAlignment w:val="auto"/>
              <w:rPr>
                <w:sz w:val="24"/>
                <w:szCs w:val="24"/>
              </w:rPr>
            </w:pPr>
            <w:r>
              <w:rPr>
                <w:rFonts w:hint="default" w:ascii="Times New Roman" w:hAnsi="Times New Roman" w:eastAsia="方正仿宋_GBK" w:cs="Times New Roman"/>
                <w:color w:val="auto"/>
                <w:sz w:val="24"/>
                <w:szCs w:val="24"/>
              </w:rPr>
              <w:t>由</w:t>
            </w:r>
            <w:r>
              <w:rPr>
                <w:rFonts w:hint="default" w:ascii="Times New Roman" w:hAnsi="Times New Roman" w:eastAsia="方正仿宋_GBK" w:cs="Times New Roman"/>
                <w:color w:val="auto"/>
                <w:sz w:val="24"/>
                <w:szCs w:val="24"/>
                <w:lang w:eastAsia="zh-CN"/>
              </w:rPr>
              <w:t>投标人</w:t>
            </w:r>
            <w:r>
              <w:rPr>
                <w:rFonts w:hint="default" w:ascii="Times New Roman" w:hAnsi="Times New Roman" w:eastAsia="方正仿宋_GBK" w:cs="Times New Roman"/>
                <w:color w:val="auto"/>
                <w:sz w:val="24"/>
                <w:szCs w:val="24"/>
              </w:rPr>
              <w:t>提供公司</w:t>
            </w:r>
            <w:r>
              <w:rPr>
                <w:rFonts w:hint="default" w:ascii="Times New Roman" w:hAnsi="Times New Roman" w:eastAsia="方正仿宋_GBK" w:cs="Times New Roman"/>
                <w:color w:val="auto"/>
                <w:sz w:val="24"/>
                <w:szCs w:val="24"/>
                <w:lang w:eastAsia="zh-CN"/>
              </w:rPr>
              <w:t>负责本项目</w:t>
            </w:r>
            <w:r>
              <w:rPr>
                <w:rFonts w:hint="default" w:ascii="Times New Roman" w:hAnsi="Times New Roman" w:eastAsia="方正仿宋_GBK" w:cs="Times New Roman"/>
                <w:color w:val="auto"/>
                <w:sz w:val="24"/>
                <w:szCs w:val="24"/>
              </w:rPr>
              <w:t>技术人员名单并提供本公司主要技术人员相关证明（须提供由中华人民共和国人力资源和社会保障部印制，省级人力资源和社会保障局、省级职业技能鉴定指导中心颁发的有害生物防制员职业资格证书</w:t>
            </w:r>
            <w:r>
              <w:rPr>
                <w:rFonts w:hint="eastAsia" w:ascii="Times New Roman" w:hAnsi="Times New Roman" w:eastAsia="方正仿宋_GBK" w:cs="Times New Roman"/>
                <w:color w:val="auto"/>
                <w:sz w:val="24"/>
                <w:szCs w:val="24"/>
                <w:lang w:eastAsia="zh-CN"/>
              </w:rPr>
              <w:t>复印件加盖供应商公章</w:t>
            </w:r>
            <w:r>
              <w:rPr>
                <w:rFonts w:hint="default" w:ascii="Times New Roman" w:hAnsi="Times New Roman" w:eastAsia="方正仿宋_GBK" w:cs="Times New Roman"/>
                <w:color w:val="auto"/>
                <w:sz w:val="24"/>
                <w:szCs w:val="24"/>
              </w:rPr>
              <w:t>及提供</w:t>
            </w:r>
            <w:r>
              <w:rPr>
                <w:rFonts w:hint="eastAsia" w:ascii="Times New Roman" w:hAnsi="Times New Roman" w:eastAsia="方正仿宋_GBK" w:cs="Times New Roman"/>
                <w:color w:val="auto"/>
                <w:sz w:val="24"/>
                <w:szCs w:val="24"/>
              </w:rPr>
              <w:t>由社保部门出具</w:t>
            </w:r>
            <w:r>
              <w:rPr>
                <w:rFonts w:hint="eastAsia" w:ascii="Times New Roman" w:hAnsi="Times New Roman" w:eastAsia="方正仿宋_GBK" w:cs="Times New Roman"/>
                <w:color w:val="auto"/>
                <w:sz w:val="24"/>
                <w:szCs w:val="24"/>
                <w:lang w:eastAsia="zh-CN"/>
              </w:rPr>
              <w:t>的</w:t>
            </w:r>
            <w:r>
              <w:rPr>
                <w:rFonts w:hint="default" w:ascii="Times New Roman" w:hAnsi="Times New Roman" w:eastAsia="方正仿宋_GBK" w:cs="Times New Roman"/>
                <w:color w:val="auto"/>
                <w:sz w:val="24"/>
                <w:szCs w:val="24"/>
              </w:rPr>
              <w:t>为</w:t>
            </w:r>
            <w:r>
              <w:rPr>
                <w:rFonts w:hint="eastAsia" w:ascii="Times New Roman" w:hAnsi="Times New Roman" w:eastAsia="方正仿宋_GBK" w:cs="Times New Roman"/>
                <w:color w:val="auto"/>
                <w:sz w:val="24"/>
                <w:szCs w:val="24"/>
                <w:lang w:eastAsia="zh-CN"/>
              </w:rPr>
              <w:t>持证</w:t>
            </w:r>
            <w:r>
              <w:rPr>
                <w:rFonts w:hint="default" w:ascii="Times New Roman" w:hAnsi="Times New Roman" w:eastAsia="方正仿宋_GBK" w:cs="Times New Roman"/>
                <w:color w:val="auto"/>
                <w:sz w:val="24"/>
                <w:szCs w:val="24"/>
              </w:rPr>
              <w:t>人员缴纳社保1年以上</w:t>
            </w:r>
            <w:r>
              <w:rPr>
                <w:rFonts w:hint="eastAsia" w:ascii="Times New Roman" w:hAnsi="Times New Roman" w:eastAsia="方正仿宋_GBK" w:cs="Times New Roman"/>
                <w:color w:val="auto"/>
                <w:sz w:val="24"/>
                <w:szCs w:val="24"/>
              </w:rPr>
              <w:t>社会保险参保证明复印件加盖供应商公章</w:t>
            </w:r>
            <w:r>
              <w:rPr>
                <w:rFonts w:hint="eastAsia" w:ascii="Times New Roman" w:hAnsi="Times New Roman" w:eastAsia="方正仿宋_GBK" w:cs="Times New Roman"/>
                <w:color w:val="auto"/>
                <w:sz w:val="24"/>
                <w:szCs w:val="24"/>
                <w:lang w:eastAsia="zh-CN"/>
              </w:rPr>
              <w:t>）</w:t>
            </w:r>
          </w:p>
        </w:tc>
      </w:tr>
      <w:tr w14:paraId="30DB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675" w:type="dxa"/>
            <w:vMerge w:val="continue"/>
            <w:tcBorders>
              <w:top w:val="nil"/>
              <w:left w:val="single" w:color="auto" w:sz="4" w:space="0"/>
              <w:bottom w:val="single" w:color="auto" w:sz="4" w:space="0"/>
              <w:right w:val="single" w:color="auto" w:sz="4" w:space="0"/>
            </w:tcBorders>
            <w:vAlign w:val="center"/>
          </w:tcPr>
          <w:p w14:paraId="4B7E70D4">
            <w:pPr>
              <w:widowControl/>
              <w:jc w:val="left"/>
              <w:rPr>
                <w:rFonts w:eastAsia="方正仿宋_GBK"/>
                <w:sz w:val="24"/>
                <w:szCs w:val="24"/>
              </w:rPr>
            </w:pPr>
          </w:p>
        </w:tc>
        <w:tc>
          <w:tcPr>
            <w:tcW w:w="784" w:type="dxa"/>
            <w:vMerge w:val="continue"/>
            <w:tcBorders>
              <w:top w:val="nil"/>
              <w:left w:val="single" w:color="auto" w:sz="4" w:space="0"/>
              <w:bottom w:val="single" w:color="auto" w:sz="4" w:space="0"/>
              <w:right w:val="single" w:color="auto" w:sz="4" w:space="0"/>
            </w:tcBorders>
            <w:vAlign w:val="center"/>
          </w:tcPr>
          <w:p w14:paraId="3666BEB1">
            <w:pPr>
              <w:spacing w:line="360" w:lineRule="auto"/>
              <w:jc w:val="center"/>
              <w:rPr>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75D44147">
            <w:pPr>
              <w:spacing w:line="360" w:lineRule="auto"/>
              <w:jc w:val="center"/>
              <w:rPr>
                <w:rFonts w:eastAsia="方正仿宋_GBK"/>
                <w:color w:val="000000"/>
                <w:sz w:val="24"/>
              </w:rPr>
            </w:pPr>
            <w:r>
              <w:rPr>
                <w:rFonts w:eastAsia="方正仿宋_GBK"/>
                <w:color w:val="000000"/>
                <w:sz w:val="24"/>
              </w:rPr>
              <w:t>实施方案</w:t>
            </w:r>
          </w:p>
          <w:p w14:paraId="701B2844">
            <w:pPr>
              <w:spacing w:line="360" w:lineRule="auto"/>
              <w:jc w:val="center"/>
              <w:rPr>
                <w:rFonts w:eastAsia="方正仿宋_GBK"/>
                <w:sz w:val="24"/>
                <w:szCs w:val="24"/>
              </w:rPr>
            </w:pPr>
            <w:r>
              <w:rPr>
                <w:rFonts w:eastAsia="方正仿宋_GBK"/>
                <w:color w:val="000000"/>
                <w:sz w:val="24"/>
              </w:rPr>
              <w:t>（20%）</w:t>
            </w:r>
          </w:p>
        </w:tc>
        <w:tc>
          <w:tcPr>
            <w:tcW w:w="709" w:type="dxa"/>
            <w:tcBorders>
              <w:top w:val="single" w:color="auto" w:sz="4" w:space="0"/>
              <w:left w:val="single" w:color="auto" w:sz="4" w:space="0"/>
              <w:bottom w:val="single" w:color="auto" w:sz="4" w:space="0"/>
              <w:right w:val="single" w:color="auto" w:sz="4" w:space="0"/>
            </w:tcBorders>
            <w:vAlign w:val="center"/>
          </w:tcPr>
          <w:p w14:paraId="7F68587C">
            <w:pPr>
              <w:snapToGrid w:val="0"/>
              <w:spacing w:line="540" w:lineRule="exact"/>
              <w:ind w:firstLine="28" w:firstLineChars="0"/>
              <w:jc w:val="center"/>
              <w:rPr>
                <w:rFonts w:eastAsia="方正仿宋_GBK"/>
                <w:sz w:val="24"/>
                <w:szCs w:val="24"/>
              </w:rPr>
            </w:pPr>
            <w:r>
              <w:rPr>
                <w:rFonts w:eastAsia="方正仿宋_GBK"/>
                <w:sz w:val="24"/>
              </w:rPr>
              <w:t>20</w:t>
            </w:r>
          </w:p>
        </w:tc>
        <w:tc>
          <w:tcPr>
            <w:tcW w:w="4635" w:type="dxa"/>
            <w:tcBorders>
              <w:top w:val="single" w:color="auto" w:sz="4" w:space="0"/>
              <w:left w:val="single" w:color="auto" w:sz="4" w:space="0"/>
              <w:bottom w:val="single" w:color="auto" w:sz="4" w:space="0"/>
              <w:right w:val="single" w:color="auto" w:sz="4" w:space="0"/>
            </w:tcBorders>
            <w:vAlign w:val="center"/>
          </w:tcPr>
          <w:p w14:paraId="1C62A0E7">
            <w:pPr>
              <w:snapToGrid w:val="0"/>
              <w:rPr>
                <w:rFonts w:ascii="方正仿宋_GBK" w:hAnsi="宋体" w:eastAsia="方正仿宋_GBK"/>
                <w:sz w:val="24"/>
                <w:szCs w:val="24"/>
              </w:rPr>
            </w:pPr>
            <w:r>
              <w:rPr>
                <w:rFonts w:hint="eastAsia" w:ascii="方正仿宋_GBK" w:hAnsi="宋体" w:eastAsia="方正仿宋_GBK"/>
                <w:sz w:val="24"/>
                <w:szCs w:val="24"/>
                <w:lang w:val="en-US" w:eastAsia="zh-CN"/>
              </w:rPr>
              <w:t>1、</w:t>
            </w:r>
            <w:r>
              <w:rPr>
                <w:rFonts w:ascii="方正仿宋_GBK" w:hAnsi="宋体" w:eastAsia="方正仿宋_GBK"/>
                <w:sz w:val="24"/>
                <w:szCs w:val="24"/>
              </w:rPr>
              <w:t>针对本项目制订实施方案，所采取的技术和方法应适应防制需求，技术服务方案中体现出所采取的技术和方法具有针对性。技术方案中体现出的药物选择科学合理。对项目拟定具体可行的工作计划和实施措施等，能体现对本项目的工作需求与实效。具体计划、管理措施、人员安排、时间进度、服务成果等，方案详实可行、操作性强，服务质量及安全保障承诺。上述方案须符合采购人采购要求。</w:t>
            </w:r>
          </w:p>
          <w:p w14:paraId="653258F7">
            <w:pPr>
              <w:snapToGrid w:val="0"/>
              <w:rPr>
                <w:rFonts w:eastAsia="方正仿宋_GBK"/>
                <w:sz w:val="24"/>
                <w:szCs w:val="24"/>
              </w:rPr>
            </w:pPr>
            <w:r>
              <w:rPr>
                <w:rFonts w:hint="eastAsia" w:ascii="方正仿宋_GBK" w:hAnsi="宋体" w:eastAsia="方正仿宋_GBK"/>
                <w:sz w:val="24"/>
                <w:szCs w:val="24"/>
                <w:lang w:val="en-US" w:eastAsia="zh-CN"/>
              </w:rPr>
              <w:t>2、</w:t>
            </w:r>
            <w:r>
              <w:rPr>
                <w:rFonts w:ascii="方正仿宋_GBK" w:hAnsi="宋体" w:eastAsia="方正仿宋_GBK"/>
                <w:sz w:val="24"/>
                <w:szCs w:val="24"/>
              </w:rPr>
              <w:t>方案详尽、完善可行、所采取的技术和方法具有针对性、操作性强，得20-16分；方案较详尽、较完善可行、所采取的技术和方法较具有针对性、操作性较强，得15-11分；方案不详尽、不完善可行、所采取的技术和方法不具有针对性、操作性不强，得10-2分；没有陈述则不得分。</w:t>
            </w:r>
          </w:p>
        </w:tc>
        <w:tc>
          <w:tcPr>
            <w:tcW w:w="1732" w:type="dxa"/>
            <w:tcBorders>
              <w:top w:val="single" w:color="auto" w:sz="4" w:space="0"/>
              <w:left w:val="single" w:color="auto" w:sz="4" w:space="0"/>
              <w:bottom w:val="single" w:color="auto" w:sz="4" w:space="0"/>
              <w:right w:val="single" w:color="auto" w:sz="4" w:space="0"/>
            </w:tcBorders>
            <w:vAlign w:val="center"/>
          </w:tcPr>
          <w:p w14:paraId="2F3D7744">
            <w:pPr>
              <w:adjustRightInd w:val="0"/>
              <w:snapToGrid w:val="0"/>
              <w:spacing w:line="400" w:lineRule="exact"/>
              <w:ind w:left="-38" w:leftChars="0"/>
              <w:rPr>
                <w:rFonts w:eastAsia="方正仿宋_GBK"/>
                <w:sz w:val="24"/>
                <w:szCs w:val="24"/>
              </w:rPr>
            </w:pPr>
            <w:r>
              <w:rPr>
                <w:rFonts w:hint="eastAsia" w:ascii="方正仿宋_GBK" w:hAnsi="宋体" w:eastAsia="方正仿宋_GBK" w:cs="宋体"/>
                <w:sz w:val="21"/>
                <w:szCs w:val="21"/>
              </w:rPr>
              <w:t>由评标专家根据方案进行评分。</w:t>
            </w:r>
          </w:p>
        </w:tc>
      </w:tr>
      <w:tr w14:paraId="567E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675" w:type="dxa"/>
            <w:vMerge w:val="continue"/>
            <w:tcBorders>
              <w:top w:val="nil"/>
              <w:left w:val="single" w:color="auto" w:sz="4" w:space="0"/>
              <w:bottom w:val="single" w:color="auto" w:sz="4" w:space="0"/>
              <w:right w:val="single" w:color="auto" w:sz="4" w:space="0"/>
            </w:tcBorders>
            <w:vAlign w:val="center"/>
          </w:tcPr>
          <w:p w14:paraId="157D9A77">
            <w:pPr>
              <w:widowControl/>
              <w:jc w:val="left"/>
              <w:rPr>
                <w:rFonts w:eastAsia="方正仿宋_GBK"/>
                <w:sz w:val="24"/>
                <w:szCs w:val="24"/>
              </w:rPr>
            </w:pPr>
          </w:p>
        </w:tc>
        <w:tc>
          <w:tcPr>
            <w:tcW w:w="784" w:type="dxa"/>
            <w:vMerge w:val="continue"/>
            <w:tcBorders>
              <w:top w:val="nil"/>
              <w:left w:val="single" w:color="auto" w:sz="4" w:space="0"/>
              <w:bottom w:val="single" w:color="auto" w:sz="4" w:space="0"/>
              <w:right w:val="single" w:color="auto" w:sz="4" w:space="0"/>
            </w:tcBorders>
            <w:vAlign w:val="center"/>
          </w:tcPr>
          <w:p w14:paraId="1C3D5DC3">
            <w:pPr>
              <w:adjustRightInd w:val="0"/>
              <w:snapToGrid w:val="0"/>
              <w:spacing w:line="400" w:lineRule="exact"/>
              <w:jc w:val="center"/>
              <w:rPr>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4968914A">
            <w:pPr>
              <w:snapToGrid w:val="0"/>
              <w:rPr>
                <w:rFonts w:hint="eastAsia" w:eastAsia="方正仿宋_GBK"/>
                <w:color w:val="000000"/>
                <w:sz w:val="24"/>
                <w:szCs w:val="24"/>
                <w:lang w:eastAsia="zh-CN"/>
              </w:rPr>
            </w:pPr>
            <w:r>
              <w:rPr>
                <w:rFonts w:hint="default" w:ascii="Times New Roman" w:hAnsi="Times New Roman" w:eastAsia="方正仿宋_GBK" w:cs="Times New Roman"/>
                <w:color w:val="auto"/>
                <w:sz w:val="24"/>
                <w:szCs w:val="24"/>
              </w:rPr>
              <w:t>安全保障</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14:paraId="0F200CC8">
            <w:pPr>
              <w:snapToGrid w:val="0"/>
              <w:jc w:val="center"/>
              <w:rPr>
                <w:rFonts w:eastAsia="方正仿宋_GBK"/>
                <w:sz w:val="24"/>
                <w:szCs w:val="24"/>
              </w:rPr>
            </w:pPr>
            <w:r>
              <w:rPr>
                <w:rFonts w:hint="default" w:ascii="Times New Roman" w:hAnsi="Times New Roman" w:eastAsia="方正仿宋_GBK" w:cs="Times New Roman"/>
                <w:color w:val="auto"/>
                <w:sz w:val="24"/>
                <w:szCs w:val="24"/>
                <w:lang w:val="en-US" w:eastAsia="zh-CN"/>
              </w:rPr>
              <w:t>4</w:t>
            </w:r>
          </w:p>
        </w:tc>
        <w:tc>
          <w:tcPr>
            <w:tcW w:w="4635" w:type="dxa"/>
            <w:tcBorders>
              <w:top w:val="single" w:color="auto" w:sz="4" w:space="0"/>
              <w:left w:val="single" w:color="auto" w:sz="4" w:space="0"/>
              <w:bottom w:val="single" w:color="auto" w:sz="4" w:space="0"/>
              <w:right w:val="single" w:color="auto" w:sz="4" w:space="0"/>
            </w:tcBorders>
            <w:vAlign w:val="center"/>
          </w:tcPr>
          <w:p w14:paraId="26A8F8B5">
            <w:pPr>
              <w:snapToGrid w:val="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提供安全生产</w:t>
            </w:r>
            <w:r>
              <w:rPr>
                <w:rFonts w:hint="default" w:ascii="Times New Roman" w:hAnsi="Times New Roman" w:eastAsia="方正仿宋_GBK" w:cs="Times New Roman"/>
                <w:color w:val="auto"/>
                <w:sz w:val="24"/>
                <w:szCs w:val="24"/>
              </w:rPr>
              <w:t>、文明作业制度</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安全生产、文明作业制度完善；措施到位；安全保障设施</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设备满足作业需要；需对发生各类安全事故作善后处理承诺；</w:t>
            </w:r>
          </w:p>
          <w:p w14:paraId="2C564EE0">
            <w:pPr>
              <w:snapToGrid w:val="0"/>
              <w:rPr>
                <w:rFonts w:ascii="方正仿宋_GBK" w:hAnsi="宋体" w:eastAsia="方正仿宋_GBK"/>
                <w:sz w:val="24"/>
                <w:szCs w:val="24"/>
              </w:rPr>
            </w:pP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安全生产、文明作业制度完善；措施到位；安全保障设施、设备满足作业需要；需对发生各类安全事故作善后处理承诺得</w:t>
            </w:r>
            <w:r>
              <w:rPr>
                <w:rFonts w:hint="eastAsia"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w:t>
            </w:r>
            <w:r>
              <w:rPr>
                <w:rFonts w:hint="default" w:ascii="Times New Roman" w:hAnsi="Times New Roman" w:eastAsia="方正仿宋_GBK" w:cs="Times New Roman"/>
                <w:color w:val="auto"/>
                <w:sz w:val="24"/>
                <w:szCs w:val="24"/>
                <w:lang w:eastAsia="zh-CN"/>
              </w:rPr>
              <w:t>；安全生产、文明作业制度基本完善；措施基本到位；安全保障设施、设备基本能满足作业需要；需对发生各类安全事故基本能作善后处理承诺</w:t>
            </w:r>
            <w:r>
              <w:rPr>
                <w:rFonts w:hint="default" w:ascii="Times New Roman" w:hAnsi="Times New Roman" w:eastAsia="方正仿宋_GBK" w:cs="Times New Roman"/>
                <w:color w:val="auto"/>
                <w:sz w:val="24"/>
                <w:szCs w:val="24"/>
              </w:rPr>
              <w:t>得</w:t>
            </w:r>
            <w:r>
              <w:rPr>
                <w:rFonts w:hint="eastAsia"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分</w:t>
            </w:r>
            <w:r>
              <w:rPr>
                <w:rFonts w:hint="default" w:ascii="Times New Roman" w:hAnsi="Times New Roman" w:eastAsia="方正仿宋_GBK" w:cs="Times New Roman"/>
                <w:color w:val="auto"/>
                <w:sz w:val="24"/>
                <w:szCs w:val="24"/>
                <w:lang w:eastAsia="zh-CN"/>
              </w:rPr>
              <w:t>；较差的</w:t>
            </w:r>
            <w:r>
              <w:rPr>
                <w:rFonts w:hint="default" w:ascii="Times New Roman" w:hAnsi="Times New Roman" w:eastAsia="方正仿宋_GBK" w:cs="Times New Roman"/>
                <w:color w:val="auto"/>
                <w:sz w:val="24"/>
                <w:szCs w:val="24"/>
              </w:rPr>
              <w:t>一般得1分，没有不得分；</w:t>
            </w:r>
          </w:p>
        </w:tc>
        <w:tc>
          <w:tcPr>
            <w:tcW w:w="1732" w:type="dxa"/>
            <w:tcBorders>
              <w:top w:val="single" w:color="auto" w:sz="4" w:space="0"/>
              <w:left w:val="single" w:color="auto" w:sz="4" w:space="0"/>
              <w:bottom w:val="single" w:color="auto" w:sz="4" w:space="0"/>
              <w:right w:val="single" w:color="auto" w:sz="4" w:space="0"/>
            </w:tcBorders>
            <w:vAlign w:val="center"/>
          </w:tcPr>
          <w:p w14:paraId="09CCB231">
            <w:pPr>
              <w:snapToGrid w:val="0"/>
              <w:rPr>
                <w:rFonts w:hint="eastAsia" w:ascii="方正仿宋_GBK" w:hAnsi="宋体" w:eastAsia="方正仿宋_GBK" w:cs="宋体"/>
                <w:sz w:val="24"/>
                <w:szCs w:val="24"/>
              </w:rPr>
            </w:pPr>
          </w:p>
        </w:tc>
      </w:tr>
      <w:tr w14:paraId="7645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675" w:type="dxa"/>
            <w:vMerge w:val="continue"/>
            <w:tcBorders>
              <w:top w:val="nil"/>
              <w:left w:val="single" w:color="auto" w:sz="4" w:space="0"/>
              <w:bottom w:val="single" w:color="auto" w:sz="4" w:space="0"/>
              <w:right w:val="single" w:color="auto" w:sz="4" w:space="0"/>
            </w:tcBorders>
            <w:vAlign w:val="center"/>
          </w:tcPr>
          <w:p w14:paraId="4FA7A938">
            <w:pPr>
              <w:widowControl/>
              <w:jc w:val="left"/>
              <w:rPr>
                <w:rFonts w:eastAsia="方正仿宋_GBK"/>
                <w:sz w:val="24"/>
                <w:szCs w:val="24"/>
              </w:rPr>
            </w:pPr>
          </w:p>
        </w:tc>
        <w:tc>
          <w:tcPr>
            <w:tcW w:w="784" w:type="dxa"/>
            <w:vMerge w:val="continue"/>
            <w:tcBorders>
              <w:top w:val="nil"/>
              <w:left w:val="single" w:color="auto" w:sz="4" w:space="0"/>
              <w:bottom w:val="single" w:color="auto" w:sz="4" w:space="0"/>
              <w:right w:val="single" w:color="auto" w:sz="4" w:space="0"/>
            </w:tcBorders>
            <w:vAlign w:val="center"/>
          </w:tcPr>
          <w:p w14:paraId="1607697E">
            <w:pPr>
              <w:adjustRightInd w:val="0"/>
              <w:snapToGrid w:val="0"/>
              <w:spacing w:line="400" w:lineRule="exact"/>
              <w:jc w:val="center"/>
              <w:rPr>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0FDC5556">
            <w:pPr>
              <w:snapToGrid w:val="0"/>
              <w:rPr>
                <w:rFonts w:hint="default" w:ascii="Times New Roman" w:hAnsi="Times New Roman" w:eastAsia="方正仿宋_GBK" w:cs="Times New Roman"/>
                <w:color w:val="auto"/>
                <w:kern w:val="2"/>
                <w:sz w:val="24"/>
                <w:szCs w:val="20"/>
                <w:lang w:val="en-US" w:eastAsia="zh-CN" w:bidi="ar-SA"/>
              </w:rPr>
            </w:pPr>
            <w:r>
              <w:rPr>
                <w:rFonts w:hint="default" w:ascii="Times New Roman" w:hAnsi="Times New Roman" w:eastAsia="方正仿宋_GBK" w:cs="Times New Roman"/>
                <w:color w:val="auto"/>
                <w:sz w:val="24"/>
                <w:szCs w:val="20"/>
              </w:rPr>
              <w:t>安全事故证明材料</w:t>
            </w:r>
            <w:r>
              <w:rPr>
                <w:rFonts w:hint="default" w:ascii="Times New Roman" w:hAnsi="Times New Roman" w:eastAsia="方正仿宋_GBK" w:cs="Times New Roman"/>
                <w:color w:val="auto"/>
                <w:sz w:val="24"/>
                <w:szCs w:val="20"/>
                <w:lang w:eastAsia="zh-CN"/>
              </w:rPr>
              <w:t>（</w:t>
            </w:r>
            <w:r>
              <w:rPr>
                <w:rFonts w:hint="default" w:ascii="Times New Roman" w:hAnsi="Times New Roman" w:eastAsia="方正仿宋_GBK" w:cs="Times New Roman"/>
                <w:color w:val="auto"/>
                <w:sz w:val="24"/>
                <w:szCs w:val="20"/>
                <w:lang w:val="en-US" w:eastAsia="zh-CN"/>
              </w:rPr>
              <w:t>2%</w:t>
            </w:r>
            <w:r>
              <w:rPr>
                <w:rFonts w:hint="default" w:ascii="Times New Roman" w:hAnsi="Times New Roman" w:eastAsia="方正仿宋_GBK" w:cs="Times New Roman"/>
                <w:color w:val="auto"/>
                <w:sz w:val="24"/>
                <w:szCs w:val="20"/>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14:paraId="1C79E60F">
            <w:pPr>
              <w:snapToGrid w:val="0"/>
              <w:jc w:val="center"/>
              <w:rPr>
                <w:rFonts w:hint="default" w:ascii="Times New Roman" w:hAnsi="Times New Roman" w:eastAsia="方正仿宋_GBK" w:cs="Times New Roman"/>
                <w:color w:val="auto"/>
                <w:kern w:val="2"/>
                <w:sz w:val="24"/>
                <w:szCs w:val="20"/>
                <w:lang w:val="en-US" w:eastAsia="zh-CN" w:bidi="ar-SA"/>
              </w:rPr>
            </w:pPr>
            <w:r>
              <w:rPr>
                <w:rFonts w:hint="default" w:ascii="Times New Roman" w:hAnsi="Times New Roman" w:eastAsia="方正仿宋_GBK" w:cs="Times New Roman"/>
                <w:color w:val="auto"/>
                <w:sz w:val="24"/>
                <w:szCs w:val="20"/>
                <w:lang w:val="en-US" w:eastAsia="zh-CN"/>
              </w:rPr>
              <w:t>2</w:t>
            </w:r>
          </w:p>
        </w:tc>
        <w:tc>
          <w:tcPr>
            <w:tcW w:w="4635" w:type="dxa"/>
            <w:tcBorders>
              <w:top w:val="single" w:color="auto" w:sz="4" w:space="0"/>
              <w:left w:val="single" w:color="auto" w:sz="4" w:space="0"/>
              <w:bottom w:val="single" w:color="auto" w:sz="4" w:space="0"/>
              <w:right w:val="single" w:color="auto" w:sz="4" w:space="0"/>
            </w:tcBorders>
            <w:vAlign w:val="center"/>
          </w:tcPr>
          <w:p w14:paraId="05B56FB7">
            <w:pPr>
              <w:snapToGrid w:val="0"/>
              <w:rPr>
                <w:rFonts w:hint="default" w:ascii="Times New Roman" w:hAnsi="Times New Roman" w:eastAsia="方正仿宋_GBK" w:cs="Times New Roman"/>
                <w:color w:val="auto"/>
                <w:kern w:val="2"/>
                <w:sz w:val="24"/>
                <w:szCs w:val="20"/>
                <w:lang w:val="en-US" w:eastAsia="zh-CN" w:bidi="ar-SA"/>
              </w:rPr>
            </w:pPr>
            <w:r>
              <w:rPr>
                <w:rFonts w:hint="default" w:ascii="Times New Roman" w:hAnsi="Times New Roman" w:eastAsia="方正仿宋_GBK" w:cs="Times New Roman"/>
                <w:color w:val="auto"/>
                <w:sz w:val="24"/>
                <w:szCs w:val="20"/>
              </w:rPr>
              <w:t>投标人在近三年的类似服务作业业绩中无一例属于投标人责任的因工死亡等安全事故（出具符合本要求的安全事故承诺书）得</w:t>
            </w:r>
            <w:r>
              <w:rPr>
                <w:rFonts w:hint="default" w:ascii="Times New Roman" w:hAnsi="Times New Roman" w:eastAsia="方正仿宋_GBK" w:cs="Times New Roman"/>
                <w:color w:val="auto"/>
                <w:sz w:val="24"/>
                <w:szCs w:val="20"/>
                <w:lang w:val="en-US" w:eastAsia="zh-CN"/>
              </w:rPr>
              <w:t>2</w:t>
            </w:r>
            <w:r>
              <w:rPr>
                <w:rFonts w:hint="default" w:ascii="Times New Roman" w:hAnsi="Times New Roman" w:eastAsia="方正仿宋_GBK" w:cs="Times New Roman"/>
                <w:color w:val="auto"/>
                <w:sz w:val="24"/>
                <w:szCs w:val="20"/>
              </w:rPr>
              <w:t>分。</w:t>
            </w:r>
          </w:p>
        </w:tc>
        <w:tc>
          <w:tcPr>
            <w:tcW w:w="1732" w:type="dxa"/>
            <w:tcBorders>
              <w:top w:val="single" w:color="auto" w:sz="4" w:space="0"/>
              <w:left w:val="single" w:color="auto" w:sz="4" w:space="0"/>
              <w:bottom w:val="single" w:color="auto" w:sz="4" w:space="0"/>
              <w:right w:val="single" w:color="auto" w:sz="4" w:space="0"/>
            </w:tcBorders>
            <w:vAlign w:val="center"/>
          </w:tcPr>
          <w:p w14:paraId="35DD7538">
            <w:pPr>
              <w:keepNext w:val="0"/>
              <w:keepLines w:val="0"/>
              <w:pageBreakBefore w:val="0"/>
              <w:widowControl w:val="0"/>
              <w:kinsoku/>
              <w:wordWrap/>
              <w:overflowPunct/>
              <w:topLinePunct w:val="0"/>
              <w:autoSpaceDE/>
              <w:autoSpaceDN/>
              <w:bidi w:val="0"/>
              <w:snapToGrid w:val="0"/>
              <w:spacing w:line="320" w:lineRule="exact"/>
              <w:textAlignment w:val="auto"/>
              <w:rPr>
                <w:rFonts w:hint="eastAsia" w:ascii="Times New Roman" w:hAnsi="Times New Roman" w:eastAsia="方正仿宋_GBK" w:cs="Times New Roman"/>
                <w:color w:val="auto"/>
                <w:kern w:val="2"/>
                <w:sz w:val="24"/>
                <w:szCs w:val="20"/>
                <w:lang w:val="en-US" w:eastAsia="zh-CN" w:bidi="ar-SA"/>
              </w:rPr>
            </w:pPr>
            <w:r>
              <w:rPr>
                <w:rFonts w:hint="default" w:ascii="Times New Roman" w:hAnsi="Times New Roman" w:eastAsia="方正仿宋_GBK" w:cs="Times New Roman"/>
                <w:color w:val="auto"/>
                <w:sz w:val="24"/>
                <w:szCs w:val="20"/>
              </w:rPr>
              <w:t>安全事故证明材料由投标人自行据实承诺，若中标后核实违反该条将取消中标资格，并报工商部门做严肃处理。</w:t>
            </w:r>
          </w:p>
        </w:tc>
      </w:tr>
      <w:tr w14:paraId="07C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675" w:type="dxa"/>
            <w:vMerge w:val="continue"/>
            <w:tcBorders>
              <w:top w:val="nil"/>
              <w:left w:val="single" w:color="auto" w:sz="4" w:space="0"/>
              <w:bottom w:val="single" w:color="auto" w:sz="4" w:space="0"/>
              <w:right w:val="single" w:color="auto" w:sz="4" w:space="0"/>
            </w:tcBorders>
            <w:vAlign w:val="center"/>
          </w:tcPr>
          <w:p w14:paraId="4BDAF8FF">
            <w:pPr>
              <w:widowControl/>
              <w:jc w:val="left"/>
              <w:rPr>
                <w:rFonts w:eastAsia="方正仿宋_GBK"/>
                <w:sz w:val="24"/>
                <w:szCs w:val="24"/>
              </w:rPr>
            </w:pPr>
          </w:p>
        </w:tc>
        <w:tc>
          <w:tcPr>
            <w:tcW w:w="784" w:type="dxa"/>
            <w:vMerge w:val="continue"/>
            <w:tcBorders>
              <w:top w:val="nil"/>
              <w:left w:val="single" w:color="auto" w:sz="4" w:space="0"/>
              <w:bottom w:val="single" w:color="auto" w:sz="4" w:space="0"/>
              <w:right w:val="single" w:color="auto" w:sz="4" w:space="0"/>
            </w:tcBorders>
            <w:vAlign w:val="center"/>
          </w:tcPr>
          <w:p w14:paraId="2F43C336">
            <w:pPr>
              <w:adjustRightInd w:val="0"/>
              <w:snapToGrid w:val="0"/>
              <w:spacing w:line="400" w:lineRule="exact"/>
              <w:jc w:val="center"/>
              <w:rPr>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7118D8C1">
            <w:pPr>
              <w:snapToGrid w:val="0"/>
              <w:rPr>
                <w:rFonts w:hint="default" w:ascii="Times New Roman" w:hAnsi="Times New Roman" w:eastAsia="方正仿宋_GBK" w:cs="Times New Roman"/>
                <w:color w:val="auto"/>
                <w:kern w:val="2"/>
                <w:sz w:val="24"/>
                <w:szCs w:val="20"/>
                <w:lang w:val="en-US" w:eastAsia="zh-CN" w:bidi="ar-SA"/>
              </w:rPr>
            </w:pPr>
            <w:r>
              <w:rPr>
                <w:rFonts w:hint="default" w:ascii="Times New Roman" w:hAnsi="Times New Roman" w:eastAsia="方正仿宋_GBK" w:cs="Times New Roman"/>
                <w:color w:val="auto"/>
                <w:sz w:val="24"/>
                <w:szCs w:val="20"/>
              </w:rPr>
              <w:t>培训</w:t>
            </w:r>
            <w:r>
              <w:rPr>
                <w:rFonts w:hint="default" w:ascii="Times New Roman" w:hAnsi="Times New Roman" w:eastAsia="方正仿宋_GBK" w:cs="Times New Roman"/>
                <w:color w:val="auto"/>
                <w:sz w:val="24"/>
                <w:szCs w:val="20"/>
                <w:lang w:eastAsia="zh-CN"/>
              </w:rPr>
              <w:t>（</w:t>
            </w:r>
            <w:r>
              <w:rPr>
                <w:rFonts w:hint="default" w:ascii="Times New Roman" w:hAnsi="Times New Roman" w:eastAsia="方正仿宋_GBK" w:cs="Times New Roman"/>
                <w:color w:val="auto"/>
                <w:sz w:val="24"/>
                <w:szCs w:val="20"/>
                <w:lang w:val="en-US" w:eastAsia="zh-CN"/>
              </w:rPr>
              <w:t>5%</w:t>
            </w:r>
            <w:r>
              <w:rPr>
                <w:rFonts w:hint="default" w:ascii="Times New Roman" w:hAnsi="Times New Roman" w:eastAsia="方正仿宋_GBK" w:cs="Times New Roman"/>
                <w:color w:val="auto"/>
                <w:sz w:val="24"/>
                <w:szCs w:val="20"/>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14:paraId="1DA422FA">
            <w:pPr>
              <w:snapToGrid w:val="0"/>
              <w:jc w:val="center"/>
              <w:rPr>
                <w:rFonts w:hint="default" w:ascii="Times New Roman" w:hAnsi="Times New Roman" w:eastAsia="方正仿宋_GBK" w:cs="Times New Roman"/>
                <w:color w:val="auto"/>
                <w:kern w:val="2"/>
                <w:sz w:val="24"/>
                <w:szCs w:val="20"/>
                <w:lang w:val="en-US" w:eastAsia="zh-CN" w:bidi="ar-SA"/>
              </w:rPr>
            </w:pPr>
            <w:r>
              <w:rPr>
                <w:rFonts w:hint="default" w:ascii="Times New Roman" w:hAnsi="Times New Roman" w:eastAsia="方正仿宋_GBK" w:cs="Times New Roman"/>
                <w:color w:val="auto"/>
                <w:sz w:val="24"/>
                <w:szCs w:val="20"/>
                <w:lang w:val="en-US" w:eastAsia="zh-CN"/>
              </w:rPr>
              <w:t>5</w:t>
            </w:r>
          </w:p>
        </w:tc>
        <w:tc>
          <w:tcPr>
            <w:tcW w:w="4635" w:type="dxa"/>
            <w:tcBorders>
              <w:top w:val="single" w:color="auto" w:sz="4" w:space="0"/>
              <w:left w:val="single" w:color="auto" w:sz="4" w:space="0"/>
              <w:bottom w:val="single" w:color="auto" w:sz="4" w:space="0"/>
              <w:right w:val="single" w:color="auto" w:sz="4" w:space="0"/>
            </w:tcBorders>
            <w:vAlign w:val="center"/>
          </w:tcPr>
          <w:p w14:paraId="07C5534A">
            <w:pPr>
              <w:snapToGrid w:val="0"/>
              <w:rPr>
                <w:rFonts w:hint="default" w:ascii="Times New Roman" w:hAnsi="Times New Roman" w:eastAsia="方正仿宋_GBK" w:cs="Times New Roman"/>
                <w:color w:val="auto"/>
                <w:sz w:val="24"/>
                <w:szCs w:val="20"/>
                <w:lang w:val="en-US" w:eastAsia="zh-CN"/>
              </w:rPr>
            </w:pPr>
            <w:r>
              <w:rPr>
                <w:rFonts w:hint="eastAsia" w:ascii="Times New Roman" w:hAnsi="Times New Roman" w:eastAsia="方正仿宋_GBK" w:cs="Times New Roman"/>
                <w:color w:val="auto"/>
                <w:sz w:val="24"/>
                <w:szCs w:val="20"/>
                <w:lang w:val="en-US" w:eastAsia="zh-CN"/>
              </w:rPr>
              <w:t>1、</w:t>
            </w:r>
            <w:r>
              <w:rPr>
                <w:rFonts w:hint="default" w:ascii="Times New Roman" w:hAnsi="Times New Roman" w:eastAsia="方正仿宋_GBK" w:cs="Times New Roman"/>
                <w:color w:val="auto"/>
                <w:sz w:val="24"/>
                <w:szCs w:val="20"/>
                <w:lang w:val="en-US" w:eastAsia="zh-CN"/>
              </w:rPr>
              <w:t>对服务辖区群众提供防治知识培训，根据培训方案中的培训内容、培训课时、培训地点和培训人数、师资力量等进行评分，满分3分。</w:t>
            </w:r>
          </w:p>
          <w:p w14:paraId="01ACD870">
            <w:pPr>
              <w:snapToGrid w:val="0"/>
              <w:rPr>
                <w:rFonts w:hint="default" w:ascii="Times New Roman" w:hAnsi="Times New Roman" w:eastAsia="方正仿宋_GBK" w:cs="Times New Roman"/>
                <w:color w:val="auto"/>
                <w:sz w:val="24"/>
                <w:szCs w:val="20"/>
                <w:lang w:val="en-US" w:eastAsia="zh-CN"/>
              </w:rPr>
            </w:pPr>
            <w:r>
              <w:rPr>
                <w:rFonts w:hint="default" w:ascii="Times New Roman" w:hAnsi="Times New Roman" w:eastAsia="方正仿宋_GBK" w:cs="Times New Roman"/>
                <w:color w:val="auto"/>
                <w:sz w:val="24"/>
                <w:szCs w:val="20"/>
                <w:lang w:val="en-US" w:eastAsia="zh-CN"/>
              </w:rPr>
              <w:t xml:space="preserve">   培训方案详实、具有操作性得3分；培训方案基本详实、基本具有操作性得2分，培训方案不详实、不具有操作性得1分，没有培训方案不得分。</w:t>
            </w:r>
          </w:p>
          <w:p w14:paraId="73DF1C52">
            <w:pPr>
              <w:snapToGrid w:val="0"/>
              <w:rPr>
                <w:rFonts w:hint="default" w:ascii="Times New Roman" w:hAnsi="Times New Roman" w:eastAsia="方正仿宋_GBK" w:cs="Times New Roman"/>
                <w:color w:val="auto"/>
                <w:kern w:val="2"/>
                <w:sz w:val="24"/>
                <w:szCs w:val="20"/>
                <w:lang w:val="en-US" w:eastAsia="zh-CN" w:bidi="ar-SA"/>
              </w:rPr>
            </w:pPr>
            <w:r>
              <w:rPr>
                <w:rFonts w:hint="default" w:ascii="Times New Roman" w:hAnsi="Times New Roman" w:eastAsia="方正仿宋_GBK" w:cs="Times New Roman"/>
                <w:color w:val="auto"/>
                <w:sz w:val="24"/>
                <w:szCs w:val="20"/>
                <w:lang w:val="en-US" w:eastAsia="zh-CN"/>
              </w:rPr>
              <w:t>2、2018年1月1日至今开展过</w:t>
            </w:r>
            <w:r>
              <w:rPr>
                <w:rFonts w:hint="eastAsia" w:ascii="Times New Roman" w:hAnsi="Times New Roman" w:eastAsia="方正仿宋_GBK" w:cs="Times New Roman"/>
                <w:color w:val="auto"/>
                <w:sz w:val="24"/>
                <w:szCs w:val="20"/>
                <w:lang w:val="en-US" w:eastAsia="zh-CN"/>
              </w:rPr>
              <w:t>四害防制</w:t>
            </w:r>
            <w:r>
              <w:rPr>
                <w:rFonts w:hint="default" w:ascii="Times New Roman" w:hAnsi="Times New Roman" w:eastAsia="方正仿宋_GBK" w:cs="Times New Roman"/>
                <w:color w:val="auto"/>
                <w:sz w:val="24"/>
                <w:szCs w:val="20"/>
                <w:lang w:val="en-US" w:eastAsia="zh-CN"/>
              </w:rPr>
              <w:t>知识培训的（有图片简报</w:t>
            </w:r>
            <w:r>
              <w:rPr>
                <w:rFonts w:hint="eastAsia" w:ascii="Times New Roman" w:hAnsi="Times New Roman" w:eastAsia="方正仿宋_GBK" w:cs="Times New Roman"/>
                <w:color w:val="auto"/>
                <w:sz w:val="24"/>
                <w:szCs w:val="20"/>
                <w:lang w:val="en-US" w:eastAsia="zh-CN"/>
              </w:rPr>
              <w:t>或新闻报道，且能体现是在向机关企事业单位或社区群众开展四害防制知识培训的；或有</w:t>
            </w:r>
            <w:r>
              <w:rPr>
                <w:rFonts w:hint="default" w:ascii="Times New Roman" w:hAnsi="Times New Roman" w:eastAsia="方正仿宋_GBK" w:cs="Times New Roman"/>
                <w:color w:val="auto"/>
                <w:sz w:val="24"/>
                <w:szCs w:val="20"/>
                <w:lang w:val="en-US" w:eastAsia="zh-CN"/>
              </w:rPr>
              <w:t>相关部门证明材料</w:t>
            </w:r>
            <w:r>
              <w:rPr>
                <w:rFonts w:hint="eastAsia" w:ascii="Times New Roman" w:hAnsi="Times New Roman" w:eastAsia="方正仿宋_GBK" w:cs="Times New Roman"/>
                <w:color w:val="auto"/>
                <w:sz w:val="24"/>
                <w:szCs w:val="20"/>
                <w:lang w:val="en-US" w:eastAsia="zh-CN"/>
              </w:rPr>
              <w:t>的</w:t>
            </w:r>
            <w:r>
              <w:rPr>
                <w:rFonts w:hint="default" w:ascii="Times New Roman" w:hAnsi="Times New Roman" w:eastAsia="方正仿宋_GBK" w:cs="Times New Roman"/>
                <w:color w:val="auto"/>
                <w:sz w:val="24"/>
                <w:szCs w:val="20"/>
                <w:lang w:val="en-US" w:eastAsia="zh-CN"/>
              </w:rPr>
              <w:t>）得2分。未开展不得分。</w:t>
            </w:r>
          </w:p>
        </w:tc>
        <w:tc>
          <w:tcPr>
            <w:tcW w:w="1732" w:type="dxa"/>
            <w:tcBorders>
              <w:top w:val="single" w:color="auto" w:sz="4" w:space="0"/>
              <w:left w:val="single" w:color="auto" w:sz="4" w:space="0"/>
              <w:bottom w:val="single" w:color="auto" w:sz="4" w:space="0"/>
              <w:right w:val="single" w:color="auto" w:sz="4" w:space="0"/>
            </w:tcBorders>
            <w:vAlign w:val="center"/>
          </w:tcPr>
          <w:p w14:paraId="5494C550">
            <w:pPr>
              <w:adjustRightInd w:val="0"/>
              <w:snapToGrid w:val="0"/>
              <w:spacing w:line="400" w:lineRule="exact"/>
              <w:rPr>
                <w:rFonts w:hint="eastAsia" w:ascii="方正仿宋_GBK" w:hAnsi="宋体" w:eastAsia="方正仿宋_GBK" w:cs="宋体"/>
                <w:sz w:val="21"/>
                <w:szCs w:val="21"/>
              </w:rPr>
            </w:pPr>
          </w:p>
        </w:tc>
      </w:tr>
      <w:tr w14:paraId="21EB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675" w:type="dxa"/>
            <w:vMerge w:val="continue"/>
            <w:tcBorders>
              <w:top w:val="nil"/>
              <w:left w:val="single" w:color="auto" w:sz="4" w:space="0"/>
              <w:bottom w:val="single" w:color="auto" w:sz="4" w:space="0"/>
              <w:right w:val="single" w:color="auto" w:sz="4" w:space="0"/>
            </w:tcBorders>
            <w:vAlign w:val="center"/>
          </w:tcPr>
          <w:p w14:paraId="413AB32B">
            <w:pPr>
              <w:widowControl/>
              <w:jc w:val="left"/>
              <w:rPr>
                <w:rFonts w:eastAsia="方正仿宋_GBK"/>
                <w:sz w:val="24"/>
                <w:szCs w:val="24"/>
              </w:rPr>
            </w:pPr>
          </w:p>
        </w:tc>
        <w:tc>
          <w:tcPr>
            <w:tcW w:w="784" w:type="dxa"/>
            <w:vMerge w:val="continue"/>
            <w:tcBorders>
              <w:top w:val="nil"/>
              <w:left w:val="single" w:color="auto" w:sz="4" w:space="0"/>
              <w:bottom w:val="single" w:color="auto" w:sz="4" w:space="0"/>
              <w:right w:val="single" w:color="auto" w:sz="4" w:space="0"/>
            </w:tcBorders>
            <w:vAlign w:val="center"/>
          </w:tcPr>
          <w:p w14:paraId="1946418E">
            <w:pPr>
              <w:adjustRightInd w:val="0"/>
              <w:snapToGrid w:val="0"/>
              <w:spacing w:line="400" w:lineRule="exact"/>
              <w:jc w:val="center"/>
              <w:rPr>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643492E2">
            <w:pPr>
              <w:adjustRightInd w:val="0"/>
              <w:snapToGrid w:val="0"/>
              <w:spacing w:line="400" w:lineRule="exact"/>
              <w:jc w:val="center"/>
              <w:rPr>
                <w:rFonts w:eastAsia="方正仿宋_GBK"/>
                <w:color w:val="000000"/>
                <w:sz w:val="24"/>
              </w:rPr>
            </w:pPr>
            <w:r>
              <w:rPr>
                <w:rFonts w:eastAsia="方正仿宋_GBK"/>
                <w:color w:val="000000"/>
                <w:sz w:val="24"/>
              </w:rPr>
              <w:t>应急处置</w:t>
            </w:r>
          </w:p>
          <w:p w14:paraId="30C809CE">
            <w:pPr>
              <w:adjustRightInd w:val="0"/>
              <w:snapToGrid w:val="0"/>
              <w:spacing w:line="400" w:lineRule="exact"/>
              <w:jc w:val="center"/>
              <w:rPr>
                <w:rFonts w:eastAsia="方正仿宋_GBK"/>
                <w:sz w:val="24"/>
                <w:szCs w:val="24"/>
              </w:rPr>
            </w:pPr>
            <w:r>
              <w:rPr>
                <w:rFonts w:eastAsia="方正仿宋_GBK"/>
                <w:color w:val="000000"/>
                <w:sz w:val="24"/>
              </w:rPr>
              <w:t>（4%）</w:t>
            </w:r>
          </w:p>
        </w:tc>
        <w:tc>
          <w:tcPr>
            <w:tcW w:w="709" w:type="dxa"/>
            <w:tcBorders>
              <w:top w:val="single" w:color="auto" w:sz="4" w:space="0"/>
              <w:left w:val="single" w:color="auto" w:sz="4" w:space="0"/>
              <w:bottom w:val="single" w:color="auto" w:sz="4" w:space="0"/>
              <w:right w:val="single" w:color="auto" w:sz="4" w:space="0"/>
            </w:tcBorders>
            <w:vAlign w:val="center"/>
          </w:tcPr>
          <w:p w14:paraId="0C207F92">
            <w:pPr>
              <w:adjustRightInd w:val="0"/>
              <w:snapToGrid w:val="0"/>
              <w:spacing w:line="400" w:lineRule="exact"/>
              <w:jc w:val="center"/>
              <w:rPr>
                <w:rFonts w:eastAsia="方正仿宋_GBK"/>
                <w:sz w:val="24"/>
                <w:szCs w:val="24"/>
              </w:rPr>
            </w:pPr>
            <w:r>
              <w:rPr>
                <w:rFonts w:eastAsia="方正仿宋_GBK"/>
                <w:sz w:val="21"/>
                <w:szCs w:val="21"/>
              </w:rPr>
              <w:t>4</w:t>
            </w:r>
          </w:p>
        </w:tc>
        <w:tc>
          <w:tcPr>
            <w:tcW w:w="4635" w:type="dxa"/>
            <w:tcBorders>
              <w:top w:val="single" w:color="auto" w:sz="4" w:space="0"/>
              <w:left w:val="single" w:color="auto" w:sz="4" w:space="0"/>
              <w:bottom w:val="single" w:color="auto" w:sz="4" w:space="0"/>
              <w:right w:val="single" w:color="auto" w:sz="4" w:space="0"/>
            </w:tcBorders>
            <w:vAlign w:val="center"/>
          </w:tcPr>
          <w:p w14:paraId="6421A612">
            <w:pPr>
              <w:snapToGrid w:val="0"/>
              <w:rPr>
                <w:rFonts w:eastAsia="方正仿宋_GBK"/>
                <w:sz w:val="24"/>
                <w:szCs w:val="24"/>
              </w:rPr>
            </w:pPr>
            <w:r>
              <w:rPr>
                <w:rFonts w:ascii="方正仿宋_GBK" w:hAnsi="宋体" w:eastAsia="方正仿宋_GBK"/>
                <w:sz w:val="24"/>
                <w:szCs w:val="24"/>
              </w:rPr>
              <w:t>针对突发公共卫生事件，重大节假日或活动等特殊情况制定应急处置方案，包括传达机制、人员和设备调配、责任分工等，详细的得4分，较详细的得3分，不详细的得2分，没有方案的得0分。</w:t>
            </w:r>
          </w:p>
        </w:tc>
        <w:tc>
          <w:tcPr>
            <w:tcW w:w="1732" w:type="dxa"/>
            <w:tcBorders>
              <w:top w:val="single" w:color="auto" w:sz="4" w:space="0"/>
              <w:left w:val="single" w:color="auto" w:sz="4" w:space="0"/>
              <w:bottom w:val="single" w:color="auto" w:sz="4" w:space="0"/>
              <w:right w:val="single" w:color="auto" w:sz="4" w:space="0"/>
            </w:tcBorders>
            <w:vAlign w:val="center"/>
          </w:tcPr>
          <w:p w14:paraId="50733DD1">
            <w:pPr>
              <w:adjustRightInd w:val="0"/>
              <w:snapToGrid w:val="0"/>
              <w:spacing w:line="400" w:lineRule="exact"/>
              <w:rPr>
                <w:rFonts w:eastAsia="方正仿宋_GBK"/>
                <w:sz w:val="24"/>
                <w:szCs w:val="24"/>
              </w:rPr>
            </w:pPr>
            <w:r>
              <w:rPr>
                <w:rFonts w:hint="eastAsia" w:ascii="方正仿宋_GBK" w:hAnsi="宋体" w:eastAsia="方正仿宋_GBK" w:cs="宋体"/>
                <w:sz w:val="21"/>
                <w:szCs w:val="21"/>
              </w:rPr>
              <w:t>由评标专家根据方案进行评分。</w:t>
            </w:r>
          </w:p>
        </w:tc>
      </w:tr>
      <w:tr w14:paraId="4691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3C44B90">
            <w:pPr>
              <w:spacing w:line="360" w:lineRule="exact"/>
              <w:jc w:val="center"/>
              <w:rPr>
                <w:rFonts w:eastAsia="方正仿宋_GBK"/>
                <w:sz w:val="24"/>
                <w:szCs w:val="24"/>
              </w:rPr>
            </w:pPr>
          </w:p>
          <w:p w14:paraId="6A4DDB05">
            <w:pPr>
              <w:spacing w:line="360" w:lineRule="exact"/>
              <w:jc w:val="center"/>
              <w:rPr>
                <w:rFonts w:eastAsia="方正仿宋_GBK"/>
                <w:sz w:val="24"/>
                <w:szCs w:val="24"/>
              </w:rPr>
            </w:pPr>
            <w:r>
              <w:rPr>
                <w:rFonts w:eastAsia="方正仿宋_GBK"/>
                <w:sz w:val="24"/>
                <w:szCs w:val="24"/>
              </w:rPr>
              <w:t>3</w:t>
            </w:r>
          </w:p>
        </w:tc>
        <w:tc>
          <w:tcPr>
            <w:tcW w:w="784" w:type="dxa"/>
            <w:vMerge w:val="restart"/>
            <w:tcBorders>
              <w:top w:val="single" w:color="auto" w:sz="4" w:space="0"/>
              <w:left w:val="single" w:color="auto" w:sz="4" w:space="0"/>
              <w:bottom w:val="single" w:color="auto" w:sz="4" w:space="0"/>
              <w:right w:val="single" w:color="auto" w:sz="4" w:space="0"/>
            </w:tcBorders>
            <w:vAlign w:val="center"/>
          </w:tcPr>
          <w:p w14:paraId="792D06C5">
            <w:pPr>
              <w:spacing w:line="360" w:lineRule="exact"/>
              <w:rPr>
                <w:rFonts w:eastAsia="方正仿宋_GBK"/>
                <w:sz w:val="24"/>
                <w:szCs w:val="24"/>
              </w:rPr>
            </w:pPr>
            <w:r>
              <w:rPr>
                <w:rFonts w:ascii="宋体" w:hAnsi="宋体"/>
                <w:sz w:val="24"/>
                <w:szCs w:val="24"/>
              </w:rPr>
              <w:t>商务部分（</w:t>
            </w:r>
            <w:r>
              <w:rPr>
                <w:rFonts w:hint="eastAsia"/>
                <w:sz w:val="24"/>
                <w:szCs w:val="24"/>
                <w:lang w:val="en-US" w:eastAsia="zh-CN"/>
              </w:rPr>
              <w:t>30</w:t>
            </w:r>
            <w:r>
              <w:rPr>
                <w:sz w:val="24"/>
                <w:szCs w:val="24"/>
              </w:rPr>
              <w:t>%</w:t>
            </w:r>
            <w:r>
              <w:rPr>
                <w:rFonts w:ascii="宋体" w:hAnsi="宋体"/>
                <w:sz w:val="24"/>
                <w:szCs w:val="24"/>
              </w:rPr>
              <w:t>）</w:t>
            </w:r>
          </w:p>
        </w:tc>
        <w:tc>
          <w:tcPr>
            <w:tcW w:w="1201" w:type="dxa"/>
            <w:tcBorders>
              <w:top w:val="single" w:color="auto" w:sz="4" w:space="0"/>
              <w:left w:val="single" w:color="auto" w:sz="4" w:space="0"/>
              <w:bottom w:val="single" w:color="auto" w:sz="4" w:space="0"/>
              <w:right w:val="single" w:color="auto" w:sz="4" w:space="0"/>
            </w:tcBorders>
            <w:vAlign w:val="center"/>
          </w:tcPr>
          <w:p w14:paraId="4B9252F5">
            <w:pPr>
              <w:spacing w:line="300" w:lineRule="exact"/>
              <w:jc w:val="center"/>
              <w:rPr>
                <w:rFonts w:hint="eastAsia" w:eastAsia="方正仿宋_GBK"/>
                <w:color w:val="000000"/>
                <w:sz w:val="24"/>
              </w:rPr>
            </w:pPr>
            <w:r>
              <w:rPr>
                <w:rFonts w:hint="eastAsia" w:eastAsia="方正仿宋_GBK"/>
                <w:color w:val="000000"/>
                <w:sz w:val="24"/>
              </w:rPr>
              <w:t>业绩</w:t>
            </w:r>
          </w:p>
          <w:p w14:paraId="6093DDB5">
            <w:pPr>
              <w:spacing w:line="300" w:lineRule="exact"/>
              <w:jc w:val="center"/>
              <w:rPr>
                <w:sz w:val="24"/>
                <w:szCs w:val="24"/>
              </w:rPr>
            </w:pPr>
            <w:r>
              <w:rPr>
                <w:rFonts w:hint="eastAsia" w:eastAsia="方正仿宋_GBK"/>
                <w:color w:val="000000"/>
                <w:sz w:val="24"/>
              </w:rPr>
              <w:t>（22%）</w:t>
            </w:r>
          </w:p>
        </w:tc>
        <w:tc>
          <w:tcPr>
            <w:tcW w:w="709" w:type="dxa"/>
            <w:tcBorders>
              <w:top w:val="single" w:color="auto" w:sz="4" w:space="0"/>
              <w:left w:val="single" w:color="auto" w:sz="4" w:space="0"/>
              <w:bottom w:val="single" w:color="auto" w:sz="4" w:space="0"/>
              <w:right w:val="single" w:color="auto" w:sz="4" w:space="0"/>
            </w:tcBorders>
            <w:vAlign w:val="center"/>
          </w:tcPr>
          <w:p w14:paraId="31CFB0BE">
            <w:pPr>
              <w:snapToGrid w:val="0"/>
              <w:spacing w:line="540" w:lineRule="exact"/>
              <w:ind w:firstLine="28" w:firstLineChars="0"/>
              <w:jc w:val="center"/>
              <w:rPr>
                <w:sz w:val="24"/>
                <w:szCs w:val="24"/>
              </w:rPr>
            </w:pPr>
            <w:r>
              <w:rPr>
                <w:rFonts w:eastAsia="方正仿宋_GBK"/>
                <w:sz w:val="24"/>
              </w:rPr>
              <w:t>22</w:t>
            </w:r>
          </w:p>
        </w:tc>
        <w:tc>
          <w:tcPr>
            <w:tcW w:w="4635" w:type="dxa"/>
            <w:tcBorders>
              <w:top w:val="single" w:color="auto" w:sz="4" w:space="0"/>
              <w:left w:val="single" w:color="auto" w:sz="4" w:space="0"/>
              <w:bottom w:val="single" w:color="auto" w:sz="4" w:space="0"/>
              <w:right w:val="single" w:color="auto" w:sz="4" w:space="0"/>
            </w:tcBorders>
            <w:vAlign w:val="center"/>
          </w:tcPr>
          <w:p w14:paraId="2CFEFA26">
            <w:pPr>
              <w:snapToGrid w:val="0"/>
              <w:rPr>
                <w:rFonts w:ascii="方正仿宋_GBK" w:hAnsi="宋体" w:eastAsia="方正仿宋_GBK"/>
                <w:sz w:val="24"/>
                <w:szCs w:val="24"/>
                <w:highlight w:val="none"/>
              </w:rPr>
            </w:pPr>
            <w:r>
              <w:rPr>
                <w:rFonts w:ascii="方正仿宋_GBK" w:hAnsi="宋体" w:eastAsia="方正仿宋_GBK"/>
                <w:sz w:val="24"/>
                <w:szCs w:val="24"/>
                <w:highlight w:val="none"/>
              </w:rPr>
              <w:t>1、投标人提供20</w:t>
            </w:r>
            <w:r>
              <w:rPr>
                <w:rFonts w:hint="eastAsia" w:ascii="方正仿宋_GBK" w:hAnsi="宋体" w:eastAsia="方正仿宋_GBK"/>
                <w:sz w:val="24"/>
                <w:szCs w:val="24"/>
                <w:highlight w:val="none"/>
                <w:lang w:val="en-US" w:eastAsia="zh-CN"/>
              </w:rPr>
              <w:t>21</w:t>
            </w:r>
            <w:r>
              <w:rPr>
                <w:rFonts w:ascii="方正仿宋_GBK" w:hAnsi="宋体" w:eastAsia="方正仿宋_GBK"/>
                <w:sz w:val="24"/>
                <w:szCs w:val="24"/>
                <w:highlight w:val="none"/>
              </w:rPr>
              <w:t>年1月1日至今有省（含直辖市、自治区）级及以上卫生城市（区）病媒生物防制项目业绩，每提供1个业绩得2分，最高10分。</w:t>
            </w:r>
          </w:p>
          <w:p w14:paraId="25E8559A">
            <w:pPr>
              <w:spacing w:line="300" w:lineRule="exact"/>
              <w:rPr>
                <w:rFonts w:ascii="方正仿宋_GBK" w:hAnsi="宋体" w:eastAsia="方正仿宋_GBK"/>
                <w:sz w:val="24"/>
                <w:szCs w:val="24"/>
                <w:highlight w:val="none"/>
              </w:rPr>
            </w:pPr>
            <w:r>
              <w:rPr>
                <w:rFonts w:ascii="方正仿宋_GBK" w:hAnsi="宋体" w:eastAsia="方正仿宋_GBK"/>
                <w:sz w:val="24"/>
                <w:szCs w:val="24"/>
                <w:highlight w:val="none"/>
              </w:rPr>
              <w:t>（每单个业绩需同时提供合同及发票复印件、验收报告或者有效的《用户评价书》。如若单个业绩提供资料不齐全，则此单项业绩不得分。</w:t>
            </w:r>
          </w:p>
          <w:p w14:paraId="38FE791C">
            <w:pPr>
              <w:snapToGrid w:val="0"/>
              <w:rPr>
                <w:rFonts w:ascii="方正仿宋_GBK" w:hAnsi="宋体" w:eastAsia="方正仿宋_GBK"/>
                <w:sz w:val="24"/>
                <w:szCs w:val="24"/>
                <w:highlight w:val="none"/>
              </w:rPr>
            </w:pPr>
            <w:r>
              <w:rPr>
                <w:rFonts w:ascii="方正仿宋_GBK" w:hAnsi="宋体" w:eastAsia="方正仿宋_GBK"/>
                <w:sz w:val="24"/>
                <w:szCs w:val="24"/>
                <w:highlight w:val="none"/>
              </w:rPr>
              <w:t>注：《用户评价书》无特定格式，需附采购人单位全称、具体地址、具体联系方式、具体联系人，采购人对供应商产品质量、服务和售后等评价，加盖采购单位公章。）</w:t>
            </w:r>
          </w:p>
          <w:p w14:paraId="6E1A11DB">
            <w:pPr>
              <w:spacing w:line="240" w:lineRule="atLeast"/>
              <w:rPr>
                <w:sz w:val="24"/>
                <w:szCs w:val="24"/>
                <w:highlight w:val="none"/>
              </w:rPr>
            </w:pPr>
            <w:r>
              <w:rPr>
                <w:rFonts w:ascii="方正仿宋_GBK" w:hAnsi="宋体" w:eastAsia="方正仿宋_GBK"/>
                <w:sz w:val="24"/>
                <w:szCs w:val="24"/>
                <w:highlight w:val="none"/>
              </w:rPr>
              <w:t>2、</w:t>
            </w:r>
            <w:r>
              <w:rPr>
                <w:rFonts w:hint="eastAsia" w:ascii="方正仿宋_GBK" w:hAnsi="宋体" w:eastAsia="方正仿宋_GBK"/>
                <w:sz w:val="24"/>
                <w:szCs w:val="24"/>
                <w:highlight w:val="none"/>
              </w:rPr>
              <w:t>近五年来获得卫生行政部门、爱卫办授予良好的资信等级证书或荣誉证书的1次得</w:t>
            </w:r>
            <w:r>
              <w:rPr>
                <w:rFonts w:hint="eastAsia" w:ascii="方正仿宋_GBK" w:hAnsi="宋体" w:eastAsia="方正仿宋_GBK"/>
                <w:sz w:val="24"/>
                <w:szCs w:val="24"/>
                <w:highlight w:val="none"/>
                <w:lang w:val="en-US" w:eastAsia="zh-CN"/>
              </w:rPr>
              <w:t>4</w:t>
            </w:r>
            <w:r>
              <w:rPr>
                <w:rFonts w:hint="eastAsia" w:ascii="方正仿宋_GBK" w:hAnsi="宋体" w:eastAsia="方正仿宋_GBK"/>
                <w:sz w:val="24"/>
                <w:szCs w:val="24"/>
                <w:highlight w:val="none"/>
              </w:rPr>
              <w:t>分，</w:t>
            </w:r>
            <w:r>
              <w:rPr>
                <w:rFonts w:ascii="方正仿宋_GBK" w:hAnsi="宋体" w:eastAsia="方正仿宋_GBK"/>
                <w:sz w:val="24"/>
                <w:szCs w:val="24"/>
                <w:highlight w:val="none"/>
              </w:rPr>
              <w:t>最多得8分，未获得不得分；获得市级行</w:t>
            </w:r>
            <w:r>
              <w:rPr>
                <w:rFonts w:hint="eastAsia" w:ascii="方正仿宋_GBK" w:hAnsi="宋体" w:eastAsia="方正仿宋_GBK"/>
                <w:sz w:val="24"/>
                <w:szCs w:val="24"/>
                <w:highlight w:val="none"/>
                <w:lang w:eastAsia="zh-CN"/>
              </w:rPr>
              <w:t>业</w:t>
            </w:r>
            <w:r>
              <w:rPr>
                <w:rFonts w:ascii="方正仿宋_GBK" w:hAnsi="宋体" w:eastAsia="方正仿宋_GBK"/>
                <w:sz w:val="24"/>
                <w:szCs w:val="24"/>
                <w:highlight w:val="none"/>
              </w:rPr>
              <w:t>部门或行业协会授予的良好资信等级证书或荣誉的一次得2分，最多得4分，未获得不得分。</w:t>
            </w:r>
          </w:p>
        </w:tc>
        <w:tc>
          <w:tcPr>
            <w:tcW w:w="1732" w:type="dxa"/>
            <w:tcBorders>
              <w:top w:val="single" w:color="auto" w:sz="4" w:space="0"/>
              <w:left w:val="single" w:color="auto" w:sz="4" w:space="0"/>
              <w:bottom w:val="single" w:color="auto" w:sz="4" w:space="0"/>
              <w:right w:val="single" w:color="auto" w:sz="4" w:space="0"/>
            </w:tcBorders>
            <w:vAlign w:val="center"/>
          </w:tcPr>
          <w:p w14:paraId="39408878">
            <w:pPr>
              <w:snapToGrid w:val="0"/>
              <w:spacing w:line="540" w:lineRule="exact"/>
              <w:rPr>
                <w:sz w:val="24"/>
                <w:szCs w:val="24"/>
                <w:highlight w:val="none"/>
              </w:rPr>
            </w:pPr>
            <w:r>
              <w:rPr>
                <w:rFonts w:hint="eastAsia" w:eastAsia="方正仿宋_GBK"/>
                <w:szCs w:val="21"/>
                <w:highlight w:val="none"/>
              </w:rPr>
              <w:t>本项目采购人有权对所提供的业绩进行核实，如若情况不实，有权取消成交候选供应商资格。</w:t>
            </w:r>
          </w:p>
        </w:tc>
      </w:tr>
      <w:tr w14:paraId="258F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675" w:type="dxa"/>
            <w:vMerge w:val="continue"/>
            <w:tcBorders>
              <w:top w:val="nil"/>
              <w:left w:val="single" w:color="auto" w:sz="4" w:space="0"/>
              <w:bottom w:val="single" w:color="auto" w:sz="4" w:space="0"/>
              <w:right w:val="single" w:color="auto" w:sz="4" w:space="0"/>
            </w:tcBorders>
            <w:vAlign w:val="center"/>
          </w:tcPr>
          <w:p w14:paraId="0B23C693">
            <w:pPr>
              <w:widowControl/>
              <w:jc w:val="left"/>
              <w:rPr>
                <w:rFonts w:eastAsia="方正仿宋_GBK"/>
                <w:sz w:val="24"/>
                <w:szCs w:val="24"/>
              </w:rPr>
            </w:pPr>
          </w:p>
        </w:tc>
        <w:tc>
          <w:tcPr>
            <w:tcW w:w="784" w:type="dxa"/>
            <w:vMerge w:val="continue"/>
            <w:tcBorders>
              <w:top w:val="nil"/>
              <w:left w:val="single" w:color="auto" w:sz="4" w:space="0"/>
              <w:bottom w:val="single" w:color="auto" w:sz="4" w:space="0"/>
              <w:right w:val="single" w:color="auto" w:sz="4" w:space="0"/>
            </w:tcBorders>
            <w:vAlign w:val="center"/>
          </w:tcPr>
          <w:p w14:paraId="146BE0F4">
            <w:pPr>
              <w:widowControl/>
              <w:jc w:val="left"/>
              <w:rPr>
                <w:rFonts w:eastAsia="方正仿宋_GBK"/>
                <w:sz w:val="24"/>
                <w:szCs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7334F610">
            <w:pPr>
              <w:spacing w:line="300" w:lineRule="exact"/>
              <w:jc w:val="center"/>
              <w:rPr>
                <w:rFonts w:eastAsia="方正仿宋_GBK"/>
                <w:color w:val="000000"/>
                <w:sz w:val="24"/>
              </w:rPr>
            </w:pPr>
            <w:r>
              <w:rPr>
                <w:rFonts w:eastAsia="方正仿宋_GBK"/>
                <w:color w:val="000000"/>
                <w:sz w:val="24"/>
              </w:rPr>
              <w:t>售后服务</w:t>
            </w:r>
          </w:p>
          <w:p w14:paraId="419D8D0F">
            <w:pPr>
              <w:spacing w:line="300" w:lineRule="exact"/>
              <w:jc w:val="center"/>
              <w:rPr>
                <w:sz w:val="24"/>
                <w:szCs w:val="24"/>
              </w:rPr>
            </w:pPr>
            <w:r>
              <w:rPr>
                <w:rFonts w:eastAsia="方正仿宋_GBK"/>
                <w:color w:val="000000"/>
                <w:sz w:val="24"/>
              </w:rPr>
              <w:t>（8%）</w:t>
            </w:r>
          </w:p>
        </w:tc>
        <w:tc>
          <w:tcPr>
            <w:tcW w:w="709" w:type="dxa"/>
            <w:tcBorders>
              <w:top w:val="single" w:color="auto" w:sz="4" w:space="0"/>
              <w:left w:val="single" w:color="auto" w:sz="4" w:space="0"/>
              <w:bottom w:val="single" w:color="auto" w:sz="4" w:space="0"/>
              <w:right w:val="single" w:color="auto" w:sz="4" w:space="0"/>
            </w:tcBorders>
            <w:vAlign w:val="center"/>
          </w:tcPr>
          <w:p w14:paraId="0F0DA6BC">
            <w:pPr>
              <w:spacing w:line="300" w:lineRule="exact"/>
              <w:jc w:val="center"/>
              <w:rPr>
                <w:sz w:val="24"/>
                <w:szCs w:val="24"/>
              </w:rPr>
            </w:pPr>
            <w:r>
              <w:rPr>
                <w:rFonts w:eastAsia="方正仿宋_GBK"/>
                <w:sz w:val="21"/>
                <w:szCs w:val="21"/>
              </w:rPr>
              <w:t>8</w:t>
            </w:r>
          </w:p>
        </w:tc>
        <w:tc>
          <w:tcPr>
            <w:tcW w:w="4635" w:type="dxa"/>
            <w:tcBorders>
              <w:top w:val="single" w:color="auto" w:sz="4" w:space="0"/>
              <w:left w:val="single" w:color="auto" w:sz="4" w:space="0"/>
              <w:bottom w:val="single" w:color="auto" w:sz="4" w:space="0"/>
              <w:right w:val="single" w:color="auto" w:sz="4" w:space="0"/>
            </w:tcBorders>
            <w:vAlign w:val="center"/>
          </w:tcPr>
          <w:p w14:paraId="5A056DB1">
            <w:pPr>
              <w:numPr>
                <w:ilvl w:val="0"/>
                <w:numId w:val="21"/>
              </w:numPr>
              <w:spacing w:line="300" w:lineRule="exact"/>
              <w:rPr>
                <w:rFonts w:ascii="方正仿宋_GBK" w:hAnsi="宋体" w:eastAsia="方正仿宋_GBK"/>
                <w:sz w:val="24"/>
                <w:szCs w:val="24"/>
              </w:rPr>
            </w:pPr>
            <w:r>
              <w:rPr>
                <w:rFonts w:ascii="方正仿宋_GBK" w:hAnsi="宋体" w:eastAsia="方正仿宋_GBK"/>
                <w:sz w:val="24"/>
                <w:szCs w:val="24"/>
              </w:rPr>
              <w:t>具有详细的售后服务</w:t>
            </w:r>
            <w:r>
              <w:rPr>
                <w:rFonts w:hint="eastAsia" w:ascii="方正仿宋_GBK" w:hAnsi="宋体" w:eastAsia="方正仿宋_GBK"/>
                <w:sz w:val="24"/>
                <w:szCs w:val="24"/>
              </w:rPr>
              <w:t>方案</w:t>
            </w:r>
            <w:r>
              <w:rPr>
                <w:rFonts w:ascii="方正仿宋_GBK" w:hAnsi="宋体" w:eastAsia="方正仿宋_GBK"/>
                <w:sz w:val="24"/>
                <w:szCs w:val="24"/>
              </w:rPr>
              <w:t>，措施具体，可操作性强得3分，可操作性较强得2分，一般得1分，差不得分。</w:t>
            </w:r>
          </w:p>
          <w:p w14:paraId="08FEBA69">
            <w:pPr>
              <w:numPr>
                <w:ilvl w:val="0"/>
                <w:numId w:val="21"/>
              </w:numPr>
              <w:spacing w:line="300" w:lineRule="exact"/>
              <w:rPr>
                <w:sz w:val="24"/>
                <w:szCs w:val="24"/>
              </w:rPr>
            </w:pPr>
            <w:r>
              <w:rPr>
                <w:rFonts w:ascii="方正仿宋_GBK" w:hAnsi="宋体" w:eastAsia="方正仿宋_GBK"/>
                <w:sz w:val="24"/>
                <w:szCs w:val="24"/>
              </w:rPr>
              <w:t>投标企业售后服务机构</w:t>
            </w:r>
            <w:r>
              <w:rPr>
                <w:rFonts w:hint="eastAsia" w:ascii="方正仿宋_GBK" w:hAnsi="宋体" w:eastAsia="方正仿宋_GBK"/>
                <w:sz w:val="24"/>
                <w:szCs w:val="24"/>
              </w:rPr>
              <w:t>距离服务区域不超过300公里，涉及病媒生物防制突发公共卫生事件的应急处理，能在60分钟内到达现场并按国家有关规定进行处理，日常售后服务能在12小时内到现场处理。</w:t>
            </w:r>
            <w:r>
              <w:rPr>
                <w:rFonts w:ascii="方正仿宋_GBK" w:hAnsi="宋体" w:eastAsia="方正仿宋_GBK"/>
                <w:sz w:val="24"/>
                <w:szCs w:val="24"/>
              </w:rPr>
              <w:t>（</w:t>
            </w:r>
            <w:r>
              <w:rPr>
                <w:rFonts w:hint="eastAsia" w:ascii="方正仿宋_GBK" w:hAnsi="宋体" w:eastAsia="方正仿宋_GBK"/>
                <w:sz w:val="24"/>
                <w:szCs w:val="24"/>
              </w:rPr>
              <w:t>提供售后服务承诺书，能达到的</w:t>
            </w:r>
            <w:r>
              <w:rPr>
                <w:rFonts w:ascii="方正仿宋_GBK" w:hAnsi="宋体" w:eastAsia="方正仿宋_GBK"/>
                <w:sz w:val="24"/>
                <w:szCs w:val="24"/>
              </w:rPr>
              <w:t>得5分，否则得0分）</w:t>
            </w:r>
          </w:p>
        </w:tc>
        <w:tc>
          <w:tcPr>
            <w:tcW w:w="1732" w:type="dxa"/>
            <w:tcBorders>
              <w:top w:val="single" w:color="auto" w:sz="4" w:space="0"/>
              <w:left w:val="single" w:color="auto" w:sz="4" w:space="0"/>
              <w:bottom w:val="single" w:color="auto" w:sz="4" w:space="0"/>
              <w:right w:val="single" w:color="auto" w:sz="4" w:space="0"/>
            </w:tcBorders>
            <w:vAlign w:val="center"/>
          </w:tcPr>
          <w:p w14:paraId="1E6A8CC0">
            <w:pPr>
              <w:spacing w:line="300" w:lineRule="exact"/>
              <w:rPr>
                <w:sz w:val="24"/>
                <w:szCs w:val="24"/>
              </w:rPr>
            </w:pPr>
          </w:p>
        </w:tc>
      </w:tr>
      <w:tr w14:paraId="4C66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675" w:type="dxa"/>
            <w:tcBorders>
              <w:top w:val="single" w:color="auto" w:sz="4" w:space="0"/>
              <w:left w:val="single" w:color="auto" w:sz="4" w:space="0"/>
              <w:bottom w:val="single" w:color="auto" w:sz="4" w:space="0"/>
              <w:right w:val="single" w:color="auto" w:sz="4" w:space="0"/>
            </w:tcBorders>
            <w:vAlign w:val="center"/>
          </w:tcPr>
          <w:p w14:paraId="087A6D65">
            <w:pPr>
              <w:spacing w:line="240" w:lineRule="atLeast"/>
              <w:ind w:firstLine="28" w:firstLineChars="0"/>
              <w:jc w:val="center"/>
              <w:rPr>
                <w:rFonts w:eastAsia="方正仿宋_GBK"/>
                <w:sz w:val="24"/>
                <w:szCs w:val="24"/>
                <w:highlight w:val="none"/>
              </w:rPr>
            </w:pPr>
            <w:r>
              <w:rPr>
                <w:rFonts w:hint="eastAsia" w:eastAsia="仿宋_GB2312"/>
                <w:sz w:val="24"/>
                <w:highlight w:val="none"/>
              </w:rPr>
              <w:t>4</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E938CC0">
            <w:pPr>
              <w:spacing w:line="240" w:lineRule="atLeast"/>
              <w:jc w:val="center"/>
              <w:rPr>
                <w:rFonts w:eastAsia="方正仿宋_GBK"/>
                <w:color w:val="000000"/>
                <w:sz w:val="24"/>
                <w:highlight w:val="none"/>
              </w:rPr>
            </w:pPr>
            <w:r>
              <w:rPr>
                <w:rFonts w:eastAsia="仿宋_GB2312"/>
                <w:sz w:val="24"/>
                <w:highlight w:val="none"/>
              </w:rPr>
              <w:t>加分项</w:t>
            </w:r>
            <w:r>
              <w:rPr>
                <w:rFonts w:hint="eastAsia" w:eastAsia="仿宋_GB2312"/>
                <w:sz w:val="24"/>
                <w:highlight w:val="none"/>
                <w:lang w:eastAsia="zh-CN"/>
              </w:rPr>
              <w:t>（</w:t>
            </w:r>
            <w:r>
              <w:rPr>
                <w:rFonts w:hint="eastAsia" w:eastAsia="仿宋_GB2312"/>
                <w:sz w:val="24"/>
                <w:highlight w:val="none"/>
                <w:lang w:val="en-US" w:eastAsia="zh-CN"/>
              </w:rPr>
              <w:t>5%</w:t>
            </w:r>
            <w:r>
              <w:rPr>
                <w:rFonts w:hint="eastAsia" w:eastAsia="仿宋_GB2312"/>
                <w:sz w:val="24"/>
                <w:highlight w:val="none"/>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14:paraId="77EBA2BE">
            <w:pPr>
              <w:spacing w:line="240" w:lineRule="atLeast"/>
              <w:jc w:val="center"/>
              <w:rPr>
                <w:rFonts w:eastAsia="仿宋_GB2312"/>
                <w:sz w:val="24"/>
                <w:szCs w:val="24"/>
                <w:highlight w:val="none"/>
              </w:rPr>
            </w:pPr>
            <w:r>
              <w:rPr>
                <w:rFonts w:eastAsia="仿宋_GB2312"/>
                <w:sz w:val="24"/>
                <w:szCs w:val="24"/>
                <w:highlight w:val="none"/>
              </w:rPr>
              <w:t>政策性加分</w:t>
            </w:r>
          </w:p>
          <w:p w14:paraId="6FEE446F">
            <w:pPr>
              <w:spacing w:line="240" w:lineRule="atLeast"/>
              <w:jc w:val="center"/>
              <w:rPr>
                <w:rFonts w:eastAsia="方正仿宋_GBK"/>
                <w:sz w:val="24"/>
                <w:szCs w:val="24"/>
                <w:highlight w:val="none"/>
              </w:rPr>
            </w:pPr>
            <w:r>
              <w:rPr>
                <w:rFonts w:eastAsia="仿宋_GB2312"/>
                <w:sz w:val="24"/>
                <w:szCs w:val="24"/>
                <w:highlight w:val="none"/>
              </w:rPr>
              <w:t>（5分）</w:t>
            </w:r>
          </w:p>
        </w:tc>
        <w:tc>
          <w:tcPr>
            <w:tcW w:w="4635" w:type="dxa"/>
            <w:tcBorders>
              <w:top w:val="single" w:color="auto" w:sz="4" w:space="0"/>
              <w:left w:val="single" w:color="auto" w:sz="4" w:space="0"/>
              <w:bottom w:val="single" w:color="auto" w:sz="4" w:space="0"/>
              <w:right w:val="single" w:color="auto" w:sz="4" w:space="0"/>
            </w:tcBorders>
            <w:vAlign w:val="center"/>
          </w:tcPr>
          <w:p w14:paraId="5B0B957F">
            <w:pPr>
              <w:spacing w:line="240" w:lineRule="atLeas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1、同时具有国家和</w:t>
            </w:r>
            <w:r>
              <w:rPr>
                <w:rFonts w:hint="default" w:ascii="Times New Roman" w:hAnsi="Times New Roman" w:eastAsia="方正仿宋_GBK" w:cs="Times New Roman"/>
                <w:color w:val="auto"/>
                <w:sz w:val="24"/>
                <w:szCs w:val="24"/>
                <w:lang w:eastAsia="zh-CN"/>
              </w:rPr>
              <w:t>省（含直辖市、自</w:t>
            </w:r>
            <w:r>
              <w:rPr>
                <w:rFonts w:hint="default" w:ascii="Times New Roman" w:hAnsi="Times New Roman" w:eastAsia="方正仿宋_GBK" w:cs="Times New Roman"/>
                <w:color w:val="auto"/>
                <w:sz w:val="24"/>
                <w:szCs w:val="24"/>
                <w:lang w:val="en-US" w:eastAsia="zh-CN"/>
              </w:rPr>
              <w:t>治区）级</w:t>
            </w:r>
            <w:r>
              <w:rPr>
                <w:rFonts w:hint="eastAsia" w:ascii="Times New Roman" w:hAnsi="Times New Roman" w:eastAsia="方正仿宋_GBK" w:cs="Times New Roman"/>
                <w:color w:val="auto"/>
                <w:sz w:val="24"/>
                <w:szCs w:val="24"/>
                <w:lang w:val="en-US" w:eastAsia="zh-CN"/>
              </w:rPr>
              <w:t>《有害生物防制服务机构服务能力等级证书A级》（</w:t>
            </w:r>
            <w:r>
              <w:rPr>
                <w:rFonts w:hint="eastAsia" w:ascii="Times New Roman" w:hAnsi="Times New Roman" w:eastAsia="方正仿宋_GBK" w:cs="Times New Roman"/>
                <w:color w:val="auto"/>
                <w:sz w:val="24"/>
                <w:szCs w:val="24"/>
                <w:lang w:eastAsia="zh-CN"/>
              </w:rPr>
              <w:t>提供证书复印件加盖投标单位公章</w:t>
            </w:r>
            <w:r>
              <w:rPr>
                <w:rFonts w:hint="eastAsia" w:ascii="Times New Roman" w:hAnsi="Times New Roman" w:eastAsia="方正仿宋_GBK" w:cs="Times New Roman"/>
                <w:color w:val="auto"/>
                <w:sz w:val="24"/>
                <w:szCs w:val="24"/>
                <w:lang w:val="en-US" w:eastAsia="zh-CN"/>
              </w:rPr>
              <w:t>）加5分。</w:t>
            </w:r>
          </w:p>
          <w:p w14:paraId="0C9D8499">
            <w:pPr>
              <w:spacing w:line="240" w:lineRule="atLeas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2、具有</w:t>
            </w:r>
            <w:r>
              <w:rPr>
                <w:rFonts w:hint="default" w:ascii="Times New Roman" w:hAnsi="Times New Roman" w:eastAsia="方正仿宋_GBK" w:cs="Times New Roman"/>
                <w:color w:val="auto"/>
                <w:sz w:val="24"/>
                <w:szCs w:val="24"/>
                <w:lang w:eastAsia="zh-CN"/>
              </w:rPr>
              <w:t>省（含直辖市、自</w:t>
            </w:r>
            <w:r>
              <w:rPr>
                <w:rFonts w:hint="default" w:ascii="Times New Roman" w:hAnsi="Times New Roman" w:eastAsia="方正仿宋_GBK" w:cs="Times New Roman"/>
                <w:color w:val="auto"/>
                <w:sz w:val="24"/>
                <w:szCs w:val="24"/>
                <w:lang w:val="en-US" w:eastAsia="zh-CN"/>
              </w:rPr>
              <w:t>治区）级</w:t>
            </w:r>
            <w:r>
              <w:rPr>
                <w:rFonts w:hint="eastAsia" w:ascii="Times New Roman" w:hAnsi="Times New Roman" w:eastAsia="方正仿宋_GBK" w:cs="Times New Roman"/>
                <w:color w:val="auto"/>
                <w:sz w:val="24"/>
                <w:szCs w:val="24"/>
                <w:lang w:val="en-US" w:eastAsia="zh-CN"/>
              </w:rPr>
              <w:t>《有害生物防制服务机构服务能力等级证书A级》（</w:t>
            </w:r>
            <w:r>
              <w:rPr>
                <w:rFonts w:hint="eastAsia" w:ascii="Times New Roman" w:hAnsi="Times New Roman" w:eastAsia="方正仿宋_GBK" w:cs="Times New Roman"/>
                <w:color w:val="auto"/>
                <w:sz w:val="24"/>
                <w:szCs w:val="24"/>
                <w:lang w:eastAsia="zh-CN"/>
              </w:rPr>
              <w:t>提供证书复印件加盖投标单位公章</w:t>
            </w:r>
            <w:r>
              <w:rPr>
                <w:rFonts w:hint="eastAsia" w:ascii="Times New Roman" w:hAnsi="Times New Roman" w:eastAsia="方正仿宋_GBK" w:cs="Times New Roman"/>
                <w:color w:val="auto"/>
                <w:sz w:val="24"/>
                <w:szCs w:val="24"/>
                <w:lang w:val="en-US" w:eastAsia="zh-CN"/>
              </w:rPr>
              <w:t>）加3分。</w:t>
            </w:r>
          </w:p>
          <w:p w14:paraId="28EB1ADB">
            <w:pPr>
              <w:spacing w:line="240" w:lineRule="atLeast"/>
              <w:jc w:val="left"/>
              <w:rPr>
                <w:rFonts w:ascii="方正仿宋_GBK" w:hAnsi="宋体" w:eastAsia="方正仿宋_GBK"/>
                <w:sz w:val="24"/>
                <w:szCs w:val="24"/>
                <w:highlight w:val="none"/>
              </w:rPr>
            </w:pPr>
            <w:r>
              <w:rPr>
                <w:rFonts w:hint="eastAsia" w:ascii="Times New Roman" w:hAnsi="Times New Roman" w:eastAsia="方正仿宋_GBK" w:cs="Times New Roman"/>
                <w:color w:val="auto"/>
                <w:sz w:val="24"/>
                <w:szCs w:val="24"/>
                <w:lang w:val="en-US" w:eastAsia="zh-CN"/>
              </w:rPr>
              <w:t>3、具有</w:t>
            </w:r>
            <w:r>
              <w:rPr>
                <w:rFonts w:hint="default" w:ascii="Times New Roman" w:hAnsi="Times New Roman" w:eastAsia="方正仿宋_GBK" w:cs="Times New Roman"/>
                <w:color w:val="auto"/>
                <w:sz w:val="24"/>
                <w:szCs w:val="24"/>
                <w:lang w:eastAsia="zh-CN"/>
              </w:rPr>
              <w:t>省（含直辖市、自</w:t>
            </w:r>
            <w:r>
              <w:rPr>
                <w:rFonts w:hint="default" w:ascii="Times New Roman" w:hAnsi="Times New Roman" w:eastAsia="方正仿宋_GBK" w:cs="Times New Roman"/>
                <w:color w:val="auto"/>
                <w:sz w:val="24"/>
                <w:szCs w:val="24"/>
                <w:lang w:val="en-US" w:eastAsia="zh-CN"/>
              </w:rPr>
              <w:t>治区）级</w:t>
            </w:r>
            <w:r>
              <w:rPr>
                <w:rFonts w:hint="eastAsia" w:ascii="Times New Roman" w:hAnsi="Times New Roman" w:eastAsia="方正仿宋_GBK" w:cs="Times New Roman"/>
                <w:color w:val="auto"/>
                <w:sz w:val="24"/>
                <w:szCs w:val="24"/>
                <w:lang w:val="en-US" w:eastAsia="zh-CN"/>
              </w:rPr>
              <w:t>《有害生物防制服务机构服务能力等级证书B级》（</w:t>
            </w:r>
            <w:r>
              <w:rPr>
                <w:rFonts w:hint="eastAsia" w:ascii="Times New Roman" w:hAnsi="Times New Roman" w:eastAsia="方正仿宋_GBK" w:cs="Times New Roman"/>
                <w:color w:val="auto"/>
                <w:sz w:val="24"/>
                <w:szCs w:val="24"/>
                <w:lang w:eastAsia="zh-CN"/>
              </w:rPr>
              <w:t>提供证书复印件加盖投标单位公章</w:t>
            </w:r>
            <w:r>
              <w:rPr>
                <w:rFonts w:hint="eastAsia" w:ascii="Times New Roman" w:hAnsi="Times New Roman" w:eastAsia="方正仿宋_GBK" w:cs="Times New Roman"/>
                <w:color w:val="auto"/>
                <w:sz w:val="24"/>
                <w:szCs w:val="24"/>
                <w:lang w:val="en-US" w:eastAsia="zh-CN"/>
              </w:rPr>
              <w:t>）加1分。</w:t>
            </w:r>
          </w:p>
        </w:tc>
        <w:tc>
          <w:tcPr>
            <w:tcW w:w="1732" w:type="dxa"/>
            <w:tcBorders>
              <w:top w:val="single" w:color="auto" w:sz="4" w:space="0"/>
              <w:left w:val="single" w:color="auto" w:sz="4" w:space="0"/>
              <w:bottom w:val="single" w:color="auto" w:sz="4" w:space="0"/>
              <w:right w:val="single" w:color="auto" w:sz="4" w:space="0"/>
            </w:tcBorders>
            <w:vAlign w:val="center"/>
          </w:tcPr>
          <w:p w14:paraId="7E3C4FF9">
            <w:pPr>
              <w:spacing w:line="240" w:lineRule="atLeast"/>
              <w:ind w:left="-38" w:leftChars="0"/>
              <w:jc w:val="left"/>
              <w:rPr>
                <w:sz w:val="24"/>
                <w:szCs w:val="24"/>
                <w:highlight w:val="none"/>
              </w:rPr>
            </w:pPr>
            <w:r>
              <w:rPr>
                <w:rFonts w:eastAsia="仿宋_GB2312"/>
                <w:sz w:val="24"/>
                <w:highlight w:val="none"/>
              </w:rPr>
              <w:t>根据项目的实际情况选择是否需要政策性加分。</w:t>
            </w:r>
          </w:p>
        </w:tc>
      </w:tr>
    </w:tbl>
    <w:p w14:paraId="34D82F42">
      <w:pPr>
        <w:rPr>
          <w:rFonts w:hint="eastAsia"/>
          <w:sz w:val="32"/>
          <w:szCs w:val="32"/>
          <w:highlight w:val="yellow"/>
        </w:rPr>
      </w:pPr>
    </w:p>
    <w:p w14:paraId="1BBB0292">
      <w:pPr>
        <w:spacing w:line="312" w:lineRule="auto"/>
        <w:jc w:val="center"/>
        <w:rPr>
          <w:rFonts w:hint="eastAsia" w:ascii="宋体" w:hAnsi="宋体" w:cs="宋体"/>
          <w:b/>
          <w:szCs w:val="28"/>
        </w:rPr>
      </w:pPr>
    </w:p>
    <w:p w14:paraId="42CF83BC">
      <w:pPr>
        <w:spacing w:line="312" w:lineRule="auto"/>
        <w:jc w:val="center"/>
        <w:rPr>
          <w:rFonts w:hint="eastAsia" w:ascii="宋体" w:hAnsi="宋体" w:cs="宋体"/>
          <w:b/>
          <w:szCs w:val="28"/>
        </w:rPr>
      </w:pPr>
    </w:p>
    <w:p w14:paraId="59E6FD05">
      <w:pPr>
        <w:spacing w:line="312" w:lineRule="auto"/>
        <w:jc w:val="center"/>
        <w:rPr>
          <w:rFonts w:hint="eastAsia" w:ascii="宋体" w:hAnsi="宋体" w:cs="宋体"/>
          <w:b/>
          <w:szCs w:val="28"/>
        </w:rPr>
      </w:pPr>
    </w:p>
    <w:p w14:paraId="5ED47D0C">
      <w:pPr>
        <w:spacing w:line="312" w:lineRule="auto"/>
        <w:jc w:val="center"/>
        <w:rPr>
          <w:rFonts w:ascii="宋体" w:hAnsi="宋体" w:cs="宋体"/>
          <w:b/>
          <w:szCs w:val="28"/>
        </w:rPr>
      </w:pPr>
      <w:r>
        <w:rPr>
          <w:rFonts w:hint="eastAsia" w:ascii="宋体" w:hAnsi="宋体" w:cs="宋体"/>
          <w:b/>
          <w:szCs w:val="28"/>
        </w:rPr>
        <w:t>供应商编制响应文件要求</w:t>
      </w:r>
    </w:p>
    <w:p w14:paraId="09ABFFFC">
      <w:pPr>
        <w:numPr>
          <w:ilvl w:val="0"/>
          <w:numId w:val="22"/>
        </w:numPr>
        <w:spacing w:line="312" w:lineRule="auto"/>
        <w:rPr>
          <w:rFonts w:ascii="宋体" w:hAnsi="宋体" w:cs="宋体"/>
          <w:b/>
          <w:sz w:val="24"/>
          <w:szCs w:val="24"/>
        </w:rPr>
      </w:pPr>
      <w:r>
        <w:rPr>
          <w:rFonts w:hint="eastAsia" w:ascii="宋体" w:hAnsi="宋体" w:cs="宋体"/>
          <w:b/>
          <w:sz w:val="24"/>
          <w:szCs w:val="24"/>
        </w:rPr>
        <w:t>报价</w:t>
      </w:r>
    </w:p>
    <w:p w14:paraId="79F35199">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14:paraId="4C306302">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14:paraId="446E4C03">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0302D4F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我方收到____________________________（项目名称）的谈判</w:t>
      </w:r>
      <w:r>
        <w:rPr>
          <w:rFonts w:ascii="宋体" w:hAnsi="宋体" w:cs="宋体"/>
          <w:sz w:val="24"/>
          <w:szCs w:val="24"/>
        </w:rPr>
        <w:t>采购</w:t>
      </w:r>
      <w:r>
        <w:rPr>
          <w:rFonts w:hint="eastAsia" w:ascii="宋体" w:hAnsi="宋体" w:cs="宋体"/>
          <w:sz w:val="24"/>
          <w:szCs w:val="24"/>
        </w:rPr>
        <w:t>文件，经详细研究，决定参加该项目的谈判。</w:t>
      </w:r>
    </w:p>
    <w:p w14:paraId="17FDB60C">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1、愿意按照谈判采购文件中的一切要求，提供本项目的技术服务，报价为人民币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5228E8C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57E7F3F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3、我方承诺：本次谈判的有效期为90天。</w:t>
      </w:r>
    </w:p>
    <w:p w14:paraId="2450EB7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4、我方完全理解和接受贵方谈判</w:t>
      </w:r>
      <w:r>
        <w:rPr>
          <w:rFonts w:ascii="宋体" w:hAnsi="宋体" w:cs="宋体"/>
          <w:sz w:val="24"/>
          <w:szCs w:val="24"/>
        </w:rPr>
        <w:t>采购</w:t>
      </w:r>
      <w:r>
        <w:rPr>
          <w:rFonts w:hint="eastAsia" w:ascii="宋体" w:hAnsi="宋体" w:cs="宋体"/>
          <w:sz w:val="24"/>
          <w:szCs w:val="24"/>
        </w:rPr>
        <w:t>文件的一切规定和要求及评审办法。</w:t>
      </w:r>
    </w:p>
    <w:p w14:paraId="4DC1313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5、在整个谈判</w:t>
      </w:r>
      <w:r>
        <w:rPr>
          <w:rFonts w:ascii="宋体" w:hAnsi="宋体" w:cs="宋体"/>
          <w:sz w:val="24"/>
          <w:szCs w:val="24"/>
        </w:rPr>
        <w:t>采购</w:t>
      </w:r>
      <w:r>
        <w:rPr>
          <w:rFonts w:hint="eastAsia" w:ascii="宋体" w:hAnsi="宋体" w:cs="宋体"/>
          <w:sz w:val="24"/>
          <w:szCs w:val="24"/>
        </w:rPr>
        <w:t>过程中，我方若有违规行为，接受按照</w:t>
      </w:r>
      <w:r>
        <w:rPr>
          <w:rFonts w:hint="eastAsia" w:ascii="宋体" w:hAnsi="宋体" w:cs="宋体"/>
          <w:sz w:val="24"/>
          <w:szCs w:val="24"/>
          <w:lang w:eastAsia="zh-CN"/>
        </w:rPr>
        <w:t>行采家</w:t>
      </w:r>
      <w:r>
        <w:rPr>
          <w:rFonts w:hint="eastAsia" w:ascii="宋体" w:hAnsi="宋体" w:cs="宋体"/>
          <w:sz w:val="24"/>
          <w:szCs w:val="24"/>
          <w:highlight w:val="none"/>
        </w:rPr>
        <w:t>规</w:t>
      </w:r>
      <w:r>
        <w:rPr>
          <w:rFonts w:hint="eastAsia" w:ascii="宋体" w:hAnsi="宋体" w:cs="宋体"/>
          <w:sz w:val="24"/>
          <w:szCs w:val="24"/>
        </w:rPr>
        <w:t>定给予惩罚。</w:t>
      </w:r>
    </w:p>
    <w:p w14:paraId="75CCE0B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6、我方若中选，将按照谈判结果签订合同，并且严格履行合同义务。本承诺函将成为合同不可分割的一部分，与合同具有同等的法律效力。</w:t>
      </w:r>
    </w:p>
    <w:p w14:paraId="389A884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3098363E">
      <w:pPr>
        <w:tabs>
          <w:tab w:val="left" w:pos="6300"/>
        </w:tabs>
        <w:snapToGrid w:val="0"/>
        <w:spacing w:line="360" w:lineRule="auto"/>
        <w:ind w:firstLine="570"/>
        <w:rPr>
          <w:rFonts w:ascii="宋体" w:hAnsi="宋体" w:cs="宋体"/>
          <w:sz w:val="24"/>
          <w:szCs w:val="24"/>
        </w:rPr>
      </w:pPr>
    </w:p>
    <w:p w14:paraId="31D62F44">
      <w:pPr>
        <w:tabs>
          <w:tab w:val="left" w:pos="6300"/>
        </w:tabs>
        <w:snapToGrid w:val="0"/>
        <w:spacing w:line="360" w:lineRule="auto"/>
        <w:ind w:firstLine="570"/>
        <w:rPr>
          <w:rFonts w:ascii="宋体" w:hAnsi="宋体" w:cs="宋体"/>
          <w:sz w:val="24"/>
          <w:szCs w:val="24"/>
        </w:rPr>
      </w:pPr>
    </w:p>
    <w:p w14:paraId="05589E16">
      <w:pPr>
        <w:tabs>
          <w:tab w:val="left" w:pos="6300"/>
        </w:tabs>
        <w:snapToGrid w:val="0"/>
        <w:spacing w:line="360" w:lineRule="auto"/>
        <w:ind w:firstLine="570"/>
        <w:rPr>
          <w:rFonts w:ascii="宋体" w:hAnsi="宋体" w:cs="宋体"/>
          <w:sz w:val="24"/>
          <w:szCs w:val="24"/>
        </w:rPr>
      </w:pPr>
    </w:p>
    <w:p w14:paraId="59C94367">
      <w:pPr>
        <w:tabs>
          <w:tab w:val="left" w:pos="6300"/>
        </w:tabs>
        <w:snapToGrid w:val="0"/>
        <w:spacing w:line="360" w:lineRule="auto"/>
        <w:ind w:firstLine="570"/>
        <w:rPr>
          <w:rFonts w:ascii="宋体" w:hAnsi="宋体" w:cs="宋体"/>
          <w:sz w:val="24"/>
          <w:szCs w:val="24"/>
        </w:rPr>
      </w:pPr>
    </w:p>
    <w:p w14:paraId="64F6FE04">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14:paraId="26467559">
      <w:pPr>
        <w:snapToGrid w:val="0"/>
        <w:spacing w:line="360" w:lineRule="auto"/>
        <w:ind w:firstLine="480" w:firstLineChars="200"/>
        <w:rPr>
          <w:rFonts w:ascii="宋体" w:hAnsi="宋体" w:cs="宋体"/>
          <w:sz w:val="24"/>
          <w:szCs w:val="24"/>
        </w:rPr>
        <w:sectPr>
          <w:footerReference r:id="rId3" w:type="default"/>
          <w:pgSz w:w="11907" w:h="16840"/>
          <w:pgMar w:top="89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3D9DC346">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14:paraId="3964AA01">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58"/>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1C4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0127D2DE">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14:paraId="3C8126A8">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14:paraId="366ECFF0">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14:paraId="5985E744">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14:paraId="7E97C2AC">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14:paraId="7A273E60">
            <w:pPr>
              <w:jc w:val="center"/>
              <w:rPr>
                <w:rFonts w:ascii="宋体" w:hAnsi="宋体" w:cs="宋体"/>
                <w:b/>
                <w:sz w:val="21"/>
                <w:szCs w:val="21"/>
              </w:rPr>
            </w:pPr>
            <w:r>
              <w:rPr>
                <w:rFonts w:hint="eastAsia" w:ascii="宋体" w:hAnsi="宋体" w:cs="宋体"/>
                <w:b/>
                <w:sz w:val="21"/>
                <w:szCs w:val="21"/>
              </w:rPr>
              <w:t>合计</w:t>
            </w:r>
          </w:p>
        </w:tc>
      </w:tr>
      <w:tr w14:paraId="388C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0B478DF">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14:paraId="43210091">
            <w:pPr>
              <w:jc w:val="center"/>
              <w:rPr>
                <w:rFonts w:ascii="宋体" w:hAnsi="宋体" w:cs="宋体"/>
                <w:sz w:val="21"/>
                <w:szCs w:val="21"/>
              </w:rPr>
            </w:pPr>
          </w:p>
        </w:tc>
        <w:tc>
          <w:tcPr>
            <w:tcW w:w="3404" w:type="dxa"/>
          </w:tcPr>
          <w:p w14:paraId="0FBF55F5">
            <w:pPr>
              <w:jc w:val="center"/>
              <w:rPr>
                <w:rFonts w:ascii="宋体" w:hAnsi="宋体" w:cs="宋体"/>
                <w:sz w:val="21"/>
                <w:szCs w:val="21"/>
              </w:rPr>
            </w:pPr>
          </w:p>
        </w:tc>
        <w:tc>
          <w:tcPr>
            <w:tcW w:w="1344" w:type="dxa"/>
            <w:vAlign w:val="center"/>
          </w:tcPr>
          <w:p w14:paraId="7AA65E8E">
            <w:pPr>
              <w:jc w:val="center"/>
              <w:rPr>
                <w:rFonts w:ascii="宋体" w:hAnsi="宋体" w:cs="宋体"/>
                <w:sz w:val="21"/>
                <w:szCs w:val="21"/>
              </w:rPr>
            </w:pPr>
          </w:p>
        </w:tc>
        <w:tc>
          <w:tcPr>
            <w:tcW w:w="1344" w:type="dxa"/>
          </w:tcPr>
          <w:p w14:paraId="7381D7AC">
            <w:pPr>
              <w:jc w:val="center"/>
              <w:rPr>
                <w:rFonts w:ascii="宋体" w:hAnsi="宋体" w:cs="宋体"/>
                <w:sz w:val="21"/>
                <w:szCs w:val="21"/>
              </w:rPr>
            </w:pPr>
          </w:p>
        </w:tc>
        <w:tc>
          <w:tcPr>
            <w:tcW w:w="1344" w:type="dxa"/>
          </w:tcPr>
          <w:p w14:paraId="4C86994A">
            <w:pPr>
              <w:jc w:val="center"/>
              <w:rPr>
                <w:rFonts w:ascii="宋体" w:hAnsi="宋体" w:cs="宋体"/>
                <w:sz w:val="21"/>
                <w:szCs w:val="21"/>
              </w:rPr>
            </w:pPr>
          </w:p>
        </w:tc>
      </w:tr>
      <w:tr w14:paraId="6F1B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110A480">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14:paraId="56A7FE39">
            <w:pPr>
              <w:jc w:val="center"/>
              <w:rPr>
                <w:rFonts w:ascii="宋体" w:hAnsi="宋体" w:cs="宋体"/>
                <w:sz w:val="21"/>
                <w:szCs w:val="21"/>
              </w:rPr>
            </w:pPr>
          </w:p>
        </w:tc>
        <w:tc>
          <w:tcPr>
            <w:tcW w:w="3404" w:type="dxa"/>
          </w:tcPr>
          <w:p w14:paraId="45742CB1">
            <w:pPr>
              <w:jc w:val="center"/>
              <w:rPr>
                <w:rFonts w:ascii="宋体" w:hAnsi="宋体" w:cs="宋体"/>
                <w:sz w:val="21"/>
                <w:szCs w:val="21"/>
              </w:rPr>
            </w:pPr>
          </w:p>
        </w:tc>
        <w:tc>
          <w:tcPr>
            <w:tcW w:w="1344" w:type="dxa"/>
            <w:vAlign w:val="center"/>
          </w:tcPr>
          <w:p w14:paraId="7D3382ED">
            <w:pPr>
              <w:jc w:val="center"/>
              <w:rPr>
                <w:rFonts w:ascii="宋体" w:hAnsi="宋体" w:cs="宋体"/>
                <w:sz w:val="21"/>
                <w:szCs w:val="21"/>
              </w:rPr>
            </w:pPr>
          </w:p>
        </w:tc>
        <w:tc>
          <w:tcPr>
            <w:tcW w:w="1344" w:type="dxa"/>
          </w:tcPr>
          <w:p w14:paraId="17D46E28">
            <w:pPr>
              <w:jc w:val="center"/>
              <w:rPr>
                <w:rFonts w:ascii="宋体" w:hAnsi="宋体" w:cs="宋体"/>
                <w:sz w:val="21"/>
                <w:szCs w:val="21"/>
              </w:rPr>
            </w:pPr>
          </w:p>
        </w:tc>
        <w:tc>
          <w:tcPr>
            <w:tcW w:w="1344" w:type="dxa"/>
          </w:tcPr>
          <w:p w14:paraId="7AB467EA">
            <w:pPr>
              <w:jc w:val="center"/>
              <w:rPr>
                <w:rFonts w:ascii="宋体" w:hAnsi="宋体" w:cs="宋体"/>
                <w:sz w:val="21"/>
                <w:szCs w:val="21"/>
              </w:rPr>
            </w:pPr>
          </w:p>
        </w:tc>
      </w:tr>
      <w:tr w14:paraId="7D5A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8CF7257">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14:paraId="5055D7EA">
            <w:pPr>
              <w:jc w:val="center"/>
              <w:rPr>
                <w:rFonts w:ascii="宋体" w:hAnsi="宋体" w:cs="宋体"/>
                <w:sz w:val="21"/>
                <w:szCs w:val="21"/>
              </w:rPr>
            </w:pPr>
          </w:p>
        </w:tc>
        <w:tc>
          <w:tcPr>
            <w:tcW w:w="3404" w:type="dxa"/>
          </w:tcPr>
          <w:p w14:paraId="63006087">
            <w:pPr>
              <w:jc w:val="center"/>
              <w:rPr>
                <w:rFonts w:ascii="宋体" w:hAnsi="宋体" w:cs="宋体"/>
                <w:sz w:val="21"/>
                <w:szCs w:val="21"/>
              </w:rPr>
            </w:pPr>
          </w:p>
        </w:tc>
        <w:tc>
          <w:tcPr>
            <w:tcW w:w="1344" w:type="dxa"/>
            <w:vAlign w:val="center"/>
          </w:tcPr>
          <w:p w14:paraId="6881E699">
            <w:pPr>
              <w:jc w:val="center"/>
              <w:rPr>
                <w:rFonts w:ascii="宋体" w:hAnsi="宋体" w:cs="宋体"/>
                <w:sz w:val="21"/>
                <w:szCs w:val="21"/>
              </w:rPr>
            </w:pPr>
          </w:p>
        </w:tc>
        <w:tc>
          <w:tcPr>
            <w:tcW w:w="1344" w:type="dxa"/>
          </w:tcPr>
          <w:p w14:paraId="2670A5A1">
            <w:pPr>
              <w:jc w:val="center"/>
              <w:rPr>
                <w:rFonts w:ascii="宋体" w:hAnsi="宋体" w:cs="宋体"/>
                <w:sz w:val="21"/>
                <w:szCs w:val="21"/>
              </w:rPr>
            </w:pPr>
          </w:p>
        </w:tc>
        <w:tc>
          <w:tcPr>
            <w:tcW w:w="1344" w:type="dxa"/>
          </w:tcPr>
          <w:p w14:paraId="7D36B18E">
            <w:pPr>
              <w:jc w:val="center"/>
              <w:rPr>
                <w:rFonts w:ascii="宋体" w:hAnsi="宋体" w:cs="宋体"/>
                <w:sz w:val="21"/>
                <w:szCs w:val="21"/>
              </w:rPr>
            </w:pPr>
          </w:p>
        </w:tc>
      </w:tr>
      <w:tr w14:paraId="388D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F6F6DC9">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14:paraId="31429EC9">
            <w:pPr>
              <w:jc w:val="center"/>
              <w:rPr>
                <w:rFonts w:ascii="宋体" w:hAnsi="宋体" w:cs="宋体"/>
                <w:sz w:val="21"/>
                <w:szCs w:val="21"/>
              </w:rPr>
            </w:pPr>
          </w:p>
        </w:tc>
        <w:tc>
          <w:tcPr>
            <w:tcW w:w="3404" w:type="dxa"/>
          </w:tcPr>
          <w:p w14:paraId="419FB768">
            <w:pPr>
              <w:jc w:val="center"/>
              <w:rPr>
                <w:rFonts w:ascii="宋体" w:hAnsi="宋体" w:cs="宋体"/>
                <w:sz w:val="21"/>
                <w:szCs w:val="21"/>
              </w:rPr>
            </w:pPr>
          </w:p>
        </w:tc>
        <w:tc>
          <w:tcPr>
            <w:tcW w:w="1344" w:type="dxa"/>
            <w:vAlign w:val="center"/>
          </w:tcPr>
          <w:p w14:paraId="52771E17">
            <w:pPr>
              <w:jc w:val="center"/>
              <w:rPr>
                <w:rFonts w:ascii="宋体" w:hAnsi="宋体" w:cs="宋体"/>
                <w:sz w:val="21"/>
                <w:szCs w:val="21"/>
              </w:rPr>
            </w:pPr>
          </w:p>
        </w:tc>
        <w:tc>
          <w:tcPr>
            <w:tcW w:w="1344" w:type="dxa"/>
          </w:tcPr>
          <w:p w14:paraId="379755AC">
            <w:pPr>
              <w:jc w:val="center"/>
              <w:rPr>
                <w:rFonts w:ascii="宋体" w:hAnsi="宋体" w:cs="宋体"/>
                <w:sz w:val="21"/>
                <w:szCs w:val="21"/>
              </w:rPr>
            </w:pPr>
          </w:p>
        </w:tc>
        <w:tc>
          <w:tcPr>
            <w:tcW w:w="1344" w:type="dxa"/>
          </w:tcPr>
          <w:p w14:paraId="063F2B44">
            <w:pPr>
              <w:jc w:val="center"/>
              <w:rPr>
                <w:rFonts w:ascii="宋体" w:hAnsi="宋体" w:cs="宋体"/>
                <w:sz w:val="21"/>
                <w:szCs w:val="21"/>
              </w:rPr>
            </w:pPr>
          </w:p>
        </w:tc>
      </w:tr>
      <w:tr w14:paraId="2A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11F9BE8">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14:paraId="6C29F5F6">
            <w:pPr>
              <w:jc w:val="center"/>
              <w:rPr>
                <w:rFonts w:ascii="宋体" w:hAnsi="宋体" w:cs="宋体"/>
                <w:sz w:val="21"/>
                <w:szCs w:val="21"/>
              </w:rPr>
            </w:pPr>
          </w:p>
        </w:tc>
        <w:tc>
          <w:tcPr>
            <w:tcW w:w="3404" w:type="dxa"/>
          </w:tcPr>
          <w:p w14:paraId="03D1006F">
            <w:pPr>
              <w:jc w:val="center"/>
              <w:rPr>
                <w:rFonts w:ascii="宋体" w:hAnsi="宋体" w:cs="宋体"/>
                <w:sz w:val="21"/>
                <w:szCs w:val="21"/>
              </w:rPr>
            </w:pPr>
          </w:p>
        </w:tc>
        <w:tc>
          <w:tcPr>
            <w:tcW w:w="1344" w:type="dxa"/>
            <w:vAlign w:val="center"/>
          </w:tcPr>
          <w:p w14:paraId="462150CF">
            <w:pPr>
              <w:jc w:val="center"/>
              <w:rPr>
                <w:rFonts w:ascii="宋体" w:hAnsi="宋体" w:cs="宋体"/>
                <w:sz w:val="21"/>
                <w:szCs w:val="21"/>
              </w:rPr>
            </w:pPr>
          </w:p>
        </w:tc>
        <w:tc>
          <w:tcPr>
            <w:tcW w:w="1344" w:type="dxa"/>
          </w:tcPr>
          <w:p w14:paraId="00D2D6A7">
            <w:pPr>
              <w:jc w:val="center"/>
              <w:rPr>
                <w:rFonts w:ascii="宋体" w:hAnsi="宋体" w:cs="宋体"/>
                <w:sz w:val="21"/>
                <w:szCs w:val="21"/>
              </w:rPr>
            </w:pPr>
          </w:p>
        </w:tc>
        <w:tc>
          <w:tcPr>
            <w:tcW w:w="1344" w:type="dxa"/>
          </w:tcPr>
          <w:p w14:paraId="7D2365AD">
            <w:pPr>
              <w:jc w:val="center"/>
              <w:rPr>
                <w:rFonts w:ascii="宋体" w:hAnsi="宋体" w:cs="宋体"/>
                <w:sz w:val="21"/>
                <w:szCs w:val="21"/>
              </w:rPr>
            </w:pPr>
          </w:p>
        </w:tc>
      </w:tr>
      <w:tr w14:paraId="5A5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80C4536">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14:paraId="6426CDF6">
            <w:pPr>
              <w:jc w:val="center"/>
              <w:rPr>
                <w:rFonts w:ascii="宋体" w:hAnsi="宋体" w:cs="宋体"/>
                <w:sz w:val="21"/>
                <w:szCs w:val="21"/>
              </w:rPr>
            </w:pPr>
          </w:p>
        </w:tc>
        <w:tc>
          <w:tcPr>
            <w:tcW w:w="3404" w:type="dxa"/>
          </w:tcPr>
          <w:p w14:paraId="3634794A">
            <w:pPr>
              <w:jc w:val="center"/>
              <w:rPr>
                <w:rFonts w:ascii="宋体" w:hAnsi="宋体" w:cs="宋体"/>
                <w:sz w:val="21"/>
                <w:szCs w:val="21"/>
              </w:rPr>
            </w:pPr>
          </w:p>
        </w:tc>
        <w:tc>
          <w:tcPr>
            <w:tcW w:w="1344" w:type="dxa"/>
            <w:vAlign w:val="center"/>
          </w:tcPr>
          <w:p w14:paraId="566B98C2">
            <w:pPr>
              <w:jc w:val="center"/>
              <w:rPr>
                <w:rFonts w:ascii="宋体" w:hAnsi="宋体" w:cs="宋体"/>
                <w:sz w:val="21"/>
                <w:szCs w:val="21"/>
              </w:rPr>
            </w:pPr>
          </w:p>
        </w:tc>
        <w:tc>
          <w:tcPr>
            <w:tcW w:w="1344" w:type="dxa"/>
          </w:tcPr>
          <w:p w14:paraId="28A7218A">
            <w:pPr>
              <w:jc w:val="center"/>
              <w:rPr>
                <w:rFonts w:ascii="宋体" w:hAnsi="宋体" w:cs="宋体"/>
                <w:sz w:val="21"/>
                <w:szCs w:val="21"/>
              </w:rPr>
            </w:pPr>
          </w:p>
        </w:tc>
        <w:tc>
          <w:tcPr>
            <w:tcW w:w="1344" w:type="dxa"/>
          </w:tcPr>
          <w:p w14:paraId="239FE738">
            <w:pPr>
              <w:jc w:val="center"/>
              <w:rPr>
                <w:rFonts w:ascii="宋体" w:hAnsi="宋体" w:cs="宋体"/>
                <w:sz w:val="21"/>
                <w:szCs w:val="21"/>
              </w:rPr>
            </w:pPr>
          </w:p>
        </w:tc>
      </w:tr>
      <w:tr w14:paraId="0222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4A34E7F">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14:paraId="0ADCBCF6">
            <w:pPr>
              <w:jc w:val="center"/>
              <w:rPr>
                <w:rFonts w:ascii="宋体" w:hAnsi="宋体" w:cs="宋体"/>
                <w:sz w:val="21"/>
                <w:szCs w:val="21"/>
              </w:rPr>
            </w:pPr>
          </w:p>
        </w:tc>
        <w:tc>
          <w:tcPr>
            <w:tcW w:w="3404" w:type="dxa"/>
          </w:tcPr>
          <w:p w14:paraId="137505B4">
            <w:pPr>
              <w:jc w:val="center"/>
              <w:rPr>
                <w:rFonts w:ascii="宋体" w:hAnsi="宋体" w:cs="宋体"/>
                <w:sz w:val="21"/>
                <w:szCs w:val="21"/>
              </w:rPr>
            </w:pPr>
          </w:p>
        </w:tc>
        <w:tc>
          <w:tcPr>
            <w:tcW w:w="1344" w:type="dxa"/>
            <w:vAlign w:val="center"/>
          </w:tcPr>
          <w:p w14:paraId="4BF26588">
            <w:pPr>
              <w:jc w:val="center"/>
              <w:rPr>
                <w:rFonts w:ascii="宋体" w:hAnsi="宋体" w:cs="宋体"/>
                <w:sz w:val="21"/>
                <w:szCs w:val="21"/>
              </w:rPr>
            </w:pPr>
          </w:p>
        </w:tc>
        <w:tc>
          <w:tcPr>
            <w:tcW w:w="1344" w:type="dxa"/>
          </w:tcPr>
          <w:p w14:paraId="706FA8FA">
            <w:pPr>
              <w:jc w:val="center"/>
              <w:rPr>
                <w:rFonts w:ascii="宋体" w:hAnsi="宋体" w:cs="宋体"/>
                <w:sz w:val="21"/>
                <w:szCs w:val="21"/>
              </w:rPr>
            </w:pPr>
          </w:p>
        </w:tc>
        <w:tc>
          <w:tcPr>
            <w:tcW w:w="1344" w:type="dxa"/>
          </w:tcPr>
          <w:p w14:paraId="395495B2">
            <w:pPr>
              <w:jc w:val="center"/>
              <w:rPr>
                <w:rFonts w:ascii="宋体" w:hAnsi="宋体" w:cs="宋体"/>
                <w:sz w:val="21"/>
                <w:szCs w:val="21"/>
              </w:rPr>
            </w:pPr>
          </w:p>
        </w:tc>
      </w:tr>
      <w:tr w14:paraId="024D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D5727A1">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14:paraId="4969DFDF">
            <w:pPr>
              <w:jc w:val="center"/>
              <w:rPr>
                <w:rFonts w:ascii="宋体" w:hAnsi="宋体" w:cs="宋体"/>
                <w:sz w:val="21"/>
                <w:szCs w:val="21"/>
              </w:rPr>
            </w:pPr>
            <w:r>
              <w:rPr>
                <w:rFonts w:hint="eastAsia" w:ascii="宋体" w:hAnsi="宋体" w:cs="宋体"/>
                <w:sz w:val="21"/>
                <w:szCs w:val="21"/>
              </w:rPr>
              <w:t>人工费</w:t>
            </w:r>
          </w:p>
        </w:tc>
        <w:tc>
          <w:tcPr>
            <w:tcW w:w="3404" w:type="dxa"/>
          </w:tcPr>
          <w:p w14:paraId="2CD6E27F">
            <w:pPr>
              <w:jc w:val="center"/>
              <w:rPr>
                <w:rFonts w:ascii="宋体" w:hAnsi="宋体" w:cs="宋体"/>
                <w:sz w:val="21"/>
                <w:szCs w:val="21"/>
              </w:rPr>
            </w:pPr>
          </w:p>
        </w:tc>
        <w:tc>
          <w:tcPr>
            <w:tcW w:w="1344" w:type="dxa"/>
            <w:vAlign w:val="center"/>
          </w:tcPr>
          <w:p w14:paraId="64737F69">
            <w:pPr>
              <w:jc w:val="center"/>
              <w:rPr>
                <w:rFonts w:ascii="宋体" w:hAnsi="宋体" w:cs="宋体"/>
                <w:sz w:val="21"/>
                <w:szCs w:val="21"/>
              </w:rPr>
            </w:pPr>
            <w:r>
              <w:rPr>
                <w:rFonts w:hint="eastAsia" w:ascii="宋体" w:hAnsi="宋体" w:cs="宋体"/>
                <w:sz w:val="21"/>
                <w:szCs w:val="21"/>
              </w:rPr>
              <w:t>/</w:t>
            </w:r>
          </w:p>
        </w:tc>
        <w:tc>
          <w:tcPr>
            <w:tcW w:w="1344" w:type="dxa"/>
          </w:tcPr>
          <w:p w14:paraId="675580D3">
            <w:pPr>
              <w:jc w:val="center"/>
              <w:rPr>
                <w:rFonts w:ascii="宋体" w:hAnsi="宋体" w:cs="宋体"/>
                <w:sz w:val="21"/>
                <w:szCs w:val="21"/>
              </w:rPr>
            </w:pPr>
          </w:p>
        </w:tc>
        <w:tc>
          <w:tcPr>
            <w:tcW w:w="1344" w:type="dxa"/>
          </w:tcPr>
          <w:p w14:paraId="0E37C772">
            <w:pPr>
              <w:jc w:val="center"/>
              <w:rPr>
                <w:rFonts w:ascii="宋体" w:hAnsi="宋体" w:cs="宋体"/>
                <w:sz w:val="21"/>
                <w:szCs w:val="21"/>
              </w:rPr>
            </w:pPr>
          </w:p>
        </w:tc>
      </w:tr>
      <w:tr w14:paraId="3F75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86AB39F">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14:paraId="1F861925">
            <w:pPr>
              <w:jc w:val="center"/>
              <w:rPr>
                <w:rFonts w:ascii="宋体" w:hAnsi="宋体" w:cs="宋体"/>
                <w:sz w:val="21"/>
                <w:szCs w:val="21"/>
              </w:rPr>
            </w:pPr>
            <w:r>
              <w:rPr>
                <w:rFonts w:hint="eastAsia" w:ascii="宋体" w:hAnsi="宋体" w:cs="宋体"/>
                <w:sz w:val="21"/>
                <w:szCs w:val="21"/>
              </w:rPr>
              <w:t>各种税费</w:t>
            </w:r>
          </w:p>
        </w:tc>
        <w:tc>
          <w:tcPr>
            <w:tcW w:w="3404" w:type="dxa"/>
          </w:tcPr>
          <w:p w14:paraId="5F92655C">
            <w:pPr>
              <w:jc w:val="center"/>
              <w:rPr>
                <w:rFonts w:ascii="宋体" w:hAnsi="宋体" w:cs="宋体"/>
                <w:sz w:val="21"/>
                <w:szCs w:val="21"/>
              </w:rPr>
            </w:pPr>
          </w:p>
        </w:tc>
        <w:tc>
          <w:tcPr>
            <w:tcW w:w="1344" w:type="dxa"/>
            <w:vAlign w:val="center"/>
          </w:tcPr>
          <w:p w14:paraId="29185980">
            <w:pPr>
              <w:jc w:val="center"/>
              <w:rPr>
                <w:rFonts w:ascii="宋体" w:hAnsi="宋体" w:cs="宋体"/>
                <w:sz w:val="21"/>
                <w:szCs w:val="21"/>
              </w:rPr>
            </w:pPr>
            <w:r>
              <w:rPr>
                <w:rFonts w:hint="eastAsia" w:ascii="宋体" w:hAnsi="宋体" w:cs="宋体"/>
                <w:sz w:val="21"/>
                <w:szCs w:val="21"/>
              </w:rPr>
              <w:t>/</w:t>
            </w:r>
          </w:p>
        </w:tc>
        <w:tc>
          <w:tcPr>
            <w:tcW w:w="1344" w:type="dxa"/>
          </w:tcPr>
          <w:p w14:paraId="4201840D">
            <w:pPr>
              <w:jc w:val="center"/>
              <w:rPr>
                <w:rFonts w:ascii="宋体" w:hAnsi="宋体" w:cs="宋体"/>
                <w:sz w:val="21"/>
                <w:szCs w:val="21"/>
              </w:rPr>
            </w:pPr>
          </w:p>
        </w:tc>
        <w:tc>
          <w:tcPr>
            <w:tcW w:w="1344" w:type="dxa"/>
          </w:tcPr>
          <w:p w14:paraId="532176CD">
            <w:pPr>
              <w:jc w:val="center"/>
              <w:rPr>
                <w:rFonts w:ascii="宋体" w:hAnsi="宋体" w:cs="宋体"/>
                <w:sz w:val="21"/>
                <w:szCs w:val="21"/>
              </w:rPr>
            </w:pPr>
          </w:p>
        </w:tc>
      </w:tr>
      <w:tr w14:paraId="34C8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6AADA32">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14:paraId="7EEC3FE4">
            <w:pPr>
              <w:jc w:val="center"/>
              <w:rPr>
                <w:rFonts w:ascii="宋体" w:hAnsi="宋体" w:cs="宋体"/>
                <w:sz w:val="21"/>
                <w:szCs w:val="21"/>
              </w:rPr>
            </w:pPr>
            <w:r>
              <w:rPr>
                <w:rFonts w:hint="eastAsia" w:ascii="宋体" w:hAnsi="宋体" w:cs="宋体"/>
                <w:sz w:val="21"/>
                <w:szCs w:val="21"/>
              </w:rPr>
              <w:t>其他费用</w:t>
            </w:r>
          </w:p>
        </w:tc>
        <w:tc>
          <w:tcPr>
            <w:tcW w:w="3404" w:type="dxa"/>
          </w:tcPr>
          <w:p w14:paraId="781080C0">
            <w:pPr>
              <w:jc w:val="center"/>
              <w:rPr>
                <w:rFonts w:ascii="宋体" w:hAnsi="宋体" w:cs="宋体"/>
                <w:sz w:val="21"/>
                <w:szCs w:val="21"/>
              </w:rPr>
            </w:pPr>
          </w:p>
        </w:tc>
        <w:tc>
          <w:tcPr>
            <w:tcW w:w="1344" w:type="dxa"/>
            <w:vAlign w:val="center"/>
          </w:tcPr>
          <w:p w14:paraId="788A7452">
            <w:pPr>
              <w:jc w:val="center"/>
              <w:rPr>
                <w:rFonts w:ascii="宋体" w:hAnsi="宋体" w:cs="宋体"/>
                <w:sz w:val="21"/>
                <w:szCs w:val="21"/>
              </w:rPr>
            </w:pPr>
            <w:r>
              <w:rPr>
                <w:rFonts w:hint="eastAsia" w:ascii="宋体" w:hAnsi="宋体" w:cs="宋体"/>
                <w:sz w:val="21"/>
                <w:szCs w:val="21"/>
              </w:rPr>
              <w:t>/</w:t>
            </w:r>
          </w:p>
        </w:tc>
        <w:tc>
          <w:tcPr>
            <w:tcW w:w="1344" w:type="dxa"/>
          </w:tcPr>
          <w:p w14:paraId="41CF9FFF">
            <w:pPr>
              <w:jc w:val="center"/>
              <w:rPr>
                <w:rFonts w:ascii="宋体" w:hAnsi="宋体" w:cs="宋体"/>
                <w:sz w:val="21"/>
                <w:szCs w:val="21"/>
              </w:rPr>
            </w:pPr>
          </w:p>
        </w:tc>
        <w:tc>
          <w:tcPr>
            <w:tcW w:w="1344" w:type="dxa"/>
          </w:tcPr>
          <w:p w14:paraId="68F9DB0C">
            <w:pPr>
              <w:jc w:val="center"/>
              <w:rPr>
                <w:rFonts w:ascii="宋体" w:hAnsi="宋体" w:cs="宋体"/>
                <w:sz w:val="21"/>
                <w:szCs w:val="21"/>
              </w:rPr>
            </w:pPr>
          </w:p>
        </w:tc>
      </w:tr>
      <w:tr w14:paraId="50F0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FE71F93">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14:paraId="2B395C5B">
            <w:pPr>
              <w:jc w:val="center"/>
              <w:rPr>
                <w:rFonts w:ascii="宋体" w:hAnsi="宋体" w:cs="宋体"/>
                <w:sz w:val="21"/>
                <w:szCs w:val="21"/>
              </w:rPr>
            </w:pPr>
            <w:r>
              <w:rPr>
                <w:rFonts w:hint="eastAsia" w:ascii="宋体" w:hAnsi="宋体" w:cs="宋体"/>
                <w:sz w:val="21"/>
                <w:szCs w:val="21"/>
              </w:rPr>
              <w:t>……</w:t>
            </w:r>
          </w:p>
        </w:tc>
        <w:tc>
          <w:tcPr>
            <w:tcW w:w="3404" w:type="dxa"/>
          </w:tcPr>
          <w:p w14:paraId="5A1EBAEC">
            <w:pPr>
              <w:jc w:val="center"/>
              <w:rPr>
                <w:rFonts w:ascii="宋体" w:hAnsi="宋体" w:cs="宋体"/>
                <w:sz w:val="21"/>
                <w:szCs w:val="21"/>
              </w:rPr>
            </w:pPr>
          </w:p>
        </w:tc>
        <w:tc>
          <w:tcPr>
            <w:tcW w:w="1344" w:type="dxa"/>
            <w:vAlign w:val="center"/>
          </w:tcPr>
          <w:p w14:paraId="4E670D92">
            <w:pPr>
              <w:jc w:val="center"/>
              <w:rPr>
                <w:rFonts w:ascii="宋体" w:hAnsi="宋体" w:cs="宋体"/>
                <w:sz w:val="21"/>
                <w:szCs w:val="21"/>
              </w:rPr>
            </w:pPr>
            <w:r>
              <w:rPr>
                <w:rFonts w:hint="eastAsia" w:ascii="宋体" w:hAnsi="宋体" w:cs="宋体"/>
                <w:sz w:val="21"/>
                <w:szCs w:val="21"/>
              </w:rPr>
              <w:t>/</w:t>
            </w:r>
          </w:p>
        </w:tc>
        <w:tc>
          <w:tcPr>
            <w:tcW w:w="1344" w:type="dxa"/>
          </w:tcPr>
          <w:p w14:paraId="5F435132">
            <w:pPr>
              <w:jc w:val="center"/>
              <w:rPr>
                <w:rFonts w:ascii="宋体" w:hAnsi="宋体" w:cs="宋体"/>
                <w:sz w:val="21"/>
                <w:szCs w:val="21"/>
              </w:rPr>
            </w:pPr>
          </w:p>
        </w:tc>
        <w:tc>
          <w:tcPr>
            <w:tcW w:w="1344" w:type="dxa"/>
          </w:tcPr>
          <w:p w14:paraId="7B097D8C">
            <w:pPr>
              <w:jc w:val="center"/>
              <w:rPr>
                <w:rFonts w:ascii="宋体" w:hAnsi="宋体" w:cs="宋体"/>
                <w:sz w:val="21"/>
                <w:szCs w:val="21"/>
              </w:rPr>
            </w:pPr>
          </w:p>
        </w:tc>
      </w:tr>
      <w:tr w14:paraId="4D00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6F22FD8">
            <w:pPr>
              <w:pStyle w:val="24"/>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14:paraId="62B9E0BE">
            <w:pPr>
              <w:jc w:val="center"/>
              <w:rPr>
                <w:rFonts w:ascii="宋体" w:hAnsi="宋体" w:cs="宋体"/>
                <w:sz w:val="21"/>
                <w:szCs w:val="21"/>
              </w:rPr>
            </w:pPr>
            <w:r>
              <w:rPr>
                <w:rFonts w:hint="eastAsia" w:ascii="宋体" w:hAnsi="宋体" w:cs="宋体"/>
                <w:sz w:val="21"/>
                <w:szCs w:val="21"/>
              </w:rPr>
              <w:t>总计</w:t>
            </w:r>
          </w:p>
        </w:tc>
        <w:tc>
          <w:tcPr>
            <w:tcW w:w="7436" w:type="dxa"/>
            <w:gridSpan w:val="4"/>
          </w:tcPr>
          <w:p w14:paraId="3847A4EB">
            <w:pPr>
              <w:rPr>
                <w:rFonts w:ascii="宋体" w:hAnsi="宋体" w:cs="宋体"/>
                <w:sz w:val="21"/>
                <w:szCs w:val="21"/>
              </w:rPr>
            </w:pPr>
          </w:p>
        </w:tc>
      </w:tr>
    </w:tbl>
    <w:p w14:paraId="26643725">
      <w:pPr>
        <w:snapToGrid w:val="0"/>
        <w:spacing w:line="312" w:lineRule="auto"/>
        <w:ind w:firstLine="480" w:firstLineChars="200"/>
        <w:rPr>
          <w:rFonts w:ascii="宋体" w:hAnsi="宋体" w:cs="宋体"/>
          <w:sz w:val="24"/>
          <w:szCs w:val="28"/>
        </w:rPr>
      </w:pPr>
    </w:p>
    <w:p w14:paraId="61656F2E">
      <w:pPr>
        <w:snapToGrid w:val="0"/>
        <w:spacing w:line="312" w:lineRule="auto"/>
        <w:ind w:firstLine="480" w:firstLineChars="200"/>
        <w:rPr>
          <w:rFonts w:ascii="宋体" w:hAnsi="宋体" w:cs="宋体"/>
          <w:sz w:val="24"/>
          <w:szCs w:val="28"/>
        </w:rPr>
      </w:pPr>
    </w:p>
    <w:p w14:paraId="17DDFFC4">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14:paraId="27887BFF">
      <w:pPr>
        <w:pStyle w:val="38"/>
        <w:spacing w:line="312" w:lineRule="auto"/>
        <w:ind w:firstLine="480"/>
        <w:rPr>
          <w:rFonts w:ascii="宋体" w:hAnsi="宋体" w:cs="宋体"/>
          <w:sz w:val="24"/>
          <w:szCs w:val="24"/>
        </w:rPr>
      </w:pPr>
    </w:p>
    <w:p w14:paraId="45FAF148">
      <w:pPr>
        <w:pStyle w:val="38"/>
        <w:spacing w:line="312" w:lineRule="auto"/>
        <w:ind w:firstLine="480"/>
        <w:rPr>
          <w:rFonts w:ascii="宋体" w:hAnsi="宋体" w:cs="宋体"/>
        </w:rPr>
      </w:pPr>
      <w:r>
        <w:rPr>
          <w:rFonts w:hint="eastAsia" w:ascii="宋体" w:hAnsi="宋体" w:cs="宋体"/>
          <w:sz w:val="24"/>
          <w:szCs w:val="24"/>
        </w:rPr>
        <w:t xml:space="preserve">            </w:t>
      </w:r>
    </w:p>
    <w:p w14:paraId="5508EB2A">
      <w:pPr>
        <w:spacing w:line="312" w:lineRule="auto"/>
        <w:rPr>
          <w:rFonts w:ascii="宋体" w:hAnsi="宋体" w:cs="宋体"/>
        </w:rPr>
      </w:pPr>
    </w:p>
    <w:p w14:paraId="707C18F9">
      <w:pPr>
        <w:spacing w:line="312" w:lineRule="auto"/>
        <w:rPr>
          <w:rFonts w:ascii="宋体" w:hAnsi="宋体" w:cs="宋体"/>
        </w:rPr>
      </w:pPr>
      <w:r>
        <w:rPr>
          <w:rFonts w:hint="eastAsia" w:ascii="宋体" w:hAnsi="宋体" w:cs="宋体"/>
          <w:sz w:val="24"/>
          <w:szCs w:val="24"/>
        </w:rPr>
        <w:t xml:space="preserve">                                                   供应商名称（公章）：</w:t>
      </w:r>
    </w:p>
    <w:p w14:paraId="09CA1DC7">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14:paraId="768698D5">
      <w:pPr>
        <w:spacing w:line="312" w:lineRule="auto"/>
        <w:ind w:firstLine="420"/>
        <w:rPr>
          <w:rFonts w:ascii="宋体" w:hAnsi="宋体" w:cs="宋体"/>
          <w:b/>
          <w:szCs w:val="28"/>
        </w:rPr>
      </w:pPr>
    </w:p>
    <w:p w14:paraId="01598535">
      <w:pPr>
        <w:spacing w:line="312" w:lineRule="auto"/>
        <w:rPr>
          <w:rFonts w:ascii="宋体" w:hAnsi="宋体" w:cs="宋体"/>
          <w:b/>
          <w:szCs w:val="28"/>
        </w:rPr>
      </w:pPr>
    </w:p>
    <w:p w14:paraId="569EB5EA">
      <w:pPr>
        <w:spacing w:line="312" w:lineRule="auto"/>
        <w:rPr>
          <w:rFonts w:ascii="宋体" w:hAnsi="宋体" w:cs="宋体"/>
          <w:b/>
          <w:szCs w:val="28"/>
        </w:rPr>
      </w:pPr>
    </w:p>
    <w:p w14:paraId="75EDA67D">
      <w:pPr>
        <w:spacing w:line="312" w:lineRule="auto"/>
        <w:ind w:firstLine="480" w:firstLineChars="200"/>
        <w:rPr>
          <w:rFonts w:ascii="宋体" w:hAnsi="宋体" w:cs="宋体"/>
          <w:color w:val="FF0000"/>
          <w:sz w:val="24"/>
          <w:szCs w:val="24"/>
        </w:rPr>
      </w:pPr>
    </w:p>
    <w:p w14:paraId="2B14E208">
      <w:pPr>
        <w:spacing w:line="312" w:lineRule="auto"/>
        <w:ind w:firstLine="480" w:firstLineChars="200"/>
        <w:rPr>
          <w:rFonts w:ascii="宋体" w:hAnsi="宋体" w:cs="宋体"/>
          <w:color w:val="FF0000"/>
          <w:sz w:val="24"/>
          <w:szCs w:val="24"/>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4754F034">
      <w:pPr>
        <w:numPr>
          <w:ilvl w:val="0"/>
          <w:numId w:val="22"/>
        </w:numPr>
        <w:spacing w:line="312" w:lineRule="auto"/>
        <w:rPr>
          <w:rFonts w:ascii="宋体" w:hAnsi="宋体" w:cs="宋体"/>
          <w:b/>
          <w:sz w:val="24"/>
          <w:szCs w:val="24"/>
        </w:rPr>
      </w:pPr>
      <w:r>
        <w:rPr>
          <w:rFonts w:hint="eastAsia" w:ascii="宋体" w:hAnsi="宋体" w:cs="宋体"/>
          <w:b/>
          <w:sz w:val="24"/>
          <w:szCs w:val="24"/>
        </w:rPr>
        <w:t>服务方案</w:t>
      </w:r>
    </w:p>
    <w:p w14:paraId="4DC9A211">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14:paraId="49952A65">
      <w:pPr>
        <w:spacing w:line="312" w:lineRule="auto"/>
        <w:rPr>
          <w:rFonts w:ascii="宋体" w:hAnsi="宋体" w:cs="宋体"/>
          <w:b/>
          <w:sz w:val="24"/>
          <w:szCs w:val="24"/>
        </w:rPr>
      </w:pPr>
    </w:p>
    <w:p w14:paraId="002F47F6">
      <w:pPr>
        <w:pStyle w:val="4"/>
        <w:spacing w:before="0" w:after="0" w:line="360" w:lineRule="auto"/>
        <w:jc w:val="left"/>
        <w:rPr>
          <w:rFonts w:ascii="宋体" w:hAnsi="宋体" w:cs="宋体"/>
          <w:sz w:val="24"/>
          <w:szCs w:val="24"/>
        </w:rPr>
      </w:pPr>
    </w:p>
    <w:p w14:paraId="18B2837E">
      <w:pPr>
        <w:pStyle w:val="4"/>
        <w:numPr>
          <w:ilvl w:val="0"/>
          <w:numId w:val="22"/>
        </w:numPr>
        <w:spacing w:before="0" w:after="0" w:line="360" w:lineRule="auto"/>
        <w:jc w:val="left"/>
        <w:rPr>
          <w:rFonts w:ascii="宋体" w:hAnsi="宋体" w:cs="宋体"/>
          <w:sz w:val="24"/>
          <w:szCs w:val="24"/>
        </w:rPr>
      </w:pPr>
      <w:r>
        <w:rPr>
          <w:rFonts w:hint="eastAsia" w:ascii="宋体" w:hAnsi="宋体" w:cs="宋体"/>
          <w:sz w:val="24"/>
          <w:szCs w:val="24"/>
        </w:rPr>
        <w:t>资格条件及其他</w:t>
      </w:r>
    </w:p>
    <w:p w14:paraId="1F56934D">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14:paraId="4DE83C52"/>
    <w:p w14:paraId="1FBD5BB9">
      <w:pPr>
        <w:pStyle w:val="4"/>
        <w:spacing w:before="0" w:after="0" w:line="312" w:lineRule="auto"/>
        <w:rPr>
          <w:rFonts w:ascii="宋体" w:hAnsi="宋体" w:cs="宋体"/>
          <w:sz w:val="24"/>
          <w:szCs w:val="24"/>
        </w:rPr>
      </w:pPr>
    </w:p>
    <w:p w14:paraId="4203D218">
      <w:pPr>
        <w:pStyle w:val="4"/>
        <w:spacing w:before="0" w:after="0" w:line="312" w:lineRule="auto"/>
        <w:rPr>
          <w:rFonts w:ascii="宋体" w:hAnsi="宋体" w:cs="宋体"/>
          <w:sz w:val="28"/>
          <w:szCs w:val="28"/>
        </w:rPr>
      </w:pPr>
      <w:r>
        <w:rPr>
          <w:rFonts w:hint="eastAsia" w:ascii="宋体" w:hAnsi="宋体" w:cs="宋体"/>
          <w:sz w:val="24"/>
          <w:szCs w:val="24"/>
        </w:rPr>
        <w:t>四、其</w:t>
      </w:r>
      <w:r>
        <w:rPr>
          <w:rFonts w:hint="eastAsia" w:ascii="宋体" w:hAnsi="宋体" w:cs="宋体"/>
          <w:sz w:val="28"/>
          <w:szCs w:val="28"/>
        </w:rPr>
        <w:t>他应提供的资料</w:t>
      </w:r>
    </w:p>
    <w:p w14:paraId="0CD48C33">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40E2A1B2">
      <w:r>
        <w:rPr>
          <w:rFonts w:hint="eastAsia" w:ascii="宋体" w:hAnsi="宋体" w:cs="宋体"/>
          <w:sz w:val="24"/>
          <w:szCs w:val="24"/>
        </w:rPr>
        <w:t>1、其他与项目有关的资料（自附）：供应商总体情况介绍、其他与本项目有关的资料等。</w:t>
      </w:r>
    </w:p>
    <w:p w14:paraId="036C4AB3">
      <w:pPr>
        <w:tabs>
          <w:tab w:val="left" w:pos="6300"/>
        </w:tabs>
        <w:snapToGrid w:val="0"/>
        <w:spacing w:line="312" w:lineRule="auto"/>
        <w:rPr>
          <w:rFonts w:ascii="宋体" w:hAnsi="宋体" w:cs="宋体"/>
          <w:b/>
          <w:bCs/>
          <w:sz w:val="24"/>
          <w:szCs w:val="24"/>
        </w:rPr>
      </w:pPr>
    </w:p>
    <w:p w14:paraId="6A1685CA">
      <w:pPr>
        <w:tabs>
          <w:tab w:val="left" w:pos="6300"/>
        </w:tabs>
        <w:snapToGrid w:val="0"/>
        <w:spacing w:line="312" w:lineRule="auto"/>
        <w:rPr>
          <w:rFonts w:ascii="宋体" w:hAnsi="宋体" w:cs="宋体"/>
          <w:b/>
          <w:bCs/>
          <w:sz w:val="24"/>
          <w:szCs w:val="24"/>
        </w:rPr>
      </w:pPr>
    </w:p>
    <w:p w14:paraId="36ABA490">
      <w:pPr>
        <w:rPr>
          <w:rFonts w:ascii="宋体" w:hAnsi="宋体" w:cs="宋体"/>
          <w:b/>
          <w:bCs/>
          <w:sz w:val="24"/>
          <w:szCs w:val="24"/>
        </w:rPr>
      </w:pPr>
      <w:r>
        <w:rPr>
          <w:rFonts w:hint="eastAsia" w:ascii="宋体" w:hAnsi="宋体" w:cs="宋体"/>
          <w:b/>
          <w:bCs/>
          <w:sz w:val="24"/>
          <w:szCs w:val="24"/>
        </w:rPr>
        <w:br w:type="page"/>
      </w:r>
    </w:p>
    <w:p w14:paraId="0ED6E43F">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五、法定代表人授权委托书（格式）/法定代表人（格式）（二选一）</w:t>
      </w:r>
    </w:p>
    <w:p w14:paraId="293C1702">
      <w:pPr>
        <w:tabs>
          <w:tab w:val="left" w:pos="6300"/>
        </w:tabs>
        <w:snapToGrid w:val="0"/>
        <w:spacing w:line="312" w:lineRule="auto"/>
        <w:jc w:val="center"/>
        <w:rPr>
          <w:rFonts w:ascii="宋体" w:hAnsi="宋体" w:cs="宋体"/>
          <w:sz w:val="24"/>
          <w:szCs w:val="24"/>
        </w:rPr>
      </w:pPr>
    </w:p>
    <w:p w14:paraId="0EA2CBBE">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14:paraId="5054D390">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1402D0F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代表我单位全权办理上述项目的谈判、签约等具体工作，并签署全部有关文件、协议及合同。</w:t>
      </w:r>
    </w:p>
    <w:p w14:paraId="7C6178B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1BD51B9B">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54EF6F6F">
      <w:pPr>
        <w:tabs>
          <w:tab w:val="left" w:pos="6300"/>
        </w:tabs>
        <w:snapToGrid w:val="0"/>
        <w:spacing w:line="312" w:lineRule="auto"/>
        <w:ind w:firstLine="570"/>
        <w:rPr>
          <w:rFonts w:ascii="宋体" w:hAnsi="宋体" w:cs="宋体"/>
          <w:sz w:val="24"/>
          <w:szCs w:val="24"/>
        </w:rPr>
      </w:pPr>
    </w:p>
    <w:p w14:paraId="73808C79">
      <w:pPr>
        <w:tabs>
          <w:tab w:val="left" w:pos="6300"/>
        </w:tabs>
        <w:snapToGrid w:val="0"/>
        <w:spacing w:line="312" w:lineRule="auto"/>
        <w:ind w:firstLine="570"/>
        <w:rPr>
          <w:rFonts w:ascii="宋体" w:hAnsi="宋体" w:cs="宋体"/>
          <w:sz w:val="24"/>
          <w:szCs w:val="24"/>
        </w:rPr>
      </w:pPr>
    </w:p>
    <w:p w14:paraId="3386A5C2">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60BFF205">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026412B1">
      <w:pPr>
        <w:tabs>
          <w:tab w:val="left" w:pos="6300"/>
        </w:tabs>
        <w:snapToGrid w:val="0"/>
        <w:spacing w:line="312" w:lineRule="auto"/>
        <w:ind w:firstLine="570"/>
        <w:rPr>
          <w:rFonts w:ascii="宋体" w:hAnsi="宋体" w:cs="宋体"/>
          <w:sz w:val="24"/>
          <w:szCs w:val="24"/>
        </w:rPr>
      </w:pPr>
    </w:p>
    <w:p w14:paraId="5EF31B65">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59C5D27E">
      <w:pPr>
        <w:tabs>
          <w:tab w:val="left" w:pos="6300"/>
        </w:tabs>
        <w:snapToGrid w:val="0"/>
        <w:spacing w:line="312" w:lineRule="auto"/>
        <w:ind w:firstLine="570"/>
        <w:rPr>
          <w:rFonts w:ascii="宋体" w:hAnsi="宋体" w:cs="宋体"/>
          <w:sz w:val="24"/>
          <w:szCs w:val="24"/>
        </w:rPr>
      </w:pPr>
    </w:p>
    <w:p w14:paraId="6FEC56DB">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59AC592A">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4905CEAA">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72A6A33A">
      <w:pPr>
        <w:tabs>
          <w:tab w:val="left" w:pos="6300"/>
        </w:tabs>
        <w:snapToGrid w:val="0"/>
        <w:spacing w:line="312" w:lineRule="auto"/>
        <w:ind w:right="-1"/>
        <w:rPr>
          <w:rFonts w:ascii="宋体" w:hAnsi="宋体" w:cs="宋体"/>
          <w:sz w:val="24"/>
          <w:szCs w:val="24"/>
        </w:rPr>
      </w:pPr>
    </w:p>
    <w:p w14:paraId="7440ED42">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2E3F16CE">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5A8EB44B">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代表我单位全权办理上述项目的谈判、签约等具体工作，并签署全部有关文件、协议及合同。签字负全部责任。</w:t>
      </w:r>
    </w:p>
    <w:p w14:paraId="65C790C7">
      <w:pPr>
        <w:tabs>
          <w:tab w:val="left" w:pos="6300"/>
        </w:tabs>
        <w:snapToGrid w:val="0"/>
        <w:spacing w:line="312" w:lineRule="auto"/>
        <w:ind w:firstLine="570"/>
        <w:rPr>
          <w:rFonts w:ascii="宋体" w:hAnsi="宋体" w:cs="宋体"/>
          <w:sz w:val="24"/>
          <w:szCs w:val="24"/>
        </w:rPr>
      </w:pPr>
    </w:p>
    <w:p w14:paraId="267726A7">
      <w:pPr>
        <w:tabs>
          <w:tab w:val="left" w:pos="6300"/>
        </w:tabs>
        <w:snapToGrid w:val="0"/>
        <w:spacing w:line="312" w:lineRule="auto"/>
        <w:ind w:firstLine="570"/>
        <w:rPr>
          <w:rFonts w:ascii="宋体" w:hAnsi="宋体" w:cs="宋体"/>
          <w:sz w:val="24"/>
          <w:szCs w:val="24"/>
        </w:rPr>
      </w:pPr>
    </w:p>
    <w:p w14:paraId="0EE0010A">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14:paraId="612F5A92">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14:paraId="4F30C92C">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31239594">
      <w:pPr>
        <w:tabs>
          <w:tab w:val="left" w:pos="6300"/>
        </w:tabs>
        <w:snapToGrid w:val="0"/>
        <w:spacing w:line="312" w:lineRule="auto"/>
        <w:ind w:firstLine="570"/>
        <w:rPr>
          <w:rFonts w:ascii="宋体" w:hAnsi="宋体" w:cs="宋体"/>
          <w:sz w:val="24"/>
          <w:szCs w:val="24"/>
        </w:rPr>
      </w:pPr>
    </w:p>
    <w:p w14:paraId="7E797081">
      <w:pPr>
        <w:tabs>
          <w:tab w:val="left" w:pos="6300"/>
        </w:tabs>
        <w:snapToGrid w:val="0"/>
        <w:spacing w:line="312" w:lineRule="auto"/>
        <w:ind w:firstLine="570"/>
        <w:rPr>
          <w:rFonts w:ascii="宋体" w:hAnsi="宋体" w:cs="宋体"/>
          <w:sz w:val="24"/>
          <w:szCs w:val="24"/>
        </w:rPr>
      </w:pPr>
    </w:p>
    <w:p w14:paraId="77408EE4">
      <w:pPr>
        <w:tabs>
          <w:tab w:val="left" w:pos="6300"/>
        </w:tabs>
        <w:snapToGrid w:val="0"/>
        <w:spacing w:line="312" w:lineRule="auto"/>
        <w:rPr>
          <w:rFonts w:ascii="宋体" w:hAnsi="宋体" w:cs="宋体"/>
          <w:sz w:val="24"/>
          <w:szCs w:val="24"/>
        </w:rPr>
      </w:pPr>
    </w:p>
    <w:p w14:paraId="720A28B5">
      <w:pPr>
        <w:jc w:val="both"/>
        <w:outlineLvl w:val="0"/>
        <w:rPr>
          <w:rFonts w:ascii="黑体" w:hAnsi="黑体" w:eastAsia="黑体"/>
        </w:rPr>
      </w:pPr>
    </w:p>
    <w:p w14:paraId="6C0163EA">
      <w:pPr>
        <w:pStyle w:val="4"/>
        <w:spacing w:before="0" w:after="0" w:line="360" w:lineRule="auto"/>
        <w:rPr>
          <w:rFonts w:ascii="宋体" w:cs="宋体"/>
          <w:sz w:val="24"/>
          <w:szCs w:val="24"/>
        </w:rPr>
      </w:pPr>
      <w:r>
        <w:rPr>
          <w:rFonts w:hint="eastAsia" w:ascii="宋体" w:hAnsi="宋体" w:cs="宋体"/>
          <w:sz w:val="24"/>
          <w:szCs w:val="24"/>
          <w:lang w:eastAsia="zh-CN"/>
        </w:rPr>
        <w:t>六</w:t>
      </w:r>
      <w:r>
        <w:rPr>
          <w:rFonts w:hint="eastAsia" w:ascii="宋体" w:hAnsi="宋体" w:cs="宋体"/>
          <w:sz w:val="24"/>
          <w:szCs w:val="24"/>
        </w:rPr>
        <w:t>、签订合同</w:t>
      </w:r>
    </w:p>
    <w:p w14:paraId="3EC300E6">
      <w:pPr>
        <w:spacing w:line="360" w:lineRule="auto"/>
        <w:ind w:firstLine="360" w:firstLineChars="150"/>
        <w:rPr>
          <w:rFonts w:ascii="宋体" w:cs="宋体"/>
          <w:sz w:val="24"/>
          <w:szCs w:val="24"/>
        </w:rPr>
      </w:pPr>
      <w:r>
        <w:rPr>
          <w:rFonts w:hint="eastAsia" w:ascii="宋体" w:hAnsi="宋体" w:cs="宋体"/>
          <w:sz w:val="24"/>
          <w:szCs w:val="24"/>
        </w:rPr>
        <w:t>（一）采购人可以自平台成交公示发布后，按照询比采购文件和成交供应商响应文件的约定，与成交供应商签订书面合同。所签订的合同不得对询比采购文件和供应商的响应文件作实质性修改。</w:t>
      </w:r>
    </w:p>
    <w:p w14:paraId="715753B0">
      <w:pPr>
        <w:spacing w:line="360" w:lineRule="auto"/>
        <w:ind w:firstLine="360" w:firstLineChars="150"/>
        <w:rPr>
          <w:rFonts w:ascii="宋体" w:cs="宋体"/>
          <w:sz w:val="24"/>
          <w:szCs w:val="24"/>
        </w:rPr>
      </w:pPr>
      <w:r>
        <w:rPr>
          <w:rFonts w:hint="eastAsia" w:ascii="宋体" w:hAnsi="宋体" w:cs="宋体"/>
          <w:sz w:val="24"/>
          <w:szCs w:val="24"/>
        </w:rPr>
        <w:t>（二）询比采购文件、供应商的响应文件及澄清文件等，均为签订采购合同的依据。</w:t>
      </w:r>
    </w:p>
    <w:p w14:paraId="287AD94E">
      <w:pPr>
        <w:pStyle w:val="4"/>
        <w:spacing w:before="0" w:after="0" w:line="240" w:lineRule="auto"/>
        <w:ind w:firstLine="482" w:firstLineChars="200"/>
        <w:rPr>
          <w:rFonts w:hint="eastAsia" w:ascii="方正黑体_GBK" w:hAnsi="宋体" w:eastAsia="方正黑体_GBK" w:cs="宋体"/>
          <w:b w:val="0"/>
          <w:szCs w:val="32"/>
        </w:rPr>
      </w:pPr>
      <w:r>
        <w:rPr>
          <w:rFonts w:hint="eastAsia" w:ascii="宋体" w:hAnsi="宋体" w:cs="宋体"/>
          <w:sz w:val="24"/>
          <w:szCs w:val="24"/>
        </w:rPr>
        <w:t>（三）合同生效条款由供需双方约定，法律、行政法规规定应当办理批准、登记等手续后生效的合同，依照其规定。</w:t>
      </w:r>
      <w:r>
        <w:rPr>
          <w:rFonts w:ascii="宋体" w:cs="宋体"/>
          <w:sz w:val="36"/>
          <w:szCs w:val="30"/>
        </w:rPr>
        <w:br w:type="page"/>
      </w:r>
      <w:r>
        <w:rPr>
          <w:rFonts w:hint="eastAsia" w:ascii="宋体" w:cs="宋体"/>
          <w:sz w:val="36"/>
          <w:szCs w:val="30"/>
          <w:lang w:val="en-US" w:eastAsia="zh-CN"/>
        </w:rPr>
        <w:t xml:space="preserve">   </w:t>
      </w:r>
      <w:r>
        <w:rPr>
          <w:rFonts w:hint="eastAsia" w:ascii="方正黑体_GBK" w:hAnsi="宋体" w:eastAsia="方正黑体_GBK" w:cs="宋体"/>
          <w:b w:val="0"/>
          <w:szCs w:val="32"/>
        </w:rPr>
        <w:t>十</w:t>
      </w:r>
      <w:r>
        <w:rPr>
          <w:rFonts w:hint="eastAsia" w:ascii="方正黑体_GBK" w:hAnsi="宋体" w:eastAsia="方正黑体_GBK" w:cs="宋体"/>
          <w:b w:val="0"/>
          <w:szCs w:val="32"/>
          <w:lang w:eastAsia="zh-CN"/>
        </w:rPr>
        <w:t>一</w:t>
      </w:r>
      <w:r>
        <w:rPr>
          <w:rFonts w:hint="eastAsia" w:ascii="方正黑体_GBK" w:hAnsi="宋体" w:eastAsia="方正黑体_GBK" w:cs="宋体"/>
          <w:b w:val="0"/>
          <w:szCs w:val="32"/>
        </w:rPr>
        <w:t>、合同草案条款</w:t>
      </w:r>
    </w:p>
    <w:p w14:paraId="4A13C29B">
      <w:pPr>
        <w:snapToGrid w:val="0"/>
        <w:spacing w:line="312" w:lineRule="auto"/>
        <w:ind w:firstLine="600" w:firstLineChars="250"/>
        <w:outlineLvl w:val="0"/>
        <w:rPr>
          <w:rFonts w:ascii="宋体" w:cs="宋体"/>
          <w:bCs/>
          <w:sz w:val="24"/>
        </w:rPr>
      </w:pPr>
      <w:r>
        <w:rPr>
          <w:rFonts w:ascii="宋体" w:hAnsi="宋体" w:cs="宋体"/>
          <w:bCs/>
          <w:sz w:val="24"/>
        </w:rPr>
        <w:t>1</w:t>
      </w:r>
      <w:r>
        <w:rPr>
          <w:rFonts w:hint="eastAsia" w:ascii="宋体" w:hAnsi="宋体" w:cs="宋体"/>
          <w:bCs/>
          <w:sz w:val="24"/>
        </w:rPr>
        <w:t>、定义</w:t>
      </w:r>
    </w:p>
    <w:p w14:paraId="053DBC09">
      <w:pPr>
        <w:snapToGrid w:val="0"/>
        <w:spacing w:line="312" w:lineRule="auto"/>
        <w:ind w:firstLine="600" w:firstLineChars="250"/>
        <w:outlineLvl w:val="0"/>
        <w:rPr>
          <w:rFonts w:ascii="宋体" w:cs="宋体"/>
          <w:bCs/>
          <w:sz w:val="24"/>
        </w:rPr>
      </w:pPr>
      <w:r>
        <w:rPr>
          <w:rFonts w:ascii="宋体" w:hAnsi="宋体" w:cs="宋体"/>
          <w:bCs/>
          <w:sz w:val="24"/>
        </w:rPr>
        <w:t>1.1</w:t>
      </w:r>
      <w:r>
        <w:rPr>
          <w:rFonts w:hint="eastAsia" w:ascii="宋体" w:hAnsi="宋体" w:cs="宋体"/>
          <w:bCs/>
          <w:sz w:val="24"/>
        </w:rPr>
        <w:t>甲方（需方）即采购人，是指通过询比采购方式采购，接受合同货物及服务的各级国家机关、事业单位和团体组织。</w:t>
      </w:r>
    </w:p>
    <w:p w14:paraId="7AB930A0">
      <w:pPr>
        <w:snapToGrid w:val="0"/>
        <w:spacing w:line="312" w:lineRule="auto"/>
        <w:ind w:firstLine="600" w:firstLineChars="250"/>
        <w:outlineLvl w:val="0"/>
        <w:rPr>
          <w:rFonts w:ascii="宋体" w:cs="宋体"/>
          <w:bCs/>
          <w:sz w:val="24"/>
        </w:rPr>
      </w:pPr>
      <w:r>
        <w:rPr>
          <w:rFonts w:ascii="宋体" w:hAnsi="宋体" w:cs="宋体"/>
          <w:bCs/>
          <w:sz w:val="24"/>
        </w:rPr>
        <w:t>1.2</w:t>
      </w:r>
      <w:r>
        <w:rPr>
          <w:rFonts w:hint="eastAsia" w:ascii="宋体" w:hAnsi="宋体" w:cs="宋体"/>
          <w:bCs/>
          <w:sz w:val="24"/>
        </w:rPr>
        <w:t>乙方（供方）即成交供应商，是指成交后提供合同货物和服务的自然人、法人及其他组织。</w:t>
      </w:r>
    </w:p>
    <w:p w14:paraId="24AA729B">
      <w:pPr>
        <w:snapToGrid w:val="0"/>
        <w:spacing w:line="312" w:lineRule="auto"/>
        <w:ind w:firstLine="600" w:firstLineChars="250"/>
        <w:outlineLvl w:val="0"/>
        <w:rPr>
          <w:rFonts w:ascii="宋体" w:cs="宋体"/>
          <w:bCs/>
          <w:sz w:val="24"/>
        </w:rPr>
      </w:pPr>
      <w:r>
        <w:rPr>
          <w:rFonts w:ascii="宋体" w:hAnsi="宋体" w:cs="宋体"/>
          <w:bCs/>
          <w:sz w:val="24"/>
        </w:rPr>
        <w:t>1.3</w:t>
      </w:r>
      <w:r>
        <w:rPr>
          <w:rFonts w:hint="eastAsia" w:ascii="宋体" w:hAnsi="宋体" w:cs="宋体"/>
          <w:bCs/>
          <w:sz w:val="24"/>
        </w:rPr>
        <w:t>合同是指由甲乙双方按照询比采购文件和响应文件的实质性内容，通过协商一致达成的书面协议。</w:t>
      </w:r>
    </w:p>
    <w:p w14:paraId="3C0A8622">
      <w:pPr>
        <w:snapToGrid w:val="0"/>
        <w:spacing w:line="312" w:lineRule="auto"/>
        <w:ind w:firstLine="600" w:firstLineChars="250"/>
        <w:outlineLvl w:val="0"/>
        <w:rPr>
          <w:rFonts w:ascii="宋体" w:cs="宋体"/>
          <w:bCs/>
          <w:sz w:val="24"/>
        </w:rPr>
      </w:pPr>
      <w:r>
        <w:rPr>
          <w:rFonts w:ascii="宋体" w:hAnsi="宋体" w:cs="宋体"/>
          <w:bCs/>
          <w:sz w:val="24"/>
        </w:rPr>
        <w:t>1.4</w:t>
      </w:r>
      <w:r>
        <w:rPr>
          <w:rFonts w:hint="eastAsia" w:ascii="宋体" w:hAnsi="宋体" w:cs="宋体"/>
          <w:bCs/>
          <w:sz w:val="24"/>
        </w:rPr>
        <w:t>合同价格指以成交价格为依据，在供方全面履行合同义务后，需方（或财政部门）应支付给供方的金额。</w:t>
      </w:r>
    </w:p>
    <w:p w14:paraId="4FC1148D">
      <w:pPr>
        <w:snapToGrid w:val="0"/>
        <w:spacing w:line="312" w:lineRule="auto"/>
        <w:ind w:firstLine="600" w:firstLineChars="250"/>
        <w:outlineLvl w:val="0"/>
        <w:rPr>
          <w:rFonts w:ascii="宋体" w:cs="宋体"/>
          <w:bCs/>
          <w:sz w:val="24"/>
        </w:rPr>
      </w:pPr>
      <w:r>
        <w:rPr>
          <w:rFonts w:ascii="宋体" w:hAnsi="宋体" w:cs="宋体"/>
          <w:bCs/>
          <w:sz w:val="24"/>
        </w:rPr>
        <w:t>1.5</w:t>
      </w:r>
      <w:r>
        <w:rPr>
          <w:rFonts w:hint="eastAsia" w:ascii="宋体" w:hAnsi="宋体" w:cs="宋体"/>
          <w:bCs/>
          <w:sz w:val="24"/>
        </w:rPr>
        <w:t>技术资料是指合同货物及其相关的设计、制造、监造、检验、验收等文件（包括图纸、各种文字说明、标准）。</w:t>
      </w:r>
    </w:p>
    <w:p w14:paraId="0DB463DD">
      <w:pPr>
        <w:snapToGrid w:val="0"/>
        <w:spacing w:line="312" w:lineRule="auto"/>
        <w:ind w:firstLine="600" w:firstLineChars="250"/>
        <w:outlineLvl w:val="0"/>
        <w:rPr>
          <w:rFonts w:ascii="宋体" w:cs="宋体"/>
          <w:bCs/>
          <w:sz w:val="24"/>
        </w:rPr>
      </w:pPr>
      <w:r>
        <w:rPr>
          <w:rFonts w:ascii="宋体" w:hAnsi="宋体" w:cs="宋体"/>
          <w:bCs/>
          <w:sz w:val="24"/>
        </w:rPr>
        <w:t>2</w:t>
      </w:r>
      <w:r>
        <w:rPr>
          <w:rFonts w:hint="eastAsia" w:ascii="宋体" w:hAnsi="宋体" w:cs="宋体"/>
          <w:bCs/>
          <w:sz w:val="24"/>
        </w:rPr>
        <w:t>、货物内容（合同内容）</w:t>
      </w:r>
    </w:p>
    <w:p w14:paraId="78851266">
      <w:pPr>
        <w:snapToGrid w:val="0"/>
        <w:spacing w:line="312" w:lineRule="auto"/>
        <w:ind w:firstLine="600" w:firstLineChars="250"/>
        <w:outlineLvl w:val="0"/>
        <w:rPr>
          <w:rFonts w:ascii="宋体" w:cs="宋体"/>
          <w:bCs/>
          <w:sz w:val="24"/>
        </w:rPr>
      </w:pPr>
      <w:r>
        <w:rPr>
          <w:rFonts w:hint="eastAsia" w:ascii="宋体" w:hAnsi="宋体" w:cs="宋体"/>
          <w:bCs/>
          <w:sz w:val="24"/>
        </w:rPr>
        <w:t>合同包括以下内容：货物名称、型号规格、技术参数、数量（单位）等内容。</w:t>
      </w:r>
    </w:p>
    <w:p w14:paraId="63E56CD7">
      <w:pPr>
        <w:snapToGrid w:val="0"/>
        <w:spacing w:line="312" w:lineRule="auto"/>
        <w:ind w:firstLine="600" w:firstLineChars="250"/>
        <w:outlineLvl w:val="0"/>
        <w:rPr>
          <w:rFonts w:ascii="宋体" w:cs="宋体"/>
          <w:bCs/>
          <w:sz w:val="24"/>
        </w:rPr>
      </w:pPr>
      <w:r>
        <w:rPr>
          <w:rFonts w:ascii="宋体" w:hAnsi="宋体" w:cs="宋体"/>
          <w:bCs/>
          <w:sz w:val="24"/>
        </w:rPr>
        <w:t>3</w:t>
      </w:r>
      <w:r>
        <w:rPr>
          <w:rFonts w:hint="eastAsia" w:ascii="宋体" w:hAnsi="宋体" w:cs="宋体"/>
          <w:bCs/>
          <w:sz w:val="24"/>
        </w:rPr>
        <w:t>、合同价格</w:t>
      </w:r>
    </w:p>
    <w:p w14:paraId="7DDC1C3A">
      <w:pPr>
        <w:snapToGrid w:val="0"/>
        <w:spacing w:line="312" w:lineRule="auto"/>
        <w:ind w:firstLine="600" w:firstLineChars="250"/>
        <w:outlineLvl w:val="0"/>
        <w:rPr>
          <w:rFonts w:ascii="宋体" w:cs="宋体"/>
          <w:bCs/>
          <w:sz w:val="24"/>
        </w:rPr>
      </w:pPr>
      <w:r>
        <w:rPr>
          <w:rFonts w:ascii="宋体" w:hAnsi="宋体" w:cs="宋体"/>
          <w:bCs/>
          <w:sz w:val="24"/>
        </w:rPr>
        <w:t>3.1</w:t>
      </w:r>
      <w:r>
        <w:rPr>
          <w:rFonts w:hint="eastAsia" w:ascii="宋体" w:hAnsi="宋体" w:cs="宋体"/>
          <w:bCs/>
          <w:sz w:val="24"/>
        </w:rPr>
        <w:t>合同价格即合同总价。</w:t>
      </w:r>
    </w:p>
    <w:p w14:paraId="5DE9C785">
      <w:pPr>
        <w:snapToGrid w:val="0"/>
        <w:spacing w:line="312" w:lineRule="auto"/>
        <w:ind w:firstLine="600" w:firstLineChars="250"/>
        <w:outlineLvl w:val="0"/>
        <w:rPr>
          <w:rFonts w:ascii="宋体" w:cs="宋体"/>
          <w:bCs/>
          <w:sz w:val="24"/>
        </w:rPr>
      </w:pPr>
      <w:r>
        <w:rPr>
          <w:rFonts w:ascii="宋体" w:hAnsi="宋体" w:cs="宋体"/>
          <w:bCs/>
          <w:sz w:val="24"/>
        </w:rPr>
        <w:t>3.2</w:t>
      </w:r>
      <w:r>
        <w:rPr>
          <w:rFonts w:hint="eastAsia" w:ascii="宋体" w:hAnsi="宋体" w:cs="宋体"/>
          <w:bCs/>
          <w:sz w:val="24"/>
        </w:rPr>
        <w:t>合同价格包括合同货物、技术资料、合同货物的税费、运杂费、保险费、包装费、装卸费及与货物有关的供方应纳的税费，所有税费由乙方负担。</w:t>
      </w:r>
    </w:p>
    <w:p w14:paraId="787DF929">
      <w:pPr>
        <w:snapToGrid w:val="0"/>
        <w:spacing w:line="312" w:lineRule="auto"/>
        <w:ind w:firstLine="600" w:firstLineChars="250"/>
        <w:outlineLvl w:val="0"/>
        <w:rPr>
          <w:rFonts w:ascii="宋体" w:cs="宋体"/>
          <w:bCs/>
          <w:sz w:val="24"/>
        </w:rPr>
      </w:pPr>
      <w:r>
        <w:rPr>
          <w:rFonts w:ascii="宋体" w:hAnsi="宋体" w:cs="宋体"/>
          <w:bCs/>
          <w:sz w:val="24"/>
        </w:rPr>
        <w:t>3.3</w:t>
      </w:r>
      <w:r>
        <w:rPr>
          <w:rFonts w:hint="eastAsia" w:ascii="宋体" w:hAnsi="宋体" w:cs="宋体"/>
          <w:bCs/>
          <w:sz w:val="24"/>
        </w:rPr>
        <w:t>合同货物单价为不变价。</w:t>
      </w:r>
    </w:p>
    <w:p w14:paraId="58B6C5E6">
      <w:pPr>
        <w:snapToGrid w:val="0"/>
        <w:spacing w:line="312" w:lineRule="auto"/>
        <w:ind w:firstLine="600" w:firstLineChars="250"/>
        <w:outlineLvl w:val="0"/>
        <w:rPr>
          <w:rFonts w:ascii="宋体" w:cs="宋体"/>
          <w:bCs/>
          <w:sz w:val="24"/>
        </w:rPr>
      </w:pPr>
      <w:r>
        <w:rPr>
          <w:rFonts w:ascii="宋体" w:hAnsi="宋体" w:cs="宋体"/>
          <w:bCs/>
          <w:sz w:val="24"/>
        </w:rPr>
        <w:t>4</w:t>
      </w:r>
      <w:r>
        <w:rPr>
          <w:rFonts w:hint="eastAsia" w:ascii="宋体" w:hAnsi="宋体" w:cs="宋体"/>
          <w:bCs/>
          <w:sz w:val="24"/>
        </w:rPr>
        <w:t>、转包或分包</w:t>
      </w:r>
    </w:p>
    <w:p w14:paraId="4B61D316">
      <w:pPr>
        <w:snapToGrid w:val="0"/>
        <w:spacing w:line="312" w:lineRule="auto"/>
        <w:ind w:firstLine="600" w:firstLineChars="250"/>
        <w:outlineLvl w:val="0"/>
        <w:rPr>
          <w:rFonts w:ascii="宋体" w:cs="宋体"/>
          <w:bCs/>
          <w:sz w:val="24"/>
        </w:rPr>
      </w:pPr>
      <w:r>
        <w:rPr>
          <w:rFonts w:ascii="宋体" w:hAnsi="宋体" w:cs="宋体"/>
          <w:bCs/>
          <w:sz w:val="24"/>
        </w:rPr>
        <w:t>4.1</w:t>
      </w:r>
      <w:r>
        <w:rPr>
          <w:rFonts w:hint="eastAsia" w:ascii="宋体" w:hAnsi="宋体" w:cs="宋体"/>
          <w:bCs/>
          <w:sz w:val="24"/>
        </w:rPr>
        <w:t>本合同范围的货物，应由乙方直接供应，不得转让他人供应；</w:t>
      </w:r>
    </w:p>
    <w:p w14:paraId="3B4A528E">
      <w:pPr>
        <w:snapToGrid w:val="0"/>
        <w:spacing w:line="312" w:lineRule="auto"/>
        <w:ind w:firstLine="600" w:firstLineChars="250"/>
        <w:outlineLvl w:val="0"/>
        <w:rPr>
          <w:rFonts w:ascii="宋体" w:cs="宋体"/>
          <w:bCs/>
          <w:sz w:val="24"/>
        </w:rPr>
      </w:pPr>
      <w:r>
        <w:rPr>
          <w:rFonts w:ascii="宋体" w:hAnsi="宋体" w:cs="宋体"/>
          <w:bCs/>
          <w:sz w:val="24"/>
        </w:rPr>
        <w:t>4.2</w:t>
      </w:r>
      <w:r>
        <w:rPr>
          <w:rFonts w:hint="eastAsia" w:ascii="宋体" w:hAnsi="宋体" w:cs="宋体"/>
          <w:bCs/>
          <w:sz w:val="24"/>
        </w:rPr>
        <w:t>非经甲方书面同意，乙方不得将本合同范围的货物全部或部分分包给他人供应；</w:t>
      </w:r>
    </w:p>
    <w:p w14:paraId="5D5B394B">
      <w:pPr>
        <w:snapToGrid w:val="0"/>
        <w:spacing w:line="312" w:lineRule="auto"/>
        <w:ind w:firstLine="600" w:firstLineChars="250"/>
        <w:outlineLvl w:val="0"/>
        <w:rPr>
          <w:rFonts w:ascii="宋体" w:cs="宋体"/>
          <w:bCs/>
          <w:sz w:val="24"/>
        </w:rPr>
      </w:pPr>
      <w:r>
        <w:rPr>
          <w:rFonts w:ascii="宋体" w:hAnsi="宋体" w:cs="宋体"/>
          <w:bCs/>
          <w:sz w:val="24"/>
        </w:rPr>
        <w:t>4.3</w:t>
      </w:r>
      <w:r>
        <w:rPr>
          <w:rFonts w:hint="eastAsia" w:ascii="宋体" w:hAnsi="宋体" w:cs="宋体"/>
          <w:bCs/>
          <w:sz w:val="24"/>
        </w:rPr>
        <w:t>如有转让和未经甲方同意的分包行为，甲方有权解除合同，没收履约保证金并追究乙方的违约责任。</w:t>
      </w:r>
    </w:p>
    <w:p w14:paraId="0C710FD4">
      <w:pPr>
        <w:adjustRightInd w:val="0"/>
        <w:snapToGrid w:val="0"/>
        <w:spacing w:line="312" w:lineRule="auto"/>
        <w:ind w:firstLine="600" w:firstLineChars="250"/>
        <w:rPr>
          <w:rFonts w:ascii="宋体" w:cs="宋体"/>
          <w:sz w:val="24"/>
        </w:rPr>
      </w:pPr>
      <w:r>
        <w:rPr>
          <w:rFonts w:ascii="宋体" w:hAnsi="宋体" w:cs="宋体"/>
          <w:bCs/>
          <w:sz w:val="24"/>
        </w:rPr>
        <w:t>5</w:t>
      </w:r>
      <w:r>
        <w:rPr>
          <w:rFonts w:hint="eastAsia" w:ascii="宋体" w:hAnsi="宋体" w:cs="宋体"/>
          <w:bCs/>
          <w:sz w:val="24"/>
        </w:rPr>
        <w:t>、质量保证及售后服务</w:t>
      </w:r>
    </w:p>
    <w:p w14:paraId="0B348DD2">
      <w:pPr>
        <w:adjustRightInd w:val="0"/>
        <w:snapToGrid w:val="0"/>
        <w:spacing w:line="312" w:lineRule="auto"/>
        <w:ind w:firstLine="600" w:firstLineChars="250"/>
        <w:rPr>
          <w:rFonts w:ascii="宋体" w:cs="宋体"/>
          <w:sz w:val="24"/>
        </w:rPr>
      </w:pPr>
      <w:r>
        <w:rPr>
          <w:rFonts w:ascii="宋体" w:hAnsi="宋体" w:cs="宋体"/>
          <w:sz w:val="24"/>
        </w:rPr>
        <w:t>5.1</w:t>
      </w:r>
      <w:r>
        <w:rPr>
          <w:rFonts w:hint="eastAsia" w:ascii="宋体" w:hAnsi="宋体" w:cs="宋体"/>
          <w:sz w:val="24"/>
        </w:rPr>
        <w:t>乙方应按询比采购文件规定的货物性能、技术要求、质量标准向甲方提供未经使用的全新产品。</w:t>
      </w:r>
    </w:p>
    <w:p w14:paraId="5305974C">
      <w:pPr>
        <w:adjustRightInd w:val="0"/>
        <w:snapToGrid w:val="0"/>
        <w:spacing w:line="312" w:lineRule="auto"/>
        <w:ind w:firstLine="600" w:firstLineChars="250"/>
        <w:rPr>
          <w:rFonts w:ascii="宋体" w:cs="宋体"/>
          <w:sz w:val="24"/>
        </w:rPr>
      </w:pPr>
      <w:r>
        <w:rPr>
          <w:rFonts w:ascii="宋体" w:hAnsi="宋体" w:cs="宋体"/>
          <w:sz w:val="24"/>
        </w:rPr>
        <w:t>5.2</w:t>
      </w:r>
      <w:r>
        <w:rPr>
          <w:rFonts w:hint="eastAsia" w:ascii="宋体" w:hAnsi="宋体" w:cs="宋体"/>
          <w:sz w:val="24"/>
        </w:rPr>
        <w:t>乙方提供的货物在质保期内因货物本身的质量问题发生故障，乙方应负责免费更换。对达不到技术要求者，根据实际情况，经双方协商，可按以下办法处理：</w:t>
      </w:r>
    </w:p>
    <w:p w14:paraId="3F8B4DE0">
      <w:pPr>
        <w:adjustRightInd w:val="0"/>
        <w:snapToGrid w:val="0"/>
        <w:spacing w:line="312" w:lineRule="auto"/>
        <w:ind w:firstLine="600" w:firstLineChars="250"/>
        <w:rPr>
          <w:rFonts w:ascii="宋体" w:cs="宋体"/>
          <w:sz w:val="24"/>
        </w:rPr>
      </w:pPr>
      <w:r>
        <w:rPr>
          <w:rFonts w:ascii="宋体" w:hAnsi="宋体" w:cs="宋体"/>
          <w:sz w:val="24"/>
        </w:rPr>
        <w:t>5.2.1</w:t>
      </w:r>
      <w:r>
        <w:rPr>
          <w:rFonts w:hint="eastAsia" w:ascii="宋体" w:hAnsi="宋体" w:cs="宋体"/>
          <w:sz w:val="24"/>
        </w:rPr>
        <w:t>更换：由乙方承担所发生的全部费用。</w:t>
      </w:r>
    </w:p>
    <w:p w14:paraId="15F26BE6">
      <w:pPr>
        <w:adjustRightInd w:val="0"/>
        <w:snapToGrid w:val="0"/>
        <w:spacing w:line="312" w:lineRule="auto"/>
        <w:ind w:firstLine="600" w:firstLineChars="250"/>
        <w:rPr>
          <w:rFonts w:ascii="宋体" w:cs="宋体"/>
          <w:sz w:val="24"/>
        </w:rPr>
      </w:pPr>
      <w:r>
        <w:rPr>
          <w:rFonts w:ascii="宋体" w:hAnsi="宋体" w:cs="宋体"/>
          <w:sz w:val="24"/>
        </w:rPr>
        <w:t>5.2.2</w:t>
      </w:r>
      <w:r>
        <w:rPr>
          <w:rFonts w:hint="eastAsia" w:ascii="宋体" w:hAnsi="宋体" w:cs="宋体"/>
          <w:sz w:val="24"/>
        </w:rPr>
        <w:t>贬值处理：由甲乙双方合议定价。</w:t>
      </w:r>
    </w:p>
    <w:p w14:paraId="1785C831">
      <w:pPr>
        <w:adjustRightInd w:val="0"/>
        <w:snapToGrid w:val="0"/>
        <w:spacing w:line="312" w:lineRule="auto"/>
        <w:ind w:firstLine="600" w:firstLineChars="250"/>
        <w:rPr>
          <w:rFonts w:ascii="宋体" w:cs="宋体"/>
          <w:sz w:val="24"/>
        </w:rPr>
      </w:pPr>
      <w:r>
        <w:rPr>
          <w:rFonts w:ascii="宋体" w:hAnsi="宋体" w:cs="宋体"/>
          <w:sz w:val="24"/>
        </w:rPr>
        <w:t>5.2.3</w:t>
      </w:r>
      <w:r>
        <w:rPr>
          <w:rFonts w:hint="eastAsia" w:ascii="宋体" w:hAnsi="宋体" w:cs="宋体"/>
          <w:sz w:val="24"/>
        </w:rPr>
        <w:t>退货处理：乙方应退还甲方支付的合同款，同时应承担该货物的直接费用（运输、保险、检验、货款利息及银行手续费等）。</w:t>
      </w:r>
    </w:p>
    <w:p w14:paraId="51CF74E7">
      <w:pPr>
        <w:adjustRightInd w:val="0"/>
        <w:snapToGrid w:val="0"/>
        <w:spacing w:line="312" w:lineRule="auto"/>
        <w:ind w:firstLine="600" w:firstLineChars="250"/>
        <w:rPr>
          <w:rFonts w:ascii="宋体" w:cs="宋体"/>
          <w:sz w:val="24"/>
        </w:rPr>
      </w:pPr>
      <w:r>
        <w:rPr>
          <w:rFonts w:ascii="宋体" w:hAnsi="宋体" w:cs="宋体"/>
          <w:sz w:val="24"/>
        </w:rPr>
        <w:t xml:space="preserve">5.3 </w:t>
      </w:r>
      <w:r>
        <w:rPr>
          <w:rFonts w:hint="eastAsia" w:ascii="宋体" w:hAnsi="宋体" w:cs="宋体"/>
          <w:sz w:val="24"/>
        </w:rPr>
        <w:t>如在使用过程中发生质量问题，乙方应同本项目“第三篇采购商务需求”对质量保证及售后服务内容的约定。</w:t>
      </w:r>
    </w:p>
    <w:p w14:paraId="7CC66000">
      <w:pPr>
        <w:adjustRightInd w:val="0"/>
        <w:snapToGrid w:val="0"/>
        <w:spacing w:line="312" w:lineRule="auto"/>
        <w:ind w:firstLine="600" w:firstLineChars="250"/>
        <w:rPr>
          <w:rFonts w:ascii="宋体" w:cs="宋体"/>
          <w:sz w:val="24"/>
        </w:rPr>
      </w:pPr>
      <w:r>
        <w:rPr>
          <w:rFonts w:ascii="宋体" w:hAnsi="宋体" w:cs="宋体"/>
          <w:sz w:val="24"/>
        </w:rPr>
        <w:t>5.4</w:t>
      </w:r>
      <w:r>
        <w:rPr>
          <w:rFonts w:hint="eastAsia" w:ascii="宋体" w:hAnsi="宋体" w:cs="宋体"/>
          <w:sz w:val="24"/>
        </w:rPr>
        <w:t>在质保期内，乙方应对货物出现的质量及安全问题负责处理解决并承担一切费用。</w:t>
      </w:r>
    </w:p>
    <w:p w14:paraId="382E0DF5">
      <w:pPr>
        <w:adjustRightInd w:val="0"/>
        <w:snapToGrid w:val="0"/>
        <w:spacing w:line="312" w:lineRule="auto"/>
        <w:ind w:firstLine="600" w:firstLineChars="250"/>
        <w:rPr>
          <w:rFonts w:ascii="宋体" w:cs="宋体"/>
          <w:sz w:val="24"/>
        </w:rPr>
      </w:pPr>
      <w:r>
        <w:rPr>
          <w:rFonts w:ascii="宋体" w:hAnsi="宋体" w:cs="宋体"/>
          <w:sz w:val="24"/>
        </w:rPr>
        <w:t>6</w:t>
      </w:r>
      <w:r>
        <w:rPr>
          <w:rFonts w:hint="eastAsia" w:ascii="宋体" w:hAnsi="宋体" w:cs="宋体"/>
          <w:sz w:val="24"/>
        </w:rPr>
        <w:t>、付款</w:t>
      </w:r>
    </w:p>
    <w:p w14:paraId="385DCB1C">
      <w:pPr>
        <w:adjustRightInd w:val="0"/>
        <w:snapToGrid w:val="0"/>
        <w:spacing w:line="312" w:lineRule="auto"/>
        <w:ind w:firstLine="600" w:firstLineChars="250"/>
        <w:rPr>
          <w:rFonts w:ascii="宋体" w:cs="宋体"/>
          <w:sz w:val="24"/>
        </w:rPr>
      </w:pPr>
      <w:r>
        <w:rPr>
          <w:rFonts w:ascii="宋体" w:hAnsi="宋体" w:cs="宋体"/>
          <w:sz w:val="24"/>
        </w:rPr>
        <w:t>6.1</w:t>
      </w:r>
      <w:r>
        <w:rPr>
          <w:rFonts w:hint="eastAsia" w:ascii="宋体" w:hAnsi="宋体" w:cs="宋体"/>
          <w:sz w:val="24"/>
        </w:rPr>
        <w:t>本合同使用货币币制如未作特别说明均为人民币。</w:t>
      </w:r>
    </w:p>
    <w:p w14:paraId="2CD5DC11">
      <w:pPr>
        <w:adjustRightInd w:val="0"/>
        <w:snapToGrid w:val="0"/>
        <w:spacing w:line="312" w:lineRule="auto"/>
        <w:ind w:firstLine="600" w:firstLineChars="250"/>
        <w:rPr>
          <w:rFonts w:ascii="宋体" w:cs="宋体"/>
          <w:sz w:val="24"/>
        </w:rPr>
      </w:pPr>
      <w:r>
        <w:rPr>
          <w:rFonts w:ascii="宋体" w:hAnsi="宋体" w:cs="宋体"/>
          <w:sz w:val="24"/>
        </w:rPr>
        <w:t>6.2</w:t>
      </w:r>
      <w:r>
        <w:rPr>
          <w:rFonts w:hint="eastAsia" w:ascii="宋体" w:hAnsi="宋体" w:cs="宋体"/>
          <w:sz w:val="24"/>
        </w:rPr>
        <w:t>付款方式：银行转账。</w:t>
      </w:r>
    </w:p>
    <w:p w14:paraId="455E22DE">
      <w:pPr>
        <w:adjustRightInd w:val="0"/>
        <w:snapToGrid w:val="0"/>
        <w:spacing w:line="312" w:lineRule="auto"/>
        <w:ind w:firstLine="600" w:firstLineChars="250"/>
        <w:rPr>
          <w:rFonts w:ascii="宋体" w:cs="宋体"/>
          <w:sz w:val="24"/>
        </w:rPr>
      </w:pPr>
      <w:r>
        <w:rPr>
          <w:rFonts w:ascii="宋体" w:hAnsi="宋体" w:cs="宋体"/>
          <w:sz w:val="24"/>
        </w:rPr>
        <w:t>6.3</w:t>
      </w:r>
      <w:r>
        <w:rPr>
          <w:rFonts w:hint="eastAsia" w:ascii="宋体" w:hAnsi="宋体" w:cs="宋体"/>
          <w:sz w:val="24"/>
        </w:rPr>
        <w:t>付款方法：同本项目“第三篇采购商务需求”中关于付款方式的约定。</w:t>
      </w:r>
    </w:p>
    <w:p w14:paraId="23480468">
      <w:pPr>
        <w:adjustRightInd w:val="0"/>
        <w:snapToGrid w:val="0"/>
        <w:spacing w:line="312" w:lineRule="auto"/>
        <w:ind w:firstLine="600" w:firstLineChars="250"/>
        <w:rPr>
          <w:rFonts w:ascii="宋体" w:cs="宋体"/>
          <w:sz w:val="24"/>
        </w:rPr>
      </w:pPr>
      <w:r>
        <w:rPr>
          <w:rFonts w:ascii="宋体" w:hAnsi="宋体" w:cs="宋体"/>
          <w:sz w:val="24"/>
        </w:rPr>
        <w:t>7</w:t>
      </w:r>
      <w:r>
        <w:rPr>
          <w:rFonts w:hint="eastAsia" w:ascii="宋体" w:hAnsi="宋体" w:cs="宋体"/>
          <w:sz w:val="24"/>
        </w:rPr>
        <w:t>、检查验收</w:t>
      </w:r>
    </w:p>
    <w:p w14:paraId="00041B2C">
      <w:pPr>
        <w:adjustRightInd w:val="0"/>
        <w:snapToGrid w:val="0"/>
        <w:spacing w:line="312" w:lineRule="auto"/>
        <w:ind w:firstLine="600" w:firstLineChars="250"/>
        <w:rPr>
          <w:rFonts w:ascii="宋体" w:cs="宋体"/>
          <w:sz w:val="24"/>
        </w:rPr>
      </w:pPr>
      <w:r>
        <w:rPr>
          <w:rFonts w:ascii="宋体" w:hAnsi="宋体" w:cs="宋体"/>
          <w:sz w:val="24"/>
        </w:rPr>
        <w:t>7.1</w:t>
      </w:r>
      <w:r>
        <w:rPr>
          <w:rFonts w:hint="eastAsia" w:ascii="宋体" w:hAnsi="宋体" w:cs="宋体"/>
          <w:sz w:val="24"/>
        </w:rPr>
        <w:t>供方应随货物提供合格证和质量证明文件，如是国外进口的货物还须提供入关证明。</w:t>
      </w:r>
    </w:p>
    <w:p w14:paraId="4649A6E1">
      <w:pPr>
        <w:adjustRightInd w:val="0"/>
        <w:snapToGrid w:val="0"/>
        <w:spacing w:line="312" w:lineRule="auto"/>
        <w:ind w:firstLine="600" w:firstLineChars="250"/>
        <w:rPr>
          <w:rFonts w:ascii="宋体" w:cs="宋体"/>
          <w:sz w:val="24"/>
        </w:rPr>
      </w:pPr>
      <w:r>
        <w:rPr>
          <w:rFonts w:ascii="宋体" w:hAnsi="宋体" w:cs="宋体"/>
          <w:sz w:val="24"/>
        </w:rPr>
        <w:t>7.2</w:t>
      </w:r>
      <w:r>
        <w:rPr>
          <w:rFonts w:hint="eastAsia" w:ascii="宋体" w:hAnsi="宋体" w:cs="宋体"/>
          <w:sz w:val="24"/>
        </w:rPr>
        <w:t>货物验收</w:t>
      </w:r>
    </w:p>
    <w:p w14:paraId="71752B3A">
      <w:pPr>
        <w:adjustRightInd w:val="0"/>
        <w:snapToGrid w:val="0"/>
        <w:spacing w:line="312" w:lineRule="auto"/>
        <w:ind w:firstLine="480" w:firstLineChars="200"/>
        <w:rPr>
          <w:rFonts w:ascii="宋体" w:cs="宋体"/>
          <w:sz w:val="24"/>
        </w:rPr>
      </w:pPr>
      <w:r>
        <w:rPr>
          <w:rFonts w:hint="eastAsia" w:ascii="宋体" w:hAnsi="宋体" w:cs="宋体"/>
          <w:sz w:val="24"/>
        </w:rPr>
        <w:t>供方所交货物的各种质量指标不得低于供方提供样品的质量指标（无样品时按供方响应文件中所提供的“技术文件”执行），售后服务质量要求按照询比采购文件和响应文件的内容执行。供方交货时，需方可根据需要随机抽取一部分货物送有关权威检测部门检测，如检测不合格，供方负责赔偿需方一切损失。</w:t>
      </w:r>
    </w:p>
    <w:p w14:paraId="0F1354A7">
      <w:pPr>
        <w:adjustRightInd w:val="0"/>
        <w:snapToGrid w:val="0"/>
        <w:spacing w:line="312" w:lineRule="auto"/>
        <w:ind w:firstLine="480" w:firstLineChars="200"/>
        <w:rPr>
          <w:rFonts w:ascii="宋体" w:cs="宋体"/>
          <w:sz w:val="24"/>
        </w:rPr>
      </w:pPr>
      <w:r>
        <w:rPr>
          <w:rFonts w:ascii="宋体" w:hAnsi="宋体" w:cs="宋体"/>
          <w:sz w:val="24"/>
        </w:rPr>
        <w:t>7.3</w:t>
      </w:r>
      <w:r>
        <w:rPr>
          <w:rFonts w:hint="eastAsia" w:ascii="宋体" w:hAnsi="宋体" w:cs="宋体"/>
          <w:sz w:val="24"/>
        </w:rPr>
        <w:t>货物验收报告应由需方、供方经办人签字，并加盖双方公章，以此作为支付凭据。</w:t>
      </w:r>
    </w:p>
    <w:p w14:paraId="724C09D5">
      <w:pPr>
        <w:adjustRightInd w:val="0"/>
        <w:snapToGrid w:val="0"/>
        <w:spacing w:line="312" w:lineRule="auto"/>
        <w:ind w:firstLine="480" w:firstLineChars="200"/>
        <w:rPr>
          <w:rFonts w:ascii="宋体" w:cs="宋体"/>
          <w:sz w:val="24"/>
        </w:rPr>
      </w:pPr>
      <w:r>
        <w:rPr>
          <w:rFonts w:ascii="宋体" w:hAnsi="宋体" w:cs="宋体"/>
          <w:sz w:val="24"/>
        </w:rPr>
        <w:t>8</w:t>
      </w:r>
      <w:r>
        <w:rPr>
          <w:rFonts w:hint="eastAsia" w:ascii="宋体" w:hAnsi="宋体" w:cs="宋体"/>
          <w:sz w:val="24"/>
        </w:rPr>
        <w:t>、索赔</w:t>
      </w:r>
    </w:p>
    <w:p w14:paraId="423EF027">
      <w:pPr>
        <w:adjustRightInd w:val="0"/>
        <w:snapToGrid w:val="0"/>
        <w:spacing w:line="312" w:lineRule="auto"/>
        <w:ind w:firstLine="480" w:firstLineChars="200"/>
        <w:rPr>
          <w:rFonts w:ascii="宋体" w:cs="宋体"/>
          <w:sz w:val="24"/>
        </w:rPr>
      </w:pPr>
      <w:r>
        <w:rPr>
          <w:rFonts w:hint="eastAsia" w:ascii="宋体" w:hAnsi="宋体" w:cs="宋体"/>
          <w:sz w:val="24"/>
        </w:rPr>
        <w:t>供方对货物与合同要求不符负有责任，并且需方已于规定交货内和质量保证期内提出索赔，供方应按需方同意的下述一种或多种方法解决索赔事宜。</w:t>
      </w:r>
    </w:p>
    <w:p w14:paraId="5C040C59">
      <w:pPr>
        <w:adjustRightInd w:val="0"/>
        <w:snapToGrid w:val="0"/>
        <w:spacing w:line="312" w:lineRule="auto"/>
        <w:ind w:firstLine="480" w:firstLineChars="200"/>
        <w:rPr>
          <w:rFonts w:ascii="宋体" w:cs="宋体"/>
          <w:sz w:val="24"/>
        </w:rPr>
      </w:pPr>
      <w:r>
        <w:rPr>
          <w:rFonts w:ascii="宋体" w:hAnsi="宋体" w:cs="宋体"/>
          <w:sz w:val="24"/>
        </w:rPr>
        <w:t>8.1</w:t>
      </w:r>
      <w:r>
        <w:rPr>
          <w:rFonts w:hint="eastAsia" w:ascii="宋体" w:hAnsi="宋体" w:cs="宋体"/>
          <w:sz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075665B5">
      <w:pPr>
        <w:adjustRightInd w:val="0"/>
        <w:snapToGrid w:val="0"/>
        <w:spacing w:line="312" w:lineRule="auto"/>
        <w:ind w:firstLine="480" w:firstLineChars="200"/>
        <w:rPr>
          <w:rFonts w:ascii="宋体" w:cs="宋体"/>
          <w:sz w:val="24"/>
        </w:rPr>
      </w:pPr>
      <w:r>
        <w:rPr>
          <w:rFonts w:ascii="宋体" w:hAnsi="宋体" w:cs="宋体"/>
          <w:sz w:val="24"/>
        </w:rPr>
        <w:t>8.2</w:t>
      </w:r>
      <w:r>
        <w:rPr>
          <w:rFonts w:hint="eastAsia" w:ascii="宋体" w:hAnsi="宋体" w:cs="宋体"/>
          <w:sz w:val="24"/>
        </w:rPr>
        <w:t>根据货物的疵劣和受损程度以及需方遭受损失的金额，经双方同意降低货物价格。</w:t>
      </w:r>
    </w:p>
    <w:p w14:paraId="53E04BF8">
      <w:pPr>
        <w:adjustRightInd w:val="0"/>
        <w:snapToGrid w:val="0"/>
        <w:spacing w:line="312" w:lineRule="auto"/>
        <w:ind w:firstLine="480" w:firstLineChars="200"/>
        <w:rPr>
          <w:rFonts w:ascii="宋体" w:cs="宋体"/>
          <w:sz w:val="24"/>
        </w:rPr>
      </w:pPr>
      <w:r>
        <w:rPr>
          <w:rFonts w:ascii="宋体" w:hAnsi="宋体" w:cs="宋体"/>
          <w:sz w:val="24"/>
        </w:rPr>
        <w:t>9</w:t>
      </w:r>
      <w:r>
        <w:rPr>
          <w:rFonts w:hint="eastAsia" w:ascii="宋体" w:hAnsi="宋体" w:cs="宋体"/>
          <w:sz w:val="24"/>
        </w:rPr>
        <w:t>、知识产权</w:t>
      </w:r>
    </w:p>
    <w:p w14:paraId="2FD50369">
      <w:pPr>
        <w:adjustRightInd w:val="0"/>
        <w:snapToGrid w:val="0"/>
        <w:spacing w:line="312" w:lineRule="auto"/>
        <w:ind w:firstLine="480" w:firstLineChars="200"/>
        <w:rPr>
          <w:rFonts w:ascii="宋体" w:cs="宋体"/>
          <w:sz w:val="24"/>
        </w:rPr>
      </w:pPr>
      <w:r>
        <w:rPr>
          <w:rFonts w:ascii="宋体" w:hAnsi="宋体" w:cs="宋体"/>
          <w:sz w:val="24"/>
        </w:rPr>
        <w:t>9.1</w:t>
      </w:r>
      <w:r>
        <w:rPr>
          <w:rFonts w:hint="eastAsia" w:ascii="宋体" w:hAnsi="宋体" w:cs="宋体"/>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68BC5C85">
      <w:pPr>
        <w:adjustRightInd w:val="0"/>
        <w:snapToGrid w:val="0"/>
        <w:spacing w:line="312" w:lineRule="auto"/>
        <w:ind w:firstLine="480" w:firstLineChars="200"/>
        <w:rPr>
          <w:rFonts w:ascii="宋体" w:cs="宋体"/>
          <w:sz w:val="24"/>
        </w:rPr>
      </w:pPr>
      <w:r>
        <w:rPr>
          <w:rFonts w:ascii="宋体" w:hAnsi="宋体" w:cs="宋体"/>
          <w:sz w:val="24"/>
        </w:rPr>
        <w:t>9.2</w:t>
      </w:r>
      <w:r>
        <w:rPr>
          <w:rFonts w:hint="eastAsia" w:ascii="宋体" w:hAnsi="宋体" w:cs="宋体"/>
          <w:sz w:val="24"/>
          <w:szCs w:val="24"/>
        </w:rPr>
        <w:t>若涉及软件开发等服务类项目知识产权的，知识产权归采购人所有。</w:t>
      </w:r>
    </w:p>
    <w:p w14:paraId="7C1E127B">
      <w:pPr>
        <w:snapToGrid w:val="0"/>
        <w:spacing w:line="312" w:lineRule="auto"/>
        <w:ind w:firstLine="480" w:firstLineChars="200"/>
        <w:outlineLvl w:val="0"/>
        <w:rPr>
          <w:rFonts w:ascii="宋体" w:cs="宋体"/>
          <w:bCs/>
          <w:sz w:val="24"/>
        </w:rPr>
      </w:pPr>
      <w:r>
        <w:rPr>
          <w:rFonts w:ascii="宋体" w:hAnsi="宋体" w:cs="宋体"/>
          <w:bCs/>
          <w:sz w:val="24"/>
        </w:rPr>
        <w:t>10</w:t>
      </w:r>
      <w:r>
        <w:rPr>
          <w:rFonts w:hint="eastAsia" w:ascii="宋体" w:hAnsi="宋体" w:cs="宋体"/>
          <w:bCs/>
          <w:sz w:val="24"/>
        </w:rPr>
        <w:t>、合同争议的解决</w:t>
      </w:r>
    </w:p>
    <w:p w14:paraId="4B495E39">
      <w:pPr>
        <w:snapToGrid w:val="0"/>
        <w:spacing w:line="312" w:lineRule="auto"/>
        <w:ind w:firstLine="480" w:firstLineChars="200"/>
        <w:outlineLvl w:val="0"/>
        <w:rPr>
          <w:rFonts w:ascii="宋体" w:cs="宋体"/>
          <w:bCs/>
          <w:sz w:val="24"/>
        </w:rPr>
      </w:pPr>
      <w:r>
        <w:rPr>
          <w:rFonts w:ascii="宋体" w:hAnsi="宋体" w:cs="宋体"/>
          <w:bCs/>
          <w:sz w:val="24"/>
        </w:rPr>
        <w:t>10.1</w:t>
      </w:r>
      <w:r>
        <w:rPr>
          <w:rFonts w:hint="eastAsia" w:ascii="宋体" w:hAnsi="宋体" w:cs="宋体"/>
          <w:bCs/>
          <w:sz w:val="24"/>
        </w:rPr>
        <w:t>当事人友好协商达成一致</w:t>
      </w:r>
    </w:p>
    <w:p w14:paraId="5E3535BF">
      <w:pPr>
        <w:snapToGrid w:val="0"/>
        <w:spacing w:line="312" w:lineRule="auto"/>
        <w:ind w:firstLine="480" w:firstLineChars="200"/>
        <w:outlineLvl w:val="0"/>
        <w:rPr>
          <w:rFonts w:ascii="宋体" w:cs="宋体"/>
          <w:bCs/>
          <w:sz w:val="24"/>
        </w:rPr>
      </w:pPr>
      <w:r>
        <w:rPr>
          <w:rFonts w:ascii="宋体" w:hAnsi="宋体" w:cs="宋体"/>
          <w:bCs/>
          <w:sz w:val="24"/>
        </w:rPr>
        <w:t>10.2</w:t>
      </w:r>
      <w:r>
        <w:rPr>
          <w:rFonts w:hint="eastAsia" w:ascii="宋体" w:hAnsi="宋体" w:cs="宋体"/>
          <w:bCs/>
          <w:sz w:val="24"/>
        </w:rPr>
        <w:t>在</w:t>
      </w:r>
      <w:r>
        <w:rPr>
          <w:rFonts w:ascii="宋体" w:hAnsi="宋体" w:cs="宋体"/>
          <w:bCs/>
          <w:sz w:val="24"/>
        </w:rPr>
        <w:t>60</w:t>
      </w:r>
      <w:r>
        <w:rPr>
          <w:rFonts w:hint="eastAsia" w:ascii="宋体" w:hAnsi="宋体" w:cs="宋体"/>
          <w:bCs/>
          <w:sz w:val="24"/>
        </w:rPr>
        <w:t>天内当事人协商不能达成协议的，可提请采购人当地仲裁机构仲裁。</w:t>
      </w:r>
    </w:p>
    <w:p w14:paraId="43317CA8">
      <w:pPr>
        <w:snapToGrid w:val="0"/>
        <w:spacing w:line="312" w:lineRule="auto"/>
        <w:ind w:firstLine="480" w:firstLineChars="200"/>
        <w:outlineLvl w:val="0"/>
        <w:rPr>
          <w:rFonts w:ascii="宋体" w:cs="宋体"/>
          <w:bCs/>
          <w:sz w:val="24"/>
        </w:rPr>
      </w:pPr>
      <w:r>
        <w:rPr>
          <w:rFonts w:ascii="宋体" w:hAnsi="宋体" w:cs="宋体"/>
          <w:bCs/>
          <w:sz w:val="24"/>
        </w:rPr>
        <w:t>11</w:t>
      </w:r>
      <w:r>
        <w:rPr>
          <w:rFonts w:hint="eastAsia" w:ascii="宋体" w:hAnsi="宋体" w:cs="宋体"/>
          <w:bCs/>
          <w:sz w:val="24"/>
        </w:rPr>
        <w:t>、违约责任</w:t>
      </w:r>
    </w:p>
    <w:p w14:paraId="2D5395F7">
      <w:pPr>
        <w:snapToGrid w:val="0"/>
        <w:spacing w:line="312" w:lineRule="auto"/>
        <w:ind w:firstLine="480" w:firstLineChars="200"/>
        <w:outlineLvl w:val="0"/>
        <w:rPr>
          <w:rFonts w:ascii="宋体" w:cs="宋体"/>
          <w:bCs/>
          <w:sz w:val="24"/>
        </w:rPr>
      </w:pPr>
      <w:r>
        <w:rPr>
          <w:rFonts w:hint="eastAsia" w:ascii="宋体" w:hAnsi="宋体" w:cs="宋体"/>
          <w:bCs/>
          <w:sz w:val="24"/>
        </w:rPr>
        <w:t>按《中华人民共和国合同法》、《中华人民共和国政府采购法》有关条款，或由供需双方约定。</w:t>
      </w:r>
    </w:p>
    <w:p w14:paraId="53C014A2">
      <w:pPr>
        <w:snapToGrid w:val="0"/>
        <w:spacing w:line="312" w:lineRule="auto"/>
        <w:ind w:firstLine="480" w:firstLineChars="200"/>
        <w:outlineLvl w:val="0"/>
        <w:rPr>
          <w:rFonts w:ascii="宋体" w:cs="宋体"/>
          <w:bCs/>
          <w:sz w:val="24"/>
        </w:rPr>
      </w:pPr>
      <w:r>
        <w:rPr>
          <w:rFonts w:ascii="宋体" w:hAnsi="宋体" w:cs="宋体"/>
          <w:bCs/>
          <w:sz w:val="24"/>
        </w:rPr>
        <w:t>12</w:t>
      </w:r>
      <w:r>
        <w:rPr>
          <w:rFonts w:hint="eastAsia" w:ascii="宋体" w:hAnsi="宋体" w:cs="宋体"/>
          <w:bCs/>
          <w:sz w:val="24"/>
        </w:rPr>
        <w:t>、合同生效及其它</w:t>
      </w:r>
    </w:p>
    <w:p w14:paraId="0DF27372">
      <w:pPr>
        <w:snapToGrid w:val="0"/>
        <w:spacing w:line="312" w:lineRule="auto"/>
        <w:ind w:firstLine="480" w:firstLineChars="200"/>
        <w:outlineLvl w:val="0"/>
        <w:rPr>
          <w:rFonts w:ascii="宋体" w:cs="宋体"/>
          <w:bCs/>
          <w:sz w:val="24"/>
        </w:rPr>
      </w:pPr>
      <w:r>
        <w:rPr>
          <w:rFonts w:ascii="宋体" w:hAnsi="宋体" w:cs="宋体"/>
          <w:bCs/>
          <w:sz w:val="24"/>
        </w:rPr>
        <w:t>12.1</w:t>
      </w:r>
      <w:r>
        <w:rPr>
          <w:rFonts w:hint="eastAsia" w:ascii="宋体" w:hAnsi="宋体" w:cs="宋体"/>
          <w:bCs/>
          <w:sz w:val="24"/>
        </w:rPr>
        <w:t>合同生效及其效力应符合《中华人民共和国合同法》有关规定。</w:t>
      </w:r>
    </w:p>
    <w:p w14:paraId="5D641468">
      <w:pPr>
        <w:snapToGrid w:val="0"/>
        <w:spacing w:line="312" w:lineRule="auto"/>
        <w:ind w:firstLine="480" w:firstLineChars="200"/>
        <w:outlineLvl w:val="0"/>
        <w:rPr>
          <w:rFonts w:ascii="宋体" w:cs="宋体"/>
          <w:bCs/>
          <w:sz w:val="24"/>
        </w:rPr>
      </w:pPr>
      <w:r>
        <w:rPr>
          <w:rFonts w:ascii="宋体" w:hAnsi="宋体" w:cs="宋体"/>
          <w:bCs/>
          <w:sz w:val="24"/>
        </w:rPr>
        <w:t>12.2</w:t>
      </w:r>
      <w:r>
        <w:rPr>
          <w:rFonts w:hint="eastAsia" w:ascii="宋体" w:hAnsi="宋体" w:cs="宋体"/>
          <w:bCs/>
          <w:sz w:val="24"/>
        </w:rPr>
        <w:t>合同应经当事人法定代表人或委托代理人签字，加盖双方合同专用章或公章。</w:t>
      </w:r>
    </w:p>
    <w:p w14:paraId="206B6ED1">
      <w:pPr>
        <w:snapToGrid w:val="0"/>
        <w:spacing w:line="312" w:lineRule="auto"/>
        <w:ind w:firstLine="480" w:firstLineChars="200"/>
        <w:outlineLvl w:val="0"/>
        <w:rPr>
          <w:rFonts w:ascii="宋体" w:cs="宋体"/>
          <w:bCs/>
          <w:sz w:val="24"/>
        </w:rPr>
      </w:pPr>
      <w:r>
        <w:rPr>
          <w:rFonts w:ascii="宋体" w:hAnsi="宋体" w:cs="宋体"/>
          <w:bCs/>
          <w:sz w:val="24"/>
        </w:rPr>
        <w:t>12.3</w:t>
      </w:r>
      <w:r>
        <w:rPr>
          <w:rFonts w:hint="eastAsia" w:ascii="宋体" w:hAnsi="宋体" w:cs="宋体"/>
          <w:bCs/>
          <w:sz w:val="24"/>
        </w:rPr>
        <w:t>合同所包括附件，是合同不可分割的一部分，具有同等法法律效力。</w:t>
      </w:r>
    </w:p>
    <w:p w14:paraId="3BABE758">
      <w:pPr>
        <w:snapToGrid w:val="0"/>
        <w:spacing w:line="312" w:lineRule="auto"/>
        <w:ind w:firstLine="480" w:firstLineChars="200"/>
        <w:outlineLvl w:val="0"/>
        <w:rPr>
          <w:rFonts w:ascii="宋体" w:cs="宋体"/>
          <w:bCs/>
          <w:sz w:val="24"/>
        </w:rPr>
      </w:pPr>
      <w:r>
        <w:rPr>
          <w:rFonts w:ascii="宋体" w:hAnsi="宋体" w:cs="宋体"/>
          <w:bCs/>
          <w:sz w:val="24"/>
        </w:rPr>
        <w:t>12.4</w:t>
      </w:r>
      <w:r>
        <w:rPr>
          <w:rFonts w:hint="eastAsia" w:ascii="宋体" w:hAnsi="宋体" w:cs="宋体"/>
          <w:bCs/>
          <w:sz w:val="24"/>
        </w:rPr>
        <w:t>合同需提供担保的，按《中华人民共和国担保法》规定执行。</w:t>
      </w:r>
    </w:p>
    <w:p w14:paraId="74A4DB72">
      <w:pPr>
        <w:snapToGrid w:val="0"/>
        <w:spacing w:line="312" w:lineRule="auto"/>
        <w:ind w:firstLine="480" w:firstLineChars="200"/>
        <w:rPr>
          <w:rFonts w:ascii="宋体" w:cs="宋体"/>
          <w:sz w:val="24"/>
          <w:szCs w:val="24"/>
        </w:rPr>
      </w:pPr>
      <w:r>
        <w:rPr>
          <w:rFonts w:ascii="宋体" w:hAnsi="宋体" w:cs="宋体"/>
          <w:bCs/>
          <w:sz w:val="24"/>
        </w:rPr>
        <w:t>12.5</w:t>
      </w:r>
      <w:r>
        <w:rPr>
          <w:rFonts w:hint="eastAsia" w:ascii="宋体" w:hAnsi="宋体" w:cs="宋体"/>
          <w:bCs/>
          <w:sz w:val="24"/>
        </w:rPr>
        <w:t>本合同条件未尽事宜依照《中华人民共和国合同法》，由供需双方共同协商确定。</w:t>
      </w:r>
    </w:p>
    <w:p w14:paraId="7FCF1C87">
      <w:pPr>
        <w:snapToGrid w:val="0"/>
        <w:spacing w:line="312" w:lineRule="auto"/>
        <w:ind w:firstLine="570"/>
        <w:rPr>
          <w:rFonts w:ascii="宋体" w:cs="宋体"/>
          <w:sz w:val="24"/>
          <w:szCs w:val="24"/>
        </w:rPr>
      </w:pPr>
    </w:p>
    <w:p w14:paraId="65CBE53D">
      <w:pPr>
        <w:snapToGrid w:val="0"/>
        <w:spacing w:line="312" w:lineRule="auto"/>
        <w:ind w:firstLine="570"/>
        <w:rPr>
          <w:rFonts w:ascii="宋体" w:cs="宋体"/>
          <w:sz w:val="24"/>
          <w:szCs w:val="24"/>
        </w:rPr>
      </w:pPr>
    </w:p>
    <w:p w14:paraId="7FDDD7A6">
      <w:pPr>
        <w:snapToGrid w:val="0"/>
        <w:spacing w:line="312" w:lineRule="auto"/>
        <w:ind w:firstLine="570"/>
        <w:rPr>
          <w:rFonts w:ascii="宋体" w:cs="宋体"/>
          <w:sz w:val="24"/>
          <w:szCs w:val="24"/>
        </w:rPr>
      </w:pPr>
    </w:p>
    <w:p w14:paraId="481F34C0">
      <w:pPr>
        <w:snapToGrid w:val="0"/>
        <w:spacing w:line="312" w:lineRule="auto"/>
        <w:ind w:firstLine="570"/>
        <w:rPr>
          <w:rFonts w:ascii="宋体" w:cs="宋体"/>
          <w:sz w:val="24"/>
          <w:szCs w:val="24"/>
        </w:rPr>
      </w:pPr>
    </w:p>
    <w:p w14:paraId="0D56F103">
      <w:pPr>
        <w:snapToGrid w:val="0"/>
        <w:spacing w:line="312" w:lineRule="auto"/>
        <w:rPr>
          <w:rFonts w:ascii="宋体" w:cs="宋体"/>
          <w:sz w:val="24"/>
        </w:rPr>
      </w:pPr>
      <w:bookmarkStart w:id="38" w:name="_Toc148265480"/>
      <w:bookmarkStart w:id="39" w:name="_Toc303945820"/>
      <w:r>
        <w:rPr>
          <w:rFonts w:hint="eastAsia" w:ascii="宋体" w:hAnsi="宋体" w:cs="宋体"/>
          <w:sz w:val="24"/>
        </w:rPr>
        <w:t>附页：</w:t>
      </w:r>
      <w:bookmarkEnd w:id="38"/>
      <w:bookmarkEnd w:id="39"/>
      <w:r>
        <w:rPr>
          <w:rFonts w:hint="eastAsia" w:ascii="宋体" w:hAnsi="宋体" w:cs="宋体"/>
          <w:sz w:val="24"/>
        </w:rPr>
        <w:t>合同格式</w:t>
      </w:r>
    </w:p>
    <w:p w14:paraId="40F2FDF5">
      <w:pPr>
        <w:pStyle w:val="4"/>
      </w:pPr>
    </w:p>
    <w:p w14:paraId="2187C432"/>
    <w:p w14:paraId="15BFC16E">
      <w:pPr>
        <w:pStyle w:val="4"/>
      </w:pPr>
    </w:p>
    <w:p w14:paraId="7A0AA7ED"/>
    <w:p w14:paraId="22FC72E9">
      <w:pPr>
        <w:pStyle w:val="4"/>
      </w:pPr>
    </w:p>
    <w:p w14:paraId="12C420E7"/>
    <w:p w14:paraId="20F730B8">
      <w:pPr>
        <w:pStyle w:val="4"/>
      </w:pPr>
    </w:p>
    <w:p w14:paraId="0DF34E50"/>
    <w:p w14:paraId="7AD81208">
      <w:pPr>
        <w:pStyle w:val="4"/>
      </w:pPr>
    </w:p>
    <w:p w14:paraId="7C83FF1D"/>
    <w:p w14:paraId="39CACB1F">
      <w:pPr>
        <w:pStyle w:val="4"/>
      </w:pPr>
    </w:p>
    <w:p w14:paraId="4EB74CD8"/>
    <w:p w14:paraId="40772BBE">
      <w:pPr>
        <w:pStyle w:val="4"/>
      </w:pPr>
    </w:p>
    <w:p w14:paraId="75BDD667"/>
    <w:p w14:paraId="0812EE89">
      <w:pPr>
        <w:spacing w:line="360" w:lineRule="auto"/>
        <w:jc w:val="center"/>
        <w:rPr>
          <w:rFonts w:ascii="等线" w:hAnsi="等线" w:eastAsia="等线"/>
          <w:b/>
          <w:sz w:val="44"/>
          <w:szCs w:val="44"/>
        </w:rPr>
      </w:pPr>
    </w:p>
    <w:p w14:paraId="268D4317">
      <w:pPr>
        <w:spacing w:line="360" w:lineRule="auto"/>
        <w:jc w:val="center"/>
        <w:rPr>
          <w:rFonts w:ascii="等线" w:hAnsi="等线" w:eastAsia="等线"/>
          <w:b/>
          <w:sz w:val="44"/>
          <w:szCs w:val="44"/>
        </w:rPr>
      </w:pPr>
      <w:r>
        <w:rPr>
          <w:rFonts w:hint="eastAsia" w:ascii="等线" w:hAnsi="等线" w:eastAsia="等线"/>
          <w:b/>
          <w:sz w:val="44"/>
          <w:szCs w:val="44"/>
          <w:lang w:eastAsia="zh-CN"/>
        </w:rPr>
        <w:t>大渡口区跳磴镇病媒生物防制项目服务</w:t>
      </w:r>
      <w:r>
        <w:rPr>
          <w:rFonts w:hint="eastAsia" w:ascii="等线" w:hAnsi="等线" w:eastAsia="等线"/>
          <w:b/>
          <w:sz w:val="44"/>
          <w:szCs w:val="44"/>
        </w:rPr>
        <w:t>合同</w:t>
      </w:r>
    </w:p>
    <w:p w14:paraId="64158F3C">
      <w:pPr>
        <w:spacing w:line="360" w:lineRule="auto"/>
        <w:jc w:val="center"/>
        <w:rPr>
          <w:rFonts w:ascii="等线" w:hAnsi="等线" w:eastAsia="等线"/>
          <w:b/>
          <w:sz w:val="30"/>
          <w:szCs w:val="30"/>
        </w:rPr>
      </w:pPr>
    </w:p>
    <w:p w14:paraId="0AF82E73">
      <w:pPr>
        <w:spacing w:line="360" w:lineRule="auto"/>
        <w:rPr>
          <w:rFonts w:ascii="等线" w:hAnsi="等线" w:eastAsia="等线"/>
          <w:sz w:val="32"/>
          <w:szCs w:val="32"/>
        </w:rPr>
      </w:pPr>
    </w:p>
    <w:p w14:paraId="761FAB54">
      <w:pPr>
        <w:snapToGrid w:val="0"/>
        <w:spacing w:line="312" w:lineRule="auto"/>
        <w:ind w:firstLine="480" w:firstLineChars="200"/>
        <w:rPr>
          <w:rFonts w:ascii="宋体" w:cs="宋体"/>
          <w:sz w:val="24"/>
          <w:szCs w:val="24"/>
        </w:rPr>
      </w:pPr>
    </w:p>
    <w:p w14:paraId="5200A380">
      <w:pPr>
        <w:snapToGrid w:val="0"/>
        <w:spacing w:line="312" w:lineRule="auto"/>
        <w:ind w:firstLine="480" w:firstLineChars="200"/>
        <w:rPr>
          <w:rFonts w:ascii="宋体" w:cs="宋体"/>
          <w:sz w:val="24"/>
          <w:szCs w:val="24"/>
        </w:rPr>
      </w:pPr>
    </w:p>
    <w:p w14:paraId="75E6B10A">
      <w:pPr>
        <w:snapToGrid w:val="0"/>
        <w:spacing w:line="312" w:lineRule="auto"/>
        <w:ind w:firstLine="480" w:firstLineChars="200"/>
        <w:rPr>
          <w:rFonts w:ascii="宋体" w:cs="宋体"/>
          <w:sz w:val="24"/>
          <w:szCs w:val="24"/>
        </w:rPr>
      </w:pPr>
    </w:p>
    <w:p w14:paraId="59CCE018">
      <w:pPr>
        <w:snapToGrid w:val="0"/>
        <w:spacing w:line="312" w:lineRule="auto"/>
        <w:ind w:firstLine="480" w:firstLineChars="200"/>
        <w:rPr>
          <w:rFonts w:ascii="宋体" w:cs="宋体"/>
          <w:sz w:val="24"/>
          <w:szCs w:val="24"/>
        </w:rPr>
      </w:pPr>
    </w:p>
    <w:p w14:paraId="483B43B8">
      <w:pPr>
        <w:snapToGrid w:val="0"/>
        <w:spacing w:line="312" w:lineRule="auto"/>
        <w:ind w:firstLine="480" w:firstLineChars="200"/>
        <w:rPr>
          <w:rFonts w:ascii="宋体" w:cs="宋体"/>
          <w:sz w:val="24"/>
          <w:szCs w:val="24"/>
        </w:rPr>
      </w:pPr>
    </w:p>
    <w:p w14:paraId="5F95C077">
      <w:pPr>
        <w:snapToGrid w:val="0"/>
        <w:spacing w:line="312" w:lineRule="auto"/>
        <w:ind w:firstLine="480" w:firstLineChars="200"/>
        <w:rPr>
          <w:rFonts w:ascii="宋体" w:cs="宋体"/>
          <w:sz w:val="24"/>
          <w:szCs w:val="24"/>
        </w:rPr>
      </w:pPr>
    </w:p>
    <w:p w14:paraId="2E4A0EF2">
      <w:pPr>
        <w:snapToGrid w:val="0"/>
        <w:spacing w:line="312" w:lineRule="auto"/>
        <w:rPr>
          <w:rFonts w:ascii="宋体" w:cs="宋体"/>
          <w:sz w:val="24"/>
          <w:szCs w:val="24"/>
        </w:rPr>
      </w:pPr>
    </w:p>
    <w:p w14:paraId="7B0E8DFA">
      <w:pPr>
        <w:snapToGrid w:val="0"/>
        <w:spacing w:line="312" w:lineRule="auto"/>
        <w:ind w:firstLine="480" w:firstLineChars="200"/>
        <w:rPr>
          <w:rFonts w:hint="eastAsia" w:ascii="宋体" w:eastAsia="宋体" w:cs="宋体"/>
          <w:sz w:val="24"/>
          <w:szCs w:val="24"/>
          <w:lang w:val="en-US" w:eastAsia="zh-CN"/>
        </w:rPr>
      </w:pPr>
      <w:r>
        <w:rPr>
          <w:rFonts w:hint="eastAsia" w:ascii="宋体" w:cs="宋体"/>
          <w:sz w:val="24"/>
          <w:szCs w:val="24"/>
          <w:lang w:val="en-US" w:eastAsia="zh-CN"/>
        </w:rPr>
        <w:t xml:space="preserve"> </w:t>
      </w:r>
    </w:p>
    <w:p w14:paraId="0A09EFAE">
      <w:pPr>
        <w:spacing w:line="360" w:lineRule="auto"/>
        <w:ind w:firstLine="1200" w:firstLineChars="400"/>
        <w:rPr>
          <w:rFonts w:ascii="等线" w:hAnsi="等线" w:eastAsia="等线"/>
          <w:sz w:val="30"/>
          <w:szCs w:val="30"/>
        </w:rPr>
      </w:pPr>
      <w:r>
        <w:rPr>
          <w:rFonts w:hint="eastAsia" w:ascii="等线" w:hAnsi="等线" w:eastAsia="等线"/>
          <w:sz w:val="30"/>
          <w:szCs w:val="30"/>
        </w:rPr>
        <w:t>甲</w:t>
      </w:r>
      <w:r>
        <w:rPr>
          <w:rFonts w:hint="eastAsia" w:ascii="等线" w:hAnsi="等线" w:eastAsia="等线"/>
          <w:sz w:val="30"/>
          <w:szCs w:val="30"/>
          <w:lang w:val="en-US" w:eastAsia="zh-CN"/>
        </w:rPr>
        <w:t xml:space="preserve">  </w:t>
      </w:r>
      <w:r>
        <w:rPr>
          <w:rFonts w:hint="eastAsia" w:ascii="等线" w:hAnsi="等线" w:eastAsia="等线"/>
          <w:sz w:val="30"/>
          <w:szCs w:val="30"/>
        </w:rPr>
        <w:t>方：重庆市大渡口区跳磴镇人民政府</w:t>
      </w:r>
    </w:p>
    <w:p w14:paraId="68377064">
      <w:pPr>
        <w:spacing w:line="360" w:lineRule="auto"/>
        <w:ind w:firstLine="1200" w:firstLineChars="400"/>
        <w:rPr>
          <w:rFonts w:ascii="等线" w:hAnsi="等线" w:eastAsia="等线"/>
          <w:sz w:val="30"/>
          <w:szCs w:val="30"/>
          <w:u w:val="single"/>
        </w:rPr>
      </w:pPr>
      <w:r>
        <w:rPr>
          <w:rFonts w:hint="eastAsia" w:ascii="等线" w:hAnsi="等线" w:eastAsia="等线"/>
          <w:sz w:val="30"/>
          <w:szCs w:val="30"/>
        </w:rPr>
        <w:t>乙</w:t>
      </w:r>
      <w:r>
        <w:rPr>
          <w:rFonts w:hint="eastAsia" w:ascii="等线" w:hAnsi="等线" w:eastAsia="等线"/>
          <w:sz w:val="30"/>
          <w:szCs w:val="30"/>
          <w:lang w:val="en-US" w:eastAsia="zh-CN"/>
        </w:rPr>
        <w:t xml:space="preserve">  </w:t>
      </w:r>
      <w:r>
        <w:rPr>
          <w:rFonts w:hint="eastAsia" w:ascii="等线" w:hAnsi="等线" w:eastAsia="等线"/>
          <w:sz w:val="30"/>
          <w:szCs w:val="30"/>
        </w:rPr>
        <w:t>方：</w:t>
      </w:r>
    </w:p>
    <w:p w14:paraId="0DD90F6B">
      <w:pPr>
        <w:spacing w:line="360" w:lineRule="auto"/>
        <w:rPr>
          <w:rFonts w:ascii="等线" w:hAnsi="等线" w:eastAsia="等线"/>
          <w:sz w:val="30"/>
          <w:szCs w:val="30"/>
          <w:u w:val="single"/>
        </w:rPr>
      </w:pPr>
    </w:p>
    <w:p w14:paraId="1E75E191">
      <w:pPr>
        <w:spacing w:line="360" w:lineRule="auto"/>
        <w:rPr>
          <w:rFonts w:ascii="等线" w:hAnsi="等线" w:eastAsia="等线"/>
          <w:sz w:val="30"/>
          <w:szCs w:val="30"/>
          <w:u w:val="single"/>
        </w:rPr>
      </w:pPr>
    </w:p>
    <w:p w14:paraId="362A5578">
      <w:pPr>
        <w:spacing w:line="360" w:lineRule="auto"/>
        <w:jc w:val="center"/>
        <w:rPr>
          <w:rFonts w:hint="eastAsia" w:ascii="等线" w:hAnsi="等线" w:eastAsia="等线"/>
          <w:sz w:val="30"/>
          <w:szCs w:val="30"/>
        </w:rPr>
      </w:pPr>
      <w:r>
        <w:rPr>
          <w:rFonts w:ascii="等线" w:hAnsi="等线" w:eastAsia="等线"/>
          <w:sz w:val="30"/>
          <w:szCs w:val="30"/>
        </w:rPr>
        <w:t>202</w:t>
      </w:r>
      <w:r>
        <w:rPr>
          <w:rFonts w:hint="eastAsia" w:ascii="等线" w:hAnsi="等线" w:eastAsia="等线"/>
          <w:sz w:val="30"/>
          <w:szCs w:val="30"/>
          <w:lang w:val="en-US" w:eastAsia="zh-CN"/>
        </w:rPr>
        <w:t>5</w:t>
      </w:r>
      <w:r>
        <w:rPr>
          <w:rFonts w:hint="eastAsia" w:ascii="等线" w:hAnsi="等线" w:eastAsia="等线"/>
          <w:sz w:val="30"/>
          <w:szCs w:val="30"/>
        </w:rPr>
        <w:t>年</w:t>
      </w:r>
      <w:r>
        <w:rPr>
          <w:rFonts w:hint="eastAsia" w:ascii="等线" w:hAnsi="等线" w:eastAsia="等线"/>
          <w:sz w:val="30"/>
          <w:szCs w:val="30"/>
          <w:lang w:val="en-US" w:eastAsia="zh-CN"/>
        </w:rPr>
        <w:t xml:space="preserve"> </w:t>
      </w:r>
      <w:r>
        <w:rPr>
          <w:rFonts w:hint="eastAsia" w:ascii="等线" w:hAnsi="等线" w:eastAsia="等线"/>
          <w:sz w:val="30"/>
          <w:szCs w:val="30"/>
        </w:rPr>
        <w:t>月</w:t>
      </w:r>
      <w:r>
        <w:rPr>
          <w:rFonts w:hint="eastAsia" w:ascii="等线" w:hAnsi="等线" w:eastAsia="等线"/>
          <w:sz w:val="30"/>
          <w:szCs w:val="30"/>
          <w:lang w:val="en-US" w:eastAsia="zh-CN"/>
        </w:rPr>
        <w:t xml:space="preserve"> </w:t>
      </w:r>
      <w:r>
        <w:rPr>
          <w:rFonts w:hint="eastAsia" w:ascii="等线" w:hAnsi="等线" w:eastAsia="等线"/>
          <w:sz w:val="30"/>
          <w:szCs w:val="30"/>
        </w:rPr>
        <w:t>日</w:t>
      </w:r>
    </w:p>
    <w:p w14:paraId="12A676C1">
      <w:pPr>
        <w:pStyle w:val="4"/>
        <w:rPr>
          <w:rFonts w:hint="eastAsia" w:ascii="等线" w:hAnsi="等线" w:eastAsia="等线"/>
          <w:sz w:val="30"/>
          <w:szCs w:val="30"/>
        </w:rPr>
      </w:pPr>
    </w:p>
    <w:p w14:paraId="575A6821">
      <w:pPr>
        <w:rPr>
          <w:rFonts w:hint="eastAsia" w:ascii="等线" w:hAnsi="等线" w:eastAsia="等线"/>
          <w:sz w:val="30"/>
          <w:szCs w:val="30"/>
        </w:rPr>
      </w:pPr>
    </w:p>
    <w:p w14:paraId="44C4FBB2">
      <w:pPr>
        <w:pStyle w:val="4"/>
        <w:rPr>
          <w:rFonts w:hint="eastAsia" w:ascii="等线" w:hAnsi="等线" w:eastAsia="等线"/>
          <w:sz w:val="30"/>
          <w:szCs w:val="30"/>
        </w:rPr>
      </w:pPr>
    </w:p>
    <w:p w14:paraId="511C496F">
      <w:pPr>
        <w:rPr>
          <w:rFonts w:hint="eastAsia" w:ascii="等线" w:hAnsi="等线" w:eastAsia="等线"/>
          <w:sz w:val="30"/>
          <w:szCs w:val="30"/>
        </w:rPr>
      </w:pPr>
    </w:p>
    <w:p w14:paraId="62ACE26A">
      <w:pPr>
        <w:rPr>
          <w:rFonts w:hint="eastAsia" w:ascii="等线" w:hAnsi="等线" w:eastAsia="等线"/>
          <w:sz w:val="30"/>
          <w:szCs w:val="30"/>
        </w:rPr>
      </w:pPr>
    </w:p>
    <w:p w14:paraId="615E82C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zh-CN" w:eastAsia="zh-CN"/>
        </w:rPr>
        <w:t>根据《中华人民共和国民法典》、《重庆市预防和控制四害管理规定》（市政府第215号令）及有关法律、法规，遵循平等、自愿、公平和诚实守信的原则订立本合同。</w:t>
      </w:r>
    </w:p>
    <w:p w14:paraId="2DDFA3F0">
      <w:pPr>
        <w:pageBreakBefore w:val="0"/>
        <w:widowControl w:val="0"/>
        <w:kinsoku/>
        <w:wordWrap/>
        <w:overflowPunct/>
        <w:topLinePunct w:val="0"/>
        <w:autoSpaceDE/>
        <w:autoSpaceDN/>
        <w:bidi w:val="0"/>
        <w:adjustRightInd/>
        <w:spacing w:line="240" w:lineRule="auto"/>
        <w:ind w:firstLine="640" w:firstLineChars="200"/>
        <w:jc w:val="left"/>
        <w:textAlignment w:val="auto"/>
        <w:rPr>
          <w:rFonts w:hint="eastAsia" w:ascii="方正仿宋_GBK" w:hAnsi="宋体" w:eastAsia="方正仿宋_GBK" w:cs="Times New Roman"/>
          <w:bCs/>
          <w:color w:val="000000"/>
          <w:sz w:val="32"/>
          <w:szCs w:val="32"/>
          <w:highlight w:val="none"/>
          <w:lang w:eastAsia="zh-CN"/>
        </w:rPr>
      </w:pPr>
      <w:r>
        <w:rPr>
          <w:rFonts w:hint="eastAsia" w:ascii="方正仿宋_GBK" w:hAnsi="宋体" w:eastAsia="方正仿宋_GBK" w:cs="Times New Roman"/>
          <w:bCs/>
          <w:color w:val="000000"/>
          <w:sz w:val="32"/>
          <w:szCs w:val="32"/>
          <w:highlight w:val="none"/>
        </w:rPr>
        <w:t>一、服务内容</w:t>
      </w:r>
      <w:bookmarkStart w:id="40" w:name="_GoBack"/>
      <w:bookmarkEnd w:id="40"/>
    </w:p>
    <w:p w14:paraId="5BCB8A13">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（一）服务范围</w:t>
      </w:r>
    </w:p>
    <w:p w14:paraId="0535EB9C">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病媒生物防制：</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主要包括</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中顺社区、幸福社区、华庭社区、白沙沱社区、</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蓝沁苑1期2期、欣怡小区、鳌山综合市场、幸福华庭农超、跳磴镇便民摊区、跳磴镇政府</w:t>
      </w:r>
      <w:r>
        <w:rPr>
          <w:rFonts w:hint="eastAsia" w:ascii="方正仿宋_GBK" w:hAnsi="宋体" w:eastAsia="方正仿宋_GBK"/>
          <w:bCs/>
          <w:color w:val="000000" w:themeColor="text1"/>
          <w:sz w:val="32"/>
          <w:szCs w:val="32"/>
          <w:highlight w:val="none"/>
          <w14:textFill>
            <w14:solidFill>
              <w14:schemeClr w14:val="tx1"/>
            </w14:solidFill>
          </w14:textFill>
        </w:rPr>
        <w:t>等范围</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即：小区内楼栋及周边、公共绿地、水池、边坡、窨井、水沟、生活垃圾桶坑等居民公共活动场所，镇政府、综合市场、农超、便民摊区内及周边的蚊、蝇、蟑螂、鼠的一次性灭杀、对孳生地控制，对垃圾箱、垃圾集中处理点、公厕的防治等）</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w:t>
      </w:r>
    </w:p>
    <w:p w14:paraId="24901294">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（二）药品、器械</w:t>
      </w:r>
    </w:p>
    <w:p w14:paraId="5F46E48C">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1</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投标方杜绝使用来源不明无“三证”或质量不稳定的卫生杀虫剂，确保灭效和人畜等各项安全，符合绿色环保的有关要求。按照建议用药目录，投标人必须提供投标药品的有效“三证”（即：农药登记证、农药生产批准证书、技术监督部门备案的企业标准）复印件并加盖单位公章、生产厂家出具的药物质量保证书（原件备查）及生产厂家授权书（原件备查）并加盖生产厂家公章。没有提供或提供不齐全的，视为无效投标。</w:t>
      </w:r>
      <w:r>
        <w:rPr>
          <w:rFonts w:hint="eastAsia" w:ascii="方正仿宋_GBK" w:hAnsi="宋体" w:eastAsia="方正仿宋_GBK"/>
          <w:bCs/>
          <w:color w:val="000000" w:themeColor="text1"/>
          <w:sz w:val="32"/>
          <w:szCs w:val="32"/>
          <w:highlight w:val="none"/>
          <w14:textFill>
            <w14:solidFill>
              <w14:schemeClr w14:val="tx1"/>
            </w14:solidFill>
          </w14:textFill>
        </w:rPr>
        <w:t>签订合同后，采购人有权邀请第三方对消杀药品进行随机成分抽样检测，相应费用由成交人承担。如发现消杀药品有效成分不达标，成交人须向采购人赔付成交金额的10%，退回已支付的服务款，并终止合同。</w:t>
      </w:r>
    </w:p>
    <w:p w14:paraId="279BAC90">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2.成交人负责</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安装和维护已有</w:t>
      </w:r>
      <w:r>
        <w:rPr>
          <w:rFonts w:hint="eastAsia" w:ascii="方正仿宋_GBK" w:hAnsi="宋体" w:eastAsia="方正仿宋_GBK"/>
          <w:bCs/>
          <w:color w:val="000000" w:themeColor="text1"/>
          <w:sz w:val="32"/>
          <w:szCs w:val="32"/>
          <w:highlight w:val="none"/>
          <w14:textFill>
            <w14:solidFill>
              <w14:schemeClr w14:val="tx1"/>
            </w14:solidFill>
          </w14:textFill>
        </w:rPr>
        <w:t>毒饵盒，</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并</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合理设置毒饵盒</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14:textFill>
            <w14:solidFill>
              <w14:schemeClr w14:val="tx1"/>
            </w14:solidFill>
          </w14:textFill>
        </w:rPr>
        <w:t>（1）毒饵</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盒</w:t>
      </w:r>
      <w:r>
        <w:rPr>
          <w:rFonts w:hint="eastAsia" w:ascii="方正仿宋_GBK" w:hAnsi="宋体" w:eastAsia="方正仿宋_GBK"/>
          <w:bCs/>
          <w:color w:val="000000" w:themeColor="text1"/>
          <w:sz w:val="32"/>
          <w:szCs w:val="32"/>
          <w:highlight w:val="none"/>
          <w14:textFill>
            <w14:solidFill>
              <w14:schemeClr w14:val="tx1"/>
            </w14:solidFill>
          </w14:textFill>
        </w:rPr>
        <w:t>长度要大于25cm</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14:textFill>
            <w14:solidFill>
              <w14:schemeClr w14:val="tx1"/>
            </w14:solidFill>
          </w14:textFill>
        </w:rPr>
        <w:t>（2）选择隐蔽处、沿墙边处摆放</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14:textFill>
            <w14:solidFill>
              <w14:schemeClr w14:val="tx1"/>
            </w14:solidFill>
          </w14:textFill>
        </w:rPr>
        <w:t>（3）不能放置在局部低洼处（避免被雨水浸泡）</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w:t>
      </w: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4</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）有明显警示标识</w:t>
      </w:r>
      <w:r>
        <w:rPr>
          <w:rFonts w:hint="eastAsia" w:ascii="方正仿宋_GBK" w:hAnsi="宋体" w:eastAsia="方正仿宋_GBK"/>
          <w:bCs/>
          <w:color w:val="000000" w:themeColor="text1"/>
          <w:sz w:val="32"/>
          <w:szCs w:val="32"/>
          <w:highlight w:val="none"/>
          <w14:textFill>
            <w14:solidFill>
              <w14:schemeClr w14:val="tx1"/>
            </w14:solidFill>
          </w14:textFill>
        </w:rPr>
        <w:t>。</w:t>
      </w:r>
    </w:p>
    <w:p w14:paraId="43A7E971">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3..成交人负责防制所需药品的仓储、搬运、投放等服务，确保达到国家C级标准的具体防制需求。</w:t>
      </w:r>
    </w:p>
    <w:p w14:paraId="255134C4">
      <w:pPr>
        <w:ind w:firstLine="643" w:firstLineChars="200"/>
        <w:jc w:val="left"/>
        <w:rPr>
          <w:rFonts w:hint="eastAsia" w:ascii="方正仿宋_GBK" w:hAnsi="宋体" w:eastAsia="方正仿宋_GBK"/>
          <w:b/>
          <w:bCs/>
          <w:color w:val="000000" w:themeColor="text1"/>
          <w:sz w:val="32"/>
          <w:szCs w:val="32"/>
          <w:highlight w:val="none"/>
          <w14:textFill>
            <w14:solidFill>
              <w14:schemeClr w14:val="tx1"/>
            </w14:solidFill>
          </w14:textFill>
        </w:rPr>
      </w:pPr>
      <w:r>
        <w:rPr>
          <w:rFonts w:hint="eastAsia" w:ascii="方正仿宋_GBK" w:hAnsi="宋体" w:eastAsia="方正仿宋_GBK"/>
          <w:b/>
          <w:bCs/>
          <w:color w:val="000000" w:themeColor="text1"/>
          <w:sz w:val="32"/>
          <w:szCs w:val="32"/>
          <w:highlight w:val="none"/>
          <w14:textFill>
            <w14:solidFill>
              <w14:schemeClr w14:val="tx1"/>
            </w14:solidFill>
          </w14:textFill>
        </w:rPr>
        <w:t>注：中标单位签合同提供相关样品。</w:t>
      </w:r>
    </w:p>
    <w:p w14:paraId="1F7D0B4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（三）技术服务内容</w:t>
      </w:r>
    </w:p>
    <w:p w14:paraId="25F036C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1.蚊、蝇、蟑螂、老鼠的灭杀及孳生控制技术服务。</w:t>
      </w:r>
    </w:p>
    <w:p w14:paraId="5C95079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2.社区内突发公共卫生事件的环境消毒杀虫技术服务。</w:t>
      </w:r>
    </w:p>
    <w:p w14:paraId="0AA5D78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 xml:space="preserve">3.开展病媒生物防制基础设施调查，向辖区内单位、居民开展蚊、蝇、蟑螂、鼠防制知识宣传活动。 </w:t>
      </w:r>
    </w:p>
    <w:p w14:paraId="2E15E77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4.农贸市场内、公共外环境的灭蟑、灭鼠填缝补洞处理。在合同期间负责无偿补鼠洞、填缝处理和安装维护毒饵盒等。</w:t>
      </w:r>
    </w:p>
    <w:p w14:paraId="2E076D8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5.规范建立健全病媒生物防制服务技术档案，包括实施方案、本底情况调查报告、工作进度安排、监测记录、派工记录、社区和镇街认同签字盖章单等，上述所有档案资料整理后交采购人一份。</w:t>
      </w:r>
    </w:p>
    <w:p w14:paraId="7525E70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6.按全市、全区统一时间开展季节性除“四害”活动。</w:t>
      </w:r>
    </w:p>
    <w:p w14:paraId="7B9D8F81">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（四）治理频次</w:t>
      </w:r>
    </w:p>
    <w:p w14:paraId="0D9E4424">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1.鼠：春、夏、秋季每季作两轮防制处理，冬季作一轮防制处理，平时则按2次/月：①社区空旷地、花园、公共绿地、建筑物、小区周边、拆迁地周边等沿建筑物或围墙内侧每个毒饵盒投放鼠药≥30克；②投放于常有老鼠出没的场所，如鼠洞附近、生活垃圾堆（坑）、排水沟周边、下水道窖井口等，根据具体情况投放；③沿河绿化带、边坡或空旷区域，按棋盘式投放，每个毒饵站投放鼠药≥30克。鼠药投放要全范围覆盖，每次先查后投，消失多少补充多少，全部消失加倍补充，连续投放五次作为一轮防制处理。投放鼠药的公共场所要有明显的警示标志，避免人畜误食。④鼠洞填补及鼠药、死鼠清理要求：在防制期间负责填补承包范围内所有鼠洞。鼠药一轮投放完毕，要进行全范围拉网式检查，公共场所的鼠药要即时清扫；清理的死鼠要进行统一填埋或焚烧处理。</w:t>
      </w:r>
    </w:p>
    <w:p w14:paraId="21E6CAEE">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2.蚊、蝇、蟑螂：用药严格按照国家规定的用药标准和剂量配制使用，按病媒生物的分布特点、季节消长、主要孳生地的情况做到全范围覆盖和科学合理施药。3～10月，每月至少全范围覆盖喷雾施药3次，其他月份每月至少1次。</w:t>
      </w:r>
    </w:p>
    <w:p w14:paraId="409249E5">
      <w:pPr>
        <w:ind w:firstLine="640" w:firstLineChars="200"/>
        <w:jc w:val="left"/>
        <w:rPr>
          <w:rFonts w:hint="eastAsia" w:ascii="方正仿宋_GBK" w:hAnsi="宋体" w:eastAsia="方正仿宋_GBK"/>
          <w:bCs/>
          <w:color w:val="000000" w:themeColor="text1"/>
          <w:sz w:val="32"/>
          <w:szCs w:val="32"/>
          <w:highlight w:val="none"/>
          <w14:textFill>
            <w14:solidFill>
              <w14:schemeClr w14:val="tx1"/>
            </w14:solidFill>
          </w14:textFill>
        </w:rPr>
      </w:pPr>
      <w:r>
        <w:rPr>
          <w:rFonts w:hint="eastAsia" w:ascii="方正仿宋_GBK" w:hAnsi="宋体" w:eastAsia="方正仿宋_GBK"/>
          <w:bCs/>
          <w:color w:val="000000" w:themeColor="text1"/>
          <w:sz w:val="32"/>
          <w:szCs w:val="32"/>
          <w:highlight w:val="none"/>
          <w14:textFill>
            <w14:solidFill>
              <w14:schemeClr w14:val="tx1"/>
            </w14:solidFill>
          </w14:textFill>
        </w:rPr>
        <w:t>（五）质量标准</w:t>
      </w:r>
    </w:p>
    <w:p w14:paraId="7B07E835">
      <w:pPr>
        <w:ind w:firstLine="64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1.</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按照《国家卫生城市标准》、重庆市卫生城区考核评分细则，鼠类密度控制水平不低于GB/T27770-2011规定的C级要求。蚊虫密度控制水平不低于GB/T27771-2011规定的C级要求。蝇类密度控制水平不低于GB/T27772-2011规定的C级要求。蜚蠊（蟑螂）密度控制水平不低于GB/T27773-2011规定的C级要求。</w:t>
      </w:r>
    </w:p>
    <w:p w14:paraId="22F199FD">
      <w:pPr>
        <w:ind w:firstLine="640" w:firstLineChars="20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eastAsia="zh-CN"/>
          <w14:textFill>
            <w14:solidFill>
              <w14:schemeClr w14:val="tx1"/>
            </w14:solidFill>
          </w14:textFill>
        </w:rPr>
        <w:t>2.群众对公共环境除四害工作满意率达90%，此满意度是群众对满意度的调查统计表进行评价（规定表样）。</w:t>
      </w:r>
    </w:p>
    <w:p w14:paraId="6E295EA9">
      <w:pPr>
        <w:ind w:firstLine="640" w:firstLineChars="20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eastAsia="zh-CN"/>
          <w14:textFill>
            <w14:solidFill>
              <w14:schemeClr w14:val="tx1"/>
            </w14:solidFill>
          </w14:textFill>
        </w:rPr>
        <w:t>3.病媒生物防制各项工作达到国卫要求，并成功通过各级检查验收。</w:t>
      </w:r>
    </w:p>
    <w:p w14:paraId="158185DB">
      <w:pPr>
        <w:ind w:firstLine="640" w:firstLineChars="20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eastAsia="zh-CN"/>
          <w14:textFill>
            <w14:solidFill>
              <w14:schemeClr w14:val="tx1"/>
            </w14:solidFill>
          </w14:textFill>
        </w:rPr>
        <w:t>4.完成病媒生物防制服务资料（“四害”密度基数调查，全区“四害”种类、分布情况，防制方案、计划，防制服务情况和设施完善情况等）建设归档。</w:t>
      </w:r>
    </w:p>
    <w:p w14:paraId="459740AD">
      <w:pPr>
        <w:pStyle w:val="4"/>
        <w:spacing w:before="0" w:after="0" w:line="240" w:lineRule="auto"/>
        <w:ind w:firstLine="640" w:firstLineChars="200"/>
        <w:rPr>
          <w:rFonts w:hint="eastAsia" w:ascii="方正黑体_GBK" w:hAnsi="宋体" w:eastAsia="方正黑体_GBK" w:cs="宋体"/>
          <w:b w:val="0"/>
          <w:color w:val="000000" w:themeColor="text1"/>
          <w:szCs w:val="32"/>
          <w:highlight w:val="none"/>
          <w:lang w:eastAsia="zh-CN"/>
          <w14:textFill>
            <w14:solidFill>
              <w14:schemeClr w14:val="tx1"/>
            </w14:solidFill>
          </w14:textFill>
        </w:rPr>
      </w:pPr>
      <w:r>
        <w:rPr>
          <w:rFonts w:hint="eastAsia" w:ascii="方正黑体_GBK" w:hAnsi="宋体" w:eastAsia="方正黑体_GBK" w:cs="宋体"/>
          <w:b w:val="0"/>
          <w:color w:val="000000"/>
          <w:szCs w:val="32"/>
          <w:highlight w:val="none"/>
          <w:lang w:eastAsia="zh-CN"/>
        </w:rPr>
        <w:t>二</w:t>
      </w:r>
      <w:r>
        <w:rPr>
          <w:rFonts w:hint="eastAsia" w:ascii="方正黑体_GBK" w:hAnsi="宋体" w:eastAsia="方正黑体_GBK" w:cs="宋体"/>
          <w:b w:val="0"/>
          <w:color w:val="000000"/>
          <w:szCs w:val="32"/>
          <w:highlight w:val="none"/>
        </w:rPr>
        <w:t>、服务期</w:t>
      </w:r>
      <w:r>
        <w:rPr>
          <w:rFonts w:hint="eastAsia" w:ascii="方正黑体_GBK" w:hAnsi="宋体" w:eastAsia="方正黑体_GBK" w:cs="宋体"/>
          <w:b w:val="0"/>
          <w:color w:val="000000" w:themeColor="text1"/>
          <w:szCs w:val="32"/>
          <w:highlight w:val="none"/>
          <w:lang w:eastAsia="zh-CN"/>
          <w14:textFill>
            <w14:solidFill>
              <w14:schemeClr w14:val="tx1"/>
            </w14:solidFill>
          </w14:textFill>
        </w:rPr>
        <w:t>及验收方式</w:t>
      </w:r>
    </w:p>
    <w:p w14:paraId="7AED7072">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（一）服务期：6个月，从合同签定之日起计算。</w:t>
      </w:r>
    </w:p>
    <w:p w14:paraId="7C2E04EA">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（二）验收方式：</w:t>
      </w:r>
    </w:p>
    <w:p w14:paraId="66A41289">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1.镇政府定期或不定期对四害灭杀情况进行检查。</w:t>
      </w:r>
    </w:p>
    <w:p w14:paraId="1960119E">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2.镇政府、村社区进行日常监督，对中标方人员出勤情况、药品使用和消杀区域等进行日常监督考核，中标方每次出勤及杀灭效果必需由镇政府或村社区工作人员签字、盖章后报镇政府社事办，作为中标方任务完成情况的考核指标。</w:t>
      </w:r>
    </w:p>
    <w:p w14:paraId="7D8E4806">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 xml:space="preserve">3.村社区居民对社区公共外环境及经营单位病媒生物防制工作满意率达90%。每月进行一次居民满意度调查（每月随机抽查不少于15人），满意度调查表格式以合同约定为准，作为中标方杀灭效果的考核指标。 </w:t>
      </w:r>
    </w:p>
    <w:p w14:paraId="04C50259">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4.区疾控中心每月进行四害密度监测，监测结果每月发给各镇街，作为中标方杀灭效果考核的指标；区爱卫办不定期对病媒生物防制工作情况进行督查，发布整改清单，将是否按要求进行整改作为中标方工作质量考核的指标。</w:t>
      </w:r>
    </w:p>
    <w:p w14:paraId="139D8DDD">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5.病媒生物防制工作，建成区鼠、蚊、蝇、蟑螂密度达到国家病媒生物密度控制水平标准C级要求。并顺利通过有关病媒生物指标的专家评定、检查验收。</w:t>
      </w:r>
    </w:p>
    <w:p w14:paraId="56ECEB90">
      <w:pPr>
        <w:pStyle w:val="4"/>
        <w:pageBreakBefore w:val="0"/>
        <w:widowControl w:val="0"/>
        <w:kinsoku/>
        <w:wordWrap/>
        <w:overflowPunct/>
        <w:topLinePunct w:val="0"/>
        <w:autoSpaceDE/>
        <w:autoSpaceDN/>
        <w:bidi w:val="0"/>
        <w:adjustRightInd/>
        <w:spacing w:before="0" w:after="0" w:line="240" w:lineRule="auto"/>
        <w:ind w:firstLine="640" w:firstLineChars="200"/>
        <w:textAlignment w:val="auto"/>
        <w:rPr>
          <w:rFonts w:hint="eastAsia" w:ascii="方正仿宋_GBK" w:hAnsi="方正仿宋_GBK" w:eastAsia="方正仿宋_GBK" w:cs="方正仿宋_GBK"/>
          <w:b w:val="0"/>
          <w:color w:val="000000"/>
          <w:szCs w:val="32"/>
          <w:highlight w:val="none"/>
          <w:lang w:val="en-US" w:eastAsia="zh-CN"/>
        </w:rPr>
      </w:pPr>
      <w:r>
        <w:rPr>
          <w:rFonts w:hint="eastAsia" w:ascii="方正仿宋_GBK" w:hAnsi="方正仿宋_GBK" w:eastAsia="方正仿宋_GBK" w:cs="方正仿宋_GBK"/>
          <w:b w:val="0"/>
          <w:color w:val="000000"/>
          <w:szCs w:val="32"/>
          <w:highlight w:val="none"/>
          <w:lang w:val="en-US" w:eastAsia="zh-CN"/>
        </w:rPr>
        <w:t>6</w:t>
      </w:r>
      <w:r>
        <w:rPr>
          <w:rFonts w:hint="eastAsia" w:ascii="方正仿宋_GBK" w:hAnsi="方正仿宋_GBK" w:eastAsia="方正仿宋_GBK" w:cs="方正仿宋_GBK"/>
          <w:b w:val="0"/>
          <w:color w:val="000000"/>
          <w:szCs w:val="32"/>
          <w:highlight w:val="none"/>
        </w:rPr>
        <w:t>个月</w:t>
      </w:r>
      <w:r>
        <w:rPr>
          <w:rFonts w:hint="eastAsia" w:ascii="方正仿宋_GBK" w:hAnsi="方正仿宋_GBK" w:eastAsia="方正仿宋_GBK" w:cs="方正仿宋_GBK"/>
          <w:b w:val="0"/>
          <w:color w:val="000000"/>
          <w:szCs w:val="32"/>
          <w:highlight w:val="none"/>
          <w:lang w:eastAsia="zh-CN"/>
        </w:rPr>
        <w:t>（</w:t>
      </w:r>
      <w:r>
        <w:rPr>
          <w:rFonts w:hint="eastAsia" w:ascii="方正仿宋_GBK" w:hAnsi="方正仿宋_GBK" w:eastAsia="方正仿宋_GBK" w:cs="方正仿宋_GBK"/>
          <w:b w:val="0"/>
          <w:color w:val="000000"/>
          <w:szCs w:val="32"/>
          <w:highlight w:val="none"/>
          <w:lang w:val="en-US" w:eastAsia="zh-CN"/>
        </w:rPr>
        <w:t>2025年10月 日至2026年3月  日）</w:t>
      </w:r>
    </w:p>
    <w:p w14:paraId="4158E85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承包价格</w:t>
      </w:r>
    </w:p>
    <w:p w14:paraId="3BD63F07">
      <w:pPr>
        <w:pageBreakBefore w:val="0"/>
        <w:widowControl w:val="0"/>
        <w:kinsoku/>
        <w:wordWrap/>
        <w:overflowPunct/>
        <w:topLinePunct w:val="0"/>
        <w:autoSpaceDE/>
        <w:autoSpaceDN/>
        <w:bidi w:val="0"/>
        <w:adjustRightInd/>
        <w:spacing w:line="240" w:lineRule="auto"/>
        <w:ind w:firstLine="640" w:firstLineChars="200"/>
        <w:textAlignment w:val="auto"/>
        <w:rPr>
          <w:rFonts w:hint="eastAsia"/>
          <w:lang w:val="en-US" w:eastAsia="zh-CN"/>
        </w:rPr>
      </w:pPr>
      <w:r>
        <w:rPr>
          <w:rFonts w:hint="eastAsia" w:ascii="方正仿宋_GBK" w:hAnsi="方正仿宋_GBK" w:eastAsia="方正仿宋_GBK" w:cs="方正仿宋_GBK"/>
          <w:sz w:val="32"/>
          <w:szCs w:val="32"/>
        </w:rPr>
        <w:t>承包总价为：</w:t>
      </w:r>
      <w:r>
        <w:rPr>
          <w:rFonts w:hint="eastAsia" w:ascii="方正仿宋_GBK" w:hAnsi="方正仿宋_GBK" w:eastAsia="方正仿宋_GBK" w:cs="方正仿宋_GBK"/>
          <w:sz w:val="32"/>
          <w:szCs w:val="32"/>
          <w:lang w:eastAsia="zh-CN"/>
        </w:rPr>
        <w:t>人民币</w:t>
      </w: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（大写：</w:t>
      </w:r>
      <w:r>
        <w:rPr>
          <w:rFonts w:hint="eastAsia" w:ascii="方正仿宋_GBK" w:hAnsi="方正仿宋_GBK" w:eastAsia="方正仿宋_GBK" w:cs="方正仿宋_GBK"/>
          <w:sz w:val="32"/>
          <w:szCs w:val="32"/>
          <w:u w:val="single"/>
          <w:lang w:val="en-US" w:eastAsia="zh-CN"/>
        </w:rPr>
        <w:t xml:space="preserve">    元整</w:t>
      </w:r>
      <w:r>
        <w:rPr>
          <w:rFonts w:hint="eastAsia" w:ascii="方正仿宋_GBK" w:hAnsi="方正仿宋_GBK" w:eastAsia="方正仿宋_GBK" w:cs="方正仿宋_GBK"/>
          <w:sz w:val="32"/>
          <w:szCs w:val="32"/>
        </w:rPr>
        <w:t xml:space="preserve">）。   </w:t>
      </w:r>
    </w:p>
    <w:p w14:paraId="782ED664">
      <w:pPr>
        <w:pStyle w:val="4"/>
        <w:pageBreakBefore w:val="0"/>
        <w:widowControl w:val="0"/>
        <w:kinsoku/>
        <w:wordWrap/>
        <w:overflowPunct/>
        <w:topLinePunct w:val="0"/>
        <w:autoSpaceDE/>
        <w:autoSpaceDN/>
        <w:bidi w:val="0"/>
        <w:adjustRightInd/>
        <w:spacing w:before="0" w:after="0" w:line="240" w:lineRule="auto"/>
        <w:ind w:firstLine="640" w:firstLineChars="200"/>
        <w:textAlignment w:val="auto"/>
        <w:rPr>
          <w:rFonts w:ascii="方正黑体_GBK" w:hAnsi="宋体" w:eastAsia="方正黑体_GBK" w:cs="宋体"/>
          <w:b w:val="0"/>
          <w:color w:val="000000"/>
          <w:szCs w:val="32"/>
          <w:highlight w:val="none"/>
        </w:rPr>
      </w:pPr>
      <w:r>
        <w:rPr>
          <w:rFonts w:hint="eastAsia" w:ascii="方正黑体_GBK" w:hAnsi="宋体" w:eastAsia="方正黑体_GBK" w:cs="宋体"/>
          <w:b w:val="0"/>
          <w:color w:val="000000"/>
          <w:szCs w:val="32"/>
          <w:highlight w:val="none"/>
          <w:lang w:eastAsia="zh-CN"/>
        </w:rPr>
        <w:t>四</w:t>
      </w:r>
      <w:r>
        <w:rPr>
          <w:rFonts w:hint="eastAsia" w:ascii="方正黑体_GBK" w:hAnsi="宋体" w:eastAsia="方正黑体_GBK" w:cs="宋体"/>
          <w:b w:val="0"/>
          <w:color w:val="000000"/>
          <w:szCs w:val="32"/>
          <w:highlight w:val="none"/>
        </w:rPr>
        <w:t>、付款方式</w:t>
      </w:r>
    </w:p>
    <w:p w14:paraId="0DDA80A8">
      <w:pPr>
        <w:ind w:firstLine="640" w:firstLineChars="200"/>
        <w:jc w:val="left"/>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服务款分两次支付，第一个月底支付合同金额的50%，合同期满，验收合格后付清尾款；若未严格按照实施方案和技术方案标准执行，未达到质量验收标准的，采购人提出警告并限期整改，在期限内整改完毕，通过验收后支付款项，若未在期限内整改的，采购人不予支付服务款；若成交人中途不履行合同自行退出的，采购人有权不予支付当季度服务款，终止合同，重新进行采购。</w:t>
      </w:r>
    </w:p>
    <w:p w14:paraId="1116FB32">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lang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双</w:t>
      </w:r>
      <w:r>
        <w:rPr>
          <w:rFonts w:hint="eastAsia" w:ascii="方正黑体_GBK" w:hAnsi="方正黑体_GBK" w:eastAsia="方正黑体_GBK" w:cs="方正黑体_GBK"/>
          <w:sz w:val="32"/>
          <w:szCs w:val="32"/>
        </w:rPr>
        <w:t>方责任</w:t>
      </w:r>
    </w:p>
    <w:p w14:paraId="47A0ED7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（一）甲方责任</w:t>
      </w:r>
    </w:p>
    <w:p w14:paraId="1C9B12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1.负责公共环境环卫基础设施建设、维护，保持环境清洁卫生。</w:t>
      </w:r>
    </w:p>
    <w:p w14:paraId="1E8DBE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2.督促单位、居民落实除四害措施。</w:t>
      </w:r>
    </w:p>
    <w:p w14:paraId="72C1F5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3.组织社区居民参加健康教育活动，并对乙方每次服务进行客观、公正的评价。</w:t>
      </w:r>
    </w:p>
    <w:p w14:paraId="1D08DC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4.按照费用结算方式按时付款。</w:t>
      </w:r>
    </w:p>
    <w:p w14:paraId="2379D022">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（二）乙方责任</w:t>
      </w:r>
    </w:p>
    <w:p w14:paraId="6A211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1.灭鼠药及其它防制设施设备、消杀药剂、毒饵盒等全部由</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提供的所有产品必须符合国家的相关法律法规。</w:t>
      </w:r>
    </w:p>
    <w:p w14:paraId="6FCE0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服务人员</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配合</w:t>
      </w:r>
      <w:r>
        <w:rPr>
          <w:rFonts w:hint="eastAsia" w:ascii="方正仿宋_GBK" w:hAnsi="方正仿宋_GBK" w:eastAsia="方正仿宋_GBK" w:cs="方正仿宋_GBK"/>
          <w:sz w:val="32"/>
          <w:szCs w:val="32"/>
          <w:lang w:eastAsia="zh-CN"/>
        </w:rPr>
        <w:t>甲方，</w:t>
      </w:r>
      <w:r>
        <w:rPr>
          <w:rFonts w:hint="eastAsia" w:ascii="方正仿宋_GBK" w:hAnsi="方正仿宋_GBK" w:eastAsia="方正仿宋_GBK" w:cs="方正仿宋_GBK"/>
          <w:sz w:val="32"/>
          <w:szCs w:val="32"/>
        </w:rPr>
        <w:t>满足</w:t>
      </w:r>
      <w:r>
        <w:rPr>
          <w:rFonts w:hint="eastAsia" w:ascii="方正仿宋_GBK" w:hAnsi="方正仿宋_GBK" w:eastAsia="方正仿宋_GBK" w:cs="方正仿宋_GBK"/>
          <w:sz w:val="32"/>
          <w:szCs w:val="32"/>
          <w:lang w:eastAsia="zh-CN"/>
        </w:rPr>
        <w:t>甲方</w:t>
      </w:r>
      <w:r>
        <w:rPr>
          <w:rFonts w:hint="eastAsia" w:ascii="方正仿宋_GBK" w:hAnsi="方正仿宋_GBK" w:eastAsia="方正仿宋_GBK" w:cs="方正仿宋_GBK"/>
          <w:sz w:val="32"/>
          <w:szCs w:val="32"/>
        </w:rPr>
        <w:t>的要求</w:t>
      </w:r>
      <w:r>
        <w:rPr>
          <w:rFonts w:hint="eastAsia" w:ascii="方正仿宋_GBK" w:hAnsi="方正仿宋_GBK" w:eastAsia="方正仿宋_GBK" w:cs="方正仿宋_GBK"/>
          <w:sz w:val="32"/>
          <w:szCs w:val="32"/>
          <w:lang w:eastAsia="zh-CN"/>
        </w:rPr>
        <w:t>，接</w:t>
      </w:r>
      <w:r>
        <w:rPr>
          <w:rFonts w:hint="eastAsia" w:ascii="方正仿宋_GBK" w:hAnsi="方正仿宋_GBK" w:eastAsia="方正仿宋_GBK" w:cs="方正仿宋_GBK"/>
          <w:sz w:val="32"/>
          <w:szCs w:val="32"/>
        </w:rPr>
        <w:t>受</w:t>
      </w:r>
      <w:r>
        <w:rPr>
          <w:rFonts w:hint="eastAsia" w:ascii="方正仿宋_GBK" w:hAnsi="方正仿宋_GBK" w:eastAsia="方正仿宋_GBK" w:cs="方正仿宋_GBK"/>
          <w:sz w:val="32"/>
          <w:szCs w:val="32"/>
          <w:lang w:eastAsia="zh-CN"/>
        </w:rPr>
        <w:t>甲方</w:t>
      </w:r>
      <w:r>
        <w:rPr>
          <w:rFonts w:hint="eastAsia" w:ascii="方正仿宋_GBK" w:hAnsi="方正仿宋_GBK" w:eastAsia="方正仿宋_GBK" w:cs="方正仿宋_GBK"/>
          <w:sz w:val="32"/>
          <w:szCs w:val="32"/>
        </w:rPr>
        <w:t>的监督，并能通过各级验收；在服务过程中如遇其他问题，</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负责协商解决。</w:t>
      </w:r>
    </w:p>
    <w:p w14:paraId="3675CA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甲方</w:t>
      </w:r>
      <w:r>
        <w:rPr>
          <w:rFonts w:hint="eastAsia" w:ascii="方正仿宋_GBK" w:hAnsi="方正仿宋_GBK" w:eastAsia="方正仿宋_GBK" w:cs="方正仿宋_GBK"/>
          <w:sz w:val="32"/>
          <w:szCs w:val="32"/>
        </w:rPr>
        <w:t>遇到与本项目相关的服务问题，电话咨询不能解决的，</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应在</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小时内到达现场（远郊区</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小时内到达现场）进行处理。</w:t>
      </w:r>
    </w:p>
    <w:p w14:paraId="7998D0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.消杀过程中，应注意安全，按要求设置安全警示标识。若发生人畜中毒、伤害事故、死亡事故和其他事故均由乙方负全部责任。</w:t>
      </w:r>
    </w:p>
    <w:p w14:paraId="5DB9FC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.乙方搞好社区居民满意度调查，群众对社区公共环境除四害工作满意率达90%。</w:t>
      </w:r>
    </w:p>
    <w:p w14:paraId="737D6DF1">
      <w:pPr>
        <w:ind w:firstLine="640" w:firstLineChars="200"/>
        <w:jc w:val="left"/>
        <w:rPr>
          <w:rFonts w:hint="eastAsia" w:ascii="方正仿宋_GBK" w:hAnsi="宋体" w:eastAsia="方正仿宋_GBK"/>
          <w:bCs/>
          <w:color w:val="000000" w:themeColor="text1"/>
          <w:sz w:val="32"/>
          <w:szCs w:val="32"/>
          <w:highlight w:val="none"/>
          <w:lang w:eastAsia="zh-CN"/>
          <w14:textFill>
            <w14:solidFill>
              <w14:schemeClr w14:val="tx1"/>
            </w14:solidFill>
          </w14:textFill>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6</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.病媒生物防制各项工作达到国卫要求，并成功通过各级检查验收和国卫复审。</w:t>
      </w:r>
    </w:p>
    <w:p w14:paraId="215C59B1">
      <w:pPr>
        <w:ind w:firstLine="640" w:firstLineChars="200"/>
        <w:jc w:val="left"/>
        <w:rPr>
          <w:rFonts w:hint="eastAsia"/>
        </w:rPr>
      </w:pPr>
      <w:r>
        <w:rPr>
          <w:rFonts w:hint="eastAsia" w:ascii="方正仿宋_GBK" w:hAnsi="宋体" w:eastAsia="方正仿宋_GBK"/>
          <w:bCs/>
          <w:color w:val="000000" w:themeColor="text1"/>
          <w:sz w:val="32"/>
          <w:szCs w:val="32"/>
          <w:highlight w:val="none"/>
          <w:lang w:val="en-US" w:eastAsia="zh-CN"/>
          <w14:textFill>
            <w14:solidFill>
              <w14:schemeClr w14:val="tx1"/>
            </w14:solidFill>
          </w14:textFill>
        </w:rPr>
        <w:t>7</w:t>
      </w:r>
      <w:r>
        <w:rPr>
          <w:rFonts w:hint="eastAsia" w:ascii="方正仿宋_GBK" w:hAnsi="宋体" w:eastAsia="方正仿宋_GBK"/>
          <w:bCs/>
          <w:color w:val="000000" w:themeColor="text1"/>
          <w:sz w:val="32"/>
          <w:szCs w:val="32"/>
          <w:highlight w:val="none"/>
          <w:lang w:eastAsia="zh-CN"/>
          <w14:textFill>
            <w14:solidFill>
              <w14:schemeClr w14:val="tx1"/>
            </w14:solidFill>
          </w14:textFill>
        </w:rPr>
        <w:t>.完成病媒生物防制服务资料（“四害”密度基数调查，全区“四害”种类、分布情况，防制方案、计划，防制服务情况和设施完善情况等）建设归档。</w:t>
      </w:r>
    </w:p>
    <w:p w14:paraId="655B0D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六、群众满意度调查</w:t>
      </w:r>
    </w:p>
    <w:p w14:paraId="659ADB4D">
      <w:pPr>
        <w:pageBreakBefore w:val="0"/>
        <w:widowControl/>
        <w:shd w:val="clear" w:color="auto" w:fill="FFFFFF"/>
        <w:kinsoku/>
        <w:wordWrap/>
        <w:overflowPunct/>
        <w:topLinePunct w:val="0"/>
        <w:bidi w:val="0"/>
        <w:spacing w:line="560" w:lineRule="exact"/>
        <w:jc w:val="center"/>
        <w:textAlignment w:val="auto"/>
        <w:rPr>
          <w:rFonts w:hint="eastAsia" w:ascii="方正小标宋_GBK" w:hAnsi="微软雅黑" w:eastAsia="方正小标宋_GBK" w:cs="宋体"/>
          <w:color w:val="000000"/>
          <w:kern w:val="0"/>
          <w:sz w:val="24"/>
          <w:szCs w:val="24"/>
          <w:u w:val="none"/>
          <w:lang w:eastAsia="zh-CN"/>
        </w:rPr>
      </w:pPr>
      <w:r>
        <w:rPr>
          <w:rFonts w:hint="eastAsia" w:ascii="方正小标宋_GBK" w:hAnsi="微软雅黑" w:eastAsia="方正小标宋_GBK" w:cs="宋体"/>
          <w:color w:val="000000"/>
          <w:kern w:val="0"/>
          <w:sz w:val="24"/>
          <w:szCs w:val="24"/>
          <w:u w:val="none"/>
          <w:lang w:eastAsia="zh-CN"/>
        </w:rPr>
        <w:t>大渡口区公共环境病媒生物防制满意度调查表</w:t>
      </w:r>
    </w:p>
    <w:p w14:paraId="02E69D28">
      <w:pPr>
        <w:pageBreakBefore w:val="0"/>
        <w:widowControl/>
        <w:shd w:val="clear" w:color="auto" w:fill="FFFFFF"/>
        <w:kinsoku/>
        <w:wordWrap/>
        <w:overflowPunct/>
        <w:topLinePunct w:val="0"/>
        <w:bidi w:val="0"/>
        <w:spacing w:line="560" w:lineRule="exact"/>
        <w:jc w:val="center"/>
        <w:textAlignment w:val="auto"/>
        <w:rPr>
          <w:rFonts w:hint="eastAsia" w:ascii="方正小标宋_GBK" w:hAnsi="微软雅黑" w:eastAsia="方正小标宋_GBK" w:cs="宋体"/>
          <w:color w:val="000000"/>
          <w:kern w:val="0"/>
          <w:sz w:val="24"/>
          <w:szCs w:val="24"/>
          <w:u w:val="none"/>
          <w:lang w:eastAsia="zh-CN"/>
        </w:rPr>
      </w:pPr>
      <w:r>
        <w:rPr>
          <w:rFonts w:hint="eastAsia" w:ascii="方正小标宋_GBK" w:hAnsi="微软雅黑" w:eastAsia="方正小标宋_GBK" w:cs="宋体"/>
          <w:color w:val="000000"/>
          <w:kern w:val="0"/>
          <w:sz w:val="24"/>
          <w:szCs w:val="24"/>
          <w:u w:val="none"/>
          <w:lang w:eastAsia="zh-CN"/>
        </w:rPr>
        <w:t xml:space="preserve">街道       社区     调查时间：    年   月   日  </w:t>
      </w:r>
    </w:p>
    <w:p w14:paraId="57427FAD">
      <w:pPr>
        <w:pageBreakBefore w:val="0"/>
        <w:widowControl/>
        <w:shd w:val="clear" w:color="auto" w:fill="FFFFFF"/>
        <w:kinsoku/>
        <w:wordWrap/>
        <w:overflowPunct/>
        <w:topLinePunct w:val="0"/>
        <w:bidi w:val="0"/>
        <w:spacing w:line="560" w:lineRule="exact"/>
        <w:jc w:val="center"/>
        <w:textAlignment w:val="auto"/>
        <w:rPr>
          <w:rFonts w:hint="eastAsia" w:ascii="方正小标宋_GBK" w:hAnsi="微软雅黑" w:eastAsia="方正小标宋_GBK" w:cs="宋体"/>
          <w:color w:val="000000"/>
          <w:kern w:val="0"/>
          <w:sz w:val="24"/>
          <w:szCs w:val="24"/>
          <w:u w:val="none"/>
          <w:lang w:eastAsia="zh-CN"/>
        </w:rPr>
      </w:pPr>
      <w:r>
        <w:rPr>
          <w:rFonts w:hint="eastAsia" w:ascii="方正小标宋_GBK" w:hAnsi="微软雅黑" w:eastAsia="方正小标宋_GBK" w:cs="宋体"/>
          <w:color w:val="000000"/>
          <w:kern w:val="0"/>
          <w:sz w:val="24"/>
          <w:szCs w:val="24"/>
          <w:u w:val="none"/>
          <w:lang w:eastAsia="zh-CN"/>
        </w:rPr>
        <w:t xml:space="preserve">或：         农贸市场     调查时间：    年   月   日 </w:t>
      </w:r>
    </w:p>
    <w:tbl>
      <w:tblPr>
        <w:tblStyle w:val="58"/>
        <w:tblW w:w="933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43"/>
        <w:gridCol w:w="2639"/>
        <w:gridCol w:w="2117"/>
        <w:gridCol w:w="2040"/>
      </w:tblGrid>
      <w:tr w14:paraId="0AD81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543" w:type="dxa"/>
            <w:tcBorders>
              <w:top w:val="outset" w:color="auto" w:sz="6" w:space="0"/>
              <w:left w:val="outset" w:color="auto" w:sz="6" w:space="0"/>
              <w:bottom w:val="outset" w:color="auto" w:sz="6" w:space="0"/>
              <w:right w:val="outset" w:color="auto" w:sz="6" w:space="0"/>
            </w:tcBorders>
            <w:noWrap w:val="0"/>
            <w:vAlign w:val="center"/>
          </w:tcPr>
          <w:p w14:paraId="7C2A343E">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调查内容</w:t>
            </w:r>
          </w:p>
        </w:tc>
        <w:tc>
          <w:tcPr>
            <w:tcW w:w="6796" w:type="dxa"/>
            <w:gridSpan w:val="3"/>
            <w:tcBorders>
              <w:top w:val="outset" w:color="auto" w:sz="6" w:space="0"/>
              <w:left w:val="outset" w:color="auto" w:sz="6" w:space="0"/>
              <w:bottom w:val="outset" w:color="auto" w:sz="6" w:space="0"/>
              <w:right w:val="outset" w:color="auto" w:sz="6" w:space="0"/>
            </w:tcBorders>
            <w:noWrap w:val="0"/>
            <w:vAlign w:val="center"/>
          </w:tcPr>
          <w:p w14:paraId="30E5BE55">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　评  价  等  次　　 </w:t>
            </w:r>
          </w:p>
        </w:tc>
      </w:tr>
      <w:tr w14:paraId="743299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543" w:type="dxa"/>
            <w:tcBorders>
              <w:top w:val="outset" w:color="auto" w:sz="6" w:space="0"/>
              <w:left w:val="outset" w:color="auto" w:sz="6" w:space="0"/>
              <w:bottom w:val="outset" w:color="auto" w:sz="6" w:space="0"/>
              <w:right w:val="outset" w:color="auto" w:sz="6" w:space="0"/>
            </w:tcBorders>
            <w:noWrap w:val="0"/>
            <w:vAlign w:val="top"/>
          </w:tcPr>
          <w:p w14:paraId="4D1055CF">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环境卫生</w:t>
            </w:r>
          </w:p>
        </w:tc>
        <w:tc>
          <w:tcPr>
            <w:tcW w:w="2639" w:type="dxa"/>
            <w:tcBorders>
              <w:top w:val="outset" w:color="auto" w:sz="6" w:space="0"/>
              <w:left w:val="outset" w:color="auto" w:sz="6" w:space="0"/>
              <w:bottom w:val="outset" w:color="auto" w:sz="6" w:space="0"/>
              <w:right w:val="outset" w:color="auto" w:sz="6" w:space="0"/>
            </w:tcBorders>
            <w:noWrap w:val="0"/>
            <w:vAlign w:val="top"/>
          </w:tcPr>
          <w:p w14:paraId="031DD5BC">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好（ ）</w:t>
            </w:r>
          </w:p>
        </w:tc>
        <w:tc>
          <w:tcPr>
            <w:tcW w:w="2117" w:type="dxa"/>
            <w:tcBorders>
              <w:top w:val="outset" w:color="auto" w:sz="6" w:space="0"/>
              <w:left w:val="outset" w:color="auto" w:sz="6" w:space="0"/>
              <w:bottom w:val="outset" w:color="auto" w:sz="6" w:space="0"/>
              <w:right w:val="outset" w:color="auto" w:sz="6" w:space="0"/>
            </w:tcBorders>
            <w:noWrap w:val="0"/>
            <w:vAlign w:val="top"/>
          </w:tcPr>
          <w:p w14:paraId="53321383">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一般（ ）</w:t>
            </w:r>
          </w:p>
        </w:tc>
        <w:tc>
          <w:tcPr>
            <w:tcW w:w="2040" w:type="dxa"/>
            <w:tcBorders>
              <w:top w:val="outset" w:color="auto" w:sz="6" w:space="0"/>
              <w:left w:val="outset" w:color="auto" w:sz="6" w:space="0"/>
              <w:bottom w:val="outset" w:color="auto" w:sz="6" w:space="0"/>
              <w:right w:val="outset" w:color="auto" w:sz="6" w:space="0"/>
            </w:tcBorders>
            <w:noWrap w:val="0"/>
            <w:vAlign w:val="top"/>
          </w:tcPr>
          <w:p w14:paraId="15879450">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差（ ）</w:t>
            </w:r>
          </w:p>
        </w:tc>
      </w:tr>
      <w:tr w14:paraId="1C4F5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543" w:type="dxa"/>
            <w:tcBorders>
              <w:top w:val="outset" w:color="auto" w:sz="6" w:space="0"/>
              <w:left w:val="outset" w:color="auto" w:sz="6" w:space="0"/>
              <w:bottom w:val="outset" w:color="auto" w:sz="6" w:space="0"/>
              <w:right w:val="outset" w:color="auto" w:sz="6" w:space="0"/>
            </w:tcBorders>
            <w:noWrap w:val="0"/>
            <w:vAlign w:val="top"/>
          </w:tcPr>
          <w:p w14:paraId="5BF236BA">
            <w:pPr>
              <w:pageBreakBefore w:val="0"/>
              <w:widowControl/>
              <w:kinsoku/>
              <w:wordWrap/>
              <w:overflowPunct/>
              <w:topLinePunct w:val="0"/>
              <w:bidi w:val="0"/>
              <w:spacing w:line="560" w:lineRule="exact"/>
              <w:jc w:val="center"/>
              <w:textAlignment w:val="auto"/>
              <w:rPr>
                <w:rFonts w:hint="default"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灭鼠工作</w:t>
            </w:r>
          </w:p>
        </w:tc>
        <w:tc>
          <w:tcPr>
            <w:tcW w:w="2639" w:type="dxa"/>
            <w:tcBorders>
              <w:top w:val="outset" w:color="auto" w:sz="6" w:space="0"/>
              <w:left w:val="outset" w:color="auto" w:sz="6" w:space="0"/>
              <w:bottom w:val="outset" w:color="auto" w:sz="6" w:space="0"/>
              <w:right w:val="outset" w:color="auto" w:sz="6" w:space="0"/>
            </w:tcBorders>
            <w:noWrap w:val="0"/>
            <w:vAlign w:val="top"/>
          </w:tcPr>
          <w:p w14:paraId="676639F7">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没有老鼠（ ）</w:t>
            </w:r>
          </w:p>
        </w:tc>
        <w:tc>
          <w:tcPr>
            <w:tcW w:w="2117" w:type="dxa"/>
            <w:tcBorders>
              <w:top w:val="outset" w:color="auto" w:sz="6" w:space="0"/>
              <w:left w:val="outset" w:color="auto" w:sz="6" w:space="0"/>
              <w:bottom w:val="outset" w:color="auto" w:sz="6" w:space="0"/>
              <w:right w:val="outset" w:color="auto" w:sz="6" w:space="0"/>
            </w:tcBorders>
            <w:noWrap w:val="0"/>
            <w:vAlign w:val="top"/>
          </w:tcPr>
          <w:p w14:paraId="5EEBBA4F">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有 老 鼠（ ）</w:t>
            </w:r>
          </w:p>
        </w:tc>
        <w:tc>
          <w:tcPr>
            <w:tcW w:w="2040" w:type="dxa"/>
            <w:tcBorders>
              <w:top w:val="outset" w:color="auto" w:sz="6" w:space="0"/>
              <w:left w:val="outset" w:color="auto" w:sz="6" w:space="0"/>
              <w:bottom w:val="outset" w:color="auto" w:sz="6" w:space="0"/>
              <w:right w:val="outset" w:color="auto" w:sz="6" w:space="0"/>
            </w:tcBorders>
            <w:noWrap w:val="0"/>
            <w:vAlign w:val="top"/>
          </w:tcPr>
          <w:p w14:paraId="1D4B5C22">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老鼠很多（ ）</w:t>
            </w:r>
          </w:p>
        </w:tc>
      </w:tr>
      <w:tr w14:paraId="0FC6BB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543" w:type="dxa"/>
            <w:tcBorders>
              <w:top w:val="outset" w:color="auto" w:sz="6" w:space="0"/>
              <w:left w:val="outset" w:color="auto" w:sz="6" w:space="0"/>
              <w:bottom w:val="outset" w:color="auto" w:sz="6" w:space="0"/>
              <w:right w:val="outset" w:color="auto" w:sz="6" w:space="0"/>
            </w:tcBorders>
            <w:noWrap w:val="0"/>
            <w:vAlign w:val="top"/>
          </w:tcPr>
          <w:p w14:paraId="3FC7460C">
            <w:pPr>
              <w:pageBreakBefore w:val="0"/>
              <w:widowControl/>
              <w:kinsoku/>
              <w:wordWrap/>
              <w:overflowPunct/>
              <w:topLinePunct w:val="0"/>
              <w:bidi w:val="0"/>
              <w:spacing w:line="560" w:lineRule="exact"/>
              <w:jc w:val="center"/>
              <w:textAlignment w:val="auto"/>
              <w:rPr>
                <w:rFonts w:hint="default"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灭蚊工作</w:t>
            </w:r>
          </w:p>
        </w:tc>
        <w:tc>
          <w:tcPr>
            <w:tcW w:w="2639" w:type="dxa"/>
            <w:tcBorders>
              <w:top w:val="outset" w:color="auto" w:sz="6" w:space="0"/>
              <w:left w:val="outset" w:color="auto" w:sz="6" w:space="0"/>
              <w:bottom w:val="outset" w:color="auto" w:sz="6" w:space="0"/>
              <w:right w:val="outset" w:color="auto" w:sz="6" w:space="0"/>
            </w:tcBorders>
            <w:noWrap w:val="0"/>
            <w:vAlign w:val="top"/>
          </w:tcPr>
          <w:p w14:paraId="74D1C59D">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比往年少（ ）</w:t>
            </w:r>
          </w:p>
        </w:tc>
        <w:tc>
          <w:tcPr>
            <w:tcW w:w="2117" w:type="dxa"/>
            <w:tcBorders>
              <w:top w:val="outset" w:color="auto" w:sz="6" w:space="0"/>
              <w:left w:val="outset" w:color="auto" w:sz="6" w:space="0"/>
              <w:bottom w:val="outset" w:color="auto" w:sz="6" w:space="0"/>
              <w:right w:val="outset" w:color="auto" w:sz="6" w:space="0"/>
            </w:tcBorders>
            <w:noWrap w:val="0"/>
            <w:vAlign w:val="top"/>
          </w:tcPr>
          <w:p w14:paraId="23E9DADF">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没有区别（ ）</w:t>
            </w:r>
          </w:p>
        </w:tc>
        <w:tc>
          <w:tcPr>
            <w:tcW w:w="2040" w:type="dxa"/>
            <w:tcBorders>
              <w:top w:val="outset" w:color="auto" w:sz="6" w:space="0"/>
              <w:left w:val="outset" w:color="auto" w:sz="6" w:space="0"/>
              <w:bottom w:val="outset" w:color="auto" w:sz="6" w:space="0"/>
              <w:right w:val="outset" w:color="auto" w:sz="6" w:space="0"/>
            </w:tcBorders>
            <w:noWrap w:val="0"/>
            <w:vAlign w:val="top"/>
          </w:tcPr>
          <w:p w14:paraId="53C8D07C">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比往年多（ ）</w:t>
            </w:r>
          </w:p>
        </w:tc>
      </w:tr>
      <w:tr w14:paraId="773B8A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543" w:type="dxa"/>
            <w:tcBorders>
              <w:top w:val="outset" w:color="auto" w:sz="6" w:space="0"/>
              <w:left w:val="outset" w:color="auto" w:sz="6" w:space="0"/>
              <w:bottom w:val="outset" w:color="auto" w:sz="6" w:space="0"/>
              <w:right w:val="outset" w:color="auto" w:sz="6" w:space="0"/>
            </w:tcBorders>
            <w:noWrap w:val="0"/>
            <w:vAlign w:val="top"/>
          </w:tcPr>
          <w:p w14:paraId="23CE257A">
            <w:pPr>
              <w:pageBreakBefore w:val="0"/>
              <w:widowControl/>
              <w:kinsoku/>
              <w:wordWrap/>
              <w:overflowPunct/>
              <w:topLinePunct w:val="0"/>
              <w:bidi w:val="0"/>
              <w:spacing w:line="560" w:lineRule="exact"/>
              <w:jc w:val="center"/>
              <w:textAlignment w:val="auto"/>
              <w:rPr>
                <w:rFonts w:hint="default"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灭蝇工作</w:t>
            </w:r>
          </w:p>
        </w:tc>
        <w:tc>
          <w:tcPr>
            <w:tcW w:w="2639" w:type="dxa"/>
            <w:tcBorders>
              <w:top w:val="outset" w:color="auto" w:sz="6" w:space="0"/>
              <w:left w:val="outset" w:color="auto" w:sz="6" w:space="0"/>
              <w:bottom w:val="outset" w:color="auto" w:sz="6" w:space="0"/>
              <w:right w:val="outset" w:color="auto" w:sz="6" w:space="0"/>
            </w:tcBorders>
            <w:noWrap w:val="0"/>
            <w:vAlign w:val="top"/>
          </w:tcPr>
          <w:p w14:paraId="277E1D4B">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比往年少（ ）</w:t>
            </w:r>
          </w:p>
        </w:tc>
        <w:tc>
          <w:tcPr>
            <w:tcW w:w="2117" w:type="dxa"/>
            <w:tcBorders>
              <w:top w:val="outset" w:color="auto" w:sz="6" w:space="0"/>
              <w:left w:val="outset" w:color="auto" w:sz="6" w:space="0"/>
              <w:bottom w:val="outset" w:color="auto" w:sz="6" w:space="0"/>
              <w:right w:val="outset" w:color="auto" w:sz="6" w:space="0"/>
            </w:tcBorders>
            <w:noWrap w:val="0"/>
            <w:vAlign w:val="top"/>
          </w:tcPr>
          <w:p w14:paraId="699E554B">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没有区别（ ）</w:t>
            </w:r>
          </w:p>
        </w:tc>
        <w:tc>
          <w:tcPr>
            <w:tcW w:w="2040" w:type="dxa"/>
            <w:tcBorders>
              <w:top w:val="outset" w:color="auto" w:sz="6" w:space="0"/>
              <w:left w:val="outset" w:color="auto" w:sz="6" w:space="0"/>
              <w:bottom w:val="outset" w:color="auto" w:sz="6" w:space="0"/>
              <w:right w:val="outset" w:color="auto" w:sz="6" w:space="0"/>
            </w:tcBorders>
            <w:noWrap w:val="0"/>
            <w:vAlign w:val="top"/>
          </w:tcPr>
          <w:p w14:paraId="2DA7952C">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比往年多（ ）</w:t>
            </w:r>
          </w:p>
        </w:tc>
      </w:tr>
      <w:tr w14:paraId="33AFCE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543" w:type="dxa"/>
            <w:tcBorders>
              <w:top w:val="outset" w:color="auto" w:sz="6" w:space="0"/>
              <w:left w:val="outset" w:color="auto" w:sz="6" w:space="0"/>
              <w:bottom w:val="outset" w:color="auto" w:sz="6" w:space="0"/>
              <w:right w:val="outset" w:color="auto" w:sz="6" w:space="0"/>
            </w:tcBorders>
            <w:noWrap w:val="0"/>
            <w:vAlign w:val="top"/>
          </w:tcPr>
          <w:p w14:paraId="585F3D54">
            <w:pPr>
              <w:pageBreakBefore w:val="0"/>
              <w:widowControl/>
              <w:kinsoku/>
              <w:wordWrap/>
              <w:overflowPunct/>
              <w:topLinePunct w:val="0"/>
              <w:bidi w:val="0"/>
              <w:spacing w:line="560" w:lineRule="exact"/>
              <w:jc w:val="center"/>
              <w:textAlignment w:val="auto"/>
              <w:rPr>
                <w:rFonts w:hint="default"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灭蟑工作</w:t>
            </w:r>
          </w:p>
        </w:tc>
        <w:tc>
          <w:tcPr>
            <w:tcW w:w="2639" w:type="dxa"/>
            <w:tcBorders>
              <w:top w:val="outset" w:color="auto" w:sz="6" w:space="0"/>
              <w:left w:val="outset" w:color="auto" w:sz="6" w:space="0"/>
              <w:bottom w:val="outset" w:color="auto" w:sz="6" w:space="0"/>
              <w:right w:val="outset" w:color="auto" w:sz="6" w:space="0"/>
            </w:tcBorders>
            <w:noWrap w:val="0"/>
            <w:vAlign w:val="top"/>
          </w:tcPr>
          <w:p w14:paraId="092D3B96">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比往年少（ ）</w:t>
            </w:r>
          </w:p>
        </w:tc>
        <w:tc>
          <w:tcPr>
            <w:tcW w:w="2117" w:type="dxa"/>
            <w:tcBorders>
              <w:top w:val="outset" w:color="auto" w:sz="6" w:space="0"/>
              <w:left w:val="outset" w:color="auto" w:sz="6" w:space="0"/>
              <w:bottom w:val="outset" w:color="auto" w:sz="6" w:space="0"/>
              <w:right w:val="outset" w:color="auto" w:sz="6" w:space="0"/>
            </w:tcBorders>
            <w:noWrap w:val="0"/>
            <w:vAlign w:val="top"/>
          </w:tcPr>
          <w:p w14:paraId="2C70C6B6">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没有区别（ ）</w:t>
            </w:r>
          </w:p>
        </w:tc>
        <w:tc>
          <w:tcPr>
            <w:tcW w:w="2040" w:type="dxa"/>
            <w:tcBorders>
              <w:top w:val="outset" w:color="auto" w:sz="6" w:space="0"/>
              <w:left w:val="outset" w:color="auto" w:sz="6" w:space="0"/>
              <w:bottom w:val="outset" w:color="auto" w:sz="6" w:space="0"/>
              <w:right w:val="outset" w:color="auto" w:sz="6" w:space="0"/>
            </w:tcBorders>
            <w:noWrap w:val="0"/>
            <w:vAlign w:val="top"/>
          </w:tcPr>
          <w:p w14:paraId="72074933">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比往年多（ ）</w:t>
            </w:r>
          </w:p>
        </w:tc>
      </w:tr>
      <w:tr w14:paraId="36E97A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2543" w:type="dxa"/>
            <w:tcBorders>
              <w:top w:val="outset" w:color="auto" w:sz="6" w:space="0"/>
              <w:left w:val="outset" w:color="auto" w:sz="6" w:space="0"/>
              <w:bottom w:val="outset" w:color="auto" w:sz="6" w:space="0"/>
              <w:right w:val="outset" w:color="auto" w:sz="6" w:space="0"/>
            </w:tcBorders>
            <w:noWrap w:val="0"/>
            <w:vAlign w:val="top"/>
          </w:tcPr>
          <w:p w14:paraId="140A843C">
            <w:pPr>
              <w:pageBreakBefore w:val="0"/>
              <w:widowControl/>
              <w:kinsoku/>
              <w:wordWrap/>
              <w:overflowPunct/>
              <w:topLinePunct w:val="0"/>
              <w:bidi w:val="0"/>
              <w:spacing w:line="560" w:lineRule="exact"/>
              <w:jc w:val="center"/>
              <w:textAlignment w:val="auto"/>
              <w:rPr>
                <w:rFonts w:hint="default"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对病媒生物防制公司服务评价</w:t>
            </w:r>
          </w:p>
        </w:tc>
        <w:tc>
          <w:tcPr>
            <w:tcW w:w="2639" w:type="dxa"/>
            <w:tcBorders>
              <w:top w:val="outset" w:color="auto" w:sz="6" w:space="0"/>
              <w:left w:val="outset" w:color="auto" w:sz="6" w:space="0"/>
              <w:bottom w:val="outset" w:color="auto" w:sz="6" w:space="0"/>
              <w:right w:val="outset" w:color="auto" w:sz="6" w:space="0"/>
            </w:tcBorders>
            <w:noWrap w:val="0"/>
            <w:vAlign w:val="top"/>
          </w:tcPr>
          <w:p w14:paraId="501635F3">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满    意（ ）</w:t>
            </w:r>
          </w:p>
        </w:tc>
        <w:tc>
          <w:tcPr>
            <w:tcW w:w="2117" w:type="dxa"/>
            <w:tcBorders>
              <w:top w:val="outset" w:color="auto" w:sz="6" w:space="0"/>
              <w:left w:val="outset" w:color="auto" w:sz="6" w:space="0"/>
              <w:bottom w:val="outset" w:color="auto" w:sz="6" w:space="0"/>
              <w:right w:val="outset" w:color="auto" w:sz="6" w:space="0"/>
            </w:tcBorders>
            <w:noWrap w:val="0"/>
            <w:vAlign w:val="top"/>
          </w:tcPr>
          <w:p w14:paraId="16F6E7F0">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一般（ ）</w:t>
            </w:r>
          </w:p>
        </w:tc>
        <w:tc>
          <w:tcPr>
            <w:tcW w:w="2040" w:type="dxa"/>
            <w:tcBorders>
              <w:top w:val="outset" w:color="auto" w:sz="6" w:space="0"/>
              <w:left w:val="outset" w:color="auto" w:sz="6" w:space="0"/>
              <w:bottom w:val="outset" w:color="auto" w:sz="6" w:space="0"/>
              <w:right w:val="outset" w:color="auto" w:sz="6" w:space="0"/>
            </w:tcBorders>
            <w:noWrap w:val="0"/>
            <w:vAlign w:val="top"/>
          </w:tcPr>
          <w:p w14:paraId="2088D0E8">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不 满 意（ ）</w:t>
            </w:r>
          </w:p>
        </w:tc>
      </w:tr>
      <w:tr w14:paraId="53D79B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09" w:hRule="atLeast"/>
        </w:trPr>
        <w:tc>
          <w:tcPr>
            <w:tcW w:w="2543" w:type="dxa"/>
            <w:tcBorders>
              <w:top w:val="outset" w:color="auto" w:sz="6" w:space="0"/>
              <w:left w:val="outset" w:color="auto" w:sz="6" w:space="0"/>
              <w:right w:val="outset" w:color="auto" w:sz="6" w:space="0"/>
            </w:tcBorders>
            <w:noWrap w:val="0"/>
            <w:vAlign w:val="top"/>
          </w:tcPr>
          <w:p w14:paraId="533F58EA">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 xml:space="preserve">建议：                </w:t>
            </w:r>
          </w:p>
        </w:tc>
        <w:tc>
          <w:tcPr>
            <w:tcW w:w="6796" w:type="dxa"/>
            <w:gridSpan w:val="3"/>
            <w:tcBorders>
              <w:top w:val="outset" w:color="auto" w:sz="6" w:space="0"/>
              <w:left w:val="outset" w:color="auto" w:sz="6" w:space="0"/>
              <w:right w:val="outset" w:color="auto" w:sz="6" w:space="0"/>
            </w:tcBorders>
            <w:noWrap w:val="0"/>
            <w:vAlign w:val="top"/>
          </w:tcPr>
          <w:p w14:paraId="37A16F5C">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p>
        </w:tc>
      </w:tr>
      <w:tr w14:paraId="4D61DC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26" w:hRule="atLeast"/>
        </w:trPr>
        <w:tc>
          <w:tcPr>
            <w:tcW w:w="2543" w:type="dxa"/>
            <w:tcBorders>
              <w:top w:val="outset" w:color="auto" w:sz="6" w:space="0"/>
              <w:left w:val="outset" w:color="auto" w:sz="6" w:space="0"/>
              <w:right w:val="outset" w:color="auto" w:sz="6" w:space="0"/>
            </w:tcBorders>
            <w:noWrap w:val="0"/>
            <w:vAlign w:val="top"/>
          </w:tcPr>
          <w:p w14:paraId="72D3C857">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r>
              <w:rPr>
                <w:rFonts w:hint="eastAsia" w:ascii="方正仿宋_GBK" w:hAnsi="宋体" w:eastAsia="方正仿宋_GBK" w:cs="宋体"/>
                <w:color w:val="000000"/>
                <w:kern w:val="0"/>
                <w:sz w:val="24"/>
                <w:u w:val="none"/>
                <w:lang w:val="en-US" w:eastAsia="zh-CN"/>
              </w:rPr>
              <w:t>评价结果</w:t>
            </w:r>
          </w:p>
        </w:tc>
        <w:tc>
          <w:tcPr>
            <w:tcW w:w="6796" w:type="dxa"/>
            <w:gridSpan w:val="3"/>
            <w:tcBorders>
              <w:top w:val="outset" w:color="auto" w:sz="6" w:space="0"/>
              <w:left w:val="outset" w:color="auto" w:sz="6" w:space="0"/>
              <w:right w:val="outset" w:color="auto" w:sz="6" w:space="0"/>
            </w:tcBorders>
            <w:noWrap w:val="0"/>
            <w:vAlign w:val="top"/>
          </w:tcPr>
          <w:p w14:paraId="0359A019">
            <w:pPr>
              <w:pageBreakBefore w:val="0"/>
              <w:widowControl/>
              <w:kinsoku/>
              <w:wordWrap/>
              <w:overflowPunct/>
              <w:topLinePunct w:val="0"/>
              <w:bidi w:val="0"/>
              <w:spacing w:line="560" w:lineRule="exact"/>
              <w:jc w:val="center"/>
              <w:textAlignment w:val="auto"/>
              <w:rPr>
                <w:rFonts w:hint="eastAsia" w:ascii="方正仿宋_GBK" w:hAnsi="宋体" w:eastAsia="方正仿宋_GBK" w:cs="宋体"/>
                <w:color w:val="000000"/>
                <w:kern w:val="0"/>
                <w:sz w:val="24"/>
                <w:u w:val="none"/>
                <w:lang w:val="en-US" w:eastAsia="zh-CN"/>
              </w:rPr>
            </w:pPr>
          </w:p>
        </w:tc>
      </w:tr>
    </w:tbl>
    <w:p w14:paraId="182C7F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注：1、在“评价等次”栏中，所选项后的括号内打√。</w:t>
      </w:r>
    </w:p>
    <w:p w14:paraId="144603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2、每季度进行1次满意度调查（不少于30人/镇街），评价结果分为：满意、一般、不满意。</w:t>
      </w:r>
    </w:p>
    <w:p w14:paraId="789572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、其它约定事项</w:t>
      </w:r>
    </w:p>
    <w:p w14:paraId="45BBFD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甲方</w:t>
      </w:r>
      <w:r>
        <w:rPr>
          <w:rFonts w:hint="eastAsia" w:ascii="方正仿宋_GBK" w:hAnsi="方正仿宋_GBK" w:eastAsia="方正仿宋_GBK" w:cs="方正仿宋_GBK"/>
          <w:sz w:val="32"/>
          <w:szCs w:val="32"/>
        </w:rPr>
        <w:t>在中华人民共和国境内使用</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提供的货物及服务时免受第三方提出的侵犯其专利权或其它知识产权的起诉。如果第三方提出侵权指控，</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应承担由此而引起的一切法律责任和费用。</w:t>
      </w:r>
    </w:p>
    <w:p w14:paraId="2F53A9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.乙方不得将项目转包第三方。如转包，甲方有权立即终止合同，并向乙方追回全部拨款。</w:t>
      </w:r>
    </w:p>
    <w:p w14:paraId="05BAAF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乙方未</w:t>
      </w:r>
      <w:r>
        <w:rPr>
          <w:rFonts w:hint="eastAsia" w:ascii="方正仿宋_GBK" w:hAnsi="方正仿宋_GBK" w:eastAsia="方正仿宋_GBK" w:cs="方正仿宋_GBK"/>
          <w:color w:val="000000"/>
          <w:sz w:val="32"/>
          <w:szCs w:val="32"/>
          <w:lang w:eastAsia="zh-CN"/>
        </w:rPr>
        <w:t>达到合同约定的质量要求</w:t>
      </w:r>
      <w:r>
        <w:rPr>
          <w:rFonts w:hint="eastAsia" w:ascii="方正仿宋_GBK" w:hAnsi="方正仿宋_GBK" w:eastAsia="方正仿宋_GBK" w:cs="方正仿宋_GBK"/>
          <w:color w:val="000000"/>
          <w:sz w:val="32"/>
          <w:szCs w:val="32"/>
        </w:rPr>
        <w:t>，甲方向乙方发出两次书面整改通知</w:t>
      </w:r>
      <w:r>
        <w:rPr>
          <w:rFonts w:hint="eastAsia" w:ascii="方正仿宋_GBK" w:hAnsi="方正仿宋_GBK" w:eastAsia="方正仿宋_GBK" w:cs="方正仿宋_GBK"/>
          <w:color w:val="000000"/>
          <w:sz w:val="32"/>
          <w:szCs w:val="32"/>
          <w:lang w:eastAsia="zh-CN"/>
        </w:rPr>
        <w:t>后</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乙方仍不达标</w:t>
      </w:r>
      <w:r>
        <w:rPr>
          <w:rFonts w:hint="eastAsia" w:ascii="方正仿宋_GBK" w:hAnsi="方正仿宋_GBK" w:eastAsia="方正仿宋_GBK" w:cs="方正仿宋_GBK"/>
          <w:color w:val="000000"/>
          <w:sz w:val="32"/>
          <w:szCs w:val="32"/>
        </w:rPr>
        <w:t>，甲方有权向乙方提出立即终止合同</w:t>
      </w:r>
      <w:r>
        <w:rPr>
          <w:rFonts w:hint="eastAsia" w:ascii="方正仿宋_GBK" w:hAnsi="方正仿宋_GBK" w:eastAsia="方正仿宋_GBK" w:cs="方正仿宋_GBK"/>
          <w:color w:val="000000"/>
          <w:sz w:val="32"/>
          <w:szCs w:val="32"/>
          <w:lang w:eastAsia="zh-CN"/>
        </w:rPr>
        <w:t>，且不承担任何经济责任</w:t>
      </w:r>
      <w:r>
        <w:rPr>
          <w:rFonts w:hint="eastAsia" w:ascii="方正仿宋_GBK" w:hAnsi="方正仿宋_GBK" w:eastAsia="方正仿宋_GBK" w:cs="方正仿宋_GBK"/>
          <w:color w:val="000000"/>
          <w:sz w:val="32"/>
          <w:szCs w:val="32"/>
        </w:rPr>
        <w:t>。</w:t>
      </w:r>
    </w:p>
    <w:p w14:paraId="6FEFA3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本合同一式</w:t>
      </w:r>
      <w:r>
        <w:rPr>
          <w:rFonts w:hint="eastAsia" w:ascii="方正仿宋_GBK" w:hAnsi="方正仿宋_GBK" w:eastAsia="方正仿宋_GBK" w:cs="方正仿宋_GBK"/>
          <w:sz w:val="32"/>
          <w:szCs w:val="32"/>
          <w:lang w:val="en-US" w:eastAsia="zh-CN"/>
        </w:rPr>
        <w:t>肆</w:t>
      </w:r>
      <w:r>
        <w:rPr>
          <w:rFonts w:hint="eastAsia" w:ascii="方正仿宋_GBK" w:hAnsi="方正仿宋_GBK" w:eastAsia="方正仿宋_GBK" w:cs="方正仿宋_GBK"/>
          <w:sz w:val="32"/>
          <w:szCs w:val="32"/>
        </w:rPr>
        <w:t>份，甲</w:t>
      </w:r>
      <w:r>
        <w:rPr>
          <w:rFonts w:hint="eastAsia" w:ascii="方正仿宋_GBK" w:hAnsi="方正仿宋_GBK" w:eastAsia="方正仿宋_GBK" w:cs="方正仿宋_GBK"/>
          <w:sz w:val="32"/>
          <w:szCs w:val="32"/>
          <w:lang w:eastAsia="zh-CN"/>
        </w:rPr>
        <w:t>方执叁份，</w:t>
      </w:r>
      <w:r>
        <w:rPr>
          <w:rFonts w:hint="eastAsia" w:ascii="方正仿宋_GBK" w:hAnsi="方正仿宋_GBK" w:eastAsia="方正仿宋_GBK" w:cs="方正仿宋_GBK"/>
          <w:sz w:val="32"/>
          <w:szCs w:val="32"/>
        </w:rPr>
        <w:t>乙方执</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份。</w:t>
      </w:r>
    </w:p>
    <w:p w14:paraId="3A9CCB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.本合同自甲、乙双方签字之日起生效。</w:t>
      </w:r>
    </w:p>
    <w:p w14:paraId="384054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甲      方</w:t>
      </w:r>
      <w:r>
        <w:rPr>
          <w:rFonts w:hint="eastAsia" w:ascii="方正仿宋_GBK" w:hAnsi="方正仿宋_GBK" w:eastAsia="方正仿宋_GBK" w:cs="方正仿宋_GBK"/>
          <w:sz w:val="32"/>
          <w:szCs w:val="32"/>
        </w:rPr>
        <w:t xml:space="preserve">：（盖章）         </w:t>
      </w:r>
    </w:p>
    <w:p w14:paraId="266044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委托代理人：（签字）</w:t>
      </w:r>
    </w:p>
    <w:p w14:paraId="6AABC7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话：</w:t>
      </w:r>
    </w:p>
    <w:p w14:paraId="655C523A">
      <w:pPr>
        <w:keepNext w:val="0"/>
        <w:keepLines w:val="0"/>
        <w:pageBreakBefore w:val="0"/>
        <w:widowControl w:val="0"/>
        <w:kinsoku/>
        <w:wordWrap/>
        <w:overflowPunct/>
        <w:topLinePunct w:val="0"/>
        <w:autoSpaceDE/>
        <w:autoSpaceDN/>
        <w:bidi w:val="0"/>
        <w:adjustRightInd/>
        <w:snapToGrid/>
        <w:spacing w:line="240" w:lineRule="auto"/>
        <w:ind w:left="217" w:leftChars="0" w:right="0" w:rightChars="0" w:hanging="217" w:hangingChars="68"/>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日      期：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日</w:t>
      </w:r>
    </w:p>
    <w:p w14:paraId="30A828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乙      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p>
    <w:p w14:paraId="41E48E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委托代理人：（签字）</w:t>
      </w:r>
    </w:p>
    <w:p w14:paraId="079E4D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话：</w:t>
      </w:r>
    </w:p>
    <w:p w14:paraId="3CD59B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帐      号：</w:t>
      </w:r>
    </w:p>
    <w:p w14:paraId="120BB2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  户  行：</w:t>
      </w:r>
    </w:p>
    <w:p w14:paraId="1C6B8381">
      <w:pPr>
        <w:keepNext w:val="0"/>
        <w:keepLines w:val="0"/>
        <w:pageBreakBefore w:val="0"/>
        <w:widowControl w:val="0"/>
        <w:kinsoku/>
        <w:wordWrap/>
        <w:overflowPunct/>
        <w:topLinePunct w:val="0"/>
        <w:autoSpaceDE/>
        <w:autoSpaceDN/>
        <w:bidi w:val="0"/>
        <w:adjustRightInd/>
        <w:snapToGrid/>
        <w:spacing w:line="240" w:lineRule="auto"/>
        <w:ind w:left="217" w:leftChars="0" w:right="0" w:rightChars="0" w:hanging="217" w:hangingChars="68"/>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日      期：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日</w:t>
      </w:r>
    </w:p>
    <w:p w14:paraId="5F1D0C84">
      <w:pPr>
        <w:pStyle w:val="22"/>
        <w:rPr>
          <w:rFonts w:hint="eastAsia" w:ascii="方正仿宋_GBK" w:hAnsi="方正仿宋_GBK" w:eastAsia="方正仿宋_GBK" w:cs="方正仿宋_GBK"/>
          <w:sz w:val="32"/>
          <w:szCs w:val="32"/>
        </w:rPr>
      </w:pPr>
    </w:p>
    <w:p w14:paraId="6EC47FD5">
      <w:pPr>
        <w:pStyle w:val="23"/>
        <w:rPr>
          <w:rFonts w:hint="eastAsia" w:ascii="方正仿宋_GBK" w:hAnsi="方正仿宋_GBK" w:eastAsia="方正仿宋_GBK" w:cs="方正仿宋_GBK"/>
          <w:sz w:val="32"/>
          <w:szCs w:val="32"/>
        </w:rPr>
      </w:pPr>
    </w:p>
    <w:p w14:paraId="26CB0D8A">
      <w:pPr>
        <w:rPr>
          <w:rFonts w:hint="eastAsia" w:ascii="方正仿宋_GBK" w:hAnsi="方正仿宋_GBK" w:eastAsia="方正仿宋_GBK" w:cs="方正仿宋_GBK"/>
          <w:sz w:val="32"/>
          <w:szCs w:val="32"/>
        </w:rPr>
      </w:pPr>
    </w:p>
    <w:p w14:paraId="2C9F4F7D">
      <w:pPr>
        <w:pStyle w:val="22"/>
        <w:rPr>
          <w:rFonts w:hint="eastAsia" w:ascii="方正仿宋_GBK" w:hAnsi="方正仿宋_GBK" w:eastAsia="方正仿宋_GBK" w:cs="方正仿宋_GBK"/>
          <w:sz w:val="32"/>
          <w:szCs w:val="32"/>
        </w:rPr>
      </w:pPr>
    </w:p>
    <w:p w14:paraId="301735EB">
      <w:pPr>
        <w:pStyle w:val="23"/>
        <w:rPr>
          <w:rFonts w:hint="eastAsia" w:ascii="方正仿宋_GBK" w:hAnsi="方正仿宋_GBK" w:eastAsia="方正仿宋_GBK" w:cs="方正仿宋_GBK"/>
          <w:sz w:val="32"/>
          <w:szCs w:val="32"/>
        </w:rPr>
      </w:pPr>
    </w:p>
    <w:p w14:paraId="72F1F71D">
      <w:pPr>
        <w:rPr>
          <w:rFonts w:hint="eastAsia" w:ascii="方正仿宋_GBK" w:hAnsi="方正仿宋_GBK" w:eastAsia="方正仿宋_GBK" w:cs="方正仿宋_GBK"/>
          <w:sz w:val="32"/>
          <w:szCs w:val="32"/>
        </w:rPr>
      </w:pPr>
    </w:p>
    <w:p w14:paraId="6D169363">
      <w:pPr>
        <w:pStyle w:val="22"/>
        <w:rPr>
          <w:rFonts w:hint="eastAsia"/>
        </w:rPr>
      </w:pPr>
    </w:p>
    <w:p w14:paraId="79571559">
      <w:pPr>
        <w:pStyle w:val="4"/>
      </w:pPr>
    </w:p>
    <w:p w14:paraId="3447BBDB">
      <w:pPr>
        <w:pStyle w:val="4"/>
      </w:pPr>
    </w:p>
    <w:p w14:paraId="1D06D8AB"/>
    <w:sectPr>
      <w:headerReference r:id="rId6" w:type="default"/>
      <w:footerReference r:id="rId7"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BC347">
    <w:pPr>
      <w:pStyle w:val="36"/>
    </w:pPr>
  </w:p>
  <w:p w14:paraId="5914CE95">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CE98">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4E7AA765">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- 9 -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fill on="f" focussize="0,0"/>
              <v:stroke on="f"/>
              <v:imagedata o:title=""/>
              <o:lock v:ext="edit" aspectratio="f"/>
              <v:textbox inset="0mm,0mm,0mm,0mm" style="mso-fit-shape-to-text:t;">
                <w:txbxContent>
                  <w:p w14:paraId="4E7AA765">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- 9 -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FD09">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53198B9A">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14:paraId="53198B9A">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1CC5">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162F1">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D48BD"/>
    <w:multiLevelType w:val="singleLevel"/>
    <w:tmpl w:val="8ABD48BD"/>
    <w:lvl w:ilvl="0" w:tentative="0">
      <w:start w:val="1"/>
      <w:numFmt w:val="decimal"/>
      <w:suff w:val="nothing"/>
      <w:lvlText w:val="（%1）"/>
      <w:lvlJc w:val="left"/>
    </w:lvl>
  </w:abstractNum>
  <w:abstractNum w:abstractNumId="1">
    <w:nsid w:val="A5E93DB0"/>
    <w:multiLevelType w:val="singleLevel"/>
    <w:tmpl w:val="A5E93DB0"/>
    <w:lvl w:ilvl="0" w:tentative="0">
      <w:start w:val="1"/>
      <w:numFmt w:val="decimal"/>
      <w:suff w:val="nothing"/>
      <w:lvlText w:val="（%1）"/>
      <w:lvlJc w:val="left"/>
    </w:lvl>
  </w:abstractNum>
  <w:abstractNum w:abstractNumId="2">
    <w:nsid w:val="A7462FC7"/>
    <w:multiLevelType w:val="singleLevel"/>
    <w:tmpl w:val="A7462FC7"/>
    <w:lvl w:ilvl="0" w:tentative="0">
      <w:start w:val="1"/>
      <w:numFmt w:val="decimal"/>
      <w:suff w:val="nothing"/>
      <w:lvlText w:val="（%1）"/>
      <w:lvlJc w:val="left"/>
    </w:lvl>
  </w:abstractNum>
  <w:abstractNum w:abstractNumId="3">
    <w:nsid w:val="AE1DA039"/>
    <w:multiLevelType w:val="singleLevel"/>
    <w:tmpl w:val="AE1DA039"/>
    <w:lvl w:ilvl="0" w:tentative="0">
      <w:start w:val="1"/>
      <w:numFmt w:val="decimal"/>
      <w:suff w:val="nothing"/>
      <w:lvlText w:val="（%1）"/>
      <w:lvlJc w:val="left"/>
    </w:lvl>
  </w:abstractNum>
  <w:abstractNum w:abstractNumId="4">
    <w:nsid w:val="DA09BCF8"/>
    <w:multiLevelType w:val="singleLevel"/>
    <w:tmpl w:val="DA09BCF8"/>
    <w:lvl w:ilvl="0" w:tentative="0">
      <w:start w:val="1"/>
      <w:numFmt w:val="decimal"/>
      <w:suff w:val="nothing"/>
      <w:lvlText w:val="（%1）"/>
      <w:lvlJc w:val="left"/>
    </w:lvl>
  </w:abstractNum>
  <w:abstractNum w:abstractNumId="5">
    <w:nsid w:val="E4909747"/>
    <w:multiLevelType w:val="singleLevel"/>
    <w:tmpl w:val="E4909747"/>
    <w:lvl w:ilvl="0" w:tentative="0">
      <w:start w:val="1"/>
      <w:numFmt w:val="decimal"/>
      <w:suff w:val="nothing"/>
      <w:lvlText w:val="（%1）"/>
      <w:lvlJc w:val="left"/>
    </w:lvl>
  </w:abstractNum>
  <w:abstractNum w:abstractNumId="6">
    <w:nsid w:val="F0D9A0FD"/>
    <w:multiLevelType w:val="singleLevel"/>
    <w:tmpl w:val="F0D9A0FD"/>
    <w:lvl w:ilvl="0" w:tentative="0">
      <w:start w:val="1"/>
      <w:numFmt w:val="decimal"/>
      <w:suff w:val="nothing"/>
      <w:lvlText w:val="（%1）"/>
      <w:lvlJc w:val="left"/>
    </w:lvl>
  </w:abstractNum>
  <w:abstractNum w:abstractNumId="7">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9">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1">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2">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14">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15">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7">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8">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088D7D8"/>
    <w:multiLevelType w:val="singleLevel"/>
    <w:tmpl w:val="6088D7D8"/>
    <w:lvl w:ilvl="0" w:tentative="0">
      <w:start w:val="1"/>
      <w:numFmt w:val="decimal"/>
      <w:suff w:val="nothing"/>
      <w:lvlText w:val="%1."/>
      <w:lvlJc w:val="left"/>
    </w:lvl>
  </w:abstractNum>
  <w:abstractNum w:abstractNumId="20">
    <w:nsid w:val="64F7617D"/>
    <w:multiLevelType w:val="singleLevel"/>
    <w:tmpl w:val="64F7617D"/>
    <w:lvl w:ilvl="0" w:tentative="0">
      <w:start w:val="1"/>
      <w:numFmt w:val="chineseCounting"/>
      <w:suff w:val="nothing"/>
      <w:lvlText w:val="%1、"/>
      <w:lvlJc w:val="left"/>
      <w:rPr>
        <w:rFonts w:hint="eastAsia"/>
      </w:rPr>
    </w:lvl>
  </w:abstractNum>
  <w:abstractNum w:abstractNumId="21">
    <w:nsid w:val="7EBD2C24"/>
    <w:multiLevelType w:val="singleLevel"/>
    <w:tmpl w:val="7EBD2C24"/>
    <w:lvl w:ilvl="0" w:tentative="0">
      <w:start w:val="1"/>
      <w:numFmt w:val="decimal"/>
      <w:suff w:val="nothing"/>
      <w:lvlText w:val="（%1）"/>
      <w:lvlJc w:val="left"/>
    </w:lvl>
  </w:abstractNum>
  <w:num w:numId="1">
    <w:abstractNumId w:val="14"/>
  </w:num>
  <w:num w:numId="2">
    <w:abstractNumId w:val="10"/>
  </w:num>
  <w:num w:numId="3">
    <w:abstractNumId w:val="16"/>
  </w:num>
  <w:num w:numId="4">
    <w:abstractNumId w:val="12"/>
  </w:num>
  <w:num w:numId="5">
    <w:abstractNumId w:val="8"/>
  </w:num>
  <w:num w:numId="6">
    <w:abstractNumId w:val="15"/>
  </w:num>
  <w:num w:numId="7">
    <w:abstractNumId w:val="17"/>
  </w:num>
  <w:num w:numId="8">
    <w:abstractNumId w:val="9"/>
  </w:num>
  <w:num w:numId="9">
    <w:abstractNumId w:val="13"/>
  </w:num>
  <w:num w:numId="10">
    <w:abstractNumId w:val="18"/>
  </w:num>
  <w:num w:numId="11">
    <w:abstractNumId w:val="7"/>
  </w:num>
  <w:num w:numId="12">
    <w:abstractNumId w:val="11"/>
  </w:num>
  <w:num w:numId="13">
    <w:abstractNumId w:val="3"/>
  </w:num>
  <w:num w:numId="14">
    <w:abstractNumId w:val="2"/>
  </w:num>
  <w:num w:numId="15">
    <w:abstractNumId w:val="1"/>
  </w:num>
  <w:num w:numId="16">
    <w:abstractNumId w:val="21"/>
  </w:num>
  <w:num w:numId="17">
    <w:abstractNumId w:val="0"/>
  </w:num>
  <w:num w:numId="18">
    <w:abstractNumId w:val="4"/>
  </w:num>
  <w:num w:numId="19">
    <w:abstractNumId w:val="6"/>
  </w:num>
  <w:num w:numId="20">
    <w:abstractNumId w:val="5"/>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MGJhZGRkNTE4NTZmNjM0NTkzNGY4OTA0NTk2ZjIifQ=="/>
    <w:docVar w:name="KSO_WPS_MARK_KEY" w:val="a0c91423-5ae2-48ca-a30a-2bc0c8f260c3"/>
  </w:docVars>
  <w:rsids>
    <w:rsidRoot w:val="00172A27"/>
    <w:rsid w:val="00005A0C"/>
    <w:rsid w:val="000144C9"/>
    <w:rsid w:val="0002088C"/>
    <w:rsid w:val="00033DAB"/>
    <w:rsid w:val="000370BC"/>
    <w:rsid w:val="0004137F"/>
    <w:rsid w:val="00042D13"/>
    <w:rsid w:val="00056A6E"/>
    <w:rsid w:val="00072CEF"/>
    <w:rsid w:val="0008422C"/>
    <w:rsid w:val="000A44DD"/>
    <w:rsid w:val="000B219A"/>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C3"/>
    <w:rsid w:val="001765E3"/>
    <w:rsid w:val="00192985"/>
    <w:rsid w:val="001A3E64"/>
    <w:rsid w:val="001F74AE"/>
    <w:rsid w:val="00202360"/>
    <w:rsid w:val="002122FC"/>
    <w:rsid w:val="0021327B"/>
    <w:rsid w:val="0021595A"/>
    <w:rsid w:val="00223B9B"/>
    <w:rsid w:val="0022691C"/>
    <w:rsid w:val="00230932"/>
    <w:rsid w:val="002676F5"/>
    <w:rsid w:val="00297EC4"/>
    <w:rsid w:val="002B0676"/>
    <w:rsid w:val="002C7EDF"/>
    <w:rsid w:val="002F2847"/>
    <w:rsid w:val="002F5C86"/>
    <w:rsid w:val="00313FC6"/>
    <w:rsid w:val="00314FE1"/>
    <w:rsid w:val="0031623A"/>
    <w:rsid w:val="00316DF3"/>
    <w:rsid w:val="00330491"/>
    <w:rsid w:val="003332D6"/>
    <w:rsid w:val="0033562A"/>
    <w:rsid w:val="003453EB"/>
    <w:rsid w:val="003609C0"/>
    <w:rsid w:val="00363A72"/>
    <w:rsid w:val="0038393A"/>
    <w:rsid w:val="003876E3"/>
    <w:rsid w:val="003878EB"/>
    <w:rsid w:val="003A0967"/>
    <w:rsid w:val="003B48D3"/>
    <w:rsid w:val="003E69B4"/>
    <w:rsid w:val="003E7CAB"/>
    <w:rsid w:val="003F7078"/>
    <w:rsid w:val="00421287"/>
    <w:rsid w:val="0043243B"/>
    <w:rsid w:val="004569BA"/>
    <w:rsid w:val="00456C52"/>
    <w:rsid w:val="00460545"/>
    <w:rsid w:val="00463661"/>
    <w:rsid w:val="00493794"/>
    <w:rsid w:val="00495D1A"/>
    <w:rsid w:val="0049754E"/>
    <w:rsid w:val="004A1198"/>
    <w:rsid w:val="004A2061"/>
    <w:rsid w:val="004B4D5B"/>
    <w:rsid w:val="004C55B8"/>
    <w:rsid w:val="004E24B0"/>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5CDE"/>
    <w:rsid w:val="006802F3"/>
    <w:rsid w:val="006A2801"/>
    <w:rsid w:val="006A3401"/>
    <w:rsid w:val="006C1EC9"/>
    <w:rsid w:val="006C353F"/>
    <w:rsid w:val="006C7CD3"/>
    <w:rsid w:val="00723BC4"/>
    <w:rsid w:val="00731090"/>
    <w:rsid w:val="007442A0"/>
    <w:rsid w:val="00755658"/>
    <w:rsid w:val="00773049"/>
    <w:rsid w:val="00782B76"/>
    <w:rsid w:val="00791D34"/>
    <w:rsid w:val="007A3A16"/>
    <w:rsid w:val="007C5E80"/>
    <w:rsid w:val="007D57AF"/>
    <w:rsid w:val="007E13BD"/>
    <w:rsid w:val="007E1D36"/>
    <w:rsid w:val="007F2A53"/>
    <w:rsid w:val="00854CC0"/>
    <w:rsid w:val="00854ED3"/>
    <w:rsid w:val="008639C9"/>
    <w:rsid w:val="00872901"/>
    <w:rsid w:val="00876BB8"/>
    <w:rsid w:val="008825DA"/>
    <w:rsid w:val="008D08FD"/>
    <w:rsid w:val="008E0339"/>
    <w:rsid w:val="008F1F63"/>
    <w:rsid w:val="008F3680"/>
    <w:rsid w:val="00915107"/>
    <w:rsid w:val="009261F0"/>
    <w:rsid w:val="009302D1"/>
    <w:rsid w:val="00936181"/>
    <w:rsid w:val="00936197"/>
    <w:rsid w:val="00940646"/>
    <w:rsid w:val="009415FC"/>
    <w:rsid w:val="009570EF"/>
    <w:rsid w:val="00962AED"/>
    <w:rsid w:val="009653BD"/>
    <w:rsid w:val="009710AF"/>
    <w:rsid w:val="0097589B"/>
    <w:rsid w:val="0099728C"/>
    <w:rsid w:val="009A317C"/>
    <w:rsid w:val="009A770F"/>
    <w:rsid w:val="009B4011"/>
    <w:rsid w:val="009C25EB"/>
    <w:rsid w:val="009C273F"/>
    <w:rsid w:val="009E62CD"/>
    <w:rsid w:val="009F3B32"/>
    <w:rsid w:val="009F3C1A"/>
    <w:rsid w:val="009F5836"/>
    <w:rsid w:val="00A03F50"/>
    <w:rsid w:val="00A06259"/>
    <w:rsid w:val="00A3078D"/>
    <w:rsid w:val="00A31115"/>
    <w:rsid w:val="00A5531C"/>
    <w:rsid w:val="00A56F1E"/>
    <w:rsid w:val="00A614CD"/>
    <w:rsid w:val="00A757A0"/>
    <w:rsid w:val="00A9133B"/>
    <w:rsid w:val="00AC755D"/>
    <w:rsid w:val="00AF3E34"/>
    <w:rsid w:val="00B000A7"/>
    <w:rsid w:val="00B01F29"/>
    <w:rsid w:val="00B3337A"/>
    <w:rsid w:val="00B43355"/>
    <w:rsid w:val="00B60CC0"/>
    <w:rsid w:val="00B60F1F"/>
    <w:rsid w:val="00B730A8"/>
    <w:rsid w:val="00B8624A"/>
    <w:rsid w:val="00B97A94"/>
    <w:rsid w:val="00BA1F2C"/>
    <w:rsid w:val="00BB3E0F"/>
    <w:rsid w:val="00BB3F7A"/>
    <w:rsid w:val="00BC4CA6"/>
    <w:rsid w:val="00BD5A39"/>
    <w:rsid w:val="00BF23A8"/>
    <w:rsid w:val="00BF771D"/>
    <w:rsid w:val="00C14479"/>
    <w:rsid w:val="00C24619"/>
    <w:rsid w:val="00C24A7C"/>
    <w:rsid w:val="00C34570"/>
    <w:rsid w:val="00C416EC"/>
    <w:rsid w:val="00C5221A"/>
    <w:rsid w:val="00C619A3"/>
    <w:rsid w:val="00C909A2"/>
    <w:rsid w:val="00CB395B"/>
    <w:rsid w:val="00CB7698"/>
    <w:rsid w:val="00CC15A7"/>
    <w:rsid w:val="00CC4F85"/>
    <w:rsid w:val="00CD410E"/>
    <w:rsid w:val="00CD444E"/>
    <w:rsid w:val="00D21D58"/>
    <w:rsid w:val="00D226A5"/>
    <w:rsid w:val="00D2377C"/>
    <w:rsid w:val="00D40159"/>
    <w:rsid w:val="00D858CC"/>
    <w:rsid w:val="00DA4850"/>
    <w:rsid w:val="00DF02E6"/>
    <w:rsid w:val="00E012A0"/>
    <w:rsid w:val="00E2740B"/>
    <w:rsid w:val="00E40564"/>
    <w:rsid w:val="00E45B7C"/>
    <w:rsid w:val="00E46A0A"/>
    <w:rsid w:val="00E54E2D"/>
    <w:rsid w:val="00E670E8"/>
    <w:rsid w:val="00E863F1"/>
    <w:rsid w:val="00EF60F7"/>
    <w:rsid w:val="00F10101"/>
    <w:rsid w:val="00F746A5"/>
    <w:rsid w:val="00F91500"/>
    <w:rsid w:val="00FC7767"/>
    <w:rsid w:val="00FD14FB"/>
    <w:rsid w:val="02D253E7"/>
    <w:rsid w:val="035C4B69"/>
    <w:rsid w:val="04063CA2"/>
    <w:rsid w:val="055E107E"/>
    <w:rsid w:val="061F45BA"/>
    <w:rsid w:val="07610150"/>
    <w:rsid w:val="076B7791"/>
    <w:rsid w:val="08ED3546"/>
    <w:rsid w:val="097D37AF"/>
    <w:rsid w:val="0A324453"/>
    <w:rsid w:val="0A581BBB"/>
    <w:rsid w:val="0ACC2AB1"/>
    <w:rsid w:val="0BAA1613"/>
    <w:rsid w:val="0EFE3F6B"/>
    <w:rsid w:val="0F6501A4"/>
    <w:rsid w:val="101E0686"/>
    <w:rsid w:val="107F5B03"/>
    <w:rsid w:val="129C6BDD"/>
    <w:rsid w:val="12AF2904"/>
    <w:rsid w:val="13F217DA"/>
    <w:rsid w:val="14C44852"/>
    <w:rsid w:val="15E8171A"/>
    <w:rsid w:val="19686A2A"/>
    <w:rsid w:val="1A8C400A"/>
    <w:rsid w:val="1C0E01AF"/>
    <w:rsid w:val="1C5274B4"/>
    <w:rsid w:val="1C5F2B36"/>
    <w:rsid w:val="1D0E6642"/>
    <w:rsid w:val="1E07415D"/>
    <w:rsid w:val="1F8C4664"/>
    <w:rsid w:val="24654949"/>
    <w:rsid w:val="254F17A2"/>
    <w:rsid w:val="265D4F62"/>
    <w:rsid w:val="26D03AF4"/>
    <w:rsid w:val="26D134D1"/>
    <w:rsid w:val="282B3923"/>
    <w:rsid w:val="2A9A00C1"/>
    <w:rsid w:val="300062EF"/>
    <w:rsid w:val="313C4AEF"/>
    <w:rsid w:val="31B5579D"/>
    <w:rsid w:val="31D874D8"/>
    <w:rsid w:val="31F237FB"/>
    <w:rsid w:val="33381FDE"/>
    <w:rsid w:val="34CC3626"/>
    <w:rsid w:val="35D32F31"/>
    <w:rsid w:val="38A07570"/>
    <w:rsid w:val="39D961DF"/>
    <w:rsid w:val="3A974782"/>
    <w:rsid w:val="3EDB7D99"/>
    <w:rsid w:val="3F427F85"/>
    <w:rsid w:val="3FCD46EF"/>
    <w:rsid w:val="411B1F4A"/>
    <w:rsid w:val="42E663CF"/>
    <w:rsid w:val="43260821"/>
    <w:rsid w:val="45FB04BF"/>
    <w:rsid w:val="48AA5F13"/>
    <w:rsid w:val="48FF5824"/>
    <w:rsid w:val="4B0E0F22"/>
    <w:rsid w:val="4BC9209C"/>
    <w:rsid w:val="4C057EC5"/>
    <w:rsid w:val="4E99569F"/>
    <w:rsid w:val="4EE852BE"/>
    <w:rsid w:val="4FA95B6E"/>
    <w:rsid w:val="50DA7D8B"/>
    <w:rsid w:val="51AE0382"/>
    <w:rsid w:val="532145E9"/>
    <w:rsid w:val="548378CF"/>
    <w:rsid w:val="54B3729E"/>
    <w:rsid w:val="56285A6A"/>
    <w:rsid w:val="5639460B"/>
    <w:rsid w:val="586168B7"/>
    <w:rsid w:val="59932986"/>
    <w:rsid w:val="5A6054D1"/>
    <w:rsid w:val="5A9515D1"/>
    <w:rsid w:val="5ABF613D"/>
    <w:rsid w:val="5B8C0E98"/>
    <w:rsid w:val="5E4828C6"/>
    <w:rsid w:val="5E726ECD"/>
    <w:rsid w:val="613F3441"/>
    <w:rsid w:val="6166529A"/>
    <w:rsid w:val="61907509"/>
    <w:rsid w:val="629152E7"/>
    <w:rsid w:val="633F3F4B"/>
    <w:rsid w:val="639635F7"/>
    <w:rsid w:val="656B023E"/>
    <w:rsid w:val="65BE1565"/>
    <w:rsid w:val="65F91B55"/>
    <w:rsid w:val="67B15328"/>
    <w:rsid w:val="69492D9A"/>
    <w:rsid w:val="69AC3177"/>
    <w:rsid w:val="6AFC24E8"/>
    <w:rsid w:val="6B181BEC"/>
    <w:rsid w:val="6D7E425F"/>
    <w:rsid w:val="6F0D3962"/>
    <w:rsid w:val="6FCB3094"/>
    <w:rsid w:val="71287CA7"/>
    <w:rsid w:val="7183443D"/>
    <w:rsid w:val="751E519F"/>
    <w:rsid w:val="765E125B"/>
    <w:rsid w:val="76DB3120"/>
    <w:rsid w:val="78A43F1F"/>
    <w:rsid w:val="7927265A"/>
    <w:rsid w:val="7A6A6246"/>
    <w:rsid w:val="7B214D90"/>
    <w:rsid w:val="7B580481"/>
    <w:rsid w:val="7CC27113"/>
    <w:rsid w:val="7DA4016C"/>
    <w:rsid w:val="7DAB6BB7"/>
    <w:rsid w:val="7DF95449"/>
    <w:rsid w:val="7E6A7225"/>
    <w:rsid w:val="7EF10279"/>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3"/>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5"/>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autoRedefine/>
    <w:qFormat/>
    <w:uiPriority w:val="0"/>
    <w:rPr>
      <w:rFonts w:ascii="仿宋_GB2312" w:eastAsia="仿宋_GB2312"/>
      <w:sz w:val="32"/>
    </w:rPr>
  </w:style>
  <w:style w:type="paragraph" w:customStyle="1" w:styleId="23">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styleId="24">
    <w:name w:val="Body Text Indent"/>
    <w:basedOn w:val="1"/>
    <w:link w:val="82"/>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89"/>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09"/>
    <w:autoRedefine/>
    <w:qFormat/>
    <w:uiPriority w:val="0"/>
  </w:style>
  <w:style w:type="paragraph" w:styleId="34">
    <w:name w:val="Body Text Indent 2"/>
    <w:basedOn w:val="1"/>
    <w:link w:val="71"/>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85"/>
    <w:autoRedefine/>
    <w:qFormat/>
    <w:uiPriority w:val="0"/>
    <w:pPr>
      <w:tabs>
        <w:tab w:val="center" w:pos="4153"/>
        <w:tab w:val="right" w:pos="8306"/>
      </w:tabs>
      <w:snapToGrid w:val="0"/>
      <w:jc w:val="left"/>
    </w:pPr>
    <w:rPr>
      <w:sz w:val="18"/>
    </w:rPr>
  </w:style>
  <w:style w:type="paragraph" w:styleId="37">
    <w:name w:val="header"/>
    <w:basedOn w:val="1"/>
    <w:link w:val="111"/>
    <w:autoRedefine/>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69"/>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4"/>
    <w:autoRedefine/>
    <w:qFormat/>
    <w:uiPriority w:val="0"/>
    <w:pPr>
      <w:adjustRightInd/>
      <w:spacing w:line="240" w:lineRule="auto"/>
      <w:textAlignment w:val="auto"/>
    </w:pPr>
  </w:style>
  <w:style w:type="paragraph" w:styleId="56">
    <w:name w:val="Body Text First Indent"/>
    <w:basedOn w:val="1"/>
    <w:autoRedefine/>
    <w:qFormat/>
    <w:uiPriority w:val="0"/>
    <w:pPr>
      <w:spacing w:line="360" w:lineRule="auto"/>
      <w:ind w:firstLine="420"/>
    </w:pPr>
    <w:rPr>
      <w:rFonts w:ascii="宋体" w:hAnsi="宋体"/>
      <w:sz w:val="24"/>
    </w:rPr>
  </w:style>
  <w:style w:type="paragraph" w:styleId="57">
    <w:name w:val="Body Text First Indent 2"/>
    <w:basedOn w:val="24"/>
    <w:link w:val="81"/>
    <w:autoRedefine/>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 Char"/>
    <w:link w:val="41"/>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Char"/>
    <w:link w:val="34"/>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Char"/>
    <w:basedOn w:val="75"/>
    <w:link w:val="55"/>
    <w:qFormat/>
    <w:uiPriority w:val="0"/>
    <w:rPr>
      <w:sz w:val="24"/>
    </w:rPr>
  </w:style>
  <w:style w:type="character" w:customStyle="1" w:styleId="75">
    <w:name w:val="批注文字 Char"/>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autoRedefine/>
    <w:qFormat/>
    <w:uiPriority w:val="0"/>
    <w:rPr>
      <w:rFonts w:ascii="宋体"/>
      <w:kern w:val="2"/>
      <w:sz w:val="28"/>
    </w:rPr>
  </w:style>
  <w:style w:type="character" w:customStyle="1" w:styleId="78">
    <w:name w:val="Char Char7"/>
    <w:autoRedefine/>
    <w:qFormat/>
    <w:uiPriority w:val="0"/>
    <w:rPr>
      <w:rFonts w:ascii="宋体" w:hAnsi="宋体" w:eastAsia="宋体"/>
      <w:kern w:val="2"/>
      <w:sz w:val="28"/>
    </w:rPr>
  </w:style>
  <w:style w:type="character" w:customStyle="1" w:styleId="79">
    <w:name w:val="文字 Char"/>
    <w:autoRedefine/>
    <w:qFormat/>
    <w:uiPriority w:val="0"/>
    <w:rPr>
      <w:rFonts w:ascii="宋体"/>
      <w:kern w:val="2"/>
      <w:sz w:val="28"/>
    </w:rPr>
  </w:style>
  <w:style w:type="character" w:customStyle="1" w:styleId="80">
    <w:name w:val="Char Char5"/>
    <w:autoRedefine/>
    <w:qFormat/>
    <w:uiPriority w:val="0"/>
    <w:rPr>
      <w:rFonts w:ascii="Arial" w:hAnsi="Arial" w:eastAsia="宋体"/>
      <w:b/>
      <w:smallCaps/>
      <w:kern w:val="28"/>
      <w:sz w:val="36"/>
      <w:lang w:val="en-US" w:eastAsia="en-US"/>
    </w:rPr>
  </w:style>
  <w:style w:type="character" w:customStyle="1" w:styleId="81">
    <w:name w:val="正文首行缩进 2 Char"/>
    <w:basedOn w:val="82"/>
    <w:link w:val="57"/>
    <w:autoRedefine/>
    <w:qFormat/>
    <w:uiPriority w:val="0"/>
    <w:rPr>
      <w:kern w:val="2"/>
      <w:sz w:val="44"/>
    </w:rPr>
  </w:style>
  <w:style w:type="character" w:customStyle="1" w:styleId="82">
    <w:name w:val="正文文本缩进 Char"/>
    <w:link w:val="24"/>
    <w:autoRedefine/>
    <w:qFormat/>
    <w:uiPriority w:val="0"/>
    <w:rPr>
      <w:kern w:val="2"/>
      <w:sz w:val="44"/>
    </w:rPr>
  </w:style>
  <w:style w:type="character" w:customStyle="1" w:styleId="83">
    <w:name w:val="font61"/>
    <w:autoRedefine/>
    <w:qFormat/>
    <w:uiPriority w:val="0"/>
    <w:rPr>
      <w:rFonts w:hint="eastAsia" w:ascii="微软雅黑" w:hAnsi="微软雅黑" w:eastAsia="微软雅黑" w:cs="微软雅黑"/>
      <w:color w:val="000000"/>
      <w:sz w:val="24"/>
      <w:szCs w:val="24"/>
      <w:u w:val="none"/>
    </w:rPr>
  </w:style>
  <w:style w:type="character" w:customStyle="1" w:styleId="84">
    <w:name w:val="title_emph1"/>
    <w:autoRedefine/>
    <w:qFormat/>
    <w:uiPriority w:val="0"/>
    <w:rPr>
      <w:rFonts w:hint="default" w:ascii="Arial" w:hAnsi="Arial"/>
      <w:b/>
      <w:sz w:val="20"/>
    </w:rPr>
  </w:style>
  <w:style w:type="character" w:customStyle="1" w:styleId="85">
    <w:name w:val="页脚 Char"/>
    <w:link w:val="36"/>
    <w:autoRedefine/>
    <w:qFormat/>
    <w:uiPriority w:val="0"/>
    <w:rPr>
      <w:kern w:val="2"/>
      <w:sz w:val="18"/>
    </w:rPr>
  </w:style>
  <w:style w:type="character" w:customStyle="1" w:styleId="86">
    <w:name w:val="Comment Text Char"/>
    <w:autoRedefine/>
    <w:semiHidden/>
    <w:qFormat/>
    <w:locked/>
    <w:uiPriority w:val="0"/>
    <w:rPr>
      <w:rFonts w:ascii="Times New Roman" w:hAnsi="Times New Roman" w:cs="Times New Roman"/>
      <w:sz w:val="20"/>
      <w:szCs w:val="20"/>
    </w:rPr>
  </w:style>
  <w:style w:type="character" w:customStyle="1" w:styleId="87">
    <w:name w:val="v151"/>
    <w:autoRedefine/>
    <w:qFormat/>
    <w:uiPriority w:val="0"/>
    <w:rPr>
      <w:sz w:val="18"/>
    </w:rPr>
  </w:style>
  <w:style w:type="character" w:customStyle="1" w:styleId="88">
    <w:name w:val="font1"/>
    <w:autoRedefine/>
    <w:qFormat/>
    <w:uiPriority w:val="0"/>
    <w:rPr>
      <w:color w:val="000000"/>
      <w:sz w:val="18"/>
    </w:rPr>
  </w:style>
  <w:style w:type="character" w:customStyle="1" w:styleId="89">
    <w:name w:val="纯文本 Char"/>
    <w:link w:val="31"/>
    <w:autoRedefine/>
    <w:qFormat/>
    <w:locked/>
    <w:uiPriority w:val="99"/>
    <w:rPr>
      <w:rFonts w:ascii="宋体" w:hAnsi="Courier New"/>
      <w:kern w:val="2"/>
      <w:sz w:val="21"/>
    </w:rPr>
  </w:style>
  <w:style w:type="character" w:customStyle="1" w:styleId="90">
    <w:name w:val="Char Char Char Char Char Char Char Char Char"/>
    <w:autoRedefine/>
    <w:qFormat/>
    <w:uiPriority w:val="0"/>
    <w:rPr>
      <w:rFonts w:ascii="宋体" w:hAnsi="宋体" w:eastAsia="宋体"/>
      <w:kern w:val="2"/>
      <w:sz w:val="24"/>
      <w:lang w:val="en-US" w:eastAsia="zh-CN" w:bidi="ar-SA"/>
    </w:rPr>
  </w:style>
  <w:style w:type="character" w:customStyle="1" w:styleId="91">
    <w:name w:val="Table Text Char Char Char Char"/>
    <w:link w:val="92"/>
    <w:autoRedefine/>
    <w:qFormat/>
    <w:uiPriority w:val="0"/>
    <w:rPr>
      <w:rFonts w:ascii="Arial" w:hAnsi="Arial"/>
      <w:kern w:val="2"/>
      <w:sz w:val="18"/>
      <w:lang w:val="en-US" w:eastAsia="zh-CN" w:bidi="ar-SA"/>
    </w:rPr>
  </w:style>
  <w:style w:type="paragraph" w:customStyle="1" w:styleId="92">
    <w:name w:val="Table Text"/>
    <w:link w:val="9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Char"/>
    <w:link w:val="3"/>
    <w:autoRedefine/>
    <w:qFormat/>
    <w:uiPriority w:val="0"/>
    <w:rPr>
      <w:rFonts w:ascii="Arial" w:hAnsi="Arial" w:eastAsia="黑体"/>
      <w:b/>
      <w:kern w:val="2"/>
      <w:sz w:val="32"/>
    </w:rPr>
  </w:style>
  <w:style w:type="character" w:customStyle="1" w:styleId="94">
    <w:name w:val="H2 Char"/>
    <w:autoRedefine/>
    <w:qFormat/>
    <w:uiPriority w:val="0"/>
    <w:rPr>
      <w:rFonts w:ascii="Arial" w:hAnsi="Arial" w:eastAsia="宋体"/>
      <w:kern w:val="2"/>
      <w:sz w:val="28"/>
      <w:lang w:val="en-US" w:eastAsia="zh-CN"/>
    </w:rPr>
  </w:style>
  <w:style w:type="character" w:customStyle="1" w:styleId="95">
    <w:name w:val="top-det1"/>
    <w:autoRedefine/>
    <w:qFormat/>
    <w:uiPriority w:val="0"/>
    <w:rPr>
      <w:b/>
      <w:color w:val="000000"/>
    </w:rPr>
  </w:style>
  <w:style w:type="character" w:customStyle="1" w:styleId="96">
    <w:name w:val="批注文字 字符"/>
    <w:autoRedefine/>
    <w:qFormat/>
    <w:uiPriority w:val="0"/>
    <w:rPr>
      <w:sz w:val="24"/>
    </w:rPr>
  </w:style>
  <w:style w:type="character" w:customStyle="1" w:styleId="97">
    <w:name w:val="标题 3 Char"/>
    <w:link w:val="4"/>
    <w:autoRedefine/>
    <w:qFormat/>
    <w:uiPriority w:val="0"/>
    <w:rPr>
      <w:rFonts w:eastAsia="宋体"/>
      <w:b/>
      <w:kern w:val="2"/>
      <w:sz w:val="32"/>
      <w:lang w:val="en-US" w:eastAsia="zh-CN"/>
    </w:rPr>
  </w:style>
  <w:style w:type="character" w:customStyle="1" w:styleId="98">
    <w:name w:val="crowed11"/>
    <w:autoRedefine/>
    <w:qFormat/>
    <w:uiPriority w:val="0"/>
    <w:rPr>
      <w:rFonts w:hint="default"/>
      <w:sz w:val="24"/>
    </w:rPr>
  </w:style>
  <w:style w:type="character" w:customStyle="1" w:styleId="99">
    <w:name w:val="Table Text Char1 Char"/>
    <w:autoRedefine/>
    <w:qFormat/>
    <w:uiPriority w:val="0"/>
    <w:rPr>
      <w:rFonts w:ascii="Arial" w:hAnsi="Arial"/>
      <w:kern w:val="2"/>
      <w:sz w:val="18"/>
      <w:lang w:val="en-US" w:eastAsia="zh-CN" w:bidi="ar-SA"/>
    </w:rPr>
  </w:style>
  <w:style w:type="character" w:customStyle="1" w:styleId="100">
    <w:name w:val="标题 2 字符"/>
    <w:autoRedefine/>
    <w:qFormat/>
    <w:uiPriority w:val="99"/>
    <w:rPr>
      <w:rFonts w:ascii="Arial" w:hAnsi="Arial" w:eastAsia="黑体"/>
      <w:b/>
      <w:kern w:val="2"/>
      <w:sz w:val="32"/>
    </w:rPr>
  </w:style>
  <w:style w:type="character" w:customStyle="1" w:styleId="101">
    <w:name w:val="Table Heading Char Char"/>
    <w:autoRedefine/>
    <w:qFormat/>
    <w:uiPriority w:val="0"/>
    <w:rPr>
      <w:rFonts w:ascii="Arial" w:hAnsi="Arial" w:eastAsia="黑体"/>
      <w:kern w:val="2"/>
      <w:sz w:val="18"/>
      <w:lang w:val="en-US" w:eastAsia="zh-CN"/>
    </w:rPr>
  </w:style>
  <w:style w:type="character" w:customStyle="1" w:styleId="102">
    <w:name w:val="文字 Char Char"/>
    <w:link w:val="103"/>
    <w:autoRedefine/>
    <w:qFormat/>
    <w:uiPriority w:val="0"/>
    <w:rPr>
      <w:rFonts w:ascii="宋体"/>
      <w:kern w:val="2"/>
      <w:sz w:val="28"/>
    </w:rPr>
  </w:style>
  <w:style w:type="paragraph" w:customStyle="1" w:styleId="103">
    <w:name w:val="文字"/>
    <w:basedOn w:val="1"/>
    <w:link w:val="102"/>
    <w:autoRedefine/>
    <w:qFormat/>
    <w:uiPriority w:val="0"/>
    <w:pPr>
      <w:tabs>
        <w:tab w:val="left" w:pos="8520"/>
      </w:tabs>
      <w:spacing w:line="312" w:lineRule="auto"/>
      <w:ind w:right="-210" w:firstLine="556"/>
    </w:pPr>
    <w:rPr>
      <w:rFonts w:ascii="宋体"/>
    </w:rPr>
  </w:style>
  <w:style w:type="character" w:customStyle="1" w:styleId="104">
    <w:name w:val="样式 宋体"/>
    <w:autoRedefine/>
    <w:qFormat/>
    <w:uiPriority w:val="0"/>
    <w:rPr>
      <w:rFonts w:ascii="宋体" w:hAnsi="宋体" w:eastAsia="宋体"/>
      <w:sz w:val="28"/>
    </w:rPr>
  </w:style>
  <w:style w:type="character" w:customStyle="1" w:styleId="105">
    <w:name w:val="正文 + 三号 Char"/>
    <w:autoRedefine/>
    <w:qFormat/>
    <w:uiPriority w:val="0"/>
    <w:rPr>
      <w:rFonts w:eastAsia="宋体"/>
      <w:kern w:val="2"/>
      <w:sz w:val="21"/>
      <w:lang w:val="en-US" w:eastAsia="zh-CN"/>
    </w:rPr>
  </w:style>
  <w:style w:type="character" w:customStyle="1" w:styleId="106">
    <w:name w:val="小 Char"/>
    <w:autoRedefine/>
    <w:qFormat/>
    <w:uiPriority w:val="0"/>
    <w:rPr>
      <w:rFonts w:ascii="宋体" w:hAnsi="Courier New" w:eastAsia="宋体"/>
      <w:kern w:val="2"/>
      <w:sz w:val="21"/>
      <w:lang w:val="en-US" w:eastAsia="zh-CN" w:bidi="ar-SA"/>
    </w:rPr>
  </w:style>
  <w:style w:type="character" w:customStyle="1" w:styleId="107">
    <w:name w:val="标题 3 字符"/>
    <w:autoRedefine/>
    <w:qFormat/>
    <w:uiPriority w:val="0"/>
    <w:rPr>
      <w:rFonts w:eastAsia="宋体"/>
      <w:b/>
      <w:kern w:val="2"/>
      <w:sz w:val="32"/>
      <w:lang w:val="en-US" w:eastAsia="zh-CN"/>
    </w:rPr>
  </w:style>
  <w:style w:type="character" w:customStyle="1" w:styleId="108">
    <w:name w:val="content-white1"/>
    <w:autoRedefine/>
    <w:qFormat/>
    <w:uiPriority w:val="0"/>
    <w:rPr>
      <w:color w:val="auto"/>
      <w:sz w:val="18"/>
      <w:u w:val="none"/>
    </w:rPr>
  </w:style>
  <w:style w:type="character" w:customStyle="1" w:styleId="109">
    <w:name w:val="日期 Char"/>
    <w:link w:val="33"/>
    <w:autoRedefine/>
    <w:qFormat/>
    <w:uiPriority w:val="0"/>
    <w:rPr>
      <w:kern w:val="2"/>
      <w:sz w:val="28"/>
    </w:rPr>
  </w:style>
  <w:style w:type="character" w:customStyle="1" w:styleId="110">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Char"/>
    <w:link w:val="37"/>
    <w:autoRedefine/>
    <w:qFormat/>
    <w:uiPriority w:val="99"/>
    <w:rPr>
      <w:kern w:val="2"/>
      <w:sz w:val="18"/>
    </w:rPr>
  </w:style>
  <w:style w:type="character" w:customStyle="1" w:styleId="112">
    <w:name w:val="Char Char4"/>
    <w:autoRedefine/>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autoRedefine/>
    <w:qFormat/>
    <w:uiPriority w:val="0"/>
    <w:rPr>
      <w:rFonts w:hint="default" w:ascii="Times New Roman" w:hAnsi="Times New Roman" w:cs="Times New Roman"/>
      <w:color w:val="000000"/>
      <w:sz w:val="24"/>
      <w:szCs w:val="24"/>
      <w:u w:val="none"/>
    </w:rPr>
  </w:style>
  <w:style w:type="character" w:customStyle="1" w:styleId="115">
    <w:name w:val="Char Char3"/>
    <w:autoRedefine/>
    <w:qFormat/>
    <w:uiPriority w:val="0"/>
    <w:rPr>
      <w:rFonts w:eastAsia="宋体"/>
      <w:kern w:val="2"/>
      <w:sz w:val="18"/>
      <w:lang w:val="en-US" w:eastAsia="zh-CN"/>
    </w:rPr>
  </w:style>
  <w:style w:type="character" w:customStyle="1" w:styleId="116">
    <w:name w:val="Table Text Char1 Char Char"/>
    <w:autoRedefine/>
    <w:qFormat/>
    <w:uiPriority w:val="0"/>
    <w:rPr>
      <w:rFonts w:ascii="Arial" w:hAnsi="Arial"/>
      <w:kern w:val="2"/>
      <w:sz w:val="18"/>
      <w:lang w:val="en-US" w:eastAsia="zh-CN" w:bidi="ar-SA"/>
    </w:rPr>
  </w:style>
  <w:style w:type="paragraph" w:customStyle="1" w:styleId="11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autoRedefine/>
    <w:qFormat/>
    <w:uiPriority w:val="0"/>
    <w:rPr>
      <w:rFonts w:ascii="Tahoma" w:hAnsi="Tahoma"/>
      <w:sz w:val="24"/>
    </w:rPr>
  </w:style>
  <w:style w:type="paragraph" w:customStyle="1" w:styleId="12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autoRedefine/>
    <w:qFormat/>
    <w:uiPriority w:val="0"/>
    <w:pPr>
      <w:adjustRightInd w:val="0"/>
      <w:jc w:val="left"/>
    </w:pPr>
    <w:rPr>
      <w:rFonts w:ascii="宋体" w:hAnsi="宋体"/>
      <w:kern w:val="0"/>
      <w:sz w:val="21"/>
    </w:rPr>
  </w:style>
  <w:style w:type="paragraph" w:customStyle="1" w:styleId="125">
    <w:name w:val="正文表格"/>
    <w:basedOn w:val="1"/>
    <w:autoRedefine/>
    <w:qFormat/>
    <w:uiPriority w:val="0"/>
    <w:pPr>
      <w:adjustRightInd w:val="0"/>
      <w:spacing w:before="40" w:after="40"/>
    </w:pPr>
    <w:rPr>
      <w:sz w:val="24"/>
    </w:rPr>
  </w:style>
  <w:style w:type="paragraph" w:customStyle="1" w:styleId="126">
    <w:name w:val="Char1 Char Char Char"/>
    <w:basedOn w:val="1"/>
    <w:autoRedefine/>
    <w:qFormat/>
    <w:uiPriority w:val="0"/>
    <w:rPr>
      <w:rFonts w:ascii="Tahoma" w:hAnsi="Tahoma"/>
      <w:sz w:val="24"/>
    </w:rPr>
  </w:style>
  <w:style w:type="paragraph" w:customStyle="1" w:styleId="127">
    <w:name w:val="af"/>
    <w:basedOn w:val="1"/>
    <w:autoRedefine/>
    <w:qFormat/>
    <w:uiPriority w:val="0"/>
    <w:pPr>
      <w:widowControl/>
      <w:spacing w:line="300" w:lineRule="atLeast"/>
      <w:jc w:val="left"/>
    </w:pPr>
    <w:rPr>
      <w:rFonts w:ascii="宋体" w:hAnsi="宋体"/>
      <w:kern w:val="0"/>
      <w:sz w:val="18"/>
    </w:rPr>
  </w:style>
  <w:style w:type="paragraph" w:customStyle="1" w:styleId="128">
    <w:name w:val="Title - Revision"/>
    <w:basedOn w:val="54"/>
    <w:autoRedefine/>
    <w:qFormat/>
    <w:uiPriority w:val="0"/>
    <w:pPr>
      <w:spacing w:before="720"/>
    </w:pPr>
  </w:style>
  <w:style w:type="paragraph" w:customStyle="1" w:styleId="129">
    <w:name w:val="1.正文"/>
    <w:basedOn w:val="1"/>
    <w:autoRedefine/>
    <w:qFormat/>
    <w:uiPriority w:val="0"/>
    <w:pPr>
      <w:spacing w:line="360" w:lineRule="auto"/>
      <w:ind w:left="540" w:leftChars="225" w:firstLine="540" w:firstLineChars="225"/>
    </w:pPr>
    <w:rPr>
      <w:sz w:val="24"/>
    </w:rPr>
  </w:style>
  <w:style w:type="paragraph" w:customStyle="1" w:styleId="130">
    <w:name w:val="Title - Date"/>
    <w:basedOn w:val="54"/>
    <w:next w:val="1"/>
    <w:autoRedefine/>
    <w:qFormat/>
    <w:uiPriority w:val="0"/>
    <w:pPr>
      <w:spacing w:before="240" w:after="720"/>
    </w:pPr>
    <w:rPr>
      <w:sz w:val="28"/>
    </w:rPr>
  </w:style>
  <w:style w:type="paragraph" w:customStyle="1" w:styleId="131">
    <w:name w:val="00"/>
    <w:basedOn w:val="1"/>
    <w:autoRedefine/>
    <w:qFormat/>
    <w:uiPriority w:val="0"/>
    <w:pPr>
      <w:autoSpaceDE w:val="0"/>
      <w:autoSpaceDN w:val="0"/>
      <w:adjustRightInd w:val="0"/>
      <w:jc w:val="left"/>
    </w:pPr>
    <w:rPr>
      <w:rFonts w:ascii="黑体" w:eastAsia="黑体"/>
      <w:b/>
      <w:kern w:val="0"/>
      <w:sz w:val="20"/>
    </w:rPr>
  </w:style>
  <w:style w:type="paragraph" w:customStyle="1" w:styleId="132">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autoRedefine/>
    <w:qFormat/>
    <w:uiPriority w:val="0"/>
    <w:pPr>
      <w:adjustRightInd w:val="0"/>
      <w:spacing w:before="120"/>
      <w:ind w:firstLine="420"/>
      <w:textAlignment w:val="baseline"/>
    </w:pPr>
    <w:rPr>
      <w:sz w:val="24"/>
    </w:rPr>
  </w:style>
  <w:style w:type="paragraph" w:customStyle="1" w:styleId="137">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4"/>
    <w:autoRedefine/>
    <w:qFormat/>
    <w:uiPriority w:val="0"/>
    <w:pPr>
      <w:spacing w:before="60" w:after="60" w:line="360" w:lineRule="auto"/>
      <w:ind w:left="0" w:firstLine="482"/>
    </w:pPr>
    <w:rPr>
      <w:rFonts w:ascii="Arial" w:hAnsi="Arial"/>
      <w:sz w:val="24"/>
    </w:rPr>
  </w:style>
  <w:style w:type="paragraph" w:customStyle="1" w:styleId="14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3">
    <w:name w:val="表头文本"/>
    <w:autoRedefine/>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autoRedefine/>
    <w:qFormat/>
    <w:uiPriority w:val="0"/>
    <w:pPr>
      <w:tabs>
        <w:tab w:val="left" w:pos="360"/>
      </w:tabs>
    </w:pPr>
    <w:rPr>
      <w:sz w:val="24"/>
    </w:rPr>
  </w:style>
  <w:style w:type="paragraph" w:customStyle="1" w:styleId="148">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autoRedefine/>
    <w:qFormat/>
    <w:uiPriority w:val="0"/>
    <w:rPr>
      <w:rFonts w:ascii="Tahoma" w:hAnsi="Tahoma"/>
      <w:sz w:val="24"/>
    </w:rPr>
  </w:style>
  <w:style w:type="paragraph" w:customStyle="1" w:styleId="150">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1"/>
    <w:autoRedefine/>
    <w:qFormat/>
    <w:uiPriority w:val="0"/>
    <w:pPr>
      <w:adjustRightInd w:val="0"/>
    </w:pPr>
    <w:rPr>
      <w:color w:val="000000"/>
      <w:lang w:val="en-GB"/>
    </w:rPr>
  </w:style>
  <w:style w:type="paragraph" w:customStyle="1" w:styleId="154">
    <w:name w:val="默认段落字体 Para Char Char Char Char Char Char Char"/>
    <w:basedOn w:val="1"/>
    <w:autoRedefine/>
    <w:qFormat/>
    <w:uiPriority w:val="0"/>
    <w:rPr>
      <w:rFonts w:ascii="Tahoma" w:hAnsi="Tahoma"/>
      <w:sz w:val="24"/>
    </w:rPr>
  </w:style>
  <w:style w:type="paragraph" w:customStyle="1" w:styleId="155">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autoRedefine/>
    <w:qFormat/>
    <w:uiPriority w:val="0"/>
    <w:pPr>
      <w:spacing w:beforeLines="50" w:line="360" w:lineRule="auto"/>
      <w:ind w:firstLine="200" w:firstLineChars="200"/>
    </w:pPr>
    <w:rPr>
      <w:spacing w:val="2"/>
      <w:sz w:val="24"/>
    </w:rPr>
  </w:style>
  <w:style w:type="paragraph" w:customStyle="1" w:styleId="160">
    <w:name w:val="文章正文"/>
    <w:basedOn w:val="1"/>
    <w:autoRedefine/>
    <w:qFormat/>
    <w:uiPriority w:val="0"/>
    <w:pPr>
      <w:ind w:firstLine="560" w:firstLineChars="200"/>
    </w:pPr>
    <w:rPr>
      <w:rFonts w:ascii="仿宋_GB2312" w:hAnsi="宋体" w:eastAsia="仿宋_GB2312"/>
      <w:color w:val="000000"/>
    </w:rPr>
  </w:style>
  <w:style w:type="paragraph" w:customStyle="1" w:styleId="161">
    <w:name w:val="Char"/>
    <w:basedOn w:val="1"/>
    <w:autoRedefine/>
    <w:qFormat/>
    <w:uiPriority w:val="0"/>
    <w:pPr>
      <w:spacing w:line="240" w:lineRule="atLeast"/>
      <w:ind w:left="420" w:firstLine="420"/>
    </w:pPr>
    <w:rPr>
      <w:kern w:val="0"/>
      <w:sz w:val="21"/>
    </w:rPr>
  </w:style>
  <w:style w:type="paragraph" w:customStyle="1" w:styleId="162">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3">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autoRedefine/>
    <w:qFormat/>
    <w:uiPriority w:val="0"/>
    <w:pPr>
      <w:spacing w:line="360" w:lineRule="auto"/>
    </w:pPr>
    <w:rPr>
      <w:rFonts w:eastAsia="黑体"/>
      <w:sz w:val="20"/>
    </w:rPr>
  </w:style>
  <w:style w:type="paragraph" w:customStyle="1" w:styleId="167">
    <w:name w:val="可研正文"/>
    <w:basedOn w:val="22"/>
    <w:autoRedefine/>
    <w:qFormat/>
    <w:uiPriority w:val="0"/>
    <w:pPr>
      <w:adjustRightInd w:val="0"/>
      <w:snapToGrid w:val="0"/>
      <w:spacing w:line="440" w:lineRule="exact"/>
      <w:ind w:firstLine="567"/>
    </w:pPr>
    <w:rPr>
      <w:sz w:val="28"/>
    </w:rPr>
  </w:style>
  <w:style w:type="paragraph" w:customStyle="1" w:styleId="168">
    <w:name w:val="标书正文:  0.74 厘米"/>
    <w:basedOn w:val="1"/>
    <w:autoRedefine/>
    <w:qFormat/>
    <w:uiPriority w:val="0"/>
    <w:pPr>
      <w:snapToGrid w:val="0"/>
      <w:spacing w:line="360" w:lineRule="auto"/>
      <w:ind w:firstLine="420"/>
    </w:pPr>
    <w:rPr>
      <w:sz w:val="24"/>
    </w:rPr>
  </w:style>
  <w:style w:type="paragraph" w:customStyle="1" w:styleId="169">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70">
    <w:name w:val="1"/>
    <w:basedOn w:val="1"/>
    <w:next w:val="31"/>
    <w:autoRedefine/>
    <w:qFormat/>
    <w:uiPriority w:val="0"/>
    <w:rPr>
      <w:rFonts w:ascii="宋体" w:hAnsi="Courier New"/>
      <w:sz w:val="21"/>
    </w:rPr>
  </w:style>
  <w:style w:type="paragraph" w:customStyle="1" w:styleId="171">
    <w:name w:val="没有缩进（为图形使用）"/>
    <w:basedOn w:val="1"/>
    <w:autoRedefine/>
    <w:qFormat/>
    <w:uiPriority w:val="0"/>
    <w:pPr>
      <w:spacing w:before="120" w:after="120" w:line="360" w:lineRule="auto"/>
    </w:pPr>
    <w:rPr>
      <w:sz w:val="24"/>
    </w:rPr>
  </w:style>
  <w:style w:type="paragraph" w:customStyle="1" w:styleId="172">
    <w:name w:val="标题无"/>
    <w:basedOn w:val="1"/>
    <w:autoRedefine/>
    <w:qFormat/>
    <w:uiPriority w:val="0"/>
    <w:pPr>
      <w:spacing w:line="360" w:lineRule="auto"/>
    </w:pPr>
    <w:rPr>
      <w:sz w:val="24"/>
    </w:rPr>
  </w:style>
  <w:style w:type="paragraph" w:customStyle="1" w:styleId="173">
    <w:name w:val="修订1"/>
    <w:autoRedefine/>
    <w:qFormat/>
    <w:uiPriority w:val="0"/>
    <w:rPr>
      <w:rFonts w:ascii="Calibri" w:hAnsi="Calibri" w:eastAsia="宋体" w:cs="Times New Roman"/>
      <w:kern w:val="2"/>
      <w:sz w:val="21"/>
      <w:lang w:val="en-US" w:eastAsia="zh-CN" w:bidi="ar-SA"/>
    </w:rPr>
  </w:style>
  <w:style w:type="paragraph" w:customStyle="1" w:styleId="174">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autoRedefine/>
    <w:qFormat/>
    <w:uiPriority w:val="0"/>
    <w:pPr>
      <w:spacing w:before="120" w:after="120" w:line="360" w:lineRule="auto"/>
      <w:jc w:val="center"/>
    </w:pPr>
    <w:rPr>
      <w:rFonts w:eastAsia="仿宋_GB2312"/>
      <w:b/>
      <w:sz w:val="24"/>
    </w:rPr>
  </w:style>
  <w:style w:type="paragraph" w:customStyle="1" w:styleId="176">
    <w:name w:val="Char Char14 Char Char"/>
    <w:basedOn w:val="1"/>
    <w:autoRedefine/>
    <w:qFormat/>
    <w:uiPriority w:val="0"/>
    <w:rPr>
      <w:sz w:val="21"/>
      <w:szCs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autoRedefine/>
    <w:qFormat/>
    <w:uiPriority w:val="0"/>
    <w:rPr>
      <w:sz w:val="21"/>
    </w:rPr>
  </w:style>
  <w:style w:type="paragraph" w:customStyle="1" w:styleId="179">
    <w:name w:val="正文1"/>
    <w:basedOn w:val="1"/>
    <w:autoRedefine/>
    <w:qFormat/>
    <w:uiPriority w:val="0"/>
    <w:pPr>
      <w:spacing w:line="300" w:lineRule="auto"/>
      <w:ind w:firstLine="200" w:firstLineChars="200"/>
    </w:pPr>
    <w:rPr>
      <w:sz w:val="24"/>
    </w:rPr>
  </w:style>
  <w:style w:type="paragraph" w:customStyle="1" w:styleId="180">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1">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autoRedefine/>
    <w:qFormat/>
    <w:uiPriority w:val="0"/>
    <w:rPr>
      <w:rFonts w:ascii="Tahoma" w:hAnsi="Tahoma"/>
      <w:sz w:val="24"/>
    </w:rPr>
  </w:style>
  <w:style w:type="paragraph" w:customStyle="1" w:styleId="183">
    <w:name w:val="正文文本 21"/>
    <w:basedOn w:val="1"/>
    <w:autoRedefine/>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autoRedefine/>
    <w:qFormat/>
    <w:uiPriority w:val="0"/>
    <w:rPr>
      <w:rFonts w:ascii="仿宋_GB2312"/>
      <w:b/>
      <w:sz w:val="30"/>
    </w:rPr>
  </w:style>
  <w:style w:type="paragraph" w:customStyle="1" w:styleId="185">
    <w:name w:val="Char Char Char Char Char"/>
    <w:basedOn w:val="1"/>
    <w:autoRedefine/>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autoRedefine/>
    <w:qFormat/>
    <w:uiPriority w:val="0"/>
    <w:pPr>
      <w:tabs>
        <w:tab w:val="left" w:pos="851"/>
      </w:tabs>
      <w:ind w:left="425" w:hanging="425"/>
      <w:outlineLvl w:val="2"/>
    </w:pPr>
    <w:rPr>
      <w:rFonts w:eastAsia="黑体"/>
      <w:b/>
      <w:sz w:val="32"/>
    </w:rPr>
  </w:style>
  <w:style w:type="paragraph" w:customStyle="1" w:styleId="188">
    <w:name w:val="二级条标题"/>
    <w:basedOn w:val="189"/>
    <w:next w:val="190"/>
    <w:autoRedefine/>
    <w:qFormat/>
    <w:uiPriority w:val="0"/>
    <w:pPr>
      <w:ind w:left="840"/>
      <w:outlineLvl w:val="3"/>
    </w:pPr>
  </w:style>
  <w:style w:type="paragraph" w:customStyle="1" w:styleId="189">
    <w:name w:val="一级条标题"/>
    <w:basedOn w:val="174"/>
    <w:next w:val="190"/>
    <w:autoRedefine/>
    <w:qFormat/>
    <w:uiPriority w:val="0"/>
    <w:pPr>
      <w:numPr>
        <w:numId w:val="0"/>
      </w:numPr>
      <w:spacing w:beforeLines="0" w:afterLines="0"/>
      <w:ind w:left="525"/>
      <w:outlineLvl w:val="2"/>
    </w:pPr>
    <w:rPr>
      <w:sz w:val="21"/>
    </w:rPr>
  </w:style>
  <w:style w:type="paragraph" w:customStyle="1" w:styleId="19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autoRedefine/>
    <w:qFormat/>
    <w:uiPriority w:val="0"/>
    <w:pPr>
      <w:spacing w:line="240" w:lineRule="atLeast"/>
      <w:ind w:left="420" w:firstLine="420"/>
    </w:pPr>
    <w:rPr>
      <w:kern w:val="0"/>
      <w:sz w:val="21"/>
    </w:rPr>
  </w:style>
  <w:style w:type="paragraph" w:customStyle="1" w:styleId="192">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3">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autoRedefine/>
    <w:qFormat/>
    <w:uiPriority w:val="0"/>
    <w:pPr>
      <w:spacing w:after="120" w:line="360" w:lineRule="auto"/>
      <w:ind w:firstLine="200" w:firstLineChars="200"/>
    </w:pPr>
    <w:rPr>
      <w:sz w:val="24"/>
    </w:rPr>
  </w:style>
  <w:style w:type="paragraph" w:customStyle="1" w:styleId="196">
    <w:name w:val="文本1"/>
    <w:basedOn w:val="1"/>
    <w:autoRedefine/>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5"/>
    <w:autoRedefine/>
    <w:qFormat/>
    <w:uiPriority w:val="0"/>
    <w:pPr>
      <w:ind w:firstLine="480" w:firstLineChars="200"/>
    </w:pPr>
  </w:style>
  <w:style w:type="paragraph" w:customStyle="1" w:styleId="198">
    <w:name w:val="表文字"/>
    <w:autoRedefine/>
    <w:qFormat/>
    <w:uiPriority w:val="0"/>
    <w:rPr>
      <w:rFonts w:ascii="宋体" w:hAnsi="Times New Roman" w:eastAsia="宋体" w:cs="Times New Roman"/>
      <w:kern w:val="2"/>
      <w:lang w:val="en-US" w:eastAsia="zh-CN" w:bidi="ar-SA"/>
    </w:rPr>
  </w:style>
  <w:style w:type="paragraph" w:customStyle="1" w:styleId="199">
    <w:name w:val="IN Feature"/>
    <w:next w:val="137"/>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autoRedefine/>
    <w:qFormat/>
    <w:uiPriority w:val="0"/>
    <w:pPr>
      <w:tabs>
        <w:tab w:val="left" w:pos="720"/>
      </w:tabs>
      <w:spacing w:before="500" w:after="260" w:line="560" w:lineRule="atLeast"/>
      <w:ind w:left="420" w:hanging="420"/>
    </w:pPr>
  </w:style>
  <w:style w:type="paragraph" w:customStyle="1" w:styleId="201">
    <w:name w:val="样式 行距: 1.5 倍行距1"/>
    <w:basedOn w:val="1"/>
    <w:autoRedefine/>
    <w:qFormat/>
    <w:uiPriority w:val="0"/>
    <w:pPr>
      <w:snapToGrid w:val="0"/>
    </w:pPr>
    <w:rPr>
      <w:sz w:val="21"/>
    </w:rPr>
  </w:style>
  <w:style w:type="paragraph" w:customStyle="1" w:styleId="202">
    <w:name w:val="Style Heading 3h3Heading 3 - oldLevel 3 HeadH3level_3PIM 3se..."/>
    <w:basedOn w:val="4"/>
    <w:qFormat/>
    <w:uiPriority w:val="0"/>
    <w:pPr>
      <w:numPr>
        <w:ilvl w:val="2"/>
        <w:numId w:val="9"/>
      </w:numPr>
      <w:tabs>
        <w:tab w:val="left" w:pos="709"/>
        <w:tab w:val="left" w:pos="1620"/>
      </w:tabs>
    </w:pPr>
  </w:style>
  <w:style w:type="paragraph" w:customStyle="1" w:styleId="20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autoRedefine/>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autoRedefine/>
    <w:qFormat/>
    <w:uiPriority w:val="0"/>
    <w:pPr>
      <w:adjustRightInd w:val="0"/>
      <w:spacing w:line="360" w:lineRule="auto"/>
    </w:pPr>
    <w:rPr>
      <w:kern w:val="0"/>
      <w:sz w:val="24"/>
    </w:rPr>
  </w:style>
  <w:style w:type="paragraph" w:customStyle="1" w:styleId="207">
    <w:name w:val="编号正文"/>
    <w:basedOn w:val="208"/>
    <w:autoRedefine/>
    <w:qFormat/>
    <w:uiPriority w:val="0"/>
    <w:pPr>
      <w:snapToGrid/>
      <w:spacing w:line="360" w:lineRule="auto"/>
      <w:ind w:left="1407" w:hanging="1047"/>
      <w:jc w:val="left"/>
    </w:pPr>
    <w:rPr>
      <w:rFonts w:eastAsia="仿宋_GB2312"/>
    </w:rPr>
  </w:style>
  <w:style w:type="paragraph" w:customStyle="1" w:styleId="20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autoRedefine/>
    <w:qFormat/>
    <w:uiPriority w:val="0"/>
    <w:rPr>
      <w:rFonts w:ascii="Tahoma" w:hAnsi="Tahoma"/>
      <w:sz w:val="24"/>
      <w:szCs w:val="24"/>
    </w:rPr>
  </w:style>
  <w:style w:type="paragraph" w:customStyle="1" w:styleId="211">
    <w:name w:val="Char Char Char Char Char Char Char"/>
    <w:basedOn w:val="1"/>
    <w:autoRedefine/>
    <w:qFormat/>
    <w:uiPriority w:val="0"/>
    <w:rPr>
      <w:rFonts w:ascii="Tahoma" w:hAnsi="Tahoma"/>
      <w:sz w:val="24"/>
    </w:rPr>
  </w:style>
  <w:style w:type="paragraph" w:customStyle="1" w:styleId="212">
    <w:name w:val="二级列表"/>
    <w:basedOn w:val="159"/>
    <w:next w:val="159"/>
    <w:autoRedefine/>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autoRedefine/>
    <w:qFormat/>
    <w:uiPriority w:val="0"/>
    <w:pPr>
      <w:spacing w:line="360" w:lineRule="auto"/>
      <w:ind w:firstLine="420"/>
    </w:pPr>
    <w:rPr>
      <w:sz w:val="24"/>
    </w:rPr>
  </w:style>
  <w:style w:type="paragraph" w:customStyle="1" w:styleId="220">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4">
    <w:name w:val="简单回函地址"/>
    <w:basedOn w:val="1"/>
    <w:autoRedefine/>
    <w:qFormat/>
    <w:uiPriority w:val="0"/>
    <w:pPr>
      <w:adjustRightInd w:val="0"/>
      <w:snapToGrid w:val="0"/>
      <w:spacing w:line="360" w:lineRule="auto"/>
    </w:pPr>
    <w:rPr>
      <w:sz w:val="24"/>
    </w:rPr>
  </w:style>
  <w:style w:type="paragraph" w:customStyle="1" w:styleId="225">
    <w:name w:val="正文 + 三号"/>
    <w:basedOn w:val="1"/>
    <w:autoRedefine/>
    <w:qFormat/>
    <w:uiPriority w:val="0"/>
    <w:rPr>
      <w:sz w:val="21"/>
    </w:rPr>
  </w:style>
  <w:style w:type="paragraph" w:customStyle="1" w:styleId="226">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autoRedefine/>
    <w:qFormat/>
    <w:uiPriority w:val="0"/>
    <w:pPr>
      <w:tabs>
        <w:tab w:val="left" w:pos="1050"/>
        <w:tab w:val="right" w:leader="dot" w:pos="8296"/>
      </w:tabs>
    </w:pPr>
    <w:rPr>
      <w:caps/>
      <w:spacing w:val="20"/>
      <w:sz w:val="24"/>
    </w:rPr>
  </w:style>
  <w:style w:type="paragraph" w:customStyle="1" w:styleId="228">
    <w:name w:val="图片文字"/>
    <w:basedOn w:val="1"/>
    <w:autoRedefine/>
    <w:qFormat/>
    <w:uiPriority w:val="0"/>
    <w:pPr>
      <w:spacing w:line="240" w:lineRule="atLeast"/>
      <w:jc w:val="center"/>
    </w:pPr>
    <w:rPr>
      <w:sz w:val="21"/>
    </w:rPr>
  </w:style>
  <w:style w:type="paragraph" w:customStyle="1" w:styleId="229">
    <w:name w:val="摘要"/>
    <w:basedOn w:val="1"/>
    <w:next w:val="3"/>
    <w:autoRedefine/>
    <w:qFormat/>
    <w:uiPriority w:val="0"/>
    <w:pPr>
      <w:spacing w:line="360" w:lineRule="auto"/>
    </w:pPr>
    <w:rPr>
      <w:rFonts w:eastAsia="黑体"/>
      <w:sz w:val="20"/>
    </w:rPr>
  </w:style>
  <w:style w:type="paragraph" w:customStyle="1" w:styleId="230">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2"/>
    <w:autoRedefine/>
    <w:qFormat/>
    <w:uiPriority w:val="0"/>
    <w:pPr>
      <w:suppressAutoHyphens/>
      <w:jc w:val="left"/>
    </w:pPr>
    <w:rPr>
      <w:rFonts w:ascii="Times New Roman" w:eastAsia="Times New Roman"/>
      <w:kern w:val="0"/>
      <w:sz w:val="24"/>
    </w:rPr>
  </w:style>
  <w:style w:type="paragraph" w:customStyle="1" w:styleId="233">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autoRedefine/>
    <w:qFormat/>
    <w:uiPriority w:val="0"/>
    <w:pPr>
      <w:adjustRightInd w:val="0"/>
      <w:snapToGrid w:val="0"/>
      <w:spacing w:before="60" w:line="180" w:lineRule="exact"/>
      <w:jc w:val="center"/>
    </w:pPr>
    <w:rPr>
      <w:sz w:val="21"/>
    </w:rPr>
  </w:style>
  <w:style w:type="paragraph" w:customStyle="1" w:styleId="237">
    <w:name w:val="Char Char Char Char Char Char Char1"/>
    <w:basedOn w:val="17"/>
    <w:autoRedefine/>
    <w:qFormat/>
    <w:uiPriority w:val="0"/>
    <w:rPr>
      <w:rFonts w:ascii="宋体" w:hAnsi="Tahoma"/>
    </w:rPr>
  </w:style>
  <w:style w:type="paragraph" w:customStyle="1" w:styleId="23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autoRedefine/>
    <w:qFormat/>
    <w:uiPriority w:val="0"/>
    <w:pPr>
      <w:adjustRightInd w:val="0"/>
      <w:snapToGrid w:val="0"/>
    </w:pPr>
  </w:style>
  <w:style w:type="paragraph" w:customStyle="1" w:styleId="240">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autoRedefine/>
    <w:qFormat/>
    <w:uiPriority w:val="0"/>
    <w:rPr>
      <w:rFonts w:ascii="Tahoma" w:hAnsi="Tahoma"/>
      <w:sz w:val="30"/>
    </w:rPr>
  </w:style>
  <w:style w:type="paragraph" w:customStyle="1" w:styleId="244">
    <w:name w:val="彩色底纹1"/>
    <w:autoRedefine/>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4"/>
    <w:next w:val="56"/>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0">
    <w:name w:val="首行缩进"/>
    <w:basedOn w:val="1"/>
    <w:autoRedefine/>
    <w:qFormat/>
    <w:uiPriority w:val="0"/>
    <w:pPr>
      <w:numPr>
        <w:ilvl w:val="0"/>
        <w:numId w:val="12"/>
      </w:numPr>
      <w:spacing w:line="360" w:lineRule="auto"/>
    </w:pPr>
    <w:rPr>
      <w:rFonts w:eastAsia="仿宋_GB2312"/>
    </w:rPr>
  </w:style>
  <w:style w:type="paragraph" w:customStyle="1" w:styleId="251">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25</Pages>
  <Words>7397</Words>
  <Characters>7720</Characters>
  <Lines>36</Lines>
  <Paragraphs>10</Paragraphs>
  <TotalTime>65</TotalTime>
  <ScaleCrop>false</ScaleCrop>
  <LinksUpToDate>false</LinksUpToDate>
  <CharactersWithSpaces>8160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2019-12-16T09:18:00Z</dcterms:created>
  <dc:creator>罗成</dc:creator>
  <cp:lastModifiedBy>12345</cp:lastModifiedBy>
  <cp:lastPrinted>2018-08-06T08:28:00Z</cp:lastPrinted>
  <dcterms:modified xsi:type="dcterms:W3CDTF">2025-10-22T07:57:44Z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D031DE81067042C49007545D546324C5_13</vt:lpwstr>
  </property>
  <property fmtid="{D5CDD505-2E9C-101B-9397-08002B2CF9AE}" pid="4" name="KSOTemplateDocerSaveRecord">
    <vt:lpwstr>eyJoZGlkIjoiYTA2NzViNWNlNzE4YmQwYjYzNjQxOGJmNDcwZWJhYzUiLCJ1c2VySWQiOiIxOTk1ODg3MTMifQ==</vt:lpwstr>
  </property>
</Properties>
</file>