
<file path=[Content_Types].xml><?xml version="1.0" encoding="utf-8"?>
<Types xmlns="http://schemas.openxmlformats.org/package/2006/content-types">
  <Default Extension="xml" ContentType="application/xml"/>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color w:val="auto"/>
        </w:rPr>
      </w:pPr>
    </w:p>
    <w:p>
      <w:pPr>
        <w:pStyle w:val="25"/>
        <w:jc w:val="center"/>
        <w:rPr>
          <w:rFonts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color w:val="auto"/>
          <w:sz w:val="84"/>
          <w:szCs w:val="84"/>
        </w:rPr>
        <w:t>政府采购</w:t>
      </w:r>
    </w:p>
    <w:p>
      <w:pPr>
        <w:pStyle w:val="25"/>
        <w:adjustRightInd w:val="0"/>
        <w:snapToGrid w:val="0"/>
        <w:spacing w:line="360" w:lineRule="auto"/>
        <w:jc w:val="center"/>
        <w:rPr>
          <w:rFonts w:asciiTheme="minorEastAsia" w:hAnsiTheme="minorEastAsia" w:eastAsiaTheme="minorEastAsia" w:cstheme="minorEastAsia"/>
          <w:b/>
          <w:color w:val="auto"/>
          <w:sz w:val="84"/>
          <w:szCs w:val="84"/>
        </w:rPr>
      </w:pPr>
      <w:r>
        <w:rPr>
          <w:rFonts w:hint="eastAsia" w:asciiTheme="minorEastAsia" w:hAnsiTheme="minorEastAsia" w:eastAsiaTheme="minorEastAsia" w:cstheme="minorEastAsia"/>
          <w:b/>
          <w:color w:val="auto"/>
          <w:sz w:val="84"/>
          <w:szCs w:val="84"/>
        </w:rPr>
        <w:t>竞争性磋商文件</w:t>
      </w:r>
    </w:p>
    <w:p>
      <w:pPr>
        <w:pStyle w:val="25"/>
        <w:adjustRightInd w:val="0"/>
        <w:snapToGrid w:val="0"/>
        <w:spacing w:beforeLines="50" w:line="360" w:lineRule="auto"/>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drawing>
          <wp:inline distT="0" distB="0" distL="114300" distR="114300">
            <wp:extent cx="1684020" cy="1554480"/>
            <wp:effectExtent l="0" t="0" r="7620" b="0"/>
            <wp:docPr id="5" name="图片 5" descr="6f0abc9eebc7f3729d8753356d4e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f0abc9eebc7f3729d8753356d4ee48"/>
                    <pic:cNvPicPr>
                      <a:picLocks noChangeAspect="1"/>
                    </pic:cNvPicPr>
                  </pic:nvPicPr>
                  <pic:blipFill>
                    <a:blip r:embed="rId11"/>
                    <a:stretch>
                      <a:fillRect/>
                    </a:stretch>
                  </pic:blipFill>
                  <pic:spPr>
                    <a:xfrm>
                      <a:off x="0" y="0"/>
                      <a:ext cx="1684020" cy="1554480"/>
                    </a:xfrm>
                    <a:prstGeom prst="rect">
                      <a:avLst/>
                    </a:prstGeom>
                  </pic:spPr>
                </pic:pic>
              </a:graphicData>
            </a:graphic>
          </wp:inline>
        </w:drawing>
      </w: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pStyle w:val="25"/>
        <w:adjustRightInd w:val="0"/>
        <w:snapToGrid w:val="0"/>
        <w:spacing w:beforeLines="50" w:line="360" w:lineRule="auto"/>
        <w:ind w:left="846" w:leftChars="403" w:firstLine="157" w:firstLineChars="49"/>
        <w:rPr>
          <w:rFonts w:asciiTheme="minorEastAsia" w:hAnsiTheme="minorEastAsia" w:eastAsiaTheme="minorEastAsia" w:cstheme="minorEastAsia"/>
          <w:b/>
          <w:color w:val="auto"/>
          <w:sz w:val="32"/>
          <w:szCs w:val="32"/>
        </w:rPr>
      </w:pPr>
    </w:p>
    <w:p>
      <w:pPr>
        <w:spacing w:line="360" w:lineRule="auto"/>
        <w:ind w:firstLine="964" w:firstLineChars="300"/>
        <w:rPr>
          <w:rFonts w:ascii="宋体" w:hAnsi="宋体"/>
          <w:b/>
          <w:color w:val="auto"/>
          <w:sz w:val="32"/>
          <w:szCs w:val="32"/>
        </w:rPr>
      </w:pPr>
    </w:p>
    <w:p>
      <w:pPr>
        <w:spacing w:line="360" w:lineRule="auto"/>
        <w:ind w:firstLine="1285" w:firstLineChars="400"/>
        <w:rPr>
          <w:rFonts w:hint="default" w:ascii="宋体" w:hAnsi="宋体" w:eastAsia="宋体"/>
          <w:b/>
          <w:color w:val="auto"/>
          <w:sz w:val="32"/>
          <w:szCs w:val="32"/>
          <w:lang w:val="en-US" w:eastAsia="zh-CN"/>
        </w:rPr>
      </w:pPr>
      <w:r>
        <w:rPr>
          <w:rFonts w:hint="eastAsia" w:ascii="宋体" w:hAnsi="宋体"/>
          <w:b/>
          <w:color w:val="auto"/>
          <w:sz w:val="32"/>
          <w:szCs w:val="32"/>
        </w:rPr>
        <w:t>项目名称：</w:t>
      </w:r>
      <w:r>
        <w:rPr>
          <w:rFonts w:hint="eastAsia" w:ascii="宋体" w:hAnsi="宋体"/>
          <w:b/>
          <w:color w:val="auto"/>
          <w:sz w:val="32"/>
          <w:szCs w:val="32"/>
          <w:lang w:val="en-US" w:eastAsia="zh-CN"/>
        </w:rPr>
        <w:t>临湘市水利工程白蚁等害堤动物防治项目</w:t>
      </w:r>
    </w:p>
    <w:p>
      <w:pPr>
        <w:spacing w:line="360" w:lineRule="auto"/>
        <w:ind w:firstLine="1285" w:firstLineChars="400"/>
        <w:rPr>
          <w:rFonts w:hint="eastAsia" w:ascii="宋体" w:hAnsi="宋体" w:eastAsia="宋体"/>
          <w:b/>
          <w:color w:val="auto"/>
          <w:sz w:val="32"/>
          <w:szCs w:val="32"/>
          <w:lang w:eastAsia="zh-CN"/>
        </w:rPr>
      </w:pPr>
      <w:r>
        <w:rPr>
          <w:rFonts w:hint="eastAsia" w:ascii="宋体" w:hAnsi="宋体"/>
          <w:b/>
          <w:color w:val="auto"/>
          <w:sz w:val="32"/>
          <w:szCs w:val="32"/>
        </w:rPr>
        <w:t>采 购 人：临湘市</w:t>
      </w:r>
      <w:r>
        <w:rPr>
          <w:rFonts w:hint="eastAsia" w:ascii="宋体" w:hAnsi="宋体"/>
          <w:b/>
          <w:color w:val="auto"/>
          <w:sz w:val="32"/>
          <w:szCs w:val="32"/>
          <w:lang w:eastAsia="zh-CN"/>
        </w:rPr>
        <w:t>水利工程服务站</w:t>
      </w:r>
    </w:p>
    <w:p>
      <w:pPr>
        <w:spacing w:line="360" w:lineRule="auto"/>
        <w:ind w:firstLine="1285" w:firstLineChars="400"/>
        <w:rPr>
          <w:rFonts w:hint="eastAsia" w:ascii="宋体" w:hAnsi="宋体"/>
          <w:b/>
          <w:color w:val="auto"/>
          <w:sz w:val="32"/>
          <w:szCs w:val="32"/>
          <w:lang w:eastAsia="zh-CN"/>
        </w:rPr>
      </w:pPr>
      <w:r>
        <w:rPr>
          <w:rFonts w:hint="eastAsia" w:ascii="宋体" w:hAnsi="宋体"/>
          <w:b/>
          <w:color w:val="auto"/>
          <w:sz w:val="32"/>
          <w:szCs w:val="32"/>
        </w:rPr>
        <w:t>代理机构：</w:t>
      </w:r>
      <w:r>
        <w:rPr>
          <w:rFonts w:hint="eastAsia" w:ascii="宋体" w:hAnsi="宋体"/>
          <w:b/>
          <w:color w:val="auto"/>
          <w:sz w:val="32"/>
          <w:szCs w:val="32"/>
          <w:lang w:eastAsia="zh-CN"/>
        </w:rPr>
        <w:t>中采联合招标有限公司</w:t>
      </w:r>
    </w:p>
    <w:p>
      <w:pPr>
        <w:spacing w:line="360" w:lineRule="auto"/>
        <w:ind w:firstLine="1285" w:firstLineChars="400"/>
        <w:rPr>
          <w:rFonts w:asciiTheme="minorEastAsia" w:hAnsiTheme="minorEastAsia" w:eastAsiaTheme="minorEastAsia" w:cstheme="minorEastAsia"/>
          <w:b/>
          <w:color w:val="auto"/>
          <w:sz w:val="28"/>
          <w:szCs w:val="28"/>
        </w:rPr>
      </w:pPr>
      <w:r>
        <w:rPr>
          <w:rFonts w:hint="eastAsia" w:ascii="宋体" w:hAnsi="宋体"/>
          <w:b/>
          <w:color w:val="auto"/>
          <w:sz w:val="32"/>
          <w:szCs w:val="32"/>
        </w:rPr>
        <w:t>日</w:t>
      </w:r>
      <w:r>
        <w:rPr>
          <w:rFonts w:hint="eastAsia" w:ascii="宋体" w:hAnsi="宋体"/>
          <w:b/>
          <w:color w:val="auto"/>
          <w:sz w:val="32"/>
          <w:szCs w:val="32"/>
          <w:lang w:val="en-US" w:eastAsia="zh-CN"/>
        </w:rPr>
        <w:t xml:space="preserve">    </w:t>
      </w:r>
      <w:r>
        <w:rPr>
          <w:rFonts w:hint="eastAsia" w:ascii="宋体" w:hAnsi="宋体"/>
          <w:b/>
          <w:color w:val="auto"/>
          <w:sz w:val="32"/>
          <w:szCs w:val="32"/>
        </w:rPr>
        <w:t>期：202</w:t>
      </w:r>
      <w:r>
        <w:rPr>
          <w:rFonts w:hint="eastAsia" w:ascii="宋体" w:hAnsi="宋体"/>
          <w:b/>
          <w:color w:val="auto"/>
          <w:sz w:val="32"/>
          <w:szCs w:val="32"/>
          <w:lang w:val="en-US" w:eastAsia="zh-CN"/>
        </w:rPr>
        <w:t>5</w:t>
      </w:r>
      <w:r>
        <w:rPr>
          <w:rFonts w:hint="eastAsia" w:ascii="宋体" w:hAnsi="宋体"/>
          <w:b/>
          <w:color w:val="auto"/>
          <w:sz w:val="32"/>
          <w:szCs w:val="32"/>
        </w:rPr>
        <w:t>年</w:t>
      </w:r>
      <w:r>
        <w:rPr>
          <w:rFonts w:hint="eastAsia" w:ascii="宋体" w:hAnsi="宋体"/>
          <w:b/>
          <w:color w:val="auto"/>
          <w:sz w:val="32"/>
          <w:szCs w:val="32"/>
          <w:lang w:val="en-US" w:eastAsia="zh-CN"/>
        </w:rPr>
        <w:t>10</w:t>
      </w:r>
      <w:r>
        <w:rPr>
          <w:rFonts w:hint="eastAsia" w:ascii="宋体" w:hAnsi="宋体"/>
          <w:b/>
          <w:color w:val="auto"/>
          <w:sz w:val="32"/>
          <w:szCs w:val="32"/>
        </w:rPr>
        <w:t>月</w:t>
      </w:r>
    </w:p>
    <w:sdt>
      <w:sdtPr>
        <w:rPr>
          <w:rFonts w:ascii="宋体" w:hAnsi="宋体"/>
          <w:color w:val="auto"/>
        </w:rPr>
        <w:id w:val="147452475"/>
      </w:sdtPr>
      <w:sdtEndPr>
        <w:rPr>
          <w:rFonts w:hint="eastAsia" w:asciiTheme="minorEastAsia" w:hAnsiTheme="minorEastAsia" w:eastAsiaTheme="minorEastAsia" w:cstheme="minorEastAsia"/>
          <w:b/>
          <w:color w:val="auto"/>
        </w:rPr>
      </w:sdtEndPr>
      <w:sdtContent>
        <w:p>
          <w:pPr>
            <w:jc w:val="center"/>
            <w:rPr>
              <w:rFonts w:ascii="宋体" w:hAnsi="宋体"/>
              <w:color w:val="auto"/>
            </w:rPr>
          </w:pPr>
        </w:p>
        <w:p>
          <w:pPr>
            <w:jc w:val="center"/>
            <w:rPr>
              <w:rFonts w:ascii="宋体" w:hAnsi="宋体"/>
              <w:color w:val="auto"/>
            </w:rPr>
          </w:pPr>
        </w:p>
        <w:p>
          <w:pPr>
            <w:jc w:val="center"/>
            <w:rPr>
              <w:rFonts w:ascii="宋体" w:hAnsi="宋体"/>
              <w:b/>
              <w:bCs/>
              <w:color w:val="auto"/>
              <w:sz w:val="28"/>
              <w:szCs w:val="28"/>
            </w:rPr>
          </w:pPr>
          <w:r>
            <w:rPr>
              <w:rFonts w:ascii="宋体" w:hAnsi="宋体"/>
              <w:b/>
              <w:bCs/>
              <w:color w:val="auto"/>
              <w:sz w:val="28"/>
              <w:szCs w:val="28"/>
            </w:rPr>
            <w:t>目录</w:t>
          </w:r>
        </w:p>
        <w:p>
          <w:pPr>
            <w:pStyle w:val="20"/>
            <w:rPr>
              <w:color w:val="auto"/>
            </w:rPr>
          </w:pPr>
        </w:p>
        <w:p>
          <w:pPr>
            <w:pStyle w:val="32"/>
            <w:tabs>
              <w:tab w:val="right" w:leader="dot" w:pos="8844"/>
            </w:tabs>
            <w:rPr>
              <w:color w:val="auto"/>
              <w:sz w:val="21"/>
              <w:szCs w:val="21"/>
            </w:rPr>
          </w:pPr>
          <w:r>
            <w:rPr>
              <w:rFonts w:hint="eastAsia" w:asciiTheme="minorEastAsia" w:hAnsiTheme="minorEastAsia" w:eastAsiaTheme="minorEastAsia" w:cstheme="minorEastAsia"/>
              <w:color w:val="auto"/>
              <w:sz w:val="24"/>
            </w:rPr>
            <w:fldChar w:fldCharType="begin"/>
          </w:r>
          <w:r>
            <w:rPr>
              <w:rFonts w:hint="eastAsia" w:asciiTheme="minorEastAsia" w:hAnsiTheme="minorEastAsia" w:eastAsiaTheme="minorEastAsia" w:cstheme="minorEastAsia"/>
              <w:color w:val="auto"/>
              <w:sz w:val="24"/>
            </w:rPr>
            <w:instrText xml:space="preserve">TOC \o "1-2" \h \u </w:instrText>
          </w:r>
          <w:r>
            <w:rPr>
              <w:rFonts w:hint="eastAsia" w:asciiTheme="minorEastAsia" w:hAnsiTheme="minorEastAsia" w:eastAsiaTheme="minorEastAsia" w:cstheme="minorEastAsia"/>
              <w:color w:val="auto"/>
              <w:sz w:val="24"/>
            </w:rPr>
            <w:fldChar w:fldCharType="separate"/>
          </w:r>
          <w:r>
            <w:rPr>
              <w:color w:val="auto"/>
            </w:rPr>
            <w:fldChar w:fldCharType="begin"/>
          </w:r>
          <w:r>
            <w:rPr>
              <w:color w:val="auto"/>
            </w:rPr>
            <w:instrText xml:space="preserve"> HYPERLINK \l "_Toc27458" </w:instrText>
          </w:r>
          <w:r>
            <w:rPr>
              <w:color w:val="auto"/>
            </w:rPr>
            <w:fldChar w:fldCharType="separate"/>
          </w:r>
          <w:r>
            <w:rPr>
              <w:rFonts w:hint="eastAsia" w:asciiTheme="minorEastAsia" w:hAnsiTheme="minorEastAsia" w:eastAsiaTheme="minorEastAsia" w:cstheme="minorEastAsia"/>
              <w:color w:val="auto"/>
              <w:sz w:val="21"/>
              <w:szCs w:val="21"/>
            </w:rPr>
            <w:t>第一章  磋商邀请</w:t>
          </w:r>
          <w:r>
            <w:rPr>
              <w:color w:val="auto"/>
              <w:sz w:val="21"/>
              <w:szCs w:val="21"/>
            </w:rPr>
            <w:tab/>
          </w:r>
          <w:r>
            <w:rPr>
              <w:rFonts w:hint="eastAsia"/>
              <w:color w:val="auto"/>
              <w:sz w:val="21"/>
              <w:szCs w:val="21"/>
            </w:rPr>
            <w:t>2</w:t>
          </w:r>
          <w:r>
            <w:rPr>
              <w:rFonts w:hint="eastAsia"/>
              <w:color w:val="auto"/>
              <w:sz w:val="21"/>
              <w:szCs w:val="21"/>
            </w:rPr>
            <w:fldChar w:fldCharType="end"/>
          </w:r>
        </w:p>
        <w:p>
          <w:pPr>
            <w:pStyle w:val="32"/>
            <w:tabs>
              <w:tab w:val="right" w:leader="dot" w:pos="8844"/>
            </w:tabs>
            <w:rPr>
              <w:color w:val="auto"/>
              <w:sz w:val="21"/>
              <w:szCs w:val="21"/>
            </w:rPr>
          </w:pPr>
          <w:r>
            <w:rPr>
              <w:color w:val="auto"/>
            </w:rPr>
            <w:fldChar w:fldCharType="begin"/>
          </w:r>
          <w:r>
            <w:rPr>
              <w:color w:val="auto"/>
            </w:rPr>
            <w:instrText xml:space="preserve"> HYPERLINK \l "_Toc15656" </w:instrText>
          </w:r>
          <w:r>
            <w:rPr>
              <w:color w:val="auto"/>
            </w:rPr>
            <w:fldChar w:fldCharType="separate"/>
          </w:r>
          <w:r>
            <w:rPr>
              <w:rFonts w:hint="eastAsia" w:asciiTheme="minorEastAsia" w:hAnsiTheme="minorEastAsia" w:eastAsiaTheme="minorEastAsia" w:cstheme="minorEastAsia"/>
              <w:color w:val="auto"/>
              <w:sz w:val="21"/>
              <w:szCs w:val="21"/>
            </w:rPr>
            <w:t>第二章 磋商须知</w:t>
          </w:r>
          <w:r>
            <w:rPr>
              <w:color w:val="auto"/>
              <w:sz w:val="21"/>
              <w:szCs w:val="21"/>
            </w:rPr>
            <w:tab/>
          </w:r>
          <w:r>
            <w:rPr>
              <w:rFonts w:hint="eastAsia"/>
              <w:color w:val="auto"/>
              <w:sz w:val="21"/>
              <w:szCs w:val="21"/>
            </w:rPr>
            <w:t>4</w:t>
          </w:r>
          <w:r>
            <w:rPr>
              <w:rFonts w:hint="eastAsia"/>
              <w:color w:val="auto"/>
              <w:sz w:val="21"/>
              <w:szCs w:val="21"/>
            </w:rPr>
            <w:fldChar w:fldCharType="end"/>
          </w:r>
        </w:p>
        <w:p>
          <w:pPr>
            <w:pStyle w:val="32"/>
            <w:tabs>
              <w:tab w:val="right" w:leader="dot" w:pos="8844"/>
            </w:tabs>
            <w:rPr>
              <w:rFonts w:eastAsiaTheme="minorEastAsia"/>
              <w:color w:val="auto"/>
              <w:sz w:val="21"/>
              <w:szCs w:val="21"/>
            </w:rPr>
          </w:pPr>
          <w:r>
            <w:rPr>
              <w:color w:val="auto"/>
            </w:rPr>
            <w:fldChar w:fldCharType="begin"/>
          </w:r>
          <w:r>
            <w:rPr>
              <w:color w:val="auto"/>
            </w:rPr>
            <w:instrText xml:space="preserve"> HYPERLINK \l "_Toc27256" </w:instrText>
          </w:r>
          <w:r>
            <w:rPr>
              <w:color w:val="auto"/>
            </w:rPr>
            <w:fldChar w:fldCharType="separate"/>
          </w:r>
          <w:r>
            <w:rPr>
              <w:rFonts w:hint="eastAsia" w:asciiTheme="minorEastAsia" w:hAnsiTheme="minorEastAsia" w:eastAsiaTheme="minorEastAsia" w:cstheme="minorEastAsia"/>
              <w:color w:val="auto"/>
              <w:sz w:val="21"/>
              <w:szCs w:val="21"/>
            </w:rPr>
            <w:t>第三章 政府采购合同格式</w:t>
          </w:r>
          <w:r>
            <w:rPr>
              <w:color w:val="auto"/>
              <w:sz w:val="21"/>
              <w:szCs w:val="21"/>
            </w:rPr>
            <w:tab/>
          </w:r>
          <w:r>
            <w:rPr>
              <w:rFonts w:hint="eastAsia"/>
              <w:color w:val="auto"/>
              <w:sz w:val="21"/>
              <w:szCs w:val="21"/>
            </w:rPr>
            <w:t>2</w:t>
          </w:r>
          <w:r>
            <w:rPr>
              <w:rFonts w:hint="eastAsia"/>
              <w:color w:val="auto"/>
              <w:sz w:val="21"/>
              <w:szCs w:val="21"/>
            </w:rPr>
            <w:fldChar w:fldCharType="end"/>
          </w:r>
          <w:r>
            <w:rPr>
              <w:rFonts w:hint="eastAsia" w:asciiTheme="minorEastAsia" w:hAnsiTheme="minorEastAsia" w:eastAsiaTheme="minorEastAsia" w:cstheme="minorEastAsia"/>
              <w:color w:val="auto"/>
              <w:sz w:val="21"/>
              <w:szCs w:val="21"/>
            </w:rPr>
            <w:t>9</w:t>
          </w:r>
        </w:p>
        <w:p>
          <w:pPr>
            <w:pStyle w:val="32"/>
            <w:tabs>
              <w:tab w:val="right" w:leader="dot" w:pos="8844"/>
            </w:tabs>
            <w:rPr>
              <w:rFonts w:eastAsiaTheme="minorEastAsia"/>
              <w:color w:val="auto"/>
              <w:sz w:val="21"/>
              <w:szCs w:val="21"/>
            </w:rPr>
          </w:pPr>
          <w:r>
            <w:rPr>
              <w:color w:val="auto"/>
            </w:rPr>
            <w:fldChar w:fldCharType="begin"/>
          </w:r>
          <w:r>
            <w:rPr>
              <w:color w:val="auto"/>
            </w:rPr>
            <w:instrText xml:space="preserve"> HYPERLINK \l "_Toc8865" </w:instrText>
          </w:r>
          <w:r>
            <w:rPr>
              <w:color w:val="auto"/>
            </w:rPr>
            <w:fldChar w:fldCharType="separate"/>
          </w:r>
          <w:r>
            <w:rPr>
              <w:rFonts w:hint="eastAsia" w:asciiTheme="minorEastAsia" w:hAnsiTheme="minorEastAsia" w:eastAsiaTheme="minorEastAsia" w:cstheme="minorEastAsia"/>
              <w:bCs/>
              <w:color w:val="auto"/>
              <w:sz w:val="21"/>
              <w:szCs w:val="21"/>
            </w:rPr>
            <w:t>第四章 采购需求</w:t>
          </w:r>
          <w:r>
            <w:rPr>
              <w:color w:val="auto"/>
              <w:sz w:val="21"/>
              <w:szCs w:val="21"/>
            </w:rPr>
            <w:tab/>
          </w:r>
          <w:r>
            <w:rPr>
              <w:rFonts w:hint="eastAsia"/>
              <w:color w:val="auto"/>
              <w:sz w:val="21"/>
              <w:szCs w:val="21"/>
            </w:rPr>
            <w:t>3</w:t>
          </w:r>
          <w:r>
            <w:rPr>
              <w:rFonts w:hint="eastAsia"/>
              <w:color w:val="auto"/>
              <w:sz w:val="21"/>
              <w:szCs w:val="21"/>
            </w:rPr>
            <w:fldChar w:fldCharType="end"/>
          </w:r>
          <w:r>
            <w:rPr>
              <w:rFonts w:hint="eastAsia" w:asciiTheme="minorEastAsia" w:hAnsiTheme="minorEastAsia" w:eastAsiaTheme="minorEastAsia" w:cstheme="minorEastAsia"/>
              <w:color w:val="auto"/>
              <w:sz w:val="21"/>
              <w:szCs w:val="21"/>
            </w:rPr>
            <w:t>2</w:t>
          </w:r>
        </w:p>
        <w:p>
          <w:pPr>
            <w:pStyle w:val="32"/>
            <w:tabs>
              <w:tab w:val="right" w:leader="dot" w:pos="8844"/>
            </w:tabs>
            <w:rPr>
              <w:color w:val="auto"/>
              <w:sz w:val="21"/>
              <w:szCs w:val="21"/>
            </w:rPr>
          </w:pPr>
          <w:r>
            <w:rPr>
              <w:color w:val="auto"/>
            </w:rPr>
            <w:fldChar w:fldCharType="begin"/>
          </w:r>
          <w:r>
            <w:rPr>
              <w:color w:val="auto"/>
            </w:rPr>
            <w:instrText xml:space="preserve"> HYPERLINK \l "_Toc16060" </w:instrText>
          </w:r>
          <w:r>
            <w:rPr>
              <w:color w:val="auto"/>
            </w:rPr>
            <w:fldChar w:fldCharType="separate"/>
          </w:r>
          <w:r>
            <w:rPr>
              <w:rFonts w:hint="eastAsia" w:asciiTheme="minorEastAsia" w:hAnsiTheme="minorEastAsia" w:eastAsiaTheme="minorEastAsia" w:cstheme="minorEastAsia"/>
              <w:color w:val="auto"/>
              <w:sz w:val="21"/>
              <w:szCs w:val="21"/>
            </w:rPr>
            <w:t>第五章 响应文件组成</w:t>
          </w:r>
          <w:r>
            <w:rPr>
              <w:color w:val="auto"/>
              <w:sz w:val="21"/>
              <w:szCs w:val="21"/>
            </w:rPr>
            <w:tab/>
          </w:r>
          <w:r>
            <w:rPr>
              <w:rFonts w:hint="eastAsia"/>
              <w:color w:val="auto"/>
              <w:sz w:val="21"/>
              <w:szCs w:val="21"/>
            </w:rPr>
            <w:t>34</w:t>
          </w:r>
          <w:r>
            <w:rPr>
              <w:color w:val="auto"/>
              <w:sz w:val="21"/>
              <w:szCs w:val="21"/>
            </w:rPr>
            <w:tab/>
          </w:r>
          <w:r>
            <w:rPr>
              <w:color w:val="auto"/>
              <w:sz w:val="21"/>
              <w:szCs w:val="21"/>
            </w:rPr>
            <w:fldChar w:fldCharType="end"/>
          </w:r>
        </w:p>
        <w:p>
          <w:pPr>
            <w:pStyle w:val="32"/>
            <w:tabs>
              <w:tab w:val="right" w:leader="dot" w:pos="8844"/>
            </w:tabs>
            <w:rPr>
              <w:color w:val="auto"/>
              <w:sz w:val="21"/>
              <w:szCs w:val="21"/>
            </w:rPr>
          </w:pPr>
        </w:p>
        <w:p>
          <w:pPr>
            <w:spacing w:line="36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rPr>
            <w:fldChar w:fldCharType="end"/>
          </w:r>
        </w:p>
      </w:sdtContent>
    </w:sdt>
    <w:p>
      <w:pPr>
        <w:spacing w:line="360" w:lineRule="exact"/>
        <w:rPr>
          <w:rFonts w:asciiTheme="minorEastAsia" w:hAnsiTheme="minorEastAsia" w:eastAsiaTheme="minorEastAsia" w:cstheme="minorEastAsia"/>
          <w:b/>
          <w:color w:val="auto"/>
          <w:sz w:val="24"/>
        </w:rPr>
      </w:pPr>
    </w:p>
    <w:p>
      <w:pPr>
        <w:spacing w:line="360" w:lineRule="exact"/>
        <w:rPr>
          <w:rFonts w:asciiTheme="minorEastAsia" w:hAnsiTheme="minorEastAsia" w:eastAsiaTheme="minorEastAsia" w:cstheme="minorEastAsia"/>
          <w:b/>
          <w:color w:val="auto"/>
          <w:sz w:val="24"/>
        </w:rPr>
      </w:pPr>
    </w:p>
    <w:p>
      <w:pPr>
        <w:spacing w:line="360" w:lineRule="exact"/>
        <w:rPr>
          <w:rFonts w:asciiTheme="minorEastAsia" w:hAnsiTheme="minorEastAsia" w:eastAsiaTheme="minorEastAsia" w:cstheme="minorEastAsia"/>
          <w:b/>
          <w:color w:val="auto"/>
          <w:sz w:val="24"/>
        </w:rPr>
      </w:pPr>
    </w:p>
    <w:p>
      <w:pPr>
        <w:jc w:val="center"/>
        <w:rPr>
          <w:rFonts w:asciiTheme="minorEastAsia" w:hAnsiTheme="minorEastAsia" w:eastAsiaTheme="minorEastAsia" w:cstheme="minorEastAsia"/>
          <w:color w:val="auto"/>
          <w:sz w:val="32"/>
          <w:szCs w:val="32"/>
        </w:rPr>
      </w:pPr>
    </w:p>
    <w:p>
      <w:pPr>
        <w:jc w:val="center"/>
        <w:rPr>
          <w:rFonts w:asciiTheme="minorEastAsia" w:hAnsiTheme="minorEastAsia" w:eastAsiaTheme="minorEastAsia" w:cstheme="minorEastAsia"/>
          <w:color w:val="auto"/>
          <w:sz w:val="32"/>
          <w:szCs w:val="32"/>
        </w:rPr>
      </w:pPr>
    </w:p>
    <w:p>
      <w:pPr>
        <w:jc w:val="center"/>
        <w:rPr>
          <w:rFonts w:asciiTheme="minorEastAsia" w:hAnsiTheme="minorEastAsia" w:eastAsiaTheme="minorEastAsia" w:cstheme="minorEastAsia"/>
          <w:color w:val="auto"/>
          <w:sz w:val="32"/>
          <w:szCs w:val="32"/>
        </w:rPr>
      </w:pPr>
    </w:p>
    <w:p>
      <w:pPr>
        <w:jc w:val="center"/>
        <w:rPr>
          <w:rFonts w:asciiTheme="minorEastAsia" w:hAnsiTheme="minorEastAsia" w:eastAsiaTheme="minorEastAsia" w:cstheme="minorEastAsia"/>
          <w:color w:val="auto"/>
          <w:sz w:val="32"/>
          <w:szCs w:val="32"/>
        </w:rPr>
      </w:pPr>
    </w:p>
    <w:p>
      <w:pPr>
        <w:jc w:val="center"/>
        <w:rPr>
          <w:rFonts w:asciiTheme="minorEastAsia" w:hAnsiTheme="minorEastAsia" w:eastAsiaTheme="minorEastAsia" w:cstheme="minorEastAsia"/>
          <w:color w:val="auto"/>
          <w:sz w:val="32"/>
          <w:szCs w:val="32"/>
        </w:rPr>
      </w:pPr>
    </w:p>
    <w:p>
      <w:pPr>
        <w:jc w:val="center"/>
        <w:rPr>
          <w:rFonts w:asciiTheme="minorEastAsia" w:hAnsiTheme="minorEastAsia" w:eastAsiaTheme="minorEastAsia" w:cstheme="minorEastAsia"/>
          <w:color w:val="auto"/>
          <w:sz w:val="32"/>
          <w:szCs w:val="32"/>
        </w:rPr>
      </w:pPr>
    </w:p>
    <w:p>
      <w:pPr>
        <w:pStyle w:val="4"/>
        <w:rPr>
          <w:rFonts w:asciiTheme="minorEastAsia" w:hAnsiTheme="minorEastAsia" w:eastAsiaTheme="minorEastAsia" w:cstheme="minorEastAsia"/>
          <w:color w:val="auto"/>
          <w:sz w:val="32"/>
          <w:szCs w:val="32"/>
        </w:rPr>
      </w:pPr>
    </w:p>
    <w:p>
      <w:pPr>
        <w:rPr>
          <w:rFonts w:asciiTheme="minorEastAsia" w:hAnsiTheme="minorEastAsia" w:eastAsiaTheme="minorEastAsia" w:cstheme="minorEastAsia"/>
          <w:color w:val="auto"/>
          <w:sz w:val="32"/>
          <w:szCs w:val="32"/>
        </w:rPr>
      </w:pPr>
    </w:p>
    <w:p>
      <w:pPr>
        <w:rPr>
          <w:rFonts w:asciiTheme="minorEastAsia" w:hAnsiTheme="minorEastAsia" w:eastAsiaTheme="minorEastAsia" w:cstheme="minorEastAsia"/>
          <w:b/>
          <w:color w:val="auto"/>
          <w:sz w:val="32"/>
          <w:szCs w:val="32"/>
        </w:rPr>
      </w:pPr>
      <w:bookmarkStart w:id="0" w:name="_Toc17038_WPSOffice_Level1"/>
      <w:r>
        <w:rPr>
          <w:rFonts w:hint="eastAsia" w:asciiTheme="minorEastAsia" w:hAnsiTheme="minorEastAsia" w:eastAsiaTheme="minorEastAsia" w:cstheme="minorEastAsia"/>
          <w:b/>
          <w:color w:val="auto"/>
          <w:sz w:val="32"/>
          <w:szCs w:val="32"/>
        </w:rPr>
        <w:br w:type="page"/>
      </w:r>
    </w:p>
    <w:p>
      <w:pPr>
        <w:jc w:val="center"/>
        <w:outlineLvl w:val="0"/>
        <w:rPr>
          <w:rFonts w:asciiTheme="minorEastAsia" w:hAnsiTheme="minorEastAsia" w:eastAsiaTheme="minorEastAsia" w:cstheme="minorEastAsia"/>
          <w:b/>
          <w:color w:val="auto"/>
          <w:sz w:val="32"/>
          <w:szCs w:val="32"/>
        </w:rPr>
      </w:pPr>
      <w:bookmarkStart w:id="1" w:name="_Toc27458"/>
      <w:r>
        <w:rPr>
          <w:rFonts w:hint="eastAsia" w:asciiTheme="minorEastAsia" w:hAnsiTheme="minorEastAsia" w:eastAsiaTheme="minorEastAsia" w:cstheme="minorEastAsia"/>
          <w:b/>
          <w:color w:val="auto"/>
          <w:sz w:val="32"/>
          <w:szCs w:val="32"/>
        </w:rPr>
        <w:t>第一章  磋商邀请</w:t>
      </w:r>
      <w:bookmarkEnd w:id="0"/>
      <w:bookmarkEnd w:id="1"/>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临湘市</w:t>
      </w:r>
      <w:r>
        <w:rPr>
          <w:rFonts w:hint="eastAsia" w:ascii="宋体" w:hAnsi="宋体" w:cs="宋体"/>
          <w:color w:val="auto"/>
          <w:kern w:val="0"/>
          <w:sz w:val="24"/>
          <w:lang w:eastAsia="zh-CN"/>
        </w:rPr>
        <w:t>水利工程服务站</w:t>
      </w:r>
      <w:r>
        <w:rPr>
          <w:rFonts w:hint="eastAsia" w:ascii="宋体" w:hAnsi="宋体" w:cs="宋体"/>
          <w:color w:val="auto"/>
          <w:kern w:val="0"/>
          <w:sz w:val="24"/>
        </w:rPr>
        <w:t>的</w:t>
      </w:r>
      <w:r>
        <w:rPr>
          <w:rFonts w:hint="eastAsia" w:ascii="宋体" w:hAnsi="宋体" w:cs="宋体"/>
          <w:color w:val="auto"/>
          <w:kern w:val="0"/>
          <w:sz w:val="24"/>
          <w:lang w:val="en-US" w:eastAsia="zh-CN"/>
        </w:rPr>
        <w:t>临湘市水利工程白蚁等害堤动物防治项目</w:t>
      </w:r>
      <w:r>
        <w:rPr>
          <w:rFonts w:hint="eastAsia" w:ascii="宋体" w:hAnsi="宋体" w:cs="宋体"/>
          <w:color w:val="auto"/>
          <w:kern w:val="0"/>
          <w:sz w:val="24"/>
        </w:rPr>
        <w:t>进行采购，现邀请合格投标人参加投标。</w:t>
      </w:r>
    </w:p>
    <w:p>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一、采购项目基本信息</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1、采购项目名称：</w:t>
      </w:r>
      <w:r>
        <w:rPr>
          <w:rFonts w:hint="eastAsia" w:ascii="宋体" w:hAnsi="宋体" w:cs="宋体"/>
          <w:color w:val="auto"/>
          <w:kern w:val="0"/>
          <w:sz w:val="24"/>
          <w:lang w:val="en-US" w:eastAsia="zh-CN"/>
        </w:rPr>
        <w:t>临湘市水利工程白蚁等害堤动物防治项目</w:t>
      </w:r>
    </w:p>
    <w:p>
      <w:pPr>
        <w:widowControl/>
        <w:spacing w:before="75" w:line="460" w:lineRule="atLeast"/>
        <w:ind w:firstLine="420"/>
        <w:jc w:val="left"/>
        <w:rPr>
          <w:rFonts w:hint="eastAsia" w:ascii="宋体" w:hAnsi="宋体" w:eastAsia="宋体" w:cs="宋体"/>
          <w:color w:val="auto"/>
          <w:sz w:val="24"/>
          <w:lang w:val="en-US" w:eastAsia="zh-CN"/>
        </w:rPr>
      </w:pPr>
      <w:r>
        <w:rPr>
          <w:rFonts w:hint="eastAsia" w:ascii="宋体" w:hAnsi="宋体" w:cs="宋体"/>
          <w:color w:val="auto"/>
          <w:kern w:val="0"/>
          <w:sz w:val="24"/>
        </w:rPr>
        <w:t>2、政府采购计划编号：临财采计</w:t>
      </w:r>
      <w:r>
        <w:rPr>
          <w:rFonts w:hint="eastAsia" w:ascii="宋体" w:hAnsi="宋体" w:cs="宋体"/>
          <w:color w:val="auto"/>
          <w:kern w:val="0"/>
          <w:sz w:val="24"/>
          <w:lang w:eastAsia="zh-CN"/>
        </w:rPr>
        <w:t>[202</w:t>
      </w:r>
      <w:r>
        <w:rPr>
          <w:rFonts w:hint="eastAsia" w:ascii="宋体" w:hAnsi="宋体" w:cs="宋体"/>
          <w:color w:val="auto"/>
          <w:kern w:val="0"/>
          <w:sz w:val="24"/>
          <w:lang w:val="en-US" w:eastAsia="zh-CN"/>
        </w:rPr>
        <w:t>5</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 xml:space="preserve">C045 </w:t>
      </w:r>
    </w:p>
    <w:p>
      <w:pPr>
        <w:widowControl/>
        <w:spacing w:before="75" w:line="460" w:lineRule="atLeast"/>
        <w:ind w:firstLine="42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3、委托代理编号：ZCLX(CG)-</w:t>
      </w:r>
      <w:r>
        <w:rPr>
          <w:rFonts w:hint="eastAsia" w:ascii="宋体" w:hAnsi="宋体" w:cs="宋体"/>
          <w:color w:val="auto"/>
          <w:kern w:val="0"/>
          <w:sz w:val="24"/>
          <w:lang w:eastAsia="zh-CN"/>
        </w:rPr>
        <w:t>2025037</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4、采购项目预算：</w:t>
      </w:r>
      <w:r>
        <w:rPr>
          <w:rFonts w:hint="eastAsia" w:ascii="宋体" w:hAnsi="宋体" w:cs="宋体"/>
          <w:color w:val="auto"/>
          <w:kern w:val="0"/>
          <w:sz w:val="24"/>
          <w:lang w:eastAsia="zh-CN"/>
        </w:rPr>
        <w:t>1996106.88</w:t>
      </w:r>
      <w:r>
        <w:rPr>
          <w:rFonts w:hint="eastAsia" w:ascii="宋体" w:hAnsi="宋体" w:cs="宋体"/>
          <w:color w:val="auto"/>
          <w:kern w:val="0"/>
          <w:sz w:val="24"/>
        </w:rPr>
        <w:t>元</w:t>
      </w:r>
      <w:bookmarkStart w:id="97" w:name="_GoBack"/>
      <w:bookmarkEnd w:id="97"/>
    </w:p>
    <w:p>
      <w:pPr>
        <w:widowControl/>
        <w:spacing w:before="75" w:line="460" w:lineRule="atLeast"/>
        <w:ind w:firstLine="840"/>
        <w:jc w:val="left"/>
        <w:rPr>
          <w:rFonts w:ascii="宋体" w:hAnsi="宋体" w:cs="宋体"/>
          <w:color w:val="auto"/>
          <w:sz w:val="24"/>
          <w:u w:val="single"/>
        </w:rPr>
      </w:pPr>
      <w:r>
        <w:rPr>
          <w:rFonts w:ascii="宋体" w:hAnsi="宋体" w:cs="宋体"/>
          <w:color w:val="auto"/>
          <w:kern w:val="0"/>
          <w:sz w:val="24"/>
        </w:rPr>
        <w:pict>
          <v:shape id="_x0000_i1025"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支持预付款，预付比例：</w:t>
      </w:r>
    </w:p>
    <w:p>
      <w:pPr>
        <w:widowControl/>
        <w:spacing w:before="75" w:line="460" w:lineRule="atLeast"/>
        <w:ind w:firstLine="420"/>
        <w:jc w:val="left"/>
        <w:rPr>
          <w:rFonts w:hint="default" w:ascii="宋体" w:hAnsi="宋体" w:cs="宋体"/>
          <w:color w:val="auto"/>
          <w:sz w:val="24"/>
          <w:lang w:val="en-US"/>
        </w:rPr>
      </w:pPr>
      <w:r>
        <w:rPr>
          <w:rFonts w:hint="eastAsia" w:ascii="宋体" w:hAnsi="宋体" w:cs="宋体"/>
          <w:color w:val="auto"/>
          <w:kern w:val="0"/>
          <w:sz w:val="24"/>
        </w:rPr>
        <w:t>5、本项目对应的中小企业划分标准所属行业：</w:t>
      </w:r>
      <w:r>
        <w:rPr>
          <w:rFonts w:hint="eastAsia" w:ascii="宋体" w:hAnsi="宋体" w:cs="宋体"/>
          <w:color w:val="auto"/>
          <w:kern w:val="0"/>
          <w:sz w:val="24"/>
          <w:lang w:val="en-US" w:eastAsia="zh-CN"/>
        </w:rPr>
        <w:t>其他未列明行业</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6、评标方法： </w:t>
      </w:r>
      <w:r>
        <w:rPr>
          <w:rFonts w:ascii="宋体" w:hAnsi="宋体" w:cs="宋体"/>
          <w:color w:val="auto"/>
          <w:kern w:val="0"/>
          <w:sz w:val="24"/>
        </w:rPr>
        <w:pict>
          <v:shape id="_x0000_i1026"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最低价法 </w:t>
      </w:r>
      <w:r>
        <w:rPr>
          <w:rFonts w:ascii="宋体" w:hAnsi="宋体" w:cs="宋体"/>
          <w:color w:val="auto"/>
          <w:kern w:val="0"/>
          <w:sz w:val="24"/>
        </w:rPr>
        <w:pict>
          <v:shape id="_x0000_i1027" o:spt="75" type="#_x0000_t75" style="height:15.9pt;width:20.55pt;" filled="f" o:preferrelative="t" stroked="f" coordsize="21600,21600">
            <v:path/>
            <v:fill on="f" focussize="0,0"/>
            <v:stroke on="f" joinstyle="miter"/>
            <v:imagedata r:id="rId13" o:title=""/>
            <o:lock v:ext="edit" aspectratio="t"/>
            <w10:wrap type="none"/>
            <w10:anchorlock/>
          </v:shape>
        </w:pict>
      </w:r>
      <w:r>
        <w:rPr>
          <w:rFonts w:hint="eastAsia" w:ascii="宋体" w:hAnsi="宋体" w:cs="宋体"/>
          <w:color w:val="auto"/>
          <w:kern w:val="0"/>
          <w:sz w:val="24"/>
        </w:rPr>
        <w:t>综合评分法</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7、合同定价方式： </w:t>
      </w:r>
      <w:r>
        <w:rPr>
          <w:rFonts w:ascii="宋体" w:hAnsi="宋体" w:cs="宋体"/>
          <w:color w:val="auto"/>
          <w:kern w:val="0"/>
          <w:sz w:val="24"/>
        </w:rPr>
        <w:pict>
          <v:shape id="_x0000_i1028" o:spt="75" type="#_x0000_t75" style="height:15.9pt;width:20.55pt;" filled="f" o:preferrelative="t" stroked="f" coordsize="21600,21600">
            <v:path/>
            <v:fill on="f" focussize="0,0"/>
            <v:stroke on="f" joinstyle="miter"/>
            <v:imagedata r:id="rId13" o:title=""/>
            <o:lock v:ext="edit" aspectratio="t"/>
            <w10:wrap type="none"/>
            <w10:anchorlock/>
          </v:shape>
        </w:pict>
      </w:r>
      <w:r>
        <w:rPr>
          <w:rFonts w:hint="eastAsia" w:ascii="宋体" w:hAnsi="宋体" w:cs="宋体"/>
          <w:color w:val="auto"/>
          <w:kern w:val="0"/>
          <w:sz w:val="24"/>
        </w:rPr>
        <w:t>固定总价 </w:t>
      </w:r>
      <w:r>
        <w:rPr>
          <w:rFonts w:ascii="宋体" w:hAnsi="宋体" w:cs="宋体"/>
          <w:color w:val="auto"/>
          <w:kern w:val="0"/>
          <w:sz w:val="24"/>
        </w:rPr>
        <w:pict>
          <v:shape id="_x0000_i1029"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固定单价 </w:t>
      </w:r>
      <w:r>
        <w:rPr>
          <w:rFonts w:ascii="宋体" w:hAnsi="宋体" w:cs="宋体"/>
          <w:color w:val="auto"/>
          <w:kern w:val="0"/>
          <w:sz w:val="24"/>
        </w:rPr>
        <w:pict>
          <v:shape id="_x0000_i1030"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成本补偿 </w:t>
      </w:r>
      <w:r>
        <w:rPr>
          <w:rFonts w:ascii="宋体" w:hAnsi="宋体" w:cs="宋体"/>
          <w:color w:val="auto"/>
          <w:kern w:val="0"/>
          <w:sz w:val="24"/>
        </w:rPr>
        <w:pict>
          <v:shape id="_x0000_i1031"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绩效激励</w:t>
      </w:r>
    </w:p>
    <w:p>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8、合同履行期限：</w:t>
      </w:r>
      <w:r>
        <w:rPr>
          <w:rFonts w:hint="eastAsia" w:ascii="宋体" w:hAnsi="宋体" w:cs="宋体"/>
          <w:color w:val="auto"/>
          <w:kern w:val="0"/>
          <w:sz w:val="24"/>
          <w:lang w:eastAsia="zh-CN"/>
        </w:rPr>
        <w:t>合同中明确</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9、本项目分阶段要求投标人提供以下保证：</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pict>
          <v:shape id="_x0000_i1032"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投标保证金：采购项目预算的</w:t>
      </w:r>
      <w:r>
        <w:rPr>
          <w:rFonts w:hint="eastAsia" w:ascii="宋体" w:hAnsi="宋体" w:cs="宋体"/>
          <w:color w:val="auto"/>
          <w:kern w:val="0"/>
          <w:sz w:val="24"/>
          <w:u w:val="single"/>
        </w:rPr>
        <w:t>  </w:t>
      </w:r>
      <w:r>
        <w:rPr>
          <w:rFonts w:hint="eastAsia" w:ascii="宋体" w:hAnsi="宋体" w:cs="宋体"/>
          <w:color w:val="auto"/>
          <w:kern w:val="0"/>
          <w:sz w:val="24"/>
        </w:rPr>
        <w:t>%；</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pict>
          <v:shape id="_x0000_i1033"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履约保证金：中标金额的</w:t>
      </w:r>
      <w:r>
        <w:rPr>
          <w:rFonts w:hint="eastAsia" w:ascii="宋体" w:hAnsi="宋体" w:cs="宋体"/>
          <w:color w:val="auto"/>
          <w:kern w:val="0"/>
          <w:sz w:val="24"/>
          <w:u w:val="single"/>
        </w:rPr>
        <w:t>  </w:t>
      </w:r>
      <w:r>
        <w:rPr>
          <w:rFonts w:hint="eastAsia" w:ascii="宋体" w:hAnsi="宋体" w:cs="宋体"/>
          <w:color w:val="auto"/>
          <w:kern w:val="0"/>
          <w:sz w:val="24"/>
        </w:rPr>
        <w:t>%；</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pict>
          <v:shape id="_x0000_i1034"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预付款保证金：预付款的</w:t>
      </w:r>
      <w:r>
        <w:rPr>
          <w:rFonts w:hint="eastAsia" w:ascii="宋体" w:hAnsi="宋体" w:cs="宋体"/>
          <w:color w:val="auto"/>
          <w:kern w:val="0"/>
          <w:sz w:val="24"/>
          <w:u w:val="single"/>
        </w:rPr>
        <w:t>  </w:t>
      </w:r>
      <w:r>
        <w:rPr>
          <w:rFonts w:hint="eastAsia" w:ascii="宋体" w:hAnsi="宋体" w:cs="宋体"/>
          <w:color w:val="auto"/>
          <w:kern w:val="0"/>
          <w:sz w:val="24"/>
        </w:rPr>
        <w:t>%；</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pict>
          <v:shape id="_x0000_i1035"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质量保证金：合同金额的</w:t>
      </w:r>
      <w:r>
        <w:rPr>
          <w:rFonts w:hint="eastAsia" w:ascii="宋体" w:hAnsi="宋体" w:cs="宋体"/>
          <w:color w:val="auto"/>
          <w:kern w:val="0"/>
          <w:sz w:val="24"/>
          <w:u w:val="single"/>
        </w:rPr>
        <w:t>  </w:t>
      </w:r>
      <w:r>
        <w:rPr>
          <w:rFonts w:hint="eastAsia" w:ascii="宋体" w:hAnsi="宋体" w:cs="宋体"/>
          <w:color w:val="auto"/>
          <w:kern w:val="0"/>
          <w:sz w:val="24"/>
        </w:rPr>
        <w:t>%；</w:t>
      </w:r>
    </w:p>
    <w:p>
      <w:pPr>
        <w:pStyle w:val="6"/>
        <w:keepNext w:val="0"/>
        <w:keepLines w:val="0"/>
        <w:widowControl/>
        <w:spacing w:before="75"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二、采购人的采购需求</w:t>
      </w:r>
    </w:p>
    <w:tbl>
      <w:tblPr>
        <w:tblStyle w:val="46"/>
        <w:tblW w:w="8697" w:type="dxa"/>
        <w:tblCellSpacing w:w="0" w:type="dxa"/>
        <w:tblInd w:w="15" w:type="dxa"/>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
      <w:tblGrid>
        <w:gridCol w:w="739"/>
        <w:gridCol w:w="1686"/>
        <w:gridCol w:w="647"/>
        <w:gridCol w:w="1359"/>
        <w:gridCol w:w="540"/>
        <w:gridCol w:w="1686"/>
        <w:gridCol w:w="1020"/>
        <w:gridCol w:w="1020"/>
      </w:tblGrid>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3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包名称</w:t>
            </w:r>
          </w:p>
        </w:tc>
        <w:tc>
          <w:tcPr>
            <w:tcW w:w="1686"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最高限价（元）</w:t>
            </w:r>
          </w:p>
        </w:tc>
        <w:tc>
          <w:tcPr>
            <w:tcW w:w="647"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kern w:val="0"/>
                <w:sz w:val="24"/>
              </w:rPr>
            </w:pPr>
            <w:r>
              <w:rPr>
                <w:rFonts w:hint="eastAsia" w:ascii="宋体" w:hAnsi="宋体" w:cs="宋体"/>
                <w:color w:val="auto"/>
                <w:kern w:val="0"/>
                <w:sz w:val="24"/>
              </w:rPr>
              <w:t>标的</w:t>
            </w:r>
          </w:p>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名称</w:t>
            </w:r>
          </w:p>
        </w:tc>
        <w:tc>
          <w:tcPr>
            <w:tcW w:w="135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简要技术要求</w:t>
            </w:r>
          </w:p>
        </w:tc>
        <w:tc>
          <w:tcPr>
            <w:tcW w:w="54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数量</w:t>
            </w:r>
          </w:p>
        </w:tc>
        <w:tc>
          <w:tcPr>
            <w:tcW w:w="1686"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标的预算（元）</w:t>
            </w:r>
          </w:p>
        </w:tc>
        <w:tc>
          <w:tcPr>
            <w:tcW w:w="102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节能产品</w:t>
            </w:r>
          </w:p>
        </w:tc>
        <w:tc>
          <w:tcPr>
            <w:tcW w:w="102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进口产品</w:t>
            </w:r>
          </w:p>
        </w:tc>
      </w:tr>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39"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包1</w:t>
            </w:r>
          </w:p>
        </w:tc>
        <w:tc>
          <w:tcPr>
            <w:tcW w:w="1686"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hint="eastAsia" w:ascii="宋体" w:hAnsi="宋体" w:eastAsia="宋体" w:cs="宋体"/>
                <w:color w:val="auto"/>
                <w:sz w:val="24"/>
                <w:lang w:eastAsia="zh-CN"/>
              </w:rPr>
            </w:pPr>
            <w:r>
              <w:rPr>
                <w:rFonts w:hint="eastAsia" w:ascii="宋体" w:hAnsi="宋体" w:cs="宋体"/>
                <w:color w:val="auto"/>
                <w:kern w:val="0"/>
                <w:sz w:val="24"/>
                <w:lang w:eastAsia="zh-CN"/>
              </w:rPr>
              <w:t>1996106.88</w:t>
            </w:r>
          </w:p>
        </w:tc>
        <w:tc>
          <w:tcPr>
            <w:tcW w:w="647"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其他建筑工程</w:t>
            </w:r>
          </w:p>
        </w:tc>
        <w:tc>
          <w:tcPr>
            <w:tcW w:w="1359"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kern w:val="0"/>
                <w:sz w:val="24"/>
              </w:rPr>
            </w:pPr>
            <w:r>
              <w:rPr>
                <w:rFonts w:hint="eastAsia" w:ascii="宋体" w:hAnsi="宋体" w:cs="宋体"/>
                <w:color w:val="auto"/>
                <w:kern w:val="0"/>
                <w:sz w:val="24"/>
              </w:rPr>
              <w:t>详见磋商</w:t>
            </w:r>
          </w:p>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文件</w:t>
            </w:r>
          </w:p>
        </w:tc>
        <w:tc>
          <w:tcPr>
            <w:tcW w:w="540"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sz w:val="24"/>
              </w:rPr>
            </w:pPr>
            <w:r>
              <w:rPr>
                <w:rFonts w:hint="eastAsia" w:ascii="宋体" w:hAnsi="宋体" w:cs="宋体"/>
                <w:color w:val="auto"/>
                <w:kern w:val="0"/>
                <w:sz w:val="24"/>
              </w:rPr>
              <w:t>/</w:t>
            </w:r>
          </w:p>
        </w:tc>
        <w:tc>
          <w:tcPr>
            <w:tcW w:w="1686"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hint="eastAsia" w:ascii="宋体" w:hAnsi="宋体" w:eastAsia="宋体" w:cs="宋体"/>
                <w:color w:val="auto"/>
                <w:sz w:val="24"/>
                <w:lang w:eastAsia="zh-CN"/>
              </w:rPr>
            </w:pPr>
            <w:r>
              <w:rPr>
                <w:rFonts w:hint="eastAsia" w:ascii="宋体" w:hAnsi="宋体" w:cs="宋体"/>
                <w:color w:val="auto"/>
                <w:kern w:val="0"/>
                <w:sz w:val="24"/>
                <w:lang w:eastAsia="zh-CN"/>
              </w:rPr>
              <w:t>1996106.88</w:t>
            </w:r>
          </w:p>
        </w:tc>
        <w:tc>
          <w:tcPr>
            <w:tcW w:w="1020"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sz w:val="24"/>
              </w:rPr>
            </w:pPr>
            <w:r>
              <w:rPr>
                <w:rFonts w:ascii="宋体" w:hAnsi="宋体" w:cs="宋体"/>
                <w:color w:val="auto"/>
                <w:kern w:val="0"/>
                <w:sz w:val="24"/>
              </w:rPr>
              <w:pict>
                <v:shape id="_x0000_i1036" o:spt="75" type="#_x0000_t75" style="height:15.9pt;width:20.55pt;" filled="f" o:preferrelative="t" stroked="f" coordsize="21600,21600">
                  <v:path/>
                  <v:fill on="f" focussize="0,0"/>
                  <v:stroke on="f" joinstyle="miter"/>
                  <v:imagedata r:id="rId12" o:title=""/>
                  <o:lock v:ext="edit" aspectratio="t"/>
                  <w10:wrap type="none"/>
                  <w10:anchorlock/>
                </v:shape>
              </w:pict>
            </w:r>
          </w:p>
        </w:tc>
        <w:tc>
          <w:tcPr>
            <w:tcW w:w="1020" w:type="dxa"/>
            <w:tcBorders>
              <w:top w:val="single" w:color="D5D5D5" w:sz="6" w:space="0"/>
              <w:left w:val="single" w:color="D5D5D5" w:sz="6" w:space="0"/>
              <w:bottom w:val="single" w:color="D5D5D5" w:sz="6" w:space="0"/>
              <w:right w:val="single" w:color="D5D5D5" w:sz="6" w:space="0"/>
            </w:tcBorders>
            <w:shd w:val="clear" w:color="auto" w:fill="auto"/>
            <w:vAlign w:val="center"/>
          </w:tcPr>
          <w:p>
            <w:pPr>
              <w:widowControl/>
              <w:spacing w:before="75" w:line="460" w:lineRule="atLeast"/>
              <w:jc w:val="center"/>
              <w:rPr>
                <w:rFonts w:ascii="宋体" w:hAnsi="宋体" w:cs="宋体"/>
                <w:color w:val="auto"/>
                <w:sz w:val="24"/>
              </w:rPr>
            </w:pPr>
            <w:r>
              <w:rPr>
                <w:rFonts w:ascii="宋体" w:hAnsi="宋体" w:cs="宋体"/>
                <w:color w:val="auto"/>
                <w:kern w:val="0"/>
                <w:sz w:val="24"/>
              </w:rPr>
              <w:pict>
                <v:shape id="_x0000_i1037" o:spt="75" type="#_x0000_t75" style="height:15.9pt;width:20.55pt;" filled="f" o:preferrelative="t" stroked="f" coordsize="21600,21600">
                  <v:path/>
                  <v:fill on="f" focussize="0,0"/>
                  <v:stroke on="f" joinstyle="miter"/>
                  <v:imagedata r:id="rId12" o:title=""/>
                  <o:lock v:ext="edit" aspectratio="t"/>
                  <w10:wrap type="none"/>
                  <w10:anchorlock/>
                </v:shape>
              </w:pict>
            </w:r>
          </w:p>
        </w:tc>
      </w:tr>
    </w:tbl>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说明：</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1.节能产品实行强制采购的，需提供国家认证机构出具的、处于有效期内的节能产品证书。</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2.同意购买进口产品的，不限制满足采购需求的国内产品参与投标。</w:t>
      </w:r>
    </w:p>
    <w:p>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三、采购项目需落实的政府采购政策：</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1、优先采购：节能产品、环境标志产品、两型产品享受加分或价格折扣。</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2、支持中小企业：中小企业享受预留采购份额或价格折扣。</w:t>
      </w:r>
    </w:p>
    <w:p>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四、投标人的资格要求：</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1、投标人的基本资格条件：投标人必须是在中华人民共和国境内注册登记的法人、其他组织或者自然人，且应当符合《政府采购法》第二十二条第一款的规定。</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2、落实政府采购政策需满足的资格要求：</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pict>
          <v:shape id="_x0000_i1038" o:spt="75" type="#_x0000_t75" style="height:15.9pt;width:20.55pt;" filled="f" o:preferrelative="t" stroked="f" coordsize="21600,21600">
            <v:path/>
            <v:fill on="f" focussize="0,0"/>
            <v:stroke on="f" joinstyle="miter"/>
            <v:imagedata r:id="rId13" o:title=""/>
            <o:lock v:ext="edit" aspectratio="t"/>
            <w10:wrap type="none"/>
            <w10:anchorlock/>
          </v:shape>
        </w:pict>
      </w:r>
      <w:r>
        <w:rPr>
          <w:rFonts w:hint="eastAsia" w:ascii="宋体" w:hAnsi="宋体" w:cs="宋体"/>
          <w:color w:val="auto"/>
          <w:kern w:val="0"/>
          <w:sz w:val="24"/>
        </w:rPr>
        <w:t>专门面向： </w:t>
      </w:r>
      <w:r>
        <w:rPr>
          <w:rFonts w:ascii="宋体" w:hAnsi="宋体" w:cs="宋体"/>
          <w:color w:val="auto"/>
          <w:kern w:val="0"/>
          <w:sz w:val="24"/>
        </w:rPr>
        <w:pict>
          <v:shape id="_x0000_i1039" o:spt="75" type="#_x0000_t75" style="height:15.9pt;width:20.55pt;" filled="f" o:preferrelative="t" stroked="f" coordsize="21600,21600">
            <v:path/>
            <v:fill on="f" focussize="0,0"/>
            <v:stroke on="f" joinstyle="miter"/>
            <v:imagedata r:id="rId13" o:title=""/>
            <o:lock v:ext="edit" aspectratio="t"/>
            <w10:wrap type="none"/>
            <w10:anchorlock/>
          </v:shape>
        </w:pict>
      </w:r>
      <w:r>
        <w:rPr>
          <w:rFonts w:hint="eastAsia" w:ascii="宋体" w:hAnsi="宋体" w:cs="宋体"/>
          <w:color w:val="auto"/>
          <w:kern w:val="0"/>
          <w:sz w:val="24"/>
        </w:rPr>
        <w:t>中小企业 </w:t>
      </w:r>
      <w:r>
        <w:rPr>
          <w:rFonts w:ascii="宋体" w:hAnsi="宋体" w:cs="宋体"/>
          <w:color w:val="auto"/>
          <w:kern w:val="0"/>
          <w:sz w:val="24"/>
        </w:rPr>
        <w:pict>
          <v:shape id="_x0000_i1040"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小微企业 </w:t>
      </w:r>
      <w:r>
        <w:rPr>
          <w:rFonts w:ascii="宋体" w:hAnsi="宋体" w:cs="宋体"/>
          <w:color w:val="auto"/>
          <w:kern w:val="0"/>
          <w:sz w:val="24"/>
        </w:rPr>
        <w:pict>
          <v:shape id="_x0000_i1041"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监狱企业 </w:t>
      </w:r>
      <w:r>
        <w:rPr>
          <w:rFonts w:ascii="宋体" w:hAnsi="宋体" w:cs="宋体"/>
          <w:color w:val="auto"/>
          <w:kern w:val="0"/>
          <w:sz w:val="24"/>
        </w:rPr>
        <w:pict>
          <v:shape id="_x0000_i1042"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福利性单位</w:t>
      </w:r>
    </w:p>
    <w:p>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pict>
          <v:shape id="_x0000_i1043"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强制分包：大型企业应将采购份额的</w:t>
      </w:r>
      <w:r>
        <w:rPr>
          <w:rFonts w:hint="eastAsia" w:ascii="宋体" w:hAnsi="宋体" w:cs="宋体"/>
          <w:color w:val="auto"/>
          <w:kern w:val="0"/>
          <w:sz w:val="24"/>
          <w:u w:val="single"/>
        </w:rPr>
        <w:t>  </w:t>
      </w:r>
      <w:r>
        <w:rPr>
          <w:rFonts w:hint="eastAsia" w:ascii="宋体" w:hAnsi="宋体" w:cs="宋体"/>
          <w:color w:val="auto"/>
          <w:kern w:val="0"/>
          <w:sz w:val="24"/>
        </w:rPr>
        <w:t>%分包给中小企业。</w:t>
      </w:r>
    </w:p>
    <w:p>
      <w:pPr>
        <w:widowControl/>
        <w:spacing w:before="75" w:line="460" w:lineRule="atLeast"/>
        <w:ind w:firstLine="420"/>
        <w:jc w:val="left"/>
        <w:rPr>
          <w:rFonts w:hint="eastAsia" w:ascii="宋体" w:hAnsi="宋体" w:eastAsia="宋体" w:cs="宋体"/>
          <w:color w:val="auto"/>
          <w:kern w:val="0"/>
          <w:sz w:val="24"/>
        </w:rPr>
      </w:pPr>
      <w:r>
        <w:rPr>
          <w:rFonts w:hint="eastAsia" w:ascii="宋体" w:hAnsi="宋体" w:cs="宋体"/>
          <w:color w:val="auto"/>
          <w:kern w:val="0"/>
          <w:sz w:val="24"/>
        </w:rPr>
        <w:t>3、供应商特定资格条件：</w:t>
      </w:r>
      <w:bookmarkStart w:id="2" w:name="OLE_LINK1"/>
      <w:r>
        <w:rPr>
          <w:rFonts w:hint="eastAsia" w:ascii="宋体" w:hAnsi="宋体" w:cs="宋体"/>
          <w:color w:val="auto"/>
          <w:kern w:val="0"/>
          <w:sz w:val="24"/>
          <w:lang w:val="en-US" w:eastAsia="zh-CN"/>
        </w:rPr>
        <w:t>无</w:t>
      </w:r>
      <w:r>
        <w:rPr>
          <w:rFonts w:hint="eastAsia" w:ascii="宋体" w:hAnsi="宋体" w:eastAsia="宋体" w:cs="宋体"/>
          <w:color w:val="auto"/>
          <w:kern w:val="0"/>
          <w:sz w:val="24"/>
        </w:rPr>
        <w:t>。</w:t>
      </w:r>
    </w:p>
    <w:p>
      <w:pPr>
        <w:widowControl/>
        <w:spacing w:before="75" w:line="46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widowControl/>
        <w:spacing w:before="75" w:line="460" w:lineRule="atLeast"/>
        <w:ind w:firstLine="42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2）提供近一个月投标人</w:t>
      </w:r>
      <w:r>
        <w:rPr>
          <w:rFonts w:hint="eastAsia" w:ascii="宋体" w:hAnsi="宋体" w:cs="宋体"/>
          <w:color w:val="auto"/>
          <w:kern w:val="0"/>
          <w:sz w:val="24"/>
          <w:lang w:val="en-US" w:eastAsia="zh-CN"/>
        </w:rPr>
        <w:t>信用信息网站</w:t>
      </w:r>
      <w:r>
        <w:rPr>
          <w:rFonts w:hint="eastAsia" w:ascii="宋体" w:hAnsi="宋体" w:eastAsia="宋体" w:cs="宋体"/>
          <w:color w:val="auto"/>
          <w:kern w:val="0"/>
          <w:sz w:val="24"/>
          <w:lang w:val="en-US" w:eastAsia="zh-CN"/>
        </w:rPr>
        <w:t>查询记录网</w:t>
      </w:r>
      <w:r>
        <w:rPr>
          <w:rFonts w:hint="eastAsia" w:ascii="宋体" w:hAnsi="宋体" w:cs="宋体"/>
          <w:color w:val="auto"/>
          <w:kern w:val="0"/>
          <w:sz w:val="24"/>
          <w:lang w:val="en-US" w:eastAsia="zh-CN"/>
        </w:rPr>
        <w:t>页</w:t>
      </w:r>
      <w:r>
        <w:rPr>
          <w:rFonts w:hint="eastAsia" w:ascii="宋体" w:hAnsi="宋体" w:eastAsia="宋体" w:cs="宋体"/>
          <w:color w:val="auto"/>
          <w:kern w:val="0"/>
          <w:sz w:val="24"/>
          <w:lang w:val="en-US" w:eastAsia="zh-CN"/>
        </w:rPr>
        <w:t>打印件并加盖单位公章。</w:t>
      </w:r>
      <w:bookmarkEnd w:id="2"/>
    </w:p>
    <w:p>
      <w:pPr>
        <w:widowControl/>
        <w:spacing w:before="75" w:line="46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4、单位负责人为同一人或者存在直接控股、管理关系的不同投标人，不得参加同一合同项下的政府采购活动。</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5、为本采购项目提供整体设计、规范编制或者项目管理、监理、检测等服务的，不得再参加此项目的其他采购活动。</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6、列入失信被执行人、重大税收违法失信主体名单、政府采购严重违法失信行为记录名单的，拒绝其参与政府采购活动。</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7、联合体投标。本次招标不接受联合体投标。</w:t>
      </w:r>
    </w:p>
    <w:p>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五、获取招标文件的时间、期限、地点及方式</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有意参加投标者，于202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20</w:t>
      </w:r>
      <w:r>
        <w:rPr>
          <w:rFonts w:hint="eastAsia" w:ascii="宋体" w:hAnsi="宋体" w:cs="宋体"/>
          <w:color w:val="auto"/>
          <w:kern w:val="0"/>
          <w:sz w:val="24"/>
        </w:rPr>
        <w:t>日至202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27</w:t>
      </w:r>
      <w:r>
        <w:rPr>
          <w:rFonts w:hint="eastAsia" w:ascii="宋体" w:hAnsi="宋体" w:cs="宋体"/>
          <w:color w:val="auto"/>
          <w:kern w:val="0"/>
          <w:sz w:val="24"/>
        </w:rPr>
        <w:t>日，上午9:00 ～ 12:00 ，下午 15:00 ～ 17:00， 在法定代表人身份证明或授权委托书(附法定代表人身份证明)、个人身份证到</w:t>
      </w:r>
      <w:r>
        <w:rPr>
          <w:rFonts w:hint="eastAsia" w:ascii="宋体" w:hAnsi="宋体" w:cs="宋体"/>
          <w:color w:val="auto"/>
          <w:kern w:val="0"/>
          <w:sz w:val="24"/>
          <w:lang w:eastAsia="zh-CN"/>
        </w:rPr>
        <w:t>中采联合招标有限公司</w:t>
      </w:r>
      <w:r>
        <w:rPr>
          <w:rFonts w:hint="eastAsia" w:ascii="宋体" w:hAnsi="宋体" w:cs="宋体"/>
          <w:color w:val="auto"/>
          <w:kern w:val="0"/>
          <w:sz w:val="24"/>
        </w:rPr>
        <w:t>（岳阳市临湘市连心路110号3楼）获取招标文件。</w:t>
      </w:r>
    </w:p>
    <w:p>
      <w:pPr>
        <w:widowControl/>
        <w:spacing w:before="75" w:line="460" w:lineRule="atLeast"/>
        <w:ind w:firstLine="420"/>
        <w:jc w:val="left"/>
        <w:rPr>
          <w:rFonts w:ascii="宋体" w:hAnsi="宋体" w:cs="宋体"/>
          <w:color w:val="auto"/>
          <w:sz w:val="24"/>
        </w:rPr>
      </w:pPr>
      <w:r>
        <w:rPr>
          <w:rFonts w:ascii="宋体" w:hAnsi="宋体" w:cs="宋体"/>
          <w:color w:val="auto"/>
          <w:kern w:val="0"/>
          <w:sz w:val="24"/>
        </w:rPr>
        <w:pict>
          <v:shape id="_x0000_i1044"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本项目实行电子交易，有意参加投标者，在法定代表人身份证明或授权委托书(附法定代表人身份证明)、个人身份证到</w:t>
      </w:r>
      <w:r>
        <w:rPr>
          <w:rFonts w:hint="eastAsia" w:ascii="宋体" w:hAnsi="宋体" w:cs="宋体"/>
          <w:color w:val="auto"/>
          <w:kern w:val="0"/>
          <w:sz w:val="24"/>
          <w:lang w:eastAsia="zh-CN"/>
        </w:rPr>
        <w:t>中采联合招标有限公司</w:t>
      </w:r>
      <w:r>
        <w:rPr>
          <w:rFonts w:hint="eastAsia" w:ascii="宋体" w:hAnsi="宋体" w:cs="宋体"/>
          <w:color w:val="auto"/>
          <w:kern w:val="0"/>
          <w:sz w:val="24"/>
        </w:rPr>
        <w:t>（岳阳市临湘市连心路110号3楼）获取电子版招标文件。</w:t>
      </w:r>
    </w:p>
    <w:p>
      <w:pPr>
        <w:widowControl/>
        <w:spacing w:before="75" w:line="460" w:lineRule="atLeast"/>
        <w:ind w:firstLine="420"/>
        <w:jc w:val="left"/>
        <w:rPr>
          <w:rFonts w:ascii="宋体" w:hAnsi="宋体" w:cs="宋体"/>
          <w:color w:val="auto"/>
          <w:sz w:val="24"/>
        </w:rPr>
      </w:pPr>
      <w:r>
        <w:rPr>
          <w:rFonts w:ascii="宋体" w:hAnsi="宋体" w:cs="宋体"/>
          <w:color w:val="auto"/>
          <w:kern w:val="0"/>
          <w:sz w:val="24"/>
        </w:rPr>
        <w:pict>
          <v:shape id="_x0000_i1045"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本项目进行资格预审，招标文件将向所有通过资格预审的供应商提供。</w:t>
      </w:r>
    </w:p>
    <w:p>
      <w:pPr>
        <w:pStyle w:val="6"/>
        <w:keepNext w:val="0"/>
        <w:keepLines w:val="0"/>
        <w:widowControl/>
        <w:spacing w:before="150"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六、投标截止时间、开标时间及地点</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1、提交投标文件的截止时间：202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31</w:t>
      </w:r>
      <w:r>
        <w:rPr>
          <w:rFonts w:hint="eastAsia" w:ascii="宋体" w:hAnsi="宋体" w:cs="宋体"/>
          <w:color w:val="auto"/>
          <w:kern w:val="0"/>
          <w:sz w:val="24"/>
        </w:rPr>
        <w:t>日上午10:00（北京时间）</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2、提交投标文件地点：</w:t>
      </w:r>
      <w:r>
        <w:rPr>
          <w:rFonts w:hint="eastAsia" w:ascii="宋体" w:hAnsi="宋体" w:cs="宋体"/>
          <w:color w:val="auto"/>
          <w:kern w:val="0"/>
          <w:sz w:val="24"/>
          <w:lang w:eastAsia="zh-CN"/>
        </w:rPr>
        <w:t>中采联合招标有限公司</w:t>
      </w:r>
      <w:r>
        <w:rPr>
          <w:rFonts w:hint="eastAsia" w:ascii="宋体" w:hAnsi="宋体" w:cs="宋体"/>
          <w:color w:val="auto"/>
          <w:kern w:val="0"/>
          <w:sz w:val="24"/>
        </w:rPr>
        <w:t>（岳阳市临湘市连心路110号3楼301室）</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3、开标时间：202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31</w:t>
      </w:r>
      <w:r>
        <w:rPr>
          <w:rFonts w:hint="eastAsia" w:ascii="宋体" w:hAnsi="宋体" w:cs="宋体"/>
          <w:color w:val="auto"/>
          <w:kern w:val="0"/>
          <w:sz w:val="24"/>
        </w:rPr>
        <w:t>日上午10:00（北京时间）</w:t>
      </w:r>
    </w:p>
    <w:p>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4、开标地点：</w:t>
      </w:r>
      <w:r>
        <w:rPr>
          <w:rFonts w:hint="eastAsia" w:ascii="宋体" w:hAnsi="宋体" w:cs="宋体"/>
          <w:color w:val="auto"/>
          <w:kern w:val="0"/>
          <w:sz w:val="24"/>
          <w:lang w:eastAsia="zh-CN"/>
        </w:rPr>
        <w:t>中采联合招标有限公司</w:t>
      </w:r>
    </w:p>
    <w:p>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七、公告期限</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1、本招标公告在中国湖南政府采购网（www.ccgp-hunan.gov.cn）发布。公告期限从本招标公告发布之日起5个工作日。</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2、在其他媒体发布的招标公告，公告内容以本招标公告指定媒体发布的公告为准；公告期限自本招标公告指定媒体最先发布公告之日起算。</w:t>
      </w:r>
    </w:p>
    <w:p>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八、询问及质疑</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1、投标人对政府采购活动事项如有疑问的，可以向采购人、采购代理机构提出询问。采购人、采购代理机构将在3个工作日内作出答复。</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2、投标人对电子交易平台办理CA证书、操作等如有疑问，请咨询电子交易平台服务机构。</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pPr>
        <w:pStyle w:val="6"/>
        <w:keepNext w:val="0"/>
        <w:keepLines w:val="0"/>
        <w:widowControl/>
        <w:spacing w:before="150"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九、投标说明</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1、本公告选项：</w:t>
      </w:r>
      <w:r>
        <w:rPr>
          <w:rFonts w:ascii="宋体" w:hAnsi="宋体" w:cs="宋体"/>
          <w:color w:val="auto"/>
          <w:kern w:val="0"/>
          <w:sz w:val="24"/>
        </w:rPr>
        <w:pict>
          <v:shape id="_x0000_i1046" o:spt="75" type="#_x0000_t75" style="height:15.9pt;width:20.55pt;" filled="f" o:preferrelative="t" stroked="f" coordsize="21600,21600">
            <v:path/>
            <v:fill on="f" focussize="0,0"/>
            <v:stroke on="f" joinstyle="miter"/>
            <v:imagedata r:id="rId13" o:title=""/>
            <o:lock v:ext="edit" aspectratio="t"/>
            <w10:wrap type="none"/>
            <w10:anchorlock/>
          </v:shape>
        </w:pict>
      </w:r>
      <w:r>
        <w:rPr>
          <w:rFonts w:hint="eastAsia" w:ascii="宋体" w:hAnsi="宋体" w:cs="宋体"/>
          <w:color w:val="auto"/>
          <w:kern w:val="0"/>
          <w:sz w:val="24"/>
        </w:rPr>
        <w:t>表示选择，</w:t>
      </w:r>
      <w:r>
        <w:rPr>
          <w:rFonts w:ascii="宋体" w:hAnsi="宋体" w:cs="宋体"/>
          <w:color w:val="auto"/>
          <w:kern w:val="0"/>
          <w:sz w:val="24"/>
        </w:rPr>
        <w:pict>
          <v:shape id="_x0000_i1047" o:spt="75" type="#_x0000_t75" style="height:15.9pt;width:20.55pt;" filled="f" o:preferrelative="t" stroked="f" coordsize="21600,21600">
            <v:path/>
            <v:fill on="f" focussize="0,0"/>
            <v:stroke on="f" joinstyle="miter"/>
            <v:imagedata r:id="rId12" o:title=""/>
            <o:lock v:ext="edit" aspectratio="t"/>
            <w10:wrap type="none"/>
            <w10:anchorlock/>
          </v:shape>
        </w:pict>
      </w:r>
      <w:r>
        <w:rPr>
          <w:rFonts w:hint="eastAsia" w:ascii="宋体" w:hAnsi="宋体" w:cs="宋体"/>
          <w:color w:val="auto"/>
          <w:kern w:val="0"/>
          <w:sz w:val="24"/>
        </w:rPr>
        <w:t>表示未选择。</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2、投标人参与政府采购活动，无需向采购人、代理机构、交易平台缴纳任何费用。</w:t>
      </w:r>
    </w:p>
    <w:p>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十、采购项目联系人姓名和电话</w:t>
      </w:r>
    </w:p>
    <w:p>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1、联系人姓名：</w:t>
      </w:r>
      <w:r>
        <w:rPr>
          <w:rFonts w:hint="eastAsia" w:ascii="宋体" w:hAnsi="宋体" w:cs="宋体"/>
          <w:color w:val="auto"/>
          <w:kern w:val="0"/>
          <w:sz w:val="24"/>
          <w:lang w:eastAsia="zh-CN"/>
        </w:rPr>
        <w:t>胡先生</w:t>
      </w:r>
    </w:p>
    <w:p>
      <w:pPr>
        <w:widowControl/>
        <w:spacing w:before="75" w:line="460" w:lineRule="atLeast"/>
        <w:ind w:firstLine="420"/>
        <w:jc w:val="left"/>
        <w:rPr>
          <w:rFonts w:hint="eastAsia" w:ascii="宋体" w:hAnsi="宋体" w:eastAsia="宋体" w:cs="宋体"/>
          <w:color w:val="auto"/>
          <w:kern w:val="0"/>
          <w:sz w:val="24"/>
        </w:rPr>
      </w:pPr>
      <w:r>
        <w:rPr>
          <w:rFonts w:hint="eastAsia" w:ascii="宋体" w:hAnsi="宋体" w:cs="宋体"/>
          <w:color w:val="auto"/>
          <w:kern w:val="0"/>
          <w:sz w:val="24"/>
        </w:rPr>
        <w:t>2、电话：</w:t>
      </w:r>
      <w:r>
        <w:rPr>
          <w:rFonts w:hint="eastAsia" w:ascii="宋体" w:hAnsi="宋体" w:cs="宋体"/>
          <w:color w:val="auto"/>
          <w:kern w:val="0"/>
          <w:sz w:val="24"/>
          <w:lang w:val="en-US" w:eastAsia="zh-CN"/>
        </w:rPr>
        <w:t>15080971350</w:t>
      </w:r>
    </w:p>
    <w:p>
      <w:pPr>
        <w:widowControl/>
        <w:spacing w:before="75" w:line="460" w:lineRule="atLeast"/>
        <w:ind w:firstLine="420"/>
        <w:jc w:val="left"/>
        <w:rPr>
          <w:rFonts w:ascii="宋体" w:hAnsi="宋体" w:cs="宋体"/>
          <w:color w:val="auto"/>
          <w:kern w:val="0"/>
          <w:sz w:val="24"/>
        </w:rPr>
      </w:pPr>
      <w:r>
        <w:rPr>
          <w:rFonts w:hint="eastAsia" w:ascii="宋体" w:hAnsi="宋体" w:cs="宋体"/>
          <w:b/>
          <w:bCs/>
          <w:color w:val="auto"/>
          <w:kern w:val="0"/>
          <w:sz w:val="24"/>
        </w:rPr>
        <w:t>十一、采购人、采购代理机构的名称、地址和联系方法</w:t>
      </w:r>
    </w:p>
    <w:p>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采购人名称：临湘市</w:t>
      </w:r>
      <w:r>
        <w:rPr>
          <w:rFonts w:hint="eastAsia" w:ascii="宋体" w:hAnsi="宋体" w:cs="宋体"/>
          <w:color w:val="auto"/>
          <w:kern w:val="0"/>
          <w:sz w:val="24"/>
          <w:lang w:eastAsia="zh-CN"/>
        </w:rPr>
        <w:t>水利工程服务站</w:t>
      </w:r>
    </w:p>
    <w:p>
      <w:pPr>
        <w:widowControl/>
        <w:spacing w:before="75" w:line="460" w:lineRule="atLeast"/>
        <w:ind w:firstLine="420"/>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单位地址：岳阳市</w:t>
      </w:r>
      <w:r>
        <w:rPr>
          <w:rFonts w:hint="eastAsia" w:ascii="宋体" w:hAnsi="宋体" w:cs="宋体"/>
          <w:color w:val="auto"/>
          <w:kern w:val="0"/>
          <w:sz w:val="24"/>
          <w:lang w:val="en-US" w:eastAsia="zh-CN"/>
        </w:rPr>
        <w:t>临湘市水利局</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联 系 人：</w:t>
      </w:r>
      <w:r>
        <w:rPr>
          <w:rFonts w:hint="eastAsia" w:ascii="宋体" w:hAnsi="宋体" w:cs="宋体"/>
          <w:color w:val="auto"/>
          <w:kern w:val="0"/>
          <w:sz w:val="24"/>
          <w:lang w:eastAsia="zh-CN"/>
        </w:rPr>
        <w:t>胡先生</w:t>
      </w:r>
      <w:r>
        <w:rPr>
          <w:rFonts w:hint="eastAsia" w:ascii="宋体" w:hAnsi="宋体" w:cs="宋体"/>
          <w:color w:val="auto"/>
          <w:kern w:val="0"/>
          <w:sz w:val="24"/>
        </w:rPr>
        <w:tab/>
      </w:r>
    </w:p>
    <w:p>
      <w:pPr>
        <w:widowControl/>
        <w:spacing w:before="75" w:line="460" w:lineRule="atLeast"/>
        <w:ind w:firstLine="42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联系电话</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15080971350</w:t>
      </w:r>
    </w:p>
    <w:p>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采购代理：</w:t>
      </w:r>
      <w:r>
        <w:rPr>
          <w:rFonts w:hint="eastAsia" w:ascii="宋体" w:hAnsi="宋体" w:cs="宋体"/>
          <w:color w:val="auto"/>
          <w:kern w:val="0"/>
          <w:sz w:val="24"/>
          <w:lang w:eastAsia="zh-CN"/>
        </w:rPr>
        <w:t>中采联合招标有限公司</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单位地址：湖南省岳阳市临湘市连心路110号</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 xml:space="preserve">联 系 人：李女士        </w:t>
      </w:r>
    </w:p>
    <w:p>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联系电话：0730-3795833、18073041333</w:t>
      </w:r>
    </w:p>
    <w:p>
      <w:pPr>
        <w:rPr>
          <w:rFonts w:ascii="宋体" w:hAnsi="宋体"/>
          <w:b/>
          <w:bCs/>
          <w:color w:val="auto"/>
          <w:sz w:val="28"/>
          <w:szCs w:val="28"/>
        </w:rPr>
      </w:pPr>
      <w:r>
        <w:rPr>
          <w:rFonts w:hint="eastAsia" w:ascii="宋体" w:hAnsi="宋体" w:cs="微软雅黑"/>
          <w:color w:val="auto"/>
          <w:kern w:val="0"/>
          <w:szCs w:val="21"/>
        </w:rPr>
        <w:br w:type="page"/>
      </w:r>
      <w:r>
        <w:rPr>
          <w:rFonts w:hint="eastAsia" w:ascii="宋体" w:hAnsi="宋体" w:cs="微软雅黑"/>
          <w:color w:val="auto"/>
          <w:kern w:val="0"/>
          <w:szCs w:val="21"/>
          <w:lang w:val="en-US" w:eastAsia="zh-CN"/>
        </w:rPr>
        <w:t>附件</w:t>
      </w:r>
      <w:r>
        <w:rPr>
          <w:rFonts w:hint="eastAsia" w:ascii="宋体" w:hAnsi="宋体"/>
          <w:b/>
          <w:bCs/>
          <w:color w:val="auto"/>
          <w:sz w:val="28"/>
          <w:szCs w:val="28"/>
        </w:rPr>
        <w:t>：</w:t>
      </w:r>
    </w:p>
    <w:p>
      <w:pPr>
        <w:spacing w:line="621" w:lineRule="exact"/>
        <w:ind w:left="1934" w:right="1935"/>
        <w:jc w:val="center"/>
        <w:rPr>
          <w:rFonts w:ascii="宋体" w:hAnsi="宋体"/>
          <w:b/>
          <w:bCs/>
          <w:color w:val="auto"/>
          <w:sz w:val="28"/>
          <w:szCs w:val="28"/>
        </w:rPr>
      </w:pPr>
      <w:r>
        <w:rPr>
          <w:rFonts w:hint="eastAsia" w:ascii="宋体" w:hAnsi="宋体"/>
          <w:b/>
          <w:bCs/>
          <w:color w:val="auto"/>
          <w:sz w:val="28"/>
          <w:szCs w:val="28"/>
        </w:rPr>
        <w:t>湖南省政府采购供应商资格承诺函</w:t>
      </w:r>
    </w:p>
    <w:p>
      <w:pPr>
        <w:pStyle w:val="2"/>
        <w:spacing w:before="16"/>
        <w:rPr>
          <w:color w:val="auto"/>
        </w:rPr>
      </w:pPr>
    </w:p>
    <w:p>
      <w:pPr>
        <w:pStyle w:val="2"/>
        <w:spacing w:line="326" w:lineRule="auto"/>
        <w:ind w:right="229" w:firstLine="640"/>
        <w:rPr>
          <w:rFonts w:ascii="宋体" w:hAnsi="宋体"/>
          <w:color w:val="auto"/>
          <w:sz w:val="24"/>
        </w:rPr>
      </w:pPr>
      <w:r>
        <w:rPr>
          <w:rFonts w:hint="eastAsia" w:ascii="宋体" w:hAnsi="宋体"/>
          <w:color w:val="auto"/>
          <w:sz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pStyle w:val="2"/>
        <w:spacing w:line="560" w:lineRule="exact"/>
        <w:ind w:firstLine="360" w:firstLineChars="150"/>
        <w:rPr>
          <w:rFonts w:ascii="宋体" w:hAnsi="宋体"/>
          <w:color w:val="auto"/>
          <w:sz w:val="24"/>
        </w:rPr>
      </w:pPr>
      <w:r>
        <w:rPr>
          <w:rFonts w:hint="eastAsia" w:ascii="宋体" w:hAnsi="宋体"/>
          <w:color w:val="auto"/>
          <w:sz w:val="24"/>
        </w:rPr>
        <w:t>按照《政府采购促进中小企业发展管理办法》（财库〔</w:t>
      </w:r>
      <w:r>
        <w:rPr>
          <w:rFonts w:ascii="宋体" w:hAnsi="宋体"/>
          <w:color w:val="auto"/>
          <w:sz w:val="24"/>
        </w:rPr>
        <w:t>2020</w:t>
      </w:r>
      <w:r>
        <w:rPr>
          <w:rFonts w:hint="eastAsia" w:ascii="宋体" w:hAnsi="宋体"/>
          <w:color w:val="auto"/>
          <w:sz w:val="24"/>
        </w:rPr>
        <w:t>〕</w:t>
      </w:r>
      <w:r>
        <w:rPr>
          <w:rFonts w:ascii="宋体" w:hAnsi="宋体"/>
          <w:color w:val="auto"/>
          <w:sz w:val="24"/>
        </w:rPr>
        <w:t>46</w:t>
      </w:r>
      <w:r>
        <w:rPr>
          <w:rFonts w:hint="eastAsia" w:ascii="宋体" w:hAnsi="宋体"/>
          <w:color w:val="auto"/>
          <w:sz w:val="24"/>
        </w:rPr>
        <w:t>号），本公司企业规模为：大型□中型□小型□微型□</w:t>
      </w:r>
    </w:p>
    <w:p>
      <w:pPr>
        <w:pStyle w:val="2"/>
        <w:spacing w:line="560" w:lineRule="exact"/>
        <w:ind w:firstLine="360" w:firstLineChars="150"/>
        <w:rPr>
          <w:rFonts w:ascii="宋体" w:hAnsi="宋体"/>
          <w:color w:val="auto"/>
          <w:sz w:val="24"/>
        </w:rPr>
      </w:pPr>
      <w:r>
        <w:rPr>
          <w:rFonts w:hint="eastAsia" w:ascii="宋体" w:hAnsi="宋体"/>
          <w:color w:val="auto"/>
          <w:sz w:val="24"/>
        </w:rPr>
        <w:t>□本公司自愿入驻湖南省政府采购电子卖场，遵守《湖南省政府采购电子卖场管理办法》（湘财购〔</w:t>
      </w:r>
      <w:r>
        <w:rPr>
          <w:rFonts w:ascii="宋体" w:hAnsi="宋体"/>
          <w:color w:val="auto"/>
          <w:sz w:val="24"/>
        </w:rPr>
        <w:t>2019</w:t>
      </w:r>
      <w:r>
        <w:rPr>
          <w:rFonts w:hint="eastAsia" w:ascii="宋体" w:hAnsi="宋体"/>
          <w:color w:val="auto"/>
          <w:sz w:val="24"/>
        </w:rPr>
        <w:t>〕</w:t>
      </w:r>
      <w:r>
        <w:rPr>
          <w:rFonts w:ascii="宋体" w:hAnsi="宋体"/>
          <w:color w:val="auto"/>
          <w:sz w:val="24"/>
        </w:rPr>
        <w:t xml:space="preserve">27 </w:t>
      </w:r>
      <w:r>
        <w:rPr>
          <w:rFonts w:hint="eastAsia" w:ascii="宋体" w:hAnsi="宋体"/>
          <w:color w:val="auto"/>
          <w:sz w:val="24"/>
        </w:rPr>
        <w:t>号），如违反承诺，同意金融机构将增信保证划缴国库（非电子卖场采购活动项目不需勾选）。</w:t>
      </w:r>
    </w:p>
    <w:p>
      <w:pPr>
        <w:pStyle w:val="2"/>
        <w:spacing w:before="3"/>
        <w:rPr>
          <w:rFonts w:ascii="宋体" w:hAnsi="宋体"/>
          <w:color w:val="auto"/>
          <w:sz w:val="24"/>
        </w:rPr>
      </w:pPr>
    </w:p>
    <w:p>
      <w:pPr>
        <w:pStyle w:val="2"/>
        <w:ind w:left="4596"/>
        <w:rPr>
          <w:rFonts w:ascii="宋体" w:hAnsi="宋体"/>
          <w:color w:val="auto"/>
          <w:sz w:val="24"/>
        </w:rPr>
      </w:pPr>
    </w:p>
    <w:p>
      <w:pPr>
        <w:pStyle w:val="2"/>
        <w:ind w:left="4596"/>
        <w:rPr>
          <w:rFonts w:ascii="宋体" w:hAnsi="宋体"/>
          <w:color w:val="auto"/>
          <w:sz w:val="24"/>
        </w:rPr>
      </w:pPr>
    </w:p>
    <w:p>
      <w:pPr>
        <w:pStyle w:val="2"/>
        <w:ind w:left="4596"/>
        <w:rPr>
          <w:rFonts w:ascii="宋体" w:hAnsi="宋体"/>
          <w:color w:val="auto"/>
          <w:sz w:val="24"/>
        </w:rPr>
      </w:pPr>
      <w:r>
        <w:rPr>
          <w:rFonts w:hint="eastAsia" w:ascii="宋体" w:hAnsi="宋体"/>
          <w:color w:val="auto"/>
          <w:sz w:val="24"/>
        </w:rPr>
        <w:t>公司（单位）名称（盖章）</w:t>
      </w:r>
    </w:p>
    <w:p>
      <w:pPr>
        <w:pStyle w:val="2"/>
        <w:rPr>
          <w:rFonts w:ascii="宋体" w:hAnsi="宋体"/>
          <w:color w:val="auto"/>
          <w:sz w:val="24"/>
        </w:rPr>
      </w:pPr>
    </w:p>
    <w:p>
      <w:pPr>
        <w:pStyle w:val="2"/>
        <w:spacing w:before="198"/>
        <w:ind w:left="4916"/>
        <w:rPr>
          <w:rFonts w:ascii="宋体" w:hAnsi="宋体"/>
          <w:color w:val="auto"/>
          <w:sz w:val="24"/>
        </w:rPr>
      </w:pPr>
      <w:r>
        <w:rPr>
          <w:rFonts w:ascii="宋体" w:hAnsi="宋体"/>
          <w:color w:val="auto"/>
          <w:sz w:val="24"/>
        </w:rPr>
        <w:tab/>
      </w:r>
      <w:r>
        <w:rPr>
          <w:rFonts w:hint="eastAsia" w:ascii="宋体" w:hAnsi="宋体"/>
          <w:color w:val="auto"/>
          <w:sz w:val="24"/>
        </w:rPr>
        <w:t xml:space="preserve">年 </w:t>
      </w:r>
      <w:r>
        <w:rPr>
          <w:rFonts w:hint="eastAsia" w:ascii="宋体" w:hAnsi="宋体"/>
          <w:color w:val="auto"/>
          <w:sz w:val="24"/>
        </w:rPr>
        <w:tab/>
      </w:r>
      <w:r>
        <w:rPr>
          <w:rFonts w:hint="eastAsia" w:ascii="宋体" w:hAnsi="宋体"/>
          <w:color w:val="auto"/>
          <w:sz w:val="24"/>
        </w:rPr>
        <w:t xml:space="preserve">月 </w:t>
      </w:r>
      <w:r>
        <w:rPr>
          <w:rFonts w:hint="eastAsia" w:ascii="宋体" w:hAnsi="宋体"/>
          <w:color w:val="auto"/>
          <w:sz w:val="24"/>
        </w:rPr>
        <w:tab/>
      </w:r>
      <w:r>
        <w:rPr>
          <w:rFonts w:hint="eastAsia" w:ascii="宋体" w:hAnsi="宋体"/>
          <w:color w:val="auto"/>
          <w:sz w:val="24"/>
        </w:rPr>
        <w:t>日</w:t>
      </w:r>
    </w:p>
    <w:p>
      <w:pPr>
        <w:pStyle w:val="2"/>
        <w:rPr>
          <w:color w:val="auto"/>
          <w:sz w:val="24"/>
        </w:rPr>
      </w:pPr>
    </w:p>
    <w:p>
      <w:pPr>
        <w:pStyle w:val="2"/>
        <w:spacing w:before="273" w:line="326" w:lineRule="auto"/>
        <w:ind w:right="116"/>
        <w:rPr>
          <w:rFonts w:ascii="宋体" w:hAnsi="宋体"/>
          <w:color w:val="auto"/>
          <w:sz w:val="24"/>
        </w:rPr>
      </w:pPr>
    </w:p>
    <w:p>
      <w:pPr>
        <w:pStyle w:val="2"/>
        <w:spacing w:before="273" w:line="326" w:lineRule="auto"/>
        <w:ind w:right="116"/>
        <w:rPr>
          <w:rFonts w:ascii="宋体" w:hAnsi="宋体"/>
          <w:color w:val="auto"/>
          <w:sz w:val="24"/>
        </w:rPr>
      </w:pPr>
      <w:r>
        <w:rPr>
          <w:rFonts w:hint="eastAsia" w:ascii="宋体" w:hAnsi="宋体"/>
          <w:color w:val="auto"/>
          <w:sz w:val="24"/>
        </w:rPr>
        <w:t>机构代码、注册登记机构、日期、有效期、注册资本、地址、经 济行业、经济性质</w:t>
      </w:r>
    </w:p>
    <w:p>
      <w:pPr>
        <w:pStyle w:val="2"/>
        <w:spacing w:line="324" w:lineRule="auto"/>
        <w:ind w:right="1028"/>
        <w:rPr>
          <w:rFonts w:ascii="宋体" w:hAnsi="宋体"/>
          <w:color w:val="auto"/>
          <w:sz w:val="24"/>
        </w:rPr>
      </w:pPr>
      <w:r>
        <w:rPr>
          <w:rFonts w:hint="eastAsia" w:ascii="宋体" w:hAnsi="宋体"/>
          <w:color w:val="auto"/>
          <w:sz w:val="24"/>
        </w:rPr>
        <w:t xml:space="preserve">法定代表人（负责人）姓名（签字）、身份证号、手机号： </w:t>
      </w:r>
    </w:p>
    <w:p>
      <w:pPr>
        <w:pStyle w:val="2"/>
        <w:spacing w:line="324" w:lineRule="auto"/>
        <w:ind w:right="1028"/>
        <w:rPr>
          <w:rFonts w:ascii="宋体" w:hAnsi="宋体"/>
          <w:color w:val="auto"/>
          <w:sz w:val="28"/>
          <w:szCs w:val="28"/>
        </w:rPr>
      </w:pPr>
      <w:r>
        <w:rPr>
          <w:rFonts w:hint="eastAsia" w:ascii="宋体" w:hAnsi="宋体"/>
          <w:color w:val="auto"/>
          <w:sz w:val="24"/>
        </w:rPr>
        <w:t>授权代表人姓名（签字）、身份证号、手机号：</w:t>
      </w:r>
    </w:p>
    <w:p>
      <w:pPr>
        <w:pStyle w:val="20"/>
        <w:rPr>
          <w:rFonts w:asciiTheme="minorEastAsia" w:hAnsiTheme="minorEastAsia" w:eastAsiaTheme="minorEastAsia" w:cstheme="minorEastAsia"/>
          <w:color w:val="auto"/>
          <w:szCs w:val="21"/>
        </w:rPr>
      </w:pPr>
    </w:p>
    <w:p>
      <w:pPr>
        <w:pStyle w:val="20"/>
        <w:rPr>
          <w:rFonts w:asciiTheme="minorEastAsia" w:hAnsiTheme="minorEastAsia" w:eastAsiaTheme="minorEastAsia" w:cstheme="minorEastAsia"/>
          <w:color w:val="auto"/>
          <w:szCs w:val="21"/>
        </w:rPr>
      </w:pPr>
    </w:p>
    <w:p>
      <w:pPr>
        <w:pStyle w:val="20"/>
        <w:rPr>
          <w:rFonts w:asciiTheme="minorEastAsia" w:hAnsiTheme="minorEastAsia" w:eastAsiaTheme="minorEastAsia" w:cstheme="minorEastAsia"/>
          <w:color w:val="auto"/>
          <w:szCs w:val="21"/>
        </w:rPr>
      </w:pPr>
    </w:p>
    <w:p>
      <w:pPr>
        <w:pStyle w:val="20"/>
        <w:rPr>
          <w:rFonts w:asciiTheme="minorEastAsia" w:hAnsiTheme="minorEastAsia" w:eastAsiaTheme="minorEastAsia" w:cstheme="minorEastAsia"/>
          <w:color w:val="auto"/>
          <w:szCs w:val="21"/>
        </w:rPr>
      </w:pPr>
    </w:p>
    <w:p>
      <w:pPr>
        <w:pStyle w:val="4"/>
        <w:rPr>
          <w:rFonts w:asciiTheme="minorEastAsia" w:hAnsiTheme="minorEastAsia" w:eastAsiaTheme="minorEastAsia" w:cstheme="minorEastAsia"/>
          <w:color w:val="auto"/>
          <w:szCs w:val="21"/>
        </w:rPr>
      </w:pPr>
    </w:p>
    <w:p>
      <w:pPr>
        <w:adjustRightInd w:val="0"/>
        <w:snapToGrid w:val="0"/>
        <w:spacing w:line="360" w:lineRule="auto"/>
        <w:ind w:firstLine="3534" w:firstLineChars="1100"/>
        <w:rPr>
          <w:rFonts w:asciiTheme="minorEastAsia" w:hAnsiTheme="minorEastAsia" w:eastAsiaTheme="minorEastAsia" w:cstheme="minorEastAsia"/>
          <w:b/>
          <w:color w:val="auto"/>
          <w:sz w:val="32"/>
          <w:szCs w:val="32"/>
        </w:rPr>
      </w:pPr>
      <w:bookmarkStart w:id="3" w:name="_Toc6636_WPSOffice_Level1"/>
      <w:bookmarkStart w:id="4" w:name="_Toc15656"/>
      <w:r>
        <w:rPr>
          <w:rFonts w:hint="eastAsia" w:asciiTheme="minorEastAsia" w:hAnsiTheme="minorEastAsia" w:eastAsiaTheme="minorEastAsia" w:cstheme="minorEastAsia"/>
          <w:b/>
          <w:color w:val="auto"/>
          <w:sz w:val="32"/>
          <w:szCs w:val="32"/>
        </w:rPr>
        <w:t>第二章 磋商须知</w:t>
      </w:r>
      <w:bookmarkEnd w:id="3"/>
      <w:bookmarkEnd w:id="4"/>
    </w:p>
    <w:p>
      <w:pPr>
        <w:pStyle w:val="4"/>
        <w:rPr>
          <w:color w:val="auto"/>
        </w:rPr>
      </w:pPr>
    </w:p>
    <w:p>
      <w:pPr>
        <w:pStyle w:val="25"/>
        <w:jc w:val="left"/>
        <w:outlineLvl w:val="1"/>
        <w:rPr>
          <w:rFonts w:asciiTheme="minorEastAsia" w:hAnsiTheme="minorEastAsia" w:eastAsiaTheme="minorEastAsia" w:cstheme="minorEastAsia"/>
          <w:b/>
          <w:color w:val="auto"/>
          <w:sz w:val="24"/>
          <w:szCs w:val="24"/>
        </w:rPr>
      </w:pPr>
      <w:bookmarkStart w:id="5" w:name="_Toc31520"/>
      <w:r>
        <w:rPr>
          <w:rFonts w:hint="eastAsia" w:asciiTheme="minorEastAsia" w:hAnsiTheme="minorEastAsia" w:eastAsiaTheme="minorEastAsia" w:cstheme="minorEastAsia"/>
          <w:b/>
          <w:color w:val="auto"/>
          <w:sz w:val="24"/>
          <w:szCs w:val="24"/>
        </w:rPr>
        <w:t>磋商须知前附表</w:t>
      </w:r>
      <w:bookmarkEnd w:id="5"/>
    </w:p>
    <w:p>
      <w:pPr>
        <w:pStyle w:val="2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 请在方框□内划√选择，在“条款号”内限选一项。（本项目采用的条款用“■”标示）</w:t>
      </w:r>
    </w:p>
    <w:tbl>
      <w:tblPr>
        <w:tblStyle w:val="46"/>
        <w:tblW w:w="1046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1808"/>
        <w:gridCol w:w="70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3" w:hRule="atLeast"/>
          <w:tblHeader/>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1808" w:type="dxa"/>
            <w:vAlign w:val="center"/>
          </w:tcPr>
          <w:p>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条款名称</w:t>
            </w:r>
          </w:p>
        </w:tc>
        <w:tc>
          <w:tcPr>
            <w:tcW w:w="7035" w:type="dxa"/>
            <w:vAlign w:val="center"/>
          </w:tcPr>
          <w:p>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83"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临湘市水利工程白蚁等害堤动物防治项目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89" w:hRule="atLeast"/>
          <w:jc w:val="center"/>
        </w:trPr>
        <w:tc>
          <w:tcPr>
            <w:tcW w:w="1617"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w:t>
            </w:r>
          </w:p>
        </w:tc>
        <w:tc>
          <w:tcPr>
            <w:tcW w:w="7035" w:type="dxa"/>
            <w:vAlign w:val="center"/>
          </w:tcPr>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采购人：临湘市</w:t>
            </w:r>
            <w:r>
              <w:rPr>
                <w:rFonts w:hint="eastAsia" w:asciiTheme="minorEastAsia" w:hAnsiTheme="minorEastAsia" w:eastAsiaTheme="minorEastAsia" w:cstheme="minorEastAsia"/>
                <w:color w:val="auto"/>
                <w:szCs w:val="21"/>
                <w:lang w:eastAsia="zh-CN"/>
              </w:rPr>
              <w:t>水利工程服务站</w:t>
            </w:r>
            <w:r>
              <w:rPr>
                <w:rFonts w:hint="eastAsia" w:asciiTheme="minorEastAsia" w:hAnsiTheme="minorEastAsia" w:eastAsiaTheme="minorEastAsia" w:cstheme="minorEastAsia"/>
                <w:color w:val="auto"/>
                <w:szCs w:val="21"/>
              </w:rPr>
              <w:t xml:space="preserve">   </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w:t>
            </w:r>
            <w:r>
              <w:rPr>
                <w:rFonts w:hint="eastAsia" w:asciiTheme="minorEastAsia" w:hAnsiTheme="minorEastAsia" w:eastAsiaTheme="minorEastAsia" w:cstheme="minorEastAsia"/>
                <w:color w:val="auto"/>
                <w:szCs w:val="21"/>
                <w:lang w:eastAsia="zh-CN"/>
              </w:rPr>
              <w:t>胡先生</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15080971350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招标代理机构：</w:t>
            </w:r>
            <w:r>
              <w:rPr>
                <w:rFonts w:hint="eastAsia" w:asciiTheme="minorEastAsia" w:hAnsiTheme="minorEastAsia" w:eastAsiaTheme="minorEastAsia" w:cstheme="minorEastAsia"/>
                <w:color w:val="auto"/>
                <w:szCs w:val="21"/>
                <w:lang w:eastAsia="zh-CN"/>
              </w:rPr>
              <w:t>中采联合招标有限公司</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地址：岳阳市</w:t>
            </w:r>
            <w:r>
              <w:rPr>
                <w:rFonts w:hint="eastAsia" w:ascii="宋体" w:hAnsi="宋体" w:cs="宋体"/>
                <w:color w:val="auto"/>
                <w:szCs w:val="21"/>
              </w:rPr>
              <w:t>临湘市连心路110号</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联系人：李女士</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r>
              <w:rPr>
                <w:rFonts w:hint="eastAsia" w:ascii="宋体" w:hAnsi="宋体" w:cs="宋体"/>
                <w:color w:val="auto"/>
                <w:szCs w:val="21"/>
              </w:rPr>
              <w:t>0730-3795833、18073041333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17"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第二章第2.3款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供应商的邀请方式</w:t>
            </w:r>
          </w:p>
        </w:tc>
        <w:tc>
          <w:tcPr>
            <w:tcW w:w="7035" w:type="dxa"/>
            <w:vAlign w:val="center"/>
          </w:tcPr>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发布公告</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从省级以上财政部门建立的供应商库中随机抽取</w:t>
            </w:r>
          </w:p>
          <w:p>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17"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第二章第3.1款</w:t>
            </w:r>
          </w:p>
          <w:p>
            <w:pPr>
              <w:adjustRightInd w:val="0"/>
              <w:snapToGrid w:val="0"/>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供应商资格条件（★）</w:t>
            </w:r>
          </w:p>
          <w:p>
            <w:pPr>
              <w:adjustRightInd w:val="0"/>
              <w:snapToGrid w:val="0"/>
              <w:jc w:val="center"/>
              <w:rPr>
                <w:rFonts w:asciiTheme="minorEastAsia" w:hAnsiTheme="minorEastAsia" w:eastAsiaTheme="minorEastAsia" w:cstheme="minorEastAsia"/>
                <w:color w:val="auto"/>
                <w:szCs w:val="21"/>
              </w:rPr>
            </w:pPr>
          </w:p>
        </w:tc>
        <w:tc>
          <w:tcPr>
            <w:tcW w:w="7035" w:type="dxa"/>
            <w:vAlign w:val="center"/>
          </w:tcPr>
          <w:p>
            <w:pPr>
              <w:numPr>
                <w:ilvl w:val="0"/>
                <w:numId w:val="1"/>
              </w:numPr>
              <w:adjustRightInd w:val="0"/>
              <w:snapToGrid w:val="0"/>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供应商的基本资格条件：</w:t>
            </w:r>
          </w:p>
          <w:p>
            <w:pPr>
              <w:adjustRightInd w:val="0"/>
              <w:snapToGrid w:val="0"/>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供应商必须是在中华人民共和国境内注册登记的法人、其他组织或者自然人，且应当符合《政府采购法》第二十二条第一款的规定；</w:t>
            </w:r>
          </w:p>
          <w:p>
            <w:pPr>
              <w:adjustRightInd w:val="0"/>
              <w:snapToGrid w:val="0"/>
              <w:jc w:val="left"/>
              <w:rPr>
                <w:rFonts w:asciiTheme="minorEastAsia" w:hAnsiTheme="minorEastAsia" w:eastAsiaTheme="minorEastAsia" w:cstheme="minorEastAsia"/>
                <w:b/>
                <w:bCs/>
                <w:color w:val="auto"/>
                <w:szCs w:val="21"/>
              </w:rPr>
            </w:pPr>
          </w:p>
          <w:p>
            <w:pPr>
              <w:adjustRightInd w:val="0"/>
              <w:snapToGrid w:val="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rPr>
              <w:t>2、采购项目的特定资格条件：</w:t>
            </w:r>
            <w:r>
              <w:rPr>
                <w:rFonts w:hint="eastAsia" w:asciiTheme="minorEastAsia" w:hAnsiTheme="minorEastAsia" w:eastAsiaTheme="minorEastAsia" w:cstheme="minorEastAsia"/>
                <w:b/>
                <w:bCs/>
                <w:color w:val="auto"/>
                <w:szCs w:val="21"/>
                <w:lang w:val="en-US" w:eastAsia="zh-CN"/>
              </w:rPr>
              <w:t>无</w:t>
            </w:r>
          </w:p>
          <w:p>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2）提供近一个月投标人信用信息网站查询记录网页打印件并加盖单位公章。</w:t>
            </w:r>
          </w:p>
          <w:p>
            <w:pPr>
              <w:adjustRightInd w:val="0"/>
              <w:snapToGrid w:val="0"/>
              <w:jc w:val="left"/>
              <w:rPr>
                <w:rFonts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联合体形式</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不接受</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2"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对联合体各方的要求</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第二章第7.1款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现场勘察</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采购人不组织</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采购人组织，时间：地点：联系人：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第二章第8.1款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采购进口产品</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☑本项目拒绝采购进口产品</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56" w:hRule="atLeast"/>
          <w:jc w:val="center"/>
        </w:trPr>
        <w:tc>
          <w:tcPr>
            <w:tcW w:w="161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政府采购强制采购：</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1、强制采购的节能产品；</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2、其他。</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否</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是，采购《节能产品政府采购清单》(第期) 内标记★符号的节能产品。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15" w:hRule="atLeast"/>
          <w:jc w:val="center"/>
        </w:trPr>
        <w:tc>
          <w:tcPr>
            <w:tcW w:w="161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二章第9.2款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政府采购优先采购：</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1、非强制采购的节能产品；</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2、环境标志产品；</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3、两型产品；</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4、支持中小企业发展；</w:t>
            </w:r>
          </w:p>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5、其他。</w:t>
            </w:r>
          </w:p>
        </w:tc>
        <w:tc>
          <w:tcPr>
            <w:tcW w:w="70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color w:val="auto"/>
              </w:rPr>
            </w:pPr>
            <w:r>
              <w:rPr>
                <w:rFonts w:hint="eastAsia"/>
                <w:color w:val="auto"/>
              </w:rPr>
              <w:sym w:font="Wingdings 2" w:char="0052"/>
            </w:r>
            <w:r>
              <w:rPr>
                <w:rFonts w:hint="eastAsia"/>
                <w:color w:val="auto"/>
              </w:rPr>
              <w:t xml:space="preserve"> 专门面向中小企业采购（应同时在招标公告中注明）。</w:t>
            </w:r>
          </w:p>
          <w:p>
            <w:pPr>
              <w:adjustRightInd w:val="0"/>
              <w:snapToGrid w:val="0"/>
              <w:rPr>
                <w:rFonts w:hint="eastAsia" w:asciiTheme="minorEastAsia" w:hAnsiTheme="minorEastAsia" w:eastAsiaTheme="minorEastAsia" w:cstheme="minorEastAsia"/>
                <w:color w:val="auto"/>
                <w:szCs w:val="21"/>
                <w:lang w:val="en-US" w:eastAsia="zh-CN"/>
              </w:rPr>
            </w:pPr>
          </w:p>
          <w:p>
            <w:pPr>
              <w:adjustRightInd w:val="0"/>
              <w:snapToGrid w:val="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本项目不适用。</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1、采购产品为《节能产品政府采购清单》(最新一期)内非标记★符号的，分别给予技术和价格项标准总分值4%-8%的加分。本项目具体加分比例分别为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2、采购产品为《环境标志产品政府采购清单》(最新一期)内的，分别给予技术和价格项标准总分值4%-8%的加分。本项目具体加分比例分别为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3、采购产品为《</w:t>
            </w:r>
            <w:bookmarkStart w:id="6" w:name="OLE_LINK2"/>
            <w:r>
              <w:rPr>
                <w:rFonts w:hint="eastAsia" w:asciiTheme="minorEastAsia" w:hAnsiTheme="minorEastAsia" w:eastAsiaTheme="minorEastAsia" w:cstheme="minorEastAsia"/>
                <w:color w:val="auto"/>
                <w:szCs w:val="21"/>
              </w:rPr>
              <w:t>湖南省政府采购两型产品目录</w:t>
            </w:r>
            <w:bookmarkEnd w:id="6"/>
            <w:r>
              <w:rPr>
                <w:rFonts w:hint="eastAsia" w:asciiTheme="minorEastAsia" w:hAnsiTheme="minorEastAsia" w:eastAsiaTheme="minorEastAsia" w:cstheme="minorEastAsia"/>
                <w:color w:val="auto"/>
                <w:szCs w:val="21"/>
              </w:rPr>
              <w:t>》或《长沙市两型产品目录》内的：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 xml:space="preserve"> %。</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（2）对在本地设有生产基地和备品备件库、有售后服务机构和网点的两型产品，给予商务评标总分值4%-8%的加分，本项目具体加分比例为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4、非专门面向中小企业采购，且符合政府采购促进中小企业发展相关规定的：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（1）给予小型和微型企业产品的价格给予6%-10%的扣除，用扣除后的价格参与评审，本项目具体扣除比例为</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 xml:space="preserve"> %。</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（2）给予联合体2%-3%的价格扣除，用扣除后的价格参与评审，本项目具体扣除比例为</w:t>
            </w:r>
            <w:r>
              <w:rPr>
                <w:rFonts w:hint="eastAsia" w:asciiTheme="minorEastAsia" w:hAnsiTheme="minorEastAsia" w:eastAsiaTheme="minorEastAsia" w:cstheme="minorEastAsia"/>
                <w:color w:val="auto"/>
                <w:szCs w:val="21"/>
                <w:u w:val="single"/>
              </w:rPr>
              <w:t xml:space="preserve"> / </w:t>
            </w:r>
            <w:r>
              <w:rPr>
                <w:rFonts w:hint="eastAsia" w:asciiTheme="minorEastAsia" w:hAnsiTheme="minorEastAsia" w:eastAsiaTheme="minorEastAsia" w:cstheme="minorEastAsia"/>
                <w:color w:val="auto"/>
                <w:szCs w:val="21"/>
              </w:rPr>
              <w:t>%。</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（3）给予中型企业产品的价格给予3%-5%的扣除，用扣除后的价格参与评审，本项目具体扣除比例为</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617" w:type="dxa"/>
            <w:vMerge w:val="restart"/>
            <w:tcBorders>
              <w:top w:val="single" w:color="auto" w:sz="4" w:space="0"/>
            </w:tcBorders>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第二章第9.6款</w:t>
            </w:r>
          </w:p>
        </w:tc>
        <w:tc>
          <w:tcPr>
            <w:tcW w:w="1808" w:type="dxa"/>
            <w:tcBorders>
              <w:top w:val="single" w:color="auto" w:sz="4" w:space="0"/>
            </w:tcBorders>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政府采购支持中小企业融资</w:t>
            </w:r>
          </w:p>
        </w:tc>
        <w:tc>
          <w:tcPr>
            <w:tcW w:w="7035" w:type="dxa"/>
            <w:tcBorders>
              <w:top w:val="single" w:color="auto" w:sz="4" w:space="0"/>
            </w:tcBorders>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有融资需求的，可向本附表附页1所列银行咨询或登陆中国湖南政府采购网查询。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37" w:hRule="atLeast"/>
          <w:jc w:val="center"/>
        </w:trPr>
        <w:tc>
          <w:tcPr>
            <w:tcW w:w="1617" w:type="dxa"/>
            <w:vMerge w:val="continue"/>
            <w:vAlign w:val="center"/>
          </w:tcPr>
          <w:p>
            <w:pPr>
              <w:spacing w:line="360" w:lineRule="auto"/>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政府采购信用担保</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有履约担保或融资担保需求的，可向本附表附页2所列担保机构咨询或登陆中国湖南政府采购网查询，格式见附页3。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第二章第10.2款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磋商文件的可能实质性变动内容</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采购需求、技术、服务、合同条款</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磋商文件的实质性变动内容为磋商文件的组成部分，实质性变动内容</w:t>
            </w:r>
            <w:r>
              <w:rPr>
                <w:rFonts w:hint="eastAsia" w:asciiTheme="minorEastAsia" w:hAnsiTheme="minorEastAsia" w:eastAsiaTheme="minorEastAsia" w:cstheme="minorEastAsia"/>
                <w:color w:val="auto"/>
                <w:szCs w:val="21"/>
                <w:lang w:val="zh-CN"/>
              </w:rPr>
              <w:t>与</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szCs w:val="21"/>
                <w:lang w:val="zh-CN"/>
              </w:rPr>
              <w:t>不一致时，以</w:t>
            </w:r>
            <w:r>
              <w:rPr>
                <w:rFonts w:hint="eastAsia" w:asciiTheme="minorEastAsia" w:hAnsiTheme="minorEastAsia" w:eastAsiaTheme="minorEastAsia" w:cstheme="minorEastAsia"/>
                <w:color w:val="auto"/>
                <w:szCs w:val="21"/>
              </w:rPr>
              <w:t>实质性变动内容</w:t>
            </w:r>
            <w:r>
              <w:rPr>
                <w:rFonts w:hint="eastAsia" w:asciiTheme="minorEastAsia" w:hAnsiTheme="minorEastAsia" w:eastAsiaTheme="minorEastAsia" w:cstheme="minorEastAsia"/>
                <w:color w:val="auto"/>
                <w:szCs w:val="21"/>
                <w:lang w:val="zh-CN"/>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提供磋商文件期限</w:t>
            </w:r>
          </w:p>
        </w:tc>
        <w:tc>
          <w:tcPr>
            <w:tcW w:w="7035" w:type="dxa"/>
            <w:vAlign w:val="center"/>
          </w:tcPr>
          <w:p>
            <w:pPr>
              <w:adjustRightInd w:val="0"/>
              <w:snapToGri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从202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10</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日至202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10</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27</w:t>
            </w:r>
            <w:r>
              <w:rPr>
                <w:rFonts w:hint="eastAsia" w:asciiTheme="minorEastAsia" w:hAnsiTheme="minorEastAsia" w:eastAsiaTheme="minorEastAsia" w:cstheme="minorEastAsia"/>
                <w:color w:val="auto"/>
                <w:szCs w:val="21"/>
              </w:rPr>
              <w:t>日，每天上午9：00至12：00、下午14：30至17：30(北京时间)，双休日及节假日除外。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领取或购买磋商文件时应提供的资料</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本次招标只支持现场报名，领取磋商文件。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第二章第12.1款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提交首次响应文件的截止时间</w:t>
            </w:r>
          </w:p>
        </w:tc>
        <w:tc>
          <w:tcPr>
            <w:tcW w:w="7035" w:type="dxa"/>
            <w:vAlign w:val="center"/>
          </w:tcPr>
          <w:p>
            <w:pPr>
              <w:adjustRightInd w:val="0"/>
              <w:snapToGrid w:val="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202</w:t>
            </w:r>
            <w:r>
              <w:rPr>
                <w:rFonts w:hint="eastAsia" w:asciiTheme="minorEastAsia" w:hAnsiTheme="minorEastAsia" w:eastAsiaTheme="minorEastAsia" w:cstheme="minorEastAsia"/>
                <w:b/>
                <w:bCs/>
                <w:color w:val="auto"/>
                <w:szCs w:val="21"/>
                <w:lang w:val="en-US" w:eastAsia="zh-CN"/>
              </w:rPr>
              <w:t>5</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10</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31</w:t>
            </w:r>
            <w:r>
              <w:rPr>
                <w:rFonts w:hint="eastAsia" w:asciiTheme="minorEastAsia" w:hAnsiTheme="minorEastAsia" w:eastAsiaTheme="minorEastAsia" w:cstheme="minorEastAsia"/>
                <w:b/>
                <w:bCs/>
                <w:color w:val="auto"/>
                <w:szCs w:val="21"/>
              </w:rPr>
              <w:t>日上午10时整(北京时间)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2"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第二章第16.4款</w:t>
            </w: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采购项目预算</w:t>
            </w:r>
          </w:p>
        </w:tc>
        <w:tc>
          <w:tcPr>
            <w:tcW w:w="7035" w:type="dxa"/>
            <w:vAlign w:val="center"/>
          </w:tcPr>
          <w:p>
            <w:pPr>
              <w:adjustRightInd w:val="0"/>
              <w:snapToGrid w:val="0"/>
              <w:spacing w:line="360" w:lineRule="auto"/>
              <w:rPr>
                <w:rFonts w:asciiTheme="minorEastAsia" w:hAnsiTheme="minorEastAsia" w:eastAsiaTheme="minorEastAsia" w:cstheme="minorEastAsia"/>
                <w:color w:val="auto"/>
                <w:szCs w:val="21"/>
              </w:rPr>
            </w:pPr>
            <w:r>
              <w:rPr>
                <w:rFonts w:hint="eastAsia" w:ascii="宋体" w:hAnsi="宋体" w:eastAsia="宋体" w:cs="宋体"/>
                <w:color w:val="auto"/>
                <w:szCs w:val="21"/>
                <w:lang w:eastAsia="zh-CN"/>
              </w:rPr>
              <w:t>￥</w:t>
            </w:r>
            <w:r>
              <w:rPr>
                <w:rFonts w:hint="eastAsia" w:ascii="宋体" w:hAnsi="宋体" w:cs="宋体"/>
                <w:color w:val="auto"/>
                <w:szCs w:val="21"/>
                <w:lang w:eastAsia="zh-CN"/>
              </w:rPr>
              <w:t>1996106.88</w:t>
            </w:r>
            <w:r>
              <w:rPr>
                <w:rFonts w:hint="eastAsia" w:ascii="宋体" w:hAnsi="宋体" w:eastAsia="宋体" w:cs="宋体"/>
                <w:color w:val="auto"/>
                <w:szCs w:val="21"/>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2"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工期要求</w:t>
            </w:r>
          </w:p>
        </w:tc>
        <w:tc>
          <w:tcPr>
            <w:tcW w:w="7035" w:type="dxa"/>
            <w:vAlign w:val="center"/>
          </w:tcPr>
          <w:p>
            <w:pPr>
              <w:adjustRightInd w:val="0"/>
              <w:snapToGrid w:val="0"/>
              <w:spacing w:line="360" w:lineRule="auto"/>
              <w:rPr>
                <w:rFonts w:hint="eastAsia" w:ascii="宋体" w:hAnsi="宋体" w:eastAsia="宋体" w:cs="宋体"/>
                <w:b/>
                <w:bCs/>
                <w:color w:val="auto"/>
                <w:szCs w:val="21"/>
                <w:lang w:eastAsia="zh-CN"/>
              </w:rPr>
            </w:pPr>
            <w:r>
              <w:rPr>
                <w:rFonts w:hint="eastAsia" w:ascii="宋体" w:hAnsi="宋体" w:cs="宋体"/>
                <w:color w:val="auto"/>
                <w:szCs w:val="21"/>
                <w:lang w:eastAsia="zh-CN"/>
              </w:rPr>
              <w:t>合同中明确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第二章第17.3款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非制造商的证明文件</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要求提供：（证明文件复印件须加盖供应商单位公章，否则视为无效响应。）</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经销、或代理投标货物、或为投标货物提供售后服务的证明文件。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第二章第18.1款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样品提供及样品提交的时间、地点</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要求提供，提交的样品,提交的时间、地点。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第二章第19.1款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磋商保证金</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w:t>
            </w:r>
          </w:p>
          <w:p>
            <w:pPr>
              <w:adjustRightInd w:val="0"/>
              <w:snapToGrid w:val="0"/>
              <w:spacing w:line="280" w:lineRule="exact"/>
              <w:jc w:val="left"/>
              <w:rPr>
                <w:rFonts w:ascii="宋体" w:hAnsi="宋体"/>
                <w:color w:val="auto"/>
                <w:szCs w:val="21"/>
              </w:rPr>
            </w:pPr>
            <w:r>
              <w:rPr>
                <w:rFonts w:hint="eastAsia" w:ascii="宋体" w:hAnsi="宋体"/>
                <w:color w:val="auto"/>
                <w:szCs w:val="21"/>
              </w:rPr>
              <w:t>数额为：/元</w:t>
            </w:r>
          </w:p>
          <w:p>
            <w:pPr>
              <w:adjustRightInd w:val="0"/>
              <w:snapToGrid w:val="0"/>
              <w:rPr>
                <w:rFonts w:asciiTheme="minorEastAsia" w:hAnsiTheme="minorEastAsia" w:eastAsiaTheme="minorEastAsia" w:cstheme="minorEastAsia"/>
                <w:color w:val="auto"/>
                <w:szCs w:val="21"/>
              </w:rPr>
            </w:pPr>
            <w:r>
              <w:rPr>
                <w:rFonts w:hint="eastAsia" w:ascii="宋体" w:hAnsi="宋体"/>
                <w:color w:val="auto"/>
                <w:szCs w:val="21"/>
              </w:rPr>
              <w:t>交纳方式：详见“第一章 邀请通知”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第二章第20.1款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响应文件有效期</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响应文件份数</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3份（正本一份，副本二份，电子版一份）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9" w:hRule="atLeast"/>
          <w:jc w:val="center"/>
        </w:trPr>
        <w:tc>
          <w:tcPr>
            <w:tcW w:w="1617"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第二章第22.2款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封套上应载明的信息</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 xml:space="preserve">                      （项目名称）</w:t>
            </w:r>
            <w:r>
              <w:rPr>
                <w:rFonts w:hint="eastAsia" w:asciiTheme="minorEastAsia" w:hAnsiTheme="minorEastAsia" w:eastAsiaTheme="minorEastAsia" w:cstheme="minorEastAsia"/>
                <w:color w:val="auto"/>
                <w:szCs w:val="21"/>
              </w:rPr>
              <w:t>响应文件</w:t>
            </w:r>
          </w:p>
          <w:p>
            <w:pPr>
              <w:adjustRightInd w:val="0"/>
              <w:snapToGrid w:val="0"/>
              <w:rPr>
                <w:rFonts w:hint="default"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委托代理编号：</w:t>
            </w:r>
            <w:r>
              <w:rPr>
                <w:rFonts w:hint="eastAsia" w:asciiTheme="minorEastAsia" w:hAnsiTheme="minorEastAsia" w:eastAsiaTheme="minorEastAsia" w:cstheme="minorEastAsia"/>
                <w:color w:val="auto"/>
                <w:szCs w:val="21"/>
                <w:u w:val="single"/>
                <w:lang w:val="en-US" w:eastAsia="zh-CN"/>
              </w:rPr>
              <w:t xml:space="preserve">                   </w:t>
            </w:r>
          </w:p>
          <w:p>
            <w:pPr>
              <w:adjustRightInd w:val="0"/>
              <w:snapToGrid w:val="0"/>
              <w:rPr>
                <w:rFonts w:hint="default"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供应商名称：</w:t>
            </w:r>
            <w:r>
              <w:rPr>
                <w:rFonts w:hint="eastAsia" w:asciiTheme="minorEastAsia" w:hAnsiTheme="minorEastAsia" w:eastAsiaTheme="minorEastAsia" w:cstheme="minorEastAsia"/>
                <w:color w:val="auto"/>
                <w:szCs w:val="21"/>
                <w:u w:val="single"/>
                <w:lang w:val="en-US" w:eastAsia="zh-CN"/>
              </w:rPr>
              <w:t xml:space="preserve">                 </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在 202</w:t>
            </w:r>
            <w:r>
              <w:rPr>
                <w:rFonts w:hint="eastAsia" w:asciiTheme="minorEastAsia" w:hAnsiTheme="minorEastAsia" w:eastAsiaTheme="minorEastAsia" w:cstheme="minorEastAsia"/>
                <w:color w:val="auto"/>
                <w:szCs w:val="21"/>
                <w:u w:val="single"/>
                <w:lang w:val="en-US" w:eastAsia="zh-CN"/>
              </w:rPr>
              <w:t>5</w:t>
            </w:r>
            <w:r>
              <w:rPr>
                <w:rFonts w:hint="eastAsia" w:asciiTheme="minorEastAsia" w:hAnsiTheme="minorEastAsia" w:eastAsiaTheme="minorEastAsia" w:cstheme="minorEastAsia"/>
                <w:color w:val="auto"/>
                <w:szCs w:val="21"/>
                <w:u w:val="single"/>
              </w:rPr>
              <w:t>年</w:t>
            </w:r>
            <w:r>
              <w:rPr>
                <w:rFonts w:hint="eastAsia" w:asciiTheme="minorEastAsia" w:hAnsiTheme="minorEastAsia" w:eastAsiaTheme="minorEastAsia" w:cstheme="minorEastAsia"/>
                <w:color w:val="auto"/>
                <w:szCs w:val="21"/>
                <w:u w:val="single"/>
                <w:lang w:val="en-US" w:eastAsia="zh-CN"/>
              </w:rPr>
              <w:t>10</w:t>
            </w:r>
            <w:r>
              <w:rPr>
                <w:rFonts w:hint="eastAsia" w:asciiTheme="minorEastAsia" w:hAnsiTheme="minorEastAsia" w:eastAsiaTheme="minorEastAsia" w:cstheme="minorEastAsia"/>
                <w:color w:val="auto"/>
                <w:szCs w:val="21"/>
                <w:u w:val="single"/>
              </w:rPr>
              <w:t>月</w:t>
            </w:r>
            <w:r>
              <w:rPr>
                <w:rFonts w:hint="eastAsia" w:asciiTheme="minorEastAsia" w:hAnsiTheme="minorEastAsia" w:eastAsiaTheme="minorEastAsia" w:cstheme="minorEastAsia"/>
                <w:color w:val="auto"/>
                <w:szCs w:val="21"/>
                <w:u w:val="single"/>
                <w:lang w:val="en-US" w:eastAsia="zh-CN"/>
              </w:rPr>
              <w:t>31</w:t>
            </w:r>
            <w:r>
              <w:rPr>
                <w:rFonts w:hint="eastAsia" w:asciiTheme="minorEastAsia" w:hAnsiTheme="minorEastAsia" w:eastAsiaTheme="minorEastAsia" w:cstheme="minorEastAsia"/>
                <w:color w:val="auto"/>
                <w:szCs w:val="21"/>
                <w:u w:val="single"/>
              </w:rPr>
              <w:t>日</w:t>
            </w:r>
            <w:r>
              <w:rPr>
                <w:rFonts w:hint="eastAsia" w:asciiTheme="minorEastAsia" w:hAnsiTheme="minorEastAsia" w:eastAsiaTheme="minorEastAsia" w:cstheme="minorEastAsia"/>
                <w:color w:val="auto"/>
                <w:szCs w:val="21"/>
                <w:u w:val="single"/>
                <w:lang w:val="en-US" w:eastAsia="zh-CN"/>
              </w:rPr>
              <w:t>10</w:t>
            </w:r>
            <w:r>
              <w:rPr>
                <w:rFonts w:hint="eastAsia" w:asciiTheme="minorEastAsia" w:hAnsiTheme="minorEastAsia" w:eastAsiaTheme="minorEastAsia" w:cstheme="minorEastAsia"/>
                <w:color w:val="auto"/>
                <w:szCs w:val="21"/>
                <w:u w:val="single"/>
              </w:rPr>
              <w:t>时</w:t>
            </w:r>
            <w:r>
              <w:rPr>
                <w:rFonts w:hint="eastAsia" w:asciiTheme="minorEastAsia" w:hAnsiTheme="minorEastAsia" w:eastAsiaTheme="minorEastAsia" w:cstheme="minorEastAsia"/>
                <w:color w:val="auto"/>
                <w:szCs w:val="21"/>
                <w:u w:val="single"/>
                <w:lang w:val="en-US" w:eastAsia="zh-CN"/>
              </w:rPr>
              <w:t>00</w:t>
            </w:r>
            <w:r>
              <w:rPr>
                <w:rFonts w:hint="eastAsia" w:asciiTheme="minorEastAsia" w:hAnsiTheme="minorEastAsia" w:eastAsiaTheme="minorEastAsia" w:cstheme="minorEastAsia"/>
                <w:color w:val="auto"/>
                <w:szCs w:val="21"/>
                <w:u w:val="single"/>
              </w:rPr>
              <w:t>分之前</w:t>
            </w:r>
            <w:r>
              <w:rPr>
                <w:rFonts w:hint="eastAsia" w:asciiTheme="minorEastAsia" w:hAnsiTheme="minorEastAsia" w:eastAsiaTheme="minorEastAsia" w:cstheme="minorEastAsia"/>
                <w:color w:val="auto"/>
                <w:szCs w:val="21"/>
              </w:rPr>
              <w:t>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第二章第24.1款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响应文件的递交地点</w:t>
            </w:r>
          </w:p>
        </w:tc>
        <w:tc>
          <w:tcPr>
            <w:tcW w:w="7035" w:type="dxa"/>
            <w:vAlign w:val="center"/>
          </w:tcPr>
          <w:p>
            <w:pPr>
              <w:adjustRightInd w:val="0"/>
              <w:snapToGrid w:val="0"/>
              <w:rPr>
                <w:rFonts w:asciiTheme="minorEastAsia" w:hAnsiTheme="minorEastAsia" w:cstheme="minorEastAsia"/>
                <w:color w:val="auto"/>
                <w:szCs w:val="21"/>
              </w:rPr>
            </w:pPr>
            <w:r>
              <w:rPr>
                <w:rFonts w:hint="eastAsia" w:ascii="宋体" w:hAnsi="宋体"/>
                <w:color w:val="auto"/>
                <w:szCs w:val="21"/>
                <w:lang w:eastAsia="zh-CN"/>
              </w:rPr>
              <w:t>中采联合招标有限公司</w:t>
            </w:r>
            <w:r>
              <w:rPr>
                <w:rFonts w:hint="eastAsia" w:ascii="宋体" w:hAnsi="宋体"/>
                <w:color w:val="auto"/>
                <w:szCs w:val="21"/>
              </w:rPr>
              <w:t>（</w:t>
            </w:r>
            <w:r>
              <w:rPr>
                <w:rFonts w:hint="eastAsia" w:asciiTheme="minorEastAsia" w:hAnsiTheme="minorEastAsia" w:eastAsiaTheme="minorEastAsia" w:cstheme="minorEastAsia"/>
                <w:color w:val="auto"/>
                <w:szCs w:val="21"/>
              </w:rPr>
              <w:t>岳阳市</w:t>
            </w:r>
            <w:r>
              <w:rPr>
                <w:rFonts w:hint="eastAsia" w:ascii="宋体" w:hAnsi="宋体" w:cs="宋体"/>
                <w:color w:val="auto"/>
                <w:szCs w:val="21"/>
              </w:rPr>
              <w:t>临湘市连心路110号3楼301室</w:t>
            </w:r>
            <w:r>
              <w:rPr>
                <w:rFonts w:hint="eastAsia" w:ascii="宋体" w:hAnsi="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第二章第31.2款</w:t>
            </w: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评审因素和标准</w:t>
            </w:r>
          </w:p>
        </w:tc>
        <w:tc>
          <w:tcPr>
            <w:tcW w:w="7035" w:type="dxa"/>
            <w:vAlign w:val="center"/>
          </w:tcPr>
          <w:p>
            <w:pPr>
              <w:adjustRightInd w:val="0"/>
              <w:snapToGrid w:val="0"/>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见附页4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第二章第31.3款</w:t>
            </w:r>
          </w:p>
        </w:tc>
        <w:tc>
          <w:tcPr>
            <w:tcW w:w="1808"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最后报价</w:t>
            </w:r>
            <w:r>
              <w:rPr>
                <w:rFonts w:hint="eastAsia" w:asciiTheme="minorEastAsia" w:hAnsiTheme="minorEastAsia" w:eastAsiaTheme="minorEastAsia" w:cstheme="minorEastAsia"/>
                <w:color w:val="auto"/>
                <w:szCs w:val="21"/>
              </w:rPr>
              <w:t>调整</w:t>
            </w:r>
          </w:p>
        </w:tc>
        <w:tc>
          <w:tcPr>
            <w:tcW w:w="7035" w:type="dxa"/>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Theme="minorEastAsia" w:hAnsiTheme="minorEastAsia" w:eastAsiaTheme="minorEastAsia" w:cstheme="minorEastAsia"/>
                <w:color w:val="auto"/>
                <w:szCs w:val="21"/>
              </w:rPr>
            </w:pPr>
            <w:r>
              <w:rPr>
                <w:rFonts w:hint="eastAsia"/>
                <w:color w:val="auto"/>
              </w:rPr>
              <w:sym w:font="Wingdings 2" w:char="0052"/>
            </w:r>
            <w:r>
              <w:rPr>
                <w:rFonts w:hint="eastAsia"/>
                <w:color w:val="auto"/>
              </w:rPr>
              <w:t xml:space="preserve"> 专门面向中小企业采购（应同时在招标公告中注明）</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政府采购支持中小企业、残疾人福利性单位发展：</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小型或微型企业或残疾人福利性单位，价格扣除比例为</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rPr>
              <w:t>；中型企业，价格扣除比例为</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rPr>
              <w:t>；联合体投标的，价格扣除比例为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Cs w:val="21"/>
              </w:rPr>
              <w:t>。评审时，用扣除后的最后报价计算价格分。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766"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第二章第31.5款</w:t>
            </w:r>
          </w:p>
        </w:tc>
        <w:tc>
          <w:tcPr>
            <w:tcW w:w="1808"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调整</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符合第二章第9.1款规定，按第二章第31.6款规定及本款分值调整：</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节能产品：</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加分比例（比例见前附表第38.1项,下同）×（节能产品最后报价÷最后总报价）；</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价格加分＝价格分值×加分比例×（节能产品最后报价÷最后总报价）。</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2、环境标志产品：</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加分比例×（环境标志产品最后报价÷最后总报价）；</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价格加分＝价格分值×加分比例×（环境标志产品最后报价÷最后总报价）。3、两型产品：</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商务加分＝商务分值×加分比例×（两型产品最后报价÷最后总报价）；</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技术加分＝技术分值×加分比例×（两型产品最后报价÷最后总报价）；</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价格加分＝价格分值×加分比例×（两型产品最后报价÷最后总报价）。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70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第二章第31.6款</w:t>
            </w:r>
          </w:p>
        </w:tc>
        <w:tc>
          <w:tcPr>
            <w:tcW w:w="1808" w:type="dxa"/>
            <w:vAlign w:val="center"/>
          </w:tcPr>
          <w:p>
            <w:pPr>
              <w:adjustRightInd w:val="0"/>
              <w:snapToGrid w:val="0"/>
              <w:spacing w:before="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多处或部分获得政府采购政策优惠的计算方法</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1、符合政府采购优先采购政策的，产品只能享受节能产品、环境标志产品、两型产品等产品优惠中的一项(由供应商在投标文件中选择并填报政策功能编码，评审时进行加分) 。</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2、供应商享受支持中小企业发展政策优惠的，可以与同时享受节能产品、环境标志产品、两型产品等产品优惠中的一项累加。</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3、同一项目中部分产品属于优先采购政策的，评审时只对该部分产品的报价实行加分。</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4、向残疾人福利性单位采购的金额，计入面向中小企业采购的统计数据。残疾人福利性单位属于小型、微型企业的，不重复享受政策。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第二章第37.1款、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财政部门指定的媒体</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《湖南政府采购网》（http://www.ccgp-hunan.gov.cn/）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第二章第39.3款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履约担保</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☑不要求提供</w:t>
            </w:r>
          </w:p>
          <w:p>
            <w:pPr>
              <w:adjustRightInd w:val="0"/>
              <w:snapToGrid w:val="0"/>
              <w:rPr>
                <w:rFonts w:asciiTheme="minorEastAsia" w:hAnsiTheme="minorEastAsia" w:eastAsiaTheme="minorEastAsia" w:cstheme="minorEastAsia"/>
                <w:color w:val="auto"/>
                <w:szCs w:val="21"/>
              </w:rPr>
            </w:pPr>
            <w:r>
              <w:rPr>
                <w:rFonts w:hint="eastAsia" w:ascii="宋体" w:hAnsi="宋体"/>
                <w:color w:val="auto"/>
                <w:szCs w:val="21"/>
              </w:rPr>
              <w:t xml:space="preserve">□ </w:t>
            </w:r>
            <w:r>
              <w:rPr>
                <w:rFonts w:hint="eastAsia" w:asciiTheme="minorEastAsia" w:hAnsiTheme="minorEastAsia" w:eastAsiaTheme="minorEastAsia" w:cstheme="minorEastAsia"/>
                <w:color w:val="auto"/>
                <w:szCs w:val="21"/>
              </w:rPr>
              <w:t xml:space="preserve"> 要求提供，履约担保的金额为：中标金额的5%。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41" w:hRule="atLeast"/>
          <w:jc w:val="center"/>
        </w:trPr>
        <w:tc>
          <w:tcPr>
            <w:tcW w:w="10460" w:type="dxa"/>
            <w:gridSpan w:val="3"/>
            <w:vAlign w:val="center"/>
          </w:tcPr>
          <w:p>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85" w:hRule="atLeast"/>
          <w:jc w:val="center"/>
        </w:trPr>
        <w:tc>
          <w:tcPr>
            <w:tcW w:w="1617"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第二章第41.1款</w:t>
            </w: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采购代理服务费及劳务费</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招标代理服务费支付方式：按招标代理协议约定支付。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98" w:hRule="atLeast"/>
          <w:jc w:val="center"/>
        </w:trPr>
        <w:tc>
          <w:tcPr>
            <w:tcW w:w="1617" w:type="dxa"/>
            <w:vMerge w:val="restart"/>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第二章第42.1款</w:t>
            </w: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其他规定</w:t>
            </w:r>
          </w:p>
        </w:tc>
        <w:tc>
          <w:tcPr>
            <w:tcW w:w="7035" w:type="dxa"/>
            <w:vAlign w:val="center"/>
          </w:tcPr>
          <w:p>
            <w:pPr>
              <w:adjustRightInd w:val="0"/>
              <w:snapToGrid w:val="0"/>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1、信用信息查询的查询渠道：“信用中国”网站（www.creditchina.gov.cn）、中国政府采购网（www.ccgp.gov.cn）。</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2、信用信息查询的截止时点：至本项目投标截止时间止。</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3、信用信息查询记录的具体方式：采购人或采购代理机构在开标后在规定的查询渠道进行查询。</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4、信用信息查询记录证据留存的具体方式：查询记录的网上打印件。</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5、信用信息的使用规则：查询后交由评标委员会评定。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538" w:hRule="atLeast"/>
          <w:jc w:val="center"/>
        </w:trPr>
        <w:tc>
          <w:tcPr>
            <w:tcW w:w="1617" w:type="dxa"/>
            <w:vMerge w:val="continue"/>
            <w:vAlign w:val="center"/>
          </w:tcPr>
          <w:p>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无效响应的规定</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磋商小组在对资格性和符合性进行审查时，有下列情况之一的，属无效响应（★）：</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（1）供应商不具备磋商须知前附表第3.1款规定的供应商资格条件要求，或存在磋商须知正文第3.3款情形的；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（2）联合体不符合磋商须知正文第3.2款规定的；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（4）响应文件不满足磋商须知正文第27.1款规定的实质性要求的；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（7）响应文件不符合法律、规章、规范性文件和磋商文件规定及要求的。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43" w:hRule="atLeast"/>
          <w:jc w:val="center"/>
        </w:trPr>
        <w:tc>
          <w:tcPr>
            <w:tcW w:w="1617" w:type="dxa"/>
            <w:vMerge w:val="continue"/>
            <w:vAlign w:val="center"/>
          </w:tcPr>
          <w:p>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无效投标的规定</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投标人有下列情形之一的，视为无效投标（★）：</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（1）有一项资格证明文件未提交的；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（2）提供不符合要求或虚假资格证明文件的；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（3）资格证明文件过了有效期的；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（4）资格证明文件资料未加盖投标人公章的。</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（5）开标时未按文件要求提交原件证明资料的。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34" w:hRule="atLeast"/>
          <w:jc w:val="center"/>
        </w:trPr>
        <w:tc>
          <w:tcPr>
            <w:tcW w:w="1617" w:type="dxa"/>
            <w:vMerge w:val="continue"/>
            <w:vAlign w:val="center"/>
          </w:tcPr>
          <w:p>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废标的规定</w:t>
            </w:r>
          </w:p>
        </w:tc>
        <w:tc>
          <w:tcPr>
            <w:tcW w:w="7035" w:type="dxa"/>
            <w:vAlign w:val="center"/>
          </w:tcPr>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有下列情形之一时，评标委员会应予废标（★）：</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（1）符合专业条件的投标人或者对招标文件作实质性响应的投标人不足三家的；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（2）出现影响采购公正的违法、违规行为的；</w:t>
            </w:r>
          </w:p>
          <w:p>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（3）投标人的报价均超过了采购预算总价的；</w:t>
            </w:r>
          </w:p>
          <w:p>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（4）因重大变故，采购任务取消的。</w:t>
            </w:r>
          </w:p>
        </w:tc>
      </w:tr>
    </w:tbl>
    <w:p>
      <w:pPr>
        <w:adjustRightInd w:val="0"/>
        <w:snapToGrid w:val="0"/>
        <w:spacing w:line="360" w:lineRule="auto"/>
        <w:rPr>
          <w:rFonts w:asciiTheme="minorEastAsia" w:hAnsiTheme="minorEastAsia" w:eastAsiaTheme="minorEastAsia" w:cstheme="minorEastAsia"/>
          <w:b/>
          <w:bCs/>
          <w:color w:val="auto"/>
          <w:szCs w:val="21"/>
        </w:rPr>
      </w:pP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br w:type="page"/>
      </w:r>
    </w:p>
    <w:p>
      <w:pPr>
        <w:adjustRightInd w:val="0"/>
        <w:snapToGrid w:val="0"/>
        <w:spacing w:line="360" w:lineRule="auto"/>
        <w:outlineLvl w:val="1"/>
        <w:rPr>
          <w:rFonts w:asciiTheme="minorEastAsia" w:hAnsiTheme="minorEastAsia" w:eastAsiaTheme="minorEastAsia" w:cstheme="minorEastAsia"/>
          <w:b/>
          <w:bCs/>
          <w:color w:val="auto"/>
          <w:szCs w:val="21"/>
        </w:rPr>
      </w:pPr>
      <w:bookmarkStart w:id="7" w:name="_Toc11331"/>
      <w:r>
        <w:rPr>
          <w:rFonts w:hint="eastAsia" w:asciiTheme="minorEastAsia" w:hAnsiTheme="minorEastAsia" w:eastAsiaTheme="minorEastAsia" w:cstheme="minorEastAsia"/>
          <w:b/>
          <w:bCs/>
          <w:color w:val="auto"/>
          <w:szCs w:val="21"/>
        </w:rPr>
        <w:t>附页1</w:t>
      </w:r>
      <w:bookmarkEnd w:id="7"/>
    </w:p>
    <w:p>
      <w:pPr>
        <w:adjustRightInd w:val="0"/>
        <w:snapToGrid w:val="0"/>
        <w:spacing w:line="360" w:lineRule="auto"/>
        <w:jc w:val="center"/>
        <w:outlineLvl w:val="1"/>
        <w:rPr>
          <w:rFonts w:asciiTheme="minorEastAsia" w:hAnsiTheme="minorEastAsia" w:eastAsiaTheme="minorEastAsia" w:cstheme="minorEastAsia"/>
          <w:b/>
          <w:bCs/>
          <w:color w:val="auto"/>
          <w:sz w:val="28"/>
          <w:szCs w:val="28"/>
        </w:rPr>
      </w:pPr>
      <w:bookmarkStart w:id="8" w:name="_Toc26726"/>
      <w:r>
        <w:rPr>
          <w:rFonts w:hint="eastAsia" w:asciiTheme="minorEastAsia" w:hAnsiTheme="minorEastAsia" w:eastAsiaTheme="minorEastAsia" w:cstheme="minorEastAsia"/>
          <w:b/>
          <w:bCs/>
          <w:color w:val="auto"/>
          <w:kern w:val="0"/>
          <w:sz w:val="28"/>
          <w:szCs w:val="28"/>
        </w:rPr>
        <w:t>湖南省政府采购支持中小企业融资合作银行及联系人名单</w:t>
      </w:r>
      <w:bookmarkEnd w:id="8"/>
    </w:p>
    <w:tbl>
      <w:tblPr>
        <w:tblStyle w:val="46"/>
        <w:tblW w:w="918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银行名称</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联系人</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职 务</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  波</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名城支行客户经理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13874998873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肖勇光</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分行高级经理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13755192647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黄飞燕</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营业部总经理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13308463468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蒋寒奇</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营业部中小企业客户经理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13548982975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刘栅延</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支行行长</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13337316405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蒋修远</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支行客户经理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18607310422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中国光大银行长沙分行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邓永胜</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岳麓支行副行长</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13617319650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蔡学军</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公司银行部负责人</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13055167195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宋学农</w:t>
            </w:r>
          </w:p>
        </w:tc>
        <w:tc>
          <w:tcPr>
            <w:tcW w:w="306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银行部综合管理部副总经理</w:t>
            </w:r>
          </w:p>
        </w:tc>
        <w:tc>
          <w:tcPr>
            <w:tcW w:w="2340" w:type="dxa"/>
            <w:vAlign w:val="center"/>
          </w:tcPr>
          <w:p>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0731-845822141</w:t>
            </w:r>
          </w:p>
        </w:tc>
      </w:tr>
    </w:tbl>
    <w:p>
      <w:pPr>
        <w:adjustRightInd w:val="0"/>
        <w:snapToGrid w:val="0"/>
        <w:spacing w:line="360" w:lineRule="auto"/>
        <w:rPr>
          <w:rFonts w:asciiTheme="minorEastAsia" w:hAnsiTheme="minorEastAsia" w:eastAsiaTheme="minorEastAsia" w:cstheme="minorEastAsia"/>
          <w:b/>
          <w:bCs/>
          <w:color w:val="auto"/>
          <w:szCs w:val="21"/>
        </w:rPr>
      </w:pPr>
    </w:p>
    <w:p>
      <w:pPr>
        <w:adjustRightInd w:val="0"/>
        <w:snapToGrid w:val="0"/>
        <w:spacing w:line="360" w:lineRule="auto"/>
        <w:rPr>
          <w:rFonts w:asciiTheme="minorEastAsia" w:hAnsiTheme="minorEastAsia" w:eastAsiaTheme="minorEastAsia" w:cstheme="minorEastAsia"/>
          <w:b/>
          <w:bCs/>
          <w:color w:val="auto"/>
          <w:szCs w:val="21"/>
        </w:rPr>
      </w:pPr>
    </w:p>
    <w:p>
      <w:pPr>
        <w:adjustRightInd w:val="0"/>
        <w:snapToGrid w:val="0"/>
        <w:spacing w:line="360" w:lineRule="auto"/>
        <w:outlineLvl w:val="1"/>
        <w:rPr>
          <w:rFonts w:asciiTheme="minorEastAsia" w:hAnsiTheme="minorEastAsia" w:eastAsiaTheme="minorEastAsia" w:cstheme="minorEastAsia"/>
          <w:b/>
          <w:bCs/>
          <w:color w:val="auto"/>
          <w:szCs w:val="21"/>
        </w:rPr>
      </w:pPr>
      <w:bookmarkStart w:id="9" w:name="_Toc21324"/>
      <w:r>
        <w:rPr>
          <w:rFonts w:hint="eastAsia" w:asciiTheme="minorEastAsia" w:hAnsiTheme="minorEastAsia" w:eastAsiaTheme="minorEastAsia" w:cstheme="minorEastAsia"/>
          <w:b/>
          <w:bCs/>
          <w:color w:val="auto"/>
          <w:szCs w:val="21"/>
        </w:rPr>
        <w:t>附页2</w:t>
      </w:r>
      <w:bookmarkEnd w:id="9"/>
    </w:p>
    <w:p>
      <w:pPr>
        <w:adjustRightInd w:val="0"/>
        <w:snapToGrid w:val="0"/>
        <w:spacing w:line="360" w:lineRule="auto"/>
        <w:jc w:val="center"/>
        <w:outlineLvl w:val="1"/>
        <w:rPr>
          <w:rFonts w:asciiTheme="minorEastAsia" w:hAnsiTheme="minorEastAsia" w:eastAsiaTheme="minorEastAsia" w:cstheme="minorEastAsia"/>
          <w:b/>
          <w:bCs/>
          <w:color w:val="auto"/>
          <w:sz w:val="28"/>
          <w:szCs w:val="28"/>
        </w:rPr>
      </w:pPr>
      <w:bookmarkStart w:id="10" w:name="_Toc19161"/>
      <w:r>
        <w:rPr>
          <w:rFonts w:hint="eastAsia" w:asciiTheme="minorEastAsia" w:hAnsiTheme="minorEastAsia" w:eastAsiaTheme="minorEastAsia" w:cstheme="minorEastAsia"/>
          <w:b/>
          <w:bCs/>
          <w:color w:val="auto"/>
          <w:kern w:val="0"/>
          <w:sz w:val="28"/>
          <w:szCs w:val="28"/>
        </w:rPr>
        <w:t>湖南省政府采购信用担保试点工作的</w:t>
      </w:r>
      <w:r>
        <w:rPr>
          <w:rFonts w:hint="eastAsia" w:asciiTheme="minorEastAsia" w:hAnsiTheme="minorEastAsia" w:eastAsiaTheme="minorEastAsia" w:cstheme="minorEastAsia"/>
          <w:b/>
          <w:color w:val="auto"/>
          <w:sz w:val="28"/>
          <w:szCs w:val="28"/>
        </w:rPr>
        <w:t>信用担保机构名单</w:t>
      </w:r>
      <w:bookmarkEnd w:id="10"/>
    </w:p>
    <w:tbl>
      <w:tblPr>
        <w:tblStyle w:val="46"/>
        <w:tblW w:w="918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320" w:type="dxa"/>
            <w:vAlign w:val="center"/>
          </w:tcPr>
          <w:p>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信用担保机构</w:t>
            </w:r>
          </w:p>
        </w:tc>
        <w:tc>
          <w:tcPr>
            <w:tcW w:w="1080" w:type="dxa"/>
            <w:vAlign w:val="center"/>
          </w:tcPr>
          <w:p>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联系人</w:t>
            </w:r>
          </w:p>
        </w:tc>
        <w:tc>
          <w:tcPr>
            <w:tcW w:w="3780" w:type="dxa"/>
            <w:vAlign w:val="center"/>
          </w:tcPr>
          <w:p>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jc w:val="center"/>
        </w:trPr>
        <w:tc>
          <w:tcPr>
            <w:tcW w:w="432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中国投资担保公司</w:t>
            </w:r>
          </w:p>
        </w:tc>
        <w:tc>
          <w:tcPr>
            <w:tcW w:w="108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何  嘉</w:t>
            </w:r>
          </w:p>
        </w:tc>
        <w:tc>
          <w:tcPr>
            <w:tcW w:w="378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010-88822659/13718642233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432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湖南省中小企业信用担保有限责任公司</w:t>
            </w:r>
          </w:p>
        </w:tc>
        <w:tc>
          <w:tcPr>
            <w:tcW w:w="108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蔡建雄</w:t>
            </w:r>
          </w:p>
        </w:tc>
        <w:tc>
          <w:tcPr>
            <w:tcW w:w="378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0731-84172390-201/15573193555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43" w:hRule="atLeast"/>
          <w:jc w:val="center"/>
        </w:trPr>
        <w:tc>
          <w:tcPr>
            <w:tcW w:w="4320"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湖南农业信用担保有限公司</w:t>
            </w:r>
          </w:p>
        </w:tc>
        <w:tc>
          <w:tcPr>
            <w:tcW w:w="1080" w:type="dxa"/>
            <w:vAlign w:val="center"/>
          </w:tcPr>
          <w:p>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彭  球</w:t>
            </w:r>
          </w:p>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邓霞英</w:t>
            </w:r>
          </w:p>
        </w:tc>
        <w:tc>
          <w:tcPr>
            <w:tcW w:w="3780" w:type="dxa"/>
            <w:vAlign w:val="center"/>
          </w:tcPr>
          <w:p>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0731-89761702/13875980906 0731-89761706/13574125851</w:t>
            </w:r>
          </w:p>
        </w:tc>
      </w:tr>
    </w:tbl>
    <w:p>
      <w:pPr>
        <w:pStyle w:val="133"/>
        <w:widowControl w:val="0"/>
        <w:spacing w:beforeLines="50" w:line="600" w:lineRule="exact"/>
        <w:jc w:val="center"/>
        <w:rPr>
          <w:rFonts w:eastAsia="方正小标宋简体"/>
          <w:bCs/>
          <w:color w:val="auto"/>
          <w:sz w:val="40"/>
          <w:szCs w:val="40"/>
        </w:rPr>
      </w:pPr>
    </w:p>
    <w:p>
      <w:pPr>
        <w:pStyle w:val="133"/>
        <w:widowControl w:val="0"/>
        <w:spacing w:beforeLines="50" w:line="600" w:lineRule="exact"/>
        <w:jc w:val="center"/>
        <w:rPr>
          <w:rFonts w:eastAsia="方正小标宋简体"/>
          <w:bCs/>
          <w:color w:val="auto"/>
          <w:sz w:val="40"/>
          <w:szCs w:val="40"/>
        </w:rPr>
      </w:pPr>
    </w:p>
    <w:p>
      <w:pPr>
        <w:pStyle w:val="133"/>
        <w:widowControl w:val="0"/>
        <w:spacing w:beforeLines="50" w:line="600" w:lineRule="exact"/>
        <w:jc w:val="center"/>
        <w:rPr>
          <w:rFonts w:eastAsia="方正小标宋简体"/>
          <w:bCs/>
          <w:color w:val="auto"/>
          <w:sz w:val="40"/>
          <w:szCs w:val="40"/>
        </w:rPr>
      </w:pPr>
    </w:p>
    <w:p>
      <w:pPr>
        <w:pStyle w:val="133"/>
        <w:widowControl w:val="0"/>
        <w:spacing w:beforeLines="50" w:line="600" w:lineRule="exact"/>
        <w:jc w:val="center"/>
        <w:rPr>
          <w:rFonts w:eastAsia="方正小标宋简体"/>
          <w:bCs/>
          <w:color w:val="auto"/>
          <w:sz w:val="40"/>
          <w:szCs w:val="40"/>
        </w:rPr>
      </w:pPr>
      <w:r>
        <w:rPr>
          <w:rFonts w:eastAsia="方正小标宋简体"/>
          <w:bCs/>
          <w:color w:val="auto"/>
          <w:sz w:val="36"/>
          <w:szCs w:val="36"/>
        </w:rPr>
        <w:t>政府采购招标文件“中标贷”推广介绍</w:t>
      </w:r>
    </w:p>
    <w:p>
      <w:pPr>
        <w:pStyle w:val="133"/>
        <w:widowControl w:val="0"/>
        <w:spacing w:line="600" w:lineRule="exact"/>
        <w:ind w:firstLine="420"/>
        <w:rPr>
          <w:color w:val="auto"/>
        </w:rPr>
      </w:pP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为进一步优化营商环境，帮助企业解决融资难、融资贵的问题，所有在岳阳市成交的政府采购类项目，中标企业都可以通过中标贷平台在线向银行提出贷款申请。</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中标贷是银行、担保公司等金融机构以工程建设、政府采购合同为载体，以财政支付为保障，以企业参与公共资源交易形成的信用为融资依据，向中标企业发放的信用贷款。</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一、中标贷的特点</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在线申请，快捷方便：中标企业用CA证书即可登录中标贷平台，进行在线申请。银行贷前、贷中调查需要的企业相关资料，都可以在线提交。</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信用贷款，无需抵押：凭中标通知书，中标合同即可申请，无需抵押。</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平台渠道，利率优惠：相比其他渠道的同类贷款，银行针对中标贷给出的利率优惠力度更大。</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专用产品，放款快速：银行提供专用产品匹配中标贷，中标企业提交中标合同、约定还款账号等关键资料后，符合条件的，不超过15天即可放款。</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二、中标贷的操作</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登录入口：</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岳阳市公共资源交易中心官网-中标贷平台，</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或https://hnyy.biddingloan.com</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登录工具：企业CA（湖南CA办理电话：0730-8181828）</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贷款申请：详见“中标贷操作手册 ”。</w:t>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岳阳市公共资源交易中心官网-办事服务-政府采购-【中标贷手册V1.2.4】，或下载</w:t>
      </w:r>
    </w:p>
    <w:p>
      <w:pPr>
        <w:pStyle w:val="133"/>
        <w:widowControl w:val="0"/>
        <w:spacing w:line="440" w:lineRule="exact"/>
        <w:ind w:firstLine="420" w:firstLineChars="200"/>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"http://ggzy.yueyang.gov.cn/uploadfiles/202009/20200917151230447.pdf" </w:instrText>
      </w:r>
      <w:r>
        <w:rPr>
          <w:color w:val="auto"/>
        </w:rPr>
        <w:fldChar w:fldCharType="separate"/>
      </w:r>
      <w:r>
        <w:rPr>
          <w:rStyle w:val="278"/>
          <w:rFonts w:hint="eastAsia" w:asciiTheme="minorEastAsia" w:hAnsiTheme="minorEastAsia" w:eastAsiaTheme="minorEastAsia" w:cstheme="minorEastAsia"/>
          <w:color w:val="auto"/>
          <w:sz w:val="24"/>
          <w:szCs w:val="24"/>
          <w:u w:val="none"/>
        </w:rPr>
        <w:t>http://ggzy.yueyang.gov.cn/uploadfiles/202009/20200917151230447.pdf</w:t>
      </w:r>
      <w:r>
        <w:rPr>
          <w:rStyle w:val="278"/>
          <w:rFonts w:hint="eastAsia" w:asciiTheme="minorEastAsia" w:hAnsiTheme="minorEastAsia" w:eastAsiaTheme="minorEastAsia" w:cstheme="minorEastAsia"/>
          <w:color w:val="auto"/>
          <w:sz w:val="24"/>
          <w:szCs w:val="24"/>
          <w:u w:val="none"/>
        </w:rPr>
        <w:fldChar w:fldCharType="end"/>
      </w:r>
    </w:p>
    <w:p>
      <w:pPr>
        <w:pStyle w:val="133"/>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三、业务咨询电话</w:t>
      </w:r>
    </w:p>
    <w:p>
      <w:pPr>
        <w:pStyle w:val="133"/>
        <w:widowControl w:val="0"/>
        <w:autoSpaceDN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0730-2966626，张女士</w:t>
      </w:r>
    </w:p>
    <w:p>
      <w:pPr>
        <w:pStyle w:val="133"/>
        <w:widowControl w:val="0"/>
        <w:autoSpaceDN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16673063296，陈工</w:t>
      </w:r>
    </w:p>
    <w:p>
      <w:pPr>
        <w:adjustRightInd w:val="0"/>
        <w:snapToGrid w:val="0"/>
        <w:spacing w:line="440" w:lineRule="exact"/>
        <w:rPr>
          <w:rFonts w:asciiTheme="minorEastAsia" w:hAnsiTheme="minorEastAsia" w:eastAsiaTheme="minorEastAsia" w:cstheme="minorEastAsia"/>
          <w:b/>
          <w:color w:val="auto"/>
          <w:sz w:val="24"/>
        </w:rPr>
        <w:sectPr>
          <w:headerReference r:id="rId3" w:type="default"/>
          <w:footerReference r:id="rId4" w:type="default"/>
          <w:pgSz w:w="11906" w:h="16838"/>
          <w:pgMar w:top="1440" w:right="1531" w:bottom="1440" w:left="1531" w:header="851" w:footer="992" w:gutter="0"/>
          <w:pgNumType w:start="0"/>
          <w:cols w:space="720" w:num="1"/>
          <w:titlePg/>
          <w:docGrid w:type="lines" w:linePitch="312" w:charSpace="0"/>
        </w:sectPr>
      </w:pP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附页3</w:t>
      </w:r>
    </w:p>
    <w:p>
      <w:pPr>
        <w:adjustRightInd w:val="0"/>
        <w:snapToGrid w:val="0"/>
        <w:spacing w:line="360" w:lineRule="auto"/>
        <w:jc w:val="center"/>
        <w:outlineLvl w:val="1"/>
        <w:rPr>
          <w:rFonts w:asciiTheme="minorEastAsia" w:hAnsiTheme="minorEastAsia" w:eastAsiaTheme="minorEastAsia" w:cstheme="minorEastAsia"/>
          <w:b/>
          <w:color w:val="auto"/>
          <w:kern w:val="0"/>
          <w:sz w:val="28"/>
          <w:szCs w:val="28"/>
        </w:rPr>
      </w:pPr>
      <w:bookmarkStart w:id="11" w:name="_Toc14560"/>
      <w:r>
        <w:rPr>
          <w:rFonts w:hint="eastAsia" w:asciiTheme="minorEastAsia" w:hAnsiTheme="minorEastAsia" w:eastAsiaTheme="minorEastAsia" w:cstheme="minorEastAsia"/>
          <w:b/>
          <w:color w:val="auto"/>
          <w:kern w:val="0"/>
          <w:sz w:val="28"/>
          <w:szCs w:val="28"/>
        </w:rPr>
        <w:t>政府采购履约担保函</w:t>
      </w:r>
      <w:bookmarkEnd w:id="11"/>
    </w:p>
    <w:p>
      <w:pPr>
        <w:adjustRightInd w:val="0"/>
        <w:snapToGrid w:val="0"/>
        <w:spacing w:line="360" w:lineRule="auto"/>
        <w:ind w:firstLine="630" w:firstLineChars="3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编号：</w:t>
      </w:r>
    </w:p>
    <w:p>
      <w:pPr>
        <w:adjustRightInd w:val="0"/>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（采购人）： </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2" w:name="_Toc14449"/>
      <w:r>
        <w:rPr>
          <w:rFonts w:hint="eastAsia" w:asciiTheme="minorEastAsia" w:hAnsiTheme="minorEastAsia" w:eastAsiaTheme="minorEastAsia" w:cstheme="minorEastAsia"/>
          <w:b/>
          <w:color w:val="auto"/>
          <w:kern w:val="0"/>
          <w:szCs w:val="21"/>
        </w:rPr>
        <w:t>一、保证责任的情形及保证金额</w:t>
      </w:r>
      <w:bookmarkEnd w:id="12"/>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（一）在供应商出现下列情形之一时，我方承担保证责任：</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1．将中标项目转让给他人，或者在投标文件中未说明，且未经采购人同意，将中标项目分包给他人的；</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2．主合同约定的应当缴纳履约保证金的情形: </w:t>
      </w:r>
    </w:p>
    <w:p>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（1）未按主合同约定的质量、数量和期限供应货物/提供服务/完成工程的； </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（二）我方的保证范围是主合同约定的合同价款总额的%数额为元（大写），币种为。（即主合同履约保证金金额）</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3" w:name="_Toc17854"/>
      <w:r>
        <w:rPr>
          <w:rFonts w:hint="eastAsia" w:asciiTheme="minorEastAsia" w:hAnsiTheme="minorEastAsia" w:eastAsiaTheme="minorEastAsia" w:cstheme="minorEastAsia"/>
          <w:b/>
          <w:color w:val="auto"/>
          <w:kern w:val="0"/>
          <w:szCs w:val="21"/>
        </w:rPr>
        <w:t>二、保证的方式及保证期间</w:t>
      </w:r>
      <w:bookmarkEnd w:id="13"/>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我方保证的方式为：连带责任保证。 </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我方保证的期间为：自本合同生效之日起至供应商按照主合同约定的供货/完工期限届满后日内。</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如果供应商未按主合同约定向贵方供应货物/提供服务/完成工程的，由我方在保证金额内向你方支付上述款项。 </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4" w:name="_Toc32522"/>
      <w:r>
        <w:rPr>
          <w:rFonts w:hint="eastAsia" w:asciiTheme="minorEastAsia" w:hAnsiTheme="minorEastAsia" w:eastAsiaTheme="minorEastAsia" w:cstheme="minorEastAsia"/>
          <w:b/>
          <w:color w:val="auto"/>
          <w:kern w:val="0"/>
          <w:szCs w:val="21"/>
        </w:rPr>
        <w:t>三、承担保证责任的程序</w:t>
      </w:r>
      <w:bookmarkEnd w:id="14"/>
    </w:p>
    <w:p>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2．我方收到你方的书面索赔通知及相应证明材料，在工作日内进行核定后按照本保函的承诺承担保证责任。</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5" w:name="_Toc24578"/>
      <w:r>
        <w:rPr>
          <w:rFonts w:hint="eastAsia" w:asciiTheme="minorEastAsia" w:hAnsiTheme="minorEastAsia" w:eastAsiaTheme="minorEastAsia" w:cstheme="minorEastAsia"/>
          <w:b/>
          <w:color w:val="auto"/>
          <w:kern w:val="0"/>
          <w:szCs w:val="21"/>
        </w:rPr>
        <w:t>四、保证责任的终止</w:t>
      </w:r>
      <w:bookmarkEnd w:id="15"/>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3．按照法律法规的规定或出现应终止我方保证责任的其它情形的，我方在本保函项下的保证责任亦终止。</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6" w:name="_Toc17717"/>
      <w:r>
        <w:rPr>
          <w:rFonts w:hint="eastAsia" w:asciiTheme="minorEastAsia" w:hAnsiTheme="minorEastAsia" w:eastAsiaTheme="minorEastAsia" w:cstheme="minorEastAsia"/>
          <w:b/>
          <w:color w:val="auto"/>
          <w:kern w:val="0"/>
          <w:szCs w:val="21"/>
        </w:rPr>
        <w:t>五、免责条款</w:t>
      </w:r>
      <w:bookmarkEnd w:id="16"/>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1．因你方违反主合同约定致使供应商不能履行义务的，我方不承担保证责任。</w:t>
      </w:r>
    </w:p>
    <w:p>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2．依照法律法规的规定或你方与供应商的另行约定，全部或者部分免除供应商应缴纳的保证金义务的，我方亦免除相应的保证责任。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3．因不可抗力造成供应商不能履行供货义务的，我方不承担保证责任。</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7" w:name="_Toc12600"/>
      <w:r>
        <w:rPr>
          <w:rFonts w:hint="eastAsia" w:asciiTheme="minorEastAsia" w:hAnsiTheme="minorEastAsia" w:eastAsiaTheme="minorEastAsia" w:cstheme="minorEastAsia"/>
          <w:b/>
          <w:color w:val="auto"/>
          <w:kern w:val="0"/>
          <w:szCs w:val="21"/>
        </w:rPr>
        <w:t>六、争议的解决</w:t>
      </w:r>
      <w:bookmarkEnd w:id="17"/>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因本保函发生的纠纷，由你我双方协商解决，协商不成的，通过诉讼程序解决，诉讼管辖地法院为法院。</w:t>
      </w:r>
    </w:p>
    <w:p>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8" w:name="_Toc16013"/>
      <w:r>
        <w:rPr>
          <w:rFonts w:hint="eastAsia" w:asciiTheme="minorEastAsia" w:hAnsiTheme="minorEastAsia" w:eastAsiaTheme="minorEastAsia" w:cstheme="minorEastAsia"/>
          <w:b/>
          <w:color w:val="auto"/>
          <w:kern w:val="0"/>
          <w:szCs w:val="21"/>
        </w:rPr>
        <w:t>七、保函的生效</w:t>
      </w:r>
      <w:bookmarkEnd w:id="18"/>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本保函自我方加盖公章之日起生效。 </w:t>
      </w:r>
    </w:p>
    <w:p>
      <w:pPr>
        <w:tabs>
          <w:tab w:val="left" w:pos="2850"/>
        </w:tabs>
        <w:adjustRightInd w:val="0"/>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保证人：（公章） </w:t>
      </w:r>
    </w:p>
    <w:p>
      <w:pPr>
        <w:adjustRightInd w:val="0"/>
        <w:snapToGrid w:val="0"/>
        <w:spacing w:line="360" w:lineRule="auto"/>
        <w:ind w:firstLine="6510" w:firstLineChars="3100"/>
        <w:rPr>
          <w:rFonts w:asciiTheme="minorEastAsia" w:hAnsiTheme="minorEastAsia" w:eastAsiaTheme="minorEastAsia" w:cstheme="minorEastAsia"/>
          <w:color w:val="auto"/>
          <w:kern w:val="0"/>
          <w:szCs w:val="21"/>
        </w:rPr>
        <w:sectPr>
          <w:headerReference r:id="rId5" w:type="default"/>
          <w:footerReference r:id="rId6" w:type="default"/>
          <w:footerReference r:id="rId7" w:type="even"/>
          <w:pgSz w:w="11906" w:h="16838"/>
          <w:pgMar w:top="1440" w:right="1531" w:bottom="1440" w:left="1531" w:header="851" w:footer="992" w:gutter="0"/>
          <w:cols w:space="720" w:num="1"/>
          <w:docGrid w:type="lines" w:linePitch="312" w:charSpace="0"/>
        </w:sectPr>
      </w:pPr>
      <w:r>
        <w:rPr>
          <w:rFonts w:hint="eastAsia" w:asciiTheme="minorEastAsia" w:hAnsiTheme="minorEastAsia" w:eastAsiaTheme="minorEastAsia" w:cstheme="minorEastAsia"/>
          <w:color w:val="auto"/>
          <w:kern w:val="0"/>
          <w:szCs w:val="21"/>
        </w:rPr>
        <w:t xml:space="preserve"> 年月 日</w:t>
      </w:r>
    </w:p>
    <w:p>
      <w:pP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Cs w:val="21"/>
        </w:rPr>
        <w:t>附页4</w:t>
      </w:r>
      <w:bookmarkStart w:id="19" w:name="_Toc29624"/>
      <w:bookmarkEnd w:id="19"/>
      <w:bookmarkStart w:id="20" w:name="_Toc30602"/>
      <w:bookmarkEnd w:id="20"/>
      <w:bookmarkStart w:id="21" w:name="_Toc10461"/>
      <w:bookmarkEnd w:id="21"/>
      <w:bookmarkStart w:id="22" w:name="_Toc9064"/>
      <w:bookmarkEnd w:id="22"/>
      <w:bookmarkStart w:id="23" w:name="_Toc500282710"/>
      <w:bookmarkEnd w:id="23"/>
    </w:p>
    <w:p>
      <w:pPr>
        <w:spacing w:line="360" w:lineRule="auto"/>
        <w:jc w:val="left"/>
        <w:rPr>
          <w:rFonts w:ascii="宋体" w:hAnsi="宋体"/>
          <w:b/>
          <w:color w:val="auto"/>
          <w:szCs w:val="21"/>
        </w:rPr>
      </w:pPr>
      <w:r>
        <w:rPr>
          <w:rFonts w:hint="eastAsia" w:ascii="宋体" w:hAnsi="宋体"/>
          <w:b/>
          <w:color w:val="auto"/>
          <w:szCs w:val="21"/>
        </w:rPr>
        <w:t>附页4-1</w:t>
      </w:r>
    </w:p>
    <w:p>
      <w:pPr>
        <w:spacing w:line="360" w:lineRule="auto"/>
        <w:jc w:val="center"/>
        <w:rPr>
          <w:rFonts w:ascii="宋体" w:hAnsi="宋体"/>
          <w:b/>
          <w:color w:val="auto"/>
          <w:sz w:val="28"/>
          <w:szCs w:val="28"/>
        </w:rPr>
      </w:pPr>
      <w:r>
        <w:rPr>
          <w:rFonts w:hint="eastAsia" w:ascii="宋体" w:hAnsi="宋体"/>
          <w:b/>
          <w:color w:val="auto"/>
          <w:sz w:val="28"/>
          <w:szCs w:val="28"/>
        </w:rPr>
        <w:t>资格性审查表</w:t>
      </w:r>
    </w:p>
    <w:p>
      <w:pPr>
        <w:adjustRightInd w:val="0"/>
        <w:snapToGrid w:val="0"/>
        <w:spacing w:beforeLines="50" w:line="360" w:lineRule="auto"/>
        <w:ind w:firstLine="420"/>
        <w:rPr>
          <w:rFonts w:ascii="宋体" w:hAnsi="宋体"/>
          <w:color w:val="auto"/>
          <w:szCs w:val="21"/>
        </w:rPr>
      </w:pPr>
      <w:r>
        <w:rPr>
          <w:rFonts w:hint="eastAsia" w:ascii="宋体" w:hAnsi="宋体"/>
          <w:color w:val="auto"/>
          <w:szCs w:val="21"/>
        </w:rPr>
        <w:t>资格性检查。根据法律法规和招标文件的规定，对投标文件中的资格证明、投标保证金等进行审查，以确定投标人是否具备投标资格。</w:t>
      </w:r>
    </w:p>
    <w:tbl>
      <w:tblPr>
        <w:tblStyle w:val="46"/>
        <w:tblW w:w="8991" w:type="dxa"/>
        <w:jc w:val="center"/>
        <w:tblInd w:w="0" w:type="dxa"/>
        <w:tblLayout w:type="fixed"/>
        <w:tblCellMar>
          <w:top w:w="0" w:type="dxa"/>
          <w:left w:w="108" w:type="dxa"/>
          <w:bottom w:w="0" w:type="dxa"/>
          <w:right w:w="108" w:type="dxa"/>
        </w:tblCellMar>
      </w:tblPr>
      <w:tblGrid>
        <w:gridCol w:w="641"/>
        <w:gridCol w:w="4137"/>
        <w:gridCol w:w="2360"/>
        <w:gridCol w:w="651"/>
        <w:gridCol w:w="587"/>
        <w:gridCol w:w="615"/>
      </w:tblGrid>
      <w:tr>
        <w:tblPrEx>
          <w:tblLayout w:type="fixed"/>
        </w:tblPrEx>
        <w:trPr>
          <w:trHeight w:val="249" w:hRule="atLeast"/>
          <w:jc w:val="center"/>
        </w:trPr>
        <w:tc>
          <w:tcPr>
            <w:tcW w:w="641" w:type="dxa"/>
            <w:vMerge w:val="restart"/>
            <w:tcBorders>
              <w:top w:val="double" w:color="auto" w:sz="4" w:space="0"/>
              <w:left w:val="double" w:color="auto" w:sz="4" w:space="0"/>
              <w:right w:val="single" w:color="auto" w:sz="4" w:space="0"/>
            </w:tcBorders>
            <w:noWrap/>
            <w:vAlign w:val="center"/>
          </w:tcPr>
          <w:p>
            <w:pPr>
              <w:jc w:val="center"/>
              <w:rPr>
                <w:b/>
                <w:color w:val="auto"/>
              </w:rPr>
            </w:pPr>
            <w:r>
              <w:rPr>
                <w:rFonts w:hint="eastAsia"/>
                <w:b/>
                <w:color w:val="auto"/>
              </w:rPr>
              <w:t>序号</w:t>
            </w:r>
          </w:p>
        </w:tc>
        <w:tc>
          <w:tcPr>
            <w:tcW w:w="4137" w:type="dxa"/>
            <w:vMerge w:val="restart"/>
            <w:tcBorders>
              <w:top w:val="double" w:color="auto" w:sz="4" w:space="0"/>
              <w:left w:val="nil"/>
              <w:right w:val="single" w:color="auto" w:sz="4" w:space="0"/>
            </w:tcBorders>
            <w:noWrap/>
            <w:vAlign w:val="center"/>
          </w:tcPr>
          <w:p>
            <w:pPr>
              <w:jc w:val="center"/>
              <w:rPr>
                <w:b/>
                <w:color w:val="auto"/>
              </w:rPr>
            </w:pPr>
            <w:r>
              <w:rPr>
                <w:rFonts w:hint="eastAsia"/>
                <w:b/>
                <w:color w:val="auto"/>
              </w:rPr>
              <w:t>资格性审查内容</w:t>
            </w:r>
          </w:p>
        </w:tc>
        <w:tc>
          <w:tcPr>
            <w:tcW w:w="2360" w:type="dxa"/>
            <w:vMerge w:val="restart"/>
            <w:tcBorders>
              <w:top w:val="double" w:color="auto" w:sz="4" w:space="0"/>
              <w:left w:val="nil"/>
              <w:right w:val="single" w:color="auto" w:sz="4" w:space="0"/>
            </w:tcBorders>
            <w:noWrap/>
            <w:vAlign w:val="center"/>
          </w:tcPr>
          <w:p>
            <w:pPr>
              <w:jc w:val="center"/>
              <w:rPr>
                <w:b/>
                <w:color w:val="auto"/>
              </w:rPr>
            </w:pPr>
            <w:r>
              <w:rPr>
                <w:rFonts w:hint="eastAsia"/>
                <w:b/>
                <w:color w:val="auto"/>
              </w:rPr>
              <w:t>合格标准</w:t>
            </w:r>
          </w:p>
        </w:tc>
        <w:tc>
          <w:tcPr>
            <w:tcW w:w="1853" w:type="dxa"/>
            <w:gridSpan w:val="3"/>
            <w:tcBorders>
              <w:top w:val="double" w:color="auto" w:sz="4" w:space="0"/>
              <w:left w:val="nil"/>
              <w:bottom w:val="single" w:color="auto" w:sz="4" w:space="0"/>
              <w:right w:val="double" w:color="auto" w:sz="4" w:space="0"/>
            </w:tcBorders>
            <w:noWrap/>
            <w:vAlign w:val="center"/>
          </w:tcPr>
          <w:p>
            <w:pPr>
              <w:jc w:val="center"/>
              <w:rPr>
                <w:b/>
                <w:color w:val="auto"/>
              </w:rPr>
            </w:pPr>
            <w:r>
              <w:rPr>
                <w:rFonts w:hint="eastAsia"/>
                <w:b/>
                <w:color w:val="auto"/>
              </w:rPr>
              <w:t>投标人</w:t>
            </w:r>
          </w:p>
        </w:tc>
      </w:tr>
      <w:tr>
        <w:tblPrEx>
          <w:tblLayout w:type="fixed"/>
          <w:tblCellMar>
            <w:top w:w="0" w:type="dxa"/>
            <w:left w:w="108" w:type="dxa"/>
            <w:bottom w:w="0" w:type="dxa"/>
            <w:right w:w="108" w:type="dxa"/>
          </w:tblCellMar>
        </w:tblPrEx>
        <w:trPr>
          <w:trHeight w:val="189" w:hRule="atLeast"/>
          <w:jc w:val="center"/>
        </w:trPr>
        <w:tc>
          <w:tcPr>
            <w:tcW w:w="641" w:type="dxa"/>
            <w:vMerge w:val="continue"/>
            <w:tcBorders>
              <w:left w:val="double" w:color="auto" w:sz="4" w:space="0"/>
              <w:bottom w:val="single" w:color="auto" w:sz="4" w:space="0"/>
              <w:right w:val="single" w:color="auto" w:sz="4" w:space="0"/>
            </w:tcBorders>
            <w:noWrap/>
            <w:vAlign w:val="center"/>
          </w:tcPr>
          <w:p>
            <w:pPr>
              <w:jc w:val="center"/>
              <w:rPr>
                <w:b/>
                <w:color w:val="auto"/>
              </w:rPr>
            </w:pPr>
          </w:p>
        </w:tc>
        <w:tc>
          <w:tcPr>
            <w:tcW w:w="4137" w:type="dxa"/>
            <w:vMerge w:val="continue"/>
            <w:tcBorders>
              <w:left w:val="nil"/>
              <w:bottom w:val="single" w:color="auto" w:sz="4" w:space="0"/>
              <w:right w:val="single" w:color="auto" w:sz="4" w:space="0"/>
            </w:tcBorders>
            <w:noWrap/>
            <w:vAlign w:val="center"/>
          </w:tcPr>
          <w:p>
            <w:pPr>
              <w:jc w:val="center"/>
              <w:rPr>
                <w:b/>
                <w:color w:val="auto"/>
              </w:rPr>
            </w:pPr>
          </w:p>
        </w:tc>
        <w:tc>
          <w:tcPr>
            <w:tcW w:w="2360" w:type="dxa"/>
            <w:vMerge w:val="continue"/>
            <w:tcBorders>
              <w:left w:val="nil"/>
              <w:bottom w:val="single" w:color="auto" w:sz="4" w:space="0"/>
              <w:right w:val="single" w:color="auto" w:sz="4" w:space="0"/>
            </w:tcBorders>
            <w:noWrap/>
            <w:vAlign w:val="center"/>
          </w:tcPr>
          <w:p>
            <w:pPr>
              <w:jc w:val="center"/>
              <w:rPr>
                <w:b/>
                <w:color w:val="auto"/>
              </w:rPr>
            </w:pPr>
          </w:p>
        </w:tc>
        <w:tc>
          <w:tcPr>
            <w:tcW w:w="651" w:type="dxa"/>
            <w:tcBorders>
              <w:top w:val="single" w:color="auto" w:sz="4" w:space="0"/>
              <w:left w:val="nil"/>
              <w:bottom w:val="single" w:color="auto" w:sz="4" w:space="0"/>
              <w:right w:val="single" w:color="auto" w:sz="4" w:space="0"/>
            </w:tcBorders>
            <w:noWrap/>
            <w:vAlign w:val="center"/>
          </w:tcPr>
          <w:p>
            <w:pPr>
              <w:jc w:val="center"/>
              <w:rPr>
                <w:b/>
                <w:color w:val="auto"/>
              </w:rPr>
            </w:pPr>
          </w:p>
        </w:tc>
        <w:tc>
          <w:tcPr>
            <w:tcW w:w="587" w:type="dxa"/>
            <w:tcBorders>
              <w:top w:val="single" w:color="auto" w:sz="4" w:space="0"/>
              <w:left w:val="nil"/>
              <w:bottom w:val="single" w:color="auto" w:sz="4" w:space="0"/>
              <w:right w:val="single" w:color="auto" w:sz="4" w:space="0"/>
            </w:tcBorders>
            <w:noWrap/>
            <w:vAlign w:val="center"/>
          </w:tcPr>
          <w:p>
            <w:pPr>
              <w:jc w:val="center"/>
              <w:rPr>
                <w:b/>
                <w:color w:val="auto"/>
              </w:rPr>
            </w:pPr>
          </w:p>
        </w:tc>
        <w:tc>
          <w:tcPr>
            <w:tcW w:w="615" w:type="dxa"/>
            <w:tcBorders>
              <w:top w:val="single" w:color="auto" w:sz="4" w:space="0"/>
              <w:left w:val="nil"/>
              <w:bottom w:val="single" w:color="auto" w:sz="4" w:space="0"/>
              <w:right w:val="double" w:color="auto" w:sz="4" w:space="0"/>
            </w:tcBorders>
            <w:noWrap/>
            <w:vAlign w:val="center"/>
          </w:tcPr>
          <w:p>
            <w:pPr>
              <w:jc w:val="center"/>
              <w:rPr>
                <w:b/>
                <w:color w:val="auto"/>
              </w:rPr>
            </w:pPr>
          </w:p>
        </w:tc>
      </w:tr>
      <w:tr>
        <w:tblPrEx>
          <w:tblLayout w:type="fixed"/>
          <w:tblCellMar>
            <w:top w:w="0" w:type="dxa"/>
            <w:left w:w="108" w:type="dxa"/>
            <w:bottom w:w="0" w:type="dxa"/>
            <w:right w:w="108" w:type="dxa"/>
          </w:tblCellMar>
        </w:tblPrEx>
        <w:trPr>
          <w:trHeight w:val="962" w:hRule="atLeast"/>
          <w:jc w:val="center"/>
        </w:trPr>
        <w:tc>
          <w:tcPr>
            <w:tcW w:w="641" w:type="dxa"/>
            <w:tcBorders>
              <w:left w:val="double" w:color="auto" w:sz="4" w:space="0"/>
              <w:bottom w:val="single" w:color="auto" w:sz="4" w:space="0"/>
              <w:right w:val="single" w:color="auto" w:sz="4" w:space="0"/>
            </w:tcBorders>
            <w:noWrap/>
            <w:vAlign w:val="center"/>
          </w:tcPr>
          <w:p>
            <w:pPr>
              <w:jc w:val="center"/>
              <w:rPr>
                <w:color w:val="auto"/>
              </w:rPr>
            </w:pPr>
            <w:r>
              <w:rPr>
                <w:rFonts w:hint="eastAsia"/>
                <w:color w:val="auto"/>
              </w:rPr>
              <w:t>1</w:t>
            </w:r>
          </w:p>
        </w:tc>
        <w:tc>
          <w:tcPr>
            <w:tcW w:w="4137" w:type="dxa"/>
            <w:tcBorders>
              <w:left w:val="nil"/>
              <w:bottom w:val="single" w:color="auto" w:sz="4" w:space="0"/>
              <w:right w:val="single" w:color="auto" w:sz="4" w:space="0"/>
            </w:tcBorders>
            <w:noWrap/>
            <w:vAlign w:val="center"/>
          </w:tcPr>
          <w:p>
            <w:pPr>
              <w:rPr>
                <w:color w:val="auto"/>
              </w:rPr>
            </w:pPr>
            <w:r>
              <w:rPr>
                <w:rFonts w:hint="eastAsia" w:ascii="宋体" w:hAnsi="宋体"/>
                <w:color w:val="auto"/>
                <w:szCs w:val="21"/>
              </w:rPr>
              <w:t>投标人授权代表应携带法人授权委托书及本人身份证（法定代表人参加可只提供身份证）；</w:t>
            </w:r>
          </w:p>
        </w:tc>
        <w:tc>
          <w:tcPr>
            <w:tcW w:w="2360" w:type="dxa"/>
            <w:tcBorders>
              <w:left w:val="nil"/>
              <w:bottom w:val="single" w:color="auto" w:sz="4" w:space="0"/>
              <w:right w:val="single" w:color="auto" w:sz="4" w:space="0"/>
            </w:tcBorders>
            <w:noWrap/>
            <w:vAlign w:val="center"/>
          </w:tcPr>
          <w:p>
            <w:pPr>
              <w:rPr>
                <w:color w:val="auto"/>
              </w:rPr>
            </w:pPr>
            <w:r>
              <w:rPr>
                <w:rFonts w:hint="eastAsia"/>
                <w:color w:val="auto"/>
              </w:rPr>
              <w:t>查验授权书原件</w:t>
            </w: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764" w:hRule="atLeast"/>
          <w:jc w:val="center"/>
        </w:trPr>
        <w:tc>
          <w:tcPr>
            <w:tcW w:w="641" w:type="dxa"/>
            <w:tcBorders>
              <w:left w:val="double" w:color="auto" w:sz="4" w:space="0"/>
              <w:bottom w:val="single" w:color="auto" w:sz="4" w:space="0"/>
              <w:right w:val="single" w:color="auto" w:sz="4" w:space="0"/>
            </w:tcBorders>
            <w:noWrap/>
            <w:vAlign w:val="center"/>
          </w:tcPr>
          <w:p>
            <w:pPr>
              <w:jc w:val="center"/>
              <w:rPr>
                <w:color w:val="auto"/>
              </w:rPr>
            </w:pPr>
            <w:r>
              <w:rPr>
                <w:rFonts w:hint="eastAsia"/>
                <w:color w:val="auto"/>
              </w:rPr>
              <w:t>2</w:t>
            </w:r>
          </w:p>
        </w:tc>
        <w:tc>
          <w:tcPr>
            <w:tcW w:w="4137" w:type="dxa"/>
            <w:tcBorders>
              <w:left w:val="nil"/>
              <w:bottom w:val="single" w:color="auto" w:sz="4" w:space="0"/>
              <w:right w:val="single" w:color="auto" w:sz="4" w:space="0"/>
            </w:tcBorders>
            <w:noWrap/>
            <w:vAlign w:val="center"/>
          </w:tcPr>
          <w:p>
            <w:pPr>
              <w:rPr>
                <w:color w:val="auto"/>
              </w:rPr>
            </w:pPr>
            <w:r>
              <w:rPr>
                <w:rFonts w:hint="eastAsia" w:ascii="宋体" w:hAnsi="宋体"/>
                <w:color w:val="auto"/>
                <w:szCs w:val="21"/>
              </w:rPr>
              <w:t>独立法人资格，具有有效的营业执照、组织机构代码证（五证或三证合一）；</w:t>
            </w:r>
          </w:p>
        </w:tc>
        <w:tc>
          <w:tcPr>
            <w:tcW w:w="2360" w:type="dxa"/>
            <w:tcBorders>
              <w:left w:val="nil"/>
              <w:bottom w:val="single" w:color="auto" w:sz="4" w:space="0"/>
              <w:right w:val="single" w:color="auto" w:sz="4" w:space="0"/>
            </w:tcBorders>
            <w:noWrap/>
            <w:vAlign w:val="center"/>
          </w:tcPr>
          <w:p>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877" w:hRule="atLeast"/>
          <w:jc w:val="center"/>
        </w:trPr>
        <w:tc>
          <w:tcPr>
            <w:tcW w:w="641" w:type="dxa"/>
            <w:tcBorders>
              <w:left w:val="double" w:color="auto" w:sz="4" w:space="0"/>
              <w:bottom w:val="single" w:color="auto" w:sz="4" w:space="0"/>
              <w:right w:val="single" w:color="auto" w:sz="4" w:space="0"/>
            </w:tcBorders>
            <w:noWrap/>
            <w:vAlign w:val="center"/>
          </w:tcPr>
          <w:p>
            <w:pPr>
              <w:jc w:val="center"/>
              <w:rPr>
                <w:color w:val="auto"/>
              </w:rPr>
            </w:pPr>
            <w:r>
              <w:rPr>
                <w:rFonts w:hint="eastAsia"/>
                <w:color w:val="auto"/>
              </w:rPr>
              <w:t>3</w:t>
            </w:r>
          </w:p>
        </w:tc>
        <w:tc>
          <w:tcPr>
            <w:tcW w:w="4137" w:type="dxa"/>
            <w:tcBorders>
              <w:left w:val="nil"/>
              <w:bottom w:val="single" w:color="auto" w:sz="4" w:space="0"/>
              <w:right w:val="single" w:color="auto" w:sz="4" w:space="0"/>
            </w:tcBorders>
            <w:noWrap/>
            <w:vAlign w:val="center"/>
          </w:tcPr>
          <w:p>
            <w:pPr>
              <w:rPr>
                <w:color w:val="auto"/>
              </w:rPr>
            </w:pPr>
            <w:r>
              <w:rPr>
                <w:rFonts w:hint="eastAsia" w:ascii="宋体" w:hAnsi="宋体"/>
                <w:color w:val="auto"/>
                <w:szCs w:val="21"/>
              </w:rPr>
              <w:t>《湖南省政府采购供应商资格承诺函》；</w:t>
            </w:r>
          </w:p>
        </w:tc>
        <w:tc>
          <w:tcPr>
            <w:tcW w:w="2360" w:type="dxa"/>
            <w:tcBorders>
              <w:left w:val="nil"/>
              <w:bottom w:val="single" w:color="auto" w:sz="4" w:space="0"/>
              <w:right w:val="single" w:color="auto" w:sz="4" w:space="0"/>
            </w:tcBorders>
            <w:noWrap/>
            <w:vAlign w:val="center"/>
          </w:tcPr>
          <w:p>
            <w:pPr>
              <w:rPr>
                <w:color w:val="auto"/>
              </w:rPr>
            </w:pPr>
            <w:r>
              <w:rPr>
                <w:rFonts w:hint="eastAsia"/>
                <w:color w:val="auto"/>
              </w:rPr>
              <w:t>查验原件加盖公章</w:t>
            </w: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877" w:hRule="atLeast"/>
          <w:jc w:val="center"/>
        </w:trPr>
        <w:tc>
          <w:tcPr>
            <w:tcW w:w="641" w:type="dxa"/>
            <w:tcBorders>
              <w:left w:val="double" w:color="auto" w:sz="4" w:space="0"/>
              <w:bottom w:val="single" w:color="auto" w:sz="4" w:space="0"/>
              <w:right w:val="single" w:color="auto" w:sz="4" w:space="0"/>
            </w:tcBorders>
            <w:noWrap/>
            <w:vAlign w:val="center"/>
          </w:tcPr>
          <w:p>
            <w:pPr>
              <w:jc w:val="center"/>
              <w:rPr>
                <w:rFonts w:hint="eastAsia" w:eastAsia="宋体"/>
                <w:color w:val="auto"/>
                <w:lang w:val="en-US" w:eastAsia="zh-CN"/>
              </w:rPr>
            </w:pPr>
            <w:r>
              <w:rPr>
                <w:rFonts w:hint="eastAsia"/>
                <w:color w:val="auto"/>
                <w:lang w:val="en-US" w:eastAsia="zh-CN"/>
              </w:rPr>
              <w:t>4</w:t>
            </w:r>
          </w:p>
        </w:tc>
        <w:tc>
          <w:tcPr>
            <w:tcW w:w="4137" w:type="dxa"/>
            <w:tcBorders>
              <w:left w:val="nil"/>
              <w:bottom w:val="single" w:color="auto" w:sz="4" w:space="0"/>
              <w:right w:val="single" w:color="auto" w:sz="4" w:space="0"/>
            </w:tcBorders>
            <w:noWrap/>
            <w:vAlign w:val="center"/>
          </w:tcPr>
          <w:p>
            <w:pPr>
              <w:rPr>
                <w:rFonts w:hint="default" w:ascii="宋体" w:hAnsi="宋体" w:eastAsia="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磋商响应声明》；</w:t>
            </w:r>
          </w:p>
        </w:tc>
        <w:tc>
          <w:tcPr>
            <w:tcW w:w="2360" w:type="dxa"/>
            <w:tcBorders>
              <w:left w:val="nil"/>
              <w:bottom w:val="single" w:color="auto" w:sz="4" w:space="0"/>
              <w:right w:val="single" w:color="auto" w:sz="4" w:space="0"/>
            </w:tcBorders>
            <w:noWrap/>
            <w:vAlign w:val="center"/>
          </w:tcPr>
          <w:p>
            <w:pPr>
              <w:rPr>
                <w:rFonts w:hint="eastAsia"/>
                <w:color w:val="auto"/>
              </w:rPr>
            </w:pP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675" w:hRule="atLeast"/>
          <w:jc w:val="center"/>
        </w:trPr>
        <w:tc>
          <w:tcPr>
            <w:tcW w:w="641" w:type="dxa"/>
            <w:tcBorders>
              <w:left w:val="double" w:color="auto" w:sz="4" w:space="0"/>
              <w:bottom w:val="single" w:color="auto" w:sz="4" w:space="0"/>
              <w:right w:val="single" w:color="auto" w:sz="4" w:space="0"/>
            </w:tcBorders>
            <w:noWrap/>
            <w:vAlign w:val="center"/>
          </w:tcPr>
          <w:p>
            <w:pPr>
              <w:jc w:val="center"/>
              <w:rPr>
                <w:rFonts w:hint="eastAsia" w:eastAsia="宋体"/>
                <w:color w:val="auto"/>
                <w:lang w:eastAsia="zh-CN"/>
              </w:rPr>
            </w:pPr>
            <w:r>
              <w:rPr>
                <w:rFonts w:hint="eastAsia"/>
                <w:color w:val="auto"/>
                <w:lang w:val="en-US" w:eastAsia="zh-CN"/>
              </w:rPr>
              <w:t>5</w:t>
            </w:r>
          </w:p>
        </w:tc>
        <w:tc>
          <w:tcPr>
            <w:tcW w:w="4137" w:type="dxa"/>
            <w:tcBorders>
              <w:left w:val="nil"/>
              <w:bottom w:val="single" w:color="auto" w:sz="4" w:space="0"/>
              <w:right w:val="single" w:color="auto" w:sz="4" w:space="0"/>
            </w:tcBorders>
            <w:noWrap/>
            <w:vAlign w:val="center"/>
          </w:tcPr>
          <w:p>
            <w:pPr>
              <w:rPr>
                <w:rFonts w:ascii="宋体" w:hAnsi="宋体"/>
                <w:color w:val="auto"/>
                <w:szCs w:val="21"/>
              </w:rPr>
            </w:pPr>
            <w:r>
              <w:rPr>
                <w:rFonts w:hint="eastAsia" w:ascii="宋体" w:hAnsi="宋体"/>
                <w:color w:val="auto"/>
                <w:szCs w:val="21"/>
              </w:rPr>
              <w:t>提供</w:t>
            </w:r>
            <w:r>
              <w:rPr>
                <w:rFonts w:hint="eastAsia" w:ascii="宋体" w:hAnsi="宋体"/>
                <w:color w:val="auto"/>
                <w:szCs w:val="21"/>
                <w:lang w:val="en-US" w:eastAsia="zh-CN"/>
              </w:rPr>
              <w:t>近一个月</w:t>
            </w:r>
            <w:r>
              <w:rPr>
                <w:rFonts w:hint="eastAsia" w:ascii="宋体" w:hAnsi="宋体"/>
                <w:color w:val="auto"/>
                <w:szCs w:val="21"/>
              </w:rPr>
              <w:t>信用</w:t>
            </w:r>
            <w:r>
              <w:rPr>
                <w:rFonts w:hint="eastAsia" w:ascii="宋体" w:hAnsi="宋体"/>
                <w:color w:val="auto"/>
                <w:szCs w:val="21"/>
                <w:lang w:val="en-US" w:eastAsia="zh-CN"/>
              </w:rPr>
              <w:t>信息网页</w:t>
            </w:r>
            <w:r>
              <w:rPr>
                <w:rFonts w:hint="eastAsia" w:ascii="宋体" w:hAnsi="宋体"/>
                <w:color w:val="auto"/>
                <w:szCs w:val="21"/>
              </w:rPr>
              <w:t>证明。</w:t>
            </w:r>
          </w:p>
        </w:tc>
        <w:tc>
          <w:tcPr>
            <w:tcW w:w="2360" w:type="dxa"/>
            <w:tcBorders>
              <w:left w:val="nil"/>
              <w:bottom w:val="single" w:color="auto" w:sz="4" w:space="0"/>
              <w:right w:val="single" w:color="auto" w:sz="4" w:space="0"/>
            </w:tcBorders>
            <w:noWrap/>
            <w:vAlign w:val="center"/>
          </w:tcPr>
          <w:p>
            <w:pPr>
              <w:rPr>
                <w:color w:val="auto"/>
              </w:rPr>
            </w:pPr>
            <w:r>
              <w:rPr>
                <w:rFonts w:hint="eastAsia" w:ascii="宋体" w:hAnsi="宋体"/>
                <w:color w:val="auto"/>
                <w:szCs w:val="21"/>
              </w:rPr>
              <w:t>查询结果截图打印件加盖公章</w:t>
            </w:r>
          </w:p>
        </w:tc>
        <w:tc>
          <w:tcPr>
            <w:tcW w:w="651" w:type="dxa"/>
            <w:tcBorders>
              <w:top w:val="single" w:color="auto" w:sz="4" w:space="0"/>
              <w:left w:val="nil"/>
              <w:bottom w:val="single" w:color="auto" w:sz="4" w:space="0"/>
              <w:right w:val="single" w:color="auto" w:sz="4" w:space="0"/>
            </w:tcBorders>
            <w:noWrap/>
            <w:vAlign w:val="center"/>
          </w:tcPr>
          <w:p>
            <w:pPr>
              <w:rPr>
                <w:color w:val="auto"/>
              </w:rPr>
            </w:pPr>
          </w:p>
        </w:tc>
        <w:tc>
          <w:tcPr>
            <w:tcW w:w="587" w:type="dxa"/>
            <w:tcBorders>
              <w:top w:val="single" w:color="auto" w:sz="4" w:space="0"/>
              <w:left w:val="nil"/>
              <w:bottom w:val="single" w:color="auto" w:sz="4" w:space="0"/>
              <w:right w:val="single" w:color="auto" w:sz="4" w:space="0"/>
            </w:tcBorders>
            <w:noWrap/>
            <w:vAlign w:val="center"/>
          </w:tcPr>
          <w:p>
            <w:pPr>
              <w:rPr>
                <w:color w:val="auto"/>
              </w:rPr>
            </w:pPr>
          </w:p>
        </w:tc>
        <w:tc>
          <w:tcPr>
            <w:tcW w:w="615" w:type="dxa"/>
            <w:tcBorders>
              <w:top w:val="single" w:color="auto" w:sz="4" w:space="0"/>
              <w:left w:val="nil"/>
              <w:bottom w:val="single" w:color="auto" w:sz="4" w:space="0"/>
              <w:right w:val="double" w:color="auto" w:sz="4" w:space="0"/>
            </w:tcBorders>
            <w:noWrap/>
            <w:vAlign w:val="center"/>
          </w:tcPr>
          <w:p>
            <w:pPr>
              <w:rPr>
                <w:color w:val="auto"/>
              </w:rPr>
            </w:pPr>
          </w:p>
        </w:tc>
      </w:tr>
      <w:tr>
        <w:tblPrEx>
          <w:tblLayout w:type="fixed"/>
          <w:tblCellMar>
            <w:top w:w="0" w:type="dxa"/>
            <w:left w:w="108" w:type="dxa"/>
            <w:bottom w:w="0" w:type="dxa"/>
            <w:right w:w="108" w:type="dxa"/>
          </w:tblCellMar>
        </w:tblPrEx>
        <w:trPr>
          <w:trHeight w:val="502" w:hRule="atLeast"/>
          <w:jc w:val="center"/>
        </w:trPr>
        <w:tc>
          <w:tcPr>
            <w:tcW w:w="641" w:type="dxa"/>
            <w:tcBorders>
              <w:top w:val="nil"/>
              <w:left w:val="double" w:color="auto" w:sz="4" w:space="0"/>
              <w:bottom w:val="double" w:color="auto" w:sz="4" w:space="0"/>
              <w:right w:val="single" w:color="auto" w:sz="4" w:space="0"/>
            </w:tcBorders>
            <w:noWrap/>
            <w:vAlign w:val="center"/>
          </w:tcPr>
          <w:p>
            <w:pPr>
              <w:jc w:val="center"/>
              <w:rPr>
                <w:color w:val="auto"/>
              </w:rPr>
            </w:pPr>
          </w:p>
        </w:tc>
        <w:tc>
          <w:tcPr>
            <w:tcW w:w="6497" w:type="dxa"/>
            <w:gridSpan w:val="2"/>
            <w:tcBorders>
              <w:top w:val="nil"/>
              <w:left w:val="nil"/>
              <w:bottom w:val="double" w:color="auto" w:sz="4" w:space="0"/>
              <w:right w:val="single" w:color="auto" w:sz="4" w:space="0"/>
            </w:tcBorders>
            <w:noWrap/>
            <w:vAlign w:val="center"/>
          </w:tcPr>
          <w:p>
            <w:pPr>
              <w:jc w:val="center"/>
              <w:rPr>
                <w:color w:val="auto"/>
              </w:rPr>
            </w:pPr>
            <w:r>
              <w:rPr>
                <w:rFonts w:hint="eastAsia"/>
                <w:color w:val="auto"/>
              </w:rPr>
              <w:t>结论</w:t>
            </w:r>
          </w:p>
        </w:tc>
        <w:tc>
          <w:tcPr>
            <w:tcW w:w="651" w:type="dxa"/>
            <w:tcBorders>
              <w:top w:val="nil"/>
              <w:left w:val="nil"/>
              <w:bottom w:val="double" w:color="auto" w:sz="4" w:space="0"/>
              <w:right w:val="single" w:color="auto" w:sz="4" w:space="0"/>
            </w:tcBorders>
            <w:noWrap/>
            <w:vAlign w:val="center"/>
          </w:tcPr>
          <w:p>
            <w:pPr>
              <w:rPr>
                <w:color w:val="auto"/>
              </w:rPr>
            </w:pPr>
          </w:p>
        </w:tc>
        <w:tc>
          <w:tcPr>
            <w:tcW w:w="587" w:type="dxa"/>
            <w:tcBorders>
              <w:top w:val="nil"/>
              <w:left w:val="nil"/>
              <w:bottom w:val="double" w:color="auto" w:sz="4" w:space="0"/>
              <w:right w:val="single" w:color="auto" w:sz="4" w:space="0"/>
            </w:tcBorders>
            <w:noWrap/>
            <w:vAlign w:val="center"/>
          </w:tcPr>
          <w:p>
            <w:pPr>
              <w:rPr>
                <w:color w:val="auto"/>
              </w:rPr>
            </w:pPr>
          </w:p>
        </w:tc>
        <w:tc>
          <w:tcPr>
            <w:tcW w:w="615" w:type="dxa"/>
            <w:tcBorders>
              <w:top w:val="nil"/>
              <w:left w:val="nil"/>
              <w:bottom w:val="double" w:color="auto" w:sz="4" w:space="0"/>
              <w:right w:val="double" w:color="auto" w:sz="4" w:space="0"/>
            </w:tcBorders>
            <w:noWrap/>
            <w:vAlign w:val="center"/>
          </w:tcPr>
          <w:p>
            <w:pPr>
              <w:rPr>
                <w:color w:val="auto"/>
              </w:rPr>
            </w:pPr>
          </w:p>
        </w:tc>
      </w:tr>
    </w:tbl>
    <w:p>
      <w:pPr>
        <w:adjustRightInd w:val="0"/>
        <w:snapToGrid w:val="0"/>
        <w:spacing w:beforeLines="50" w:line="360" w:lineRule="auto"/>
        <w:ind w:firstLine="420"/>
        <w:rPr>
          <w:rFonts w:ascii="宋体" w:hAnsi="宋体"/>
          <w:b/>
          <w:color w:val="auto"/>
          <w:szCs w:val="21"/>
        </w:rPr>
      </w:pPr>
      <w:r>
        <w:rPr>
          <w:rFonts w:hint="eastAsia" w:ascii="宋体" w:hAnsi="宋体"/>
          <w:b/>
          <w:color w:val="auto"/>
          <w:szCs w:val="21"/>
        </w:rPr>
        <w:t>投标人有一项资格证明未提交，或资格证明有重大瑕疵,或提供虚假资格证明的，视为无效投标。</w:t>
      </w:r>
    </w:p>
    <w:p>
      <w:pPr>
        <w:adjustRightInd w:val="0"/>
        <w:snapToGrid w:val="0"/>
        <w:spacing w:beforeLines="50" w:line="360" w:lineRule="auto"/>
        <w:ind w:firstLine="420"/>
        <w:jc w:val="left"/>
        <w:rPr>
          <w:rFonts w:ascii="宋体" w:hAnsi="宋体"/>
          <w:b/>
          <w:bCs/>
          <w:color w:val="auto"/>
          <w:sz w:val="18"/>
          <w:szCs w:val="18"/>
        </w:rPr>
      </w:pPr>
    </w:p>
    <w:p>
      <w:pPr>
        <w:pStyle w:val="20"/>
        <w:ind w:firstLine="361"/>
        <w:rPr>
          <w:rFonts w:ascii="宋体" w:hAnsi="宋体"/>
          <w:b/>
          <w:bCs/>
          <w:color w:val="auto"/>
          <w:sz w:val="18"/>
          <w:szCs w:val="18"/>
        </w:rPr>
      </w:pPr>
    </w:p>
    <w:p>
      <w:pPr>
        <w:pStyle w:val="20"/>
        <w:ind w:firstLine="361"/>
        <w:rPr>
          <w:rFonts w:ascii="宋体" w:hAnsi="宋体"/>
          <w:b/>
          <w:bCs/>
          <w:color w:val="auto"/>
          <w:sz w:val="18"/>
          <w:szCs w:val="18"/>
        </w:rPr>
      </w:pPr>
    </w:p>
    <w:p>
      <w:pPr>
        <w:pStyle w:val="20"/>
        <w:ind w:firstLine="361"/>
        <w:rPr>
          <w:rFonts w:ascii="宋体" w:hAnsi="宋体"/>
          <w:b/>
          <w:bCs/>
          <w:color w:val="auto"/>
          <w:sz w:val="18"/>
          <w:szCs w:val="18"/>
        </w:rPr>
      </w:pPr>
    </w:p>
    <w:p>
      <w:pPr>
        <w:pStyle w:val="20"/>
        <w:ind w:firstLine="361"/>
        <w:rPr>
          <w:rFonts w:ascii="宋体" w:hAnsi="宋体"/>
          <w:b/>
          <w:bCs/>
          <w:color w:val="auto"/>
          <w:sz w:val="18"/>
          <w:szCs w:val="18"/>
        </w:rPr>
      </w:pPr>
    </w:p>
    <w:p>
      <w:pPr>
        <w:pStyle w:val="20"/>
        <w:ind w:firstLine="361"/>
        <w:rPr>
          <w:rFonts w:ascii="宋体" w:hAnsi="宋体"/>
          <w:b/>
          <w:bCs/>
          <w:color w:val="auto"/>
          <w:sz w:val="18"/>
          <w:szCs w:val="18"/>
        </w:rPr>
      </w:pPr>
    </w:p>
    <w:p>
      <w:pPr>
        <w:pStyle w:val="20"/>
        <w:ind w:firstLine="361"/>
        <w:rPr>
          <w:rFonts w:ascii="宋体" w:hAnsi="宋体"/>
          <w:b/>
          <w:bCs/>
          <w:color w:val="auto"/>
          <w:sz w:val="18"/>
          <w:szCs w:val="18"/>
        </w:rPr>
      </w:pPr>
    </w:p>
    <w:p>
      <w:pPr>
        <w:pStyle w:val="20"/>
        <w:ind w:firstLine="361"/>
        <w:rPr>
          <w:rFonts w:ascii="宋体" w:hAnsi="宋体"/>
          <w:b/>
          <w:bCs/>
          <w:color w:val="auto"/>
          <w:sz w:val="18"/>
          <w:szCs w:val="18"/>
        </w:rPr>
      </w:pPr>
    </w:p>
    <w:p>
      <w:pPr>
        <w:pStyle w:val="20"/>
        <w:ind w:firstLine="361"/>
        <w:rPr>
          <w:rFonts w:ascii="宋体" w:hAnsi="宋体"/>
          <w:b/>
          <w:bCs/>
          <w:color w:val="auto"/>
          <w:sz w:val="18"/>
          <w:szCs w:val="18"/>
        </w:rPr>
      </w:pPr>
    </w:p>
    <w:p>
      <w:pPr>
        <w:pStyle w:val="21"/>
        <w:rPr>
          <w:rFonts w:ascii="宋体" w:hAnsi="宋体"/>
          <w:b/>
          <w:bCs/>
          <w:color w:val="auto"/>
          <w:sz w:val="18"/>
          <w:szCs w:val="18"/>
        </w:rPr>
      </w:pPr>
    </w:p>
    <w:p>
      <w:pPr>
        <w:pStyle w:val="21"/>
        <w:rPr>
          <w:rFonts w:ascii="宋体" w:hAnsi="宋体"/>
          <w:b/>
          <w:bCs/>
          <w:color w:val="auto"/>
          <w:sz w:val="18"/>
          <w:szCs w:val="18"/>
        </w:rPr>
      </w:pPr>
    </w:p>
    <w:p>
      <w:pPr>
        <w:pStyle w:val="21"/>
        <w:rPr>
          <w:rFonts w:ascii="宋体" w:hAnsi="宋体"/>
          <w:b/>
          <w:bCs/>
          <w:color w:val="auto"/>
          <w:sz w:val="18"/>
          <w:szCs w:val="18"/>
        </w:rPr>
      </w:pPr>
    </w:p>
    <w:p>
      <w:pPr>
        <w:pStyle w:val="21"/>
        <w:rPr>
          <w:rFonts w:ascii="宋体" w:hAnsi="宋体"/>
          <w:b/>
          <w:bCs/>
          <w:color w:val="auto"/>
          <w:sz w:val="18"/>
          <w:szCs w:val="18"/>
        </w:rPr>
      </w:pPr>
    </w:p>
    <w:p>
      <w:pPr>
        <w:pStyle w:val="20"/>
        <w:ind w:firstLine="361"/>
        <w:rPr>
          <w:rFonts w:ascii="宋体" w:hAnsi="宋体"/>
          <w:b/>
          <w:bCs/>
          <w:color w:val="auto"/>
          <w:sz w:val="18"/>
          <w:szCs w:val="18"/>
        </w:rPr>
      </w:pPr>
    </w:p>
    <w:p>
      <w:pPr>
        <w:pStyle w:val="20"/>
        <w:ind w:firstLine="361"/>
        <w:rPr>
          <w:rFonts w:ascii="宋体" w:hAnsi="宋体"/>
          <w:b/>
          <w:bCs/>
          <w:color w:val="auto"/>
          <w:sz w:val="18"/>
          <w:szCs w:val="18"/>
        </w:rPr>
      </w:pPr>
    </w:p>
    <w:p>
      <w:pPr>
        <w:pStyle w:val="20"/>
        <w:ind w:firstLine="361"/>
        <w:rPr>
          <w:rFonts w:ascii="宋体" w:hAnsi="宋体"/>
          <w:b/>
          <w:bCs/>
          <w:color w:val="auto"/>
          <w:sz w:val="18"/>
          <w:szCs w:val="18"/>
        </w:rPr>
      </w:pPr>
    </w:p>
    <w:p>
      <w:pPr>
        <w:adjustRightInd w:val="0"/>
        <w:snapToGrid w:val="0"/>
        <w:spacing w:beforeLines="50" w:line="360" w:lineRule="auto"/>
        <w:ind w:firstLine="420"/>
        <w:jc w:val="left"/>
        <w:rPr>
          <w:rFonts w:ascii="宋体" w:hAnsi="宋体"/>
          <w:b/>
          <w:color w:val="auto"/>
          <w:sz w:val="18"/>
          <w:szCs w:val="18"/>
        </w:rPr>
      </w:pPr>
      <w:r>
        <w:rPr>
          <w:rFonts w:hint="eastAsia" w:ascii="宋体" w:hAnsi="宋体"/>
          <w:b/>
          <w:bCs/>
          <w:color w:val="auto"/>
          <w:sz w:val="18"/>
          <w:szCs w:val="18"/>
        </w:rPr>
        <w:t>附页4-2</w:t>
      </w:r>
    </w:p>
    <w:p>
      <w:pPr>
        <w:adjustRightInd w:val="0"/>
        <w:snapToGrid w:val="0"/>
        <w:spacing w:beforeLines="50" w:line="360" w:lineRule="auto"/>
        <w:jc w:val="center"/>
        <w:rPr>
          <w:rFonts w:ascii="宋体" w:hAnsi="宋体"/>
          <w:b/>
          <w:color w:val="auto"/>
          <w:sz w:val="28"/>
          <w:szCs w:val="28"/>
        </w:rPr>
      </w:pPr>
      <w:r>
        <w:rPr>
          <w:rFonts w:hint="eastAsia" w:ascii="宋体" w:hAnsi="宋体"/>
          <w:b/>
          <w:color w:val="auto"/>
          <w:sz w:val="28"/>
          <w:szCs w:val="28"/>
        </w:rPr>
        <w:t>符合性审查表</w:t>
      </w:r>
    </w:p>
    <w:p>
      <w:pPr>
        <w:adjustRightInd w:val="0"/>
        <w:snapToGrid w:val="0"/>
        <w:spacing w:beforeLines="50" w:line="360" w:lineRule="auto"/>
        <w:ind w:firstLine="420"/>
        <w:rPr>
          <w:rFonts w:ascii="宋体" w:hAnsi="宋体"/>
          <w:color w:val="auto"/>
          <w:szCs w:val="21"/>
        </w:rPr>
      </w:pPr>
      <w:r>
        <w:rPr>
          <w:rFonts w:hint="eastAsia" w:ascii="宋体" w:hAnsi="宋体"/>
          <w:color w:val="auto"/>
          <w:szCs w:val="21"/>
        </w:rPr>
        <w:t>符合性检查。依据招标文件的规定，从投标文件的有效性、完整性和对招标文件的响应程度进行审查，以确定是否对招标文件的实质性要求作出响应。</w:t>
      </w:r>
    </w:p>
    <w:tbl>
      <w:tblPr>
        <w:tblStyle w:val="46"/>
        <w:tblW w:w="8738" w:type="dxa"/>
        <w:tblInd w:w="93" w:type="dxa"/>
        <w:tblLayout w:type="fixed"/>
        <w:tblCellMar>
          <w:top w:w="0" w:type="dxa"/>
          <w:left w:w="108" w:type="dxa"/>
          <w:bottom w:w="0" w:type="dxa"/>
          <w:right w:w="108" w:type="dxa"/>
        </w:tblCellMar>
      </w:tblPr>
      <w:tblGrid>
        <w:gridCol w:w="509"/>
        <w:gridCol w:w="1824"/>
        <w:gridCol w:w="2580"/>
        <w:gridCol w:w="975"/>
        <w:gridCol w:w="975"/>
        <w:gridCol w:w="960"/>
        <w:gridCol w:w="915"/>
      </w:tblGrid>
      <w:tr>
        <w:tblPrEx>
          <w:tblLayout w:type="fixed"/>
          <w:tblCellMar>
            <w:top w:w="0" w:type="dxa"/>
            <w:left w:w="108" w:type="dxa"/>
            <w:bottom w:w="0" w:type="dxa"/>
            <w:right w:w="108" w:type="dxa"/>
          </w:tblCellMar>
        </w:tblPrEx>
        <w:trPr>
          <w:trHeight w:val="39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序号</w:t>
            </w:r>
          </w:p>
        </w:tc>
        <w:tc>
          <w:tcPr>
            <w:tcW w:w="4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评审因素</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投标人名称及评审意见</w:t>
            </w:r>
          </w:p>
        </w:tc>
      </w:tr>
      <w:tr>
        <w:tblPrEx>
          <w:tblLayout w:type="fixed"/>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4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9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投标人名称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与投标报名、营业执照、资质证书、安全生产许可证上的名称是否一致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7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投标文件签字盖章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是否符合磋商文件签字盖章要求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67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投标文件格式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是否符合磋商文件要求。投标文件未按规定的格式填写的，内容不全或关键字迹模糊、无法辨认的，为不合格的投标人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03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投标报价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报价是否超过招标文件中规定的预算金额或者最高限价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7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投标有效期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投标有效期是否满足招标文件要求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96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投标文件的附加条件的</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投标文件是否含有采购人不能接受的附加条件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22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法律、法规和招标文件规定的其他投标无效情形</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是否存在法律、法规和招标文件规定的其他投标无效情形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r>
        <w:tblPrEx>
          <w:tblLayout w:type="fixed"/>
          <w:tblCellMar>
            <w:top w:w="0" w:type="dxa"/>
            <w:left w:w="108" w:type="dxa"/>
            <w:bottom w:w="0" w:type="dxa"/>
            <w:right w:w="108" w:type="dxa"/>
          </w:tblCellMar>
        </w:tblPrEx>
        <w:trPr>
          <w:trHeight w:val="1010" w:hRule="atLeast"/>
        </w:trPr>
        <w:tc>
          <w:tcPr>
            <w:tcW w:w="4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结论（合格或不合格）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
            </w:pPr>
          </w:p>
        </w:tc>
      </w:tr>
    </w:tbl>
    <w:p>
      <w:pPr>
        <w:pStyle w:val="20"/>
        <w:ind w:left="0" w:leftChars="0" w:firstLine="0" w:firstLineChars="0"/>
        <w:rPr>
          <w:rFonts w:ascii="宋体" w:hAnsi="宋体"/>
          <w:color w:val="auto"/>
          <w:szCs w:val="21"/>
        </w:rPr>
      </w:pPr>
    </w:p>
    <w:p>
      <w:pPr>
        <w:pStyle w:val="20"/>
        <w:ind w:firstLine="643"/>
        <w:rPr>
          <w:rFonts w:asciiTheme="minorEastAsia" w:hAnsiTheme="minorEastAsia" w:eastAsiaTheme="minorEastAsia" w:cstheme="minorEastAsia"/>
          <w:b/>
          <w:bCs/>
          <w:color w:val="auto"/>
          <w:sz w:val="32"/>
          <w:szCs w:val="32"/>
        </w:rPr>
      </w:pPr>
    </w:p>
    <w:p>
      <w:pPr>
        <w:pStyle w:val="20"/>
        <w:ind w:firstLine="643"/>
        <w:rPr>
          <w:rFonts w:asciiTheme="minorEastAsia" w:hAnsiTheme="minorEastAsia" w:eastAsiaTheme="minorEastAsia" w:cstheme="minorEastAsia"/>
          <w:b/>
          <w:bCs/>
          <w:color w:val="auto"/>
          <w:sz w:val="32"/>
          <w:szCs w:val="32"/>
        </w:rPr>
      </w:pPr>
    </w:p>
    <w:p>
      <w:pPr>
        <w:pStyle w:val="20"/>
        <w:ind w:firstLine="643"/>
        <w:rPr>
          <w:rFonts w:asciiTheme="minorEastAsia" w:hAnsiTheme="minorEastAsia" w:eastAsiaTheme="minorEastAsia" w:cstheme="minorEastAsia"/>
          <w:b/>
          <w:bCs/>
          <w:color w:val="auto"/>
          <w:sz w:val="32"/>
          <w:szCs w:val="32"/>
        </w:rPr>
      </w:pPr>
    </w:p>
    <w:p>
      <w:pPr>
        <w:pStyle w:val="20"/>
        <w:ind w:firstLine="643"/>
        <w:rPr>
          <w:rFonts w:asciiTheme="minorEastAsia" w:hAnsiTheme="minorEastAsia" w:eastAsiaTheme="minorEastAsia" w:cstheme="minorEastAsia"/>
          <w:b/>
          <w:bCs/>
          <w:color w:val="auto"/>
          <w:sz w:val="32"/>
          <w:szCs w:val="32"/>
        </w:rPr>
      </w:pPr>
    </w:p>
    <w:p>
      <w:pPr>
        <w:jc w:val="left"/>
        <w:outlineLvl w:val="1"/>
        <w:rPr>
          <w:rFonts w:asciiTheme="minorEastAsia" w:hAnsiTheme="minorEastAsia" w:eastAsiaTheme="minorEastAsia" w:cstheme="minorEastAsia"/>
          <w:b/>
          <w:color w:val="auto"/>
          <w:szCs w:val="21"/>
        </w:rPr>
      </w:pPr>
    </w:p>
    <w:p>
      <w:pPr>
        <w:jc w:val="left"/>
        <w:outlineLvl w:val="1"/>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附页4-3</w:t>
      </w:r>
    </w:p>
    <w:p>
      <w:pPr>
        <w:pStyle w:val="20"/>
        <w:rPr>
          <w:color w:val="auto"/>
        </w:rPr>
      </w:pPr>
    </w:p>
    <w:p>
      <w:pPr>
        <w:adjustRightInd w:val="0"/>
        <w:snapToGrid w:val="0"/>
        <w:spacing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评审方法及标准表</w:t>
      </w:r>
    </w:p>
    <w:p>
      <w:pPr>
        <w:pStyle w:val="20"/>
        <w:rPr>
          <w:color w:val="auto"/>
        </w:rPr>
      </w:pPr>
    </w:p>
    <w:tbl>
      <w:tblPr>
        <w:tblStyle w:val="46"/>
        <w:tblW w:w="8829"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0"/>
        <w:gridCol w:w="926"/>
        <w:gridCol w:w="915"/>
        <w:gridCol w:w="60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jc w:val="center"/>
        </w:trPr>
        <w:tc>
          <w:tcPr>
            <w:tcW w:w="1906" w:type="dxa"/>
            <w:gridSpan w:val="2"/>
            <w:tcBorders>
              <w:left w:val="single" w:color="auto" w:sz="4" w:space="0"/>
              <w:right w:val="single" w:color="auto" w:sz="4" w:space="0"/>
            </w:tcBorders>
            <w:vAlign w:val="center"/>
          </w:tcPr>
          <w:p>
            <w:pPr>
              <w:adjustRightInd w:val="0"/>
              <w:snapToGrid w:val="0"/>
              <w:jc w:val="center"/>
              <w:rPr>
                <w:rFonts w:ascii="宋体" w:hAnsi="宋体" w:cs="宋体"/>
                <w:b/>
                <w:color w:val="auto"/>
                <w:szCs w:val="21"/>
              </w:rPr>
            </w:pPr>
          </w:p>
          <w:p>
            <w:pPr>
              <w:adjustRightInd w:val="0"/>
              <w:snapToGrid w:val="0"/>
              <w:jc w:val="center"/>
              <w:rPr>
                <w:rFonts w:ascii="宋体" w:hAnsi="宋体" w:cs="宋体"/>
                <w:b/>
                <w:color w:val="auto"/>
                <w:szCs w:val="21"/>
              </w:rPr>
            </w:pPr>
            <w:r>
              <w:rPr>
                <w:rFonts w:hint="eastAsia" w:ascii="宋体" w:hAnsi="宋体" w:cs="宋体"/>
                <w:b/>
                <w:color w:val="auto"/>
                <w:szCs w:val="21"/>
              </w:rPr>
              <w:t>评审因素</w:t>
            </w:r>
          </w:p>
          <w:p>
            <w:pPr>
              <w:adjustRightInd w:val="0"/>
              <w:snapToGrid w:val="0"/>
              <w:jc w:val="center"/>
              <w:rPr>
                <w:rFonts w:ascii="宋体" w:hAnsi="宋体" w:cs="宋体"/>
                <w:b/>
                <w:color w:val="auto"/>
                <w:szCs w:val="21"/>
              </w:rPr>
            </w:pPr>
          </w:p>
        </w:tc>
        <w:tc>
          <w:tcPr>
            <w:tcW w:w="915" w:type="dxa"/>
            <w:tcBorders>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权值</w:t>
            </w:r>
          </w:p>
        </w:tc>
        <w:tc>
          <w:tcPr>
            <w:tcW w:w="6008" w:type="dxa"/>
            <w:tcBorders>
              <w:left w:val="single" w:color="auto" w:sz="4" w:space="0"/>
              <w:bottom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37" w:hRule="atLeast"/>
          <w:jc w:val="center"/>
        </w:trPr>
        <w:tc>
          <w:tcPr>
            <w:tcW w:w="19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价格（</w:t>
            </w:r>
            <w:r>
              <w:rPr>
                <w:rFonts w:hint="eastAsia" w:ascii="宋体" w:hAnsi="宋体" w:cs="宋体"/>
                <w:color w:val="auto"/>
                <w:szCs w:val="21"/>
                <w:lang w:val="en-US" w:eastAsia="zh-CN"/>
              </w:rPr>
              <w:t>10</w:t>
            </w:r>
            <w:r>
              <w:rPr>
                <w:rFonts w:hint="eastAsia" w:ascii="宋体" w:hAnsi="宋体" w:cs="宋体"/>
                <w:color w:val="auto"/>
                <w:szCs w:val="21"/>
              </w:rPr>
              <w:t>分）</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bottom w:val="single" w:color="auto" w:sz="4" w:space="0"/>
            </w:tcBorders>
            <w:vAlign w:val="center"/>
          </w:tcPr>
          <w:p>
            <w:pPr>
              <w:rPr>
                <w:rFonts w:ascii="宋体" w:hAnsi="宋体" w:cs="宋体"/>
                <w:color w:val="auto"/>
                <w:szCs w:val="21"/>
              </w:rPr>
            </w:pPr>
            <w:r>
              <w:rPr>
                <w:rFonts w:hint="eastAsia" w:ascii="宋体" w:hAnsi="宋体" w:cs="宋体"/>
                <w:color w:val="auto"/>
                <w:szCs w:val="21"/>
              </w:rPr>
              <w:t>满足磋商文件要求且最后报价最低的供应商的价格为磋商基准价，其价格分为满分。其他供应商的价格分统一按照下列公式计算：磋商报价得分=（磋商基准价/最后磋商报价）×价格权值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28" w:hRule="atLeast"/>
          <w:jc w:val="center"/>
        </w:trPr>
        <w:tc>
          <w:tcPr>
            <w:tcW w:w="980" w:type="dxa"/>
            <w:vMerge w:val="restart"/>
            <w:tcBorders>
              <w:left w:val="single" w:color="auto" w:sz="4" w:space="0"/>
              <w:right w:val="single" w:color="auto" w:sz="4" w:space="0"/>
            </w:tcBorders>
            <w:vAlign w:val="center"/>
          </w:tcPr>
          <w:p>
            <w:pPr>
              <w:ind w:firstLine="210" w:firstLineChars="100"/>
              <w:rPr>
                <w:rFonts w:ascii="宋体" w:hAnsi="宋体" w:cs="宋体"/>
                <w:color w:val="auto"/>
                <w:szCs w:val="21"/>
              </w:rPr>
            </w:pPr>
            <w:r>
              <w:rPr>
                <w:rFonts w:hint="eastAsia" w:ascii="宋体" w:hAnsi="宋体" w:cs="宋体"/>
                <w:color w:val="auto"/>
                <w:szCs w:val="21"/>
              </w:rPr>
              <w:t>商务</w:t>
            </w:r>
          </w:p>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30</w:t>
            </w:r>
            <w:r>
              <w:rPr>
                <w:rFonts w:hint="eastAsia" w:ascii="宋体" w:hAnsi="宋体" w:cs="宋体"/>
                <w:color w:val="auto"/>
                <w:szCs w:val="21"/>
              </w:rPr>
              <w:t>分）</w:t>
            </w:r>
          </w:p>
        </w:tc>
        <w:tc>
          <w:tcPr>
            <w:tcW w:w="926"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 xml:space="preserve">类似 </w:t>
            </w:r>
            <w:r>
              <w:rPr>
                <w:rFonts w:hint="eastAsia" w:ascii="宋体" w:hAnsi="宋体" w:cs="宋体"/>
                <w:color w:val="auto"/>
                <w:szCs w:val="21"/>
              </w:rPr>
              <w:t>业绩</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分</w:t>
            </w:r>
          </w:p>
        </w:tc>
        <w:tc>
          <w:tcPr>
            <w:tcW w:w="6008" w:type="dxa"/>
            <w:tcBorders>
              <w:top w:val="single" w:color="auto" w:sz="4" w:space="0"/>
              <w:left w:val="single" w:color="auto" w:sz="4" w:space="0"/>
            </w:tcBorders>
            <w:vAlign w:val="center"/>
          </w:tcPr>
          <w:p>
            <w:pPr>
              <w:jc w:val="left"/>
              <w:rPr>
                <w:color w:val="auto"/>
              </w:rPr>
            </w:pPr>
            <w:r>
              <w:rPr>
                <w:rFonts w:hint="eastAsia"/>
                <w:color w:val="auto"/>
              </w:rPr>
              <w:t>投标人提供自 202</w:t>
            </w:r>
            <w:r>
              <w:rPr>
                <w:rFonts w:hint="eastAsia"/>
                <w:color w:val="auto"/>
                <w:lang w:val="en-US" w:eastAsia="zh-CN"/>
              </w:rPr>
              <w:t>2</w:t>
            </w:r>
            <w:r>
              <w:rPr>
                <w:rFonts w:hint="eastAsia"/>
                <w:color w:val="auto"/>
              </w:rPr>
              <w:t>年</w:t>
            </w:r>
            <w:r>
              <w:rPr>
                <w:rFonts w:hint="eastAsia"/>
                <w:color w:val="auto"/>
                <w:lang w:val="en-US" w:eastAsia="zh-CN"/>
              </w:rPr>
              <w:t>10</w:t>
            </w:r>
            <w:r>
              <w:rPr>
                <w:rFonts w:hint="eastAsia"/>
                <w:color w:val="auto"/>
              </w:rPr>
              <w:t>月以来（以合同签订时间为准）</w:t>
            </w:r>
            <w:r>
              <w:rPr>
                <w:rFonts w:hint="eastAsia" w:ascii="宋体" w:hAnsi="宋体"/>
                <w:color w:val="auto"/>
                <w:szCs w:val="21"/>
              </w:rPr>
              <w:t>类似</w:t>
            </w:r>
            <w:r>
              <w:rPr>
                <w:rFonts w:hint="eastAsia" w:ascii="宋体" w:hAnsi="宋体"/>
                <w:color w:val="auto"/>
                <w:szCs w:val="21"/>
                <w:lang w:val="en-US" w:eastAsia="zh-CN"/>
              </w:rPr>
              <w:t>业绩</w:t>
            </w:r>
            <w:r>
              <w:rPr>
                <w:rFonts w:hint="eastAsia" w:ascii="宋体" w:hAnsi="宋体"/>
                <w:color w:val="auto"/>
                <w:szCs w:val="21"/>
              </w:rPr>
              <w:t>，每个计</w:t>
            </w:r>
            <w:r>
              <w:rPr>
                <w:rFonts w:hint="eastAsia" w:ascii="宋体" w:hAnsi="宋体"/>
                <w:color w:val="auto"/>
                <w:szCs w:val="21"/>
                <w:lang w:val="en-US" w:eastAsia="zh-CN"/>
              </w:rPr>
              <w:t>5</w:t>
            </w:r>
            <w:r>
              <w:rPr>
                <w:rFonts w:hint="eastAsia" w:ascii="宋体" w:hAnsi="宋体"/>
                <w:color w:val="auto"/>
                <w:szCs w:val="21"/>
              </w:rPr>
              <w:t>分，最多计</w:t>
            </w:r>
            <w:r>
              <w:rPr>
                <w:rFonts w:hint="eastAsia" w:ascii="宋体" w:hAnsi="宋体"/>
                <w:color w:val="auto"/>
                <w:szCs w:val="21"/>
                <w:lang w:val="en-US" w:eastAsia="zh-CN"/>
              </w:rPr>
              <w:t>20</w:t>
            </w:r>
            <w:r>
              <w:rPr>
                <w:rFonts w:hint="eastAsia" w:ascii="宋体" w:hAnsi="宋体"/>
                <w:color w:val="auto"/>
                <w:szCs w:val="21"/>
              </w:rPr>
              <w:t>分。</w:t>
            </w:r>
            <w:r>
              <w:rPr>
                <w:rFonts w:hint="eastAsia"/>
                <w:color w:val="auto"/>
              </w:rPr>
              <w:t>需提供中标</w:t>
            </w:r>
            <w:r>
              <w:rPr>
                <w:rFonts w:hint="eastAsia"/>
                <w:color w:val="auto"/>
                <w:lang w:eastAsia="zh-CN"/>
              </w:rPr>
              <w:t>（</w:t>
            </w:r>
            <w:r>
              <w:rPr>
                <w:rFonts w:hint="eastAsia"/>
                <w:color w:val="auto"/>
                <w:lang w:val="en-US" w:eastAsia="zh-CN"/>
              </w:rPr>
              <w:t>成交）</w:t>
            </w:r>
            <w:r>
              <w:rPr>
                <w:rFonts w:hint="eastAsia"/>
                <w:color w:val="auto"/>
              </w:rPr>
              <w:t>通知书或施工合同复印件加盖公章，</w:t>
            </w:r>
            <w:r>
              <w:rPr>
                <w:rFonts w:hint="eastAsia" w:ascii="宋体" w:hAnsi="宋体"/>
                <w:bCs/>
                <w:color w:val="auto"/>
                <w:szCs w:val="21"/>
              </w:rPr>
              <w:t>未提供或缺漏项</w:t>
            </w:r>
            <w:r>
              <w:rPr>
                <w:rFonts w:hint="eastAsia" w:ascii="宋体" w:hAnsi="宋体"/>
                <w:bCs/>
                <w:color w:val="auto"/>
                <w:szCs w:val="21"/>
                <w:lang w:val="en-US" w:eastAsia="zh-CN"/>
              </w:rPr>
              <w:t>的</w:t>
            </w:r>
            <w:r>
              <w:rPr>
                <w:rFonts w:hint="eastAsia" w:ascii="宋体" w:hAnsi="宋体"/>
                <w:bCs/>
                <w:color w:val="auto"/>
                <w:szCs w:val="21"/>
              </w:rPr>
              <w:t>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06" w:hRule="atLeast"/>
          <w:jc w:val="center"/>
        </w:trPr>
        <w:tc>
          <w:tcPr>
            <w:tcW w:w="980" w:type="dxa"/>
            <w:vMerge w:val="continue"/>
            <w:tcBorders>
              <w:left w:val="single" w:color="auto" w:sz="4" w:space="0"/>
              <w:right w:val="single" w:color="auto" w:sz="4" w:space="0"/>
            </w:tcBorders>
            <w:vAlign w:val="center"/>
          </w:tcPr>
          <w:p>
            <w:pP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无不良行为记录</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供应商2022年以来的不良行为记录情况，供应商应在响应文件中如实反映其单位2022年以来的不良行为记录，无不良行为记录计</w:t>
            </w:r>
            <w:r>
              <w:rPr>
                <w:rFonts w:hint="eastAsia" w:cs="Times New Roman"/>
                <w:color w:val="auto"/>
                <w:kern w:val="2"/>
                <w:sz w:val="21"/>
                <w:szCs w:val="24"/>
                <w:lang w:val="en-US" w:eastAsia="zh-CN" w:bidi="ar-SA"/>
              </w:rPr>
              <w:t>10</w:t>
            </w:r>
            <w:r>
              <w:rPr>
                <w:rFonts w:hint="eastAsia" w:ascii="Times New Roman" w:hAnsi="Times New Roman" w:eastAsia="宋体" w:cs="Times New Roman"/>
                <w:color w:val="auto"/>
                <w:kern w:val="2"/>
                <w:sz w:val="21"/>
                <w:szCs w:val="24"/>
                <w:lang w:val="en-US" w:eastAsia="zh-CN" w:bidi="ar-SA"/>
              </w:rPr>
              <w:t>分，发生一次不良行为记录该项不计分。（需提交无不良行为记录承诺函）</w:t>
            </w:r>
          </w:p>
          <w:p>
            <w:p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 一旦发现有弄虚作假，取消投标资格或成交资格。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51" w:hRule="atLeast"/>
          <w:jc w:val="center"/>
        </w:trPr>
        <w:tc>
          <w:tcPr>
            <w:tcW w:w="980" w:type="dxa"/>
            <w:vMerge w:val="restart"/>
            <w:tcBorders>
              <w:top w:val="single" w:color="auto" w:sz="4" w:space="0"/>
              <w:left w:val="single" w:color="auto" w:sz="4" w:space="0"/>
              <w:right w:val="single" w:color="auto" w:sz="4" w:space="0"/>
            </w:tcBorders>
            <w:vAlign w:val="center"/>
          </w:tcPr>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rPr>
                <w:rFonts w:ascii="宋体" w:hAnsi="宋体" w:cs="宋体"/>
                <w:color w:val="auto"/>
                <w:szCs w:val="21"/>
              </w:rPr>
            </w:pPr>
          </w:p>
          <w:p>
            <w:pPr>
              <w:ind w:firstLine="210" w:firstLineChars="100"/>
              <w:rPr>
                <w:rFonts w:ascii="宋体" w:hAnsi="宋体" w:cs="宋体"/>
                <w:color w:val="auto"/>
                <w:szCs w:val="21"/>
              </w:rPr>
            </w:pPr>
            <w:r>
              <w:rPr>
                <w:rFonts w:hint="eastAsia" w:ascii="宋体" w:hAnsi="宋体" w:cs="宋体"/>
                <w:color w:val="auto"/>
                <w:szCs w:val="21"/>
              </w:rPr>
              <w:t>技术</w:t>
            </w:r>
          </w:p>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60</w:t>
            </w:r>
            <w:r>
              <w:rPr>
                <w:rFonts w:hint="eastAsia" w:ascii="宋体" w:hAnsi="宋体" w:cs="宋体"/>
                <w:color w:val="auto"/>
                <w:szCs w:val="21"/>
              </w:rPr>
              <w:t>分）</w:t>
            </w:r>
          </w:p>
        </w:tc>
        <w:tc>
          <w:tcPr>
            <w:tcW w:w="926"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白蚁普查方案</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tcBorders>
            <w:vAlign w:val="top"/>
          </w:tcPr>
          <w:p>
            <w:pPr>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1、白蚁普查</w:t>
            </w:r>
            <w:r>
              <w:rPr>
                <w:rFonts w:hint="eastAsia" w:ascii="宋体" w:hAnsi="宋体" w:eastAsia="宋体" w:cs="宋体"/>
                <w:b w:val="0"/>
                <w:bCs w:val="0"/>
                <w:color w:val="auto"/>
                <w:szCs w:val="21"/>
              </w:rPr>
              <w:t>方案能通过采用</w:t>
            </w:r>
            <w:r>
              <w:rPr>
                <w:rFonts w:hint="eastAsia" w:ascii="宋体" w:hAnsi="宋体" w:eastAsia="宋体" w:cs="宋体"/>
                <w:b w:val="0"/>
                <w:bCs w:val="0"/>
                <w:color w:val="auto"/>
                <w:szCs w:val="21"/>
                <w:lang w:val="en-US" w:eastAsia="zh-CN"/>
              </w:rPr>
              <w:t>人工普查</w:t>
            </w:r>
            <w:r>
              <w:rPr>
                <w:rFonts w:hint="eastAsia" w:ascii="宋体" w:hAnsi="宋体" w:eastAsia="宋体" w:cs="宋体"/>
                <w:b w:val="0"/>
                <w:bCs w:val="0"/>
                <w:color w:val="auto"/>
                <w:szCs w:val="21"/>
              </w:rPr>
              <w:t>方式</w:t>
            </w:r>
            <w:r>
              <w:rPr>
                <w:rFonts w:hint="eastAsia" w:ascii="宋体" w:hAnsi="宋体" w:eastAsia="宋体" w:cs="宋体"/>
                <w:b w:val="0"/>
                <w:bCs w:val="0"/>
                <w:color w:val="auto"/>
                <w:szCs w:val="21"/>
                <w:lang w:val="en-US" w:eastAsia="zh-CN"/>
              </w:rPr>
              <w:t>通过白蚁表面活动痕迹能够</w:t>
            </w:r>
            <w:r>
              <w:rPr>
                <w:rFonts w:hint="eastAsia" w:ascii="宋体" w:hAnsi="宋体" w:eastAsia="宋体" w:cs="宋体"/>
                <w:b w:val="0"/>
                <w:bCs w:val="0"/>
                <w:color w:val="auto"/>
                <w:szCs w:val="21"/>
              </w:rPr>
              <w:t>准确地</w:t>
            </w:r>
            <w:r>
              <w:rPr>
                <w:rFonts w:hint="eastAsia" w:ascii="宋体" w:hAnsi="宋体" w:eastAsia="宋体" w:cs="宋体"/>
                <w:b w:val="0"/>
                <w:bCs w:val="0"/>
                <w:color w:val="auto"/>
                <w:szCs w:val="21"/>
                <w:lang w:val="en-US" w:eastAsia="zh-CN"/>
              </w:rPr>
              <w:t>普查大坝</w:t>
            </w:r>
            <w:r>
              <w:rPr>
                <w:rFonts w:hint="eastAsia" w:ascii="宋体" w:hAnsi="宋体" w:eastAsia="宋体" w:cs="宋体"/>
                <w:b w:val="0"/>
                <w:bCs w:val="0"/>
                <w:color w:val="auto"/>
                <w:szCs w:val="21"/>
              </w:rPr>
              <w:t>白蚁蚁穴</w:t>
            </w:r>
            <w:r>
              <w:rPr>
                <w:rFonts w:hint="eastAsia" w:ascii="宋体" w:hAnsi="宋体" w:eastAsia="宋体" w:cs="宋体"/>
                <w:b w:val="0"/>
                <w:bCs w:val="0"/>
                <w:color w:val="auto"/>
                <w:szCs w:val="21"/>
                <w:lang w:val="en-US" w:eastAsia="zh-CN"/>
              </w:rPr>
              <w:t>分布</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为后期</w:t>
            </w:r>
            <w:r>
              <w:rPr>
                <w:rFonts w:hint="eastAsia" w:ascii="宋体" w:hAnsi="宋体" w:eastAsia="宋体" w:cs="宋体"/>
                <w:b w:val="0"/>
                <w:bCs w:val="0"/>
                <w:color w:val="auto"/>
                <w:szCs w:val="21"/>
              </w:rPr>
              <w:t>开展白蚁治理</w:t>
            </w:r>
            <w:r>
              <w:rPr>
                <w:rFonts w:hint="eastAsia" w:ascii="宋体" w:hAnsi="宋体" w:eastAsia="宋体" w:cs="宋体"/>
                <w:b w:val="0"/>
                <w:bCs w:val="0"/>
                <w:color w:val="auto"/>
                <w:szCs w:val="21"/>
                <w:lang w:val="en-US" w:eastAsia="zh-CN"/>
              </w:rPr>
              <w:t>提供有利依据</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并</w:t>
            </w:r>
            <w:r>
              <w:rPr>
                <w:rFonts w:hint="eastAsia" w:ascii="宋体" w:hAnsi="宋体" w:eastAsia="宋体" w:cs="宋体"/>
                <w:b w:val="0"/>
                <w:bCs w:val="0"/>
                <w:color w:val="auto"/>
                <w:szCs w:val="21"/>
              </w:rPr>
              <w:t>提高防治效果，减少经济损失。</w:t>
            </w:r>
          </w:p>
          <w:p>
            <w:pPr>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注：方案优于或满足项目需求的计 5分，内容有缺陷、有错误、有瑕疵的，每处扣1分，有漏项的每项扣2分，扣完为止，未提供不计分。</w:t>
            </w:r>
          </w:p>
          <w:p>
            <w:pPr>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内容有缺陷、有错误、有瑕疵是指符合以下任意一项:方案内容与项目需求不一致或没有关联性，工作成效无法达到预期要求、条理不清晰，方案内容与实际实施存在差异性，内容空洞、语义表述不清，存在歧义混乱等】</w:t>
            </w:r>
          </w:p>
          <w:p>
            <w:pPr>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en-US"/>
              </w:rPr>
              <w:t>2、</w:t>
            </w:r>
            <w:r>
              <w:rPr>
                <w:rFonts w:hint="eastAsia" w:ascii="宋体" w:hAnsi="宋体" w:eastAsia="宋体" w:cs="宋体"/>
                <w:b w:val="0"/>
                <w:bCs w:val="0"/>
                <w:color w:val="auto"/>
                <w:szCs w:val="21"/>
                <w:lang w:val="en-US" w:eastAsia="zh-CN"/>
              </w:rPr>
              <w:t>白蚁普查</w:t>
            </w:r>
            <w:r>
              <w:rPr>
                <w:rFonts w:hint="eastAsia" w:ascii="宋体" w:hAnsi="宋体" w:eastAsia="宋体" w:cs="宋体"/>
                <w:b w:val="0"/>
                <w:bCs w:val="0"/>
                <w:color w:val="auto"/>
                <w:szCs w:val="21"/>
              </w:rPr>
              <w:t>方案能通过采用</w:t>
            </w:r>
            <w:r>
              <w:rPr>
                <w:rFonts w:hint="eastAsia" w:ascii="宋体" w:hAnsi="宋体" w:eastAsia="宋体" w:cs="宋体"/>
                <w:b w:val="0"/>
                <w:bCs w:val="0"/>
                <w:color w:val="auto"/>
                <w:szCs w:val="21"/>
                <w:lang w:val="en-US" w:eastAsia="zh-CN"/>
              </w:rPr>
              <w:t>AI</w:t>
            </w:r>
            <w:r>
              <w:rPr>
                <w:rFonts w:hint="eastAsia" w:ascii="宋体" w:hAnsi="宋体" w:eastAsia="宋体" w:cs="宋体"/>
                <w:b w:val="0"/>
                <w:bCs w:val="0"/>
                <w:color w:val="auto"/>
                <w:szCs w:val="21"/>
              </w:rPr>
              <w:t>无损探测方式有效准确地探测大坝白蚁蚁穴</w:t>
            </w:r>
            <w:r>
              <w:rPr>
                <w:rFonts w:hint="eastAsia" w:ascii="宋体" w:hAnsi="宋体" w:eastAsia="宋体" w:cs="宋体"/>
                <w:b w:val="0"/>
                <w:bCs w:val="0"/>
                <w:color w:val="auto"/>
                <w:szCs w:val="21"/>
                <w:lang w:val="en-US" w:eastAsia="zh-CN"/>
              </w:rPr>
              <w:t>位置</w:t>
            </w:r>
            <w:r>
              <w:rPr>
                <w:rFonts w:hint="eastAsia" w:ascii="宋体" w:hAnsi="宋体" w:eastAsia="宋体" w:cs="宋体"/>
                <w:b w:val="0"/>
                <w:bCs w:val="0"/>
                <w:color w:val="auto"/>
                <w:szCs w:val="21"/>
              </w:rPr>
              <w:t>，开展白蚁治理，提高防治效果，减少经济损失。</w:t>
            </w:r>
            <w:r>
              <w:rPr>
                <w:rFonts w:hint="eastAsia" w:ascii="宋体" w:hAnsi="宋体" w:eastAsia="宋体" w:cs="宋体"/>
                <w:b w:val="0"/>
                <w:bCs w:val="0"/>
                <w:color w:val="auto"/>
                <w:szCs w:val="21"/>
                <w:lang w:val="en-US" w:eastAsia="zh-CN"/>
              </w:rPr>
              <w:t>注：方案优于或满足项目需求的计 5分，内容有缺陷、有错误、有瑕疵的，每处扣1 分，有漏项的每项扣2分，扣完为止，未提供不计分。</w:t>
            </w:r>
          </w:p>
          <w:p>
            <w:pPr>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内容有缺陷、有错误、有瑕疵是指符合以下任意一项:方案内容与项目需求不一致或没有关联性，工作成效无法达到预期要求、条理不清晰，方案内容与实际实施存在差异性，内容空洞、语义表述不清，存在歧义混乱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60" w:hRule="atLeast"/>
          <w:jc w:val="center"/>
        </w:trPr>
        <w:tc>
          <w:tcPr>
            <w:tcW w:w="980" w:type="dxa"/>
            <w:vMerge w:val="continue"/>
            <w:tcBorders>
              <w:left w:val="single" w:color="auto" w:sz="4" w:space="0"/>
              <w:right w:val="single" w:color="auto" w:sz="4" w:space="0"/>
            </w:tcBorders>
            <w:vAlign w:val="center"/>
          </w:tcPr>
          <w:p>
            <w:pP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白蚁治理方案</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tcBorders>
            <w:vAlign w:val="top"/>
          </w:tcPr>
          <w:p>
            <w:pP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对本项目所在</w:t>
            </w:r>
            <w:r>
              <w:rPr>
                <w:rFonts w:hint="eastAsia" w:ascii="宋体" w:hAnsi="宋体" w:eastAsia="宋体" w:cs="宋体"/>
                <w:b w:val="0"/>
                <w:bCs w:val="0"/>
                <w:color w:val="auto"/>
                <w:szCs w:val="21"/>
                <w:lang w:val="en-US" w:eastAsia="zh-CN"/>
              </w:rPr>
              <w:t>白蚁防治</w:t>
            </w:r>
            <w:r>
              <w:rPr>
                <w:rFonts w:hint="eastAsia" w:ascii="宋体" w:hAnsi="宋体" w:eastAsia="宋体" w:cs="宋体"/>
                <w:b w:val="0"/>
                <w:bCs w:val="0"/>
                <w:color w:val="auto"/>
                <w:szCs w:val="21"/>
              </w:rPr>
              <w:t>实施方</w:t>
            </w:r>
            <w:r>
              <w:rPr>
                <w:rFonts w:hint="eastAsia" w:ascii="宋体" w:hAnsi="宋体" w:eastAsia="宋体" w:cs="宋体"/>
                <w:b w:val="0"/>
                <w:bCs w:val="0"/>
                <w:color w:val="auto"/>
                <w:szCs w:val="21"/>
                <w:lang w:val="en-US" w:eastAsia="zh-CN"/>
              </w:rPr>
              <w:t>方法</w:t>
            </w:r>
            <w:r>
              <w:rPr>
                <w:rFonts w:hint="eastAsia" w:ascii="宋体" w:hAnsi="宋体" w:eastAsia="宋体" w:cs="宋体"/>
                <w:b w:val="0"/>
                <w:bCs w:val="0"/>
                <w:color w:val="auto"/>
                <w:szCs w:val="21"/>
              </w:rPr>
              <w:t>和工序流程，</w:t>
            </w:r>
            <w:r>
              <w:rPr>
                <w:rFonts w:hint="eastAsia" w:ascii="宋体" w:hAnsi="宋体" w:eastAsia="宋体" w:cs="宋体"/>
                <w:b w:val="0"/>
                <w:bCs w:val="0"/>
                <w:color w:val="auto"/>
                <w:szCs w:val="21"/>
                <w:lang w:val="en-US" w:eastAsia="zh-CN"/>
              </w:rPr>
              <w:t>施工进度计划，</w:t>
            </w:r>
            <w:r>
              <w:rPr>
                <w:rFonts w:hint="eastAsia" w:ascii="宋体" w:hAnsi="宋体" w:eastAsia="宋体" w:cs="宋体"/>
                <w:b w:val="0"/>
                <w:bCs w:val="0"/>
                <w:color w:val="auto"/>
                <w:szCs w:val="21"/>
              </w:rPr>
              <w:t>施工整体布置方</w:t>
            </w:r>
            <w:r>
              <w:rPr>
                <w:rFonts w:hint="eastAsia" w:ascii="宋体" w:hAnsi="宋体" w:eastAsia="宋体" w:cs="宋体"/>
                <w:b w:val="0"/>
                <w:bCs w:val="0"/>
                <w:color w:val="auto"/>
                <w:szCs w:val="21"/>
                <w:lang w:val="en-US" w:eastAsia="zh-CN"/>
              </w:rPr>
              <w:t>法，设备配备方法。</w:t>
            </w:r>
          </w:p>
          <w:p>
            <w:pP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注：方案优于或满足项目需求的计 10分，内容有缺陷、有错误、有瑕疵的，每处扣1 分，有漏项的每项扣2分，扣完为止，未提供不计分。</w:t>
            </w:r>
          </w:p>
          <w:p>
            <w:pP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val="en-US" w:eastAsia="zh-CN"/>
              </w:rPr>
              <w:t>【内容有缺陷、有错误、有瑕疵是指符合以下任意一项:方案内容与项目需求不一致或没有关联性，工作成效无法达到预期要求、条理不清晰，方案内容与实际实施存在差异性，内容空洞、语义表述不清，存在歧义混乱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蚁穴</w:t>
            </w:r>
            <w:r>
              <w:rPr>
                <w:rFonts w:hint="eastAsia" w:ascii="宋体" w:hAnsi="宋体" w:cs="宋体"/>
                <w:color w:val="auto"/>
                <w:szCs w:val="21"/>
                <w:lang w:val="en-US" w:eastAsia="zh-CN"/>
              </w:rPr>
              <w:t>无损</w:t>
            </w:r>
            <w:r>
              <w:rPr>
                <w:rFonts w:hint="eastAsia" w:ascii="宋体" w:hAnsi="宋体" w:cs="宋体"/>
                <w:color w:val="auto"/>
                <w:szCs w:val="21"/>
              </w:rPr>
              <w:t>探测</w:t>
            </w:r>
            <w:r>
              <w:rPr>
                <w:rFonts w:hint="eastAsia" w:ascii="宋体" w:hAnsi="宋体" w:cs="宋体"/>
                <w:color w:val="auto"/>
                <w:szCs w:val="21"/>
                <w:lang w:val="en-US" w:eastAsia="zh-CN"/>
              </w:rPr>
              <w:t>方案</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tcBorders>
            <w:vAlign w:val="top"/>
          </w:tcPr>
          <w:p>
            <w:pP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针对该本项目的蚁穴</w:t>
            </w:r>
            <w:r>
              <w:rPr>
                <w:rFonts w:hint="eastAsia" w:ascii="宋体" w:hAnsi="宋体" w:eastAsia="宋体" w:cs="宋体"/>
                <w:b w:val="0"/>
                <w:bCs w:val="0"/>
                <w:color w:val="auto"/>
                <w:szCs w:val="21"/>
                <w:lang w:val="en-US" w:eastAsia="zh-CN"/>
              </w:rPr>
              <w:t>无损</w:t>
            </w:r>
            <w:r>
              <w:rPr>
                <w:rFonts w:hint="eastAsia" w:ascii="宋体" w:hAnsi="宋体" w:eastAsia="宋体" w:cs="宋体"/>
                <w:b w:val="0"/>
                <w:bCs w:val="0"/>
                <w:color w:val="auto"/>
                <w:szCs w:val="21"/>
              </w:rPr>
              <w:t>探测</w:t>
            </w:r>
            <w:r>
              <w:rPr>
                <w:rFonts w:hint="eastAsia" w:ascii="宋体" w:hAnsi="宋体" w:eastAsia="宋体" w:cs="宋体"/>
                <w:b w:val="0"/>
                <w:bCs w:val="0"/>
                <w:color w:val="auto"/>
                <w:szCs w:val="21"/>
                <w:lang w:val="en-US" w:eastAsia="zh-CN"/>
              </w:rPr>
              <w:t>规范、采用方法及设备多样化及先进性</w:t>
            </w:r>
            <w:r>
              <w:rPr>
                <w:rFonts w:hint="eastAsia" w:ascii="宋体" w:hAnsi="宋体" w:eastAsia="宋体" w:cs="宋体"/>
                <w:b w:val="0"/>
                <w:bCs w:val="0"/>
                <w:color w:val="auto"/>
                <w:szCs w:val="21"/>
              </w:rPr>
              <w:t>全符合规范、蚁穴AI</w:t>
            </w:r>
            <w:r>
              <w:rPr>
                <w:rFonts w:hint="eastAsia" w:ascii="宋体" w:hAnsi="宋体" w:eastAsia="宋体" w:cs="宋体"/>
                <w:b w:val="0"/>
                <w:bCs w:val="0"/>
                <w:color w:val="auto"/>
                <w:szCs w:val="21"/>
                <w:lang w:val="en-US" w:eastAsia="zh-CN"/>
              </w:rPr>
              <w:t>无损</w:t>
            </w:r>
            <w:r>
              <w:rPr>
                <w:rFonts w:hint="eastAsia" w:ascii="宋体" w:hAnsi="宋体" w:eastAsia="宋体" w:cs="宋体"/>
                <w:b w:val="0"/>
                <w:bCs w:val="0"/>
                <w:color w:val="auto"/>
                <w:szCs w:val="21"/>
              </w:rPr>
              <w:t>探测</w:t>
            </w:r>
            <w:r>
              <w:rPr>
                <w:rFonts w:hint="eastAsia" w:ascii="宋体" w:hAnsi="宋体" w:eastAsia="宋体" w:cs="宋体"/>
                <w:b w:val="0"/>
                <w:bCs w:val="0"/>
                <w:color w:val="auto"/>
                <w:szCs w:val="21"/>
                <w:lang w:val="en-US" w:eastAsia="zh-CN"/>
              </w:rPr>
              <w:t>类似工作经验及验证方法。注：方案优于或满足项目需求的计 10分，内容有缺陷、有错误、有瑕疵的，每处扣1 分，有漏项的每项扣2分，扣完为止，未提供不计分。</w:t>
            </w:r>
          </w:p>
          <w:p>
            <w:pP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val="en-US" w:eastAsia="zh-CN"/>
              </w:rPr>
              <w:t>【内容有缺陷、有错误、有瑕疵是指符合以下任意一项:方案内容与项目需求不一致或没有关联性，工作成效无法达到预期要求、条理不清晰，方案内容与实际实施存在差异性，内容空洞、语义表述不清，存在歧义混乱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83"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重、难点分析及应对措施</w:t>
            </w:r>
            <w:r>
              <w:rPr>
                <w:rFonts w:hint="eastAsia" w:ascii="宋体" w:hAnsi="宋体" w:cs="宋体"/>
                <w:color w:val="auto"/>
                <w:szCs w:val="21"/>
                <w:lang w:val="en-US" w:eastAsia="zh-CN"/>
              </w:rPr>
              <w:t>方案</w:t>
            </w:r>
          </w:p>
        </w:tc>
        <w:tc>
          <w:tcPr>
            <w:tcW w:w="915" w:type="dxa"/>
            <w:tcBorders>
              <w:top w:val="single" w:color="auto" w:sz="4" w:space="0"/>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分</w:t>
            </w:r>
          </w:p>
        </w:tc>
        <w:tc>
          <w:tcPr>
            <w:tcW w:w="6008" w:type="dxa"/>
            <w:tcBorders>
              <w:top w:val="single" w:color="auto" w:sz="4" w:space="0"/>
              <w:left w:val="single" w:color="auto" w:sz="4" w:space="0"/>
            </w:tcBorders>
            <w:vAlign w:val="top"/>
          </w:tcPr>
          <w:p>
            <w:pP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对本项目所在</w:t>
            </w:r>
            <w:r>
              <w:rPr>
                <w:rFonts w:hint="eastAsia" w:ascii="宋体" w:hAnsi="宋体" w:eastAsia="宋体" w:cs="宋体"/>
                <w:b w:val="0"/>
                <w:bCs w:val="0"/>
                <w:color w:val="auto"/>
                <w:szCs w:val="21"/>
                <w:lang w:val="en-US" w:eastAsia="zh-CN"/>
              </w:rPr>
              <w:t>白蚁危害现状采用白蚁人工普查及</w:t>
            </w:r>
            <w:r>
              <w:rPr>
                <w:rFonts w:hint="eastAsia" w:ascii="宋体" w:hAnsi="宋体" w:eastAsia="宋体" w:cs="宋体"/>
                <w:b w:val="0"/>
                <w:bCs w:val="0"/>
                <w:color w:val="auto"/>
                <w:szCs w:val="21"/>
              </w:rPr>
              <w:t>地深层次白蚁蚁穴AI探测的重点难点问题分析到位、重点突出区域</w:t>
            </w:r>
            <w:r>
              <w:rPr>
                <w:rFonts w:hint="eastAsia" w:ascii="宋体" w:hAnsi="宋体" w:eastAsia="宋体" w:cs="宋体"/>
                <w:b w:val="0"/>
                <w:bCs w:val="0"/>
                <w:color w:val="auto"/>
                <w:szCs w:val="21"/>
                <w:lang w:eastAsia="zh-CN"/>
              </w:rPr>
              <w:t>。</w:t>
            </w:r>
          </w:p>
          <w:p>
            <w:pP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注：方案优于或满足项目需求的计 10分，内容有缺陷、有错误、有瑕疵的，每处扣1 分，有漏项的每项扣2分，扣完为止，未提供不计分。</w:t>
            </w:r>
          </w:p>
          <w:p>
            <w:pPr>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内容有缺陷、有错误、有瑕疵是指符合以下任意一项:方案内容与项目需求不一致或没有关联性，工作成效无法达到预期要求、条理不清晰，方案内容与实际实施存在差异性，内容空洞、语义表述不清，存在歧义混乱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83"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color w:val="auto"/>
                <w:spacing w:val="-2"/>
              </w:rPr>
            </w:pPr>
            <w:r>
              <w:rPr>
                <w:rFonts w:hint="eastAsia"/>
                <w:color w:val="auto"/>
                <w:spacing w:val="-2"/>
              </w:rPr>
              <w:t>人员岗位配置</w:t>
            </w:r>
            <w:r>
              <w:rPr>
                <w:rFonts w:hint="eastAsia"/>
                <w:color w:val="auto"/>
                <w:spacing w:val="-2"/>
                <w:lang w:val="en-US" w:eastAsia="zh-CN"/>
              </w:rPr>
              <w:t>方案</w:t>
            </w:r>
          </w:p>
        </w:tc>
        <w:tc>
          <w:tcPr>
            <w:tcW w:w="915" w:type="dxa"/>
            <w:tcBorders>
              <w:top w:val="single" w:color="auto" w:sz="4" w:space="0"/>
              <w:left w:val="single" w:color="auto" w:sz="4" w:space="0"/>
              <w:right w:val="single" w:color="auto" w:sz="4" w:space="0"/>
            </w:tcBorders>
            <w:vAlign w:val="center"/>
          </w:tcPr>
          <w:p>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5分</w:t>
            </w:r>
          </w:p>
        </w:tc>
        <w:tc>
          <w:tcPr>
            <w:tcW w:w="6008" w:type="dxa"/>
            <w:tcBorders>
              <w:top w:val="single" w:color="auto" w:sz="4" w:space="0"/>
              <w:left w:val="single" w:color="auto" w:sz="4" w:space="0"/>
            </w:tcBorders>
            <w:vAlign w:val="top"/>
          </w:tcPr>
          <w:p>
            <w:pP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人员岗位配置服务目标、流程明确，人员岗位配置明确，</w:t>
            </w:r>
            <w:r>
              <w:rPr>
                <w:rFonts w:hint="eastAsia" w:ascii="宋体" w:hAnsi="宋体" w:eastAsia="宋体" w:cs="宋体"/>
                <w:b w:val="0"/>
                <w:bCs w:val="0"/>
                <w:color w:val="auto"/>
                <w:szCs w:val="21"/>
                <w:lang w:val="en-US" w:eastAsia="zh-CN"/>
              </w:rPr>
              <w:t>安全负责人及安全具员具备安全员证书证并</w:t>
            </w:r>
            <w:r>
              <w:rPr>
                <w:rFonts w:hint="eastAsia" w:ascii="宋体" w:hAnsi="宋体" w:eastAsia="宋体" w:cs="宋体"/>
                <w:b w:val="0"/>
                <w:bCs w:val="0"/>
                <w:color w:val="auto"/>
                <w:szCs w:val="21"/>
              </w:rPr>
              <w:t>服务措施健全得当</w:t>
            </w:r>
            <w:r>
              <w:rPr>
                <w:rFonts w:hint="eastAsia" w:ascii="宋体" w:hAnsi="宋体" w:eastAsia="宋体" w:cs="宋体"/>
                <w:b w:val="0"/>
                <w:bCs w:val="0"/>
                <w:color w:val="auto"/>
                <w:szCs w:val="21"/>
                <w:lang w:val="en-US" w:eastAsia="zh-CN"/>
              </w:rPr>
              <w:t>.</w:t>
            </w:r>
          </w:p>
          <w:p>
            <w:pP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注：方案优于或满足项目需求的计5分，内容有缺陷、有错误、有瑕疵的，每处扣1 分，有漏项的每项扣2分，扣完为止，未提供不计分。</w:t>
            </w:r>
          </w:p>
          <w:p>
            <w:pPr>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内容有缺陷、有错误、有瑕疵是指符合以下任意一项:方案内容与项目需求不一致或没有关联性，工作成效无法达到预期要求、条理不清晰，方案内容与实际实施存在差异性，内容空洞、语义表述不清，存在歧义混乱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50"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szCs w:val="21"/>
              </w:rPr>
            </w:pPr>
          </w:p>
        </w:tc>
        <w:tc>
          <w:tcPr>
            <w:tcW w:w="926" w:type="dxa"/>
            <w:tcBorders>
              <w:top w:val="single" w:color="auto" w:sz="4" w:space="0"/>
              <w:left w:val="single" w:color="auto" w:sz="4" w:space="0"/>
              <w:right w:val="single" w:color="auto" w:sz="4" w:space="0"/>
            </w:tcBorders>
            <w:vAlign w:val="center"/>
          </w:tcPr>
          <w:p>
            <w:pPr>
              <w:jc w:val="center"/>
              <w:rPr>
                <w:color w:val="auto"/>
                <w:spacing w:val="-2"/>
              </w:rPr>
            </w:pPr>
            <w:r>
              <w:rPr>
                <w:rFonts w:hint="eastAsia"/>
                <w:color w:val="auto"/>
                <w:spacing w:val="-2"/>
              </w:rPr>
              <w:t>质量保证措施</w:t>
            </w:r>
            <w:r>
              <w:rPr>
                <w:rFonts w:hint="eastAsia"/>
                <w:color w:val="auto"/>
                <w:spacing w:val="-2"/>
                <w:lang w:val="en-US" w:eastAsia="zh-CN"/>
              </w:rPr>
              <w:t>方案</w:t>
            </w:r>
          </w:p>
        </w:tc>
        <w:tc>
          <w:tcPr>
            <w:tcW w:w="915" w:type="dxa"/>
            <w:tcBorders>
              <w:top w:val="single" w:color="auto" w:sz="4" w:space="0"/>
              <w:left w:val="single" w:color="auto" w:sz="4" w:space="0"/>
              <w:right w:val="single" w:color="auto" w:sz="4" w:space="0"/>
            </w:tcBorders>
            <w:vAlign w:val="center"/>
          </w:tcPr>
          <w:p>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5分</w:t>
            </w:r>
          </w:p>
        </w:tc>
        <w:tc>
          <w:tcPr>
            <w:tcW w:w="6008" w:type="dxa"/>
            <w:tcBorders>
              <w:top w:val="single" w:color="auto" w:sz="4" w:space="0"/>
              <w:left w:val="single" w:color="auto" w:sz="4" w:space="0"/>
            </w:tcBorders>
            <w:vAlign w:val="top"/>
          </w:tcPr>
          <w:p>
            <w:pPr>
              <w:rPr>
                <w:rFonts w:hint="eastAsia" w:ascii="宋体" w:hAnsi="宋体" w:eastAsia="宋体" w:cs="宋体"/>
                <w:b w:val="0"/>
                <w:bCs w:val="0"/>
                <w:color w:val="auto"/>
                <w:szCs w:val="21"/>
              </w:rPr>
            </w:pPr>
            <w:r>
              <w:rPr>
                <w:rFonts w:hint="eastAsia" w:ascii="宋体" w:hAnsi="宋体" w:eastAsia="宋体" w:cs="宋体"/>
                <w:b w:val="0"/>
                <w:bCs w:val="0"/>
                <w:color w:val="auto"/>
                <w:szCs w:val="21"/>
              </w:rPr>
              <w:t>质量目标明确具体，保证措施详细全面合理，内容明确切实可行，符合本项目采购需求；</w:t>
            </w:r>
          </w:p>
          <w:p>
            <w:pP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注：方案优于或满足项目需求的计5分，内容有缺陷、有错误、有瑕疵的，每处扣1 分，有漏项的每项扣2分，扣完为止，未提供不计分。</w:t>
            </w:r>
          </w:p>
          <w:p>
            <w:pPr>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内容有缺陷、有错误、有瑕疵是指符合以下任意一项:方案内容与项目需求不一致或没有关联性，工作成效无法达到预期要求、条理不清晰，方案内容与实际实施存在差异性，内容空洞、语义表述不清，存在歧义混乱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16"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20" w:lineRule="exact"/>
              <w:jc w:val="center"/>
              <w:rPr>
                <w:rFonts w:ascii="宋体" w:hAnsi="宋体" w:cs="宋体"/>
                <w:color w:val="auto"/>
                <w:szCs w:val="21"/>
              </w:rPr>
            </w:pPr>
          </w:p>
        </w:tc>
        <w:tc>
          <w:tcPr>
            <w:tcW w:w="926" w:type="dxa"/>
            <w:tcBorders>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安全、文明保证措施</w:t>
            </w:r>
            <w:r>
              <w:rPr>
                <w:rFonts w:hint="eastAsia" w:ascii="宋体" w:hAnsi="宋体" w:cs="宋体"/>
                <w:color w:val="auto"/>
                <w:szCs w:val="21"/>
                <w:lang w:val="en-US" w:eastAsia="zh-CN"/>
              </w:rPr>
              <w:t>方案</w:t>
            </w:r>
          </w:p>
        </w:tc>
        <w:tc>
          <w:tcPr>
            <w:tcW w:w="915" w:type="dxa"/>
            <w:tcBorders>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5分</w:t>
            </w:r>
          </w:p>
        </w:tc>
        <w:tc>
          <w:tcPr>
            <w:tcW w:w="6008" w:type="dxa"/>
            <w:tcBorders>
              <w:top w:val="single" w:color="auto" w:sz="4" w:space="0"/>
              <w:left w:val="single" w:color="auto" w:sz="4" w:space="0"/>
              <w:bottom w:val="single" w:color="auto" w:sz="4" w:space="0"/>
            </w:tcBorders>
            <w:vAlign w:val="top"/>
          </w:tcPr>
          <w:p>
            <w:pP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根据现场实际情况结合本项目特点，制定有针对性的安全文明作业方案。安全、文明保障措施、噪音管理措施、</w:t>
            </w:r>
            <w:r>
              <w:rPr>
                <w:rFonts w:hint="eastAsia" w:ascii="宋体" w:hAnsi="宋体" w:eastAsia="宋体" w:cs="宋体"/>
                <w:b w:val="0"/>
                <w:bCs w:val="0"/>
                <w:color w:val="auto"/>
                <w:szCs w:val="21"/>
                <w:lang w:val="en-US" w:eastAsia="zh-CN"/>
              </w:rPr>
              <w:t>药物安全保证措施</w:t>
            </w:r>
            <w:r>
              <w:rPr>
                <w:rFonts w:hint="eastAsia" w:ascii="宋体" w:hAnsi="宋体" w:eastAsia="宋体" w:cs="宋体"/>
                <w:b w:val="0"/>
                <w:bCs w:val="0"/>
                <w:color w:val="auto"/>
                <w:szCs w:val="21"/>
              </w:rPr>
              <w:t>等规范性措施完整详细,针对性强，目的明确，完全满足采购需求</w:t>
            </w:r>
            <w:r>
              <w:rPr>
                <w:rFonts w:hint="eastAsia" w:ascii="宋体" w:hAnsi="宋体" w:eastAsia="宋体" w:cs="宋体"/>
                <w:b w:val="0"/>
                <w:bCs w:val="0"/>
                <w:color w:val="auto"/>
                <w:szCs w:val="21"/>
                <w:lang w:eastAsia="zh-CN"/>
              </w:rPr>
              <w:t>。</w:t>
            </w:r>
          </w:p>
          <w:p>
            <w:pP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注：方案优于或满足项目需求的计5分，内容有缺陷、有错误、有瑕疵的，每处扣1 分，有漏项的每项扣2分，扣完为止，未提供不计分。</w:t>
            </w:r>
          </w:p>
          <w:p>
            <w:pP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val="en-US" w:eastAsia="zh-CN"/>
              </w:rPr>
              <w:t>【内容有缺陷、有错误、有瑕疵是指符合以下任意一项:方案内容与项目需求不一致或没有关联性，工作成效无法达到预期要求、条理不清晰，方案内容与实际实施存在差异性，内容空洞、语义表述不清，存在歧义混乱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60"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20" w:lineRule="exact"/>
              <w:jc w:val="center"/>
              <w:rPr>
                <w:rFonts w:ascii="宋体" w:hAnsi="宋体" w:cs="宋体"/>
                <w:color w:val="auto"/>
                <w:szCs w:val="21"/>
              </w:rPr>
            </w:pPr>
          </w:p>
        </w:tc>
        <w:tc>
          <w:tcPr>
            <w:tcW w:w="926" w:type="dxa"/>
            <w:tcBorders>
              <w:left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应急措施方案</w:t>
            </w:r>
          </w:p>
        </w:tc>
        <w:tc>
          <w:tcPr>
            <w:tcW w:w="915" w:type="dxa"/>
            <w:tcBorders>
              <w:left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分</w:t>
            </w:r>
          </w:p>
        </w:tc>
        <w:tc>
          <w:tcPr>
            <w:tcW w:w="6008" w:type="dxa"/>
            <w:tcBorders>
              <w:top w:val="single" w:color="auto" w:sz="4" w:space="0"/>
              <w:left w:val="single" w:color="auto" w:sz="4" w:space="0"/>
              <w:bottom w:val="single" w:color="auto" w:sz="4" w:space="0"/>
            </w:tcBorders>
            <w:vAlign w:val="top"/>
          </w:tcPr>
          <w:p>
            <w:pP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针对本项目项目特点制定公共事件及环境维护等各种突发事件有具体详实的应急措施处理措施，措施详细全面，能对突发情况进行完善的处理</w:t>
            </w:r>
            <w:r>
              <w:rPr>
                <w:rFonts w:hint="eastAsia" w:ascii="宋体" w:hAnsi="宋体" w:eastAsia="宋体" w:cs="宋体"/>
                <w:b w:val="0"/>
                <w:bCs w:val="0"/>
                <w:color w:val="auto"/>
                <w:szCs w:val="21"/>
                <w:lang w:eastAsia="zh-CN"/>
              </w:rPr>
              <w:t>。</w:t>
            </w:r>
          </w:p>
          <w:p>
            <w:pPr>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注：方案优于或满足项目需求的计5分，内容有缺陷、有错误、有瑕疵的，每处扣1 分，有漏项的每项扣2分，扣完为止，未提供不计分。</w:t>
            </w:r>
          </w:p>
          <w:p>
            <w:pPr>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val="en-US" w:eastAsia="zh-CN"/>
              </w:rPr>
              <w:t>【内容有缺陷、有错误、有瑕疵是指符合以下任意一项:方案内容与项目需求不一致或没有关联性，工作成效无法达到预期要求、条理不清晰，方案内容与实际实施存在差异性，内容空洞、语义表述不清，存在歧义混乱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13" w:hRule="atLeast"/>
          <w:jc w:val="center"/>
        </w:trPr>
        <w:tc>
          <w:tcPr>
            <w:tcW w:w="19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合计</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color w:val="auto"/>
                <w:szCs w:val="21"/>
              </w:rPr>
            </w:pPr>
            <w:r>
              <w:rPr>
                <w:rFonts w:hint="eastAsia" w:ascii="宋体" w:hAnsi="宋体" w:cs="宋体"/>
                <w:color w:val="auto"/>
                <w:szCs w:val="21"/>
              </w:rPr>
              <w:t>100分</w:t>
            </w:r>
          </w:p>
        </w:tc>
        <w:tc>
          <w:tcPr>
            <w:tcW w:w="6008"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84" w:hRule="atLeast"/>
          <w:jc w:val="center"/>
        </w:trPr>
        <w:tc>
          <w:tcPr>
            <w:tcW w:w="8829" w:type="dxa"/>
            <w:gridSpan w:val="4"/>
            <w:tcBorders>
              <w:top w:val="single" w:color="auto" w:sz="4" w:space="0"/>
              <w:left w:val="single" w:color="auto" w:sz="4" w:space="0"/>
            </w:tcBorders>
            <w:vAlign w:val="center"/>
          </w:tcPr>
          <w:p>
            <w:pPr>
              <w:rPr>
                <w:rFonts w:ascii="宋体" w:hAnsi="宋体" w:cs="宋体"/>
                <w:b w:val="0"/>
                <w:bCs w:val="0"/>
                <w:color w:val="auto"/>
                <w:szCs w:val="21"/>
              </w:rPr>
            </w:pPr>
            <w:r>
              <w:rPr>
                <w:rFonts w:hint="eastAsia" w:ascii="宋体" w:hAnsi="宋体" w:cs="宋体"/>
                <w:b w:val="0"/>
                <w:bCs w:val="0"/>
                <w:color w:val="auto"/>
                <w:szCs w:val="21"/>
              </w:rPr>
              <w:t>说明：1、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p>
            <w:pPr>
              <w:adjustRightInd w:val="0"/>
              <w:snapToGrid w:val="0"/>
              <w:rPr>
                <w:rFonts w:ascii="宋体" w:hAnsi="宋体" w:cs="宋体"/>
                <w:bCs/>
                <w:color w:val="auto"/>
                <w:szCs w:val="21"/>
              </w:rPr>
            </w:pPr>
            <w:r>
              <w:rPr>
                <w:rFonts w:hint="eastAsia" w:ascii="宋体" w:hAnsi="宋体" w:cs="宋体"/>
                <w:b w:val="0"/>
                <w:bCs w:val="0"/>
                <w:color w:val="auto"/>
                <w:szCs w:val="21"/>
              </w:rPr>
              <w:t>2、如评标委员会认为供应商报价明显低于其他通过符合性审查供应商的报价，有可能影响工程质量或者不能诚信履约的，需提交相关证明材料；供应商不能证明其报价合理性的，评标委员会应当将其作为无效投标处理。</w:t>
            </w:r>
          </w:p>
        </w:tc>
      </w:tr>
    </w:tbl>
    <w:p>
      <w:pPr>
        <w:adjustRightInd w:val="0"/>
        <w:snapToGrid w:val="0"/>
        <w:spacing w:line="360" w:lineRule="auto"/>
        <w:rPr>
          <w:rFonts w:eastAsia="黑体"/>
          <w:b/>
          <w:color w:val="auto"/>
          <w:sz w:val="28"/>
          <w:szCs w:val="28"/>
        </w:rPr>
      </w:pPr>
    </w:p>
    <w:p>
      <w:pPr>
        <w:widowControl/>
        <w:jc w:val="left"/>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pStyle w:val="20"/>
        <w:ind w:firstLine="643"/>
        <w:rPr>
          <w:rFonts w:ascii="黑体" w:hAnsi="黑体" w:eastAsia="黑体"/>
          <w:b/>
          <w:bCs/>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磋商须知正文</w:t>
      </w:r>
    </w:p>
    <w:p>
      <w:pPr>
        <w:adjustRightInd w:val="0"/>
        <w:snapToGrid w:val="0"/>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一、说明</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1.适用范围</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 本磋商文件仅适用于磋商须知前附表(以下简称</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中所叙述的采购项目。</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2.定义</w:t>
      </w:r>
    </w:p>
    <w:p>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2.1 “采购人”是指依法进行政府采购的国家机关、事业单位、团体组织。本次政府采购的采购人名称、地址、电话、联系人见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2.2 “采购代理机构”是指接受采购人委托，代理采购项目的集中采购机构和其他采购代理机构。本次政府采购的采购代理机构名称、地址、电话、联系人见</w:t>
      </w:r>
      <w:r>
        <w:rPr>
          <w:rFonts w:hint="eastAsia" w:asciiTheme="minorEastAsia" w:hAnsiTheme="minorEastAsia" w:eastAsiaTheme="minorEastAsia" w:cstheme="minorEastAsia"/>
          <w:b/>
          <w:color w:val="auto"/>
          <w:szCs w:val="21"/>
        </w:rPr>
        <w:t>磋商须知前附表。</w:t>
      </w:r>
    </w:p>
    <w:p>
      <w:pPr>
        <w:adjustRightInd w:val="0"/>
        <w:snapToGrid w:val="0"/>
        <w:spacing w:line="360" w:lineRule="auto"/>
        <w:ind w:firstLine="420" w:firstLineChars="200"/>
        <w:rPr>
          <w:rFonts w:asciiTheme="minorEastAsia" w:hAnsiTheme="minorEastAsia" w:eastAsiaTheme="minorEastAsia" w:cstheme="minorEastAsia"/>
          <w:bCs/>
          <w:color w:val="auto"/>
          <w:kern w:val="36"/>
          <w:szCs w:val="21"/>
        </w:rPr>
      </w:pPr>
      <w:r>
        <w:rPr>
          <w:rFonts w:hint="eastAsia" w:asciiTheme="minorEastAsia" w:hAnsiTheme="minorEastAsia" w:eastAsiaTheme="minorEastAsia" w:cstheme="minorEastAsia"/>
          <w:color w:val="auto"/>
          <w:szCs w:val="21"/>
        </w:rPr>
        <w:t>2.3 “供应商”是指响应磋商文件要求、参加竞争性磋商采购的法人、其他组织或者自然人。本次政府采购项目</w:t>
      </w:r>
      <w:r>
        <w:rPr>
          <w:rFonts w:hint="eastAsia" w:asciiTheme="minorEastAsia" w:hAnsiTheme="minorEastAsia" w:eastAsiaTheme="minorEastAsia" w:cstheme="minorEastAsia"/>
          <w:color w:val="auto"/>
          <w:kern w:val="0"/>
          <w:szCs w:val="21"/>
        </w:rPr>
        <w:t>邀请</w:t>
      </w:r>
      <w:r>
        <w:rPr>
          <w:rFonts w:hint="eastAsia" w:asciiTheme="minorEastAsia" w:hAnsiTheme="minorEastAsia" w:eastAsiaTheme="minorEastAsia" w:cstheme="minorEastAsia"/>
          <w:color w:val="auto"/>
          <w:szCs w:val="21"/>
        </w:rPr>
        <w:t>的</w:t>
      </w:r>
      <w:r>
        <w:rPr>
          <w:rFonts w:hint="eastAsia" w:asciiTheme="minorEastAsia" w:hAnsiTheme="minorEastAsia" w:eastAsiaTheme="minorEastAsia" w:cstheme="minorEastAsia"/>
          <w:color w:val="auto"/>
          <w:kern w:val="0"/>
          <w:szCs w:val="21"/>
        </w:rPr>
        <w:t>供应商通过</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所述方式</w:t>
      </w:r>
      <w:r>
        <w:rPr>
          <w:rFonts w:hint="eastAsia" w:asciiTheme="minorEastAsia" w:hAnsiTheme="minorEastAsia" w:eastAsiaTheme="minorEastAsia" w:cstheme="minorEastAsia"/>
          <w:color w:val="auto"/>
          <w:kern w:val="0"/>
          <w:szCs w:val="21"/>
        </w:rPr>
        <w:t>，邀请符合资格条件的供应商提交响应文件（含资格证明资料），参与竞争性磋商采购活动。</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2.4 “磋商小组”是指</w:t>
      </w:r>
      <w:r>
        <w:rPr>
          <w:rFonts w:hint="eastAsia" w:asciiTheme="minorEastAsia" w:hAnsiTheme="minorEastAsia" w:eastAsiaTheme="minorEastAsia" w:cstheme="minorEastAsia"/>
          <w:color w:val="auto"/>
          <w:kern w:val="0"/>
          <w:szCs w:val="21"/>
        </w:rPr>
        <w:t>依据财政部</w:t>
      </w:r>
      <w:r>
        <w:rPr>
          <w:rFonts w:hint="eastAsia" w:asciiTheme="minorEastAsia" w:hAnsiTheme="minorEastAsia" w:eastAsiaTheme="minorEastAsia" w:cstheme="minorEastAsia"/>
          <w:bCs/>
          <w:color w:val="auto"/>
          <w:kern w:val="36"/>
          <w:szCs w:val="21"/>
        </w:rPr>
        <w:t>《政府采购竞争性磋商采购方式管理暂行办法》有关规定组建，依法依规</w:t>
      </w:r>
      <w:r>
        <w:rPr>
          <w:rFonts w:hint="eastAsia" w:asciiTheme="minorEastAsia" w:hAnsiTheme="minorEastAsia" w:eastAsiaTheme="minorEastAsia" w:cstheme="minorEastAsia"/>
          <w:color w:val="auto"/>
          <w:kern w:val="0"/>
          <w:szCs w:val="21"/>
        </w:rPr>
        <w:t>履行其职责和义务的机构。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 “货物”是指各种形态和种类的物品，包括原资料、燃料、设备、产品等，详见《政府采购品目分类目录》(</w:t>
      </w:r>
      <w:r>
        <w:rPr>
          <w:rStyle w:val="49"/>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 “工程”是指建设工程，包括建筑物和构筑物的新建、改建、扩建、装修、拆除、修缮等，详见《政府采购品目分类目录》(</w:t>
      </w:r>
      <w:r>
        <w:rPr>
          <w:rStyle w:val="49"/>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 “服务”是指除货物和工程以外的其他政府采购对象，详见《政府采购品目分类目录》(</w:t>
      </w:r>
      <w:r>
        <w:rPr>
          <w:rStyle w:val="49"/>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2.8</w:t>
      </w:r>
      <w:r>
        <w:rPr>
          <w:rFonts w:hint="eastAsia" w:asciiTheme="minorEastAsia" w:hAnsiTheme="minorEastAsia" w:eastAsiaTheme="minorEastAsia" w:cstheme="minorEastAsia"/>
          <w:color w:val="auto"/>
          <w:szCs w:val="21"/>
        </w:rPr>
        <w:t xml:space="preserve"> “节能产品”或者“环保产品”是指财政部发布的《节能产品政府采购清单》或者《环境标志产品政府采购清单》的产品，“两型产品”是指湖南省财政厅发布的《湖南省两型产品政府采购目录》或《长沙市两型产品目录》的产品。</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2.9</w:t>
      </w:r>
      <w:r>
        <w:rPr>
          <w:rFonts w:hint="eastAsia" w:asciiTheme="minorEastAsia" w:hAnsiTheme="minorEastAsia" w:eastAsiaTheme="minorEastAsia" w:cstheme="minorEastAsia"/>
          <w:color w:val="auto"/>
          <w:kern w:val="0"/>
          <w:szCs w:val="21"/>
        </w:rPr>
        <w:t xml:space="preserve"> “进口产品”是指通过中国海关报关验放进入中国境内且产自关境外的产品，详见《关于政府采购进口产品管理有关问题的通知》(财库[2007]119号)。</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3.供应商的资格要求</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 供应商应当符合</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中规定的资格条件要求。</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 xml:space="preserve">，除应满足本章第3.1款资格条件要求及第3.3款规定外，还应遵守以下规定： </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（1）联合体各方应按磋商文件提供的格式签订联合体协议书，明确联合体牵头人和各方权利义务(含承担工作及工作量比例)；</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（2）联合体中有同类资质的供应商按照联合体分工承担相同工作的，应当按照资质等级较低的供应商确定资质等级；</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（3）以联合体形式参加政府采购活动的，联合体各方不得再单独参加或者与其他供应商另外组成联合体参加同一合同项下的政府采购活动。</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 供应商不得存在下列情形之一：</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（l）与采购人、采购代理机构存在</w:t>
      </w:r>
      <w:r>
        <w:rPr>
          <w:rFonts w:hint="eastAsia" w:asciiTheme="minorEastAsia" w:hAnsiTheme="minorEastAsia" w:eastAsiaTheme="minorEastAsia" w:cstheme="minorEastAsia"/>
          <w:bCs/>
          <w:color w:val="auto"/>
          <w:szCs w:val="21"/>
        </w:rPr>
        <w:t>隶属关系或者其他利害关系</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（2）与其他供应商的法定代表人（或者负责人）为同一人，或者与其他供应商存在直接控股、管理关系。</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bCs/>
          <w:color w:val="auto"/>
          <w:szCs w:val="21"/>
        </w:rPr>
        <w:t>受到刑事处罚，或者受到三万元以上的罚款、责令停产停业、在一至三年内禁止参加政府采购活动、暂扣或者吊销许可证、暂扣或者吊销执照等情形之一的行政处罚，或者存在</w:t>
      </w:r>
      <w:r>
        <w:rPr>
          <w:rFonts w:hint="eastAsia" w:asciiTheme="minorEastAsia" w:hAnsiTheme="minorEastAsia" w:eastAsiaTheme="minorEastAsia" w:cstheme="minorEastAsia"/>
          <w:color w:val="auto"/>
          <w:szCs w:val="21"/>
        </w:rPr>
        <w:t>财政部门认定的其他重大违法记录。</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4.参与磋商的费用 </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 无论磋商的结果如何，供应商应自行承担所有与竞争性磋商采购活动有关的全部费用。</w:t>
      </w:r>
    </w:p>
    <w:p>
      <w:pPr>
        <w:pStyle w:val="25"/>
        <w:adjustRightInd w:val="0"/>
        <w:snapToGrid w:val="0"/>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color w:val="auto"/>
        </w:rPr>
        <w:t>5．</w:t>
      </w:r>
      <w:r>
        <w:rPr>
          <w:rFonts w:hint="eastAsia" w:asciiTheme="minorEastAsia" w:hAnsiTheme="minorEastAsia" w:eastAsiaTheme="minorEastAsia" w:cstheme="minorEastAsia"/>
          <w:b/>
          <w:bCs/>
          <w:color w:val="auto"/>
        </w:rPr>
        <w:t>授权委托</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5.1供应商代表为供应商法定代表人的，应具备法定代表人身份证明。供应商代表不是供应商法定代表人的，应具备法定代表人授权书，并附法定代表人身份证明。</w:t>
      </w:r>
    </w:p>
    <w:p>
      <w:pPr>
        <w:pStyle w:val="25"/>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6．联合体形式</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中另有规定，本次谈判采购不接受为联合体形式的供应商。</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，除应符合本章第3条规定外，还应遵守以下规定：</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（2）联合体各方均应当符合本章第3.1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规定的供应商基本资格条件；</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rPr>
        <w:t>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w:t>
      </w:r>
      <w:r>
        <w:rPr>
          <w:rFonts w:hint="eastAsia" w:asciiTheme="minorEastAsia" w:hAnsiTheme="minorEastAsia" w:eastAsiaTheme="minorEastAsia" w:cstheme="minorEastAsia"/>
          <w:color w:val="auto"/>
          <w:szCs w:val="21"/>
        </w:rPr>
        <w:t>联合体各方中至少有一方应当符合本章第3.1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规定的供应商特定资格条件；</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kern w:val="0"/>
          <w:szCs w:val="21"/>
          <w:lang w:val="zh-CN"/>
        </w:rPr>
        <w:t>联合体各方不得再单独或与其他供应商组成新的联合体参加同一项目的采购活动。</w:t>
      </w:r>
    </w:p>
    <w:p>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7.现场勘察</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7.1供应商应按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中规定</w:t>
      </w:r>
      <w:r>
        <w:rPr>
          <w:rFonts w:hint="eastAsia" w:asciiTheme="minorEastAsia" w:hAnsiTheme="minorEastAsia" w:eastAsiaTheme="minorEastAsia" w:cstheme="minorEastAsia"/>
          <w:color w:val="auto"/>
          <w:szCs w:val="21"/>
        </w:rPr>
        <w:t>对采购项目现场和周围环境的现场考察。</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7.2勘察现场的费用由供应商自己承担，勘察期间所发生的人身伤害及财产损失由供应商自己负责。</w:t>
      </w:r>
    </w:p>
    <w:p>
      <w:pPr>
        <w:adjustRightInd w:val="0"/>
        <w:snapToGrid w:val="0"/>
        <w:spacing w:line="360" w:lineRule="auto"/>
        <w:ind w:firstLine="420"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7.3采购人不对供应商据此而做出的推论、理解和结论负责。一旦成交，供应商不得以任何借口，提出额外补偿，或延长合同期限的要求。</w:t>
      </w:r>
    </w:p>
    <w:p>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8.采购进口产品</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8.1除</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另有规定外，本项目</w:t>
      </w:r>
      <w:r>
        <w:rPr>
          <w:rFonts w:hint="eastAsia" w:asciiTheme="minorEastAsia" w:hAnsiTheme="minorEastAsia" w:eastAsiaTheme="minorEastAsia" w:cstheme="minorEastAsia"/>
          <w:color w:val="auto"/>
          <w:kern w:val="0"/>
          <w:szCs w:val="21"/>
        </w:rPr>
        <w:t>拒绝进口产品参加</w:t>
      </w:r>
      <w:r>
        <w:rPr>
          <w:rFonts w:hint="eastAsia" w:asciiTheme="minorEastAsia" w:hAnsiTheme="minorEastAsia" w:eastAsiaTheme="minorEastAsia" w:cstheme="minorEastAsia"/>
          <w:color w:val="auto"/>
          <w:szCs w:val="21"/>
        </w:rPr>
        <w:t>竞争性磋商采购活动</w:t>
      </w:r>
      <w:r>
        <w:rPr>
          <w:rFonts w:hint="eastAsia" w:asciiTheme="minorEastAsia" w:hAnsiTheme="minorEastAsia" w:eastAsiaTheme="minorEastAsia" w:cstheme="minorEastAsia"/>
          <w:color w:val="auto"/>
          <w:kern w:val="0"/>
          <w:szCs w:val="21"/>
        </w:rPr>
        <w:t>。</w:t>
      </w:r>
    </w:p>
    <w:p>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8.2</w:t>
      </w:r>
      <w:r>
        <w:rPr>
          <w:rFonts w:hint="eastAsia" w:asciiTheme="minorEastAsia" w:hAnsiTheme="minorEastAsia" w:eastAsiaTheme="minorEastAsia" w:cstheme="minorEastAsia"/>
          <w:color w:val="auto"/>
          <w:szCs w:val="21"/>
        </w:rPr>
        <w:t>本章第7.1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同意购买进口产品的，</w:t>
      </w:r>
      <w:r>
        <w:rPr>
          <w:rFonts w:hint="eastAsia" w:asciiTheme="minorEastAsia" w:hAnsiTheme="minorEastAsia" w:eastAsiaTheme="minorEastAsia" w:cstheme="minorEastAsia"/>
          <w:color w:val="auto"/>
          <w:szCs w:val="21"/>
        </w:rPr>
        <w:t>本项目</w:t>
      </w:r>
      <w:r>
        <w:rPr>
          <w:rFonts w:hint="eastAsia" w:asciiTheme="minorEastAsia" w:hAnsiTheme="minorEastAsia" w:eastAsiaTheme="minorEastAsia" w:cstheme="minorEastAsia"/>
          <w:color w:val="auto"/>
          <w:kern w:val="0"/>
          <w:szCs w:val="21"/>
          <w:lang w:val="zh-CN"/>
        </w:rPr>
        <w:t>采购活动</w:t>
      </w:r>
      <w:r>
        <w:rPr>
          <w:rFonts w:hint="eastAsia" w:asciiTheme="minorEastAsia" w:hAnsiTheme="minorEastAsia" w:eastAsiaTheme="minorEastAsia" w:cstheme="minorEastAsia"/>
          <w:color w:val="auto"/>
          <w:kern w:val="0"/>
          <w:szCs w:val="21"/>
        </w:rPr>
        <w:t>不限制满足</w:t>
      </w:r>
      <w:r>
        <w:rPr>
          <w:rFonts w:hint="eastAsia" w:asciiTheme="minorEastAsia" w:hAnsiTheme="minorEastAsia" w:eastAsiaTheme="minorEastAsia" w:cstheme="minorEastAsia"/>
          <w:color w:val="auto"/>
          <w:szCs w:val="21"/>
        </w:rPr>
        <w:t>磋商文件要求</w:t>
      </w:r>
      <w:r>
        <w:rPr>
          <w:rFonts w:hint="eastAsia" w:asciiTheme="minorEastAsia" w:hAnsiTheme="minorEastAsia" w:eastAsiaTheme="minorEastAsia" w:cstheme="minorEastAsia"/>
          <w:color w:val="auto"/>
          <w:kern w:val="0"/>
          <w:szCs w:val="21"/>
        </w:rPr>
        <w:t>的国内产品参与</w:t>
      </w:r>
      <w:r>
        <w:rPr>
          <w:rFonts w:hint="eastAsia" w:asciiTheme="minorEastAsia" w:hAnsiTheme="minorEastAsia" w:eastAsiaTheme="minorEastAsia" w:cstheme="minorEastAsia"/>
          <w:color w:val="auto"/>
          <w:szCs w:val="21"/>
        </w:rPr>
        <w:t>竞争性磋商</w:t>
      </w:r>
      <w:r>
        <w:rPr>
          <w:rFonts w:hint="eastAsia" w:asciiTheme="minorEastAsia" w:hAnsiTheme="minorEastAsia" w:eastAsiaTheme="minorEastAsia" w:cstheme="minorEastAsia"/>
          <w:color w:val="auto"/>
          <w:kern w:val="0"/>
          <w:szCs w:val="21"/>
        </w:rPr>
        <w:t>。</w:t>
      </w:r>
    </w:p>
    <w:p>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9.</w:t>
      </w:r>
      <w:r>
        <w:rPr>
          <w:rFonts w:hint="eastAsia" w:asciiTheme="minorEastAsia" w:hAnsiTheme="minorEastAsia" w:eastAsiaTheme="minorEastAsia" w:cstheme="minorEastAsia"/>
          <w:b/>
          <w:color w:val="auto"/>
          <w:szCs w:val="21"/>
        </w:rPr>
        <w:t xml:space="preserve"> 政府采购政策支持</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9.1对列入财政部、国家发展改革委发布的《节能产品政府采购清单》且属于应当“强制采购的节能产品”，按照规定实行强制采购。实行政府采购强制采购的节能产品见</w:t>
      </w:r>
      <w:r>
        <w:rPr>
          <w:rFonts w:hint="eastAsia" w:asciiTheme="minorEastAsia" w:hAnsiTheme="minorEastAsia" w:eastAsiaTheme="minorEastAsia" w:cstheme="minorEastAsia"/>
          <w:b/>
          <w:color w:val="auto"/>
          <w:kern w:val="0"/>
          <w:szCs w:val="21"/>
        </w:rPr>
        <w:t>磋商文件前附表。</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w:t>
      </w:r>
      <w:r>
        <w:rPr>
          <w:rFonts w:hint="eastAsia" w:asciiTheme="minorEastAsia" w:hAnsiTheme="minorEastAsia" w:eastAsiaTheme="minorEastAsia" w:cstheme="minorEastAsia"/>
          <w:color w:val="auto"/>
        </w:rPr>
        <w:t>或《长沙市两型产品目录》</w:t>
      </w:r>
      <w:r>
        <w:rPr>
          <w:rFonts w:hint="eastAsia" w:asciiTheme="minorEastAsia" w:hAnsiTheme="minorEastAsia" w:eastAsiaTheme="minorEastAsia" w:cstheme="minorEastAsia"/>
          <w:color w:val="auto"/>
          <w:kern w:val="0"/>
        </w:rPr>
        <w:t>的“两型产品”以及中小企业，实行优先采购，按照省级以上财政部门有关政策规定，评审时进行价格扣除或加分。实行政府采购优先采购的优惠率见</w:t>
      </w:r>
      <w:r>
        <w:rPr>
          <w:rFonts w:hint="eastAsia" w:asciiTheme="minorEastAsia" w:hAnsiTheme="minorEastAsia" w:eastAsiaTheme="minorEastAsia" w:cstheme="minorEastAsia"/>
          <w:b/>
          <w:color w:val="auto"/>
          <w:kern w:val="0"/>
        </w:rPr>
        <w:t>磋商文件前附表。</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9.4同一项目中部分产品属于优先采购政策的，评审时只对该部分产品的报价实行价格扣除及加分。</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9.5符合本章第9.1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第9.2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规定的，应提供相关证明资料。</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9.6供应商有融资、担保需求的，具体办理流程可向</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所列金融机构和担保机构询问。</w:t>
      </w:r>
    </w:p>
    <w:p>
      <w:pPr>
        <w:adjustRightInd w:val="0"/>
        <w:snapToGrid w:val="0"/>
        <w:spacing w:line="360" w:lineRule="auto"/>
        <w:ind w:left="902" w:hanging="902" w:hangingChars="37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二、磋商文件</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10．磋商文件的组成</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 磋商文件由下列文件组成：</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第一章 磋商邀请</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 磋商须知</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 政府采购合同格式条款</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第四章 采购需求</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第五章 响应文件组成</w:t>
      </w:r>
    </w:p>
    <w:p>
      <w:pPr>
        <w:pStyle w:val="25"/>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10.2</w:t>
      </w:r>
      <w:r>
        <w:rPr>
          <w:rFonts w:hint="eastAsia" w:asciiTheme="minorEastAsia" w:hAnsiTheme="minorEastAsia" w:eastAsiaTheme="minorEastAsia" w:cstheme="minorEastAsia"/>
          <w:color w:val="auto"/>
          <w:kern w:val="0"/>
        </w:rPr>
        <w:t>磋商小组根据与供应商磋商情况可能实质性变动的内容，包括采购需求中的技术、服务要求以及合同条款，</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中明确。</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10.3</w:t>
      </w:r>
      <w:r>
        <w:rPr>
          <w:rFonts w:hint="eastAsia" w:asciiTheme="minorEastAsia" w:hAnsiTheme="minorEastAsia" w:eastAsiaTheme="minorEastAsia" w:cstheme="minorEastAsia"/>
          <w:color w:val="auto"/>
          <w:szCs w:val="21"/>
        </w:rPr>
        <w:t>供应商应仔细阅读</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文件的全部内容，按照</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文件要求编制响应文件。任何对</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文件的忽略或误解不能作为响应文件存在缺陷或瑕疵的理由，其风险由供应商承担。</w:t>
      </w:r>
    </w:p>
    <w:p>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11.磋商文件的提供期限</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11.1磋商文件的提供期限自开始发出之日起不得少于五个工作日。具体提供期限见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11.2供应商应持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规定的资料领取或购买磋商文件。</w:t>
      </w:r>
    </w:p>
    <w:p>
      <w:pPr>
        <w:pStyle w:val="25"/>
        <w:adjustRightInd w:val="0"/>
        <w:snapToGri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12.</w:t>
      </w:r>
      <w:r>
        <w:rPr>
          <w:rFonts w:hint="eastAsia" w:asciiTheme="minorEastAsia" w:hAnsiTheme="minorEastAsia" w:eastAsiaTheme="minorEastAsia" w:cstheme="minorEastAsia"/>
          <w:b/>
          <w:color w:val="auto"/>
          <w:kern w:val="0"/>
        </w:rPr>
        <w:t>提交首次响应文件</w:t>
      </w:r>
      <w:r>
        <w:rPr>
          <w:rFonts w:hint="eastAsia" w:asciiTheme="minorEastAsia" w:hAnsiTheme="minorEastAsia" w:eastAsiaTheme="minorEastAsia" w:cstheme="minorEastAsia"/>
          <w:b/>
          <w:color w:val="auto"/>
        </w:rPr>
        <w:t>的</w:t>
      </w:r>
      <w:r>
        <w:rPr>
          <w:rFonts w:hint="eastAsia" w:asciiTheme="minorEastAsia" w:hAnsiTheme="minorEastAsia" w:eastAsiaTheme="minorEastAsia" w:cstheme="minorEastAsia"/>
          <w:b/>
          <w:color w:val="auto"/>
          <w:kern w:val="0"/>
        </w:rPr>
        <w:t>截止</w:t>
      </w:r>
      <w:r>
        <w:rPr>
          <w:rFonts w:hint="eastAsia" w:asciiTheme="minorEastAsia" w:hAnsiTheme="minorEastAsia" w:eastAsiaTheme="minorEastAsia" w:cstheme="minorEastAsia"/>
          <w:b/>
          <w:color w:val="auto"/>
        </w:rPr>
        <w:t>时间</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w:t>
      </w:r>
      <w:r>
        <w:rPr>
          <w:rFonts w:hint="eastAsia" w:asciiTheme="minorEastAsia" w:hAnsiTheme="minorEastAsia" w:eastAsiaTheme="minorEastAsia" w:cstheme="minorEastAsia"/>
          <w:color w:val="auto"/>
          <w:kern w:val="0"/>
        </w:rPr>
        <w:t>供应商提交首次响应文件截止</w:t>
      </w:r>
      <w:r>
        <w:rPr>
          <w:rFonts w:hint="eastAsia" w:asciiTheme="minorEastAsia" w:hAnsiTheme="minorEastAsia" w:eastAsiaTheme="minorEastAsia" w:cstheme="minorEastAsia"/>
          <w:color w:val="auto"/>
        </w:rPr>
        <w:t>时间见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13.磋商文件的澄清</w:t>
      </w:r>
      <w:r>
        <w:rPr>
          <w:rFonts w:hint="eastAsia" w:asciiTheme="minorEastAsia" w:hAnsiTheme="minorEastAsia" w:eastAsiaTheme="minorEastAsia" w:cstheme="minorEastAsia"/>
          <w:b/>
          <w:color w:val="auto"/>
          <w:kern w:val="0"/>
          <w:szCs w:val="21"/>
          <w:lang w:val="zh-CN"/>
        </w:rPr>
        <w:t>或者</w:t>
      </w:r>
      <w:r>
        <w:rPr>
          <w:rFonts w:hint="eastAsia" w:asciiTheme="minorEastAsia" w:hAnsiTheme="minorEastAsia" w:eastAsiaTheme="minorEastAsia" w:cstheme="minorEastAsia"/>
          <w:b/>
          <w:bCs/>
          <w:color w:val="auto"/>
          <w:szCs w:val="21"/>
        </w:rPr>
        <w:t>修改</w:t>
      </w:r>
    </w:p>
    <w:p>
      <w:pPr>
        <w:adjustRightInd w:val="0"/>
        <w:snapToGrid w:val="0"/>
        <w:spacing w:line="360" w:lineRule="auto"/>
        <w:ind w:right="-105" w:rightChars="-50"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13.1在</w:t>
      </w:r>
      <w:r>
        <w:rPr>
          <w:rFonts w:hint="eastAsia" w:asciiTheme="minorEastAsia" w:hAnsiTheme="minorEastAsia" w:eastAsiaTheme="minorEastAsia" w:cstheme="minorEastAsia"/>
          <w:color w:val="auto"/>
          <w:kern w:val="0"/>
          <w:szCs w:val="21"/>
        </w:rPr>
        <w:t xml:space="preserve">提交首次响应文件截止之日前，采购人、采购代理机构可以对已发出的磋商文件进行必要的澄清或者修改。 </w:t>
      </w:r>
    </w:p>
    <w:p>
      <w:pPr>
        <w:adjustRightInd w:val="0"/>
        <w:snapToGrid w:val="0"/>
        <w:spacing w:line="360" w:lineRule="auto"/>
        <w:ind w:right="-105" w:rightChars="-50"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13.2</w:t>
      </w:r>
      <w:r>
        <w:rPr>
          <w:rFonts w:hint="eastAsia" w:asciiTheme="minorEastAsia" w:hAnsiTheme="minorEastAsia" w:eastAsiaTheme="minorEastAsia" w:cstheme="minorEastAsia"/>
          <w:color w:val="auto"/>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w:t>
      </w:r>
      <w:r>
        <w:rPr>
          <w:rFonts w:hint="eastAsia" w:asciiTheme="minorEastAsia" w:hAnsiTheme="minorEastAsia" w:eastAsiaTheme="minorEastAsia" w:cstheme="minorEastAsia"/>
          <w:color w:val="auto"/>
          <w:kern w:val="0"/>
        </w:rPr>
        <w:t>提交首次响应文件截止时间前对磋商文件澄清或者修改内容，为磋商文件的组成部分。</w:t>
      </w:r>
    </w:p>
    <w:p>
      <w:pPr>
        <w:adjustRightInd w:val="0"/>
        <w:snapToGrid w:val="0"/>
        <w:spacing w:line="360" w:lineRule="auto"/>
        <w:ind w:left="902" w:hanging="902" w:hangingChars="37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三、响应文件</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14.一般要求</w:t>
      </w:r>
    </w:p>
    <w:p>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14.1 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14.2 </w:t>
      </w:r>
      <w:r>
        <w:rPr>
          <w:rFonts w:hint="eastAsia" w:asciiTheme="minorEastAsia" w:hAnsiTheme="minorEastAsia" w:eastAsiaTheme="minorEastAsia" w:cstheme="minorEastAsia"/>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bCs/>
          <w:color w:val="auto"/>
        </w:rPr>
        <w:t xml:space="preserve">14.3 </w:t>
      </w:r>
      <w:r>
        <w:rPr>
          <w:rFonts w:hint="eastAsia" w:asciiTheme="minorEastAsia" w:hAnsiTheme="minorEastAsia" w:eastAsiaTheme="minorEastAsia" w:cstheme="minorEastAsia"/>
          <w:color w:val="auto"/>
        </w:rPr>
        <w:t>计量单位应使用我国法定计量单位，未列明时应默认为我国法定计量单位。</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14.4 响应文件应采用书面形式，电报、传真、电子邮件形式的响应文件概不接受。</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14.5 供应商应按磋商文件中提供的响应文件格式填写。</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的组成</w:t>
      </w:r>
    </w:p>
    <w:p>
      <w:pPr>
        <w:adjustRightInd w:val="0"/>
        <w:snapToGrid w:val="0"/>
        <w:spacing w:line="360" w:lineRule="auto"/>
        <w:ind w:firstLine="420" w:firstLineChars="200"/>
        <w:jc w:val="left"/>
        <w:outlineLvl w:val="0"/>
        <w:rPr>
          <w:rFonts w:asciiTheme="minorEastAsia" w:hAnsiTheme="minorEastAsia" w:eastAsiaTheme="minorEastAsia" w:cstheme="minorEastAsia"/>
          <w:color w:val="auto"/>
          <w:szCs w:val="21"/>
        </w:rPr>
      </w:pPr>
      <w:bookmarkStart w:id="24" w:name="_Toc30604"/>
      <w:r>
        <w:rPr>
          <w:rFonts w:hint="eastAsia" w:asciiTheme="minorEastAsia" w:hAnsiTheme="minorEastAsia" w:eastAsiaTheme="minorEastAsia" w:cstheme="minorEastAsia"/>
          <w:color w:val="auto"/>
        </w:rPr>
        <w:t>15.1响应文件包括下列内容：</w:t>
      </w:r>
      <w:bookmarkEnd w:id="24"/>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（1）磋商响应声明</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（2）保证金</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（3）供应商的资格证明文件</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（4）货物或服务方案说明</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（5）技术/商务响应与偏离表</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（6）提供享受政府采购政策的证明材料和清单表</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（7）经销或代理或为货物提供售后服务的证明材料</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（8）报价一览表及报价文件</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（9）供应商认为需提供的其他资料</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（10）最后报价</w:t>
      </w:r>
    </w:p>
    <w:p>
      <w:pPr>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15.2在磋商过程中，</w:t>
      </w:r>
      <w:r>
        <w:rPr>
          <w:rFonts w:hint="eastAsia" w:asciiTheme="minorEastAsia" w:hAnsiTheme="minorEastAsia" w:eastAsiaTheme="minorEastAsia" w:cstheme="minorEastAsia"/>
          <w:color w:val="auto"/>
          <w:szCs w:val="21"/>
        </w:rPr>
        <w:t>供应商</w:t>
      </w:r>
      <w:r>
        <w:rPr>
          <w:rFonts w:hint="eastAsia" w:asciiTheme="minorEastAsia" w:hAnsiTheme="minorEastAsia" w:eastAsiaTheme="minorEastAsia" w:cstheme="minorEastAsia"/>
          <w:color w:val="auto"/>
        </w:rPr>
        <w:t>根据</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bCs/>
          <w:color w:val="auto"/>
          <w:szCs w:val="21"/>
        </w:rPr>
        <w:t>书面形式要求</w:t>
      </w:r>
      <w:r>
        <w:rPr>
          <w:rFonts w:hint="eastAsia" w:asciiTheme="minorEastAsia" w:hAnsiTheme="minorEastAsia" w:eastAsiaTheme="minorEastAsia" w:cstheme="minorEastAsia"/>
          <w:color w:val="auto"/>
          <w:kern w:val="0"/>
          <w:szCs w:val="21"/>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w:t>
      </w:r>
      <w:r>
        <w:rPr>
          <w:rFonts w:hint="eastAsia" w:asciiTheme="minorEastAsia" w:hAnsiTheme="minorEastAsia" w:eastAsiaTheme="minorEastAsia" w:cstheme="minorEastAsia"/>
          <w:color w:val="auto"/>
        </w:rPr>
        <w:t>最后报价)是</w:t>
      </w:r>
      <w:r>
        <w:rPr>
          <w:rFonts w:hint="eastAsia" w:asciiTheme="minorEastAsia" w:hAnsiTheme="minorEastAsia" w:eastAsiaTheme="minorEastAsia" w:cstheme="minorEastAsia"/>
          <w:color w:val="auto"/>
          <w:szCs w:val="21"/>
        </w:rPr>
        <w:t>响应文件</w:t>
      </w:r>
      <w:r>
        <w:rPr>
          <w:rFonts w:hint="eastAsia" w:asciiTheme="minorEastAsia" w:hAnsiTheme="minorEastAsia" w:eastAsiaTheme="minorEastAsia" w:cstheme="minorEastAsia"/>
          <w:color w:val="auto"/>
        </w:rPr>
        <w:t>的有效组成部分。</w:t>
      </w:r>
    </w:p>
    <w:p>
      <w:pPr>
        <w:adjustRightInd w:val="0"/>
        <w:snapToGrid w:val="0"/>
        <w:spacing w:line="360" w:lineRule="auto"/>
        <w:ind w:firstLine="420" w:firstLineChars="200"/>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15.3</w:t>
      </w:r>
      <w:r>
        <w:rPr>
          <w:rFonts w:hint="eastAsia" w:asciiTheme="minorEastAsia" w:hAnsiTheme="minorEastAsia" w:eastAsiaTheme="minorEastAsia" w:cstheme="minorEastAsia"/>
          <w:color w:val="auto"/>
          <w:kern w:val="0"/>
          <w:szCs w:val="21"/>
        </w:rPr>
        <w:t>磋商文件规定可能发生实质性变动的，供应商应当在</w:t>
      </w:r>
      <w:r>
        <w:rPr>
          <w:rFonts w:hint="eastAsia" w:asciiTheme="minorEastAsia" w:hAnsiTheme="minorEastAsia" w:eastAsiaTheme="minorEastAsia" w:cstheme="minorEastAsia"/>
          <w:color w:val="auto"/>
        </w:rPr>
        <w:t>《技术/商务响应与偏离表》中对应内容注明。</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15.4</w:t>
      </w:r>
      <w:r>
        <w:rPr>
          <w:rFonts w:hint="eastAsia" w:asciiTheme="minorEastAsia" w:hAnsiTheme="minorEastAsia" w:eastAsiaTheme="minorEastAsia" w:cstheme="minorEastAsia"/>
          <w:color w:val="auto"/>
          <w:szCs w:val="21"/>
        </w:rPr>
        <w:t>根据《政府采购法》第四十二条的规定，供应商无论成交与否，其响应文件不予退还。</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16.报价</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16.1供应商应当根据磋商文件要求和范围，以</w:t>
      </w:r>
      <w:r>
        <w:rPr>
          <w:rFonts w:hint="eastAsia" w:asciiTheme="minorEastAsia" w:hAnsiTheme="minorEastAsia" w:eastAsiaTheme="minorEastAsia" w:cstheme="minorEastAsia"/>
          <w:bCs/>
          <w:color w:val="auto"/>
          <w:szCs w:val="21"/>
        </w:rPr>
        <w:t>人民币</w:t>
      </w:r>
      <w:r>
        <w:rPr>
          <w:rFonts w:hint="eastAsia" w:asciiTheme="minorEastAsia" w:hAnsiTheme="minorEastAsia" w:eastAsiaTheme="minorEastAsia" w:cstheme="minorEastAsia"/>
          <w:color w:val="auto"/>
          <w:szCs w:val="21"/>
        </w:rPr>
        <w:t>报价，以元为单位，保留小数点后两位。</w:t>
      </w:r>
    </w:p>
    <w:p>
      <w:pPr>
        <w:pStyle w:val="133"/>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16.2供应商应按第五章 响应文件组成格式填写。</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16.3响应文件中标明的价格在合同执行过程中是固定不变的，不得以任何理由予以变更。以可变动价格提交的报价将被认为是非实质响应而被拒绝。</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w:t>
      </w:r>
      <w:r>
        <w:rPr>
          <w:rFonts w:hint="eastAsia" w:asciiTheme="minorEastAsia" w:hAnsiTheme="minorEastAsia" w:eastAsiaTheme="minorEastAsia" w:cstheme="minorEastAsia"/>
          <w:color w:val="auto"/>
          <w:kern w:val="0"/>
          <w:lang w:val="zh-CN"/>
        </w:rPr>
        <w:t>供应商</w:t>
      </w:r>
      <w:r>
        <w:rPr>
          <w:rFonts w:hint="eastAsia" w:asciiTheme="minorEastAsia" w:hAnsiTheme="minorEastAsia" w:eastAsiaTheme="minorEastAsia" w:cstheme="minorEastAsia"/>
          <w:color w:val="auto"/>
        </w:rPr>
        <w:t>的报价不得超过采购项目预算，采购项目预算或其计算方法见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pPr>
        <w:pStyle w:val="25"/>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17.供应商符合磋商文件规定的证明文件</w:t>
      </w:r>
    </w:p>
    <w:p>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17.1供应商应提交满足本章第3.1款规定的资格条件要求的证明文件,该证明文件作为响应文件的一部分。</w:t>
      </w:r>
    </w:p>
    <w:p>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17.2如果供应商为联合体，则应提交联合体各方资格证明文件、联合体协议。否则，在评审时将其视为无效响应。</w:t>
      </w:r>
    </w:p>
    <w:p>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17.3 除</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另有规定外，供应商提供的货物及服务不是供应商制造或拥有的，则必须提供经销、或代理采购货物、或采购货物提供售后服务的证明文件。</w:t>
      </w:r>
    </w:p>
    <w:p>
      <w:pPr>
        <w:adjustRightInd w:val="0"/>
        <w:snapToGrid w:val="0"/>
        <w:spacing w:beforeLines="50"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18．样品提供</w:t>
      </w:r>
    </w:p>
    <w:p>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18.1 </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在</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color w:val="auto"/>
          <w:szCs w:val="21"/>
        </w:rPr>
        <w:t>时提供样品的，</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有以下情形之一的，在评审时将其视为无效响应。</w:t>
      </w:r>
    </w:p>
    <w:p>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（1）未在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规定的提交时间、地点提交的；</w:t>
      </w:r>
    </w:p>
    <w:p>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提供的样品与响应文件中提供样品的型号、规格不一致的。</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19.磋商保证金</w:t>
      </w:r>
    </w:p>
    <w:p>
      <w:pPr>
        <w:pStyle w:val="25"/>
        <w:adjustRightInd w:val="0"/>
        <w:snapToGrid w:val="0"/>
        <w:spacing w:line="360" w:lineRule="auto"/>
        <w:ind w:firstLine="420" w:firstLineChars="200"/>
        <w:rPr>
          <w:rFonts w:asciiTheme="minorEastAsia" w:hAnsiTheme="minorEastAsia" w:eastAsiaTheme="minorEastAsia" w:cstheme="minorEastAsia"/>
          <w:bCs/>
          <w:color w:val="auto"/>
        </w:rPr>
      </w:pPr>
      <w:r>
        <w:rPr>
          <w:rFonts w:hint="eastAsia" w:asciiTheme="minorEastAsia" w:hAnsiTheme="minorEastAsia" w:eastAsiaTheme="minorEastAsia" w:cstheme="minorEastAsia"/>
          <w:color w:val="auto"/>
        </w:rPr>
        <w:t>19.1</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规定交纳磋商</w:t>
      </w:r>
      <w:r>
        <w:rPr>
          <w:rFonts w:hint="eastAsia" w:asciiTheme="minorEastAsia" w:hAnsiTheme="minorEastAsia" w:eastAsiaTheme="minorEastAsia" w:cstheme="minorEastAsia"/>
          <w:bCs/>
          <w:color w:val="auto"/>
        </w:rPr>
        <w:t>保证金的</w:t>
      </w:r>
      <w:r>
        <w:rPr>
          <w:rFonts w:hint="eastAsia" w:asciiTheme="minorEastAsia" w:hAnsiTheme="minorEastAsia" w:eastAsiaTheme="minorEastAsia" w:cstheme="minorEastAsia"/>
          <w:color w:val="auto"/>
        </w:rPr>
        <w:t>，应按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规定的磋商</w:t>
      </w:r>
      <w:r>
        <w:rPr>
          <w:rFonts w:hint="eastAsia" w:asciiTheme="minorEastAsia" w:hAnsiTheme="minorEastAsia" w:eastAsiaTheme="minorEastAsia" w:cstheme="minorEastAsia"/>
          <w:bCs/>
          <w:color w:val="auto"/>
        </w:rPr>
        <w:t>保证金形式交纳，不得以现金方式交纳</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color w:val="auto"/>
          <w:kern w:val="0"/>
        </w:rPr>
        <w:t>提交首次响应文件截止时间</w:t>
      </w:r>
      <w:r>
        <w:rPr>
          <w:rFonts w:hint="eastAsia" w:asciiTheme="minorEastAsia" w:hAnsiTheme="minorEastAsia" w:eastAsiaTheme="minorEastAsia" w:cstheme="minorEastAsia"/>
          <w:color w:val="auto"/>
        </w:rPr>
        <w:t>前，</w:t>
      </w:r>
      <w:r>
        <w:rPr>
          <w:rFonts w:hint="eastAsia" w:asciiTheme="minorEastAsia" w:hAnsiTheme="minorEastAsia" w:eastAsiaTheme="minorEastAsia" w:cstheme="minorEastAsia"/>
          <w:bCs/>
          <w:color w:val="auto"/>
        </w:rPr>
        <w:t>向采购代理机构交纳不超过</w:t>
      </w:r>
      <w:r>
        <w:rPr>
          <w:rFonts w:hint="eastAsia" w:asciiTheme="minorEastAsia" w:hAnsiTheme="minorEastAsia" w:eastAsiaTheme="minorEastAsia" w:cstheme="minorEastAsia"/>
          <w:color w:val="auto"/>
          <w:kern w:val="0"/>
          <w:lang w:val="zh-CN"/>
        </w:rPr>
        <w:t>采购项目预算2﹪</w:t>
      </w:r>
      <w:r>
        <w:rPr>
          <w:rFonts w:hint="eastAsia" w:asciiTheme="minorEastAsia" w:hAnsiTheme="minorEastAsia" w:eastAsiaTheme="minorEastAsia" w:cstheme="minorEastAsia"/>
          <w:bCs/>
          <w:color w:val="auto"/>
        </w:rPr>
        <w:t>的磋商保证金(数额采用四舍五入，计算至元)</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bCs/>
          <w:color w:val="auto"/>
        </w:rPr>
        <w:t>保证金有效期应当与</w:t>
      </w:r>
      <w:r>
        <w:rPr>
          <w:rFonts w:hint="eastAsia" w:asciiTheme="minorEastAsia" w:hAnsiTheme="minorEastAsia" w:eastAsiaTheme="minorEastAsia" w:cstheme="minorEastAsia"/>
          <w:color w:val="auto"/>
        </w:rPr>
        <w:t>本章第20.1</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rPr>
        <w:t>规定的</w:t>
      </w:r>
      <w:r>
        <w:rPr>
          <w:rFonts w:hint="eastAsia" w:asciiTheme="minorEastAsia" w:hAnsiTheme="minorEastAsia" w:eastAsiaTheme="minorEastAsia" w:cstheme="minorEastAsia"/>
          <w:bCs/>
          <w:color w:val="auto"/>
        </w:rPr>
        <w:t>响应文件有效期一致。</w:t>
      </w:r>
    </w:p>
    <w:p>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19.2</w:t>
      </w:r>
      <w:r>
        <w:rPr>
          <w:rFonts w:hint="eastAsia" w:asciiTheme="minorEastAsia" w:hAnsiTheme="minorEastAsia" w:eastAsiaTheme="minorEastAsia" w:cstheme="minorEastAsia"/>
          <w:color w:val="auto"/>
          <w:kern w:val="0"/>
          <w:szCs w:val="21"/>
          <w:lang w:val="zh-CN"/>
        </w:rPr>
        <w:t>供应商为联合体的，可以由联合体中的一方或者共同交纳磋商保证金，其交纳的磋商保证金，对联合体各方均具有约束力。</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19.3供应商未按照磋商文件要求提交磋商保证金的，响应无效。</w:t>
      </w:r>
    </w:p>
    <w:p>
      <w:pPr>
        <w:pStyle w:val="25"/>
        <w:tabs>
          <w:tab w:val="left" w:pos="6300"/>
        </w:tabs>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19.4采购代理机构在成交通知书发出后5个工作日内退还未成交供应商的磋商保证金；在采购合同签定后5个工作日内退还成交供应商的磋商保证金，但因供应商自身原因导致无法及时退还的除外。</w:t>
      </w:r>
    </w:p>
    <w:p>
      <w:pPr>
        <w:pStyle w:val="25"/>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 xml:space="preserve">19.5 </w:t>
      </w:r>
      <w:r>
        <w:rPr>
          <w:rFonts w:hint="eastAsia" w:asciiTheme="minorEastAsia" w:hAnsiTheme="minorEastAsia" w:eastAsiaTheme="minorEastAsia" w:cstheme="minorEastAsia"/>
          <w:color w:val="auto"/>
          <w:kern w:val="0"/>
        </w:rPr>
        <w:t>有下列情形之一的，磋商保证金不予退还，并上缴本级财政国库：</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（1）供应商在提交首次响应文件截止时间后撤回响应文件的；</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（2）供应商在响应文件中提供虚假资料的；</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rPr>
        <w:t>（3）</w:t>
      </w:r>
      <w:r>
        <w:rPr>
          <w:rFonts w:hint="eastAsia" w:asciiTheme="minorEastAsia" w:hAnsiTheme="minorEastAsia" w:eastAsiaTheme="minorEastAsia" w:cstheme="minorEastAsia"/>
          <w:color w:val="auto"/>
        </w:rPr>
        <w:t>确定成交结果后，无正当理由放弃成交资格的；</w:t>
      </w:r>
    </w:p>
    <w:p>
      <w:pPr>
        <w:widowControl/>
        <w:adjustRightInd w:val="0"/>
        <w:snapToGrid w:val="0"/>
        <w:spacing w:line="360" w:lineRule="auto"/>
        <w:ind w:firstLine="525" w:firstLineChars="25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除因不可抗力或磋商文件认可的情形以外，成交供应商不与采购人签订合同的；</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（5）供应商与采购人、其他供应商或者采购代理机构恶意串通的；</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（6）磋商文件规定的其他情形。</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w:t>
      </w:r>
      <w:r>
        <w:rPr>
          <w:rFonts w:hint="eastAsia" w:asciiTheme="minorEastAsia" w:hAnsiTheme="minorEastAsia" w:eastAsiaTheme="minorEastAsia" w:cstheme="minorEastAsia"/>
          <w:b/>
          <w:color w:val="auto"/>
        </w:rPr>
        <w:t>响应文件</w:t>
      </w:r>
      <w:r>
        <w:rPr>
          <w:rFonts w:hint="eastAsia" w:asciiTheme="minorEastAsia" w:hAnsiTheme="minorEastAsia" w:eastAsiaTheme="minorEastAsia" w:cstheme="minorEastAsia"/>
          <w:b/>
          <w:color w:val="auto"/>
          <w:szCs w:val="21"/>
        </w:rPr>
        <w:t>有效期</w:t>
      </w:r>
    </w:p>
    <w:p>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20.1响应文件</w:t>
      </w:r>
      <w:r>
        <w:rPr>
          <w:rFonts w:hint="eastAsia" w:asciiTheme="minorEastAsia" w:hAnsiTheme="minorEastAsia" w:eastAsiaTheme="minorEastAsia" w:cstheme="minorEastAsia"/>
          <w:color w:val="auto"/>
          <w:szCs w:val="21"/>
        </w:rPr>
        <w:t>有效期见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，在此期间</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文件对供应商具有法律约束力，</w:t>
      </w:r>
      <w:r>
        <w:rPr>
          <w:rFonts w:hint="eastAsia" w:asciiTheme="minorEastAsia" w:hAnsiTheme="minorEastAsia" w:eastAsiaTheme="minorEastAsia" w:cstheme="minorEastAsia"/>
          <w:color w:val="auto"/>
        </w:rPr>
        <w:t>从</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rPr>
        <w:t>之日起计算。响应文件有效期不足的将被视为无效响应。</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21.响应文件的签署及规定</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21.1响应文件的正本和副本应胶装成册，正本一份，副本份数见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。正本和副本的封面上应标记“正本”或“副本”的字样，当正本和副本有差异时，以正本为准。</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 响应文件正本和副本应按磋商文件要求签章处盖单位章和由法定代表人或其委托代理人签字；任何加行、涂改、增删，应有法定代表人或其委托代理人在旁边签字。否则，将导致响应文件无效。</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21.3 在磋商过程中，供应商按磋商文件规定和磋商小组要求</w:t>
      </w:r>
      <w:r>
        <w:rPr>
          <w:rFonts w:hint="eastAsia" w:asciiTheme="minorEastAsia" w:hAnsiTheme="minorEastAsia" w:eastAsiaTheme="minorEastAsia" w:cstheme="minorEastAsia"/>
          <w:color w:val="auto"/>
          <w:kern w:val="0"/>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新提交的响应文件和</w:t>
      </w:r>
      <w:r>
        <w:rPr>
          <w:rFonts w:hint="eastAsia" w:asciiTheme="minorEastAsia" w:hAnsiTheme="minorEastAsia" w:eastAsiaTheme="minorEastAsia" w:cstheme="minorEastAsia"/>
          <w:color w:val="auto"/>
        </w:rPr>
        <w:t>最后报价)，一式两份，可打印或用不退色墨水书写，但需经法定代表人或其委托代理人签字，</w:t>
      </w:r>
      <w:r>
        <w:rPr>
          <w:rFonts w:hint="eastAsia" w:asciiTheme="minorEastAsia" w:hAnsiTheme="minorEastAsia" w:eastAsiaTheme="minorEastAsia" w:cstheme="minorEastAsia"/>
          <w:color w:val="auto"/>
          <w:kern w:val="0"/>
        </w:rPr>
        <w:t>或者加盖供应商单位章</w:t>
      </w:r>
      <w:r>
        <w:rPr>
          <w:rFonts w:hint="eastAsia" w:asciiTheme="minorEastAsia" w:hAnsiTheme="minorEastAsia" w:eastAsiaTheme="minorEastAsia" w:cstheme="minorEastAsia"/>
          <w:color w:val="auto"/>
        </w:rPr>
        <w:t>。否则，将导致响应文件无效。</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四、响应文件的递交</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22.</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的密封和标记</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22.1响应文件应密封包装，加贴封条，并在封套的封口处盖供应商单位章或者由法定代表人或其委托代理人签字。</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22.2响应文件封套上应写明的内容见</w:t>
      </w:r>
      <w:r>
        <w:rPr>
          <w:rFonts w:hint="eastAsia" w:asciiTheme="minorEastAsia" w:hAnsiTheme="minorEastAsia" w:eastAsiaTheme="minorEastAsia" w:cstheme="minorEastAsia"/>
          <w:b/>
          <w:color w:val="auto"/>
          <w:szCs w:val="21"/>
        </w:rPr>
        <w:t>磋商须知前附表。</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22.3响应文件如果未按上述规定密封和加写标记，采购人或采购代理机构将拒绝接收。</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23.响应文件的</w:t>
      </w:r>
      <w:r>
        <w:rPr>
          <w:rFonts w:hint="eastAsia" w:asciiTheme="minorEastAsia" w:hAnsiTheme="minorEastAsia" w:eastAsiaTheme="minorEastAsia" w:cstheme="minorEastAsia"/>
          <w:b/>
          <w:color w:val="auto"/>
          <w:kern w:val="0"/>
          <w:szCs w:val="21"/>
          <w:lang w:val="zh-CN"/>
        </w:rPr>
        <w:t>补充、修改或者撤回</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w:t>
      </w:r>
      <w:r>
        <w:rPr>
          <w:rFonts w:hint="eastAsia" w:asciiTheme="minorEastAsia" w:hAnsiTheme="minorEastAsia" w:eastAsiaTheme="minorEastAsia" w:cstheme="minorEastAsia"/>
          <w:color w:val="auto"/>
          <w:kern w:val="0"/>
        </w:rPr>
        <w:t>供应商在提交首次响应文件截止时间前，可以对所提交的首次响应文件进行补充、修改或者撤回，并书面通知采购人、采购代理机构。</w:t>
      </w:r>
      <w:r>
        <w:rPr>
          <w:rFonts w:hint="eastAsia" w:asciiTheme="minorEastAsia" w:hAnsiTheme="minorEastAsia" w:eastAsiaTheme="minorEastAsia" w:cstheme="minorEastAsia"/>
          <w:color w:val="auto"/>
        </w:rPr>
        <w:t>该通知应有供应商法定代表人或其委托代理人签字。</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23.2</w:t>
      </w:r>
      <w:r>
        <w:rPr>
          <w:rFonts w:hint="eastAsia" w:asciiTheme="minorEastAsia" w:hAnsiTheme="minorEastAsia" w:eastAsiaTheme="minorEastAsia" w:cstheme="minorEastAsia"/>
          <w:color w:val="auto"/>
          <w:kern w:val="0"/>
          <w:lang w:val="zh-CN"/>
        </w:rPr>
        <w:t>补充、修改的内容与响应文件不一致时，以补充、修改的内容为准。</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24.响应文件的递交与接收</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 供应商应在</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szCs w:val="21"/>
        </w:rPr>
        <w:t>前，将响应文件送达</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中指定的地点。</w:t>
      </w:r>
      <w:r>
        <w:rPr>
          <w:rFonts w:hint="eastAsia" w:asciiTheme="minorEastAsia" w:hAnsiTheme="minorEastAsia" w:eastAsiaTheme="minorEastAsia" w:cstheme="minorEastAsia"/>
          <w:color w:val="auto"/>
          <w:kern w:val="0"/>
        </w:rPr>
        <w:t>在截止时间后送达的响应文件，采购人、采购代理机构或者磋商小组应当拒收。</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24.2</w:t>
      </w:r>
      <w:r>
        <w:rPr>
          <w:rFonts w:hint="eastAsia" w:asciiTheme="minorEastAsia" w:hAnsiTheme="minorEastAsia" w:eastAsiaTheme="minorEastAsia" w:cstheme="minorEastAsia"/>
          <w:color w:val="auto"/>
          <w:kern w:val="0"/>
        </w:rPr>
        <w:t>在提交首次响应文件截止时间后，</w:t>
      </w:r>
      <w:r>
        <w:rPr>
          <w:rFonts w:hint="eastAsia" w:asciiTheme="minorEastAsia" w:hAnsiTheme="minorEastAsia" w:eastAsiaTheme="minorEastAsia" w:cstheme="minorEastAsia"/>
          <w:color w:val="auto"/>
        </w:rPr>
        <w:t>由</w:t>
      </w:r>
      <w:r>
        <w:rPr>
          <w:rFonts w:hint="eastAsia" w:asciiTheme="minorEastAsia" w:hAnsiTheme="minorEastAsia" w:eastAsiaTheme="minorEastAsia" w:cstheme="minorEastAsia"/>
          <w:bCs/>
          <w:color w:val="auto"/>
        </w:rPr>
        <w:t>供应商代表</w:t>
      </w:r>
      <w:r>
        <w:rPr>
          <w:rFonts w:hint="eastAsia" w:asciiTheme="minorEastAsia" w:hAnsiTheme="minorEastAsia" w:eastAsiaTheme="minorEastAsia" w:cstheme="minorEastAsia"/>
          <w:color w:val="auto"/>
        </w:rPr>
        <w:t>当场查验</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的密封状况，采购人或</w:t>
      </w:r>
      <w:r>
        <w:rPr>
          <w:rFonts w:hint="eastAsia" w:asciiTheme="minorEastAsia" w:hAnsiTheme="minorEastAsia" w:eastAsiaTheme="minorEastAsia" w:cstheme="minorEastAsia"/>
          <w:bCs/>
          <w:color w:val="auto"/>
        </w:rPr>
        <w:t>采购代理机构</w:t>
      </w:r>
      <w:r>
        <w:rPr>
          <w:rFonts w:hint="eastAsia" w:asciiTheme="minorEastAsia" w:hAnsiTheme="minorEastAsia" w:eastAsiaTheme="minorEastAsia" w:cstheme="minorEastAsia"/>
          <w:color w:val="auto"/>
        </w:rPr>
        <w:t>不当场拆封</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五、响应文件的磋商与评审</w:t>
      </w:r>
    </w:p>
    <w:p>
      <w:pPr>
        <w:tabs>
          <w:tab w:val="left" w:pos="0"/>
        </w:tabs>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25.磋商程序</w:t>
      </w:r>
    </w:p>
    <w:p>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25.1磋商程序：响应文件审查、磋商（包括澄清）、响应文件评审、</w:t>
      </w:r>
      <w:r>
        <w:rPr>
          <w:rFonts w:hint="eastAsia" w:asciiTheme="minorEastAsia" w:hAnsiTheme="minorEastAsia" w:eastAsiaTheme="minorEastAsia" w:cstheme="minorEastAsia"/>
          <w:bCs/>
          <w:color w:val="auto"/>
          <w:szCs w:val="21"/>
        </w:rPr>
        <w:t>提出成交供应商。其中，</w:t>
      </w:r>
      <w:r>
        <w:rPr>
          <w:rFonts w:hint="eastAsia" w:asciiTheme="minorEastAsia" w:hAnsiTheme="minorEastAsia" w:eastAsiaTheme="minorEastAsia" w:cstheme="minorEastAsia"/>
          <w:color w:val="auto"/>
          <w:kern w:val="0"/>
          <w:szCs w:val="21"/>
        </w:rPr>
        <w:t>磋商按</w:t>
      </w:r>
      <w:r>
        <w:rPr>
          <w:rFonts w:hint="eastAsia" w:asciiTheme="minorEastAsia" w:hAnsiTheme="minorEastAsia" w:eastAsiaTheme="minorEastAsia" w:cstheme="minorEastAsia"/>
          <w:color w:val="auto"/>
          <w:szCs w:val="21"/>
        </w:rPr>
        <w:t>本章</w:t>
      </w:r>
      <w:r>
        <w:rPr>
          <w:rFonts w:hint="eastAsia" w:asciiTheme="minorEastAsia" w:hAnsiTheme="minorEastAsia" w:eastAsiaTheme="minorEastAsia" w:cstheme="minorEastAsia"/>
          <w:color w:val="auto"/>
        </w:rPr>
        <w:t>第30.1</w:t>
      </w:r>
      <w:r>
        <w:rPr>
          <w:rFonts w:hint="eastAsia" w:asciiTheme="minorEastAsia" w:hAnsiTheme="minorEastAsia" w:eastAsiaTheme="minorEastAsia" w:cstheme="minorEastAsia"/>
          <w:color w:val="auto"/>
          <w:kern w:val="0"/>
          <w:szCs w:val="21"/>
          <w:lang w:val="zh-CN"/>
        </w:rPr>
        <w:t>款或者</w:t>
      </w:r>
      <w:r>
        <w:rPr>
          <w:rFonts w:hint="eastAsia" w:asciiTheme="minorEastAsia" w:hAnsiTheme="minorEastAsia" w:eastAsiaTheme="minorEastAsia" w:cstheme="minorEastAsia"/>
          <w:color w:val="auto"/>
        </w:rPr>
        <w:t>第30.2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情形</w:t>
      </w:r>
      <w:r>
        <w:rPr>
          <w:rFonts w:hint="eastAsia" w:asciiTheme="minorEastAsia" w:hAnsiTheme="minorEastAsia" w:eastAsiaTheme="minorEastAsia" w:cstheme="minorEastAsia"/>
          <w:bCs/>
          <w:color w:val="auto"/>
          <w:szCs w:val="21"/>
        </w:rPr>
        <w:t>进行。</w:t>
      </w:r>
    </w:p>
    <w:p>
      <w:pPr>
        <w:widowControl/>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kern w:val="0"/>
          <w:szCs w:val="21"/>
        </w:rPr>
        <w:t>26.响应文件审查</w:t>
      </w:r>
    </w:p>
    <w:p>
      <w:pPr>
        <w:adjustRightInd w:val="0"/>
        <w:snapToGrid w:val="0"/>
        <w:spacing w:beforeLines="5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26.1 资格性审查：根据本章第3.1项规定的供应商资格条件要求，对</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文件的资格证明等进行审查，以确定供应商是否具备磋商资格条件。</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26.2符合性审查: 对响应文件(包括首次提交的响应文件、重新提交的响应文件)的有效性、完整性和响应程度进行审查，以确定是否对磋商文件的实质性要求作出响应。</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26.3响应文件审查结束后，磋商小组所有成员集中与单一供应商分别进行磋商，并给予所有参加磋商的供应商平等的磋商机会。供应商应派其法定代表人或委托代理人参加磋商。</w:t>
      </w:r>
    </w:p>
    <w:p>
      <w:pPr>
        <w:pStyle w:val="25"/>
        <w:adjustRightInd w:val="0"/>
        <w:snapToGrid w:val="0"/>
        <w:spacing w:line="360" w:lineRule="auto"/>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27.实质性响应</w:t>
      </w:r>
    </w:p>
    <w:p>
      <w:pPr>
        <w:pStyle w:val="25"/>
        <w:adjustRightInd w:val="0"/>
        <w:snapToGrid w:val="0"/>
        <w:spacing w:line="360" w:lineRule="auto"/>
        <w:ind w:firstLine="420" w:firstLineChars="200"/>
        <w:rPr>
          <w:rFonts w:asciiTheme="minorEastAsia" w:hAnsiTheme="minorEastAsia" w:eastAsiaTheme="minorEastAsia" w:cstheme="minorEastAsia"/>
          <w:color w:val="auto"/>
          <w:kern w:val="0"/>
          <w:u w:val="single"/>
        </w:rPr>
      </w:pPr>
      <w:r>
        <w:rPr>
          <w:rFonts w:hint="eastAsia" w:asciiTheme="minorEastAsia" w:hAnsiTheme="minorEastAsia" w:eastAsiaTheme="minorEastAsia" w:cstheme="minorEastAsia"/>
          <w:color w:val="auto"/>
          <w:kern w:val="0"/>
        </w:rPr>
        <w:t>27.1</w:t>
      </w:r>
      <w:r>
        <w:rPr>
          <w:rFonts w:hint="eastAsia" w:asciiTheme="minorEastAsia" w:hAnsiTheme="minorEastAsia" w:eastAsiaTheme="minorEastAsia" w:cstheme="minorEastAsia"/>
          <w:color w:val="auto"/>
        </w:rPr>
        <w:t>实质性响应是指响应文件(包括首次响应文件、重新提交的响应文件)与磋商文件要求的所有条款、条件和规格相符，没有偏离。偏离指不满足、或不响应磋商文件的要求。</w:t>
      </w:r>
    </w:p>
    <w:p>
      <w:pPr>
        <w:tabs>
          <w:tab w:val="left" w:pos="0"/>
          <w:tab w:val="left" w:pos="7560"/>
          <w:tab w:val="left" w:pos="7740"/>
          <w:tab w:val="left" w:pos="7920"/>
        </w:tabs>
        <w:adjustRightInd w:val="0"/>
        <w:snapToGrid w:val="0"/>
        <w:spacing w:line="360" w:lineRule="auto"/>
        <w:ind w:right="23" w:rightChars="11"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27.2</w:t>
      </w:r>
      <w:r>
        <w:rPr>
          <w:rFonts w:hint="eastAsia" w:asciiTheme="minorEastAsia" w:hAnsiTheme="minorEastAsia" w:eastAsiaTheme="minorEastAsia" w:cstheme="minorEastAsia"/>
          <w:color w:val="auto"/>
        </w:rPr>
        <w:t>响应文件是否实质性响应磋商文件要求由磋商小组依据磋商文件规定认定。</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color w:val="auto"/>
          <w:szCs w:val="21"/>
        </w:rPr>
        <w:t>决定</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的响应性只根据</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本身的真实无误的内容，而不依据外部的证据。</w:t>
      </w:r>
    </w:p>
    <w:p>
      <w:pPr>
        <w:pStyle w:val="25"/>
        <w:adjustRightInd w:val="0"/>
        <w:snapToGrid w:val="0"/>
        <w:spacing w:line="360" w:lineRule="auto"/>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 xml:space="preserve">28.无效响应 </w:t>
      </w:r>
    </w:p>
    <w:p>
      <w:pPr>
        <w:pStyle w:val="25"/>
        <w:adjustRightInd w:val="0"/>
        <w:snapToGrid w:val="0"/>
        <w:spacing w:line="360" w:lineRule="auto"/>
        <w:ind w:firstLine="411" w:firstLineChars="196"/>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color w:val="auto"/>
          <w:kern w:val="0"/>
        </w:rPr>
        <w:t>28.1</w:t>
      </w:r>
      <w:r>
        <w:rPr>
          <w:rFonts w:hint="eastAsia" w:asciiTheme="minorEastAsia" w:hAnsiTheme="minorEastAsia" w:eastAsiaTheme="minorEastAsia" w:cstheme="minorEastAsia"/>
          <w:color w:val="auto"/>
        </w:rPr>
        <w:t>磋商小组在对资格性和符合性进行审查时，有下列情况之一的，属无效响应，</w:t>
      </w:r>
      <w:r>
        <w:rPr>
          <w:rFonts w:hint="eastAsia" w:asciiTheme="minorEastAsia" w:hAnsiTheme="minorEastAsia" w:eastAsiaTheme="minorEastAsia" w:cstheme="minorEastAsia"/>
          <w:color w:val="auto"/>
          <w:kern w:val="0"/>
        </w:rPr>
        <w:t>磋商小组应当告知有关供应商</w:t>
      </w:r>
      <w:r>
        <w:rPr>
          <w:rFonts w:hint="eastAsia" w:asciiTheme="minorEastAsia" w:hAnsiTheme="minorEastAsia" w:eastAsiaTheme="minorEastAsia" w:cstheme="minorEastAsia"/>
          <w:color w:val="auto"/>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（1）供应商不具备本章第3.1款规定的供应商资格条件要求，或存在本章第3.3款情形的；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（2）联合体不符合本章第3.2款规定的；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（4）响应文件不满足本章第27.1款规定的实质性要求的；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（7）响应文件不符合法律、规章、规范性文件和磋商文件规定及要求的。</w:t>
      </w:r>
    </w:p>
    <w:p>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29.澄清</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30.磋商</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rPr>
        <w:t>30.1</w:t>
      </w:r>
      <w:r>
        <w:rPr>
          <w:rFonts w:hint="eastAsia" w:asciiTheme="minorEastAsia" w:hAnsiTheme="minorEastAsia" w:eastAsiaTheme="minorEastAsia" w:cstheme="minorEastAsia"/>
          <w:color w:val="auto"/>
        </w:rPr>
        <w:t>本章第10.2项</w:t>
      </w:r>
      <w:r>
        <w:rPr>
          <w:rFonts w:hint="eastAsia" w:asciiTheme="minorEastAsia" w:hAnsiTheme="minorEastAsia" w:eastAsiaTheme="minorEastAsia" w:cstheme="minorEastAsia"/>
          <w:color w:val="auto"/>
          <w:kern w:val="0"/>
          <w:szCs w:val="21"/>
        </w:rPr>
        <w:t>未明确磋商文件实质性变动内容的，或者磋商文件明确了可能发生实质性变动内容，但在磋商过程中，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磋商文件无需发生实质性变动的，磋商小组应当直接与响应文件审查合格的供应商就价格组织多轮磋商。</w:t>
      </w:r>
    </w:p>
    <w:p>
      <w:pPr>
        <w:widowControl/>
        <w:tabs>
          <w:tab w:val="left" w:pos="1080"/>
          <w:tab w:val="left" w:pos="1260"/>
        </w:tabs>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（1）磋商结束后，磋商小组应当要求所有继续参加磋商的供应商在磋商小组规定时间内提交最后报价。</w:t>
      </w:r>
    </w:p>
    <w:p>
      <w:pPr>
        <w:widowControl/>
        <w:tabs>
          <w:tab w:val="left" w:pos="1080"/>
          <w:tab w:val="left" w:pos="1260"/>
        </w:tabs>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（2）磋商文件明确可能发生实质性变动，但在磋商过程中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磋商文件无需发生实质性变动的，磋商小组不另行通知。</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30.2</w:t>
      </w:r>
      <w:r>
        <w:rPr>
          <w:rFonts w:hint="eastAsia" w:asciiTheme="minorEastAsia" w:hAnsiTheme="minorEastAsia" w:eastAsiaTheme="minorEastAsia" w:cstheme="minorEastAsia"/>
          <w:color w:val="auto"/>
        </w:rPr>
        <w:t>本章第10.2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kern w:val="0"/>
          <w:szCs w:val="21"/>
        </w:rPr>
        <w:t>明确磋商文件实质性变动内容的，</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可以组织多轮磋商。</w:t>
      </w:r>
      <w:r>
        <w:rPr>
          <w:rFonts w:hint="eastAsia" w:asciiTheme="minorEastAsia" w:hAnsiTheme="minorEastAsia" w:eastAsiaTheme="minorEastAsia" w:cstheme="minorEastAsia"/>
          <w:bCs/>
          <w:color w:val="auto"/>
          <w:szCs w:val="21"/>
        </w:rPr>
        <w:t>在每一轮磋商中，磋商小组</w:t>
      </w:r>
      <w:r>
        <w:rPr>
          <w:rFonts w:hint="eastAsia" w:asciiTheme="minorEastAsia" w:hAnsiTheme="minorEastAsia" w:eastAsiaTheme="minorEastAsia" w:cstheme="minorEastAsia"/>
          <w:color w:val="auto"/>
          <w:kern w:val="0"/>
          <w:szCs w:val="21"/>
        </w:rPr>
        <w:t>可以根据磋商文件规定和磋商情况，</w:t>
      </w:r>
      <w:r>
        <w:rPr>
          <w:rFonts w:hint="eastAsia" w:asciiTheme="minorEastAsia" w:hAnsiTheme="minorEastAsia" w:eastAsiaTheme="minorEastAsia" w:cstheme="minorEastAsia"/>
          <w:bCs/>
          <w:color w:val="auto"/>
          <w:szCs w:val="21"/>
        </w:rPr>
        <w:t>对磋商文件的</w:t>
      </w:r>
      <w:r>
        <w:rPr>
          <w:rFonts w:hint="eastAsia" w:asciiTheme="minorEastAsia" w:hAnsiTheme="minorEastAsia" w:eastAsiaTheme="minorEastAsia" w:cstheme="minorEastAsia"/>
          <w:color w:val="auto"/>
          <w:kern w:val="0"/>
          <w:szCs w:val="21"/>
        </w:rPr>
        <w:t>采购需求中的技术、服务要求以及合同草案条款</w:t>
      </w:r>
      <w:r>
        <w:rPr>
          <w:rFonts w:hint="eastAsia" w:asciiTheme="minorEastAsia" w:hAnsiTheme="minorEastAsia" w:eastAsiaTheme="minorEastAsia" w:cstheme="minorEastAsia"/>
          <w:bCs/>
          <w:color w:val="auto"/>
          <w:szCs w:val="21"/>
        </w:rPr>
        <w:t>作实质性变动(磋商文件的实质性变动内容为磋商文件的组成部分)，并以书面形式要求</w:t>
      </w:r>
      <w:r>
        <w:rPr>
          <w:rFonts w:hint="eastAsia" w:asciiTheme="minorEastAsia" w:hAnsiTheme="minorEastAsia" w:eastAsiaTheme="minorEastAsia" w:cstheme="minorEastAsia"/>
          <w:color w:val="auto"/>
          <w:kern w:val="0"/>
          <w:szCs w:val="21"/>
        </w:rPr>
        <w:t>响应文件审查合格</w:t>
      </w:r>
      <w:r>
        <w:rPr>
          <w:rFonts w:hint="eastAsia" w:asciiTheme="minorEastAsia" w:hAnsiTheme="minorEastAsia" w:eastAsiaTheme="minorEastAsia" w:cstheme="minorEastAsia"/>
          <w:bCs/>
          <w:color w:val="auto"/>
          <w:szCs w:val="21"/>
        </w:rPr>
        <w:t>的供应商，在规定的</w:t>
      </w:r>
      <w:r>
        <w:rPr>
          <w:rFonts w:hint="eastAsia" w:asciiTheme="minorEastAsia" w:hAnsiTheme="minorEastAsia" w:eastAsiaTheme="minorEastAsia" w:cstheme="minorEastAsia"/>
          <w:color w:val="auto"/>
          <w:kern w:val="0"/>
          <w:szCs w:val="21"/>
        </w:rPr>
        <w:t>截止时间前</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新提交响应文件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kern w:val="0"/>
          <w:szCs w:val="21"/>
        </w:rPr>
        <w:t>磋商小组应当</w:t>
      </w:r>
      <w:r>
        <w:rPr>
          <w:rFonts w:hint="eastAsia" w:asciiTheme="minorEastAsia" w:hAnsiTheme="minorEastAsia" w:eastAsiaTheme="minorEastAsia" w:cstheme="minorEastAsia"/>
          <w:color w:val="auto"/>
          <w:szCs w:val="21"/>
        </w:rPr>
        <w:t>根据本章第26.2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对供应商重新提交的响应文件进行审查。供应商重新提交的响应文件审查不合格的，不得进入下一轮磋商，也不得要求提交最后报价。</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30.3</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w:t>
      </w:r>
      <w:r>
        <w:rPr>
          <w:rFonts w:hint="eastAsia" w:asciiTheme="minorEastAsia" w:hAnsiTheme="minorEastAsia" w:eastAsiaTheme="minorEastAsia" w:cstheme="minorEastAsia"/>
          <w:color w:val="auto"/>
        </w:rPr>
        <w:t>或者最后报价应按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21.3</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由其法定代表人或其委托代理人签字或者加盖</w:t>
      </w:r>
      <w:r>
        <w:rPr>
          <w:rFonts w:hint="eastAsia" w:asciiTheme="minorEastAsia" w:hAnsiTheme="minorEastAsia" w:eastAsiaTheme="minorEastAsia" w:cstheme="minorEastAsia"/>
          <w:color w:val="auto"/>
          <w:kern w:val="0"/>
        </w:rPr>
        <w:t>供应商单位</w:t>
      </w:r>
      <w:r>
        <w:rPr>
          <w:rFonts w:hint="eastAsia" w:asciiTheme="minorEastAsia" w:hAnsiTheme="minorEastAsia" w:eastAsiaTheme="minorEastAsia" w:cstheme="minorEastAsia"/>
          <w:color w:val="auto"/>
          <w:kern w:val="0"/>
          <w:szCs w:val="21"/>
        </w:rPr>
        <w:t>章，在规定时间内密封递交给磋商小组</w:t>
      </w:r>
      <w:r>
        <w:rPr>
          <w:rFonts w:hint="eastAsia" w:asciiTheme="minorEastAsia" w:hAnsiTheme="minorEastAsia" w:eastAsiaTheme="minorEastAsia" w:cstheme="minorEastAsia"/>
          <w:bCs/>
          <w:color w:val="auto"/>
          <w:szCs w:val="21"/>
        </w:rPr>
        <w:t>。</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30.4</w:t>
      </w:r>
      <w:r>
        <w:rPr>
          <w:rFonts w:hint="eastAsia" w:asciiTheme="minorEastAsia" w:hAnsiTheme="minorEastAsia" w:eastAsiaTheme="minorEastAsia" w:cstheme="minorEastAsia"/>
          <w:color w:val="auto"/>
          <w:kern w:val="0"/>
          <w:szCs w:val="21"/>
          <w:lang w:val="zh-CN"/>
        </w:rPr>
        <w:t>供应商的</w:t>
      </w:r>
      <w:r>
        <w:rPr>
          <w:rFonts w:hint="eastAsia" w:asciiTheme="minorEastAsia" w:hAnsiTheme="minorEastAsia" w:eastAsiaTheme="minorEastAsia" w:cstheme="minorEastAsia"/>
          <w:bCs/>
          <w:color w:val="auto"/>
          <w:szCs w:val="21"/>
        </w:rPr>
        <w:t>最</w:t>
      </w:r>
      <w:r>
        <w:rPr>
          <w:rFonts w:hint="eastAsia" w:asciiTheme="minorEastAsia" w:hAnsiTheme="minorEastAsia" w:eastAsiaTheme="minorEastAsia" w:cstheme="minorEastAsia"/>
          <w:color w:val="auto"/>
          <w:kern w:val="0"/>
          <w:szCs w:val="21"/>
          <w:lang w:val="zh-CN"/>
        </w:rPr>
        <w:t>后</w:t>
      </w:r>
      <w:r>
        <w:rPr>
          <w:rFonts w:hint="eastAsia" w:asciiTheme="minorEastAsia" w:hAnsiTheme="minorEastAsia" w:eastAsiaTheme="minorEastAsia" w:cstheme="minorEastAsia"/>
          <w:bCs/>
          <w:color w:val="auto"/>
          <w:szCs w:val="21"/>
        </w:rPr>
        <w:t>报价及</w:t>
      </w:r>
      <w:r>
        <w:rPr>
          <w:rFonts w:hint="eastAsia" w:asciiTheme="minorEastAsia" w:hAnsiTheme="minorEastAsia" w:eastAsiaTheme="minorEastAsia" w:cstheme="minorEastAsia"/>
          <w:color w:val="auto"/>
          <w:kern w:val="0"/>
          <w:szCs w:val="21"/>
        </w:rPr>
        <w:t>政府采购政策规定的价格扣除情况，磋商小组应召集所有参加最后报价的供应商当场开封</w:t>
      </w:r>
      <w:r>
        <w:rPr>
          <w:rFonts w:hint="eastAsia" w:asciiTheme="minorEastAsia" w:hAnsiTheme="minorEastAsia" w:eastAsiaTheme="minorEastAsia" w:cstheme="minorEastAsia"/>
          <w:bCs/>
          <w:color w:val="auto"/>
          <w:szCs w:val="21"/>
        </w:rPr>
        <w:t>公布，并由供应商代表签字确认。</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30.5提交首次响应文件的供应商，在提交最后报价之前，可以根据磋商情况退出磋商，</w:t>
      </w:r>
      <w:r>
        <w:rPr>
          <w:rFonts w:hint="eastAsia" w:asciiTheme="minorEastAsia" w:hAnsiTheme="minorEastAsia" w:eastAsiaTheme="minorEastAsia" w:cstheme="minorEastAsia"/>
          <w:color w:val="auto"/>
          <w:kern w:val="0"/>
        </w:rPr>
        <w:t>并书面通知采购代理机构或者磋商小组。</w:t>
      </w:r>
      <w:r>
        <w:rPr>
          <w:rFonts w:hint="eastAsia" w:asciiTheme="minorEastAsia" w:hAnsiTheme="minorEastAsia" w:eastAsiaTheme="minorEastAsia" w:cstheme="minorEastAsia"/>
          <w:color w:val="auto"/>
        </w:rPr>
        <w:t>该通知由供应商法定代表人或其委托代理人签字。</w:t>
      </w:r>
      <w:r>
        <w:rPr>
          <w:rFonts w:hint="eastAsia" w:asciiTheme="minorEastAsia" w:hAnsiTheme="minorEastAsia" w:eastAsiaTheme="minorEastAsia" w:cstheme="minorEastAsia"/>
          <w:color w:val="auto"/>
          <w:kern w:val="0"/>
          <w:szCs w:val="21"/>
        </w:rPr>
        <w:t>采购代理机构</w:t>
      </w:r>
      <w:r>
        <w:rPr>
          <w:rFonts w:hint="eastAsia" w:asciiTheme="minorEastAsia" w:hAnsiTheme="minorEastAsia" w:eastAsiaTheme="minorEastAsia" w:cstheme="minorEastAsia"/>
          <w:color w:val="auto"/>
          <w:kern w:val="0"/>
        </w:rPr>
        <w:t>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19.4</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退还退出磋商的供应商的磋商保证金。</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30.6</w:t>
      </w:r>
      <w:r>
        <w:rPr>
          <w:rFonts w:hint="eastAsia" w:asciiTheme="minorEastAsia" w:hAnsiTheme="minorEastAsia" w:eastAsiaTheme="minorEastAsia" w:cstheme="minorEastAsia"/>
          <w:color w:val="auto"/>
          <w:kern w:val="0"/>
          <w:szCs w:val="21"/>
        </w:rPr>
        <w:t>提交首次响应文件的供应商，未按磋商文件规定及磋商小组要求提交最后报价(或者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新提交的响应文件和最后报价)，且又</w:t>
      </w:r>
      <w:r>
        <w:rPr>
          <w:rFonts w:hint="eastAsia" w:asciiTheme="minorEastAsia" w:hAnsiTheme="minorEastAsia" w:eastAsiaTheme="minorEastAsia" w:cstheme="minorEastAsia"/>
          <w:color w:val="auto"/>
          <w:kern w:val="0"/>
        </w:rPr>
        <w:t>未按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30.5</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退出磋商的，供应商的磋商保证金不予退还。</w:t>
      </w:r>
    </w:p>
    <w:p>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30.7磋商文件在磋商过程中未发生实质性变动的，参加磋商供应商的次轮报价不得高于上轮报价，否则视为无效响应。</w:t>
      </w:r>
    </w:p>
    <w:p>
      <w:pPr>
        <w:widowControl/>
        <w:adjustRightInd w:val="0"/>
        <w:snapToGrid w:val="0"/>
        <w:spacing w:line="360" w:lineRule="auto"/>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kern w:val="0"/>
          <w:szCs w:val="21"/>
        </w:rPr>
        <w:t>31.响应文件评审</w:t>
      </w:r>
    </w:p>
    <w:p>
      <w:pPr>
        <w:widowControl/>
        <w:adjustRightInd w:val="0"/>
        <w:snapToGrid w:val="0"/>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31.1经磋商确定最终采购需求和提交最后报价的供应商后，由磋商小组采用综合评分法对提交最后报价的供应商的响应文件和最后报价进行综合评价。</w:t>
      </w:r>
    </w:p>
    <w:p>
      <w:pPr>
        <w:widowControl/>
        <w:adjustRightInd w:val="0"/>
        <w:snapToGrid w:val="0"/>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Theme="minorEastAsia" w:hAnsiTheme="minorEastAsia" w:eastAsiaTheme="minorEastAsia" w:cstheme="minorEastAsia"/>
          <w:b/>
          <w:bCs/>
          <w:color w:val="auto"/>
          <w:szCs w:val="21"/>
        </w:rPr>
        <w:t>磋商须知前附表。</w:t>
      </w:r>
    </w:p>
    <w:p>
      <w:pPr>
        <w:widowControl/>
        <w:adjustRightInd w:val="0"/>
        <w:snapToGrid w:val="0"/>
        <w:spacing w:beforeLines="50"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31.3</w:t>
      </w:r>
      <w:r>
        <w:rPr>
          <w:rFonts w:hint="eastAsia" w:asciiTheme="minorEastAsia" w:hAnsiTheme="minorEastAsia" w:eastAsiaTheme="minorEastAsia" w:cstheme="minorEastAsia"/>
          <w:color w:val="auto"/>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磋商报价得分=（磋商基准价/最后磋商报价）×价格权值×100</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项目评审过程中，不得去掉最后报价中的最高报价和最低报价。</w:t>
      </w:r>
    </w:p>
    <w:p>
      <w:pPr>
        <w:widowControl/>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31.5</w:t>
      </w:r>
      <w:r>
        <w:rPr>
          <w:rFonts w:hint="eastAsia" w:asciiTheme="minorEastAsia" w:hAnsiTheme="minorEastAsia" w:eastAsiaTheme="minorEastAsia" w:cstheme="minorEastAsia"/>
          <w:color w:val="auto"/>
          <w:szCs w:val="21"/>
        </w:rPr>
        <w:t>涉及政府采购政策优惠对供应商分值进行调整的，</w:t>
      </w:r>
      <w:r>
        <w:rPr>
          <w:rFonts w:hint="eastAsia" w:asciiTheme="minorEastAsia" w:hAnsiTheme="minorEastAsia" w:eastAsiaTheme="minorEastAsia" w:cstheme="minorEastAsia"/>
          <w:bCs/>
          <w:color w:val="auto"/>
          <w:szCs w:val="21"/>
        </w:rPr>
        <w:t>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bCs/>
          <w:color w:val="auto"/>
          <w:szCs w:val="21"/>
        </w:rPr>
        <w:t>规定</w:t>
      </w:r>
      <w:r>
        <w:rPr>
          <w:rFonts w:hint="eastAsia" w:asciiTheme="minorEastAsia" w:hAnsiTheme="minorEastAsia" w:eastAsiaTheme="minorEastAsia" w:cstheme="minorEastAsia"/>
          <w:color w:val="auto"/>
          <w:szCs w:val="21"/>
        </w:rPr>
        <w:t>调整供应商的技术、商务、价格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w:t>
      </w:r>
    </w:p>
    <w:p>
      <w:pPr>
        <w:adjustRightInd w:val="0"/>
        <w:snapToGrid w:val="0"/>
        <w:spacing w:beforeLines="5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31.6涉及多处或部分获得政府采购政策优惠的，其多处或部分享受政府采购优惠政策的计算方法见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相关规定。</w:t>
      </w:r>
    </w:p>
    <w:p>
      <w:pPr>
        <w:widowControl/>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31.7</w:t>
      </w:r>
      <w:r>
        <w:rPr>
          <w:rFonts w:hint="eastAsia" w:asciiTheme="minorEastAsia" w:hAnsiTheme="minorEastAsia" w:eastAsiaTheme="minorEastAsia" w:cstheme="minorEastAsia"/>
          <w:color w:val="auto"/>
          <w:szCs w:val="21"/>
        </w:rPr>
        <w:t>评审时，磋商小组各成员应当独立对每个供应商的</w:t>
      </w:r>
      <w:r>
        <w:rPr>
          <w:rFonts w:hint="eastAsia" w:asciiTheme="minorEastAsia" w:hAnsiTheme="minorEastAsia" w:eastAsiaTheme="minorEastAsia" w:cstheme="minorEastAsia"/>
          <w:bCs/>
          <w:color w:val="auto"/>
          <w:szCs w:val="21"/>
        </w:rPr>
        <w:t>响应文件</w:t>
      </w:r>
      <w:r>
        <w:rPr>
          <w:rFonts w:hint="eastAsia" w:asciiTheme="minorEastAsia" w:hAnsiTheme="minorEastAsia" w:eastAsiaTheme="minorEastAsia" w:cstheme="minorEastAsia"/>
          <w:color w:val="auto"/>
          <w:szCs w:val="21"/>
        </w:rPr>
        <w:t>进行评价、评分，并按照政府采购优惠政策对最后报价进行价格扣除和技术、商务、价格加分后，汇总各供应商的总得分。</w:t>
      </w:r>
    </w:p>
    <w:p>
      <w:pPr>
        <w:widowControl/>
        <w:adjustRightInd w:val="0"/>
        <w:snapToGrid w:val="0"/>
        <w:spacing w:line="360" w:lineRule="auto"/>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32</w:t>
      </w:r>
      <w:r>
        <w:rPr>
          <w:rFonts w:hint="eastAsia" w:asciiTheme="minorEastAsia" w:hAnsiTheme="minorEastAsia" w:eastAsiaTheme="minorEastAsia" w:cstheme="minorEastAsia"/>
          <w:b/>
          <w:color w:val="auto"/>
          <w:kern w:val="0"/>
          <w:szCs w:val="21"/>
        </w:rPr>
        <w:t>.</w:t>
      </w:r>
      <w:r>
        <w:rPr>
          <w:rFonts w:hint="eastAsia" w:asciiTheme="minorEastAsia" w:hAnsiTheme="minorEastAsia" w:eastAsiaTheme="minorEastAsia" w:cstheme="minorEastAsia"/>
          <w:b/>
          <w:bCs/>
          <w:color w:val="auto"/>
          <w:szCs w:val="21"/>
        </w:rPr>
        <w:t>提出成交供应商</w:t>
      </w:r>
    </w:p>
    <w:p>
      <w:pPr>
        <w:widowControl/>
        <w:spacing w:line="420" w:lineRule="atLeas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 xml:space="preserve">    32.1</w:t>
      </w:r>
      <w:r>
        <w:rPr>
          <w:rFonts w:hint="eastAsia" w:asciiTheme="minorEastAsia" w:hAnsiTheme="minorEastAsia" w:eastAsiaTheme="minorEastAsia" w:cstheme="minorEastAsia"/>
          <w:bCs/>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pPr>
        <w:widowControl/>
        <w:spacing w:line="420" w:lineRule="atLeas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库〔2014〕214号)</w:t>
      </w:r>
      <w:r>
        <w:rPr>
          <w:rFonts w:hint="eastAsia" w:asciiTheme="minorEastAsia" w:hAnsiTheme="minorEastAsia" w:eastAsiaTheme="minorEastAsia" w:cstheme="minorEastAsia"/>
          <w:color w:val="auto"/>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Theme="minorEastAsia" w:hAnsiTheme="minorEastAsia" w:eastAsiaTheme="minorEastAsia" w:cstheme="minorEastAsia"/>
          <w:bCs/>
          <w:color w:val="auto"/>
          <w:szCs w:val="21"/>
        </w:rPr>
        <w:t>可以推荐2家成交候选供应商。</w:t>
      </w:r>
    </w:p>
    <w:p>
      <w:pPr>
        <w:widowControl/>
        <w:spacing w:line="420" w:lineRule="atLeast"/>
        <w:rPr>
          <w:rFonts w:asciiTheme="minorEastAsia" w:hAnsiTheme="minorEastAsia" w:eastAsiaTheme="minorEastAsia" w:cstheme="minorEastAsia"/>
          <w:color w:val="auto"/>
          <w:kern w:val="0"/>
          <w:szCs w:val="21"/>
        </w:rPr>
      </w:pPr>
    </w:p>
    <w:p>
      <w:pPr>
        <w:tabs>
          <w:tab w:val="left" w:pos="0"/>
        </w:tabs>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33.确定成交供应商</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33.1采购代理机构应当在评审结束后2个工作日内将评审报告送采购人确认。</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33.2采购人应当在收到评审报告后5个工作日内，从评审报告提出的成交候选供应商中，按照排序由高到低的原则确定成交供应商，也可以书面授权磋商小组直接确定成交供应商。</w:t>
      </w:r>
    </w:p>
    <w:p>
      <w:pPr>
        <w:pStyle w:val="25"/>
        <w:adjustRightInd w:val="0"/>
        <w:snapToGrid w:val="0"/>
        <w:spacing w:line="360" w:lineRule="auto"/>
        <w:ind w:left="632" w:hanging="632" w:hangingChars="30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34.磋商终止</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34.1</w:t>
      </w:r>
      <w:r>
        <w:rPr>
          <w:rFonts w:hint="eastAsia" w:asciiTheme="minorEastAsia" w:hAnsiTheme="minorEastAsia" w:eastAsiaTheme="minorEastAsia" w:cstheme="minorEastAsia"/>
          <w:color w:val="auto"/>
          <w:kern w:val="0"/>
          <w:szCs w:val="21"/>
        </w:rPr>
        <w:t>出现下列情形之一的，采购人或者采购代理机构应当终止竞争性磋商采购活动，</w:t>
      </w:r>
      <w:r>
        <w:rPr>
          <w:rFonts w:hint="eastAsia" w:asciiTheme="minorEastAsia" w:hAnsiTheme="minorEastAsia" w:eastAsiaTheme="minorEastAsia" w:cstheme="minorEastAsia"/>
          <w:color w:val="auto"/>
        </w:rPr>
        <w:t>在本章第37.1款指定的媒体上</w:t>
      </w:r>
      <w:r>
        <w:rPr>
          <w:rFonts w:hint="eastAsia" w:asciiTheme="minorEastAsia" w:hAnsiTheme="minorEastAsia" w:eastAsiaTheme="minorEastAsia" w:cstheme="minorEastAsia"/>
          <w:color w:val="auto"/>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（1）因情况变化，不再符合规定的竞争性磋商采购方式适用情形的；</w:t>
      </w:r>
    </w:p>
    <w:p>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（2）出现影响采购公正的违法、违规行为的；</w:t>
      </w:r>
    </w:p>
    <w:p>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bCs/>
          <w:color w:val="auto"/>
          <w:szCs w:val="21"/>
        </w:rPr>
        <w:t>除《政府采购竞争性磋商采购方式管理暂行办法》(财库〔2014〕214号)</w:t>
      </w:r>
      <w:r>
        <w:rPr>
          <w:rFonts w:hint="eastAsia" w:asciiTheme="minorEastAsia" w:hAnsiTheme="minorEastAsia" w:eastAsiaTheme="minorEastAsia" w:cstheme="minorEastAsia"/>
          <w:color w:val="auto"/>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Theme="minorEastAsia" w:hAnsiTheme="minorEastAsia" w:eastAsiaTheme="minorEastAsia" w:cstheme="minorEastAsia"/>
          <w:bCs/>
          <w:color w:val="auto"/>
          <w:szCs w:val="21"/>
        </w:rPr>
        <w:t>情形外，在采购过程中符合要求的供应商或者报价未超过采购预算的供应商不足3家的；</w:t>
      </w:r>
    </w:p>
    <w:p>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（4）因重大变故，采购任务取消的。</w:t>
      </w:r>
    </w:p>
    <w:p>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35．重新评审</w:t>
      </w:r>
    </w:p>
    <w:p>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36.保密及串通行为</w:t>
      </w:r>
    </w:p>
    <w:p>
      <w:pPr>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36.1磋商小组成员以及与评审工作有关的人员不得泄露评审情况以及评审过程中获悉的国家秘密、商业秘密。</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36.2</w:t>
      </w:r>
      <w:r>
        <w:rPr>
          <w:rFonts w:hint="eastAsia" w:asciiTheme="minorEastAsia" w:hAnsiTheme="minorEastAsia" w:eastAsiaTheme="minorEastAsia" w:cstheme="minorEastAsia"/>
          <w:color w:val="auto"/>
          <w:kern w:val="0"/>
          <w:szCs w:val="21"/>
        </w:rPr>
        <w:t>供应商</w:t>
      </w:r>
      <w:r>
        <w:rPr>
          <w:rFonts w:hint="eastAsia" w:asciiTheme="minorEastAsia" w:hAnsiTheme="minorEastAsia" w:eastAsiaTheme="minorEastAsia" w:cstheme="minorEastAsia"/>
          <w:color w:val="auto"/>
          <w:szCs w:val="21"/>
        </w:rPr>
        <w:t>不得与</w:t>
      </w:r>
      <w:r>
        <w:rPr>
          <w:rFonts w:hint="eastAsia" w:asciiTheme="minorEastAsia" w:hAnsiTheme="minorEastAsia" w:eastAsiaTheme="minorEastAsia" w:cstheme="minorEastAsia"/>
          <w:color w:val="auto"/>
          <w:kern w:val="0"/>
          <w:szCs w:val="21"/>
        </w:rPr>
        <w:t>采购人、采购代理机构、其他供应商恶意</w:t>
      </w:r>
      <w:r>
        <w:rPr>
          <w:rFonts w:hint="eastAsia" w:asciiTheme="minorEastAsia" w:hAnsiTheme="minorEastAsia" w:eastAsiaTheme="minorEastAsia" w:cstheme="minorEastAsia"/>
          <w:color w:val="auto"/>
          <w:szCs w:val="21"/>
        </w:rPr>
        <w:t>串通；不得向</w:t>
      </w:r>
      <w:r>
        <w:rPr>
          <w:rFonts w:hint="eastAsia" w:asciiTheme="minorEastAsia" w:hAnsiTheme="minorEastAsia" w:eastAsiaTheme="minorEastAsia" w:cstheme="minorEastAsia"/>
          <w:color w:val="auto"/>
          <w:kern w:val="0"/>
          <w:szCs w:val="21"/>
        </w:rPr>
        <w:t>采购人、采购代理机构</w:t>
      </w:r>
      <w:r>
        <w:rPr>
          <w:rFonts w:hint="eastAsia" w:asciiTheme="minorEastAsia" w:hAnsiTheme="minorEastAsia" w:eastAsiaTheme="minorEastAsia" w:cstheme="minorEastAsia"/>
          <w:color w:val="auto"/>
          <w:szCs w:val="21"/>
        </w:rPr>
        <w:t>或者磋商小组成员行贿或者提供其他不正当利益；不得提供虚假资料谋取成交；不得以任何方式干扰、影响采购工作。</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36.3</w:t>
      </w:r>
      <w:r>
        <w:rPr>
          <w:rFonts w:hint="eastAsia" w:asciiTheme="minorEastAsia" w:hAnsiTheme="minorEastAsia" w:eastAsiaTheme="minorEastAsia" w:cstheme="minorEastAsia"/>
          <w:color w:val="auto"/>
          <w:sz w:val="21"/>
          <w:szCs w:val="21"/>
          <w:lang w:val="zh-CN"/>
        </w:rPr>
        <w:t>有下列情形之一的，属于恶意串通，对供应商依照政府采购法第七十七条第一款的规定追究法律责任：</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（一）供应商直接或者间接从采购人或者采购代理机构处获得其他供应商的相关情况并修改其投标文件或者响应文件；</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（二）供应商按照采购人或者采购代理机构的授意撤换、修改投标文件或者响应文件；</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（三）供应商之间协商报价、技术方案等投标文件或者响应文件的实质性内容；</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（四）属于同一集团、协会、商会等组织成员的供应商按照该组织要求协同参加政府采购活动；</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（五）供应商之间事先约定由某一特定供应商中标、成交；</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（六）供应商之间商定部分供应商放弃参加政府采购活动或者放弃中标、成交；</w:t>
      </w:r>
    </w:p>
    <w:p>
      <w:pPr>
        <w:pStyle w:val="41"/>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（七）供应商与采购人或者采购代理机构之间、供应商相互之间，为谋求特定供应商中标、成交或者排斥其他供应商的其他串通行为。</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六、成交结果信息公布与授予合同</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37.成交信息的公布</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37.1成交供应商确定后2个工作日内，成交结果信息将在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指定的媒体上公布。</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38.询问及质疑</w:t>
      </w:r>
    </w:p>
    <w:p>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38.1供应商对政府采购活动事项有疑问的，可以向采购人或采购代理机构提出询问。</w:t>
      </w:r>
    </w:p>
    <w:p>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38.2供应商若认为磋商文件、采购过程和成交结果使自己的权益受到损害，可以按法律、行政法规及湖南省财政厅规范性文件规定向采购人或采购代理机构提出质疑。</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39.成交通知</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39.1成交供应商确定后，采购人或采购代理机构将以书面形式向成交供应商发出成交通知书。成交通知书对采购人和成交供应商具有同等法律效力。</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39.3 </w:t>
      </w:r>
      <w:r>
        <w:rPr>
          <w:rFonts w:hint="eastAsia" w:asciiTheme="minorEastAsia" w:hAnsiTheme="minorEastAsia" w:eastAsiaTheme="minorEastAsia" w:cstheme="minorEastAsia"/>
          <w:color w:val="auto"/>
          <w:szCs w:val="21"/>
        </w:rPr>
        <w:t>成交供应商在收到采购代理机构的成交通知书后10日内，应按照</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的规定，向采购人提交履约担保。联合体成交的，履约担保由联合体各方或联合体中牵头人的名义提交。</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39.4 成交供应商</w:t>
      </w:r>
      <w:r>
        <w:rPr>
          <w:rFonts w:hint="eastAsia" w:asciiTheme="minorEastAsia" w:hAnsiTheme="minorEastAsia" w:eastAsiaTheme="minorEastAsia" w:cstheme="minorEastAsia"/>
          <w:color w:val="auto"/>
          <w:spacing w:val="4"/>
        </w:rPr>
        <w:t>没有按照本章第39.3</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spacing w:val="4"/>
        </w:rPr>
        <w:t>规定</w:t>
      </w:r>
      <w:r>
        <w:rPr>
          <w:rFonts w:hint="eastAsia" w:asciiTheme="minorEastAsia" w:hAnsiTheme="minorEastAsia" w:eastAsiaTheme="minorEastAsia" w:cstheme="minorEastAsia"/>
          <w:color w:val="auto"/>
        </w:rPr>
        <w:t>提交履约担保的</w:t>
      </w:r>
      <w:r>
        <w:rPr>
          <w:rFonts w:hint="eastAsia" w:asciiTheme="minorEastAsia" w:hAnsiTheme="minorEastAsia" w:eastAsiaTheme="minorEastAsia" w:cstheme="minorEastAsia"/>
          <w:color w:val="auto"/>
          <w:spacing w:val="4"/>
        </w:rPr>
        <w:t>，视为放弃</w:t>
      </w:r>
      <w:r>
        <w:rPr>
          <w:rFonts w:hint="eastAsia" w:asciiTheme="minorEastAsia" w:hAnsiTheme="minorEastAsia" w:eastAsiaTheme="minorEastAsia" w:cstheme="minorEastAsia"/>
          <w:color w:val="auto"/>
        </w:rPr>
        <w:t>成交资格</w:t>
      </w:r>
      <w:r>
        <w:rPr>
          <w:rFonts w:hint="eastAsia" w:asciiTheme="minorEastAsia" w:hAnsiTheme="minorEastAsia" w:eastAsiaTheme="minorEastAsia" w:cstheme="minorEastAsia"/>
          <w:color w:val="auto"/>
          <w:spacing w:val="4"/>
        </w:rPr>
        <w:t>，</w:t>
      </w:r>
      <w:r>
        <w:rPr>
          <w:rFonts w:hint="eastAsia" w:asciiTheme="minorEastAsia" w:hAnsiTheme="minorEastAsia" w:eastAsiaTheme="minorEastAsia" w:cstheme="minorEastAsia"/>
          <w:color w:val="auto"/>
          <w:spacing w:val="2"/>
        </w:rPr>
        <w:t>其保证金不予退还。</w:t>
      </w:r>
    </w:p>
    <w:p>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40.签订合同</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40.1成交供应商应当在成交通知书发出之日起30日内与采购人签订政府采购合同。</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40.2磋商文件、成交供应商的响应文件等均为签订政府采购合同的依据。</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40.3 成交供应商应当按照合同约定履行义务。成交供应商不得向他人转让成交项目，也不得将成交项目分包后分别向他人转让。</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40.4 成交供应商有下列情形之一的，责令限期改正，情节严重的，列入不良行为记录名单，在1至3年内禁止参加政府采购活动，并予以通报：</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（一）成交后无正当理由不与采购人签订合同的；</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（二）未按照磋商文件确定的事项签订政府采购合同，或者与采购人另行订立背离合同实质性内容的协议的；</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（三）拒绝履行合同义务的；</w:t>
      </w:r>
    </w:p>
    <w:p>
      <w:pPr>
        <w:pStyle w:val="25"/>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color w:val="auto"/>
          <w:kern w:val="0"/>
        </w:rPr>
        <w:t>违反法律、规章、规范性文件规定的。</w:t>
      </w:r>
    </w:p>
    <w:p>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七、其他规定</w:t>
      </w:r>
    </w:p>
    <w:p>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41.1采购代理服务费</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41.1采购代理机构应按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规定收取采购代理服务费。</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41.2集中采购机构不得收取采购代理服务费。</w:t>
      </w:r>
    </w:p>
    <w:p>
      <w:pPr>
        <w:tabs>
          <w:tab w:val="left" w:pos="420"/>
          <w:tab w:val="left" w:pos="7560"/>
          <w:tab w:val="left" w:pos="7740"/>
          <w:tab w:val="left" w:pos="7920"/>
        </w:tabs>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Cs w:val="21"/>
        </w:rPr>
        <w:t>42.</w:t>
      </w:r>
      <w:r>
        <w:rPr>
          <w:rFonts w:hint="eastAsia" w:asciiTheme="minorEastAsia" w:hAnsiTheme="minorEastAsia" w:eastAsiaTheme="minorEastAsia" w:cstheme="minorEastAsia"/>
          <w:b/>
          <w:color w:val="auto"/>
        </w:rPr>
        <w:t>其他规定</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42.1</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rPr>
        <w:t>的其他规定</w:t>
      </w:r>
      <w:r>
        <w:rPr>
          <w:rFonts w:hint="eastAsia" w:asciiTheme="minorEastAsia" w:hAnsiTheme="minorEastAsia" w:eastAsiaTheme="minorEastAsia" w:cstheme="minorEastAsia"/>
          <w:color w:val="auto"/>
          <w:szCs w:val="21"/>
        </w:rPr>
        <w:t>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pPr>
        <w:adjustRightInd w:val="0"/>
        <w:snapToGrid w:val="0"/>
        <w:spacing w:beforeLines="50" w:line="360" w:lineRule="auto"/>
        <w:jc w:val="center"/>
        <w:outlineLvl w:val="0"/>
        <w:rPr>
          <w:rFonts w:asciiTheme="minorEastAsia" w:hAnsiTheme="minorEastAsia" w:eastAsiaTheme="minorEastAsia" w:cstheme="minorEastAsia"/>
          <w:b/>
          <w:color w:val="auto"/>
          <w:sz w:val="32"/>
          <w:szCs w:val="32"/>
        </w:rPr>
      </w:pPr>
      <w:bookmarkStart w:id="25" w:name="_Toc21930"/>
      <w:bookmarkStart w:id="26" w:name="_Toc5797"/>
      <w:bookmarkStart w:id="27" w:name="_Toc7146"/>
      <w:bookmarkStart w:id="28" w:name="_Toc21050"/>
      <w:bookmarkStart w:id="29" w:name="_Toc24216"/>
      <w:bookmarkStart w:id="30" w:name="_Toc2041_WPSOffice_Level1"/>
      <w:bookmarkStart w:id="31" w:name="_Toc12052"/>
      <w:bookmarkStart w:id="32" w:name="_Toc27256"/>
      <w:bookmarkStart w:id="33" w:name="_Toc431364758"/>
      <w:r>
        <w:rPr>
          <w:rFonts w:hint="eastAsia" w:asciiTheme="minorEastAsia" w:hAnsiTheme="minorEastAsia" w:eastAsiaTheme="minorEastAsia" w:cstheme="minorEastAsia"/>
          <w:b/>
          <w:color w:val="auto"/>
          <w:sz w:val="32"/>
          <w:szCs w:val="32"/>
        </w:rPr>
        <w:t>第三章 政府采购合同格式</w:t>
      </w:r>
      <w:bookmarkEnd w:id="25"/>
      <w:bookmarkEnd w:id="26"/>
      <w:bookmarkEnd w:id="27"/>
      <w:bookmarkEnd w:id="28"/>
      <w:bookmarkEnd w:id="29"/>
      <w:bookmarkEnd w:id="30"/>
      <w:bookmarkEnd w:id="31"/>
      <w:bookmarkEnd w:id="32"/>
      <w:bookmarkEnd w:id="33"/>
    </w:p>
    <w:p>
      <w:pPr>
        <w:pStyle w:val="5"/>
        <w:jc w:val="center"/>
        <w:rPr>
          <w:rFonts w:asciiTheme="minorEastAsia" w:hAnsiTheme="minorEastAsia" w:eastAsiaTheme="minorEastAsia" w:cstheme="minorEastAsia"/>
          <w:color w:val="auto"/>
        </w:rPr>
      </w:pPr>
      <w:bookmarkStart w:id="34" w:name="_Toc29690"/>
      <w:bookmarkStart w:id="35" w:name="_Toc6405"/>
      <w:bookmarkStart w:id="36" w:name="_Toc7483"/>
      <w:bookmarkStart w:id="37" w:name="_Toc17316"/>
      <w:bookmarkStart w:id="38" w:name="_Toc23624"/>
      <w:bookmarkStart w:id="39" w:name="_Toc431364759"/>
      <w:bookmarkStart w:id="40" w:name="_Toc20161"/>
      <w:bookmarkStart w:id="41" w:name="_Toc17413"/>
      <w:r>
        <w:rPr>
          <w:rFonts w:hint="eastAsia" w:asciiTheme="minorEastAsia" w:hAnsiTheme="minorEastAsia" w:eastAsiaTheme="minorEastAsia" w:cstheme="minorEastAsia"/>
          <w:color w:val="auto"/>
        </w:rPr>
        <w:t>一、政府采购合同协议书</w:t>
      </w:r>
      <w:bookmarkEnd w:id="34"/>
      <w:bookmarkEnd w:id="35"/>
      <w:bookmarkEnd w:id="36"/>
      <w:bookmarkEnd w:id="37"/>
      <w:bookmarkEnd w:id="38"/>
      <w:bookmarkEnd w:id="39"/>
      <w:bookmarkEnd w:id="40"/>
      <w:bookmarkEnd w:id="41"/>
    </w:p>
    <w:p>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采购合同编号：</w:t>
      </w:r>
    </w:p>
    <w:p>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采购人（全称）：（甲方）</w:t>
      </w:r>
    </w:p>
    <w:p>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供应商（全称）：（乙方）</w:t>
      </w:r>
    </w:p>
    <w:p>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1.项目信息</w:t>
      </w:r>
    </w:p>
    <w:p>
      <w:pPr>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（1）采购项目名称：</w:t>
      </w:r>
    </w:p>
    <w:p>
      <w:pPr>
        <w:pStyle w:val="19"/>
        <w:adjustRightInd w:val="0"/>
        <w:snapToGrid w:val="0"/>
        <w:spacing w:after="0"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（2）采购计划编号：</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（3）项目内容：</w:t>
      </w:r>
    </w:p>
    <w:p>
      <w:pPr>
        <w:adjustRightInd w:val="0"/>
        <w:snapToGrid w:val="0"/>
        <w:spacing w:line="360" w:lineRule="auto"/>
        <w:ind w:firstLine="413" w:firstLineChars="196"/>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2.合同金额</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（1）合同金额小写：</w:t>
      </w:r>
    </w:p>
    <w:p>
      <w:pPr>
        <w:adjustRightInd w:val="0"/>
        <w:snapToGrid w:val="0"/>
        <w:spacing w:line="360" w:lineRule="auto"/>
        <w:ind w:firstLine="1785" w:firstLineChars="85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大写：</w:t>
      </w:r>
    </w:p>
    <w:p>
      <w:pPr>
        <w:adjustRightInd w:val="0"/>
        <w:snapToGrid w:val="0"/>
        <w:spacing w:line="360" w:lineRule="auto"/>
        <w:ind w:firstLine="422" w:firstLineChars="2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b/>
          <w:color w:val="auto"/>
          <w:szCs w:val="21"/>
        </w:rPr>
        <w:t>3.履行合同的时间、地点及方式</w:t>
      </w:r>
    </w:p>
    <w:p>
      <w:pPr>
        <w:adjustRightInd w:val="0"/>
        <w:snapToGrid w:val="0"/>
        <w:spacing w:line="360" w:lineRule="auto"/>
        <w:ind w:firstLine="630" w:firstLineChars="3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起始日期：年月日，完成日期：年月日。总日历天数：天。</w:t>
      </w:r>
    </w:p>
    <w:p>
      <w:pPr>
        <w:adjustRightInd w:val="0"/>
        <w:snapToGrid w:val="0"/>
        <w:spacing w:line="360" w:lineRule="auto"/>
        <w:ind w:firstLine="630" w:firstLineChars="3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b/>
          <w:color w:val="auto"/>
          <w:szCs w:val="21"/>
        </w:rPr>
        <w:t>：</w:t>
      </w:r>
    </w:p>
    <w:p>
      <w:pPr>
        <w:adjustRightInd w:val="0"/>
        <w:snapToGrid w:val="0"/>
        <w:spacing w:line="360" w:lineRule="auto"/>
        <w:ind w:firstLine="630" w:firstLineChars="3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方式：</w:t>
      </w:r>
    </w:p>
    <w:p>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4.付款方式：</w:t>
      </w:r>
    </w:p>
    <w:p>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结算方式:以实际发生的工程量按实结算，本工程不下浮。</w:t>
      </w:r>
    </w:p>
    <w:p>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5.解决合同纠纷方式</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首先通过双方协商解决，协商解决不成，则通过以下途径之一解决纠纷：</w:t>
      </w:r>
    </w:p>
    <w:p>
      <w:pPr>
        <w:adjustRightInd w:val="0"/>
        <w:snapToGrid w:val="0"/>
        <w:spacing w:line="360" w:lineRule="auto"/>
        <w:ind w:firstLine="840" w:firstLineChars="4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提请仲裁       √向人民法院提起诉讼</w:t>
      </w:r>
    </w:p>
    <w:p>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6.组成合同的文件</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本协议书与下列文件一起构成合同文件，如下述文件之间有任何抵触、矛盾或歧义，应按以下顺序解释：</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（1）在采购或合同履行过程中乙方作出的承诺以及双方协商达成的变更或补充协议</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（2）成交通知书</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（3）响应文件</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（4）政府采购合同格式条款及其附件</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（5）专用合同条款</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（6）通用合同条款（如果有）</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（7）标准、规范及有关技术文件，图纸，已标价工程量清单或预算书（如果有）</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（8）其他合同文件。</w:t>
      </w:r>
    </w:p>
    <w:p>
      <w:pPr>
        <w:adjustRightInd w:val="0"/>
        <w:snapToGrid w:val="0"/>
        <w:spacing w:line="360" w:lineRule="auto"/>
        <w:ind w:firstLine="310" w:firstLineChars="147"/>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7.合同生效</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本合同自</w:t>
      </w:r>
      <w:r>
        <w:rPr>
          <w:rFonts w:hint="eastAsia" w:asciiTheme="minorEastAsia" w:hAnsiTheme="minorEastAsia" w:eastAsiaTheme="minorEastAsia" w:cstheme="minorEastAsia"/>
          <w:color w:val="auto"/>
          <w:szCs w:val="21"/>
          <w:u w:val="single"/>
        </w:rPr>
        <w:t xml:space="preserve"> 双方签字盖章后</w:t>
      </w:r>
      <w:r>
        <w:rPr>
          <w:rFonts w:hint="eastAsia" w:asciiTheme="minorEastAsia" w:hAnsiTheme="minorEastAsia" w:eastAsiaTheme="minorEastAsia" w:cstheme="minorEastAsia"/>
          <w:color w:val="auto"/>
          <w:szCs w:val="21"/>
        </w:rPr>
        <w:t>生效。</w:t>
      </w:r>
    </w:p>
    <w:p>
      <w:pPr>
        <w:adjustRightInd w:val="0"/>
        <w:snapToGrid w:val="0"/>
        <w:spacing w:line="360" w:lineRule="auto"/>
        <w:ind w:firstLine="310" w:firstLineChars="147"/>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8.合同份数</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本合同一式</w:t>
      </w:r>
      <w:r>
        <w:rPr>
          <w:rFonts w:hint="eastAsia" w:asciiTheme="minorEastAsia" w:hAnsiTheme="minorEastAsia" w:eastAsiaTheme="minorEastAsia" w:cstheme="minorEastAsia"/>
          <w:color w:val="auto"/>
          <w:szCs w:val="21"/>
          <w:u w:val="single"/>
        </w:rPr>
        <w:t>陆</w:t>
      </w:r>
      <w:r>
        <w:rPr>
          <w:rFonts w:hint="eastAsia" w:asciiTheme="minorEastAsia" w:hAnsiTheme="minorEastAsia" w:eastAsiaTheme="minorEastAsia" w:cstheme="minorEastAsia"/>
          <w:color w:val="auto"/>
          <w:szCs w:val="21"/>
        </w:rPr>
        <w:t>份，采购人执</w:t>
      </w:r>
      <w:r>
        <w:rPr>
          <w:rFonts w:hint="eastAsia" w:asciiTheme="minorEastAsia" w:hAnsiTheme="minorEastAsia" w:eastAsiaTheme="minorEastAsia" w:cstheme="minorEastAsia"/>
          <w:color w:val="auto"/>
          <w:szCs w:val="21"/>
          <w:u w:val="single"/>
        </w:rPr>
        <w:t>贰</w:t>
      </w:r>
      <w:r>
        <w:rPr>
          <w:rFonts w:hint="eastAsia" w:asciiTheme="minorEastAsia" w:hAnsiTheme="minorEastAsia" w:eastAsiaTheme="minorEastAsia" w:cstheme="minorEastAsia"/>
          <w:color w:val="auto"/>
          <w:szCs w:val="21"/>
        </w:rPr>
        <w:t>份，供应商执</w:t>
      </w:r>
      <w:r>
        <w:rPr>
          <w:rFonts w:hint="eastAsia" w:asciiTheme="minorEastAsia" w:hAnsiTheme="minorEastAsia" w:eastAsiaTheme="minorEastAsia" w:cstheme="minorEastAsia"/>
          <w:color w:val="auto"/>
          <w:szCs w:val="21"/>
          <w:u w:val="single"/>
        </w:rPr>
        <w:t>贰</w:t>
      </w:r>
      <w:r>
        <w:rPr>
          <w:rFonts w:hint="eastAsia" w:asciiTheme="minorEastAsia" w:hAnsiTheme="minorEastAsia" w:eastAsiaTheme="minorEastAsia" w:cstheme="minorEastAsia"/>
          <w:color w:val="auto"/>
          <w:szCs w:val="21"/>
        </w:rPr>
        <w:t>份，代理公司</w:t>
      </w:r>
      <w:r>
        <w:rPr>
          <w:rFonts w:hint="eastAsia" w:asciiTheme="minorEastAsia" w:hAnsiTheme="minorEastAsia" w:eastAsiaTheme="minorEastAsia" w:cstheme="minorEastAsia"/>
          <w:color w:val="auto"/>
          <w:szCs w:val="21"/>
          <w:u w:val="single"/>
        </w:rPr>
        <w:t>壹</w:t>
      </w:r>
      <w:r>
        <w:rPr>
          <w:rFonts w:hint="eastAsia" w:asciiTheme="minorEastAsia" w:hAnsiTheme="minorEastAsia" w:eastAsiaTheme="minorEastAsia" w:cstheme="minorEastAsia"/>
          <w:color w:val="auto"/>
          <w:szCs w:val="21"/>
        </w:rPr>
        <w:t>份，政府采购管理部门</w:t>
      </w:r>
      <w:r>
        <w:rPr>
          <w:rFonts w:hint="eastAsia" w:asciiTheme="minorEastAsia" w:hAnsiTheme="minorEastAsia" w:eastAsiaTheme="minorEastAsia" w:cstheme="minorEastAsia"/>
          <w:color w:val="auto"/>
          <w:szCs w:val="21"/>
          <w:u w:val="single"/>
        </w:rPr>
        <w:t>壹</w:t>
      </w:r>
      <w:r>
        <w:rPr>
          <w:rFonts w:hint="eastAsia" w:asciiTheme="minorEastAsia" w:hAnsiTheme="minorEastAsia" w:eastAsiaTheme="minorEastAsia" w:cstheme="minorEastAsia"/>
          <w:color w:val="auto"/>
          <w:szCs w:val="21"/>
        </w:rPr>
        <w:t>份，均具有同等法律效力。</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合同订立时间：年月日</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合同订立地点：</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p>
    <w:tbl>
      <w:tblPr>
        <w:tblStyle w:val="46"/>
        <w:tblW w:w="8952" w:type="dxa"/>
        <w:tblInd w:w="108" w:type="dxa"/>
        <w:tblLayout w:type="fixed"/>
        <w:tblCellMar>
          <w:top w:w="0" w:type="dxa"/>
          <w:left w:w="108" w:type="dxa"/>
          <w:bottom w:w="0" w:type="dxa"/>
          <w:right w:w="108" w:type="dxa"/>
        </w:tblCellMar>
      </w:tblPr>
      <w:tblGrid>
        <w:gridCol w:w="4875"/>
        <w:gridCol w:w="4077"/>
      </w:tblGrid>
      <w:tr>
        <w:tblPrEx>
          <w:tblLayout w:type="fixed"/>
          <w:tblCellMar>
            <w:top w:w="0" w:type="dxa"/>
            <w:left w:w="108" w:type="dxa"/>
            <w:bottom w:w="0" w:type="dxa"/>
            <w:right w:w="108" w:type="dxa"/>
          </w:tblCellMar>
        </w:tblPrEx>
        <w:trPr>
          <w:cantSplit/>
          <w:trHeight w:val="3222" w:hRule="atLeast"/>
        </w:trPr>
        <w:tc>
          <w:tcPr>
            <w:tcW w:w="4875" w:type="dxa"/>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甲方（公章）</w:t>
            </w:r>
          </w:p>
          <w:p>
            <w:pPr>
              <w:spacing w:before="12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 xml:space="preserve">法定代理人：           </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tc>
        <w:tc>
          <w:tcPr>
            <w:tcW w:w="4077" w:type="dxa"/>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乙方（公章）</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法定代理人：</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p>
            <w:pPr>
              <w:spacing w:before="1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开 户 银 行：</w:t>
            </w:r>
          </w:p>
          <w:p>
            <w:pPr>
              <w:spacing w:before="1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账       号：</w:t>
            </w:r>
          </w:p>
        </w:tc>
      </w:tr>
      <w:tr>
        <w:tblPrEx>
          <w:tblLayout w:type="fixed"/>
          <w:tblCellMar>
            <w:top w:w="0" w:type="dxa"/>
            <w:left w:w="108" w:type="dxa"/>
            <w:bottom w:w="0" w:type="dxa"/>
            <w:right w:w="108" w:type="dxa"/>
          </w:tblCellMar>
        </w:tblPrEx>
        <w:trPr>
          <w:cantSplit/>
          <w:trHeight w:val="2209" w:hRule="atLeast"/>
        </w:trPr>
        <w:tc>
          <w:tcPr>
            <w:tcW w:w="4875" w:type="dxa"/>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采购代理机构（盖章）：</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本合同内容未超过政府采购申报审批表规定。</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经办人（签字）：</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签订时间：</w:t>
            </w:r>
          </w:p>
        </w:tc>
        <w:tc>
          <w:tcPr>
            <w:tcW w:w="4077" w:type="dxa"/>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政府采购管理部门（盖章）：</w:t>
            </w:r>
          </w:p>
          <w:p>
            <w:pPr>
              <w:spacing w:before="120"/>
              <w:rPr>
                <w:rFonts w:asciiTheme="minorEastAsia" w:hAnsiTheme="minorEastAsia" w:eastAsiaTheme="minorEastAsia" w:cstheme="minorEastAsia"/>
                <w:color w:val="auto"/>
                <w:szCs w:val="21"/>
              </w:rPr>
            </w:pP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备案经办人（签字）：</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备案时间：</w:t>
            </w:r>
          </w:p>
        </w:tc>
      </w:tr>
    </w:tbl>
    <w:p>
      <w:pPr>
        <w:adjustRightInd w:val="0"/>
        <w:snapToGrid w:val="0"/>
        <w:spacing w:beforeLines="50" w:line="320" w:lineRule="exact"/>
        <w:rPr>
          <w:rFonts w:asciiTheme="minorEastAsia" w:hAnsiTheme="minorEastAsia" w:eastAsiaTheme="minorEastAsia" w:cstheme="minorEastAsia"/>
          <w:color w:val="auto"/>
          <w:szCs w:val="21"/>
        </w:rPr>
      </w:pPr>
    </w:p>
    <w:p>
      <w:pPr>
        <w:pStyle w:val="25"/>
        <w:tabs>
          <w:tab w:val="left" w:pos="1620"/>
        </w:tabs>
        <w:adjustRightInd w:val="0"/>
        <w:snapToGrid w:val="0"/>
        <w:spacing w:line="360" w:lineRule="auto"/>
        <w:ind w:left="-88" w:leftChars="-42"/>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Cs w:val="21"/>
        </w:rPr>
      </w:pPr>
    </w:p>
    <w:p>
      <w:pPr>
        <w:adjustRightInd w:val="0"/>
        <w:snapToGrid w:val="0"/>
        <w:spacing w:line="360" w:lineRule="auto"/>
        <w:jc w:val="center"/>
        <w:rPr>
          <w:rFonts w:asciiTheme="minorEastAsia" w:hAnsiTheme="minorEastAsia" w:eastAsiaTheme="minorEastAsia" w:cstheme="minorEastAsia"/>
          <w:b/>
          <w:color w:val="auto"/>
          <w:szCs w:val="21"/>
        </w:rPr>
      </w:pPr>
    </w:p>
    <w:p>
      <w:pPr>
        <w:adjustRightInd w:val="0"/>
        <w:snapToGrid w:val="0"/>
        <w:spacing w:line="360" w:lineRule="auto"/>
        <w:jc w:val="center"/>
        <w:rPr>
          <w:rFonts w:asciiTheme="minorEastAsia" w:hAnsiTheme="minorEastAsia" w:eastAsiaTheme="minorEastAsia" w:cstheme="minorEastAsia"/>
          <w:b/>
          <w:color w:val="auto"/>
          <w:szCs w:val="21"/>
        </w:rPr>
      </w:pPr>
    </w:p>
    <w:p>
      <w:pPr>
        <w:adjustRightInd w:val="0"/>
        <w:snapToGrid w:val="0"/>
        <w:spacing w:line="360" w:lineRule="auto"/>
        <w:jc w:val="center"/>
        <w:rPr>
          <w:rFonts w:asciiTheme="minorEastAsia" w:hAnsiTheme="minorEastAsia" w:eastAsiaTheme="minorEastAsia" w:cstheme="minorEastAsia"/>
          <w:b/>
          <w:color w:val="auto"/>
          <w:szCs w:val="21"/>
        </w:rPr>
      </w:pPr>
    </w:p>
    <w:p>
      <w:pPr>
        <w:pStyle w:val="66"/>
        <w:rPr>
          <w:rFonts w:asciiTheme="minorEastAsia" w:hAnsiTheme="minorEastAsia" w:eastAsiaTheme="minorEastAsia" w:cstheme="minorEastAsia"/>
          <w:b/>
          <w:color w:val="auto"/>
          <w:szCs w:val="21"/>
        </w:rPr>
      </w:pPr>
    </w:p>
    <w:p>
      <w:pPr>
        <w:rPr>
          <w:rFonts w:asciiTheme="minorEastAsia" w:hAnsiTheme="minorEastAsia" w:eastAsiaTheme="minorEastAsia" w:cstheme="minorEastAsia"/>
          <w:color w:val="auto"/>
        </w:rPr>
      </w:pPr>
    </w:p>
    <w:p>
      <w:pPr>
        <w:adjustRightInd w:val="0"/>
        <w:snapToGrid w:val="0"/>
        <w:spacing w:line="360" w:lineRule="auto"/>
        <w:jc w:val="center"/>
        <w:rPr>
          <w:rFonts w:asciiTheme="minorEastAsia" w:hAnsiTheme="minorEastAsia" w:eastAsiaTheme="minorEastAsia" w:cstheme="minorEastAsia"/>
          <w:b/>
          <w:color w:val="auto"/>
          <w:szCs w:val="21"/>
        </w:rPr>
      </w:pPr>
    </w:p>
    <w:p>
      <w:pPr>
        <w:rPr>
          <w:rFonts w:asciiTheme="minorEastAsia" w:hAnsiTheme="minorEastAsia" w:eastAsiaTheme="minorEastAsia" w:cstheme="minorEastAsia"/>
          <w:color w:val="auto"/>
        </w:rPr>
      </w:pPr>
      <w:bookmarkStart w:id="42" w:name="_Toc431364760"/>
      <w:bookmarkStart w:id="43" w:name="_Toc13306"/>
      <w:bookmarkStart w:id="44" w:name="_Toc28750"/>
      <w:bookmarkStart w:id="45" w:name="_Toc23635"/>
      <w:bookmarkStart w:id="46" w:name="_Toc21923"/>
      <w:bookmarkStart w:id="47" w:name="_Toc24188"/>
      <w:bookmarkStart w:id="48" w:name="_Toc16500"/>
      <w:r>
        <w:rPr>
          <w:rFonts w:hint="eastAsia" w:asciiTheme="minorEastAsia" w:hAnsiTheme="minorEastAsia" w:eastAsiaTheme="minorEastAsia" w:cstheme="minorEastAsia"/>
          <w:color w:val="auto"/>
        </w:rPr>
        <w:br w:type="page"/>
      </w:r>
    </w:p>
    <w:p>
      <w:pPr>
        <w:pStyle w:val="5"/>
        <w:jc w:val="center"/>
        <w:rPr>
          <w:rFonts w:asciiTheme="minorEastAsia" w:hAnsiTheme="minorEastAsia" w:eastAsiaTheme="minorEastAsia" w:cstheme="minorEastAsia"/>
          <w:color w:val="auto"/>
        </w:rPr>
      </w:pPr>
      <w:bookmarkStart w:id="49" w:name="_Toc18638"/>
      <w:r>
        <w:rPr>
          <w:rFonts w:hint="eastAsia" w:asciiTheme="minorEastAsia" w:hAnsiTheme="minorEastAsia" w:eastAsiaTheme="minorEastAsia" w:cstheme="minorEastAsia"/>
          <w:color w:val="auto"/>
        </w:rPr>
        <w:t>二、政府采购合同通用条款</w:t>
      </w:r>
      <w:bookmarkEnd w:id="42"/>
      <w:bookmarkEnd w:id="43"/>
      <w:bookmarkEnd w:id="44"/>
      <w:bookmarkEnd w:id="45"/>
      <w:bookmarkEnd w:id="46"/>
      <w:bookmarkEnd w:id="47"/>
      <w:bookmarkEnd w:id="48"/>
      <w:r>
        <w:rPr>
          <w:rFonts w:hint="eastAsia" w:asciiTheme="minorEastAsia" w:hAnsiTheme="minorEastAsia" w:eastAsiaTheme="minorEastAsia" w:cstheme="minorEastAsia"/>
          <w:color w:val="auto"/>
        </w:rPr>
        <w:t>（工程类）</w:t>
      </w:r>
      <w:bookmarkEnd w:id="49"/>
    </w:p>
    <w:p>
      <w:pPr>
        <w:tabs>
          <w:tab w:val="left" w:pos="8820"/>
          <w:tab w:val="left" w:pos="9345"/>
          <w:tab w:val="left" w:pos="9765"/>
        </w:tabs>
        <w:adjustRightInd w:val="0"/>
        <w:snapToGrid w:val="0"/>
        <w:spacing w:beforeLines="50" w:line="360" w:lineRule="auto"/>
        <w:ind w:right="384" w:rightChars="183"/>
        <w:jc w:val="center"/>
        <w:rPr>
          <w:rFonts w:asciiTheme="minorEastAsia" w:hAnsiTheme="minorEastAsia" w:eastAsiaTheme="minorEastAsia" w:cstheme="minorEastAsia"/>
          <w:b/>
          <w:bCs/>
          <w:color w:val="auto"/>
          <w:sz w:val="36"/>
          <w:szCs w:val="36"/>
        </w:rPr>
      </w:pPr>
    </w:p>
    <w:p>
      <w:pPr>
        <w:adjustRightInd w:val="0"/>
        <w:snapToGrid w:val="0"/>
        <w:spacing w:line="360" w:lineRule="auto"/>
        <w:rPr>
          <w:rFonts w:asciiTheme="minorEastAsia" w:hAnsiTheme="minorEastAsia" w:eastAsiaTheme="minorEastAsia" w:cstheme="minorEastAsia"/>
          <w:bCs/>
          <w:color w:val="auto"/>
          <w:sz w:val="24"/>
          <w:szCs w:val="21"/>
        </w:rPr>
      </w:pPr>
      <w:r>
        <w:rPr>
          <w:rFonts w:hint="eastAsia" w:asciiTheme="minorEastAsia" w:hAnsiTheme="minorEastAsia" w:eastAsiaTheme="minorEastAsia" w:cstheme="minorEastAsia"/>
          <w:bCs/>
          <w:color w:val="auto"/>
          <w:sz w:val="24"/>
        </w:rPr>
        <w:t>按《关于印发建设工程施工合同（示范文本）（HNJS-2014）的通知》(湘建价〔2014〕114号)《建设工程施工合同》第二部分执行。详见湖南住房和建设网(www：hunanjs.gov.cn)。</w:t>
      </w:r>
    </w:p>
    <w:p>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pPr>
        <w:pStyle w:val="5"/>
        <w:jc w:val="center"/>
        <w:rPr>
          <w:rFonts w:asciiTheme="minorEastAsia" w:hAnsiTheme="minorEastAsia" w:eastAsiaTheme="minorEastAsia" w:cstheme="minorEastAsia"/>
          <w:color w:val="auto"/>
        </w:rPr>
      </w:pPr>
      <w:bookmarkStart w:id="50" w:name="_Toc8743"/>
      <w:bookmarkStart w:id="51" w:name="_Toc2960"/>
      <w:bookmarkStart w:id="52" w:name="_Toc431364761"/>
      <w:bookmarkStart w:id="53" w:name="_Toc12752"/>
      <w:bookmarkStart w:id="54" w:name="_Toc2814"/>
      <w:bookmarkStart w:id="55" w:name="_Toc31373"/>
      <w:bookmarkStart w:id="56" w:name="_Toc12091"/>
      <w:bookmarkStart w:id="57" w:name="_Toc1841"/>
      <w:r>
        <w:rPr>
          <w:rFonts w:hint="eastAsia" w:asciiTheme="minorEastAsia" w:hAnsiTheme="minorEastAsia" w:eastAsiaTheme="minorEastAsia" w:cstheme="minorEastAsia"/>
          <w:color w:val="auto"/>
        </w:rPr>
        <w:t>三、政府采购合同专用条款</w:t>
      </w:r>
      <w:bookmarkEnd w:id="50"/>
      <w:bookmarkEnd w:id="51"/>
      <w:bookmarkEnd w:id="52"/>
      <w:bookmarkEnd w:id="53"/>
      <w:bookmarkEnd w:id="54"/>
      <w:bookmarkEnd w:id="55"/>
      <w:bookmarkEnd w:id="56"/>
      <w:bookmarkEnd w:id="57"/>
    </w:p>
    <w:p>
      <w:pPr>
        <w:spacing w:line="360" w:lineRule="exact"/>
        <w:jc w:val="center"/>
        <w:rPr>
          <w:rFonts w:asciiTheme="minorEastAsia" w:hAnsiTheme="minorEastAsia" w:eastAsiaTheme="minorEastAsia" w:cstheme="minorEastAsia"/>
          <w:bCs/>
          <w:color w:val="auto"/>
          <w:sz w:val="32"/>
          <w:szCs w:val="32"/>
        </w:rPr>
      </w:pPr>
    </w:p>
    <w:p>
      <w:pPr>
        <w:spacing w:line="360" w:lineRule="exact"/>
        <w:rPr>
          <w:rFonts w:asciiTheme="minorEastAsia" w:hAnsiTheme="minorEastAsia" w:eastAsiaTheme="minorEastAsia" w:cstheme="minorEastAsia"/>
          <w:bCs/>
          <w:color w:val="auto"/>
          <w:sz w:val="32"/>
          <w:szCs w:val="32"/>
        </w:rPr>
      </w:pP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按采购建设工程的特殊要求，对第二部分通用合同条款的原则性约定进行细化、完善、补充、修改或另行约定。</w:t>
      </w: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pStyle w:val="2"/>
        <w:snapToGrid w:val="0"/>
        <w:ind w:left="105" w:leftChars="50"/>
        <w:rPr>
          <w:rFonts w:asciiTheme="minorEastAsia" w:hAnsiTheme="minorEastAsia" w:eastAsiaTheme="minorEastAsia" w:cstheme="minorEastAsia"/>
          <w:bCs/>
          <w:color w:val="auto"/>
          <w:szCs w:val="21"/>
        </w:rPr>
      </w:pPr>
    </w:p>
    <w:p>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br w:type="page"/>
      </w:r>
    </w:p>
    <w:p>
      <w:pPr>
        <w:numPr>
          <w:ilvl w:val="0"/>
          <w:numId w:val="2"/>
        </w:numPr>
        <w:spacing w:line="360" w:lineRule="exact"/>
        <w:jc w:val="center"/>
        <w:outlineLvl w:val="0"/>
        <w:rPr>
          <w:rFonts w:asciiTheme="minorEastAsia" w:hAnsiTheme="minorEastAsia" w:eastAsiaTheme="minorEastAsia" w:cstheme="minorEastAsia"/>
          <w:b/>
          <w:bCs/>
          <w:color w:val="auto"/>
          <w:sz w:val="32"/>
          <w:szCs w:val="32"/>
        </w:rPr>
      </w:pPr>
      <w:bookmarkStart w:id="58" w:name="_Toc8865"/>
      <w:bookmarkStart w:id="59" w:name="_Toc31472_WPSOffice_Level1"/>
      <w:r>
        <w:rPr>
          <w:rFonts w:hint="eastAsia" w:asciiTheme="minorEastAsia" w:hAnsiTheme="minorEastAsia" w:eastAsiaTheme="minorEastAsia" w:cstheme="minorEastAsia"/>
          <w:b/>
          <w:bCs/>
          <w:color w:val="auto"/>
          <w:sz w:val="32"/>
          <w:szCs w:val="32"/>
        </w:rPr>
        <w:t>采购需求</w:t>
      </w:r>
      <w:bookmarkEnd w:id="58"/>
      <w:bookmarkEnd w:id="59"/>
    </w:p>
    <w:p>
      <w:pPr>
        <w:pStyle w:val="20"/>
        <w:ind w:left="840" w:leftChars="400" w:firstLine="0" w:firstLineChars="0"/>
        <w:rPr>
          <w:color w:val="auto"/>
        </w:rPr>
      </w:pPr>
    </w:p>
    <w:p>
      <w:pPr>
        <w:pStyle w:val="223"/>
        <w:numPr>
          <w:ilvl w:val="0"/>
          <w:numId w:val="3"/>
        </w:numPr>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kern w:val="0"/>
          <w:szCs w:val="21"/>
        </w:rPr>
        <w:t>项目名称：</w:t>
      </w:r>
      <w:r>
        <w:rPr>
          <w:rFonts w:hint="eastAsia" w:asciiTheme="minorEastAsia" w:hAnsiTheme="minorEastAsia" w:eastAsiaTheme="minorEastAsia" w:cstheme="minorEastAsia"/>
          <w:color w:val="auto"/>
          <w:szCs w:val="21"/>
          <w:lang w:eastAsia="zh-CN"/>
        </w:rPr>
        <w:t>临湘市水利工程白蚁等害堤动物防治项目</w:t>
      </w:r>
    </w:p>
    <w:p>
      <w:pPr>
        <w:pStyle w:val="223"/>
        <w:numPr>
          <w:ilvl w:val="0"/>
          <w:numId w:val="3"/>
        </w:numPr>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kern w:val="0"/>
          <w:szCs w:val="21"/>
        </w:rPr>
        <w:t>项目清单及说明：</w:t>
      </w:r>
      <w:r>
        <w:rPr>
          <w:rFonts w:hint="eastAsia" w:asciiTheme="minorEastAsia" w:hAnsiTheme="minorEastAsia" w:eastAsiaTheme="minorEastAsia" w:cstheme="minorEastAsia"/>
          <w:color w:val="auto"/>
          <w:kern w:val="0"/>
          <w:szCs w:val="21"/>
        </w:rPr>
        <w:t>具体详见附件工程量清单（</w:t>
      </w:r>
      <w:r>
        <w:rPr>
          <w:rFonts w:hint="eastAsia" w:asciiTheme="minorEastAsia" w:hAnsiTheme="minorEastAsia" w:eastAsiaTheme="minorEastAsia" w:cstheme="minorEastAsia"/>
          <w:color w:val="auto"/>
          <w:szCs w:val="21"/>
        </w:rPr>
        <w:t>工程量清单另册装订</w:t>
      </w:r>
      <w:r>
        <w:rPr>
          <w:rFonts w:hint="eastAsia" w:asciiTheme="minorEastAsia" w:hAnsiTheme="minorEastAsia" w:eastAsiaTheme="minorEastAsia" w:cstheme="minorEastAsia"/>
          <w:b/>
          <w:bCs/>
          <w:color w:val="auto"/>
          <w:kern w:val="0"/>
          <w:szCs w:val="21"/>
        </w:rPr>
        <w:t>）</w:t>
      </w:r>
      <w:r>
        <w:rPr>
          <w:rFonts w:hint="eastAsia" w:asciiTheme="minorEastAsia" w:hAnsiTheme="minorEastAsia" w:eastAsiaTheme="minorEastAsia" w:cstheme="minorEastAsia"/>
          <w:color w:val="auto"/>
          <w:szCs w:val="21"/>
        </w:rPr>
        <w:t>。</w:t>
      </w:r>
    </w:p>
    <w:p>
      <w:pPr>
        <w:pStyle w:val="223"/>
        <w:numPr>
          <w:ilvl w:val="0"/>
          <w:numId w:val="3"/>
        </w:numPr>
        <w:adjustRightInd w:val="0"/>
        <w:snapToGrid w:val="0"/>
        <w:spacing w:line="360" w:lineRule="auto"/>
        <w:ind w:firstLineChars="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工期及质量要求</w:t>
      </w:r>
      <w:r>
        <w:rPr>
          <w:rFonts w:hint="eastAsia" w:asciiTheme="minorEastAsia" w:hAnsiTheme="minorEastAsia" w:eastAsiaTheme="minorEastAsia" w:cstheme="minorEastAsia"/>
          <w:color w:val="auto"/>
          <w:szCs w:val="21"/>
        </w:rPr>
        <w:t>：</w:t>
      </w:r>
    </w:p>
    <w:p>
      <w:pPr>
        <w:pStyle w:val="223"/>
        <w:numPr>
          <w:ilvl w:val="0"/>
          <w:numId w:val="4"/>
        </w:numPr>
        <w:adjustRightInd w:val="0"/>
        <w:snapToGrid w:val="0"/>
        <w:spacing w:line="360" w:lineRule="auto"/>
        <w:ind w:firstLineChars="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工期要求：</w:t>
      </w:r>
      <w:r>
        <w:rPr>
          <w:rFonts w:hint="eastAsia" w:asciiTheme="minorEastAsia" w:hAnsiTheme="minorEastAsia" w:eastAsiaTheme="minorEastAsia" w:cstheme="minorEastAsia"/>
          <w:color w:val="auto"/>
          <w:szCs w:val="21"/>
          <w:lang w:eastAsia="zh-CN"/>
        </w:rPr>
        <w:t>合同中明确</w:t>
      </w:r>
      <w:r>
        <w:rPr>
          <w:rFonts w:hint="eastAsia" w:asciiTheme="minorEastAsia" w:hAnsiTheme="minorEastAsia" w:eastAsiaTheme="minorEastAsia" w:cstheme="minorEastAsia"/>
          <w:color w:val="auto"/>
          <w:szCs w:val="21"/>
        </w:rPr>
        <w:t>。</w:t>
      </w:r>
    </w:p>
    <w:p>
      <w:pPr>
        <w:adjustRightInd w:val="0"/>
        <w:snapToGrid w:val="0"/>
        <w:spacing w:line="360" w:lineRule="auto"/>
        <w:ind w:firstLine="525" w:firstLineChars="25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2、质量要求：符合《工程施工质量验收规范》要求验收合格。</w:t>
      </w:r>
    </w:p>
    <w:p>
      <w:pPr>
        <w:pStyle w:val="223"/>
        <w:numPr>
          <w:ilvl w:val="0"/>
          <w:numId w:val="3"/>
        </w:numPr>
        <w:adjustRightInd w:val="0"/>
        <w:snapToGrid w:val="0"/>
        <w:spacing w:line="360" w:lineRule="auto"/>
        <w:ind w:firstLineChars="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项目实施要求：</w:t>
      </w:r>
    </w:p>
    <w:p>
      <w:pPr>
        <w:pStyle w:val="223"/>
        <w:adjustRightInd w:val="0"/>
        <w:snapToGrid w:val="0"/>
        <w:spacing w:line="360" w:lineRule="auto"/>
        <w:ind w:left="420" w:firstLine="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1、建筑材料运输、保管及保险</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1.1成交人负责材料到施工地点的全部运输，包括装卸及现场搬运等。</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1.2成交人负责材料在施工地点的保管，直至项目验收合格。</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1.3成交人负责其派出的施工人员的人身意外保险。</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2.施工要求</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2.1成交人须加强施工的组织管理，所有施工人员须遵守文明安全施工的有关规章制度，持证上岗。按施工图要求进行施工。</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3.验收要求</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3.1由采购人组织验收活动，成交人负责在当地建设行政主管部门办理工程竣工验收备案。</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4.质量保证</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4.1本工程质量</w:t>
      </w:r>
      <w:r>
        <w:rPr>
          <w:rFonts w:hint="eastAsia" w:asciiTheme="minorEastAsia" w:hAnsiTheme="minorEastAsia" w:eastAsiaTheme="minorEastAsia" w:cstheme="minorEastAsia"/>
          <w:bCs/>
          <w:color w:val="auto"/>
          <w:szCs w:val="21"/>
        </w:rPr>
        <w:t>符合《工程施工质量验收规范》要求验收合格</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4.2质量保修：按国务院2000年第279号令规定保修内容及期限，由承包人承担其责任与义务。</w:t>
      </w:r>
    </w:p>
    <w:p>
      <w:pPr>
        <w:pStyle w:val="223"/>
        <w:adjustRightInd w:val="0"/>
        <w:snapToGrid w:val="0"/>
        <w:spacing w:line="360" w:lineRule="auto"/>
        <w:ind w:left="477" w:firstLine="0" w:firstLineChars="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五.</w:t>
      </w:r>
      <w:r>
        <w:rPr>
          <w:rFonts w:hint="eastAsia" w:asciiTheme="minorEastAsia" w:hAnsiTheme="minorEastAsia" w:eastAsiaTheme="minorEastAsia" w:cstheme="minorEastAsia"/>
          <w:b/>
          <w:color w:val="auto"/>
          <w:szCs w:val="21"/>
        </w:rPr>
        <w:t>项目特别说明</w:t>
      </w:r>
    </w:p>
    <w:p>
      <w:pPr>
        <w:pStyle w:val="223"/>
        <w:numPr>
          <w:ilvl w:val="0"/>
          <w:numId w:val="5"/>
        </w:numPr>
        <w:adjustRightInd w:val="0"/>
        <w:snapToGrid w:val="0"/>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实施时间及地点</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1.1实施时间：签订合同日起；</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1.2实施地点：采购人指定地点</w:t>
      </w:r>
    </w:p>
    <w:p>
      <w:pPr>
        <w:pStyle w:val="223"/>
        <w:numPr>
          <w:ilvl w:val="0"/>
          <w:numId w:val="5"/>
        </w:numPr>
        <w:adjustRightInd w:val="0"/>
        <w:snapToGrid w:val="0"/>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结算方法</w:t>
      </w:r>
    </w:p>
    <w:p>
      <w:pPr>
        <w:pStyle w:val="223"/>
        <w:adjustRightInd w:val="0"/>
        <w:snapToGrid w:val="0"/>
        <w:spacing w:line="360" w:lineRule="auto"/>
        <w:ind w:left="420" w:firstLine="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2.1付款人：临湘市</w:t>
      </w:r>
      <w:r>
        <w:rPr>
          <w:rFonts w:hint="eastAsia" w:asciiTheme="minorEastAsia" w:hAnsiTheme="minorEastAsia" w:eastAsiaTheme="minorEastAsia" w:cstheme="minorEastAsia"/>
          <w:color w:val="auto"/>
          <w:szCs w:val="21"/>
          <w:lang w:eastAsia="zh-CN"/>
        </w:rPr>
        <w:t>水利工程服务站</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3.争议的解决</w:t>
      </w:r>
    </w:p>
    <w:p>
      <w:pPr>
        <w:pStyle w:val="223"/>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本合同在履行过程中发生争议，双方应及时协商解决，协商不成时，双方同意当地人民法院起诉。</w:t>
      </w:r>
    </w:p>
    <w:p>
      <w:pPr>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4、投标人在投标前，如须踏勘现场，有关费用自理，踏勘期间发生的意外自负。</w:t>
      </w:r>
    </w:p>
    <w:p>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w:t>
      </w:r>
      <w:r>
        <w:rPr>
          <w:rFonts w:hint="eastAsia" w:asciiTheme="minorEastAsia" w:hAnsiTheme="minorEastAsia" w:eastAsiaTheme="minorEastAsia" w:cstheme="minorEastAsia"/>
          <w:b/>
          <w:color w:val="auto"/>
          <w:kern w:val="0"/>
          <w:szCs w:val="21"/>
        </w:rPr>
        <w:t>在磋商过程中，磋商文件可能发生实质性变动的技术、服务要求以及合同草案条款，请在可能变动的条款旁予以文字注明，并将</w:t>
      </w:r>
      <w:r>
        <w:rPr>
          <w:rFonts w:hint="eastAsia" w:asciiTheme="minorEastAsia" w:hAnsiTheme="minorEastAsia" w:eastAsiaTheme="minorEastAsia" w:cstheme="minorEastAsia"/>
          <w:b/>
          <w:color w:val="auto"/>
          <w:szCs w:val="21"/>
        </w:rPr>
        <w:t>磋商文件可能变动的内容在磋商须知前附表中明确。</w:t>
      </w:r>
    </w:p>
    <w:p>
      <w:pPr>
        <w:pStyle w:val="20"/>
        <w:ind w:firstLine="422"/>
        <w:rPr>
          <w:rFonts w:asciiTheme="minorEastAsia" w:hAnsiTheme="minorEastAsia" w:eastAsiaTheme="minorEastAsia" w:cstheme="minorEastAsia"/>
          <w:b/>
          <w:color w:val="auto"/>
          <w:szCs w:val="21"/>
        </w:rPr>
      </w:pPr>
    </w:p>
    <w:p>
      <w:pPr>
        <w:pStyle w:val="20"/>
        <w:ind w:firstLine="422"/>
        <w:rPr>
          <w:rFonts w:asciiTheme="minorEastAsia" w:hAnsiTheme="minorEastAsia" w:eastAsiaTheme="minorEastAsia" w:cstheme="minorEastAsia"/>
          <w:b/>
          <w:color w:val="auto"/>
          <w:szCs w:val="21"/>
        </w:rPr>
      </w:pPr>
    </w:p>
    <w:p>
      <w:pPr>
        <w:pStyle w:val="20"/>
        <w:ind w:firstLine="422"/>
        <w:rPr>
          <w:rFonts w:asciiTheme="minorEastAsia" w:hAnsiTheme="minorEastAsia" w:eastAsiaTheme="minorEastAsia" w:cstheme="minorEastAsia"/>
          <w:b/>
          <w:color w:val="auto"/>
          <w:szCs w:val="21"/>
        </w:rPr>
      </w:pPr>
    </w:p>
    <w:p>
      <w:pPr>
        <w:numPr>
          <w:ilvl w:val="0"/>
          <w:numId w:val="6"/>
        </w:numPr>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响应文件组成</w:t>
      </w:r>
    </w:p>
    <w:p>
      <w:pPr>
        <w:pStyle w:val="4"/>
        <w:jc w:val="both"/>
        <w:rPr>
          <w:color w:val="auto"/>
        </w:rPr>
      </w:pPr>
    </w:p>
    <w:p>
      <w:pPr>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供应商的响应文件应包含以下部分：</w:t>
      </w:r>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0" w:name="_Toc2199"/>
      <w:r>
        <w:rPr>
          <w:rFonts w:hint="eastAsia" w:asciiTheme="minorEastAsia" w:hAnsiTheme="minorEastAsia" w:eastAsiaTheme="minorEastAsia" w:cstheme="minorEastAsia"/>
          <w:b/>
          <w:color w:val="auto"/>
          <w:szCs w:val="21"/>
        </w:rPr>
        <w:t>一、磋商响应声明</w:t>
      </w:r>
      <w:bookmarkEnd w:id="60"/>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附件1：法定代表人身份证明</w:t>
      </w:r>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附件2：法定代表人授权委托书</w:t>
      </w:r>
    </w:p>
    <w:p>
      <w:pPr>
        <w:pStyle w:val="223"/>
        <w:numPr>
          <w:ilvl w:val="0"/>
          <w:numId w:val="7"/>
        </w:numPr>
        <w:adjustRightInd w:val="0"/>
        <w:snapToGrid w:val="0"/>
        <w:spacing w:line="360" w:lineRule="auto"/>
        <w:ind w:firstLineChars="0"/>
        <w:jc w:val="left"/>
        <w:outlineLvl w:val="1"/>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投标承诺</w:t>
      </w:r>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1" w:name="_Toc10974"/>
      <w:r>
        <w:rPr>
          <w:rFonts w:hint="eastAsia" w:asciiTheme="minorEastAsia" w:hAnsiTheme="minorEastAsia" w:eastAsiaTheme="minorEastAsia" w:cstheme="minorEastAsia"/>
          <w:b/>
          <w:color w:val="auto"/>
          <w:szCs w:val="21"/>
        </w:rPr>
        <w:t>三、供应商的资格证明资料</w:t>
      </w:r>
      <w:bookmarkEnd w:id="61"/>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附件3：供应商基本情况表</w:t>
      </w:r>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附件4：磋商文件规定的基本资格条件证明资料</w:t>
      </w:r>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附件5：磋商文件规定的特定资格条件证明资料</w:t>
      </w:r>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附件6：其他说明</w:t>
      </w:r>
    </w:p>
    <w:p>
      <w:pPr>
        <w:pStyle w:val="25"/>
        <w:adjustRightInd w:val="0"/>
        <w:snapToGrid w:val="0"/>
        <w:spacing w:line="360" w:lineRule="auto"/>
        <w:outlineLvl w:val="1"/>
        <w:rPr>
          <w:rFonts w:asciiTheme="minorEastAsia" w:hAnsiTheme="minorEastAsia" w:eastAsiaTheme="minorEastAsia" w:cstheme="minorEastAsia"/>
          <w:b/>
          <w:color w:val="auto"/>
        </w:rPr>
      </w:pPr>
      <w:bookmarkStart w:id="62" w:name="_Toc7070"/>
      <w:r>
        <w:rPr>
          <w:rFonts w:hint="eastAsia" w:asciiTheme="minorEastAsia" w:hAnsiTheme="minorEastAsia" w:eastAsiaTheme="minorEastAsia" w:cstheme="minorEastAsia"/>
          <w:b/>
          <w:color w:val="auto"/>
        </w:rPr>
        <w:t>四、施工实施方案</w:t>
      </w:r>
      <w:bookmarkEnd w:id="62"/>
    </w:p>
    <w:p>
      <w:pPr>
        <w:pStyle w:val="25"/>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附件7-1：施工主要人员简历表</w:t>
      </w:r>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3" w:name="_Toc18280"/>
      <w:r>
        <w:rPr>
          <w:rFonts w:hint="eastAsia" w:asciiTheme="minorEastAsia" w:hAnsiTheme="minorEastAsia" w:eastAsiaTheme="minorEastAsia" w:cstheme="minorEastAsia"/>
          <w:b/>
          <w:color w:val="auto"/>
          <w:szCs w:val="21"/>
        </w:rPr>
        <w:t>五、技术/商务响应与偏离表</w:t>
      </w:r>
      <w:bookmarkEnd w:id="63"/>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4" w:name="_Toc29849"/>
      <w:r>
        <w:rPr>
          <w:rFonts w:hint="eastAsia" w:asciiTheme="minorEastAsia" w:hAnsiTheme="minorEastAsia" w:eastAsiaTheme="minorEastAsia" w:cstheme="minorEastAsia"/>
          <w:b/>
          <w:color w:val="auto"/>
          <w:szCs w:val="21"/>
        </w:rPr>
        <w:t>六、提供享受政府采购政策的证明资料和清单表</w:t>
      </w:r>
      <w:bookmarkEnd w:id="64"/>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附件8：中小企业声明函</w:t>
      </w:r>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5" w:name="_Toc6984"/>
      <w:r>
        <w:rPr>
          <w:rFonts w:hint="eastAsia" w:asciiTheme="minorEastAsia" w:hAnsiTheme="minorEastAsia" w:eastAsiaTheme="minorEastAsia" w:cstheme="minorEastAsia"/>
          <w:b/>
          <w:color w:val="auto"/>
          <w:szCs w:val="21"/>
        </w:rPr>
        <w:t>七、报价一览表及分项价格表</w:t>
      </w:r>
      <w:bookmarkEnd w:id="65"/>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附件9：报价一览表</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附件9-1：分项价格表</w:t>
      </w:r>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6" w:name="_Toc7333"/>
      <w:r>
        <w:rPr>
          <w:rFonts w:hint="eastAsia" w:asciiTheme="minorEastAsia" w:hAnsiTheme="minorEastAsia" w:eastAsiaTheme="minorEastAsia" w:cstheme="minorEastAsia"/>
          <w:b/>
          <w:color w:val="auto"/>
          <w:szCs w:val="21"/>
        </w:rPr>
        <w:t>八、供应商认为需提供的其它资料</w:t>
      </w:r>
      <w:bookmarkEnd w:id="66"/>
    </w:p>
    <w:p>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7" w:name="_Toc30658"/>
      <w:r>
        <w:rPr>
          <w:rFonts w:hint="eastAsia" w:asciiTheme="minorEastAsia" w:hAnsiTheme="minorEastAsia" w:eastAsiaTheme="minorEastAsia" w:cstheme="minorEastAsia"/>
          <w:b/>
          <w:color w:val="auto"/>
          <w:szCs w:val="21"/>
        </w:rPr>
        <w:t>九、最后报价</w:t>
      </w:r>
      <w:bookmarkEnd w:id="67"/>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pStyle w:val="20"/>
        <w:ind w:firstLine="643"/>
        <w:rPr>
          <w:rFonts w:asciiTheme="minorEastAsia" w:hAnsiTheme="minorEastAsia" w:eastAsiaTheme="minorEastAsia" w:cstheme="minorEastAsia"/>
          <w:b/>
          <w:color w:val="auto"/>
          <w:sz w:val="32"/>
          <w:szCs w:val="32"/>
        </w:rPr>
      </w:pPr>
    </w:p>
    <w:p>
      <w:pPr>
        <w:spacing w:line="360" w:lineRule="exact"/>
        <w:ind w:firstLine="3240" w:firstLineChars="450"/>
        <w:outlineLvl w:val="1"/>
        <w:rPr>
          <w:rFonts w:asciiTheme="minorEastAsia" w:hAnsiTheme="minorEastAsia" w:eastAsiaTheme="minorEastAsia" w:cstheme="minorEastAsia"/>
          <w:b/>
          <w:color w:val="auto"/>
          <w:sz w:val="32"/>
          <w:szCs w:val="32"/>
        </w:rPr>
      </w:pPr>
      <w:bookmarkStart w:id="68" w:name="_Toc19068"/>
      <w:r>
        <w:rPr>
          <w:rFonts w:asciiTheme="minorEastAsia" w:hAnsiTheme="minorEastAsia" w:eastAsiaTheme="minorEastAsia" w:cstheme="minorEastAsia"/>
          <w:color w:val="auto"/>
          <w:sz w:val="72"/>
        </w:rPr>
        <w:pict>
          <v:rect id="_x0000_s1026" o:spid="_x0000_s1026" o:spt="1" style="position:absolute;left:0pt;margin-left:559.5pt;margin-top:1.2pt;height:32.1pt;width:60.65pt;z-index:251660288;mso-width-relative:page;mso-height-relative:page;" coordsize="21600,21600" o:gfxdata="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V2nzzXAAAACgEAAA8AAAAAAAAAAQAgAAAAIgAAAGRy&#10;cy9kb3ducmV2LnhtbFBLAQIUABQAAAAIAIdO4kBCSgL6BgIAADYEAAAOAAAAAAAAAAEAIAAAACYB&#10;AABkcnMvZTJvRG9jLnhtbFBLBQYAAAAABgAGAFkBAACeBQAAAAA=&#10;">
            <v:path/>
            <v:fill focussize="0,0"/>
            <v:stroke/>
            <v:imagedata o:title=""/>
            <o:lock v:ext="edit"/>
            <v:textbox>
              <w:txbxContent>
                <w:p/>
              </w:txbxContent>
            </v:textbox>
          </v:rect>
        </w:pict>
      </w:r>
      <w:r>
        <w:rPr>
          <w:rFonts w:hint="eastAsia" w:asciiTheme="minorEastAsia" w:hAnsiTheme="minorEastAsia" w:eastAsiaTheme="minorEastAsia" w:cstheme="minorEastAsia"/>
          <w:b/>
          <w:color w:val="auto"/>
          <w:sz w:val="32"/>
          <w:szCs w:val="32"/>
        </w:rPr>
        <w:t>一、磋商响应声明</w:t>
      </w:r>
      <w:bookmarkEnd w:id="68"/>
    </w:p>
    <w:p>
      <w:pPr>
        <w:adjustRightInd w:val="0"/>
        <w:snapToGrid w:val="0"/>
        <w:spacing w:line="360" w:lineRule="auto"/>
        <w:rPr>
          <w:rFonts w:asciiTheme="minorEastAsia" w:hAnsiTheme="minorEastAsia" w:eastAsiaTheme="minorEastAsia" w:cstheme="minorEastAsia"/>
          <w:color w:val="auto"/>
          <w:sz w:val="24"/>
        </w:rPr>
      </w:pP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致 (采购人或采购代理机构)：</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我方已仔细研究了</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项目名称)的竞争性磋商文件（采购代理编号：）的全部内容，</w:t>
      </w:r>
      <w:r>
        <w:rPr>
          <w:rFonts w:hint="eastAsia" w:asciiTheme="minorEastAsia" w:hAnsiTheme="minorEastAsia" w:eastAsiaTheme="minorEastAsia" w:cstheme="minorEastAsia"/>
          <w:color w:val="auto"/>
        </w:rPr>
        <w:t>知悉参加竞争性磋商的风险，我方承诺接受磋商文件的全部条款且无任何异议。</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一、我方同意在磋商文件中规定的提交首次响应文件截止时间起日内(响应文件有效期)遵守本响应文件中的承诺且在此期限期满之前均具有法律约束力。</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二、我方提交响应文件正本一份</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副本</w:t>
      </w:r>
      <w:r>
        <w:rPr>
          <w:rFonts w:hint="eastAsia" w:asciiTheme="minorEastAsia" w:hAnsiTheme="minorEastAsia" w:eastAsiaTheme="minorEastAsia" w:cstheme="minorEastAsia"/>
          <w:color w:val="auto"/>
          <w:lang w:val="en-US" w:eastAsia="zh-CN"/>
        </w:rPr>
        <w:t>二</w:t>
      </w:r>
      <w:r>
        <w:rPr>
          <w:rFonts w:hint="eastAsia" w:asciiTheme="minorEastAsia" w:hAnsiTheme="minorEastAsia" w:eastAsiaTheme="minorEastAsia" w:cstheme="minorEastAsia"/>
          <w:color w:val="auto"/>
        </w:rPr>
        <w:t>份</w:t>
      </w:r>
      <w:r>
        <w:rPr>
          <w:rFonts w:hint="eastAsia" w:asciiTheme="minorEastAsia" w:hAnsiTheme="minorEastAsia" w:eastAsiaTheme="minorEastAsia" w:cstheme="minorEastAsia"/>
          <w:color w:val="auto"/>
          <w:lang w:val="en-US" w:eastAsia="zh-CN"/>
        </w:rPr>
        <w:t>及电子文档一份</w:t>
      </w:r>
      <w:r>
        <w:rPr>
          <w:rFonts w:hint="eastAsia" w:asciiTheme="minorEastAsia" w:hAnsiTheme="minorEastAsia" w:eastAsiaTheme="minorEastAsia" w:cstheme="minorEastAsia"/>
          <w:color w:val="auto"/>
        </w:rPr>
        <w:t>，并保证响应文件提供的数据和资料全部内容真实、合法、准确和完整，我们对此负责，并愿承担由此引起的法律责任。</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三、我方愿意向贵方提供任何与本项采购有关的数据、情况和技术资料。若贵方需要，我方愿意提供我方作出的一切承诺的证明资料。</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四、我方愿意按磋商文件规定和磋商小组要求重新提交响应文件和最后报价。</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五、我方承诺遵守《中华人民共和国政府采购法》的有关规定，保证在获得成交资格后，按照磋商文件确定的事项签订政府采购合同，履行双方所签订的合同，并承担合同规定的责任和义务。</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六、我方在此声明： </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（一）我方与采购人或采购代理机构不存在隶属关系或者其他利害关系。</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（二）我方与参加本项目的其他供应商不存在直接控股、管理关系，或者与其他供应商法定代表人（或者负责人）为同一人。</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（三）我方未为本项目前期准备提供设计或咨询服务。</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（四）我方承诺（承诺期：成立三年以上的，为提交首次响应文件截止时间前三年内；成立不足三年的，为实际时间）：</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1、我方依法缴纳了各项税费及各项社会保障资金，没有偷税、漏税及欠缴行为。</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2、我方在经营活动中没有存在下列重大违法记录：</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(1)受到刑事处罚；</w:t>
      </w:r>
    </w:p>
    <w:p>
      <w:pPr>
        <w:pStyle w:val="25"/>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(2)受到三万元以上的罚款、责令停产停业、在一至三年内禁止参加政府采购活动、暂扣或者吊销许可证、暂扣或者吊销执照的行政处罚。</w:t>
      </w:r>
    </w:p>
    <w:p>
      <w:pPr>
        <w:adjustRightInd w:val="0"/>
        <w:snapToGrid w:val="0"/>
        <w:spacing w:line="360" w:lineRule="auto"/>
        <w:ind w:right="24"/>
        <w:rPr>
          <w:rFonts w:asciiTheme="minorEastAsia" w:hAnsiTheme="minorEastAsia" w:eastAsiaTheme="minorEastAsia" w:cstheme="minorEastAsia"/>
          <w:color w:val="auto"/>
          <w:szCs w:val="21"/>
        </w:rPr>
      </w:pPr>
      <w:bookmarkStart w:id="69" w:name="_Toc20965_WPSOffice_Level1"/>
      <w:r>
        <w:rPr>
          <w:rFonts w:hint="eastAsia" w:asciiTheme="minorEastAsia" w:hAnsiTheme="minorEastAsia" w:eastAsiaTheme="minorEastAsia" w:cstheme="minorEastAsia"/>
          <w:bCs/>
          <w:color w:val="auto"/>
          <w:szCs w:val="21"/>
        </w:rPr>
        <w:t>附件1：</w:t>
      </w:r>
      <w:r>
        <w:rPr>
          <w:rFonts w:hint="eastAsia" w:asciiTheme="minorEastAsia" w:hAnsiTheme="minorEastAsia" w:eastAsiaTheme="minorEastAsia" w:cstheme="minorEastAsia"/>
          <w:color w:val="auto"/>
          <w:szCs w:val="21"/>
        </w:rPr>
        <w:t>法定代表人身份证明</w:t>
      </w:r>
      <w:bookmarkEnd w:id="69"/>
    </w:p>
    <w:p>
      <w:pPr>
        <w:adjustRightInd w:val="0"/>
        <w:snapToGrid w:val="0"/>
        <w:spacing w:line="360" w:lineRule="auto"/>
        <w:ind w:right="24"/>
        <w:rPr>
          <w:rFonts w:asciiTheme="minorEastAsia" w:hAnsiTheme="minorEastAsia" w:eastAsiaTheme="minorEastAsia" w:cstheme="minorEastAsia"/>
          <w:color w:val="auto"/>
          <w:szCs w:val="21"/>
        </w:rPr>
      </w:pPr>
      <w:bookmarkStart w:id="70" w:name="_Toc31857_WPSOffice_Level1"/>
      <w:r>
        <w:rPr>
          <w:rFonts w:hint="eastAsia" w:asciiTheme="minorEastAsia" w:hAnsiTheme="minorEastAsia" w:eastAsiaTheme="minorEastAsia" w:cstheme="minorEastAsia"/>
          <w:bCs/>
          <w:color w:val="auto"/>
          <w:szCs w:val="21"/>
        </w:rPr>
        <w:t>附件2</w:t>
      </w:r>
      <w:r>
        <w:rPr>
          <w:rFonts w:hint="eastAsia" w:asciiTheme="minorEastAsia" w:hAnsiTheme="minorEastAsia" w:eastAsiaTheme="minorEastAsia" w:cstheme="minorEastAsia"/>
          <w:color w:val="auto"/>
          <w:szCs w:val="21"/>
        </w:rPr>
        <w:t>：法定代表人授权书</w:t>
      </w:r>
      <w:bookmarkEnd w:id="70"/>
    </w:p>
    <w:p>
      <w:pPr>
        <w:pStyle w:val="25"/>
        <w:adjustRightInd w:val="0"/>
        <w:snapToGrid w:val="0"/>
        <w:spacing w:line="360" w:lineRule="auto"/>
        <w:rPr>
          <w:rFonts w:asciiTheme="minorEastAsia" w:hAnsiTheme="minorEastAsia" w:eastAsiaTheme="minorEastAsia" w:cstheme="minorEastAsia"/>
          <w:color w:val="auto"/>
        </w:rPr>
      </w:pPr>
    </w:p>
    <w:p>
      <w:pPr>
        <w:pStyle w:val="25"/>
        <w:adjustRightInd w:val="0"/>
        <w:snapToGri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供应商名称(盖单位章)：</w:t>
      </w: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法定代表人或其委托代理人 (签字)：</w:t>
      </w: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     期：年月日</w:t>
      </w:r>
    </w:p>
    <w:p>
      <w:pPr>
        <w:pStyle w:val="63"/>
        <w:rPr>
          <w:color w:val="auto"/>
        </w:rPr>
      </w:pPr>
    </w:p>
    <w:p>
      <w:pPr>
        <w:rPr>
          <w:rFonts w:asciiTheme="minorEastAsia" w:hAnsiTheme="minorEastAsia" w:eastAsiaTheme="minorEastAsia" w:cstheme="minorEastAsia"/>
          <w:b/>
          <w:color w:val="auto"/>
          <w:sz w:val="30"/>
          <w:szCs w:val="30"/>
        </w:rPr>
      </w:pPr>
      <w:bookmarkStart w:id="71" w:name="_Toc24842"/>
      <w:r>
        <w:rPr>
          <w:rFonts w:hint="eastAsia" w:asciiTheme="minorEastAsia" w:hAnsiTheme="minorEastAsia" w:eastAsiaTheme="minorEastAsia" w:cstheme="minorEastAsia"/>
          <w:b/>
          <w:color w:val="auto"/>
          <w:sz w:val="30"/>
          <w:szCs w:val="30"/>
        </w:rPr>
        <w:t>附件1</w:t>
      </w:r>
      <w:bookmarkEnd w:id="71"/>
    </w:p>
    <w:p>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法定代表人身份证明</w:t>
      </w:r>
    </w:p>
    <w:p>
      <w:pPr>
        <w:tabs>
          <w:tab w:val="left" w:pos="3880"/>
        </w:tabs>
        <w:autoSpaceDE w:val="0"/>
        <w:autoSpaceDN w:val="0"/>
        <w:adjustRightInd w:val="0"/>
        <w:snapToGrid w:val="0"/>
        <w:spacing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p>
    <w:p>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：系</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pPr>
        <w:autoSpaceDE w:val="0"/>
        <w:autoSpaceDN w:val="0"/>
        <w:adjustRightInd w:val="0"/>
        <w:snapToGrid w:val="0"/>
        <w:spacing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pPr>
        <w:autoSpaceDE w:val="0"/>
        <w:autoSpaceDN w:val="0"/>
        <w:adjustRightInd w:val="0"/>
        <w:snapToGrid w:val="0"/>
        <w:spacing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3898" w:type="dxa"/>
            <w:noWrap/>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Lines="50" w:line="360" w:lineRule="auto"/>
        <w:rPr>
          <w:rFonts w:ascii="宋体" w:hAnsi="宋体"/>
          <w:color w:val="auto"/>
          <w:szCs w:val="21"/>
        </w:rPr>
      </w:pPr>
    </w:p>
    <w:p>
      <w:pPr>
        <w:adjustRightInd w:val="0"/>
        <w:snapToGrid w:val="0"/>
        <w:spacing w:beforeLines="50" w:line="360" w:lineRule="auto"/>
        <w:rPr>
          <w:rFonts w:ascii="宋体" w:hAnsi="宋体"/>
          <w:color w:val="auto"/>
          <w:szCs w:val="21"/>
        </w:rPr>
      </w:pPr>
    </w:p>
    <w:p>
      <w:pPr>
        <w:pStyle w:val="4"/>
        <w:rPr>
          <w:rFonts w:ascii="宋体" w:hAnsi="宋体"/>
          <w:color w:val="auto"/>
          <w:szCs w:val="21"/>
        </w:rPr>
      </w:pPr>
    </w:p>
    <w:p>
      <w:pPr>
        <w:rPr>
          <w:color w:val="auto"/>
        </w:rPr>
      </w:pPr>
    </w:p>
    <w:p>
      <w:pPr>
        <w:pStyle w:val="25"/>
        <w:adjustRightInd w:val="0"/>
        <w:snapToGrid w:val="0"/>
        <w:spacing w:beforeLines="50" w:line="360" w:lineRule="auto"/>
        <w:rPr>
          <w:rFonts w:hAnsi="宋体"/>
          <w:color w:val="auto"/>
        </w:rPr>
      </w:pPr>
      <w:r>
        <w:rPr>
          <w:rFonts w:hint="eastAsia" w:hAnsi="宋体"/>
          <w:color w:val="auto"/>
        </w:rPr>
        <w:t>供应商名称(盖单位公章)：</w:t>
      </w:r>
    </w:p>
    <w:p>
      <w:pPr>
        <w:adjustRightInd w:val="0"/>
        <w:snapToGrid w:val="0"/>
        <w:spacing w:beforeLines="50" w:line="360" w:lineRule="auto"/>
        <w:ind w:right="24"/>
        <w:rPr>
          <w:rFonts w:ascii="仿宋_GB2312" w:hAnsi="宋体" w:eastAsia="仿宋_GB2312"/>
          <w:color w:val="auto"/>
          <w:szCs w:val="21"/>
        </w:rPr>
      </w:pPr>
      <w:r>
        <w:rPr>
          <w:rFonts w:hint="eastAsia" w:ascii="宋体" w:hAnsi="宋体"/>
          <w:color w:val="auto"/>
          <w:szCs w:val="21"/>
        </w:rPr>
        <w:t>日期：年月日</w:t>
      </w:r>
    </w:p>
    <w:p>
      <w:pPr>
        <w:pStyle w:val="5"/>
        <w:jc w:val="center"/>
        <w:rPr>
          <w:color w:val="auto"/>
        </w:rPr>
      </w:pPr>
    </w:p>
    <w:p>
      <w:pPr>
        <w:pStyle w:val="5"/>
        <w:jc w:val="center"/>
        <w:rPr>
          <w:color w:val="auto"/>
        </w:rPr>
      </w:pPr>
    </w:p>
    <w:p>
      <w:pPr>
        <w:adjustRightInd w:val="0"/>
        <w:snapToGrid w:val="0"/>
        <w:spacing w:beforeLines="50" w:line="360" w:lineRule="auto"/>
        <w:rPr>
          <w:rFonts w:asciiTheme="minorEastAsia" w:hAnsiTheme="minorEastAsia" w:eastAsiaTheme="minorEastAsia" w:cstheme="minorEastAsia"/>
          <w:color w:val="auto"/>
          <w:szCs w:val="21"/>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pStyle w:val="63"/>
        <w:rPr>
          <w:color w:val="auto"/>
        </w:rPr>
      </w:pPr>
    </w:p>
    <w:p>
      <w:pPr>
        <w:adjustRightInd w:val="0"/>
        <w:snapToGrid w:val="0"/>
        <w:spacing w:beforeLines="50" w:line="360" w:lineRule="auto"/>
        <w:rPr>
          <w:rFonts w:asciiTheme="minorEastAsia" w:hAnsiTheme="minorEastAsia" w:eastAsiaTheme="minorEastAsia" w:cstheme="minorEastAsia"/>
          <w:bCs/>
          <w:color w:val="auto"/>
          <w:sz w:val="30"/>
          <w:szCs w:val="30"/>
        </w:rPr>
      </w:pPr>
    </w:p>
    <w:p>
      <w:pPr>
        <w:adjustRightInd w:val="0"/>
        <w:snapToGrid w:val="0"/>
        <w:spacing w:beforeLines="50" w:line="360" w:lineRule="auto"/>
        <w:outlineLvl w:val="0"/>
        <w:rPr>
          <w:rFonts w:asciiTheme="minorEastAsia" w:hAnsiTheme="minorEastAsia" w:eastAsiaTheme="minorEastAsia" w:cstheme="minorEastAsia"/>
          <w:b/>
          <w:color w:val="auto"/>
          <w:sz w:val="30"/>
          <w:szCs w:val="30"/>
        </w:rPr>
      </w:pPr>
      <w:bookmarkStart w:id="72" w:name="_Toc98"/>
      <w:r>
        <w:rPr>
          <w:rFonts w:hint="eastAsia" w:asciiTheme="minorEastAsia" w:hAnsiTheme="minorEastAsia" w:eastAsiaTheme="minorEastAsia" w:cstheme="minorEastAsia"/>
          <w:b/>
          <w:color w:val="auto"/>
          <w:sz w:val="30"/>
          <w:szCs w:val="30"/>
        </w:rPr>
        <w:t>附件2</w:t>
      </w:r>
      <w:bookmarkEnd w:id="72"/>
    </w:p>
    <w:p>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法定代表人授权委托书</w:t>
      </w:r>
    </w:p>
    <w:p>
      <w:pPr>
        <w:adjustRightInd w:val="0"/>
        <w:snapToGrid w:val="0"/>
        <w:spacing w:line="360" w:lineRule="auto"/>
        <w:jc w:val="center"/>
        <w:rPr>
          <w:rFonts w:asciiTheme="minorEastAsia" w:hAnsiTheme="minorEastAsia" w:eastAsiaTheme="minorEastAsia" w:cstheme="minorEastAsia"/>
          <w:b/>
          <w:color w:val="auto"/>
          <w:sz w:val="28"/>
          <w:szCs w:val="28"/>
        </w:rPr>
      </w:pPr>
    </w:p>
    <w:p>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本人（姓名、职务）系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，现授权（姓名、职务）为我方代理人。代理人根据授权，以我方名义：(1)签署、澄清、补正、修改、撤回、提交（项目名称、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 。</w:t>
      </w:r>
    </w:p>
    <w:p>
      <w:pPr>
        <w:adjustRightInd w:val="0"/>
        <w:snapToGrid w:val="0"/>
        <w:spacing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pPr>
        <w:adjustRightInd w:val="0"/>
        <w:snapToGrid w:val="0"/>
        <w:spacing w:beforeLines="50" w:line="360" w:lineRule="auto"/>
        <w:ind w:firstLine="435"/>
        <w:rPr>
          <w:rFonts w:ascii="宋体" w:hAnsi="宋体"/>
          <w:color w:val="auto"/>
          <w:szCs w:val="21"/>
        </w:rPr>
      </w:pPr>
      <w:r>
        <w:rPr>
          <w:rFonts w:hint="eastAsia" w:ascii="宋体" w:hAnsi="宋体"/>
          <w:color w:val="auto"/>
          <w:szCs w:val="21"/>
        </w:rPr>
        <w:t>本授权书于年月日签字生效，特此声明。</w:t>
      </w:r>
    </w:p>
    <w:p>
      <w:pPr>
        <w:adjustRightInd w:val="0"/>
        <w:snapToGrid w:val="0"/>
        <w:spacing w:beforeLines="50" w:line="360" w:lineRule="auto"/>
        <w:ind w:firstLine="435"/>
        <w:rPr>
          <w:color w:val="auto"/>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）和授权代理人的</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3898" w:type="dxa"/>
            <w:noWrap/>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pStyle w:val="4"/>
        <w:rPr>
          <w:rFonts w:ascii="宋体" w:hAnsi="宋体"/>
          <w:color w:val="auto"/>
          <w:szCs w:val="21"/>
        </w:rPr>
      </w:pPr>
    </w:p>
    <w:p>
      <w:pPr>
        <w:rPr>
          <w:color w:val="auto"/>
        </w:rPr>
      </w:pPr>
    </w:p>
    <w:p>
      <w:pPr>
        <w:adjustRightInd w:val="0"/>
        <w:snapToGrid w:val="0"/>
        <w:spacing w:beforeLines="50" w:line="360" w:lineRule="auto"/>
        <w:ind w:firstLine="420" w:firstLineChars="200"/>
        <w:rPr>
          <w:rFonts w:ascii="宋体" w:hAnsi="宋体"/>
          <w:color w:val="auto"/>
          <w:szCs w:val="21"/>
        </w:rPr>
      </w:pPr>
    </w:p>
    <w:p>
      <w:pPr>
        <w:pStyle w:val="25"/>
        <w:adjustRightInd w:val="0"/>
        <w:snapToGrid w:val="0"/>
        <w:spacing w:beforeLines="50" w:line="360" w:lineRule="auto"/>
        <w:rPr>
          <w:rFonts w:hAnsi="宋体"/>
          <w:color w:val="auto"/>
        </w:rPr>
      </w:pPr>
      <w:r>
        <w:rPr>
          <w:rFonts w:hint="eastAsia" w:hAnsi="宋体"/>
          <w:color w:val="auto"/>
        </w:rPr>
        <w:t>供应商名称(盖单位公章)：</w:t>
      </w:r>
    </w:p>
    <w:p>
      <w:pPr>
        <w:adjustRightInd w:val="0"/>
        <w:snapToGrid w:val="0"/>
        <w:spacing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olor w:val="auto"/>
          <w:szCs w:val="21"/>
        </w:rPr>
        <w:t>签字或印章</w:t>
      </w:r>
      <w:r>
        <w:rPr>
          <w:rFonts w:hint="eastAsia" w:ascii="宋体" w:hAnsi="宋体" w:cs="微软雅黑"/>
          <w:color w:val="auto"/>
          <w:spacing w:val="-2"/>
          <w:kern w:val="0"/>
          <w:szCs w:val="21"/>
        </w:rPr>
        <w:t>）：</w:t>
      </w:r>
    </w:p>
    <w:p>
      <w:pPr>
        <w:adjustRightInd w:val="0"/>
        <w:snapToGrid w:val="0"/>
        <w:spacing w:beforeLines="50" w:line="360" w:lineRule="auto"/>
        <w:rPr>
          <w:rFonts w:ascii="宋体" w:hAnsi="宋体"/>
          <w:color w:val="auto"/>
          <w:szCs w:val="21"/>
          <w:u w:val="single"/>
        </w:rPr>
      </w:pPr>
      <w:r>
        <w:rPr>
          <w:rFonts w:hint="eastAsia" w:ascii="宋体" w:hAnsi="宋体"/>
          <w:color w:val="auto"/>
          <w:szCs w:val="21"/>
        </w:rPr>
        <w:t>授权的代理人（签字或印章）：</w:t>
      </w:r>
    </w:p>
    <w:p>
      <w:pPr>
        <w:adjustRightInd w:val="0"/>
        <w:snapToGrid w:val="0"/>
        <w:spacing w:beforeLines="50" w:line="360" w:lineRule="auto"/>
        <w:rPr>
          <w:rFonts w:ascii="宋体" w:hAnsi="宋体"/>
          <w:color w:val="auto"/>
          <w:szCs w:val="21"/>
        </w:rPr>
      </w:pPr>
      <w:r>
        <w:rPr>
          <w:rFonts w:hint="eastAsia" w:ascii="宋体" w:hAnsi="宋体"/>
          <w:color w:val="auto"/>
          <w:szCs w:val="21"/>
        </w:rPr>
        <w:t>日期：年月日</w:t>
      </w:r>
    </w:p>
    <w:p>
      <w:pPr>
        <w:adjustRightInd w:val="0"/>
        <w:snapToGrid w:val="0"/>
        <w:spacing w:line="360" w:lineRule="auto"/>
        <w:ind w:right="420"/>
        <w:rPr>
          <w:rFonts w:asciiTheme="minorEastAsia" w:hAnsiTheme="minorEastAsia" w:eastAsiaTheme="minorEastAsia" w:cstheme="minorEastAsia"/>
          <w:color w:val="auto"/>
          <w:szCs w:val="21"/>
        </w:rPr>
      </w:pPr>
      <w:r>
        <w:rPr>
          <w:rFonts w:ascii="宋体"/>
          <w:color w:val="auto"/>
        </w:rPr>
        <w:br w:type="page"/>
      </w:r>
    </w:p>
    <w:p>
      <w:pPr>
        <w:adjustRightInd w:val="0"/>
        <w:snapToGrid w:val="0"/>
        <w:spacing w:line="360" w:lineRule="auto"/>
        <w:ind w:right="24"/>
        <w:rPr>
          <w:rFonts w:asciiTheme="minorEastAsia" w:hAnsiTheme="minorEastAsia" w:eastAsiaTheme="minorEastAsia" w:cstheme="minorEastAsia"/>
          <w:bCs/>
          <w:color w:val="auto"/>
          <w:sz w:val="24"/>
          <w:szCs w:val="28"/>
        </w:rPr>
      </w:pPr>
    </w:p>
    <w:p>
      <w:pPr>
        <w:pStyle w:val="5"/>
        <w:jc w:val="center"/>
        <w:rPr>
          <w:rFonts w:asciiTheme="minorEastAsia" w:hAnsiTheme="minorEastAsia" w:eastAsiaTheme="minorEastAsia" w:cstheme="minorEastAsia"/>
          <w:color w:val="auto"/>
          <w:sz w:val="32"/>
        </w:rPr>
      </w:pPr>
      <w:bookmarkStart w:id="73" w:name="_Toc3011"/>
      <w:r>
        <w:rPr>
          <w:rFonts w:hint="eastAsia" w:asciiTheme="minorEastAsia" w:hAnsiTheme="minorEastAsia" w:eastAsiaTheme="minorEastAsia" w:cstheme="minorEastAsia"/>
          <w:color w:val="auto"/>
          <w:sz w:val="32"/>
        </w:rPr>
        <w:t>二、</w:t>
      </w:r>
      <w:bookmarkEnd w:id="73"/>
      <w:bookmarkStart w:id="74" w:name="_Toc18756"/>
      <w:bookmarkStart w:id="75" w:name="_Toc16135"/>
      <w:r>
        <w:rPr>
          <w:rFonts w:hint="eastAsia" w:asciiTheme="minorEastAsia" w:hAnsiTheme="minorEastAsia" w:eastAsiaTheme="minorEastAsia" w:cstheme="minorEastAsia"/>
          <w:color w:val="auto"/>
          <w:sz w:val="32"/>
        </w:rPr>
        <w:t>投标承诺</w:t>
      </w:r>
      <w:bookmarkEnd w:id="74"/>
      <w:bookmarkEnd w:id="75"/>
    </w:p>
    <w:p>
      <w:pPr>
        <w:adjustRightInd w:val="0"/>
        <w:snapToGrid w:val="0"/>
        <w:spacing w:line="480" w:lineRule="exact"/>
        <w:rPr>
          <w:rFonts w:ascii="宋体" w:hAnsi="宋体" w:cs="宋体"/>
          <w:color w:val="auto"/>
          <w:sz w:val="24"/>
        </w:rPr>
      </w:pPr>
    </w:p>
    <w:p>
      <w:pPr>
        <w:spacing w:line="480" w:lineRule="exact"/>
        <w:rPr>
          <w:rFonts w:ascii="宋体" w:hAnsi="宋体" w:cs="宋体"/>
          <w:color w:val="auto"/>
          <w:szCs w:val="32"/>
        </w:rPr>
      </w:pPr>
      <w:r>
        <w:rPr>
          <w:rFonts w:hint="eastAsia" w:ascii="宋体" w:hAnsi="宋体" w:cs="宋体"/>
          <w:color w:val="auto"/>
          <w:szCs w:val="32"/>
          <w:u w:val="single"/>
        </w:rPr>
        <w:t xml:space="preserve">                （招标人名称）</w:t>
      </w:r>
      <w:r>
        <w:rPr>
          <w:rFonts w:hint="eastAsia" w:ascii="宋体" w:hAnsi="宋体" w:cs="宋体"/>
          <w:color w:val="auto"/>
          <w:szCs w:val="32"/>
        </w:rPr>
        <w:t xml:space="preserve"> ：</w:t>
      </w:r>
    </w:p>
    <w:p>
      <w:pPr>
        <w:spacing w:line="480" w:lineRule="exact"/>
        <w:ind w:firstLine="640"/>
        <w:rPr>
          <w:rFonts w:ascii="宋体" w:hAnsi="宋体" w:cs="宋体"/>
          <w:color w:val="auto"/>
          <w:szCs w:val="32"/>
          <w:u w:val="single"/>
        </w:rPr>
      </w:pPr>
      <w:r>
        <w:rPr>
          <w:rFonts w:hint="eastAsia" w:ascii="宋体" w:hAnsi="宋体" w:cs="宋体"/>
          <w:color w:val="auto"/>
          <w:szCs w:val="32"/>
        </w:rPr>
        <w:t>经慎重研究，我公司</w:t>
      </w:r>
      <w:r>
        <w:rPr>
          <w:rFonts w:hint="eastAsia" w:ascii="宋体" w:hAnsi="宋体" w:cs="宋体"/>
          <w:color w:val="auto"/>
          <w:szCs w:val="32"/>
          <w:u w:val="single"/>
        </w:rPr>
        <w:t xml:space="preserve">          投标人名称  </w:t>
      </w:r>
      <w:r>
        <w:rPr>
          <w:rFonts w:hint="eastAsia" w:ascii="宋体" w:hAnsi="宋体" w:cs="宋体"/>
          <w:color w:val="auto"/>
          <w:szCs w:val="32"/>
        </w:rPr>
        <w:t>（以下称“投标人”）决定于______年____月_____日参与你方组织的的采购投标，我方承诺严格按照《政府采购法》及其实施条例等法律法规和政策文件的要求，履行投标义务。</w:t>
      </w:r>
    </w:p>
    <w:p>
      <w:pPr>
        <w:spacing w:line="480" w:lineRule="exact"/>
        <w:ind w:firstLine="640"/>
        <w:rPr>
          <w:rFonts w:ascii="宋体" w:hAnsi="宋体" w:cs="宋体"/>
          <w:color w:val="auto"/>
          <w:szCs w:val="32"/>
        </w:rPr>
      </w:pPr>
      <w:r>
        <w:rPr>
          <w:rFonts w:hint="eastAsia" w:ascii="宋体" w:hAnsi="宋体" w:cs="宋体"/>
          <w:color w:val="auto"/>
          <w:szCs w:val="32"/>
        </w:rPr>
        <w:t>如果发生不履行相关投标义务的行为，自愿接受按法律法规和招标文件作出的处理。</w:t>
      </w:r>
    </w:p>
    <w:p>
      <w:pPr>
        <w:adjustRightInd w:val="0"/>
        <w:snapToGrid w:val="0"/>
        <w:spacing w:line="480" w:lineRule="exact"/>
        <w:rPr>
          <w:rFonts w:ascii="宋体" w:hAnsi="宋体" w:cs="宋体"/>
          <w:color w:val="auto"/>
          <w:szCs w:val="32"/>
        </w:rPr>
      </w:pPr>
    </w:p>
    <w:p>
      <w:pPr>
        <w:adjustRightInd w:val="0"/>
        <w:snapToGrid w:val="0"/>
        <w:spacing w:line="480" w:lineRule="exact"/>
        <w:rPr>
          <w:rFonts w:ascii="宋体" w:hAnsi="宋体" w:cs="宋体"/>
          <w:color w:val="auto"/>
          <w:szCs w:val="32"/>
        </w:rPr>
      </w:pPr>
    </w:p>
    <w:p>
      <w:pPr>
        <w:spacing w:line="480" w:lineRule="exact"/>
        <w:ind w:right="404" w:firstLine="2205" w:firstLineChars="1050"/>
        <w:rPr>
          <w:rFonts w:ascii="宋体" w:hAnsi="宋体" w:cs="宋体"/>
          <w:color w:val="auto"/>
          <w:szCs w:val="32"/>
        </w:rPr>
      </w:pPr>
      <w:r>
        <w:rPr>
          <w:rFonts w:hint="eastAsia" w:ascii="宋体" w:hAnsi="宋体" w:cs="宋体"/>
          <w:color w:val="auto"/>
          <w:szCs w:val="21"/>
        </w:rPr>
        <w:t>供应商名称</w:t>
      </w:r>
      <w:r>
        <w:rPr>
          <w:rFonts w:hint="eastAsia" w:ascii="宋体" w:hAnsi="宋体" w:cs="宋体"/>
          <w:color w:val="auto"/>
          <w:szCs w:val="32"/>
        </w:rPr>
        <w:t>：（盖章）</w:t>
      </w:r>
    </w:p>
    <w:p>
      <w:pPr>
        <w:spacing w:line="480" w:lineRule="exact"/>
        <w:ind w:firstLine="2100" w:firstLineChars="1000"/>
        <w:rPr>
          <w:rFonts w:ascii="宋体" w:hAnsi="宋体" w:cs="宋体"/>
          <w:color w:val="auto"/>
          <w:szCs w:val="32"/>
        </w:rPr>
      </w:pPr>
      <w:r>
        <w:rPr>
          <w:rFonts w:hint="eastAsia" w:ascii="宋体" w:hAnsi="宋体" w:cs="宋体"/>
          <w:color w:val="auto"/>
          <w:szCs w:val="32"/>
        </w:rPr>
        <w:t xml:space="preserve"> 法定代表人：（签字或盖章）</w:t>
      </w:r>
    </w:p>
    <w:p>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地址：</w:t>
      </w:r>
    </w:p>
    <w:p>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电话：</w:t>
      </w:r>
    </w:p>
    <w:p>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传真：</w:t>
      </w:r>
    </w:p>
    <w:p>
      <w:pPr>
        <w:spacing w:line="480" w:lineRule="exact"/>
        <w:ind w:firstLine="735" w:firstLineChars="350"/>
        <w:rPr>
          <w:rFonts w:ascii="宋体" w:hAnsi="宋体" w:cs="宋体"/>
          <w:color w:val="auto"/>
          <w:szCs w:val="32"/>
        </w:rPr>
      </w:pPr>
    </w:p>
    <w:p>
      <w:pPr>
        <w:jc w:val="right"/>
        <w:rPr>
          <w:rFonts w:asciiTheme="minorEastAsia" w:hAnsiTheme="minorEastAsia" w:eastAsiaTheme="minorEastAsia" w:cstheme="minorEastAsia"/>
          <w:color w:val="auto"/>
        </w:rPr>
      </w:pPr>
      <w:r>
        <w:rPr>
          <w:rFonts w:hint="eastAsia" w:ascii="宋体" w:hAnsi="宋体" w:cs="宋体"/>
          <w:color w:val="auto"/>
          <w:szCs w:val="32"/>
        </w:rPr>
        <w:t>年月</w:t>
      </w:r>
      <w:r>
        <w:rPr>
          <w:rFonts w:hint="eastAsia" w:ascii="宋体" w:hAnsi="宋体" w:cs="宋体"/>
          <w:color w:val="auto"/>
          <w:szCs w:val="32"/>
          <w:u w:val="none"/>
        </w:rPr>
        <w:t>日</w:t>
      </w: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sectPr>
          <w:pgSz w:w="11906" w:h="16838"/>
          <w:pgMar w:top="1474" w:right="1474" w:bottom="250" w:left="1588" w:header="851" w:footer="992" w:gutter="0"/>
          <w:cols w:space="720" w:num="1"/>
          <w:docGrid w:linePitch="312" w:charSpace="0"/>
        </w:sectPr>
      </w:pPr>
    </w:p>
    <w:p>
      <w:pPr>
        <w:rPr>
          <w:rFonts w:asciiTheme="minorEastAsia" w:hAnsiTheme="minorEastAsia" w:eastAsiaTheme="minorEastAsia" w:cstheme="minorEastAsia"/>
          <w:color w:val="auto"/>
        </w:rPr>
      </w:pPr>
    </w:p>
    <w:p>
      <w:pPr>
        <w:spacing w:line="360" w:lineRule="exact"/>
        <w:jc w:val="center"/>
        <w:outlineLvl w:val="1"/>
        <w:rPr>
          <w:rFonts w:asciiTheme="minorEastAsia" w:hAnsiTheme="minorEastAsia" w:eastAsiaTheme="minorEastAsia" w:cstheme="minorEastAsia"/>
          <w:b/>
          <w:color w:val="auto"/>
          <w:sz w:val="32"/>
          <w:szCs w:val="32"/>
        </w:rPr>
      </w:pPr>
      <w:bookmarkStart w:id="76" w:name="_Toc6565"/>
      <w:r>
        <w:rPr>
          <w:rFonts w:hint="eastAsia" w:asciiTheme="minorEastAsia" w:hAnsiTheme="minorEastAsia" w:eastAsiaTheme="minorEastAsia" w:cstheme="minorEastAsia"/>
          <w:b/>
          <w:color w:val="auto"/>
          <w:sz w:val="32"/>
          <w:szCs w:val="32"/>
        </w:rPr>
        <w:t>三、供应商的资格证明资料</w:t>
      </w:r>
      <w:bookmarkEnd w:id="76"/>
    </w:p>
    <w:p>
      <w:pPr>
        <w:spacing w:line="480" w:lineRule="exact"/>
        <w:outlineLvl w:val="0"/>
        <w:rPr>
          <w:rFonts w:asciiTheme="minorEastAsia" w:hAnsiTheme="minorEastAsia" w:eastAsiaTheme="minorEastAsia" w:cstheme="minorEastAsia"/>
          <w:color w:val="auto"/>
          <w:sz w:val="30"/>
          <w:szCs w:val="30"/>
        </w:rPr>
      </w:pPr>
      <w:bookmarkStart w:id="77" w:name="_Toc4517_WPSOffice_Level1"/>
      <w:bookmarkStart w:id="78" w:name="_Toc14392"/>
      <w:r>
        <w:rPr>
          <w:rFonts w:hint="eastAsia" w:asciiTheme="minorEastAsia" w:hAnsiTheme="minorEastAsia" w:eastAsiaTheme="minorEastAsia" w:cstheme="minorEastAsia"/>
          <w:b/>
          <w:bCs/>
          <w:color w:val="auto"/>
          <w:sz w:val="30"/>
          <w:szCs w:val="30"/>
        </w:rPr>
        <w:t>附件3              供应商基本情况表</w:t>
      </w:r>
      <w:bookmarkEnd w:id="77"/>
      <w:bookmarkEnd w:id="78"/>
    </w:p>
    <w:p>
      <w:pPr>
        <w:spacing w:line="480" w:lineRule="exact"/>
        <w:rPr>
          <w:rFonts w:asciiTheme="minorEastAsia" w:hAnsiTheme="minorEastAsia" w:eastAsiaTheme="minorEastAsia" w:cstheme="minorEastAsia"/>
          <w:color w:val="auto"/>
          <w:sz w:val="30"/>
          <w:szCs w:val="30"/>
        </w:rPr>
      </w:pP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盖供应商单位章</w:t>
      </w:r>
    </w:p>
    <w:tbl>
      <w:tblPr>
        <w:tblStyle w:val="46"/>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附《营业执照》（副本）复印件</w:t>
            </w:r>
          </w:p>
        </w:tc>
      </w:tr>
    </w:tbl>
    <w:p>
      <w:pPr>
        <w:spacing w:line="480" w:lineRule="exact"/>
        <w:rPr>
          <w:rFonts w:asciiTheme="minorEastAsia" w:hAnsiTheme="minorEastAsia" w:eastAsiaTheme="minorEastAsia" w:cstheme="minorEastAsia"/>
          <w:color w:val="auto"/>
          <w:sz w:val="30"/>
          <w:szCs w:val="30"/>
        </w:rPr>
      </w:pPr>
    </w:p>
    <w:p>
      <w:pPr>
        <w:adjustRightInd w:val="0"/>
        <w:snapToGrid w:val="0"/>
        <w:spacing w:line="360" w:lineRule="auto"/>
        <w:ind w:firstLine="602" w:firstLineChars="200"/>
        <w:outlineLvl w:val="0"/>
        <w:rPr>
          <w:rFonts w:asciiTheme="minorEastAsia" w:hAnsiTheme="minorEastAsia" w:eastAsiaTheme="minorEastAsia" w:cstheme="minorEastAsia"/>
          <w:b/>
          <w:bCs/>
          <w:color w:val="auto"/>
          <w:sz w:val="30"/>
          <w:szCs w:val="30"/>
        </w:rPr>
      </w:pPr>
      <w:bookmarkStart w:id="79" w:name="_Toc21035"/>
      <w:bookmarkStart w:id="80" w:name="_Toc17523_WPSOffice_Level1"/>
      <w:r>
        <w:rPr>
          <w:rFonts w:hint="eastAsia" w:asciiTheme="minorEastAsia" w:hAnsiTheme="minorEastAsia" w:eastAsiaTheme="minorEastAsia" w:cstheme="minorEastAsia"/>
          <w:b/>
          <w:bCs/>
          <w:color w:val="auto"/>
          <w:sz w:val="30"/>
          <w:szCs w:val="30"/>
        </w:rPr>
        <w:t>附件4     磋商文件规定的基本资格条件证明资料</w:t>
      </w:r>
      <w:bookmarkEnd w:id="79"/>
      <w:bookmarkEnd w:id="80"/>
    </w:p>
    <w:p>
      <w:pPr>
        <w:numPr>
          <w:ilvl w:val="0"/>
          <w:numId w:val="8"/>
        </w:num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供应商的基本资格条件：供应商必须是在中华人民共和国境内注册登记的法人、其他组织或者自然人，且应当符合《政府采购法》第二十二条第一款的规定。</w:t>
      </w: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pStyle w:val="20"/>
        <w:ind w:left="0" w:leftChars="0" w:firstLine="0" w:firstLineChars="0"/>
        <w:rPr>
          <w:color w:val="auto"/>
        </w:rPr>
      </w:pPr>
    </w:p>
    <w:p>
      <w:pPr>
        <w:spacing w:line="480" w:lineRule="exact"/>
        <w:rPr>
          <w:rFonts w:asciiTheme="minorEastAsia" w:hAnsiTheme="minorEastAsia" w:eastAsiaTheme="minorEastAsia" w:cstheme="minorEastAsia"/>
          <w:color w:val="auto"/>
          <w:sz w:val="30"/>
          <w:szCs w:val="30"/>
        </w:rPr>
      </w:pPr>
    </w:p>
    <w:p>
      <w:pPr>
        <w:spacing w:line="480" w:lineRule="exact"/>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pStyle w:val="20"/>
        <w:ind w:firstLine="600"/>
        <w:rPr>
          <w:rFonts w:asciiTheme="minorEastAsia" w:hAnsiTheme="minorEastAsia" w:eastAsiaTheme="minorEastAsia" w:cstheme="minorEastAsia"/>
          <w:color w:val="auto"/>
          <w:sz w:val="30"/>
          <w:szCs w:val="30"/>
        </w:rPr>
      </w:pPr>
    </w:p>
    <w:p>
      <w:pPr>
        <w:adjustRightInd w:val="0"/>
        <w:snapToGrid w:val="0"/>
        <w:spacing w:line="360" w:lineRule="auto"/>
        <w:ind w:firstLine="840" w:firstLineChars="300"/>
        <w:rPr>
          <w:rFonts w:ascii="黑体" w:eastAsia="黑体"/>
          <w:color w:val="auto"/>
          <w:sz w:val="28"/>
          <w:szCs w:val="28"/>
        </w:rPr>
      </w:pPr>
      <w:r>
        <w:rPr>
          <w:rFonts w:hint="eastAsia" w:ascii="黑体" w:eastAsia="黑体"/>
          <w:color w:val="auto"/>
          <w:sz w:val="28"/>
          <w:szCs w:val="28"/>
        </w:rPr>
        <w:t>参加政府采购活动前三年内在经营活动中没有重大</w:t>
      </w:r>
    </w:p>
    <w:p>
      <w:pPr>
        <w:adjustRightInd w:val="0"/>
        <w:snapToGrid w:val="0"/>
        <w:spacing w:line="360" w:lineRule="auto"/>
        <w:ind w:firstLine="2800" w:firstLineChars="1000"/>
        <w:rPr>
          <w:rFonts w:ascii="黑体" w:eastAsia="黑体"/>
          <w:color w:val="auto"/>
          <w:sz w:val="28"/>
          <w:szCs w:val="28"/>
        </w:rPr>
      </w:pPr>
      <w:r>
        <w:rPr>
          <w:rFonts w:hint="eastAsia" w:ascii="黑体" w:eastAsia="黑体"/>
          <w:color w:val="auto"/>
          <w:sz w:val="28"/>
          <w:szCs w:val="28"/>
        </w:rPr>
        <w:t>违法记录的书面声明</w:t>
      </w:r>
    </w:p>
    <w:p>
      <w:pPr>
        <w:adjustRightInd w:val="0"/>
        <w:snapToGrid w:val="0"/>
        <w:spacing w:beforeLines="50" w:line="360" w:lineRule="auto"/>
        <w:ind w:left="-88" w:leftChars="-42"/>
        <w:outlineLvl w:val="0"/>
        <w:rPr>
          <w:rFonts w:ascii="宋体" w:hAnsi="宋体" w:cs="宋体"/>
          <w:color w:val="auto"/>
          <w:szCs w:val="21"/>
        </w:rPr>
      </w:pPr>
      <w:r>
        <w:rPr>
          <w:rFonts w:hint="eastAsia" w:ascii="宋体" w:hAnsi="宋体" w:cs="宋体"/>
          <w:color w:val="auto"/>
          <w:szCs w:val="21"/>
        </w:rPr>
        <w:t>致(采购代理机构)：</w:t>
      </w:r>
    </w:p>
    <w:p>
      <w:pPr>
        <w:adjustRightInd w:val="0"/>
        <w:snapToGrid w:val="0"/>
        <w:spacing w:beforeLines="50" w:line="360" w:lineRule="auto"/>
        <w:ind w:left="-88" w:leftChars="-42" w:firstLine="420" w:firstLineChars="200"/>
        <w:outlineLvl w:val="0"/>
        <w:rPr>
          <w:rFonts w:ascii="宋体" w:hAnsi="宋体" w:cs="宋体"/>
          <w:color w:val="auto"/>
          <w:szCs w:val="21"/>
        </w:rPr>
      </w:pPr>
    </w:p>
    <w:p>
      <w:pPr>
        <w:adjustRightInd w:val="0"/>
        <w:snapToGrid w:val="0"/>
        <w:spacing w:beforeLines="50" w:line="360" w:lineRule="auto"/>
        <w:ind w:left="-88" w:leftChars="-42" w:firstLine="420" w:firstLineChars="200"/>
        <w:outlineLvl w:val="0"/>
        <w:rPr>
          <w:rFonts w:ascii="宋体" w:hAnsi="宋体" w:cs="宋体"/>
          <w:color w:val="auto"/>
          <w:szCs w:val="21"/>
        </w:rPr>
      </w:pPr>
      <w:r>
        <w:rPr>
          <w:rFonts w:hint="eastAsia" w:ascii="宋体" w:hAnsi="宋体" w:cs="宋体"/>
          <w:bCs/>
          <w:color w:val="auto"/>
          <w:szCs w:val="21"/>
        </w:rPr>
        <w:t>我单位在</w:t>
      </w:r>
      <w:r>
        <w:rPr>
          <w:rFonts w:hint="eastAsia" w:ascii="宋体" w:hAnsi="宋体" w:cs="宋体"/>
          <w:color w:val="auto"/>
          <w:szCs w:val="21"/>
        </w:rPr>
        <w:t>参加采购活动前三年内在经营活动中没有政府采购法第二十二条第一款第（五）项和实施条例第十九条所称重大违法记录，包括：</w:t>
      </w:r>
    </w:p>
    <w:p>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1、因违法经营受到刑事处罚或者责令停产停业、吊销许可证或者执照、较大数额罚款等行政处罚。</w:t>
      </w:r>
    </w:p>
    <w:p>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2、在参加本项目政府采购活动前3年内因违法经营被禁止在一定期限内参加政府采购活动。</w:t>
      </w:r>
    </w:p>
    <w:p>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特此声明！</w:t>
      </w:r>
    </w:p>
    <w:p>
      <w:pPr>
        <w:widowControl/>
        <w:adjustRightInd w:val="0"/>
        <w:snapToGrid w:val="0"/>
        <w:spacing w:beforeLines="50" w:line="360" w:lineRule="auto"/>
        <w:ind w:firstLine="420"/>
        <w:rPr>
          <w:rFonts w:ascii="宋体" w:hAnsi="宋体" w:cs="宋体"/>
          <w:color w:val="auto"/>
          <w:szCs w:val="21"/>
        </w:rPr>
      </w:pPr>
    </w:p>
    <w:p>
      <w:pPr>
        <w:widowControl/>
        <w:adjustRightInd w:val="0"/>
        <w:snapToGrid w:val="0"/>
        <w:spacing w:beforeLines="50" w:line="360" w:lineRule="auto"/>
        <w:ind w:firstLine="420"/>
        <w:rPr>
          <w:rFonts w:ascii="宋体" w:hAnsi="宋体" w:cs="宋体"/>
          <w:color w:val="auto"/>
          <w:szCs w:val="21"/>
        </w:rPr>
      </w:pPr>
    </w:p>
    <w:p>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 xml:space="preserve">投标人名称（单位章）： </w:t>
      </w:r>
    </w:p>
    <w:p>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法定代表人（签字或盖章）：</w:t>
      </w:r>
    </w:p>
    <w:p>
      <w:pPr>
        <w:widowControl/>
        <w:adjustRightInd w:val="0"/>
        <w:snapToGrid w:val="0"/>
        <w:spacing w:beforeLines="50" w:line="360" w:lineRule="auto"/>
        <w:rPr>
          <w:rFonts w:ascii="宋体" w:hAnsi="宋体" w:cs="宋体"/>
          <w:color w:val="auto"/>
          <w:szCs w:val="21"/>
        </w:rPr>
      </w:pPr>
      <w:r>
        <w:rPr>
          <w:rFonts w:hint="eastAsia" w:ascii="宋体" w:hAnsi="宋体" w:cs="宋体"/>
          <w:color w:val="auto"/>
          <w:szCs w:val="21"/>
        </w:rPr>
        <w:t>日期： 年月日</w:t>
      </w:r>
    </w:p>
    <w:p>
      <w:pPr>
        <w:spacing w:line="480" w:lineRule="exact"/>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rFonts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p>
    <w:p>
      <w:pPr>
        <w:pStyle w:val="4"/>
        <w:rPr>
          <w:color w:val="auto"/>
        </w:rPr>
      </w:pPr>
    </w:p>
    <w:p>
      <w:pPr>
        <w:spacing w:line="480" w:lineRule="exact"/>
        <w:outlineLvl w:val="0"/>
        <w:rPr>
          <w:rFonts w:asciiTheme="minorEastAsia" w:hAnsiTheme="minorEastAsia" w:eastAsiaTheme="minorEastAsia" w:cstheme="minorEastAsia"/>
          <w:b/>
          <w:bCs/>
          <w:color w:val="auto"/>
          <w:sz w:val="30"/>
          <w:szCs w:val="30"/>
        </w:rPr>
      </w:pPr>
      <w:bookmarkStart w:id="81" w:name="_Toc24698"/>
      <w:bookmarkStart w:id="82" w:name="_Toc506_WPSOffice_Level1"/>
      <w:r>
        <w:rPr>
          <w:rFonts w:hint="eastAsia" w:asciiTheme="minorEastAsia" w:hAnsiTheme="minorEastAsia" w:eastAsiaTheme="minorEastAsia" w:cstheme="minorEastAsia"/>
          <w:b/>
          <w:bCs/>
          <w:color w:val="auto"/>
          <w:sz w:val="30"/>
          <w:szCs w:val="30"/>
        </w:rPr>
        <w:t>附件5  磋商文件规定的特定资格条件证明资料</w:t>
      </w:r>
      <w:bookmarkEnd w:id="81"/>
      <w:bookmarkEnd w:id="82"/>
    </w:p>
    <w:p>
      <w:pPr>
        <w:spacing w:line="480" w:lineRule="exact"/>
        <w:rPr>
          <w:rFonts w:asciiTheme="minorEastAsia" w:hAnsiTheme="minorEastAsia" w:eastAsiaTheme="minorEastAsia" w:cstheme="minorEastAsia"/>
          <w:color w:val="auto"/>
          <w:sz w:val="24"/>
        </w:rPr>
      </w:pPr>
    </w:p>
    <w:p>
      <w:pPr>
        <w:spacing w:line="480" w:lineRule="exact"/>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1、供应商特定资格条件：</w:t>
      </w:r>
      <w:r>
        <w:rPr>
          <w:rFonts w:hint="eastAsia" w:asciiTheme="minorEastAsia" w:hAnsiTheme="minorEastAsia" w:eastAsiaTheme="minorEastAsia" w:cstheme="minorEastAsia"/>
          <w:color w:val="auto"/>
          <w:sz w:val="24"/>
          <w:lang w:val="en-US" w:eastAsia="zh-CN"/>
        </w:rPr>
        <w:t>无</w:t>
      </w:r>
    </w:p>
    <w:p>
      <w:p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spacing w:line="480" w:lineRule="exact"/>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2）提供近一个月投标人信用信息网站查询记录网页打印件并加盖单位公章。</w:t>
      </w:r>
    </w:p>
    <w:p>
      <w:pPr>
        <w:spacing w:line="480" w:lineRule="exact"/>
        <w:rPr>
          <w:rFonts w:hint="eastAsia" w:asciiTheme="minorEastAsia" w:hAnsiTheme="minorEastAsia" w:eastAsiaTheme="minorEastAsia" w:cstheme="minorEastAsia"/>
          <w:color w:val="auto"/>
          <w:sz w:val="24"/>
          <w:lang w:val="en-US" w:eastAsia="zh-CN"/>
        </w:rPr>
      </w:pPr>
    </w:p>
    <w:p>
      <w:pPr>
        <w:spacing w:line="480" w:lineRule="exact"/>
        <w:rPr>
          <w:rFonts w:asciiTheme="minorEastAsia" w:hAnsiTheme="minorEastAsia" w:eastAsiaTheme="minorEastAsia" w:cstheme="minorEastAsia"/>
          <w:color w:val="auto"/>
          <w:sz w:val="30"/>
          <w:szCs w:val="30"/>
        </w:rPr>
      </w:pPr>
    </w:p>
    <w:p>
      <w:pPr>
        <w:spacing w:line="480" w:lineRule="exact"/>
        <w:rPr>
          <w:rFonts w:asciiTheme="minorEastAsia" w:hAnsiTheme="minorEastAsia" w:eastAsiaTheme="minorEastAsia" w:cstheme="minorEastAsia"/>
          <w:color w:val="auto"/>
          <w:sz w:val="30"/>
          <w:szCs w:val="30"/>
        </w:rPr>
      </w:pPr>
    </w:p>
    <w:p>
      <w:pPr>
        <w:spacing w:line="480" w:lineRule="exact"/>
        <w:rPr>
          <w:rFonts w:asciiTheme="minorEastAsia" w:hAnsiTheme="minorEastAsia" w:eastAsiaTheme="minorEastAsia" w:cstheme="minorEastAsia"/>
          <w:color w:val="auto"/>
          <w:sz w:val="30"/>
          <w:szCs w:val="30"/>
        </w:rPr>
      </w:pPr>
    </w:p>
    <w:p>
      <w:pPr>
        <w:spacing w:line="480" w:lineRule="exact"/>
        <w:rPr>
          <w:rFonts w:asciiTheme="minorEastAsia" w:hAnsiTheme="minorEastAsia" w:eastAsiaTheme="minorEastAsia" w:cstheme="minorEastAsia"/>
          <w:color w:val="auto"/>
          <w:sz w:val="30"/>
          <w:szCs w:val="30"/>
        </w:rPr>
      </w:pPr>
    </w:p>
    <w:p>
      <w:pPr>
        <w:adjustRightInd w:val="0"/>
        <w:snapToGrid w:val="0"/>
        <w:spacing w:line="360" w:lineRule="auto"/>
        <w:rPr>
          <w:rFonts w:asciiTheme="minorEastAsia" w:hAnsiTheme="minorEastAsia" w:eastAsiaTheme="minorEastAsia" w:cstheme="minorEastAsia"/>
          <w:b/>
          <w:color w:val="auto"/>
          <w:sz w:val="30"/>
          <w:szCs w:val="30"/>
        </w:rPr>
        <w:sectPr>
          <w:pgSz w:w="11906" w:h="16838"/>
          <w:pgMar w:top="1474" w:right="1474" w:bottom="250" w:left="1588" w:header="851" w:footer="992" w:gutter="0"/>
          <w:cols w:space="720" w:num="1"/>
          <w:docGrid w:linePitch="312" w:charSpace="0"/>
        </w:sectPr>
      </w:pPr>
    </w:p>
    <w:p>
      <w:pPr>
        <w:adjustRightInd w:val="0"/>
        <w:snapToGrid w:val="0"/>
        <w:spacing w:line="360" w:lineRule="auto"/>
        <w:outlineLvl w:val="0"/>
        <w:rPr>
          <w:rFonts w:asciiTheme="minorEastAsia" w:hAnsiTheme="minorEastAsia" w:eastAsiaTheme="minorEastAsia" w:cstheme="minorEastAsia"/>
          <w:b/>
          <w:color w:val="auto"/>
          <w:sz w:val="30"/>
          <w:szCs w:val="30"/>
        </w:rPr>
      </w:pPr>
      <w:bookmarkStart w:id="83" w:name="_Toc32763_WPSOffice_Level1"/>
      <w:bookmarkStart w:id="84" w:name="_Toc10631"/>
      <w:r>
        <w:rPr>
          <w:rFonts w:hint="eastAsia" w:asciiTheme="minorEastAsia" w:hAnsiTheme="minorEastAsia" w:eastAsiaTheme="minorEastAsia" w:cstheme="minorEastAsia"/>
          <w:b/>
          <w:color w:val="auto"/>
          <w:sz w:val="30"/>
          <w:szCs w:val="30"/>
        </w:rPr>
        <w:t>附件6           其他证明资料或说明</w:t>
      </w:r>
      <w:bookmarkEnd w:id="83"/>
      <w:bookmarkEnd w:id="84"/>
    </w:p>
    <w:p>
      <w:pPr>
        <w:adjustRightInd w:val="0"/>
        <w:snapToGrid w:val="0"/>
        <w:spacing w:line="360" w:lineRule="auto"/>
        <w:rPr>
          <w:rFonts w:asciiTheme="minorEastAsia" w:hAnsiTheme="minorEastAsia" w:eastAsiaTheme="minorEastAsia" w:cstheme="minorEastAsia"/>
          <w:color w:val="auto"/>
          <w:szCs w:val="21"/>
        </w:rPr>
      </w:pP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提供磋商文件或评分标准需要提供的相关证明文件复印件</w:t>
      </w: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jc w:val="center"/>
        <w:rPr>
          <w:rFonts w:asciiTheme="minorEastAsia" w:hAnsiTheme="minorEastAsia" w:eastAsiaTheme="minorEastAsia" w:cstheme="minorEastAsia"/>
          <w:b/>
          <w:color w:val="auto"/>
          <w:sz w:val="32"/>
          <w:szCs w:val="32"/>
        </w:rPr>
      </w:pPr>
    </w:p>
    <w:p>
      <w:pPr>
        <w:adjustRightInd w:val="0"/>
        <w:snapToGrid w:val="0"/>
        <w:spacing w:line="360" w:lineRule="auto"/>
        <w:rPr>
          <w:rFonts w:asciiTheme="minorEastAsia" w:hAnsiTheme="minorEastAsia" w:eastAsiaTheme="minorEastAsia" w:cstheme="minorEastAsia"/>
          <w:b/>
          <w:color w:val="auto"/>
          <w:sz w:val="32"/>
          <w:szCs w:val="32"/>
        </w:rPr>
      </w:pPr>
    </w:p>
    <w:p>
      <w:pPr>
        <w:spacing w:line="360" w:lineRule="exact"/>
        <w:jc w:val="center"/>
        <w:rPr>
          <w:rFonts w:asciiTheme="minorEastAsia" w:hAnsiTheme="minorEastAsia" w:eastAsiaTheme="minorEastAsia" w:cstheme="minorEastAsia"/>
          <w:b/>
          <w:color w:val="auto"/>
          <w:sz w:val="32"/>
          <w:szCs w:val="32"/>
        </w:rPr>
        <w:sectPr>
          <w:pgSz w:w="11906" w:h="16838"/>
          <w:pgMar w:top="1474" w:right="1474" w:bottom="250" w:left="1588" w:header="851" w:footer="992" w:gutter="0"/>
          <w:cols w:space="720" w:num="1"/>
          <w:docGrid w:linePitch="312" w:charSpace="0"/>
        </w:sectPr>
      </w:pPr>
    </w:p>
    <w:p>
      <w:pPr>
        <w:adjustRightInd w:val="0"/>
        <w:snapToGrid w:val="0"/>
        <w:spacing w:line="360" w:lineRule="auto"/>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四、服务方案说明</w:t>
      </w:r>
    </w:p>
    <w:p>
      <w:pPr>
        <w:adjustRightInd w:val="0"/>
        <w:snapToGrid w:val="0"/>
        <w:jc w:val="center"/>
        <w:rPr>
          <w:rFonts w:hint="eastAsia" w:ascii="黑体" w:hAnsi="宋体" w:eastAsia="黑体"/>
          <w:b/>
          <w:color w:val="auto"/>
          <w:sz w:val="30"/>
          <w:szCs w:val="30"/>
          <w:highlight w:val="none"/>
        </w:rPr>
      </w:pPr>
    </w:p>
    <w:p>
      <w:pPr>
        <w:adjustRightInd w:val="0"/>
        <w:snapToGrid w:val="0"/>
        <w:jc w:val="center"/>
        <w:rPr>
          <w:rFonts w:hint="eastAsia" w:ascii="黑体" w:hAnsi="宋体" w:eastAsia="黑体"/>
          <w:b/>
          <w:color w:val="auto"/>
          <w:sz w:val="30"/>
          <w:szCs w:val="30"/>
          <w:highlight w:val="none"/>
        </w:rPr>
      </w:pPr>
    </w:p>
    <w:p>
      <w:pPr>
        <w:adjustRightInd w:val="0"/>
        <w:snapToGrid w:val="0"/>
        <w:jc w:val="center"/>
        <w:rPr>
          <w:rFonts w:ascii="黑体" w:hAnsi="宋体" w:eastAsia="黑体"/>
          <w:b/>
          <w:color w:val="auto"/>
          <w:sz w:val="30"/>
          <w:szCs w:val="30"/>
          <w:highlight w:val="none"/>
        </w:rPr>
      </w:pPr>
      <w:r>
        <w:rPr>
          <w:rFonts w:hint="eastAsia" w:ascii="黑体" w:hAnsi="宋体" w:eastAsia="黑体"/>
          <w:b/>
          <w:color w:val="auto"/>
          <w:sz w:val="30"/>
          <w:szCs w:val="30"/>
          <w:highlight w:val="none"/>
        </w:rPr>
        <w:t>服务方案说明（服务类适用）</w:t>
      </w:r>
    </w:p>
    <w:p>
      <w:pPr>
        <w:adjustRightInd w:val="0"/>
        <w:snapToGrid w:val="0"/>
        <w:rPr>
          <w:rFonts w:ascii="宋体" w:hAnsi="宋体"/>
          <w:color w:val="auto"/>
          <w:szCs w:val="21"/>
          <w:highlight w:val="none"/>
        </w:rPr>
      </w:pPr>
    </w:p>
    <w:p>
      <w:pPr>
        <w:adjustRightInd w:val="0"/>
        <w:snapToGrid w:val="0"/>
        <w:spacing w:line="400" w:lineRule="atLeast"/>
        <w:ind w:firstLine="630" w:firstLineChars="300"/>
        <w:jc w:val="left"/>
        <w:rPr>
          <w:rFonts w:ascii="宋体" w:hAnsi="宋体"/>
          <w:bCs/>
          <w:color w:val="auto"/>
          <w:szCs w:val="21"/>
          <w:highlight w:val="none"/>
        </w:rPr>
      </w:pPr>
      <w:r>
        <w:rPr>
          <w:rFonts w:hint="eastAsia" w:ascii="宋体" w:hAnsi="宋体"/>
          <w:bCs/>
          <w:color w:val="auto"/>
          <w:szCs w:val="21"/>
          <w:highlight w:val="none"/>
        </w:rPr>
        <w:t>服务类项目供应商应根据第四章规定编写服务方案或服务大纲（格式自拟）。</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pStyle w:val="27"/>
        <w:adjustRightInd w:val="0"/>
        <w:snapToGrid w:val="0"/>
        <w:spacing w:line="360" w:lineRule="auto"/>
        <w:outlineLvl w:val="0"/>
        <w:rPr>
          <w:rFonts w:hint="default" w:ascii="宋体" w:hAnsi="宋体" w:eastAsia="宋体"/>
          <w:bCs/>
          <w:color w:val="auto"/>
          <w:sz w:val="21"/>
          <w:szCs w:val="21"/>
          <w:highlight w:val="none"/>
          <w:u w:val="single"/>
          <w:lang w:val="en-US" w:eastAsia="zh-CN"/>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lang w:val="en-US" w:eastAsia="zh-CN"/>
        </w:rPr>
        <w:t xml:space="preserve">             </w:t>
      </w:r>
    </w:p>
    <w:p>
      <w:pPr>
        <w:adjustRightInd w:val="0"/>
        <w:snapToGrid w:val="0"/>
        <w:spacing w:line="360" w:lineRule="auto"/>
        <w:outlineLvl w:val="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lang w:val="en-US" w:eastAsia="zh-CN"/>
        </w:rPr>
        <w:t xml:space="preserve">         </w:t>
      </w:r>
    </w:p>
    <w:p>
      <w:pPr>
        <w:spacing w:line="360" w:lineRule="exact"/>
        <w:rPr>
          <w:rFonts w:ascii="宋体"/>
          <w:color w:val="auto"/>
          <w:highlight w:val="none"/>
        </w:rPr>
      </w:pPr>
      <w:r>
        <w:rPr>
          <w:rFonts w:hint="eastAsia" w:ascii="宋体" w:hAnsi="宋体"/>
          <w:color w:val="auto"/>
          <w:szCs w:val="21"/>
          <w:highlight w:val="none"/>
        </w:rPr>
        <w:t xml:space="preserve">日期：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日</w:t>
      </w: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66"/>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spacing w:line="360" w:lineRule="atLeast"/>
        <w:rPr>
          <w:rFonts w:asciiTheme="minorEastAsia" w:hAnsiTheme="minorEastAsia" w:eastAsiaTheme="minorEastAsia" w:cstheme="minorEastAsia"/>
          <w:color w:val="auto"/>
          <w:sz w:val="30"/>
          <w:szCs w:val="30"/>
        </w:rPr>
      </w:pPr>
    </w:p>
    <w:p>
      <w:pPr>
        <w:spacing w:line="360" w:lineRule="atLeast"/>
        <w:outlineLvl w:val="0"/>
        <w:rPr>
          <w:rFonts w:asciiTheme="minorEastAsia" w:hAnsiTheme="minorEastAsia" w:eastAsiaTheme="minorEastAsia" w:cstheme="minorEastAsia"/>
          <w:b/>
          <w:bCs/>
          <w:color w:val="auto"/>
          <w:sz w:val="30"/>
          <w:szCs w:val="30"/>
        </w:rPr>
      </w:pPr>
      <w:bookmarkStart w:id="85" w:name="_Toc30950_WPSOffice_Level1"/>
      <w:bookmarkStart w:id="86" w:name="_Toc6434"/>
      <w:r>
        <w:rPr>
          <w:rFonts w:hint="eastAsia" w:asciiTheme="minorEastAsia" w:hAnsiTheme="minorEastAsia" w:eastAsiaTheme="minorEastAsia" w:cstheme="minorEastAsia"/>
          <w:b/>
          <w:bCs/>
          <w:color w:val="auto"/>
          <w:sz w:val="30"/>
          <w:szCs w:val="30"/>
        </w:rPr>
        <w:t>附件7-1               主要人员简历表</w:t>
      </w:r>
      <w:bookmarkEnd w:id="85"/>
      <w:bookmarkEnd w:id="86"/>
    </w:p>
    <w:p>
      <w:pPr>
        <w:spacing w:line="360" w:lineRule="atLeast"/>
        <w:jc w:val="center"/>
        <w:rPr>
          <w:rFonts w:asciiTheme="minorEastAsia" w:hAnsiTheme="minorEastAsia" w:eastAsiaTheme="minorEastAsia" w:cstheme="minorEastAsia"/>
          <w:color w:val="auto"/>
          <w:sz w:val="28"/>
          <w:szCs w:val="28"/>
        </w:rPr>
      </w:pPr>
    </w:p>
    <w:tbl>
      <w:tblPr>
        <w:tblStyle w:val="46"/>
        <w:tblW w:w="850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396"/>
        <w:gridCol w:w="1404"/>
        <w:gridCol w:w="5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2468" w:type="dxa"/>
            <w:vAlign w:val="center"/>
          </w:tcPr>
          <w:p>
            <w:pPr>
              <w:spacing w:line="360" w:lineRule="atLeast"/>
              <w:jc w:val="center"/>
              <w:rPr>
                <w:rFonts w:asciiTheme="minorEastAsia" w:hAnsiTheme="minorEastAsia" w:eastAsiaTheme="minorEastAsia" w:cstheme="minorEastAsia"/>
                <w:color w:val="auto"/>
              </w:rPr>
            </w:pPr>
          </w:p>
        </w:tc>
        <w:tc>
          <w:tcPr>
            <w:tcW w:w="2340" w:type="dxa"/>
            <w:gridSpan w:val="3"/>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性别</w:t>
            </w:r>
          </w:p>
        </w:tc>
        <w:tc>
          <w:tcPr>
            <w:tcW w:w="1663" w:type="dxa"/>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3"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职务</w:t>
            </w:r>
          </w:p>
        </w:tc>
        <w:tc>
          <w:tcPr>
            <w:tcW w:w="2468" w:type="dxa"/>
            <w:vAlign w:val="center"/>
          </w:tcPr>
          <w:p>
            <w:pPr>
              <w:spacing w:line="360" w:lineRule="atLeast"/>
              <w:jc w:val="center"/>
              <w:rPr>
                <w:rFonts w:asciiTheme="minorEastAsia" w:hAnsiTheme="minorEastAsia" w:eastAsiaTheme="minorEastAsia" w:cstheme="minorEastAsia"/>
                <w:color w:val="auto"/>
              </w:rPr>
            </w:pPr>
          </w:p>
        </w:tc>
        <w:tc>
          <w:tcPr>
            <w:tcW w:w="2340" w:type="dxa"/>
            <w:gridSpan w:val="3"/>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1663" w:type="dxa"/>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1"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毕业学校、专业</w:t>
            </w:r>
          </w:p>
        </w:tc>
        <w:tc>
          <w:tcPr>
            <w:tcW w:w="6471" w:type="dxa"/>
            <w:gridSpan w:val="5"/>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1"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p>
        </w:tc>
        <w:tc>
          <w:tcPr>
            <w:tcW w:w="2468" w:type="dxa"/>
            <w:vAlign w:val="center"/>
          </w:tcPr>
          <w:p>
            <w:pPr>
              <w:spacing w:line="360" w:lineRule="atLeast"/>
              <w:jc w:val="center"/>
              <w:rPr>
                <w:rFonts w:asciiTheme="minorEastAsia" w:hAnsiTheme="minorEastAsia" w:eastAsiaTheme="minorEastAsia" w:cstheme="minorEastAsia"/>
                <w:color w:val="auto"/>
              </w:rPr>
            </w:pPr>
          </w:p>
        </w:tc>
        <w:tc>
          <w:tcPr>
            <w:tcW w:w="2340" w:type="dxa"/>
            <w:gridSpan w:val="3"/>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拟在本合同任职</w:t>
            </w:r>
          </w:p>
        </w:tc>
        <w:tc>
          <w:tcPr>
            <w:tcW w:w="1663" w:type="dxa"/>
            <w:vAlign w:val="center"/>
          </w:tcPr>
          <w:p>
            <w:pPr>
              <w:spacing w:line="360" w:lineRule="atLeast"/>
              <w:ind w:right="-105" w:rightChars="-50"/>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1"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w:t>
            </w:r>
          </w:p>
        </w:tc>
        <w:tc>
          <w:tcPr>
            <w:tcW w:w="2468" w:type="dxa"/>
            <w:vAlign w:val="center"/>
          </w:tcPr>
          <w:p>
            <w:pPr>
              <w:spacing w:line="360" w:lineRule="atLeast"/>
              <w:jc w:val="center"/>
              <w:rPr>
                <w:rFonts w:asciiTheme="minorEastAsia" w:hAnsiTheme="minorEastAsia" w:eastAsiaTheme="minorEastAsia" w:cstheme="minorEastAsia"/>
                <w:color w:val="auto"/>
              </w:rPr>
            </w:pPr>
          </w:p>
        </w:tc>
        <w:tc>
          <w:tcPr>
            <w:tcW w:w="2340" w:type="dxa"/>
            <w:gridSpan w:val="3"/>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执业资格证书号</w:t>
            </w:r>
          </w:p>
        </w:tc>
        <w:tc>
          <w:tcPr>
            <w:tcW w:w="1663" w:type="dxa"/>
            <w:vAlign w:val="center"/>
          </w:tcPr>
          <w:p>
            <w:pP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0" w:hRule="exact"/>
          <w:jc w:val="center"/>
        </w:trPr>
        <w:tc>
          <w:tcPr>
            <w:tcW w:w="8503" w:type="dxa"/>
            <w:gridSpan w:val="6"/>
            <w:vAlign w:val="center"/>
          </w:tcPr>
          <w:p>
            <w:pPr>
              <w:spacing w:line="36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时间</w:t>
            </w:r>
          </w:p>
        </w:tc>
        <w:tc>
          <w:tcPr>
            <w:tcW w:w="2864" w:type="dxa"/>
            <w:gridSpan w:val="2"/>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类似项目名称</w:t>
            </w:r>
          </w:p>
        </w:tc>
        <w:tc>
          <w:tcPr>
            <w:tcW w:w="1404" w:type="dxa"/>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担任职务</w:t>
            </w:r>
          </w:p>
        </w:tc>
        <w:tc>
          <w:tcPr>
            <w:tcW w:w="2203" w:type="dxa"/>
            <w:gridSpan w:val="2"/>
            <w:vAlign w:val="center"/>
          </w:tcPr>
          <w:p>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0" w:hRule="exact"/>
          <w:jc w:val="center"/>
        </w:trPr>
        <w:tc>
          <w:tcPr>
            <w:tcW w:w="2032" w:type="dxa"/>
            <w:vAlign w:val="center"/>
          </w:tcPr>
          <w:p>
            <w:pPr>
              <w:spacing w:line="360" w:lineRule="atLeast"/>
              <w:jc w:val="center"/>
              <w:rPr>
                <w:rFonts w:asciiTheme="minorEastAsia" w:hAnsiTheme="minorEastAsia" w:eastAsiaTheme="minorEastAsia" w:cstheme="minorEastAsia"/>
                <w:color w:val="auto"/>
              </w:rPr>
            </w:pPr>
          </w:p>
        </w:tc>
        <w:tc>
          <w:tcPr>
            <w:tcW w:w="2864" w:type="dxa"/>
            <w:gridSpan w:val="2"/>
            <w:vAlign w:val="center"/>
          </w:tcPr>
          <w:p>
            <w:pPr>
              <w:spacing w:line="360" w:lineRule="atLeast"/>
              <w:jc w:val="center"/>
              <w:rPr>
                <w:rFonts w:asciiTheme="minorEastAsia" w:hAnsiTheme="minorEastAsia" w:eastAsiaTheme="minorEastAsia" w:cstheme="minorEastAsia"/>
                <w:color w:val="auto"/>
              </w:rPr>
            </w:pPr>
          </w:p>
        </w:tc>
        <w:tc>
          <w:tcPr>
            <w:tcW w:w="1404" w:type="dxa"/>
            <w:vAlign w:val="center"/>
          </w:tcPr>
          <w:p>
            <w:pPr>
              <w:spacing w:line="360" w:lineRule="atLeast"/>
              <w:jc w:val="center"/>
              <w:rPr>
                <w:rFonts w:asciiTheme="minorEastAsia" w:hAnsiTheme="minorEastAsia" w:eastAsiaTheme="minorEastAsia" w:cstheme="minorEastAsia"/>
                <w:color w:val="auto"/>
              </w:rPr>
            </w:pPr>
          </w:p>
        </w:tc>
        <w:tc>
          <w:tcPr>
            <w:tcW w:w="2203" w:type="dxa"/>
            <w:gridSpan w:val="2"/>
            <w:vAlign w:val="center"/>
          </w:tcPr>
          <w:p>
            <w:pPr>
              <w:spacing w:line="360" w:lineRule="atLeast"/>
              <w:jc w:val="center"/>
              <w:rPr>
                <w:rFonts w:asciiTheme="minorEastAsia" w:hAnsiTheme="minorEastAsia" w:eastAsiaTheme="minorEastAsia" w:cstheme="minorEastAsia"/>
                <w:color w:val="auto"/>
              </w:rPr>
            </w:pPr>
          </w:p>
        </w:tc>
      </w:tr>
    </w:tbl>
    <w:p>
      <w:pPr>
        <w:spacing w:line="360" w:lineRule="atLeast"/>
        <w:ind w:right="23" w:rightChars="11"/>
        <w:rPr>
          <w:rFonts w:ascii="宋体" w:hAnsi="宋体" w:cs="宋体"/>
          <w:color w:val="auto"/>
        </w:rPr>
      </w:pPr>
      <w:r>
        <w:rPr>
          <w:rFonts w:hint="eastAsia" w:ascii="宋体" w:hAnsi="宋体" w:cs="宋体"/>
          <w:color w:val="auto"/>
          <w:szCs w:val="21"/>
        </w:rPr>
        <w:t>说明</w:t>
      </w:r>
      <w:r>
        <w:rPr>
          <w:rFonts w:hint="eastAsia" w:ascii="宋体" w:hAnsi="宋体" w:cs="宋体"/>
          <w:color w:val="auto"/>
        </w:rPr>
        <w:t>：</w:t>
      </w:r>
      <w:r>
        <w:rPr>
          <w:rFonts w:hint="eastAsia" w:ascii="宋体" w:hAnsi="宋体" w:cs="宋体"/>
          <w:color w:val="auto"/>
          <w:szCs w:val="21"/>
        </w:rPr>
        <w:t>主要人员证书、</w:t>
      </w:r>
      <w:r>
        <w:rPr>
          <w:rFonts w:hint="eastAsia" w:ascii="宋体" w:hAnsi="宋体" w:cs="宋体"/>
          <w:color w:val="auto"/>
        </w:rPr>
        <w:t>类似项目证明资料等按磋商文件要求提供。</w:t>
      </w:r>
    </w:p>
    <w:p>
      <w:pPr>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pStyle w:val="27"/>
        <w:adjustRightInd w:val="0"/>
        <w:snapToGrid w:val="0"/>
        <w:spacing w:line="360" w:lineRule="auto"/>
        <w:outlineLvl w:val="0"/>
        <w:rPr>
          <w:rFonts w:asciiTheme="minorEastAsia" w:hAnsiTheme="minorEastAsia" w:eastAsiaTheme="minorEastAsia" w:cstheme="minorEastAsia"/>
          <w:bCs/>
          <w:color w:val="auto"/>
          <w:sz w:val="21"/>
          <w:szCs w:val="21"/>
          <w:u w:val="single"/>
        </w:rPr>
      </w:pPr>
      <w:bookmarkStart w:id="87" w:name="_Toc13818"/>
      <w:r>
        <w:rPr>
          <w:rFonts w:hint="eastAsia" w:asciiTheme="minorEastAsia" w:hAnsiTheme="minorEastAsia" w:eastAsiaTheme="minorEastAsia" w:cstheme="minorEastAsia"/>
          <w:color w:val="auto"/>
          <w:sz w:val="21"/>
          <w:szCs w:val="21"/>
        </w:rPr>
        <w:t>供应商名称：</w:t>
      </w:r>
      <w:bookmarkEnd w:id="87"/>
    </w:p>
    <w:p>
      <w:pPr>
        <w:adjustRightInd w:val="0"/>
        <w:snapToGrid w:val="0"/>
        <w:spacing w:line="360" w:lineRule="auto"/>
        <w:outlineLvl w:val="0"/>
        <w:rPr>
          <w:rFonts w:asciiTheme="minorEastAsia" w:hAnsiTheme="minorEastAsia" w:eastAsiaTheme="minorEastAsia" w:cstheme="minorEastAsia"/>
          <w:color w:val="auto"/>
          <w:szCs w:val="21"/>
          <w:u w:val="single"/>
        </w:rPr>
      </w:pPr>
      <w:bookmarkStart w:id="88" w:name="_Toc30888"/>
      <w:r>
        <w:rPr>
          <w:rFonts w:hint="eastAsia" w:asciiTheme="minorEastAsia" w:hAnsiTheme="minorEastAsia" w:eastAsiaTheme="minorEastAsia" w:cstheme="minorEastAsia"/>
          <w:color w:val="auto"/>
          <w:szCs w:val="21"/>
        </w:rPr>
        <w:t>法定代表人或其委托代理人(签字)：</w:t>
      </w:r>
      <w:bookmarkEnd w:id="88"/>
    </w:p>
    <w:p>
      <w:pPr>
        <w:spacing w:line="36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日期：  年  月  日</w:t>
      </w: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adjustRightInd w:val="0"/>
        <w:snapToGrid w:val="0"/>
        <w:spacing w:line="360" w:lineRule="auto"/>
        <w:ind w:firstLine="525" w:firstLineChars="250"/>
        <w:rPr>
          <w:rFonts w:asciiTheme="minorEastAsia" w:hAnsiTheme="minorEastAsia" w:eastAsiaTheme="minorEastAsia" w:cstheme="minorEastAsia"/>
          <w:color w:val="auto"/>
          <w:szCs w:val="21"/>
        </w:rPr>
      </w:pPr>
    </w:p>
    <w:p>
      <w:pPr>
        <w:spacing w:line="360" w:lineRule="exact"/>
        <w:jc w:val="center"/>
        <w:outlineLvl w:val="1"/>
        <w:rPr>
          <w:rFonts w:asciiTheme="minorEastAsia" w:hAnsiTheme="minorEastAsia" w:eastAsiaTheme="minorEastAsia" w:cstheme="minorEastAsia"/>
          <w:b/>
          <w:color w:val="auto"/>
          <w:sz w:val="32"/>
          <w:szCs w:val="32"/>
        </w:rPr>
      </w:pPr>
      <w:bookmarkStart w:id="89" w:name="_Toc4208"/>
      <w:r>
        <w:rPr>
          <w:rFonts w:hint="eastAsia" w:asciiTheme="minorEastAsia" w:hAnsiTheme="minorEastAsia" w:eastAsiaTheme="minorEastAsia" w:cstheme="minorEastAsia"/>
          <w:b/>
          <w:color w:val="auto"/>
          <w:sz w:val="32"/>
          <w:szCs w:val="32"/>
        </w:rPr>
        <w:t>五、技术/商务响应与偏离表</w:t>
      </w:r>
      <w:bookmarkEnd w:id="89"/>
    </w:p>
    <w:p>
      <w:pPr>
        <w:adjustRightInd w:val="0"/>
        <w:snapToGrid w:val="0"/>
        <w:ind w:left="-88" w:leftChars="-42" w:firstLine="315" w:firstLineChars="150"/>
        <w:rPr>
          <w:rFonts w:asciiTheme="minorEastAsia" w:hAnsiTheme="minorEastAsia" w:eastAsiaTheme="minorEastAsia" w:cstheme="minorEastAsia"/>
          <w:color w:val="auto"/>
          <w:szCs w:val="21"/>
          <w:u w:val="single"/>
        </w:rPr>
      </w:pPr>
    </w:p>
    <w:tbl>
      <w:tblPr>
        <w:tblStyle w:val="46"/>
        <w:tblW w:w="874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634" w:type="dxa"/>
            <w:vAlign w:val="center"/>
          </w:tcPr>
          <w:p>
            <w:pPr>
              <w:adjustRightInd w:val="0"/>
              <w:snapToGrid w:val="0"/>
              <w:ind w:left="-88" w:leftChars="-42"/>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序号</w:t>
            </w: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磋商文件条目号</w:t>
            </w: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采购规格/商务条款</w:t>
            </w: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响应文件的规格/商务条款</w:t>
            </w: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响应与偏离</w:t>
            </w: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asciiTheme="minorEastAsia" w:hAnsiTheme="minorEastAsia" w:eastAsiaTheme="minorEastAsia" w:cstheme="minorEastAsia"/>
                <w:color w:val="auto"/>
                <w:szCs w:val="21"/>
              </w:rPr>
            </w:pPr>
          </w:p>
        </w:tc>
      </w:tr>
    </w:tbl>
    <w:p>
      <w:pPr>
        <w:adjustRightInd w:val="0"/>
        <w:snapToGrid w:val="0"/>
        <w:spacing w:line="360" w:lineRule="auto"/>
        <w:ind w:left="-88" w:leftChars="-4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说明：1、“响应与偏离”应注明“响应”或“偏离”。</w:t>
      </w:r>
    </w:p>
    <w:p>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2、属磋商文件规定可能变动的内容在“说明”栏中注明。</w:t>
      </w:r>
    </w:p>
    <w:p>
      <w:pPr>
        <w:pStyle w:val="28"/>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法定代表人或其委托代理人(签字)：</w:t>
      </w:r>
    </w:p>
    <w:p>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日期：年月日</w:t>
      </w:r>
    </w:p>
    <w:p>
      <w:pPr>
        <w:adjustRightInd w:val="0"/>
        <w:snapToGrid w:val="0"/>
        <w:spacing w:line="360" w:lineRule="auto"/>
        <w:rPr>
          <w:rFonts w:asciiTheme="minorEastAsia" w:hAnsiTheme="minorEastAsia" w:eastAsiaTheme="minorEastAsia" w:cstheme="minorEastAsia"/>
          <w:color w:val="auto"/>
          <w:szCs w:val="21"/>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tabs>
          <w:tab w:val="left" w:pos="3600"/>
        </w:tabs>
        <w:adjustRightInd w:val="0"/>
        <w:snapToGrid w:val="0"/>
        <w:rPr>
          <w:rFonts w:asciiTheme="minorEastAsia" w:hAnsiTheme="minorEastAsia" w:eastAsiaTheme="minorEastAsia" w:cstheme="minorEastAsia"/>
          <w:b/>
          <w:color w:val="auto"/>
          <w:sz w:val="32"/>
          <w:szCs w:val="32"/>
        </w:rPr>
      </w:pPr>
    </w:p>
    <w:p>
      <w:pPr>
        <w:spacing w:line="360" w:lineRule="exact"/>
        <w:jc w:val="center"/>
        <w:outlineLvl w:val="1"/>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bookmarkStart w:id="90" w:name="_Toc26446"/>
      <w:r>
        <w:rPr>
          <w:rFonts w:hint="eastAsia" w:asciiTheme="minorEastAsia" w:hAnsiTheme="minorEastAsia" w:eastAsiaTheme="minorEastAsia" w:cstheme="minorEastAsia"/>
          <w:b/>
          <w:color w:val="auto"/>
          <w:sz w:val="32"/>
          <w:szCs w:val="32"/>
        </w:rPr>
        <w:t>六、提供享受政府采购政策的证明材料和清单表</w:t>
      </w:r>
      <w:bookmarkEnd w:id="90"/>
    </w:p>
    <w:p>
      <w:pPr>
        <w:tabs>
          <w:tab w:val="left" w:pos="3600"/>
        </w:tabs>
        <w:adjustRightInd w:val="0"/>
        <w:snapToGrid w:val="0"/>
        <w:jc w:val="center"/>
        <w:rPr>
          <w:rFonts w:asciiTheme="minorEastAsia" w:hAnsiTheme="minorEastAsia" w:eastAsiaTheme="minorEastAsia" w:cstheme="minorEastAsia"/>
          <w:b/>
          <w:color w:val="auto"/>
          <w:sz w:val="32"/>
          <w:szCs w:val="32"/>
        </w:rPr>
      </w:pPr>
    </w:p>
    <w:p>
      <w:pPr>
        <w:outlineLvl w:val="0"/>
        <w:rPr>
          <w:rFonts w:asciiTheme="minorEastAsia" w:hAnsiTheme="minorEastAsia" w:eastAsiaTheme="minorEastAsia" w:cstheme="minorEastAsia"/>
          <w:b/>
          <w:color w:val="auto"/>
          <w:sz w:val="30"/>
          <w:szCs w:val="30"/>
        </w:rPr>
      </w:pPr>
      <w:bookmarkStart w:id="91" w:name="_Toc3845"/>
      <w:r>
        <w:rPr>
          <w:rFonts w:hint="eastAsia" w:asciiTheme="minorEastAsia" w:hAnsiTheme="minorEastAsia" w:eastAsiaTheme="minorEastAsia" w:cstheme="minorEastAsia"/>
          <w:b/>
          <w:color w:val="auto"/>
          <w:sz w:val="30"/>
          <w:szCs w:val="30"/>
        </w:rPr>
        <w:t>附件8</w:t>
      </w:r>
      <w:bookmarkEnd w:id="91"/>
    </w:p>
    <w:p>
      <w:pPr>
        <w:jc w:val="center"/>
        <w:rPr>
          <w:rFonts w:ascii="宋体" w:hAnsi="宋体" w:cs="宋体"/>
          <w:b/>
          <w:bCs/>
          <w:color w:val="auto"/>
          <w:sz w:val="30"/>
          <w:szCs w:val="30"/>
        </w:rPr>
      </w:pPr>
      <w:r>
        <w:rPr>
          <w:rFonts w:ascii="宋体" w:hAnsi="宋体" w:cs="宋体"/>
          <w:b/>
          <w:bCs/>
          <w:color w:val="auto"/>
          <w:sz w:val="30"/>
          <w:szCs w:val="30"/>
        </w:rPr>
        <w:t>中小企业声明函（工程、服务）</w:t>
      </w:r>
    </w:p>
    <w:p>
      <w:pPr>
        <w:spacing w:line="480" w:lineRule="auto"/>
        <w:ind w:firstLine="420" w:firstLineChars="200"/>
        <w:rPr>
          <w:rFonts w:ascii="宋体" w:hAnsi="宋体" w:cs="宋体"/>
          <w:color w:val="auto"/>
          <w:szCs w:val="21"/>
        </w:rPr>
      </w:pPr>
    </w:p>
    <w:p>
      <w:pPr>
        <w:spacing w:line="480" w:lineRule="auto"/>
        <w:ind w:firstLine="420" w:firstLineChars="200"/>
        <w:rPr>
          <w:rFonts w:ascii="宋体" w:hAnsi="宋体" w:cs="宋体"/>
          <w:color w:val="auto"/>
          <w:szCs w:val="21"/>
        </w:rPr>
      </w:pPr>
      <w:r>
        <w:rPr>
          <w:rFonts w:ascii="宋体" w:hAnsi="宋体" w:cs="宋体"/>
          <w:color w:val="auto"/>
          <w:szCs w:val="21"/>
        </w:rPr>
        <w:t>本公司（联合体）郑重声明，根据《政府采购促进中小企业发展管理办法》（财库﹝2020﹞46 号）的规定，本公司（联合体）参加</w:t>
      </w:r>
      <w:r>
        <w:rPr>
          <w:rFonts w:ascii="宋体" w:hAnsi="宋体" w:cs="宋体"/>
          <w:color w:val="auto"/>
          <w:szCs w:val="21"/>
          <w:u w:val="single"/>
        </w:rPr>
        <w:t>（单位名称）</w:t>
      </w:r>
      <w:r>
        <w:rPr>
          <w:rFonts w:ascii="宋体" w:hAnsi="宋体" w:cs="宋体"/>
          <w:color w:val="auto"/>
          <w:szCs w:val="21"/>
        </w:rPr>
        <w:t>的</w:t>
      </w:r>
      <w:r>
        <w:rPr>
          <w:rFonts w:ascii="宋体" w:hAnsi="宋体" w:cs="宋体"/>
          <w:color w:val="auto"/>
          <w:szCs w:val="21"/>
          <w:u w:val="single"/>
        </w:rPr>
        <w:t>（项目名称）</w:t>
      </w:r>
      <w:r>
        <w:rPr>
          <w:rFonts w:ascii="宋体" w:hAnsi="宋体" w:cs="宋体"/>
          <w:color w:val="auto"/>
          <w:szCs w:val="21"/>
        </w:rPr>
        <w:t xml:space="preserve">采购活动，工程的施工单位全部为符合政策要求的中小企业（或者：服务全部由符合政策要求的中小企业承接）。相关企业（含联合 体中的中小企业、签订分包意向协议的中小企业）的具体情 况如下： </w:t>
      </w:r>
    </w:p>
    <w:p>
      <w:pPr>
        <w:numPr>
          <w:ilvl w:val="0"/>
          <w:numId w:val="9"/>
        </w:numPr>
        <w:spacing w:line="480" w:lineRule="auto"/>
        <w:ind w:firstLine="420" w:firstLineChars="200"/>
        <w:rPr>
          <w:rFonts w:ascii="宋体" w:hAnsi="宋体" w:cs="宋体"/>
          <w:color w:val="auto"/>
          <w:szCs w:val="21"/>
        </w:rPr>
      </w:pPr>
      <w:r>
        <w:rPr>
          <w:rFonts w:ascii="宋体" w:hAnsi="宋体" w:cs="宋体"/>
          <w:color w:val="auto"/>
          <w:szCs w:val="21"/>
          <w:u w:val="single"/>
        </w:rPr>
        <w:t xml:space="preserve">（标的名称） </w:t>
      </w:r>
      <w:r>
        <w:rPr>
          <w:rFonts w:ascii="宋体" w:hAnsi="宋体" w:cs="宋体"/>
          <w:color w:val="auto"/>
          <w:szCs w:val="21"/>
        </w:rPr>
        <w:t>，属于</w:t>
      </w:r>
      <w:r>
        <w:rPr>
          <w:rFonts w:ascii="宋体" w:hAnsi="宋体" w:cs="宋体"/>
          <w:color w:val="auto"/>
          <w:szCs w:val="21"/>
          <w:u w:val="single"/>
        </w:rPr>
        <w:t>（采购文件中明确的所属行业）</w:t>
      </w:r>
      <w:r>
        <w:rPr>
          <w:rFonts w:ascii="宋体" w:hAnsi="宋体" w:cs="宋体"/>
          <w:color w:val="auto"/>
          <w:szCs w:val="21"/>
        </w:rPr>
        <w:t>； 承建（承接）企业为</w:t>
      </w:r>
      <w:r>
        <w:rPr>
          <w:rFonts w:ascii="宋体" w:hAnsi="宋体" w:cs="宋体"/>
          <w:color w:val="auto"/>
          <w:szCs w:val="21"/>
          <w:u w:val="single"/>
        </w:rPr>
        <w:t>（企业名称）</w:t>
      </w:r>
      <w:r>
        <w:rPr>
          <w:rFonts w:ascii="宋体" w:hAnsi="宋体" w:cs="宋体"/>
          <w:color w:val="auto"/>
          <w:szCs w:val="21"/>
        </w:rPr>
        <w:t>，从业人员人，营业 收入为万元，资产总额为万元 ，属于</w:t>
      </w:r>
      <w:r>
        <w:rPr>
          <w:rFonts w:ascii="宋体" w:hAnsi="宋体" w:cs="宋体"/>
          <w:color w:val="auto"/>
          <w:szCs w:val="21"/>
          <w:u w:val="single"/>
        </w:rPr>
        <w:t>（中型企业、 小型企业、微型企业</w:t>
      </w:r>
      <w:r>
        <w:rPr>
          <w:rFonts w:ascii="宋体" w:hAnsi="宋体" w:cs="宋体"/>
          <w:color w:val="auto"/>
          <w:szCs w:val="21"/>
        </w:rPr>
        <w:t xml:space="preserve">）； </w:t>
      </w:r>
    </w:p>
    <w:p>
      <w:pPr>
        <w:numPr>
          <w:ilvl w:val="0"/>
          <w:numId w:val="9"/>
        </w:numPr>
        <w:spacing w:line="480" w:lineRule="auto"/>
        <w:ind w:firstLine="420" w:firstLineChars="200"/>
        <w:rPr>
          <w:rFonts w:ascii="宋体" w:hAnsi="宋体" w:cs="宋体"/>
          <w:color w:val="auto"/>
          <w:szCs w:val="21"/>
        </w:rPr>
      </w:pPr>
      <w:r>
        <w:rPr>
          <w:rFonts w:ascii="宋体" w:hAnsi="宋体" w:cs="宋体"/>
          <w:color w:val="auto"/>
          <w:szCs w:val="21"/>
          <w:u w:val="single"/>
        </w:rPr>
        <w:t>（标的名称）</w:t>
      </w:r>
      <w:r>
        <w:rPr>
          <w:rFonts w:hint="eastAsia" w:ascii="宋体" w:hAnsi="宋体" w:cs="宋体"/>
          <w:color w:val="auto"/>
          <w:szCs w:val="21"/>
        </w:rPr>
        <w:t>，</w:t>
      </w:r>
      <w:r>
        <w:rPr>
          <w:rFonts w:ascii="宋体" w:hAnsi="宋体" w:cs="宋体"/>
          <w:color w:val="auto"/>
          <w:szCs w:val="21"/>
        </w:rPr>
        <w:t>属于</w:t>
      </w:r>
      <w:r>
        <w:rPr>
          <w:rFonts w:ascii="宋体" w:hAnsi="宋体" w:cs="宋体"/>
          <w:color w:val="auto"/>
          <w:szCs w:val="21"/>
          <w:u w:val="single"/>
        </w:rPr>
        <w:t>（采购文件中明确的所属行业）</w:t>
      </w:r>
      <w:r>
        <w:rPr>
          <w:rFonts w:ascii="宋体" w:hAnsi="宋体" w:cs="宋体"/>
          <w:color w:val="auto"/>
          <w:szCs w:val="21"/>
        </w:rPr>
        <w:t>；承建（承接）企业为</w:t>
      </w:r>
      <w:r>
        <w:rPr>
          <w:rFonts w:ascii="宋体" w:hAnsi="宋体" w:cs="宋体"/>
          <w:color w:val="auto"/>
          <w:szCs w:val="21"/>
          <w:u w:val="single"/>
        </w:rPr>
        <w:t>（企业名称）</w:t>
      </w:r>
      <w:r>
        <w:rPr>
          <w:rFonts w:ascii="宋体" w:hAnsi="宋体" w:cs="宋体"/>
          <w:color w:val="auto"/>
          <w:szCs w:val="21"/>
        </w:rPr>
        <w:t>，从业人员人，营业 收入为万元，资产总额为万元，属于</w:t>
      </w:r>
      <w:r>
        <w:rPr>
          <w:rFonts w:ascii="宋体" w:hAnsi="宋体" w:cs="宋体"/>
          <w:color w:val="auto"/>
          <w:szCs w:val="21"/>
          <w:u w:val="single"/>
        </w:rPr>
        <w:t>（中型企业、 小型企业、微型企业）</w:t>
      </w:r>
      <w:r>
        <w:rPr>
          <w:rFonts w:ascii="宋体" w:hAnsi="宋体" w:cs="宋体"/>
          <w:color w:val="auto"/>
          <w:szCs w:val="21"/>
        </w:rPr>
        <w:t xml:space="preserve">； …… </w:t>
      </w:r>
    </w:p>
    <w:p>
      <w:pPr>
        <w:spacing w:line="480" w:lineRule="auto"/>
        <w:ind w:firstLine="420" w:firstLineChars="200"/>
        <w:rPr>
          <w:rFonts w:ascii="宋体" w:hAnsi="宋体" w:cs="宋体"/>
          <w:color w:val="auto"/>
          <w:szCs w:val="21"/>
        </w:rPr>
      </w:pPr>
      <w:r>
        <w:rPr>
          <w:rFonts w:ascii="宋体" w:hAnsi="宋体" w:cs="宋体"/>
          <w:color w:val="auto"/>
          <w:szCs w:val="21"/>
        </w:rPr>
        <w:t>以上企业，不属于大企业的分支机构，不存在控股股东 为大企业的情形，也不存在与大企业的负责人为同一人的情 形。</w:t>
      </w:r>
    </w:p>
    <w:p>
      <w:pPr>
        <w:spacing w:line="480" w:lineRule="auto"/>
        <w:ind w:firstLine="420" w:firstLineChars="200"/>
        <w:rPr>
          <w:rFonts w:ascii="宋体" w:hAnsi="宋体" w:cs="宋体"/>
          <w:color w:val="auto"/>
          <w:szCs w:val="21"/>
        </w:rPr>
      </w:pPr>
      <w:r>
        <w:rPr>
          <w:rFonts w:ascii="宋体" w:hAnsi="宋体" w:cs="宋体"/>
          <w:color w:val="auto"/>
          <w:szCs w:val="21"/>
        </w:rPr>
        <w:t xml:space="preserve"> 本企业对上述声明内容的真实性负责。如有虚假，将依 法承担相应责任。 </w:t>
      </w:r>
    </w:p>
    <w:p>
      <w:pPr>
        <w:spacing w:line="480" w:lineRule="auto"/>
        <w:ind w:firstLine="420" w:firstLineChars="200"/>
        <w:rPr>
          <w:rFonts w:ascii="宋体" w:hAnsi="宋体" w:cs="宋体"/>
          <w:color w:val="auto"/>
          <w:szCs w:val="21"/>
        </w:rPr>
      </w:pPr>
    </w:p>
    <w:p>
      <w:pPr>
        <w:spacing w:line="480" w:lineRule="auto"/>
        <w:ind w:firstLine="4620" w:firstLineChars="2200"/>
        <w:rPr>
          <w:rFonts w:ascii="宋体" w:hAnsi="宋体" w:cs="宋体"/>
          <w:color w:val="auto"/>
          <w:szCs w:val="21"/>
        </w:rPr>
      </w:pPr>
      <w:r>
        <w:rPr>
          <w:rFonts w:ascii="宋体" w:hAnsi="宋体" w:cs="宋体"/>
          <w:color w:val="auto"/>
          <w:szCs w:val="21"/>
        </w:rPr>
        <w:t xml:space="preserve">企业名称（盖章）： </w:t>
      </w:r>
    </w:p>
    <w:p>
      <w:pPr>
        <w:spacing w:line="480" w:lineRule="auto"/>
        <w:ind w:firstLine="5460" w:firstLineChars="2600"/>
        <w:rPr>
          <w:rFonts w:ascii="宋体" w:hAnsi="宋体" w:cs="宋体"/>
          <w:color w:val="auto"/>
          <w:szCs w:val="21"/>
        </w:rPr>
      </w:pPr>
      <w:r>
        <w:rPr>
          <w:rFonts w:ascii="宋体" w:hAnsi="宋体" w:cs="宋体"/>
          <w:color w:val="auto"/>
          <w:szCs w:val="21"/>
        </w:rPr>
        <w:t xml:space="preserve">日 期： </w:t>
      </w:r>
    </w:p>
    <w:p>
      <w:pPr>
        <w:spacing w:line="480" w:lineRule="auto"/>
        <w:rPr>
          <w:rFonts w:ascii="宋体" w:hAnsi="宋体" w:cs="宋体"/>
          <w:color w:val="auto"/>
          <w:szCs w:val="21"/>
        </w:rPr>
      </w:pPr>
    </w:p>
    <w:p>
      <w:pPr>
        <w:spacing w:line="480" w:lineRule="auto"/>
        <w:rPr>
          <w:rFonts w:ascii="宋体" w:hAnsi="宋体" w:cs="宋体"/>
          <w:color w:val="auto"/>
          <w:szCs w:val="21"/>
        </w:rPr>
      </w:pPr>
    </w:p>
    <w:p>
      <w:pPr>
        <w:spacing w:line="480" w:lineRule="auto"/>
        <w:ind w:firstLine="420" w:firstLineChars="200"/>
        <w:rPr>
          <w:color w:val="auto"/>
          <w:szCs w:val="21"/>
        </w:rPr>
      </w:pPr>
      <w:r>
        <w:rPr>
          <w:rFonts w:ascii="宋体" w:hAnsi="宋体" w:cs="宋体"/>
          <w:color w:val="auto"/>
          <w:szCs w:val="21"/>
        </w:rPr>
        <w:t>资产总额</w:t>
      </w:r>
      <w:r>
        <w:rPr>
          <w:rFonts w:hint="eastAsia" w:ascii="宋体" w:hAnsi="宋体" w:cs="宋体"/>
          <w:color w:val="auto"/>
          <w:szCs w:val="21"/>
        </w:rPr>
        <w:t>：</w:t>
      </w:r>
      <w:r>
        <w:rPr>
          <w:rFonts w:ascii="宋体" w:hAnsi="宋体" w:cs="宋体"/>
          <w:color w:val="auto"/>
          <w:szCs w:val="21"/>
        </w:rPr>
        <w:t>从业人员、营业收入、资产总额填报上一年度数据，无上一年度数据的新成立企业可不填报。</w:t>
      </w:r>
    </w:p>
    <w:p>
      <w:pPr>
        <w:adjustRightInd w:val="0"/>
        <w:snapToGrid w:val="0"/>
        <w:spacing w:line="360" w:lineRule="auto"/>
        <w:rPr>
          <w:rFonts w:asciiTheme="minorEastAsia" w:hAnsiTheme="minorEastAsia" w:eastAsiaTheme="minorEastAsia" w:cstheme="minorEastAsia"/>
          <w:color w:val="auto"/>
          <w:szCs w:val="21"/>
        </w:rPr>
      </w:pPr>
    </w:p>
    <w:p>
      <w:pPr>
        <w:tabs>
          <w:tab w:val="left" w:pos="3600"/>
        </w:tabs>
        <w:adjustRightInd w:val="0"/>
        <w:snapToGrid w:val="0"/>
        <w:rPr>
          <w:rFonts w:asciiTheme="minorEastAsia" w:hAnsiTheme="minorEastAsia" w:eastAsiaTheme="minorEastAsia" w:cstheme="minorEastAsia"/>
          <w:b/>
          <w:color w:val="auto"/>
          <w:sz w:val="32"/>
          <w:szCs w:val="32"/>
        </w:rPr>
        <w:sectPr>
          <w:pgSz w:w="11906" w:h="16838"/>
          <w:pgMar w:top="1474" w:right="1474" w:bottom="250" w:left="1588" w:header="851" w:footer="992" w:gutter="0"/>
          <w:cols w:space="720" w:num="1"/>
          <w:docGrid w:linePitch="312" w:charSpace="0"/>
        </w:sectPr>
      </w:pPr>
    </w:p>
    <w:p>
      <w:pPr>
        <w:pStyle w:val="223"/>
        <w:adjustRightInd w:val="0"/>
        <w:snapToGrid w:val="0"/>
        <w:spacing w:before="50" w:line="360" w:lineRule="auto"/>
        <w:ind w:firstLine="0" w:firstLineChars="0"/>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七、报价一览表及报价文件</w:t>
      </w:r>
    </w:p>
    <w:p>
      <w:pPr>
        <w:adjustRightInd w:val="0"/>
        <w:snapToGrid w:val="0"/>
        <w:spacing w:before="50" w:line="360" w:lineRule="auto"/>
        <w:jc w:val="left"/>
        <w:outlineLvl w:val="0"/>
        <w:rPr>
          <w:rFonts w:asciiTheme="minorEastAsia" w:hAnsiTheme="minorEastAsia" w:eastAsiaTheme="minorEastAsia" w:cstheme="minorEastAsia"/>
          <w:b/>
          <w:bCs/>
          <w:color w:val="auto"/>
          <w:sz w:val="30"/>
          <w:szCs w:val="30"/>
        </w:rPr>
      </w:pPr>
      <w:bookmarkStart w:id="92" w:name="_Toc15900"/>
      <w:r>
        <w:rPr>
          <w:rFonts w:hint="eastAsia" w:asciiTheme="minorEastAsia" w:hAnsiTheme="minorEastAsia" w:eastAsiaTheme="minorEastAsia" w:cstheme="minorEastAsia"/>
          <w:b/>
          <w:bCs/>
          <w:color w:val="auto"/>
          <w:sz w:val="30"/>
          <w:szCs w:val="30"/>
        </w:rPr>
        <w:t>附件9</w:t>
      </w:r>
      <w:bookmarkEnd w:id="92"/>
    </w:p>
    <w:p>
      <w:pPr>
        <w:adjustRightInd w:val="0"/>
        <w:snapToGrid w:val="0"/>
        <w:jc w:val="center"/>
        <w:rPr>
          <w:rFonts w:hint="eastAsia" w:ascii="宋体" w:hAnsi="宋体" w:eastAsia="宋体" w:cs="宋体"/>
          <w:b/>
          <w:color w:val="auto"/>
          <w:sz w:val="28"/>
          <w:szCs w:val="28"/>
        </w:rPr>
      </w:pPr>
      <w:r>
        <w:rPr>
          <w:rFonts w:hint="eastAsia" w:ascii="宋体" w:hAnsi="宋体" w:eastAsia="宋体" w:cs="宋体"/>
          <w:b/>
          <w:bCs/>
          <w:color w:val="auto"/>
          <w:sz w:val="28"/>
          <w:szCs w:val="28"/>
        </w:rPr>
        <w:t>报价一览表（服务</w:t>
      </w:r>
      <w:r>
        <w:rPr>
          <w:rFonts w:hint="eastAsia" w:ascii="宋体" w:hAnsi="宋体" w:eastAsia="宋体" w:cs="宋体"/>
          <w:b/>
          <w:color w:val="auto"/>
          <w:sz w:val="28"/>
          <w:szCs w:val="28"/>
        </w:rPr>
        <w:t>类适用）</w:t>
      </w:r>
    </w:p>
    <w:p>
      <w:pPr>
        <w:adjustRightInd w:val="0"/>
        <w:snapToGrid w:val="0"/>
        <w:rPr>
          <w:rFonts w:hint="eastAsia" w:ascii="黑体" w:hAnsi="宋体" w:eastAsia="黑体"/>
          <w:color w:val="auto"/>
          <w:sz w:val="24"/>
        </w:rPr>
      </w:pPr>
    </w:p>
    <w:tbl>
      <w:tblPr>
        <w:tblStyle w:val="46"/>
        <w:tblW w:w="9501"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74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8" w:hRule="atLeast"/>
        </w:trPr>
        <w:tc>
          <w:tcPr>
            <w:tcW w:w="2088" w:type="dxa"/>
            <w:noWrap w:val="0"/>
            <w:vAlign w:val="center"/>
          </w:tcPr>
          <w:p>
            <w:pPr>
              <w:spacing w:line="360" w:lineRule="exact"/>
              <w:jc w:val="center"/>
              <w:rPr>
                <w:rFonts w:hint="eastAsia" w:ascii="宋体" w:hAnsi="宋体"/>
                <w:b w:val="0"/>
                <w:bCs/>
                <w:color w:val="auto"/>
                <w:szCs w:val="21"/>
              </w:rPr>
            </w:pPr>
            <w:r>
              <w:rPr>
                <w:rFonts w:hint="eastAsia" w:ascii="宋体" w:hAnsi="宋体"/>
                <w:b w:val="0"/>
                <w:bCs/>
                <w:color w:val="auto"/>
                <w:szCs w:val="21"/>
              </w:rPr>
              <w:t>项目名称</w:t>
            </w:r>
          </w:p>
        </w:tc>
        <w:tc>
          <w:tcPr>
            <w:tcW w:w="7413" w:type="dxa"/>
            <w:noWrap w:val="0"/>
            <w:vAlign w:val="center"/>
          </w:tcPr>
          <w:p>
            <w:pPr>
              <w:spacing w:line="360" w:lineRule="exact"/>
              <w:jc w:val="center"/>
              <w:rPr>
                <w:rFonts w:hint="eastAsia" w:ascii="宋体" w:hAnsi="宋体" w:cs="Times New Roman"/>
                <w:b w:val="0"/>
                <w:bCs/>
                <w:color w:val="auto"/>
                <w:szCs w:val="21"/>
                <w:lang w:val="en-US" w:eastAsia="zh-CN"/>
              </w:rPr>
            </w:pPr>
            <w:r>
              <w:rPr>
                <w:rFonts w:hint="eastAsia" w:ascii="宋体" w:hAnsi="宋体" w:cs="Times New Roman"/>
                <w:b w:val="0"/>
                <w:bCs/>
                <w:color w:val="auto"/>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5" w:hRule="atLeast"/>
        </w:trPr>
        <w:tc>
          <w:tcPr>
            <w:tcW w:w="2088" w:type="dxa"/>
            <w:noWrap w:val="0"/>
            <w:vAlign w:val="center"/>
          </w:tcPr>
          <w:p>
            <w:pPr>
              <w:spacing w:line="360" w:lineRule="exact"/>
              <w:jc w:val="center"/>
              <w:rPr>
                <w:rFonts w:hint="eastAsia" w:ascii="宋体" w:hAnsi="宋体"/>
                <w:b w:val="0"/>
                <w:bCs/>
                <w:color w:val="auto"/>
                <w:szCs w:val="21"/>
              </w:rPr>
            </w:pPr>
            <w:r>
              <w:rPr>
                <w:rFonts w:hint="eastAsia" w:ascii="宋体" w:hAnsi="宋体"/>
                <w:b w:val="0"/>
                <w:bCs/>
                <w:color w:val="auto"/>
                <w:szCs w:val="21"/>
              </w:rPr>
              <w:t>采购计划备案编号</w:t>
            </w:r>
          </w:p>
        </w:tc>
        <w:tc>
          <w:tcPr>
            <w:tcW w:w="7413" w:type="dxa"/>
            <w:noWrap w:val="0"/>
            <w:vAlign w:val="center"/>
          </w:tcPr>
          <w:p>
            <w:pPr>
              <w:spacing w:line="360" w:lineRule="exact"/>
              <w:jc w:val="center"/>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trPr>
        <w:tc>
          <w:tcPr>
            <w:tcW w:w="2088" w:type="dxa"/>
            <w:noWrap w:val="0"/>
            <w:vAlign w:val="center"/>
          </w:tcPr>
          <w:p>
            <w:pPr>
              <w:spacing w:line="360" w:lineRule="exact"/>
              <w:jc w:val="center"/>
              <w:rPr>
                <w:rFonts w:hint="eastAsia" w:ascii="宋体" w:hAnsi="宋体"/>
                <w:b w:val="0"/>
                <w:bCs/>
                <w:color w:val="auto"/>
                <w:szCs w:val="21"/>
              </w:rPr>
            </w:pPr>
            <w:r>
              <w:rPr>
                <w:rFonts w:hint="eastAsia" w:ascii="宋体" w:hAnsi="宋体"/>
                <w:b w:val="0"/>
                <w:bCs/>
                <w:color w:val="auto"/>
                <w:szCs w:val="21"/>
              </w:rPr>
              <w:t>采购代理机构编号</w:t>
            </w:r>
          </w:p>
        </w:tc>
        <w:tc>
          <w:tcPr>
            <w:tcW w:w="7413" w:type="dxa"/>
            <w:noWrap w:val="0"/>
            <w:vAlign w:val="center"/>
          </w:tcPr>
          <w:p>
            <w:pPr>
              <w:spacing w:line="360" w:lineRule="exact"/>
              <w:jc w:val="center"/>
              <w:rPr>
                <w:rFonts w:hint="eastAsia" w:ascii="宋体" w:hAnsi="宋体" w:eastAsia="宋体"/>
                <w:b w:val="0"/>
                <w:bCs/>
                <w:color w:val="auto"/>
                <w:szCs w:val="21"/>
                <w:lang w:val="en-US" w:eastAsia="zh-CN"/>
              </w:rPr>
            </w:pPr>
            <w:r>
              <w:rPr>
                <w:rFonts w:hint="eastAsia" w:ascii="宋体" w:hAnsi="宋体" w:eastAsia="宋体"/>
                <w:b w:val="0"/>
                <w:bCs/>
                <w:color w:val="auto"/>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5" w:hRule="atLeast"/>
        </w:trPr>
        <w:tc>
          <w:tcPr>
            <w:tcW w:w="2088" w:type="dxa"/>
            <w:noWrap w:val="0"/>
            <w:vAlign w:val="center"/>
          </w:tcPr>
          <w:p>
            <w:pPr>
              <w:spacing w:line="360" w:lineRule="exact"/>
              <w:jc w:val="center"/>
              <w:rPr>
                <w:rFonts w:hint="eastAsia" w:ascii="宋体" w:hAnsi="宋体"/>
                <w:b w:val="0"/>
                <w:bCs/>
                <w:color w:val="auto"/>
                <w:szCs w:val="21"/>
              </w:rPr>
            </w:pPr>
            <w:r>
              <w:rPr>
                <w:rFonts w:hint="eastAsia" w:ascii="宋体" w:hAnsi="宋体"/>
                <w:b w:val="0"/>
                <w:bCs/>
                <w:color w:val="auto"/>
                <w:szCs w:val="21"/>
              </w:rPr>
              <w:t>投标报价（元）</w:t>
            </w:r>
          </w:p>
        </w:tc>
        <w:tc>
          <w:tcPr>
            <w:tcW w:w="7413" w:type="dxa"/>
            <w:noWrap w:val="0"/>
            <w:vAlign w:val="center"/>
          </w:tcPr>
          <w:p>
            <w:pPr>
              <w:spacing w:line="360" w:lineRule="exact"/>
              <w:jc w:val="center"/>
              <w:rPr>
                <w:rFonts w:hint="eastAsia" w:ascii="宋体" w:hAnsi="宋体" w:cs="宋体"/>
                <w:b w:val="0"/>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48" w:hRule="atLeast"/>
        </w:trPr>
        <w:tc>
          <w:tcPr>
            <w:tcW w:w="2088" w:type="dxa"/>
            <w:noWrap w:val="0"/>
            <w:vAlign w:val="center"/>
          </w:tcPr>
          <w:p>
            <w:pPr>
              <w:spacing w:line="360" w:lineRule="exact"/>
              <w:jc w:val="center"/>
              <w:rPr>
                <w:rFonts w:hint="eastAsia" w:ascii="宋体" w:hAnsi="宋体" w:eastAsia="宋体"/>
                <w:b w:val="0"/>
                <w:bCs/>
                <w:color w:val="auto"/>
                <w:szCs w:val="21"/>
                <w:lang w:val="en-US" w:eastAsia="zh-CN"/>
              </w:rPr>
            </w:pPr>
            <w:r>
              <w:rPr>
                <w:rFonts w:hint="eastAsia" w:ascii="宋体" w:hAnsi="宋体"/>
                <w:b w:val="0"/>
                <w:bCs/>
                <w:color w:val="auto"/>
                <w:szCs w:val="21"/>
              </w:rPr>
              <w:t>服务</w:t>
            </w:r>
            <w:r>
              <w:rPr>
                <w:rFonts w:hint="eastAsia" w:ascii="宋体" w:hAnsi="宋体"/>
                <w:b w:val="0"/>
                <w:bCs/>
                <w:color w:val="auto"/>
                <w:szCs w:val="21"/>
                <w:lang w:val="en-US" w:eastAsia="zh-CN"/>
              </w:rPr>
              <w:t>期限</w:t>
            </w:r>
          </w:p>
        </w:tc>
        <w:tc>
          <w:tcPr>
            <w:tcW w:w="7413" w:type="dxa"/>
            <w:noWrap w:val="0"/>
            <w:vAlign w:val="center"/>
          </w:tcPr>
          <w:p>
            <w:pPr>
              <w:spacing w:line="360" w:lineRule="exact"/>
              <w:rPr>
                <w:rFonts w:hint="eastAsia" w:ascii="宋体" w:hAnsi="宋体"/>
                <w:b w:val="0"/>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3" w:hRule="atLeast"/>
        </w:trPr>
        <w:tc>
          <w:tcPr>
            <w:tcW w:w="2088" w:type="dxa"/>
            <w:noWrap w:val="0"/>
            <w:vAlign w:val="center"/>
          </w:tcPr>
          <w:p>
            <w:pPr>
              <w:spacing w:line="360" w:lineRule="exact"/>
              <w:jc w:val="center"/>
              <w:rPr>
                <w:rFonts w:hint="eastAsia" w:ascii="宋体" w:hAnsi="宋体"/>
                <w:b w:val="0"/>
                <w:bCs/>
                <w:color w:val="auto"/>
                <w:szCs w:val="21"/>
              </w:rPr>
            </w:pPr>
            <w:r>
              <w:rPr>
                <w:rFonts w:hint="eastAsia" w:ascii="宋体" w:hAnsi="宋体"/>
                <w:b w:val="0"/>
                <w:bCs/>
                <w:color w:val="auto"/>
                <w:szCs w:val="21"/>
              </w:rPr>
              <w:t>技术负责人</w:t>
            </w:r>
          </w:p>
        </w:tc>
        <w:tc>
          <w:tcPr>
            <w:tcW w:w="7413" w:type="dxa"/>
            <w:noWrap w:val="0"/>
            <w:vAlign w:val="center"/>
          </w:tcPr>
          <w:p>
            <w:pPr>
              <w:spacing w:line="360" w:lineRule="exact"/>
              <w:rPr>
                <w:rFonts w:hint="eastAsia" w:ascii="宋体" w:hAnsi="宋体"/>
                <w:b w:val="0"/>
                <w:bCs/>
                <w:color w:val="auto"/>
                <w:szCs w:val="21"/>
              </w:rPr>
            </w:pPr>
          </w:p>
        </w:tc>
      </w:tr>
    </w:tbl>
    <w:p>
      <w:pPr>
        <w:adjustRightInd w:val="0"/>
        <w:snapToGrid w:val="0"/>
        <w:spacing w:line="360" w:lineRule="auto"/>
        <w:rPr>
          <w:rFonts w:hint="eastAsia" w:ascii="宋体" w:hAnsi="宋体" w:eastAsia="宋体" w:cs="宋体"/>
          <w:color w:val="auto"/>
          <w:szCs w:val="21"/>
        </w:rPr>
      </w:pPr>
    </w:p>
    <w:p>
      <w:pPr>
        <w:pStyle w:val="2"/>
        <w:rPr>
          <w:rFonts w:hint="eastAsia"/>
          <w:color w:val="auto"/>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说明：“品目代码”栏按</w:t>
      </w:r>
      <w:r>
        <w:rPr>
          <w:rStyle w:val="49"/>
          <w:rFonts w:hint="eastAsia" w:ascii="宋体" w:hAnsi="宋体" w:eastAsia="宋体" w:cs="宋体"/>
          <w:b w:val="0"/>
          <w:color w:val="auto"/>
        </w:rPr>
        <w:t>《政府采购品目分类目录》规定填写，如</w:t>
      </w:r>
      <w:r>
        <w:rPr>
          <w:rFonts w:hint="eastAsia" w:ascii="宋体" w:hAnsi="宋体" w:eastAsia="宋体" w:cs="宋体"/>
          <w:color w:val="auto"/>
          <w:kern w:val="0"/>
          <w:szCs w:val="21"/>
        </w:rPr>
        <w:t>C050301车辆维修和保养服务</w:t>
      </w:r>
      <w:r>
        <w:rPr>
          <w:rStyle w:val="49"/>
          <w:rFonts w:hint="eastAsia" w:ascii="宋体" w:hAnsi="宋体" w:eastAsia="宋体" w:cs="宋体"/>
          <w:b w:val="0"/>
          <w:color w:val="auto"/>
        </w:rPr>
        <w:t>；</w:t>
      </w:r>
    </w:p>
    <w:p>
      <w:pPr>
        <w:adjustRightInd w:val="0"/>
        <w:snapToGrid w:val="0"/>
        <w:spacing w:line="360" w:lineRule="auto"/>
        <w:rPr>
          <w:rFonts w:asciiTheme="minorEastAsia" w:hAnsiTheme="minorEastAsia" w:eastAsiaTheme="minorEastAsia" w:cstheme="minorEastAsia"/>
          <w:color w:val="auto"/>
          <w:sz w:val="20"/>
        </w:rPr>
      </w:pPr>
    </w:p>
    <w:p>
      <w:pPr>
        <w:adjustRightInd w:val="0"/>
        <w:snapToGrid w:val="0"/>
        <w:spacing w:line="360" w:lineRule="auto"/>
        <w:rPr>
          <w:rFonts w:asciiTheme="minorEastAsia" w:hAnsiTheme="minorEastAsia" w:eastAsiaTheme="minorEastAsia" w:cstheme="minorEastAsia"/>
          <w:color w:val="auto"/>
          <w:sz w:val="20"/>
        </w:rPr>
      </w:pPr>
    </w:p>
    <w:p>
      <w:pPr>
        <w:pStyle w:val="27"/>
        <w:adjustRightInd w:val="0"/>
        <w:snapToGrid w:val="0"/>
        <w:spacing w:line="480" w:lineRule="auto"/>
        <w:outlineLvl w:val="0"/>
        <w:rPr>
          <w:rFonts w:asciiTheme="minorEastAsia" w:hAnsiTheme="minorEastAsia" w:eastAsiaTheme="minorEastAsia" w:cstheme="minorEastAsia"/>
          <w:color w:val="auto"/>
          <w:sz w:val="21"/>
          <w:szCs w:val="21"/>
        </w:rPr>
      </w:pPr>
      <w:bookmarkStart w:id="93" w:name="_Toc31889"/>
      <w:r>
        <w:rPr>
          <w:rFonts w:hint="eastAsia" w:asciiTheme="minorEastAsia" w:hAnsiTheme="minorEastAsia" w:eastAsiaTheme="minorEastAsia" w:cstheme="minorEastAsia"/>
          <w:color w:val="auto"/>
          <w:sz w:val="21"/>
          <w:szCs w:val="21"/>
        </w:rPr>
        <w:t>供应商（盖单位章）：</w:t>
      </w:r>
      <w:bookmarkEnd w:id="93"/>
    </w:p>
    <w:p>
      <w:pPr>
        <w:pStyle w:val="27"/>
        <w:adjustRightInd w:val="0"/>
        <w:snapToGrid w:val="0"/>
        <w:spacing w:line="480" w:lineRule="auto"/>
        <w:outlineLvl w:val="0"/>
        <w:rPr>
          <w:rFonts w:asciiTheme="minorEastAsia" w:hAnsiTheme="minorEastAsia" w:eastAsiaTheme="minorEastAsia" w:cstheme="minorEastAsia"/>
          <w:color w:val="auto"/>
          <w:sz w:val="21"/>
          <w:szCs w:val="21"/>
        </w:rPr>
      </w:pPr>
      <w:bookmarkStart w:id="94" w:name="_Toc25270"/>
      <w:r>
        <w:rPr>
          <w:rFonts w:hint="eastAsia" w:asciiTheme="minorEastAsia" w:hAnsiTheme="minorEastAsia" w:eastAsiaTheme="minorEastAsia" w:cstheme="minorEastAsia"/>
          <w:color w:val="auto"/>
          <w:sz w:val="21"/>
          <w:szCs w:val="21"/>
        </w:rPr>
        <w:t>法定代表人或其委托代理人签字：</w:t>
      </w:r>
      <w:bookmarkEnd w:id="94"/>
    </w:p>
    <w:p>
      <w:pPr>
        <w:pStyle w:val="27"/>
        <w:adjustRightInd w:val="0"/>
        <w:snapToGrid w:val="0"/>
        <w:spacing w:line="480" w:lineRule="auto"/>
        <w:outlineLvl w:val="0"/>
        <w:rPr>
          <w:rFonts w:asciiTheme="minorEastAsia" w:hAnsiTheme="minorEastAsia" w:eastAsiaTheme="minorEastAsia" w:cstheme="minorEastAsia"/>
          <w:color w:val="auto"/>
          <w:sz w:val="21"/>
          <w:szCs w:val="21"/>
        </w:rPr>
      </w:pPr>
      <w:bookmarkStart w:id="95" w:name="_Toc32170"/>
      <w:r>
        <w:rPr>
          <w:rFonts w:hint="eastAsia" w:asciiTheme="minorEastAsia" w:hAnsiTheme="minorEastAsia" w:eastAsiaTheme="minorEastAsia" w:cstheme="minorEastAsia"/>
          <w:color w:val="auto"/>
          <w:sz w:val="21"/>
          <w:szCs w:val="21"/>
        </w:rPr>
        <w:t>日      期：     年    月   日</w:t>
      </w:r>
      <w:bookmarkEnd w:id="95"/>
    </w:p>
    <w:p>
      <w:pPr>
        <w:adjustRightInd w:val="0"/>
        <w:snapToGrid w:val="0"/>
        <w:rPr>
          <w:rFonts w:asciiTheme="minorEastAsia" w:hAnsiTheme="minorEastAsia" w:eastAsiaTheme="minorEastAsia" w:cstheme="minorEastAsia"/>
          <w:color w:val="auto"/>
          <w:sz w:val="30"/>
          <w:szCs w:val="30"/>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adjustRightInd w:val="0"/>
        <w:snapToGrid w:val="0"/>
        <w:jc w:val="center"/>
        <w:rPr>
          <w:rFonts w:asciiTheme="minorEastAsia" w:hAnsiTheme="minorEastAsia" w:eastAsiaTheme="minorEastAsia" w:cstheme="minorEastAsia"/>
          <w:color w:val="auto"/>
          <w:sz w:val="28"/>
          <w:szCs w:val="28"/>
        </w:rPr>
      </w:pPr>
    </w:p>
    <w:p>
      <w:pPr>
        <w:spacing w:line="360" w:lineRule="exact"/>
        <w:jc w:val="center"/>
        <w:rPr>
          <w:rFonts w:asciiTheme="minorEastAsia" w:hAnsiTheme="minorEastAsia" w:eastAsiaTheme="minorEastAsia" w:cstheme="minorEastAsia"/>
          <w:b/>
          <w:color w:val="auto"/>
          <w:sz w:val="32"/>
          <w:szCs w:val="32"/>
        </w:rPr>
      </w:pPr>
    </w:p>
    <w:p>
      <w:pPr>
        <w:spacing w:line="360" w:lineRule="exact"/>
        <w:jc w:val="center"/>
        <w:outlineLvl w:val="1"/>
        <w:rPr>
          <w:rFonts w:asciiTheme="minorEastAsia" w:hAnsiTheme="minorEastAsia" w:eastAsiaTheme="minorEastAsia" w:cstheme="minorEastAsia"/>
          <w:b/>
          <w:color w:val="auto"/>
          <w:sz w:val="32"/>
          <w:szCs w:val="32"/>
        </w:rPr>
      </w:pPr>
      <w:bookmarkStart w:id="96" w:name="_Toc5834"/>
      <w:r>
        <w:rPr>
          <w:rFonts w:hint="eastAsia" w:asciiTheme="minorEastAsia" w:hAnsiTheme="minorEastAsia" w:eastAsiaTheme="minorEastAsia" w:cstheme="minorEastAsia"/>
          <w:b/>
          <w:color w:val="auto"/>
          <w:sz w:val="32"/>
          <w:szCs w:val="32"/>
        </w:rPr>
        <w:t>八、供应商认为需要提供的其它资料</w:t>
      </w:r>
      <w:bookmarkEnd w:id="96"/>
    </w:p>
    <w:p>
      <w:pPr>
        <w:adjustRightInd w:val="0"/>
        <w:snapToGrid w:val="0"/>
        <w:ind w:firstLine="3780" w:firstLineChars="1350"/>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color w:val="auto"/>
          <w:sz w:val="28"/>
          <w:szCs w:val="28"/>
        </w:rPr>
        <w:br w:type="page"/>
      </w:r>
      <w:r>
        <w:rPr>
          <w:rFonts w:hint="eastAsia" w:asciiTheme="minorEastAsia" w:hAnsiTheme="minorEastAsia" w:eastAsiaTheme="minorEastAsia" w:cstheme="minorEastAsia"/>
          <w:b/>
          <w:color w:val="auto"/>
          <w:sz w:val="32"/>
          <w:szCs w:val="32"/>
        </w:rPr>
        <w:t>九、最后报价</w:t>
      </w:r>
    </w:p>
    <w:p>
      <w:pPr>
        <w:adjustRightInd w:val="0"/>
        <w:snapToGrid w:val="0"/>
        <w:ind w:left="-88" w:leftChars="-42"/>
        <w:rPr>
          <w:rFonts w:asciiTheme="minorEastAsia" w:hAnsiTheme="minorEastAsia" w:eastAsiaTheme="minorEastAsia" w:cstheme="minorEastAsia"/>
          <w:color w:val="auto"/>
          <w:szCs w:val="21"/>
        </w:rPr>
      </w:pPr>
    </w:p>
    <w:p>
      <w:pPr>
        <w:adjustRightInd w:val="0"/>
        <w:snapToGrid w:val="0"/>
        <w:ind w:left="-88" w:leftChars="-42"/>
        <w:rPr>
          <w:rFonts w:hint="eastAsia" w:asciiTheme="minorEastAsia" w:hAnsiTheme="minorEastAsia" w:eastAsiaTheme="minorEastAsia" w:cstheme="minorEastAsia"/>
          <w:color w:val="auto"/>
          <w:szCs w:val="21"/>
        </w:rPr>
      </w:pPr>
    </w:p>
    <w:p>
      <w:pPr>
        <w:pStyle w:val="20"/>
        <w:rPr>
          <w:color w:val="auto"/>
        </w:rPr>
      </w:pPr>
      <w:r>
        <w:rPr>
          <w:rFonts w:hint="eastAsia" w:asciiTheme="minorEastAsia" w:hAnsiTheme="minorEastAsia" w:eastAsiaTheme="minorEastAsia" w:cstheme="minorEastAsia"/>
          <w:b w:val="0"/>
          <w:bCs w:val="0"/>
          <w:color w:val="auto"/>
          <w:szCs w:val="21"/>
          <w:lang w:val="en-US" w:eastAsia="zh-CN"/>
        </w:rPr>
        <w:t xml:space="preserve">    </w:t>
      </w:r>
    </w:p>
    <w:tbl>
      <w:tblPr>
        <w:tblStyle w:val="46"/>
        <w:tblW w:w="954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3201"/>
        <w:gridCol w:w="1627"/>
        <w:gridCol w:w="23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98" w:hRule="atLeast"/>
          <w:jc w:val="center"/>
        </w:trPr>
        <w:tc>
          <w:tcPr>
            <w:tcW w:w="2382" w:type="dxa"/>
            <w:vMerge w:val="restart"/>
            <w:vAlign w:val="center"/>
          </w:tcPr>
          <w:p>
            <w:pPr>
              <w:jc w:val="center"/>
              <w:rPr>
                <w:rFonts w:ascii="宋体" w:hAnsi="宋体" w:cs="宋体"/>
                <w:color w:val="auto"/>
                <w:szCs w:val="21"/>
              </w:rPr>
            </w:pPr>
            <w:r>
              <w:rPr>
                <w:rFonts w:hint="eastAsia" w:ascii="宋体" w:hAnsi="宋体" w:cs="宋体"/>
                <w:color w:val="auto"/>
                <w:szCs w:val="21"/>
              </w:rPr>
              <w:t>项目名称</w:t>
            </w:r>
          </w:p>
        </w:tc>
        <w:tc>
          <w:tcPr>
            <w:tcW w:w="3201" w:type="dxa"/>
            <w:vMerge w:val="restart"/>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政府采购编号</w:t>
            </w:r>
          </w:p>
        </w:tc>
        <w:tc>
          <w:tcPr>
            <w:tcW w:w="2336"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48" w:hRule="atLeast"/>
          <w:jc w:val="center"/>
        </w:trPr>
        <w:tc>
          <w:tcPr>
            <w:tcW w:w="2382" w:type="dxa"/>
            <w:vMerge w:val="continue"/>
            <w:vAlign w:val="center"/>
          </w:tcPr>
          <w:p>
            <w:pPr>
              <w:jc w:val="center"/>
              <w:rPr>
                <w:rFonts w:ascii="宋体" w:hAnsi="宋体" w:cs="宋体"/>
                <w:color w:val="auto"/>
                <w:szCs w:val="21"/>
              </w:rPr>
            </w:pPr>
          </w:p>
        </w:tc>
        <w:tc>
          <w:tcPr>
            <w:tcW w:w="3201" w:type="dxa"/>
            <w:vMerge w:val="continue"/>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采购代理编号</w:t>
            </w:r>
          </w:p>
        </w:tc>
        <w:tc>
          <w:tcPr>
            <w:tcW w:w="2336" w:type="dxa"/>
            <w:vAlign w:val="center"/>
          </w:tcPr>
          <w:p>
            <w:pPr>
              <w:jc w:val="center"/>
              <w:rPr>
                <w:rFonts w:ascii="宋体" w:hAnsi="宋体" w:cs="宋体"/>
                <w:color w:val="auto"/>
                <w:szCs w:val="21"/>
              </w:rPr>
            </w:pPr>
            <w:r>
              <w:rPr>
                <w:rFonts w:hint="eastAsia" w:ascii="宋体" w:hAnsi="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777" w:hRule="atLeast"/>
          <w:jc w:val="center"/>
        </w:trPr>
        <w:tc>
          <w:tcPr>
            <w:tcW w:w="2382" w:type="dxa"/>
            <w:vAlign w:val="center"/>
          </w:tcPr>
          <w:p>
            <w:pPr>
              <w:jc w:val="center"/>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投标总报价</w:t>
            </w:r>
          </w:p>
        </w:tc>
        <w:tc>
          <w:tcPr>
            <w:tcW w:w="7164" w:type="dxa"/>
            <w:gridSpan w:val="3"/>
            <w:vAlign w:val="center"/>
          </w:tcPr>
          <w:p>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41" w:hRule="atLeast"/>
          <w:jc w:val="center"/>
        </w:trPr>
        <w:tc>
          <w:tcPr>
            <w:tcW w:w="2382" w:type="dxa"/>
            <w:vAlign w:val="center"/>
          </w:tcPr>
          <w:p>
            <w:pPr>
              <w:jc w:val="center"/>
              <w:rPr>
                <w:rFonts w:ascii="宋体" w:hAnsi="宋体"/>
                <w:b w:val="0"/>
                <w:bCs/>
                <w:color w:val="auto"/>
                <w:szCs w:val="21"/>
              </w:rPr>
            </w:pPr>
            <w:r>
              <w:rPr>
                <w:rFonts w:hint="eastAsia" w:ascii="宋体" w:hAnsi="宋体"/>
                <w:b w:val="0"/>
                <w:bCs/>
                <w:color w:val="auto"/>
                <w:szCs w:val="21"/>
              </w:rPr>
              <w:t>是否为最终报价</w:t>
            </w:r>
          </w:p>
        </w:tc>
        <w:tc>
          <w:tcPr>
            <w:tcW w:w="7164" w:type="dxa"/>
            <w:gridSpan w:val="3"/>
            <w:vAlign w:val="center"/>
          </w:tcPr>
          <w:p>
            <w:pPr>
              <w:rPr>
                <w:rFonts w:ascii="宋体" w:hAnsi="宋体" w:cs="宋体"/>
                <w:color w:val="auto"/>
                <w:szCs w:val="21"/>
              </w:rPr>
            </w:pPr>
          </w:p>
        </w:tc>
      </w:tr>
    </w:tbl>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供应商（盖单位章）：</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w:t>
      </w:r>
    </w:p>
    <w:p>
      <w:pPr>
        <w:adjustRightInd w:val="0"/>
        <w:snapToGrid w:val="0"/>
        <w:spacing w:line="360" w:lineRule="auto"/>
        <w:rPr>
          <w:rFonts w:ascii="宋体" w:hAnsi="宋体" w:cs="宋体"/>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1、本最后报价</w:t>
      </w:r>
      <w:r>
        <w:rPr>
          <w:rFonts w:hint="eastAsia" w:asciiTheme="minorEastAsia" w:hAnsiTheme="minorEastAsia" w:eastAsiaTheme="minorEastAsia" w:cstheme="minorEastAsia"/>
          <w:color w:val="auto"/>
          <w:szCs w:val="21"/>
          <w:lang w:val="en-US" w:eastAsia="zh-CN"/>
        </w:rPr>
        <w:t>表在投标</w:t>
      </w:r>
      <w:r>
        <w:rPr>
          <w:rFonts w:hint="eastAsia" w:asciiTheme="minorEastAsia" w:hAnsiTheme="minorEastAsia" w:eastAsiaTheme="minorEastAsia" w:cstheme="minorEastAsia"/>
          <w:color w:val="auto"/>
          <w:szCs w:val="21"/>
        </w:rPr>
        <w:t>响应文件中无需提供，请供应商单独准备一份加盖公章及签字的空白表格备用。本表格涉及的报价部分可以在磋商开始后在规定的时间内现场填写递交，但必须加盖单位公章且有法定代表人签字或盖章及委托代理人签字</w:t>
      </w:r>
      <w:r>
        <w:rPr>
          <w:rFonts w:hint="eastAsia" w:asciiTheme="minorEastAsia" w:hAnsiTheme="minorEastAsia" w:eastAsiaTheme="minorEastAsia" w:cstheme="minorEastAsia"/>
          <w:color w:val="auto"/>
          <w:szCs w:val="21"/>
          <w:lang w:eastAsia="zh-CN"/>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2、大写金额与小写金额不一致时，以大写金额为准。</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sectPr>
      <w:headerReference r:id="rId8" w:type="default"/>
      <w:footerReference r:id="rId9" w:type="default"/>
      <w:pgSz w:w="11906" w:h="16838"/>
      <w:pgMar w:top="1077" w:right="1304" w:bottom="107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w:pict>
        <v:shape id="文本框 1026" o:spid="_x0000_s4098"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DhT/AzfAQAAsQMAAA4AAAAA&#10;AAAAAQAgAAAAHwEAAGRycy9lMm9Eb2MueG1sUEsFBgAAAAAGAAYAWQEAAHAFAAAAAA==&#1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48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1027" o:spid="_x0000_s4097"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M09xUffAQAAsQMAAA4AAAAA&#10;AAAAAQAgAAAAHwEAAGRycy9lMm9Eb2MueG1sUEsFBgAAAAAGAAYAWQEAAHAFAAAAAA==&#1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52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rPr>
        <w:u w:val="single"/>
      </w:rPr>
    </w:pPr>
    <w:r>
      <w:rPr>
        <w:rFonts w:hint="eastAsia" w:eastAsiaTheme="minorEastAsia"/>
        <w:u w:val="single"/>
        <w:lang w:eastAsia="zh-CN"/>
      </w:rPr>
      <w:t>临湘市水利工程白蚁等害堤动物防治项目</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r>
      <w:rPr>
        <w:rFonts w:hint="eastAsia" w:eastAsiaTheme="minorEastAsia"/>
        <w:u w:val="single"/>
        <w:lang w:eastAsia="zh-CN"/>
      </w:rPr>
      <w:t>临湘市水利工程白蚁等害堤动物防治项目</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仿宋_GB2312" w:eastAsia="仿宋_GB2312"/>
        <w:b/>
        <w:sz w:val="18"/>
        <w:szCs w:val="18"/>
      </w:rPr>
    </w:pPr>
    <w:r>
      <w:rPr>
        <w:rFonts w:hint="eastAsia"/>
        <w:sz w:val="18"/>
        <w:szCs w:val="18"/>
        <w:u w:val="single"/>
        <w:lang w:eastAsia="zh-CN"/>
      </w:rPr>
      <w:t>临湘市水利工程白蚁等害堤动物防治项目</w:t>
    </w:r>
    <w:r>
      <w:rPr>
        <w:rFonts w:hint="eastAsia"/>
        <w:sz w:val="18"/>
        <w:szCs w:val="18"/>
        <w:u w:val="single"/>
      </w:rPr>
      <w:t xml:space="preserve">   </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u w:val="single"/>
        <w:lang w:val="en-US" w:eastAsia="zh-CN"/>
      </w:rPr>
      <w:t xml:space="preserve">          </w:t>
    </w:r>
    <w:r>
      <w:rPr>
        <w:rFonts w:hint="eastAsia" w:asciiTheme="minorEastAsia" w:hAnsiTheme="minorEastAsia" w:eastAsiaTheme="minorEastAsia" w:cstheme="minorEastAsia"/>
        <w:sz w:val="18"/>
        <w:szCs w:val="18"/>
        <w:u w:val="single"/>
      </w:rPr>
      <w:t xml:space="preserve">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FB15"/>
    <w:multiLevelType w:val="singleLevel"/>
    <w:tmpl w:val="8E09FB15"/>
    <w:lvl w:ilvl="0" w:tentative="0">
      <w:start w:val="1"/>
      <w:numFmt w:val="decimal"/>
      <w:suff w:val="space"/>
      <w:lvlText w:val="%1."/>
      <w:lvlJc w:val="left"/>
    </w:lvl>
  </w:abstractNum>
  <w:abstractNum w:abstractNumId="1">
    <w:nsid w:val="ECE8D054"/>
    <w:multiLevelType w:val="singleLevel"/>
    <w:tmpl w:val="ECE8D054"/>
    <w:lvl w:ilvl="0" w:tentative="0">
      <w:start w:val="5"/>
      <w:numFmt w:val="chineseCounting"/>
      <w:suff w:val="space"/>
      <w:lvlText w:val="第%1章"/>
      <w:lvlJc w:val="left"/>
      <w:rPr>
        <w:rFonts w:hint="eastAsia"/>
      </w:rPr>
    </w:lvl>
  </w:abstractNum>
  <w:abstractNum w:abstractNumId="2">
    <w:nsid w:val="41B0311E"/>
    <w:multiLevelType w:val="multilevel"/>
    <w:tmpl w:val="41B0311E"/>
    <w:lvl w:ilvl="0" w:tentative="0">
      <w:start w:val="1"/>
      <w:numFmt w:val="decimal"/>
      <w:lvlText w:val="%1、"/>
      <w:lvlJc w:val="left"/>
      <w:pPr>
        <w:ind w:left="885" w:hanging="360"/>
      </w:pPr>
      <w:rPr>
        <w:rFonts w:hint="default"/>
        <w:b w:val="0"/>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3">
    <w:nsid w:val="4437798E"/>
    <w:multiLevelType w:val="singleLevel"/>
    <w:tmpl w:val="4437798E"/>
    <w:lvl w:ilvl="0" w:tentative="0">
      <w:start w:val="4"/>
      <w:numFmt w:val="chineseCounting"/>
      <w:suff w:val="space"/>
      <w:lvlText w:val="第%1章"/>
      <w:lvlJc w:val="left"/>
      <w:rPr>
        <w:rFonts w:hint="eastAsia"/>
      </w:rPr>
    </w:lvl>
  </w:abstractNum>
  <w:abstractNum w:abstractNumId="4">
    <w:nsid w:val="5F8C9E84"/>
    <w:multiLevelType w:val="singleLevel"/>
    <w:tmpl w:val="5F8C9E84"/>
    <w:lvl w:ilvl="0" w:tentative="0">
      <w:start w:val="1"/>
      <w:numFmt w:val="decimal"/>
      <w:suff w:val="nothing"/>
      <w:lvlText w:val="%1、"/>
      <w:lvlJc w:val="left"/>
    </w:lvl>
  </w:abstractNum>
  <w:abstractNum w:abstractNumId="5">
    <w:nsid w:val="60B015A0"/>
    <w:multiLevelType w:val="multilevel"/>
    <w:tmpl w:val="60B015A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79B66BA"/>
    <w:multiLevelType w:val="singleLevel"/>
    <w:tmpl w:val="679B66BA"/>
    <w:lvl w:ilvl="0" w:tentative="0">
      <w:start w:val="1"/>
      <w:numFmt w:val="decimal"/>
      <w:suff w:val="nothing"/>
      <w:lvlText w:val="%1、"/>
      <w:lvlJc w:val="left"/>
    </w:lvl>
  </w:abstractNum>
  <w:abstractNum w:abstractNumId="7">
    <w:nsid w:val="70053E1E"/>
    <w:multiLevelType w:val="multilevel"/>
    <w:tmpl w:val="70053E1E"/>
    <w:lvl w:ilvl="0" w:tentative="0">
      <w:start w:val="1"/>
      <w:numFmt w:val="japaneseCounting"/>
      <w:lvlText w:val="%1、"/>
      <w:lvlJc w:val="left"/>
      <w:pPr>
        <w:ind w:left="927" w:hanging="450"/>
      </w:pPr>
      <w:rPr>
        <w:rFonts w:hint="default" w:ascii="宋体" w:cs="宋体"/>
        <w:b/>
        <w:lang w:val="en-US"/>
      </w:rPr>
    </w:lvl>
    <w:lvl w:ilvl="1" w:tentative="0">
      <w:start w:val="1"/>
      <w:numFmt w:val="lowerLetter"/>
      <w:lvlText w:val="%2)"/>
      <w:lvlJc w:val="left"/>
      <w:pPr>
        <w:ind w:left="1317" w:hanging="420"/>
      </w:pPr>
    </w:lvl>
    <w:lvl w:ilvl="2" w:tentative="0">
      <w:start w:val="1"/>
      <w:numFmt w:val="lowerRoman"/>
      <w:lvlText w:val="%3."/>
      <w:lvlJc w:val="right"/>
      <w:pPr>
        <w:ind w:left="1737" w:hanging="420"/>
      </w:pPr>
    </w:lvl>
    <w:lvl w:ilvl="3" w:tentative="0">
      <w:start w:val="1"/>
      <w:numFmt w:val="decimal"/>
      <w:lvlText w:val="%4."/>
      <w:lvlJc w:val="left"/>
      <w:pPr>
        <w:ind w:left="2157" w:hanging="420"/>
      </w:pPr>
    </w:lvl>
    <w:lvl w:ilvl="4" w:tentative="0">
      <w:start w:val="1"/>
      <w:numFmt w:val="lowerLetter"/>
      <w:lvlText w:val="%5)"/>
      <w:lvlJc w:val="left"/>
      <w:pPr>
        <w:ind w:left="2577" w:hanging="420"/>
      </w:pPr>
    </w:lvl>
    <w:lvl w:ilvl="5" w:tentative="0">
      <w:start w:val="1"/>
      <w:numFmt w:val="lowerRoman"/>
      <w:lvlText w:val="%6."/>
      <w:lvlJc w:val="right"/>
      <w:pPr>
        <w:ind w:left="2997" w:hanging="420"/>
      </w:pPr>
    </w:lvl>
    <w:lvl w:ilvl="6" w:tentative="0">
      <w:start w:val="1"/>
      <w:numFmt w:val="decimal"/>
      <w:lvlText w:val="%7."/>
      <w:lvlJc w:val="left"/>
      <w:pPr>
        <w:ind w:left="3417" w:hanging="420"/>
      </w:pPr>
    </w:lvl>
    <w:lvl w:ilvl="7" w:tentative="0">
      <w:start w:val="1"/>
      <w:numFmt w:val="lowerLetter"/>
      <w:lvlText w:val="%8)"/>
      <w:lvlJc w:val="left"/>
      <w:pPr>
        <w:ind w:left="3837" w:hanging="420"/>
      </w:pPr>
    </w:lvl>
    <w:lvl w:ilvl="8" w:tentative="0">
      <w:start w:val="1"/>
      <w:numFmt w:val="lowerRoman"/>
      <w:lvlText w:val="%9."/>
      <w:lvlJc w:val="right"/>
      <w:pPr>
        <w:ind w:left="4257" w:hanging="420"/>
      </w:pPr>
    </w:lvl>
  </w:abstractNum>
  <w:abstractNum w:abstractNumId="8">
    <w:nsid w:val="78040342"/>
    <w:multiLevelType w:val="multilevel"/>
    <w:tmpl w:val="78040342"/>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7"/>
  </w:num>
  <w:num w:numId="4">
    <w:abstractNumId w:val="2"/>
  </w:num>
  <w:num w:numId="5">
    <w:abstractNumId w:val="5"/>
  </w:num>
  <w:num w:numId="6">
    <w:abstractNumId w:val="1"/>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Q5YjU0YTk4MTVkZWQ5NmVlYmI4YzVmZjJiNWRiNmMifQ=="/>
  </w:docVars>
  <w:rsids>
    <w:rsidRoot w:val="00496D5A"/>
    <w:rsid w:val="000156E2"/>
    <w:rsid w:val="000240B9"/>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29E6"/>
    <w:rsid w:val="000640EC"/>
    <w:rsid w:val="000641A5"/>
    <w:rsid w:val="00074700"/>
    <w:rsid w:val="000818D8"/>
    <w:rsid w:val="00081FA6"/>
    <w:rsid w:val="00086A97"/>
    <w:rsid w:val="000952E7"/>
    <w:rsid w:val="000A25F2"/>
    <w:rsid w:val="000A2941"/>
    <w:rsid w:val="000A3E58"/>
    <w:rsid w:val="000A604E"/>
    <w:rsid w:val="000A7150"/>
    <w:rsid w:val="000B422C"/>
    <w:rsid w:val="000B6963"/>
    <w:rsid w:val="000C2B71"/>
    <w:rsid w:val="000C3661"/>
    <w:rsid w:val="000C5109"/>
    <w:rsid w:val="000C5BDA"/>
    <w:rsid w:val="000D4C09"/>
    <w:rsid w:val="000E1E33"/>
    <w:rsid w:val="000E4167"/>
    <w:rsid w:val="000E430C"/>
    <w:rsid w:val="000F23B9"/>
    <w:rsid w:val="000F6CDC"/>
    <w:rsid w:val="00100878"/>
    <w:rsid w:val="00105DDE"/>
    <w:rsid w:val="00106CB3"/>
    <w:rsid w:val="00107232"/>
    <w:rsid w:val="0011494C"/>
    <w:rsid w:val="001256EF"/>
    <w:rsid w:val="00127819"/>
    <w:rsid w:val="00131074"/>
    <w:rsid w:val="001324C6"/>
    <w:rsid w:val="0013430F"/>
    <w:rsid w:val="001344E3"/>
    <w:rsid w:val="00134600"/>
    <w:rsid w:val="001361CA"/>
    <w:rsid w:val="001364C1"/>
    <w:rsid w:val="00137DF6"/>
    <w:rsid w:val="001416D5"/>
    <w:rsid w:val="00142746"/>
    <w:rsid w:val="0014700D"/>
    <w:rsid w:val="00147E27"/>
    <w:rsid w:val="00154ED0"/>
    <w:rsid w:val="00157E73"/>
    <w:rsid w:val="00160437"/>
    <w:rsid w:val="001652A3"/>
    <w:rsid w:val="00167D4D"/>
    <w:rsid w:val="00167E36"/>
    <w:rsid w:val="0017108F"/>
    <w:rsid w:val="00172007"/>
    <w:rsid w:val="00172683"/>
    <w:rsid w:val="00172AC1"/>
    <w:rsid w:val="00174093"/>
    <w:rsid w:val="00174AD2"/>
    <w:rsid w:val="0017639C"/>
    <w:rsid w:val="00176706"/>
    <w:rsid w:val="001849D2"/>
    <w:rsid w:val="0018787D"/>
    <w:rsid w:val="00190F87"/>
    <w:rsid w:val="00194E27"/>
    <w:rsid w:val="00197DB3"/>
    <w:rsid w:val="001A0051"/>
    <w:rsid w:val="001A27C7"/>
    <w:rsid w:val="001A6A2C"/>
    <w:rsid w:val="001B229F"/>
    <w:rsid w:val="001B50BA"/>
    <w:rsid w:val="001B56C9"/>
    <w:rsid w:val="001B6E2A"/>
    <w:rsid w:val="001B7F3D"/>
    <w:rsid w:val="001C30E6"/>
    <w:rsid w:val="001C598A"/>
    <w:rsid w:val="001C6863"/>
    <w:rsid w:val="001C7DB0"/>
    <w:rsid w:val="001C7EEC"/>
    <w:rsid w:val="001D1504"/>
    <w:rsid w:val="001D23F4"/>
    <w:rsid w:val="001D6192"/>
    <w:rsid w:val="001E0AF2"/>
    <w:rsid w:val="001F0E77"/>
    <w:rsid w:val="001F2E45"/>
    <w:rsid w:val="001F3061"/>
    <w:rsid w:val="00200EA4"/>
    <w:rsid w:val="0020200C"/>
    <w:rsid w:val="002037B4"/>
    <w:rsid w:val="002037DB"/>
    <w:rsid w:val="00205190"/>
    <w:rsid w:val="002068F3"/>
    <w:rsid w:val="00206968"/>
    <w:rsid w:val="00206FCE"/>
    <w:rsid w:val="00207162"/>
    <w:rsid w:val="00211C0E"/>
    <w:rsid w:val="002131F5"/>
    <w:rsid w:val="0021675C"/>
    <w:rsid w:val="00220F7C"/>
    <w:rsid w:val="002223E0"/>
    <w:rsid w:val="00223AAF"/>
    <w:rsid w:val="00226977"/>
    <w:rsid w:val="002270C6"/>
    <w:rsid w:val="0023455F"/>
    <w:rsid w:val="00234E98"/>
    <w:rsid w:val="002355BB"/>
    <w:rsid w:val="00237E61"/>
    <w:rsid w:val="00242EFF"/>
    <w:rsid w:val="00243709"/>
    <w:rsid w:val="002444AB"/>
    <w:rsid w:val="00245A92"/>
    <w:rsid w:val="002502DD"/>
    <w:rsid w:val="00260F02"/>
    <w:rsid w:val="00266E91"/>
    <w:rsid w:val="00271164"/>
    <w:rsid w:val="002723DE"/>
    <w:rsid w:val="00281493"/>
    <w:rsid w:val="00282EDF"/>
    <w:rsid w:val="00285665"/>
    <w:rsid w:val="002859F6"/>
    <w:rsid w:val="00285C9D"/>
    <w:rsid w:val="0029027F"/>
    <w:rsid w:val="00290F35"/>
    <w:rsid w:val="00291946"/>
    <w:rsid w:val="00291C33"/>
    <w:rsid w:val="002930B4"/>
    <w:rsid w:val="002942E2"/>
    <w:rsid w:val="00295E49"/>
    <w:rsid w:val="002A03CB"/>
    <w:rsid w:val="002A41F5"/>
    <w:rsid w:val="002A6ED0"/>
    <w:rsid w:val="002B4521"/>
    <w:rsid w:val="002B469E"/>
    <w:rsid w:val="002B5F66"/>
    <w:rsid w:val="002B7325"/>
    <w:rsid w:val="002B7BD5"/>
    <w:rsid w:val="002C79BB"/>
    <w:rsid w:val="002D54FC"/>
    <w:rsid w:val="002E04A9"/>
    <w:rsid w:val="002E2AB7"/>
    <w:rsid w:val="002E2BB7"/>
    <w:rsid w:val="002E356B"/>
    <w:rsid w:val="002E6042"/>
    <w:rsid w:val="002F0EFC"/>
    <w:rsid w:val="002F42D5"/>
    <w:rsid w:val="00301B5A"/>
    <w:rsid w:val="003072D6"/>
    <w:rsid w:val="00311078"/>
    <w:rsid w:val="003136E5"/>
    <w:rsid w:val="00313BC8"/>
    <w:rsid w:val="0031417B"/>
    <w:rsid w:val="00316527"/>
    <w:rsid w:val="00317CD3"/>
    <w:rsid w:val="00321C75"/>
    <w:rsid w:val="00327240"/>
    <w:rsid w:val="003303DC"/>
    <w:rsid w:val="00331A2E"/>
    <w:rsid w:val="00332937"/>
    <w:rsid w:val="003333D7"/>
    <w:rsid w:val="00333943"/>
    <w:rsid w:val="00336155"/>
    <w:rsid w:val="00340105"/>
    <w:rsid w:val="003412D4"/>
    <w:rsid w:val="00342089"/>
    <w:rsid w:val="0034572F"/>
    <w:rsid w:val="003469E4"/>
    <w:rsid w:val="0035131B"/>
    <w:rsid w:val="0035295E"/>
    <w:rsid w:val="0035331E"/>
    <w:rsid w:val="00357B2A"/>
    <w:rsid w:val="003610D2"/>
    <w:rsid w:val="0037058A"/>
    <w:rsid w:val="0037162D"/>
    <w:rsid w:val="003723D3"/>
    <w:rsid w:val="00372BD6"/>
    <w:rsid w:val="00374E53"/>
    <w:rsid w:val="00376191"/>
    <w:rsid w:val="00382374"/>
    <w:rsid w:val="003914B4"/>
    <w:rsid w:val="00391A73"/>
    <w:rsid w:val="00393F10"/>
    <w:rsid w:val="003948FD"/>
    <w:rsid w:val="00395A22"/>
    <w:rsid w:val="003A6117"/>
    <w:rsid w:val="003B0AFE"/>
    <w:rsid w:val="003B1744"/>
    <w:rsid w:val="003B4B9C"/>
    <w:rsid w:val="003B5E4B"/>
    <w:rsid w:val="003B6A76"/>
    <w:rsid w:val="003B780B"/>
    <w:rsid w:val="003C3A5C"/>
    <w:rsid w:val="003C3EAB"/>
    <w:rsid w:val="003C448B"/>
    <w:rsid w:val="003C454A"/>
    <w:rsid w:val="003C57EF"/>
    <w:rsid w:val="003C6100"/>
    <w:rsid w:val="003C7959"/>
    <w:rsid w:val="003C7B08"/>
    <w:rsid w:val="003D1521"/>
    <w:rsid w:val="003E18E1"/>
    <w:rsid w:val="003E1EFA"/>
    <w:rsid w:val="003E62E2"/>
    <w:rsid w:val="003E7B33"/>
    <w:rsid w:val="003F472F"/>
    <w:rsid w:val="003F4843"/>
    <w:rsid w:val="003F4E1C"/>
    <w:rsid w:val="003F6A20"/>
    <w:rsid w:val="003F7BE0"/>
    <w:rsid w:val="003F7D02"/>
    <w:rsid w:val="00410033"/>
    <w:rsid w:val="0041158C"/>
    <w:rsid w:val="004117F0"/>
    <w:rsid w:val="00411C9F"/>
    <w:rsid w:val="004149E4"/>
    <w:rsid w:val="00427DBC"/>
    <w:rsid w:val="00430191"/>
    <w:rsid w:val="0043107F"/>
    <w:rsid w:val="00431725"/>
    <w:rsid w:val="00432850"/>
    <w:rsid w:val="004409B2"/>
    <w:rsid w:val="00440D7E"/>
    <w:rsid w:val="00441209"/>
    <w:rsid w:val="0044199B"/>
    <w:rsid w:val="00460C83"/>
    <w:rsid w:val="00465ED5"/>
    <w:rsid w:val="00476DA5"/>
    <w:rsid w:val="00477642"/>
    <w:rsid w:val="004808F3"/>
    <w:rsid w:val="004836CC"/>
    <w:rsid w:val="00483C76"/>
    <w:rsid w:val="00483D0A"/>
    <w:rsid w:val="00485D13"/>
    <w:rsid w:val="00485D3C"/>
    <w:rsid w:val="00486663"/>
    <w:rsid w:val="0048677F"/>
    <w:rsid w:val="004934D5"/>
    <w:rsid w:val="004937F7"/>
    <w:rsid w:val="00494277"/>
    <w:rsid w:val="0049529F"/>
    <w:rsid w:val="00496D5A"/>
    <w:rsid w:val="004A0502"/>
    <w:rsid w:val="004A5608"/>
    <w:rsid w:val="004A7B3D"/>
    <w:rsid w:val="004B299A"/>
    <w:rsid w:val="004B7380"/>
    <w:rsid w:val="004C3F73"/>
    <w:rsid w:val="004D1DC5"/>
    <w:rsid w:val="004E26FE"/>
    <w:rsid w:val="004E735E"/>
    <w:rsid w:val="004F46DF"/>
    <w:rsid w:val="004F5E12"/>
    <w:rsid w:val="00504192"/>
    <w:rsid w:val="00504385"/>
    <w:rsid w:val="00507DC4"/>
    <w:rsid w:val="00510199"/>
    <w:rsid w:val="0051402F"/>
    <w:rsid w:val="00515059"/>
    <w:rsid w:val="005218A6"/>
    <w:rsid w:val="00522A24"/>
    <w:rsid w:val="0052705B"/>
    <w:rsid w:val="00530025"/>
    <w:rsid w:val="005325DA"/>
    <w:rsid w:val="005327B1"/>
    <w:rsid w:val="00540AA0"/>
    <w:rsid w:val="005426AC"/>
    <w:rsid w:val="00542ECB"/>
    <w:rsid w:val="00546417"/>
    <w:rsid w:val="00550DB2"/>
    <w:rsid w:val="00553640"/>
    <w:rsid w:val="00554044"/>
    <w:rsid w:val="00554C89"/>
    <w:rsid w:val="0056199A"/>
    <w:rsid w:val="00561B44"/>
    <w:rsid w:val="00563F1D"/>
    <w:rsid w:val="00566DDF"/>
    <w:rsid w:val="005718EB"/>
    <w:rsid w:val="00571AB3"/>
    <w:rsid w:val="00574D73"/>
    <w:rsid w:val="00575C2F"/>
    <w:rsid w:val="00575F19"/>
    <w:rsid w:val="00576E30"/>
    <w:rsid w:val="005770DF"/>
    <w:rsid w:val="00582329"/>
    <w:rsid w:val="00583097"/>
    <w:rsid w:val="00586507"/>
    <w:rsid w:val="00596362"/>
    <w:rsid w:val="00596918"/>
    <w:rsid w:val="005A10FE"/>
    <w:rsid w:val="005A22A2"/>
    <w:rsid w:val="005A2A0F"/>
    <w:rsid w:val="005A3897"/>
    <w:rsid w:val="005A7DD1"/>
    <w:rsid w:val="005B1A4E"/>
    <w:rsid w:val="005B38E7"/>
    <w:rsid w:val="005B6E25"/>
    <w:rsid w:val="005C02DC"/>
    <w:rsid w:val="005C23A1"/>
    <w:rsid w:val="005D3F38"/>
    <w:rsid w:val="005D7ECA"/>
    <w:rsid w:val="005E4458"/>
    <w:rsid w:val="005F1351"/>
    <w:rsid w:val="005F23F3"/>
    <w:rsid w:val="005F5268"/>
    <w:rsid w:val="005F5575"/>
    <w:rsid w:val="005F6857"/>
    <w:rsid w:val="00601F43"/>
    <w:rsid w:val="006032E0"/>
    <w:rsid w:val="00604017"/>
    <w:rsid w:val="00605A59"/>
    <w:rsid w:val="00612E59"/>
    <w:rsid w:val="0061371E"/>
    <w:rsid w:val="00615D25"/>
    <w:rsid w:val="00616D05"/>
    <w:rsid w:val="00621D98"/>
    <w:rsid w:val="00621E4F"/>
    <w:rsid w:val="00622F0C"/>
    <w:rsid w:val="006246A7"/>
    <w:rsid w:val="0063170F"/>
    <w:rsid w:val="006328FF"/>
    <w:rsid w:val="00633421"/>
    <w:rsid w:val="00635DFA"/>
    <w:rsid w:val="006365A2"/>
    <w:rsid w:val="0063686A"/>
    <w:rsid w:val="00636A24"/>
    <w:rsid w:val="0064250B"/>
    <w:rsid w:val="00650AFD"/>
    <w:rsid w:val="0065196E"/>
    <w:rsid w:val="006525B1"/>
    <w:rsid w:val="00654F84"/>
    <w:rsid w:val="00654FCD"/>
    <w:rsid w:val="006564CF"/>
    <w:rsid w:val="00657A60"/>
    <w:rsid w:val="00657D26"/>
    <w:rsid w:val="00660C14"/>
    <w:rsid w:val="006627D5"/>
    <w:rsid w:val="006650B1"/>
    <w:rsid w:val="00672F09"/>
    <w:rsid w:val="00673AC8"/>
    <w:rsid w:val="006751BE"/>
    <w:rsid w:val="00677930"/>
    <w:rsid w:val="006804D3"/>
    <w:rsid w:val="00682494"/>
    <w:rsid w:val="00682EB1"/>
    <w:rsid w:val="00682FA0"/>
    <w:rsid w:val="00687880"/>
    <w:rsid w:val="00687C90"/>
    <w:rsid w:val="00692D3C"/>
    <w:rsid w:val="006931C3"/>
    <w:rsid w:val="00693615"/>
    <w:rsid w:val="00693CB4"/>
    <w:rsid w:val="00695533"/>
    <w:rsid w:val="006956F6"/>
    <w:rsid w:val="006A095E"/>
    <w:rsid w:val="006A1FCD"/>
    <w:rsid w:val="006A2A23"/>
    <w:rsid w:val="006A4B81"/>
    <w:rsid w:val="006B0A67"/>
    <w:rsid w:val="006B1413"/>
    <w:rsid w:val="006C1E31"/>
    <w:rsid w:val="006C5BCC"/>
    <w:rsid w:val="006C6DB0"/>
    <w:rsid w:val="006D1534"/>
    <w:rsid w:val="006D2B6F"/>
    <w:rsid w:val="006D7616"/>
    <w:rsid w:val="006D7E6E"/>
    <w:rsid w:val="006E5CF1"/>
    <w:rsid w:val="006E6E9D"/>
    <w:rsid w:val="006F1452"/>
    <w:rsid w:val="006F6654"/>
    <w:rsid w:val="006F7F14"/>
    <w:rsid w:val="00705812"/>
    <w:rsid w:val="00710D5A"/>
    <w:rsid w:val="0071222D"/>
    <w:rsid w:val="007145A9"/>
    <w:rsid w:val="007145DE"/>
    <w:rsid w:val="00715886"/>
    <w:rsid w:val="00721C4F"/>
    <w:rsid w:val="0072365F"/>
    <w:rsid w:val="00725169"/>
    <w:rsid w:val="00725B82"/>
    <w:rsid w:val="00725F9F"/>
    <w:rsid w:val="00733079"/>
    <w:rsid w:val="00733841"/>
    <w:rsid w:val="007352B2"/>
    <w:rsid w:val="007410F1"/>
    <w:rsid w:val="00741768"/>
    <w:rsid w:val="0074301E"/>
    <w:rsid w:val="00745F3E"/>
    <w:rsid w:val="0075074F"/>
    <w:rsid w:val="00752992"/>
    <w:rsid w:val="00754BFA"/>
    <w:rsid w:val="00754D46"/>
    <w:rsid w:val="007576C6"/>
    <w:rsid w:val="00762A46"/>
    <w:rsid w:val="007637D7"/>
    <w:rsid w:val="00763F0D"/>
    <w:rsid w:val="00767A67"/>
    <w:rsid w:val="0077024A"/>
    <w:rsid w:val="007706BA"/>
    <w:rsid w:val="007708C1"/>
    <w:rsid w:val="00771233"/>
    <w:rsid w:val="007749B5"/>
    <w:rsid w:val="00776B96"/>
    <w:rsid w:val="0078006E"/>
    <w:rsid w:val="007856CC"/>
    <w:rsid w:val="00786EE8"/>
    <w:rsid w:val="00786F67"/>
    <w:rsid w:val="00793F05"/>
    <w:rsid w:val="007940D5"/>
    <w:rsid w:val="00794207"/>
    <w:rsid w:val="00795612"/>
    <w:rsid w:val="007970D6"/>
    <w:rsid w:val="007A2780"/>
    <w:rsid w:val="007A49E7"/>
    <w:rsid w:val="007A6607"/>
    <w:rsid w:val="007A780F"/>
    <w:rsid w:val="007B0AD1"/>
    <w:rsid w:val="007B0B37"/>
    <w:rsid w:val="007C01D7"/>
    <w:rsid w:val="007C0604"/>
    <w:rsid w:val="007C0A90"/>
    <w:rsid w:val="007C29EF"/>
    <w:rsid w:val="007C5020"/>
    <w:rsid w:val="007C504D"/>
    <w:rsid w:val="007D6AEC"/>
    <w:rsid w:val="007E397C"/>
    <w:rsid w:val="007E5C36"/>
    <w:rsid w:val="007E6442"/>
    <w:rsid w:val="007E72DD"/>
    <w:rsid w:val="007F3167"/>
    <w:rsid w:val="007F34A8"/>
    <w:rsid w:val="007F769F"/>
    <w:rsid w:val="00800C3F"/>
    <w:rsid w:val="00801BA0"/>
    <w:rsid w:val="00803C70"/>
    <w:rsid w:val="00805DF3"/>
    <w:rsid w:val="00805FC3"/>
    <w:rsid w:val="00807CE3"/>
    <w:rsid w:val="008109A2"/>
    <w:rsid w:val="00817C22"/>
    <w:rsid w:val="00820B50"/>
    <w:rsid w:val="008262E8"/>
    <w:rsid w:val="0083151A"/>
    <w:rsid w:val="00833F9F"/>
    <w:rsid w:val="008358F5"/>
    <w:rsid w:val="008424A4"/>
    <w:rsid w:val="00842ACB"/>
    <w:rsid w:val="0084421C"/>
    <w:rsid w:val="00845C9E"/>
    <w:rsid w:val="008572CB"/>
    <w:rsid w:val="00861C90"/>
    <w:rsid w:val="00862398"/>
    <w:rsid w:val="008631CD"/>
    <w:rsid w:val="008632AC"/>
    <w:rsid w:val="008708E7"/>
    <w:rsid w:val="00870E11"/>
    <w:rsid w:val="008717C0"/>
    <w:rsid w:val="00880173"/>
    <w:rsid w:val="008827A6"/>
    <w:rsid w:val="008842E6"/>
    <w:rsid w:val="00893F57"/>
    <w:rsid w:val="00894431"/>
    <w:rsid w:val="00895459"/>
    <w:rsid w:val="00897135"/>
    <w:rsid w:val="008A393D"/>
    <w:rsid w:val="008A4DF5"/>
    <w:rsid w:val="008A638A"/>
    <w:rsid w:val="008A7CC6"/>
    <w:rsid w:val="008B3AFA"/>
    <w:rsid w:val="008B6DC9"/>
    <w:rsid w:val="008C53E1"/>
    <w:rsid w:val="008C594B"/>
    <w:rsid w:val="008D0766"/>
    <w:rsid w:val="008D37A6"/>
    <w:rsid w:val="008D6372"/>
    <w:rsid w:val="008E0FD8"/>
    <w:rsid w:val="008E4EE3"/>
    <w:rsid w:val="008F07F0"/>
    <w:rsid w:val="008F0AD3"/>
    <w:rsid w:val="008F4153"/>
    <w:rsid w:val="008F588B"/>
    <w:rsid w:val="00900000"/>
    <w:rsid w:val="009022CB"/>
    <w:rsid w:val="00902444"/>
    <w:rsid w:val="00905608"/>
    <w:rsid w:val="00907F19"/>
    <w:rsid w:val="009115DA"/>
    <w:rsid w:val="00914B0C"/>
    <w:rsid w:val="00914CDC"/>
    <w:rsid w:val="009214D1"/>
    <w:rsid w:val="00927AE0"/>
    <w:rsid w:val="009324A1"/>
    <w:rsid w:val="00934080"/>
    <w:rsid w:val="00934EC2"/>
    <w:rsid w:val="00935D10"/>
    <w:rsid w:val="009446CE"/>
    <w:rsid w:val="009447CB"/>
    <w:rsid w:val="00945FD8"/>
    <w:rsid w:val="009523FD"/>
    <w:rsid w:val="009532D2"/>
    <w:rsid w:val="0095494C"/>
    <w:rsid w:val="00955E56"/>
    <w:rsid w:val="009562F0"/>
    <w:rsid w:val="00956526"/>
    <w:rsid w:val="00956A8A"/>
    <w:rsid w:val="0095726E"/>
    <w:rsid w:val="00957320"/>
    <w:rsid w:val="00967FB4"/>
    <w:rsid w:val="00971556"/>
    <w:rsid w:val="00973502"/>
    <w:rsid w:val="00976258"/>
    <w:rsid w:val="00980F91"/>
    <w:rsid w:val="00981256"/>
    <w:rsid w:val="00984576"/>
    <w:rsid w:val="00984D12"/>
    <w:rsid w:val="009864CB"/>
    <w:rsid w:val="009874F9"/>
    <w:rsid w:val="00991273"/>
    <w:rsid w:val="009914BD"/>
    <w:rsid w:val="0099340D"/>
    <w:rsid w:val="009A13E7"/>
    <w:rsid w:val="009A41E9"/>
    <w:rsid w:val="009A5828"/>
    <w:rsid w:val="009A590C"/>
    <w:rsid w:val="009A5BF8"/>
    <w:rsid w:val="009A751B"/>
    <w:rsid w:val="009B1053"/>
    <w:rsid w:val="009B1107"/>
    <w:rsid w:val="009B129A"/>
    <w:rsid w:val="009B4D48"/>
    <w:rsid w:val="009B630B"/>
    <w:rsid w:val="009B7D14"/>
    <w:rsid w:val="009C0915"/>
    <w:rsid w:val="009C1C6C"/>
    <w:rsid w:val="009C2C09"/>
    <w:rsid w:val="009C50E0"/>
    <w:rsid w:val="009C6E82"/>
    <w:rsid w:val="009D2117"/>
    <w:rsid w:val="009D3302"/>
    <w:rsid w:val="009D52D1"/>
    <w:rsid w:val="009D5A8E"/>
    <w:rsid w:val="009E51AA"/>
    <w:rsid w:val="009F2A1B"/>
    <w:rsid w:val="009F2B85"/>
    <w:rsid w:val="009F3049"/>
    <w:rsid w:val="009F588C"/>
    <w:rsid w:val="009F6488"/>
    <w:rsid w:val="009F64B9"/>
    <w:rsid w:val="00A026F0"/>
    <w:rsid w:val="00A04145"/>
    <w:rsid w:val="00A125C0"/>
    <w:rsid w:val="00A135C2"/>
    <w:rsid w:val="00A16084"/>
    <w:rsid w:val="00A17285"/>
    <w:rsid w:val="00A23A01"/>
    <w:rsid w:val="00A27EAB"/>
    <w:rsid w:val="00A316DA"/>
    <w:rsid w:val="00A332E1"/>
    <w:rsid w:val="00A375C1"/>
    <w:rsid w:val="00A40014"/>
    <w:rsid w:val="00A40CB1"/>
    <w:rsid w:val="00A42E55"/>
    <w:rsid w:val="00A44026"/>
    <w:rsid w:val="00A4677E"/>
    <w:rsid w:val="00A47F15"/>
    <w:rsid w:val="00A55375"/>
    <w:rsid w:val="00A62BE8"/>
    <w:rsid w:val="00A64DD9"/>
    <w:rsid w:val="00A65CC0"/>
    <w:rsid w:val="00A73333"/>
    <w:rsid w:val="00A74A2F"/>
    <w:rsid w:val="00A81FC6"/>
    <w:rsid w:val="00A84EB2"/>
    <w:rsid w:val="00A91454"/>
    <w:rsid w:val="00A952D4"/>
    <w:rsid w:val="00A97BF2"/>
    <w:rsid w:val="00A97EE9"/>
    <w:rsid w:val="00AA1061"/>
    <w:rsid w:val="00AA232A"/>
    <w:rsid w:val="00AA3B30"/>
    <w:rsid w:val="00AA5262"/>
    <w:rsid w:val="00AA5990"/>
    <w:rsid w:val="00AA5C6A"/>
    <w:rsid w:val="00AB10B3"/>
    <w:rsid w:val="00AB22F3"/>
    <w:rsid w:val="00AB2C4F"/>
    <w:rsid w:val="00AB3800"/>
    <w:rsid w:val="00AB5B42"/>
    <w:rsid w:val="00AB6907"/>
    <w:rsid w:val="00AB7D38"/>
    <w:rsid w:val="00AC06D6"/>
    <w:rsid w:val="00AC3E7C"/>
    <w:rsid w:val="00AC542B"/>
    <w:rsid w:val="00AC56AC"/>
    <w:rsid w:val="00AC70FF"/>
    <w:rsid w:val="00AC7D43"/>
    <w:rsid w:val="00AC7D59"/>
    <w:rsid w:val="00AD0E2F"/>
    <w:rsid w:val="00AE77E6"/>
    <w:rsid w:val="00AE7FA6"/>
    <w:rsid w:val="00AF0FF0"/>
    <w:rsid w:val="00AF1518"/>
    <w:rsid w:val="00AF19A1"/>
    <w:rsid w:val="00AF24AE"/>
    <w:rsid w:val="00AF4888"/>
    <w:rsid w:val="00B10E7A"/>
    <w:rsid w:val="00B11E3E"/>
    <w:rsid w:val="00B15ACE"/>
    <w:rsid w:val="00B17CED"/>
    <w:rsid w:val="00B210CD"/>
    <w:rsid w:val="00B248F8"/>
    <w:rsid w:val="00B2517F"/>
    <w:rsid w:val="00B26B9C"/>
    <w:rsid w:val="00B273FE"/>
    <w:rsid w:val="00B3052D"/>
    <w:rsid w:val="00B308C9"/>
    <w:rsid w:val="00B30C84"/>
    <w:rsid w:val="00B3336F"/>
    <w:rsid w:val="00B34456"/>
    <w:rsid w:val="00B369DC"/>
    <w:rsid w:val="00B40087"/>
    <w:rsid w:val="00B428A4"/>
    <w:rsid w:val="00B55645"/>
    <w:rsid w:val="00B57BDF"/>
    <w:rsid w:val="00B63832"/>
    <w:rsid w:val="00B66CC1"/>
    <w:rsid w:val="00B728A0"/>
    <w:rsid w:val="00B812C2"/>
    <w:rsid w:val="00B82290"/>
    <w:rsid w:val="00B83F92"/>
    <w:rsid w:val="00B841F8"/>
    <w:rsid w:val="00B850DE"/>
    <w:rsid w:val="00B93134"/>
    <w:rsid w:val="00B94CA9"/>
    <w:rsid w:val="00BA0304"/>
    <w:rsid w:val="00BA1D6B"/>
    <w:rsid w:val="00BA221A"/>
    <w:rsid w:val="00BA2C52"/>
    <w:rsid w:val="00BA4F58"/>
    <w:rsid w:val="00BA5499"/>
    <w:rsid w:val="00BB1202"/>
    <w:rsid w:val="00BB3D55"/>
    <w:rsid w:val="00BB403C"/>
    <w:rsid w:val="00BB4140"/>
    <w:rsid w:val="00BB4701"/>
    <w:rsid w:val="00BB75B7"/>
    <w:rsid w:val="00BC0183"/>
    <w:rsid w:val="00BC21EC"/>
    <w:rsid w:val="00BC33E0"/>
    <w:rsid w:val="00BC55C8"/>
    <w:rsid w:val="00BC55F7"/>
    <w:rsid w:val="00BC6FB5"/>
    <w:rsid w:val="00BD22C9"/>
    <w:rsid w:val="00BD4483"/>
    <w:rsid w:val="00BD4AA2"/>
    <w:rsid w:val="00BD4E66"/>
    <w:rsid w:val="00BD5625"/>
    <w:rsid w:val="00BD6233"/>
    <w:rsid w:val="00BD79AE"/>
    <w:rsid w:val="00BE01C4"/>
    <w:rsid w:val="00BE2D5E"/>
    <w:rsid w:val="00BE3D6A"/>
    <w:rsid w:val="00BE6F2A"/>
    <w:rsid w:val="00BE7979"/>
    <w:rsid w:val="00BF2EA9"/>
    <w:rsid w:val="00BF3B2D"/>
    <w:rsid w:val="00BF463D"/>
    <w:rsid w:val="00BF69A1"/>
    <w:rsid w:val="00C0044D"/>
    <w:rsid w:val="00C060F5"/>
    <w:rsid w:val="00C1377A"/>
    <w:rsid w:val="00C13B20"/>
    <w:rsid w:val="00C15122"/>
    <w:rsid w:val="00C21AFB"/>
    <w:rsid w:val="00C23032"/>
    <w:rsid w:val="00C2392D"/>
    <w:rsid w:val="00C25F04"/>
    <w:rsid w:val="00C260B7"/>
    <w:rsid w:val="00C33117"/>
    <w:rsid w:val="00C373CF"/>
    <w:rsid w:val="00C41F91"/>
    <w:rsid w:val="00C42477"/>
    <w:rsid w:val="00C44A49"/>
    <w:rsid w:val="00C468AF"/>
    <w:rsid w:val="00C522DF"/>
    <w:rsid w:val="00C5342B"/>
    <w:rsid w:val="00C53721"/>
    <w:rsid w:val="00C56C51"/>
    <w:rsid w:val="00C57C3C"/>
    <w:rsid w:val="00C60CEB"/>
    <w:rsid w:val="00C61250"/>
    <w:rsid w:val="00C62431"/>
    <w:rsid w:val="00C636D6"/>
    <w:rsid w:val="00C65B62"/>
    <w:rsid w:val="00C712A7"/>
    <w:rsid w:val="00C7679B"/>
    <w:rsid w:val="00C778B3"/>
    <w:rsid w:val="00C81ABB"/>
    <w:rsid w:val="00C83481"/>
    <w:rsid w:val="00C852BE"/>
    <w:rsid w:val="00C92ECE"/>
    <w:rsid w:val="00CA084D"/>
    <w:rsid w:val="00CA1109"/>
    <w:rsid w:val="00CA41FC"/>
    <w:rsid w:val="00CA455D"/>
    <w:rsid w:val="00CA46B8"/>
    <w:rsid w:val="00CB46B9"/>
    <w:rsid w:val="00CC03CB"/>
    <w:rsid w:val="00CC248F"/>
    <w:rsid w:val="00CC315C"/>
    <w:rsid w:val="00CC3BE6"/>
    <w:rsid w:val="00CC4D47"/>
    <w:rsid w:val="00CD0E59"/>
    <w:rsid w:val="00CE14C1"/>
    <w:rsid w:val="00CE7E88"/>
    <w:rsid w:val="00CF349B"/>
    <w:rsid w:val="00CF3704"/>
    <w:rsid w:val="00CF6AD7"/>
    <w:rsid w:val="00D013F6"/>
    <w:rsid w:val="00D01C2F"/>
    <w:rsid w:val="00D05F96"/>
    <w:rsid w:val="00D06BB5"/>
    <w:rsid w:val="00D13454"/>
    <w:rsid w:val="00D16841"/>
    <w:rsid w:val="00D16B05"/>
    <w:rsid w:val="00D208D1"/>
    <w:rsid w:val="00D20F37"/>
    <w:rsid w:val="00D2381F"/>
    <w:rsid w:val="00D23CD8"/>
    <w:rsid w:val="00D24208"/>
    <w:rsid w:val="00D25042"/>
    <w:rsid w:val="00D34318"/>
    <w:rsid w:val="00D352E7"/>
    <w:rsid w:val="00D363F3"/>
    <w:rsid w:val="00D37F48"/>
    <w:rsid w:val="00D4038E"/>
    <w:rsid w:val="00D41A53"/>
    <w:rsid w:val="00D42453"/>
    <w:rsid w:val="00D46B61"/>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0CEE"/>
    <w:rsid w:val="00D91DF3"/>
    <w:rsid w:val="00D97374"/>
    <w:rsid w:val="00D97FB8"/>
    <w:rsid w:val="00DA00DE"/>
    <w:rsid w:val="00DA5406"/>
    <w:rsid w:val="00DA5ED4"/>
    <w:rsid w:val="00DB4FC9"/>
    <w:rsid w:val="00DB591E"/>
    <w:rsid w:val="00DB753F"/>
    <w:rsid w:val="00DC1B7E"/>
    <w:rsid w:val="00DC35CA"/>
    <w:rsid w:val="00DC3616"/>
    <w:rsid w:val="00DC3754"/>
    <w:rsid w:val="00DC4295"/>
    <w:rsid w:val="00DC448F"/>
    <w:rsid w:val="00DC5D3F"/>
    <w:rsid w:val="00DC612D"/>
    <w:rsid w:val="00DD07D9"/>
    <w:rsid w:val="00DD2ACC"/>
    <w:rsid w:val="00DD2D55"/>
    <w:rsid w:val="00DD2D71"/>
    <w:rsid w:val="00DD534A"/>
    <w:rsid w:val="00DD71E2"/>
    <w:rsid w:val="00DD7982"/>
    <w:rsid w:val="00DE2A57"/>
    <w:rsid w:val="00DE3DE8"/>
    <w:rsid w:val="00DE70C9"/>
    <w:rsid w:val="00DF1A93"/>
    <w:rsid w:val="00DF5EEE"/>
    <w:rsid w:val="00DF6442"/>
    <w:rsid w:val="00E01D63"/>
    <w:rsid w:val="00E05E12"/>
    <w:rsid w:val="00E11B41"/>
    <w:rsid w:val="00E15F46"/>
    <w:rsid w:val="00E237A4"/>
    <w:rsid w:val="00E2441B"/>
    <w:rsid w:val="00E25A4D"/>
    <w:rsid w:val="00E266D6"/>
    <w:rsid w:val="00E2722A"/>
    <w:rsid w:val="00E30E6B"/>
    <w:rsid w:val="00E33411"/>
    <w:rsid w:val="00E3428B"/>
    <w:rsid w:val="00E37A52"/>
    <w:rsid w:val="00E407B4"/>
    <w:rsid w:val="00E408B8"/>
    <w:rsid w:val="00E429CE"/>
    <w:rsid w:val="00E433B8"/>
    <w:rsid w:val="00E4489A"/>
    <w:rsid w:val="00E4608F"/>
    <w:rsid w:val="00E46FE9"/>
    <w:rsid w:val="00E50550"/>
    <w:rsid w:val="00E60E3D"/>
    <w:rsid w:val="00E6289C"/>
    <w:rsid w:val="00E6314B"/>
    <w:rsid w:val="00E71D13"/>
    <w:rsid w:val="00E75528"/>
    <w:rsid w:val="00E80736"/>
    <w:rsid w:val="00E871D1"/>
    <w:rsid w:val="00E8777E"/>
    <w:rsid w:val="00E91F92"/>
    <w:rsid w:val="00E9215C"/>
    <w:rsid w:val="00E95E80"/>
    <w:rsid w:val="00E965C5"/>
    <w:rsid w:val="00EA02F3"/>
    <w:rsid w:val="00EA3A50"/>
    <w:rsid w:val="00EA5BB4"/>
    <w:rsid w:val="00EA5F90"/>
    <w:rsid w:val="00EA7928"/>
    <w:rsid w:val="00EB441B"/>
    <w:rsid w:val="00EB6998"/>
    <w:rsid w:val="00EB6A3C"/>
    <w:rsid w:val="00EC358A"/>
    <w:rsid w:val="00EC3DD9"/>
    <w:rsid w:val="00EC73E2"/>
    <w:rsid w:val="00ED0EAD"/>
    <w:rsid w:val="00ED0F8F"/>
    <w:rsid w:val="00ED3E23"/>
    <w:rsid w:val="00EE0379"/>
    <w:rsid w:val="00EE04A0"/>
    <w:rsid w:val="00EE1CAC"/>
    <w:rsid w:val="00EE48CF"/>
    <w:rsid w:val="00EE5FF0"/>
    <w:rsid w:val="00EE6864"/>
    <w:rsid w:val="00EE692B"/>
    <w:rsid w:val="00EE796F"/>
    <w:rsid w:val="00EF0DCF"/>
    <w:rsid w:val="00EF16E9"/>
    <w:rsid w:val="00EF3179"/>
    <w:rsid w:val="00EF6B61"/>
    <w:rsid w:val="00F008A6"/>
    <w:rsid w:val="00F056B0"/>
    <w:rsid w:val="00F06375"/>
    <w:rsid w:val="00F07586"/>
    <w:rsid w:val="00F076A2"/>
    <w:rsid w:val="00F11A54"/>
    <w:rsid w:val="00F12723"/>
    <w:rsid w:val="00F13587"/>
    <w:rsid w:val="00F146A1"/>
    <w:rsid w:val="00F156A1"/>
    <w:rsid w:val="00F2096E"/>
    <w:rsid w:val="00F20AF0"/>
    <w:rsid w:val="00F22952"/>
    <w:rsid w:val="00F22CF7"/>
    <w:rsid w:val="00F24C96"/>
    <w:rsid w:val="00F25602"/>
    <w:rsid w:val="00F27C91"/>
    <w:rsid w:val="00F32D01"/>
    <w:rsid w:val="00F40707"/>
    <w:rsid w:val="00F4072F"/>
    <w:rsid w:val="00F40F33"/>
    <w:rsid w:val="00F4215A"/>
    <w:rsid w:val="00F4629B"/>
    <w:rsid w:val="00F463BD"/>
    <w:rsid w:val="00F52B9E"/>
    <w:rsid w:val="00F52E4A"/>
    <w:rsid w:val="00F57737"/>
    <w:rsid w:val="00F57B52"/>
    <w:rsid w:val="00F60ADE"/>
    <w:rsid w:val="00F620DD"/>
    <w:rsid w:val="00F70AAC"/>
    <w:rsid w:val="00F71C06"/>
    <w:rsid w:val="00F724DF"/>
    <w:rsid w:val="00F730D1"/>
    <w:rsid w:val="00F735A7"/>
    <w:rsid w:val="00F75F80"/>
    <w:rsid w:val="00F855E0"/>
    <w:rsid w:val="00F85688"/>
    <w:rsid w:val="00F857EE"/>
    <w:rsid w:val="00F901DE"/>
    <w:rsid w:val="00F902AA"/>
    <w:rsid w:val="00F90AEF"/>
    <w:rsid w:val="00F942F9"/>
    <w:rsid w:val="00F94D3D"/>
    <w:rsid w:val="00FA10A5"/>
    <w:rsid w:val="00FA1877"/>
    <w:rsid w:val="00FA3041"/>
    <w:rsid w:val="00FA58BB"/>
    <w:rsid w:val="00FB31BF"/>
    <w:rsid w:val="00FB3A4E"/>
    <w:rsid w:val="00FB747D"/>
    <w:rsid w:val="00FB76EB"/>
    <w:rsid w:val="00FB7B9F"/>
    <w:rsid w:val="00FC1685"/>
    <w:rsid w:val="00FC1687"/>
    <w:rsid w:val="00FC6B39"/>
    <w:rsid w:val="00FD019B"/>
    <w:rsid w:val="00FD04F4"/>
    <w:rsid w:val="00FD397D"/>
    <w:rsid w:val="00FD7EB6"/>
    <w:rsid w:val="00FE05AD"/>
    <w:rsid w:val="00FE0768"/>
    <w:rsid w:val="00FE1CF8"/>
    <w:rsid w:val="00FE2A2C"/>
    <w:rsid w:val="00FE397A"/>
    <w:rsid w:val="00FE7F23"/>
    <w:rsid w:val="00FF56B6"/>
    <w:rsid w:val="01104906"/>
    <w:rsid w:val="01151599"/>
    <w:rsid w:val="01432CA0"/>
    <w:rsid w:val="01561100"/>
    <w:rsid w:val="015F2D03"/>
    <w:rsid w:val="019E0F71"/>
    <w:rsid w:val="01B2654C"/>
    <w:rsid w:val="01B33D52"/>
    <w:rsid w:val="01B53850"/>
    <w:rsid w:val="01CA51A7"/>
    <w:rsid w:val="01D717A4"/>
    <w:rsid w:val="01FC0E89"/>
    <w:rsid w:val="021606EB"/>
    <w:rsid w:val="02200DE9"/>
    <w:rsid w:val="02342468"/>
    <w:rsid w:val="02373CC9"/>
    <w:rsid w:val="024041AC"/>
    <w:rsid w:val="02561C7A"/>
    <w:rsid w:val="02644F77"/>
    <w:rsid w:val="02B46CC3"/>
    <w:rsid w:val="02C6234A"/>
    <w:rsid w:val="035B3596"/>
    <w:rsid w:val="0373146F"/>
    <w:rsid w:val="037F66EA"/>
    <w:rsid w:val="038D70A1"/>
    <w:rsid w:val="03963C1C"/>
    <w:rsid w:val="03AA620B"/>
    <w:rsid w:val="03CD548B"/>
    <w:rsid w:val="03D6791D"/>
    <w:rsid w:val="03DF77F6"/>
    <w:rsid w:val="03E86937"/>
    <w:rsid w:val="04131F77"/>
    <w:rsid w:val="0415139C"/>
    <w:rsid w:val="04516F6F"/>
    <w:rsid w:val="045522F6"/>
    <w:rsid w:val="047B3A10"/>
    <w:rsid w:val="04887B2C"/>
    <w:rsid w:val="04F274B7"/>
    <w:rsid w:val="053533A1"/>
    <w:rsid w:val="053D20B1"/>
    <w:rsid w:val="05DC558F"/>
    <w:rsid w:val="05EB3079"/>
    <w:rsid w:val="05ED3D58"/>
    <w:rsid w:val="05F63558"/>
    <w:rsid w:val="06072E99"/>
    <w:rsid w:val="06086E53"/>
    <w:rsid w:val="06157BFC"/>
    <w:rsid w:val="06222EA1"/>
    <w:rsid w:val="06345B2B"/>
    <w:rsid w:val="066A61BA"/>
    <w:rsid w:val="067A31A4"/>
    <w:rsid w:val="0685094E"/>
    <w:rsid w:val="069D10FA"/>
    <w:rsid w:val="06AD77DB"/>
    <w:rsid w:val="06BD30DE"/>
    <w:rsid w:val="06C01D71"/>
    <w:rsid w:val="06EA0FCB"/>
    <w:rsid w:val="06FE26EE"/>
    <w:rsid w:val="070954F2"/>
    <w:rsid w:val="0763769A"/>
    <w:rsid w:val="076802A4"/>
    <w:rsid w:val="07911631"/>
    <w:rsid w:val="07E96341"/>
    <w:rsid w:val="07ED09BB"/>
    <w:rsid w:val="08242AC3"/>
    <w:rsid w:val="08763B20"/>
    <w:rsid w:val="089D0424"/>
    <w:rsid w:val="08B56A0B"/>
    <w:rsid w:val="08BB21F2"/>
    <w:rsid w:val="08C06411"/>
    <w:rsid w:val="08C81D70"/>
    <w:rsid w:val="08CB7D45"/>
    <w:rsid w:val="09427C85"/>
    <w:rsid w:val="09437144"/>
    <w:rsid w:val="094B4967"/>
    <w:rsid w:val="09531ECE"/>
    <w:rsid w:val="09582589"/>
    <w:rsid w:val="095B16CC"/>
    <w:rsid w:val="09890DA3"/>
    <w:rsid w:val="09C60C9A"/>
    <w:rsid w:val="09D259C0"/>
    <w:rsid w:val="09DA2F89"/>
    <w:rsid w:val="0A0F767B"/>
    <w:rsid w:val="0A143B89"/>
    <w:rsid w:val="0A1A07ED"/>
    <w:rsid w:val="0A335B59"/>
    <w:rsid w:val="0A3450A8"/>
    <w:rsid w:val="0A385631"/>
    <w:rsid w:val="0A467AE8"/>
    <w:rsid w:val="0A555B1C"/>
    <w:rsid w:val="0AAC09BD"/>
    <w:rsid w:val="0ACA37F5"/>
    <w:rsid w:val="0AD71808"/>
    <w:rsid w:val="0B0E5846"/>
    <w:rsid w:val="0B1371C5"/>
    <w:rsid w:val="0B1F2938"/>
    <w:rsid w:val="0B1F72D2"/>
    <w:rsid w:val="0B40681A"/>
    <w:rsid w:val="0B681F25"/>
    <w:rsid w:val="0B73484A"/>
    <w:rsid w:val="0B7C08DA"/>
    <w:rsid w:val="0B827ECD"/>
    <w:rsid w:val="0BD56FDB"/>
    <w:rsid w:val="0BDD307C"/>
    <w:rsid w:val="0BE83F1A"/>
    <w:rsid w:val="0C58135B"/>
    <w:rsid w:val="0C9641D9"/>
    <w:rsid w:val="0CA65C2A"/>
    <w:rsid w:val="0CD72474"/>
    <w:rsid w:val="0D2C7FFA"/>
    <w:rsid w:val="0D342345"/>
    <w:rsid w:val="0D665D5D"/>
    <w:rsid w:val="0D7465CA"/>
    <w:rsid w:val="0D892B1E"/>
    <w:rsid w:val="0DBF5E27"/>
    <w:rsid w:val="0DC0167C"/>
    <w:rsid w:val="0DEE2FB8"/>
    <w:rsid w:val="0DFB2E75"/>
    <w:rsid w:val="0E461BD2"/>
    <w:rsid w:val="0E480705"/>
    <w:rsid w:val="0E583F26"/>
    <w:rsid w:val="0E981F41"/>
    <w:rsid w:val="0EB320F5"/>
    <w:rsid w:val="0EC86F86"/>
    <w:rsid w:val="0ECC4955"/>
    <w:rsid w:val="0EFD3F63"/>
    <w:rsid w:val="0F217A50"/>
    <w:rsid w:val="0F721C74"/>
    <w:rsid w:val="0F790400"/>
    <w:rsid w:val="0F7F617C"/>
    <w:rsid w:val="0F807D7F"/>
    <w:rsid w:val="0F88759C"/>
    <w:rsid w:val="10250528"/>
    <w:rsid w:val="102745C3"/>
    <w:rsid w:val="104A461D"/>
    <w:rsid w:val="108C5D09"/>
    <w:rsid w:val="10926F7A"/>
    <w:rsid w:val="10AA795D"/>
    <w:rsid w:val="10AF5BC7"/>
    <w:rsid w:val="10CB43C4"/>
    <w:rsid w:val="11001332"/>
    <w:rsid w:val="11207494"/>
    <w:rsid w:val="11331647"/>
    <w:rsid w:val="11470014"/>
    <w:rsid w:val="11E94E26"/>
    <w:rsid w:val="122659EB"/>
    <w:rsid w:val="122C5912"/>
    <w:rsid w:val="12501530"/>
    <w:rsid w:val="125F307F"/>
    <w:rsid w:val="126626E8"/>
    <w:rsid w:val="126E65D5"/>
    <w:rsid w:val="12BF6A83"/>
    <w:rsid w:val="12CE578F"/>
    <w:rsid w:val="13130A8E"/>
    <w:rsid w:val="13190D41"/>
    <w:rsid w:val="134B779F"/>
    <w:rsid w:val="136710A2"/>
    <w:rsid w:val="13776D63"/>
    <w:rsid w:val="137E2A3C"/>
    <w:rsid w:val="138B42E9"/>
    <w:rsid w:val="13917C54"/>
    <w:rsid w:val="139D788F"/>
    <w:rsid w:val="13BD5AA2"/>
    <w:rsid w:val="13EA7DC3"/>
    <w:rsid w:val="13EC424C"/>
    <w:rsid w:val="13F324C3"/>
    <w:rsid w:val="140B631F"/>
    <w:rsid w:val="14270A27"/>
    <w:rsid w:val="143E7FE1"/>
    <w:rsid w:val="144105DB"/>
    <w:rsid w:val="14896D87"/>
    <w:rsid w:val="14E27D0B"/>
    <w:rsid w:val="14F609AF"/>
    <w:rsid w:val="15093202"/>
    <w:rsid w:val="15264492"/>
    <w:rsid w:val="155D2116"/>
    <w:rsid w:val="156F5864"/>
    <w:rsid w:val="158577B1"/>
    <w:rsid w:val="15B4614F"/>
    <w:rsid w:val="15BB17F8"/>
    <w:rsid w:val="15CF1123"/>
    <w:rsid w:val="15D80B09"/>
    <w:rsid w:val="15E22BF9"/>
    <w:rsid w:val="15E3400A"/>
    <w:rsid w:val="16762BC7"/>
    <w:rsid w:val="1679202F"/>
    <w:rsid w:val="167C2DB8"/>
    <w:rsid w:val="168159A4"/>
    <w:rsid w:val="16B76C3C"/>
    <w:rsid w:val="16FE79FF"/>
    <w:rsid w:val="17005140"/>
    <w:rsid w:val="1725173F"/>
    <w:rsid w:val="173402D2"/>
    <w:rsid w:val="174B1711"/>
    <w:rsid w:val="17566B17"/>
    <w:rsid w:val="178D711B"/>
    <w:rsid w:val="17926680"/>
    <w:rsid w:val="17BE64CA"/>
    <w:rsid w:val="17DF7B99"/>
    <w:rsid w:val="17EF3C77"/>
    <w:rsid w:val="18180D0E"/>
    <w:rsid w:val="181C2DEC"/>
    <w:rsid w:val="182B630C"/>
    <w:rsid w:val="185C1C5D"/>
    <w:rsid w:val="186659AC"/>
    <w:rsid w:val="18F50E6A"/>
    <w:rsid w:val="190941C3"/>
    <w:rsid w:val="19141A17"/>
    <w:rsid w:val="191A07F0"/>
    <w:rsid w:val="192A70F6"/>
    <w:rsid w:val="19435121"/>
    <w:rsid w:val="19744E81"/>
    <w:rsid w:val="19843232"/>
    <w:rsid w:val="19AC1B7E"/>
    <w:rsid w:val="19DA1629"/>
    <w:rsid w:val="1A6B00B6"/>
    <w:rsid w:val="1A7F7B84"/>
    <w:rsid w:val="1A8C6194"/>
    <w:rsid w:val="1A9B1602"/>
    <w:rsid w:val="1ACC1BE8"/>
    <w:rsid w:val="1ACD7599"/>
    <w:rsid w:val="1ACF7FE9"/>
    <w:rsid w:val="1B0007E9"/>
    <w:rsid w:val="1B627F92"/>
    <w:rsid w:val="1B69612F"/>
    <w:rsid w:val="1B724A47"/>
    <w:rsid w:val="1B7C07E0"/>
    <w:rsid w:val="1BA861DD"/>
    <w:rsid w:val="1BC9422E"/>
    <w:rsid w:val="1BCF45C9"/>
    <w:rsid w:val="1BD82643"/>
    <w:rsid w:val="1BE56805"/>
    <w:rsid w:val="1BF26B22"/>
    <w:rsid w:val="1BF40932"/>
    <w:rsid w:val="1BF604BF"/>
    <w:rsid w:val="1C1E31D2"/>
    <w:rsid w:val="1C270459"/>
    <w:rsid w:val="1C3E24F0"/>
    <w:rsid w:val="1C572679"/>
    <w:rsid w:val="1C9E78AD"/>
    <w:rsid w:val="1CA47886"/>
    <w:rsid w:val="1D0F6BA4"/>
    <w:rsid w:val="1D5656D7"/>
    <w:rsid w:val="1D5804C5"/>
    <w:rsid w:val="1DAF241A"/>
    <w:rsid w:val="1DEA3D13"/>
    <w:rsid w:val="1E1F1C56"/>
    <w:rsid w:val="1E7C5F45"/>
    <w:rsid w:val="1E9B7436"/>
    <w:rsid w:val="1EF51D0C"/>
    <w:rsid w:val="1F221C2B"/>
    <w:rsid w:val="1F5A727D"/>
    <w:rsid w:val="1FD353E2"/>
    <w:rsid w:val="1FE4711E"/>
    <w:rsid w:val="200C7898"/>
    <w:rsid w:val="20127824"/>
    <w:rsid w:val="20151901"/>
    <w:rsid w:val="20317BA4"/>
    <w:rsid w:val="20A7453F"/>
    <w:rsid w:val="20B75CEB"/>
    <w:rsid w:val="212649E2"/>
    <w:rsid w:val="21430C37"/>
    <w:rsid w:val="216F6170"/>
    <w:rsid w:val="2174312C"/>
    <w:rsid w:val="21770F46"/>
    <w:rsid w:val="219A46AE"/>
    <w:rsid w:val="21AC2255"/>
    <w:rsid w:val="21C963D8"/>
    <w:rsid w:val="21D621FD"/>
    <w:rsid w:val="21E81DE9"/>
    <w:rsid w:val="229D4603"/>
    <w:rsid w:val="22C2236D"/>
    <w:rsid w:val="22C5598B"/>
    <w:rsid w:val="22CA16F9"/>
    <w:rsid w:val="22FD04DC"/>
    <w:rsid w:val="230C7D79"/>
    <w:rsid w:val="230E49CF"/>
    <w:rsid w:val="23A1343B"/>
    <w:rsid w:val="23A86502"/>
    <w:rsid w:val="23C22B40"/>
    <w:rsid w:val="23C50DD1"/>
    <w:rsid w:val="23C74781"/>
    <w:rsid w:val="23CD79B2"/>
    <w:rsid w:val="23D57E2B"/>
    <w:rsid w:val="23D8623B"/>
    <w:rsid w:val="23FA197A"/>
    <w:rsid w:val="241E24A7"/>
    <w:rsid w:val="244D3B92"/>
    <w:rsid w:val="249A106E"/>
    <w:rsid w:val="249A48DF"/>
    <w:rsid w:val="24E174A4"/>
    <w:rsid w:val="250D1C86"/>
    <w:rsid w:val="25287D17"/>
    <w:rsid w:val="254135F9"/>
    <w:rsid w:val="25593693"/>
    <w:rsid w:val="259B3A37"/>
    <w:rsid w:val="25AA108C"/>
    <w:rsid w:val="25AA60BB"/>
    <w:rsid w:val="25E47139"/>
    <w:rsid w:val="25E920A9"/>
    <w:rsid w:val="25EA33FF"/>
    <w:rsid w:val="26022C07"/>
    <w:rsid w:val="260C383F"/>
    <w:rsid w:val="2628542C"/>
    <w:rsid w:val="26327518"/>
    <w:rsid w:val="26511283"/>
    <w:rsid w:val="265809A8"/>
    <w:rsid w:val="265C7C7F"/>
    <w:rsid w:val="266D6DC0"/>
    <w:rsid w:val="26736B76"/>
    <w:rsid w:val="268C34BE"/>
    <w:rsid w:val="26CD417A"/>
    <w:rsid w:val="26F85DFF"/>
    <w:rsid w:val="270606A4"/>
    <w:rsid w:val="27060916"/>
    <w:rsid w:val="27581C34"/>
    <w:rsid w:val="276352C7"/>
    <w:rsid w:val="27886506"/>
    <w:rsid w:val="27B629A0"/>
    <w:rsid w:val="27DD3388"/>
    <w:rsid w:val="28197A8A"/>
    <w:rsid w:val="281F1482"/>
    <w:rsid w:val="282870F1"/>
    <w:rsid w:val="285606B3"/>
    <w:rsid w:val="287103DB"/>
    <w:rsid w:val="287E3D9B"/>
    <w:rsid w:val="28AD4609"/>
    <w:rsid w:val="28CA56E8"/>
    <w:rsid w:val="291114AB"/>
    <w:rsid w:val="292E490B"/>
    <w:rsid w:val="2932479F"/>
    <w:rsid w:val="29434313"/>
    <w:rsid w:val="29797455"/>
    <w:rsid w:val="2985496B"/>
    <w:rsid w:val="298B4864"/>
    <w:rsid w:val="29963CEC"/>
    <w:rsid w:val="29A2225F"/>
    <w:rsid w:val="29A91D28"/>
    <w:rsid w:val="29B0648B"/>
    <w:rsid w:val="29C51DDB"/>
    <w:rsid w:val="29CD5749"/>
    <w:rsid w:val="2A0259DF"/>
    <w:rsid w:val="2A050C0C"/>
    <w:rsid w:val="2A245CD1"/>
    <w:rsid w:val="2A373237"/>
    <w:rsid w:val="2A5D7A7A"/>
    <w:rsid w:val="2A5E02E4"/>
    <w:rsid w:val="2A986A14"/>
    <w:rsid w:val="2B070C1B"/>
    <w:rsid w:val="2B2A28E3"/>
    <w:rsid w:val="2B2C4D0A"/>
    <w:rsid w:val="2B331151"/>
    <w:rsid w:val="2B3B547E"/>
    <w:rsid w:val="2B4848C2"/>
    <w:rsid w:val="2B493592"/>
    <w:rsid w:val="2B5A52E5"/>
    <w:rsid w:val="2B622EFE"/>
    <w:rsid w:val="2B6616A5"/>
    <w:rsid w:val="2BBB1ACB"/>
    <w:rsid w:val="2BC27CBC"/>
    <w:rsid w:val="2BCA405F"/>
    <w:rsid w:val="2BCD6745"/>
    <w:rsid w:val="2C035892"/>
    <w:rsid w:val="2C193C5E"/>
    <w:rsid w:val="2C2754B0"/>
    <w:rsid w:val="2C3F7F1C"/>
    <w:rsid w:val="2C4C77A3"/>
    <w:rsid w:val="2C7B5C51"/>
    <w:rsid w:val="2C803977"/>
    <w:rsid w:val="2C9A4F6D"/>
    <w:rsid w:val="2CA4486B"/>
    <w:rsid w:val="2CC64D5A"/>
    <w:rsid w:val="2CCC31D6"/>
    <w:rsid w:val="2D5D1AF5"/>
    <w:rsid w:val="2D756C95"/>
    <w:rsid w:val="2D827C8C"/>
    <w:rsid w:val="2D921CAF"/>
    <w:rsid w:val="2DAB7305"/>
    <w:rsid w:val="2DCE5A86"/>
    <w:rsid w:val="2DDB2D8A"/>
    <w:rsid w:val="2E091B03"/>
    <w:rsid w:val="2E265BB1"/>
    <w:rsid w:val="2E3A71F6"/>
    <w:rsid w:val="2E5C2508"/>
    <w:rsid w:val="2E63292B"/>
    <w:rsid w:val="2E882305"/>
    <w:rsid w:val="2EDB61E0"/>
    <w:rsid w:val="2EF54658"/>
    <w:rsid w:val="2F036359"/>
    <w:rsid w:val="2F150C37"/>
    <w:rsid w:val="2F2369C4"/>
    <w:rsid w:val="2F460984"/>
    <w:rsid w:val="2F536325"/>
    <w:rsid w:val="2F611AF4"/>
    <w:rsid w:val="2F733C4C"/>
    <w:rsid w:val="2F8B4B55"/>
    <w:rsid w:val="2FC1630B"/>
    <w:rsid w:val="2FC2569D"/>
    <w:rsid w:val="2FDD4AE9"/>
    <w:rsid w:val="2FE81265"/>
    <w:rsid w:val="2FF70F74"/>
    <w:rsid w:val="2FF8225E"/>
    <w:rsid w:val="304E67A2"/>
    <w:rsid w:val="30950684"/>
    <w:rsid w:val="30D07264"/>
    <w:rsid w:val="30D81F82"/>
    <w:rsid w:val="30EE4EE4"/>
    <w:rsid w:val="30F83A3F"/>
    <w:rsid w:val="30FF4565"/>
    <w:rsid w:val="31124610"/>
    <w:rsid w:val="31166567"/>
    <w:rsid w:val="31264A2D"/>
    <w:rsid w:val="31854510"/>
    <w:rsid w:val="31996909"/>
    <w:rsid w:val="319C7A3A"/>
    <w:rsid w:val="31A34CEA"/>
    <w:rsid w:val="31C31E94"/>
    <w:rsid w:val="31F933AB"/>
    <w:rsid w:val="321E5274"/>
    <w:rsid w:val="322C3DBA"/>
    <w:rsid w:val="324D3A4A"/>
    <w:rsid w:val="327D4226"/>
    <w:rsid w:val="32DF16B4"/>
    <w:rsid w:val="32E10EFC"/>
    <w:rsid w:val="32F735C0"/>
    <w:rsid w:val="33395512"/>
    <w:rsid w:val="33496826"/>
    <w:rsid w:val="33582931"/>
    <w:rsid w:val="335B6985"/>
    <w:rsid w:val="33777F81"/>
    <w:rsid w:val="33B35D03"/>
    <w:rsid w:val="33F870C0"/>
    <w:rsid w:val="34306B21"/>
    <w:rsid w:val="34380747"/>
    <w:rsid w:val="34462D49"/>
    <w:rsid w:val="346A2ECF"/>
    <w:rsid w:val="34721A00"/>
    <w:rsid w:val="34861A07"/>
    <w:rsid w:val="348870B4"/>
    <w:rsid w:val="34AE39B1"/>
    <w:rsid w:val="34D754F0"/>
    <w:rsid w:val="34E77CC6"/>
    <w:rsid w:val="352A5DFE"/>
    <w:rsid w:val="354028ED"/>
    <w:rsid w:val="35435D2D"/>
    <w:rsid w:val="35503462"/>
    <w:rsid w:val="35690E38"/>
    <w:rsid w:val="356B4020"/>
    <w:rsid w:val="357A7580"/>
    <w:rsid w:val="35821B17"/>
    <w:rsid w:val="358F5E34"/>
    <w:rsid w:val="35CE55AF"/>
    <w:rsid w:val="35D34B8D"/>
    <w:rsid w:val="35DE0A6C"/>
    <w:rsid w:val="360A568E"/>
    <w:rsid w:val="3625529B"/>
    <w:rsid w:val="3659741F"/>
    <w:rsid w:val="366E64C1"/>
    <w:rsid w:val="366F1A8E"/>
    <w:rsid w:val="368F12BC"/>
    <w:rsid w:val="36D13D79"/>
    <w:rsid w:val="36D45E7C"/>
    <w:rsid w:val="36EF371B"/>
    <w:rsid w:val="37677ABE"/>
    <w:rsid w:val="3780137B"/>
    <w:rsid w:val="37847709"/>
    <w:rsid w:val="37B02594"/>
    <w:rsid w:val="37B544F4"/>
    <w:rsid w:val="37E17AB5"/>
    <w:rsid w:val="37F52DB1"/>
    <w:rsid w:val="37F618E4"/>
    <w:rsid w:val="380B2ECB"/>
    <w:rsid w:val="381F738E"/>
    <w:rsid w:val="382A76B3"/>
    <w:rsid w:val="385D4999"/>
    <w:rsid w:val="385F6E45"/>
    <w:rsid w:val="38CA671C"/>
    <w:rsid w:val="38ED339B"/>
    <w:rsid w:val="38F51115"/>
    <w:rsid w:val="38F63AD7"/>
    <w:rsid w:val="39003EA9"/>
    <w:rsid w:val="394D4C2B"/>
    <w:rsid w:val="396E12E8"/>
    <w:rsid w:val="39A33662"/>
    <w:rsid w:val="39E00D11"/>
    <w:rsid w:val="39E836B7"/>
    <w:rsid w:val="3A0E6389"/>
    <w:rsid w:val="3A15498F"/>
    <w:rsid w:val="3A6E091A"/>
    <w:rsid w:val="3A6E434B"/>
    <w:rsid w:val="3A8671CA"/>
    <w:rsid w:val="3AA90587"/>
    <w:rsid w:val="3AB16CDC"/>
    <w:rsid w:val="3AF0714C"/>
    <w:rsid w:val="3B3B0D55"/>
    <w:rsid w:val="3B4857EA"/>
    <w:rsid w:val="3B4942D0"/>
    <w:rsid w:val="3B5544EA"/>
    <w:rsid w:val="3B690772"/>
    <w:rsid w:val="3B9A5AA3"/>
    <w:rsid w:val="3BA44580"/>
    <w:rsid w:val="3BDB582F"/>
    <w:rsid w:val="3BED322B"/>
    <w:rsid w:val="3C21221A"/>
    <w:rsid w:val="3C2263FF"/>
    <w:rsid w:val="3CE868D9"/>
    <w:rsid w:val="3CF91BA3"/>
    <w:rsid w:val="3D0D6B4A"/>
    <w:rsid w:val="3D150B4F"/>
    <w:rsid w:val="3D582A8F"/>
    <w:rsid w:val="3D71227F"/>
    <w:rsid w:val="3D73520B"/>
    <w:rsid w:val="3D781A16"/>
    <w:rsid w:val="3D8077C7"/>
    <w:rsid w:val="3DA33D56"/>
    <w:rsid w:val="3DA9225C"/>
    <w:rsid w:val="3DAE15C3"/>
    <w:rsid w:val="3E024573"/>
    <w:rsid w:val="3E193AE1"/>
    <w:rsid w:val="3E196FB1"/>
    <w:rsid w:val="3E7F4344"/>
    <w:rsid w:val="3E80730F"/>
    <w:rsid w:val="3E827835"/>
    <w:rsid w:val="3E9253D0"/>
    <w:rsid w:val="3E92782C"/>
    <w:rsid w:val="3E9E7ECE"/>
    <w:rsid w:val="3EA95792"/>
    <w:rsid w:val="3EAC5FB7"/>
    <w:rsid w:val="3ED76137"/>
    <w:rsid w:val="3EE316B6"/>
    <w:rsid w:val="3EF87478"/>
    <w:rsid w:val="3F12212C"/>
    <w:rsid w:val="3F1B290A"/>
    <w:rsid w:val="3F330BF1"/>
    <w:rsid w:val="3F6A6F06"/>
    <w:rsid w:val="3F94594A"/>
    <w:rsid w:val="3F99792B"/>
    <w:rsid w:val="3FBD00E6"/>
    <w:rsid w:val="3FC63468"/>
    <w:rsid w:val="402E75A5"/>
    <w:rsid w:val="40717952"/>
    <w:rsid w:val="407916AB"/>
    <w:rsid w:val="409C1D0D"/>
    <w:rsid w:val="40A6100E"/>
    <w:rsid w:val="40AA0BA0"/>
    <w:rsid w:val="40D932EF"/>
    <w:rsid w:val="40E72721"/>
    <w:rsid w:val="40F87AAA"/>
    <w:rsid w:val="4101367C"/>
    <w:rsid w:val="410670AB"/>
    <w:rsid w:val="41071B04"/>
    <w:rsid w:val="413A66DF"/>
    <w:rsid w:val="41534E3D"/>
    <w:rsid w:val="418600EC"/>
    <w:rsid w:val="41A1420E"/>
    <w:rsid w:val="41DF4285"/>
    <w:rsid w:val="41F66F78"/>
    <w:rsid w:val="41FC0611"/>
    <w:rsid w:val="42601E73"/>
    <w:rsid w:val="427050EE"/>
    <w:rsid w:val="42E46F2F"/>
    <w:rsid w:val="42EB4BAE"/>
    <w:rsid w:val="433729DC"/>
    <w:rsid w:val="436E4688"/>
    <w:rsid w:val="43841945"/>
    <w:rsid w:val="43E01CA1"/>
    <w:rsid w:val="43E30679"/>
    <w:rsid w:val="43E4039E"/>
    <w:rsid w:val="44197CC5"/>
    <w:rsid w:val="443A1A8D"/>
    <w:rsid w:val="44406AE0"/>
    <w:rsid w:val="447C59C8"/>
    <w:rsid w:val="44CA1C82"/>
    <w:rsid w:val="44CD11BF"/>
    <w:rsid w:val="44EB0142"/>
    <w:rsid w:val="44FC61F2"/>
    <w:rsid w:val="450A0780"/>
    <w:rsid w:val="450E54D9"/>
    <w:rsid w:val="45172E66"/>
    <w:rsid w:val="452677C1"/>
    <w:rsid w:val="45405BCF"/>
    <w:rsid w:val="45713259"/>
    <w:rsid w:val="45A031CF"/>
    <w:rsid w:val="45FE1AB6"/>
    <w:rsid w:val="46130C22"/>
    <w:rsid w:val="461C3A83"/>
    <w:rsid w:val="467A6E06"/>
    <w:rsid w:val="4689102D"/>
    <w:rsid w:val="46A52284"/>
    <w:rsid w:val="46B24036"/>
    <w:rsid w:val="46FF786A"/>
    <w:rsid w:val="47257D00"/>
    <w:rsid w:val="472A4B84"/>
    <w:rsid w:val="47305093"/>
    <w:rsid w:val="4761529C"/>
    <w:rsid w:val="47731D29"/>
    <w:rsid w:val="478655A6"/>
    <w:rsid w:val="47A40679"/>
    <w:rsid w:val="48103773"/>
    <w:rsid w:val="48120D12"/>
    <w:rsid w:val="484F7EAA"/>
    <w:rsid w:val="485C4020"/>
    <w:rsid w:val="4883355F"/>
    <w:rsid w:val="488E2C2D"/>
    <w:rsid w:val="48AD01E5"/>
    <w:rsid w:val="48D304D7"/>
    <w:rsid w:val="48E80B77"/>
    <w:rsid w:val="48ED4932"/>
    <w:rsid w:val="491F0A97"/>
    <w:rsid w:val="49301A0C"/>
    <w:rsid w:val="49345BB8"/>
    <w:rsid w:val="49870EBD"/>
    <w:rsid w:val="498859B1"/>
    <w:rsid w:val="49963D7D"/>
    <w:rsid w:val="499C47B5"/>
    <w:rsid w:val="49A02699"/>
    <w:rsid w:val="49B860FF"/>
    <w:rsid w:val="49C80E54"/>
    <w:rsid w:val="49C966A1"/>
    <w:rsid w:val="49DC2A23"/>
    <w:rsid w:val="4A4C04BE"/>
    <w:rsid w:val="4A4D5967"/>
    <w:rsid w:val="4A5D1278"/>
    <w:rsid w:val="4A5D5139"/>
    <w:rsid w:val="4A6224E2"/>
    <w:rsid w:val="4A734EDD"/>
    <w:rsid w:val="4A8549A3"/>
    <w:rsid w:val="4A975B4A"/>
    <w:rsid w:val="4AC42711"/>
    <w:rsid w:val="4ACC6D75"/>
    <w:rsid w:val="4AD36A27"/>
    <w:rsid w:val="4ADD4E47"/>
    <w:rsid w:val="4AE32279"/>
    <w:rsid w:val="4AE97A03"/>
    <w:rsid w:val="4B0A0E23"/>
    <w:rsid w:val="4B38778F"/>
    <w:rsid w:val="4B8F5CFF"/>
    <w:rsid w:val="4BC05DA6"/>
    <w:rsid w:val="4BC747D5"/>
    <w:rsid w:val="4BCD730C"/>
    <w:rsid w:val="4BF3380C"/>
    <w:rsid w:val="4C150113"/>
    <w:rsid w:val="4C285035"/>
    <w:rsid w:val="4C35165A"/>
    <w:rsid w:val="4C3517E1"/>
    <w:rsid w:val="4C3E7B55"/>
    <w:rsid w:val="4C4F6C54"/>
    <w:rsid w:val="4C535508"/>
    <w:rsid w:val="4C9966B2"/>
    <w:rsid w:val="4CBB5127"/>
    <w:rsid w:val="4CDF0AE0"/>
    <w:rsid w:val="4D2746AE"/>
    <w:rsid w:val="4D701CF7"/>
    <w:rsid w:val="4D8210E5"/>
    <w:rsid w:val="4D8D6A5B"/>
    <w:rsid w:val="4DAD7A29"/>
    <w:rsid w:val="4E194270"/>
    <w:rsid w:val="4E19530A"/>
    <w:rsid w:val="4E2D2B01"/>
    <w:rsid w:val="4E2F5300"/>
    <w:rsid w:val="4E451A8F"/>
    <w:rsid w:val="4E864108"/>
    <w:rsid w:val="4E873FD0"/>
    <w:rsid w:val="4E8A23C4"/>
    <w:rsid w:val="4EBD0788"/>
    <w:rsid w:val="4EC22EFE"/>
    <w:rsid w:val="4ECD497C"/>
    <w:rsid w:val="4ED370B2"/>
    <w:rsid w:val="4EE77256"/>
    <w:rsid w:val="4F247360"/>
    <w:rsid w:val="4F252832"/>
    <w:rsid w:val="4F346466"/>
    <w:rsid w:val="4F9562AC"/>
    <w:rsid w:val="4FA67566"/>
    <w:rsid w:val="4FAC1734"/>
    <w:rsid w:val="4FC000B2"/>
    <w:rsid w:val="4FE11632"/>
    <w:rsid w:val="50021F21"/>
    <w:rsid w:val="50374BD7"/>
    <w:rsid w:val="505608A3"/>
    <w:rsid w:val="50582EC8"/>
    <w:rsid w:val="505A5126"/>
    <w:rsid w:val="50636045"/>
    <w:rsid w:val="50872172"/>
    <w:rsid w:val="50AD3931"/>
    <w:rsid w:val="50C5058D"/>
    <w:rsid w:val="50CD3AED"/>
    <w:rsid w:val="50D51E0C"/>
    <w:rsid w:val="50D71B5A"/>
    <w:rsid w:val="50DF2BBC"/>
    <w:rsid w:val="50F65B97"/>
    <w:rsid w:val="510819DD"/>
    <w:rsid w:val="512E1F8E"/>
    <w:rsid w:val="51315798"/>
    <w:rsid w:val="515D12FA"/>
    <w:rsid w:val="51601643"/>
    <w:rsid w:val="516B556D"/>
    <w:rsid w:val="51942178"/>
    <w:rsid w:val="51A40357"/>
    <w:rsid w:val="51A736F6"/>
    <w:rsid w:val="51CE354B"/>
    <w:rsid w:val="51DC6918"/>
    <w:rsid w:val="51DE12B3"/>
    <w:rsid w:val="51F327B1"/>
    <w:rsid w:val="520C1CF2"/>
    <w:rsid w:val="520E2E28"/>
    <w:rsid w:val="521F6AE3"/>
    <w:rsid w:val="52367651"/>
    <w:rsid w:val="524B3576"/>
    <w:rsid w:val="526401A8"/>
    <w:rsid w:val="526A04B7"/>
    <w:rsid w:val="52783577"/>
    <w:rsid w:val="52A86761"/>
    <w:rsid w:val="52B0057A"/>
    <w:rsid w:val="52DC42FF"/>
    <w:rsid w:val="52DF6585"/>
    <w:rsid w:val="52FC5E25"/>
    <w:rsid w:val="52FF4E77"/>
    <w:rsid w:val="53236A6C"/>
    <w:rsid w:val="532B3763"/>
    <w:rsid w:val="53500DE4"/>
    <w:rsid w:val="53A96087"/>
    <w:rsid w:val="53F67DE7"/>
    <w:rsid w:val="543054B6"/>
    <w:rsid w:val="54576230"/>
    <w:rsid w:val="545F2967"/>
    <w:rsid w:val="54790A23"/>
    <w:rsid w:val="548F747E"/>
    <w:rsid w:val="54960112"/>
    <w:rsid w:val="54A95224"/>
    <w:rsid w:val="54B74E87"/>
    <w:rsid w:val="54E52533"/>
    <w:rsid w:val="54EA1F8B"/>
    <w:rsid w:val="551E1E64"/>
    <w:rsid w:val="55243A90"/>
    <w:rsid w:val="55621CEF"/>
    <w:rsid w:val="55636EF5"/>
    <w:rsid w:val="556E06E6"/>
    <w:rsid w:val="556F4D27"/>
    <w:rsid w:val="5573351B"/>
    <w:rsid w:val="558B3011"/>
    <w:rsid w:val="55BA79A2"/>
    <w:rsid w:val="55CD3571"/>
    <w:rsid w:val="55DC686E"/>
    <w:rsid w:val="561172AB"/>
    <w:rsid w:val="562435A8"/>
    <w:rsid w:val="56EF3078"/>
    <w:rsid w:val="573230A3"/>
    <w:rsid w:val="57405208"/>
    <w:rsid w:val="575E1213"/>
    <w:rsid w:val="57602676"/>
    <w:rsid w:val="579769E3"/>
    <w:rsid w:val="57A2481B"/>
    <w:rsid w:val="57B77F3F"/>
    <w:rsid w:val="57C6549F"/>
    <w:rsid w:val="57C820EC"/>
    <w:rsid w:val="580B3251"/>
    <w:rsid w:val="589B4428"/>
    <w:rsid w:val="58A006B8"/>
    <w:rsid w:val="58D23F15"/>
    <w:rsid w:val="58D77AA2"/>
    <w:rsid w:val="591A75C4"/>
    <w:rsid w:val="592C5B9B"/>
    <w:rsid w:val="59300998"/>
    <w:rsid w:val="596F099C"/>
    <w:rsid w:val="59784F8F"/>
    <w:rsid w:val="597D6FAF"/>
    <w:rsid w:val="598A4F8F"/>
    <w:rsid w:val="59953D2D"/>
    <w:rsid w:val="5998429F"/>
    <w:rsid w:val="59E664D8"/>
    <w:rsid w:val="59EF5A03"/>
    <w:rsid w:val="5A190505"/>
    <w:rsid w:val="5A2253A5"/>
    <w:rsid w:val="5A6E70E2"/>
    <w:rsid w:val="5A76133A"/>
    <w:rsid w:val="5A805F82"/>
    <w:rsid w:val="5AB2339B"/>
    <w:rsid w:val="5ACB7453"/>
    <w:rsid w:val="5ACD0F21"/>
    <w:rsid w:val="5AD21F88"/>
    <w:rsid w:val="5B027FD6"/>
    <w:rsid w:val="5B13345D"/>
    <w:rsid w:val="5B2F1EC5"/>
    <w:rsid w:val="5B423DB6"/>
    <w:rsid w:val="5B4465C8"/>
    <w:rsid w:val="5B4C65DB"/>
    <w:rsid w:val="5B5F22DA"/>
    <w:rsid w:val="5B6A208A"/>
    <w:rsid w:val="5B90273F"/>
    <w:rsid w:val="5BB82927"/>
    <w:rsid w:val="5BBA15A1"/>
    <w:rsid w:val="5C3E2F43"/>
    <w:rsid w:val="5C461C3B"/>
    <w:rsid w:val="5C7B0D07"/>
    <w:rsid w:val="5C8C3AB6"/>
    <w:rsid w:val="5C8F78DC"/>
    <w:rsid w:val="5CCC3220"/>
    <w:rsid w:val="5CE749A2"/>
    <w:rsid w:val="5D5019BC"/>
    <w:rsid w:val="5D994B4A"/>
    <w:rsid w:val="5DA74E2E"/>
    <w:rsid w:val="5DA83618"/>
    <w:rsid w:val="5DE97AB8"/>
    <w:rsid w:val="5E100FD9"/>
    <w:rsid w:val="5E322113"/>
    <w:rsid w:val="5E39366B"/>
    <w:rsid w:val="5E3E280A"/>
    <w:rsid w:val="5E975A38"/>
    <w:rsid w:val="5ED32E7B"/>
    <w:rsid w:val="5EE7515D"/>
    <w:rsid w:val="5F0A08D8"/>
    <w:rsid w:val="5F155B8D"/>
    <w:rsid w:val="5F196F0D"/>
    <w:rsid w:val="5F533F65"/>
    <w:rsid w:val="5F6A2DAA"/>
    <w:rsid w:val="5F800450"/>
    <w:rsid w:val="5F925BCE"/>
    <w:rsid w:val="5FB55488"/>
    <w:rsid w:val="5FEF649F"/>
    <w:rsid w:val="5FFF42E9"/>
    <w:rsid w:val="60046DD4"/>
    <w:rsid w:val="6098191D"/>
    <w:rsid w:val="60D3784E"/>
    <w:rsid w:val="60DF19E5"/>
    <w:rsid w:val="6150358F"/>
    <w:rsid w:val="615E566A"/>
    <w:rsid w:val="617E4B22"/>
    <w:rsid w:val="61A8193A"/>
    <w:rsid w:val="61B83AFF"/>
    <w:rsid w:val="61C156F4"/>
    <w:rsid w:val="61C6470F"/>
    <w:rsid w:val="61DC49CE"/>
    <w:rsid w:val="61EE7E79"/>
    <w:rsid w:val="622E2315"/>
    <w:rsid w:val="624177F6"/>
    <w:rsid w:val="628A6949"/>
    <w:rsid w:val="62A806F9"/>
    <w:rsid w:val="62D268AE"/>
    <w:rsid w:val="62D44C49"/>
    <w:rsid w:val="631D379E"/>
    <w:rsid w:val="632A1619"/>
    <w:rsid w:val="632B5314"/>
    <w:rsid w:val="635B0D3A"/>
    <w:rsid w:val="638B5374"/>
    <w:rsid w:val="638B649E"/>
    <w:rsid w:val="643100D9"/>
    <w:rsid w:val="643E50C3"/>
    <w:rsid w:val="6451417A"/>
    <w:rsid w:val="64620EED"/>
    <w:rsid w:val="64845EBA"/>
    <w:rsid w:val="649A4963"/>
    <w:rsid w:val="64D02477"/>
    <w:rsid w:val="64EE6A1D"/>
    <w:rsid w:val="650A4C35"/>
    <w:rsid w:val="65217BE5"/>
    <w:rsid w:val="653843AA"/>
    <w:rsid w:val="6551633E"/>
    <w:rsid w:val="65627D93"/>
    <w:rsid w:val="656940DE"/>
    <w:rsid w:val="65A9144E"/>
    <w:rsid w:val="65E83BDA"/>
    <w:rsid w:val="65FB74B2"/>
    <w:rsid w:val="66080726"/>
    <w:rsid w:val="66095ED1"/>
    <w:rsid w:val="662A5A80"/>
    <w:rsid w:val="666E30E9"/>
    <w:rsid w:val="66C538C1"/>
    <w:rsid w:val="66CB32BF"/>
    <w:rsid w:val="6745660E"/>
    <w:rsid w:val="674D1E15"/>
    <w:rsid w:val="67C43A7C"/>
    <w:rsid w:val="67C65AA6"/>
    <w:rsid w:val="67D304B3"/>
    <w:rsid w:val="67E86251"/>
    <w:rsid w:val="67F8785B"/>
    <w:rsid w:val="681F08B4"/>
    <w:rsid w:val="68240002"/>
    <w:rsid w:val="68311993"/>
    <w:rsid w:val="6850243F"/>
    <w:rsid w:val="686B001A"/>
    <w:rsid w:val="686E5ACD"/>
    <w:rsid w:val="68D91CC3"/>
    <w:rsid w:val="68F84F76"/>
    <w:rsid w:val="690A75E6"/>
    <w:rsid w:val="69561AAB"/>
    <w:rsid w:val="69681171"/>
    <w:rsid w:val="69A40294"/>
    <w:rsid w:val="69AC109B"/>
    <w:rsid w:val="69C37F06"/>
    <w:rsid w:val="69CD187A"/>
    <w:rsid w:val="69E17BE6"/>
    <w:rsid w:val="69EA265A"/>
    <w:rsid w:val="6A035297"/>
    <w:rsid w:val="6A32120A"/>
    <w:rsid w:val="6A3C3D88"/>
    <w:rsid w:val="6A3F63BB"/>
    <w:rsid w:val="6A463D8E"/>
    <w:rsid w:val="6A55795F"/>
    <w:rsid w:val="6A5C5C28"/>
    <w:rsid w:val="6A5F4E3C"/>
    <w:rsid w:val="6A7D5D84"/>
    <w:rsid w:val="6A8948DB"/>
    <w:rsid w:val="6AC06150"/>
    <w:rsid w:val="6AC81B91"/>
    <w:rsid w:val="6ACA5748"/>
    <w:rsid w:val="6ACB533C"/>
    <w:rsid w:val="6ACE3983"/>
    <w:rsid w:val="6AE323C0"/>
    <w:rsid w:val="6B073AF4"/>
    <w:rsid w:val="6B226171"/>
    <w:rsid w:val="6B4E66EB"/>
    <w:rsid w:val="6B82587B"/>
    <w:rsid w:val="6B8D406A"/>
    <w:rsid w:val="6BDE386B"/>
    <w:rsid w:val="6BF9239C"/>
    <w:rsid w:val="6C127448"/>
    <w:rsid w:val="6C1B663F"/>
    <w:rsid w:val="6C25373D"/>
    <w:rsid w:val="6C365751"/>
    <w:rsid w:val="6C4A65BD"/>
    <w:rsid w:val="6C890033"/>
    <w:rsid w:val="6C9F6765"/>
    <w:rsid w:val="6CAB1467"/>
    <w:rsid w:val="6CBA77D1"/>
    <w:rsid w:val="6CBD0217"/>
    <w:rsid w:val="6CE61A11"/>
    <w:rsid w:val="6CFD0894"/>
    <w:rsid w:val="6D15396E"/>
    <w:rsid w:val="6DC5493B"/>
    <w:rsid w:val="6DDC5AC3"/>
    <w:rsid w:val="6DEA0B02"/>
    <w:rsid w:val="6DEC34D9"/>
    <w:rsid w:val="6E2D246E"/>
    <w:rsid w:val="6E5B01F7"/>
    <w:rsid w:val="6E8F14EA"/>
    <w:rsid w:val="6EBE49E5"/>
    <w:rsid w:val="6EDE2563"/>
    <w:rsid w:val="6EE74589"/>
    <w:rsid w:val="6F172B59"/>
    <w:rsid w:val="6F197624"/>
    <w:rsid w:val="6F2D21F5"/>
    <w:rsid w:val="6F323685"/>
    <w:rsid w:val="6F5F4865"/>
    <w:rsid w:val="6F605B0E"/>
    <w:rsid w:val="6F8E6BF5"/>
    <w:rsid w:val="6FAA41EF"/>
    <w:rsid w:val="6FF11238"/>
    <w:rsid w:val="6FF97999"/>
    <w:rsid w:val="6FFC4577"/>
    <w:rsid w:val="70003D9D"/>
    <w:rsid w:val="70112119"/>
    <w:rsid w:val="701952B9"/>
    <w:rsid w:val="7044390C"/>
    <w:rsid w:val="705B09C0"/>
    <w:rsid w:val="706A7716"/>
    <w:rsid w:val="70745510"/>
    <w:rsid w:val="70A81087"/>
    <w:rsid w:val="70B3290F"/>
    <w:rsid w:val="70B663BF"/>
    <w:rsid w:val="70B836C6"/>
    <w:rsid w:val="70DA44C7"/>
    <w:rsid w:val="71046E31"/>
    <w:rsid w:val="71520C85"/>
    <w:rsid w:val="71546E53"/>
    <w:rsid w:val="716853A3"/>
    <w:rsid w:val="7173622D"/>
    <w:rsid w:val="71987B48"/>
    <w:rsid w:val="719D7D25"/>
    <w:rsid w:val="71A25F4D"/>
    <w:rsid w:val="71B83FCA"/>
    <w:rsid w:val="71EF1A3F"/>
    <w:rsid w:val="72014203"/>
    <w:rsid w:val="723C4CE6"/>
    <w:rsid w:val="72412902"/>
    <w:rsid w:val="72A12A8B"/>
    <w:rsid w:val="72A42658"/>
    <w:rsid w:val="72B40725"/>
    <w:rsid w:val="72B76787"/>
    <w:rsid w:val="72BC18DB"/>
    <w:rsid w:val="72D84306"/>
    <w:rsid w:val="72E41470"/>
    <w:rsid w:val="72E673A6"/>
    <w:rsid w:val="72F95EC3"/>
    <w:rsid w:val="731E33D1"/>
    <w:rsid w:val="7324340A"/>
    <w:rsid w:val="732C6CCF"/>
    <w:rsid w:val="734448AB"/>
    <w:rsid w:val="739C3CD9"/>
    <w:rsid w:val="73CA47F0"/>
    <w:rsid w:val="74011256"/>
    <w:rsid w:val="740F4099"/>
    <w:rsid w:val="742220D1"/>
    <w:rsid w:val="74462616"/>
    <w:rsid w:val="747B272F"/>
    <w:rsid w:val="74880A8D"/>
    <w:rsid w:val="74884DE0"/>
    <w:rsid w:val="74AB01B0"/>
    <w:rsid w:val="74B7523C"/>
    <w:rsid w:val="750142E9"/>
    <w:rsid w:val="75037588"/>
    <w:rsid w:val="75127D05"/>
    <w:rsid w:val="752B0828"/>
    <w:rsid w:val="752E31DA"/>
    <w:rsid w:val="753973A8"/>
    <w:rsid w:val="755E1977"/>
    <w:rsid w:val="75B766D6"/>
    <w:rsid w:val="75C25D71"/>
    <w:rsid w:val="75DF46CD"/>
    <w:rsid w:val="75EF7DCE"/>
    <w:rsid w:val="75F0057D"/>
    <w:rsid w:val="762E0629"/>
    <w:rsid w:val="76423EC0"/>
    <w:rsid w:val="76664740"/>
    <w:rsid w:val="76904D21"/>
    <w:rsid w:val="76B25166"/>
    <w:rsid w:val="76BA4459"/>
    <w:rsid w:val="76D235FB"/>
    <w:rsid w:val="76D43BFD"/>
    <w:rsid w:val="76F17D65"/>
    <w:rsid w:val="76FD0FB4"/>
    <w:rsid w:val="7734129D"/>
    <w:rsid w:val="77492AAF"/>
    <w:rsid w:val="77733A28"/>
    <w:rsid w:val="77A317DE"/>
    <w:rsid w:val="77C13E31"/>
    <w:rsid w:val="77D73E21"/>
    <w:rsid w:val="77DE5FC4"/>
    <w:rsid w:val="77DE6163"/>
    <w:rsid w:val="77FB22DA"/>
    <w:rsid w:val="77FC40B7"/>
    <w:rsid w:val="781A2C75"/>
    <w:rsid w:val="787114F0"/>
    <w:rsid w:val="78716C1B"/>
    <w:rsid w:val="788D1B4B"/>
    <w:rsid w:val="78986EA2"/>
    <w:rsid w:val="790677C7"/>
    <w:rsid w:val="794A1AFD"/>
    <w:rsid w:val="79683A9B"/>
    <w:rsid w:val="79690928"/>
    <w:rsid w:val="797B36AB"/>
    <w:rsid w:val="798527DE"/>
    <w:rsid w:val="79865565"/>
    <w:rsid w:val="799B47F3"/>
    <w:rsid w:val="799F18A4"/>
    <w:rsid w:val="79F95C96"/>
    <w:rsid w:val="7A2F0F67"/>
    <w:rsid w:val="7A4F13CE"/>
    <w:rsid w:val="7A4F3A05"/>
    <w:rsid w:val="7A593DD9"/>
    <w:rsid w:val="7A7A2049"/>
    <w:rsid w:val="7A80384C"/>
    <w:rsid w:val="7AAB3047"/>
    <w:rsid w:val="7AAC4F5C"/>
    <w:rsid w:val="7AC025D1"/>
    <w:rsid w:val="7AD73516"/>
    <w:rsid w:val="7B244CA7"/>
    <w:rsid w:val="7B3F0EF3"/>
    <w:rsid w:val="7B685014"/>
    <w:rsid w:val="7B6948B0"/>
    <w:rsid w:val="7B78187E"/>
    <w:rsid w:val="7B7B6EC1"/>
    <w:rsid w:val="7B8B5A44"/>
    <w:rsid w:val="7B8F1B87"/>
    <w:rsid w:val="7BEE52B7"/>
    <w:rsid w:val="7BF52FA8"/>
    <w:rsid w:val="7C0E7892"/>
    <w:rsid w:val="7C29375A"/>
    <w:rsid w:val="7C2E5F70"/>
    <w:rsid w:val="7C473680"/>
    <w:rsid w:val="7C4F1FDC"/>
    <w:rsid w:val="7C52297F"/>
    <w:rsid w:val="7C5513BE"/>
    <w:rsid w:val="7C5A3508"/>
    <w:rsid w:val="7C68109F"/>
    <w:rsid w:val="7C727EC9"/>
    <w:rsid w:val="7C9732A3"/>
    <w:rsid w:val="7C992611"/>
    <w:rsid w:val="7CC338B4"/>
    <w:rsid w:val="7D21780B"/>
    <w:rsid w:val="7D37025A"/>
    <w:rsid w:val="7D3A3036"/>
    <w:rsid w:val="7D642CF9"/>
    <w:rsid w:val="7D6701BA"/>
    <w:rsid w:val="7D9559D0"/>
    <w:rsid w:val="7DA80591"/>
    <w:rsid w:val="7DAE5195"/>
    <w:rsid w:val="7DCD7CF0"/>
    <w:rsid w:val="7E0F428A"/>
    <w:rsid w:val="7E445E2F"/>
    <w:rsid w:val="7E4A3DAF"/>
    <w:rsid w:val="7E6D7F6F"/>
    <w:rsid w:val="7E7F156E"/>
    <w:rsid w:val="7EB93DC6"/>
    <w:rsid w:val="7EBA468C"/>
    <w:rsid w:val="7ECC2BDB"/>
    <w:rsid w:val="7F305C3B"/>
    <w:rsid w:val="7F3968DD"/>
    <w:rsid w:val="7F5D5982"/>
    <w:rsid w:val="7F7B0176"/>
    <w:rsid w:val="7F87384C"/>
    <w:rsid w:val="7F8B0740"/>
    <w:rsid w:val="7FB4744C"/>
    <w:rsid w:val="7FBF7212"/>
    <w:rsid w:val="7FF30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1"/>
    <w:qFormat/>
    <w:uiPriority w:val="0"/>
    <w:pPr>
      <w:keepNext/>
      <w:jc w:val="center"/>
      <w:outlineLvl w:val="0"/>
    </w:pPr>
    <w:rPr>
      <w:b/>
      <w:bCs/>
      <w:sz w:val="24"/>
      <w:szCs w:val="20"/>
    </w:rPr>
  </w:style>
  <w:style w:type="paragraph" w:styleId="5">
    <w:name w:val="heading 2"/>
    <w:basedOn w:val="1"/>
    <w:next w:val="1"/>
    <w:link w:val="8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101"/>
    <w:qFormat/>
    <w:uiPriority w:val="0"/>
    <w:pPr>
      <w:keepNext/>
      <w:keepLines/>
      <w:spacing w:before="260" w:after="260" w:line="416" w:lineRule="auto"/>
      <w:outlineLvl w:val="2"/>
    </w:pPr>
    <w:rPr>
      <w:b/>
      <w:bCs/>
      <w:sz w:val="32"/>
      <w:szCs w:val="32"/>
    </w:rPr>
  </w:style>
  <w:style w:type="paragraph" w:styleId="7">
    <w:name w:val="heading 4"/>
    <w:basedOn w:val="1"/>
    <w:next w:val="1"/>
    <w:link w:val="15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3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7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7"/>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8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8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qFormat/>
    <w:uiPriority w:val="0"/>
    <w:pPr>
      <w:widowControl/>
      <w:ind w:firstLine="420"/>
      <w:jc w:val="left"/>
    </w:pPr>
    <w:rPr>
      <w:kern w:val="0"/>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22"/>
    <w:semiHidden/>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Indent"/>
    <w:basedOn w:val="1"/>
    <w:next w:val="20"/>
    <w:link w:val="91"/>
    <w:qFormat/>
    <w:uiPriority w:val="0"/>
    <w:pPr>
      <w:spacing w:after="120"/>
      <w:ind w:left="420" w:leftChars="200"/>
    </w:pPr>
  </w:style>
  <w:style w:type="paragraph" w:styleId="20">
    <w:name w:val="Body Text First Indent 2"/>
    <w:basedOn w:val="19"/>
    <w:next w:val="21"/>
    <w:qFormat/>
    <w:uiPriority w:val="0"/>
    <w:pPr>
      <w:ind w:firstLine="420" w:firstLineChars="200"/>
    </w:pPr>
  </w:style>
  <w:style w:type="paragraph" w:customStyle="1" w:styleId="21">
    <w:name w:val="正文1"/>
    <w:basedOn w:val="1"/>
    <w:qFormat/>
    <w:uiPriority w:val="0"/>
    <w:pPr>
      <w:spacing w:line="360" w:lineRule="auto"/>
      <w:ind w:firstLine="480" w:firstLineChars="200"/>
    </w:pPr>
    <w:rPr>
      <w:sz w:val="24"/>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14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8"/>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28"/>
    <w:qFormat/>
    <w:uiPriority w:val="0"/>
    <w:rPr>
      <w:rFonts w:ascii="Calibri" w:hAnsi="Calibri"/>
      <w:sz w:val="18"/>
      <w:szCs w:val="18"/>
    </w:rPr>
  </w:style>
  <w:style w:type="paragraph" w:styleId="30">
    <w:name w:val="footer"/>
    <w:basedOn w:val="1"/>
    <w:link w:val="154"/>
    <w:qFormat/>
    <w:uiPriority w:val="0"/>
    <w:pPr>
      <w:tabs>
        <w:tab w:val="center" w:pos="4153"/>
        <w:tab w:val="right" w:pos="8306"/>
      </w:tabs>
      <w:snapToGrid w:val="0"/>
      <w:jc w:val="left"/>
    </w:pPr>
    <w:rPr>
      <w:sz w:val="18"/>
      <w:szCs w:val="18"/>
    </w:rPr>
  </w:style>
  <w:style w:type="paragraph" w:styleId="31">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rPr>
      <w:rFonts w:ascii="华文中宋" w:eastAsia="华文中宋"/>
      <w:b/>
      <w:sz w:val="28"/>
      <w:szCs w:val="28"/>
    </w:rPr>
  </w:style>
  <w:style w:type="paragraph" w:styleId="33">
    <w:name w:val="toc 4"/>
    <w:basedOn w:val="1"/>
    <w:next w:val="1"/>
    <w:qFormat/>
    <w:uiPriority w:val="0"/>
    <w:pPr>
      <w:ind w:left="1260" w:leftChars="600"/>
    </w:pPr>
  </w:style>
  <w:style w:type="paragraph" w:styleId="34">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13"/>
    <w:qFormat/>
    <w:uiPriority w:val="0"/>
    <w:pPr>
      <w:spacing w:after="120"/>
      <w:ind w:left="420" w:leftChars="200"/>
    </w:pPr>
    <w:rPr>
      <w:sz w:val="16"/>
      <w:szCs w:val="16"/>
    </w:rPr>
  </w:style>
  <w:style w:type="paragraph" w:styleId="37">
    <w:name w:val="toc 2"/>
    <w:basedOn w:val="1"/>
    <w:next w:val="1"/>
    <w:qFormat/>
    <w:uiPriority w:val="0"/>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qFormat/>
    <w:uiPriority w:val="0"/>
    <w:pPr>
      <w:spacing w:after="120" w:line="480" w:lineRule="auto"/>
    </w:p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qFormat/>
    <w:uiPriority w:val="0"/>
    <w:pPr>
      <w:spacing w:before="240" w:after="60"/>
      <w:jc w:val="center"/>
      <w:outlineLvl w:val="0"/>
    </w:pPr>
    <w:rPr>
      <w:rFonts w:ascii="Cambria" w:hAnsi="Cambria"/>
      <w:b/>
      <w:sz w:val="32"/>
    </w:rPr>
  </w:style>
  <w:style w:type="paragraph" w:styleId="44">
    <w:name w:val="annotation subject"/>
    <w:basedOn w:val="16"/>
    <w:next w:val="16"/>
    <w:link w:val="81"/>
    <w:qFormat/>
    <w:uiPriority w:val="0"/>
    <w:rPr>
      <w:b/>
      <w:bCs/>
    </w:rPr>
  </w:style>
  <w:style w:type="paragraph" w:styleId="45">
    <w:name w:val="Body Text First Indent"/>
    <w:basedOn w:val="2"/>
    <w:qFormat/>
    <w:uiPriority w:val="0"/>
    <w:pPr>
      <w:ind w:firstLine="420" w:firstLineChars="100"/>
    </w:pPr>
  </w:style>
  <w:style w:type="table" w:styleId="47">
    <w:name w:val="Table Grid"/>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basedOn w:val="48"/>
    <w:qFormat/>
    <w:uiPriority w:val="0"/>
    <w:rPr>
      <w:color w:val="5C5C5C"/>
      <w:u w:val="non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Typewriter"/>
    <w:basedOn w:val="48"/>
    <w:qFormat/>
    <w:uiPriority w:val="0"/>
    <w:rPr>
      <w:rFonts w:hint="default" w:ascii="monospace" w:hAnsi="monospace" w:eastAsia="monospace" w:cs="monospace"/>
      <w:sz w:val="20"/>
    </w:rPr>
  </w:style>
  <w:style w:type="character" w:styleId="55">
    <w:name w:val="HTML Acronym"/>
    <w:basedOn w:val="48"/>
    <w:qFormat/>
    <w:uiPriority w:val="0"/>
  </w:style>
  <w:style w:type="character" w:styleId="56">
    <w:name w:val="HTML Variable"/>
    <w:qFormat/>
    <w:uiPriority w:val="0"/>
    <w:rPr>
      <w:rFonts w:ascii="Times New Roman" w:hAnsi="Times New Roman" w:eastAsia="宋体"/>
    </w:rPr>
  </w:style>
  <w:style w:type="character" w:styleId="57">
    <w:name w:val="Hyperlink"/>
    <w:qFormat/>
    <w:uiPriority w:val="0"/>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paragraph" w:customStyle="1" w:styleId="63">
    <w:name w:val="正文格式"/>
    <w:basedOn w:val="2"/>
    <w:next w:val="2"/>
    <w:qFormat/>
    <w:uiPriority w:val="0"/>
    <w:pPr>
      <w:widowControl/>
      <w:adjustRightInd w:val="0"/>
      <w:snapToGrid w:val="0"/>
      <w:spacing w:line="400" w:lineRule="atLeast"/>
      <w:ind w:firstLine="482"/>
      <w:textAlignment w:val="baseline"/>
    </w:pPr>
    <w:rPr>
      <w:kern w:val="0"/>
      <w:sz w:val="24"/>
    </w:rPr>
  </w:style>
  <w:style w:type="paragraph" w:customStyle="1" w:styleId="64">
    <w:name w:val="正文首行缩进1"/>
    <w:basedOn w:val="1"/>
    <w:qFormat/>
    <w:uiPriority w:val="99"/>
    <w:pPr>
      <w:spacing w:after="120"/>
      <w:ind w:firstLine="420" w:firstLineChars="100"/>
    </w:pPr>
  </w:style>
  <w:style w:type="paragraph" w:customStyle="1" w:styleId="6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66">
    <w:name w:val="目录 81"/>
    <w:basedOn w:val="1"/>
    <w:next w:val="1"/>
    <w:qFormat/>
    <w:uiPriority w:val="0"/>
    <w:pPr>
      <w:ind w:left="2940"/>
    </w:pPr>
    <w:rPr>
      <w:rFonts w:ascii="Calibri"/>
    </w:rPr>
  </w:style>
  <w:style w:type="character" w:customStyle="1" w:styleId="67">
    <w:name w:val="页眉 Char"/>
    <w:qFormat/>
    <w:uiPriority w:val="0"/>
    <w:rPr>
      <w:kern w:val="2"/>
      <w:sz w:val="18"/>
      <w:szCs w:val="18"/>
    </w:rPr>
  </w:style>
  <w:style w:type="character" w:customStyle="1" w:styleId="68">
    <w:name w:val="页脚 Char"/>
    <w:qFormat/>
    <w:uiPriority w:val="99"/>
    <w:rPr>
      <w:kern w:val="2"/>
      <w:sz w:val="18"/>
      <w:szCs w:val="18"/>
    </w:rPr>
  </w:style>
  <w:style w:type="character" w:customStyle="1" w:styleId="69">
    <w:name w:val="bds_nopic1"/>
    <w:qFormat/>
    <w:uiPriority w:val="0"/>
    <w:rPr>
      <w:rFonts w:ascii="Times New Roman" w:hAnsi="Times New Roman" w:eastAsia="宋体"/>
    </w:rPr>
  </w:style>
  <w:style w:type="character" w:customStyle="1" w:styleId="70">
    <w:name w:val="Font Style86"/>
    <w:unhideWhenUsed/>
    <w:qFormat/>
    <w:uiPriority w:val="0"/>
    <w:rPr>
      <w:rFonts w:hint="eastAsia" w:ascii="黑体" w:hAnsi="黑体" w:eastAsia="黑体"/>
      <w:spacing w:val="10"/>
      <w:sz w:val="30"/>
    </w:rPr>
  </w:style>
  <w:style w:type="character" w:customStyle="1" w:styleId="71">
    <w:name w:val="Char Char15"/>
    <w:qFormat/>
    <w:uiPriority w:val="0"/>
    <w:rPr>
      <w:b/>
      <w:bCs/>
      <w:sz w:val="24"/>
      <w:szCs w:val="24"/>
    </w:rPr>
  </w:style>
  <w:style w:type="character" w:customStyle="1" w:styleId="72">
    <w:name w:val="Font Style125"/>
    <w:unhideWhenUsed/>
    <w:qFormat/>
    <w:uiPriority w:val="0"/>
    <w:rPr>
      <w:rFonts w:hint="eastAsia" w:ascii="宋体" w:hAnsi="宋体" w:eastAsia="宋体"/>
      <w:b/>
      <w:sz w:val="26"/>
    </w:rPr>
  </w:style>
  <w:style w:type="character" w:customStyle="1" w:styleId="73">
    <w:name w:val="标题 6 Char1"/>
    <w:link w:val="9"/>
    <w:qFormat/>
    <w:uiPriority w:val="0"/>
    <w:rPr>
      <w:rFonts w:ascii="Arial" w:hAnsi="Arial" w:eastAsia="黑体"/>
      <w:b/>
      <w:bCs/>
      <w:sz w:val="24"/>
      <w:szCs w:val="24"/>
      <w:lang w:val="en-US" w:eastAsia="zh-CN" w:bidi="ar-SA"/>
    </w:rPr>
  </w:style>
  <w:style w:type="character" w:customStyle="1" w:styleId="74">
    <w:name w:val="标题 5 Char"/>
    <w:qFormat/>
    <w:uiPriority w:val="0"/>
    <w:rPr>
      <w:b/>
      <w:bCs/>
      <w:kern w:val="2"/>
      <w:sz w:val="28"/>
      <w:szCs w:val="28"/>
    </w:rPr>
  </w:style>
  <w:style w:type="character" w:customStyle="1" w:styleId="75">
    <w:name w:val="Font Style126"/>
    <w:unhideWhenUsed/>
    <w:qFormat/>
    <w:uiPriority w:val="0"/>
    <w:rPr>
      <w:rFonts w:hint="eastAsia" w:ascii="宋体" w:hAnsi="宋体" w:eastAsia="宋体"/>
      <w:b/>
      <w:spacing w:val="-30"/>
      <w:sz w:val="28"/>
    </w:rPr>
  </w:style>
  <w:style w:type="character" w:customStyle="1" w:styleId="76">
    <w:name w:val="Font Style116"/>
    <w:unhideWhenUsed/>
    <w:qFormat/>
    <w:uiPriority w:val="0"/>
    <w:rPr>
      <w:rFonts w:hint="eastAsia" w:ascii="宋体" w:hAnsi="宋体" w:eastAsia="宋体"/>
      <w:spacing w:val="-20"/>
      <w:sz w:val="24"/>
    </w:rPr>
  </w:style>
  <w:style w:type="character" w:customStyle="1" w:styleId="77">
    <w:name w:val="标题 7 Char1"/>
    <w:link w:val="10"/>
    <w:qFormat/>
    <w:uiPriority w:val="0"/>
    <w:rPr>
      <w:rFonts w:eastAsia="宋体"/>
      <w:b/>
      <w:bCs/>
      <w:sz w:val="24"/>
      <w:szCs w:val="24"/>
      <w:lang w:val="en-US" w:eastAsia="zh-CN" w:bidi="ar-SA"/>
    </w:rPr>
  </w:style>
  <w:style w:type="character" w:customStyle="1" w:styleId="78">
    <w:name w:val="日期 Char1"/>
    <w:link w:val="27"/>
    <w:qFormat/>
    <w:uiPriority w:val="0"/>
    <w:rPr>
      <w:rFonts w:eastAsia="宋体"/>
      <w:kern w:val="2"/>
      <w:sz w:val="24"/>
      <w:lang w:val="en-US" w:eastAsia="zh-CN" w:bidi="ar-SA"/>
    </w:rPr>
  </w:style>
  <w:style w:type="character" w:customStyle="1" w:styleId="79">
    <w:name w:val="标题 8 Char"/>
    <w:qFormat/>
    <w:uiPriority w:val="0"/>
    <w:rPr>
      <w:rFonts w:ascii="Arial" w:hAnsi="Arial" w:eastAsia="黑体"/>
      <w:sz w:val="24"/>
      <w:szCs w:val="24"/>
    </w:rPr>
  </w:style>
  <w:style w:type="character" w:customStyle="1" w:styleId="80">
    <w:name w:val="标题 2 Char1"/>
    <w:link w:val="5"/>
    <w:qFormat/>
    <w:uiPriority w:val="0"/>
    <w:rPr>
      <w:rFonts w:ascii="Arial" w:hAnsi="Arial" w:eastAsia="宋体"/>
      <w:b/>
      <w:bCs/>
      <w:kern w:val="2"/>
      <w:sz w:val="24"/>
      <w:szCs w:val="32"/>
      <w:lang w:val="en-US" w:eastAsia="zh-CN" w:bidi="ar-SA"/>
    </w:rPr>
  </w:style>
  <w:style w:type="character" w:customStyle="1" w:styleId="81">
    <w:name w:val="批注主题 Char1"/>
    <w:link w:val="44"/>
    <w:qFormat/>
    <w:uiPriority w:val="0"/>
    <w:rPr>
      <w:rFonts w:eastAsia="宋体"/>
      <w:b/>
      <w:bCs/>
      <w:kern w:val="2"/>
      <w:sz w:val="21"/>
      <w:szCs w:val="24"/>
      <w:lang w:val="en-US" w:eastAsia="zh-CN" w:bidi="ar-SA"/>
    </w:rPr>
  </w:style>
  <w:style w:type="character" w:customStyle="1" w:styleId="82">
    <w:name w:val="标题 3 Char"/>
    <w:qFormat/>
    <w:uiPriority w:val="0"/>
    <w:rPr>
      <w:b/>
      <w:bCs/>
      <w:sz w:val="24"/>
      <w:szCs w:val="24"/>
    </w:rPr>
  </w:style>
  <w:style w:type="character" w:customStyle="1" w:styleId="83">
    <w:name w:val="标题 1 Char"/>
    <w:qFormat/>
    <w:uiPriority w:val="0"/>
    <w:rPr>
      <w:rFonts w:ascii="Cambria" w:hAnsi="Cambria"/>
      <w:b/>
      <w:bCs/>
      <w:kern w:val="32"/>
      <w:sz w:val="32"/>
      <w:szCs w:val="32"/>
    </w:rPr>
  </w:style>
  <w:style w:type="character" w:customStyle="1" w:styleId="84">
    <w:name w:val="Font Style119"/>
    <w:unhideWhenUsed/>
    <w:qFormat/>
    <w:uiPriority w:val="0"/>
    <w:rPr>
      <w:rFonts w:hint="eastAsia" w:ascii="宋体" w:hAnsi="宋体" w:eastAsia="宋体"/>
      <w:sz w:val="24"/>
    </w:rPr>
  </w:style>
  <w:style w:type="character" w:customStyle="1" w:styleId="85">
    <w:name w:val="标题 8 Char1"/>
    <w:link w:val="11"/>
    <w:qFormat/>
    <w:uiPriority w:val="0"/>
    <w:rPr>
      <w:rFonts w:ascii="Arial" w:hAnsi="Arial" w:eastAsia="黑体"/>
      <w:sz w:val="24"/>
      <w:szCs w:val="24"/>
      <w:lang w:val="en-US" w:eastAsia="zh-CN" w:bidi="ar-SA"/>
    </w:rPr>
  </w:style>
  <w:style w:type="character" w:customStyle="1" w:styleId="86">
    <w:name w:val="Font Style127"/>
    <w:unhideWhenUsed/>
    <w:qFormat/>
    <w:uiPriority w:val="0"/>
    <w:rPr>
      <w:rFonts w:hint="eastAsia" w:ascii="Times New Roman" w:hAnsi="Times New Roman" w:eastAsia="Times New Roman"/>
      <w:sz w:val="20"/>
    </w:rPr>
  </w:style>
  <w:style w:type="character" w:customStyle="1" w:styleId="87">
    <w:name w:val="标题 2 Char"/>
    <w:link w:val="5"/>
    <w:qFormat/>
    <w:uiPriority w:val="0"/>
    <w:rPr>
      <w:rFonts w:ascii="Cambria" w:hAnsi="Cambria" w:eastAsia="宋体" w:cs="Times New Roman"/>
      <w:b/>
      <w:bCs/>
      <w:kern w:val="2"/>
      <w:sz w:val="32"/>
      <w:szCs w:val="32"/>
    </w:rPr>
  </w:style>
  <w:style w:type="character" w:customStyle="1" w:styleId="88">
    <w:name w:val="polysemyred"/>
    <w:qFormat/>
    <w:uiPriority w:val="0"/>
    <w:rPr>
      <w:rFonts w:ascii="Times New Roman" w:hAnsi="Times New Roman" w:eastAsia="宋体"/>
      <w:color w:val="FF6666"/>
      <w:sz w:val="18"/>
      <w:szCs w:val="18"/>
    </w:rPr>
  </w:style>
  <w:style w:type="character" w:customStyle="1" w:styleId="89">
    <w:name w:val="标题 9 Char1"/>
    <w:link w:val="12"/>
    <w:qFormat/>
    <w:uiPriority w:val="0"/>
    <w:rPr>
      <w:rFonts w:ascii="Arial" w:hAnsi="Arial" w:eastAsia="黑体"/>
      <w:sz w:val="21"/>
      <w:szCs w:val="21"/>
      <w:lang w:val="en-US" w:eastAsia="zh-CN" w:bidi="ar-SA"/>
    </w:rPr>
  </w:style>
  <w:style w:type="character" w:customStyle="1" w:styleId="90">
    <w:name w:val="sidecatalog-index2"/>
    <w:qFormat/>
    <w:uiPriority w:val="0"/>
    <w:rPr>
      <w:rFonts w:ascii="Arail" w:hAnsi="Arail" w:eastAsia="Arail" w:cs="Arail"/>
      <w:color w:val="999999"/>
      <w:sz w:val="21"/>
      <w:szCs w:val="21"/>
    </w:rPr>
  </w:style>
  <w:style w:type="character" w:customStyle="1" w:styleId="91">
    <w:name w:val="正文文本缩进 Char"/>
    <w:link w:val="19"/>
    <w:qFormat/>
    <w:uiPriority w:val="0"/>
    <w:rPr>
      <w:rFonts w:eastAsia="宋体"/>
      <w:kern w:val="2"/>
      <w:sz w:val="21"/>
      <w:szCs w:val="24"/>
      <w:lang w:val="en-US" w:eastAsia="zh-CN" w:bidi="ar-SA"/>
    </w:rPr>
  </w:style>
  <w:style w:type="character" w:customStyle="1" w:styleId="92">
    <w:name w:val="Char Char14"/>
    <w:qFormat/>
    <w:uiPriority w:val="0"/>
    <w:rPr>
      <w:rFonts w:ascii="Arial" w:hAnsi="Arial" w:eastAsia="黑体"/>
      <w:b/>
      <w:bCs/>
      <w:sz w:val="28"/>
      <w:szCs w:val="28"/>
      <w:lang w:val="en-US" w:eastAsia="zh-CN" w:bidi="ar-SA"/>
    </w:rPr>
  </w:style>
  <w:style w:type="character" w:customStyle="1" w:styleId="93">
    <w:name w:val="lemmatitleh12"/>
    <w:qFormat/>
    <w:uiPriority w:val="0"/>
    <w:rPr>
      <w:rFonts w:ascii="Times New Roman" w:hAnsi="Times New Roman" w:eastAsia="宋体"/>
    </w:rPr>
  </w:style>
  <w:style w:type="character" w:customStyle="1" w:styleId="94">
    <w:name w:val="标题 4 Char Char"/>
    <w:qFormat/>
    <w:uiPriority w:val="0"/>
    <w:rPr>
      <w:rFonts w:ascii="Arial" w:hAnsi="Arial" w:eastAsia="宋体"/>
      <w:b/>
      <w:bCs/>
      <w:kern w:val="2"/>
      <w:sz w:val="21"/>
      <w:szCs w:val="28"/>
      <w:lang w:val="en-US" w:eastAsia="zh-CN" w:bidi="ar-SA"/>
    </w:rPr>
  </w:style>
  <w:style w:type="character" w:customStyle="1" w:styleId="95">
    <w:name w:val="sidecatalog-dot"/>
    <w:qFormat/>
    <w:uiPriority w:val="0"/>
    <w:rPr>
      <w:rFonts w:ascii="Times New Roman" w:hAnsi="Times New Roman" w:eastAsia="宋体"/>
    </w:rPr>
  </w:style>
  <w:style w:type="character" w:customStyle="1" w:styleId="96">
    <w:name w:val="Font Style122"/>
    <w:unhideWhenUsed/>
    <w:qFormat/>
    <w:uiPriority w:val="0"/>
    <w:rPr>
      <w:rFonts w:hint="eastAsia" w:ascii="宋体" w:hAnsi="宋体" w:eastAsia="宋体"/>
      <w:spacing w:val="20"/>
      <w:sz w:val="24"/>
    </w:rPr>
  </w:style>
  <w:style w:type="character" w:customStyle="1" w:styleId="97">
    <w:name w:val="plus"/>
    <w:qFormat/>
    <w:uiPriority w:val="0"/>
    <w:rPr>
      <w:rFonts w:ascii="Times New Roman" w:hAnsi="Times New Roman" w:eastAsia="宋体"/>
      <w:b/>
      <w:vanish/>
      <w:color w:val="1F8DEF"/>
      <w:sz w:val="24"/>
      <w:szCs w:val="24"/>
    </w:rPr>
  </w:style>
  <w:style w:type="character" w:customStyle="1" w:styleId="98">
    <w:name w:val="Font Style121"/>
    <w:unhideWhenUsed/>
    <w:qFormat/>
    <w:uiPriority w:val="0"/>
    <w:rPr>
      <w:rFonts w:hint="eastAsia" w:ascii="宋体" w:hAnsi="宋体" w:eastAsia="宋体"/>
      <w:spacing w:val="-10"/>
      <w:sz w:val="30"/>
    </w:rPr>
  </w:style>
  <w:style w:type="character" w:customStyle="1" w:styleId="99">
    <w:name w:val="标题 6 Char"/>
    <w:qFormat/>
    <w:uiPriority w:val="0"/>
    <w:rPr>
      <w:rFonts w:ascii="Arial" w:hAnsi="Arial" w:eastAsia="黑体"/>
      <w:b/>
      <w:bCs/>
      <w:sz w:val="24"/>
      <w:szCs w:val="24"/>
    </w:rPr>
  </w:style>
  <w:style w:type="character" w:customStyle="1" w:styleId="100">
    <w:name w:val="纯文本 Char2"/>
    <w:qFormat/>
    <w:uiPriority w:val="0"/>
    <w:rPr>
      <w:rFonts w:ascii="宋体" w:hAnsi="Courier New" w:eastAsia="宋体"/>
      <w:kern w:val="2"/>
      <w:sz w:val="21"/>
      <w:szCs w:val="21"/>
      <w:lang w:val="en-US" w:eastAsia="zh-CN" w:bidi="ar-SA"/>
    </w:rPr>
  </w:style>
  <w:style w:type="character" w:customStyle="1" w:styleId="101">
    <w:name w:val="标题 3 Char1"/>
    <w:link w:val="6"/>
    <w:qFormat/>
    <w:uiPriority w:val="0"/>
    <w:rPr>
      <w:rFonts w:eastAsia="宋体"/>
      <w:b/>
      <w:bCs/>
      <w:kern w:val="2"/>
      <w:sz w:val="32"/>
      <w:szCs w:val="32"/>
      <w:lang w:val="en-US" w:eastAsia="zh-CN" w:bidi="ar-SA"/>
    </w:rPr>
  </w:style>
  <w:style w:type="character" w:customStyle="1" w:styleId="102">
    <w:name w:val="正文文本缩进 3 Char"/>
    <w:qFormat/>
    <w:uiPriority w:val="0"/>
    <w:rPr>
      <w:rFonts w:ascii="宋体" w:hAnsi="MS Sans Serif"/>
      <w:color w:val="000000"/>
      <w:sz w:val="24"/>
    </w:rPr>
  </w:style>
  <w:style w:type="character" w:customStyle="1" w:styleId="103">
    <w:name w:val="Char Char16"/>
    <w:qFormat/>
    <w:uiPriority w:val="0"/>
    <w:rPr>
      <w:rFonts w:ascii="宋体" w:hAnsi="Times New Roman" w:eastAsia="宋体"/>
      <w:b/>
      <w:sz w:val="24"/>
      <w:lang w:val="en-US" w:eastAsia="zh-CN" w:bidi="ar-SA"/>
    </w:rPr>
  </w:style>
  <w:style w:type="character" w:customStyle="1" w:styleId="104">
    <w:name w:val="页眉 Char1"/>
    <w:link w:val="31"/>
    <w:qFormat/>
    <w:uiPriority w:val="0"/>
    <w:rPr>
      <w:rFonts w:eastAsia="宋体"/>
      <w:kern w:val="2"/>
      <w:sz w:val="18"/>
      <w:szCs w:val="18"/>
      <w:lang w:val="en-US" w:eastAsia="zh-CN" w:bidi="ar-SA"/>
    </w:rPr>
  </w:style>
  <w:style w:type="character" w:customStyle="1" w:styleId="105">
    <w:name w:val="polysemyexp"/>
    <w:qFormat/>
    <w:uiPriority w:val="0"/>
    <w:rPr>
      <w:rFonts w:ascii="Times New Roman" w:hAnsi="Times New Roman" w:eastAsia="宋体"/>
      <w:color w:val="AAAAAA"/>
      <w:sz w:val="18"/>
      <w:szCs w:val="18"/>
    </w:rPr>
  </w:style>
  <w:style w:type="character" w:customStyle="1" w:styleId="106">
    <w:name w:val="Font Style124"/>
    <w:unhideWhenUsed/>
    <w:qFormat/>
    <w:uiPriority w:val="0"/>
    <w:rPr>
      <w:rFonts w:hint="eastAsia" w:ascii="宋体" w:hAnsi="宋体" w:eastAsia="宋体"/>
      <w:spacing w:val="30"/>
      <w:sz w:val="24"/>
    </w:rPr>
  </w:style>
  <w:style w:type="character" w:customStyle="1" w:styleId="107">
    <w:name w:val="p0 Char Char"/>
    <w:qFormat/>
    <w:uiPriority w:val="0"/>
    <w:rPr>
      <w:rFonts w:eastAsia="宋体"/>
      <w:kern w:val="2"/>
      <w:sz w:val="21"/>
      <w:szCs w:val="21"/>
      <w:lang w:val="en-US" w:eastAsia="zh-CN" w:bidi="ar-SA"/>
    </w:rPr>
  </w:style>
  <w:style w:type="character" w:customStyle="1" w:styleId="108">
    <w:name w:val="标题 Char"/>
    <w:qFormat/>
    <w:uiPriority w:val="0"/>
    <w:rPr>
      <w:rFonts w:ascii="Cambria" w:hAnsi="Cambria"/>
      <w:b/>
      <w:kern w:val="2"/>
      <w:sz w:val="32"/>
      <w:szCs w:val="24"/>
    </w:rPr>
  </w:style>
  <w:style w:type="character" w:customStyle="1" w:styleId="109">
    <w:name w:val="sidecatalog-dot1"/>
    <w:qFormat/>
    <w:uiPriority w:val="0"/>
    <w:rPr>
      <w:rFonts w:ascii="Times New Roman" w:hAnsi="Times New Roman" w:eastAsia="宋体"/>
    </w:rPr>
  </w:style>
  <w:style w:type="character" w:customStyle="1" w:styleId="110">
    <w:name w:val="标题 9 Char"/>
    <w:qFormat/>
    <w:uiPriority w:val="0"/>
    <w:rPr>
      <w:rFonts w:ascii="Arial" w:hAnsi="Arial" w:eastAsia="黑体"/>
      <w:sz w:val="21"/>
      <w:szCs w:val="21"/>
    </w:rPr>
  </w:style>
  <w:style w:type="character" w:customStyle="1" w:styleId="111">
    <w:name w:val="日期 Char"/>
    <w:qFormat/>
    <w:uiPriority w:val="0"/>
    <w:rPr>
      <w:kern w:val="2"/>
      <w:sz w:val="21"/>
      <w:szCs w:val="24"/>
    </w:rPr>
  </w:style>
  <w:style w:type="character" w:customStyle="1" w:styleId="112">
    <w:name w:val="bds_more7"/>
    <w:qFormat/>
    <w:uiPriority w:val="0"/>
    <w:rPr>
      <w:rFonts w:ascii="Times New Roman" w:hAnsi="Times New Roman" w:eastAsia="宋体"/>
    </w:rPr>
  </w:style>
  <w:style w:type="character" w:customStyle="1" w:styleId="113">
    <w:name w:val="正文文本缩进 3 Char1"/>
    <w:link w:val="36"/>
    <w:qFormat/>
    <w:uiPriority w:val="0"/>
    <w:rPr>
      <w:rFonts w:eastAsia="宋体"/>
      <w:kern w:val="2"/>
      <w:sz w:val="16"/>
      <w:szCs w:val="16"/>
      <w:lang w:val="en-US" w:eastAsia="zh-CN" w:bidi="ar-SA"/>
    </w:rPr>
  </w:style>
  <w:style w:type="character" w:customStyle="1" w:styleId="114">
    <w:name w:val="sort"/>
    <w:qFormat/>
    <w:uiPriority w:val="0"/>
    <w:rPr>
      <w:rFonts w:ascii="Times New Roman" w:hAnsi="Times New Roman" w:eastAsia="宋体"/>
      <w:color w:val="FFFFFF"/>
      <w:bdr w:val="single" w:color="auto" w:sz="24" w:space="0"/>
    </w:rPr>
  </w:style>
  <w:style w:type="character" w:customStyle="1" w:styleId="115">
    <w:name w:val="Font Style123"/>
    <w:unhideWhenUsed/>
    <w:qFormat/>
    <w:uiPriority w:val="0"/>
    <w:rPr>
      <w:rFonts w:hint="eastAsia" w:ascii="宋体" w:hAnsi="宋体" w:eastAsia="宋体"/>
      <w:b/>
      <w:sz w:val="32"/>
    </w:rPr>
  </w:style>
  <w:style w:type="character" w:customStyle="1" w:styleId="116">
    <w:name w:val="标题 7 Char"/>
    <w:qFormat/>
    <w:uiPriority w:val="0"/>
    <w:rPr>
      <w:b/>
      <w:bCs/>
      <w:sz w:val="24"/>
      <w:szCs w:val="24"/>
    </w:rPr>
  </w:style>
  <w:style w:type="character" w:customStyle="1" w:styleId="117">
    <w:name w:val="Font Style94"/>
    <w:unhideWhenUsed/>
    <w:qFormat/>
    <w:uiPriority w:val="0"/>
    <w:rPr>
      <w:rFonts w:hint="eastAsia" w:ascii="Times New Roman" w:hAnsi="Times New Roman" w:eastAsia="Times New Roman"/>
      <w:sz w:val="28"/>
    </w:rPr>
  </w:style>
  <w:style w:type="character" w:customStyle="1" w:styleId="118">
    <w:name w:val="标题 4 Char"/>
    <w:qFormat/>
    <w:uiPriority w:val="0"/>
    <w:rPr>
      <w:rFonts w:ascii="Arial" w:hAnsi="Arial" w:eastAsia="宋体" w:cs="Times New Roman"/>
      <w:b/>
      <w:bCs/>
      <w:szCs w:val="28"/>
    </w:rPr>
  </w:style>
  <w:style w:type="character" w:customStyle="1" w:styleId="119">
    <w:name w:val="Font Style133"/>
    <w:unhideWhenUsed/>
    <w:qFormat/>
    <w:uiPriority w:val="0"/>
    <w:rPr>
      <w:rFonts w:hint="eastAsia" w:ascii="宋体" w:hAnsi="宋体" w:eastAsia="宋体"/>
      <w:spacing w:val="30"/>
      <w:sz w:val="24"/>
    </w:rPr>
  </w:style>
  <w:style w:type="character" w:customStyle="1" w:styleId="120">
    <w:name w:val="bds_more9"/>
    <w:qFormat/>
    <w:uiPriority w:val="0"/>
    <w:rPr>
      <w:rFonts w:ascii="Times New Roman" w:hAnsi="Times New Roman" w:eastAsia="宋体"/>
    </w:rPr>
  </w:style>
  <w:style w:type="character" w:customStyle="1" w:styleId="121">
    <w:name w:val="标题 1 Char1"/>
    <w:link w:val="4"/>
    <w:qFormat/>
    <w:uiPriority w:val="0"/>
    <w:rPr>
      <w:rFonts w:eastAsia="宋体"/>
      <w:b/>
      <w:bCs/>
      <w:kern w:val="2"/>
      <w:sz w:val="24"/>
      <w:lang w:val="en-US" w:eastAsia="zh-CN" w:bidi="ar-SA"/>
    </w:rPr>
  </w:style>
  <w:style w:type="character" w:customStyle="1" w:styleId="122">
    <w:name w:val="批注文字 Char1"/>
    <w:link w:val="16"/>
    <w:qFormat/>
    <w:uiPriority w:val="0"/>
    <w:rPr>
      <w:rFonts w:eastAsia="宋体"/>
      <w:kern w:val="2"/>
      <w:sz w:val="21"/>
      <w:szCs w:val="24"/>
      <w:lang w:val="en-US" w:eastAsia="zh-CN" w:bidi="ar-SA"/>
    </w:rPr>
  </w:style>
  <w:style w:type="character" w:customStyle="1" w:styleId="123">
    <w:name w:val="Char Char17"/>
    <w:qFormat/>
    <w:uiPriority w:val="0"/>
    <w:rPr>
      <w:rFonts w:ascii="宋体" w:hAnsi="Times New Roman" w:eastAsia="宋体"/>
      <w:b/>
      <w:sz w:val="28"/>
      <w:lang w:val="en-US" w:eastAsia="zh-CN" w:bidi="ar-SA"/>
    </w:rPr>
  </w:style>
  <w:style w:type="character" w:customStyle="1" w:styleId="124">
    <w:name w:val="morelink-item"/>
    <w:qFormat/>
    <w:uiPriority w:val="0"/>
    <w:rPr>
      <w:rFonts w:ascii="Times New Roman" w:hAnsi="Times New Roman" w:eastAsia="宋体"/>
    </w:rPr>
  </w:style>
  <w:style w:type="character" w:customStyle="1" w:styleId="125">
    <w:name w:val="Font Style128"/>
    <w:unhideWhenUsed/>
    <w:qFormat/>
    <w:uiPriority w:val="0"/>
    <w:rPr>
      <w:rFonts w:hint="eastAsia" w:ascii="Times New Roman" w:hAnsi="Times New Roman" w:eastAsia="Times New Roman"/>
      <w:sz w:val="16"/>
    </w:rPr>
  </w:style>
  <w:style w:type="character" w:customStyle="1" w:styleId="126">
    <w:name w:val="Font Style117"/>
    <w:unhideWhenUsed/>
    <w:qFormat/>
    <w:uiPriority w:val="0"/>
    <w:rPr>
      <w:rFonts w:hint="eastAsia" w:ascii="宋体" w:hAnsi="宋体" w:eastAsia="宋体"/>
      <w:spacing w:val="20"/>
      <w:sz w:val="24"/>
    </w:rPr>
  </w:style>
  <w:style w:type="character" w:customStyle="1" w:styleId="127">
    <w:name w:val="批注框文本 Char"/>
    <w:qFormat/>
    <w:uiPriority w:val="0"/>
    <w:rPr>
      <w:kern w:val="2"/>
      <w:sz w:val="18"/>
      <w:szCs w:val="18"/>
    </w:rPr>
  </w:style>
  <w:style w:type="character" w:customStyle="1" w:styleId="128">
    <w:name w:val="批注框文本 Char1"/>
    <w:link w:val="29"/>
    <w:semiHidden/>
    <w:qFormat/>
    <w:locked/>
    <w:uiPriority w:val="0"/>
    <w:rPr>
      <w:rFonts w:ascii="Calibri" w:hAnsi="Calibri" w:eastAsia="宋体"/>
      <w:kern w:val="2"/>
      <w:sz w:val="18"/>
      <w:szCs w:val="18"/>
      <w:lang w:val="en-US" w:eastAsia="zh-CN" w:bidi="ar-SA"/>
    </w:rPr>
  </w:style>
  <w:style w:type="character" w:customStyle="1" w:styleId="129">
    <w:name w:val="sort1"/>
    <w:qFormat/>
    <w:uiPriority w:val="0"/>
    <w:rPr>
      <w:rFonts w:ascii="Times New Roman" w:hAnsi="Times New Roman" w:eastAsia="宋体"/>
    </w:rPr>
  </w:style>
  <w:style w:type="character" w:customStyle="1" w:styleId="130">
    <w:name w:val="bds_more6"/>
    <w:qFormat/>
    <w:uiPriority w:val="0"/>
    <w:rPr>
      <w:rFonts w:hint="eastAsia" w:ascii="宋体" w:hAnsi="宋体" w:eastAsia="宋体" w:cs="宋体"/>
    </w:rPr>
  </w:style>
  <w:style w:type="character" w:customStyle="1" w:styleId="131">
    <w:name w:val="sidecatalog-index1"/>
    <w:qFormat/>
    <w:uiPriority w:val="0"/>
    <w:rPr>
      <w:rFonts w:ascii="Arial" w:hAnsi="Arial" w:eastAsia="宋体" w:cs="Arial"/>
      <w:b/>
      <w:color w:val="999999"/>
      <w:sz w:val="21"/>
      <w:szCs w:val="21"/>
    </w:rPr>
  </w:style>
  <w:style w:type="character" w:customStyle="1" w:styleId="132">
    <w:name w:val="p0 Char"/>
    <w:link w:val="133"/>
    <w:qFormat/>
    <w:uiPriority w:val="0"/>
    <w:rPr>
      <w:rFonts w:eastAsia="宋体"/>
      <w:sz w:val="21"/>
      <w:szCs w:val="21"/>
      <w:lang w:val="en-US" w:eastAsia="zh-CN" w:bidi="ar-SA"/>
    </w:rPr>
  </w:style>
  <w:style w:type="paragraph" w:customStyle="1" w:styleId="133">
    <w:name w:val="p0"/>
    <w:basedOn w:val="1"/>
    <w:link w:val="132"/>
    <w:qFormat/>
    <w:uiPriority w:val="0"/>
    <w:pPr>
      <w:widowControl/>
    </w:pPr>
    <w:rPr>
      <w:kern w:val="0"/>
      <w:szCs w:val="21"/>
    </w:rPr>
  </w:style>
  <w:style w:type="character" w:customStyle="1" w:styleId="134">
    <w:name w:val="Font Style104"/>
    <w:unhideWhenUsed/>
    <w:qFormat/>
    <w:uiPriority w:val="0"/>
    <w:rPr>
      <w:rFonts w:hint="eastAsia" w:ascii="宋体" w:hAnsi="宋体" w:eastAsia="宋体"/>
      <w:spacing w:val="30"/>
      <w:sz w:val="18"/>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标题 5 Char1"/>
    <w:link w:val="8"/>
    <w:qFormat/>
    <w:uiPriority w:val="0"/>
    <w:rPr>
      <w:rFonts w:eastAsia="宋体"/>
      <w:b/>
      <w:bCs/>
      <w:sz w:val="28"/>
      <w:szCs w:val="28"/>
      <w:lang w:val="en-US" w:eastAsia="zh-CN" w:bidi="ar-SA"/>
    </w:rPr>
  </w:style>
  <w:style w:type="character" w:customStyle="1" w:styleId="137">
    <w:name w:val="bds_more10"/>
    <w:qFormat/>
    <w:uiPriority w:val="0"/>
    <w:rPr>
      <w:rFonts w:ascii="Times New Roman" w:hAnsi="Times New Roman" w:eastAsia="宋体"/>
    </w:rPr>
  </w:style>
  <w:style w:type="character" w:customStyle="1" w:styleId="138">
    <w:name w:val="Font Style131"/>
    <w:unhideWhenUsed/>
    <w:qFormat/>
    <w:uiPriority w:val="0"/>
    <w:rPr>
      <w:rFonts w:hint="eastAsia" w:ascii="Times New Roman" w:hAnsi="Times New Roman" w:eastAsia="Times New Roman"/>
      <w:sz w:val="18"/>
    </w:rPr>
  </w:style>
  <w:style w:type="character" w:customStyle="1" w:styleId="139">
    <w:name w:val="批注文字 Char"/>
    <w:qFormat/>
    <w:uiPriority w:val="0"/>
    <w:rPr>
      <w:kern w:val="2"/>
      <w:sz w:val="21"/>
      <w:szCs w:val="24"/>
    </w:rPr>
  </w:style>
  <w:style w:type="character" w:customStyle="1" w:styleId="140">
    <w:name w:val="bds_more8"/>
    <w:qFormat/>
    <w:uiPriority w:val="0"/>
    <w:rPr>
      <w:rFonts w:ascii="Times New Roman" w:hAnsi="Times New Roman" w:eastAsia="宋体"/>
    </w:rPr>
  </w:style>
  <w:style w:type="character" w:customStyle="1" w:styleId="141">
    <w:name w:val="批注文字 Char Char"/>
    <w:qFormat/>
    <w:uiPriority w:val="0"/>
    <w:rPr>
      <w:kern w:val="2"/>
      <w:sz w:val="21"/>
      <w:szCs w:val="24"/>
      <w:lang w:bidi="ar-SA"/>
    </w:rPr>
  </w:style>
  <w:style w:type="character" w:customStyle="1" w:styleId="142">
    <w:name w:val="Font Style115"/>
    <w:unhideWhenUsed/>
    <w:qFormat/>
    <w:uiPriority w:val="0"/>
    <w:rPr>
      <w:rFonts w:hint="eastAsia" w:ascii="Times New Roman" w:hAnsi="Times New Roman" w:eastAsia="Times New Roman"/>
      <w:sz w:val="16"/>
    </w:rPr>
  </w:style>
  <w:style w:type="character" w:customStyle="1" w:styleId="143">
    <w:name w:val="bds_nopic"/>
    <w:qFormat/>
    <w:uiPriority w:val="0"/>
    <w:rPr>
      <w:rFonts w:ascii="Times New Roman" w:hAnsi="Times New Roman" w:eastAsia="宋体"/>
    </w:rPr>
  </w:style>
  <w:style w:type="character" w:customStyle="1" w:styleId="144">
    <w:name w:val="Font Style105"/>
    <w:unhideWhenUsed/>
    <w:qFormat/>
    <w:uiPriority w:val="0"/>
    <w:rPr>
      <w:rFonts w:hint="eastAsia" w:ascii="Times New Roman" w:hAnsi="Times New Roman" w:eastAsia="Times New Roman"/>
      <w:w w:val="60"/>
      <w:sz w:val="26"/>
    </w:rPr>
  </w:style>
  <w:style w:type="character" w:customStyle="1" w:styleId="145">
    <w:name w:val="标题 Char1"/>
    <w:qFormat/>
    <w:uiPriority w:val="0"/>
    <w:rPr>
      <w:rFonts w:ascii="Cambria" w:hAnsi="Cambria" w:eastAsia="宋体" w:cs="Times New Roman"/>
      <w:b/>
      <w:bCs/>
      <w:sz w:val="32"/>
      <w:szCs w:val="32"/>
    </w:rPr>
  </w:style>
  <w:style w:type="character" w:customStyle="1" w:styleId="146">
    <w:name w:val="纯文本 Char"/>
    <w:link w:val="25"/>
    <w:qFormat/>
    <w:locked/>
    <w:uiPriority w:val="0"/>
    <w:rPr>
      <w:rFonts w:ascii="宋体" w:hAnsi="Courier New" w:eastAsia="宋体" w:cs="Courier New"/>
      <w:kern w:val="2"/>
      <w:sz w:val="21"/>
      <w:szCs w:val="21"/>
      <w:lang w:val="en-US" w:eastAsia="zh-CN" w:bidi="ar-SA"/>
    </w:rPr>
  </w:style>
  <w:style w:type="character" w:customStyle="1" w:styleId="147">
    <w:name w:val="Font Style90"/>
    <w:unhideWhenUsed/>
    <w:qFormat/>
    <w:uiPriority w:val="0"/>
    <w:rPr>
      <w:rFonts w:hint="eastAsia" w:ascii="宋体" w:hAnsi="宋体" w:eastAsia="宋体"/>
      <w:b/>
      <w:spacing w:val="-20"/>
      <w:sz w:val="40"/>
    </w:rPr>
  </w:style>
  <w:style w:type="character" w:customStyle="1" w:styleId="148">
    <w:name w:val="Font Style134"/>
    <w:unhideWhenUsed/>
    <w:qFormat/>
    <w:uiPriority w:val="0"/>
    <w:rPr>
      <w:rFonts w:hint="eastAsia" w:ascii="宋体" w:hAnsi="宋体" w:eastAsia="宋体"/>
      <w:spacing w:val="20"/>
      <w:sz w:val="22"/>
    </w:rPr>
  </w:style>
  <w:style w:type="character" w:customStyle="1" w:styleId="149">
    <w:name w:val="Char Char6"/>
    <w:qFormat/>
    <w:uiPriority w:val="0"/>
    <w:rPr>
      <w:rFonts w:ascii="Arial" w:hAnsi="Arial" w:eastAsia="黑体"/>
      <w:sz w:val="24"/>
      <w:szCs w:val="24"/>
      <w:lang w:val="en-US" w:eastAsia="zh-CN" w:bidi="ar-SA"/>
    </w:rPr>
  </w:style>
  <w:style w:type="character" w:customStyle="1" w:styleId="150">
    <w:name w:val="标题 4 Char1"/>
    <w:link w:val="7"/>
    <w:qFormat/>
    <w:uiPriority w:val="0"/>
    <w:rPr>
      <w:rFonts w:ascii="Arial" w:hAnsi="Arial" w:eastAsia="黑体"/>
      <w:b/>
      <w:bCs/>
      <w:kern w:val="2"/>
      <w:sz w:val="28"/>
      <w:szCs w:val="28"/>
      <w:lang w:val="en-US" w:eastAsia="zh-CN" w:bidi="ar-SA"/>
    </w:rPr>
  </w:style>
  <w:style w:type="character" w:customStyle="1" w:styleId="151">
    <w:name w:val="批注主题 Char"/>
    <w:qFormat/>
    <w:uiPriority w:val="0"/>
    <w:rPr>
      <w:b/>
      <w:bCs/>
      <w:kern w:val="2"/>
      <w:sz w:val="21"/>
      <w:szCs w:val="24"/>
    </w:rPr>
  </w:style>
  <w:style w:type="character" w:customStyle="1" w:styleId="152">
    <w:name w:val="样式2 Char Char"/>
    <w:qFormat/>
    <w:uiPriority w:val="0"/>
    <w:rPr>
      <w:rFonts w:eastAsia="宋体"/>
      <w:kern w:val="2"/>
      <w:sz w:val="18"/>
      <w:szCs w:val="18"/>
      <w:lang w:val="en-US" w:eastAsia="zh-CN" w:bidi="ar-SA"/>
    </w:rPr>
  </w:style>
  <w:style w:type="character" w:customStyle="1" w:styleId="153">
    <w:name w:val="bds_nopic2"/>
    <w:qFormat/>
    <w:uiPriority w:val="0"/>
    <w:rPr>
      <w:rFonts w:ascii="Times New Roman" w:hAnsi="Times New Roman" w:eastAsia="宋体"/>
    </w:rPr>
  </w:style>
  <w:style w:type="character" w:customStyle="1" w:styleId="154">
    <w:name w:val="页脚 Char1"/>
    <w:link w:val="30"/>
    <w:qFormat/>
    <w:uiPriority w:val="0"/>
    <w:rPr>
      <w:rFonts w:eastAsia="宋体"/>
      <w:kern w:val="2"/>
      <w:sz w:val="18"/>
      <w:szCs w:val="18"/>
      <w:lang w:val="en-US" w:eastAsia="zh-CN" w:bidi="ar-SA"/>
    </w:rPr>
  </w:style>
  <w:style w:type="paragraph" w:customStyle="1" w:styleId="155">
    <w:name w:val="列出段落1"/>
    <w:basedOn w:val="1"/>
    <w:qFormat/>
    <w:uiPriority w:val="34"/>
    <w:pPr>
      <w:ind w:firstLine="420" w:firstLineChars="200"/>
    </w:pPr>
  </w:style>
  <w:style w:type="paragraph" w:customStyle="1" w:styleId="156">
    <w:name w:val="Style54"/>
    <w:basedOn w:val="1"/>
    <w:unhideWhenUsed/>
    <w:qFormat/>
    <w:uiPriority w:val="0"/>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9">
    <w:name w:val="Style50"/>
    <w:basedOn w:val="1"/>
    <w:unhideWhenUsed/>
    <w:qFormat/>
    <w:uiPriority w:val="0"/>
  </w:style>
  <w:style w:type="paragraph" w:customStyle="1" w:styleId="160">
    <w:name w:val="Char Char1 Char Char Char Char Char1 Char Char Char Char"/>
    <w:basedOn w:val="15"/>
    <w:qFormat/>
    <w:uiPriority w:val="0"/>
    <w:rPr>
      <w:rFonts w:ascii="Tahoma" w:hAnsi="Tahoma"/>
    </w:rPr>
  </w:style>
  <w:style w:type="paragraph" w:customStyle="1" w:styleId="161">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Style21"/>
    <w:basedOn w:val="1"/>
    <w:unhideWhenUsed/>
    <w:qFormat/>
    <w:uiPriority w:val="0"/>
    <w:pPr>
      <w:spacing w:line="566" w:lineRule="exact"/>
      <w:ind w:firstLine="682"/>
    </w:pPr>
  </w:style>
  <w:style w:type="paragraph" w:customStyle="1" w:styleId="163">
    <w:name w:val="Style42"/>
    <w:basedOn w:val="1"/>
    <w:unhideWhenUsed/>
    <w:qFormat/>
    <w:uiPriority w:val="0"/>
    <w:pPr>
      <w:spacing w:line="542" w:lineRule="exact"/>
      <w:ind w:firstLine="547"/>
    </w:pPr>
  </w:style>
  <w:style w:type="paragraph" w:customStyle="1" w:styleId="164">
    <w:name w:val="Style34"/>
    <w:basedOn w:val="1"/>
    <w:unhideWhenUsed/>
    <w:qFormat/>
    <w:uiPriority w:val="0"/>
    <w:pPr>
      <w:spacing w:line="375" w:lineRule="exact"/>
    </w:pPr>
  </w:style>
  <w:style w:type="paragraph" w:customStyle="1" w:styleId="165">
    <w:name w:val="Style56"/>
    <w:basedOn w:val="1"/>
    <w:unhideWhenUsed/>
    <w:qFormat/>
    <w:uiPriority w:val="0"/>
  </w:style>
  <w:style w:type="paragraph" w:customStyle="1" w:styleId="166">
    <w:name w:val="Style9"/>
    <w:basedOn w:val="1"/>
    <w:unhideWhenUsed/>
    <w:qFormat/>
    <w:uiPriority w:val="0"/>
  </w:style>
  <w:style w:type="paragraph" w:customStyle="1" w:styleId="1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8">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69">
    <w:name w:val="Style48"/>
    <w:basedOn w:val="1"/>
    <w:unhideWhenUsed/>
    <w:qFormat/>
    <w:uiPriority w:val="0"/>
    <w:pPr>
      <w:spacing w:line="542" w:lineRule="exact"/>
      <w:jc w:val="right"/>
    </w:pPr>
  </w:style>
  <w:style w:type="paragraph" w:customStyle="1" w:styleId="170">
    <w:name w:val="Char Char1 Char Char Char Char Char Char Char"/>
    <w:basedOn w:val="1"/>
    <w:qFormat/>
    <w:uiPriority w:val="0"/>
    <w:pPr>
      <w:widowControl/>
      <w:spacing w:after="160" w:line="240" w:lineRule="exact"/>
      <w:jc w:val="left"/>
    </w:pPr>
  </w:style>
  <w:style w:type="paragraph" w:customStyle="1" w:styleId="171">
    <w:name w:val="Style26"/>
    <w:basedOn w:val="1"/>
    <w:unhideWhenUsed/>
    <w:qFormat/>
    <w:uiPriority w:val="0"/>
  </w:style>
  <w:style w:type="paragraph" w:customStyle="1" w:styleId="172">
    <w:name w:val="Style62"/>
    <w:basedOn w:val="1"/>
    <w:unhideWhenUsed/>
    <w:qFormat/>
    <w:uiPriority w:val="0"/>
  </w:style>
  <w:style w:type="paragraph" w:customStyle="1" w:styleId="173">
    <w:name w:val="Style76"/>
    <w:basedOn w:val="1"/>
    <w:unhideWhenUsed/>
    <w:qFormat/>
    <w:uiPriority w:val="0"/>
  </w:style>
  <w:style w:type="paragraph" w:customStyle="1" w:styleId="174">
    <w:name w:val="Style64"/>
    <w:basedOn w:val="1"/>
    <w:unhideWhenUsed/>
    <w:qFormat/>
    <w:uiPriority w:val="0"/>
  </w:style>
  <w:style w:type="paragraph" w:customStyle="1" w:styleId="175">
    <w:name w:val="Style16"/>
    <w:basedOn w:val="1"/>
    <w:unhideWhenUsed/>
    <w:qFormat/>
    <w:uiPriority w:val="0"/>
    <w:pPr>
      <w:jc w:val="right"/>
    </w:pPr>
  </w:style>
  <w:style w:type="paragraph" w:customStyle="1" w:styleId="176">
    <w:name w:val="1"/>
    <w:basedOn w:val="1"/>
    <w:qFormat/>
    <w:uiPriority w:val="0"/>
    <w:pPr>
      <w:spacing w:afterLines="50" w:line="360" w:lineRule="auto"/>
    </w:pPr>
    <w:rPr>
      <w:rFonts w:ascii="宋体" w:hAnsi="宋体"/>
      <w:b/>
      <w:sz w:val="30"/>
      <w:szCs w:val="21"/>
    </w:rPr>
  </w:style>
  <w:style w:type="paragraph" w:customStyle="1" w:styleId="177">
    <w:name w:val="Style60"/>
    <w:basedOn w:val="1"/>
    <w:unhideWhenUsed/>
    <w:qFormat/>
    <w:uiPriority w:val="0"/>
    <w:pPr>
      <w:spacing w:line="566" w:lineRule="exact"/>
    </w:pPr>
  </w:style>
  <w:style w:type="paragraph" w:customStyle="1" w:styleId="178">
    <w:name w:val="Style71"/>
    <w:basedOn w:val="1"/>
    <w:unhideWhenUsed/>
    <w:qFormat/>
    <w:uiPriority w:val="0"/>
    <w:pPr>
      <w:spacing w:line="538" w:lineRule="exact"/>
      <w:ind w:firstLine="101"/>
    </w:pPr>
  </w:style>
  <w:style w:type="paragraph" w:customStyle="1" w:styleId="17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0">
    <w:name w:val="正文文本缩进 3 New New"/>
    <w:basedOn w:val="1"/>
    <w:qFormat/>
    <w:uiPriority w:val="0"/>
    <w:pPr>
      <w:spacing w:line="400" w:lineRule="exact"/>
      <w:ind w:left="2" w:leftChars="1"/>
    </w:pPr>
    <w:rPr>
      <w:rFonts w:ascii="宋体" w:hAnsi="宋体"/>
    </w:rPr>
  </w:style>
  <w:style w:type="paragraph" w:customStyle="1" w:styleId="18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Style11"/>
    <w:basedOn w:val="1"/>
    <w:unhideWhenUsed/>
    <w:qFormat/>
    <w:uiPriority w:val="0"/>
    <w:pPr>
      <w:spacing w:line="559" w:lineRule="exact"/>
      <w:ind w:firstLine="590"/>
    </w:pPr>
  </w:style>
  <w:style w:type="paragraph" w:customStyle="1" w:styleId="18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4">
    <w:name w:val="附录标识"/>
    <w:basedOn w:val="185"/>
    <w:qFormat/>
    <w:uiPriority w:val="0"/>
    <w:pPr>
      <w:tabs>
        <w:tab w:val="left" w:pos="360"/>
        <w:tab w:val="left" w:pos="720"/>
        <w:tab w:val="left" w:pos="6405"/>
      </w:tabs>
      <w:spacing w:after="200"/>
    </w:pPr>
    <w:rPr>
      <w:sz w:val="21"/>
    </w:rPr>
  </w:style>
  <w:style w:type="paragraph" w:customStyle="1" w:styleId="18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86">
    <w:name w:val="默认段落字体 Para Char Char Char Char Char Char Char Char Char Char Char Char Char Char Char Char Char Char Char"/>
    <w:basedOn w:val="1"/>
    <w:qFormat/>
    <w:uiPriority w:val="0"/>
  </w:style>
  <w:style w:type="paragraph" w:customStyle="1" w:styleId="18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8">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Style15"/>
    <w:basedOn w:val="1"/>
    <w:unhideWhenUsed/>
    <w:qFormat/>
    <w:uiPriority w:val="0"/>
    <w:pPr>
      <w:spacing w:line="557" w:lineRule="exact"/>
      <w:ind w:firstLine="672"/>
    </w:pPr>
  </w:style>
  <w:style w:type="paragraph" w:customStyle="1" w:styleId="190">
    <w:name w:val="Style8"/>
    <w:basedOn w:val="1"/>
    <w:unhideWhenUsed/>
    <w:qFormat/>
    <w:uiPriority w:val="0"/>
    <w:pPr>
      <w:spacing w:line="566" w:lineRule="exact"/>
      <w:jc w:val="center"/>
    </w:pPr>
  </w:style>
  <w:style w:type="paragraph" w:customStyle="1" w:styleId="191">
    <w:name w:val="Style13"/>
    <w:basedOn w:val="1"/>
    <w:unhideWhenUsed/>
    <w:qFormat/>
    <w:uiPriority w:val="0"/>
  </w:style>
  <w:style w:type="paragraph" w:customStyle="1" w:styleId="192">
    <w:name w:val="Style52"/>
    <w:basedOn w:val="1"/>
    <w:unhideWhenUsed/>
    <w:qFormat/>
    <w:uiPriority w:val="0"/>
    <w:pPr>
      <w:spacing w:line="682" w:lineRule="exact"/>
      <w:ind w:firstLine="557"/>
    </w:pPr>
  </w:style>
  <w:style w:type="paragraph" w:customStyle="1" w:styleId="193">
    <w:name w:val="Style28"/>
    <w:basedOn w:val="1"/>
    <w:unhideWhenUsed/>
    <w:qFormat/>
    <w:uiPriority w:val="0"/>
    <w:pPr>
      <w:spacing w:line="552" w:lineRule="exact"/>
      <w:ind w:firstLine="547"/>
    </w:pPr>
  </w:style>
  <w:style w:type="paragraph" w:customStyle="1" w:styleId="194">
    <w:name w:val="Style27"/>
    <w:basedOn w:val="1"/>
    <w:unhideWhenUsed/>
    <w:qFormat/>
    <w:uiPriority w:val="0"/>
  </w:style>
  <w:style w:type="paragraph" w:customStyle="1" w:styleId="195">
    <w:name w:val="Style70"/>
    <w:basedOn w:val="1"/>
    <w:unhideWhenUsed/>
    <w:qFormat/>
    <w:uiPriority w:val="0"/>
    <w:pPr>
      <w:spacing w:line="549" w:lineRule="exact"/>
      <w:ind w:firstLine="686"/>
    </w:pPr>
  </w:style>
  <w:style w:type="paragraph" w:customStyle="1" w:styleId="196">
    <w:name w:val="表格内容"/>
    <w:basedOn w:val="2"/>
    <w:qFormat/>
    <w:uiPriority w:val="0"/>
    <w:pPr>
      <w:suppressLineNumbers/>
      <w:suppressAutoHyphens/>
      <w:jc w:val="left"/>
    </w:pPr>
    <w:rPr>
      <w:rFonts w:cs="Tahoma"/>
      <w:kern w:val="0"/>
      <w:sz w:val="24"/>
    </w:rPr>
  </w:style>
  <w:style w:type="paragraph" w:customStyle="1" w:styleId="197">
    <w:name w:val="Style23"/>
    <w:basedOn w:val="1"/>
    <w:unhideWhenUsed/>
    <w:qFormat/>
    <w:uiPriority w:val="0"/>
  </w:style>
  <w:style w:type="paragraph" w:customStyle="1" w:styleId="19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1">
    <w:name w:val="Style58"/>
    <w:basedOn w:val="1"/>
    <w:unhideWhenUsed/>
    <w:qFormat/>
    <w:uiPriority w:val="0"/>
    <w:pPr>
      <w:spacing w:line="413" w:lineRule="exact"/>
    </w:pPr>
  </w:style>
  <w:style w:type="paragraph" w:customStyle="1" w:styleId="202">
    <w:name w:val="Style36"/>
    <w:basedOn w:val="1"/>
    <w:unhideWhenUsed/>
    <w:qFormat/>
    <w:uiPriority w:val="0"/>
  </w:style>
  <w:style w:type="paragraph" w:customStyle="1" w:styleId="20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4">
    <w:name w:val="Style81"/>
    <w:basedOn w:val="1"/>
    <w:unhideWhenUsed/>
    <w:qFormat/>
    <w:uiPriority w:val="0"/>
    <w:pPr>
      <w:spacing w:line="547" w:lineRule="exact"/>
    </w:pPr>
  </w:style>
  <w:style w:type="paragraph" w:customStyle="1" w:styleId="205">
    <w:name w:val="Style72"/>
    <w:basedOn w:val="1"/>
    <w:unhideWhenUsed/>
    <w:qFormat/>
    <w:uiPriority w:val="0"/>
  </w:style>
  <w:style w:type="paragraph" w:customStyle="1" w:styleId="206">
    <w:name w:val="Style4"/>
    <w:basedOn w:val="1"/>
    <w:unhideWhenUsed/>
    <w:qFormat/>
    <w:uiPriority w:val="0"/>
  </w:style>
  <w:style w:type="paragraph" w:customStyle="1" w:styleId="207">
    <w:name w:val="Style74"/>
    <w:basedOn w:val="1"/>
    <w:unhideWhenUsed/>
    <w:qFormat/>
    <w:uiPriority w:val="0"/>
    <w:pPr>
      <w:spacing w:line="437" w:lineRule="exact"/>
    </w:pPr>
  </w:style>
  <w:style w:type="paragraph" w:customStyle="1" w:styleId="208">
    <w:name w:val="Style78"/>
    <w:basedOn w:val="1"/>
    <w:unhideWhenUsed/>
    <w:qFormat/>
    <w:uiPriority w:val="0"/>
  </w:style>
  <w:style w:type="paragraph" w:customStyle="1" w:styleId="20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10">
    <w:name w:val="Style45"/>
    <w:basedOn w:val="1"/>
    <w:unhideWhenUsed/>
    <w:qFormat/>
    <w:uiPriority w:val="0"/>
  </w:style>
  <w:style w:type="paragraph" w:customStyle="1" w:styleId="211">
    <w:name w:val="Style24"/>
    <w:basedOn w:val="1"/>
    <w:unhideWhenUsed/>
    <w:qFormat/>
    <w:uiPriority w:val="0"/>
  </w:style>
  <w:style w:type="paragraph" w:customStyle="1" w:styleId="212">
    <w:name w:val="Style41"/>
    <w:basedOn w:val="1"/>
    <w:unhideWhenUsed/>
    <w:qFormat/>
    <w:uiPriority w:val="0"/>
    <w:pPr>
      <w:spacing w:line="542" w:lineRule="exact"/>
      <w:ind w:firstLine="125"/>
    </w:pPr>
  </w:style>
  <w:style w:type="paragraph" w:customStyle="1" w:styleId="213">
    <w:name w:val="Style10"/>
    <w:basedOn w:val="1"/>
    <w:unhideWhenUsed/>
    <w:qFormat/>
    <w:uiPriority w:val="0"/>
    <w:pPr>
      <w:spacing w:line="538" w:lineRule="exact"/>
    </w:pPr>
  </w:style>
  <w:style w:type="paragraph" w:customStyle="1" w:styleId="214">
    <w:name w:val="Char1 Char Char Char Char Char Char Char Char Char"/>
    <w:basedOn w:val="1"/>
    <w:qFormat/>
    <w:uiPriority w:val="0"/>
    <w:rPr>
      <w:szCs w:val="20"/>
    </w:rPr>
  </w:style>
  <w:style w:type="paragraph" w:customStyle="1" w:styleId="215">
    <w:name w:val="修订1"/>
    <w:qFormat/>
    <w:uiPriority w:val="0"/>
    <w:rPr>
      <w:rFonts w:ascii="Times New Roman" w:hAnsi="Times New Roman" w:eastAsia="宋体" w:cs="Times New Roman"/>
      <w:kern w:val="2"/>
      <w:sz w:val="21"/>
      <w:szCs w:val="24"/>
      <w:lang w:val="en-US" w:eastAsia="zh-CN" w:bidi="ar-SA"/>
    </w:rPr>
  </w:style>
  <w:style w:type="paragraph" w:customStyle="1" w:styleId="216">
    <w:name w:val="Style63"/>
    <w:basedOn w:val="1"/>
    <w:unhideWhenUsed/>
    <w:qFormat/>
    <w:uiPriority w:val="0"/>
    <w:pPr>
      <w:spacing w:line="564" w:lineRule="exact"/>
      <w:ind w:firstLine="682"/>
    </w:pPr>
  </w:style>
  <w:style w:type="paragraph" w:customStyle="1" w:styleId="21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8">
    <w:name w:val="Style77"/>
    <w:basedOn w:val="1"/>
    <w:unhideWhenUsed/>
    <w:qFormat/>
    <w:uiPriority w:val="0"/>
  </w:style>
  <w:style w:type="paragraph" w:customStyle="1" w:styleId="219">
    <w:name w:val="Char Char1 Char Char Char"/>
    <w:basedOn w:val="1"/>
    <w:qFormat/>
    <w:uiPriority w:val="0"/>
    <w:rPr>
      <w:kern w:val="0"/>
      <w:sz w:val="20"/>
      <w:szCs w:val="20"/>
    </w:rPr>
  </w:style>
  <w:style w:type="paragraph" w:customStyle="1" w:styleId="220">
    <w:name w:val="列出段落2"/>
    <w:basedOn w:val="1"/>
    <w:qFormat/>
    <w:uiPriority w:val="0"/>
    <w:pPr>
      <w:ind w:firstLine="420" w:firstLineChars="200"/>
    </w:pPr>
    <w:rPr>
      <w:rFonts w:ascii="Calibri" w:hAnsi="Calibri" w:cs="Calibri"/>
      <w:szCs w:val="21"/>
    </w:rPr>
  </w:style>
  <w:style w:type="paragraph" w:customStyle="1" w:styleId="221">
    <w:name w:val="Style59"/>
    <w:basedOn w:val="1"/>
    <w:unhideWhenUsed/>
    <w:qFormat/>
    <w:uiPriority w:val="0"/>
  </w:style>
  <w:style w:type="paragraph" w:customStyle="1" w:styleId="222">
    <w:name w:val="Style73"/>
    <w:basedOn w:val="1"/>
    <w:unhideWhenUsed/>
    <w:qFormat/>
    <w:uiPriority w:val="0"/>
    <w:pPr>
      <w:spacing w:line="538" w:lineRule="exact"/>
      <w:ind w:firstLine="533"/>
    </w:pPr>
  </w:style>
  <w:style w:type="paragraph" w:customStyle="1" w:styleId="223">
    <w:name w:val="列出段落3"/>
    <w:basedOn w:val="1"/>
    <w:qFormat/>
    <w:uiPriority w:val="34"/>
    <w:pPr>
      <w:ind w:firstLine="420" w:firstLineChars="200"/>
    </w:pPr>
    <w:rPr>
      <w:rFonts w:ascii="Calibri" w:hAnsi="Calibri"/>
      <w:szCs w:val="22"/>
    </w:rPr>
  </w:style>
  <w:style w:type="paragraph" w:customStyle="1" w:styleId="22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5">
    <w:name w:val="Style44"/>
    <w:basedOn w:val="1"/>
    <w:unhideWhenUsed/>
    <w:qFormat/>
    <w:uiPriority w:val="0"/>
  </w:style>
  <w:style w:type="paragraph" w:customStyle="1" w:styleId="226">
    <w:name w:val="Style5"/>
    <w:basedOn w:val="1"/>
    <w:unhideWhenUsed/>
    <w:qFormat/>
    <w:uiPriority w:val="0"/>
  </w:style>
  <w:style w:type="paragraph" w:customStyle="1" w:styleId="227">
    <w:name w:val="Char Char Char"/>
    <w:basedOn w:val="1"/>
    <w:qFormat/>
    <w:uiPriority w:val="0"/>
    <w:rPr>
      <w:rFonts w:ascii="宋体" w:hAnsi="宋体"/>
      <w:b/>
      <w:sz w:val="28"/>
      <w:szCs w:val="28"/>
    </w:rPr>
  </w:style>
  <w:style w:type="paragraph" w:customStyle="1" w:styleId="228">
    <w:name w:val="Style46"/>
    <w:basedOn w:val="1"/>
    <w:unhideWhenUsed/>
    <w:qFormat/>
    <w:uiPriority w:val="0"/>
    <w:pPr>
      <w:spacing w:line="672" w:lineRule="exact"/>
    </w:pPr>
  </w:style>
  <w:style w:type="paragraph" w:customStyle="1" w:styleId="229">
    <w:name w:val="Style29"/>
    <w:basedOn w:val="1"/>
    <w:unhideWhenUsed/>
    <w:qFormat/>
    <w:uiPriority w:val="0"/>
    <w:pPr>
      <w:spacing w:line="547" w:lineRule="exact"/>
      <w:ind w:firstLine="547"/>
    </w:pPr>
  </w:style>
  <w:style w:type="paragraph" w:customStyle="1" w:styleId="230">
    <w:name w:val="Char1 Char Char Char"/>
    <w:basedOn w:val="1"/>
    <w:qFormat/>
    <w:uiPriority w:val="0"/>
    <w:pPr>
      <w:widowControl/>
      <w:spacing w:after="160" w:line="240" w:lineRule="exact"/>
      <w:jc w:val="left"/>
    </w:pPr>
    <w:rPr>
      <w:kern w:val="0"/>
      <w:sz w:val="24"/>
      <w:szCs w:val="20"/>
    </w:rPr>
  </w:style>
  <w:style w:type="paragraph" w:customStyle="1" w:styleId="231">
    <w:name w:val="Style47"/>
    <w:basedOn w:val="1"/>
    <w:unhideWhenUsed/>
    <w:qFormat/>
    <w:uiPriority w:val="0"/>
  </w:style>
  <w:style w:type="paragraph" w:customStyle="1" w:styleId="232">
    <w:name w:val="Style80"/>
    <w:basedOn w:val="1"/>
    <w:unhideWhenUsed/>
    <w:qFormat/>
    <w:uiPriority w:val="0"/>
  </w:style>
  <w:style w:type="paragraph" w:customStyle="1" w:styleId="233">
    <w:name w:val="Style67"/>
    <w:basedOn w:val="1"/>
    <w:unhideWhenUsed/>
    <w:qFormat/>
    <w:uiPriority w:val="0"/>
    <w:pPr>
      <w:spacing w:line="566" w:lineRule="exact"/>
      <w:ind w:firstLine="552"/>
    </w:pPr>
  </w:style>
  <w:style w:type="paragraph" w:customStyle="1" w:styleId="234">
    <w:name w:val="Style53"/>
    <w:basedOn w:val="1"/>
    <w:unhideWhenUsed/>
    <w:qFormat/>
    <w:uiPriority w:val="0"/>
    <w:pPr>
      <w:spacing w:line="533" w:lineRule="exact"/>
      <w:ind w:firstLine="581"/>
    </w:pPr>
  </w:style>
  <w:style w:type="paragraph" w:customStyle="1" w:styleId="235">
    <w:name w:val="标题3"/>
    <w:basedOn w:val="4"/>
    <w:qFormat/>
    <w:uiPriority w:val="0"/>
    <w:pPr>
      <w:spacing w:beforeLines="50" w:afterLines="50" w:line="400" w:lineRule="exact"/>
      <w:jc w:val="both"/>
    </w:pPr>
    <w:rPr>
      <w:rFonts w:ascii="宋体" w:hAnsi="宋体"/>
      <w:kern w:val="32"/>
      <w:szCs w:val="32"/>
    </w:rPr>
  </w:style>
  <w:style w:type="paragraph" w:customStyle="1" w:styleId="236">
    <w:name w:val="1 Char Char Char Char"/>
    <w:basedOn w:val="1"/>
    <w:qFormat/>
    <w:uiPriority w:val="0"/>
  </w:style>
  <w:style w:type="paragraph" w:customStyle="1" w:styleId="237">
    <w:name w:val="Style65"/>
    <w:basedOn w:val="1"/>
    <w:unhideWhenUsed/>
    <w:qFormat/>
    <w:uiPriority w:val="0"/>
  </w:style>
  <w:style w:type="paragraph" w:customStyle="1" w:styleId="238">
    <w:name w:val="NO3"/>
    <w:basedOn w:val="1"/>
    <w:qFormat/>
    <w:uiPriority w:val="0"/>
    <w:pPr>
      <w:tabs>
        <w:tab w:val="left" w:pos="907"/>
      </w:tabs>
      <w:spacing w:line="360" w:lineRule="auto"/>
    </w:pPr>
    <w:rPr>
      <w:rFonts w:ascii="宋体" w:hAnsi="宋体"/>
      <w:sz w:val="24"/>
    </w:rPr>
  </w:style>
  <w:style w:type="paragraph" w:customStyle="1" w:styleId="239">
    <w:name w:val="_Style 39"/>
    <w:basedOn w:val="198"/>
    <w:qFormat/>
    <w:uiPriority w:val="0"/>
  </w:style>
  <w:style w:type="paragraph" w:customStyle="1" w:styleId="240">
    <w:name w:val="Char2"/>
    <w:basedOn w:val="1"/>
    <w:qFormat/>
    <w:uiPriority w:val="0"/>
    <w:pPr>
      <w:tabs>
        <w:tab w:val="left" w:pos="360"/>
      </w:tabs>
      <w:ind w:left="360" w:hanging="360" w:hangingChars="200"/>
    </w:pPr>
    <w:rPr>
      <w:sz w:val="24"/>
    </w:rPr>
  </w:style>
  <w:style w:type="paragraph" w:customStyle="1" w:styleId="241">
    <w:name w:val="p16"/>
    <w:basedOn w:val="1"/>
    <w:qFormat/>
    <w:uiPriority w:val="0"/>
    <w:pPr>
      <w:widowControl/>
      <w:jc w:val="left"/>
    </w:pPr>
    <w:rPr>
      <w:kern w:val="0"/>
      <w:szCs w:val="21"/>
    </w:rPr>
  </w:style>
  <w:style w:type="paragraph" w:customStyle="1" w:styleId="24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3">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44">
    <w:name w:val="Style69"/>
    <w:basedOn w:val="1"/>
    <w:unhideWhenUsed/>
    <w:qFormat/>
    <w:uiPriority w:val="0"/>
    <w:pPr>
      <w:spacing w:line="557" w:lineRule="exact"/>
      <w:ind w:firstLine="1666"/>
    </w:pPr>
  </w:style>
  <w:style w:type="paragraph" w:customStyle="1" w:styleId="245">
    <w:name w:val="Style12"/>
    <w:basedOn w:val="1"/>
    <w:unhideWhenUsed/>
    <w:qFormat/>
    <w:uiPriority w:val="0"/>
    <w:pPr>
      <w:spacing w:line="564" w:lineRule="exact"/>
      <w:ind w:hanging="115"/>
    </w:pPr>
  </w:style>
  <w:style w:type="paragraph" w:customStyle="1" w:styleId="246">
    <w:name w:val="Style61"/>
    <w:basedOn w:val="1"/>
    <w:unhideWhenUsed/>
    <w:qFormat/>
    <w:uiPriority w:val="0"/>
  </w:style>
  <w:style w:type="paragraph" w:customStyle="1" w:styleId="247">
    <w:name w:val="标题2"/>
    <w:basedOn w:val="43"/>
    <w:qFormat/>
    <w:uiPriority w:val="0"/>
    <w:pPr>
      <w:spacing w:after="240"/>
      <w:jc w:val="left"/>
    </w:pPr>
    <w:rPr>
      <w:sz w:val="30"/>
    </w:rPr>
  </w:style>
  <w:style w:type="paragraph" w:customStyle="1" w:styleId="248">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49">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50">
    <w:name w:val="Style68"/>
    <w:basedOn w:val="1"/>
    <w:unhideWhenUsed/>
    <w:qFormat/>
    <w:uiPriority w:val="0"/>
    <w:pPr>
      <w:spacing w:line="547" w:lineRule="exact"/>
    </w:pPr>
  </w:style>
  <w:style w:type="paragraph" w:customStyle="1" w:styleId="251">
    <w:name w:val="标题 1 +"/>
    <w:basedOn w:val="4"/>
    <w:next w:val="1"/>
    <w:qFormat/>
    <w:uiPriority w:val="0"/>
    <w:pPr>
      <w:keepLines/>
      <w:spacing w:line="600" w:lineRule="auto"/>
    </w:pPr>
    <w:rPr>
      <w:rFonts w:eastAsia="黑体"/>
      <w:kern w:val="0"/>
      <w:sz w:val="32"/>
      <w:szCs w:val="32"/>
    </w:rPr>
  </w:style>
  <w:style w:type="character" w:customStyle="1" w:styleId="252">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53">
    <w:name w:val="font112"/>
    <w:basedOn w:val="48"/>
    <w:qFormat/>
    <w:uiPriority w:val="0"/>
    <w:rPr>
      <w:rFonts w:hint="default" w:ascii="Times New Roman" w:hAnsi="Times New Roman" w:cs="Times New Roman"/>
      <w:i/>
      <w:color w:val="000000"/>
      <w:sz w:val="20"/>
      <w:szCs w:val="20"/>
      <w:u w:val="none"/>
    </w:rPr>
  </w:style>
  <w:style w:type="character" w:customStyle="1" w:styleId="254">
    <w:name w:val="font101"/>
    <w:basedOn w:val="48"/>
    <w:qFormat/>
    <w:uiPriority w:val="0"/>
    <w:rPr>
      <w:rFonts w:hint="default" w:ascii="Times New Roman" w:hAnsi="Times New Roman" w:cs="Times New Roman"/>
      <w:color w:val="000000"/>
      <w:sz w:val="20"/>
      <w:szCs w:val="20"/>
      <w:u w:val="none"/>
    </w:rPr>
  </w:style>
  <w:style w:type="character" w:customStyle="1" w:styleId="255">
    <w:name w:val="font91"/>
    <w:basedOn w:val="48"/>
    <w:qFormat/>
    <w:uiPriority w:val="0"/>
    <w:rPr>
      <w:rFonts w:hint="eastAsia" w:ascii="宋体" w:hAnsi="宋体" w:eastAsia="宋体" w:cs="宋体"/>
      <w:color w:val="000000"/>
      <w:sz w:val="20"/>
      <w:szCs w:val="20"/>
      <w:u w:val="none"/>
    </w:rPr>
  </w:style>
  <w:style w:type="character" w:customStyle="1" w:styleId="256">
    <w:name w:val="l-btn-left"/>
    <w:basedOn w:val="48"/>
    <w:qFormat/>
    <w:uiPriority w:val="0"/>
  </w:style>
  <w:style w:type="character" w:customStyle="1" w:styleId="257">
    <w:name w:val="l-btn-left1"/>
    <w:basedOn w:val="48"/>
    <w:qFormat/>
    <w:uiPriority w:val="0"/>
  </w:style>
  <w:style w:type="character" w:customStyle="1" w:styleId="258">
    <w:name w:val="l-btn-left2"/>
    <w:basedOn w:val="48"/>
    <w:qFormat/>
    <w:uiPriority w:val="0"/>
  </w:style>
  <w:style w:type="character" w:customStyle="1" w:styleId="259">
    <w:name w:val="l-btn-left3"/>
    <w:basedOn w:val="48"/>
    <w:qFormat/>
    <w:uiPriority w:val="0"/>
  </w:style>
  <w:style w:type="character" w:customStyle="1" w:styleId="260">
    <w:name w:val="l-btn-text"/>
    <w:basedOn w:val="48"/>
    <w:qFormat/>
    <w:uiPriority w:val="0"/>
    <w:rPr>
      <w:sz w:val="18"/>
      <w:szCs w:val="18"/>
      <w:vertAlign w:val="baseline"/>
    </w:rPr>
  </w:style>
  <w:style w:type="character" w:customStyle="1" w:styleId="261">
    <w:name w:val="l-btn-icon-left"/>
    <w:basedOn w:val="48"/>
    <w:qFormat/>
    <w:uiPriority w:val="0"/>
  </w:style>
  <w:style w:type="character" w:customStyle="1" w:styleId="262">
    <w:name w:val="l-btn-icon-right"/>
    <w:basedOn w:val="48"/>
    <w:qFormat/>
    <w:uiPriority w:val="0"/>
  </w:style>
  <w:style w:type="character" w:customStyle="1" w:styleId="263">
    <w:name w:val="l-btn-empty"/>
    <w:basedOn w:val="48"/>
    <w:qFormat/>
    <w:uiPriority w:val="0"/>
  </w:style>
  <w:style w:type="character" w:customStyle="1" w:styleId="264">
    <w:name w:val="resizedivclass"/>
    <w:basedOn w:val="48"/>
    <w:qFormat/>
    <w:uiPriority w:val="0"/>
  </w:style>
  <w:style w:type="character" w:customStyle="1" w:styleId="265">
    <w:name w:val="no-border"/>
    <w:basedOn w:val="48"/>
    <w:qFormat/>
    <w:uiPriority w:val="0"/>
  </w:style>
  <w:style w:type="character" w:customStyle="1" w:styleId="266">
    <w:name w:val="textlabel"/>
    <w:basedOn w:val="48"/>
    <w:qFormat/>
    <w:uiPriority w:val="0"/>
  </w:style>
  <w:style w:type="character" w:customStyle="1" w:styleId="267">
    <w:name w:val="textcontent"/>
    <w:basedOn w:val="48"/>
    <w:qFormat/>
    <w:uiPriority w:val="0"/>
  </w:style>
  <w:style w:type="character" w:customStyle="1" w:styleId="268">
    <w:name w:val="must"/>
    <w:basedOn w:val="48"/>
    <w:qFormat/>
    <w:uiPriority w:val="0"/>
    <w:rPr>
      <w:color w:val="FF0000"/>
    </w:rPr>
  </w:style>
  <w:style w:type="character" w:customStyle="1" w:styleId="269">
    <w:name w:val="tablecontent2"/>
    <w:basedOn w:val="48"/>
    <w:qFormat/>
    <w:uiPriority w:val="0"/>
    <w:rPr>
      <w:shd w:val="clear" w:color="auto" w:fill="FFFFFF"/>
    </w:rPr>
  </w:style>
  <w:style w:type="character" w:customStyle="1" w:styleId="270">
    <w:name w:val="header-ico"/>
    <w:basedOn w:val="48"/>
    <w:qFormat/>
    <w:uiPriority w:val="0"/>
    <w:rPr>
      <w:sz w:val="21"/>
      <w:szCs w:val="21"/>
    </w:rPr>
  </w:style>
  <w:style w:type="paragraph" w:customStyle="1" w:styleId="271">
    <w:name w:val="样式2"/>
    <w:basedOn w:val="1"/>
    <w:next w:val="1"/>
    <w:qFormat/>
    <w:uiPriority w:val="0"/>
  </w:style>
  <w:style w:type="paragraph" w:customStyle="1" w:styleId="272">
    <w:name w:val="WPSOffice手动目录 1"/>
    <w:qFormat/>
    <w:uiPriority w:val="0"/>
    <w:rPr>
      <w:rFonts w:ascii="Times New Roman" w:hAnsi="Times New Roman" w:eastAsia="宋体" w:cs="Times New Roman"/>
      <w:lang w:val="en-US" w:eastAsia="zh-CN" w:bidi="ar-SA"/>
    </w:rPr>
  </w:style>
  <w:style w:type="paragraph" w:customStyle="1" w:styleId="273">
    <w:name w:val="WPSOffice手动目录 2"/>
    <w:qFormat/>
    <w:uiPriority w:val="0"/>
    <w:pPr>
      <w:ind w:left="200" w:leftChars="200"/>
    </w:pPr>
    <w:rPr>
      <w:rFonts w:ascii="Calibri" w:hAnsi="Calibri" w:eastAsia="宋体" w:cs="Times New Roman"/>
      <w:lang w:val="en-US" w:eastAsia="zh-CN" w:bidi="ar-SA"/>
    </w:rPr>
  </w:style>
  <w:style w:type="character" w:customStyle="1" w:styleId="274">
    <w:name w:val="wx-space"/>
    <w:basedOn w:val="48"/>
    <w:qFormat/>
    <w:uiPriority w:val="0"/>
  </w:style>
  <w:style w:type="character" w:customStyle="1" w:styleId="275">
    <w:name w:val="wx-space1"/>
    <w:basedOn w:val="48"/>
    <w:qFormat/>
    <w:uiPriority w:val="0"/>
  </w:style>
  <w:style w:type="character" w:customStyle="1" w:styleId="276">
    <w:name w:val="hover6"/>
    <w:basedOn w:val="48"/>
    <w:qFormat/>
    <w:uiPriority w:val="0"/>
    <w:rPr>
      <w:color w:val="000000"/>
      <w:shd w:val="clear" w:color="auto" w:fill="FFFFFF"/>
    </w:rPr>
  </w:style>
  <w:style w:type="character" w:customStyle="1" w:styleId="277">
    <w:name w:val="hover5"/>
    <w:basedOn w:val="48"/>
    <w:qFormat/>
    <w:uiPriority w:val="0"/>
    <w:rPr>
      <w:color w:val="000000"/>
      <w:shd w:val="clear" w:color="auto" w:fill="FFFFFF"/>
    </w:rPr>
  </w:style>
  <w:style w:type="character" w:customStyle="1" w:styleId="278">
    <w:name w:val="15"/>
    <w:basedOn w:val="48"/>
    <w:qFormat/>
    <w:uiPriority w:val="0"/>
    <w:rPr>
      <w:rFonts w:hint="default" w:ascii="Times New Roman" w:hAnsi="Times New Roman" w:cs="Times New Roman"/>
      <w:color w:val="0563C1"/>
      <w:sz w:val="20"/>
      <w:szCs w:val="20"/>
      <w:u w:val="single"/>
    </w:rPr>
  </w:style>
  <w:style w:type="paragraph" w:customStyle="1" w:styleId="279">
    <w:name w:val="Normal_0"/>
    <w:qFormat/>
    <w:uiPriority w:val="0"/>
    <w:rPr>
      <w:rFonts w:ascii="Times New Roman" w:hAnsi="Times New Roman" w:eastAsia="Times New Roman" w:cs="Times New Roman"/>
      <w:sz w:val="24"/>
      <w:szCs w:val="24"/>
      <w:lang w:val="en-US" w:eastAsia="zh-CN" w:bidi="ar-SA"/>
    </w:rPr>
  </w:style>
  <w:style w:type="paragraph" w:customStyle="1" w:styleId="280">
    <w:name w:val="首行缩进"/>
    <w:basedOn w:val="1"/>
    <w:qFormat/>
    <w:uiPriority w:val="0"/>
    <w:pPr>
      <w:ind w:firstLine="720"/>
      <w:jc w:val="left"/>
    </w:pPr>
    <w:rPr>
      <w:sz w:val="24"/>
    </w:rPr>
  </w:style>
  <w:style w:type="table" w:customStyle="1" w:styleId="281">
    <w:name w:val="Table Normal"/>
    <w:unhideWhenUsed/>
    <w:qFormat/>
    <w:uiPriority w:val="0"/>
    <w:tblPr>
      <w:tblLayout w:type="fixed"/>
      <w:tblCellMar>
        <w:top w:w="0" w:type="dxa"/>
        <w:left w:w="0" w:type="dxa"/>
        <w:bottom w:w="0" w:type="dxa"/>
        <w:right w:w="0" w:type="dxa"/>
      </w:tblCellMar>
    </w:tblPr>
  </w:style>
  <w:style w:type="paragraph" w:customStyle="1" w:styleId="28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image" Target="media/image2.wmf"/><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customShpInfo spid="_x0000_s4098"/>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26035</Words>
  <Characters>27671</Characters>
  <Lines>37</Lines>
  <Paragraphs>60</Paragraphs>
  <TotalTime>4</TotalTime>
  <ScaleCrop>false</ScaleCrop>
  <LinksUpToDate>false</LinksUpToDate>
  <CharactersWithSpaces>28285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2019-02-22T03:27:00Z</dcterms:created>
  <dc:creator>admin</dc:creator>
  <cp:lastModifiedBy>Administrator</cp:lastModifiedBy>
  <cp:lastPrinted>2025-01-10T07:18:00Z</cp:lastPrinted>
  <dcterms:modified xsi:type="dcterms:W3CDTF">2025-10-20T09:29:05Z</dcterms:modified>
  <dc:title>附件十一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1113367568284EF9B467F6EA6AD197E1</vt:lpwstr>
  </property>
  <property fmtid="{D5CDD505-2E9C-101B-9397-08002B2CF9AE}" pid="4" name="commondata">
    <vt:lpwstr>eyJoZGlkIjoiMDgyMjU5MzI3NTdlNGRjZmJmYjYzNjg5YjEyN2Y0NzIifQ==</vt:lpwstr>
  </property>
</Properties>
</file>