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3BC0">
      <w:pPr>
        <w:adjustRightInd w:val="0"/>
        <w:snapToGrid w:val="0"/>
        <w:spacing w:after="240" w:afterLines="100" w:line="300" w:lineRule="auto"/>
        <w:jc w:val="left"/>
        <w:outlineLvl w:val="0"/>
        <w:rPr>
          <w:rFonts w:ascii="宋体" w:hAnsi="宋体"/>
          <w:b/>
          <w:color w:val="auto"/>
          <w:sz w:val="30"/>
          <w:szCs w:val="30"/>
          <w:highlight w:val="none"/>
        </w:rPr>
      </w:pPr>
      <w:bookmarkStart w:id="0" w:name="_Toc524515671"/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 xml:space="preserve">   </w:t>
      </w:r>
      <w:bookmarkEnd w:id="0"/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合同格式</w:t>
      </w:r>
    </w:p>
    <w:p w14:paraId="7E263FF4">
      <w:pPr>
        <w:pStyle w:val="13"/>
        <w:spacing w:before="100" w:beforeAutospacing="1" w:after="100" w:afterAutospacing="1"/>
        <w:ind w:right="423"/>
        <w:jc w:val="right"/>
        <w:rPr>
          <w:rFonts w:hAnsi="宋体"/>
          <w:color w:val="auto"/>
          <w:highlight w:val="none"/>
        </w:rPr>
      </w:pPr>
      <w:r>
        <w:rPr>
          <w:rFonts w:hint="eastAsia" w:ascii="仿宋_GB2312" w:eastAsia="仿宋_GB2312" w:cs="仿宋_GB2312"/>
          <w:color w:val="auto"/>
          <w:sz w:val="24"/>
          <w:szCs w:val="24"/>
          <w:highlight w:val="none"/>
        </w:rPr>
        <w:t>合同编号：</w:t>
      </w:r>
      <w:r>
        <w:rPr>
          <w:rFonts w:hint="eastAsia"/>
          <w:color w:val="auto"/>
          <w:highlight w:val="none"/>
        </w:rPr>
        <w:t>JDZC</w:t>
      </w:r>
      <w:r>
        <w:rPr>
          <w:rFonts w:hint="eastAsia"/>
          <w:color w:val="auto"/>
          <w:highlight w:val="none"/>
          <w:lang w:val="en-US" w:eastAsia="zh-CN"/>
        </w:rPr>
        <w:t>JJ</w:t>
      </w:r>
      <w:r>
        <w:rPr>
          <w:rFonts w:hint="eastAsia"/>
          <w:color w:val="auto"/>
          <w:highlight w:val="none"/>
        </w:rPr>
        <w:t>-202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</w:rPr>
        <w:t>-XXX</w:t>
      </w:r>
    </w:p>
    <w:p w14:paraId="4D09B989">
      <w:pPr>
        <w:jc w:val="center"/>
        <w:rPr>
          <w:rFonts w:ascii="宋体"/>
          <w:b/>
          <w:bCs/>
          <w:color w:val="auto"/>
          <w:sz w:val="52"/>
          <w:szCs w:val="52"/>
          <w:highlight w:val="none"/>
        </w:rPr>
      </w:pPr>
    </w:p>
    <w:p w14:paraId="582914BF">
      <w:pPr>
        <w:jc w:val="center"/>
        <w:rPr>
          <w:rFonts w:asciiTheme="minorEastAsia" w:hAnsiTheme="minorEastAsia" w:eastAsiaTheme="minorEastAsia"/>
          <w:b/>
          <w:color w:val="auto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</w:rPr>
        <w:t>广东机电职业技术学院钟落潭校区</w:t>
      </w:r>
    </w:p>
    <w:p w14:paraId="46FFD0F7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学生活动中</w:t>
      </w: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  <w:lang w:val="en-US" w:eastAsia="zh-CN"/>
        </w:rPr>
        <w:t>心、</w:t>
      </w: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教学实训楼S-3项目</w:t>
      </w:r>
    </w:p>
    <w:p w14:paraId="6EC758B4">
      <w:pPr>
        <w:jc w:val="center"/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</w:rPr>
        <w:t>白蚁预防合同</w:t>
      </w:r>
    </w:p>
    <w:p w14:paraId="2F96F00D">
      <w:pPr>
        <w:spacing w:line="600" w:lineRule="exact"/>
        <w:jc w:val="right"/>
        <w:rPr>
          <w:rFonts w:asciiTheme="minorEastAsia" w:hAnsiTheme="minorEastAsia" w:eastAsiaTheme="minorEastAsia"/>
          <w:color w:val="auto"/>
          <w:highlight w:val="none"/>
        </w:rPr>
      </w:pPr>
    </w:p>
    <w:p w14:paraId="08F6D82F">
      <w:pPr>
        <w:spacing w:line="600" w:lineRule="exact"/>
        <w:jc w:val="right"/>
        <w:rPr>
          <w:rFonts w:asciiTheme="minorEastAsia" w:hAnsiTheme="minorEastAsia" w:eastAsiaTheme="minorEastAsia"/>
          <w:color w:val="auto"/>
          <w:highlight w:val="none"/>
        </w:rPr>
      </w:pPr>
    </w:p>
    <w:p w14:paraId="0B5BA608">
      <w:pPr>
        <w:spacing w:line="600" w:lineRule="exact"/>
        <w:jc w:val="right"/>
        <w:rPr>
          <w:rFonts w:asciiTheme="minorEastAsia" w:hAnsiTheme="minorEastAsia" w:eastAsiaTheme="minorEastAsia"/>
          <w:color w:val="auto"/>
          <w:highlight w:val="none"/>
        </w:rPr>
      </w:pPr>
    </w:p>
    <w:p w14:paraId="73F34037">
      <w:pPr>
        <w:spacing w:line="600" w:lineRule="exact"/>
        <w:jc w:val="right"/>
        <w:rPr>
          <w:rFonts w:asciiTheme="minorEastAsia" w:hAnsiTheme="minorEastAsia" w:eastAsiaTheme="minorEastAsia"/>
          <w:color w:val="auto"/>
          <w:highlight w:val="none"/>
        </w:rPr>
      </w:pPr>
    </w:p>
    <w:p w14:paraId="6EBB5802">
      <w:pPr>
        <w:spacing w:line="600" w:lineRule="exact"/>
        <w:jc w:val="right"/>
        <w:rPr>
          <w:rFonts w:asciiTheme="minorEastAsia" w:hAnsiTheme="minorEastAsia" w:eastAsiaTheme="minorEastAsia"/>
          <w:color w:val="auto"/>
          <w:highlight w:val="none"/>
        </w:rPr>
      </w:pPr>
    </w:p>
    <w:p w14:paraId="6A1A1C12">
      <w:pPr>
        <w:spacing w:line="600" w:lineRule="exact"/>
        <w:rPr>
          <w:rFonts w:asciiTheme="minorEastAsia" w:hAnsiTheme="minorEastAsia" w:eastAsiaTheme="minorEastAsia"/>
          <w:color w:val="auto"/>
          <w:highlight w:val="none"/>
        </w:rPr>
      </w:pPr>
    </w:p>
    <w:p w14:paraId="2A6A6A9B">
      <w:pPr>
        <w:spacing w:line="600" w:lineRule="exact"/>
        <w:rPr>
          <w:rFonts w:asciiTheme="minorEastAsia" w:hAnsiTheme="minorEastAsia" w:eastAsiaTheme="minorEastAsia"/>
          <w:color w:val="auto"/>
          <w:highlight w:val="none"/>
        </w:rPr>
      </w:pPr>
    </w:p>
    <w:p w14:paraId="75BD1D89">
      <w:pPr>
        <w:spacing w:line="600" w:lineRule="exact"/>
        <w:jc w:val="right"/>
        <w:rPr>
          <w:rFonts w:asciiTheme="minorEastAsia" w:hAnsiTheme="minorEastAsia" w:eastAsiaTheme="minorEastAsia"/>
          <w:color w:val="auto"/>
          <w:highlight w:val="none"/>
        </w:rPr>
      </w:pPr>
    </w:p>
    <w:p w14:paraId="1FCC2724">
      <w:pPr>
        <w:spacing w:line="600" w:lineRule="exact"/>
        <w:jc w:val="right"/>
        <w:rPr>
          <w:rFonts w:asciiTheme="minorEastAsia" w:hAnsiTheme="minorEastAsia" w:eastAsiaTheme="minorEastAsia"/>
          <w:color w:val="auto"/>
          <w:highlight w:val="none"/>
        </w:rPr>
      </w:pPr>
    </w:p>
    <w:p w14:paraId="63170797">
      <w:pPr>
        <w:spacing w:line="600" w:lineRule="exact"/>
        <w:jc w:val="right"/>
        <w:rPr>
          <w:rFonts w:asciiTheme="minorEastAsia" w:hAnsiTheme="minorEastAsia" w:eastAsiaTheme="minorEastAsia"/>
          <w:color w:val="auto"/>
          <w:highlight w:val="none"/>
        </w:rPr>
      </w:pPr>
    </w:p>
    <w:p w14:paraId="6EAF5963">
      <w:pPr>
        <w:spacing w:line="600" w:lineRule="exact"/>
        <w:jc w:val="right"/>
        <w:rPr>
          <w:rFonts w:asciiTheme="minorEastAsia" w:hAnsiTheme="minorEastAsia" w:eastAsiaTheme="minorEastAsia"/>
          <w:color w:val="auto"/>
          <w:highlight w:val="none"/>
        </w:rPr>
      </w:pPr>
    </w:p>
    <w:p w14:paraId="6FACE800">
      <w:pPr>
        <w:spacing w:line="600" w:lineRule="exact"/>
        <w:jc w:val="right"/>
        <w:rPr>
          <w:rFonts w:asciiTheme="minorEastAsia" w:hAnsiTheme="minorEastAsia" w:eastAsiaTheme="minorEastAsia"/>
          <w:color w:val="auto"/>
          <w:highlight w:val="none"/>
        </w:rPr>
      </w:pPr>
    </w:p>
    <w:p w14:paraId="27575034">
      <w:pPr>
        <w:spacing w:line="600" w:lineRule="exact"/>
        <w:jc w:val="center"/>
        <w:rPr>
          <w:rFonts w:asciiTheme="minorEastAsia" w:hAnsiTheme="minorEastAsia" w:eastAsiaTheme="minorEastAsia"/>
          <w:b/>
          <w:bCs/>
          <w:color w:val="auto"/>
          <w:sz w:val="24"/>
          <w:highlight w:val="none"/>
        </w:rPr>
      </w:pPr>
      <w:r>
        <w:rPr>
          <w:rFonts w:hint="eastAsia" w:cs="仿宋_GB2312" w:asciiTheme="minorEastAsia" w:hAnsiTheme="minorEastAsia" w:eastAsiaTheme="minorEastAsia"/>
          <w:b/>
          <w:bCs/>
          <w:color w:val="auto"/>
          <w:sz w:val="24"/>
          <w:highlight w:val="none"/>
        </w:rPr>
        <w:t>广州市住房和城乡建设委员会监制</w:t>
      </w:r>
    </w:p>
    <w:p w14:paraId="084C1F5C">
      <w:pPr>
        <w:spacing w:line="660" w:lineRule="exact"/>
        <w:jc w:val="center"/>
        <w:rPr>
          <w:rFonts w:cs="仿宋_GB2312" w:asciiTheme="minorEastAsia" w:hAnsiTheme="minorEastAsia" w:eastAsiaTheme="minorEastAsia"/>
          <w:b/>
          <w:bCs/>
          <w:color w:val="auto"/>
          <w:sz w:val="24"/>
          <w:highlight w:val="none"/>
        </w:rPr>
      </w:pPr>
    </w:p>
    <w:p w14:paraId="7751E8F5">
      <w:pPr>
        <w:pStyle w:val="2"/>
        <w:rPr>
          <w:rFonts w:asciiTheme="minorEastAsia" w:hAnsiTheme="minorEastAsia" w:eastAsiaTheme="minorEastAsia"/>
          <w:color w:val="auto"/>
          <w:highlight w:val="none"/>
        </w:rPr>
      </w:pPr>
    </w:p>
    <w:p w14:paraId="51974BED">
      <w:pPr>
        <w:pStyle w:val="2"/>
        <w:rPr>
          <w:rFonts w:asciiTheme="minorEastAsia" w:hAnsiTheme="minorEastAsia" w:eastAsiaTheme="minorEastAsia"/>
          <w:color w:val="auto"/>
          <w:highlight w:val="none"/>
        </w:rPr>
      </w:pPr>
    </w:p>
    <w:p w14:paraId="5229CACA">
      <w:pPr>
        <w:pStyle w:val="2"/>
        <w:rPr>
          <w:rFonts w:asciiTheme="minorEastAsia" w:hAnsiTheme="minorEastAsia" w:eastAsiaTheme="minorEastAsia"/>
          <w:color w:val="auto"/>
          <w:highlight w:val="none"/>
        </w:rPr>
      </w:pPr>
    </w:p>
    <w:p w14:paraId="5C126320">
      <w:pPr>
        <w:pStyle w:val="2"/>
        <w:rPr>
          <w:rFonts w:asciiTheme="minorEastAsia" w:hAnsiTheme="minorEastAsia" w:eastAsiaTheme="minorEastAsia"/>
          <w:color w:val="auto"/>
          <w:highlight w:val="none"/>
        </w:rPr>
      </w:pPr>
    </w:p>
    <w:p w14:paraId="401E1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第一章  总 则</w:t>
      </w:r>
    </w:p>
    <w:p w14:paraId="4DE09FDE">
      <w:pPr>
        <w:keepNext w:val="0"/>
        <w:keepLines w:val="0"/>
        <w:pageBreakBefore w:val="0"/>
        <w:widowControl w:val="0"/>
        <w:tabs>
          <w:tab w:val="center" w:pos="53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第一条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合同当事人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ab/>
      </w:r>
    </w:p>
    <w:p w14:paraId="6B3C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甲方（建设单位）：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none"/>
        </w:rPr>
        <w:t xml:space="preserve">广东机电职业技术学院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</w:rPr>
        <w:t xml:space="preserve">              </w:t>
      </w:r>
    </w:p>
    <w:p w14:paraId="6A3A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乙方（白蚁防治单位）：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</w:rPr>
        <w:t xml:space="preserve">                              </w:t>
      </w:r>
    </w:p>
    <w:p w14:paraId="1CA90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根据有关法律、法规，在自愿、平等、协商一致的基础上，甲方委托乙方对</w:t>
      </w:r>
    </w:p>
    <w:p w14:paraId="0E77C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</w:rPr>
        <w:t>广东机电职业技术学院钟落潭校区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学生活动中心、教学实训楼S-3项目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进行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白蚁防治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，订立本合同。</w:t>
      </w:r>
    </w:p>
    <w:p w14:paraId="6E170C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工程概况 </w:t>
      </w:r>
    </w:p>
    <w:p w14:paraId="2E450F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工程名称： 广东机电职业技术学院钟落潭校区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学生活动中心项目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白蚁预防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;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工程批准、备案文号：广东省投资项目代码：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2412-440111-05-01-195031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。</w:t>
      </w:r>
    </w:p>
    <w:p w14:paraId="6A9D4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建筑单体面积：学生活动中心地上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层，建筑面积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约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7584㎡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，高度约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23.4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米。</w:t>
      </w:r>
    </w:p>
    <w:p w14:paraId="73074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周边道路、广场、绿化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区域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面积：约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4800㎡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。</w:t>
      </w:r>
    </w:p>
    <w:p w14:paraId="523A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、工程地点：广州市白云区钟落潭镇马沥村广东机电职业技术学院内</w:t>
      </w:r>
    </w:p>
    <w:p w14:paraId="0F342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、层数：地上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层、地下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层；</w:t>
      </w:r>
    </w:p>
    <w:p w14:paraId="776F9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、承包范围：新建房屋及周边道路、广场、绿化区域白蚁预防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。</w:t>
      </w:r>
    </w:p>
    <w:p w14:paraId="56C7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、工期：本工程自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 xml:space="preserve">  2026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 xml:space="preserve"> 7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日开工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暂定)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，于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 xml:space="preserve">  2027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 xml:space="preserve"> 5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日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竣工。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具体工程配合土建工程进度）</w:t>
      </w:r>
    </w:p>
    <w:p w14:paraId="3389C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、工程保治期：从工程竣工之日起  15  年。</w:t>
      </w:r>
    </w:p>
    <w:p w14:paraId="7A0EA8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工程名称： 广东机电职业技术学院钟落潭校区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教学实训楼S-3项目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白蚁预防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;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工程批准、备案文号：广东省投资项目代码：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2412-440111-05-01-955848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。</w:t>
      </w:r>
    </w:p>
    <w:p w14:paraId="31017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建筑单体面积：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总建筑面积约16263.20㎡，地上面积约12743.2㎡，总高度暂定32.5米,地下室建筑面积约3520平方米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。</w:t>
      </w:r>
    </w:p>
    <w:p w14:paraId="4A099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周边道路、广场、绿化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区域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面积：约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12000㎡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。</w:t>
      </w:r>
    </w:p>
    <w:p w14:paraId="68C1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、工程地点：广州市白云区钟落潭镇马沥村广东机电职业技术学院内</w:t>
      </w:r>
    </w:p>
    <w:p w14:paraId="273E0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、层数：地上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层、地下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层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幢数：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 ；</w:t>
      </w:r>
    </w:p>
    <w:p w14:paraId="6F4EA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、承包范围：新建房屋及周边道路、广场、绿化区域白蚁预防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。</w:t>
      </w:r>
    </w:p>
    <w:p w14:paraId="01D52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、工期：本工程自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日开工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于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2027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日竣工。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暂定，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具体工程配合土建工程进度）</w:t>
      </w:r>
    </w:p>
    <w:p w14:paraId="18FF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、工程保治期：从工程竣工之日起15年。</w:t>
      </w:r>
    </w:p>
    <w:p w14:paraId="2E8D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第三条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施工技术方案（另附，与本合同具同等法律效率）</w:t>
      </w:r>
    </w:p>
    <w:p w14:paraId="40D53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第四条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合同价款：</w:t>
      </w:r>
    </w:p>
    <w:p w14:paraId="42C27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根据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投标报价结果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本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白蚁防治工程总费用为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（总价包干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lang w:eastAsia="zh-CN"/>
        </w:rPr>
        <w:t>，合同价即为结算价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：人民币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万  仟  佰  拾 元 角 分整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（￥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   元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）。</w:t>
      </w:r>
    </w:p>
    <w:p w14:paraId="60C5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</w:rPr>
        <w:t>广东机电职业技术学院钟落潭校区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学生活动中心、教学实训楼S-3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项目</w:t>
      </w:r>
    </w:p>
    <w:p w14:paraId="1DF3A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</w:rPr>
        <w:t>白蚁预防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费用汇总表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905"/>
        <w:gridCol w:w="2257"/>
        <w:gridCol w:w="1597"/>
        <w:gridCol w:w="1597"/>
      </w:tblGrid>
      <w:tr w14:paraId="164A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7B059D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  <w:vAlign w:val="center"/>
          </w:tcPr>
          <w:p w14:paraId="6218D5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257" w:type="dxa"/>
            <w:vAlign w:val="center"/>
          </w:tcPr>
          <w:p w14:paraId="300D3D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数量</w:t>
            </w:r>
          </w:p>
          <w:p w14:paraId="3D1542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597" w:type="dxa"/>
            <w:vAlign w:val="center"/>
          </w:tcPr>
          <w:p w14:paraId="7D815F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综合单价</w:t>
            </w:r>
          </w:p>
          <w:p w14:paraId="40802B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（元/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597" w:type="dxa"/>
            <w:vAlign w:val="center"/>
          </w:tcPr>
          <w:p w14:paraId="7AE8C9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总价</w:t>
            </w:r>
          </w:p>
          <w:p w14:paraId="07D028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（元）</w:t>
            </w:r>
          </w:p>
        </w:tc>
      </w:tr>
      <w:tr w14:paraId="5C96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1B512E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一</w:t>
            </w:r>
          </w:p>
        </w:tc>
        <w:tc>
          <w:tcPr>
            <w:tcW w:w="1905" w:type="dxa"/>
            <w:vAlign w:val="center"/>
          </w:tcPr>
          <w:p w14:paraId="65B9B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学生活动中心</w:t>
            </w:r>
          </w:p>
        </w:tc>
        <w:tc>
          <w:tcPr>
            <w:tcW w:w="2257" w:type="dxa"/>
            <w:vAlign w:val="center"/>
          </w:tcPr>
          <w:p w14:paraId="5BF7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 w14:paraId="769564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 w14:paraId="3951F4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1590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31558D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vAlign w:val="center"/>
          </w:tcPr>
          <w:p w14:paraId="0805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学生活动中心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房屋</w:t>
            </w:r>
          </w:p>
        </w:tc>
        <w:tc>
          <w:tcPr>
            <w:tcW w:w="2257" w:type="dxa"/>
            <w:vAlign w:val="center"/>
          </w:tcPr>
          <w:p w14:paraId="12BB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7584</w:t>
            </w:r>
          </w:p>
        </w:tc>
        <w:tc>
          <w:tcPr>
            <w:tcW w:w="1597" w:type="dxa"/>
            <w:vAlign w:val="center"/>
          </w:tcPr>
          <w:p w14:paraId="242058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 w14:paraId="420EFC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00C0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5A2F05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05" w:type="dxa"/>
            <w:vAlign w:val="center"/>
          </w:tcPr>
          <w:p w14:paraId="1F77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学生活动中心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周边道路、广场、绿化区域</w:t>
            </w:r>
          </w:p>
        </w:tc>
        <w:tc>
          <w:tcPr>
            <w:tcW w:w="2257" w:type="dxa"/>
            <w:vAlign w:val="center"/>
          </w:tcPr>
          <w:p w14:paraId="28C5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4800</w:t>
            </w:r>
          </w:p>
        </w:tc>
        <w:tc>
          <w:tcPr>
            <w:tcW w:w="1597" w:type="dxa"/>
            <w:vAlign w:val="center"/>
          </w:tcPr>
          <w:p w14:paraId="2BA19C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 w14:paraId="781393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635C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shd w:val="clear" w:color="auto" w:fill="auto"/>
            <w:vAlign w:val="center"/>
          </w:tcPr>
          <w:p w14:paraId="7CEB90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06CA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小计（1+2）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2D19F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53DBCC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006C69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718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shd w:val="clear" w:color="auto" w:fill="auto"/>
            <w:vAlign w:val="center"/>
          </w:tcPr>
          <w:p w14:paraId="57D190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3B9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教学实训楼S-3项目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6C3D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24E037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4CEA05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28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55A366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08FE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教学实训楼S-3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-地下人防工程</w:t>
            </w:r>
          </w:p>
        </w:tc>
        <w:tc>
          <w:tcPr>
            <w:tcW w:w="2257" w:type="dxa"/>
            <w:shd w:val="clear" w:color="auto" w:fill="auto"/>
            <w:vAlign w:val="top"/>
          </w:tcPr>
          <w:p w14:paraId="5862B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3520.00</w:t>
            </w:r>
          </w:p>
        </w:tc>
        <w:tc>
          <w:tcPr>
            <w:tcW w:w="1597" w:type="dxa"/>
            <w:vAlign w:val="center"/>
          </w:tcPr>
          <w:p w14:paraId="0845F4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 w14:paraId="1822E1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4BC4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145769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616F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教学实训楼S-3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-地上建筑物</w:t>
            </w:r>
          </w:p>
        </w:tc>
        <w:tc>
          <w:tcPr>
            <w:tcW w:w="2257" w:type="dxa"/>
            <w:shd w:val="clear" w:color="auto" w:fill="auto"/>
            <w:vAlign w:val="top"/>
          </w:tcPr>
          <w:p w14:paraId="4F2E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12743.20</w:t>
            </w:r>
          </w:p>
        </w:tc>
        <w:tc>
          <w:tcPr>
            <w:tcW w:w="1597" w:type="dxa"/>
            <w:vAlign w:val="center"/>
          </w:tcPr>
          <w:p w14:paraId="70EA71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 w14:paraId="267C2D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1772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5F1A93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860A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教学实训楼S-3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周边道路、广场、绿化区域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65CF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12000.00</w:t>
            </w:r>
          </w:p>
        </w:tc>
        <w:tc>
          <w:tcPr>
            <w:tcW w:w="1597" w:type="dxa"/>
            <w:vAlign w:val="center"/>
          </w:tcPr>
          <w:p w14:paraId="371F6A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 w14:paraId="50EE9E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18B4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shd w:val="clear" w:color="auto" w:fill="auto"/>
            <w:vAlign w:val="center"/>
          </w:tcPr>
          <w:p w14:paraId="4FD939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3FE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小计（3+4+5）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7BCD8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9E9A6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5282FD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02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588307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905" w:type="dxa"/>
            <w:vAlign w:val="center"/>
          </w:tcPr>
          <w:p w14:paraId="5F5AF4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2257" w:type="dxa"/>
            <w:vAlign w:val="center"/>
          </w:tcPr>
          <w:p w14:paraId="70552A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40647.2</w:t>
            </w:r>
          </w:p>
        </w:tc>
        <w:tc>
          <w:tcPr>
            <w:tcW w:w="1597" w:type="dxa"/>
            <w:vAlign w:val="center"/>
          </w:tcPr>
          <w:p w14:paraId="220562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597" w:type="dxa"/>
            <w:vAlign w:val="center"/>
          </w:tcPr>
          <w:p w14:paraId="78FE4C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</w:tbl>
    <w:p w14:paraId="2F0CBE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</w:p>
    <w:p w14:paraId="43E4D2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</w:p>
    <w:p w14:paraId="2BBED5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</w:p>
    <w:p w14:paraId="7E82B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第二章  双方权利义务</w:t>
      </w:r>
    </w:p>
    <w:p w14:paraId="766C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第五条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甲方权利义务</w:t>
      </w:r>
    </w:p>
    <w:p w14:paraId="3177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1、建筑工程报建图批出后，向乙方提供一套施工图及建筑总平面图。</w:t>
      </w:r>
    </w:p>
    <w:p w14:paraId="13D6C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  2、指派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为甲方代表（联系电话：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020- 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），负责合同履行。对白蚁预防工程质量、进度进行监督检查，办理竣工、变更、登记手续和其他事宜。</w:t>
      </w:r>
    </w:p>
    <w:p w14:paraId="37DDF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3、委托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进行白蚁防治工程监理，负责按土建施工进度和乙方提供的白蚁防治方案，提前二天通知乙方进场施工，避免施工过程不能衔接而影响工程质量或进度。监理公司职责在监理合同中应明确。</w:t>
      </w:r>
    </w:p>
    <w:p w14:paraId="5B775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4、协调有关部门做好现场保卫工作和施工协调工作，并承担相应费用。</w:t>
      </w:r>
    </w:p>
    <w:p w14:paraId="4D017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第六条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乙方权利义务</w:t>
      </w:r>
    </w:p>
    <w:p w14:paraId="230F5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1、指定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为乙方施工代表（联系电话：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），负责合同履行。按要求组织施工，保质、保量、按期完成施工任务，解决由乙方负责的各项事宜。</w:t>
      </w:r>
    </w:p>
    <w:p w14:paraId="7934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2、收到施工图后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2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日内向甲方和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监理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单位提供白蚁防治方案。</w:t>
      </w:r>
    </w:p>
    <w:p w14:paraId="28633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3、严格执行施工规范、安全操作规程、环境保护规定。做好各项质量检查记录。 </w:t>
      </w:r>
    </w:p>
    <w:p w14:paraId="1FB49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4、提供各施药阶段时间及施工方案。</w:t>
      </w:r>
    </w:p>
    <w:p w14:paraId="07CC1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第三章  工程质量及标准</w:t>
      </w:r>
    </w:p>
    <w:p w14:paraId="606D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第七条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本工程以《新建房屋白蚁预防规程》作为质量标准进行施工。</w:t>
      </w:r>
    </w:p>
    <w:p w14:paraId="397A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第八条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乙方根据有甲方或监理公司签字确认的施工记录表、施工方案等材料写出工程竣工验收报告，甲乙双方按国家和地方的有关标准进行验收。</w:t>
      </w:r>
    </w:p>
    <w:p w14:paraId="3D9F3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第九条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工程停建或缓建</w:t>
      </w:r>
    </w:p>
    <w:p w14:paraId="50ACC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1、因政策调整、人力不可抗力及甲、乙双方之外原因导致工程停、缓建，使合同不能继续履行，双方应签订工程停、缓建协议并报合同原审查部门备查。</w:t>
      </w:r>
    </w:p>
    <w:p w14:paraId="27123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2、工程停、缓建后，乙方应妥善做好已购材料、设备的保护工作，按甲方要求将自有设备、人员撤出施工现场。甲方应按合同约定支付已完工程价款。</w:t>
      </w:r>
    </w:p>
    <w:p w14:paraId="0D4C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3、乙方负责白蚁预防工程每年一次的复查，由甲方在复查结果上加具意见。</w:t>
      </w:r>
    </w:p>
    <w:p w14:paraId="606AF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第四章  工程价款及付款方式</w:t>
      </w:r>
    </w:p>
    <w:p w14:paraId="0BE6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81" w:leftChars="228" w:hanging="602" w:hanging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none"/>
        </w:rPr>
        <w:t xml:space="preserve">第十条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白蚁防治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工程费计算：总价包干（￥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 xml:space="preserve">元）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>万  仟  佰  拾 元 角 分整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，合同价即为结算价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。</w:t>
      </w:r>
    </w:p>
    <w:p w14:paraId="5B674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2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none"/>
        </w:rPr>
        <w:t xml:space="preserve">第十一条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本合同生效后，可按下列方式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分别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支付工程款：</w:t>
      </w:r>
    </w:p>
    <w:p w14:paraId="115D2546">
      <w:pPr>
        <w:pStyle w:val="2"/>
        <w:ind w:firstLine="600" w:firstLineChars="200"/>
        <w:rPr>
          <w:rFonts w:hint="eastAsia"/>
          <w:color w:val="auto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学生活动中心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</w:p>
    <w:p w14:paraId="4447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none"/>
        </w:rPr>
        <w:t>首期：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合同签订后30天内，甲方在收到乙方的付款申请后按学生活动中心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白蚁防治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工程费总价的30%支付工程预付款，金额为￥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元）；</w:t>
      </w:r>
    </w:p>
    <w:p w14:paraId="3B8C4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none"/>
        </w:rPr>
        <w:t>二期：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学生活动中心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主体框架封顶后30天内，甲方在收到乙方的付款申请后按学生活动中心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白蚁防治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工程费总价的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%支付工程进度款，金额为￥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元；</w:t>
      </w:r>
    </w:p>
    <w:p w14:paraId="1B502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三期：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 xml:space="preserve">  学生活动中心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全部完成，竣工验收且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乙方取得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《广州市房屋白蚁防治工程质量验收证明》后30天内，甲方在收到乙方的付款申请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《广州市房屋白蚁防治工程质量验收证明》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、施工资料（一式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4套）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后支付学生活动中心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白蚁防治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工程费总价的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40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%，金额为￥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元）。</w:t>
      </w:r>
    </w:p>
    <w:p w14:paraId="70AC7A91">
      <w:pPr>
        <w:pStyle w:val="2"/>
        <w:ind w:firstLine="600" w:firstLineChars="200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</w:pPr>
    </w:p>
    <w:p w14:paraId="0C7ACBA2">
      <w:pPr>
        <w:pStyle w:val="2"/>
        <w:ind w:firstLine="600" w:firstLineChars="200"/>
        <w:rPr>
          <w:rFonts w:hint="eastAsia"/>
          <w:color w:val="auto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教学实训楼S-3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</w:p>
    <w:p w14:paraId="55C43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none"/>
        </w:rPr>
        <w:t>首期：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合同签订后30天内，甲方在收到乙方的付款申请后按教学实训楼S-3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白蚁防治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工程费总价的30%支付工程预付款，金额为￥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元）；</w:t>
      </w:r>
    </w:p>
    <w:p w14:paraId="3A67D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none"/>
        </w:rPr>
        <w:t>二期：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教学实训楼S-3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主体框架封顶后30天内，甲方在收到乙方的付款申请后按教学实训楼S-3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白蚁防治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工程费总价的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%支付工程进度款，金额为￥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元；</w:t>
      </w:r>
    </w:p>
    <w:p w14:paraId="6CE43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三期：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 xml:space="preserve">  教学实训楼S-3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全部完成，竣工验收且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乙方取得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《广州市房屋白蚁防治工程质量验收证明》后30天内，甲方在收到乙方的付款申请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《广州市房屋白蚁防治工程质量验收证明》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、施工资料（一式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4套）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后支付 教学实训楼S-3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白蚁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eastAsia="zh-CN"/>
        </w:rPr>
        <w:t>防治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工程费总价的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40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%，金额为￥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元）。</w:t>
      </w:r>
    </w:p>
    <w:p w14:paraId="740BC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0"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>乙方在每期提交付款申请时，需提供与款额相等且符合税法规定的票给甲方；乙方预开的发票不能作为甲方已支付工程款的凭证。</w:t>
      </w:r>
    </w:p>
    <w:p w14:paraId="01B4A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第十二条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甲方逾期付款的，按以下第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2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项处理；</w:t>
      </w:r>
    </w:p>
    <w:p w14:paraId="1188C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（1）从逾期之日起按每日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元交纳滞纳金；</w:t>
      </w:r>
    </w:p>
    <w:p w14:paraId="74748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（2）从逾期之日起按应纳款的万分之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u w:val="single"/>
        </w:rPr>
        <w:t xml:space="preserve"> 三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交滞纳金。</w:t>
      </w:r>
    </w:p>
    <w:p w14:paraId="5C57A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第五章  其他约定</w:t>
      </w:r>
    </w:p>
    <w:p w14:paraId="3AC99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第十三条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 本工程使用的药品：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毒死蜱TC杀白蚁乳油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。（施药浓度不低于国家规定量。）</w:t>
      </w:r>
    </w:p>
    <w:p w14:paraId="15E40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第十四条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工程保质期</w:t>
      </w:r>
    </w:p>
    <w:p w14:paraId="789C3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工程完工后15年内，为工程保质期。乙方必须承诺以下保证：</w:t>
      </w:r>
    </w:p>
    <w:p w14:paraId="03577E6C"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在15年保质期内本工程如有蚁害，乙方必须负责进行灭治。</w:t>
      </w:r>
    </w:p>
    <w:p w14:paraId="59FEC198"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乙方每年进行一至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二次的免费保质检查，并在每年4-6月份的白蚁“婚飞期”重点加强巡检，以保证不发生蚁害。</w:t>
      </w:r>
    </w:p>
    <w:p w14:paraId="2AAC00A7"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甲方物业管理人员发现蚁迹，可随时通知乙方，乙方必须在48小时内免费上门进行检查，发现白蚁痕迹要立即灭治。</w:t>
      </w:r>
    </w:p>
    <w:p w14:paraId="2FA9B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第十五条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施工和工期保证</w:t>
      </w:r>
    </w:p>
    <w:p w14:paraId="7FA7F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乙方向甲方提供本工程施工方案，乙方施工必须按国家《规程》进行，并严格遵守甲方监理人员的监督管理，严格遵守工地纪律。</w:t>
      </w:r>
    </w:p>
    <w:p w14:paraId="173C1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乙方必须严格按甲方的工程进展施工，不得延误甲方工期。乙方保证专人负责本工程，并随时按甲方要求进场施工。</w:t>
      </w:r>
    </w:p>
    <w:p w14:paraId="501880A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违约责任</w:t>
      </w:r>
    </w:p>
    <w:p w14:paraId="767EA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90" w:firstLineChars="196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第十六条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如因甲方原因工程停工，使乙方未完成规定的工程施工目标，乙方有权要求甲方在合理期限内解决。逾期未解决的，乙方有权终止合同，造成乙方的经济损失，甲方应给予乙方赔偿。</w:t>
      </w:r>
    </w:p>
    <w:p w14:paraId="06008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90" w:firstLineChars="196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第十七条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如因乙方原因违反本合同约定，未能按时完成约定的工程施工目标，甲方有权要求乙方限期整改，逾期未整改的，甲方有权终止合同，造成甲方的经济损失，乙方应给予甲方经济赔偿。</w:t>
      </w:r>
    </w:p>
    <w:p w14:paraId="50E0C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第七章  附 则</w:t>
      </w:r>
    </w:p>
    <w:p w14:paraId="435A5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第十八条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本合同一式玖份，甲方执陆份、乙方执叁份，其中一份交广州市房屋安全管理所登记，具有同等法律效力。</w:t>
      </w:r>
    </w:p>
    <w:p w14:paraId="57F3E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第十九条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本合同执行期间，如遇不可抗力，致使合同无法履行时，双方应按有关法律规定及时协商处理。</w:t>
      </w:r>
    </w:p>
    <w:p w14:paraId="221AD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第二十条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本合同执行期间，双方应认真遵守执行，如有争议，应协商解决，协商或调解不成的，按下列第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一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种方式解决：</w:t>
      </w:r>
    </w:p>
    <w:p w14:paraId="1F7CAA5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提交广州仲裁委员会仲裁；</w:t>
      </w:r>
    </w:p>
    <w:p w14:paraId="7877FE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提交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仲裁委员会促裁；</w:t>
      </w:r>
    </w:p>
    <w:p w14:paraId="3F5070C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依法向人民法院起诉。</w:t>
      </w:r>
    </w:p>
    <w:p w14:paraId="4D99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 xml:space="preserve">第二十一条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本合同自双方签章之时起生效。</w:t>
      </w:r>
    </w:p>
    <w:p w14:paraId="2C7859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</w:p>
    <w:p w14:paraId="4C094A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0" w:firstLineChars="8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  <w:t>以下无正文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eastAsia="zh-CN"/>
        </w:rPr>
        <w:t>）</w:t>
      </w:r>
    </w:p>
    <w:p w14:paraId="3B40B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</w:p>
    <w:p w14:paraId="19078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30"/>
          <w:sz w:val="30"/>
          <w:szCs w:val="30"/>
          <w:highlight w:val="none"/>
        </w:rPr>
        <w:t>甲方(签章)：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>广东机电职业技术学院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pacing w:val="30"/>
          <w:sz w:val="30"/>
          <w:szCs w:val="30"/>
          <w:highlight w:val="none"/>
        </w:rPr>
        <w:t>乙方(签章)：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          </w:t>
      </w:r>
    </w:p>
    <w:p w14:paraId="2D2EC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</w:p>
    <w:p w14:paraId="2575E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法定代表人：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         法定代表人：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       </w:t>
      </w:r>
    </w:p>
    <w:p w14:paraId="3DFA9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</w:p>
    <w:p w14:paraId="4FB8F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联系地址：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广州市白云区蟾蜍石东路2号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联系地址：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      </w:t>
      </w:r>
    </w:p>
    <w:p w14:paraId="1296C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                                               </w:t>
      </w:r>
    </w:p>
    <w:p w14:paraId="61B79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                             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         </w:t>
      </w:r>
    </w:p>
    <w:p w14:paraId="140B8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联  系  人：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   联  系  人：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         </w:t>
      </w:r>
    </w:p>
    <w:p w14:paraId="2B6C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30"/>
          <w:sz w:val="30"/>
          <w:szCs w:val="30"/>
          <w:highlight w:val="none"/>
        </w:rPr>
        <w:t>联系电话：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020-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pacing w:val="30"/>
          <w:sz w:val="30"/>
          <w:szCs w:val="30"/>
          <w:highlight w:val="none"/>
        </w:rPr>
        <w:t>联系电话：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         </w:t>
      </w:r>
    </w:p>
    <w:p w14:paraId="0E2C7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0" w:firstLineChars="5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202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 xml:space="preserve">日   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202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日</w:t>
      </w:r>
    </w:p>
    <w:p w14:paraId="0AF3C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Theme="minorEastAsia" w:hAnsiTheme="minorEastAsia" w:eastAsiaTheme="minorEastAsia"/>
          <w:b/>
          <w:bCs/>
          <w:color w:val="auto"/>
          <w:sz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br w:type="page"/>
      </w:r>
      <w:r>
        <w:rPr>
          <w:rFonts w:hint="eastAsia" w:cs="仿宋_GB2312" w:asciiTheme="minorEastAsia" w:hAnsiTheme="minorEastAsia" w:eastAsiaTheme="minorEastAsia"/>
          <w:b/>
          <w:bCs/>
          <w:color w:val="auto"/>
          <w:sz w:val="24"/>
          <w:highlight w:val="none"/>
        </w:rPr>
        <w:t>白蚁预防保治施工情况表</w:t>
      </w:r>
    </w:p>
    <w:p w14:paraId="5B3B8E3D">
      <w:pPr>
        <w:spacing w:line="500" w:lineRule="exact"/>
        <w:jc w:val="center"/>
        <w:rPr>
          <w:rFonts w:hint="eastAsia" w:cs="仿宋_GB2312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cs="仿宋_GB2312" w:asciiTheme="minorEastAsia" w:hAnsiTheme="minorEastAsia" w:eastAsiaTheme="minorEastAsia"/>
          <w:color w:val="auto"/>
          <w:sz w:val="24"/>
          <w:highlight w:val="none"/>
        </w:rPr>
        <w:t>（保治期：十五年）</w:t>
      </w:r>
    </w:p>
    <w:p w14:paraId="25F3E8AB">
      <w:pPr>
        <w:pStyle w:val="2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项目名称：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广东机电职业技术学院钟落潭校区学生活动中心</w:t>
      </w:r>
    </w:p>
    <w:tbl>
      <w:tblPr>
        <w:tblStyle w:val="27"/>
        <w:tblW w:w="97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022"/>
        <w:gridCol w:w="1763"/>
        <w:gridCol w:w="1947"/>
        <w:gridCol w:w="1946"/>
      </w:tblGrid>
      <w:tr w14:paraId="37A2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022" w:type="dxa"/>
            <w:vAlign w:val="center"/>
          </w:tcPr>
          <w:p w14:paraId="1A3C746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时</w:t>
            </w:r>
            <w:r>
              <w:rPr>
                <w:rFonts w:cs="仿宋_GB2312" w:asciiTheme="minorEastAsia" w:hAnsiTheme="minorEastAsia" w:eastAsiaTheme="minorEastAsia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间</w:t>
            </w:r>
          </w:p>
        </w:tc>
        <w:tc>
          <w:tcPr>
            <w:tcW w:w="2022" w:type="dxa"/>
            <w:vAlign w:val="center"/>
          </w:tcPr>
          <w:p w14:paraId="22630D6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检查内容</w:t>
            </w:r>
          </w:p>
        </w:tc>
        <w:tc>
          <w:tcPr>
            <w:tcW w:w="1763" w:type="dxa"/>
            <w:vAlign w:val="center"/>
          </w:tcPr>
          <w:p w14:paraId="57AF9E7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灭治内容</w:t>
            </w:r>
          </w:p>
        </w:tc>
        <w:tc>
          <w:tcPr>
            <w:tcW w:w="1947" w:type="dxa"/>
            <w:vAlign w:val="center"/>
          </w:tcPr>
          <w:p w14:paraId="6C2F57D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白蚁防治单位</w:t>
            </w:r>
          </w:p>
          <w:p w14:paraId="0FFE240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（签章）</w:t>
            </w:r>
          </w:p>
        </w:tc>
        <w:tc>
          <w:tcPr>
            <w:tcW w:w="1946" w:type="dxa"/>
            <w:vAlign w:val="center"/>
          </w:tcPr>
          <w:p w14:paraId="3A31B65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广东机电职业技术学院</w:t>
            </w:r>
          </w:p>
          <w:p w14:paraId="1C26B55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（签章）</w:t>
            </w:r>
          </w:p>
        </w:tc>
      </w:tr>
      <w:tr w14:paraId="1130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2022" w:type="dxa"/>
          </w:tcPr>
          <w:p w14:paraId="311266B7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2022" w:type="dxa"/>
          </w:tcPr>
          <w:p w14:paraId="5E804CA8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</w:tcPr>
          <w:p w14:paraId="5CC72BF6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</w:tcPr>
          <w:p w14:paraId="04A38F29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2F6BB75D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54BC3F7C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  <w:tc>
          <w:tcPr>
            <w:tcW w:w="1946" w:type="dxa"/>
          </w:tcPr>
          <w:p w14:paraId="74F30C48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18770673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1B252C8D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</w:tr>
      <w:tr w14:paraId="13B3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22" w:type="dxa"/>
          </w:tcPr>
          <w:p w14:paraId="3F6078D6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2022" w:type="dxa"/>
          </w:tcPr>
          <w:p w14:paraId="53C495C2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</w:tcPr>
          <w:p w14:paraId="6555AC79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</w:tcPr>
          <w:p w14:paraId="4DD6CDA2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51933984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41D46682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  <w:tc>
          <w:tcPr>
            <w:tcW w:w="1946" w:type="dxa"/>
          </w:tcPr>
          <w:p w14:paraId="1D946B7A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03B5293F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00C89E77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</w:tr>
      <w:tr w14:paraId="0742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22" w:type="dxa"/>
          </w:tcPr>
          <w:p w14:paraId="52CF47A9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2022" w:type="dxa"/>
          </w:tcPr>
          <w:p w14:paraId="12CD9DE7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</w:tcPr>
          <w:p w14:paraId="77CD3DC2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</w:tcPr>
          <w:p w14:paraId="0AB295C1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227C0A94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79FC3123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  <w:tc>
          <w:tcPr>
            <w:tcW w:w="1946" w:type="dxa"/>
          </w:tcPr>
          <w:p w14:paraId="09C350D1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46256D02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0B9711EF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</w:tr>
      <w:tr w14:paraId="7089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22" w:type="dxa"/>
          </w:tcPr>
          <w:p w14:paraId="10400878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2022" w:type="dxa"/>
          </w:tcPr>
          <w:p w14:paraId="1F8EF345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</w:tcPr>
          <w:p w14:paraId="0C11C5F5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</w:tcPr>
          <w:p w14:paraId="7DD2E68D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687B05C6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21F95678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  <w:tc>
          <w:tcPr>
            <w:tcW w:w="1946" w:type="dxa"/>
          </w:tcPr>
          <w:p w14:paraId="39FBBCD5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1F2544AA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17582394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</w:tr>
      <w:tr w14:paraId="71B8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022" w:type="dxa"/>
          </w:tcPr>
          <w:p w14:paraId="147E602D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2022" w:type="dxa"/>
          </w:tcPr>
          <w:p w14:paraId="55C87C46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</w:tcPr>
          <w:p w14:paraId="36033529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</w:tcPr>
          <w:p w14:paraId="3AC0FF8D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6C4C5CE6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3E5D6286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  <w:tc>
          <w:tcPr>
            <w:tcW w:w="1946" w:type="dxa"/>
          </w:tcPr>
          <w:p w14:paraId="30D4685C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6045457D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104726A7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</w:tr>
      <w:tr w14:paraId="7F21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022" w:type="dxa"/>
          </w:tcPr>
          <w:p w14:paraId="73380E13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2022" w:type="dxa"/>
          </w:tcPr>
          <w:p w14:paraId="6EE8D352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</w:tcPr>
          <w:p w14:paraId="2D81E8A0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</w:tcPr>
          <w:p w14:paraId="534F1709">
            <w:pPr>
              <w:spacing w:line="600" w:lineRule="auto"/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6" w:type="dxa"/>
          </w:tcPr>
          <w:p w14:paraId="224DE5F3">
            <w:pPr>
              <w:spacing w:line="600" w:lineRule="auto"/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</w:tr>
    </w:tbl>
    <w:p w14:paraId="46A0E346">
      <w:pPr>
        <w:pStyle w:val="2"/>
        <w:rPr>
          <w:color w:val="auto"/>
          <w:highlight w:val="none"/>
        </w:rPr>
      </w:pPr>
    </w:p>
    <w:p w14:paraId="6ED7F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Theme="minorEastAsia" w:hAnsiTheme="minorEastAsia" w:eastAsiaTheme="minorEastAsia"/>
          <w:b/>
          <w:bCs/>
          <w:color w:val="auto"/>
          <w:sz w:val="24"/>
          <w:highlight w:val="none"/>
        </w:rPr>
      </w:pPr>
      <w:r>
        <w:rPr>
          <w:rFonts w:hint="eastAsia" w:cs="仿宋_GB2312" w:asciiTheme="minorEastAsia" w:hAnsiTheme="minorEastAsia" w:eastAsiaTheme="minorEastAsia"/>
          <w:b/>
          <w:bCs/>
          <w:color w:val="auto"/>
          <w:sz w:val="24"/>
          <w:highlight w:val="none"/>
        </w:rPr>
        <w:t>白蚁预防保治施工情况表</w:t>
      </w:r>
    </w:p>
    <w:p w14:paraId="5AAE73B8">
      <w:pPr>
        <w:spacing w:line="500" w:lineRule="exact"/>
        <w:jc w:val="center"/>
        <w:rPr>
          <w:rFonts w:hint="eastAsia" w:cs="仿宋_GB2312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cs="仿宋_GB2312" w:asciiTheme="minorEastAsia" w:hAnsiTheme="minorEastAsia" w:eastAsiaTheme="minorEastAsia"/>
          <w:color w:val="auto"/>
          <w:sz w:val="24"/>
          <w:highlight w:val="none"/>
        </w:rPr>
        <w:t>（保治期：十五年）</w:t>
      </w:r>
    </w:p>
    <w:p w14:paraId="456EA055">
      <w:pPr>
        <w:pStyle w:val="2"/>
        <w:rPr>
          <w:rFonts w:hint="eastAsia" w:eastAsia="方正仿宋_GB2312"/>
          <w:color w:val="auto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项目名称：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</w:rPr>
        <w:t>广东机电职业技术学院钟落潭校区教学实训楼S-3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u w:val="none"/>
          <w:lang w:val="en-US" w:eastAsia="zh-CN"/>
        </w:rPr>
        <w:t>项目</w:t>
      </w:r>
    </w:p>
    <w:tbl>
      <w:tblPr>
        <w:tblStyle w:val="27"/>
        <w:tblW w:w="97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022"/>
        <w:gridCol w:w="1763"/>
        <w:gridCol w:w="1947"/>
        <w:gridCol w:w="1946"/>
      </w:tblGrid>
      <w:tr w14:paraId="73A1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022" w:type="dxa"/>
            <w:vAlign w:val="center"/>
          </w:tcPr>
          <w:p w14:paraId="4B075E6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时</w:t>
            </w:r>
            <w:r>
              <w:rPr>
                <w:rFonts w:cs="仿宋_GB2312" w:asciiTheme="minorEastAsia" w:hAnsiTheme="minorEastAsia" w:eastAsiaTheme="minorEastAsia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间</w:t>
            </w:r>
          </w:p>
        </w:tc>
        <w:tc>
          <w:tcPr>
            <w:tcW w:w="2022" w:type="dxa"/>
            <w:vAlign w:val="center"/>
          </w:tcPr>
          <w:p w14:paraId="452A087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检查内容</w:t>
            </w:r>
          </w:p>
        </w:tc>
        <w:tc>
          <w:tcPr>
            <w:tcW w:w="1763" w:type="dxa"/>
            <w:vAlign w:val="center"/>
          </w:tcPr>
          <w:p w14:paraId="551777C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灭治内容</w:t>
            </w:r>
          </w:p>
        </w:tc>
        <w:tc>
          <w:tcPr>
            <w:tcW w:w="1947" w:type="dxa"/>
            <w:vAlign w:val="center"/>
          </w:tcPr>
          <w:p w14:paraId="796AA19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白蚁防治单位</w:t>
            </w:r>
          </w:p>
          <w:p w14:paraId="75E0CC6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（签章）</w:t>
            </w:r>
          </w:p>
        </w:tc>
        <w:tc>
          <w:tcPr>
            <w:tcW w:w="1946" w:type="dxa"/>
            <w:vAlign w:val="center"/>
          </w:tcPr>
          <w:p w14:paraId="4508D5AF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广东机电职业技术学院</w:t>
            </w:r>
          </w:p>
          <w:p w14:paraId="0A999BE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（签章）</w:t>
            </w:r>
          </w:p>
        </w:tc>
      </w:tr>
      <w:tr w14:paraId="1A5B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2022" w:type="dxa"/>
          </w:tcPr>
          <w:p w14:paraId="7FF71035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2022" w:type="dxa"/>
          </w:tcPr>
          <w:p w14:paraId="15A5FF79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</w:tcPr>
          <w:p w14:paraId="5ECC13B5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</w:tcPr>
          <w:p w14:paraId="609C558B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599A14F8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6184100B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  <w:tc>
          <w:tcPr>
            <w:tcW w:w="1946" w:type="dxa"/>
          </w:tcPr>
          <w:p w14:paraId="6BD16504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2EECE59E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6D513488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</w:tr>
      <w:tr w14:paraId="4B64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22" w:type="dxa"/>
          </w:tcPr>
          <w:p w14:paraId="4C7ABFFD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2022" w:type="dxa"/>
          </w:tcPr>
          <w:p w14:paraId="636F4528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</w:tcPr>
          <w:p w14:paraId="702A56A0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</w:tcPr>
          <w:p w14:paraId="5CC7C145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1F9D07E6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13D2F189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  <w:tc>
          <w:tcPr>
            <w:tcW w:w="1946" w:type="dxa"/>
          </w:tcPr>
          <w:p w14:paraId="63AB6F7E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4FDF907F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0E10E70E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</w:tr>
      <w:tr w14:paraId="218E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22" w:type="dxa"/>
          </w:tcPr>
          <w:p w14:paraId="13CF6318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2022" w:type="dxa"/>
          </w:tcPr>
          <w:p w14:paraId="0CF78ECE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</w:tcPr>
          <w:p w14:paraId="196A6936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</w:tcPr>
          <w:p w14:paraId="4119A77A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04D84EB0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56B5A9B0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  <w:tc>
          <w:tcPr>
            <w:tcW w:w="1946" w:type="dxa"/>
          </w:tcPr>
          <w:p w14:paraId="63E2ADEA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3F893BAB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41BFCF15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</w:tr>
      <w:tr w14:paraId="05B7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22" w:type="dxa"/>
          </w:tcPr>
          <w:p w14:paraId="606F93AE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2022" w:type="dxa"/>
          </w:tcPr>
          <w:p w14:paraId="505A4A3E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</w:tcPr>
          <w:p w14:paraId="60553C04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</w:tcPr>
          <w:p w14:paraId="7D415ED0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200B8A4A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065A6B11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  <w:tc>
          <w:tcPr>
            <w:tcW w:w="1946" w:type="dxa"/>
          </w:tcPr>
          <w:p w14:paraId="7BB83701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620076A0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7B87B0AF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</w:tr>
      <w:tr w14:paraId="34BF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022" w:type="dxa"/>
          </w:tcPr>
          <w:p w14:paraId="33E30DB7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2022" w:type="dxa"/>
          </w:tcPr>
          <w:p w14:paraId="5E3799E0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</w:tcPr>
          <w:p w14:paraId="720893FC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</w:tcPr>
          <w:p w14:paraId="52639A26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650A834D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3E4406DC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  <w:tc>
          <w:tcPr>
            <w:tcW w:w="1946" w:type="dxa"/>
          </w:tcPr>
          <w:p w14:paraId="4646F2B1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经办人：</w:t>
            </w:r>
          </w:p>
          <w:p w14:paraId="68AAB065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  <w:p w14:paraId="55EA0E7D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  <w:t>负责人：</w:t>
            </w:r>
          </w:p>
        </w:tc>
      </w:tr>
      <w:tr w14:paraId="50D3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022" w:type="dxa"/>
          </w:tcPr>
          <w:p w14:paraId="3B2DE08F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2022" w:type="dxa"/>
          </w:tcPr>
          <w:p w14:paraId="04910CAC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</w:tcPr>
          <w:p w14:paraId="710CF7EF">
            <w:pPr>
              <w:spacing w:line="60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7" w:type="dxa"/>
          </w:tcPr>
          <w:p w14:paraId="7048025F">
            <w:pPr>
              <w:spacing w:line="600" w:lineRule="auto"/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946" w:type="dxa"/>
          </w:tcPr>
          <w:p w14:paraId="394A26DE">
            <w:pPr>
              <w:spacing w:line="600" w:lineRule="auto"/>
              <w:rPr>
                <w:rFonts w:hint="eastAsia" w:cs="仿宋_GB2312"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</w:tr>
    </w:tbl>
    <w:p w14:paraId="3063EAC0">
      <w:pPr>
        <w:adjustRightInd w:val="0"/>
        <w:snapToGrid w:val="0"/>
        <w:spacing w:line="360" w:lineRule="auto"/>
        <w:rPr>
          <w:color w:val="auto"/>
          <w:highlight w:val="none"/>
        </w:rPr>
      </w:pPr>
    </w:p>
    <w:p w14:paraId="257BA9B1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</w:p>
    <w:p w14:paraId="029B6C1D">
      <w:pPr>
        <w:adjustRightInd w:val="0"/>
        <w:snapToGrid w:val="0"/>
        <w:spacing w:line="360" w:lineRule="auto"/>
        <w:rPr>
          <w:rFonts w:ascii="宋体" w:hAnsi="宋体"/>
          <w:b/>
          <w:color w:val="auto"/>
          <w:sz w:val="44"/>
          <w:szCs w:val="44"/>
          <w:highlight w:val="none"/>
        </w:rPr>
      </w:pPr>
    </w:p>
    <w:p w14:paraId="51ED86DC">
      <w:pPr>
        <w:pStyle w:val="2"/>
        <w:rPr>
          <w:rFonts w:ascii="宋体" w:hAnsi="宋体"/>
          <w:b/>
          <w:color w:val="auto"/>
          <w:sz w:val="44"/>
          <w:szCs w:val="44"/>
          <w:highlight w:val="none"/>
        </w:rPr>
      </w:pPr>
    </w:p>
    <w:p w14:paraId="688C481A">
      <w:pPr>
        <w:pStyle w:val="2"/>
        <w:rPr>
          <w:rFonts w:ascii="宋体" w:hAnsi="宋体"/>
          <w:b/>
          <w:color w:val="auto"/>
          <w:sz w:val="44"/>
          <w:szCs w:val="44"/>
          <w:highlight w:val="none"/>
        </w:rPr>
      </w:pPr>
    </w:p>
    <w:p w14:paraId="5BDCCE3A">
      <w:pPr>
        <w:pStyle w:val="2"/>
        <w:rPr>
          <w:rFonts w:ascii="宋体" w:hAnsi="宋体"/>
          <w:b/>
          <w:color w:val="auto"/>
          <w:sz w:val="44"/>
          <w:szCs w:val="44"/>
          <w:highlight w:val="none"/>
        </w:rPr>
      </w:pPr>
    </w:p>
    <w:p w14:paraId="3A84BEA6">
      <w:pPr>
        <w:pStyle w:val="2"/>
        <w:rPr>
          <w:rFonts w:ascii="宋体" w:hAnsi="宋体"/>
          <w:b/>
          <w:color w:val="auto"/>
          <w:sz w:val="44"/>
          <w:szCs w:val="44"/>
          <w:highlight w:val="none"/>
        </w:rPr>
      </w:pPr>
    </w:p>
    <w:p w14:paraId="709DEF61">
      <w:pPr>
        <w:adjustRightInd w:val="0"/>
        <w:snapToGrid w:val="0"/>
        <w:spacing w:line="360" w:lineRule="auto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附件：</w:t>
      </w:r>
    </w:p>
    <w:p w14:paraId="34827682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广东机电职业技术学院钟落潭校区</w:t>
      </w:r>
    </w:p>
    <w:p w14:paraId="19BD49BA">
      <w:pPr>
        <w:adjustRightInd w:val="0"/>
        <w:snapToGrid w:val="0"/>
        <w:spacing w:line="360" w:lineRule="auto"/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学生活动中心、教学实训楼S-3项目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项目</w:t>
      </w:r>
    </w:p>
    <w:p w14:paraId="48A678F3">
      <w:pPr>
        <w:adjustRightInd w:val="0"/>
        <w:snapToGrid w:val="0"/>
        <w:spacing w:line="360" w:lineRule="auto"/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白蚁防治施工技术方案</w:t>
      </w:r>
    </w:p>
    <w:p w14:paraId="3CEA1B71">
      <w:pPr>
        <w:adjustRightInd w:val="0"/>
        <w:snapToGrid w:val="0"/>
        <w:spacing w:line="360" w:lineRule="auto"/>
        <w:jc w:val="center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（签订合同时由白蚁防治单位提交）</w:t>
      </w:r>
    </w:p>
    <w:p w14:paraId="409A6642">
      <w:pPr>
        <w:pStyle w:val="2"/>
        <w:rPr>
          <w:color w:val="auto"/>
          <w:highlight w:val="none"/>
        </w:rPr>
      </w:pPr>
    </w:p>
    <w:p w14:paraId="074D7082">
      <w:pPr>
        <w:pStyle w:val="2"/>
        <w:rPr>
          <w:color w:val="auto"/>
          <w:highlight w:val="none"/>
        </w:rPr>
      </w:pPr>
    </w:p>
    <w:p w14:paraId="7D00E33B">
      <w:pPr>
        <w:pStyle w:val="2"/>
        <w:rPr>
          <w:color w:val="auto"/>
          <w:highlight w:val="none"/>
        </w:rPr>
      </w:pPr>
    </w:p>
    <w:p w14:paraId="1B5DE936">
      <w:pPr>
        <w:pStyle w:val="2"/>
        <w:rPr>
          <w:color w:val="auto"/>
          <w:highlight w:val="none"/>
        </w:rPr>
      </w:pPr>
    </w:p>
    <w:p w14:paraId="6ECB5B28">
      <w:pPr>
        <w:pStyle w:val="2"/>
        <w:rPr>
          <w:color w:val="auto"/>
          <w:highlight w:val="none"/>
        </w:rPr>
      </w:pPr>
    </w:p>
    <w:p w14:paraId="5E193908">
      <w:pPr>
        <w:pStyle w:val="2"/>
        <w:rPr>
          <w:color w:val="auto"/>
          <w:highlight w:val="none"/>
        </w:rPr>
      </w:pPr>
    </w:p>
    <w:p w14:paraId="3258887B">
      <w:pPr>
        <w:pStyle w:val="2"/>
        <w:rPr>
          <w:color w:val="auto"/>
          <w:highlight w:val="none"/>
        </w:rPr>
      </w:pPr>
    </w:p>
    <w:p w14:paraId="4D6C324E">
      <w:pPr>
        <w:pStyle w:val="2"/>
        <w:rPr>
          <w:color w:val="auto"/>
          <w:highlight w:val="none"/>
        </w:rPr>
      </w:pPr>
    </w:p>
    <w:p w14:paraId="368C3FB0">
      <w:pPr>
        <w:pStyle w:val="2"/>
        <w:rPr>
          <w:color w:val="auto"/>
          <w:highlight w:val="none"/>
        </w:rPr>
      </w:pPr>
    </w:p>
    <w:p w14:paraId="48E0CF91">
      <w:pPr>
        <w:pStyle w:val="2"/>
        <w:rPr>
          <w:rFonts w:hint="eastAsia"/>
          <w:color w:val="auto"/>
          <w:highlight w:val="non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F47E39-3894-4215-AB48-9FE8B772F64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589ED00F-CC80-4882-9BD0-CDAFB99998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B841CFD-A9B6-44E3-BD79-9FBA04CB85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EE17D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23ABFC38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23AD0"/>
    <w:multiLevelType w:val="singleLevel"/>
    <w:tmpl w:val="FCC23AD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C2F5E9E"/>
    <w:multiLevelType w:val="multilevel"/>
    <w:tmpl w:val="1C2F5E9E"/>
    <w:lvl w:ilvl="0" w:tentative="0">
      <w:start w:val="6"/>
      <w:numFmt w:val="japaneseCounting"/>
      <w:lvlText w:val="第%1章"/>
      <w:lvlJc w:val="left"/>
      <w:pPr>
        <w:tabs>
          <w:tab w:val="left" w:pos="1755"/>
        </w:tabs>
        <w:ind w:left="1755" w:hanging="11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2">
    <w:nsid w:val="46F44854"/>
    <w:multiLevelType w:val="multilevel"/>
    <w:tmpl w:val="46F44854"/>
    <w:lvl w:ilvl="0" w:tentative="0">
      <w:start w:val="1"/>
      <w:numFmt w:val="japaneseCounting"/>
      <w:lvlText w:val="第%1条"/>
      <w:lvlJc w:val="left"/>
      <w:pPr>
        <w:tabs>
          <w:tab w:val="left" w:pos="1275"/>
        </w:tabs>
        <w:ind w:left="1275" w:hanging="1275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C923FB8"/>
    <w:multiLevelType w:val="multilevel"/>
    <w:tmpl w:val="4C923FB8"/>
    <w:lvl w:ilvl="0" w:tentative="0">
      <w:start w:val="2"/>
      <w:numFmt w:val="japaneseCounting"/>
      <w:lvlText w:val="第%1条"/>
      <w:lvlJc w:val="left"/>
      <w:pPr>
        <w:tabs>
          <w:tab w:val="left" w:pos="1400"/>
        </w:tabs>
        <w:ind w:left="1400" w:hanging="84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4">
    <w:nsid w:val="60E85CF9"/>
    <w:multiLevelType w:val="multilevel"/>
    <w:tmpl w:val="60E85CF9"/>
    <w:lvl w:ilvl="0" w:tentative="0">
      <w:start w:val="1"/>
      <w:numFmt w:val="japaneseCounting"/>
      <w:lvlText w:val="（%1）"/>
      <w:lvlJc w:val="left"/>
      <w:pPr>
        <w:tabs>
          <w:tab w:val="left" w:pos="1415"/>
        </w:tabs>
        <w:ind w:left="141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ZjViMzA3MGY5MDdlMjFiNDUwNTg0YmRiZmVkYzcifQ=="/>
  </w:docVars>
  <w:rsids>
    <w:rsidRoot w:val="005B0CE4"/>
    <w:rsid w:val="00023AD5"/>
    <w:rsid w:val="000D77F6"/>
    <w:rsid w:val="00114484"/>
    <w:rsid w:val="001C5106"/>
    <w:rsid w:val="005B0CE4"/>
    <w:rsid w:val="00924CD8"/>
    <w:rsid w:val="00AB3955"/>
    <w:rsid w:val="00AE6F63"/>
    <w:rsid w:val="02E44052"/>
    <w:rsid w:val="05982B4E"/>
    <w:rsid w:val="07520C39"/>
    <w:rsid w:val="0FE10DAC"/>
    <w:rsid w:val="109202F8"/>
    <w:rsid w:val="11DF52B5"/>
    <w:rsid w:val="1508765D"/>
    <w:rsid w:val="165B2F3A"/>
    <w:rsid w:val="1AF35E37"/>
    <w:rsid w:val="28E5271C"/>
    <w:rsid w:val="2A253B3F"/>
    <w:rsid w:val="2A9F5029"/>
    <w:rsid w:val="2CDC272D"/>
    <w:rsid w:val="2D6531C4"/>
    <w:rsid w:val="2E343AD0"/>
    <w:rsid w:val="2FEE6EA1"/>
    <w:rsid w:val="34F328E8"/>
    <w:rsid w:val="3A816BC1"/>
    <w:rsid w:val="3D3407BB"/>
    <w:rsid w:val="45266C19"/>
    <w:rsid w:val="4C34500C"/>
    <w:rsid w:val="4DAF7440"/>
    <w:rsid w:val="53B67427"/>
    <w:rsid w:val="599B7DE3"/>
    <w:rsid w:val="59D45A77"/>
    <w:rsid w:val="5C7D274D"/>
    <w:rsid w:val="5DD47DC5"/>
    <w:rsid w:val="5EA621F3"/>
    <w:rsid w:val="6A8D4607"/>
    <w:rsid w:val="6F074383"/>
    <w:rsid w:val="6F901EA6"/>
    <w:rsid w:val="786E7DB4"/>
    <w:rsid w:val="7906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6"/>
    <w:qFormat/>
    <w:uiPriority w:val="9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hAnsi="Tahoma" w:eastAsia="微软雅黑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7"/>
    <w:qFormat/>
    <w:uiPriority w:val="9"/>
    <w:pPr>
      <w:keepNext/>
      <w:keepLines/>
      <w:tabs>
        <w:tab w:val="left" w:pos="900"/>
        <w:tab w:val="left" w:pos="1260"/>
      </w:tabs>
      <w:spacing w:before="100" w:beforeAutospacing="1" w:after="100" w:afterAutospacing="1" w:line="280" w:lineRule="exact"/>
      <w:ind w:left="10" w:firstLine="170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8"/>
    <w:qFormat/>
    <w:uiPriority w:val="9"/>
    <w:pPr>
      <w:keepNext/>
      <w:keepLines/>
      <w:tabs>
        <w:tab w:val="left" w:pos="1070"/>
        <w:tab w:val="left" w:pos="1260"/>
      </w:tabs>
      <w:spacing w:before="260" w:after="260" w:line="280" w:lineRule="exact"/>
      <w:ind w:left="57" w:firstLine="293"/>
      <w:outlineLvl w:val="2"/>
    </w:pPr>
    <w:rPr>
      <w:rFonts w:ascii="Calibri" w:hAnsi="Calibri" w:eastAsia="黑体"/>
      <w:b/>
      <w:bCs/>
      <w:sz w:val="28"/>
      <w:szCs w:val="32"/>
    </w:rPr>
  </w:style>
  <w:style w:type="paragraph" w:styleId="6">
    <w:name w:val="heading 4"/>
    <w:basedOn w:val="1"/>
    <w:next w:val="1"/>
    <w:link w:val="39"/>
    <w:qFormat/>
    <w:uiPriority w:val="9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7">
    <w:name w:val="heading 5"/>
    <w:basedOn w:val="1"/>
    <w:next w:val="1"/>
    <w:link w:val="40"/>
    <w:qFormat/>
    <w:uiPriority w:val="9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4"/>
    </w:pPr>
    <w:rPr>
      <w:rFonts w:ascii="Tahoma" w:hAnsi="Tahoma" w:eastAsia="微软雅黑"/>
      <w:b/>
      <w:bCs/>
      <w:kern w:val="0"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1"/>
    <w:qFormat/>
    <w:uiPriority w:val="0"/>
    <w:pPr>
      <w:spacing w:after="120"/>
    </w:pPr>
  </w:style>
  <w:style w:type="paragraph" w:styleId="8">
    <w:name w:val="Normal Indent"/>
    <w:basedOn w:val="1"/>
    <w:link w:val="42"/>
    <w:qFormat/>
    <w:uiPriority w:val="99"/>
    <w:pPr>
      <w:ind w:firstLine="420"/>
    </w:pPr>
    <w:rPr>
      <w:rFonts w:ascii="Calibri" w:hAnsi="Calibri"/>
      <w:szCs w:val="20"/>
    </w:rPr>
  </w:style>
  <w:style w:type="paragraph" w:styleId="9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10">
    <w:name w:val="annotation text"/>
    <w:basedOn w:val="1"/>
    <w:link w:val="43"/>
    <w:unhideWhenUsed/>
    <w:qFormat/>
    <w:uiPriority w:val="99"/>
    <w:pPr>
      <w:jc w:val="left"/>
    </w:pPr>
  </w:style>
  <w:style w:type="paragraph" w:styleId="11">
    <w:name w:val="Body Text Indent"/>
    <w:basedOn w:val="1"/>
    <w:link w:val="44"/>
    <w:unhideWhenUsed/>
    <w:qFormat/>
    <w:uiPriority w:val="99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3">
    <w:name w:val="Plain Text"/>
    <w:basedOn w:val="1"/>
    <w:link w:val="45"/>
    <w:unhideWhenUsed/>
    <w:qFormat/>
    <w:uiPriority w:val="0"/>
    <w:rPr>
      <w:rFonts w:ascii="宋体" w:hAnsi="Courier New" w:eastAsia="微软雅黑"/>
      <w:szCs w:val="21"/>
    </w:rPr>
  </w:style>
  <w:style w:type="paragraph" w:styleId="14">
    <w:name w:val="Date"/>
    <w:basedOn w:val="1"/>
    <w:next w:val="1"/>
    <w:link w:val="46"/>
    <w:qFormat/>
    <w:uiPriority w:val="0"/>
    <w:pPr>
      <w:ind w:left="2500" w:leftChars="2500"/>
    </w:pPr>
    <w:rPr>
      <w:kern w:val="0"/>
      <w:sz w:val="30"/>
      <w:szCs w:val="30"/>
    </w:rPr>
  </w:style>
  <w:style w:type="paragraph" w:styleId="15">
    <w:name w:val="Body Text Indent 2"/>
    <w:basedOn w:val="1"/>
    <w:link w:val="47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16">
    <w:name w:val="Balloon Text"/>
    <w:basedOn w:val="1"/>
    <w:link w:val="48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0">
    <w:name w:val="Subtitle"/>
    <w:basedOn w:val="1"/>
    <w:next w:val="1"/>
    <w:link w:val="49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3">
    <w:name w:val="index 1"/>
    <w:basedOn w:val="1"/>
    <w:next w:val="1"/>
    <w:qFormat/>
    <w:uiPriority w:val="0"/>
    <w:pPr>
      <w:tabs>
        <w:tab w:val="left" w:pos="540"/>
      </w:tabs>
      <w:spacing w:line="360" w:lineRule="auto"/>
    </w:pPr>
    <w:rPr>
      <w:rFonts w:ascii="宋体" w:hAnsi="宋体"/>
      <w:sz w:val="24"/>
    </w:rPr>
  </w:style>
  <w:style w:type="paragraph" w:styleId="24">
    <w:name w:val="Title"/>
    <w:basedOn w:val="1"/>
    <w:link w:val="50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25">
    <w:name w:val="annotation subject"/>
    <w:basedOn w:val="10"/>
    <w:next w:val="10"/>
    <w:link w:val="51"/>
    <w:unhideWhenUsed/>
    <w:qFormat/>
    <w:uiPriority w:val="99"/>
    <w:rPr>
      <w:b/>
      <w:bCs/>
    </w:rPr>
  </w:style>
  <w:style w:type="paragraph" w:styleId="26">
    <w:name w:val="Body Text First Indent 2"/>
    <w:basedOn w:val="11"/>
    <w:link w:val="52"/>
    <w:qFormat/>
    <w:uiPriority w:val="0"/>
    <w:pPr>
      <w:spacing w:before="100" w:beforeAutospacing="1" w:afterAutospacing="1"/>
      <w:ind w:firstLine="420" w:firstLineChars="200"/>
    </w:pPr>
  </w:style>
  <w:style w:type="table" w:styleId="28">
    <w:name w:val="Table Grid"/>
    <w:basedOn w:val="27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qFormat/>
    <w:uiPriority w:val="22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31">
    <w:name w:val="page number"/>
    <w:qFormat/>
    <w:uiPriority w:val="0"/>
  </w:style>
  <w:style w:type="character" w:styleId="32">
    <w:name w:val="Hyperlink"/>
    <w:unhideWhenUsed/>
    <w:qFormat/>
    <w:uiPriority w:val="99"/>
    <w:rPr>
      <w:color w:val="0000FF"/>
      <w:u w:val="single"/>
    </w:rPr>
  </w:style>
  <w:style w:type="character" w:styleId="33">
    <w:name w:val="annotation reference"/>
    <w:unhideWhenUsed/>
    <w:qFormat/>
    <w:uiPriority w:val="99"/>
    <w:rPr>
      <w:sz w:val="21"/>
      <w:szCs w:val="21"/>
    </w:rPr>
  </w:style>
  <w:style w:type="character" w:customStyle="1" w:styleId="34">
    <w:name w:val="页眉 Char"/>
    <w:basedOn w:val="29"/>
    <w:link w:val="18"/>
    <w:qFormat/>
    <w:uiPriority w:val="0"/>
    <w:rPr>
      <w:sz w:val="18"/>
      <w:szCs w:val="18"/>
    </w:rPr>
  </w:style>
  <w:style w:type="character" w:customStyle="1" w:styleId="35">
    <w:name w:val="页脚 Char"/>
    <w:basedOn w:val="29"/>
    <w:link w:val="17"/>
    <w:qFormat/>
    <w:uiPriority w:val="99"/>
    <w:rPr>
      <w:sz w:val="18"/>
      <w:szCs w:val="18"/>
    </w:rPr>
  </w:style>
  <w:style w:type="character" w:customStyle="1" w:styleId="36">
    <w:name w:val="标题 1 Char"/>
    <w:basedOn w:val="29"/>
    <w:link w:val="3"/>
    <w:qFormat/>
    <w:uiPriority w:val="9"/>
    <w:rPr>
      <w:rFonts w:ascii="Tahoma" w:hAnsi="Tahoma" w:eastAsia="微软雅黑" w:cs="Times New Roman"/>
      <w:b/>
      <w:bCs/>
      <w:kern w:val="44"/>
      <w:sz w:val="44"/>
      <w:szCs w:val="44"/>
    </w:rPr>
  </w:style>
  <w:style w:type="character" w:customStyle="1" w:styleId="37">
    <w:name w:val="标题 2 Char"/>
    <w:basedOn w:val="29"/>
    <w:link w:val="4"/>
    <w:qFormat/>
    <w:uiPriority w:val="9"/>
    <w:rPr>
      <w:rFonts w:ascii="Arial" w:hAnsi="Arial" w:eastAsia="黑体" w:cs="Times New Roman"/>
      <w:b/>
      <w:bCs/>
      <w:sz w:val="32"/>
      <w:szCs w:val="32"/>
    </w:rPr>
  </w:style>
  <w:style w:type="character" w:customStyle="1" w:styleId="38">
    <w:name w:val="标题 3 Char"/>
    <w:basedOn w:val="29"/>
    <w:link w:val="5"/>
    <w:qFormat/>
    <w:uiPriority w:val="9"/>
    <w:rPr>
      <w:rFonts w:ascii="Calibri" w:hAnsi="Calibri" w:eastAsia="黑体" w:cs="Times New Roman"/>
      <w:b/>
      <w:bCs/>
      <w:sz w:val="28"/>
      <w:szCs w:val="32"/>
    </w:rPr>
  </w:style>
  <w:style w:type="character" w:customStyle="1" w:styleId="39">
    <w:name w:val="标题 4 Char"/>
    <w:basedOn w:val="29"/>
    <w:link w:val="6"/>
    <w:qFormat/>
    <w:uiPriority w:val="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40">
    <w:name w:val="标题 5 Char"/>
    <w:basedOn w:val="29"/>
    <w:link w:val="7"/>
    <w:qFormat/>
    <w:uiPriority w:val="9"/>
    <w:rPr>
      <w:rFonts w:ascii="Tahoma" w:hAnsi="Tahoma" w:eastAsia="微软雅黑" w:cs="Times New Roman"/>
      <w:b/>
      <w:bCs/>
      <w:kern w:val="0"/>
      <w:sz w:val="28"/>
      <w:szCs w:val="28"/>
    </w:rPr>
  </w:style>
  <w:style w:type="character" w:customStyle="1" w:styleId="41">
    <w:name w:val="正文文本 Char"/>
    <w:basedOn w:val="29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2">
    <w:name w:val="正文缩进 Char"/>
    <w:link w:val="8"/>
    <w:qFormat/>
    <w:uiPriority w:val="99"/>
    <w:rPr>
      <w:rFonts w:ascii="Calibri" w:hAnsi="Calibri" w:eastAsia="宋体" w:cs="Times New Roman"/>
      <w:szCs w:val="20"/>
    </w:rPr>
  </w:style>
  <w:style w:type="character" w:customStyle="1" w:styleId="43">
    <w:name w:val="批注文字 Char"/>
    <w:basedOn w:val="29"/>
    <w:link w:val="1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4">
    <w:name w:val="正文文本缩进 Char"/>
    <w:basedOn w:val="29"/>
    <w:link w:val="1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5">
    <w:name w:val="纯文本 Char"/>
    <w:basedOn w:val="29"/>
    <w:link w:val="13"/>
    <w:qFormat/>
    <w:uiPriority w:val="0"/>
    <w:rPr>
      <w:rFonts w:ascii="宋体" w:hAnsi="Courier New" w:eastAsia="微软雅黑" w:cs="Times New Roman"/>
      <w:szCs w:val="21"/>
    </w:rPr>
  </w:style>
  <w:style w:type="character" w:customStyle="1" w:styleId="46">
    <w:name w:val="日期 Char"/>
    <w:basedOn w:val="29"/>
    <w:link w:val="14"/>
    <w:qFormat/>
    <w:uiPriority w:val="0"/>
    <w:rPr>
      <w:rFonts w:ascii="Times New Roman" w:hAnsi="Times New Roman" w:eastAsia="宋体" w:cs="Times New Roman"/>
      <w:kern w:val="0"/>
      <w:sz w:val="30"/>
      <w:szCs w:val="30"/>
    </w:rPr>
  </w:style>
  <w:style w:type="character" w:customStyle="1" w:styleId="47">
    <w:name w:val="正文文本缩进 2 Char"/>
    <w:basedOn w:val="29"/>
    <w:link w:val="15"/>
    <w:qFormat/>
    <w:uiPriority w:val="0"/>
    <w:rPr>
      <w:rFonts w:ascii="Times New Roman" w:hAnsi="Times New Roman" w:eastAsia="仿宋_GB2312" w:cs="Times New Roman"/>
      <w:sz w:val="32"/>
      <w:szCs w:val="28"/>
    </w:rPr>
  </w:style>
  <w:style w:type="character" w:customStyle="1" w:styleId="48">
    <w:name w:val="批注框文本 Char"/>
    <w:basedOn w:val="29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9">
    <w:name w:val="副标题 Char"/>
    <w:basedOn w:val="29"/>
    <w:link w:val="20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50">
    <w:name w:val="标题 Char"/>
    <w:basedOn w:val="29"/>
    <w:link w:val="24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51">
    <w:name w:val="批注主题 Char"/>
    <w:basedOn w:val="43"/>
    <w:link w:val="25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2">
    <w:name w:val="正文首行缩进 2 Char"/>
    <w:basedOn w:val="44"/>
    <w:link w:val="2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3">
    <w:name w:val="标题 Char1"/>
    <w:qFormat/>
    <w:uiPriority w:val="1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54">
    <w:name w:val="纯文本 字符"/>
    <w:qFormat/>
    <w:uiPriority w:val="0"/>
    <w:rPr>
      <w:rFonts w:ascii="宋体" w:hAnsi="Courier New" w:eastAsia="宋体"/>
      <w:sz w:val="24"/>
      <w:szCs w:val="21"/>
    </w:rPr>
  </w:style>
  <w:style w:type="character" w:customStyle="1" w:styleId="55">
    <w:name w:val="本文正文 Char1 Char Char Char Char Char Char Char Char Char Char Char Char Char Char Char Char Char Char Char Char Char Char Char Char Char Char"/>
    <w:link w:val="56"/>
    <w:qFormat/>
    <w:uiPriority w:val="0"/>
    <w:rPr>
      <w:rFonts w:ascii="宋体" w:hAnsi="宋体"/>
      <w:sz w:val="24"/>
      <w:szCs w:val="24"/>
    </w:rPr>
  </w:style>
  <w:style w:type="paragraph" w:customStyle="1" w:styleId="56">
    <w:name w:val="本文正文 Char1 Char Char Char Char Char Char Char Char Char Char Char Char Char Char Char Char Char Char Char Char Char Char Char Char"/>
    <w:basedOn w:val="1"/>
    <w:link w:val="55"/>
    <w:qFormat/>
    <w:uiPriority w:val="0"/>
    <w:pPr>
      <w:widowControl/>
      <w:spacing w:line="480" w:lineRule="exact"/>
      <w:ind w:firstLine="200" w:firstLineChars="200"/>
      <w:jc w:val="left"/>
    </w:pPr>
    <w:rPr>
      <w:rFonts w:ascii="宋体" w:hAnsi="宋体" w:eastAsiaTheme="minorEastAsia" w:cstheme="minorBidi"/>
      <w:sz w:val="24"/>
    </w:rPr>
  </w:style>
  <w:style w:type="character" w:customStyle="1" w:styleId="57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p141"/>
    <w:qFormat/>
    <w:uiPriority w:val="0"/>
    <w:rPr>
      <w:sz w:val="21"/>
      <w:szCs w:val="21"/>
    </w:rPr>
  </w:style>
  <w:style w:type="character" w:customStyle="1" w:styleId="59">
    <w:name w:val="纯文本 Char1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60">
    <w:name w:val="日期 Char1"/>
    <w:semiHidden/>
    <w:qFormat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61">
    <w:name w:val="列出段落 Char"/>
    <w:link w:val="62"/>
    <w:qFormat/>
    <w:uiPriority w:val="0"/>
    <w:rPr>
      <w:rFonts w:ascii="宋体" w:hAnsi="宋体"/>
      <w:sz w:val="24"/>
      <w:szCs w:val="24"/>
    </w:rPr>
  </w:style>
  <w:style w:type="paragraph" w:customStyle="1" w:styleId="62">
    <w:name w:val="列出段落1"/>
    <w:basedOn w:val="1"/>
    <w:link w:val="61"/>
    <w:qFormat/>
    <w:uiPriority w:val="0"/>
    <w:pPr>
      <w:widowControl/>
      <w:ind w:firstLine="420" w:firstLineChars="200"/>
      <w:jc w:val="left"/>
    </w:pPr>
    <w:rPr>
      <w:rFonts w:ascii="宋体" w:hAnsi="宋体" w:eastAsiaTheme="minorEastAsia" w:cstheme="minorBidi"/>
      <w:sz w:val="24"/>
    </w:rPr>
  </w:style>
  <w:style w:type="paragraph" w:customStyle="1" w:styleId="63">
    <w:name w:val="表头"/>
    <w:basedOn w:val="9"/>
    <w:qFormat/>
    <w:uiPriority w:val="0"/>
    <w:pPr>
      <w:keepNext/>
      <w:keepLines/>
      <w:widowControl/>
      <w:spacing w:before="120" w:after="120" w:line="300" w:lineRule="auto"/>
      <w:jc w:val="center"/>
      <w:textAlignment w:val="baseline"/>
    </w:pPr>
    <w:rPr>
      <w:rFonts w:ascii="Arial" w:hAnsi="Arial"/>
      <w:kern w:val="0"/>
      <w:sz w:val="21"/>
    </w:rPr>
  </w:style>
  <w:style w:type="paragraph" w:customStyle="1" w:styleId="64">
    <w:name w:val="TOC Heading"/>
    <w:basedOn w:val="3"/>
    <w:next w:val="1"/>
    <w:qFormat/>
    <w:uiPriority w:val="39"/>
    <w:pPr>
      <w:adjustRightInd/>
      <w:snapToGrid/>
      <w:spacing w:before="480" w:after="0" w:line="276" w:lineRule="auto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65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kern w:val="0"/>
      <w:szCs w:val="21"/>
    </w:rPr>
  </w:style>
  <w:style w:type="paragraph" w:styleId="6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3524</Words>
  <Characters>3743</Characters>
  <Lines>97</Lines>
  <Paragraphs>27</Paragraphs>
  <TotalTime>12</TotalTime>
  <ScaleCrop>false</ScaleCrop>
  <LinksUpToDate>false</LinksUpToDate>
  <CharactersWithSpaces>4427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2021-05-12T01:41:00Z</dcterms:created>
  <dc:creator>dell</dc:creator>
  <cp:lastModifiedBy>办公室</cp:lastModifiedBy>
  <dcterms:modified xsi:type="dcterms:W3CDTF">2025-10-10T00:59:36Z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8A1D474229B946349177BDBE52F78163</vt:lpwstr>
  </property>
  <property fmtid="{D5CDD505-2E9C-101B-9397-08002B2CF9AE}" pid="4" name="KSOTemplateDocerSaveRecord">
    <vt:lpwstr>eyJoZGlkIjoiNTNlNWFlZWNjMWNlNWQyOTk1MzYyNTUzODBhNzgxNWYiLCJ1c2VySWQiOiIyNjUxNzcxMTgifQ==</vt:lpwstr>
  </property>
</Properties>
</file>