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F5B66">
      <w:pPr>
        <w:bidi w:val="0"/>
      </w:pPr>
    </w:p>
    <w:p w14:paraId="606F5B67">
      <w:pPr>
        <w:bidi w:val="0"/>
        <w:rPr>
          <w:rFonts w:hint="eastAsia"/>
        </w:rPr>
      </w:pPr>
    </w:p>
    <w:p w14:paraId="06FBE074">
      <w:pPr>
        <w:bidi w:val="0"/>
        <w:ind w:left="0" w:leftChars="0" w:firstLine="0" w:firstLineChars="0"/>
        <w:jc w:val="center"/>
        <w:rPr>
          <w:rFonts w:hint="eastAsia"/>
          <w:sz w:val="40"/>
          <w:szCs w:val="40"/>
          <w:lang w:eastAsia="zh-CN"/>
        </w:rPr>
      </w:pPr>
      <w:r>
        <w:rPr>
          <w:rFonts w:hint="eastAsia"/>
          <w:sz w:val="40"/>
          <w:szCs w:val="40"/>
          <w:lang w:eastAsia="zh-CN"/>
        </w:rPr>
        <w:t>元谋县2025年中央水利发展资金</w:t>
      </w:r>
    </w:p>
    <w:p w14:paraId="606F5B6A">
      <w:pPr>
        <w:bidi w:val="0"/>
        <w:ind w:left="0" w:leftChars="0" w:firstLine="0" w:firstLineChars="0"/>
        <w:jc w:val="center"/>
        <w:rPr>
          <w:rFonts w:hint="eastAsia" w:eastAsia="宋体"/>
          <w:sz w:val="40"/>
          <w:szCs w:val="40"/>
          <w:lang w:eastAsia="zh-CN"/>
        </w:rPr>
      </w:pPr>
      <w:r>
        <w:rPr>
          <w:rFonts w:hint="eastAsia"/>
          <w:sz w:val="40"/>
          <w:szCs w:val="40"/>
          <w:lang w:eastAsia="zh-CN"/>
        </w:rPr>
        <w:t>白蚁等害堤动物防治项目</w:t>
      </w:r>
    </w:p>
    <w:p w14:paraId="606F5B6B">
      <w:pPr>
        <w:bidi w:val="0"/>
      </w:pPr>
    </w:p>
    <w:p w14:paraId="606F5B6C">
      <w:pPr>
        <w:bidi w:val="0"/>
      </w:pPr>
    </w:p>
    <w:p w14:paraId="606F5B6D">
      <w:pPr>
        <w:bidi w:val="0"/>
      </w:pPr>
    </w:p>
    <w:p w14:paraId="606F5B6E">
      <w:pPr>
        <w:bidi w:val="0"/>
      </w:pPr>
    </w:p>
    <w:p w14:paraId="606F5B6F">
      <w:pPr>
        <w:bidi w:val="0"/>
      </w:pPr>
    </w:p>
    <w:p w14:paraId="606F5B71">
      <w:pPr>
        <w:bidi w:val="0"/>
      </w:pPr>
    </w:p>
    <w:p w14:paraId="606F5B73">
      <w:pPr>
        <w:bidi w:val="0"/>
        <w:ind w:left="0" w:leftChars="0" w:firstLine="0" w:firstLineChars="0"/>
        <w:jc w:val="center"/>
        <w:rPr>
          <w:rFonts w:hint="eastAsia"/>
          <w:sz w:val="84"/>
          <w:szCs w:val="84"/>
          <w:highlight w:val="none"/>
        </w:rPr>
      </w:pPr>
      <w:r>
        <w:rPr>
          <w:rFonts w:hint="eastAsia"/>
          <w:sz w:val="96"/>
          <w:szCs w:val="96"/>
          <w:highlight w:val="none"/>
        </w:rPr>
        <w:t>竞争性</w:t>
      </w:r>
      <w:r>
        <w:rPr>
          <w:sz w:val="96"/>
          <w:szCs w:val="96"/>
          <w:highlight w:val="none"/>
        </w:rPr>
        <w:t>磋商</w:t>
      </w:r>
      <w:r>
        <w:rPr>
          <w:rFonts w:hint="eastAsia"/>
          <w:sz w:val="96"/>
          <w:szCs w:val="96"/>
          <w:highlight w:val="none"/>
        </w:rPr>
        <w:t>文件</w:t>
      </w:r>
    </w:p>
    <w:p w14:paraId="606F5B74">
      <w:pPr>
        <w:bidi w:val="0"/>
        <w:ind w:left="0" w:leftChars="0" w:firstLine="0" w:firstLineChars="0"/>
        <w:jc w:val="center"/>
        <w:rPr>
          <w:rFonts w:hint="eastAsia"/>
          <w:sz w:val="32"/>
          <w:szCs w:val="32"/>
          <w:highlight w:val="none"/>
        </w:rPr>
      </w:pPr>
      <w:r>
        <w:rPr>
          <w:rFonts w:hint="eastAsia"/>
          <w:sz w:val="32"/>
          <w:szCs w:val="32"/>
          <w:highlight w:val="none"/>
        </w:rPr>
        <w:t>项目编号：CXZC2025-C3-00640-CXHS-0010</w:t>
      </w:r>
    </w:p>
    <w:p w14:paraId="606F5B75">
      <w:pPr>
        <w:bidi w:val="0"/>
        <w:rPr>
          <w:rFonts w:hint="eastAsia"/>
        </w:rPr>
      </w:pPr>
    </w:p>
    <w:p w14:paraId="606F5B76">
      <w:pPr>
        <w:bidi w:val="0"/>
        <w:rPr>
          <w:rFonts w:hint="eastAsia"/>
        </w:rPr>
      </w:pPr>
    </w:p>
    <w:p w14:paraId="606F5B77">
      <w:pPr>
        <w:bidi w:val="0"/>
        <w:rPr>
          <w:rFonts w:hint="eastAsia"/>
        </w:rPr>
      </w:pPr>
    </w:p>
    <w:p w14:paraId="606F5B79">
      <w:pPr>
        <w:bidi w:val="0"/>
        <w:rPr>
          <w:rFonts w:hint="eastAsia"/>
        </w:rPr>
      </w:pPr>
    </w:p>
    <w:p w14:paraId="606F5B7C">
      <w:pPr>
        <w:bidi w:val="0"/>
        <w:rPr>
          <w:rFonts w:hint="eastAsia"/>
        </w:rPr>
      </w:pPr>
    </w:p>
    <w:p w14:paraId="337DE01B">
      <w:pPr>
        <w:bidi w:val="0"/>
        <w:ind w:left="1260" w:leftChars="600" w:firstLine="0" w:firstLineChars="0"/>
        <w:rPr>
          <w:rFonts w:hint="eastAsia"/>
          <w:sz w:val="32"/>
          <w:szCs w:val="32"/>
          <w:lang w:eastAsia="zh-CN"/>
        </w:rPr>
      </w:pPr>
      <w:bookmarkStart w:id="0" w:name="_Toc24411"/>
      <w:r>
        <w:rPr>
          <w:rFonts w:hint="eastAsia"/>
          <w:sz w:val="32"/>
          <w:szCs w:val="32"/>
        </w:rPr>
        <w:t>采</w:t>
      </w:r>
      <w:r>
        <w:rPr>
          <w:rFonts w:hint="eastAsia"/>
          <w:sz w:val="32"/>
          <w:szCs w:val="32"/>
          <w:lang w:val="en-US" w:eastAsia="zh-CN"/>
        </w:rPr>
        <w:t xml:space="preserve">   </w:t>
      </w:r>
      <w:r>
        <w:rPr>
          <w:rFonts w:hint="eastAsia"/>
          <w:sz w:val="32"/>
          <w:szCs w:val="32"/>
        </w:rPr>
        <w:t>购</w:t>
      </w:r>
      <w:r>
        <w:rPr>
          <w:rFonts w:hint="eastAsia"/>
          <w:sz w:val="32"/>
          <w:szCs w:val="32"/>
          <w:lang w:val="en-US" w:eastAsia="zh-CN"/>
        </w:rPr>
        <w:t xml:space="preserve">   </w:t>
      </w:r>
      <w:r>
        <w:rPr>
          <w:rFonts w:hint="eastAsia"/>
          <w:sz w:val="32"/>
          <w:szCs w:val="32"/>
        </w:rPr>
        <w:t>人：</w:t>
      </w:r>
      <w:bookmarkEnd w:id="0"/>
      <w:bookmarkStart w:id="1" w:name="_Toc2084"/>
      <w:r>
        <w:rPr>
          <w:rFonts w:hint="eastAsia"/>
          <w:sz w:val="32"/>
          <w:szCs w:val="32"/>
          <w:lang w:eastAsia="zh-CN"/>
        </w:rPr>
        <w:t>元谋县水务局</w:t>
      </w:r>
    </w:p>
    <w:p w14:paraId="391860EB">
      <w:pPr>
        <w:bidi w:val="0"/>
        <w:ind w:left="1260" w:leftChars="600" w:firstLine="0" w:firstLineChars="0"/>
        <w:rPr>
          <w:rFonts w:hint="eastAsia"/>
          <w:sz w:val="32"/>
          <w:szCs w:val="32"/>
          <w:lang w:eastAsia="zh-CN"/>
        </w:rPr>
      </w:pPr>
      <w:r>
        <w:rPr>
          <w:rFonts w:hint="eastAsia"/>
          <w:sz w:val="32"/>
          <w:szCs w:val="32"/>
        </w:rPr>
        <w:t>采购代理机构：</w:t>
      </w:r>
      <w:bookmarkEnd w:id="1"/>
      <w:r>
        <w:rPr>
          <w:rFonts w:hint="eastAsia"/>
          <w:sz w:val="32"/>
          <w:szCs w:val="32"/>
          <w:lang w:eastAsia="zh-CN"/>
        </w:rPr>
        <w:t>楚雄华水工程项目管理有限公司</w:t>
      </w:r>
    </w:p>
    <w:p w14:paraId="7B588251">
      <w:pPr>
        <w:bidi w:val="0"/>
        <w:ind w:left="1260" w:leftChars="600" w:firstLine="0" w:firstLineChars="0"/>
        <w:rPr>
          <w:rFonts w:hint="eastAsia" w:asciiTheme="minorEastAsia" w:hAnsiTheme="minorEastAsia" w:eastAsiaTheme="minorEastAsia" w:cstheme="minorEastAsia"/>
          <w:b/>
          <w:bCs/>
          <w:color w:val="auto"/>
          <w:spacing w:val="20"/>
          <w:sz w:val="32"/>
          <w:szCs w:val="32"/>
          <w:lang w:bidi="ar"/>
        </w:rPr>
      </w:pPr>
      <w:r>
        <w:rPr>
          <w:rFonts w:hint="eastAsia"/>
          <w:sz w:val="32"/>
          <w:szCs w:val="32"/>
        </w:rPr>
        <w:t>日</w:t>
      </w:r>
      <w:r>
        <w:rPr>
          <w:rFonts w:hint="eastAsia"/>
          <w:sz w:val="32"/>
          <w:szCs w:val="32"/>
          <w:lang w:val="en-US" w:eastAsia="zh-CN"/>
        </w:rPr>
        <w:t xml:space="preserve">        </w:t>
      </w:r>
      <w:r>
        <w:rPr>
          <w:rFonts w:hint="eastAsia"/>
          <w:sz w:val="32"/>
          <w:szCs w:val="32"/>
        </w:rPr>
        <w:t>期</w:t>
      </w:r>
      <w:r>
        <w:rPr>
          <w:rFonts w:hint="eastAsia" w:asciiTheme="minorEastAsia" w:hAnsiTheme="minorEastAsia" w:eastAsiaTheme="minorEastAsia" w:cstheme="minorEastAsia"/>
          <w:sz w:val="32"/>
          <w:szCs w:val="32"/>
        </w:rPr>
        <w:t>：</w:t>
      </w:r>
      <w:bookmarkStart w:id="2" w:name="OLE_LINK260"/>
      <w:bookmarkStart w:id="3" w:name="OLE_LINK119"/>
      <w:r>
        <w:rPr>
          <w:rFonts w:hint="eastAsia" w:asciiTheme="minorEastAsia" w:hAnsiTheme="minorEastAsia" w:eastAsiaTheme="minorEastAsia" w:cstheme="minorEastAsia"/>
          <w:sz w:val="32"/>
          <w:szCs w:val="32"/>
        </w:rPr>
        <w:t>二○二</w:t>
      </w:r>
      <w:bookmarkStart w:id="4" w:name="OLE_LINK118"/>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eastAsiaTheme="minorEastAsia" w:cstheme="minorEastAsia"/>
          <w:sz w:val="32"/>
          <w:szCs w:val="32"/>
        </w:rPr>
        <w:t>年</w:t>
      </w:r>
      <w:bookmarkEnd w:id="2"/>
      <w:bookmarkEnd w:id="4"/>
      <w:r>
        <w:rPr>
          <w:rFonts w:hint="eastAsia" w:asciiTheme="minorEastAsia" w:hAnsiTheme="minorEastAsia" w:eastAsiaTheme="minorEastAsia" w:cstheme="minorEastAsia"/>
          <w:sz w:val="32"/>
          <w:szCs w:val="32"/>
          <w:lang w:val="en-US" w:eastAsia="zh-CN"/>
        </w:rPr>
        <w:t>九</w:t>
      </w:r>
      <w:r>
        <w:rPr>
          <w:rFonts w:hint="eastAsia" w:asciiTheme="minorEastAsia" w:hAnsiTheme="minorEastAsia" w:eastAsiaTheme="minorEastAsia" w:cstheme="minorEastAsia"/>
          <w:sz w:val="32"/>
          <w:szCs w:val="32"/>
        </w:rPr>
        <w:t>月</w:t>
      </w:r>
      <w:bookmarkEnd w:id="3"/>
    </w:p>
    <w:p w14:paraId="1140F655">
      <w:pPr>
        <w:widowControl/>
        <w:spacing w:line="360" w:lineRule="auto"/>
        <w:jc w:val="center"/>
        <w:rPr>
          <w:rFonts w:hint="eastAsia" w:hAnsi="宋体"/>
          <w:b/>
          <w:snapToGrid/>
          <w:color w:val="000000" w:themeColor="text1"/>
          <w:kern w:val="11"/>
          <w:sz w:val="32"/>
          <w:szCs w:val="32"/>
          <w14:textFill>
            <w14:solidFill>
              <w14:schemeClr w14:val="tx1"/>
            </w14:solidFill>
          </w14:textFill>
        </w:rPr>
      </w:pPr>
    </w:p>
    <w:p w14:paraId="2112F4CD">
      <w:pPr>
        <w:rPr>
          <w:rFonts w:hint="eastAsia"/>
        </w:rPr>
        <w:sectPr>
          <w:headerReference r:id="rId5" w:type="default"/>
          <w:footerReference r:id="rId6" w:type="default"/>
          <w:pgSz w:w="11906" w:h="16838"/>
          <w:pgMar w:top="1985" w:right="1418" w:bottom="1418" w:left="1418" w:header="851" w:footer="992" w:gutter="0"/>
          <w:pgNumType w:fmt="decimal" w:start="1"/>
          <w:cols w:space="720" w:num="1"/>
          <w:docGrid w:type="lines" w:linePitch="312" w:charSpace="0"/>
        </w:sectPr>
      </w:pPr>
    </w:p>
    <w:p w14:paraId="5E217F58">
      <w:pPr>
        <w:spacing w:before="0" w:beforeLines="0" w:after="0" w:afterLines="0" w:line="240" w:lineRule="auto"/>
        <w:ind w:left="0" w:leftChars="0" w:right="0" w:rightChars="0" w:firstLine="0" w:firstLineChars="0"/>
        <w:jc w:val="center"/>
        <w:rPr>
          <w:rFonts w:ascii="宋体" w:hAnsi="宋体" w:eastAsia="宋体" w:cs="宋体"/>
          <w:b/>
          <w:bCs/>
          <w:snapToGrid w:val="0"/>
          <w:kern w:val="21"/>
          <w:sz w:val="36"/>
          <w:szCs w:val="44"/>
          <w:lang w:val="en-US" w:eastAsia="zh-CN" w:bidi="ar-SA"/>
        </w:rPr>
      </w:pPr>
    </w:p>
    <w:p w14:paraId="15733BF0">
      <w:pPr>
        <w:rPr>
          <w:rFonts w:ascii="宋体" w:hAnsi="宋体" w:eastAsia="宋体" w:cs="宋体"/>
          <w:b/>
          <w:bCs/>
          <w:snapToGrid w:val="0"/>
          <w:kern w:val="21"/>
          <w:sz w:val="36"/>
          <w:szCs w:val="44"/>
          <w:lang w:val="en-US" w:eastAsia="zh-CN" w:bidi="ar-SA"/>
        </w:rPr>
      </w:pPr>
    </w:p>
    <w:p w14:paraId="251FA310">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napToGrid/>
          <w:color w:val="000000" w:themeColor="text1"/>
          <w:kern w:val="11"/>
          <w:sz w:val="21"/>
          <w:szCs w:val="32"/>
          <w:lang w:val="en-US" w:eastAsia="zh-CN" w:bidi="ar-SA"/>
          <w14:textFill>
            <w14:solidFill>
              <w14:schemeClr w14:val="tx1"/>
            </w14:solidFill>
          </w14:textFill>
        </w:rPr>
      </w:pPr>
      <w:r>
        <w:rPr>
          <w:rFonts w:ascii="宋体" w:hAnsi="宋体" w:eastAsia="宋体"/>
          <w:b/>
          <w:bCs/>
          <w:sz w:val="40"/>
          <w:szCs w:val="48"/>
        </w:rPr>
        <w:t>目</w:t>
      </w:r>
      <w:r>
        <w:rPr>
          <w:rFonts w:hint="eastAsia"/>
          <w:b/>
          <w:bCs/>
          <w:sz w:val="40"/>
          <w:szCs w:val="48"/>
          <w:lang w:val="en-US" w:eastAsia="zh-CN"/>
        </w:rPr>
        <w:t xml:space="preserve">  </w:t>
      </w:r>
      <w:r>
        <w:rPr>
          <w:rFonts w:ascii="宋体" w:hAnsi="宋体" w:eastAsia="宋体"/>
          <w:b/>
          <w:bCs/>
          <w:sz w:val="40"/>
          <w:szCs w:val="48"/>
        </w:rPr>
        <w:t>录</w:t>
      </w:r>
      <w:r>
        <w:rPr>
          <w:rFonts w:hint="eastAsia" w:hAnsi="宋体"/>
          <w:b/>
          <w:snapToGrid/>
          <w:color w:val="000000" w:themeColor="text1"/>
          <w:kern w:val="11"/>
          <w:sz w:val="32"/>
          <w:szCs w:val="32"/>
          <w14:textFill>
            <w14:solidFill>
              <w14:schemeClr w14:val="tx1"/>
            </w14:solidFill>
          </w14:textFill>
        </w:rPr>
        <w:fldChar w:fldCharType="begin"/>
      </w:r>
      <w:r>
        <w:rPr>
          <w:rFonts w:hint="eastAsia" w:hAnsi="宋体"/>
          <w:b/>
          <w:snapToGrid/>
          <w:color w:val="000000" w:themeColor="text1"/>
          <w:kern w:val="11"/>
          <w:sz w:val="32"/>
          <w:szCs w:val="32"/>
          <w14:textFill>
            <w14:solidFill>
              <w14:schemeClr w14:val="tx1"/>
            </w14:solidFill>
          </w14:textFill>
        </w:rPr>
        <w:instrText xml:space="preserve">TOC \o "1-1" \h \u </w:instrText>
      </w:r>
      <w:r>
        <w:rPr>
          <w:rFonts w:hint="eastAsia" w:hAnsi="宋体"/>
          <w:b/>
          <w:snapToGrid/>
          <w:color w:val="000000" w:themeColor="text1"/>
          <w:kern w:val="11"/>
          <w:sz w:val="32"/>
          <w:szCs w:val="32"/>
          <w14:textFill>
            <w14:solidFill>
              <w14:schemeClr w14:val="tx1"/>
            </w14:solidFill>
          </w14:textFill>
        </w:rPr>
        <w:fldChar w:fldCharType="separate"/>
      </w:r>
    </w:p>
    <w:p w14:paraId="6DBD1953">
      <w:pPr>
        <w:pStyle w:val="14"/>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ind w:firstLine="0" w:firstLineChars="0"/>
        <w:textAlignment w:val="auto"/>
        <w:rPr>
          <w:sz w:val="28"/>
          <w:szCs w:val="36"/>
        </w:rPr>
      </w:pPr>
      <w:r>
        <w:rPr>
          <w:rFonts w:hint="eastAsia" w:hAnsi="宋体"/>
          <w:snapToGrid/>
          <w:color w:val="000000" w:themeColor="text1"/>
          <w:kern w:val="11"/>
          <w:sz w:val="28"/>
          <w:szCs w:val="44"/>
          <w14:textFill>
            <w14:solidFill>
              <w14:schemeClr w14:val="tx1"/>
            </w14:solidFill>
          </w14:textFill>
        </w:rPr>
        <w:fldChar w:fldCharType="begin"/>
      </w:r>
      <w:r>
        <w:rPr>
          <w:rFonts w:hint="eastAsia" w:hAnsi="宋体"/>
          <w:snapToGrid/>
          <w:kern w:val="11"/>
          <w:sz w:val="28"/>
          <w:szCs w:val="44"/>
        </w:rPr>
        <w:instrText xml:space="preserve"> HYPERLINK \l _Toc16542 </w:instrText>
      </w:r>
      <w:r>
        <w:rPr>
          <w:rFonts w:hint="eastAsia" w:hAnsi="宋体"/>
          <w:snapToGrid/>
          <w:kern w:val="11"/>
          <w:sz w:val="28"/>
          <w:szCs w:val="44"/>
        </w:rPr>
        <w:fldChar w:fldCharType="separate"/>
      </w:r>
      <w:r>
        <w:rPr>
          <w:rFonts w:hint="eastAsia" w:ascii="宋体" w:hAnsi="宋体"/>
          <w:sz w:val="28"/>
          <w:szCs w:val="48"/>
          <w:lang w:val="zh-CN"/>
        </w:rPr>
        <w:t>第一</w:t>
      </w:r>
      <w:r>
        <w:rPr>
          <w:rFonts w:ascii="宋体" w:hAnsi="宋体"/>
          <w:sz w:val="28"/>
          <w:szCs w:val="48"/>
          <w:lang w:val="zh-CN"/>
        </w:rPr>
        <w:t xml:space="preserve">章  </w:t>
      </w:r>
      <w:r>
        <w:rPr>
          <w:rFonts w:hint="eastAsia" w:ascii="宋体" w:hAnsi="宋体"/>
          <w:sz w:val="28"/>
          <w:szCs w:val="48"/>
          <w:lang w:val="zh-CN"/>
        </w:rPr>
        <w:t>竞争性磋商公告</w:t>
      </w:r>
      <w:r>
        <w:rPr>
          <w:sz w:val="28"/>
          <w:szCs w:val="36"/>
        </w:rPr>
        <w:tab/>
      </w:r>
      <w:r>
        <w:rPr>
          <w:sz w:val="28"/>
          <w:szCs w:val="36"/>
        </w:rPr>
        <w:fldChar w:fldCharType="begin"/>
      </w:r>
      <w:r>
        <w:rPr>
          <w:sz w:val="28"/>
          <w:szCs w:val="36"/>
        </w:rPr>
        <w:instrText xml:space="preserve"> PAGEREF _Toc16542 \h </w:instrText>
      </w:r>
      <w:r>
        <w:rPr>
          <w:sz w:val="28"/>
          <w:szCs w:val="36"/>
        </w:rPr>
        <w:fldChar w:fldCharType="separate"/>
      </w:r>
      <w:r>
        <w:rPr>
          <w:sz w:val="28"/>
          <w:szCs w:val="36"/>
        </w:rPr>
        <w:t>1</w:t>
      </w:r>
      <w:r>
        <w:rPr>
          <w:sz w:val="28"/>
          <w:szCs w:val="36"/>
        </w:rPr>
        <w:fldChar w:fldCharType="end"/>
      </w:r>
      <w:r>
        <w:rPr>
          <w:rFonts w:hint="eastAsia" w:hAnsi="宋体"/>
          <w:snapToGrid/>
          <w:color w:val="000000" w:themeColor="text1"/>
          <w:kern w:val="11"/>
          <w:sz w:val="28"/>
          <w:szCs w:val="44"/>
          <w14:textFill>
            <w14:solidFill>
              <w14:schemeClr w14:val="tx1"/>
            </w14:solidFill>
          </w14:textFill>
        </w:rPr>
        <w:fldChar w:fldCharType="end"/>
      </w:r>
    </w:p>
    <w:p w14:paraId="6DA73866">
      <w:pPr>
        <w:pStyle w:val="14"/>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ind w:firstLine="0" w:firstLineChars="0"/>
        <w:textAlignment w:val="auto"/>
        <w:rPr>
          <w:sz w:val="28"/>
          <w:szCs w:val="36"/>
        </w:rPr>
      </w:pPr>
      <w:r>
        <w:rPr>
          <w:rFonts w:hint="eastAsia" w:hAnsi="宋体"/>
          <w:snapToGrid/>
          <w:color w:val="000000" w:themeColor="text1"/>
          <w:kern w:val="11"/>
          <w:sz w:val="28"/>
          <w:szCs w:val="44"/>
          <w14:textFill>
            <w14:solidFill>
              <w14:schemeClr w14:val="tx1"/>
            </w14:solidFill>
          </w14:textFill>
        </w:rPr>
        <w:fldChar w:fldCharType="begin"/>
      </w:r>
      <w:r>
        <w:rPr>
          <w:rFonts w:hint="eastAsia" w:hAnsi="宋体"/>
          <w:snapToGrid/>
          <w:kern w:val="11"/>
          <w:sz w:val="28"/>
          <w:szCs w:val="44"/>
        </w:rPr>
        <w:instrText xml:space="preserve"> HYPERLINK \l _Toc3750 </w:instrText>
      </w:r>
      <w:r>
        <w:rPr>
          <w:rFonts w:hint="eastAsia" w:hAnsi="宋体"/>
          <w:snapToGrid/>
          <w:kern w:val="11"/>
          <w:sz w:val="28"/>
          <w:szCs w:val="44"/>
        </w:rPr>
        <w:fldChar w:fldCharType="separate"/>
      </w:r>
      <w:r>
        <w:rPr>
          <w:rFonts w:hint="eastAsia"/>
          <w:sz w:val="28"/>
          <w:szCs w:val="36"/>
          <w:lang w:val="zh-CN"/>
        </w:rPr>
        <w:t>第二章  供应商须知</w:t>
      </w:r>
      <w:r>
        <w:rPr>
          <w:sz w:val="28"/>
          <w:szCs w:val="36"/>
        </w:rPr>
        <w:tab/>
      </w:r>
      <w:r>
        <w:rPr>
          <w:sz w:val="28"/>
          <w:szCs w:val="36"/>
        </w:rPr>
        <w:fldChar w:fldCharType="begin"/>
      </w:r>
      <w:r>
        <w:rPr>
          <w:sz w:val="28"/>
          <w:szCs w:val="36"/>
        </w:rPr>
        <w:instrText xml:space="preserve"> PAGEREF _Toc3750 \h </w:instrText>
      </w:r>
      <w:r>
        <w:rPr>
          <w:sz w:val="28"/>
          <w:szCs w:val="36"/>
        </w:rPr>
        <w:fldChar w:fldCharType="separate"/>
      </w:r>
      <w:r>
        <w:rPr>
          <w:sz w:val="28"/>
          <w:szCs w:val="36"/>
        </w:rPr>
        <w:t>6</w:t>
      </w:r>
      <w:r>
        <w:rPr>
          <w:sz w:val="28"/>
          <w:szCs w:val="36"/>
        </w:rPr>
        <w:fldChar w:fldCharType="end"/>
      </w:r>
      <w:r>
        <w:rPr>
          <w:rFonts w:hint="eastAsia" w:hAnsi="宋体"/>
          <w:snapToGrid/>
          <w:color w:val="000000" w:themeColor="text1"/>
          <w:kern w:val="11"/>
          <w:sz w:val="28"/>
          <w:szCs w:val="44"/>
          <w14:textFill>
            <w14:solidFill>
              <w14:schemeClr w14:val="tx1"/>
            </w14:solidFill>
          </w14:textFill>
        </w:rPr>
        <w:fldChar w:fldCharType="end"/>
      </w:r>
    </w:p>
    <w:p w14:paraId="1E97A53B">
      <w:pPr>
        <w:pStyle w:val="14"/>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ind w:firstLine="0" w:firstLineChars="0"/>
        <w:textAlignment w:val="auto"/>
        <w:rPr>
          <w:sz w:val="28"/>
          <w:szCs w:val="36"/>
        </w:rPr>
      </w:pPr>
      <w:r>
        <w:rPr>
          <w:rFonts w:hint="eastAsia" w:hAnsi="宋体"/>
          <w:snapToGrid/>
          <w:color w:val="000000" w:themeColor="text1"/>
          <w:kern w:val="11"/>
          <w:sz w:val="28"/>
          <w:szCs w:val="44"/>
          <w14:textFill>
            <w14:solidFill>
              <w14:schemeClr w14:val="tx1"/>
            </w14:solidFill>
          </w14:textFill>
        </w:rPr>
        <w:fldChar w:fldCharType="begin"/>
      </w:r>
      <w:r>
        <w:rPr>
          <w:rFonts w:hint="eastAsia" w:hAnsi="宋体"/>
          <w:snapToGrid/>
          <w:kern w:val="11"/>
          <w:sz w:val="28"/>
          <w:szCs w:val="44"/>
        </w:rPr>
        <w:instrText xml:space="preserve"> HYPERLINK \l _Toc5681 </w:instrText>
      </w:r>
      <w:r>
        <w:rPr>
          <w:rFonts w:hint="eastAsia" w:hAnsi="宋体"/>
          <w:snapToGrid/>
          <w:kern w:val="11"/>
          <w:sz w:val="28"/>
          <w:szCs w:val="44"/>
        </w:rPr>
        <w:fldChar w:fldCharType="separate"/>
      </w:r>
      <w:r>
        <w:rPr>
          <w:rFonts w:hint="eastAsia"/>
          <w:sz w:val="28"/>
          <w:szCs w:val="36"/>
          <w:highlight w:val="none"/>
          <w:lang w:val="zh-CN"/>
        </w:rPr>
        <w:t>第三章  合同书样式及主要条款</w:t>
      </w:r>
      <w:r>
        <w:rPr>
          <w:sz w:val="28"/>
          <w:szCs w:val="36"/>
        </w:rPr>
        <w:tab/>
      </w:r>
      <w:r>
        <w:rPr>
          <w:sz w:val="28"/>
          <w:szCs w:val="36"/>
        </w:rPr>
        <w:fldChar w:fldCharType="begin"/>
      </w:r>
      <w:r>
        <w:rPr>
          <w:sz w:val="28"/>
          <w:szCs w:val="36"/>
        </w:rPr>
        <w:instrText xml:space="preserve"> PAGEREF _Toc5681 \h </w:instrText>
      </w:r>
      <w:r>
        <w:rPr>
          <w:sz w:val="28"/>
          <w:szCs w:val="36"/>
        </w:rPr>
        <w:fldChar w:fldCharType="separate"/>
      </w:r>
      <w:r>
        <w:rPr>
          <w:sz w:val="28"/>
          <w:szCs w:val="36"/>
        </w:rPr>
        <w:t>31</w:t>
      </w:r>
      <w:r>
        <w:rPr>
          <w:sz w:val="28"/>
          <w:szCs w:val="36"/>
        </w:rPr>
        <w:fldChar w:fldCharType="end"/>
      </w:r>
      <w:r>
        <w:rPr>
          <w:rFonts w:hint="eastAsia" w:hAnsi="宋体"/>
          <w:snapToGrid/>
          <w:color w:val="000000" w:themeColor="text1"/>
          <w:kern w:val="11"/>
          <w:sz w:val="28"/>
          <w:szCs w:val="44"/>
          <w14:textFill>
            <w14:solidFill>
              <w14:schemeClr w14:val="tx1"/>
            </w14:solidFill>
          </w14:textFill>
        </w:rPr>
        <w:fldChar w:fldCharType="end"/>
      </w:r>
    </w:p>
    <w:p w14:paraId="0741E7B7">
      <w:pPr>
        <w:pStyle w:val="14"/>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ind w:firstLine="0" w:firstLineChars="0"/>
        <w:textAlignment w:val="auto"/>
        <w:rPr>
          <w:sz w:val="28"/>
          <w:szCs w:val="36"/>
        </w:rPr>
      </w:pPr>
      <w:r>
        <w:rPr>
          <w:rFonts w:hint="eastAsia" w:hAnsi="宋体"/>
          <w:snapToGrid/>
          <w:color w:val="000000" w:themeColor="text1"/>
          <w:kern w:val="11"/>
          <w:sz w:val="28"/>
          <w:szCs w:val="44"/>
          <w14:textFill>
            <w14:solidFill>
              <w14:schemeClr w14:val="tx1"/>
            </w14:solidFill>
          </w14:textFill>
        </w:rPr>
        <w:fldChar w:fldCharType="begin"/>
      </w:r>
      <w:r>
        <w:rPr>
          <w:rFonts w:hint="eastAsia" w:hAnsi="宋体"/>
          <w:snapToGrid/>
          <w:kern w:val="11"/>
          <w:sz w:val="28"/>
          <w:szCs w:val="44"/>
        </w:rPr>
        <w:instrText xml:space="preserve"> HYPERLINK \l _Toc16986 </w:instrText>
      </w:r>
      <w:r>
        <w:rPr>
          <w:rFonts w:hint="eastAsia" w:hAnsi="宋体"/>
          <w:snapToGrid/>
          <w:kern w:val="11"/>
          <w:sz w:val="28"/>
          <w:szCs w:val="44"/>
        </w:rPr>
        <w:fldChar w:fldCharType="separate"/>
      </w:r>
      <w:r>
        <w:rPr>
          <w:rFonts w:hint="eastAsia"/>
          <w:sz w:val="28"/>
          <w:szCs w:val="36"/>
          <w:lang w:val="zh-CN"/>
        </w:rPr>
        <w:t>第四章  响应文件格式</w:t>
      </w:r>
      <w:r>
        <w:rPr>
          <w:sz w:val="28"/>
          <w:szCs w:val="36"/>
        </w:rPr>
        <w:tab/>
      </w:r>
      <w:r>
        <w:rPr>
          <w:sz w:val="28"/>
          <w:szCs w:val="36"/>
        </w:rPr>
        <w:fldChar w:fldCharType="begin"/>
      </w:r>
      <w:r>
        <w:rPr>
          <w:sz w:val="28"/>
          <w:szCs w:val="36"/>
        </w:rPr>
        <w:instrText xml:space="preserve"> PAGEREF _Toc16986 \h </w:instrText>
      </w:r>
      <w:r>
        <w:rPr>
          <w:sz w:val="28"/>
          <w:szCs w:val="36"/>
        </w:rPr>
        <w:fldChar w:fldCharType="separate"/>
      </w:r>
      <w:r>
        <w:rPr>
          <w:sz w:val="28"/>
          <w:szCs w:val="36"/>
        </w:rPr>
        <w:t>37</w:t>
      </w:r>
      <w:r>
        <w:rPr>
          <w:sz w:val="28"/>
          <w:szCs w:val="36"/>
        </w:rPr>
        <w:fldChar w:fldCharType="end"/>
      </w:r>
      <w:r>
        <w:rPr>
          <w:rFonts w:hint="eastAsia" w:hAnsi="宋体"/>
          <w:snapToGrid/>
          <w:color w:val="000000" w:themeColor="text1"/>
          <w:kern w:val="11"/>
          <w:sz w:val="28"/>
          <w:szCs w:val="44"/>
          <w14:textFill>
            <w14:solidFill>
              <w14:schemeClr w14:val="tx1"/>
            </w14:solidFill>
          </w14:textFill>
        </w:rPr>
        <w:fldChar w:fldCharType="end"/>
      </w:r>
    </w:p>
    <w:p w14:paraId="744D534C">
      <w:pPr>
        <w:pStyle w:val="14"/>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ind w:firstLine="0" w:firstLineChars="0"/>
        <w:textAlignment w:val="auto"/>
        <w:rPr>
          <w:sz w:val="28"/>
          <w:szCs w:val="36"/>
        </w:rPr>
      </w:pPr>
      <w:r>
        <w:rPr>
          <w:rFonts w:hint="eastAsia" w:hAnsi="宋体"/>
          <w:snapToGrid/>
          <w:color w:val="000000" w:themeColor="text1"/>
          <w:kern w:val="11"/>
          <w:sz w:val="28"/>
          <w:szCs w:val="44"/>
          <w14:textFill>
            <w14:solidFill>
              <w14:schemeClr w14:val="tx1"/>
            </w14:solidFill>
          </w14:textFill>
        </w:rPr>
        <w:fldChar w:fldCharType="begin"/>
      </w:r>
      <w:r>
        <w:rPr>
          <w:rFonts w:hint="eastAsia" w:hAnsi="宋体"/>
          <w:snapToGrid/>
          <w:kern w:val="11"/>
          <w:sz w:val="28"/>
          <w:szCs w:val="44"/>
        </w:rPr>
        <w:instrText xml:space="preserve"> HYPERLINK \l _Toc28274 </w:instrText>
      </w:r>
      <w:r>
        <w:rPr>
          <w:rFonts w:hint="eastAsia" w:hAnsi="宋体"/>
          <w:snapToGrid/>
          <w:kern w:val="11"/>
          <w:sz w:val="28"/>
          <w:szCs w:val="44"/>
        </w:rPr>
        <w:fldChar w:fldCharType="separate"/>
      </w:r>
      <w:r>
        <w:rPr>
          <w:rFonts w:hint="eastAsia"/>
          <w:sz w:val="28"/>
          <w:szCs w:val="36"/>
          <w:highlight w:val="none"/>
          <w:lang w:val="zh-CN"/>
        </w:rPr>
        <w:t>第五章  采购需求</w:t>
      </w:r>
      <w:r>
        <w:rPr>
          <w:sz w:val="28"/>
          <w:szCs w:val="36"/>
        </w:rPr>
        <w:tab/>
      </w:r>
      <w:r>
        <w:rPr>
          <w:sz w:val="28"/>
          <w:szCs w:val="36"/>
        </w:rPr>
        <w:fldChar w:fldCharType="begin"/>
      </w:r>
      <w:r>
        <w:rPr>
          <w:sz w:val="28"/>
          <w:szCs w:val="36"/>
        </w:rPr>
        <w:instrText xml:space="preserve"> PAGEREF _Toc28274 \h </w:instrText>
      </w:r>
      <w:r>
        <w:rPr>
          <w:sz w:val="28"/>
          <w:szCs w:val="36"/>
        </w:rPr>
        <w:fldChar w:fldCharType="separate"/>
      </w:r>
      <w:r>
        <w:rPr>
          <w:sz w:val="28"/>
          <w:szCs w:val="36"/>
        </w:rPr>
        <w:t>52</w:t>
      </w:r>
      <w:r>
        <w:rPr>
          <w:sz w:val="28"/>
          <w:szCs w:val="36"/>
        </w:rPr>
        <w:fldChar w:fldCharType="end"/>
      </w:r>
      <w:r>
        <w:rPr>
          <w:rFonts w:hint="eastAsia" w:hAnsi="宋体"/>
          <w:snapToGrid/>
          <w:color w:val="000000" w:themeColor="text1"/>
          <w:kern w:val="11"/>
          <w:sz w:val="28"/>
          <w:szCs w:val="44"/>
          <w14:textFill>
            <w14:solidFill>
              <w14:schemeClr w14:val="tx1"/>
            </w14:solidFill>
          </w14:textFill>
        </w:rPr>
        <w:fldChar w:fldCharType="end"/>
      </w:r>
    </w:p>
    <w:p w14:paraId="765E80D2">
      <w:pPr>
        <w:pStyle w:val="14"/>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ind w:firstLine="0" w:firstLineChars="0"/>
        <w:textAlignment w:val="auto"/>
        <w:rPr>
          <w:sz w:val="28"/>
          <w:szCs w:val="36"/>
        </w:rPr>
      </w:pPr>
      <w:r>
        <w:rPr>
          <w:rFonts w:hint="eastAsia" w:hAnsi="宋体"/>
          <w:snapToGrid/>
          <w:color w:val="000000" w:themeColor="text1"/>
          <w:kern w:val="11"/>
          <w:sz w:val="28"/>
          <w:szCs w:val="44"/>
          <w14:textFill>
            <w14:solidFill>
              <w14:schemeClr w14:val="tx1"/>
            </w14:solidFill>
          </w14:textFill>
        </w:rPr>
        <w:fldChar w:fldCharType="begin"/>
      </w:r>
      <w:r>
        <w:rPr>
          <w:rFonts w:hint="eastAsia" w:hAnsi="宋体"/>
          <w:snapToGrid/>
          <w:kern w:val="11"/>
          <w:sz w:val="28"/>
          <w:szCs w:val="44"/>
        </w:rPr>
        <w:instrText xml:space="preserve"> HYPERLINK \l _Toc11679 </w:instrText>
      </w:r>
      <w:r>
        <w:rPr>
          <w:rFonts w:hint="eastAsia" w:hAnsi="宋体"/>
          <w:snapToGrid/>
          <w:kern w:val="11"/>
          <w:sz w:val="28"/>
          <w:szCs w:val="44"/>
        </w:rPr>
        <w:fldChar w:fldCharType="separate"/>
      </w:r>
      <w:r>
        <w:rPr>
          <w:rFonts w:hint="eastAsia" w:ascii="宋体" w:hAnsi="宋体" w:eastAsia="宋体" w:cs="宋体"/>
          <w:bCs/>
          <w:snapToGrid/>
          <w:kern w:val="44"/>
          <w:sz w:val="28"/>
          <w:szCs w:val="56"/>
          <w:lang w:val="zh-CN" w:eastAsia="zh-CN" w:bidi="ar-SA"/>
        </w:rPr>
        <w:t>第</w:t>
      </w:r>
      <w:r>
        <w:rPr>
          <w:rFonts w:hint="eastAsia" w:cs="宋体"/>
          <w:bCs/>
          <w:snapToGrid/>
          <w:kern w:val="44"/>
          <w:sz w:val="28"/>
          <w:szCs w:val="56"/>
          <w:lang w:val="en-US" w:eastAsia="zh-CN" w:bidi="ar-SA"/>
        </w:rPr>
        <w:t>六</w:t>
      </w:r>
      <w:r>
        <w:rPr>
          <w:rFonts w:hint="eastAsia" w:ascii="宋体" w:hAnsi="宋体" w:eastAsia="宋体" w:cs="宋体"/>
          <w:bCs/>
          <w:snapToGrid/>
          <w:kern w:val="44"/>
          <w:sz w:val="28"/>
          <w:szCs w:val="56"/>
          <w:lang w:val="zh-CN" w:eastAsia="zh-CN" w:bidi="ar-SA"/>
        </w:rPr>
        <w:t>章</w:t>
      </w:r>
      <w:r>
        <w:rPr>
          <w:sz w:val="28"/>
          <w:szCs w:val="36"/>
          <w:highlight w:val="none"/>
          <w:lang w:val="zh-CN"/>
        </w:rPr>
        <w:t xml:space="preserve"> </w:t>
      </w:r>
      <w:r>
        <w:rPr>
          <w:rFonts w:hint="eastAsia"/>
          <w:sz w:val="28"/>
          <w:szCs w:val="36"/>
          <w:highlight w:val="none"/>
          <w:lang w:val="en-US" w:eastAsia="zh-CN"/>
        </w:rPr>
        <w:t xml:space="preserve"> </w:t>
      </w:r>
      <w:r>
        <w:rPr>
          <w:rFonts w:hint="eastAsia"/>
          <w:sz w:val="28"/>
          <w:szCs w:val="36"/>
          <w:highlight w:val="none"/>
          <w:lang w:val="zh-CN"/>
        </w:rPr>
        <w:t>评审方法</w:t>
      </w:r>
      <w:r>
        <w:rPr>
          <w:sz w:val="28"/>
          <w:szCs w:val="36"/>
        </w:rPr>
        <w:tab/>
      </w:r>
      <w:r>
        <w:rPr>
          <w:sz w:val="28"/>
          <w:szCs w:val="36"/>
        </w:rPr>
        <w:fldChar w:fldCharType="begin"/>
      </w:r>
      <w:r>
        <w:rPr>
          <w:sz w:val="28"/>
          <w:szCs w:val="36"/>
        </w:rPr>
        <w:instrText xml:space="preserve"> PAGEREF _Toc11679 \h </w:instrText>
      </w:r>
      <w:r>
        <w:rPr>
          <w:sz w:val="28"/>
          <w:szCs w:val="36"/>
        </w:rPr>
        <w:fldChar w:fldCharType="separate"/>
      </w:r>
      <w:r>
        <w:rPr>
          <w:sz w:val="28"/>
          <w:szCs w:val="36"/>
        </w:rPr>
        <w:t>59</w:t>
      </w:r>
      <w:r>
        <w:rPr>
          <w:sz w:val="28"/>
          <w:szCs w:val="36"/>
        </w:rPr>
        <w:fldChar w:fldCharType="end"/>
      </w:r>
      <w:r>
        <w:rPr>
          <w:rFonts w:hint="eastAsia" w:hAnsi="宋体"/>
          <w:snapToGrid/>
          <w:color w:val="000000" w:themeColor="text1"/>
          <w:kern w:val="11"/>
          <w:sz w:val="28"/>
          <w:szCs w:val="44"/>
          <w14:textFill>
            <w14:solidFill>
              <w14:schemeClr w14:val="tx1"/>
            </w14:solidFill>
          </w14:textFill>
        </w:rPr>
        <w:fldChar w:fldCharType="end"/>
      </w:r>
    </w:p>
    <w:p w14:paraId="56573B5A">
      <w:pPr>
        <w:pStyle w:val="14"/>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ind w:firstLine="0" w:firstLineChars="0"/>
        <w:textAlignment w:val="auto"/>
        <w:rPr>
          <w:sz w:val="32"/>
          <w:szCs w:val="40"/>
        </w:rPr>
      </w:pPr>
      <w:r>
        <w:rPr>
          <w:rFonts w:hint="eastAsia" w:hAnsi="宋体"/>
          <w:snapToGrid/>
          <w:color w:val="000000" w:themeColor="text1"/>
          <w:kern w:val="11"/>
          <w:sz w:val="28"/>
          <w:szCs w:val="44"/>
          <w14:textFill>
            <w14:solidFill>
              <w14:schemeClr w14:val="tx1"/>
            </w14:solidFill>
          </w14:textFill>
        </w:rPr>
        <w:fldChar w:fldCharType="begin"/>
      </w:r>
      <w:r>
        <w:rPr>
          <w:rFonts w:hint="eastAsia" w:hAnsi="宋体"/>
          <w:snapToGrid/>
          <w:kern w:val="11"/>
          <w:sz w:val="28"/>
          <w:szCs w:val="44"/>
        </w:rPr>
        <w:instrText xml:space="preserve"> HYPERLINK \l _Toc26153 </w:instrText>
      </w:r>
      <w:r>
        <w:rPr>
          <w:rFonts w:hint="eastAsia" w:hAnsi="宋体"/>
          <w:snapToGrid/>
          <w:kern w:val="11"/>
          <w:sz w:val="28"/>
          <w:szCs w:val="44"/>
        </w:rPr>
        <w:fldChar w:fldCharType="separate"/>
      </w:r>
      <w:r>
        <w:rPr>
          <w:rFonts w:hint="eastAsia" w:ascii="宋体" w:hAnsi="宋体"/>
          <w:sz w:val="28"/>
          <w:szCs w:val="48"/>
          <w:lang w:val="zh-CN"/>
        </w:rPr>
        <w:t>竞争性磋商</w:t>
      </w:r>
      <w:r>
        <w:rPr>
          <w:rFonts w:hint="eastAsia" w:ascii="宋体" w:hAnsi="宋体"/>
          <w:sz w:val="28"/>
          <w:szCs w:val="48"/>
          <w:lang w:val="en-US" w:eastAsia="zh-CN"/>
        </w:rPr>
        <w:t>最后报价及</w:t>
      </w:r>
      <w:r>
        <w:rPr>
          <w:rFonts w:hint="eastAsia" w:ascii="宋体" w:hAnsi="宋体"/>
          <w:sz w:val="28"/>
          <w:szCs w:val="48"/>
          <w:lang w:val="zh-CN"/>
        </w:rPr>
        <w:t>承诺书</w:t>
      </w:r>
      <w:r>
        <w:rPr>
          <w:sz w:val="28"/>
          <w:szCs w:val="36"/>
        </w:rPr>
        <w:tab/>
      </w:r>
      <w:r>
        <w:rPr>
          <w:sz w:val="28"/>
          <w:szCs w:val="36"/>
        </w:rPr>
        <w:fldChar w:fldCharType="begin"/>
      </w:r>
      <w:r>
        <w:rPr>
          <w:sz w:val="28"/>
          <w:szCs w:val="36"/>
        </w:rPr>
        <w:instrText xml:space="preserve"> PAGEREF _Toc26153 \h </w:instrText>
      </w:r>
      <w:r>
        <w:rPr>
          <w:sz w:val="28"/>
          <w:szCs w:val="36"/>
        </w:rPr>
        <w:fldChar w:fldCharType="separate"/>
      </w:r>
      <w:r>
        <w:rPr>
          <w:sz w:val="28"/>
          <w:szCs w:val="36"/>
        </w:rPr>
        <w:t>65</w:t>
      </w:r>
      <w:r>
        <w:rPr>
          <w:sz w:val="28"/>
          <w:szCs w:val="36"/>
        </w:rPr>
        <w:fldChar w:fldCharType="end"/>
      </w:r>
      <w:r>
        <w:rPr>
          <w:rFonts w:hint="eastAsia" w:hAnsi="宋体"/>
          <w:snapToGrid/>
          <w:color w:val="000000" w:themeColor="text1"/>
          <w:kern w:val="11"/>
          <w:sz w:val="28"/>
          <w:szCs w:val="44"/>
          <w14:textFill>
            <w14:solidFill>
              <w14:schemeClr w14:val="tx1"/>
            </w14:solidFill>
          </w14:textFill>
        </w:rPr>
        <w:fldChar w:fldCharType="end"/>
      </w:r>
    </w:p>
    <w:p w14:paraId="25A05601">
      <w:pPr>
        <w:widowControl/>
        <w:spacing w:before="0" w:beforeLines="0" w:after="0" w:afterLines="0" w:line="240" w:lineRule="auto"/>
        <w:ind w:left="0" w:leftChars="0" w:right="0" w:rightChars="0" w:firstLine="0" w:firstLineChars="0"/>
        <w:jc w:val="center"/>
        <w:rPr>
          <w:rFonts w:hint="eastAsia" w:ascii="宋体" w:hAnsi="宋体" w:eastAsia="宋体" w:cs="宋体"/>
          <w:snapToGrid/>
          <w:color w:val="000000" w:themeColor="text1"/>
          <w:kern w:val="11"/>
          <w:sz w:val="21"/>
          <w:szCs w:val="32"/>
          <w:lang w:val="en-US" w:eastAsia="zh-CN" w:bidi="ar-SA"/>
          <w14:textFill>
            <w14:solidFill>
              <w14:schemeClr w14:val="tx1"/>
            </w14:solidFill>
          </w14:textFill>
        </w:rPr>
      </w:pPr>
      <w:r>
        <w:rPr>
          <w:rFonts w:hint="eastAsia" w:hAnsi="宋体"/>
          <w:snapToGrid/>
          <w:color w:val="000000" w:themeColor="text1"/>
          <w:kern w:val="11"/>
          <w:szCs w:val="32"/>
          <w14:textFill>
            <w14:solidFill>
              <w14:schemeClr w14:val="tx1"/>
            </w14:solidFill>
          </w14:textFill>
        </w:rPr>
        <w:fldChar w:fldCharType="end"/>
      </w:r>
    </w:p>
    <w:p w14:paraId="127C8D11">
      <w:pPr>
        <w:tabs>
          <w:tab w:val="right" w:leader="dot" w:pos="9060"/>
        </w:tabs>
        <w:spacing w:line="480" w:lineRule="auto"/>
        <w:ind w:firstLine="211"/>
        <w:jc w:val="left"/>
        <w:rPr>
          <w:b/>
          <w:bCs/>
          <w:color w:val="000000" w:themeColor="text1"/>
          <w14:textFill>
            <w14:solidFill>
              <w14:schemeClr w14:val="tx1"/>
            </w14:solidFill>
          </w14:textFill>
        </w:rPr>
        <w:sectPr>
          <w:footerReference r:id="rId7" w:type="default"/>
          <w:pgSz w:w="11906" w:h="16838"/>
          <w:pgMar w:top="1440" w:right="1080" w:bottom="1440" w:left="1080" w:header="851" w:footer="992" w:gutter="0"/>
          <w:pgNumType w:fmt="decimal"/>
          <w:cols w:space="720" w:num="1"/>
          <w:docGrid w:linePitch="312" w:charSpace="0"/>
        </w:sectPr>
      </w:pPr>
    </w:p>
    <w:p w14:paraId="06524747">
      <w:pPr>
        <w:tabs>
          <w:tab w:val="right" w:leader="dot" w:pos="9060"/>
        </w:tabs>
        <w:spacing w:line="480" w:lineRule="auto"/>
        <w:ind w:firstLine="211"/>
        <w:jc w:val="left"/>
        <w:rPr>
          <w:b/>
          <w:bCs/>
          <w:color w:val="000000" w:themeColor="text1"/>
          <w14:textFill>
            <w14:solidFill>
              <w14:schemeClr w14:val="tx1"/>
            </w14:solidFill>
          </w14:textFill>
        </w:rPr>
      </w:pPr>
    </w:p>
    <w:p w14:paraId="606F5B90">
      <w:pPr>
        <w:pStyle w:val="3"/>
        <w:widowControl/>
        <w:spacing w:before="240" w:after="240" w:line="312" w:lineRule="auto"/>
        <w:rPr>
          <w:rFonts w:hint="eastAsia" w:ascii="宋体" w:hAnsi="宋体"/>
          <w:color w:val="000000" w:themeColor="text1"/>
          <w:sz w:val="36"/>
          <w:szCs w:val="36"/>
          <w:lang w:val="zh-CN"/>
          <w14:textFill>
            <w14:solidFill>
              <w14:schemeClr w14:val="tx1"/>
            </w14:solidFill>
          </w14:textFill>
        </w:rPr>
      </w:pPr>
      <w:bookmarkStart w:id="5" w:name="_Toc16542"/>
      <w:bookmarkStart w:id="6" w:name="_Toc201047300"/>
      <w:r>
        <w:rPr>
          <w:rFonts w:hint="eastAsia" w:ascii="宋体" w:hAnsi="宋体"/>
          <w:color w:val="000000" w:themeColor="text1"/>
          <w:sz w:val="36"/>
          <w:szCs w:val="36"/>
          <w:lang w:val="zh-CN"/>
          <w14:textFill>
            <w14:solidFill>
              <w14:schemeClr w14:val="tx1"/>
            </w14:solidFill>
          </w14:textFill>
        </w:rPr>
        <w:t>第一</w:t>
      </w:r>
      <w:r>
        <w:rPr>
          <w:rFonts w:ascii="宋体" w:hAnsi="宋体"/>
          <w:color w:val="000000" w:themeColor="text1"/>
          <w:sz w:val="36"/>
          <w:szCs w:val="36"/>
          <w:lang w:val="zh-CN"/>
          <w14:textFill>
            <w14:solidFill>
              <w14:schemeClr w14:val="tx1"/>
            </w14:solidFill>
          </w14:textFill>
        </w:rPr>
        <w:t xml:space="preserve">章  </w:t>
      </w:r>
      <w:r>
        <w:rPr>
          <w:rFonts w:hint="eastAsia" w:ascii="宋体" w:hAnsi="宋体"/>
          <w:color w:val="000000" w:themeColor="text1"/>
          <w:sz w:val="36"/>
          <w:szCs w:val="36"/>
          <w:lang w:val="zh-CN"/>
          <w14:textFill>
            <w14:solidFill>
              <w14:schemeClr w14:val="tx1"/>
            </w14:solidFill>
          </w14:textFill>
        </w:rPr>
        <w:t>竞争性磋商公告</w:t>
      </w:r>
      <w:bookmarkEnd w:id="5"/>
      <w:bookmarkEnd w:id="6"/>
    </w:p>
    <w:p w14:paraId="606F5B91">
      <w:pPr>
        <w:pBdr>
          <w:top w:val="single" w:color="auto" w:sz="4" w:space="1"/>
          <w:left w:val="single" w:color="auto" w:sz="4" w:space="4"/>
          <w:bottom w:val="single" w:color="auto" w:sz="4" w:space="1"/>
          <w:right w:val="single" w:color="auto" w:sz="4" w:space="0"/>
        </w:pBdr>
        <w:spacing w:before="156" w:beforeLines="50" w:line="360" w:lineRule="auto"/>
        <w:ind w:left="0" w:leftChars="0" w:firstLine="0" w:firstLineChars="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项目概况</w:t>
      </w:r>
    </w:p>
    <w:p w14:paraId="606F5B92">
      <w:pPr>
        <w:pBdr>
          <w:top w:val="single" w:color="auto" w:sz="4" w:space="1"/>
          <w:left w:val="single" w:color="auto" w:sz="4" w:space="4"/>
          <w:bottom w:val="single" w:color="auto" w:sz="4" w:space="1"/>
          <w:right w:val="single" w:color="auto" w:sz="4" w:space="0"/>
        </w:pBdr>
        <w:spacing w:line="360" w:lineRule="auto"/>
        <w:ind w:firstLine="420" w:firstLineChars="200"/>
        <w:rPr>
          <w:rFonts w:hint="eastAsia" w:hAnsi="宋体"/>
          <w:color w:val="000000" w:themeColor="text1"/>
          <w:szCs w:val="21"/>
          <w:highlight w:val="none"/>
          <w:u w:val="single"/>
          <w14:textFill>
            <w14:solidFill>
              <w14:schemeClr w14:val="tx1"/>
            </w14:solidFill>
          </w14:textFill>
        </w:rPr>
      </w:pPr>
      <w:r>
        <w:rPr>
          <w:rFonts w:hint="eastAsia"/>
          <w:color w:val="000000" w:themeColor="text1"/>
          <w:szCs w:val="21"/>
          <w:u w:val="single"/>
          <w:lang w:eastAsia="zh-CN"/>
          <w14:textFill>
            <w14:solidFill>
              <w14:schemeClr w14:val="tx1"/>
            </w14:solidFill>
          </w14:textFill>
        </w:rPr>
        <w:t>元谋县2025年中央水利发展资金白蚁等害堤动物防治项目</w:t>
      </w:r>
      <w:r>
        <w:rPr>
          <w:rFonts w:hint="eastAsia" w:hAnsi="宋体"/>
          <w:color w:val="000000" w:themeColor="text1"/>
          <w:szCs w:val="21"/>
          <w:highlight w:val="none"/>
          <w14:textFill>
            <w14:solidFill>
              <w14:schemeClr w14:val="tx1"/>
            </w14:solidFill>
          </w14:textFill>
        </w:rPr>
        <w:t>采购项目的潜在供应商应在</w:t>
      </w:r>
      <w:r>
        <w:rPr>
          <w:rFonts w:hint="eastAsia" w:hAnsi="宋体"/>
          <w:b/>
          <w:bCs/>
          <w:color w:val="000000" w:themeColor="text1"/>
          <w:szCs w:val="21"/>
          <w:highlight w:val="none"/>
          <w:u w:val="single"/>
          <w14:textFill>
            <w14:solidFill>
              <w14:schemeClr w14:val="tx1"/>
            </w14:solidFill>
          </w14:textFill>
        </w:rPr>
        <w:t>政府采购云平台（网址：www.zcygov.cn）</w:t>
      </w:r>
      <w:r>
        <w:rPr>
          <w:rFonts w:hint="eastAsia" w:hAnsi="宋体"/>
          <w:color w:val="000000" w:themeColor="text1"/>
          <w:szCs w:val="21"/>
          <w:highlight w:val="none"/>
          <w14:textFill>
            <w14:solidFill>
              <w14:schemeClr w14:val="tx1"/>
            </w14:solidFill>
          </w14:textFill>
        </w:rPr>
        <w:t>获取竞争性磋商文件，并</w:t>
      </w:r>
      <w:r>
        <w:rPr>
          <w:rFonts w:hint="eastAsia" w:hAnsi="宋体"/>
          <w:color w:val="auto"/>
          <w:szCs w:val="21"/>
          <w:highlight w:val="none"/>
        </w:rPr>
        <w:t>于</w:t>
      </w:r>
      <w:r>
        <w:rPr>
          <w:rFonts w:hAnsi="宋体"/>
          <w:b/>
          <w:bCs/>
          <w:color w:val="auto"/>
          <w:szCs w:val="21"/>
          <w:highlight w:val="none"/>
          <w:u w:val="single"/>
        </w:rPr>
        <w:t>202</w:t>
      </w:r>
      <w:r>
        <w:rPr>
          <w:rFonts w:hint="eastAsia" w:hAnsi="宋体"/>
          <w:b/>
          <w:bCs/>
          <w:color w:val="auto"/>
          <w:szCs w:val="21"/>
          <w:highlight w:val="none"/>
          <w:u w:val="single"/>
        </w:rPr>
        <w:t>5年</w:t>
      </w:r>
      <w:r>
        <w:rPr>
          <w:rFonts w:hint="eastAsia"/>
          <w:b/>
          <w:bCs/>
          <w:color w:val="auto"/>
          <w:szCs w:val="21"/>
          <w:highlight w:val="none"/>
          <w:u w:val="single"/>
          <w:lang w:val="en-US" w:eastAsia="zh-CN"/>
        </w:rPr>
        <w:t>10</w:t>
      </w:r>
      <w:r>
        <w:rPr>
          <w:rFonts w:hint="eastAsia" w:hAnsi="宋体"/>
          <w:b/>
          <w:bCs/>
          <w:color w:val="auto"/>
          <w:szCs w:val="21"/>
          <w:highlight w:val="none"/>
          <w:u w:val="single"/>
        </w:rPr>
        <w:t>月</w:t>
      </w:r>
      <w:r>
        <w:rPr>
          <w:rFonts w:hint="eastAsia"/>
          <w:b/>
          <w:bCs/>
          <w:color w:val="auto"/>
          <w:szCs w:val="21"/>
          <w:highlight w:val="none"/>
          <w:u w:val="single"/>
          <w:lang w:val="en-US" w:eastAsia="zh-CN"/>
        </w:rPr>
        <w:t>20</w:t>
      </w:r>
      <w:r>
        <w:rPr>
          <w:rFonts w:hint="eastAsia" w:hAnsi="宋体"/>
          <w:b/>
          <w:bCs/>
          <w:color w:val="auto"/>
          <w:szCs w:val="21"/>
          <w:highlight w:val="none"/>
          <w:u w:val="single"/>
        </w:rPr>
        <w:t>日</w:t>
      </w:r>
      <w:r>
        <w:rPr>
          <w:rFonts w:hint="eastAsia"/>
          <w:b/>
          <w:bCs/>
          <w:color w:val="auto"/>
          <w:szCs w:val="21"/>
          <w:highlight w:val="none"/>
          <w:u w:val="single"/>
          <w:lang w:val="en-US" w:eastAsia="zh-CN"/>
        </w:rPr>
        <w:t>9</w:t>
      </w:r>
      <w:r>
        <w:rPr>
          <w:rFonts w:hint="eastAsia" w:hAnsi="宋体"/>
          <w:b/>
          <w:bCs/>
          <w:color w:val="auto"/>
          <w:szCs w:val="21"/>
          <w:highlight w:val="none"/>
          <w:u w:val="single"/>
        </w:rPr>
        <w:t>点</w:t>
      </w:r>
      <w:r>
        <w:rPr>
          <w:rFonts w:hint="eastAsia"/>
          <w:b/>
          <w:bCs/>
          <w:color w:val="auto"/>
          <w:szCs w:val="21"/>
          <w:highlight w:val="none"/>
          <w:u w:val="single"/>
          <w:lang w:val="en-US" w:eastAsia="zh-CN"/>
        </w:rPr>
        <w:t>30</w:t>
      </w:r>
      <w:r>
        <w:rPr>
          <w:rFonts w:hint="eastAsia" w:hAnsi="宋体"/>
          <w:b/>
          <w:bCs/>
          <w:color w:val="auto"/>
          <w:szCs w:val="21"/>
          <w:highlight w:val="none"/>
          <w:u w:val="single"/>
        </w:rPr>
        <w:t>分</w:t>
      </w:r>
      <w:r>
        <w:rPr>
          <w:rFonts w:hint="eastAsia" w:hAnsi="宋体"/>
          <w:bCs/>
          <w:color w:val="auto"/>
          <w:szCs w:val="21"/>
          <w:highlight w:val="none"/>
        </w:rPr>
        <w:t>（</w:t>
      </w:r>
      <w:r>
        <w:rPr>
          <w:rFonts w:hint="eastAsia" w:hAnsi="宋体"/>
          <w:bCs/>
          <w:color w:val="000000" w:themeColor="text1"/>
          <w:szCs w:val="21"/>
          <w:highlight w:val="none"/>
          <w14:textFill>
            <w14:solidFill>
              <w14:schemeClr w14:val="tx1"/>
            </w14:solidFill>
          </w14:textFill>
        </w:rPr>
        <w:t>北京时间）前提交响应</w:t>
      </w:r>
      <w:r>
        <w:rPr>
          <w:rFonts w:hAnsi="宋体"/>
          <w:bCs/>
          <w:color w:val="000000" w:themeColor="text1"/>
          <w:szCs w:val="21"/>
          <w:highlight w:val="none"/>
          <w14:textFill>
            <w14:solidFill>
              <w14:schemeClr w14:val="tx1"/>
            </w14:solidFill>
          </w14:textFill>
        </w:rPr>
        <w:t>文件</w:t>
      </w:r>
      <w:r>
        <w:rPr>
          <w:rFonts w:hint="eastAsia" w:hAnsi="宋体"/>
          <w:color w:val="000000" w:themeColor="text1"/>
          <w:szCs w:val="21"/>
          <w:highlight w:val="none"/>
          <w14:textFill>
            <w14:solidFill>
              <w14:schemeClr w14:val="tx1"/>
            </w14:solidFill>
          </w14:textFill>
        </w:rPr>
        <w:t>。</w:t>
      </w:r>
    </w:p>
    <w:p w14:paraId="606F5B93">
      <w:pPr>
        <w:rPr>
          <w:rFonts w:hint="eastAsia" w:hAnsi="宋体"/>
          <w:color w:val="000000" w:themeColor="text1"/>
          <w:highlight w:val="none"/>
          <w14:textFill>
            <w14:solidFill>
              <w14:schemeClr w14:val="tx1"/>
            </w14:solidFill>
          </w14:textFill>
        </w:rPr>
      </w:pPr>
    </w:p>
    <w:p w14:paraId="606F5B94">
      <w:pPr>
        <w:pStyle w:val="4"/>
        <w:bidi w:val="0"/>
        <w:rPr>
          <w:rFonts w:hint="eastAsia"/>
          <w:highlight w:val="none"/>
        </w:rPr>
      </w:pPr>
      <w:bookmarkStart w:id="7" w:name="_Toc28359012"/>
      <w:bookmarkStart w:id="8" w:name="_Toc28359089"/>
      <w:bookmarkStart w:id="9" w:name="_Toc35393629"/>
      <w:bookmarkStart w:id="10" w:name="_Toc35393798"/>
      <w:r>
        <w:rPr>
          <w:rFonts w:hint="eastAsia"/>
          <w:highlight w:val="none"/>
        </w:rPr>
        <w:t>一、项目基本情况</w:t>
      </w:r>
      <w:bookmarkEnd w:id="7"/>
      <w:bookmarkEnd w:id="8"/>
      <w:bookmarkEnd w:id="9"/>
      <w:bookmarkEnd w:id="10"/>
    </w:p>
    <w:p w14:paraId="606F5B95">
      <w:pPr>
        <w:bidi w:val="0"/>
        <w:rPr>
          <w:rFonts w:hint="eastAsia"/>
          <w:color w:val="auto"/>
          <w:highlight w:val="none"/>
        </w:rPr>
      </w:pPr>
      <w:r>
        <w:rPr>
          <w:rFonts w:hint="eastAsia"/>
          <w:color w:val="auto"/>
          <w:highlight w:val="none"/>
          <w:lang w:val="en-US" w:eastAsia="zh-CN"/>
        </w:rPr>
        <w:t>1.</w:t>
      </w:r>
      <w:r>
        <w:rPr>
          <w:rFonts w:hint="eastAsia"/>
          <w:color w:val="auto"/>
          <w:highlight w:val="none"/>
        </w:rPr>
        <w:t>项目编号：CXZC2025-C3-00640-CXHS-0010</w:t>
      </w:r>
    </w:p>
    <w:p w14:paraId="606F5B96">
      <w:pPr>
        <w:bidi w:val="0"/>
        <w:rPr>
          <w:rFonts w:hint="eastAsia"/>
          <w:lang w:eastAsia="zh-CN"/>
        </w:rPr>
      </w:pPr>
      <w:r>
        <w:rPr>
          <w:rFonts w:hint="eastAsia"/>
          <w:highlight w:val="none"/>
          <w:lang w:val="en-US" w:eastAsia="zh-CN"/>
        </w:rPr>
        <w:t>2.</w:t>
      </w:r>
      <w:r>
        <w:rPr>
          <w:rFonts w:hint="eastAsia"/>
          <w:highlight w:val="none"/>
        </w:rPr>
        <w:t>项目名称：</w:t>
      </w:r>
      <w:bookmarkStart w:id="11" w:name="OLE_LINK9"/>
      <w:r>
        <w:rPr>
          <w:rFonts w:hint="eastAsia"/>
          <w:highlight w:val="none"/>
          <w:lang w:eastAsia="zh-CN"/>
        </w:rPr>
        <w:t>元谋县2025年中央水利发展资金白蚁等害堤动物防治项目</w:t>
      </w:r>
    </w:p>
    <w:bookmarkEnd w:id="11"/>
    <w:p w14:paraId="606F5B97">
      <w:pPr>
        <w:bidi w:val="0"/>
        <w:rPr>
          <w:rFonts w:hint="eastAsia"/>
          <w:color w:val="auto"/>
          <w:highlight w:val="none"/>
        </w:rPr>
      </w:pPr>
      <w:r>
        <w:rPr>
          <w:rFonts w:hint="eastAsia"/>
          <w:color w:val="auto"/>
          <w:highlight w:val="none"/>
          <w:lang w:val="en-US" w:eastAsia="zh-CN"/>
        </w:rPr>
        <w:t>3.</w:t>
      </w:r>
      <w:r>
        <w:rPr>
          <w:rFonts w:hint="eastAsia"/>
          <w:color w:val="auto"/>
          <w:highlight w:val="none"/>
        </w:rPr>
        <w:t>采购方式：竞争性磋商</w:t>
      </w:r>
    </w:p>
    <w:p w14:paraId="606F5B98">
      <w:pPr>
        <w:bidi w:val="0"/>
        <w:rPr>
          <w:rFonts w:hint="eastAsia"/>
          <w:color w:val="auto"/>
          <w:highlight w:val="none"/>
        </w:rPr>
      </w:pPr>
      <w:r>
        <w:rPr>
          <w:rFonts w:hint="eastAsia"/>
          <w:color w:val="auto"/>
          <w:highlight w:val="none"/>
          <w:lang w:val="en-US" w:eastAsia="zh-CN"/>
        </w:rPr>
        <w:t>4.</w:t>
      </w:r>
      <w:r>
        <w:rPr>
          <w:rFonts w:hint="eastAsia"/>
          <w:color w:val="auto"/>
          <w:highlight w:val="none"/>
        </w:rPr>
        <w:t>预算金额：</w:t>
      </w:r>
      <w:r>
        <w:rPr>
          <w:rFonts w:hint="eastAsia"/>
          <w:color w:val="auto"/>
          <w:highlight w:val="none"/>
          <w:lang w:val="en-US" w:eastAsia="zh-CN"/>
        </w:rPr>
        <w:t>648000.00</w:t>
      </w:r>
      <w:r>
        <w:rPr>
          <w:rFonts w:hint="eastAsia"/>
          <w:color w:val="auto"/>
          <w:highlight w:val="none"/>
        </w:rPr>
        <w:t>元</w:t>
      </w:r>
    </w:p>
    <w:p w14:paraId="606F5B99">
      <w:pPr>
        <w:bidi w:val="0"/>
        <w:rPr>
          <w:rFonts w:hint="default" w:eastAsia="宋体"/>
          <w:color w:val="auto"/>
          <w:highlight w:val="none"/>
          <w:lang w:val="en-US" w:eastAsia="zh-CN"/>
        </w:rPr>
      </w:pPr>
      <w:r>
        <w:rPr>
          <w:rFonts w:hint="eastAsia"/>
          <w:color w:val="auto"/>
          <w:highlight w:val="none"/>
          <w:lang w:val="en-US" w:eastAsia="zh-CN"/>
        </w:rPr>
        <w:t>5.</w:t>
      </w:r>
      <w:r>
        <w:rPr>
          <w:rFonts w:hint="eastAsia"/>
          <w:color w:val="auto"/>
          <w:highlight w:val="none"/>
        </w:rPr>
        <w:t>最高限价：</w:t>
      </w:r>
      <w:r>
        <w:rPr>
          <w:rFonts w:hint="eastAsia"/>
          <w:color w:val="auto"/>
          <w:highlight w:val="none"/>
          <w:lang w:val="en-US" w:eastAsia="zh-CN"/>
        </w:rPr>
        <w:t>648000.00元</w:t>
      </w:r>
    </w:p>
    <w:p w14:paraId="15A83C24">
      <w:pPr>
        <w:bidi w:val="0"/>
        <w:rPr>
          <w:rFonts w:hint="eastAsia"/>
          <w:highlight w:val="none"/>
        </w:rPr>
      </w:pPr>
      <w:r>
        <w:rPr>
          <w:rFonts w:hint="eastAsia"/>
          <w:highlight w:val="none"/>
          <w:lang w:val="en-US" w:eastAsia="zh-CN"/>
        </w:rPr>
        <w:t>6.</w:t>
      </w:r>
      <w:r>
        <w:rPr>
          <w:rFonts w:hint="eastAsia"/>
          <w:highlight w:val="none"/>
        </w:rPr>
        <w:t>采购需求：</w:t>
      </w:r>
      <w:bookmarkStart w:id="12" w:name="_Hlk123118098"/>
      <w:bookmarkStart w:id="13" w:name="_Hlk123118113"/>
      <w:bookmarkStart w:id="14" w:name="_Hlk113974087"/>
      <w:r>
        <w:rPr>
          <w:rFonts w:hint="eastAsia"/>
          <w:highlight w:val="none"/>
          <w:lang w:eastAsia="zh-CN"/>
        </w:rPr>
        <w:t>按照《堤坝白蚁防治技术规程》、《水利工程白蚁防治技术规程》（SL∕T836-2024）等相关规范，完成元马镇等8个乡镇47座小型水库白蚁防治，主要治理内容为：蚁巢开挖回填、白蚁饵剂诱杀、药物喷洒和白蚁监测装置埋设等</w:t>
      </w:r>
      <w:r>
        <w:rPr>
          <w:rFonts w:hint="eastAsia"/>
          <w:highlight w:val="none"/>
        </w:rPr>
        <w:t>。</w:t>
      </w:r>
    </w:p>
    <w:p w14:paraId="752B7031">
      <w:pPr>
        <w:bidi w:val="0"/>
        <w:rPr>
          <w:rFonts w:hint="eastAsia"/>
          <w:highlight w:val="none"/>
        </w:rPr>
      </w:pPr>
      <w:r>
        <w:rPr>
          <w:rFonts w:hint="eastAsia"/>
          <w:lang w:val="en-US" w:eastAsia="zh-CN"/>
        </w:rPr>
        <w:t>7.</w:t>
      </w:r>
      <w:r>
        <w:rPr>
          <w:rFonts w:hint="eastAsia"/>
          <w:highlight w:val="none"/>
        </w:rPr>
        <w:t>项目实施地点</w:t>
      </w:r>
      <w:bookmarkEnd w:id="12"/>
      <w:r>
        <w:rPr>
          <w:rFonts w:hint="eastAsia"/>
          <w:highlight w:val="none"/>
        </w:rPr>
        <w:t>：元谋县元马镇、黄瓜园镇、羊街镇、物茂乡、老城乡、平田乡、新华乡和姜驿乡。</w:t>
      </w:r>
    </w:p>
    <w:p w14:paraId="1E7BF69F">
      <w:pPr>
        <w:bidi w:val="0"/>
        <w:rPr>
          <w:rFonts w:hint="eastAsia"/>
          <w:highlight w:val="green"/>
        </w:rPr>
      </w:pPr>
      <w:r>
        <w:rPr>
          <w:rFonts w:hint="eastAsia"/>
          <w:highlight w:val="none"/>
          <w:lang w:val="en-US" w:eastAsia="zh-CN"/>
        </w:rPr>
        <w:t>8.合同履行期限</w:t>
      </w:r>
      <w:r>
        <w:rPr>
          <w:rFonts w:hint="eastAsia"/>
          <w:highlight w:val="none"/>
        </w:rPr>
        <w:t>：</w:t>
      </w:r>
      <w:bookmarkStart w:id="15" w:name="_Hlk161246531"/>
      <w:r>
        <w:rPr>
          <w:rFonts w:hint="eastAsia"/>
          <w:color w:val="auto"/>
          <w:highlight w:val="none"/>
          <w:lang w:eastAsia="zh-CN"/>
        </w:rPr>
        <w:t>90日历天。于2027年4-5月开展效果复查与巩固治理</w:t>
      </w:r>
      <w:r>
        <w:rPr>
          <w:rFonts w:hint="eastAsia"/>
          <w:highlight w:val="none"/>
        </w:rPr>
        <w:t>。</w:t>
      </w:r>
      <w:bookmarkEnd w:id="15"/>
    </w:p>
    <w:bookmarkEnd w:id="13"/>
    <w:bookmarkEnd w:id="14"/>
    <w:p w14:paraId="606F5BCE">
      <w:pPr>
        <w:bidi w:val="0"/>
        <w:rPr>
          <w:rFonts w:hint="eastAsia"/>
        </w:rPr>
      </w:pPr>
      <w:r>
        <w:rPr>
          <w:rFonts w:hint="eastAsia"/>
          <w:highlight w:val="none"/>
          <w:lang w:val="en-US" w:eastAsia="zh-CN"/>
        </w:rPr>
        <w:t>9.</w:t>
      </w:r>
      <w:r>
        <w:rPr>
          <w:rFonts w:hint="eastAsia"/>
          <w:highlight w:val="none"/>
        </w:rPr>
        <w:t>质量标准：</w:t>
      </w:r>
      <w:r>
        <w:rPr>
          <w:rFonts w:hint="eastAsia"/>
          <w:lang w:eastAsia="zh-CN"/>
        </w:rPr>
        <w:t>符合《水利工程白蚁防治技术规程》（SLT836—2024）、《水利工程白蚁防治技术规范》（T∕CHES-44-2020）等要求，同时符合国家现行有关标准的规定</w:t>
      </w:r>
      <w:r>
        <w:rPr>
          <w:rFonts w:hint="eastAsia"/>
        </w:rPr>
        <w:t>。</w:t>
      </w:r>
    </w:p>
    <w:p w14:paraId="606F5BCF">
      <w:pPr>
        <w:bidi w:val="0"/>
        <w:rPr>
          <w:rFonts w:hint="eastAsia" w:hAnsi="宋体"/>
          <w:color w:val="000000" w:themeColor="text1"/>
          <w:szCs w:val="21"/>
          <w14:textFill>
            <w14:solidFill>
              <w14:schemeClr w14:val="tx1"/>
            </w14:solidFill>
          </w14:textFill>
        </w:rPr>
      </w:pPr>
      <w:r>
        <w:rPr>
          <w:rFonts w:hint="eastAsia"/>
          <w:lang w:val="en-US" w:eastAsia="zh-CN"/>
        </w:rPr>
        <w:t>10.</w:t>
      </w:r>
      <w:r>
        <w:rPr>
          <w:rFonts w:hint="eastAsia"/>
        </w:rPr>
        <w:t>本项目</w:t>
      </w:r>
      <w:r>
        <w:rPr>
          <w:rFonts w:hint="eastAsia"/>
          <w:lang w:val="en-US" w:eastAsia="zh-CN"/>
        </w:rPr>
        <w:t>不</w:t>
      </w:r>
      <w:r>
        <w:rPr>
          <w:rFonts w:hint="eastAsia"/>
        </w:rPr>
        <w:t>接受联合体</w:t>
      </w:r>
      <w:r>
        <w:rPr>
          <w:rFonts w:hint="eastAsia" w:hAnsi="宋体"/>
          <w:color w:val="000000" w:themeColor="text1"/>
          <w:szCs w:val="21"/>
          <w14:textFill>
            <w14:solidFill>
              <w14:schemeClr w14:val="tx1"/>
            </w14:solidFill>
          </w14:textFill>
        </w:rPr>
        <w:t>。</w:t>
      </w:r>
    </w:p>
    <w:p w14:paraId="606F5BD0">
      <w:pPr>
        <w:pStyle w:val="4"/>
        <w:bidi w:val="0"/>
        <w:rPr>
          <w:rFonts w:hint="eastAsia"/>
        </w:rPr>
      </w:pPr>
      <w:bookmarkStart w:id="16" w:name="_Toc28359090"/>
      <w:bookmarkStart w:id="17" w:name="_Toc35393630"/>
      <w:bookmarkStart w:id="18" w:name="_Toc35393799"/>
      <w:bookmarkStart w:id="19" w:name="_Toc28359013"/>
      <w:r>
        <w:rPr>
          <w:rFonts w:hint="eastAsia"/>
        </w:rPr>
        <w:t>二、申请人的资格要求</w:t>
      </w:r>
      <w:bookmarkEnd w:id="16"/>
      <w:bookmarkEnd w:id="17"/>
      <w:bookmarkEnd w:id="18"/>
      <w:bookmarkEnd w:id="19"/>
    </w:p>
    <w:p w14:paraId="606F5BD1">
      <w:pPr>
        <w:bidi w:val="0"/>
        <w:rPr>
          <w:rFonts w:hint="eastAsia" w:eastAsia="宋体"/>
          <w:b/>
          <w:bCs/>
          <w:lang w:eastAsia="zh-CN"/>
        </w:rPr>
      </w:pPr>
      <w:r>
        <w:rPr>
          <w:rFonts w:hint="eastAsia"/>
          <w:b/>
          <w:bCs/>
        </w:rPr>
        <w:t>1.满足《中华人民共和国政府采购法》第二十二条规定</w:t>
      </w:r>
      <w:r>
        <w:rPr>
          <w:rFonts w:hint="eastAsia"/>
          <w:b/>
          <w:bCs/>
          <w:lang w:eastAsia="zh-CN"/>
        </w:rPr>
        <w:t>：</w:t>
      </w:r>
    </w:p>
    <w:p w14:paraId="606F5BD2">
      <w:pPr>
        <w:bidi w:val="0"/>
        <w:rPr>
          <w:rFonts w:hint="eastAsia"/>
          <w:highlight w:val="none"/>
        </w:rPr>
      </w:pPr>
      <w:r>
        <w:rPr>
          <w:b/>
          <w:bCs/>
        </w:rPr>
        <w:t>1</w:t>
      </w:r>
      <w:r>
        <w:rPr>
          <w:rFonts w:hint="eastAsia"/>
          <w:b/>
          <w:bCs/>
        </w:rPr>
        <w:t>.1具有独立承担民事责任的能力：</w:t>
      </w:r>
      <w:r>
        <w:rPr>
          <w:rFonts w:hint="eastAsia"/>
          <w:lang w:val="en-US" w:eastAsia="zh-CN"/>
        </w:rPr>
        <w:t>供应商</w:t>
      </w:r>
      <w:r>
        <w:rPr>
          <w:rFonts w:hint="eastAsia"/>
        </w:rPr>
        <w:t>须是具有独立承担民事责任能力的法人或其他组织，提供有效的营业执照或事业单位法人证书或其他类似的法定证明文件。</w:t>
      </w:r>
    </w:p>
    <w:p w14:paraId="606F5BD3">
      <w:pPr>
        <w:bidi w:val="0"/>
        <w:rPr>
          <w:rFonts w:hint="eastAsia"/>
          <w:highlight w:val="none"/>
        </w:rPr>
      </w:pPr>
      <w:bookmarkStart w:id="20" w:name="_Hlk114560318"/>
      <w:r>
        <w:rPr>
          <w:b/>
          <w:bCs/>
          <w:highlight w:val="none"/>
        </w:rPr>
        <w:t>1</w:t>
      </w:r>
      <w:r>
        <w:rPr>
          <w:rFonts w:hint="eastAsia"/>
          <w:b/>
          <w:bCs/>
          <w:highlight w:val="none"/>
        </w:rPr>
        <w:t>.2具有良好的商业信誉和健全的财务会计制度：</w:t>
      </w:r>
    </w:p>
    <w:bookmarkEnd w:id="20"/>
    <w:p w14:paraId="606F5BD4">
      <w:pPr>
        <w:bidi w:val="0"/>
        <w:rPr>
          <w:rFonts w:hint="eastAsia"/>
          <w:highlight w:val="none"/>
        </w:rPr>
      </w:pPr>
      <w:r>
        <w:rPr>
          <w:highlight w:val="none"/>
        </w:rPr>
        <w:t>1.2.1</w:t>
      </w:r>
      <w:r>
        <w:rPr>
          <w:rFonts w:hint="eastAsia"/>
          <w:highlight w:val="none"/>
        </w:rPr>
        <w:t>供应商在本项目提交响应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606F5BD5">
      <w:pPr>
        <w:bidi w:val="0"/>
        <w:rPr>
          <w:rFonts w:hint="eastAsia"/>
          <w:color w:val="auto"/>
          <w:highlight w:val="none"/>
        </w:rPr>
      </w:pPr>
      <w:bookmarkStart w:id="21" w:name="_Hlk114561035"/>
      <w:r>
        <w:rPr>
          <w:color w:val="auto"/>
          <w:highlight w:val="none"/>
        </w:rPr>
        <w:t>1.2.2</w:t>
      </w:r>
      <w:r>
        <w:rPr>
          <w:rFonts w:hint="eastAsia"/>
          <w:color w:val="auto"/>
          <w:highlight w:val="none"/>
        </w:rPr>
        <w:t>供应商须提供近三年（</w:t>
      </w:r>
      <w:r>
        <w:rPr>
          <w:rFonts w:hint="eastAsia"/>
          <w:color w:val="auto"/>
          <w:highlight w:val="none"/>
          <w:lang w:eastAsia="zh-CN"/>
        </w:rPr>
        <w:t>2022年～2024年</w:t>
      </w:r>
      <w:r>
        <w:rPr>
          <w:rFonts w:hint="eastAsia"/>
          <w:color w:val="auto"/>
          <w:highlight w:val="none"/>
        </w:rPr>
        <w:t>）经会计师事务所或审计机构审计的审计报告和财务报表（包括但不限于现金流量表、资产负债表、利润表或损益表）</w:t>
      </w:r>
      <w:r>
        <w:rPr>
          <w:rFonts w:hint="eastAsia"/>
          <w:color w:val="auto"/>
          <w:highlight w:val="none"/>
          <w:lang w:eastAsia="zh-CN"/>
        </w:rPr>
        <w:t>；</w:t>
      </w:r>
      <w:r>
        <w:rPr>
          <w:rFonts w:hint="eastAsia"/>
          <w:color w:val="auto"/>
          <w:highlight w:val="none"/>
        </w:rPr>
        <w:t>成立不满三年的须提供</w:t>
      </w:r>
      <w:r>
        <w:rPr>
          <w:rFonts w:hint="eastAsia"/>
          <w:color w:val="auto"/>
          <w:highlight w:val="none"/>
          <w:lang w:val="en-US" w:eastAsia="zh-CN"/>
        </w:rPr>
        <w:t>自</w:t>
      </w:r>
      <w:r>
        <w:rPr>
          <w:rFonts w:hint="eastAsia"/>
          <w:color w:val="auto"/>
          <w:highlight w:val="none"/>
        </w:rPr>
        <w:t>成立以后的审计报告和财务报表</w:t>
      </w:r>
      <w:r>
        <w:rPr>
          <w:rFonts w:hint="eastAsia"/>
          <w:color w:val="auto"/>
          <w:highlight w:val="none"/>
          <w:lang w:eastAsia="zh-CN"/>
        </w:rPr>
        <w:t>；</w:t>
      </w:r>
      <w:r>
        <w:rPr>
          <w:rFonts w:hint="eastAsia"/>
          <w:color w:val="auto"/>
          <w:highlight w:val="none"/>
        </w:rPr>
        <w:t>成立不满一年的提供成立至今的财务报表或者根据实际情况提供，</w:t>
      </w:r>
      <w:r>
        <w:rPr>
          <w:rFonts w:hint="eastAsia"/>
          <w:color w:val="auto"/>
          <w:highlight w:val="none"/>
          <w:lang w:val="en-US" w:eastAsia="zh-CN"/>
        </w:rPr>
        <w:t>或</w:t>
      </w:r>
      <w:r>
        <w:rPr>
          <w:rFonts w:hint="eastAsia"/>
          <w:color w:val="auto"/>
          <w:highlight w:val="none"/>
        </w:rPr>
        <w:t>提供自本项目提交响应文件截止时间前三个月内基本开户银行出具的资信证明。</w:t>
      </w:r>
    </w:p>
    <w:bookmarkEnd w:id="21"/>
    <w:p w14:paraId="606F5BD6">
      <w:pPr>
        <w:bidi w:val="0"/>
        <w:rPr>
          <w:rFonts w:hint="eastAsia"/>
          <w:highlight w:val="none"/>
        </w:rPr>
      </w:pPr>
      <w:bookmarkStart w:id="22" w:name="_Hlk114561184"/>
      <w:r>
        <w:rPr>
          <w:b/>
          <w:bCs/>
          <w:highlight w:val="none"/>
        </w:rPr>
        <w:t>1.3具有履行合同所必需的设备和专业技术能力：</w:t>
      </w:r>
      <w:r>
        <w:rPr>
          <w:rFonts w:hint="eastAsia"/>
          <w:highlight w:val="none"/>
        </w:rPr>
        <w:t>供应商须提供具有履行合同所必需的设备和专业技术能力的证明材料或书面声明。</w:t>
      </w:r>
    </w:p>
    <w:bookmarkEnd w:id="22"/>
    <w:p w14:paraId="606F5BD7">
      <w:pPr>
        <w:bidi w:val="0"/>
        <w:rPr>
          <w:rFonts w:hint="eastAsia"/>
          <w:highlight w:val="none"/>
        </w:rPr>
      </w:pPr>
      <w:bookmarkStart w:id="23" w:name="_Hlk114561340"/>
      <w:r>
        <w:rPr>
          <w:b/>
          <w:bCs/>
          <w:highlight w:val="none"/>
        </w:rPr>
        <w:t>1.4有依法缴纳税收和社会保障资金的良好记录：</w:t>
      </w:r>
    </w:p>
    <w:p w14:paraId="4A28DBBE">
      <w:pPr>
        <w:bidi w:val="0"/>
        <w:rPr>
          <w:rFonts w:hint="eastAsia"/>
          <w:highlight w:val="none"/>
        </w:rPr>
      </w:pPr>
      <w:r>
        <w:rPr>
          <w:rFonts w:hint="eastAsia"/>
          <w:highlight w:val="none"/>
        </w:rPr>
        <w:t>1.4.1 供应商须提供缴税所属时间在2025年1月1日起至提交响应文件截止之日内任意3个月的税务局税收通用缴款书复印件或银行电子缴税（费）凭证复印件或税务局出具纳税情况的相关证明</w:t>
      </w:r>
      <w:r>
        <w:rPr>
          <w:rFonts w:hint="eastAsia"/>
          <w:highlight w:val="none"/>
          <w:lang w:eastAsia="zh-CN"/>
        </w:rPr>
        <w:t>；</w:t>
      </w:r>
      <w:r>
        <w:rPr>
          <w:rFonts w:hint="eastAsia"/>
          <w:highlight w:val="none"/>
        </w:rPr>
        <w:t>新成立企业，成立时间不足3个月的提供自成立以来的税务局税收通用缴款书复印件或银行电子缴税（费）凭证复印件或税务局出具纳税情况的相关证明。供应商依法免税的，应提供依法免税的相关证明文件；</w:t>
      </w:r>
    </w:p>
    <w:p w14:paraId="606F5BDB">
      <w:pPr>
        <w:bidi w:val="0"/>
        <w:rPr>
          <w:rFonts w:hint="eastAsia"/>
          <w:highlight w:val="none"/>
        </w:rPr>
      </w:pPr>
      <w:r>
        <w:rPr>
          <w:rFonts w:hint="eastAsia"/>
          <w:highlight w:val="none"/>
        </w:rPr>
        <w:t>1.4.2 供应商须提供缴费所属时间在2025年1月1日起至提交响应文件截止之日内任意3个月的社会保险费缴款书复印件或银行电子缴税（费）凭证复印件或社保管理部门出具的有效的缴款证明</w:t>
      </w:r>
      <w:r>
        <w:rPr>
          <w:rFonts w:hint="eastAsia"/>
          <w:highlight w:val="none"/>
          <w:lang w:eastAsia="zh-CN"/>
        </w:rPr>
        <w:t>；</w:t>
      </w:r>
      <w:r>
        <w:rPr>
          <w:rFonts w:hint="eastAsia"/>
          <w:highlight w:val="none"/>
        </w:rPr>
        <w:t>新成立企业，成立时间不足3个月的提供自成立以来的社会保险费缴款书复印件或银行电子缴税（费）凭证复印件或社保管理部门出具的有效的缴款证明。供应商依法免缴的，应提供依法免缴的相关证明文件。</w:t>
      </w:r>
    </w:p>
    <w:bookmarkEnd w:id="23"/>
    <w:p w14:paraId="606F5BDC">
      <w:pPr>
        <w:bidi w:val="0"/>
        <w:rPr>
          <w:rFonts w:hint="eastAsia"/>
          <w:highlight w:val="none"/>
        </w:rPr>
      </w:pPr>
      <w:bookmarkStart w:id="24" w:name="_Hlk114561443"/>
      <w:r>
        <w:rPr>
          <w:b/>
          <w:bCs/>
          <w:highlight w:val="none"/>
        </w:rPr>
        <w:t>1.5参加政府采购活动前三年内，在经营活动中没有重大违法记录：</w:t>
      </w:r>
      <w:r>
        <w:rPr>
          <w:rFonts w:hint="eastAsia"/>
          <w:highlight w:val="none"/>
        </w:rPr>
        <w:t>供应商须提供参加政府采购活动前三年内，在经营活动中没有重大违法记录（重大违法记录是指：供应商因违法经营受到刑事处罚或者责令停产停业、吊销许可证或者执照、较大数额罚款等行政处罚）的</w:t>
      </w:r>
      <w:bookmarkStart w:id="25" w:name="_Hlk201046683"/>
      <w:r>
        <w:rPr>
          <w:rFonts w:hint="eastAsia"/>
          <w:highlight w:val="none"/>
        </w:rPr>
        <w:t>书面声明</w:t>
      </w:r>
      <w:bookmarkEnd w:id="25"/>
      <w:r>
        <w:rPr>
          <w:rFonts w:hint="eastAsia"/>
          <w:highlight w:val="none"/>
        </w:rPr>
        <w:t>。</w:t>
      </w:r>
    </w:p>
    <w:p w14:paraId="606F5BDD">
      <w:pPr>
        <w:bidi w:val="0"/>
        <w:rPr>
          <w:rFonts w:hint="eastAsia"/>
          <w:highlight w:val="none"/>
        </w:rPr>
      </w:pPr>
      <w:r>
        <w:rPr>
          <w:b/>
          <w:bCs/>
          <w:highlight w:val="none"/>
        </w:rPr>
        <w:t>1.6</w:t>
      </w:r>
      <w:r>
        <w:rPr>
          <w:rFonts w:hint="eastAsia"/>
          <w:b/>
          <w:bCs/>
          <w:highlight w:val="none"/>
        </w:rPr>
        <w:t>法律、行政法规规定的其他条件</w:t>
      </w:r>
      <w:r>
        <w:rPr>
          <w:rFonts w:hint="eastAsia"/>
          <w:b/>
          <w:bCs/>
          <w:highlight w:val="none"/>
          <w:lang w:eastAsia="zh-CN"/>
        </w:rPr>
        <w:t>：</w:t>
      </w:r>
      <w:r>
        <w:rPr>
          <w:rFonts w:hint="eastAsia"/>
          <w:highlight w:val="none"/>
        </w:rPr>
        <w:t>单位负责人为同一人或者存在直接控股、管理关系的不同供应商，不得参加同一合同项下的政府采购活动</w:t>
      </w:r>
      <w:r>
        <w:rPr>
          <w:rFonts w:hint="eastAsia"/>
          <w:highlight w:val="none"/>
          <w:lang w:eastAsia="zh-CN"/>
        </w:rPr>
        <w:t>（</w:t>
      </w:r>
      <w:r>
        <w:rPr>
          <w:rFonts w:hint="eastAsia"/>
          <w:highlight w:val="none"/>
          <w:lang w:val="en-US" w:eastAsia="zh-CN"/>
        </w:rPr>
        <w:t>提供声明函</w:t>
      </w:r>
      <w:r>
        <w:rPr>
          <w:rFonts w:hint="eastAsia"/>
          <w:highlight w:val="none"/>
          <w:lang w:eastAsia="zh-CN"/>
        </w:rPr>
        <w:t>）</w:t>
      </w:r>
      <w:r>
        <w:rPr>
          <w:rFonts w:hint="eastAsia"/>
          <w:highlight w:val="none"/>
        </w:rPr>
        <w:t>。</w:t>
      </w:r>
    </w:p>
    <w:bookmarkEnd w:id="24"/>
    <w:p w14:paraId="606F5BDF">
      <w:pPr>
        <w:bidi w:val="0"/>
        <w:rPr>
          <w:rFonts w:hint="eastAsia" w:eastAsia="宋体"/>
          <w:highlight w:val="none"/>
          <w:lang w:eastAsia="zh-CN"/>
        </w:rPr>
      </w:pPr>
      <w:bookmarkStart w:id="26" w:name="_Toc28359091"/>
      <w:bookmarkStart w:id="27" w:name="_Toc28359014"/>
      <w:r>
        <w:rPr>
          <w:b/>
          <w:bCs/>
          <w:highlight w:val="none"/>
        </w:rPr>
        <w:t>2.落实政府采购政策需满足的资格要求：</w:t>
      </w:r>
      <w:r>
        <w:rPr>
          <w:rFonts w:hint="eastAsia" w:ascii="宋体" w:hAnsi="宋体" w:eastAsia="宋体" w:cs="宋体"/>
          <w:b/>
          <w:bCs/>
          <w:color w:val="auto"/>
          <w:szCs w:val="21"/>
          <w:highlight w:val="none"/>
          <w:u w:val="single"/>
        </w:rPr>
        <w:t>根据《政府采购促进中小企业发展管理办法》（财库〔2020〕46号）有关规定，本项目专门面向中小企业采购，供应商必须为中型企业、小型企业或微型企业；监狱企业、残疾人福利性单位视同小型企业、微型企业</w:t>
      </w:r>
      <w:r>
        <w:rPr>
          <w:rFonts w:hint="eastAsia"/>
          <w:highlight w:val="none"/>
        </w:rPr>
        <w:t>。</w:t>
      </w:r>
    </w:p>
    <w:p w14:paraId="231E038D">
      <w:pPr>
        <w:bidi w:val="0"/>
        <w:rPr>
          <w:b/>
          <w:bCs/>
          <w:highlight w:val="none"/>
        </w:rPr>
      </w:pPr>
      <w:r>
        <w:rPr>
          <w:b/>
          <w:bCs/>
          <w:highlight w:val="none"/>
        </w:rPr>
        <w:t>3.本项目的特定资格要求：</w:t>
      </w:r>
    </w:p>
    <w:p w14:paraId="41BB731A">
      <w:pPr>
        <w:bidi w:val="0"/>
        <w:rPr>
          <w:rFonts w:hint="default" w:eastAsia="宋体"/>
          <w:b w:val="0"/>
          <w:bCs w:val="0"/>
          <w:highlight w:val="none"/>
          <w:lang w:val="en-US" w:eastAsia="zh-CN"/>
        </w:rPr>
      </w:pPr>
      <w:r>
        <w:rPr>
          <w:rFonts w:hint="eastAsia"/>
          <w:b/>
          <w:bCs/>
          <w:highlight w:val="none"/>
          <w:lang w:val="en-US" w:eastAsia="zh-CN"/>
        </w:rPr>
        <w:t>3.1供应商资质要求：</w:t>
      </w:r>
      <w:r>
        <w:rPr>
          <w:rFonts w:hint="eastAsia"/>
          <w:b w:val="0"/>
          <w:bCs w:val="0"/>
          <w:highlight w:val="none"/>
          <w:lang w:val="en-US" w:eastAsia="zh-CN"/>
        </w:rPr>
        <w:t>供应商需具备有害生物防制服务机构资质证书或白蚁防治服务企业资质证书；</w:t>
      </w:r>
    </w:p>
    <w:p w14:paraId="4B7D9408">
      <w:pPr>
        <w:bidi w:val="0"/>
        <w:rPr>
          <w:rFonts w:hint="eastAsia"/>
          <w:highlight w:val="none"/>
          <w:lang w:val="en-US" w:eastAsia="zh-CN"/>
        </w:rPr>
      </w:pPr>
      <w:r>
        <w:rPr>
          <w:rFonts w:hint="eastAsia"/>
          <w:b/>
          <w:bCs/>
          <w:highlight w:val="none"/>
          <w:lang w:val="en-US" w:eastAsia="zh-CN"/>
        </w:rPr>
        <w:t>3.2 项目负责人资格要求：</w:t>
      </w:r>
      <w:r>
        <w:rPr>
          <w:rFonts w:hint="eastAsia"/>
          <w:highlight w:val="none"/>
          <w:lang w:val="en-US" w:eastAsia="zh-CN"/>
        </w:rPr>
        <w:t>拟投入本项目的项目负责人须具备白蚁防治工程师及以上证书；</w:t>
      </w:r>
    </w:p>
    <w:p w14:paraId="249045DE">
      <w:pPr>
        <w:pStyle w:val="21"/>
        <w:rPr>
          <w:rFonts w:hint="default" w:ascii="宋体" w:hAnsi="宋体" w:eastAsia="宋体" w:cs="宋体"/>
          <w:b/>
          <w:bCs/>
          <w:snapToGrid w:val="0"/>
          <w:kern w:val="21"/>
          <w:sz w:val="21"/>
          <w:szCs w:val="24"/>
          <w:highlight w:val="none"/>
          <w:lang w:val="en-US" w:eastAsia="zh-CN" w:bidi="ar-SA"/>
        </w:rPr>
      </w:pPr>
      <w:r>
        <w:rPr>
          <w:rFonts w:hint="eastAsia" w:ascii="宋体" w:hAnsi="宋体" w:eastAsia="宋体" w:cs="宋体"/>
          <w:b/>
          <w:bCs/>
          <w:snapToGrid w:val="0"/>
          <w:kern w:val="21"/>
          <w:sz w:val="21"/>
          <w:szCs w:val="24"/>
          <w:highlight w:val="none"/>
          <w:lang w:val="en-US" w:eastAsia="zh-CN" w:bidi="ar-SA"/>
        </w:rPr>
        <w:t>3.3其他人员要求：</w:t>
      </w:r>
      <w:r>
        <w:rPr>
          <w:rFonts w:hint="eastAsia"/>
          <w:highlight w:val="none"/>
          <w:lang w:val="en-US" w:eastAsia="zh-CN"/>
        </w:rPr>
        <w:t>拟投入本项目的其他人员不得少于三人（不含项目负责人）；</w:t>
      </w:r>
    </w:p>
    <w:p w14:paraId="0507C64F">
      <w:pPr>
        <w:bidi w:val="0"/>
        <w:rPr>
          <w:rFonts w:hint="eastAsia" w:ascii="宋体" w:hAnsi="宋体" w:eastAsia="宋体" w:cs="Times New Roman"/>
          <w:color w:val="000000" w:themeColor="text1"/>
          <w:szCs w:val="21"/>
          <w:highlight w:val="green"/>
          <w14:textFill>
            <w14:solidFill>
              <w14:schemeClr w14:val="tx1"/>
            </w14:solidFill>
          </w14:textFill>
        </w:rPr>
      </w:pPr>
      <w:r>
        <w:rPr>
          <w:rFonts w:hint="eastAsia"/>
          <w:highlight w:val="none"/>
          <w:lang w:val="en-US" w:eastAsia="zh-CN"/>
        </w:rPr>
        <w:t>注：拟投入本项目的所有人员须为本单位在职人员，提供自2025年1月1日起至提交响应文件截止之日内连续3个月的由社会保险部门或机构出具的上述人员在该时段内参加社保的有效证明材料，须有社保部门或机构盖章。</w:t>
      </w:r>
    </w:p>
    <w:p w14:paraId="606F5BE1">
      <w:pPr>
        <w:pStyle w:val="4"/>
        <w:bidi w:val="0"/>
        <w:rPr>
          <w:rFonts w:hint="eastAsia"/>
          <w:highlight w:val="none"/>
        </w:rPr>
      </w:pPr>
      <w:bookmarkStart w:id="28" w:name="_Toc35393631"/>
      <w:bookmarkStart w:id="29" w:name="_Toc35393800"/>
      <w:r>
        <w:rPr>
          <w:rFonts w:hint="eastAsia"/>
        </w:rPr>
        <w:t>三、获</w:t>
      </w:r>
      <w:r>
        <w:rPr>
          <w:rFonts w:hint="eastAsia"/>
          <w:highlight w:val="none"/>
        </w:rPr>
        <w:t>取采购文件</w:t>
      </w:r>
      <w:bookmarkEnd w:id="26"/>
      <w:bookmarkEnd w:id="27"/>
      <w:bookmarkEnd w:id="28"/>
      <w:bookmarkEnd w:id="29"/>
    </w:p>
    <w:p w14:paraId="606F5BE2">
      <w:pPr>
        <w:bidi w:val="0"/>
        <w:rPr>
          <w:rFonts w:hint="eastAsia"/>
          <w:highlight w:val="none"/>
        </w:rPr>
      </w:pPr>
      <w:r>
        <w:rPr>
          <w:rFonts w:hint="eastAsia"/>
          <w:b/>
          <w:bCs/>
          <w:highlight w:val="none"/>
          <w:lang w:val="en-US" w:eastAsia="zh-CN"/>
        </w:rPr>
        <w:t>1.</w:t>
      </w:r>
      <w:r>
        <w:rPr>
          <w:rFonts w:hint="eastAsia"/>
          <w:b/>
          <w:bCs/>
          <w:highlight w:val="none"/>
        </w:rPr>
        <w:t>时间</w:t>
      </w:r>
      <w:r>
        <w:rPr>
          <w:rFonts w:hint="eastAsia"/>
          <w:b/>
          <w:bCs/>
          <w:color w:val="auto"/>
          <w:highlight w:val="none"/>
        </w:rPr>
        <w:t>：</w:t>
      </w:r>
      <w:r>
        <w:rPr>
          <w:color w:val="auto"/>
          <w:highlight w:val="none"/>
        </w:rPr>
        <w:t>202</w:t>
      </w:r>
      <w:r>
        <w:rPr>
          <w:rFonts w:hint="eastAsia"/>
          <w:color w:val="auto"/>
          <w:highlight w:val="none"/>
        </w:rPr>
        <w:t>5</w:t>
      </w:r>
      <w:r>
        <w:rPr>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w:t>
      </w:r>
      <w:r>
        <w:rPr>
          <w:rFonts w:hint="eastAsia"/>
          <w:color w:val="auto"/>
          <w:highlight w:val="none"/>
        </w:rPr>
        <w:t>日至</w:t>
      </w:r>
      <w:r>
        <w:rPr>
          <w:color w:val="auto"/>
          <w:highlight w:val="none"/>
        </w:rPr>
        <w:t>202</w:t>
      </w:r>
      <w:r>
        <w:rPr>
          <w:rFonts w:hint="eastAsia"/>
          <w:color w:val="auto"/>
          <w:highlight w:val="none"/>
        </w:rPr>
        <w:t>5</w:t>
      </w:r>
      <w:r>
        <w:rPr>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14</w:t>
      </w:r>
      <w:r>
        <w:rPr>
          <w:rFonts w:hint="eastAsia"/>
          <w:color w:val="auto"/>
          <w:highlight w:val="none"/>
        </w:rPr>
        <w:t>日，每日</w:t>
      </w:r>
      <w:r>
        <w:rPr>
          <w:rFonts w:hint="eastAsia"/>
          <w:highlight w:val="none"/>
        </w:rPr>
        <w:t>上午0</w:t>
      </w:r>
      <w:r>
        <w:rPr>
          <w:rFonts w:hint="eastAsia"/>
          <w:highlight w:val="none"/>
          <w:lang w:val="en-US" w:eastAsia="zh-CN"/>
        </w:rPr>
        <w:t>0</w:t>
      </w:r>
      <w:r>
        <w:rPr>
          <w:rFonts w:hint="eastAsia"/>
          <w:highlight w:val="none"/>
        </w:rPr>
        <w:t>：00时至12：00时，下午12：00时至23：59时（北京时间）。</w:t>
      </w:r>
    </w:p>
    <w:p w14:paraId="606F5BE3">
      <w:pPr>
        <w:bidi w:val="0"/>
        <w:rPr>
          <w:rFonts w:hint="eastAsia"/>
          <w:highlight w:val="none"/>
        </w:rPr>
      </w:pPr>
      <w:r>
        <w:rPr>
          <w:rFonts w:hint="eastAsia"/>
          <w:b/>
          <w:bCs/>
          <w:highlight w:val="none"/>
          <w:lang w:val="en-US" w:eastAsia="zh-CN"/>
        </w:rPr>
        <w:t>2.</w:t>
      </w:r>
      <w:r>
        <w:rPr>
          <w:rFonts w:hint="eastAsia"/>
          <w:b/>
          <w:bCs/>
          <w:highlight w:val="none"/>
        </w:rPr>
        <w:t>地点（网址）：</w:t>
      </w:r>
      <w:bookmarkStart w:id="30" w:name="_Hlk123118694"/>
      <w:r>
        <w:rPr>
          <w:rFonts w:hint="eastAsia"/>
          <w:highlight w:val="none"/>
        </w:rPr>
        <w:t>政府采购云平台（网址：www.zcygov.cn）。</w:t>
      </w:r>
      <w:bookmarkEnd w:id="30"/>
    </w:p>
    <w:p w14:paraId="26835C1E">
      <w:pPr>
        <w:bidi w:val="0"/>
        <w:rPr>
          <w:rFonts w:hint="eastAsia"/>
        </w:rPr>
      </w:pPr>
      <w:r>
        <w:rPr>
          <w:rFonts w:hint="eastAsia"/>
          <w:b/>
          <w:bCs/>
          <w:highlight w:val="none"/>
          <w:lang w:val="en-US" w:eastAsia="zh-CN"/>
        </w:rPr>
        <w:t>3.</w:t>
      </w:r>
      <w:r>
        <w:rPr>
          <w:rFonts w:hint="eastAsia"/>
          <w:b/>
          <w:bCs/>
          <w:highlight w:val="none"/>
        </w:rPr>
        <w:t>方式：</w:t>
      </w:r>
      <w:bookmarkStart w:id="31" w:name="_Hlk123118733"/>
      <w:r>
        <w:rPr>
          <w:rFonts w:hint="eastAsia"/>
          <w:highlight w:val="none"/>
        </w:rPr>
        <w:t>凡有意参加的供应商，请于竞争性磋商文件获取截止时间前，凭企业数字证书（CA）登录政府采购云平台（网址：www.zcygov.cn），在网上获取竞争性磋商文件及</w:t>
      </w:r>
      <w:r>
        <w:rPr>
          <w:rFonts w:hint="eastAsia"/>
        </w:rPr>
        <w:t>其它采购资料，此为获取竞争性磋商文件的唯一途径。未办理企业数字证书（CA）的，须在政府采购云平台办理数字证书（CA），CA申领链接：</w:t>
      </w:r>
      <w:r>
        <w:t>https://login.zcygov.cn/user-login/#/login</w:t>
      </w:r>
      <w:r>
        <w:rPr>
          <w:rFonts w:hint="eastAsia"/>
        </w:rPr>
        <w:t>，并通过政采云绑定数字证书（CA）后在网上获取竞争性磋商文件及其它采购资料，数字证书（CA）详见其办理流程。</w:t>
      </w:r>
    </w:p>
    <w:p w14:paraId="1871B1C9">
      <w:pPr>
        <w:bidi w:val="0"/>
        <w:rPr>
          <w:rFonts w:hint="eastAsia"/>
        </w:rPr>
      </w:pPr>
      <w:r>
        <w:rPr>
          <w:rFonts w:hint="eastAsia"/>
        </w:rPr>
        <w:t>注：供应商如之前已在云南CA在线数字证书办理网进行过注册并办理过企业数字证书（CA）的，直接绑定即可，无需重复办理（2022年1月1日前在云南省公共资源交易平台办理过云南CA证书的需到原办理点进行升级后方可使用）。云南省省外供应商在政府采购云平台办理的其他CA可直接使用，无需重复办理。无论是云南省省内供应商还是云南省省外供应商，须确保其办理的企业数字证书（CA）为最新版本（老版本的须进行升级），确保其所办理的企业数字证书（CA）可以在政府采购云平台（网址：www.zcygov.cn）正常的登录、电子签章、加密、上传及解密响应文件，否则因供应商自身原因致使响应文件未成功解密的或供应商提交的电子标书不符合本项目电子响应文件编制要求或开标时无法读取导入或解密，其响应文件将不予受理；由此造成的损失及后果由供应商自行承担。具体不清楚或有疑问的，请致电“政采云客服热线：95763（服务时间为工作日8:00-20:00）”或登录政府采购云平台（网址：www.zcygov.cn）连线智能客服进行线上咨询。</w:t>
      </w:r>
    </w:p>
    <w:p w14:paraId="5CBE190D">
      <w:pPr>
        <w:bidi w:val="0"/>
        <w:rPr>
          <w:rFonts w:hint="eastAsia"/>
          <w:highlight w:val="none"/>
        </w:rPr>
      </w:pPr>
      <w:r>
        <w:rPr>
          <w:rFonts w:hint="eastAsia"/>
          <w:highlight w:val="none"/>
        </w:rPr>
        <w:t>供应商通过CA证书获取竞争性磋商文件的视为合法获取了项目争性磋商文件，具备本项目的磋商资格。</w:t>
      </w:r>
    </w:p>
    <w:p w14:paraId="606F5BE7">
      <w:pPr>
        <w:bidi w:val="0"/>
        <w:rPr>
          <w:rFonts w:hint="eastAsia"/>
          <w:highlight w:val="none"/>
        </w:rPr>
      </w:pPr>
      <w:r>
        <w:rPr>
          <w:rFonts w:hint="eastAsia"/>
          <w:highlight w:val="none"/>
        </w:rPr>
        <w:t>系统操作问题：请致电政采云客服热线：95763（服务时间为工作日8:00-20:00）；</w:t>
      </w:r>
    </w:p>
    <w:p w14:paraId="606F5BE8">
      <w:pPr>
        <w:bidi w:val="0"/>
        <w:rPr>
          <w:rFonts w:hint="eastAsia"/>
          <w:highlight w:val="none"/>
        </w:rPr>
      </w:pPr>
      <w:r>
        <w:rPr>
          <w:rFonts w:hint="eastAsia"/>
          <w:highlight w:val="none"/>
        </w:rPr>
        <w:t>云南CA操作问题：请致电云南CA：</w:t>
      </w:r>
      <w:r>
        <w:rPr>
          <w:highlight w:val="none"/>
        </w:rPr>
        <w:t>4006727666</w:t>
      </w:r>
      <w:r>
        <w:rPr>
          <w:rFonts w:hint="eastAsia"/>
          <w:highlight w:val="none"/>
        </w:rPr>
        <w:t>。</w:t>
      </w:r>
    </w:p>
    <w:bookmarkEnd w:id="31"/>
    <w:p w14:paraId="606F5BE9">
      <w:pPr>
        <w:bidi w:val="0"/>
        <w:rPr>
          <w:rFonts w:hint="eastAsia" w:hAnsi="宋体"/>
          <w:color w:val="000000" w:themeColor="text1"/>
          <w:szCs w:val="21"/>
          <w:highlight w:val="none"/>
          <w14:textFill>
            <w14:solidFill>
              <w14:schemeClr w14:val="tx1"/>
            </w14:solidFill>
          </w14:textFill>
        </w:rPr>
      </w:pPr>
      <w:bookmarkStart w:id="32" w:name="_Hlk123119113"/>
      <w:r>
        <w:rPr>
          <w:rFonts w:hint="eastAsia"/>
          <w:b/>
          <w:bCs/>
          <w:highlight w:val="none"/>
          <w:lang w:val="en-US" w:eastAsia="zh-CN"/>
        </w:rPr>
        <w:t>4.</w:t>
      </w:r>
      <w:r>
        <w:rPr>
          <w:rFonts w:hint="eastAsia"/>
          <w:b/>
          <w:bCs/>
          <w:highlight w:val="none"/>
        </w:rPr>
        <w:t>售价：</w:t>
      </w:r>
      <w:r>
        <w:rPr>
          <w:highlight w:val="none"/>
        </w:rPr>
        <w:t>0.00</w:t>
      </w:r>
      <w:r>
        <w:rPr>
          <w:rFonts w:hint="eastAsia"/>
          <w:highlight w:val="none"/>
        </w:rPr>
        <w:t>元。</w:t>
      </w:r>
    </w:p>
    <w:bookmarkEnd w:id="32"/>
    <w:p w14:paraId="606F5BEA">
      <w:pPr>
        <w:pStyle w:val="4"/>
        <w:bidi w:val="0"/>
        <w:rPr>
          <w:rFonts w:hint="eastAsia"/>
          <w:highlight w:val="none"/>
        </w:rPr>
      </w:pPr>
      <w:bookmarkStart w:id="33" w:name="_Toc35393632"/>
      <w:bookmarkStart w:id="34" w:name="_Toc35393801"/>
      <w:bookmarkStart w:id="35" w:name="_Toc28359015"/>
      <w:bookmarkStart w:id="36" w:name="_Toc28359092"/>
      <w:r>
        <w:rPr>
          <w:rFonts w:hint="eastAsia"/>
          <w:highlight w:val="none"/>
        </w:rPr>
        <w:t>四、响应文件递交</w:t>
      </w:r>
      <w:bookmarkEnd w:id="33"/>
      <w:bookmarkEnd w:id="34"/>
      <w:bookmarkEnd w:id="35"/>
      <w:bookmarkEnd w:id="36"/>
    </w:p>
    <w:p w14:paraId="606F5BEB">
      <w:pPr>
        <w:spacing w:line="360" w:lineRule="auto"/>
        <w:ind w:firstLine="422" w:firstLineChars="200"/>
        <w:jc w:val="left"/>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w:t>
      </w:r>
      <w:r>
        <w:rPr>
          <w:rFonts w:hint="eastAsia"/>
          <w:b/>
          <w:bCs/>
          <w:color w:val="000000" w:themeColor="text1"/>
          <w:highlight w:val="none"/>
          <w14:textFill>
            <w14:solidFill>
              <w14:schemeClr w14:val="tx1"/>
            </w14:solidFill>
          </w14:textFill>
        </w:rPr>
        <w:t>截止时间</w:t>
      </w:r>
      <w:r>
        <w:rPr>
          <w:rFonts w:hint="eastAsia"/>
          <w:b/>
          <w:bCs/>
          <w:color w:val="auto"/>
          <w:highlight w:val="none"/>
        </w:rPr>
        <w:t>：</w:t>
      </w:r>
      <w:r>
        <w:rPr>
          <w:b w:val="0"/>
          <w:bCs w:val="0"/>
          <w:color w:val="auto"/>
          <w:highlight w:val="none"/>
          <w:u w:val="none"/>
        </w:rPr>
        <w:t>202</w:t>
      </w:r>
      <w:r>
        <w:rPr>
          <w:rFonts w:hint="eastAsia"/>
          <w:b w:val="0"/>
          <w:bCs w:val="0"/>
          <w:color w:val="auto"/>
          <w:highlight w:val="none"/>
          <w:u w:val="none"/>
        </w:rPr>
        <w:t>5年</w:t>
      </w:r>
      <w:r>
        <w:rPr>
          <w:rFonts w:hint="eastAsia"/>
          <w:b w:val="0"/>
          <w:bCs w:val="0"/>
          <w:color w:val="auto"/>
          <w:highlight w:val="none"/>
          <w:u w:val="none"/>
          <w:lang w:val="en-US" w:eastAsia="zh-CN"/>
        </w:rPr>
        <w:t>10月20日9</w:t>
      </w:r>
      <w:r>
        <w:rPr>
          <w:rFonts w:hint="eastAsia"/>
          <w:b w:val="0"/>
          <w:bCs w:val="0"/>
          <w:color w:val="auto"/>
          <w:highlight w:val="none"/>
          <w:u w:val="none"/>
        </w:rPr>
        <w:t>点</w:t>
      </w:r>
      <w:r>
        <w:rPr>
          <w:rFonts w:hint="eastAsia"/>
          <w:b w:val="0"/>
          <w:bCs w:val="0"/>
          <w:color w:val="auto"/>
          <w:highlight w:val="none"/>
          <w:u w:val="none"/>
          <w:lang w:val="en-US" w:eastAsia="zh-CN"/>
        </w:rPr>
        <w:t>30</w:t>
      </w:r>
      <w:r>
        <w:rPr>
          <w:rFonts w:hint="eastAsia"/>
          <w:b w:val="0"/>
          <w:bCs w:val="0"/>
          <w:color w:val="auto"/>
          <w:highlight w:val="none"/>
          <w:u w:val="none"/>
        </w:rPr>
        <w:t>分</w:t>
      </w:r>
      <w:r>
        <w:rPr>
          <w:rFonts w:hint="eastAsia"/>
          <w:color w:val="auto"/>
          <w:highlight w:val="none"/>
        </w:rPr>
        <w:t>（</w:t>
      </w:r>
      <w:r>
        <w:rPr>
          <w:rFonts w:hint="eastAsia"/>
          <w:color w:val="000000" w:themeColor="text1"/>
          <w:highlight w:val="none"/>
          <w14:textFill>
            <w14:solidFill>
              <w14:schemeClr w14:val="tx1"/>
            </w14:solidFill>
          </w14:textFill>
        </w:rPr>
        <w:t>北京时间）</w:t>
      </w:r>
    </w:p>
    <w:p w14:paraId="606F5BEC">
      <w:pPr>
        <w:spacing w:line="360" w:lineRule="auto"/>
        <w:ind w:firstLine="422" w:firstLineChars="200"/>
        <w:rPr>
          <w:rFonts w:hint="eastAsia" w:hAnsi="宋体" w:cs="宋体"/>
          <w:color w:val="000000" w:themeColor="text1"/>
          <w:szCs w:val="21"/>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地点：</w:t>
      </w:r>
      <w:r>
        <w:rPr>
          <w:rFonts w:hint="eastAsia"/>
          <w:color w:val="000000" w:themeColor="text1"/>
          <w:highlight w:val="none"/>
          <w14:textFill>
            <w14:solidFill>
              <w14:schemeClr w14:val="tx1"/>
            </w14:solidFill>
          </w14:textFill>
        </w:rPr>
        <w:t>政府采购云平台（网址：www.zcygov.cn）。</w:t>
      </w:r>
      <w:bookmarkStart w:id="37" w:name="_Hlk123128360"/>
      <w:r>
        <w:rPr>
          <w:rFonts w:hint="eastAsia" w:hAnsi="宋体"/>
          <w:color w:val="000000" w:themeColor="text1"/>
          <w:szCs w:val="21"/>
          <w:highlight w:val="none"/>
          <w14:textFill>
            <w14:solidFill>
              <w14:schemeClr w14:val="tx1"/>
            </w14:solidFill>
          </w14:textFill>
        </w:rPr>
        <w:t>响应文件的递交方式</w:t>
      </w:r>
      <w:bookmarkEnd w:id="37"/>
      <w:bookmarkStart w:id="38" w:name="_Hlk123128443"/>
      <w:r>
        <w:rPr>
          <w:rFonts w:hint="eastAsia" w:hAnsi="宋体"/>
          <w:color w:val="000000" w:themeColor="text1"/>
          <w:szCs w:val="21"/>
          <w:highlight w:val="none"/>
          <w14:textFill>
            <w14:solidFill>
              <w14:schemeClr w14:val="tx1"/>
            </w14:solidFill>
          </w14:textFill>
        </w:rPr>
        <w:t>为网上递交，</w:t>
      </w:r>
      <w:r>
        <w:rPr>
          <w:rFonts w:hint="eastAsia" w:hAnsi="宋体" w:cs="宋体"/>
          <w:color w:val="000000" w:themeColor="text1"/>
          <w:szCs w:val="21"/>
          <w:highlight w:val="none"/>
          <w14:textFill>
            <w14:solidFill>
              <w14:schemeClr w14:val="tx1"/>
            </w14:solidFill>
          </w14:textFill>
        </w:rPr>
        <w:t>供应商在响应文件递交的截止时间（磋商截止时间，下同）前，需在网上</w:t>
      </w:r>
      <w:r>
        <w:rPr>
          <w:rFonts w:hint="eastAsia"/>
          <w:color w:val="000000" w:themeColor="text1"/>
          <w:highlight w:val="none"/>
          <w14:textFill>
            <w14:solidFill>
              <w14:schemeClr w14:val="tx1"/>
            </w14:solidFill>
          </w14:textFill>
        </w:rPr>
        <w:t>（网址：www.zcygov.cn）</w:t>
      </w:r>
      <w:r>
        <w:rPr>
          <w:rFonts w:hint="eastAsia" w:hAnsi="宋体" w:cs="宋体"/>
          <w:color w:val="000000" w:themeColor="text1"/>
          <w:szCs w:val="21"/>
          <w:highlight w:val="none"/>
          <w14:textFill>
            <w14:solidFill>
              <w14:schemeClr w14:val="tx1"/>
            </w14:solidFill>
          </w14:textFill>
        </w:rPr>
        <w:t>递交响应文件，具体要求：登录政府采购云平台（网址：www.zcygov.cn），</w:t>
      </w:r>
      <w:r>
        <w:rPr>
          <w:rFonts w:hint="eastAsia" w:hAnsi="宋体" w:cs="宋体"/>
          <w:color w:val="000000" w:themeColor="text1"/>
          <w:szCs w:val="21"/>
          <w14:textFill>
            <w14:solidFill>
              <w14:schemeClr w14:val="tx1"/>
            </w14:solidFill>
          </w14:textFill>
        </w:rPr>
        <w:t>供应商须在磋商截止时间前完成响应文件的电子签章、加密及上传，磋商截止时间前未完成响应文件上传的，视为撤回响应文件。</w:t>
      </w:r>
    </w:p>
    <w:p w14:paraId="606F5BED">
      <w:pPr>
        <w:spacing w:line="360" w:lineRule="auto"/>
        <w:ind w:firstLine="422" w:firstLineChars="200"/>
        <w:rPr>
          <w:rFonts w:hint="eastAsia" w:hAnsi="宋体" w:cs="宋体"/>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说明：</w:t>
      </w:r>
    </w:p>
    <w:p w14:paraId="606F5BEE">
      <w:pPr>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（一）供应商应登录政府采购云平台（网址：www.zcygov.cn），并按“政府采购云平台”开标大厅中的提示完成采购活动。</w:t>
      </w:r>
    </w:p>
    <w:p w14:paraId="606F5BF0">
      <w:pPr>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（二）采购人宣布开启电子响应文件后，供应商登录“政府采购云平台”开标大厅，使用供应商编制响应文件时的加密数字证书对响应文件进行解密。</w:t>
      </w:r>
    </w:p>
    <w:p w14:paraId="606F5BF1">
      <w:pPr>
        <w:spacing w:line="348" w:lineRule="auto"/>
        <w:ind w:firstLine="420" w:firstLineChars="200"/>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w:t>
      </w:r>
      <w:r>
        <w:rPr>
          <w:rFonts w:hint="eastAsia" w:cs="宋体"/>
          <w:color w:val="000000" w:themeColor="text1"/>
          <w:szCs w:val="21"/>
          <w:lang w:val="en-US" w:eastAsia="zh-CN"/>
          <w14:textFill>
            <w14:solidFill>
              <w14:schemeClr w14:val="tx1"/>
            </w14:solidFill>
          </w14:textFill>
        </w:rPr>
        <w:t>三</w:t>
      </w:r>
      <w:r>
        <w:rPr>
          <w:rFonts w:hint="eastAsia" w:hAnsi="宋体" w:cs="宋体"/>
          <w:color w:val="000000" w:themeColor="text1"/>
          <w:szCs w:val="21"/>
          <w14:textFill>
            <w14:solidFill>
              <w14:schemeClr w14:val="tx1"/>
            </w14:solidFill>
          </w14:textFill>
        </w:rPr>
        <w:t>）</w:t>
      </w:r>
      <w:r>
        <w:rPr>
          <w:rFonts w:hint="eastAsia" w:hAnsi="宋体" w:cs="宋体"/>
          <w:color w:val="000000" w:themeColor="text1"/>
          <w:kern w:val="0"/>
          <w:szCs w:val="21"/>
          <w14:textFill>
            <w14:solidFill>
              <w14:schemeClr w14:val="tx1"/>
            </w14:solidFill>
          </w14:textFill>
        </w:rPr>
        <w:t>网上递交的响应文件应使用数字证书进行加密。因供应商自身原因致使响应文件未成功解密的</w:t>
      </w:r>
      <w:r>
        <w:rPr>
          <w:rFonts w:hint="eastAsia" w:hAnsi="宋体"/>
          <w:color w:val="000000" w:themeColor="text1"/>
          <w:szCs w:val="21"/>
          <w14:textFill>
            <w14:solidFill>
              <w14:schemeClr w14:val="tx1"/>
            </w14:solidFill>
          </w14:textFill>
        </w:rPr>
        <w:t>或供应商提交的电子标书不符合本项目电子响应文件编制要求或开标时无法读取导入或解密</w:t>
      </w:r>
      <w:r>
        <w:rPr>
          <w:rFonts w:hint="eastAsia" w:hAnsi="宋体" w:cs="宋体"/>
          <w:color w:val="000000" w:themeColor="text1"/>
          <w:kern w:val="0"/>
          <w:szCs w:val="21"/>
          <w14:textFill>
            <w14:solidFill>
              <w14:schemeClr w14:val="tx1"/>
            </w14:solidFill>
          </w14:textFill>
        </w:rPr>
        <w:t>，其响应文件将不予受理。</w:t>
      </w:r>
      <w:bookmarkEnd w:id="38"/>
    </w:p>
    <w:p w14:paraId="606F5BF2">
      <w:pPr>
        <w:spacing w:line="360" w:lineRule="auto"/>
        <w:ind w:firstLine="420" w:firstLineChars="200"/>
        <w:rPr>
          <w:rFonts w:hint="eastAsia" w:hAnsi="宋体" w:cs="宋体"/>
          <w:color w:val="000000" w:themeColor="text1"/>
          <w:szCs w:val="21"/>
          <w14:textFill>
            <w14:solidFill>
              <w14:schemeClr w14:val="tx1"/>
            </w14:solidFill>
          </w14:textFill>
        </w:rPr>
      </w:pPr>
      <w:bookmarkStart w:id="39" w:name="_Toc28359093"/>
      <w:bookmarkStart w:id="40" w:name="_Toc35393633"/>
      <w:bookmarkStart w:id="41" w:name="_Toc28359016"/>
      <w:bookmarkStart w:id="42" w:name="_Toc35393802"/>
      <w:r>
        <w:rPr>
          <w:rFonts w:hint="eastAsia" w:hAnsi="宋体" w:cs="宋体"/>
          <w:color w:val="000000" w:themeColor="text1"/>
          <w:szCs w:val="21"/>
          <w14:textFill>
            <w14:solidFill>
              <w14:schemeClr w14:val="tx1"/>
            </w14:solidFill>
          </w14:textFill>
        </w:rPr>
        <w:t>（</w:t>
      </w:r>
      <w:r>
        <w:rPr>
          <w:rFonts w:hint="eastAsia" w:cs="宋体"/>
          <w:color w:val="000000" w:themeColor="text1"/>
          <w:szCs w:val="21"/>
          <w:lang w:val="en-US" w:eastAsia="zh-CN"/>
          <w14:textFill>
            <w14:solidFill>
              <w14:schemeClr w14:val="tx1"/>
            </w14:solidFill>
          </w14:textFill>
        </w:rPr>
        <w:t>四</w:t>
      </w:r>
      <w:r>
        <w:rPr>
          <w:rFonts w:hint="eastAsia" w:hAnsi="宋体" w:cs="宋体"/>
          <w:color w:val="000000" w:themeColor="text1"/>
          <w:szCs w:val="21"/>
          <w14:textFill>
            <w14:solidFill>
              <w14:schemeClr w14:val="tx1"/>
            </w14:solidFill>
          </w14:textFill>
        </w:rPr>
        <w:t>）未办理数字证书（</w:t>
      </w:r>
      <w:r>
        <w:rPr>
          <w:rFonts w:hAnsi="宋体" w:cs="宋体"/>
          <w:color w:val="000000" w:themeColor="text1"/>
          <w:szCs w:val="21"/>
          <w14:textFill>
            <w14:solidFill>
              <w14:schemeClr w14:val="tx1"/>
            </w14:solidFill>
          </w14:textFill>
        </w:rPr>
        <w:t>CA）的</w:t>
      </w:r>
      <w:r>
        <w:rPr>
          <w:rFonts w:hint="eastAsia" w:hAnsi="宋体" w:cs="宋体"/>
          <w:color w:val="000000" w:themeColor="text1"/>
          <w:szCs w:val="21"/>
          <w14:textFill>
            <w14:solidFill>
              <w14:schemeClr w14:val="tx1"/>
            </w14:solidFill>
          </w14:textFill>
        </w:rPr>
        <w:t>供应商其编制的响应文件将无法按竞争性磋商文件的要求进行电子签章及加密，由此造成的后果由供应商自行承担。</w:t>
      </w:r>
    </w:p>
    <w:p w14:paraId="606F5BF3">
      <w:pPr>
        <w:pStyle w:val="4"/>
        <w:bidi w:val="0"/>
        <w:rPr>
          <w:rFonts w:hint="eastAsia"/>
          <w:highlight w:val="none"/>
        </w:rPr>
      </w:pPr>
      <w:r>
        <w:rPr>
          <w:rFonts w:hint="eastAsia"/>
        </w:rPr>
        <w:t>五、开启</w:t>
      </w:r>
      <w:bookmarkEnd w:id="39"/>
      <w:bookmarkEnd w:id="40"/>
      <w:bookmarkEnd w:id="41"/>
      <w:bookmarkEnd w:id="42"/>
    </w:p>
    <w:p w14:paraId="606F5BF4">
      <w:pPr>
        <w:spacing w:line="360" w:lineRule="auto"/>
        <w:ind w:firstLine="422" w:firstLineChars="200"/>
        <w:rPr>
          <w:rFonts w:hint="eastAsia" w:hAnsi="宋体"/>
          <w:color w:val="000000" w:themeColor="text1"/>
          <w:szCs w:val="21"/>
          <w:highlight w:val="none"/>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1.</w:t>
      </w:r>
      <w:r>
        <w:rPr>
          <w:rFonts w:hint="eastAsia" w:hAnsi="宋体"/>
          <w:b/>
          <w:bCs/>
          <w:color w:val="000000" w:themeColor="text1"/>
          <w:szCs w:val="21"/>
          <w:highlight w:val="none"/>
          <w14:textFill>
            <w14:solidFill>
              <w14:schemeClr w14:val="tx1"/>
            </w14:solidFill>
          </w14:textFill>
        </w:rPr>
        <w:t>时间：</w:t>
      </w:r>
      <w:r>
        <w:rPr>
          <w:b w:val="0"/>
          <w:bCs w:val="0"/>
          <w:color w:val="auto"/>
          <w:highlight w:val="none"/>
          <w:u w:val="single"/>
        </w:rPr>
        <w:t>202</w:t>
      </w:r>
      <w:r>
        <w:rPr>
          <w:rFonts w:hint="eastAsia"/>
          <w:b w:val="0"/>
          <w:bCs w:val="0"/>
          <w:color w:val="auto"/>
          <w:highlight w:val="none"/>
          <w:u w:val="single"/>
        </w:rPr>
        <w:t>5</w:t>
      </w:r>
      <w:r>
        <w:rPr>
          <w:rFonts w:hint="eastAsia"/>
          <w:b w:val="0"/>
          <w:bCs w:val="0"/>
          <w:color w:val="auto"/>
          <w:highlight w:val="none"/>
        </w:rPr>
        <w:t>年</w:t>
      </w:r>
      <w:r>
        <w:rPr>
          <w:rFonts w:hint="eastAsia"/>
          <w:b w:val="0"/>
          <w:bCs w:val="0"/>
          <w:color w:val="auto"/>
          <w:highlight w:val="none"/>
          <w:u w:val="single"/>
          <w:lang w:val="en-US" w:eastAsia="zh-CN"/>
        </w:rPr>
        <w:t>10</w:t>
      </w:r>
      <w:r>
        <w:rPr>
          <w:rFonts w:hint="eastAsia"/>
          <w:b w:val="0"/>
          <w:bCs w:val="0"/>
          <w:color w:val="auto"/>
          <w:highlight w:val="none"/>
        </w:rPr>
        <w:t>月</w:t>
      </w:r>
      <w:r>
        <w:rPr>
          <w:rFonts w:hint="eastAsia"/>
          <w:b w:val="0"/>
          <w:bCs w:val="0"/>
          <w:color w:val="auto"/>
          <w:highlight w:val="none"/>
          <w:u w:val="single"/>
          <w:lang w:val="en-US" w:eastAsia="zh-CN"/>
        </w:rPr>
        <w:t>20</w:t>
      </w:r>
      <w:r>
        <w:rPr>
          <w:rFonts w:hint="eastAsia"/>
          <w:b w:val="0"/>
          <w:bCs w:val="0"/>
          <w:color w:val="auto"/>
          <w:highlight w:val="none"/>
        </w:rPr>
        <w:t>日</w:t>
      </w:r>
      <w:r>
        <w:rPr>
          <w:rFonts w:hint="eastAsia"/>
          <w:b w:val="0"/>
          <w:bCs w:val="0"/>
          <w:color w:val="auto"/>
          <w:highlight w:val="none"/>
          <w:u w:val="single"/>
        </w:rPr>
        <w:t xml:space="preserve"> </w:t>
      </w:r>
      <w:r>
        <w:rPr>
          <w:rFonts w:hint="eastAsia"/>
          <w:b w:val="0"/>
          <w:bCs w:val="0"/>
          <w:color w:val="auto"/>
          <w:highlight w:val="none"/>
          <w:u w:val="single"/>
          <w:lang w:val="en-US" w:eastAsia="zh-CN"/>
        </w:rPr>
        <w:t>9</w:t>
      </w:r>
      <w:r>
        <w:rPr>
          <w:rFonts w:hint="eastAsia"/>
          <w:b w:val="0"/>
          <w:bCs w:val="0"/>
          <w:color w:val="auto"/>
          <w:highlight w:val="none"/>
          <w:u w:val="single"/>
        </w:rPr>
        <w:t xml:space="preserve"> </w:t>
      </w:r>
      <w:r>
        <w:rPr>
          <w:rFonts w:hint="eastAsia"/>
          <w:b w:val="0"/>
          <w:bCs w:val="0"/>
          <w:color w:val="auto"/>
          <w:highlight w:val="none"/>
        </w:rPr>
        <w:t>点</w:t>
      </w:r>
      <w:r>
        <w:rPr>
          <w:rFonts w:hint="eastAsia"/>
          <w:b w:val="0"/>
          <w:bCs w:val="0"/>
          <w:color w:val="auto"/>
          <w:highlight w:val="none"/>
          <w:u w:val="single"/>
        </w:rPr>
        <w:t xml:space="preserve"> </w:t>
      </w:r>
      <w:r>
        <w:rPr>
          <w:rFonts w:hint="eastAsia"/>
          <w:b w:val="0"/>
          <w:bCs w:val="0"/>
          <w:color w:val="auto"/>
          <w:highlight w:val="none"/>
          <w:u w:val="single"/>
          <w:lang w:val="en-US" w:eastAsia="zh-CN"/>
        </w:rPr>
        <w:t>30</w:t>
      </w:r>
      <w:r>
        <w:rPr>
          <w:rFonts w:hint="eastAsia"/>
          <w:b w:val="0"/>
          <w:bCs w:val="0"/>
          <w:color w:val="auto"/>
          <w:highlight w:val="none"/>
          <w:u w:val="single"/>
        </w:rPr>
        <w:t xml:space="preserve"> </w:t>
      </w:r>
      <w:r>
        <w:rPr>
          <w:rFonts w:hint="eastAsia"/>
          <w:b w:val="0"/>
          <w:bCs w:val="0"/>
          <w:color w:val="auto"/>
          <w:highlight w:val="none"/>
        </w:rPr>
        <w:t>分</w:t>
      </w:r>
      <w:r>
        <w:rPr>
          <w:rFonts w:hint="eastAsia" w:hAnsi="宋体"/>
          <w:b w:val="0"/>
          <w:bCs w:val="0"/>
          <w:color w:val="auto"/>
          <w:szCs w:val="21"/>
          <w:highlight w:val="none"/>
        </w:rPr>
        <w:t>（</w:t>
      </w:r>
      <w:r>
        <w:rPr>
          <w:rFonts w:hint="eastAsia" w:hAnsi="宋体"/>
          <w:b w:val="0"/>
          <w:bCs w:val="0"/>
          <w:color w:val="000000" w:themeColor="text1"/>
          <w:szCs w:val="21"/>
          <w:highlight w:val="none"/>
          <w14:textFill>
            <w14:solidFill>
              <w14:schemeClr w14:val="tx1"/>
            </w14:solidFill>
          </w14:textFill>
        </w:rPr>
        <w:t>北京时间）</w:t>
      </w:r>
    </w:p>
    <w:p w14:paraId="606F5BF5">
      <w:pPr>
        <w:spacing w:line="360" w:lineRule="auto"/>
        <w:ind w:firstLine="422" w:firstLineChars="200"/>
        <w:rPr>
          <w:rFonts w:hint="eastAsia" w:hAnsi="宋体"/>
          <w:color w:val="000000" w:themeColor="text1"/>
          <w:szCs w:val="21"/>
          <w:highlight w:val="none"/>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2.</w:t>
      </w:r>
      <w:r>
        <w:rPr>
          <w:rFonts w:hint="eastAsia" w:hAnsi="宋体"/>
          <w:b/>
          <w:bCs/>
          <w:color w:val="000000" w:themeColor="text1"/>
          <w:szCs w:val="21"/>
          <w:highlight w:val="none"/>
          <w14:textFill>
            <w14:solidFill>
              <w14:schemeClr w14:val="tx1"/>
            </w14:solidFill>
          </w14:textFill>
        </w:rPr>
        <w:t>地点：</w:t>
      </w:r>
      <w:r>
        <w:rPr>
          <w:rFonts w:hint="eastAsia"/>
          <w:color w:val="000000" w:themeColor="text1"/>
          <w:highlight w:val="none"/>
          <w14:textFill>
            <w14:solidFill>
              <w14:schemeClr w14:val="tx1"/>
            </w14:solidFill>
          </w14:textFill>
        </w:rPr>
        <w:t>政府采购云平台（网址：www.zcygov.cn）</w:t>
      </w:r>
      <w:r>
        <w:rPr>
          <w:rFonts w:hint="eastAsia" w:hAnsi="宋体"/>
          <w:color w:val="000000" w:themeColor="text1"/>
          <w:szCs w:val="21"/>
          <w:highlight w:val="none"/>
          <w14:textFill>
            <w14:solidFill>
              <w14:schemeClr w14:val="tx1"/>
            </w14:solidFill>
          </w14:textFill>
        </w:rPr>
        <w:t>。</w:t>
      </w:r>
    </w:p>
    <w:p w14:paraId="606F5BF6">
      <w:pPr>
        <w:spacing w:line="360" w:lineRule="auto"/>
        <w:ind w:firstLine="422" w:firstLineChars="200"/>
        <w:rPr>
          <w:rFonts w:hint="eastAsia" w:hAnsi="宋体" w:cs="宋体"/>
          <w:color w:val="000000" w:themeColor="text1"/>
          <w:kern w:val="0"/>
          <w:szCs w:val="21"/>
          <w:highlight w:val="none"/>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3.</w:t>
      </w:r>
      <w:r>
        <w:rPr>
          <w:rFonts w:hint="eastAsia" w:hAnsi="宋体" w:cs="宋体"/>
          <w:b/>
          <w:bCs/>
          <w:color w:val="000000" w:themeColor="text1"/>
          <w:kern w:val="0"/>
          <w:szCs w:val="21"/>
          <w:highlight w:val="none"/>
          <w14:textFill>
            <w14:solidFill>
              <w14:schemeClr w14:val="tx1"/>
            </w14:solidFill>
          </w14:textFill>
        </w:rPr>
        <w:t>响应文件解密方式：</w:t>
      </w:r>
      <w:r>
        <w:rPr>
          <w:rFonts w:hint="eastAsia" w:hAnsi="宋体" w:cs="宋体"/>
          <w:color w:val="000000" w:themeColor="text1"/>
          <w:kern w:val="0"/>
          <w:szCs w:val="21"/>
          <w:highlight w:val="none"/>
          <w14:textFill>
            <w14:solidFill>
              <w14:schemeClr w14:val="tx1"/>
            </w14:solidFill>
          </w14:textFill>
        </w:rPr>
        <w:t>远程解密。</w:t>
      </w:r>
    </w:p>
    <w:p w14:paraId="606F5BF7">
      <w:pPr>
        <w:pStyle w:val="4"/>
        <w:bidi w:val="0"/>
        <w:rPr>
          <w:rFonts w:hint="eastAsia" w:ascii="宋体" w:hAnsi="宋体" w:eastAsia="宋体"/>
          <w:b/>
          <w:bCs/>
          <w:color w:val="000000" w:themeColor="text1"/>
          <w14:textFill>
            <w14:solidFill>
              <w14:schemeClr w14:val="tx1"/>
            </w14:solidFill>
          </w14:textFill>
        </w:rPr>
      </w:pPr>
      <w:bookmarkStart w:id="43" w:name="_Toc35393803"/>
      <w:bookmarkStart w:id="44" w:name="_Toc28359094"/>
      <w:bookmarkStart w:id="45" w:name="_Toc35393634"/>
      <w:bookmarkStart w:id="46" w:name="_Toc28359017"/>
      <w:r>
        <w:rPr>
          <w:rFonts w:hint="eastAsia"/>
        </w:rPr>
        <w:t>六、公告期限</w:t>
      </w:r>
      <w:bookmarkEnd w:id="43"/>
      <w:bookmarkEnd w:id="44"/>
      <w:bookmarkEnd w:id="45"/>
      <w:bookmarkEnd w:id="46"/>
    </w:p>
    <w:p w14:paraId="606F5BF8">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自本公告发布之日起</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个工作日。</w:t>
      </w:r>
    </w:p>
    <w:p w14:paraId="606F5BF9">
      <w:pPr>
        <w:pStyle w:val="4"/>
        <w:bidi w:val="0"/>
        <w:rPr>
          <w:rFonts w:hint="eastAsia" w:ascii="宋体" w:hAnsi="宋体" w:eastAsia="宋体"/>
          <w:b/>
          <w:bCs/>
          <w:color w:val="000000" w:themeColor="text1"/>
          <w:lang w:val="en-US"/>
          <w14:textFill>
            <w14:solidFill>
              <w14:schemeClr w14:val="tx1"/>
            </w14:solidFill>
          </w14:textFill>
        </w:rPr>
      </w:pPr>
      <w:bookmarkStart w:id="47" w:name="_Toc35393804"/>
      <w:bookmarkStart w:id="48" w:name="_Toc35393635"/>
      <w:r>
        <w:rPr>
          <w:rFonts w:hint="eastAsia"/>
        </w:rPr>
        <w:t>七、其他补充事宜</w:t>
      </w:r>
      <w:bookmarkEnd w:id="47"/>
      <w:bookmarkEnd w:id="48"/>
    </w:p>
    <w:p w14:paraId="606F5BFB">
      <w:pPr>
        <w:spacing w:line="360" w:lineRule="auto"/>
        <w:ind w:firstLine="422" w:firstLineChars="200"/>
        <w:rPr>
          <w:rFonts w:hint="eastAsia" w:hAnsi="宋体"/>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1.</w:t>
      </w:r>
      <w:r>
        <w:rPr>
          <w:rFonts w:hint="eastAsia" w:hAnsi="宋体"/>
          <w:b/>
          <w:bCs/>
          <w:color w:val="000000" w:themeColor="text1"/>
          <w:szCs w:val="21"/>
          <w14:textFill>
            <w14:solidFill>
              <w14:schemeClr w14:val="tx1"/>
            </w14:solidFill>
          </w14:textFill>
        </w:rPr>
        <w:t>开标方式：</w:t>
      </w:r>
      <w:r>
        <w:rPr>
          <w:rFonts w:hint="eastAsia" w:hAnsi="宋体"/>
          <w:color w:val="000000" w:themeColor="text1"/>
          <w:szCs w:val="21"/>
          <w14:textFill>
            <w14:solidFill>
              <w14:schemeClr w14:val="tx1"/>
            </w14:solidFill>
          </w14:textFill>
        </w:rPr>
        <w:t>智能开标，开标网址：</w:t>
      </w:r>
      <w:r>
        <w:fldChar w:fldCharType="begin"/>
      </w:r>
      <w:r>
        <w:instrText xml:space="preserve"> HYPERLINK "http://www.zcygov.cn" </w:instrText>
      </w:r>
      <w:r>
        <w:fldChar w:fldCharType="separate"/>
      </w:r>
      <w:r>
        <w:rPr>
          <w:rFonts w:ascii="宋体" w:hAnsi="宋体" w:eastAsia="宋体" w:cs="Times New Roman"/>
          <w:color w:val="000000" w:themeColor="text1"/>
          <w:szCs w:val="21"/>
          <w14:textFill>
            <w14:solidFill>
              <w14:schemeClr w14:val="tx1"/>
            </w14:solidFill>
          </w14:textFill>
        </w:rPr>
        <w:t>www.zcygov.cn</w:t>
      </w:r>
      <w:r>
        <w:rPr>
          <w:rFonts w:ascii="宋体" w:hAnsi="宋体" w:eastAsia="宋体" w:cs="Times New Roman"/>
          <w:color w:val="000000" w:themeColor="text1"/>
          <w:szCs w:val="21"/>
          <w14:textFill>
            <w14:solidFill>
              <w14:schemeClr w14:val="tx1"/>
            </w14:solidFill>
          </w14:textFill>
        </w:rPr>
        <w:fldChar w:fldCharType="end"/>
      </w:r>
    </w:p>
    <w:p w14:paraId="606F5BFD">
      <w:pPr>
        <w:ind w:firstLine="426" w:firstLineChars="202"/>
        <w:rPr>
          <w:rFonts w:hint="eastAsia" w:hAnsi="宋体"/>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2.</w:t>
      </w:r>
      <w:r>
        <w:rPr>
          <w:rFonts w:hint="eastAsia" w:hAnsi="宋体"/>
          <w:b/>
          <w:bCs/>
          <w:color w:val="000000" w:themeColor="text1"/>
          <w:szCs w:val="21"/>
          <w14:textFill>
            <w14:solidFill>
              <w14:schemeClr w14:val="tx1"/>
            </w14:solidFill>
          </w14:textFill>
        </w:rPr>
        <w:t>其他：</w:t>
      </w:r>
      <w:bookmarkStart w:id="49" w:name="_Hlk123133972"/>
      <w:r>
        <w:rPr>
          <w:rFonts w:hint="eastAsia" w:hAnsi="宋体"/>
          <w:color w:val="000000" w:themeColor="text1"/>
          <w:szCs w:val="21"/>
          <w14:textFill>
            <w14:solidFill>
              <w14:schemeClr w14:val="tx1"/>
            </w14:solidFill>
          </w14:textFill>
        </w:rPr>
        <w:t>本项目竞争性磋商公告仅在</w:t>
      </w:r>
      <w:r>
        <w:rPr>
          <w:rFonts w:hint="eastAsia"/>
          <w:color w:val="000000" w:themeColor="text1"/>
          <w:szCs w:val="22"/>
          <w14:textFill>
            <w14:solidFill>
              <w14:schemeClr w14:val="tx1"/>
            </w14:solidFill>
          </w14:textFill>
        </w:rPr>
        <w:t>云南省政府采购网（</w:t>
      </w:r>
      <w:r>
        <w:rPr>
          <w:color w:val="000000" w:themeColor="text1"/>
          <w:szCs w:val="22"/>
          <w14:textFill>
            <w14:solidFill>
              <w14:schemeClr w14:val="tx1"/>
            </w14:solidFill>
          </w14:textFill>
        </w:rPr>
        <w:t>http://www.yngp.com/</w:t>
      </w:r>
      <w:r>
        <w:rPr>
          <w:rFonts w:hint="eastAsia"/>
          <w:color w:val="000000" w:themeColor="text1"/>
          <w:szCs w:val="22"/>
          <w14:textFill>
            <w14:solidFill>
              <w14:schemeClr w14:val="tx1"/>
            </w14:solidFill>
          </w14:textFill>
        </w:rPr>
        <w:t>）上发布</w:t>
      </w:r>
      <w:r>
        <w:rPr>
          <w:rFonts w:hint="eastAsia" w:hAnsi="宋体"/>
          <w:color w:val="000000" w:themeColor="text1"/>
          <w:szCs w:val="21"/>
          <w14:textFill>
            <w14:solidFill>
              <w14:schemeClr w14:val="tx1"/>
            </w14:solidFill>
          </w14:textFill>
        </w:rPr>
        <w:t>，我公司及</w:t>
      </w:r>
      <w:r>
        <w:rPr>
          <w:rFonts w:hint="eastAsia" w:hAnsi="宋体" w:cs="宋体"/>
          <w:color w:val="000000" w:themeColor="text1"/>
          <w:szCs w:val="21"/>
          <w14:textFill>
            <w14:solidFill>
              <w14:schemeClr w14:val="tx1"/>
            </w14:solidFill>
          </w14:textFill>
        </w:rPr>
        <w:t>采购人</w:t>
      </w:r>
      <w:r>
        <w:rPr>
          <w:rFonts w:hint="eastAsia" w:hAnsi="宋体"/>
          <w:color w:val="000000" w:themeColor="text1"/>
          <w:szCs w:val="21"/>
          <w14:textFill>
            <w14:solidFill>
              <w14:schemeClr w14:val="tx1"/>
            </w14:solidFill>
          </w14:textFill>
        </w:rPr>
        <w:t>对其他网站或媒体转载的公告及公告内容不承担任何责任。</w:t>
      </w:r>
    </w:p>
    <w:bookmarkEnd w:id="49"/>
    <w:p w14:paraId="606F5BFE">
      <w:pPr>
        <w:pStyle w:val="4"/>
        <w:bidi w:val="0"/>
        <w:rPr>
          <w:rFonts w:hint="eastAsia" w:ascii="宋体" w:hAnsi="宋体" w:eastAsia="宋体"/>
          <w:b/>
          <w:bCs/>
          <w:color w:val="000000" w:themeColor="text1"/>
          <w14:textFill>
            <w14:solidFill>
              <w14:schemeClr w14:val="tx1"/>
            </w14:solidFill>
          </w14:textFill>
        </w:rPr>
      </w:pPr>
      <w:bookmarkStart w:id="50" w:name="_Toc35393636"/>
      <w:bookmarkStart w:id="51" w:name="_Toc28359018"/>
      <w:bookmarkStart w:id="52" w:name="_Toc35393805"/>
      <w:bookmarkStart w:id="53" w:name="_Toc28359095"/>
      <w:r>
        <w:rPr>
          <w:rFonts w:hint="eastAsia"/>
        </w:rPr>
        <w:t>八、凡对本次采购提出询问，请按</w:t>
      </w:r>
      <w:r>
        <w:t>以下方式</w:t>
      </w:r>
      <w:r>
        <w:rPr>
          <w:rFonts w:hint="eastAsia"/>
        </w:rPr>
        <w:t>联系。</w:t>
      </w:r>
      <w:bookmarkEnd w:id="50"/>
      <w:bookmarkEnd w:id="51"/>
      <w:bookmarkEnd w:id="52"/>
      <w:bookmarkEnd w:id="53"/>
    </w:p>
    <w:p w14:paraId="0E3A5461">
      <w:pPr>
        <w:spacing w:line="360" w:lineRule="auto"/>
        <w:ind w:firstLine="422" w:firstLineChars="200"/>
        <w:rPr>
          <w:rFonts w:hint="eastAsia" w:ascii="宋体" w:hAnsi="宋体" w:eastAsia="宋体" w:cs="宋体"/>
          <w:b/>
          <w:bCs/>
          <w:color w:val="auto"/>
          <w:szCs w:val="21"/>
        </w:rPr>
      </w:pPr>
      <w:bookmarkStart w:id="54" w:name="_Toc12799"/>
      <w:bookmarkStart w:id="55" w:name="OLE_LINK278"/>
      <w:r>
        <w:rPr>
          <w:rFonts w:hint="eastAsia" w:ascii="宋体" w:hAnsi="宋体" w:eastAsia="宋体" w:cs="宋体"/>
          <w:b/>
          <w:bCs/>
          <w:color w:val="auto"/>
          <w:szCs w:val="21"/>
        </w:rPr>
        <w:t>1.采购人信息</w:t>
      </w:r>
      <w:bookmarkEnd w:id="54"/>
      <w:r>
        <w:rPr>
          <w:rFonts w:hint="eastAsia" w:ascii="宋体" w:hAnsi="宋体" w:eastAsia="宋体" w:cs="宋体"/>
          <w:b/>
          <w:bCs/>
          <w:color w:val="auto"/>
          <w:szCs w:val="21"/>
        </w:rPr>
        <w:t xml:space="preserve"> </w:t>
      </w:r>
    </w:p>
    <w:p w14:paraId="267FE7F3">
      <w:pPr>
        <w:spacing w:line="360" w:lineRule="auto"/>
        <w:ind w:firstLine="420" w:firstLineChars="200"/>
        <w:rPr>
          <w:rFonts w:hint="eastAsia" w:cs="宋体"/>
          <w:szCs w:val="21"/>
          <w:lang w:eastAsia="zh-CN"/>
        </w:rPr>
      </w:pPr>
      <w:bookmarkStart w:id="56" w:name="_Toc7066"/>
      <w:r>
        <w:rPr>
          <w:rFonts w:hint="eastAsia" w:hAnsi="宋体" w:cs="宋体"/>
          <w:szCs w:val="21"/>
        </w:rPr>
        <w:t>名    称：</w:t>
      </w:r>
      <w:r>
        <w:rPr>
          <w:rFonts w:hint="eastAsia" w:cs="宋体"/>
          <w:szCs w:val="21"/>
          <w:lang w:eastAsia="zh-CN"/>
        </w:rPr>
        <w:t>元谋县水务局</w:t>
      </w:r>
    </w:p>
    <w:p w14:paraId="5DAF0846">
      <w:pPr>
        <w:spacing w:line="360" w:lineRule="auto"/>
        <w:ind w:firstLine="420" w:firstLineChars="200"/>
        <w:rPr>
          <w:rFonts w:hint="eastAsia" w:hAnsi="宋体" w:eastAsia="宋体" w:cs="宋体"/>
          <w:szCs w:val="21"/>
          <w:highlight w:val="none"/>
          <w:lang w:eastAsia="zh-CN"/>
        </w:rPr>
      </w:pPr>
      <w:r>
        <w:rPr>
          <w:rFonts w:hint="eastAsia" w:hAnsi="宋体" w:cs="宋体"/>
          <w:szCs w:val="21"/>
        </w:rPr>
        <w:t xml:space="preserve">地    </w:t>
      </w:r>
      <w:r>
        <w:rPr>
          <w:rFonts w:hint="eastAsia" w:hAnsi="宋体" w:cs="宋体"/>
          <w:szCs w:val="21"/>
          <w:highlight w:val="none"/>
        </w:rPr>
        <w:t>址：</w:t>
      </w:r>
      <w:r>
        <w:rPr>
          <w:rFonts w:hint="eastAsia" w:cs="宋体"/>
          <w:bCs/>
          <w:color w:val="000000" w:themeColor="text1"/>
          <w:spacing w:val="0"/>
          <w:szCs w:val="21"/>
          <w:highlight w:val="none"/>
          <w:lang w:eastAsia="zh-CN"/>
          <w14:textFill>
            <w14:solidFill>
              <w14:schemeClr w14:val="tx1"/>
            </w14:solidFill>
          </w14:textFill>
        </w:rPr>
        <w:t>元谋县元马镇发祥路130号</w:t>
      </w:r>
    </w:p>
    <w:p w14:paraId="6B3E27C7">
      <w:pPr>
        <w:spacing w:line="360" w:lineRule="auto"/>
        <w:ind w:firstLine="420" w:firstLineChars="200"/>
        <w:rPr>
          <w:rFonts w:hint="default" w:hAnsi="宋体" w:eastAsia="宋体" w:cs="宋体"/>
          <w:szCs w:val="21"/>
          <w:highlight w:val="none"/>
          <w:lang w:val="en-US" w:eastAsia="zh-CN"/>
        </w:rPr>
      </w:pPr>
      <w:r>
        <w:rPr>
          <w:rFonts w:hint="eastAsia" w:hAnsi="宋体" w:cs="宋体"/>
          <w:szCs w:val="21"/>
          <w:highlight w:val="none"/>
        </w:rPr>
        <w:t>联系方式：</w:t>
      </w:r>
      <w:r>
        <w:rPr>
          <w:rFonts w:hint="eastAsia" w:cs="宋体"/>
          <w:szCs w:val="21"/>
          <w:highlight w:val="none"/>
          <w:lang w:val="en-US" w:eastAsia="zh-CN"/>
        </w:rPr>
        <w:t>15750352603</w:t>
      </w:r>
    </w:p>
    <w:p w14:paraId="6F7367F2">
      <w:pPr>
        <w:spacing w:line="360" w:lineRule="auto"/>
        <w:ind w:firstLine="422" w:firstLineChars="200"/>
        <w:rPr>
          <w:rFonts w:hint="eastAsia" w:ascii="宋体" w:hAnsi="宋体" w:eastAsia="宋体" w:cs="宋体"/>
          <w:b/>
          <w:bCs/>
          <w:color w:val="auto"/>
          <w:szCs w:val="21"/>
        </w:rPr>
      </w:pPr>
    </w:p>
    <w:p w14:paraId="7A388474">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2.采购代理机构信息</w:t>
      </w:r>
      <w:bookmarkEnd w:id="56"/>
    </w:p>
    <w:p w14:paraId="60850AC1">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eastAsia="宋体" w:cs="宋体"/>
          <w:color w:val="auto"/>
          <w:szCs w:val="21"/>
          <w:lang w:eastAsia="zh-CN"/>
        </w:rPr>
        <w:t>楚雄华水工程项目管理有限公司</w:t>
      </w:r>
    </w:p>
    <w:p w14:paraId="7C33C51A">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地    址：</w:t>
      </w:r>
      <w:r>
        <w:rPr>
          <w:rFonts w:hint="eastAsia" w:ascii="宋体" w:hAnsi="宋体" w:eastAsia="宋体" w:cs="宋体"/>
          <w:color w:val="auto"/>
          <w:szCs w:val="21"/>
          <w:lang w:eastAsia="zh-CN"/>
        </w:rPr>
        <w:t>云南省楚雄高新区彝人古镇水岸商街C33-4号</w:t>
      </w:r>
    </w:p>
    <w:p w14:paraId="3037E98D">
      <w:pPr>
        <w:spacing w:line="360" w:lineRule="auto"/>
        <w:ind w:firstLine="420" w:firstLineChars="200"/>
        <w:rPr>
          <w:rFonts w:hint="eastAsia" w:cs="宋体"/>
          <w:color w:val="auto"/>
          <w:szCs w:val="21"/>
          <w:lang w:val="en-US" w:eastAsia="zh-CN"/>
        </w:rPr>
      </w:pPr>
      <w:r>
        <w:rPr>
          <w:rFonts w:hint="eastAsia" w:ascii="宋体" w:hAnsi="宋体" w:eastAsia="宋体" w:cs="宋体"/>
          <w:color w:val="auto"/>
          <w:szCs w:val="21"/>
        </w:rPr>
        <w:t>联系方式：</w:t>
      </w:r>
      <w:bookmarkStart w:id="57" w:name="_Toc17267"/>
      <w:r>
        <w:rPr>
          <w:rFonts w:hint="eastAsia" w:cs="宋体"/>
          <w:color w:val="auto"/>
          <w:szCs w:val="21"/>
          <w:lang w:val="en-US" w:eastAsia="zh-CN"/>
        </w:rPr>
        <w:t>15368567962</w:t>
      </w:r>
    </w:p>
    <w:p w14:paraId="2C036701">
      <w:pPr>
        <w:spacing w:line="360" w:lineRule="auto"/>
        <w:ind w:firstLine="420" w:firstLineChars="200"/>
        <w:rPr>
          <w:rFonts w:hint="default" w:cs="宋体"/>
          <w:color w:val="auto"/>
          <w:szCs w:val="21"/>
          <w:lang w:val="en-US" w:eastAsia="zh-CN"/>
        </w:rPr>
      </w:pPr>
    </w:p>
    <w:p w14:paraId="285F4C74">
      <w:pPr>
        <w:spacing w:line="360" w:lineRule="auto"/>
        <w:ind w:left="0" w:leftChars="0"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3.项目联系方式</w:t>
      </w:r>
      <w:bookmarkEnd w:id="57"/>
    </w:p>
    <w:p w14:paraId="5A9F75AF">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项目联系人：卢工</w:t>
      </w:r>
    </w:p>
    <w:p w14:paraId="7E7F08A9">
      <w:pPr>
        <w:spacing w:line="360" w:lineRule="auto"/>
        <w:ind w:firstLine="420" w:firstLineChars="200"/>
        <w:rPr>
          <w:rFonts w:hint="default" w:hAnsi="宋体" w:eastAsia="宋体"/>
          <w:color w:val="000000" w:themeColor="text1"/>
          <w:szCs w:val="21"/>
          <w:lang w:val="en-US" w:eastAsia="zh-CN"/>
          <w14:textFill>
            <w14:solidFill>
              <w14:schemeClr w14:val="tx1"/>
            </w14:solidFill>
          </w14:textFill>
        </w:rPr>
      </w:pPr>
      <w:r>
        <w:rPr>
          <w:rFonts w:hint="eastAsia" w:ascii="宋体" w:hAnsi="宋体" w:eastAsia="宋体" w:cs="宋体"/>
          <w:color w:val="auto"/>
          <w:szCs w:val="21"/>
        </w:rPr>
        <w:t>电      话：</w:t>
      </w:r>
      <w:bookmarkEnd w:id="55"/>
      <w:r>
        <w:rPr>
          <w:rFonts w:hint="eastAsia" w:cs="宋体"/>
          <w:color w:val="auto"/>
          <w:szCs w:val="21"/>
          <w:lang w:val="en-US" w:eastAsia="zh-CN"/>
        </w:rPr>
        <w:t>15368567962</w:t>
      </w:r>
    </w:p>
    <w:p w14:paraId="606F5C0C">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606F5C19">
      <w:pPr>
        <w:pStyle w:val="3"/>
        <w:bidi w:val="0"/>
        <w:rPr>
          <w:rFonts w:hint="eastAsia"/>
          <w:lang w:val="zh-CN"/>
        </w:rPr>
      </w:pPr>
      <w:bookmarkStart w:id="58" w:name="_Toc201047301"/>
      <w:bookmarkStart w:id="59" w:name="_Toc3750"/>
      <w:r>
        <w:rPr>
          <w:rFonts w:hint="eastAsia"/>
          <w:lang w:val="zh-CN"/>
        </w:rPr>
        <w:t>第二章  供应商须知</w:t>
      </w:r>
      <w:bookmarkEnd w:id="58"/>
      <w:bookmarkEnd w:id="59"/>
    </w:p>
    <w:p w14:paraId="606F5C1A">
      <w:pPr>
        <w:pStyle w:val="4"/>
        <w:bidi w:val="0"/>
        <w:jc w:val="center"/>
        <w:rPr>
          <w:rFonts w:hint="eastAsia"/>
          <w:lang w:val="en-US"/>
        </w:rPr>
      </w:pPr>
      <w:bookmarkStart w:id="60" w:name="_Toc201047302"/>
      <w:r>
        <w:rPr>
          <w:lang w:val="en-US"/>
        </w:rPr>
        <w:t>供应商须知前附表</w:t>
      </w:r>
      <w:bookmarkEnd w:id="60"/>
    </w:p>
    <w:tbl>
      <w:tblPr>
        <w:tblStyle w:val="17"/>
        <w:tblW w:w="983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0" w:type="dxa"/>
          <w:bottom w:w="0" w:type="dxa"/>
          <w:right w:w="0" w:type="dxa"/>
        </w:tblCellMar>
      </w:tblPr>
      <w:tblGrid>
        <w:gridCol w:w="730"/>
        <w:gridCol w:w="2105"/>
        <w:gridCol w:w="6995"/>
      </w:tblGrid>
      <w:tr w14:paraId="606F5C1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730" w:type="dxa"/>
            <w:vAlign w:val="center"/>
          </w:tcPr>
          <w:p w14:paraId="606F5C1B">
            <w:pPr>
              <w:pStyle w:val="22"/>
              <w:bidi w:val="0"/>
              <w:jc w:val="center"/>
              <w:rPr>
                <w:rFonts w:hint="eastAsia"/>
                <w:b/>
                <w:bCs w:val="0"/>
              </w:rPr>
            </w:pPr>
            <w:r>
              <w:rPr>
                <w:rFonts w:hint="eastAsia"/>
                <w:b/>
                <w:bCs w:val="0"/>
              </w:rPr>
              <w:t>序号</w:t>
            </w:r>
          </w:p>
        </w:tc>
        <w:tc>
          <w:tcPr>
            <w:tcW w:w="2105" w:type="dxa"/>
            <w:vAlign w:val="center"/>
          </w:tcPr>
          <w:p w14:paraId="606F5C1C">
            <w:pPr>
              <w:pStyle w:val="22"/>
              <w:bidi w:val="0"/>
              <w:jc w:val="center"/>
              <w:rPr>
                <w:rFonts w:hint="eastAsia"/>
                <w:b/>
                <w:bCs w:val="0"/>
              </w:rPr>
            </w:pPr>
            <w:r>
              <w:rPr>
                <w:rFonts w:hint="eastAsia"/>
                <w:b/>
                <w:bCs w:val="0"/>
              </w:rPr>
              <w:t>名称</w:t>
            </w:r>
          </w:p>
        </w:tc>
        <w:tc>
          <w:tcPr>
            <w:tcW w:w="6995" w:type="dxa"/>
            <w:vAlign w:val="center"/>
          </w:tcPr>
          <w:p w14:paraId="606F5C1D">
            <w:pPr>
              <w:pStyle w:val="22"/>
              <w:bidi w:val="0"/>
              <w:jc w:val="center"/>
              <w:rPr>
                <w:rFonts w:hint="eastAsia"/>
                <w:b/>
                <w:bCs w:val="0"/>
              </w:rPr>
            </w:pPr>
            <w:r>
              <w:rPr>
                <w:b/>
                <w:bCs w:val="0"/>
              </w:rPr>
              <w:t>内    容</w:t>
            </w:r>
          </w:p>
        </w:tc>
      </w:tr>
      <w:tr w14:paraId="606F5C2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1F">
            <w:pPr>
              <w:pStyle w:val="22"/>
              <w:bidi w:val="0"/>
              <w:jc w:val="center"/>
              <w:rPr>
                <w:rFonts w:hint="eastAsia"/>
              </w:rPr>
            </w:pPr>
            <w:r>
              <w:rPr>
                <w:rFonts w:hint="eastAsia"/>
              </w:rPr>
              <w:t>1.2</w:t>
            </w:r>
          </w:p>
        </w:tc>
        <w:tc>
          <w:tcPr>
            <w:tcW w:w="2105" w:type="dxa"/>
            <w:vAlign w:val="center"/>
          </w:tcPr>
          <w:p w14:paraId="606F5C20">
            <w:pPr>
              <w:pStyle w:val="22"/>
              <w:bidi w:val="0"/>
              <w:jc w:val="center"/>
              <w:rPr>
                <w:rFonts w:hint="eastAsia"/>
              </w:rPr>
            </w:pPr>
            <w:r>
              <w:rPr>
                <w:rFonts w:hint="eastAsia"/>
              </w:rPr>
              <w:t>采购人</w:t>
            </w:r>
          </w:p>
        </w:tc>
        <w:tc>
          <w:tcPr>
            <w:tcW w:w="6995" w:type="dxa"/>
            <w:vAlign w:val="center"/>
          </w:tcPr>
          <w:p w14:paraId="0D989A1E">
            <w:pPr>
              <w:pStyle w:val="22"/>
              <w:bidi w:val="0"/>
              <w:rPr>
                <w:rFonts w:hint="eastAsia"/>
                <w:lang w:eastAsia="zh-CN"/>
              </w:rPr>
            </w:pPr>
            <w:r>
              <w:rPr>
                <w:rFonts w:hint="eastAsia"/>
              </w:rPr>
              <w:t>名    称：</w:t>
            </w:r>
            <w:r>
              <w:rPr>
                <w:rFonts w:hint="eastAsia"/>
                <w:lang w:eastAsia="zh-CN"/>
              </w:rPr>
              <w:t>元谋县水务局</w:t>
            </w:r>
          </w:p>
          <w:p w14:paraId="606F5C22">
            <w:pPr>
              <w:pStyle w:val="22"/>
              <w:bidi w:val="0"/>
              <w:rPr>
                <w:rFonts w:hint="eastAsia" w:eastAsia="宋体"/>
                <w:color w:val="auto"/>
                <w:lang w:eastAsia="zh-CN"/>
              </w:rPr>
            </w:pPr>
            <w:r>
              <w:rPr>
                <w:rFonts w:hint="eastAsia"/>
              </w:rPr>
              <w:t>地</w:t>
            </w:r>
            <w:r>
              <w:rPr>
                <w:rFonts w:hint="eastAsia"/>
                <w:color w:val="auto"/>
              </w:rPr>
              <w:t xml:space="preserve">    址：</w:t>
            </w:r>
            <w:r>
              <w:rPr>
                <w:rFonts w:hint="eastAsia"/>
                <w:color w:val="auto"/>
                <w:lang w:eastAsia="zh-CN"/>
              </w:rPr>
              <w:t>元谋县元马镇发祥路130号</w:t>
            </w:r>
          </w:p>
          <w:p w14:paraId="606F5C23">
            <w:pPr>
              <w:pStyle w:val="22"/>
              <w:bidi w:val="0"/>
              <w:rPr>
                <w:rFonts w:hint="default" w:eastAsia="宋体"/>
                <w:color w:val="auto"/>
                <w:lang w:val="en-US" w:eastAsia="zh-CN"/>
              </w:rPr>
            </w:pPr>
            <w:r>
              <w:rPr>
                <w:rFonts w:hint="eastAsia"/>
                <w:color w:val="auto"/>
              </w:rPr>
              <w:t>联 系 人：</w:t>
            </w:r>
            <w:r>
              <w:rPr>
                <w:rFonts w:hint="eastAsia"/>
                <w:color w:val="auto"/>
                <w:lang w:val="en-US" w:eastAsia="zh-CN"/>
              </w:rPr>
              <w:t>陆工</w:t>
            </w:r>
          </w:p>
          <w:p w14:paraId="606F5C24">
            <w:pPr>
              <w:pStyle w:val="22"/>
              <w:bidi w:val="0"/>
              <w:rPr>
                <w:rFonts w:hint="eastAsia"/>
              </w:rPr>
            </w:pPr>
            <w:r>
              <w:rPr>
                <w:rFonts w:hint="eastAsia"/>
                <w:color w:val="auto"/>
              </w:rPr>
              <w:t>电    话：</w:t>
            </w:r>
            <w:r>
              <w:rPr>
                <w:rFonts w:hint="eastAsia" w:cs="宋体"/>
                <w:color w:val="auto"/>
                <w:szCs w:val="21"/>
                <w:lang w:val="en-US" w:eastAsia="zh-CN"/>
              </w:rPr>
              <w:t>15750352603</w:t>
            </w:r>
          </w:p>
        </w:tc>
      </w:tr>
      <w:tr w14:paraId="606F5C2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26">
            <w:pPr>
              <w:pStyle w:val="22"/>
              <w:bidi w:val="0"/>
              <w:jc w:val="center"/>
              <w:rPr>
                <w:rFonts w:hint="eastAsia"/>
              </w:rPr>
            </w:pPr>
            <w:r>
              <w:rPr>
                <w:rFonts w:hint="eastAsia"/>
              </w:rPr>
              <w:t>1.3</w:t>
            </w:r>
          </w:p>
        </w:tc>
        <w:tc>
          <w:tcPr>
            <w:tcW w:w="2105" w:type="dxa"/>
            <w:vAlign w:val="center"/>
          </w:tcPr>
          <w:p w14:paraId="606F5C27">
            <w:pPr>
              <w:pStyle w:val="22"/>
              <w:bidi w:val="0"/>
              <w:jc w:val="center"/>
              <w:rPr>
                <w:rFonts w:hint="eastAsia"/>
              </w:rPr>
            </w:pPr>
            <w:r>
              <w:rPr>
                <w:rFonts w:hint="eastAsia"/>
              </w:rPr>
              <w:t>采购代理机构</w:t>
            </w:r>
          </w:p>
        </w:tc>
        <w:tc>
          <w:tcPr>
            <w:tcW w:w="6995" w:type="dxa"/>
            <w:vAlign w:val="center"/>
          </w:tcPr>
          <w:p w14:paraId="606F5C28">
            <w:pPr>
              <w:pStyle w:val="22"/>
              <w:bidi w:val="0"/>
              <w:rPr>
                <w:rFonts w:hint="eastAsia"/>
              </w:rPr>
            </w:pPr>
            <w:r>
              <w:rPr>
                <w:rFonts w:hint="eastAsia"/>
              </w:rPr>
              <w:t>采购代理机构：</w:t>
            </w:r>
            <w:r>
              <w:rPr>
                <w:rFonts w:hint="eastAsia"/>
                <w:lang w:eastAsia="zh-CN"/>
              </w:rPr>
              <w:t>楚雄华水工程项目管理有限公司</w:t>
            </w:r>
          </w:p>
          <w:p w14:paraId="606F5C29">
            <w:pPr>
              <w:pStyle w:val="22"/>
              <w:bidi w:val="0"/>
              <w:rPr>
                <w:rFonts w:hint="eastAsia"/>
              </w:rPr>
            </w:pPr>
            <w:r>
              <w:rPr>
                <w:rFonts w:hint="eastAsia"/>
              </w:rPr>
              <w:t>地址：</w:t>
            </w:r>
            <w:r>
              <w:rPr>
                <w:rFonts w:hint="eastAsia"/>
                <w:lang w:eastAsia="zh-CN"/>
              </w:rPr>
              <w:t>云南省楚雄高新区彝人古镇水岸商街C33-4号</w:t>
            </w:r>
          </w:p>
          <w:p w14:paraId="606F5C2A">
            <w:pPr>
              <w:pStyle w:val="22"/>
              <w:bidi w:val="0"/>
              <w:rPr>
                <w:rFonts w:hint="default" w:eastAsia="宋体"/>
                <w:color w:val="auto"/>
                <w:lang w:val="en-US" w:eastAsia="zh-CN"/>
              </w:rPr>
            </w:pPr>
            <w:r>
              <w:rPr>
                <w:rFonts w:hint="eastAsia"/>
                <w:color w:val="auto"/>
              </w:rPr>
              <w:t>联系人：</w:t>
            </w:r>
            <w:r>
              <w:rPr>
                <w:rFonts w:hint="eastAsia"/>
                <w:color w:val="auto"/>
                <w:lang w:val="en-US" w:eastAsia="zh-CN"/>
              </w:rPr>
              <w:t>卢工</w:t>
            </w:r>
          </w:p>
          <w:p w14:paraId="606F5C2C">
            <w:pPr>
              <w:pStyle w:val="22"/>
              <w:bidi w:val="0"/>
              <w:rPr>
                <w:rFonts w:hint="default" w:eastAsia="宋体"/>
                <w:lang w:val="en-US" w:eastAsia="zh-CN"/>
              </w:rPr>
            </w:pPr>
            <w:r>
              <w:rPr>
                <w:rFonts w:hint="eastAsia"/>
                <w:color w:val="auto"/>
              </w:rPr>
              <w:t>电话：</w:t>
            </w:r>
            <w:r>
              <w:rPr>
                <w:rFonts w:hint="eastAsia"/>
                <w:color w:val="auto"/>
                <w:lang w:val="en-US" w:eastAsia="zh-CN"/>
              </w:rPr>
              <w:t>15368567962</w:t>
            </w:r>
          </w:p>
        </w:tc>
      </w:tr>
      <w:tr w14:paraId="606F5C3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2E">
            <w:pPr>
              <w:pStyle w:val="22"/>
              <w:bidi w:val="0"/>
              <w:jc w:val="center"/>
              <w:rPr>
                <w:rFonts w:hint="eastAsia"/>
              </w:rPr>
            </w:pPr>
            <w:r>
              <w:rPr>
                <w:rFonts w:hint="eastAsia"/>
              </w:rPr>
              <w:t>1.4</w:t>
            </w:r>
          </w:p>
        </w:tc>
        <w:tc>
          <w:tcPr>
            <w:tcW w:w="2105" w:type="dxa"/>
            <w:vAlign w:val="center"/>
          </w:tcPr>
          <w:p w14:paraId="606F5C2F">
            <w:pPr>
              <w:pStyle w:val="22"/>
              <w:bidi w:val="0"/>
              <w:jc w:val="center"/>
              <w:rPr>
                <w:rFonts w:hint="eastAsia"/>
              </w:rPr>
            </w:pPr>
            <w:r>
              <w:rPr>
                <w:rFonts w:hint="eastAsia"/>
              </w:rPr>
              <w:t>项目名称及项目编号</w:t>
            </w:r>
          </w:p>
        </w:tc>
        <w:tc>
          <w:tcPr>
            <w:tcW w:w="6995" w:type="dxa"/>
            <w:vAlign w:val="center"/>
          </w:tcPr>
          <w:p w14:paraId="606F5C30">
            <w:pPr>
              <w:pStyle w:val="22"/>
              <w:bidi w:val="0"/>
              <w:rPr>
                <w:rFonts w:hint="eastAsia"/>
                <w:color w:val="auto"/>
                <w:highlight w:val="none"/>
                <w:lang w:eastAsia="zh-CN"/>
              </w:rPr>
            </w:pPr>
            <w:r>
              <w:rPr>
                <w:rFonts w:hint="eastAsia"/>
                <w:highlight w:val="none"/>
              </w:rPr>
              <w:t>项</w:t>
            </w:r>
            <w:r>
              <w:rPr>
                <w:rFonts w:hint="eastAsia"/>
                <w:color w:val="auto"/>
                <w:highlight w:val="none"/>
              </w:rPr>
              <w:t>目名称：</w:t>
            </w:r>
            <w:r>
              <w:rPr>
                <w:rFonts w:hint="eastAsia"/>
                <w:color w:val="auto"/>
                <w:highlight w:val="none"/>
                <w:lang w:eastAsia="zh-CN"/>
              </w:rPr>
              <w:t>元谋县2025年中央水利发展资金白蚁等害堤动物防治项目</w:t>
            </w:r>
          </w:p>
          <w:p w14:paraId="606F5C31">
            <w:pPr>
              <w:pStyle w:val="22"/>
              <w:bidi w:val="0"/>
              <w:rPr>
                <w:rFonts w:hint="eastAsia" w:eastAsia="宋体"/>
                <w:highlight w:val="none"/>
                <w:lang w:eastAsia="zh-CN"/>
              </w:rPr>
            </w:pPr>
            <w:r>
              <w:rPr>
                <w:rFonts w:hint="eastAsia"/>
                <w:color w:val="auto"/>
                <w:highlight w:val="none"/>
              </w:rPr>
              <w:t>项目编号：CXZC2025-C3-00640-CXHS-0010</w:t>
            </w:r>
          </w:p>
        </w:tc>
      </w:tr>
      <w:tr w14:paraId="606F5C3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30" w:type="dxa"/>
            <w:vAlign w:val="center"/>
          </w:tcPr>
          <w:p w14:paraId="606F5C33">
            <w:pPr>
              <w:pStyle w:val="22"/>
              <w:bidi w:val="0"/>
              <w:jc w:val="center"/>
              <w:rPr>
                <w:rFonts w:hint="eastAsia"/>
              </w:rPr>
            </w:pPr>
            <w:r>
              <w:rPr>
                <w:rFonts w:hint="eastAsia"/>
              </w:rPr>
              <w:t>2.1</w:t>
            </w:r>
          </w:p>
        </w:tc>
        <w:tc>
          <w:tcPr>
            <w:tcW w:w="2105" w:type="dxa"/>
            <w:vAlign w:val="center"/>
          </w:tcPr>
          <w:p w14:paraId="606F5C34">
            <w:pPr>
              <w:pStyle w:val="22"/>
              <w:bidi w:val="0"/>
              <w:jc w:val="center"/>
              <w:rPr>
                <w:rFonts w:hint="eastAsia"/>
              </w:rPr>
            </w:pPr>
            <w:r>
              <w:rPr>
                <w:rFonts w:hint="eastAsia"/>
              </w:rPr>
              <w:t>资金来源及预算金额</w:t>
            </w:r>
          </w:p>
        </w:tc>
        <w:tc>
          <w:tcPr>
            <w:tcW w:w="6995" w:type="dxa"/>
            <w:vAlign w:val="center"/>
          </w:tcPr>
          <w:p w14:paraId="606F5C35">
            <w:pPr>
              <w:pStyle w:val="22"/>
              <w:bidi w:val="0"/>
              <w:rPr>
                <w:rFonts w:hint="eastAsia"/>
                <w:highlight w:val="none"/>
                <w:lang w:eastAsia="zh-CN"/>
              </w:rPr>
            </w:pPr>
            <w:r>
              <w:rPr>
                <w:rFonts w:hint="eastAsia"/>
                <w:highlight w:val="none"/>
              </w:rPr>
              <w:t>资金来源：</w:t>
            </w:r>
            <w:r>
              <w:rPr>
                <w:rFonts w:hint="eastAsia"/>
                <w:highlight w:val="none"/>
                <w:lang w:eastAsia="zh-CN"/>
              </w:rPr>
              <w:t>2025年中央水利发展资金；</w:t>
            </w:r>
          </w:p>
          <w:p w14:paraId="606F5C36">
            <w:pPr>
              <w:pStyle w:val="22"/>
              <w:bidi w:val="0"/>
              <w:rPr>
                <w:rFonts w:hint="eastAsia"/>
                <w:highlight w:val="none"/>
                <w:lang w:eastAsia="zh-CN"/>
              </w:rPr>
            </w:pPr>
            <w:r>
              <w:rPr>
                <w:rFonts w:hint="eastAsia"/>
                <w:highlight w:val="none"/>
              </w:rPr>
              <w:t>预算金额：详见 第一章 竞争性磋商公告 一、项目基本情况 “预算金额”</w:t>
            </w:r>
            <w:r>
              <w:rPr>
                <w:rFonts w:hint="eastAsia"/>
                <w:highlight w:val="none"/>
                <w:lang w:eastAsia="zh-CN"/>
              </w:rPr>
              <w:t>。</w:t>
            </w:r>
          </w:p>
        </w:tc>
      </w:tr>
      <w:tr w14:paraId="606F5C3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38">
            <w:pPr>
              <w:pStyle w:val="22"/>
              <w:bidi w:val="0"/>
              <w:jc w:val="center"/>
              <w:rPr>
                <w:rFonts w:hint="eastAsia"/>
              </w:rPr>
            </w:pPr>
            <w:r>
              <w:rPr>
                <w:rFonts w:hint="eastAsia"/>
              </w:rPr>
              <w:t>3.1</w:t>
            </w:r>
          </w:p>
        </w:tc>
        <w:tc>
          <w:tcPr>
            <w:tcW w:w="2105" w:type="dxa"/>
            <w:vAlign w:val="center"/>
          </w:tcPr>
          <w:p w14:paraId="606F5C39">
            <w:pPr>
              <w:pStyle w:val="22"/>
              <w:bidi w:val="0"/>
              <w:jc w:val="center"/>
              <w:rPr>
                <w:rFonts w:hint="eastAsia"/>
              </w:rPr>
            </w:pPr>
            <w:r>
              <w:rPr>
                <w:rFonts w:hint="eastAsia"/>
              </w:rPr>
              <w:t>采购需求</w:t>
            </w:r>
          </w:p>
        </w:tc>
        <w:tc>
          <w:tcPr>
            <w:tcW w:w="6995" w:type="dxa"/>
            <w:vAlign w:val="center"/>
          </w:tcPr>
          <w:p w14:paraId="606F5C3A">
            <w:pPr>
              <w:pStyle w:val="22"/>
              <w:bidi w:val="0"/>
              <w:rPr>
                <w:rFonts w:hint="eastAsia"/>
                <w:lang w:eastAsia="zh-CN"/>
              </w:rPr>
            </w:pPr>
            <w:r>
              <w:rPr>
                <w:rFonts w:hint="eastAsia"/>
              </w:rPr>
              <w:t>详见 第一章 竞争性磋商公告 一、项目基本情况 “采购需求”</w:t>
            </w:r>
            <w:r>
              <w:rPr>
                <w:rFonts w:hint="eastAsia"/>
                <w:lang w:eastAsia="zh-CN"/>
              </w:rPr>
              <w:t>。</w:t>
            </w:r>
          </w:p>
        </w:tc>
      </w:tr>
      <w:tr w14:paraId="606F5C3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3C">
            <w:pPr>
              <w:pStyle w:val="22"/>
              <w:bidi w:val="0"/>
              <w:jc w:val="center"/>
              <w:rPr>
                <w:rFonts w:hint="eastAsia"/>
              </w:rPr>
            </w:pPr>
            <w:r>
              <w:rPr>
                <w:rFonts w:hint="eastAsia"/>
              </w:rPr>
              <w:t>3</w:t>
            </w:r>
            <w:r>
              <w:t>.2</w:t>
            </w:r>
          </w:p>
        </w:tc>
        <w:tc>
          <w:tcPr>
            <w:tcW w:w="2105" w:type="dxa"/>
            <w:vAlign w:val="center"/>
          </w:tcPr>
          <w:p w14:paraId="606F5C3D">
            <w:pPr>
              <w:pStyle w:val="22"/>
              <w:bidi w:val="0"/>
              <w:jc w:val="center"/>
              <w:rPr>
                <w:rFonts w:hint="eastAsia"/>
              </w:rPr>
            </w:pPr>
            <w:r>
              <w:rPr>
                <w:rFonts w:hint="eastAsia"/>
              </w:rPr>
              <w:t>项目实施地点</w:t>
            </w:r>
          </w:p>
        </w:tc>
        <w:tc>
          <w:tcPr>
            <w:tcW w:w="6995" w:type="dxa"/>
            <w:vAlign w:val="center"/>
          </w:tcPr>
          <w:p w14:paraId="606F5C3E">
            <w:pPr>
              <w:pStyle w:val="22"/>
              <w:bidi w:val="0"/>
              <w:rPr>
                <w:rFonts w:hint="eastAsia"/>
                <w:lang w:eastAsia="zh-CN"/>
              </w:rPr>
            </w:pPr>
            <w:r>
              <w:rPr>
                <w:rFonts w:hint="eastAsia"/>
              </w:rPr>
              <w:t>详见 第一章 竞争性磋商公告 一、项目基本情况 “项目实施地点”</w:t>
            </w:r>
            <w:r>
              <w:rPr>
                <w:rFonts w:hint="eastAsia"/>
                <w:lang w:eastAsia="zh-CN"/>
              </w:rPr>
              <w:t>。</w:t>
            </w:r>
          </w:p>
        </w:tc>
      </w:tr>
      <w:tr w14:paraId="606F5C4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40">
            <w:pPr>
              <w:pStyle w:val="22"/>
              <w:bidi w:val="0"/>
              <w:jc w:val="center"/>
              <w:rPr>
                <w:rFonts w:hint="eastAsia"/>
              </w:rPr>
            </w:pPr>
            <w:r>
              <w:rPr>
                <w:rFonts w:hint="eastAsia"/>
              </w:rPr>
              <w:t>3</w:t>
            </w:r>
            <w:r>
              <w:t>.3</w:t>
            </w:r>
          </w:p>
        </w:tc>
        <w:tc>
          <w:tcPr>
            <w:tcW w:w="2105" w:type="dxa"/>
            <w:vAlign w:val="center"/>
          </w:tcPr>
          <w:p w14:paraId="606F5C41">
            <w:pPr>
              <w:pStyle w:val="22"/>
              <w:bidi w:val="0"/>
              <w:jc w:val="center"/>
              <w:rPr>
                <w:rFonts w:hint="default"/>
                <w:lang w:val="en-US"/>
              </w:rPr>
            </w:pPr>
            <w:r>
              <w:rPr>
                <w:rFonts w:hint="eastAsia"/>
                <w:lang w:val="en-US" w:eastAsia="zh-CN"/>
              </w:rPr>
              <w:t>合同履行期限</w:t>
            </w:r>
          </w:p>
        </w:tc>
        <w:tc>
          <w:tcPr>
            <w:tcW w:w="6995" w:type="dxa"/>
            <w:vAlign w:val="center"/>
          </w:tcPr>
          <w:p w14:paraId="606F5C42">
            <w:pPr>
              <w:pStyle w:val="22"/>
              <w:bidi w:val="0"/>
              <w:rPr>
                <w:rFonts w:hint="eastAsia"/>
                <w:lang w:eastAsia="zh-CN"/>
              </w:rPr>
            </w:pPr>
            <w:r>
              <w:rPr>
                <w:rFonts w:hint="eastAsia"/>
              </w:rPr>
              <w:t>详见 第一章 竞争性磋商公告 一、项目基本情况 “</w:t>
            </w:r>
            <w:r>
              <w:rPr>
                <w:rFonts w:hint="eastAsia"/>
                <w:lang w:val="en-US" w:eastAsia="zh-CN"/>
              </w:rPr>
              <w:t>合同履行期限</w:t>
            </w:r>
            <w:r>
              <w:rPr>
                <w:rFonts w:hint="eastAsia"/>
              </w:rPr>
              <w:t>”</w:t>
            </w:r>
            <w:r>
              <w:rPr>
                <w:rFonts w:hint="eastAsia"/>
                <w:lang w:eastAsia="zh-CN"/>
              </w:rPr>
              <w:t>。</w:t>
            </w:r>
          </w:p>
        </w:tc>
      </w:tr>
      <w:tr w14:paraId="606F5C4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44">
            <w:pPr>
              <w:pStyle w:val="22"/>
              <w:bidi w:val="0"/>
              <w:jc w:val="center"/>
              <w:rPr>
                <w:rFonts w:hint="eastAsia"/>
              </w:rPr>
            </w:pPr>
            <w:r>
              <w:rPr>
                <w:rFonts w:hint="eastAsia"/>
              </w:rPr>
              <w:t>3.</w:t>
            </w:r>
            <w:r>
              <w:t>4</w:t>
            </w:r>
          </w:p>
        </w:tc>
        <w:tc>
          <w:tcPr>
            <w:tcW w:w="2105" w:type="dxa"/>
            <w:vAlign w:val="center"/>
          </w:tcPr>
          <w:p w14:paraId="606F5C45">
            <w:pPr>
              <w:pStyle w:val="22"/>
              <w:bidi w:val="0"/>
              <w:jc w:val="center"/>
              <w:rPr>
                <w:rFonts w:hint="eastAsia" w:eastAsia="宋体"/>
                <w:color w:val="0000FF"/>
                <w:lang w:eastAsia="zh-CN"/>
              </w:rPr>
            </w:pPr>
            <w:r>
              <w:rPr>
                <w:rFonts w:hint="eastAsia"/>
              </w:rPr>
              <w:t>质量标准</w:t>
            </w:r>
          </w:p>
        </w:tc>
        <w:tc>
          <w:tcPr>
            <w:tcW w:w="6995" w:type="dxa"/>
            <w:vAlign w:val="center"/>
          </w:tcPr>
          <w:p w14:paraId="606F5C46">
            <w:pPr>
              <w:pStyle w:val="22"/>
              <w:bidi w:val="0"/>
              <w:rPr>
                <w:rFonts w:hint="eastAsia"/>
                <w:lang w:eastAsia="zh-CN"/>
              </w:rPr>
            </w:pPr>
            <w:r>
              <w:rPr>
                <w:rFonts w:hint="eastAsia"/>
              </w:rPr>
              <w:t>详见 第一章 竞争性磋商公告 一、项目基本情况 “质量标准”</w:t>
            </w:r>
            <w:r>
              <w:rPr>
                <w:rFonts w:hint="eastAsia"/>
                <w:lang w:eastAsia="zh-CN"/>
              </w:rPr>
              <w:t>。</w:t>
            </w:r>
          </w:p>
        </w:tc>
      </w:tr>
      <w:tr w14:paraId="606F5C4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48">
            <w:pPr>
              <w:pStyle w:val="22"/>
              <w:bidi w:val="0"/>
              <w:jc w:val="center"/>
              <w:rPr>
                <w:rFonts w:hint="eastAsia"/>
              </w:rPr>
            </w:pPr>
            <w:r>
              <w:rPr>
                <w:rFonts w:hint="eastAsia"/>
              </w:rPr>
              <w:t>4.1</w:t>
            </w:r>
          </w:p>
        </w:tc>
        <w:tc>
          <w:tcPr>
            <w:tcW w:w="2105" w:type="dxa"/>
            <w:vAlign w:val="center"/>
          </w:tcPr>
          <w:p w14:paraId="606F5C49">
            <w:pPr>
              <w:pStyle w:val="22"/>
              <w:bidi w:val="0"/>
              <w:jc w:val="center"/>
              <w:rPr>
                <w:rFonts w:hint="eastAsia"/>
              </w:rPr>
            </w:pPr>
            <w:r>
              <w:rPr>
                <w:rFonts w:hint="eastAsia"/>
              </w:rPr>
              <w:t>供应商资格要求</w:t>
            </w:r>
          </w:p>
        </w:tc>
        <w:tc>
          <w:tcPr>
            <w:tcW w:w="6995" w:type="dxa"/>
            <w:vAlign w:val="center"/>
          </w:tcPr>
          <w:p w14:paraId="606F5C4A">
            <w:pPr>
              <w:pStyle w:val="22"/>
              <w:bidi w:val="0"/>
              <w:rPr>
                <w:rFonts w:hint="eastAsia"/>
                <w:lang w:eastAsia="zh-CN"/>
              </w:rPr>
            </w:pPr>
            <w:r>
              <w:rPr>
                <w:rFonts w:hint="eastAsia"/>
              </w:rPr>
              <w:t>详见 第一章 竞争性磋商公告 “二、申请人的资格要求”</w:t>
            </w:r>
            <w:r>
              <w:rPr>
                <w:rFonts w:hint="eastAsia"/>
                <w:lang w:eastAsia="zh-CN"/>
              </w:rPr>
              <w:t>。</w:t>
            </w:r>
          </w:p>
        </w:tc>
      </w:tr>
      <w:tr w14:paraId="606F5C4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730" w:type="dxa"/>
            <w:vAlign w:val="center"/>
          </w:tcPr>
          <w:p w14:paraId="606F5C4C">
            <w:pPr>
              <w:pStyle w:val="22"/>
              <w:bidi w:val="0"/>
              <w:jc w:val="center"/>
              <w:rPr>
                <w:rFonts w:hint="eastAsia"/>
              </w:rPr>
            </w:pPr>
            <w:r>
              <w:rPr>
                <w:rFonts w:hint="eastAsia"/>
              </w:rPr>
              <w:t>4.</w:t>
            </w:r>
            <w:r>
              <w:t>2</w:t>
            </w:r>
          </w:p>
        </w:tc>
        <w:tc>
          <w:tcPr>
            <w:tcW w:w="2105" w:type="dxa"/>
            <w:vAlign w:val="center"/>
          </w:tcPr>
          <w:p w14:paraId="606F5C4D">
            <w:pPr>
              <w:pStyle w:val="22"/>
              <w:bidi w:val="0"/>
              <w:jc w:val="center"/>
              <w:rPr>
                <w:rFonts w:hint="eastAsia"/>
              </w:rPr>
            </w:pPr>
            <w:r>
              <w:rPr>
                <w:rFonts w:hint="eastAsia"/>
              </w:rPr>
              <w:t>是否接受联合体参加</w:t>
            </w:r>
          </w:p>
        </w:tc>
        <w:tc>
          <w:tcPr>
            <w:tcW w:w="6995" w:type="dxa"/>
            <w:vAlign w:val="center"/>
          </w:tcPr>
          <w:p w14:paraId="606F5C4E">
            <w:pPr>
              <w:pStyle w:val="22"/>
              <w:bidi w:val="0"/>
              <w:rPr>
                <w:rFonts w:hint="eastAsia"/>
                <w:lang w:eastAsia="zh-CN"/>
              </w:rPr>
            </w:pPr>
            <w:r>
              <w:rPr>
                <w:rFonts w:hint="eastAsia"/>
              </w:rPr>
              <w:t>不接受</w:t>
            </w:r>
            <w:r>
              <w:rPr>
                <w:rFonts w:hint="eastAsia"/>
                <w:lang w:eastAsia="zh-CN"/>
              </w:rPr>
              <w:t>。</w:t>
            </w:r>
          </w:p>
        </w:tc>
      </w:tr>
      <w:tr w14:paraId="606F5C5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50">
            <w:pPr>
              <w:pStyle w:val="22"/>
              <w:bidi w:val="0"/>
              <w:jc w:val="center"/>
              <w:rPr>
                <w:rFonts w:hint="eastAsia"/>
              </w:rPr>
            </w:pPr>
            <w:r>
              <w:rPr>
                <w:rFonts w:hint="eastAsia"/>
              </w:rPr>
              <w:t>6.1</w:t>
            </w:r>
          </w:p>
        </w:tc>
        <w:tc>
          <w:tcPr>
            <w:tcW w:w="2105" w:type="dxa"/>
            <w:vAlign w:val="center"/>
          </w:tcPr>
          <w:p w14:paraId="606F5C51">
            <w:pPr>
              <w:pStyle w:val="22"/>
              <w:bidi w:val="0"/>
              <w:jc w:val="center"/>
              <w:rPr>
                <w:rFonts w:hint="eastAsia"/>
              </w:rPr>
            </w:pPr>
            <w:r>
              <w:rPr>
                <w:rFonts w:hint="eastAsia"/>
              </w:rPr>
              <w:t>现场考察</w:t>
            </w:r>
          </w:p>
        </w:tc>
        <w:tc>
          <w:tcPr>
            <w:tcW w:w="6995" w:type="dxa"/>
            <w:vAlign w:val="center"/>
          </w:tcPr>
          <w:p w14:paraId="606F5C52">
            <w:pPr>
              <w:pStyle w:val="22"/>
              <w:bidi w:val="0"/>
              <w:rPr>
                <w:rFonts w:hint="eastAsia"/>
                <w:lang w:eastAsia="zh-CN"/>
              </w:rPr>
            </w:pPr>
            <w:r>
              <w:rPr>
                <w:rFonts w:hint="eastAsia"/>
              </w:rPr>
              <w:t>不组织</w:t>
            </w:r>
            <w:r>
              <w:rPr>
                <w:rFonts w:hint="eastAsia"/>
                <w:lang w:eastAsia="zh-CN"/>
              </w:rPr>
              <w:t>。</w:t>
            </w:r>
          </w:p>
        </w:tc>
      </w:tr>
      <w:tr w14:paraId="606F5C5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54">
            <w:pPr>
              <w:pStyle w:val="22"/>
              <w:bidi w:val="0"/>
              <w:jc w:val="center"/>
              <w:rPr>
                <w:rFonts w:hint="eastAsia"/>
              </w:rPr>
            </w:pPr>
            <w:r>
              <w:rPr>
                <w:rFonts w:hint="eastAsia"/>
              </w:rPr>
              <w:t>7.1</w:t>
            </w:r>
          </w:p>
        </w:tc>
        <w:tc>
          <w:tcPr>
            <w:tcW w:w="2105" w:type="dxa"/>
            <w:vAlign w:val="center"/>
          </w:tcPr>
          <w:p w14:paraId="606F5C55">
            <w:pPr>
              <w:pStyle w:val="22"/>
              <w:bidi w:val="0"/>
              <w:jc w:val="center"/>
              <w:rPr>
                <w:rFonts w:hint="eastAsia"/>
              </w:rPr>
            </w:pPr>
            <w:r>
              <w:rPr>
                <w:rFonts w:hint="eastAsia"/>
              </w:rPr>
              <w:t>磋商前答疑会</w:t>
            </w:r>
          </w:p>
        </w:tc>
        <w:tc>
          <w:tcPr>
            <w:tcW w:w="6995" w:type="dxa"/>
            <w:vAlign w:val="center"/>
          </w:tcPr>
          <w:p w14:paraId="606F5C56">
            <w:pPr>
              <w:pStyle w:val="22"/>
              <w:bidi w:val="0"/>
              <w:rPr>
                <w:rFonts w:hint="eastAsia"/>
                <w:lang w:eastAsia="zh-CN"/>
              </w:rPr>
            </w:pPr>
            <w:r>
              <w:rPr>
                <w:rFonts w:hint="eastAsia"/>
              </w:rPr>
              <w:t>不组织</w:t>
            </w:r>
            <w:r>
              <w:rPr>
                <w:rFonts w:hint="eastAsia"/>
                <w:lang w:eastAsia="zh-CN"/>
              </w:rPr>
              <w:t>。</w:t>
            </w:r>
          </w:p>
        </w:tc>
      </w:tr>
      <w:tr w14:paraId="606F5C5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730" w:type="dxa"/>
            <w:vAlign w:val="center"/>
          </w:tcPr>
          <w:p w14:paraId="606F5C58">
            <w:pPr>
              <w:pStyle w:val="22"/>
              <w:bidi w:val="0"/>
              <w:jc w:val="center"/>
              <w:rPr>
                <w:rFonts w:hint="eastAsia"/>
              </w:rPr>
            </w:pPr>
            <w:r>
              <w:rPr>
                <w:rFonts w:hint="eastAsia"/>
              </w:rPr>
              <w:t>11.1</w:t>
            </w:r>
          </w:p>
        </w:tc>
        <w:tc>
          <w:tcPr>
            <w:tcW w:w="2105" w:type="dxa"/>
            <w:vAlign w:val="center"/>
          </w:tcPr>
          <w:p w14:paraId="606F5C59">
            <w:pPr>
              <w:pStyle w:val="22"/>
              <w:bidi w:val="0"/>
              <w:jc w:val="center"/>
              <w:rPr>
                <w:rFonts w:hint="eastAsia"/>
              </w:rPr>
            </w:pPr>
            <w:r>
              <w:rPr>
                <w:rFonts w:hint="eastAsia"/>
              </w:rPr>
              <w:t>竞争性磋商文件的询问时间</w:t>
            </w:r>
          </w:p>
        </w:tc>
        <w:tc>
          <w:tcPr>
            <w:tcW w:w="6995" w:type="dxa"/>
            <w:vAlign w:val="center"/>
          </w:tcPr>
          <w:p w14:paraId="606F5C5A">
            <w:pPr>
              <w:pStyle w:val="22"/>
              <w:bidi w:val="0"/>
              <w:rPr>
                <w:rFonts w:hint="eastAsia"/>
              </w:rPr>
            </w:pPr>
            <w:r>
              <w:rPr>
                <w:rFonts w:hint="eastAsia"/>
              </w:rPr>
              <w:t>供应商应认真阅读竞争性磋商文件，如有疑问的，供应商可以向采购人或采购代理机构提出询问。所有获取了竞争性磋商文件的潜在供应商凭企业账号【或企业数字证书（CA）】登录政府采购云平台（www.zcygov.cn），通过网络在线方式向采购人或采购代理进行不署名提问，采购人或者采购代理机构在接到询问后的3个工作日内对供应商依法提出的询问作出答复，但答复的内容不涉及商业秘密。</w:t>
            </w:r>
          </w:p>
        </w:tc>
      </w:tr>
      <w:tr w14:paraId="606F5C6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5C">
            <w:pPr>
              <w:pStyle w:val="22"/>
              <w:bidi w:val="0"/>
              <w:jc w:val="center"/>
              <w:rPr>
                <w:rFonts w:hint="eastAsia"/>
              </w:rPr>
            </w:pPr>
            <w:r>
              <w:rPr>
                <w:rFonts w:hint="eastAsia"/>
              </w:rPr>
              <w:t>11.2</w:t>
            </w:r>
          </w:p>
        </w:tc>
        <w:tc>
          <w:tcPr>
            <w:tcW w:w="2105" w:type="dxa"/>
            <w:vAlign w:val="center"/>
          </w:tcPr>
          <w:p w14:paraId="606F5C5D">
            <w:pPr>
              <w:pStyle w:val="22"/>
              <w:bidi w:val="0"/>
              <w:jc w:val="center"/>
              <w:rPr>
                <w:rFonts w:hint="eastAsia"/>
              </w:rPr>
            </w:pPr>
            <w:r>
              <w:rPr>
                <w:rFonts w:hint="eastAsia"/>
              </w:rPr>
              <w:t>竞争性磋商文件询问联系方式</w:t>
            </w:r>
          </w:p>
        </w:tc>
        <w:tc>
          <w:tcPr>
            <w:tcW w:w="6995" w:type="dxa"/>
            <w:vAlign w:val="center"/>
          </w:tcPr>
          <w:p w14:paraId="606F5C60">
            <w:pPr>
              <w:pStyle w:val="22"/>
              <w:bidi w:val="0"/>
              <w:rPr>
                <w:rFonts w:hint="eastAsia"/>
              </w:rPr>
            </w:pPr>
            <w:r>
              <w:rPr>
                <w:rFonts w:hint="eastAsia"/>
              </w:rPr>
              <w:t>详见竞争性磋商文件第一章《竞争性磋商公告》</w:t>
            </w:r>
            <w:r>
              <w:rPr>
                <w:rFonts w:hint="eastAsia"/>
                <w:lang w:eastAsia="zh-CN"/>
              </w:rPr>
              <w:t>。</w:t>
            </w:r>
          </w:p>
        </w:tc>
      </w:tr>
      <w:tr w14:paraId="606F5C6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62">
            <w:pPr>
              <w:pStyle w:val="22"/>
              <w:bidi w:val="0"/>
              <w:jc w:val="center"/>
              <w:rPr>
                <w:rFonts w:hint="eastAsia"/>
              </w:rPr>
            </w:pPr>
            <w:r>
              <w:rPr>
                <w:rFonts w:hint="eastAsia"/>
              </w:rPr>
              <w:t>11.4</w:t>
            </w:r>
          </w:p>
        </w:tc>
        <w:tc>
          <w:tcPr>
            <w:tcW w:w="2105" w:type="dxa"/>
            <w:vAlign w:val="center"/>
          </w:tcPr>
          <w:p w14:paraId="606F5C63">
            <w:pPr>
              <w:pStyle w:val="22"/>
              <w:bidi w:val="0"/>
              <w:jc w:val="center"/>
              <w:rPr>
                <w:rFonts w:hint="eastAsia"/>
              </w:rPr>
            </w:pPr>
            <w:r>
              <w:rPr>
                <w:rFonts w:hint="eastAsia"/>
              </w:rPr>
              <w:t>竞争性磋商文件澄清、修改时间</w:t>
            </w:r>
          </w:p>
        </w:tc>
        <w:tc>
          <w:tcPr>
            <w:tcW w:w="6995" w:type="dxa"/>
            <w:vAlign w:val="center"/>
          </w:tcPr>
          <w:p w14:paraId="606F5C64">
            <w:pPr>
              <w:pStyle w:val="22"/>
              <w:bidi w:val="0"/>
              <w:rPr>
                <w:rFonts w:hint="eastAsia"/>
              </w:rPr>
            </w:pPr>
            <w:r>
              <w:rPr>
                <w:rFonts w:hint="eastAsia"/>
              </w:rPr>
              <w:t>澄清或者修改的内容可能影响响应文件编制的，采购人、采购代理机构将在提交首次响应文件截止时间至少5日前，在竞争性磋商公告发布的同一媒介通过网络向潜在供应商发布，且供应商不须回函确认，所有获取了竞争性磋商文件的潜在供应商凭企业账号【或企业数字证书（CA）】登录政府采购云平台查看澄清或者修改内容，澄清或者修改的内容作为竞争性磋商文件的组成部分。不足5日的，采购人、采购代理机构将顺延提交首次响应文件截止时间。供应商应在磋商截止时间前及时登录政府采购云平台（网址：www.zcygov.cn）中查看有关该项目竞争性磋商文件的答疑、补遗内容。否则，后果自负。竞争性磋商文件澄清、竞争性磋商文件修改文件内容均以网上电子文件为准，当竞争性磋商文件、竞争性磋商文件澄清、竞争性磋商文件修改文件内容后前相互矛盾时，以最新发布的竞争性磋商文件为准。</w:t>
            </w:r>
          </w:p>
        </w:tc>
      </w:tr>
      <w:tr w14:paraId="606F5C6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66">
            <w:pPr>
              <w:pStyle w:val="22"/>
              <w:bidi w:val="0"/>
              <w:jc w:val="center"/>
              <w:rPr>
                <w:rFonts w:hint="eastAsia"/>
              </w:rPr>
            </w:pPr>
            <w:r>
              <w:rPr>
                <w:rFonts w:hint="eastAsia"/>
              </w:rPr>
              <w:t>11.5</w:t>
            </w:r>
          </w:p>
        </w:tc>
        <w:tc>
          <w:tcPr>
            <w:tcW w:w="2105" w:type="dxa"/>
            <w:vAlign w:val="center"/>
          </w:tcPr>
          <w:p w14:paraId="606F5C67">
            <w:pPr>
              <w:pStyle w:val="22"/>
              <w:bidi w:val="0"/>
              <w:jc w:val="center"/>
              <w:rPr>
                <w:rFonts w:hint="eastAsia"/>
              </w:rPr>
            </w:pPr>
            <w:r>
              <w:rPr>
                <w:rFonts w:hint="eastAsia"/>
              </w:rPr>
              <w:t>供应商确认收到竞争性磋商文件澄清、修改时间</w:t>
            </w:r>
          </w:p>
        </w:tc>
        <w:tc>
          <w:tcPr>
            <w:tcW w:w="6995" w:type="dxa"/>
            <w:vAlign w:val="center"/>
          </w:tcPr>
          <w:p w14:paraId="606F5C68">
            <w:pPr>
              <w:pStyle w:val="22"/>
              <w:bidi w:val="0"/>
              <w:rPr>
                <w:rFonts w:hint="eastAsia"/>
              </w:rPr>
            </w:pPr>
            <w:r>
              <w:rPr>
                <w:rFonts w:hint="eastAsia"/>
              </w:rPr>
              <w:t>供应商</w:t>
            </w:r>
            <w:r>
              <w:rPr>
                <w:rFonts w:hint="eastAsia"/>
                <w:lang w:val="en-US" w:eastAsia="zh-CN"/>
              </w:rPr>
              <w:t>无</w:t>
            </w:r>
            <w:r>
              <w:rPr>
                <w:rFonts w:hint="eastAsia"/>
              </w:rPr>
              <w:t>须回函确认收到竞争性磋商文件澄清、修改，供应商应在磋商截止时间前及时登录政府采购云平台（网址：www.zcygov.cn）中查看有关该项目竞争性磋商文件的答疑、补遗内容</w:t>
            </w:r>
            <w:r>
              <w:rPr>
                <w:rFonts w:hint="eastAsia"/>
                <w:lang w:eastAsia="zh-CN"/>
              </w:rPr>
              <w:t>，</w:t>
            </w:r>
            <w:r>
              <w:rPr>
                <w:rFonts w:hint="eastAsia"/>
              </w:rPr>
              <w:t>否则，后果自负。</w:t>
            </w:r>
          </w:p>
        </w:tc>
      </w:tr>
      <w:tr w14:paraId="606F5C6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6A">
            <w:pPr>
              <w:pStyle w:val="22"/>
              <w:bidi w:val="0"/>
              <w:jc w:val="center"/>
              <w:rPr>
                <w:rFonts w:hint="eastAsia"/>
              </w:rPr>
            </w:pPr>
            <w:r>
              <w:rPr>
                <w:rFonts w:hint="eastAsia"/>
              </w:rPr>
              <w:t>11.</w:t>
            </w:r>
            <w:r>
              <w:t>6</w:t>
            </w:r>
          </w:p>
        </w:tc>
        <w:tc>
          <w:tcPr>
            <w:tcW w:w="2105" w:type="dxa"/>
            <w:vAlign w:val="center"/>
          </w:tcPr>
          <w:p w14:paraId="606F5C6B">
            <w:pPr>
              <w:pStyle w:val="22"/>
              <w:bidi w:val="0"/>
              <w:jc w:val="center"/>
              <w:rPr>
                <w:rFonts w:hint="eastAsia"/>
              </w:rPr>
            </w:pPr>
            <w:r>
              <w:rPr>
                <w:rFonts w:hint="eastAsia"/>
              </w:rPr>
              <w:t>磋商小组可以根据磋商文件和磋商情况实质性变动内容</w:t>
            </w:r>
          </w:p>
        </w:tc>
        <w:tc>
          <w:tcPr>
            <w:tcW w:w="6995" w:type="dxa"/>
            <w:vAlign w:val="center"/>
          </w:tcPr>
          <w:p w14:paraId="606F5C6C">
            <w:pPr>
              <w:pStyle w:val="22"/>
              <w:bidi w:val="0"/>
              <w:rPr>
                <w:rFonts w:hint="eastAsia"/>
              </w:rPr>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14:paraId="606F5C6D">
            <w:pPr>
              <w:pStyle w:val="22"/>
              <w:bidi w:val="0"/>
              <w:rPr>
                <w:rFonts w:hint="eastAsia"/>
              </w:rPr>
            </w:pPr>
            <w:r>
              <w:rPr>
                <w:rFonts w:hint="eastAsia"/>
              </w:rPr>
              <w:t>对磋商文件作出的实质性变动是磋商文件的有效组成部分，磋商小组应当及时以书面形式同时通知所有参加磋商的供应商。</w:t>
            </w:r>
          </w:p>
        </w:tc>
      </w:tr>
      <w:tr w14:paraId="606F5C7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6F">
            <w:pPr>
              <w:pStyle w:val="22"/>
              <w:bidi w:val="0"/>
              <w:jc w:val="center"/>
              <w:rPr>
                <w:rFonts w:hint="eastAsia"/>
              </w:rPr>
            </w:pPr>
            <w:r>
              <w:rPr>
                <w:rFonts w:hint="eastAsia"/>
              </w:rPr>
              <w:t>13.1</w:t>
            </w:r>
          </w:p>
        </w:tc>
        <w:tc>
          <w:tcPr>
            <w:tcW w:w="2105" w:type="dxa"/>
            <w:vAlign w:val="center"/>
          </w:tcPr>
          <w:p w14:paraId="606F5C70">
            <w:pPr>
              <w:pStyle w:val="22"/>
              <w:bidi w:val="0"/>
              <w:jc w:val="center"/>
              <w:rPr>
                <w:rFonts w:hint="eastAsia"/>
              </w:rPr>
            </w:pPr>
            <w:r>
              <w:rPr>
                <w:rFonts w:hint="eastAsia"/>
              </w:rPr>
              <w:t>语言文字</w:t>
            </w:r>
          </w:p>
        </w:tc>
        <w:tc>
          <w:tcPr>
            <w:tcW w:w="6995" w:type="dxa"/>
            <w:vAlign w:val="center"/>
          </w:tcPr>
          <w:p w14:paraId="606F5C71">
            <w:pPr>
              <w:pStyle w:val="22"/>
              <w:bidi w:val="0"/>
              <w:rPr>
                <w:rFonts w:hint="eastAsia"/>
              </w:rPr>
            </w:pPr>
            <w:r>
              <w:rPr>
                <w:rFonts w:hint="eastAsia"/>
              </w:rPr>
              <w:t>供应商的响应文件以及供应商与采购人、采购代理机构、磋商小组就有关磋商的所有来往函电统一使用中文（特别规定除外）。</w:t>
            </w:r>
          </w:p>
        </w:tc>
      </w:tr>
      <w:tr w14:paraId="606F5C7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73">
            <w:pPr>
              <w:pStyle w:val="22"/>
              <w:bidi w:val="0"/>
              <w:jc w:val="center"/>
              <w:rPr>
                <w:rFonts w:hint="eastAsia"/>
              </w:rPr>
            </w:pPr>
            <w:r>
              <w:rPr>
                <w:rFonts w:hint="eastAsia"/>
              </w:rPr>
              <w:t>14.1</w:t>
            </w:r>
          </w:p>
        </w:tc>
        <w:tc>
          <w:tcPr>
            <w:tcW w:w="2105" w:type="dxa"/>
            <w:vAlign w:val="center"/>
          </w:tcPr>
          <w:p w14:paraId="606F5C74">
            <w:pPr>
              <w:pStyle w:val="22"/>
              <w:bidi w:val="0"/>
              <w:jc w:val="center"/>
              <w:rPr>
                <w:rFonts w:hint="eastAsia"/>
              </w:rPr>
            </w:pPr>
            <w:r>
              <w:rPr>
                <w:rFonts w:hint="eastAsia"/>
              </w:rPr>
              <w:t>计量单位</w:t>
            </w:r>
          </w:p>
        </w:tc>
        <w:tc>
          <w:tcPr>
            <w:tcW w:w="6995" w:type="dxa"/>
            <w:vAlign w:val="center"/>
          </w:tcPr>
          <w:p w14:paraId="606F5C75">
            <w:pPr>
              <w:pStyle w:val="22"/>
              <w:bidi w:val="0"/>
              <w:rPr>
                <w:rFonts w:hint="eastAsia"/>
              </w:rPr>
            </w:pPr>
            <w:r>
              <w:rPr>
                <w:rFonts w:hint="eastAsia"/>
              </w:rPr>
              <w:t>响应文件中使用的计量单位除磋商文件中有特殊规定外，一律使用中华人民共和国法定计量单位。</w:t>
            </w:r>
          </w:p>
        </w:tc>
      </w:tr>
      <w:tr w14:paraId="606F5C7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77">
            <w:pPr>
              <w:pStyle w:val="22"/>
              <w:bidi w:val="0"/>
              <w:jc w:val="center"/>
              <w:rPr>
                <w:rFonts w:hint="eastAsia"/>
              </w:rPr>
            </w:pPr>
            <w:r>
              <w:rPr>
                <w:rFonts w:hint="eastAsia"/>
              </w:rPr>
              <w:t>15.</w:t>
            </w:r>
            <w:r>
              <w:t>3</w:t>
            </w:r>
          </w:p>
        </w:tc>
        <w:tc>
          <w:tcPr>
            <w:tcW w:w="2105" w:type="dxa"/>
            <w:vAlign w:val="center"/>
          </w:tcPr>
          <w:p w14:paraId="606F5C78">
            <w:pPr>
              <w:pStyle w:val="22"/>
              <w:bidi w:val="0"/>
              <w:jc w:val="center"/>
              <w:rPr>
                <w:rFonts w:hint="eastAsia"/>
              </w:rPr>
            </w:pPr>
            <w:r>
              <w:rPr>
                <w:rFonts w:hint="eastAsia"/>
              </w:rPr>
              <w:t>构成响应文件</w:t>
            </w:r>
          </w:p>
          <w:p w14:paraId="606F5C79">
            <w:pPr>
              <w:pStyle w:val="22"/>
              <w:bidi w:val="0"/>
              <w:jc w:val="center"/>
              <w:rPr>
                <w:rFonts w:hint="eastAsia"/>
              </w:rPr>
            </w:pPr>
            <w:r>
              <w:rPr>
                <w:rFonts w:hint="eastAsia"/>
              </w:rPr>
              <w:t>的其他资料</w:t>
            </w:r>
          </w:p>
        </w:tc>
        <w:tc>
          <w:tcPr>
            <w:tcW w:w="6995" w:type="dxa"/>
            <w:vAlign w:val="center"/>
          </w:tcPr>
          <w:p w14:paraId="606F5C7A">
            <w:pPr>
              <w:pStyle w:val="22"/>
              <w:bidi w:val="0"/>
              <w:rPr>
                <w:rFonts w:hint="eastAsia"/>
              </w:rPr>
            </w:pPr>
            <w:bookmarkStart w:id="61" w:name="_Hlk122600837"/>
            <w:r>
              <w:rPr>
                <w:rFonts w:hint="eastAsia"/>
              </w:rPr>
              <w:t>1、第五章《采购需求》中要求提供的其他资料；</w:t>
            </w:r>
          </w:p>
          <w:p w14:paraId="606F5C7B">
            <w:pPr>
              <w:pStyle w:val="22"/>
              <w:bidi w:val="0"/>
              <w:rPr>
                <w:rFonts w:hint="eastAsia"/>
              </w:rPr>
            </w:pPr>
            <w:r>
              <w:t>2</w:t>
            </w:r>
            <w:r>
              <w:rPr>
                <w:rFonts w:hint="eastAsia"/>
              </w:rPr>
              <w:t>、竞争性磋商文件中所涉及到的相关资料及证明文件或供应商认为必须提供的其他相关资料。</w:t>
            </w:r>
            <w:bookmarkEnd w:id="61"/>
          </w:p>
        </w:tc>
      </w:tr>
      <w:tr w14:paraId="606F5C8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7D">
            <w:pPr>
              <w:pStyle w:val="22"/>
              <w:bidi w:val="0"/>
              <w:jc w:val="center"/>
              <w:rPr>
                <w:rFonts w:hint="eastAsia"/>
              </w:rPr>
            </w:pPr>
            <w:r>
              <w:rPr>
                <w:rFonts w:hint="eastAsia"/>
              </w:rPr>
              <w:t>17.1</w:t>
            </w:r>
          </w:p>
        </w:tc>
        <w:tc>
          <w:tcPr>
            <w:tcW w:w="2105" w:type="dxa"/>
            <w:vAlign w:val="center"/>
          </w:tcPr>
          <w:p w14:paraId="606F5C7E">
            <w:pPr>
              <w:pStyle w:val="22"/>
              <w:bidi w:val="0"/>
              <w:jc w:val="center"/>
              <w:rPr>
                <w:rFonts w:hint="eastAsia"/>
              </w:rPr>
            </w:pPr>
            <w:r>
              <w:rPr>
                <w:rFonts w:hint="eastAsia"/>
              </w:rPr>
              <w:t>响应文件有效期</w:t>
            </w:r>
          </w:p>
        </w:tc>
        <w:tc>
          <w:tcPr>
            <w:tcW w:w="6995" w:type="dxa"/>
            <w:vAlign w:val="center"/>
          </w:tcPr>
          <w:p w14:paraId="606F5C7F">
            <w:pPr>
              <w:pStyle w:val="22"/>
              <w:bidi w:val="0"/>
              <w:rPr>
                <w:rFonts w:hint="eastAsia"/>
              </w:rPr>
            </w:pPr>
            <w:r>
              <w:rPr>
                <w:rFonts w:hint="eastAsia"/>
                <w:lang w:val="en-US" w:eastAsia="zh-CN"/>
              </w:rPr>
              <w:t>90</w:t>
            </w:r>
            <w:r>
              <w:rPr>
                <w:rFonts w:hint="eastAsia"/>
              </w:rPr>
              <w:t>日历天，从提交响应文件的截止之日算起。</w:t>
            </w:r>
          </w:p>
        </w:tc>
      </w:tr>
      <w:tr w14:paraId="606F5C9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81">
            <w:pPr>
              <w:pStyle w:val="22"/>
              <w:bidi w:val="0"/>
              <w:jc w:val="center"/>
              <w:rPr>
                <w:rFonts w:hint="eastAsia"/>
                <w:highlight w:val="none"/>
              </w:rPr>
            </w:pPr>
            <w:r>
              <w:rPr>
                <w:rFonts w:hint="eastAsia"/>
                <w:highlight w:val="none"/>
              </w:rPr>
              <w:t>18.1</w:t>
            </w:r>
          </w:p>
        </w:tc>
        <w:tc>
          <w:tcPr>
            <w:tcW w:w="2105" w:type="dxa"/>
            <w:vAlign w:val="center"/>
          </w:tcPr>
          <w:p w14:paraId="606F5C82">
            <w:pPr>
              <w:pStyle w:val="22"/>
              <w:bidi w:val="0"/>
              <w:jc w:val="center"/>
              <w:rPr>
                <w:rFonts w:hint="eastAsia"/>
                <w:highlight w:val="none"/>
              </w:rPr>
            </w:pPr>
            <w:r>
              <w:rPr>
                <w:rFonts w:hint="eastAsia"/>
                <w:highlight w:val="none"/>
              </w:rPr>
              <w:t>磋商保证金</w:t>
            </w:r>
          </w:p>
        </w:tc>
        <w:tc>
          <w:tcPr>
            <w:tcW w:w="6995" w:type="dxa"/>
            <w:vAlign w:val="center"/>
          </w:tcPr>
          <w:p w14:paraId="606F5C83">
            <w:pPr>
              <w:pStyle w:val="22"/>
              <w:bidi w:val="0"/>
              <w:rPr>
                <w:rFonts w:hint="eastAsia"/>
              </w:rPr>
            </w:pPr>
            <w:r>
              <w:fldChar w:fldCharType="begin"/>
            </w:r>
            <w:r>
              <w:instrText xml:space="preserve"> AUTOTEXT  input142 \* MERGEFORMAT </w:instrText>
            </w:r>
            <w:r>
              <w:fldChar w:fldCharType="separate"/>
            </w:r>
            <w:r>
              <w:rPr>
                <w:rFonts w:hint="eastAsia"/>
                <w:lang w:eastAsia="zh-CN"/>
              </w:rPr>
              <w:t>□</w:t>
            </w:r>
            <w:r>
              <w:fldChar w:fldCharType="end"/>
            </w:r>
            <w:r>
              <w:rPr>
                <w:rFonts w:hint="eastAsia"/>
              </w:rPr>
              <w:t>不要求递交磋商保证金</w:t>
            </w:r>
          </w:p>
          <w:p w14:paraId="606F5C84">
            <w:pPr>
              <w:pStyle w:val="22"/>
              <w:bidi w:val="0"/>
              <w:rPr>
                <w:rFonts w:hint="eastAsia"/>
              </w:rPr>
            </w:pPr>
            <w:r>
              <w:rPr>
                <w:rFonts w:hint="eastAsia"/>
                <w:lang w:eastAsia="zh-CN"/>
              </w:rPr>
              <w:t>☑</w:t>
            </w:r>
            <w:r>
              <w:rPr>
                <w:rFonts w:hint="eastAsia"/>
              </w:rPr>
              <w:t>要求递交磋商保证金</w:t>
            </w:r>
          </w:p>
          <w:p w14:paraId="606F5C85">
            <w:pPr>
              <w:pStyle w:val="22"/>
              <w:bidi w:val="0"/>
              <w:rPr>
                <w:rFonts w:hint="eastAsia"/>
                <w:highlight w:val="none"/>
              </w:rPr>
            </w:pPr>
            <w:r>
              <w:rPr>
                <w:rFonts w:hint="eastAsia"/>
              </w:rPr>
              <w:t>磋商保证金的形式：支票、汇票、本票、保函、转账或网银，供应商可根据实际情</w:t>
            </w:r>
            <w:r>
              <w:rPr>
                <w:rFonts w:hint="eastAsia"/>
                <w:highlight w:val="none"/>
              </w:rPr>
              <w:t>况，选择保证金的提供或缴纳方式。</w:t>
            </w:r>
          </w:p>
          <w:p w14:paraId="606F5C86">
            <w:pPr>
              <w:pStyle w:val="22"/>
              <w:bidi w:val="0"/>
              <w:rPr>
                <w:rFonts w:hint="eastAsia"/>
                <w:color w:val="auto"/>
                <w:highlight w:val="none"/>
              </w:rPr>
            </w:pPr>
            <w:r>
              <w:rPr>
                <w:rFonts w:hint="eastAsia"/>
                <w:highlight w:val="none"/>
              </w:rPr>
              <w:t>磋商保证金的金额：</w:t>
            </w:r>
            <w:r>
              <w:rPr>
                <w:rFonts w:hint="eastAsia"/>
                <w:color w:val="auto"/>
                <w:highlight w:val="none"/>
              </w:rPr>
              <w:t>小写：</w:t>
            </w:r>
            <w:r>
              <w:rPr>
                <w:rFonts w:hint="eastAsia"/>
                <w:color w:val="auto"/>
                <w:highlight w:val="none"/>
                <w:lang w:val="en-US" w:eastAsia="zh-CN"/>
              </w:rPr>
              <w:t>10000.00</w:t>
            </w:r>
            <w:r>
              <w:rPr>
                <w:rFonts w:hint="eastAsia"/>
                <w:color w:val="auto"/>
                <w:highlight w:val="none"/>
              </w:rPr>
              <w:t>元（大写：人民币</w:t>
            </w:r>
            <w:r>
              <w:rPr>
                <w:rFonts w:hint="eastAsia"/>
                <w:color w:val="auto"/>
                <w:highlight w:val="none"/>
                <w:lang w:val="en-US" w:eastAsia="zh-CN"/>
              </w:rPr>
              <w:t>壹万元整</w:t>
            </w:r>
            <w:r>
              <w:rPr>
                <w:rFonts w:hint="eastAsia"/>
                <w:color w:val="auto"/>
                <w:highlight w:val="none"/>
              </w:rPr>
              <w:t>）</w:t>
            </w:r>
          </w:p>
          <w:p w14:paraId="606F5C87">
            <w:pPr>
              <w:pStyle w:val="22"/>
              <w:bidi w:val="0"/>
              <w:rPr>
                <w:rFonts w:hint="eastAsia"/>
                <w:highlight w:val="none"/>
              </w:rPr>
            </w:pPr>
            <w:r>
              <w:rPr>
                <w:rFonts w:hint="eastAsia"/>
                <w:highlight w:val="none"/>
              </w:rPr>
              <w:t>提交时间：以专项账户实际到账时间为准，到账截止时间为提交响应文件的截止时间，未按时到账的保证金无效。</w:t>
            </w:r>
          </w:p>
          <w:p w14:paraId="606F5C88">
            <w:pPr>
              <w:pStyle w:val="22"/>
              <w:shd w:val="clear"/>
              <w:bidi w:val="0"/>
              <w:rPr>
                <w:rFonts w:hint="eastAsia"/>
                <w:color w:val="auto"/>
                <w:highlight w:val="none"/>
              </w:rPr>
            </w:pPr>
            <w:r>
              <w:rPr>
                <w:rFonts w:hint="eastAsia"/>
                <w:color w:val="auto"/>
                <w:highlight w:val="none"/>
              </w:rPr>
              <w:t>开户名称：</w:t>
            </w:r>
            <w:r>
              <w:rPr>
                <w:rFonts w:hint="eastAsia" w:ascii="宋体" w:hAnsi="宋体" w:eastAsia="宋体" w:cs="宋体"/>
                <w:color w:val="auto"/>
                <w:sz w:val="21"/>
                <w:szCs w:val="21"/>
                <w:highlight w:val="none"/>
                <w:lang w:eastAsia="zh-CN"/>
              </w:rPr>
              <w:t>楚雄华水工程项目管理有限公司</w:t>
            </w:r>
          </w:p>
          <w:p w14:paraId="606F5C89">
            <w:pPr>
              <w:pStyle w:val="22"/>
              <w:shd w:val="clear"/>
              <w:bidi w:val="0"/>
              <w:rPr>
                <w:rFonts w:hint="eastAsia"/>
                <w:color w:val="auto"/>
                <w:highlight w:val="none"/>
              </w:rPr>
            </w:pPr>
            <w:r>
              <w:rPr>
                <w:rFonts w:hint="eastAsia"/>
                <w:color w:val="auto"/>
                <w:highlight w:val="none"/>
              </w:rPr>
              <w:t>开户银行：</w:t>
            </w:r>
            <w:r>
              <w:rPr>
                <w:rFonts w:hint="eastAsia" w:ascii="宋体" w:hAnsi="宋体" w:eastAsia="宋体" w:cs="宋体"/>
                <w:color w:val="auto"/>
                <w:sz w:val="21"/>
                <w:szCs w:val="21"/>
                <w:highlight w:val="none"/>
                <w:lang w:eastAsia="zh-CN"/>
              </w:rPr>
              <w:t>中国银行股份有限公司楚雄州开发区支行</w:t>
            </w:r>
          </w:p>
          <w:p w14:paraId="606F5C8A">
            <w:pPr>
              <w:pStyle w:val="22"/>
              <w:shd w:val="clear"/>
              <w:bidi w:val="0"/>
              <w:rPr>
                <w:rFonts w:hint="eastAsia"/>
                <w:color w:val="auto"/>
                <w:highlight w:val="none"/>
              </w:rPr>
            </w:pPr>
            <w:r>
              <w:rPr>
                <w:rFonts w:hint="eastAsia"/>
                <w:color w:val="auto"/>
                <w:highlight w:val="none"/>
              </w:rPr>
              <w:t>账</w:t>
            </w:r>
            <w:r>
              <w:rPr>
                <w:rFonts w:hint="eastAsia"/>
                <w:color w:val="auto"/>
                <w:highlight w:val="none"/>
                <w:lang w:val="en-US" w:eastAsia="zh-CN"/>
              </w:rPr>
              <w:t xml:space="preserve">    </w:t>
            </w:r>
            <w:r>
              <w:rPr>
                <w:rFonts w:hint="eastAsia"/>
                <w:color w:val="auto"/>
                <w:highlight w:val="none"/>
              </w:rPr>
              <w:t>号：</w:t>
            </w:r>
            <w:r>
              <w:rPr>
                <w:rFonts w:hint="eastAsia" w:ascii="宋体" w:hAnsi="宋体" w:eastAsia="宋体" w:cs="宋体"/>
                <w:color w:val="auto"/>
                <w:sz w:val="21"/>
                <w:szCs w:val="21"/>
                <w:highlight w:val="none"/>
                <w:lang w:eastAsia="zh-CN"/>
              </w:rPr>
              <w:t>134079720404</w:t>
            </w:r>
          </w:p>
          <w:p w14:paraId="606F5C8D">
            <w:pPr>
              <w:pStyle w:val="22"/>
              <w:bidi w:val="0"/>
              <w:rPr>
                <w:rFonts w:hint="eastAsia"/>
              </w:rPr>
            </w:pPr>
            <w:r>
              <w:rPr>
                <w:rFonts w:hint="eastAsia"/>
              </w:rPr>
              <w:t>注：1、保证金应以供应商自身的名义提交，并且必须以供应商自身名义开具的账户转出，不得以分支机构其他名义提交（按照规定，供应商可以为自然人的项目除外）；</w:t>
            </w:r>
          </w:p>
          <w:p w14:paraId="606F5C8E">
            <w:pPr>
              <w:pStyle w:val="22"/>
              <w:bidi w:val="0"/>
              <w:rPr>
                <w:rFonts w:hint="eastAsia"/>
              </w:rPr>
            </w:pPr>
            <w:r>
              <w:rPr>
                <w:rFonts w:hint="eastAsia"/>
              </w:rPr>
              <w:t>2、保证金截止时间为提交响应文件的截止时间，到账时间以保证金专项账户实际到账时间为准，未按时到账的保证金无效；</w:t>
            </w:r>
          </w:p>
          <w:p w14:paraId="606F5C8F">
            <w:pPr>
              <w:pStyle w:val="22"/>
              <w:bidi w:val="0"/>
              <w:rPr>
                <w:rFonts w:hint="eastAsia"/>
              </w:rPr>
            </w:pPr>
            <w:r>
              <w:rPr>
                <w:rFonts w:hint="eastAsia"/>
              </w:rPr>
              <w:t>3、转账凭证上备注栏内必须注明项目名称（备注栏内受字数限制无法写全项目名称的，须注明所投项目的项目编号，并简写项目名称）、供应商联系人及电话，如未注明项目名称（备注栏内受字数限制无法写全项目名称的，须注明所投项目的项目编号，并简写项目名称）导致保证金与所投项目不符，后果由供应商自负；</w:t>
            </w:r>
          </w:p>
          <w:p w14:paraId="606F5C90">
            <w:pPr>
              <w:pStyle w:val="22"/>
              <w:bidi w:val="0"/>
              <w:rPr>
                <w:rFonts w:hint="eastAsia"/>
              </w:rPr>
            </w:pPr>
            <w:r>
              <w:rPr>
                <w:rFonts w:hint="eastAsia"/>
              </w:rPr>
              <w:t>4、拒绝私人账户汇款及银行存现；</w:t>
            </w:r>
          </w:p>
          <w:p w14:paraId="606F5C91">
            <w:pPr>
              <w:pStyle w:val="22"/>
              <w:bidi w:val="0"/>
            </w:pPr>
            <w:r>
              <w:rPr>
                <w:rFonts w:hint="eastAsia"/>
              </w:rPr>
              <w:t>请潜在供应商在跨行转账时考虑以下因素：</w:t>
            </w:r>
            <w:r>
              <w:rPr>
                <w:rFonts w:hint="eastAsia"/>
                <w:lang w:val="en-US" w:eastAsia="zh-CN"/>
              </w:rPr>
              <w:t>1）</w:t>
            </w:r>
            <w:r>
              <w:rPr>
                <w:rFonts w:hint="eastAsia"/>
              </w:rPr>
              <w:t>按照人民银行相关规定，跨行转账在工作日下午四点半前办理手续，可以保证实时跨行到账；</w:t>
            </w:r>
            <w:r>
              <w:rPr>
                <w:rFonts w:hint="eastAsia"/>
                <w:lang w:val="en-US" w:eastAsia="zh-CN"/>
              </w:rPr>
              <w:t>2）</w:t>
            </w:r>
            <w:r>
              <w:rPr>
                <w:rFonts w:hint="eastAsia"/>
              </w:rPr>
              <w:t>跨行转账尽量采用电汇方式。</w:t>
            </w:r>
          </w:p>
        </w:tc>
      </w:tr>
      <w:tr w14:paraId="3DB5B27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1DDAB080">
            <w:pPr>
              <w:pStyle w:val="22"/>
              <w:bidi w:val="0"/>
              <w:jc w:val="center"/>
              <w:rPr>
                <w:rFonts w:hint="eastAsia"/>
                <w:highlight w:val="none"/>
              </w:rPr>
            </w:pPr>
            <w:r>
              <w:rPr>
                <w:rFonts w:hint="eastAsia" w:hAnsi="宋体"/>
                <w:color w:val="000000" w:themeColor="text1"/>
                <w:szCs w:val="21"/>
                <w:highlight w:val="none"/>
                <w14:textFill>
                  <w14:solidFill>
                    <w14:schemeClr w14:val="tx1"/>
                  </w14:solidFill>
                </w14:textFill>
              </w:rPr>
              <w:t>18.2</w:t>
            </w:r>
          </w:p>
        </w:tc>
        <w:tc>
          <w:tcPr>
            <w:tcW w:w="2105" w:type="dxa"/>
            <w:vAlign w:val="center"/>
          </w:tcPr>
          <w:p w14:paraId="3ACEA560">
            <w:pPr>
              <w:pStyle w:val="22"/>
              <w:bidi w:val="0"/>
              <w:jc w:val="center"/>
              <w:rPr>
                <w:rFonts w:hint="default" w:eastAsia="宋体"/>
                <w:highlight w:val="none"/>
                <w:lang w:val="en-US" w:eastAsia="zh-CN"/>
              </w:rPr>
            </w:pPr>
            <w:r>
              <w:rPr>
                <w:rFonts w:hint="eastAsia"/>
                <w:highlight w:val="none"/>
                <w:lang w:val="en-US" w:eastAsia="zh-CN"/>
              </w:rPr>
              <w:t>磋商保证金的退还</w:t>
            </w:r>
          </w:p>
        </w:tc>
        <w:tc>
          <w:tcPr>
            <w:tcW w:w="6995" w:type="dxa"/>
            <w:vAlign w:val="center"/>
          </w:tcPr>
          <w:p w14:paraId="2FC74D75">
            <w:pPr>
              <w:pStyle w:val="22"/>
              <w:bidi w:val="0"/>
              <w:rPr>
                <w:rFonts w:hint="eastAsia"/>
              </w:rPr>
            </w:pPr>
            <w:r>
              <w:rPr>
                <w:rFonts w:hint="eastAsia"/>
              </w:rPr>
              <w:t>采购代理机构在成交通知书发出后5个工作日内退还未成交供应商的磋商保证金，成交供应商的磋商保证金在采购合同签订后5个工作日内退还，但因供应商自身原因导致无法及时退还的除外。出现下列情形之一的，磋商保证金不予退还：</w:t>
            </w:r>
          </w:p>
          <w:p w14:paraId="5A1ED68C">
            <w:pPr>
              <w:pStyle w:val="22"/>
              <w:bidi w:val="0"/>
              <w:rPr>
                <w:rFonts w:hint="eastAsia"/>
              </w:rPr>
            </w:pPr>
            <w:r>
              <w:rPr>
                <w:rFonts w:hint="eastAsia"/>
              </w:rPr>
              <w:t>（1）供应商在提交响应文件截止时间后撤回响应文件的；</w:t>
            </w:r>
          </w:p>
          <w:p w14:paraId="09924F73">
            <w:pPr>
              <w:pStyle w:val="22"/>
              <w:bidi w:val="0"/>
              <w:rPr>
                <w:rFonts w:hint="eastAsia"/>
              </w:rPr>
            </w:pPr>
            <w:r>
              <w:rPr>
                <w:rFonts w:hint="eastAsia"/>
              </w:rPr>
              <w:t>（2）供应商在响应文件中提供虚假材料的；</w:t>
            </w:r>
          </w:p>
          <w:p w14:paraId="1AE20778">
            <w:pPr>
              <w:pStyle w:val="22"/>
              <w:bidi w:val="0"/>
              <w:rPr>
                <w:rFonts w:hint="eastAsia"/>
              </w:rPr>
            </w:pPr>
            <w:r>
              <w:rPr>
                <w:rFonts w:hint="eastAsia"/>
              </w:rPr>
              <w:t>（3）除因不可抗力或磋商文件认可的情形以外，成交供应商不与采购人签订合同的；</w:t>
            </w:r>
          </w:p>
          <w:p w14:paraId="7662C7CF">
            <w:pPr>
              <w:pStyle w:val="22"/>
              <w:bidi w:val="0"/>
              <w:rPr>
                <w:rFonts w:hint="eastAsia"/>
              </w:rPr>
            </w:pPr>
            <w:r>
              <w:rPr>
                <w:rFonts w:hint="eastAsia"/>
              </w:rPr>
              <w:t>（4）供应商与采购人、其他供应商或者采购代理机构恶意串通的；</w:t>
            </w:r>
          </w:p>
          <w:p w14:paraId="67D1C459">
            <w:pPr>
              <w:pStyle w:val="22"/>
              <w:bidi w:val="0"/>
              <w:rPr>
                <w:rFonts w:hint="eastAsia"/>
              </w:rPr>
            </w:pPr>
            <w:r>
              <w:rPr>
                <w:rFonts w:hint="eastAsia"/>
              </w:rPr>
              <w:t>（5）竞争性磋商文件规定的其他情形。</w:t>
            </w:r>
          </w:p>
        </w:tc>
      </w:tr>
      <w:tr w14:paraId="606F5C9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730" w:type="dxa"/>
            <w:vAlign w:val="center"/>
          </w:tcPr>
          <w:p w14:paraId="606F5C93">
            <w:pPr>
              <w:pStyle w:val="22"/>
              <w:bidi w:val="0"/>
              <w:jc w:val="center"/>
              <w:rPr>
                <w:rFonts w:hint="eastAsia"/>
              </w:rPr>
            </w:pPr>
            <w:r>
              <w:rPr>
                <w:rFonts w:hint="eastAsia"/>
              </w:rPr>
              <w:t>19.</w:t>
            </w:r>
            <w:r>
              <w:t>1</w:t>
            </w:r>
          </w:p>
        </w:tc>
        <w:tc>
          <w:tcPr>
            <w:tcW w:w="2105" w:type="dxa"/>
            <w:vAlign w:val="center"/>
          </w:tcPr>
          <w:p w14:paraId="606F5C94">
            <w:pPr>
              <w:pStyle w:val="22"/>
              <w:bidi w:val="0"/>
              <w:jc w:val="center"/>
              <w:rPr>
                <w:rFonts w:hint="eastAsia"/>
              </w:rPr>
            </w:pPr>
            <w:r>
              <w:t>响应文件</w:t>
            </w:r>
            <w:r>
              <w:rPr>
                <w:rFonts w:hint="eastAsia"/>
              </w:rPr>
              <w:t>编制及格式</w:t>
            </w:r>
          </w:p>
        </w:tc>
        <w:tc>
          <w:tcPr>
            <w:tcW w:w="6995" w:type="dxa"/>
            <w:vAlign w:val="center"/>
          </w:tcPr>
          <w:p w14:paraId="606F5C95">
            <w:pPr>
              <w:pStyle w:val="22"/>
              <w:bidi w:val="0"/>
              <w:rPr>
                <w:rFonts w:hint="eastAsia"/>
              </w:rPr>
            </w:pPr>
            <w:r>
              <w:rPr>
                <w:rFonts w:hint="eastAsia"/>
              </w:rPr>
              <w:t>响应文件全部采用电子文档，响应文件应包含第四章《响应文件格式》要求的所有内容。</w:t>
            </w:r>
          </w:p>
          <w:p w14:paraId="606F5C96">
            <w:pPr>
              <w:pStyle w:val="22"/>
              <w:bidi w:val="0"/>
              <w:rPr>
                <w:rFonts w:hint="eastAsia"/>
              </w:rPr>
            </w:pPr>
            <w:r>
              <w:rPr>
                <w:rFonts w:hint="eastAsia"/>
              </w:rPr>
              <w:t>电子响应文件应使用政府采购云平台（网址：www.zcygov.cn）中下载的政采云电子投标客户端制作，并进行电子签章及加密后上传至政府采购云平台。编制要求见《电子响应文件编制要求》。</w:t>
            </w:r>
          </w:p>
          <w:p w14:paraId="606F5C97">
            <w:pPr>
              <w:pStyle w:val="22"/>
              <w:bidi w:val="0"/>
              <w:rPr>
                <w:rFonts w:hint="eastAsia"/>
              </w:rPr>
            </w:pPr>
            <w:r>
              <w:rPr>
                <w:rFonts w:hint="eastAsia"/>
              </w:rPr>
              <w:t>如供应商提交的电子标书不符合上述要求或开标时无法读取导入或解密，其响应文件将不予受理。</w:t>
            </w:r>
          </w:p>
          <w:p w14:paraId="606F5C98">
            <w:pPr>
              <w:pStyle w:val="22"/>
              <w:bidi w:val="0"/>
              <w:rPr>
                <w:rFonts w:hint="eastAsia"/>
              </w:rPr>
            </w:pPr>
            <w:r>
              <w:rPr>
                <w:rFonts w:hint="eastAsia"/>
              </w:rPr>
              <w:t>特别注意：</w:t>
            </w:r>
          </w:p>
          <w:p w14:paraId="606F5C99">
            <w:pPr>
              <w:pStyle w:val="22"/>
              <w:bidi w:val="0"/>
              <w:rPr>
                <w:rFonts w:hint="eastAsia"/>
              </w:rPr>
            </w:pPr>
            <w:r>
              <w:rPr>
                <w:rFonts w:hint="eastAsia"/>
              </w:rPr>
              <w:t>（1）供应商不得对竞争性磋商文件格式中的内容进行删减或修改，否则作为无效处理。</w:t>
            </w:r>
          </w:p>
          <w:p w14:paraId="606F5C9A">
            <w:pPr>
              <w:pStyle w:val="22"/>
              <w:bidi w:val="0"/>
              <w:rPr>
                <w:rFonts w:hint="eastAsia"/>
              </w:rPr>
            </w:pPr>
            <w:r>
              <w:rPr>
                <w:rFonts w:hint="eastAsia"/>
              </w:rPr>
              <w:t>（2）供应商可以在格式内容之外另行说明和增加相关内容，作为响应文件的组成部分。另行说明或自行增加的内容、以及按响应文件格式在空格（下划线）由供应商填写的内容，不得与竞争性磋商文件的强制性审查标准和禁止性规定相抵触。</w:t>
            </w:r>
          </w:p>
          <w:p w14:paraId="606F5C9B">
            <w:pPr>
              <w:pStyle w:val="22"/>
              <w:bidi w:val="0"/>
              <w:rPr>
                <w:rFonts w:hint="eastAsia"/>
              </w:rPr>
            </w:pPr>
            <w:r>
              <w:rPr>
                <w:rFonts w:hint="eastAsia"/>
              </w:rPr>
              <w:t>（3）按响应文件格式在空格（下划线）由供应商填写的内容，确实没有需要填写的，可以在空格中用“/”标识，也可以不填（空白）。但竞争性磋商文件中另有规定的从其规定。</w:t>
            </w:r>
          </w:p>
          <w:p w14:paraId="606F5C9C">
            <w:pPr>
              <w:pStyle w:val="22"/>
              <w:bidi w:val="0"/>
              <w:rPr>
                <w:rFonts w:hint="eastAsia"/>
              </w:rPr>
            </w:pPr>
            <w:r>
              <w:rPr>
                <w:rFonts w:hint="eastAsia"/>
              </w:rPr>
              <w:t>（4）响应文件应对竞争性磋商文件提出的所有实质性要求和条件作出实质性响应，并且实质性响应的内容不得互相矛盾。</w:t>
            </w:r>
          </w:p>
        </w:tc>
      </w:tr>
      <w:tr w14:paraId="606F5CA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9E">
            <w:pPr>
              <w:pStyle w:val="22"/>
              <w:bidi w:val="0"/>
              <w:jc w:val="center"/>
              <w:rPr>
                <w:rFonts w:hint="eastAsia"/>
              </w:rPr>
            </w:pPr>
            <w:r>
              <w:rPr>
                <w:rFonts w:hint="eastAsia"/>
              </w:rPr>
              <w:t>19.</w:t>
            </w:r>
            <w:r>
              <w:t>2</w:t>
            </w:r>
          </w:p>
        </w:tc>
        <w:tc>
          <w:tcPr>
            <w:tcW w:w="2105" w:type="dxa"/>
            <w:vAlign w:val="center"/>
          </w:tcPr>
          <w:p w14:paraId="606F5C9F">
            <w:pPr>
              <w:pStyle w:val="22"/>
              <w:bidi w:val="0"/>
              <w:jc w:val="center"/>
              <w:rPr>
                <w:rFonts w:hint="eastAsia"/>
              </w:rPr>
            </w:pPr>
            <w:r>
              <w:t>响应文件</w:t>
            </w:r>
            <w:r>
              <w:rPr>
                <w:rFonts w:hint="eastAsia"/>
              </w:rPr>
              <w:t>的签署</w:t>
            </w:r>
          </w:p>
        </w:tc>
        <w:tc>
          <w:tcPr>
            <w:tcW w:w="6995" w:type="dxa"/>
            <w:vAlign w:val="center"/>
          </w:tcPr>
          <w:p w14:paraId="606F5CA0">
            <w:pPr>
              <w:pStyle w:val="22"/>
              <w:bidi w:val="0"/>
              <w:rPr>
                <w:rFonts w:hint="eastAsia"/>
              </w:rPr>
            </w:pPr>
            <w:r>
              <w:rPr>
                <w:rFonts w:hint="eastAsia"/>
              </w:rPr>
              <w:t>按照响应文件格式，采用单位和个人数字证书电子签章；响应文件（包含供应商电子文档响应文件的全部）需要企业、法定代表人电子签章。没有按竞争性磋商文件要求签字或盖章的响应文件按无效响应处理。</w:t>
            </w:r>
          </w:p>
          <w:p w14:paraId="606F5CA1">
            <w:pPr>
              <w:pStyle w:val="22"/>
              <w:bidi w:val="0"/>
              <w:rPr>
                <w:rFonts w:hint="eastAsia"/>
              </w:rPr>
            </w:pPr>
            <w:r>
              <w:rPr>
                <w:rFonts w:hint="eastAsia"/>
              </w:rPr>
              <w:t>注：在需要电子签章的地方进行电子签章，无需逐页电子签章。</w:t>
            </w:r>
          </w:p>
        </w:tc>
      </w:tr>
      <w:tr w14:paraId="606F5CA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A8">
            <w:pPr>
              <w:pStyle w:val="22"/>
              <w:bidi w:val="0"/>
              <w:jc w:val="center"/>
              <w:rPr>
                <w:rFonts w:hint="eastAsia" w:eastAsia="宋体"/>
                <w:lang w:eastAsia="zh-CN"/>
              </w:rPr>
            </w:pPr>
            <w:r>
              <w:rPr>
                <w:rFonts w:hint="eastAsia"/>
              </w:rPr>
              <w:t>20.</w:t>
            </w:r>
            <w:r>
              <w:rPr>
                <w:rFonts w:hint="eastAsia"/>
                <w:lang w:val="en-US" w:eastAsia="zh-CN"/>
              </w:rPr>
              <w:t>8</w:t>
            </w:r>
          </w:p>
        </w:tc>
        <w:tc>
          <w:tcPr>
            <w:tcW w:w="2105" w:type="dxa"/>
            <w:vAlign w:val="center"/>
          </w:tcPr>
          <w:p w14:paraId="606F5CA9">
            <w:pPr>
              <w:pStyle w:val="22"/>
              <w:bidi w:val="0"/>
              <w:jc w:val="center"/>
              <w:rPr>
                <w:rFonts w:hint="eastAsia"/>
              </w:rPr>
            </w:pPr>
            <w:r>
              <w:rPr>
                <w:rFonts w:hint="eastAsia"/>
              </w:rPr>
              <w:t>报价货币</w:t>
            </w:r>
          </w:p>
        </w:tc>
        <w:tc>
          <w:tcPr>
            <w:tcW w:w="6995" w:type="dxa"/>
            <w:vAlign w:val="center"/>
          </w:tcPr>
          <w:p w14:paraId="606F5CAA">
            <w:pPr>
              <w:pStyle w:val="22"/>
              <w:bidi w:val="0"/>
              <w:rPr>
                <w:rFonts w:hint="eastAsia" w:eastAsia="宋体"/>
                <w:lang w:eastAsia="zh-CN"/>
              </w:rPr>
            </w:pPr>
            <w:r>
              <w:rPr>
                <w:rFonts w:hint="eastAsia"/>
              </w:rPr>
              <w:t>人民币</w:t>
            </w:r>
            <w:r>
              <w:rPr>
                <w:rFonts w:hint="eastAsia"/>
                <w:lang w:eastAsia="zh-CN"/>
              </w:rPr>
              <w:t>。</w:t>
            </w:r>
          </w:p>
        </w:tc>
      </w:tr>
      <w:tr w14:paraId="606F5CB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AC">
            <w:pPr>
              <w:pStyle w:val="22"/>
              <w:bidi w:val="0"/>
              <w:jc w:val="center"/>
              <w:rPr>
                <w:rFonts w:hint="eastAsia"/>
              </w:rPr>
            </w:pPr>
            <w:r>
              <w:rPr>
                <w:rFonts w:hint="eastAsia"/>
              </w:rPr>
              <w:t>21.1</w:t>
            </w:r>
          </w:p>
        </w:tc>
        <w:tc>
          <w:tcPr>
            <w:tcW w:w="2105" w:type="dxa"/>
            <w:vAlign w:val="center"/>
          </w:tcPr>
          <w:p w14:paraId="606F5CAD">
            <w:pPr>
              <w:pStyle w:val="22"/>
              <w:bidi w:val="0"/>
              <w:jc w:val="center"/>
              <w:rPr>
                <w:rFonts w:hint="eastAsia"/>
              </w:rPr>
            </w:pPr>
            <w:r>
              <w:rPr>
                <w:rFonts w:hint="eastAsia"/>
              </w:rPr>
              <w:t>响应文件的递交</w:t>
            </w:r>
          </w:p>
          <w:p w14:paraId="606F5CAE">
            <w:pPr>
              <w:pStyle w:val="22"/>
              <w:bidi w:val="0"/>
              <w:jc w:val="center"/>
              <w:rPr>
                <w:rFonts w:hint="eastAsia"/>
              </w:rPr>
            </w:pPr>
            <w:r>
              <w:rPr>
                <w:rFonts w:hint="eastAsia"/>
              </w:rPr>
              <w:t>及解密须知</w:t>
            </w:r>
          </w:p>
        </w:tc>
        <w:tc>
          <w:tcPr>
            <w:tcW w:w="6995" w:type="dxa"/>
            <w:vAlign w:val="center"/>
          </w:tcPr>
          <w:p w14:paraId="606F5CAF">
            <w:pPr>
              <w:pStyle w:val="22"/>
              <w:bidi w:val="0"/>
              <w:rPr>
                <w:rFonts w:hint="eastAsia"/>
              </w:rPr>
            </w:pPr>
            <w:r>
              <w:t>1</w:t>
            </w:r>
            <w:r>
              <w:rPr>
                <w:rFonts w:hint="eastAsia"/>
              </w:rPr>
              <w:t>、网上递交：网上递交网址为：</w:t>
            </w:r>
            <w:r>
              <w:t>www.zcygov.cn</w:t>
            </w:r>
            <w:r>
              <w:rPr>
                <w:rFonts w:hint="eastAsia"/>
              </w:rPr>
              <w:t>。供应商须在响应文件递交截止时间前完成所有响应文件的上传。供应商根据拟要参与的项目，须在响应文件递交截止时间前按照网上投标系统要求上传全部响应文件，响应文件上传后须自行检查响应文件的完整性并进行确认签名后，方完成全部响应文件网上上传操作。供应商可自行打印“上传投标文件回执”。响应文件递交截止时间前未完成响应文件上传的，视为撤回响应文件；</w:t>
            </w:r>
          </w:p>
          <w:p w14:paraId="606F5CB0">
            <w:pPr>
              <w:pStyle w:val="22"/>
              <w:bidi w:val="0"/>
              <w:rPr>
                <w:rFonts w:hint="eastAsia"/>
              </w:rPr>
            </w:pPr>
            <w:r>
              <w:t>2、网上递交的响应文件应使用数字证书进行加密。供应商使用某个数字证书（CA）对响应文件进行了数字证书（CA）加密，需要在远程解密时使用同一把数字证书（CA）进行远程解密，才能读取或导入响应文件，</w:t>
            </w:r>
            <w:r>
              <w:rPr>
                <w:rFonts w:hint="eastAsia"/>
              </w:rPr>
              <w:t>因供应商自身原因致使响应文件未成功解密的或供应商提交的电子标书不符合本项目电子响应文件编制要求或开标时无法读取导入或解密，其响应文件将不予受理。未办理数字证书（</w:t>
            </w:r>
            <w:r>
              <w:t>CA）的</w:t>
            </w:r>
            <w:r>
              <w:rPr>
                <w:rFonts w:hint="eastAsia"/>
              </w:rPr>
              <w:t>供应商其编制的响应文件将无法按竞争性磋商文件的要求进行电子签章及加密，由此造成的后果由供应商自行承担。</w:t>
            </w:r>
          </w:p>
          <w:p w14:paraId="606F5CB1">
            <w:pPr>
              <w:pStyle w:val="22"/>
              <w:bidi w:val="0"/>
              <w:rPr>
                <w:rFonts w:hint="eastAsia"/>
              </w:rPr>
            </w:pPr>
            <w:r>
              <w:rPr>
                <w:rFonts w:hint="eastAsia"/>
              </w:rPr>
              <w:t>注：</w:t>
            </w:r>
          </w:p>
          <w:p w14:paraId="606F5CB2">
            <w:pPr>
              <w:pStyle w:val="22"/>
              <w:bidi w:val="0"/>
              <w:rPr>
                <w:rFonts w:hint="eastAsia"/>
              </w:rPr>
            </w:pPr>
            <w:r>
              <w:rPr>
                <w:rFonts w:hint="eastAsia"/>
              </w:rPr>
              <w:t>（</w:t>
            </w:r>
            <w:r>
              <w:t>1）请各供应商自行登录政府采购云平台（www.zcygov.cn）仔细查看相关操作流程，任何因忽视或误解而导致响应文件未上传或</w:t>
            </w:r>
            <w:r>
              <w:rPr>
                <w:rFonts w:hint="eastAsia"/>
              </w:rPr>
              <w:t>已上传但无法读取导入的，由此造成的后果由供应商自行承担。</w:t>
            </w:r>
          </w:p>
          <w:p w14:paraId="606F5CB3">
            <w:pPr>
              <w:pStyle w:val="22"/>
              <w:bidi w:val="0"/>
            </w:pPr>
            <w:r>
              <w:rPr>
                <w:rFonts w:hint="eastAsia"/>
              </w:rPr>
              <w:t>（</w:t>
            </w:r>
            <w:r>
              <w:t>2）政府采购云平台（www.zcygov.cn）中供应商网上递交的响应文件应使用数字证书进行加密及</w:t>
            </w:r>
            <w:r>
              <w:rPr>
                <w:rFonts w:hint="eastAsia"/>
              </w:rPr>
              <w:t>电子签章。未办理数字证书（</w:t>
            </w:r>
            <w:r>
              <w:t>CA）的供应商须先办理数字证书（CA）。</w:t>
            </w:r>
            <w:r>
              <w:rPr>
                <w:rFonts w:hint="eastAsia"/>
              </w:rPr>
              <w:t>供应商须在政府采购云平台办理数字证书（CA），CA申领链接：https://middle.zcygov.cn/ca/apply/list?_app_=zcy.sys，并通过政采云绑定数字证书（CA）后在网上获取采购文件及其它采购资料，数字证书（CA）详见其办理流程。</w:t>
            </w:r>
          </w:p>
          <w:p w14:paraId="606F5CB5">
            <w:pPr>
              <w:pStyle w:val="22"/>
              <w:bidi w:val="0"/>
              <w:rPr>
                <w:rFonts w:hint="eastAsia"/>
              </w:rPr>
            </w:pPr>
            <w:r>
              <w:rPr>
                <w:rFonts w:hint="eastAsia"/>
              </w:rPr>
              <w:t>注：供应商如之前已在云南CA在线数字证书办理网进行过注册并办理过企业数字证书（CA）的，直接绑定即可，无需重复办理（2022年1月1日前在云南省公共资源交易平台办理过云南CA证书的需到原办理点进行升级后方可使用）。云南省省外供应商在政府采购云平台办理的其他CA可直接使用，无需重复办理。无论是云南省省内供应商还是云南省省外供应商，须确保其办理的企业数字证书（CA）为最新版本（老版本的须进行升级），确保其所办理的企业数字证书（CA）可以在政府采购云平台（网址：www.zcygov.cn）正常的登录、电子签章、加密、上传及解密响应文件，否则因供应商自身原因致使响应文件未成功解密的或供应商提交的电子标书不符合本项目电子响应文件编制要求或开标时无法读取导入或解密，其响应文件将不予受理；由此造成的损失及后果由供应商自行承担。具体不清楚或有疑问的，请致电“政采云客服热线：95763（服务时间为工作日8:00-20:00）”或登录政府采购云平台（网址：www.zcygov.cn）连线智能客服进行线上咨询。</w:t>
            </w:r>
          </w:p>
        </w:tc>
      </w:tr>
      <w:tr w14:paraId="606F5CB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B7">
            <w:pPr>
              <w:pStyle w:val="22"/>
              <w:bidi w:val="0"/>
              <w:jc w:val="center"/>
              <w:rPr>
                <w:rFonts w:hint="eastAsia"/>
              </w:rPr>
            </w:pPr>
            <w:r>
              <w:rPr>
                <w:rFonts w:hint="eastAsia"/>
              </w:rPr>
              <w:t>2</w:t>
            </w:r>
            <w:r>
              <w:t>1.2</w:t>
            </w:r>
          </w:p>
        </w:tc>
        <w:tc>
          <w:tcPr>
            <w:tcW w:w="2105" w:type="dxa"/>
            <w:vAlign w:val="center"/>
          </w:tcPr>
          <w:p w14:paraId="606F5CB8">
            <w:pPr>
              <w:pStyle w:val="22"/>
              <w:bidi w:val="0"/>
              <w:jc w:val="center"/>
              <w:rPr>
                <w:rFonts w:hint="eastAsia"/>
              </w:rPr>
            </w:pPr>
            <w:r>
              <w:rPr>
                <w:rFonts w:hint="eastAsia"/>
              </w:rPr>
              <w:t>网上递交响应文件</w:t>
            </w:r>
          </w:p>
        </w:tc>
        <w:tc>
          <w:tcPr>
            <w:tcW w:w="6995" w:type="dxa"/>
            <w:vAlign w:val="center"/>
          </w:tcPr>
          <w:p w14:paraId="606F5CB9">
            <w:pPr>
              <w:pStyle w:val="22"/>
              <w:bidi w:val="0"/>
              <w:rPr>
                <w:rFonts w:hint="eastAsia"/>
              </w:rPr>
            </w:pPr>
            <w:r>
              <w:rPr>
                <w:rFonts w:hint="eastAsia"/>
              </w:rPr>
              <w:t>网上递交的响应文件应使用数字证书进行加密。供应商使用某个数字证书（</w:t>
            </w:r>
            <w:r>
              <w:t>CA）对响应文件进行了数字证书（CA）加密，需使用同一把数字证书（CA）对该响应文件进行解密才能读取或导入响应文件，因供应商原因造成响应文件未解密的，视为撤回其响应文件</w:t>
            </w:r>
            <w:r>
              <w:rPr>
                <w:rFonts w:hint="eastAsia"/>
              </w:rPr>
              <w:t>。因供应商自身原因致使响应文件未成功解密的或供应商提交的电子标书不符合本项目电子响应文件编制要求或开标时无法读取导入或解密，其响应文件将不予受理。</w:t>
            </w:r>
          </w:p>
        </w:tc>
      </w:tr>
      <w:tr w14:paraId="606F5CB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730" w:type="dxa"/>
            <w:vAlign w:val="center"/>
          </w:tcPr>
          <w:p w14:paraId="606F5CBB">
            <w:pPr>
              <w:pStyle w:val="22"/>
              <w:bidi w:val="0"/>
              <w:jc w:val="center"/>
              <w:rPr>
                <w:rFonts w:hint="eastAsia"/>
              </w:rPr>
            </w:pPr>
            <w:r>
              <w:rPr>
                <w:rFonts w:hint="eastAsia"/>
              </w:rPr>
              <w:t>2</w:t>
            </w:r>
            <w:r>
              <w:t>1.3</w:t>
            </w:r>
          </w:p>
        </w:tc>
        <w:tc>
          <w:tcPr>
            <w:tcW w:w="2105" w:type="dxa"/>
            <w:vAlign w:val="center"/>
          </w:tcPr>
          <w:p w14:paraId="606F5CBC">
            <w:pPr>
              <w:pStyle w:val="22"/>
              <w:bidi w:val="0"/>
              <w:jc w:val="center"/>
              <w:rPr>
                <w:rFonts w:hint="eastAsia"/>
              </w:rPr>
            </w:pPr>
            <w:r>
              <w:rPr>
                <w:rFonts w:hint="eastAsia"/>
              </w:rPr>
              <w:t>递交响应文件的截止时间及地点</w:t>
            </w:r>
          </w:p>
        </w:tc>
        <w:tc>
          <w:tcPr>
            <w:tcW w:w="6995" w:type="dxa"/>
            <w:vAlign w:val="center"/>
          </w:tcPr>
          <w:p w14:paraId="606F5CBD">
            <w:pPr>
              <w:pStyle w:val="22"/>
              <w:bidi w:val="0"/>
              <w:rPr>
                <w:rFonts w:hint="eastAsia" w:eastAsia="宋体"/>
                <w:lang w:eastAsia="zh-CN"/>
              </w:rPr>
            </w:pPr>
            <w:r>
              <w:rPr>
                <w:rFonts w:hint="eastAsia"/>
              </w:rPr>
              <w:t>详见 第一章 竞争性磋商公告 “四、响应文件递交”</w:t>
            </w:r>
            <w:r>
              <w:rPr>
                <w:rFonts w:hint="eastAsia"/>
                <w:lang w:eastAsia="zh-CN"/>
              </w:rPr>
              <w:t>。</w:t>
            </w:r>
          </w:p>
        </w:tc>
      </w:tr>
      <w:tr w14:paraId="606F5CC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30" w:type="dxa"/>
            <w:vAlign w:val="center"/>
          </w:tcPr>
          <w:p w14:paraId="606F5CBF">
            <w:pPr>
              <w:pStyle w:val="22"/>
              <w:bidi w:val="0"/>
              <w:jc w:val="center"/>
              <w:rPr>
                <w:rFonts w:hint="eastAsia"/>
              </w:rPr>
            </w:pPr>
            <w:r>
              <w:rPr>
                <w:rFonts w:hint="eastAsia"/>
              </w:rPr>
              <w:t>2</w:t>
            </w:r>
            <w:r>
              <w:t>3</w:t>
            </w:r>
            <w:r>
              <w:rPr>
                <w:rFonts w:hint="eastAsia"/>
              </w:rPr>
              <w:t>.2</w:t>
            </w:r>
          </w:p>
        </w:tc>
        <w:tc>
          <w:tcPr>
            <w:tcW w:w="2105" w:type="dxa"/>
            <w:vAlign w:val="center"/>
          </w:tcPr>
          <w:p w14:paraId="606F5CC0">
            <w:pPr>
              <w:pStyle w:val="22"/>
              <w:bidi w:val="0"/>
              <w:jc w:val="center"/>
              <w:rPr>
                <w:rFonts w:hint="eastAsia"/>
                <w:highlight w:val="none"/>
              </w:rPr>
            </w:pPr>
            <w:r>
              <w:rPr>
                <w:rFonts w:hint="eastAsia"/>
                <w:highlight w:val="none"/>
              </w:rPr>
              <w:t>磋商小组</w:t>
            </w:r>
          </w:p>
        </w:tc>
        <w:tc>
          <w:tcPr>
            <w:tcW w:w="6995" w:type="dxa"/>
            <w:vAlign w:val="center"/>
          </w:tcPr>
          <w:p w14:paraId="606F5CC1">
            <w:pPr>
              <w:pStyle w:val="22"/>
              <w:bidi w:val="0"/>
              <w:rPr>
                <w:rFonts w:hint="eastAsia"/>
                <w:highlight w:val="none"/>
              </w:rPr>
            </w:pPr>
            <w:r>
              <w:rPr>
                <w:rFonts w:hint="eastAsia"/>
                <w:highlight w:val="none"/>
              </w:rPr>
              <w:t>共</w:t>
            </w:r>
            <w:r>
              <w:rPr>
                <w:rFonts w:hint="eastAsia"/>
                <w:highlight w:val="none"/>
                <w:lang w:val="en-US" w:eastAsia="zh-CN"/>
              </w:rPr>
              <w:t>5</w:t>
            </w:r>
            <w:r>
              <w:rPr>
                <w:rFonts w:hint="eastAsia"/>
                <w:highlight w:val="none"/>
              </w:rPr>
              <w:t>人组成</w:t>
            </w:r>
            <w:r>
              <w:rPr>
                <w:rFonts w:hint="eastAsia"/>
                <w:highlight w:val="none"/>
                <w:lang w:eastAsia="zh-CN"/>
              </w:rPr>
              <w:t>，</w:t>
            </w:r>
            <w:r>
              <w:rPr>
                <w:rFonts w:hint="eastAsia"/>
                <w:highlight w:val="none"/>
                <w:lang w:val="en-US" w:eastAsia="zh-CN"/>
              </w:rPr>
              <w:t>其中采购人代表1人，其余4人从《云南省政府采购专家库》中随机抽取</w:t>
            </w:r>
            <w:r>
              <w:rPr>
                <w:rFonts w:hint="eastAsia"/>
                <w:highlight w:val="none"/>
              </w:rPr>
              <w:t>。</w:t>
            </w:r>
          </w:p>
        </w:tc>
      </w:tr>
      <w:tr w14:paraId="606F5CC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C3">
            <w:pPr>
              <w:pStyle w:val="22"/>
              <w:bidi w:val="0"/>
              <w:jc w:val="center"/>
              <w:rPr>
                <w:rFonts w:hint="eastAsia"/>
              </w:rPr>
            </w:pPr>
            <w:r>
              <w:rPr>
                <w:rFonts w:hint="eastAsia"/>
              </w:rPr>
              <w:t>2</w:t>
            </w:r>
            <w:r>
              <w:t>3</w:t>
            </w:r>
            <w:r>
              <w:rPr>
                <w:rFonts w:hint="eastAsia"/>
              </w:rPr>
              <w:t>.5</w:t>
            </w:r>
          </w:p>
        </w:tc>
        <w:tc>
          <w:tcPr>
            <w:tcW w:w="2105" w:type="dxa"/>
            <w:vAlign w:val="center"/>
          </w:tcPr>
          <w:p w14:paraId="606F5CC4">
            <w:pPr>
              <w:pStyle w:val="22"/>
              <w:bidi w:val="0"/>
              <w:jc w:val="center"/>
              <w:rPr>
                <w:rFonts w:hint="eastAsia"/>
              </w:rPr>
            </w:pPr>
            <w:r>
              <w:rPr>
                <w:rFonts w:hint="eastAsia"/>
              </w:rPr>
              <w:t>评审方法</w:t>
            </w:r>
          </w:p>
        </w:tc>
        <w:tc>
          <w:tcPr>
            <w:tcW w:w="6995" w:type="dxa"/>
            <w:vAlign w:val="center"/>
          </w:tcPr>
          <w:p w14:paraId="606F5CC5">
            <w:pPr>
              <w:pStyle w:val="22"/>
              <w:bidi w:val="0"/>
              <w:rPr>
                <w:rFonts w:hint="eastAsia"/>
              </w:rPr>
            </w:pPr>
            <w:r>
              <w:rPr>
                <w:rFonts w:hint="eastAsia"/>
              </w:rPr>
              <w:t>综合评分法。</w:t>
            </w:r>
          </w:p>
        </w:tc>
      </w:tr>
      <w:tr w14:paraId="606F5CC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C7">
            <w:pPr>
              <w:pStyle w:val="22"/>
              <w:bidi w:val="0"/>
              <w:jc w:val="center"/>
              <w:rPr>
                <w:rFonts w:hint="eastAsia"/>
                <w:highlight w:val="none"/>
              </w:rPr>
            </w:pPr>
            <w:r>
              <w:rPr>
                <w:highlight w:val="none"/>
              </w:rPr>
              <w:t>27.1</w:t>
            </w:r>
          </w:p>
        </w:tc>
        <w:tc>
          <w:tcPr>
            <w:tcW w:w="2105" w:type="dxa"/>
            <w:vAlign w:val="center"/>
          </w:tcPr>
          <w:p w14:paraId="606F5CC8">
            <w:pPr>
              <w:pStyle w:val="22"/>
              <w:bidi w:val="0"/>
              <w:jc w:val="center"/>
              <w:rPr>
                <w:rFonts w:hint="eastAsia"/>
                <w:highlight w:val="none"/>
              </w:rPr>
            </w:pPr>
            <w:r>
              <w:rPr>
                <w:rFonts w:hint="eastAsia"/>
                <w:highlight w:val="none"/>
              </w:rPr>
              <w:t>履约保证金</w:t>
            </w:r>
          </w:p>
        </w:tc>
        <w:tc>
          <w:tcPr>
            <w:tcW w:w="6995" w:type="dxa"/>
            <w:vAlign w:val="center"/>
          </w:tcPr>
          <w:p w14:paraId="47B80608">
            <w:pPr>
              <w:pStyle w:val="22"/>
              <w:bidi w:val="0"/>
              <w:rPr>
                <w:rFonts w:hint="eastAsia"/>
                <w:highlight w:val="none"/>
                <w:lang w:val="zh-CN"/>
              </w:rPr>
            </w:pPr>
            <w:bookmarkStart w:id="62" w:name="OLE_LINK290"/>
            <w:r>
              <w:rPr>
                <w:rFonts w:hint="eastAsia"/>
                <w:highlight w:val="none"/>
              </w:rPr>
              <w:sym w:font="Wingdings 2" w:char="00A3"/>
            </w:r>
            <w:r>
              <w:rPr>
                <w:rFonts w:hint="eastAsia"/>
                <w:highlight w:val="none"/>
              </w:rPr>
              <w:t>不要求提供</w:t>
            </w:r>
          </w:p>
          <w:p w14:paraId="253EB022">
            <w:pPr>
              <w:pStyle w:val="22"/>
              <w:bidi w:val="0"/>
              <w:rPr>
                <w:rFonts w:hint="eastAsia"/>
                <w:highlight w:val="none"/>
              </w:rPr>
            </w:pPr>
            <w:r>
              <w:rPr>
                <w:rFonts w:hint="eastAsia"/>
                <w:highlight w:val="none"/>
              </w:rPr>
              <w:sym w:font="Wingdings 2" w:char="0052"/>
            </w:r>
            <w:r>
              <w:rPr>
                <w:rFonts w:hint="eastAsia"/>
                <w:highlight w:val="none"/>
              </w:rPr>
              <w:t>要求提供：</w:t>
            </w:r>
          </w:p>
          <w:p w14:paraId="7E6E9DA3">
            <w:pPr>
              <w:pStyle w:val="22"/>
              <w:bidi w:val="0"/>
              <w:rPr>
                <w:rFonts w:hint="eastAsia"/>
                <w:highlight w:val="none"/>
              </w:rPr>
            </w:pPr>
            <w:r>
              <w:rPr>
                <w:rFonts w:hint="eastAsia"/>
                <w:highlight w:val="none"/>
              </w:rPr>
              <w:t>履约保证金金额：</w:t>
            </w:r>
            <w:r>
              <w:rPr>
                <w:rFonts w:hint="eastAsia"/>
                <w:color w:val="auto"/>
                <w:highlight w:val="none"/>
                <w:lang w:val="en-US" w:eastAsia="zh-CN"/>
              </w:rPr>
              <w:t>合同金额的5%</w:t>
            </w:r>
            <w:r>
              <w:rPr>
                <w:rFonts w:hint="eastAsia"/>
                <w:color w:val="auto"/>
                <w:highlight w:val="none"/>
              </w:rPr>
              <w:t>；</w:t>
            </w:r>
          </w:p>
          <w:p w14:paraId="5839B8C9">
            <w:pPr>
              <w:pStyle w:val="22"/>
              <w:bidi w:val="0"/>
              <w:rPr>
                <w:rFonts w:hint="eastAsia"/>
                <w:highlight w:val="none"/>
              </w:rPr>
            </w:pPr>
            <w:r>
              <w:rPr>
                <w:rFonts w:hint="eastAsia"/>
                <w:highlight w:val="none"/>
              </w:rPr>
              <w:t>履约保证金形式：供应商应当以</w:t>
            </w:r>
            <w:r>
              <w:rPr>
                <w:rFonts w:hint="eastAsia" w:ascii="宋体" w:hAnsi="宋体" w:cs="宋体"/>
                <w:color w:val="auto"/>
                <w:highlight w:val="none"/>
                <w:u w:val="single"/>
              </w:rPr>
              <w:t>支票、汇票、本票</w:t>
            </w:r>
            <w:r>
              <w:rPr>
                <w:rFonts w:hint="eastAsia" w:ascii="宋体" w:hAnsi="宋体" w:cs="宋体"/>
                <w:color w:val="auto"/>
                <w:highlight w:val="none"/>
                <w:u w:val="single"/>
                <w:lang w:eastAsia="zh-CN"/>
              </w:rPr>
              <w:t>、</w:t>
            </w:r>
            <w:r>
              <w:rPr>
                <w:rFonts w:hint="eastAsia" w:ascii="宋体" w:hAnsi="宋体" w:cs="宋体"/>
                <w:color w:val="auto"/>
                <w:highlight w:val="none"/>
                <w:u w:val="single"/>
              </w:rPr>
              <w:t>银行保函、履约保证保险</w:t>
            </w:r>
            <w:r>
              <w:rPr>
                <w:rFonts w:hint="eastAsia" w:ascii="宋体" w:hAnsi="宋体" w:cs="宋体"/>
                <w:color w:val="auto"/>
                <w:highlight w:val="none"/>
                <w:u w:val="none"/>
              </w:rPr>
              <w:t>等非现金形式</w:t>
            </w:r>
            <w:r>
              <w:rPr>
                <w:rFonts w:hint="eastAsia"/>
                <w:highlight w:val="none"/>
              </w:rPr>
              <w:t>提交。</w:t>
            </w:r>
          </w:p>
          <w:p w14:paraId="31A0FF5C">
            <w:pPr>
              <w:pStyle w:val="22"/>
              <w:bidi w:val="0"/>
              <w:rPr>
                <w:rFonts w:hint="eastAsia"/>
                <w:highlight w:val="none"/>
              </w:rPr>
            </w:pPr>
            <w:r>
              <w:rPr>
                <w:rFonts w:hint="eastAsia"/>
                <w:highlight w:val="none"/>
              </w:rPr>
              <w:t>履约担保期限及退还：担保期限自合同生效之日起至合同履行完毕止，待合同履行完毕后</w:t>
            </w:r>
            <w:bookmarkStart w:id="63" w:name="OLE_LINK8"/>
            <w:r>
              <w:rPr>
                <w:rFonts w:hint="eastAsia"/>
                <w:highlight w:val="none"/>
              </w:rPr>
              <w:t>六个月内</w:t>
            </w:r>
            <w:bookmarkEnd w:id="63"/>
            <w:r>
              <w:rPr>
                <w:rFonts w:hint="eastAsia"/>
                <w:highlight w:val="none"/>
              </w:rPr>
              <w:t>根据履约情况无息退还。若本项目提前终止，担保期限自合同生效之日起至提前终止之日。</w:t>
            </w:r>
            <w:bookmarkEnd w:id="62"/>
          </w:p>
        </w:tc>
      </w:tr>
      <w:tr w14:paraId="606F5CC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CB">
            <w:pPr>
              <w:pStyle w:val="22"/>
              <w:bidi w:val="0"/>
              <w:jc w:val="center"/>
              <w:rPr>
                <w:rFonts w:hint="eastAsia"/>
                <w:highlight w:val="none"/>
              </w:rPr>
            </w:pPr>
            <w:r>
              <w:rPr>
                <w:rFonts w:hint="eastAsia"/>
                <w:highlight w:val="none"/>
              </w:rPr>
              <w:t>2</w:t>
            </w:r>
            <w:r>
              <w:rPr>
                <w:highlight w:val="none"/>
              </w:rPr>
              <w:t>8</w:t>
            </w:r>
            <w:r>
              <w:rPr>
                <w:rFonts w:hint="eastAsia"/>
                <w:highlight w:val="none"/>
              </w:rPr>
              <w:t>.1</w:t>
            </w:r>
          </w:p>
        </w:tc>
        <w:tc>
          <w:tcPr>
            <w:tcW w:w="2105" w:type="dxa"/>
            <w:vAlign w:val="center"/>
          </w:tcPr>
          <w:p w14:paraId="606F5CCC">
            <w:pPr>
              <w:pStyle w:val="22"/>
              <w:bidi w:val="0"/>
              <w:jc w:val="center"/>
              <w:rPr>
                <w:rFonts w:hint="eastAsia"/>
                <w:highlight w:val="none"/>
              </w:rPr>
            </w:pPr>
            <w:r>
              <w:rPr>
                <w:rFonts w:hint="eastAsia"/>
                <w:color w:val="auto"/>
                <w:highlight w:val="none"/>
              </w:rPr>
              <w:t>采购代理服务费</w:t>
            </w:r>
          </w:p>
        </w:tc>
        <w:tc>
          <w:tcPr>
            <w:tcW w:w="6995" w:type="dxa"/>
            <w:vAlign w:val="center"/>
          </w:tcPr>
          <w:p w14:paraId="606F5CCD">
            <w:pPr>
              <w:pStyle w:val="22"/>
              <w:bidi w:val="0"/>
              <w:rPr>
                <w:rFonts w:hint="eastAsia"/>
                <w:highlight w:val="none"/>
              </w:rPr>
            </w:pPr>
            <w:bookmarkStart w:id="64" w:name="OLE_LINK156"/>
            <w:r>
              <w:rPr>
                <w:rFonts w:hint="eastAsia"/>
                <w:highlight w:val="none"/>
              </w:rPr>
              <w:t>本项目的采购代理服务费以</w:t>
            </w:r>
            <w:r>
              <w:rPr>
                <w:rFonts w:hint="eastAsia"/>
                <w:highlight w:val="none"/>
                <w:lang w:val="en-US" w:eastAsia="zh-CN"/>
              </w:rPr>
              <w:t>成交</w:t>
            </w:r>
            <w:r>
              <w:rPr>
                <w:rFonts w:hint="eastAsia"/>
                <w:highlight w:val="none"/>
              </w:rPr>
              <w:t>单位的</w:t>
            </w:r>
            <w:r>
              <w:rPr>
                <w:rFonts w:hint="eastAsia"/>
                <w:highlight w:val="none"/>
                <w:lang w:val="en-US" w:eastAsia="zh-CN"/>
              </w:rPr>
              <w:t>成交</w:t>
            </w:r>
            <w:r>
              <w:rPr>
                <w:rFonts w:hint="eastAsia"/>
                <w:highlight w:val="none"/>
              </w:rPr>
              <w:t>价为计算基数，依据《云南省建设工程招标代理服务收费参考意见》（云建招协〔2024〕58号）的规定计算后</w:t>
            </w:r>
            <w:r>
              <w:rPr>
                <w:rFonts w:hint="eastAsia"/>
                <w:highlight w:val="none"/>
                <w:lang w:val="en-US" w:eastAsia="zh-CN"/>
              </w:rPr>
              <w:t>优惠</w:t>
            </w:r>
            <w:r>
              <w:rPr>
                <w:rFonts w:hint="eastAsia"/>
                <w:highlight w:val="none"/>
              </w:rPr>
              <w:t>收取</w:t>
            </w:r>
            <w:r>
              <w:rPr>
                <w:rFonts w:hint="eastAsia"/>
                <w:highlight w:val="none"/>
                <w:lang w:eastAsia="zh-CN"/>
              </w:rPr>
              <w:t>，</w:t>
            </w:r>
            <w:r>
              <w:rPr>
                <w:rFonts w:hint="eastAsia"/>
                <w:highlight w:val="none"/>
                <w:lang w:val="en-US" w:eastAsia="zh-CN"/>
              </w:rPr>
              <w:t>共计：10000.00元，</w:t>
            </w:r>
            <w:r>
              <w:rPr>
                <w:rFonts w:hint="eastAsia"/>
                <w:highlight w:val="none"/>
              </w:rPr>
              <w:t>由</w:t>
            </w:r>
            <w:r>
              <w:rPr>
                <w:rFonts w:hint="eastAsia"/>
                <w:highlight w:val="none"/>
                <w:lang w:val="en-US" w:eastAsia="zh-CN"/>
              </w:rPr>
              <w:t>成交</w:t>
            </w:r>
            <w:r>
              <w:rPr>
                <w:rFonts w:hint="eastAsia"/>
                <w:highlight w:val="none"/>
              </w:rPr>
              <w:t>人在领取成交通知书时向代理机构一次性支付。</w:t>
            </w:r>
            <w:bookmarkEnd w:id="64"/>
          </w:p>
        </w:tc>
      </w:tr>
      <w:tr w14:paraId="18F7BF7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36BA8DA5">
            <w:pPr>
              <w:pStyle w:val="22"/>
              <w:bidi w:val="0"/>
              <w:jc w:val="center"/>
              <w:rPr>
                <w:rFonts w:hint="default" w:eastAsia="宋体"/>
                <w:lang w:val="en-US" w:eastAsia="zh-CN"/>
              </w:rPr>
            </w:pPr>
            <w:r>
              <w:rPr>
                <w:rFonts w:hint="eastAsia"/>
                <w:lang w:val="en-US" w:eastAsia="zh-CN"/>
              </w:rPr>
              <w:t>30</w:t>
            </w:r>
          </w:p>
        </w:tc>
        <w:tc>
          <w:tcPr>
            <w:tcW w:w="9100" w:type="dxa"/>
            <w:gridSpan w:val="2"/>
            <w:vAlign w:val="center"/>
          </w:tcPr>
          <w:p w14:paraId="0DC43860">
            <w:pPr>
              <w:pStyle w:val="22"/>
              <w:bidi w:val="0"/>
              <w:jc w:val="center"/>
              <w:rPr>
                <w:rFonts w:hint="eastAsia"/>
              </w:rPr>
            </w:pPr>
            <w:r>
              <w:rPr>
                <w:rFonts w:hint="eastAsia"/>
              </w:rPr>
              <w:t>需要补充的其他内容</w:t>
            </w:r>
          </w:p>
        </w:tc>
      </w:tr>
      <w:tr w14:paraId="606F5CD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30" w:type="dxa"/>
            <w:vAlign w:val="center"/>
          </w:tcPr>
          <w:p w14:paraId="34CBD169">
            <w:pPr>
              <w:pStyle w:val="22"/>
              <w:bidi w:val="0"/>
              <w:ind w:firstLine="0" w:firstLineChars="0"/>
              <w:jc w:val="center"/>
              <w:outlineLvl w:val="9"/>
              <w:rPr>
                <w:rFonts w:hint="default" w:eastAsia="宋体"/>
                <w:highlight w:val="none"/>
                <w:lang w:val="en-US" w:eastAsia="zh-CN"/>
              </w:rPr>
            </w:pPr>
            <w:r>
              <w:rPr>
                <w:rFonts w:hint="eastAsia"/>
                <w:highlight w:val="none"/>
                <w:lang w:val="en-US" w:eastAsia="zh-CN"/>
              </w:rPr>
              <w:t>30.5</w:t>
            </w:r>
          </w:p>
        </w:tc>
        <w:tc>
          <w:tcPr>
            <w:tcW w:w="2105" w:type="dxa"/>
            <w:vAlign w:val="center"/>
          </w:tcPr>
          <w:p w14:paraId="606F5CD0">
            <w:pPr>
              <w:pStyle w:val="22"/>
              <w:bidi w:val="0"/>
              <w:ind w:firstLine="0" w:firstLineChars="0"/>
              <w:jc w:val="center"/>
              <w:rPr>
                <w:rFonts w:hint="eastAsia"/>
                <w:highlight w:val="none"/>
              </w:rPr>
            </w:pPr>
            <w:r>
              <w:rPr>
                <w:rFonts w:hint="eastAsia"/>
                <w:highlight w:val="none"/>
                <w:lang w:val="en-US" w:eastAsia="zh-CN"/>
              </w:rPr>
              <w:t>磋商上限价</w:t>
            </w:r>
          </w:p>
        </w:tc>
        <w:tc>
          <w:tcPr>
            <w:tcW w:w="6995" w:type="dxa"/>
            <w:vAlign w:val="center"/>
          </w:tcPr>
          <w:p w14:paraId="545A69F2">
            <w:pPr>
              <w:pStyle w:val="22"/>
              <w:bidi w:val="0"/>
              <w:rPr>
                <w:rFonts w:hint="eastAsia"/>
                <w:highlight w:val="none"/>
              </w:rPr>
            </w:pPr>
            <w:r>
              <w:rPr>
                <w:rFonts w:hint="eastAsia"/>
                <w:highlight w:val="none"/>
              </w:rPr>
              <w:t>□无</w:t>
            </w:r>
          </w:p>
          <w:p w14:paraId="2B9F570F">
            <w:pPr>
              <w:pStyle w:val="22"/>
              <w:bidi w:val="0"/>
              <w:rPr>
                <w:rFonts w:hint="eastAsia"/>
                <w:highlight w:val="none"/>
              </w:rPr>
            </w:pPr>
            <w:r>
              <w:rPr>
                <w:rFonts w:hint="eastAsia"/>
                <w:b/>
                <w:bCs w:val="0"/>
                <w:highlight w:val="none"/>
              </w:rPr>
              <w:sym w:font="Wingdings 2" w:char="F052"/>
            </w:r>
            <w:r>
              <w:rPr>
                <w:rFonts w:hint="eastAsia"/>
                <w:b/>
                <w:bCs w:val="0"/>
                <w:highlight w:val="none"/>
              </w:rPr>
              <w:t>有，磋商上限价：</w:t>
            </w:r>
            <w:r>
              <w:rPr>
                <w:rFonts w:hint="eastAsia"/>
                <w:b/>
                <w:bCs w:val="0"/>
                <w:color w:val="auto"/>
                <w:highlight w:val="none"/>
                <w:shd w:val="clear"/>
                <w:lang w:val="en-US" w:eastAsia="zh-CN"/>
              </w:rPr>
              <w:t>648000.00</w:t>
            </w:r>
            <w:r>
              <w:rPr>
                <w:rFonts w:hint="eastAsia"/>
                <w:b/>
                <w:bCs w:val="0"/>
                <w:color w:val="auto"/>
                <w:highlight w:val="none"/>
                <w:shd w:val="clear"/>
                <w:lang w:eastAsia="zh-CN"/>
              </w:rPr>
              <w:t>元</w:t>
            </w:r>
            <w:r>
              <w:rPr>
                <w:rFonts w:hint="eastAsia"/>
                <w:b/>
                <w:bCs w:val="0"/>
                <w:color w:val="auto"/>
                <w:highlight w:val="none"/>
                <w:shd w:val="clear"/>
              </w:rPr>
              <w:t>。</w:t>
            </w:r>
          </w:p>
          <w:p w14:paraId="2B4C3852">
            <w:pPr>
              <w:pStyle w:val="22"/>
              <w:bidi w:val="0"/>
              <w:rPr>
                <w:rFonts w:hint="eastAsia"/>
                <w:b/>
                <w:bCs w:val="0"/>
                <w:highlight w:val="none"/>
              </w:rPr>
            </w:pPr>
            <w:r>
              <w:rPr>
                <w:rFonts w:hint="eastAsia"/>
                <w:b/>
                <w:bCs w:val="0"/>
                <w:highlight w:val="none"/>
              </w:rPr>
              <w:t>①竞争性磋商文件公布的“磋商上限价”为含税价；</w:t>
            </w:r>
          </w:p>
          <w:p w14:paraId="6DAFD367">
            <w:pPr>
              <w:pStyle w:val="22"/>
              <w:bidi w:val="0"/>
              <w:rPr>
                <w:rFonts w:hint="default"/>
                <w:highlight w:val="none"/>
                <w:lang w:val="en-US" w:eastAsia="zh-CN"/>
              </w:rPr>
            </w:pPr>
            <w:r>
              <w:rPr>
                <w:rFonts w:hint="eastAsia"/>
                <w:b/>
                <w:bCs w:val="0"/>
                <w:highlight w:val="none"/>
              </w:rPr>
              <w:t>②供应商的</w:t>
            </w:r>
            <w:r>
              <w:rPr>
                <w:rFonts w:hint="eastAsia"/>
                <w:b/>
                <w:bCs w:val="0"/>
                <w:highlight w:val="none"/>
                <w:lang w:val="en-US" w:eastAsia="zh-CN"/>
              </w:rPr>
              <w:t>磋商</w:t>
            </w:r>
            <w:r>
              <w:rPr>
                <w:rFonts w:hint="eastAsia"/>
                <w:b/>
                <w:bCs w:val="0"/>
                <w:highlight w:val="none"/>
              </w:rPr>
              <w:t>报价</w:t>
            </w:r>
            <w:r>
              <w:rPr>
                <w:rFonts w:hint="eastAsia"/>
                <w:b/>
                <w:bCs w:val="0"/>
                <w:highlight w:val="none"/>
                <w:lang w:val="en-US" w:eastAsia="zh-CN"/>
              </w:rPr>
              <w:t>不得高于</w:t>
            </w:r>
            <w:r>
              <w:rPr>
                <w:rFonts w:hint="eastAsia"/>
                <w:b/>
                <w:bCs w:val="0"/>
                <w:highlight w:val="none"/>
              </w:rPr>
              <w:t>磋商上限价</w:t>
            </w:r>
            <w:r>
              <w:rPr>
                <w:rFonts w:hint="eastAsia"/>
                <w:b/>
                <w:bCs w:val="0"/>
                <w:highlight w:val="none"/>
                <w:lang w:eastAsia="zh-CN"/>
              </w:rPr>
              <w:t>，</w:t>
            </w:r>
            <w:r>
              <w:rPr>
                <w:rFonts w:hint="eastAsia"/>
                <w:b/>
                <w:bCs w:val="0"/>
                <w:highlight w:val="none"/>
                <w:lang w:val="en-US" w:eastAsia="zh-CN"/>
              </w:rPr>
              <w:t>否则按无效投标处理。</w:t>
            </w:r>
          </w:p>
        </w:tc>
      </w:tr>
      <w:tr w14:paraId="2341CD3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52BD22B4">
            <w:pPr>
              <w:pStyle w:val="22"/>
              <w:bidi w:val="0"/>
              <w:ind w:firstLine="0" w:firstLineChars="0"/>
              <w:jc w:val="center"/>
              <w:outlineLvl w:val="9"/>
              <w:rPr>
                <w:rFonts w:hint="eastAsia"/>
                <w:lang w:val="en-US" w:eastAsia="zh-CN"/>
              </w:rPr>
            </w:pPr>
            <w:r>
              <w:rPr>
                <w:rFonts w:hint="eastAsia"/>
                <w:lang w:val="en-US" w:eastAsia="zh-CN"/>
              </w:rPr>
              <w:t>30.6</w:t>
            </w:r>
          </w:p>
        </w:tc>
        <w:tc>
          <w:tcPr>
            <w:tcW w:w="2105" w:type="dxa"/>
            <w:vAlign w:val="center"/>
          </w:tcPr>
          <w:p w14:paraId="1237A92A">
            <w:pPr>
              <w:pStyle w:val="22"/>
              <w:bidi w:val="0"/>
              <w:ind w:firstLine="0" w:firstLineChars="0"/>
              <w:jc w:val="center"/>
              <w:rPr>
                <w:rFonts w:hint="eastAsia"/>
                <w:highlight w:val="none"/>
                <w:lang w:val="en-US" w:eastAsia="zh-CN"/>
              </w:rPr>
            </w:pPr>
            <w:r>
              <w:rPr>
                <w:rFonts w:hint="eastAsia"/>
                <w:highlight w:val="none"/>
                <w:lang w:val="en-US" w:eastAsia="zh-CN"/>
              </w:rPr>
              <w:t>类似业绩</w:t>
            </w:r>
          </w:p>
        </w:tc>
        <w:tc>
          <w:tcPr>
            <w:tcW w:w="6995" w:type="dxa"/>
            <w:vAlign w:val="center"/>
          </w:tcPr>
          <w:p w14:paraId="309CE7A9">
            <w:pPr>
              <w:keepNext w:val="0"/>
              <w:keepLines w:val="0"/>
              <w:pageBreakBefore w:val="0"/>
              <w:kinsoku/>
              <w:wordWrap/>
              <w:topLinePunct w:val="0"/>
              <w:bidi w:val="0"/>
              <w:adjustRightInd w:val="0"/>
              <w:snapToGrid/>
              <w:spacing w:line="360" w:lineRule="exact"/>
              <w:ind w:left="0" w:leftChars="0" w:firstLine="0" w:firstLineChars="0"/>
              <w:textAlignment w:val="auto"/>
              <w:rPr>
                <w:rFonts w:hint="eastAsia" w:ascii="宋体" w:hAnsi="宋体" w:eastAsia="宋体" w:cs="宋体"/>
                <w:color w:val="auto"/>
                <w:highlight w:val="none"/>
              </w:rPr>
            </w:pPr>
            <w:r>
              <w:rPr>
                <w:rFonts w:hint="eastAsia"/>
                <w:bCs/>
                <w:color w:val="auto"/>
                <w:highlight w:val="none"/>
                <w:lang w:val="en-US" w:eastAsia="zh-CN"/>
              </w:rPr>
              <w:t>近5年（2020年1月1日至今）承担过的白蚁防治项目（含完工或在建）</w:t>
            </w:r>
            <w:r>
              <w:rPr>
                <w:rFonts w:hint="eastAsia" w:ascii="宋体" w:hAnsi="宋体" w:eastAsia="宋体" w:cs="宋体"/>
                <w:color w:val="auto"/>
                <w:highlight w:val="none"/>
              </w:rPr>
              <w:t>。</w:t>
            </w:r>
          </w:p>
          <w:p w14:paraId="5C92BF28">
            <w:pPr>
              <w:pStyle w:val="22"/>
              <w:bidi w:val="0"/>
              <w:ind w:firstLine="0" w:firstLineChars="0"/>
              <w:rPr>
                <w:rFonts w:hint="eastAsia"/>
                <w:highlight w:val="none"/>
              </w:rPr>
            </w:pPr>
            <w:r>
              <w:rPr>
                <w:rFonts w:hint="eastAsia" w:ascii="宋体" w:hAnsi="宋体" w:eastAsia="宋体" w:cs="宋体"/>
                <w:color w:val="auto"/>
                <w:highlight w:val="none"/>
              </w:rPr>
              <w:t>注：</w:t>
            </w:r>
            <w:r>
              <w:rPr>
                <w:rFonts w:hint="eastAsia" w:cs="宋体"/>
                <w:color w:val="auto"/>
                <w:highlight w:val="none"/>
                <w:lang w:eastAsia="zh-CN"/>
              </w:rPr>
              <w:t>业绩证明材料须提供合同协议书</w:t>
            </w:r>
            <w:r>
              <w:rPr>
                <w:rFonts w:hint="eastAsia" w:ascii="宋体" w:hAnsi="宋体" w:eastAsia="宋体" w:cs="宋体"/>
                <w:color w:val="auto"/>
                <w:highlight w:val="none"/>
              </w:rPr>
              <w:t>。</w:t>
            </w:r>
          </w:p>
        </w:tc>
      </w:tr>
      <w:tr w14:paraId="1D4EF0B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252C8C95">
            <w:pPr>
              <w:pStyle w:val="22"/>
              <w:bidi w:val="0"/>
              <w:ind w:firstLine="0" w:firstLineChars="0"/>
              <w:jc w:val="center"/>
              <w:outlineLvl w:val="9"/>
              <w:rPr>
                <w:rFonts w:hint="eastAsia"/>
                <w:lang w:val="en-US" w:eastAsia="zh-CN"/>
              </w:rPr>
            </w:pPr>
            <w:r>
              <w:rPr>
                <w:rFonts w:hint="eastAsia"/>
                <w:lang w:val="en-US" w:eastAsia="zh-CN"/>
              </w:rPr>
              <w:t>30.7</w:t>
            </w:r>
          </w:p>
        </w:tc>
        <w:tc>
          <w:tcPr>
            <w:tcW w:w="2105" w:type="dxa"/>
            <w:vAlign w:val="center"/>
          </w:tcPr>
          <w:p w14:paraId="4F2BFD65">
            <w:pPr>
              <w:pageBreakBefore w:val="0"/>
              <w:kinsoku/>
              <w:wordWrap/>
              <w:overflowPunct/>
              <w:bidi w:val="0"/>
              <w:adjustRightInd/>
              <w:snapToGrid/>
              <w:spacing w:line="360" w:lineRule="exact"/>
              <w:ind w:left="0" w:leftChars="0" w:firstLine="0" w:firstLineChars="0"/>
              <w:jc w:val="center"/>
              <w:textAlignment w:val="auto"/>
              <w:rPr>
                <w:rFonts w:hint="eastAsia"/>
                <w:lang w:val="en-US" w:eastAsia="zh-CN"/>
              </w:rPr>
            </w:pPr>
            <w:r>
              <w:rPr>
                <w:rFonts w:hint="eastAsia" w:ascii="宋体" w:hAnsi="宋体" w:eastAsia="宋体" w:cs="宋体"/>
                <w:color w:val="auto"/>
                <w:szCs w:val="21"/>
                <w:highlight w:val="none"/>
              </w:rPr>
              <w:t>知识产权</w:t>
            </w:r>
          </w:p>
        </w:tc>
        <w:tc>
          <w:tcPr>
            <w:tcW w:w="6995" w:type="dxa"/>
            <w:vAlign w:val="center"/>
          </w:tcPr>
          <w:p w14:paraId="26EBEBCA">
            <w:pPr>
              <w:pageBreakBefore w:val="0"/>
              <w:kinsoku/>
              <w:wordWrap/>
              <w:overflowPunct/>
              <w:bidi w:val="0"/>
              <w:adjustRightInd/>
              <w:snapToGrid/>
              <w:spacing w:line="36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构成本项目竞争性磋商文件各个组成部分的文件，未经采购人书面同意，</w:t>
            </w:r>
            <w:r>
              <w:rPr>
                <w:rFonts w:hint="eastAsia" w:cs="宋体"/>
                <w:color w:val="auto"/>
                <w:szCs w:val="21"/>
                <w:highlight w:val="none"/>
                <w:lang w:eastAsia="zh-CN"/>
              </w:rPr>
              <w:t>供应商</w:t>
            </w:r>
            <w:r>
              <w:rPr>
                <w:rFonts w:hint="eastAsia" w:ascii="宋体" w:hAnsi="宋体" w:eastAsia="宋体" w:cs="宋体"/>
                <w:color w:val="auto"/>
                <w:szCs w:val="21"/>
                <w:highlight w:val="none"/>
              </w:rPr>
              <w:t>不得擅自复印和用于非本采购项目所需的其他目的。采购人全部或者部分使用未成交人响应文件中的技术成果或技术方案时，需征得其书面同意，并不得擅自复印或提供给第三人。</w:t>
            </w:r>
          </w:p>
        </w:tc>
      </w:tr>
      <w:tr w14:paraId="2D84C11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4A499934">
            <w:pPr>
              <w:pStyle w:val="22"/>
              <w:bidi w:val="0"/>
              <w:ind w:firstLine="0" w:firstLineChars="0"/>
              <w:jc w:val="center"/>
              <w:outlineLvl w:val="9"/>
              <w:rPr>
                <w:rFonts w:hint="eastAsia"/>
                <w:lang w:val="en-US" w:eastAsia="zh-CN"/>
              </w:rPr>
            </w:pPr>
            <w:r>
              <w:rPr>
                <w:rFonts w:hint="eastAsia"/>
                <w:lang w:val="en-US" w:eastAsia="zh-CN"/>
              </w:rPr>
              <w:t>30.8</w:t>
            </w:r>
          </w:p>
        </w:tc>
        <w:tc>
          <w:tcPr>
            <w:tcW w:w="2105" w:type="dxa"/>
            <w:vAlign w:val="center"/>
          </w:tcPr>
          <w:p w14:paraId="671567C9">
            <w:pPr>
              <w:pageBreakBefore w:val="0"/>
              <w:kinsoku/>
              <w:wordWrap/>
              <w:overflowPunct/>
              <w:bidi w:val="0"/>
              <w:adjustRightInd/>
              <w:snapToGrid/>
              <w:spacing w:line="360" w:lineRule="exact"/>
              <w:ind w:left="0" w:leftChars="0" w:firstLine="0" w:firstLineChars="0"/>
              <w:jc w:val="center"/>
              <w:textAlignment w:val="auto"/>
              <w:rPr>
                <w:rFonts w:hint="eastAsia"/>
                <w:lang w:val="en-US" w:eastAsia="zh-CN"/>
              </w:rPr>
            </w:pPr>
            <w:r>
              <w:rPr>
                <w:rFonts w:hint="eastAsia" w:ascii="宋体" w:hAnsi="宋体" w:eastAsia="宋体" w:cs="宋体"/>
                <w:color w:val="auto"/>
                <w:szCs w:val="21"/>
                <w:highlight w:val="none"/>
              </w:rPr>
              <w:t>解释权</w:t>
            </w:r>
          </w:p>
        </w:tc>
        <w:tc>
          <w:tcPr>
            <w:tcW w:w="6995" w:type="dxa"/>
            <w:vAlign w:val="center"/>
          </w:tcPr>
          <w:p w14:paraId="1E032F1A">
            <w:pPr>
              <w:pageBreakBefore w:val="0"/>
              <w:kinsoku/>
              <w:wordWrap/>
              <w:overflowPunct/>
              <w:bidi w:val="0"/>
              <w:adjustRightInd/>
              <w:snapToGrid/>
              <w:spacing w:line="360" w:lineRule="exact"/>
              <w:ind w:left="0" w:leftChars="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构成本竞争性磋商文件的各个组成文件应互为解释，互为说明；如有不明确或不一致，同一组成文件不同版本之间有不一致的，以形成时间在后者为准。按本款前述规定仍不能形成结论的，由采购人或采购代理机构负责解释。</w:t>
            </w:r>
          </w:p>
          <w:p w14:paraId="7B77A38C">
            <w:pPr>
              <w:pageBreakBefore w:val="0"/>
              <w:kinsoku/>
              <w:wordWrap/>
              <w:overflowPunct/>
              <w:bidi w:val="0"/>
              <w:adjustRightInd/>
              <w:snapToGrid/>
              <w:spacing w:line="360" w:lineRule="exact"/>
              <w:ind w:left="0" w:leftChars="0"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（2）竞争性磋商文件中引用某一</w:t>
            </w:r>
            <w:r>
              <w:rPr>
                <w:rFonts w:hint="eastAsia" w:cs="宋体"/>
                <w:bCs/>
                <w:color w:val="auto"/>
                <w:szCs w:val="21"/>
                <w:highlight w:val="none"/>
                <w:lang w:eastAsia="zh-CN"/>
              </w:rPr>
              <w:t>供应商</w:t>
            </w:r>
            <w:r>
              <w:rPr>
                <w:rFonts w:hint="eastAsia" w:ascii="宋体" w:hAnsi="宋体" w:eastAsia="宋体" w:cs="宋体"/>
                <w:bCs/>
                <w:color w:val="auto"/>
                <w:szCs w:val="21"/>
                <w:highlight w:val="none"/>
              </w:rPr>
              <w:t>的技术规格或要求，只是为了准确或清楚地说明拟采购范围的技术规格，未含有倾向或者排斥潜在</w:t>
            </w:r>
            <w:r>
              <w:rPr>
                <w:rFonts w:hint="eastAsia" w:cs="宋体"/>
                <w:bCs/>
                <w:color w:val="auto"/>
                <w:szCs w:val="21"/>
                <w:highlight w:val="none"/>
                <w:lang w:eastAsia="zh-CN"/>
              </w:rPr>
              <w:t>供应商</w:t>
            </w:r>
            <w:r>
              <w:rPr>
                <w:rFonts w:hint="eastAsia" w:ascii="宋体" w:hAnsi="宋体" w:eastAsia="宋体" w:cs="宋体"/>
                <w:bCs/>
                <w:color w:val="auto"/>
                <w:szCs w:val="21"/>
                <w:highlight w:val="none"/>
              </w:rPr>
              <w:t>的意思，</w:t>
            </w:r>
            <w:r>
              <w:rPr>
                <w:rFonts w:hint="eastAsia" w:cs="宋体"/>
                <w:bCs/>
                <w:color w:val="auto"/>
                <w:szCs w:val="21"/>
                <w:highlight w:val="none"/>
                <w:lang w:eastAsia="zh-CN"/>
              </w:rPr>
              <w:t>供应商</w:t>
            </w:r>
            <w:r>
              <w:rPr>
                <w:rFonts w:hint="eastAsia" w:ascii="宋体" w:hAnsi="宋体" w:eastAsia="宋体" w:cs="宋体"/>
                <w:bCs/>
                <w:color w:val="auto"/>
                <w:szCs w:val="21"/>
                <w:highlight w:val="none"/>
              </w:rPr>
              <w:t>所投内容的技术标准可优于或相当于此采购范围的技术要求。</w:t>
            </w:r>
          </w:p>
          <w:p w14:paraId="6F52BCDD">
            <w:pPr>
              <w:pageBreakBefore w:val="0"/>
              <w:kinsoku/>
              <w:wordWrap/>
              <w:overflowPunct/>
              <w:bidi w:val="0"/>
              <w:adjustRightInd/>
              <w:snapToGrid/>
              <w:spacing w:line="36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（3）</w:t>
            </w:r>
            <w:r>
              <w:rPr>
                <w:rFonts w:hint="eastAsia" w:cs="宋体"/>
                <w:bCs/>
                <w:color w:val="auto"/>
                <w:szCs w:val="21"/>
                <w:highlight w:val="none"/>
                <w:lang w:eastAsia="zh-CN"/>
              </w:rPr>
              <w:t>供应商</w:t>
            </w:r>
            <w:r>
              <w:rPr>
                <w:rFonts w:hint="eastAsia" w:ascii="宋体" w:hAnsi="宋体" w:eastAsia="宋体" w:cs="宋体"/>
                <w:bCs/>
                <w:color w:val="auto"/>
                <w:szCs w:val="21"/>
                <w:highlight w:val="none"/>
              </w:rPr>
              <w:t>须知正文内容如与本前附表不一致的，以本前附表为准。</w:t>
            </w:r>
          </w:p>
        </w:tc>
      </w:tr>
      <w:tr w14:paraId="606F5CD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D3">
            <w:pPr>
              <w:pStyle w:val="22"/>
              <w:bidi w:val="0"/>
              <w:jc w:val="center"/>
              <w:rPr>
                <w:rFonts w:hint="eastAsia"/>
              </w:rPr>
            </w:pPr>
            <w:r>
              <w:rPr>
                <w:rFonts w:hint="eastAsia"/>
              </w:rPr>
              <w:t>★3</w:t>
            </w:r>
            <w:r>
              <w:t>1</w:t>
            </w:r>
          </w:p>
        </w:tc>
        <w:tc>
          <w:tcPr>
            <w:tcW w:w="2105" w:type="dxa"/>
            <w:vAlign w:val="center"/>
          </w:tcPr>
          <w:p w14:paraId="606F5CD4">
            <w:pPr>
              <w:pStyle w:val="22"/>
              <w:bidi w:val="0"/>
              <w:jc w:val="center"/>
              <w:rPr>
                <w:rFonts w:hint="eastAsia"/>
              </w:rPr>
            </w:pPr>
            <w:r>
              <w:rPr>
                <w:rFonts w:hint="eastAsia"/>
              </w:rPr>
              <w:t>其它内容</w:t>
            </w:r>
          </w:p>
        </w:tc>
        <w:tc>
          <w:tcPr>
            <w:tcW w:w="6995" w:type="dxa"/>
            <w:vAlign w:val="center"/>
          </w:tcPr>
          <w:p w14:paraId="606F5CD5">
            <w:pPr>
              <w:pStyle w:val="22"/>
              <w:bidi w:val="0"/>
              <w:rPr>
                <w:rFonts w:hint="eastAsia"/>
              </w:rPr>
            </w:pPr>
            <w:r>
              <w:rPr>
                <w:rFonts w:hint="eastAsia"/>
              </w:rPr>
              <w:t>根据《财政部关于在政府采购活动中查询及使用信用记录有关问题的通知》（财库〔2016〕125号）相关要求，采购人或者采购代理机构对信用记录进行核实，对列入严重失信主体名单、经营（活动）异常名录信息、失信被执行人、重大税收违法失信主体名单、政府采购严重违法失信行为记录名单、严重违法失信企业名单（黑名单）信息及其他不符合《中华人民共和国政府采购法》第二十二条规定条件的供应商，拒绝其参与政府采购活动。</w:t>
            </w:r>
          </w:p>
        </w:tc>
      </w:tr>
      <w:tr w14:paraId="606F5CD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06F5CD7">
            <w:pPr>
              <w:pStyle w:val="22"/>
              <w:bidi w:val="0"/>
              <w:jc w:val="center"/>
              <w:rPr>
                <w:rFonts w:hint="eastAsia"/>
              </w:rPr>
            </w:pPr>
            <w:r>
              <w:rPr>
                <w:rFonts w:hint="eastAsia"/>
              </w:rPr>
              <w:t>3</w:t>
            </w:r>
            <w:r>
              <w:t>2</w:t>
            </w:r>
          </w:p>
        </w:tc>
        <w:tc>
          <w:tcPr>
            <w:tcW w:w="2105" w:type="dxa"/>
            <w:vAlign w:val="center"/>
          </w:tcPr>
          <w:p w14:paraId="606F5CD8">
            <w:pPr>
              <w:pStyle w:val="22"/>
              <w:bidi w:val="0"/>
              <w:jc w:val="center"/>
              <w:rPr>
                <w:rFonts w:hint="eastAsia"/>
              </w:rPr>
            </w:pPr>
            <w:r>
              <w:rPr>
                <w:rFonts w:hint="eastAsia"/>
              </w:rPr>
              <w:t>特别提示</w:t>
            </w:r>
          </w:p>
        </w:tc>
        <w:tc>
          <w:tcPr>
            <w:tcW w:w="6995" w:type="dxa"/>
            <w:vAlign w:val="center"/>
          </w:tcPr>
          <w:p w14:paraId="606F5CD9">
            <w:pPr>
              <w:pStyle w:val="22"/>
              <w:bidi w:val="0"/>
              <w:rPr>
                <w:rFonts w:hint="eastAsia"/>
              </w:rPr>
            </w:pPr>
            <w:r>
              <w:rPr>
                <w:rFonts w:hint="eastAsia"/>
              </w:rPr>
              <w:t>1、本项目响应文件为网上递交。网上递交响应文件后，在开标时，供应商对响应文件进行解密。</w:t>
            </w:r>
          </w:p>
          <w:p w14:paraId="606F5CDA">
            <w:pPr>
              <w:pStyle w:val="22"/>
              <w:bidi w:val="0"/>
              <w:rPr>
                <w:rFonts w:hint="eastAsia"/>
              </w:rPr>
            </w:pPr>
            <w:r>
              <w:rPr>
                <w:rFonts w:hint="eastAsia"/>
              </w:rPr>
              <w:t>2、按《竞争性磋商文件》的规定，</w:t>
            </w:r>
            <w:bookmarkStart w:id="65" w:name="OLE_LINK3"/>
            <w:r>
              <w:rPr>
                <w:rFonts w:hint="eastAsia"/>
              </w:rPr>
              <w:t>在磋商阶段磋商小组将与通过初步评审的供应商进行磋商并进行最后报价；最后报价文件应由法定代表人或其委托代理人签字，在规定的时间统一上传至政府采购云平台。若已提交的最后报价中出现含义不明确、同类问题表述不一致或者签署不完整、有明显文字和计算错误的，可以进行澄清、补充和修正，但不得改变响应文件中实质性内容</w:t>
            </w:r>
            <w:bookmarkEnd w:id="65"/>
            <w:r>
              <w:rPr>
                <w:rFonts w:hint="eastAsia"/>
              </w:rPr>
              <w:t>。</w:t>
            </w:r>
          </w:p>
        </w:tc>
      </w:tr>
    </w:tbl>
    <w:p w14:paraId="606F5CDC">
      <w:pPr>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br w:type="page"/>
      </w:r>
    </w:p>
    <w:p w14:paraId="124D06D2">
      <w:pPr>
        <w:rPr>
          <w:rFonts w:hint="eastAsia"/>
          <w:color w:val="000000" w:themeColor="text1"/>
          <w:lang w:val="zh-CN"/>
          <w14:textFill>
            <w14:solidFill>
              <w14:schemeClr w14:val="tx1"/>
            </w14:solidFill>
          </w14:textFill>
        </w:rPr>
      </w:pPr>
    </w:p>
    <w:p w14:paraId="606F5CDD">
      <w:pPr>
        <w:pStyle w:val="4"/>
        <w:bidi w:val="0"/>
        <w:jc w:val="center"/>
        <w:rPr>
          <w:rFonts w:hint="eastAsia"/>
        </w:rPr>
      </w:pPr>
      <w:bookmarkStart w:id="66" w:name="_Toc201047303"/>
      <w:r>
        <w:t>一、总则</w:t>
      </w:r>
      <w:bookmarkEnd w:id="66"/>
    </w:p>
    <w:p w14:paraId="606F5CDE">
      <w:pPr>
        <w:pStyle w:val="5"/>
        <w:bidi w:val="0"/>
        <w:rPr>
          <w:rFonts w:hint="eastAsia"/>
        </w:rPr>
      </w:pPr>
      <w:bookmarkStart w:id="67" w:name="_Toc74169238"/>
      <w:bookmarkStart w:id="68" w:name="_Toc75418528"/>
      <w:bookmarkStart w:id="69" w:name="_Toc46924537"/>
      <w:bookmarkStart w:id="70" w:name="_Toc72489527"/>
      <w:r>
        <w:rPr>
          <w:rFonts w:hint="eastAsia"/>
        </w:rPr>
        <w:t>1、项目概况</w:t>
      </w:r>
      <w:bookmarkEnd w:id="67"/>
      <w:bookmarkEnd w:id="68"/>
      <w:bookmarkEnd w:id="69"/>
      <w:bookmarkEnd w:id="70"/>
    </w:p>
    <w:p w14:paraId="606F5CDF">
      <w:pPr>
        <w:bidi w:val="0"/>
        <w:rPr>
          <w:rFonts w:hint="eastAsia"/>
        </w:rPr>
      </w:pPr>
      <w:r>
        <w:rPr>
          <w:rFonts w:hint="eastAsia"/>
        </w:rPr>
        <w:t>1.1根据《中华人民共和国政府采购法》、《中华人民共和国政府采购法实施条例》、《政府采购竞争性磋商采购方式管理暂行办法》等有关法律、法规和规章的规定</w:t>
      </w:r>
      <w:r>
        <w:t>,</w:t>
      </w:r>
      <w:r>
        <w:rPr>
          <w:rFonts w:hint="eastAsia"/>
        </w:rPr>
        <w:t>经相关主管部门批准，采购代理机构受采购人委托，采用竞争性磋商方式选定供应商承担本项目。</w:t>
      </w:r>
    </w:p>
    <w:p w14:paraId="606F5CE0">
      <w:pPr>
        <w:bidi w:val="0"/>
        <w:rPr>
          <w:rFonts w:hint="eastAsia"/>
        </w:rPr>
      </w:pPr>
      <w:r>
        <w:rPr>
          <w:rFonts w:hint="eastAsia"/>
        </w:rPr>
        <w:t>1.2本项目采购人：详见《供应商须知前附表》。</w:t>
      </w:r>
    </w:p>
    <w:p w14:paraId="606F5CE1">
      <w:pPr>
        <w:bidi w:val="0"/>
        <w:rPr>
          <w:rFonts w:hint="eastAsia"/>
        </w:rPr>
      </w:pPr>
      <w:r>
        <w:rPr>
          <w:rFonts w:hint="eastAsia"/>
        </w:rPr>
        <w:t>1.3本项目采购代理机构：详见《供应商须知前附表》。</w:t>
      </w:r>
    </w:p>
    <w:p w14:paraId="606F5CE2">
      <w:pPr>
        <w:bidi w:val="0"/>
        <w:rPr>
          <w:rFonts w:hint="eastAsia" w:hAnsi="宋体"/>
          <w:color w:val="000000" w:themeColor="text1"/>
          <w:szCs w:val="21"/>
          <w14:textFill>
            <w14:solidFill>
              <w14:schemeClr w14:val="tx1"/>
            </w14:solidFill>
          </w14:textFill>
        </w:rPr>
      </w:pPr>
      <w:r>
        <w:rPr>
          <w:rFonts w:hint="eastAsia"/>
        </w:rPr>
        <w:t>1.4项目名称及项目编号：详见《供应商须知前附表》。</w:t>
      </w:r>
    </w:p>
    <w:p w14:paraId="606F5CE3">
      <w:pPr>
        <w:pStyle w:val="5"/>
        <w:bidi w:val="0"/>
        <w:rPr>
          <w:rFonts w:hint="eastAsia"/>
        </w:rPr>
      </w:pPr>
      <w:bookmarkStart w:id="71" w:name="_Toc72489528"/>
      <w:bookmarkStart w:id="72" w:name="_Toc46924538"/>
      <w:bookmarkStart w:id="73" w:name="_Toc74169239"/>
      <w:bookmarkStart w:id="74" w:name="_Toc75418529"/>
      <w:r>
        <w:rPr>
          <w:rFonts w:hint="eastAsia"/>
        </w:rPr>
        <w:t>2、资金来源及预算金额</w:t>
      </w:r>
      <w:bookmarkEnd w:id="71"/>
      <w:bookmarkEnd w:id="72"/>
      <w:bookmarkEnd w:id="73"/>
      <w:bookmarkEnd w:id="74"/>
    </w:p>
    <w:p w14:paraId="606F5CE4">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2.1资金来源及预算金额：详见《供应商须知前附表》。</w:t>
      </w:r>
    </w:p>
    <w:p w14:paraId="606F5CE5">
      <w:pPr>
        <w:pStyle w:val="5"/>
        <w:bidi w:val="0"/>
        <w:rPr>
          <w:rFonts w:hint="eastAsia" w:eastAsia="宋体"/>
          <w:lang w:eastAsia="zh-CN"/>
        </w:rPr>
      </w:pPr>
      <w:bookmarkStart w:id="75" w:name="_Toc75418530"/>
      <w:bookmarkStart w:id="76" w:name="_Toc72489529"/>
      <w:bookmarkStart w:id="77" w:name="_Toc46924539"/>
      <w:bookmarkStart w:id="78" w:name="_Toc74169240"/>
      <w:r>
        <w:rPr>
          <w:rFonts w:hint="eastAsia"/>
        </w:rPr>
        <w:t>3、采购需求、项目实施地点、</w:t>
      </w:r>
      <w:r>
        <w:rPr>
          <w:rFonts w:hint="eastAsia"/>
          <w:lang w:val="en-US" w:eastAsia="zh-CN"/>
        </w:rPr>
        <w:t>合同履行期限及</w:t>
      </w:r>
      <w:r>
        <w:rPr>
          <w:rFonts w:hint="eastAsia"/>
        </w:rPr>
        <w:t>质量标准</w:t>
      </w:r>
      <w:bookmarkEnd w:id="75"/>
      <w:bookmarkEnd w:id="76"/>
      <w:bookmarkEnd w:id="77"/>
      <w:bookmarkEnd w:id="78"/>
    </w:p>
    <w:p w14:paraId="606F5CE6">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3.1采购需求：详见《供应商须知前附表》。</w:t>
      </w:r>
    </w:p>
    <w:p w14:paraId="606F5CE7">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3.2项目实施地点：详见《供应商须知前附表》。</w:t>
      </w:r>
    </w:p>
    <w:p w14:paraId="3DB1FC85">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int="eastAsia"/>
          <w:color w:val="000000" w:themeColor="text1"/>
          <w:szCs w:val="21"/>
          <w:lang w:val="en-US" w:eastAsia="zh-CN"/>
          <w14:textFill>
            <w14:solidFill>
              <w14:schemeClr w14:val="tx1"/>
            </w14:solidFill>
          </w14:textFill>
        </w:rPr>
        <w:t>3合同履行期限</w:t>
      </w:r>
      <w:r>
        <w:rPr>
          <w:rFonts w:hint="eastAsia" w:hAnsi="宋体"/>
          <w:color w:val="000000" w:themeColor="text1"/>
          <w:szCs w:val="21"/>
          <w14:textFill>
            <w14:solidFill>
              <w14:schemeClr w14:val="tx1"/>
            </w14:solidFill>
          </w14:textFill>
        </w:rPr>
        <w:t>：详见《供应商须知前附表》。</w:t>
      </w:r>
    </w:p>
    <w:p w14:paraId="606F5CE8">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int="eastAsia"/>
          <w:color w:val="000000" w:themeColor="text1"/>
          <w:szCs w:val="21"/>
          <w:lang w:val="en-US" w:eastAsia="zh-CN"/>
          <w14:textFill>
            <w14:solidFill>
              <w14:schemeClr w14:val="tx1"/>
            </w14:solidFill>
          </w14:textFill>
        </w:rPr>
        <w:t>4</w:t>
      </w:r>
      <w:r>
        <w:rPr>
          <w:rFonts w:hint="eastAsia" w:hAnsi="宋体"/>
          <w:color w:val="000000" w:themeColor="text1"/>
          <w:szCs w:val="21"/>
          <w14:textFill>
            <w14:solidFill>
              <w14:schemeClr w14:val="tx1"/>
            </w14:solidFill>
          </w14:textFill>
        </w:rPr>
        <w:t>质量标准：详见《供应商须知前附表》。</w:t>
      </w:r>
    </w:p>
    <w:p w14:paraId="606F5CEA">
      <w:pPr>
        <w:pStyle w:val="5"/>
        <w:bidi w:val="0"/>
        <w:rPr>
          <w:rFonts w:hint="eastAsia"/>
        </w:rPr>
      </w:pPr>
      <w:bookmarkStart w:id="79" w:name="_Toc74169241"/>
      <w:bookmarkStart w:id="80" w:name="_Toc72489530"/>
      <w:bookmarkStart w:id="81" w:name="_Toc46924540"/>
      <w:bookmarkStart w:id="82" w:name="_Toc75418531"/>
      <w:r>
        <w:rPr>
          <w:rFonts w:hint="eastAsia"/>
        </w:rPr>
        <w:t>★4、供应商资格要求</w:t>
      </w:r>
      <w:bookmarkEnd w:id="79"/>
      <w:bookmarkEnd w:id="80"/>
      <w:bookmarkEnd w:id="81"/>
      <w:bookmarkEnd w:id="82"/>
    </w:p>
    <w:p w14:paraId="606F5CEB">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4.1供应商资格要求：详见《供应商须知前附表》。</w:t>
      </w:r>
    </w:p>
    <w:p w14:paraId="606F5CE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是否接受联合体参加：不接受。</w:t>
      </w:r>
    </w:p>
    <w:p w14:paraId="606F5CED">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如供应商为满足供应商资格要求提供虚假材料，一经查实，视为未实质性响应竞争性磋商文件，供应商响应文件将按无效响应处理。</w:t>
      </w:r>
    </w:p>
    <w:p w14:paraId="606F5CEE">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单位负责人为同一人或者存在直接控股、管理关系的不同供应商，不得参加同一合同项下的政府采购活动。</w:t>
      </w:r>
    </w:p>
    <w:p w14:paraId="606F5CEF">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供应商不得与采购人、采购代理机构或其附属机构有任何关联。</w:t>
      </w:r>
    </w:p>
    <w:p w14:paraId="606F5CF0">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符合上述条件的供应商应承担履约中应承担的全部责任与义务。</w:t>
      </w:r>
    </w:p>
    <w:p w14:paraId="606F5CF1">
      <w:pPr>
        <w:pStyle w:val="5"/>
        <w:bidi w:val="0"/>
        <w:rPr>
          <w:rFonts w:hint="eastAsia"/>
        </w:rPr>
      </w:pPr>
      <w:bookmarkStart w:id="83" w:name="_Toc74169242"/>
      <w:bookmarkStart w:id="84" w:name="_Toc75418532"/>
      <w:bookmarkStart w:id="85" w:name="_Toc46924541"/>
      <w:bookmarkStart w:id="86" w:name="_Toc72489531"/>
      <w:r>
        <w:rPr>
          <w:rFonts w:hint="eastAsia"/>
        </w:rPr>
        <w:t>5、费用承担</w:t>
      </w:r>
      <w:bookmarkEnd w:id="83"/>
      <w:bookmarkEnd w:id="84"/>
      <w:bookmarkEnd w:id="85"/>
      <w:bookmarkEnd w:id="86"/>
    </w:p>
    <w:p w14:paraId="606F5CF2">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5.1无论是否成交，供应商自行承担所有与参加本次竞争性磋商采购活动所产生的全部费用。</w:t>
      </w:r>
    </w:p>
    <w:p w14:paraId="606F5CF3">
      <w:pPr>
        <w:pStyle w:val="5"/>
        <w:bidi w:val="0"/>
        <w:rPr>
          <w:rFonts w:hint="eastAsia"/>
        </w:rPr>
      </w:pPr>
      <w:bookmarkStart w:id="87" w:name="_Toc75418533"/>
      <w:bookmarkStart w:id="88" w:name="_Toc46924542"/>
      <w:bookmarkStart w:id="89" w:name="_Toc74169243"/>
      <w:bookmarkStart w:id="90" w:name="_Toc72489532"/>
      <w:r>
        <w:rPr>
          <w:rFonts w:hint="eastAsia"/>
        </w:rPr>
        <w:t>6、现场考察</w:t>
      </w:r>
      <w:bookmarkEnd w:id="87"/>
      <w:bookmarkEnd w:id="88"/>
      <w:bookmarkEnd w:id="89"/>
      <w:bookmarkEnd w:id="90"/>
    </w:p>
    <w:p w14:paraId="606F5CF4">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6.1供应商须知前附表规定组织现场考察的，采购人按《供应商须知前附表》规定的时间、集中地点组织进行现场考察。</w:t>
      </w:r>
    </w:p>
    <w:p w14:paraId="606F5CF5">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6.2现场考察所发生的费用由供应商自理。</w:t>
      </w:r>
    </w:p>
    <w:p w14:paraId="606F5CF6">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6.3除采购人的原因外，供应商自行负责在现场考察中所发生的人员伤亡和财产损失。</w:t>
      </w:r>
    </w:p>
    <w:p w14:paraId="606F5CF7">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6.4采购人在现场考察中介绍的项目场地和相关的周边环境情况，仅供供应商在编制响应文件时参考，采购人不对供应商据此作出的判断和决策负责。</w:t>
      </w:r>
    </w:p>
    <w:p w14:paraId="606F5CF8">
      <w:pPr>
        <w:pStyle w:val="5"/>
        <w:bidi w:val="0"/>
        <w:rPr>
          <w:rFonts w:hint="eastAsia"/>
        </w:rPr>
      </w:pPr>
      <w:bookmarkStart w:id="91" w:name="_Toc75418534"/>
      <w:bookmarkStart w:id="92" w:name="_Toc46924543"/>
      <w:bookmarkStart w:id="93" w:name="_Toc74169244"/>
      <w:bookmarkStart w:id="94" w:name="_Toc72489533"/>
      <w:r>
        <w:rPr>
          <w:rFonts w:hint="eastAsia"/>
        </w:rPr>
        <w:t>7、磋商前答疑会</w:t>
      </w:r>
      <w:bookmarkEnd w:id="91"/>
      <w:bookmarkEnd w:id="92"/>
      <w:bookmarkEnd w:id="93"/>
      <w:bookmarkEnd w:id="94"/>
    </w:p>
    <w:p w14:paraId="606F5CF9">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7.1供应商须知前附表规定召开采购前答疑会的，采购人按《供应商须知前附表》规定的时间和地点召开采购前答疑会，书面澄清供应商提出的问题。</w:t>
      </w:r>
    </w:p>
    <w:p w14:paraId="606F5CFA">
      <w:pPr>
        <w:pStyle w:val="5"/>
        <w:bidi w:val="0"/>
        <w:rPr>
          <w:rFonts w:hint="eastAsia"/>
        </w:rPr>
      </w:pPr>
      <w:bookmarkStart w:id="95" w:name="_Toc74169245"/>
      <w:bookmarkStart w:id="96" w:name="_Toc72489534"/>
      <w:bookmarkStart w:id="97" w:name="_Toc46924544"/>
      <w:bookmarkStart w:id="98" w:name="_Toc75418535"/>
      <w:r>
        <w:rPr>
          <w:rFonts w:hint="eastAsia"/>
        </w:rPr>
        <w:t>8、质疑</w:t>
      </w:r>
      <w:bookmarkEnd w:id="95"/>
      <w:bookmarkEnd w:id="96"/>
      <w:bookmarkEnd w:id="97"/>
      <w:bookmarkEnd w:id="98"/>
    </w:p>
    <w:p w14:paraId="606F5CFB">
      <w:pPr>
        <w:spacing w:line="348"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8.1供应商认为竞争性磋商文件、磋商过程和成交结果使自己的权益受到损害的，可以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w:t>
      </w:r>
    </w:p>
    <w:p w14:paraId="606F5CF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8.</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供应商提供的质疑函应符合中华人民共和国财政部令第94号《政府采购质疑和投诉办法》的规定。供应商在法定质疑期内一次性提出针对同一采购程序环节的质疑。供应商提出质疑应当提交质疑函和必要的证明材料，供应商提供的质疑函（如材料中有外文资料应同时附上中文译本）应当包括以下主要内容：</w:t>
      </w:r>
    </w:p>
    <w:p w14:paraId="606F5CFD">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（1）供应商的姓名或者名称、地址、邮编、联系人及联系电话；</w:t>
      </w:r>
    </w:p>
    <w:p w14:paraId="606F5CFE">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（2）质疑项目的名称、编号；</w:t>
      </w:r>
    </w:p>
    <w:p w14:paraId="606F5CFF">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（3）具体、明确的质疑事项和与质疑事项相关的请求；</w:t>
      </w:r>
    </w:p>
    <w:p w14:paraId="606F5D00">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（4）事实依据；</w:t>
      </w:r>
    </w:p>
    <w:p w14:paraId="606F5D01">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（5）必要的法律依据；</w:t>
      </w:r>
    </w:p>
    <w:p w14:paraId="606F5D02">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（6）提出质疑的日期。</w:t>
      </w:r>
    </w:p>
    <w:p w14:paraId="606F5D03">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供应商为自然人的，应当由本人签字；供应商为法人或者其他组织的，应当由法定代表人、主要负责人，或者其授权代表签字或者盖章，并加盖公章。质疑函须提供签字、加盖公章的原件。</w:t>
      </w:r>
    </w:p>
    <w:p w14:paraId="606F5D04">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8.</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采购人、采购代理机构将在收到供应商的书面质疑函后七个工作日内作出答复，但答复的内容不涉及商业秘密。</w:t>
      </w:r>
    </w:p>
    <w:p w14:paraId="606F5D05">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8.</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参与政府采购活动的供应商对评审（磋商）过程或者成交结果提出质疑的，采购人、采购代理机构可以组织原磋商小组协助答复质疑事项，并依据磋商小组出具的意见进行答复。质疑答复导致成交结果改变的，采购人或采购代理机构应当将相关情况报财政部门备案。</w:t>
      </w:r>
    </w:p>
    <w:p w14:paraId="606F5D06">
      <w:pPr>
        <w:pStyle w:val="5"/>
        <w:bidi w:val="0"/>
        <w:rPr>
          <w:rFonts w:hint="eastAsia"/>
        </w:rPr>
      </w:pPr>
      <w:bookmarkStart w:id="99" w:name="_Toc74169246"/>
      <w:bookmarkStart w:id="100" w:name="_Toc46924545"/>
      <w:bookmarkStart w:id="101" w:name="_Toc75418536"/>
      <w:bookmarkStart w:id="102" w:name="_Toc72489535"/>
      <w:r>
        <w:rPr>
          <w:rFonts w:hint="eastAsia"/>
        </w:rPr>
        <w:t>9、投诉</w:t>
      </w:r>
      <w:bookmarkEnd w:id="99"/>
      <w:bookmarkEnd w:id="100"/>
      <w:bookmarkEnd w:id="101"/>
      <w:bookmarkEnd w:id="102"/>
    </w:p>
    <w:p w14:paraId="606F5D07">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9.1投诉必须首先经过质疑程序。质疑供应商对采购人、采购代理机构的答复不满意，或者采购人、采购代理机构未在规定的时间内做出答复的，可以在答复期满后十五个工作日内书面向同级财政部门提出投诉。供应商提供的投诉书和必要的证明材料应符合中华人民共和国财政部令第94号《政府采购质疑和投诉办法》的规定。</w:t>
      </w:r>
    </w:p>
    <w:p w14:paraId="606F5D08">
      <w:pPr>
        <w:pStyle w:val="4"/>
        <w:bidi w:val="0"/>
        <w:jc w:val="center"/>
        <w:rPr>
          <w:rFonts w:hint="eastAsia"/>
        </w:rPr>
      </w:pPr>
      <w:bookmarkStart w:id="103" w:name="_Toc201047304"/>
      <w:bookmarkStart w:id="104" w:name="_Toc383175058"/>
      <w:bookmarkStart w:id="105" w:name="_Toc432106481"/>
      <w:bookmarkStart w:id="106" w:name="_Toc383175480"/>
      <w:bookmarkStart w:id="107" w:name="_Toc329810192"/>
      <w:bookmarkStart w:id="108" w:name="_Toc432194832"/>
      <w:bookmarkStart w:id="109" w:name="_Toc470507046"/>
      <w:bookmarkStart w:id="110" w:name="_Toc383175282"/>
      <w:bookmarkStart w:id="111" w:name="_Toc482343732"/>
      <w:r>
        <w:t>二、磋商文件</w:t>
      </w:r>
      <w:bookmarkEnd w:id="103"/>
    </w:p>
    <w:p w14:paraId="606F5D09">
      <w:pPr>
        <w:pStyle w:val="5"/>
        <w:bidi w:val="0"/>
        <w:rPr>
          <w:rFonts w:hint="eastAsia"/>
        </w:rPr>
      </w:pPr>
      <w:bookmarkStart w:id="112" w:name="_Toc46924547"/>
      <w:bookmarkStart w:id="113" w:name="_Toc72489537"/>
      <w:bookmarkStart w:id="114" w:name="_Toc75418538"/>
      <w:bookmarkStart w:id="115" w:name="_Toc74169248"/>
      <w:r>
        <w:rPr>
          <w:rFonts w:hint="eastAsia"/>
        </w:rPr>
        <w:t>10、磋商文件的组成</w:t>
      </w:r>
      <w:bookmarkEnd w:id="104"/>
      <w:bookmarkEnd w:id="105"/>
      <w:bookmarkEnd w:id="106"/>
      <w:bookmarkEnd w:id="107"/>
      <w:bookmarkEnd w:id="108"/>
      <w:bookmarkEnd w:id="109"/>
      <w:bookmarkEnd w:id="110"/>
      <w:bookmarkEnd w:id="111"/>
      <w:bookmarkEnd w:id="112"/>
      <w:bookmarkEnd w:id="113"/>
      <w:bookmarkEnd w:id="114"/>
      <w:bookmarkEnd w:id="115"/>
    </w:p>
    <w:p w14:paraId="606F5D0A">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采购人要求提供的货物、工程或者服务、采购过程及合同条款在竞争性磋商文件中均有说明，竞争性磋商文件共六章，各章的内容如下：</w:t>
      </w:r>
    </w:p>
    <w:p w14:paraId="3AC372DF">
      <w:pPr>
        <w:spacing w:line="336" w:lineRule="auto"/>
        <w:ind w:firstLine="567" w:firstLineChars="27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第一章  竞争性磋商公告</w:t>
      </w:r>
    </w:p>
    <w:p w14:paraId="771A990B">
      <w:pPr>
        <w:spacing w:line="336" w:lineRule="auto"/>
        <w:ind w:firstLine="567" w:firstLineChars="27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第二章  供应商须知</w:t>
      </w:r>
    </w:p>
    <w:p w14:paraId="526E3880">
      <w:pPr>
        <w:spacing w:line="336" w:lineRule="auto"/>
        <w:ind w:firstLine="567" w:firstLineChars="27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第三章  合同书样式及主要条款</w:t>
      </w:r>
    </w:p>
    <w:p w14:paraId="697A69ED">
      <w:pPr>
        <w:spacing w:line="336" w:lineRule="auto"/>
        <w:ind w:firstLine="567" w:firstLineChars="27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第四章  响应文件格式</w:t>
      </w:r>
    </w:p>
    <w:p w14:paraId="183EAABA">
      <w:pPr>
        <w:spacing w:line="336" w:lineRule="auto"/>
        <w:ind w:firstLine="567" w:firstLineChars="27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第五章  采购需求</w:t>
      </w:r>
    </w:p>
    <w:p w14:paraId="606F5D10">
      <w:pPr>
        <w:spacing w:line="336" w:lineRule="auto"/>
        <w:ind w:firstLine="567" w:firstLineChars="27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第六章  评审方法</w:t>
      </w:r>
    </w:p>
    <w:p w14:paraId="606F5D11">
      <w:pPr>
        <w:pStyle w:val="5"/>
        <w:bidi w:val="0"/>
        <w:ind w:firstLine="367"/>
        <w:rPr>
          <w:rFonts w:hint="eastAsia" w:ascii="宋体" w:hAnsi="宋体" w:eastAsia="宋体" w:cs="宋体"/>
        </w:rPr>
      </w:pPr>
      <w:bookmarkStart w:id="116" w:name="_Toc74169249"/>
      <w:bookmarkStart w:id="117" w:name="_Toc46924548"/>
      <w:bookmarkStart w:id="118" w:name="_Toc75418539"/>
      <w:bookmarkStart w:id="119" w:name="_Toc72489538"/>
      <w:r>
        <w:rPr>
          <w:rFonts w:hint="eastAsia" w:ascii="宋体" w:hAnsi="宋体" w:eastAsia="宋体" w:cs="宋体"/>
        </w:rPr>
        <w:t>11、竞争性磋商文件的询问、澄清、修改</w:t>
      </w:r>
      <w:bookmarkEnd w:id="116"/>
      <w:bookmarkEnd w:id="117"/>
      <w:bookmarkEnd w:id="118"/>
      <w:bookmarkEnd w:id="119"/>
      <w:r>
        <w:rPr>
          <w:rFonts w:hint="eastAsia" w:ascii="宋体" w:hAnsi="宋体" w:eastAsia="宋体" w:cs="宋体"/>
        </w:rPr>
        <w:tab/>
      </w:r>
    </w:p>
    <w:p w14:paraId="606F5D12">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11.1供应商应认真阅读竞争性磋商文件，如有疑问的，供应商可以向采购人或采购代理机构提出询问。所有获取了竞争性磋商文件的潜在供应商凭企业账号【或企业数字证书（CA）】登录政府采购云平台，通过网络在线方式向采购人或采购代理进行不署名提问，采购人或者采购代理机构在接到询问后的3个工作日内对供应商依法提出的询问作出答复，但答复的内容不涉及商业秘密。</w:t>
      </w:r>
    </w:p>
    <w:p w14:paraId="606F5D13">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11.2竞争性磋商文件询问联系方式：详见《供应商须知前附表》。</w:t>
      </w:r>
    </w:p>
    <w:p w14:paraId="606F5D14">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11.3提交首次响应文件截止之日前，采购人、采购代理机构可以对已发出的磋商文件进行必要的澄清或者修改，澄清或者修改的内容作为磋商文件的组成部分。</w:t>
      </w:r>
    </w:p>
    <w:p w14:paraId="606F5D15">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11.4竞争性磋商文件澄清、修改时间：澄清或者修改的内容可能影响响应文件编制的，采购人、采购代理机构将在提交首次响应文件截止时间至少5日前，在竞争性磋商公告发布的同一媒介通过网络向潜在供应商发布，且供应商不须回函确认，所有获取了竞争性磋商文件的潜在供应商凭企业账号【或企业数字证书（</w:t>
      </w:r>
      <w:r>
        <w:rPr>
          <w:rFonts w:hAnsi="宋体"/>
          <w:color w:val="000000" w:themeColor="text1"/>
          <w:szCs w:val="21"/>
          <w14:textFill>
            <w14:solidFill>
              <w14:schemeClr w14:val="tx1"/>
            </w14:solidFill>
          </w14:textFill>
        </w:rPr>
        <w:t>CA）】登录</w:t>
      </w:r>
      <w:r>
        <w:rPr>
          <w:rFonts w:hint="eastAsia" w:hAnsi="宋体"/>
          <w:color w:val="000000" w:themeColor="text1"/>
          <w:szCs w:val="21"/>
          <w14:textFill>
            <w14:solidFill>
              <w14:schemeClr w14:val="tx1"/>
            </w14:solidFill>
          </w14:textFill>
        </w:rPr>
        <w:t>政府采购云平台查看澄清或者修改内容，澄清或者修改的内容作为竞争性磋商文件的组成部分。不足</w:t>
      </w:r>
      <w:r>
        <w:rPr>
          <w:rFonts w:hAnsi="宋体"/>
          <w:color w:val="000000" w:themeColor="text1"/>
          <w:szCs w:val="21"/>
          <w14:textFill>
            <w14:solidFill>
              <w14:schemeClr w14:val="tx1"/>
            </w14:solidFill>
          </w14:textFill>
        </w:rPr>
        <w:t>5日的，采购人、采购代理机构将顺延提交首次响应文件截止时间。供应商应在磋商截止时间前及时登录政府采购云平台（网址：www.zcygov.cn）中查看有关该</w:t>
      </w:r>
      <w:r>
        <w:rPr>
          <w:rFonts w:hint="eastAsia" w:hAnsi="宋体"/>
          <w:color w:val="000000" w:themeColor="text1"/>
          <w:szCs w:val="21"/>
          <w14:textFill>
            <w14:solidFill>
              <w14:schemeClr w14:val="tx1"/>
            </w14:solidFill>
          </w14:textFill>
        </w:rPr>
        <w:t>项目竞争性磋商文件的答疑、补遗内容。否则，后果自负。竞争性磋商文件澄清、竞争性磋商文件修改文件内容均以网上电子文件为准，当竞争性磋商文件、竞争性磋商文件澄清、竞争性磋商文件修改文件内容</w:t>
      </w:r>
      <w:r>
        <w:rPr>
          <w:rFonts w:hint="eastAsia"/>
          <w:color w:val="000000" w:themeColor="text1"/>
          <w:szCs w:val="21"/>
          <w:lang w:val="en-US" w:eastAsia="zh-CN"/>
          <w14:textFill>
            <w14:solidFill>
              <w14:schemeClr w14:val="tx1"/>
            </w14:solidFill>
          </w14:textFill>
        </w:rPr>
        <w:t>前后</w:t>
      </w:r>
      <w:r>
        <w:rPr>
          <w:rFonts w:hint="eastAsia" w:hAnsi="宋体"/>
          <w:color w:val="000000" w:themeColor="text1"/>
          <w:szCs w:val="21"/>
          <w14:textFill>
            <w14:solidFill>
              <w14:schemeClr w14:val="tx1"/>
            </w14:solidFill>
          </w14:textFill>
        </w:rPr>
        <w:t>相互矛盾时，以最新发布的为准。</w:t>
      </w:r>
    </w:p>
    <w:p w14:paraId="606F5D16">
      <w:pPr>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11.5</w:t>
      </w:r>
      <w:r>
        <w:rPr>
          <w:rFonts w:hint="eastAsia" w:hAnsi="宋体"/>
          <w:color w:val="000000" w:themeColor="text1"/>
          <w:szCs w:val="21"/>
          <w14:textFill>
            <w14:solidFill>
              <w14:schemeClr w14:val="tx1"/>
            </w14:solidFill>
          </w14:textFill>
        </w:rPr>
        <w:t>供应商确认收到竞争性磋商文件澄清、修改时间：供应商</w:t>
      </w:r>
      <w:r>
        <w:rPr>
          <w:rFonts w:hint="eastAsia"/>
          <w:color w:val="000000" w:themeColor="text1"/>
          <w:szCs w:val="21"/>
          <w:lang w:val="en-US" w:eastAsia="zh-CN"/>
          <w14:textFill>
            <w14:solidFill>
              <w14:schemeClr w14:val="tx1"/>
            </w14:solidFill>
          </w14:textFill>
        </w:rPr>
        <w:t>无</w:t>
      </w:r>
      <w:r>
        <w:rPr>
          <w:rFonts w:hint="eastAsia" w:hAnsi="宋体"/>
          <w:color w:val="000000" w:themeColor="text1"/>
          <w:szCs w:val="21"/>
          <w14:textFill>
            <w14:solidFill>
              <w14:schemeClr w14:val="tx1"/>
            </w14:solidFill>
          </w14:textFill>
        </w:rPr>
        <w:t>须回函确认收到竞争性磋商文件澄清、修改，供应商应在磋商截止时间前及时登录政府采购云平台（网址：www.zcygov.cn）中查看有关该项目竞争性磋商文件的答疑、补遗内容。否则，后果自负。</w:t>
      </w:r>
    </w:p>
    <w:p w14:paraId="606F5D17">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11.</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606F5D18">
      <w:pPr>
        <w:spacing w:line="348"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11.</w:t>
      </w:r>
      <w:r>
        <w:rPr>
          <w:rFonts w:hAnsi="宋体"/>
          <w:color w:val="000000" w:themeColor="text1"/>
          <w:szCs w:val="21"/>
          <w14:textFill>
            <w14:solidFill>
              <w14:schemeClr w14:val="tx1"/>
            </w14:solidFill>
          </w14:textFill>
        </w:rPr>
        <w:t>7</w:t>
      </w:r>
      <w:r>
        <w:rPr>
          <w:rFonts w:hint="eastAsia" w:hAnsi="宋体"/>
          <w:color w:val="000000" w:themeColor="text1"/>
          <w:szCs w:val="21"/>
          <w14:textFill>
            <w14:solidFill>
              <w14:schemeClr w14:val="tx1"/>
            </w14:solidFill>
          </w14:textFill>
        </w:rPr>
        <w:t>实质性变动采购需求中的技术、服务要求以及合同草案条款不得对涉及对竞争性磋商文件公平、公正性内容进行修改、变动。</w:t>
      </w:r>
    </w:p>
    <w:p w14:paraId="606F5D19">
      <w:pPr>
        <w:pStyle w:val="4"/>
        <w:bidi w:val="0"/>
        <w:jc w:val="center"/>
        <w:rPr>
          <w:rFonts w:hint="eastAsia"/>
        </w:rPr>
      </w:pPr>
      <w:bookmarkStart w:id="120" w:name="_Toc201047305"/>
      <w:r>
        <w:t>三、响应文件</w:t>
      </w:r>
      <w:bookmarkEnd w:id="120"/>
    </w:p>
    <w:p w14:paraId="606F5D1A">
      <w:pPr>
        <w:pStyle w:val="5"/>
        <w:bidi w:val="0"/>
        <w:ind w:firstLine="367"/>
        <w:rPr>
          <w:rFonts w:hint="eastAsia" w:ascii="宋体" w:hAnsi="宋体" w:eastAsia="宋体" w:cs="宋体"/>
        </w:rPr>
      </w:pPr>
      <w:bookmarkStart w:id="121" w:name="_Toc75418541"/>
      <w:bookmarkStart w:id="122" w:name="_Toc74169251"/>
      <w:bookmarkStart w:id="123" w:name="_Toc46924550"/>
      <w:bookmarkStart w:id="124" w:name="_Toc72489540"/>
      <w:r>
        <w:rPr>
          <w:rFonts w:hint="eastAsia" w:ascii="宋体" w:hAnsi="宋体" w:eastAsia="宋体" w:cs="宋体"/>
        </w:rPr>
        <w:t>12、</w:t>
      </w:r>
      <w:bookmarkStart w:id="125" w:name="_Toc482343735"/>
      <w:bookmarkStart w:id="126" w:name="_Toc432106484"/>
      <w:bookmarkStart w:id="127" w:name="_Toc432194835"/>
      <w:bookmarkStart w:id="128" w:name="_Toc329810195"/>
      <w:bookmarkStart w:id="129" w:name="_Toc383175285"/>
      <w:bookmarkStart w:id="130" w:name="_Toc86124052"/>
      <w:bookmarkStart w:id="131" w:name="_Toc470507049"/>
      <w:bookmarkStart w:id="132" w:name="_Toc383175483"/>
      <w:bookmarkStart w:id="133" w:name="_Toc383175061"/>
      <w:r>
        <w:rPr>
          <w:rFonts w:hint="eastAsia" w:ascii="宋体" w:hAnsi="宋体" w:eastAsia="宋体" w:cs="宋体"/>
        </w:rPr>
        <w:t>响应文件编写注意事项</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606F5D1B">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12</w:t>
      </w: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供应商应仔细阅读竞争性磋商文件，在完全了解采购的内容、技术性能要求（见第五章《采购需求》）和商务条件后，根据竞争性磋商文件要求编写响应文件。</w:t>
      </w:r>
    </w:p>
    <w:p w14:paraId="606F5D1C">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12</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对磋商文件提出的实质性要求和条件</w:t>
      </w:r>
      <w:r>
        <w:rPr>
          <w:rFonts w:hint="eastAsia" w:hAnsi="宋体"/>
          <w:color w:val="000000" w:themeColor="text1"/>
          <w14:textFill>
            <w14:solidFill>
              <w14:schemeClr w14:val="tx1"/>
            </w14:solidFill>
          </w14:textFill>
        </w:rPr>
        <w:t>作出</w:t>
      </w:r>
      <w:r>
        <w:rPr>
          <w:rFonts w:hint="eastAsia" w:hAnsi="宋体"/>
          <w:color w:val="000000" w:themeColor="text1"/>
          <w:szCs w:val="21"/>
          <w14:textFill>
            <w14:solidFill>
              <w14:schemeClr w14:val="tx1"/>
            </w14:solidFill>
          </w14:textFill>
        </w:rPr>
        <w:t>响应是指供应商的响应文件必须对竞争性磋商文件中规定的实质性要求和条件作出满足或者优于原要求和条件的承诺，并提供相应的证明材料，否则按无效响应处理。</w:t>
      </w:r>
    </w:p>
    <w:p w14:paraId="606F5D1D">
      <w:pPr>
        <w:pStyle w:val="5"/>
        <w:bidi w:val="0"/>
        <w:ind w:firstLine="367"/>
        <w:rPr>
          <w:rFonts w:hint="eastAsia" w:ascii="宋体" w:hAnsi="宋体" w:eastAsia="宋体" w:cs="宋体"/>
        </w:rPr>
      </w:pPr>
      <w:bookmarkStart w:id="134" w:name="_Toc75418542"/>
      <w:bookmarkStart w:id="135" w:name="_Toc74169252"/>
      <w:bookmarkStart w:id="136" w:name="_Toc72489541"/>
      <w:bookmarkStart w:id="137" w:name="_Toc46924551"/>
      <w:r>
        <w:rPr>
          <w:rFonts w:hint="eastAsia" w:ascii="宋体" w:hAnsi="宋体" w:eastAsia="宋体" w:cs="宋体"/>
        </w:rPr>
        <w:t>13、语言文字</w:t>
      </w:r>
      <w:bookmarkEnd w:id="134"/>
      <w:bookmarkEnd w:id="135"/>
      <w:bookmarkEnd w:id="136"/>
      <w:bookmarkEnd w:id="137"/>
    </w:p>
    <w:p w14:paraId="606F5D1E">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13.1供应商的响应文件以及供应商与采购人、采购代理机构、磋商小组就有关磋商的所有来往函电统一使用中文（特别规定除外）。</w:t>
      </w:r>
    </w:p>
    <w:p w14:paraId="606F5D1F">
      <w:pPr>
        <w:pStyle w:val="5"/>
        <w:bidi w:val="0"/>
        <w:ind w:firstLine="367"/>
        <w:rPr>
          <w:rFonts w:hint="eastAsia" w:ascii="宋体" w:hAnsi="宋体" w:eastAsia="宋体" w:cs="宋体"/>
        </w:rPr>
      </w:pPr>
      <w:bookmarkStart w:id="138" w:name="_Toc74169253"/>
      <w:bookmarkStart w:id="139" w:name="_Toc72489542"/>
      <w:bookmarkStart w:id="140" w:name="_Toc75418543"/>
      <w:bookmarkStart w:id="141" w:name="_Toc46924552"/>
      <w:r>
        <w:rPr>
          <w:rFonts w:hint="eastAsia" w:ascii="宋体" w:hAnsi="宋体" w:eastAsia="宋体" w:cs="宋体"/>
        </w:rPr>
        <w:t>14、计量单位</w:t>
      </w:r>
      <w:bookmarkEnd w:id="138"/>
      <w:bookmarkEnd w:id="139"/>
      <w:bookmarkEnd w:id="140"/>
      <w:bookmarkEnd w:id="141"/>
    </w:p>
    <w:p w14:paraId="606F5D20">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14.1响应文件中使用的计量单位除磋商文件中有特殊规定外，一律使用中华人民共和国法定计量单位。</w:t>
      </w:r>
    </w:p>
    <w:p w14:paraId="606F5D21">
      <w:pPr>
        <w:pStyle w:val="5"/>
        <w:bidi w:val="0"/>
        <w:ind w:firstLine="367"/>
        <w:rPr>
          <w:rFonts w:hint="eastAsia" w:ascii="宋体" w:hAnsi="宋体" w:eastAsia="宋体" w:cs="宋体"/>
        </w:rPr>
      </w:pPr>
      <w:bookmarkStart w:id="142" w:name="_Toc46924553"/>
      <w:bookmarkStart w:id="143" w:name="_Toc75418544"/>
      <w:bookmarkStart w:id="144" w:name="_Toc72489543"/>
      <w:bookmarkStart w:id="145" w:name="_Toc74169254"/>
      <w:r>
        <w:rPr>
          <w:rFonts w:hint="eastAsia" w:ascii="宋体" w:hAnsi="宋体" w:eastAsia="宋体" w:cs="宋体"/>
        </w:rPr>
        <w:t>15、响应文件的组成</w:t>
      </w:r>
      <w:bookmarkEnd w:id="142"/>
      <w:bookmarkEnd w:id="143"/>
      <w:bookmarkEnd w:id="144"/>
      <w:bookmarkEnd w:id="145"/>
    </w:p>
    <w:p w14:paraId="606F5D22">
      <w:pPr>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15.1</w:t>
      </w:r>
      <w:r>
        <w:rPr>
          <w:rFonts w:hint="eastAsia" w:hAnsi="宋体"/>
          <w:color w:val="000000" w:themeColor="text1"/>
          <w:kern w:val="0"/>
          <w:szCs w:val="21"/>
          <w14:textFill>
            <w14:solidFill>
              <w14:schemeClr w14:val="tx1"/>
            </w14:solidFill>
          </w14:textFill>
        </w:rPr>
        <w:t>供应商编写的响应文件应按第四章《响应文件格式》要求填写</w:t>
      </w:r>
      <w:r>
        <w:rPr>
          <w:rFonts w:hint="eastAsia" w:hAnsi="宋体" w:cs="宋体"/>
          <w:color w:val="000000" w:themeColor="text1"/>
          <w:szCs w:val="21"/>
          <w14:textFill>
            <w14:solidFill>
              <w14:schemeClr w14:val="tx1"/>
            </w14:solidFill>
          </w14:textFill>
        </w:rPr>
        <w:t>。</w:t>
      </w:r>
      <w:r>
        <w:rPr>
          <w:rFonts w:hint="eastAsia" w:hAnsi="宋体"/>
          <w:color w:val="000000" w:themeColor="text1"/>
          <w:kern w:val="0"/>
          <w:szCs w:val="21"/>
          <w14:textFill>
            <w14:solidFill>
              <w14:schemeClr w14:val="tx1"/>
            </w14:solidFill>
          </w14:textFill>
        </w:rPr>
        <w:t>在编写响应文件时，图片建议使用JPG格式（须确保每张图片须清晰可辨，否则造成的后果由供应商自行承担），最终的每份标书文件所占用的磁盘空间应尽量不大于100M，否则可能无法生成响应文件。</w:t>
      </w:r>
    </w:p>
    <w:p w14:paraId="606F5D23">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15.2本项目若分包（标段）时，供应商同时参与多个包（标段）采购的，响应文件应按包（标段）分别编制，单独上传。</w:t>
      </w:r>
    </w:p>
    <w:p w14:paraId="606F5D24">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15.</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构成响应文件的其他资料：详见《供应商须知前附表》。</w:t>
      </w:r>
    </w:p>
    <w:p w14:paraId="606F5D25">
      <w:pPr>
        <w:pStyle w:val="5"/>
        <w:bidi w:val="0"/>
        <w:ind w:firstLine="367"/>
        <w:rPr>
          <w:rFonts w:hint="eastAsia" w:ascii="宋体" w:hAnsi="宋体" w:eastAsia="宋体" w:cs="宋体"/>
        </w:rPr>
      </w:pPr>
      <w:bookmarkStart w:id="146" w:name="_Toc46924554"/>
      <w:bookmarkStart w:id="147" w:name="_Toc75418545"/>
      <w:bookmarkStart w:id="148" w:name="_Toc72489544"/>
      <w:bookmarkStart w:id="149" w:name="_Toc74169255"/>
      <w:r>
        <w:rPr>
          <w:rFonts w:hint="eastAsia" w:ascii="宋体" w:hAnsi="宋体" w:eastAsia="宋体" w:cs="宋体"/>
        </w:rPr>
        <w:t>★16、响应文件的格式要求</w:t>
      </w:r>
      <w:bookmarkEnd w:id="146"/>
      <w:bookmarkEnd w:id="147"/>
      <w:bookmarkEnd w:id="148"/>
      <w:bookmarkEnd w:id="149"/>
    </w:p>
    <w:p w14:paraId="606F5D26">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16.1供应商应按第四章《响应文件格式》提供的格式完整地填写，未按竞争性磋商文件规定格式填写的响应文件按无效响应处理。</w:t>
      </w:r>
    </w:p>
    <w:p w14:paraId="606F5D27">
      <w:pPr>
        <w:pStyle w:val="5"/>
        <w:bidi w:val="0"/>
        <w:ind w:firstLine="367"/>
        <w:rPr>
          <w:rFonts w:hint="eastAsia" w:ascii="宋体" w:hAnsi="宋体" w:eastAsia="宋体" w:cs="宋体"/>
        </w:rPr>
      </w:pPr>
      <w:bookmarkStart w:id="150" w:name="_Toc46924555"/>
      <w:bookmarkStart w:id="151" w:name="_Toc75418546"/>
      <w:bookmarkStart w:id="152" w:name="_Toc72489545"/>
      <w:bookmarkStart w:id="153" w:name="_Toc74169256"/>
      <w:r>
        <w:rPr>
          <w:rFonts w:hint="eastAsia" w:ascii="宋体" w:hAnsi="宋体" w:eastAsia="宋体" w:cs="宋体"/>
        </w:rPr>
        <w:t>17、响应文件有效期</w:t>
      </w:r>
      <w:bookmarkEnd w:id="150"/>
      <w:bookmarkEnd w:id="151"/>
      <w:bookmarkEnd w:id="152"/>
      <w:bookmarkEnd w:id="153"/>
    </w:p>
    <w:p w14:paraId="606F5D28">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17</w:t>
      </w: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在《供应商须知前附表》规定的有效期内，供应商不得要求撤销或修改其响应文件。</w:t>
      </w:r>
    </w:p>
    <w:p w14:paraId="606F5D29">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17</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因特殊情况需要延长响应文件有效期的，采购人或采购代理机构以书面形式通知供应商延长有效期。供应商同意延长的，应相应延长其响应文件中所有内容及采购保证金的有效期，但不得要求或被允许修改或撤销其响应文件；供应商拒绝延长的，其响应文件失效，但供应商有权收回其采购保证金。</w:t>
      </w:r>
    </w:p>
    <w:p w14:paraId="606F5D2A">
      <w:pPr>
        <w:pStyle w:val="5"/>
        <w:bidi w:val="0"/>
        <w:ind w:firstLine="367"/>
        <w:rPr>
          <w:rFonts w:hint="eastAsia" w:ascii="宋体" w:hAnsi="宋体" w:eastAsia="宋体"/>
          <w:b/>
          <w:bCs/>
          <w:color w:val="000000" w:themeColor="text1"/>
          <w14:textFill>
            <w14:solidFill>
              <w14:schemeClr w14:val="tx1"/>
            </w14:solidFill>
          </w14:textFill>
        </w:rPr>
      </w:pPr>
      <w:bookmarkStart w:id="154" w:name="_Toc46924556"/>
      <w:bookmarkStart w:id="155" w:name="_Toc75418547"/>
      <w:bookmarkStart w:id="156" w:name="_Toc72489546"/>
      <w:bookmarkStart w:id="157" w:name="_Toc74169257"/>
      <w:r>
        <w:rPr>
          <w:rFonts w:hint="eastAsia" w:ascii="宋体" w:hAnsi="宋体" w:eastAsia="宋体"/>
          <w:b/>
          <w:bCs/>
          <w:color w:val="000000" w:themeColor="text1"/>
          <w14:textFill>
            <w14:solidFill>
              <w14:schemeClr w14:val="tx1"/>
            </w14:solidFill>
          </w14:textFill>
        </w:rPr>
        <w:t>★18、磋商保证金交纳及退还</w:t>
      </w:r>
      <w:bookmarkEnd w:id="154"/>
      <w:bookmarkEnd w:id="155"/>
      <w:bookmarkEnd w:id="156"/>
      <w:bookmarkEnd w:id="157"/>
    </w:p>
    <w:p w14:paraId="606F5D2B">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18.1供应商应按《供应商须知前附表》规定的金额、形式向采购代理机构交纳磋商保证金，磋商保证金</w:t>
      </w:r>
      <w:r>
        <w:rPr>
          <w:rFonts w:hAnsi="宋体"/>
          <w:color w:val="000000" w:themeColor="text1"/>
          <w:szCs w:val="21"/>
          <w14:textFill>
            <w14:solidFill>
              <w14:schemeClr w14:val="tx1"/>
            </w14:solidFill>
          </w14:textFill>
        </w:rPr>
        <w:t>须在</w:t>
      </w:r>
      <w:r>
        <w:rPr>
          <w:rFonts w:hint="eastAsia" w:hAnsi="宋体"/>
          <w:color w:val="000000" w:themeColor="text1"/>
          <w:szCs w:val="21"/>
          <w14:textFill>
            <w14:solidFill>
              <w14:schemeClr w14:val="tx1"/>
            </w14:solidFill>
          </w14:textFill>
        </w:rPr>
        <w:t>响应文件提交截止时间前以供应商自身的名义交纳</w:t>
      </w:r>
      <w:r>
        <w:rPr>
          <w:rFonts w:hAnsi="宋体"/>
          <w:color w:val="000000" w:themeColor="text1"/>
          <w:szCs w:val="21"/>
          <w14:textFill>
            <w14:solidFill>
              <w14:schemeClr w14:val="tx1"/>
            </w14:solidFill>
          </w14:textFill>
        </w:rPr>
        <w:t>到指定的</w:t>
      </w:r>
      <w:r>
        <w:rPr>
          <w:rFonts w:hint="eastAsia" w:hAnsi="宋体"/>
          <w:color w:val="000000" w:themeColor="text1"/>
          <w:szCs w:val="21"/>
          <w14:textFill>
            <w14:solidFill>
              <w14:schemeClr w14:val="tx1"/>
            </w14:solidFill>
          </w14:textFill>
        </w:rPr>
        <w:t>账</w:t>
      </w:r>
      <w:r>
        <w:rPr>
          <w:rFonts w:hAnsi="宋体"/>
          <w:color w:val="000000" w:themeColor="text1"/>
          <w:szCs w:val="21"/>
          <w14:textFill>
            <w14:solidFill>
              <w14:schemeClr w14:val="tx1"/>
            </w14:solidFill>
          </w14:textFill>
        </w:rPr>
        <w:t>户</w:t>
      </w:r>
      <w:r>
        <w:rPr>
          <w:rFonts w:hint="eastAsia" w:hAnsi="宋体"/>
          <w:color w:val="000000" w:themeColor="text1"/>
          <w:szCs w:val="21"/>
          <w14:textFill>
            <w14:solidFill>
              <w14:schemeClr w14:val="tx1"/>
            </w14:solidFill>
          </w14:textFill>
        </w:rPr>
        <w:t>，并且必须以供应商自身名义开具的账户转出，不得以分支机构其他名义提交（按照规定，供应商可以为自然人的项目除外），供应商未按照磋商文件要求提交磋商保证金的，响应无效。</w:t>
      </w:r>
    </w:p>
    <w:p w14:paraId="606F5D2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18.2采购代理机构在</w:t>
      </w:r>
      <w:r>
        <w:rPr>
          <w:rFonts w:hAnsi="宋体"/>
          <w:color w:val="000000" w:themeColor="text1"/>
          <w:szCs w:val="21"/>
          <w14:textFill>
            <w14:solidFill>
              <w14:schemeClr w14:val="tx1"/>
            </w14:solidFill>
          </w14:textFill>
        </w:rPr>
        <w:t>成交通知书发出后5个工作日内退还</w:t>
      </w:r>
      <w:r>
        <w:rPr>
          <w:rFonts w:hint="eastAsia" w:hAnsi="宋体"/>
          <w:color w:val="000000" w:themeColor="text1"/>
          <w:szCs w:val="21"/>
          <w14:textFill>
            <w14:solidFill>
              <w14:schemeClr w14:val="tx1"/>
            </w14:solidFill>
          </w14:textFill>
        </w:rPr>
        <w:t>未成交供应商的磋商保证金，</w:t>
      </w:r>
      <w:r>
        <w:rPr>
          <w:rFonts w:hAnsi="宋体"/>
          <w:color w:val="000000" w:themeColor="text1"/>
          <w:szCs w:val="21"/>
          <w14:textFill>
            <w14:solidFill>
              <w14:schemeClr w14:val="tx1"/>
            </w14:solidFill>
          </w14:textFill>
        </w:rPr>
        <w:t>成交</w:t>
      </w: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磋商保证金</w:t>
      </w:r>
      <w:r>
        <w:rPr>
          <w:rFonts w:hAnsi="宋体"/>
          <w:color w:val="000000" w:themeColor="text1"/>
          <w:szCs w:val="21"/>
          <w14:textFill>
            <w14:solidFill>
              <w14:schemeClr w14:val="tx1"/>
            </w14:solidFill>
          </w14:textFill>
        </w:rPr>
        <w:t>在</w:t>
      </w:r>
      <w:r>
        <w:rPr>
          <w:rFonts w:hint="eastAsia" w:hAnsi="宋体"/>
          <w:color w:val="000000" w:themeColor="text1"/>
          <w:szCs w:val="21"/>
          <w14:textFill>
            <w14:solidFill>
              <w14:schemeClr w14:val="tx1"/>
            </w14:solidFill>
          </w14:textFill>
        </w:rPr>
        <w:t>采购</w:t>
      </w:r>
      <w:r>
        <w:rPr>
          <w:rFonts w:hAnsi="宋体"/>
          <w:color w:val="000000" w:themeColor="text1"/>
          <w:szCs w:val="21"/>
          <w14:textFill>
            <w14:solidFill>
              <w14:schemeClr w14:val="tx1"/>
            </w14:solidFill>
          </w14:textFill>
        </w:rPr>
        <w:t>合同签订后5个工作日内退还</w:t>
      </w:r>
      <w:r>
        <w:rPr>
          <w:rFonts w:hint="eastAsia" w:hAnsi="宋体"/>
          <w:color w:val="000000" w:themeColor="text1"/>
          <w:szCs w:val="21"/>
          <w14:textFill>
            <w14:solidFill>
              <w14:schemeClr w14:val="tx1"/>
            </w14:solidFill>
          </w14:textFill>
        </w:rPr>
        <w:t>，但因供应商自身原因导致无法及时退还的除外。出现下列情形之一的，磋商保证金不予退还：</w:t>
      </w:r>
    </w:p>
    <w:p w14:paraId="606F5D2D">
      <w:pPr>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在提交响应文件截止时间后撤回响应文件的；</w:t>
      </w:r>
    </w:p>
    <w:p w14:paraId="606F5D2E">
      <w:pPr>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在响应文件中提供虚假材料的；</w:t>
      </w:r>
    </w:p>
    <w:p w14:paraId="606F5D2F">
      <w:pPr>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）除因不可抗力或磋商文件认可的情形以外，成交</w:t>
      </w: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不与</w:t>
      </w:r>
      <w:r>
        <w:rPr>
          <w:rFonts w:hint="eastAsia" w:hAnsi="宋体"/>
          <w:color w:val="000000" w:themeColor="text1"/>
          <w:szCs w:val="21"/>
          <w14:textFill>
            <w14:solidFill>
              <w14:schemeClr w14:val="tx1"/>
            </w14:solidFill>
          </w14:textFill>
        </w:rPr>
        <w:t>采购人</w:t>
      </w:r>
      <w:r>
        <w:rPr>
          <w:rFonts w:hAnsi="宋体"/>
          <w:color w:val="000000" w:themeColor="text1"/>
          <w:szCs w:val="21"/>
          <w14:textFill>
            <w14:solidFill>
              <w14:schemeClr w14:val="tx1"/>
            </w14:solidFill>
          </w14:textFill>
        </w:rPr>
        <w:t>签订合同的；</w:t>
      </w:r>
    </w:p>
    <w:p w14:paraId="606F5D30">
      <w:pPr>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与</w:t>
      </w:r>
      <w:r>
        <w:rPr>
          <w:rFonts w:hint="eastAsia" w:hAnsi="宋体"/>
          <w:color w:val="000000" w:themeColor="text1"/>
          <w:szCs w:val="21"/>
          <w14:textFill>
            <w14:solidFill>
              <w14:schemeClr w14:val="tx1"/>
            </w14:solidFill>
          </w14:textFill>
        </w:rPr>
        <w:t>采购人</w:t>
      </w:r>
      <w:r>
        <w:rPr>
          <w:rFonts w:hAnsi="宋体"/>
          <w:color w:val="000000" w:themeColor="text1"/>
          <w:szCs w:val="21"/>
          <w14:textFill>
            <w14:solidFill>
              <w14:schemeClr w14:val="tx1"/>
            </w14:solidFill>
          </w14:textFill>
        </w:rPr>
        <w:t>、其他</w:t>
      </w: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或者</w:t>
      </w:r>
      <w:r>
        <w:rPr>
          <w:rFonts w:hint="eastAsia" w:hAnsi="宋体"/>
          <w:color w:val="000000" w:themeColor="text1"/>
          <w:szCs w:val="21"/>
          <w14:textFill>
            <w14:solidFill>
              <w14:schemeClr w14:val="tx1"/>
            </w14:solidFill>
          </w14:textFill>
        </w:rPr>
        <w:t>采购代理机构</w:t>
      </w:r>
      <w:r>
        <w:rPr>
          <w:rFonts w:hAnsi="宋体"/>
          <w:color w:val="000000" w:themeColor="text1"/>
          <w:szCs w:val="21"/>
          <w14:textFill>
            <w14:solidFill>
              <w14:schemeClr w14:val="tx1"/>
            </w14:solidFill>
          </w14:textFill>
        </w:rPr>
        <w:t>恶意串通的；</w:t>
      </w:r>
    </w:p>
    <w:p w14:paraId="606F5D31">
      <w:pPr>
        <w:spacing w:line="360" w:lineRule="auto"/>
        <w:ind w:firstLine="420" w:firstLineChars="200"/>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5</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竞争性磋商</w:t>
      </w:r>
      <w:r>
        <w:rPr>
          <w:rFonts w:hAnsi="宋体"/>
          <w:color w:val="000000" w:themeColor="text1"/>
          <w:szCs w:val="21"/>
          <w14:textFill>
            <w14:solidFill>
              <w14:schemeClr w14:val="tx1"/>
            </w14:solidFill>
          </w14:textFill>
        </w:rPr>
        <w:t>文件规定的其他情形。</w:t>
      </w:r>
    </w:p>
    <w:p w14:paraId="606F5D32">
      <w:pPr>
        <w:pStyle w:val="5"/>
        <w:bidi w:val="0"/>
        <w:ind w:firstLine="367"/>
        <w:rPr>
          <w:rFonts w:hint="eastAsia" w:ascii="宋体" w:hAnsi="宋体" w:eastAsia="宋体"/>
          <w:b/>
          <w:bCs/>
          <w:color w:val="000000" w:themeColor="text1"/>
          <w14:textFill>
            <w14:solidFill>
              <w14:schemeClr w14:val="tx1"/>
            </w14:solidFill>
          </w14:textFill>
        </w:rPr>
      </w:pPr>
      <w:bookmarkStart w:id="158" w:name="_Toc46924557"/>
      <w:bookmarkStart w:id="159" w:name="_Toc74169258"/>
      <w:bookmarkStart w:id="160" w:name="_Toc72489547"/>
      <w:bookmarkStart w:id="161" w:name="_Toc75418548"/>
      <w:r>
        <w:rPr>
          <w:rFonts w:hint="eastAsia" w:ascii="宋体" w:hAnsi="宋体" w:eastAsia="宋体"/>
          <w:b/>
          <w:bCs/>
          <w:color w:val="000000" w:themeColor="text1"/>
          <w14:textFill>
            <w14:solidFill>
              <w14:schemeClr w14:val="tx1"/>
            </w14:solidFill>
          </w14:textFill>
        </w:rPr>
        <w:t>19、</w:t>
      </w:r>
      <w:r>
        <w:rPr>
          <w:rFonts w:ascii="宋体" w:hAnsi="宋体" w:eastAsia="宋体"/>
          <w:b/>
          <w:bCs/>
          <w:color w:val="000000" w:themeColor="text1"/>
          <w14:textFill>
            <w14:solidFill>
              <w14:schemeClr w14:val="tx1"/>
            </w14:solidFill>
          </w14:textFill>
        </w:rPr>
        <w:t>响应文件的</w:t>
      </w:r>
      <w:r>
        <w:rPr>
          <w:rFonts w:hint="eastAsia" w:ascii="宋体" w:hAnsi="宋体" w:eastAsia="宋体"/>
          <w:b/>
          <w:bCs/>
          <w:color w:val="000000" w:themeColor="text1"/>
          <w14:textFill>
            <w14:solidFill>
              <w14:schemeClr w14:val="tx1"/>
            </w14:solidFill>
          </w14:textFill>
        </w:rPr>
        <w:t>编制</w:t>
      </w:r>
      <w:bookmarkEnd w:id="158"/>
      <w:bookmarkEnd w:id="159"/>
      <w:bookmarkEnd w:id="160"/>
      <w:bookmarkEnd w:id="161"/>
    </w:p>
    <w:p w14:paraId="606F5D33">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19.1</w:t>
      </w:r>
      <w:r>
        <w:rPr>
          <w:rFonts w:hint="eastAsia" w:hAnsi="宋体"/>
          <w:color w:val="000000" w:themeColor="text1"/>
          <w:kern w:val="0"/>
          <w:szCs w:val="21"/>
          <w14:textFill>
            <w14:solidFill>
              <w14:schemeClr w14:val="tx1"/>
            </w14:solidFill>
          </w14:textFill>
        </w:rPr>
        <w:t>响应文件格式：</w:t>
      </w:r>
      <w:r>
        <w:rPr>
          <w:rFonts w:hint="eastAsia" w:hAnsi="宋体" w:cs="宋体"/>
          <w:color w:val="000000" w:themeColor="text1"/>
          <w:szCs w:val="21"/>
          <w14:textFill>
            <w14:solidFill>
              <w14:schemeClr w14:val="tx1"/>
            </w14:solidFill>
          </w14:textFill>
        </w:rPr>
        <w:t>响应文件应包含第四章《响应文件格式》要求的所有内容。电子响应文件应使用政府采购云平台（网址：www.zcygov.cn）中下载的政采云电子投标客户端制作，并进行电子签章及加密后上传至政府采购云平台。编制要求见《电子投标文件编制要求》。</w:t>
      </w:r>
    </w:p>
    <w:p w14:paraId="606F5D34">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如供应商提交的电子标书不符合上述要求或开标时无法读取导入或解密，其响应文件将不予受理。</w:t>
      </w:r>
    </w:p>
    <w:p w14:paraId="606F5D35">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特别注意：</w:t>
      </w:r>
    </w:p>
    <w:p w14:paraId="606F5D36">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（1）供应商不得对竞争性磋商文件格式中的内容进行删减或修改，否则作为无效处理。</w:t>
      </w:r>
    </w:p>
    <w:p w14:paraId="606F5D37">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供应商可以在格式内容之外另行说明和增加相关内容，作为响应文件的组成部分。另行说明或自行增加的内容、以及按响应文件格式在空格（下划线）由供应商填写的内容，不得与竞争性磋商文件的强制性审查标准和禁止性规定相抵触。</w:t>
      </w:r>
    </w:p>
    <w:p w14:paraId="606F5D38">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 xml:space="preserve">（3）按响应文件格式在空格（下划线）由供应商填写的内容，确实没有需要填写的，可以在空格中用“/”标识，也可以不填（空白）。但竞争性磋商文件中另有规定的从其规定。 </w:t>
      </w:r>
    </w:p>
    <w:p w14:paraId="606F5D39">
      <w:pPr>
        <w:widowControl/>
        <w:wordWrap w:val="0"/>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（4）响应文件应对竞争性磋商文件提出的所有实质性要求和条件作出实质性响应，并且实质性响应的内容不得互相矛盾。</w:t>
      </w:r>
    </w:p>
    <w:p w14:paraId="606F5D3A">
      <w:pPr>
        <w:autoSpaceDE w:val="0"/>
        <w:autoSpaceDN w:val="0"/>
        <w:adjustRightInd w:val="0"/>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19.</w:t>
      </w:r>
      <w:r>
        <w:rPr>
          <w:rFonts w:hAnsi="宋体"/>
          <w:color w:val="000000" w:themeColor="text1"/>
          <w:szCs w:val="21"/>
          <w14:textFill>
            <w14:solidFill>
              <w14:schemeClr w14:val="tx1"/>
            </w14:solidFill>
          </w14:textFill>
        </w:rPr>
        <w:t xml:space="preserve">2 </w:t>
      </w:r>
      <w:r>
        <w:rPr>
          <w:rFonts w:hint="eastAsia" w:hAnsi="宋体"/>
          <w:color w:val="000000" w:themeColor="text1"/>
          <w:szCs w:val="21"/>
          <w14:textFill>
            <w14:solidFill>
              <w14:schemeClr w14:val="tx1"/>
            </w14:solidFill>
          </w14:textFill>
        </w:rPr>
        <w:t>响应文件的签署：</w:t>
      </w:r>
      <w:r>
        <w:rPr>
          <w:rFonts w:hint="eastAsia" w:hAnsi="宋体" w:cs="宋体"/>
          <w:color w:val="000000" w:themeColor="text1"/>
          <w:szCs w:val="21"/>
          <w14:textFill>
            <w14:solidFill>
              <w14:schemeClr w14:val="tx1"/>
            </w14:solidFill>
          </w14:textFill>
        </w:rPr>
        <w:t>按照响应文件格式，采用单位和个人数字证书电子签章；响应文件（包含供应商电子文档响应文件的全部）需要企业、法定代表人电子签章。</w:t>
      </w:r>
    </w:p>
    <w:p w14:paraId="606F5D3B">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注：在需要电子签章的地方进行电子签章，无需逐页电子签章。</w:t>
      </w:r>
    </w:p>
    <w:p w14:paraId="606F5D3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19.</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响应文件和来往函件均应采用中文书写，计量单位使用中国或国际标准单位。</w:t>
      </w:r>
    </w:p>
    <w:p w14:paraId="606F5D3D">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19.</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最后报价采用人民币进行报价，若中文文字形式表示的数值与数字形式表示的数值不一致，以中文文字形式表示的数值为准。</w:t>
      </w:r>
    </w:p>
    <w:p w14:paraId="606F5D3E">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19.</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响应文件的组成应包括下列内容（但不限于）：详见：本章15、响应文件的组成及《响应文件格式》部分。</w:t>
      </w:r>
    </w:p>
    <w:p w14:paraId="606F5D3F">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19.</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响应文件中提供的资料（包括扫描件）、关键内容、相关证件及证明材料必须清晰可辨，若出现字迹潦草、表达不清、资料内容不全或关键字迹模糊、无法辨认、未按要求填写而导致非唯一理解，视为未实质性响应竞争性磋商文件，响应文件按无效响应处理。</w:t>
      </w:r>
      <w:bookmarkStart w:id="162" w:name="_Toc86124056"/>
      <w:bookmarkStart w:id="163" w:name="_Toc383175485"/>
      <w:bookmarkStart w:id="164" w:name="_Toc383175287"/>
      <w:bookmarkStart w:id="165" w:name="_Toc383175063"/>
      <w:bookmarkStart w:id="166" w:name="_Toc432106486"/>
      <w:bookmarkStart w:id="167" w:name="_Toc482343737"/>
      <w:bookmarkStart w:id="168" w:name="_Toc329810197"/>
      <w:bookmarkStart w:id="169" w:name="_Toc432194837"/>
      <w:bookmarkStart w:id="170" w:name="_Toc470507051"/>
    </w:p>
    <w:p w14:paraId="606F5D40">
      <w:pPr>
        <w:pStyle w:val="5"/>
        <w:bidi w:val="0"/>
        <w:ind w:firstLine="367"/>
        <w:rPr>
          <w:rFonts w:hint="eastAsia" w:ascii="宋体" w:hAnsi="宋体" w:eastAsia="宋体" w:cs="宋体"/>
        </w:rPr>
      </w:pPr>
      <w:bookmarkStart w:id="171" w:name="_Toc72489548"/>
      <w:bookmarkStart w:id="172" w:name="_Toc75418549"/>
      <w:bookmarkStart w:id="173" w:name="_Toc74169259"/>
      <w:bookmarkStart w:id="174" w:name="_Toc46924558"/>
      <w:r>
        <w:rPr>
          <w:rFonts w:hint="eastAsia" w:ascii="宋体" w:hAnsi="宋体" w:eastAsia="宋体" w:cs="宋体"/>
        </w:rPr>
        <w:t>20、报价</w:t>
      </w:r>
      <w:bookmarkEnd w:id="162"/>
      <w:r>
        <w:rPr>
          <w:rFonts w:hint="eastAsia" w:ascii="宋体" w:hAnsi="宋体" w:eastAsia="宋体" w:cs="宋体"/>
        </w:rPr>
        <w:t>和报价货币</w:t>
      </w:r>
      <w:bookmarkEnd w:id="163"/>
      <w:bookmarkEnd w:id="164"/>
      <w:bookmarkEnd w:id="165"/>
      <w:bookmarkEnd w:id="166"/>
      <w:bookmarkEnd w:id="167"/>
      <w:bookmarkEnd w:id="168"/>
      <w:bookmarkEnd w:id="169"/>
      <w:bookmarkEnd w:id="170"/>
      <w:bookmarkEnd w:id="171"/>
      <w:bookmarkEnd w:id="172"/>
      <w:bookmarkEnd w:id="173"/>
      <w:bookmarkEnd w:id="174"/>
    </w:p>
    <w:p w14:paraId="53E121D7">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20.1磋商结束后，磋商小组将要求所有实质性响应的供应商在规定时间内提交最后报价，提交最后报价的供应商不得少于3家。最后报价超过采购预算金额的供应商将被视为未实质性响应竞争性磋商文件要求，按无效响应处理。</w:t>
      </w:r>
    </w:p>
    <w:p w14:paraId="7EDC13D0">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20.2供应商应依据磋商文件的要求及有关资料，执行国家或行业现行技术经济标准、定额及规范，自行测算出满足采购要求的货物、工程或者服务的竞争性报价，该报价应符合市场行情并能保证供应商完成履行合同所需的一切工作。合同一旦签订，此价格在合同实施期间将不因市场价格等的变化而调整。</w:t>
      </w:r>
    </w:p>
    <w:p w14:paraId="5BF1032E">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20.3最后报价是供应商响应文件的有效组成部分，供应商必须对所参加项目内所有内容进行完整唯一报价，不得缺项、漏项，否则按无效响应处理。</w:t>
      </w:r>
    </w:p>
    <w:p w14:paraId="4813D5D9">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20.4无论分项价格是否填报完全，供应商的最后报价将被视为已经包含了所有分项价格以及与项目相关的所有货物、工程或者服务费用。由于供应商分项报价填报不完整、不清楚或存在其它任何失误所导致的任何不利后果均由供应商自行承担。</w:t>
      </w:r>
    </w:p>
    <w:p w14:paraId="605CF924">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w:t>
      </w:r>
      <w:r>
        <w:rPr>
          <w:rFonts w:hint="eastAsia"/>
          <w:color w:val="000000" w:themeColor="text1"/>
          <w:szCs w:val="21"/>
          <w:lang w:val="en-US" w:eastAsia="zh-CN"/>
          <w14:textFill>
            <w14:solidFill>
              <w14:schemeClr w14:val="tx1"/>
            </w14:solidFill>
          </w14:textFill>
        </w:rPr>
        <w:t>5</w:t>
      </w:r>
      <w:r>
        <w:rPr>
          <w:rFonts w:hint="eastAsia" w:hAnsi="宋体"/>
          <w:color w:val="000000" w:themeColor="text1"/>
          <w:szCs w:val="21"/>
          <w14:textFill>
            <w14:solidFill>
              <w14:schemeClr w14:val="tx1"/>
            </w14:solidFill>
          </w14:textFill>
        </w:rPr>
        <w:t>最后报价文件应由法定代表人或其委托代理人签字，在规定的时间统一上传至政府采购云平台。若已提交的最后报价中出现含义不明确、同类问题表述不一致或者签署不完整、有明显文字和计算错误的，可以进行澄清、补充和修正，但不得改变响应文件中实质性内容。</w:t>
      </w:r>
    </w:p>
    <w:p w14:paraId="69CED02A">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w:t>
      </w:r>
      <w:r>
        <w:rPr>
          <w:rFonts w:hint="eastAsia"/>
          <w:color w:val="000000" w:themeColor="text1"/>
          <w:szCs w:val="21"/>
          <w:lang w:val="en-US" w:eastAsia="zh-CN"/>
          <w14:textFill>
            <w14:solidFill>
              <w14:schemeClr w14:val="tx1"/>
            </w14:solidFill>
          </w14:textFill>
        </w:rPr>
        <w:t>6</w:t>
      </w:r>
      <w:r>
        <w:rPr>
          <w:rFonts w:hint="eastAsia" w:hAnsi="宋体"/>
          <w:color w:val="000000" w:themeColor="text1"/>
          <w:szCs w:val="21"/>
          <w14:textFill>
            <w14:solidFill>
              <w14:schemeClr w14:val="tx1"/>
            </w14:solidFill>
          </w14:textFill>
        </w:rPr>
        <w:t>供应商不得哄抬报价，也不应低于成本价报价。磋商小组认为供应商的最后报价或者某些分项报价明显不合理或者低于成本，有可能影响服务质量和不能诚信履约的，将要求其在规定的期限内提供书面文件予以解释说明，并提交相关证明材料。供应商不能证明其报价合理性的，磋商小组将认定供应商响应文件无效。</w:t>
      </w:r>
    </w:p>
    <w:p w14:paraId="3E14BF4A">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w:t>
      </w:r>
      <w:r>
        <w:rPr>
          <w:rFonts w:hint="eastAsia"/>
          <w:color w:val="000000" w:themeColor="text1"/>
          <w:szCs w:val="21"/>
          <w:lang w:val="en-US" w:eastAsia="zh-CN"/>
          <w14:textFill>
            <w14:solidFill>
              <w14:schemeClr w14:val="tx1"/>
            </w14:solidFill>
          </w14:textFill>
        </w:rPr>
        <w:t>7</w:t>
      </w:r>
      <w:r>
        <w:rPr>
          <w:rFonts w:hint="eastAsia" w:hAnsi="宋体"/>
          <w:color w:val="000000" w:themeColor="text1"/>
          <w:szCs w:val="21"/>
          <w14:textFill>
            <w14:solidFill>
              <w14:schemeClr w14:val="tx1"/>
            </w14:solidFill>
          </w14:textFill>
        </w:rPr>
        <w:t>供应商应保证其提供的货物、工程或者服务在采购人使用期间不受第三方可能提出的侵犯其所有权、知识产权、商标权、专利权、著作权等相关权利的起诉。</w:t>
      </w:r>
    </w:p>
    <w:p w14:paraId="3CFB402B">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w:t>
      </w:r>
      <w:r>
        <w:rPr>
          <w:rFonts w:hint="eastAsia"/>
          <w:color w:val="000000" w:themeColor="text1"/>
          <w:szCs w:val="21"/>
          <w:lang w:val="en-US" w:eastAsia="zh-CN"/>
          <w14:textFill>
            <w14:solidFill>
              <w14:schemeClr w14:val="tx1"/>
            </w14:solidFill>
          </w14:textFill>
        </w:rPr>
        <w:t>8</w:t>
      </w:r>
      <w:r>
        <w:rPr>
          <w:rFonts w:hint="eastAsia" w:hAnsi="宋体"/>
          <w:color w:val="000000" w:themeColor="text1"/>
          <w:szCs w:val="21"/>
          <w14:textFill>
            <w14:solidFill>
              <w14:schemeClr w14:val="tx1"/>
            </w14:solidFill>
          </w14:textFill>
        </w:rPr>
        <w:t>报价货币为人民币。</w:t>
      </w:r>
    </w:p>
    <w:p w14:paraId="71D7846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9</w:t>
      </w:r>
      <w:r>
        <w:rPr>
          <w:rFonts w:hint="eastAsia" w:hAnsi="宋体"/>
          <w:color w:val="000000" w:themeColor="text1"/>
          <w:szCs w:val="21"/>
          <w14:textFill>
            <w14:solidFill>
              <w14:schemeClr w14:val="tx1"/>
            </w14:solidFill>
          </w14:textFill>
        </w:rPr>
        <w:t>采购人不组织现场踏勘。供应商可自行到项目现场踏勘以充分了解项目位置、情况及任何其他足以影响报价的情况，任何因忽视或误解而导致的索赔申请将不被批准。</w:t>
      </w:r>
    </w:p>
    <w:p w14:paraId="606F5D42">
      <w:pPr>
        <w:wordWrap w:val="0"/>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20.</w:t>
      </w:r>
      <w:r>
        <w:rPr>
          <w:rFonts w:hint="eastAsia"/>
          <w:color w:val="000000" w:themeColor="text1"/>
          <w:szCs w:val="21"/>
          <w:lang w:val="en-US" w:eastAsia="zh-CN"/>
          <w14:textFill>
            <w14:solidFill>
              <w14:schemeClr w14:val="tx1"/>
            </w14:solidFill>
          </w14:textFill>
        </w:rPr>
        <w:t>10</w:t>
      </w:r>
      <w:r>
        <w:rPr>
          <w:rFonts w:hint="eastAsia" w:hAnsi="宋体"/>
          <w:color w:val="000000" w:themeColor="text1"/>
          <w:szCs w:val="21"/>
          <w14:textFill>
            <w14:solidFill>
              <w14:schemeClr w14:val="tx1"/>
            </w14:solidFill>
          </w14:textFill>
        </w:rPr>
        <w:t>本项目采用综合评分法，磋商报价并非本次招标唯一考量条件，采购人不保证报价最低者成交。</w:t>
      </w:r>
    </w:p>
    <w:p w14:paraId="606F5D43">
      <w:pPr>
        <w:pStyle w:val="4"/>
        <w:keepLines w:val="0"/>
        <w:spacing w:before="240" w:after="240" w:line="360" w:lineRule="auto"/>
        <w:jc w:val="center"/>
        <w:rPr>
          <w:rFonts w:hint="eastAsia" w:ascii="宋体" w:eastAsia="宋体"/>
          <w:b/>
          <w:color w:val="000000" w:themeColor="text1"/>
          <w:kern w:val="0"/>
          <w:szCs w:val="32"/>
          <w14:textFill>
            <w14:solidFill>
              <w14:schemeClr w14:val="tx1"/>
            </w14:solidFill>
          </w14:textFill>
        </w:rPr>
      </w:pPr>
      <w:bookmarkStart w:id="175" w:name="_Toc201047306"/>
      <w:r>
        <w:rPr>
          <w:rFonts w:ascii="宋体" w:eastAsia="宋体"/>
          <w:b/>
          <w:color w:val="000000" w:themeColor="text1"/>
          <w:kern w:val="0"/>
          <w:szCs w:val="32"/>
          <w14:textFill>
            <w14:solidFill>
              <w14:schemeClr w14:val="tx1"/>
            </w14:solidFill>
          </w14:textFill>
        </w:rPr>
        <w:t>四、响应文件</w:t>
      </w:r>
      <w:r>
        <w:rPr>
          <w:rFonts w:hint="eastAsia" w:ascii="宋体" w:eastAsia="宋体"/>
          <w:b/>
          <w:color w:val="000000" w:themeColor="text1"/>
          <w:kern w:val="0"/>
          <w:szCs w:val="32"/>
          <w14:textFill>
            <w14:solidFill>
              <w14:schemeClr w14:val="tx1"/>
            </w14:solidFill>
          </w14:textFill>
        </w:rPr>
        <w:t>递交</w:t>
      </w:r>
      <w:bookmarkEnd w:id="175"/>
    </w:p>
    <w:p w14:paraId="606F5D44">
      <w:pPr>
        <w:pStyle w:val="5"/>
        <w:bidi w:val="0"/>
        <w:ind w:firstLine="367"/>
        <w:rPr>
          <w:rFonts w:hint="eastAsia" w:ascii="宋体" w:hAnsi="宋体" w:eastAsia="宋体" w:cs="宋体"/>
        </w:rPr>
      </w:pPr>
      <w:bookmarkStart w:id="176" w:name="_Toc46924560"/>
      <w:bookmarkStart w:id="177" w:name="_Toc74169261"/>
      <w:bookmarkStart w:id="178" w:name="_Toc75418551"/>
      <w:bookmarkStart w:id="179" w:name="_Toc72489550"/>
      <w:r>
        <w:rPr>
          <w:rFonts w:hint="eastAsia" w:ascii="宋体" w:hAnsi="宋体" w:eastAsia="宋体" w:cs="宋体"/>
        </w:rPr>
        <w:t>21、响应文件的</w:t>
      </w:r>
      <w:bookmarkEnd w:id="176"/>
      <w:bookmarkEnd w:id="177"/>
      <w:bookmarkEnd w:id="178"/>
      <w:bookmarkEnd w:id="179"/>
      <w:r>
        <w:rPr>
          <w:rFonts w:hint="eastAsia" w:ascii="宋体" w:hAnsi="宋体" w:eastAsia="宋体" w:cs="宋体"/>
        </w:rPr>
        <w:t>递交</w:t>
      </w:r>
    </w:p>
    <w:p w14:paraId="606F5D45">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21.1供应商应在本章第</w:t>
      </w:r>
      <w:r>
        <w:rPr>
          <w:rFonts w:hAnsi="宋体"/>
          <w:color w:val="000000" w:themeColor="text1"/>
          <w:szCs w:val="21"/>
          <w14:textFill>
            <w14:solidFill>
              <w14:schemeClr w14:val="tx1"/>
            </w14:solidFill>
          </w14:textFill>
        </w:rPr>
        <w:t>21.3</w:t>
      </w:r>
      <w:r>
        <w:rPr>
          <w:rFonts w:hint="eastAsia" w:hAnsi="宋体"/>
          <w:color w:val="000000" w:themeColor="text1"/>
          <w:szCs w:val="21"/>
          <w14:textFill>
            <w14:solidFill>
              <w14:schemeClr w14:val="tx1"/>
            </w14:solidFill>
          </w14:textFill>
        </w:rPr>
        <w:t>项规定的磋商截止时间前将电子响应文件上传到政府采购云平台，未按规定在磋商截止时间前上传响应文件的，视为撤回其响应文件。网上递交的响应文件应使用数字证书进行加密。供应商使用某个数字证书（</w:t>
      </w:r>
      <w:r>
        <w:rPr>
          <w:rFonts w:hAnsi="宋体"/>
          <w:color w:val="000000" w:themeColor="text1"/>
          <w:szCs w:val="21"/>
          <w14:textFill>
            <w14:solidFill>
              <w14:schemeClr w14:val="tx1"/>
            </w14:solidFill>
          </w14:textFill>
        </w:rPr>
        <w:t>CA）对响应文件进行了数字证书（CA）加密，</w:t>
      </w:r>
      <w:r>
        <w:rPr>
          <w:rFonts w:hint="eastAsia" w:hAnsi="宋体"/>
          <w:color w:val="000000" w:themeColor="text1"/>
          <w:szCs w:val="21"/>
          <w14:textFill>
            <w14:solidFill>
              <w14:schemeClr w14:val="tx1"/>
            </w14:solidFill>
          </w14:textFill>
        </w:rPr>
        <w:t>需要在远程解密时使用同一把数字证书（</w:t>
      </w:r>
      <w:r>
        <w:rPr>
          <w:rFonts w:hAnsi="宋体"/>
          <w:color w:val="000000" w:themeColor="text1"/>
          <w:szCs w:val="21"/>
          <w14:textFill>
            <w14:solidFill>
              <w14:schemeClr w14:val="tx1"/>
            </w14:solidFill>
          </w14:textFill>
        </w:rPr>
        <w:t>CA）对该响应文件进行解密才能读取或导入响应文件，</w:t>
      </w:r>
      <w:r>
        <w:rPr>
          <w:rFonts w:hint="eastAsia" w:hAnsi="宋体"/>
          <w:color w:val="000000" w:themeColor="text1"/>
          <w:szCs w:val="21"/>
          <w14:textFill>
            <w14:solidFill>
              <w14:schemeClr w14:val="tx1"/>
            </w14:solidFill>
          </w14:textFill>
        </w:rPr>
        <w:t>因供应商自身原因致使响应文件未成功解密的或供应商提交的电子标书不符合本项目电子响应文件编制要求或开标时无法读取导入或解密，其响应文件将不予受理。未办理数字证书（</w:t>
      </w:r>
      <w:r>
        <w:rPr>
          <w:rFonts w:hAnsi="宋体"/>
          <w:color w:val="000000" w:themeColor="text1"/>
          <w:szCs w:val="21"/>
          <w14:textFill>
            <w14:solidFill>
              <w14:schemeClr w14:val="tx1"/>
            </w14:solidFill>
          </w14:textFill>
        </w:rPr>
        <w:t>CA）的</w:t>
      </w:r>
      <w:r>
        <w:rPr>
          <w:rFonts w:hint="eastAsia" w:hAnsi="宋体"/>
          <w:color w:val="000000" w:themeColor="text1"/>
          <w:szCs w:val="21"/>
          <w14:textFill>
            <w14:solidFill>
              <w14:schemeClr w14:val="tx1"/>
            </w14:solidFill>
          </w14:textFill>
        </w:rPr>
        <w:t>供应商其编制的响应文件将无法按竞争性磋商文件的要求进行电子签章及加密，由此造成的后果由供应商自行承担。具体详见供应商须知前附表“响应文件的递交及解密须知”。</w:t>
      </w:r>
    </w:p>
    <w:p w14:paraId="606F5D46">
      <w:pPr>
        <w:spacing w:line="336" w:lineRule="auto"/>
        <w:ind w:firstLine="472" w:firstLineChars="225"/>
        <w:rPr>
          <w:rFonts w:hint="eastAsia" w:hAnsi="宋体"/>
          <w:color w:val="000000" w:themeColor="text1"/>
          <w:kern w:val="0"/>
          <w:szCs w:val="21"/>
          <w14:textFill>
            <w14:solidFill>
              <w14:schemeClr w14:val="tx1"/>
            </w14:solidFill>
          </w14:textFill>
        </w:rPr>
      </w:pPr>
      <w:r>
        <w:rPr>
          <w:rFonts w:hint="eastAsia" w:hAnsi="宋体"/>
          <w:color w:val="000000" w:themeColor="text1"/>
          <w:szCs w:val="21"/>
          <w14:textFill>
            <w14:solidFill>
              <w14:schemeClr w14:val="tx1"/>
            </w14:solidFill>
          </w14:textFill>
        </w:rPr>
        <w:t>21.2</w:t>
      </w:r>
      <w:bookmarkStart w:id="180" w:name="_Toc75418552"/>
      <w:bookmarkStart w:id="181" w:name="_Toc74169262"/>
      <w:bookmarkStart w:id="182" w:name="_Toc46924561"/>
      <w:bookmarkStart w:id="183" w:name="_Toc72489551"/>
      <w:r>
        <w:rPr>
          <w:rFonts w:hint="eastAsia" w:hAnsi="宋体"/>
          <w:color w:val="000000" w:themeColor="text1"/>
          <w:szCs w:val="21"/>
          <w14:textFill>
            <w14:solidFill>
              <w14:schemeClr w14:val="tx1"/>
            </w14:solidFill>
          </w14:textFill>
        </w:rPr>
        <w:t>网上递交的响应文件应使用数字证书进行加密。</w:t>
      </w:r>
      <w:r>
        <w:rPr>
          <w:rFonts w:hint="eastAsia" w:hAnsi="宋体"/>
          <w:color w:val="000000" w:themeColor="text1"/>
          <w:kern w:val="0"/>
          <w:szCs w:val="21"/>
          <w14:textFill>
            <w14:solidFill>
              <w14:schemeClr w14:val="tx1"/>
            </w14:solidFill>
          </w14:textFill>
        </w:rPr>
        <w:t>网上递交网址为：</w:t>
      </w:r>
      <w:r>
        <w:rPr>
          <w:rFonts w:hint="eastAsia" w:hAnsi="宋体" w:cs="宋体"/>
          <w:color w:val="000000" w:themeColor="text1"/>
          <w:szCs w:val="21"/>
          <w14:textFill>
            <w14:solidFill>
              <w14:schemeClr w14:val="tx1"/>
            </w14:solidFill>
          </w14:textFill>
        </w:rPr>
        <w:t>www.zcygov.cn</w:t>
      </w:r>
      <w:r>
        <w:rPr>
          <w:rFonts w:hint="eastAsia" w:hAnsi="宋体"/>
          <w:color w:val="000000" w:themeColor="text1"/>
          <w:kern w:val="0"/>
          <w:szCs w:val="21"/>
          <w14:textFill>
            <w14:solidFill>
              <w14:schemeClr w14:val="tx1"/>
            </w14:solidFill>
          </w14:textFill>
        </w:rPr>
        <w:t>。供应商须在响应文件递交截止时间前完成所有响应文件的上传。供应商根据拟要参与的项目，须在响应文件递交截止时间前按照网上投标系统要求上传全部响应文件，响应文件上传后须自行检查响应文件的完整性并进行确认签名后，方完成全部响应文件网上上传操作。供应商可自行打印“上传投标文件回执”。供应商使用某个数字证书（CA）对响应文件进行了数字证书（CA）加密，需使用同一把数字证书（CA）对该响应文件进行解密才能读取或导入响应文件，因供应商原因造成响应文件未解密的，视为撤回其响应文件。因供应商自身原因致使响应文件未成功解密的或供应商提交的电子标书不符合本项目电子响应文件编制要求或开标时无法读取导入或解密，其响应文件将不予受理。</w:t>
      </w:r>
    </w:p>
    <w:bookmarkEnd w:id="180"/>
    <w:bookmarkEnd w:id="181"/>
    <w:bookmarkEnd w:id="182"/>
    <w:bookmarkEnd w:id="183"/>
    <w:p w14:paraId="606F5D47">
      <w:pPr>
        <w:spacing w:line="360" w:lineRule="auto"/>
        <w:ind w:firstLine="420" w:firstLineChars="200"/>
        <w:rPr>
          <w:rFonts w:hint="eastAsia" w:hAnsi="宋体"/>
          <w:color w:val="000000" w:themeColor="text1"/>
          <w:szCs w:val="21"/>
          <w14:textFill>
            <w14:solidFill>
              <w14:schemeClr w14:val="tx1"/>
            </w14:solidFill>
          </w14:textFill>
        </w:rPr>
      </w:pPr>
      <w:bookmarkStart w:id="184" w:name="_Toc296602445"/>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w:t>
      </w:r>
      <w:bookmarkEnd w:id="184"/>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递交响应文件的截止时间及地点：详见《供应商须知前附表》</w:t>
      </w:r>
    </w:p>
    <w:p w14:paraId="606F5D48">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.4除《供应商须知前附表》另有规定外，供应商所递交的响应文件不予退还。</w:t>
      </w:r>
    </w:p>
    <w:p w14:paraId="606F5D49">
      <w:pPr>
        <w:pStyle w:val="5"/>
        <w:bidi w:val="0"/>
        <w:ind w:firstLine="367"/>
        <w:rPr>
          <w:rFonts w:hint="eastAsia" w:ascii="宋体" w:hAnsi="宋体" w:eastAsia="宋体" w:cs="宋体"/>
        </w:rPr>
      </w:pPr>
      <w:bookmarkStart w:id="185" w:name="_Toc74169263"/>
      <w:bookmarkStart w:id="186" w:name="_Toc75418553"/>
      <w:bookmarkStart w:id="187" w:name="_Toc72489552"/>
      <w:bookmarkStart w:id="188" w:name="_Toc46924562"/>
      <w:r>
        <w:rPr>
          <w:rFonts w:hint="eastAsia" w:ascii="宋体" w:hAnsi="宋体" w:eastAsia="宋体" w:cs="宋体"/>
        </w:rPr>
        <w:t>22、响应文件的补充、修改或者撤回</w:t>
      </w:r>
      <w:bookmarkEnd w:id="185"/>
      <w:bookmarkEnd w:id="186"/>
      <w:bookmarkEnd w:id="187"/>
      <w:bookmarkEnd w:id="188"/>
    </w:p>
    <w:p w14:paraId="606F5D4A">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.1</w:t>
      </w:r>
      <w:r>
        <w:rPr>
          <w:rFonts w:hint="eastAsia" w:hAnsi="宋体"/>
          <w:color w:val="000000" w:themeColor="text1"/>
          <w:kern w:val="0"/>
          <w:szCs w:val="21"/>
          <w14:textFill>
            <w14:solidFill>
              <w14:schemeClr w14:val="tx1"/>
            </w14:solidFill>
          </w14:textFill>
        </w:rPr>
        <w:t>在本章第</w:t>
      </w:r>
      <w:r>
        <w:rPr>
          <w:rFonts w:hAnsi="宋体"/>
          <w:color w:val="000000" w:themeColor="text1"/>
          <w:kern w:val="0"/>
          <w:szCs w:val="21"/>
          <w14:textFill>
            <w14:solidFill>
              <w14:schemeClr w14:val="tx1"/>
            </w14:solidFill>
          </w14:textFill>
        </w:rPr>
        <w:t>21.3</w:t>
      </w:r>
      <w:r>
        <w:rPr>
          <w:rFonts w:hint="eastAsia" w:hAnsi="宋体"/>
          <w:color w:val="000000" w:themeColor="text1"/>
          <w:kern w:val="0"/>
          <w:szCs w:val="21"/>
          <w14:textFill>
            <w14:solidFill>
              <w14:schemeClr w14:val="tx1"/>
            </w14:solidFill>
          </w14:textFill>
        </w:rPr>
        <w:t>项规定的磋商截止时间前，供应商可以修改或撤回已递交的响应文件，无须书面形式通知采购人。</w:t>
      </w:r>
    </w:p>
    <w:p w14:paraId="606F5D4B">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.2 供应商在提交截止时间前撤回响应文件的，</w:t>
      </w:r>
      <w:r>
        <w:rPr>
          <w:rFonts w:hint="eastAsia" w:hAnsi="宋体"/>
          <w:color w:val="000000" w:themeColor="text1"/>
          <w:kern w:val="0"/>
          <w:szCs w:val="21"/>
          <w14:textFill>
            <w14:solidFill>
              <w14:schemeClr w14:val="tx1"/>
            </w14:solidFill>
          </w14:textFill>
        </w:rPr>
        <w:t>可在规定时间内申请退还已缴纳的磋商保证金。</w:t>
      </w:r>
      <w:r>
        <w:rPr>
          <w:rFonts w:hint="eastAsia" w:hAnsi="宋体"/>
          <w:color w:val="000000" w:themeColor="text1"/>
          <w:szCs w:val="21"/>
          <w14:textFill>
            <w14:solidFill>
              <w14:schemeClr w14:val="tx1"/>
            </w14:solidFill>
          </w14:textFill>
        </w:rPr>
        <w:t>但因供应商自身原因导致无法及时退还的除外。</w:t>
      </w:r>
    </w:p>
    <w:p w14:paraId="606F5D4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 xml:space="preserve">2.3 </w:t>
      </w:r>
      <w:r>
        <w:rPr>
          <w:rFonts w:hint="eastAsia" w:hAnsi="宋体"/>
          <w:color w:val="000000" w:themeColor="text1"/>
          <w:szCs w:val="21"/>
          <w14:textFill>
            <w14:solidFill>
              <w14:schemeClr w14:val="tx1"/>
            </w14:solidFill>
          </w14:textFill>
        </w:rPr>
        <w:t>修改的内容为响应文件的组成部分。修改的响应文件应按照本章第1</w:t>
      </w:r>
      <w:r>
        <w:rPr>
          <w:rFonts w:hAnsi="宋体"/>
          <w:color w:val="000000" w:themeColor="text1"/>
          <w:szCs w:val="21"/>
          <w14:textFill>
            <w14:solidFill>
              <w14:schemeClr w14:val="tx1"/>
            </w14:solidFill>
          </w14:textFill>
        </w:rPr>
        <w:t>9</w:t>
      </w:r>
      <w:r>
        <w:rPr>
          <w:rFonts w:hint="eastAsia" w:hAnsi="宋体"/>
          <w:color w:val="000000" w:themeColor="text1"/>
          <w:szCs w:val="21"/>
          <w14:textFill>
            <w14:solidFill>
              <w14:schemeClr w14:val="tx1"/>
            </w14:solidFill>
          </w14:textFill>
        </w:rPr>
        <w:t>条和第</w:t>
      </w:r>
      <w:r>
        <w:rPr>
          <w:rFonts w:hAnsi="宋体"/>
          <w:color w:val="000000" w:themeColor="text1"/>
          <w:szCs w:val="21"/>
          <w14:textFill>
            <w14:solidFill>
              <w14:schemeClr w14:val="tx1"/>
            </w14:solidFill>
          </w14:textFill>
        </w:rPr>
        <w:t>21</w:t>
      </w:r>
      <w:r>
        <w:rPr>
          <w:rFonts w:hint="eastAsia" w:hAnsi="宋体"/>
          <w:color w:val="000000" w:themeColor="text1"/>
          <w:szCs w:val="21"/>
          <w14:textFill>
            <w14:solidFill>
              <w14:schemeClr w14:val="tx1"/>
            </w14:solidFill>
          </w14:textFill>
        </w:rPr>
        <w:t>条规定进行编制和上传。</w:t>
      </w:r>
    </w:p>
    <w:p w14:paraId="606F5D4D">
      <w:pPr>
        <w:pStyle w:val="4"/>
        <w:keepLines w:val="0"/>
        <w:spacing w:before="240" w:after="240" w:line="360" w:lineRule="auto"/>
        <w:jc w:val="center"/>
        <w:rPr>
          <w:rFonts w:hint="eastAsia" w:ascii="宋体" w:eastAsia="宋体"/>
          <w:b/>
          <w:color w:val="000000" w:themeColor="text1"/>
          <w:kern w:val="0"/>
          <w:szCs w:val="32"/>
          <w14:textFill>
            <w14:solidFill>
              <w14:schemeClr w14:val="tx1"/>
            </w14:solidFill>
          </w14:textFill>
        </w:rPr>
      </w:pPr>
      <w:bookmarkStart w:id="189" w:name="_Toc201047307"/>
      <w:r>
        <w:rPr>
          <w:rFonts w:ascii="宋体" w:eastAsia="宋体"/>
          <w:b/>
          <w:color w:val="000000" w:themeColor="text1"/>
          <w:kern w:val="0"/>
          <w:szCs w:val="32"/>
          <w14:textFill>
            <w14:solidFill>
              <w14:schemeClr w14:val="tx1"/>
            </w14:solidFill>
          </w14:textFill>
        </w:rPr>
        <w:t>五、磋商</w:t>
      </w:r>
      <w:bookmarkEnd w:id="189"/>
    </w:p>
    <w:p w14:paraId="606F5D4E">
      <w:pPr>
        <w:pStyle w:val="5"/>
        <w:bidi w:val="0"/>
        <w:ind w:firstLine="367"/>
        <w:rPr>
          <w:rFonts w:hint="eastAsia" w:ascii="宋体" w:hAnsi="宋体" w:eastAsia="宋体"/>
          <w:b/>
          <w:bCs/>
          <w:color w:val="000000" w:themeColor="text1"/>
          <w14:textFill>
            <w14:solidFill>
              <w14:schemeClr w14:val="tx1"/>
            </w14:solidFill>
          </w14:textFill>
        </w:rPr>
      </w:pPr>
      <w:bookmarkStart w:id="190" w:name="_Toc46924564"/>
      <w:bookmarkStart w:id="191" w:name="_Toc74169265"/>
      <w:bookmarkStart w:id="192" w:name="_Toc72489554"/>
      <w:bookmarkStart w:id="193" w:name="_Toc75418555"/>
      <w:r>
        <w:rPr>
          <w:rFonts w:hint="eastAsia" w:ascii="宋体" w:hAnsi="宋体" w:eastAsia="宋体"/>
          <w:b/>
          <w:bCs/>
          <w:color w:val="000000" w:themeColor="text1"/>
          <w14:textFill>
            <w14:solidFill>
              <w14:schemeClr w14:val="tx1"/>
            </w14:solidFill>
          </w14:textFill>
        </w:rPr>
        <w:t>2</w:t>
      </w:r>
      <w:r>
        <w:rPr>
          <w:rFonts w:ascii="宋体" w:hAnsi="宋体" w:eastAsia="宋体"/>
          <w:b/>
          <w:bCs/>
          <w:color w:val="000000" w:themeColor="text1"/>
          <w14:textFill>
            <w14:solidFill>
              <w14:schemeClr w14:val="tx1"/>
            </w14:solidFill>
          </w14:textFill>
        </w:rPr>
        <w:t>3</w:t>
      </w:r>
      <w:r>
        <w:rPr>
          <w:rFonts w:hint="eastAsia" w:ascii="宋体" w:hAnsi="宋体" w:eastAsia="宋体"/>
          <w:b/>
          <w:bCs/>
          <w:color w:val="000000" w:themeColor="text1"/>
          <w14:textFill>
            <w14:solidFill>
              <w14:schemeClr w14:val="tx1"/>
            </w14:solidFill>
          </w14:textFill>
        </w:rPr>
        <w:t>、磋商小组</w:t>
      </w:r>
      <w:bookmarkEnd w:id="190"/>
      <w:bookmarkEnd w:id="191"/>
      <w:bookmarkEnd w:id="192"/>
      <w:bookmarkEnd w:id="193"/>
    </w:p>
    <w:p w14:paraId="606F5D4F">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.1磋商小组将在规定的时间和地点进行磋商，供应商的法定代表人或其授权代理人准时参加。</w:t>
      </w:r>
    </w:p>
    <w:p w14:paraId="606F5D50">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.2磋商小组由采购人依法组建，磋商由磋商小组负责。磋商小组</w:t>
      </w:r>
      <w:r>
        <w:rPr>
          <w:rFonts w:hint="eastAsia"/>
          <w:color w:val="000000" w:themeColor="text1"/>
          <w:szCs w:val="21"/>
          <w:lang w:val="en-US" w:eastAsia="zh-CN"/>
          <w14:textFill>
            <w14:solidFill>
              <w14:schemeClr w14:val="tx1"/>
            </w14:solidFill>
          </w14:textFill>
        </w:rPr>
        <w:t>组建</w:t>
      </w:r>
      <w:r>
        <w:rPr>
          <w:rFonts w:hint="eastAsia" w:hAnsi="宋体"/>
          <w:color w:val="000000" w:themeColor="text1"/>
          <w:szCs w:val="21"/>
          <w14:textFill>
            <w14:solidFill>
              <w14:schemeClr w14:val="tx1"/>
            </w14:solidFill>
          </w14:textFill>
        </w:rPr>
        <w:t>详见《供应商须知前附表》。磋商小组应当推选组长，但采购人代表不得担任组长。</w:t>
      </w:r>
    </w:p>
    <w:p w14:paraId="606F5D51">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.3磋商小组成员人数及名单在磋商结束之前保密。</w:t>
      </w:r>
    </w:p>
    <w:p w14:paraId="606F5D52">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.4采购人委派代表参加磋商会议的，要向采购代理机构出具授权函。除授权代表外，采购人可以委派纪检监察等相关人员进入磋商现场，对磋商工作实施监督，但不得超过2人。</w:t>
      </w:r>
    </w:p>
    <w:p w14:paraId="606F5D53">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.5评审方法：综合评分法，是指响应文件满足磋商文件全部实质性要求且按评审因素的量化指标评审得分最高的供应商为成交候选供应商的评审方法。</w:t>
      </w:r>
    </w:p>
    <w:p w14:paraId="606F5D54">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6F5D55">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7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06F5D56">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8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14:paraId="606F5D57">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9从响应文件递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14:paraId="606F5D58">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10磋商小组根据竞争性磋商文件规定的磋商程序和方法对各供应商的响应文件进行综合评分，按照评审得分由高到低顺序推荐3名以上成交候选供应商；评审得分相同的，按照最后报价由低到高的顺序推荐。评审得分且最后报价相同的，按照技术指标优劣顺序推荐。</w:t>
      </w:r>
    </w:p>
    <w:p w14:paraId="606F5D59">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w:t>
      </w:r>
      <w:bookmarkStart w:id="194" w:name="_Toc378499713"/>
      <w:bookmarkStart w:id="195" w:name="_Toc383175495"/>
      <w:bookmarkStart w:id="196" w:name="_Toc432194847"/>
      <w:bookmarkStart w:id="197" w:name="_Toc470507061"/>
      <w:bookmarkStart w:id="198" w:name="_Toc329810208"/>
      <w:bookmarkStart w:id="199" w:name="_Toc86124068"/>
      <w:bookmarkStart w:id="200" w:name="_Toc383175073"/>
      <w:bookmarkStart w:id="201" w:name="_Toc383175297"/>
      <w:bookmarkStart w:id="202" w:name="_Toc432106496"/>
      <w:bookmarkStart w:id="203" w:name="_Toc482343747"/>
      <w:r>
        <w:rPr>
          <w:rFonts w:hint="eastAsia" w:hAnsi="宋体"/>
          <w:color w:val="000000" w:themeColor="text1"/>
          <w:szCs w:val="21"/>
          <w14:textFill>
            <w14:solidFill>
              <w14:schemeClr w14:val="tx1"/>
            </w14:solidFill>
          </w14:textFill>
        </w:rPr>
        <w:t>11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bookmarkEnd w:id="194"/>
      <w:bookmarkEnd w:id="195"/>
      <w:bookmarkEnd w:id="196"/>
      <w:bookmarkEnd w:id="197"/>
      <w:bookmarkEnd w:id="198"/>
      <w:bookmarkEnd w:id="199"/>
      <w:bookmarkEnd w:id="200"/>
      <w:bookmarkEnd w:id="201"/>
      <w:bookmarkEnd w:id="202"/>
      <w:bookmarkEnd w:id="203"/>
    </w:p>
    <w:p w14:paraId="606F5D5A">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.12出现下列情形之一的，将终止竞争性磋商采购活动，并发布项目终止公告并说明原因，重新开展采购活动：</w:t>
      </w:r>
    </w:p>
    <w:p w14:paraId="606F5D5B">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（1）因情况变化，不再符合规定的竞争性磋商采购方式适用情形的；</w:t>
      </w:r>
    </w:p>
    <w:p w14:paraId="606F5D5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（2）出现影响采购公正的违法、违规行为的；</w:t>
      </w:r>
    </w:p>
    <w:p w14:paraId="606F5D5D">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（3）在采购过程中符合要求的供应商或者报价未超过采购预算的供应商不足3家的。</w:t>
      </w:r>
    </w:p>
    <w:p w14:paraId="606F5D5E">
      <w:pPr>
        <w:pStyle w:val="4"/>
        <w:keepLines w:val="0"/>
        <w:spacing w:before="240" w:after="240" w:line="360" w:lineRule="auto"/>
        <w:jc w:val="center"/>
        <w:rPr>
          <w:rFonts w:hint="eastAsia" w:ascii="宋体" w:eastAsia="宋体"/>
          <w:b/>
          <w:color w:val="000000" w:themeColor="text1"/>
          <w:kern w:val="0"/>
          <w:szCs w:val="32"/>
          <w14:textFill>
            <w14:solidFill>
              <w14:schemeClr w14:val="tx1"/>
            </w14:solidFill>
          </w14:textFill>
        </w:rPr>
      </w:pPr>
      <w:bookmarkStart w:id="204" w:name="_Toc201047308"/>
      <w:r>
        <w:rPr>
          <w:rFonts w:ascii="宋体" w:eastAsia="宋体"/>
          <w:b/>
          <w:color w:val="000000" w:themeColor="text1"/>
          <w:kern w:val="0"/>
          <w:szCs w:val="32"/>
          <w14:textFill>
            <w14:solidFill>
              <w14:schemeClr w14:val="tx1"/>
            </w14:solidFill>
          </w14:textFill>
        </w:rPr>
        <w:t>六、成交结果</w:t>
      </w:r>
      <w:bookmarkEnd w:id="204"/>
    </w:p>
    <w:p w14:paraId="606F5D5F">
      <w:pPr>
        <w:pStyle w:val="5"/>
        <w:bidi w:val="0"/>
        <w:ind w:firstLine="367"/>
        <w:rPr>
          <w:rFonts w:hint="eastAsia" w:ascii="宋体" w:hAnsi="宋体" w:eastAsia="宋体"/>
          <w:b/>
          <w:bCs/>
          <w:color w:val="000000" w:themeColor="text1"/>
          <w14:textFill>
            <w14:solidFill>
              <w14:schemeClr w14:val="tx1"/>
            </w14:solidFill>
          </w14:textFill>
        </w:rPr>
      </w:pPr>
      <w:bookmarkStart w:id="205" w:name="_Toc75418557"/>
      <w:bookmarkStart w:id="206" w:name="_Toc46924566"/>
      <w:bookmarkStart w:id="207" w:name="_Toc74169267"/>
      <w:bookmarkStart w:id="208" w:name="_Toc72489556"/>
      <w:r>
        <w:rPr>
          <w:rFonts w:hint="eastAsia" w:ascii="宋体" w:hAnsi="宋体" w:eastAsia="宋体"/>
          <w:b/>
          <w:bCs/>
          <w:color w:val="000000" w:themeColor="text1"/>
          <w14:textFill>
            <w14:solidFill>
              <w14:schemeClr w14:val="tx1"/>
            </w14:solidFill>
          </w14:textFill>
        </w:rPr>
        <w:t>2</w:t>
      </w:r>
      <w:r>
        <w:rPr>
          <w:rFonts w:ascii="宋体" w:hAnsi="宋体" w:eastAsia="宋体"/>
          <w:b/>
          <w:bCs/>
          <w:color w:val="000000" w:themeColor="text1"/>
          <w14:textFill>
            <w14:solidFill>
              <w14:schemeClr w14:val="tx1"/>
            </w14:solidFill>
          </w14:textFill>
        </w:rPr>
        <w:t>4</w:t>
      </w:r>
      <w:r>
        <w:rPr>
          <w:rFonts w:hint="eastAsia" w:ascii="宋体" w:hAnsi="宋体" w:eastAsia="宋体"/>
          <w:b/>
          <w:bCs/>
          <w:color w:val="000000" w:themeColor="text1"/>
          <w14:textFill>
            <w14:solidFill>
              <w14:schemeClr w14:val="tx1"/>
            </w14:solidFill>
          </w14:textFill>
        </w:rPr>
        <w:t>、成交供应商的确定</w:t>
      </w:r>
      <w:bookmarkEnd w:id="205"/>
      <w:bookmarkEnd w:id="206"/>
      <w:bookmarkEnd w:id="207"/>
      <w:bookmarkEnd w:id="208"/>
    </w:p>
    <w:p w14:paraId="606F5D60">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.1采购代理机构在评审结束后</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个工作日内将评审报告送采购人确认。</w:t>
      </w:r>
    </w:p>
    <w:p w14:paraId="606F5D61">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4.2</w:t>
      </w:r>
      <w:r>
        <w:rPr>
          <w:rFonts w:hint="eastAsia" w:hAnsi="宋体"/>
          <w:color w:val="000000" w:themeColor="text1"/>
          <w:szCs w:val="21"/>
          <w14:textFill>
            <w14:solidFill>
              <w14:schemeClr w14:val="tx1"/>
            </w14:solidFill>
          </w14:textFill>
        </w:rPr>
        <w:t>采购人应当在收到评审报告后</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个工作日内，从评审报告提出的成交候选供应商中，按照排序由高到低的原则确定成交供应商。本次竞争性磋商不保证授予最低报价的供应商为成交供应商。</w:t>
      </w:r>
    </w:p>
    <w:p w14:paraId="606F5D62">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.3采购代理机构无义务向未成交供应商解释未成交原因和退回响应文件。</w:t>
      </w:r>
    </w:p>
    <w:p w14:paraId="606F5D63">
      <w:pPr>
        <w:pStyle w:val="5"/>
        <w:bidi w:val="0"/>
        <w:ind w:firstLine="367"/>
        <w:rPr>
          <w:rFonts w:hint="eastAsia" w:ascii="宋体" w:hAnsi="宋体" w:eastAsia="宋体"/>
          <w:b/>
          <w:bCs/>
          <w:color w:val="000000" w:themeColor="text1"/>
          <w14:textFill>
            <w14:solidFill>
              <w14:schemeClr w14:val="tx1"/>
            </w14:solidFill>
          </w14:textFill>
        </w:rPr>
      </w:pPr>
      <w:bookmarkStart w:id="209" w:name="_Toc497127308"/>
      <w:bookmarkStart w:id="210" w:name="_Toc320890573"/>
      <w:bookmarkStart w:id="211" w:name="_Toc112595555"/>
      <w:bookmarkStart w:id="212" w:name="_Toc75418558"/>
      <w:bookmarkStart w:id="213" w:name="_Toc46924567"/>
      <w:bookmarkStart w:id="214" w:name="_Toc72489557"/>
      <w:bookmarkStart w:id="215" w:name="_Toc74169268"/>
      <w:r>
        <w:rPr>
          <w:rFonts w:hint="eastAsia" w:ascii="宋体" w:hAnsi="宋体" w:eastAsia="宋体"/>
          <w:b/>
          <w:bCs/>
          <w:color w:val="000000" w:themeColor="text1"/>
          <w14:textFill>
            <w14:solidFill>
              <w14:schemeClr w14:val="tx1"/>
            </w14:solidFill>
          </w14:textFill>
        </w:rPr>
        <w:t>2</w:t>
      </w:r>
      <w:r>
        <w:rPr>
          <w:rFonts w:ascii="宋体" w:hAnsi="宋体" w:eastAsia="宋体"/>
          <w:b/>
          <w:bCs/>
          <w:color w:val="000000" w:themeColor="text1"/>
          <w14:textFill>
            <w14:solidFill>
              <w14:schemeClr w14:val="tx1"/>
            </w14:solidFill>
          </w14:textFill>
        </w:rPr>
        <w:t>5</w:t>
      </w:r>
      <w:r>
        <w:rPr>
          <w:rFonts w:hint="eastAsia" w:ascii="宋体" w:hAnsi="宋体" w:eastAsia="宋体"/>
          <w:b/>
          <w:bCs/>
          <w:color w:val="000000" w:themeColor="text1"/>
          <w14:textFill>
            <w14:solidFill>
              <w14:schemeClr w14:val="tx1"/>
            </w14:solidFill>
          </w14:textFill>
        </w:rPr>
        <w:t>、</w:t>
      </w:r>
      <w:bookmarkEnd w:id="209"/>
      <w:bookmarkEnd w:id="210"/>
      <w:bookmarkEnd w:id="211"/>
      <w:r>
        <w:rPr>
          <w:rFonts w:hint="eastAsia" w:ascii="宋体" w:hAnsi="宋体" w:eastAsia="宋体"/>
          <w:b/>
          <w:bCs/>
          <w:color w:val="000000" w:themeColor="text1"/>
          <w14:textFill>
            <w14:solidFill>
              <w14:schemeClr w14:val="tx1"/>
            </w14:solidFill>
          </w14:textFill>
        </w:rPr>
        <w:t>成交通知书</w:t>
      </w:r>
      <w:bookmarkEnd w:id="212"/>
      <w:bookmarkEnd w:id="213"/>
      <w:bookmarkEnd w:id="214"/>
      <w:bookmarkEnd w:id="215"/>
    </w:p>
    <w:p w14:paraId="606F5D64">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5.1</w:t>
      </w:r>
      <w:r>
        <w:rPr>
          <w:rFonts w:hint="eastAsia" w:hAnsi="宋体"/>
          <w:color w:val="000000" w:themeColor="text1"/>
          <w:szCs w:val="21"/>
          <w14:textFill>
            <w14:solidFill>
              <w14:schemeClr w14:val="tx1"/>
            </w14:solidFill>
          </w14:textFill>
        </w:rPr>
        <w:t>成交供应商确定后2个工作日内，采购代理机构将在竞争性磋商公告发布的同一媒介公告成交结果，同时向成交供应商发出成交通知书。成交公告期限为1个工作日。</w:t>
      </w:r>
    </w:p>
    <w:p w14:paraId="606F5D65">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5.2</w:t>
      </w:r>
      <w:r>
        <w:rPr>
          <w:rFonts w:hint="eastAsia" w:hAnsi="宋体"/>
          <w:color w:val="000000" w:themeColor="text1"/>
          <w:szCs w:val="21"/>
          <w14:textFill>
            <w14:solidFill>
              <w14:schemeClr w14:val="tx1"/>
            </w14:solidFill>
          </w14:textFill>
        </w:rPr>
        <w:t>成交通知书是合同的一个组成部分。</w:t>
      </w:r>
    </w:p>
    <w:p w14:paraId="606F5D66">
      <w:pPr>
        <w:pStyle w:val="5"/>
        <w:bidi w:val="0"/>
        <w:ind w:firstLine="367"/>
        <w:rPr>
          <w:rFonts w:hint="eastAsia" w:ascii="宋体" w:hAnsi="宋体" w:eastAsia="宋体"/>
          <w:b/>
          <w:bCs/>
          <w:color w:val="000000" w:themeColor="text1"/>
          <w14:textFill>
            <w14:solidFill>
              <w14:schemeClr w14:val="tx1"/>
            </w14:solidFill>
          </w14:textFill>
        </w:rPr>
      </w:pPr>
      <w:bookmarkStart w:id="216" w:name="_Toc74169269"/>
      <w:bookmarkStart w:id="217" w:name="_Toc46924568"/>
      <w:bookmarkStart w:id="218" w:name="_Toc75418559"/>
      <w:bookmarkStart w:id="219" w:name="_Toc72489558"/>
      <w:r>
        <w:rPr>
          <w:rFonts w:hint="eastAsia" w:ascii="宋体" w:hAnsi="宋体" w:eastAsia="宋体"/>
          <w:b/>
          <w:bCs/>
          <w:color w:val="000000" w:themeColor="text1"/>
          <w14:textFill>
            <w14:solidFill>
              <w14:schemeClr w14:val="tx1"/>
            </w14:solidFill>
          </w14:textFill>
        </w:rPr>
        <w:t>2</w:t>
      </w:r>
      <w:r>
        <w:rPr>
          <w:rFonts w:ascii="宋体" w:hAnsi="宋体" w:eastAsia="宋体"/>
          <w:b/>
          <w:bCs/>
          <w:color w:val="000000" w:themeColor="text1"/>
          <w14:textFill>
            <w14:solidFill>
              <w14:schemeClr w14:val="tx1"/>
            </w14:solidFill>
          </w14:textFill>
        </w:rPr>
        <w:t>6</w:t>
      </w:r>
      <w:r>
        <w:rPr>
          <w:rFonts w:hint="eastAsia" w:ascii="宋体" w:hAnsi="宋体" w:eastAsia="宋体"/>
          <w:b/>
          <w:bCs/>
          <w:color w:val="000000" w:themeColor="text1"/>
          <w14:textFill>
            <w14:solidFill>
              <w14:schemeClr w14:val="tx1"/>
            </w14:solidFill>
          </w14:textFill>
        </w:rPr>
        <w:t>、签订合同</w:t>
      </w:r>
      <w:bookmarkEnd w:id="216"/>
      <w:bookmarkEnd w:id="217"/>
      <w:bookmarkEnd w:id="218"/>
      <w:bookmarkEnd w:id="219"/>
    </w:p>
    <w:p w14:paraId="606F5D67">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1采购人与成交供应商应当在成交通知书发出之日起30日内，按照磋商文件确定的合同文本以及采购标的、规格型号、采购金额、采购数量、技术和服务要求等事项签订政府采购合同。</w:t>
      </w:r>
    </w:p>
    <w:p w14:paraId="606F5D68">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06F5D69">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3除采购人与成交供应商在合同中另行商定将成交项目的非主体、非关键性工作分包的，成交供应商在成交后将成交项目分包的，采购人取消其成交资格，其磋商保证金不予退还；给采购人造成的损失超过磋商保证金数额的，成交供应商还应当对超过部分予以赔偿。</w:t>
      </w:r>
    </w:p>
    <w:p w14:paraId="606F5D6A">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.4政府采购合同履行中，采购人需追加与合同标的相同的货物、工程或者服务的，在不改变合同其他条款的前提下，可以与成交供应商协商签订补充合同，但所有补充合同的采购金额不得超过原合同采购金额的1</w:t>
      </w:r>
      <w:r>
        <w:rPr>
          <w:rFonts w:hAnsi="宋体"/>
          <w:color w:val="000000" w:themeColor="text1"/>
          <w:szCs w:val="21"/>
          <w14:textFill>
            <w14:solidFill>
              <w14:schemeClr w14:val="tx1"/>
            </w14:solidFill>
          </w14:textFill>
        </w:rPr>
        <w:t>0</w:t>
      </w:r>
      <w:r>
        <w:rPr>
          <w:rFonts w:hint="eastAsia" w:hAnsi="宋体"/>
          <w:color w:val="000000" w:themeColor="text1"/>
          <w:szCs w:val="21"/>
          <w14:textFill>
            <w14:solidFill>
              <w14:schemeClr w14:val="tx1"/>
            </w14:solidFill>
          </w14:textFill>
        </w:rPr>
        <w:t>%。</w:t>
      </w:r>
    </w:p>
    <w:p w14:paraId="606F5D6B">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.5除不可抗力等因素外，成交通知书发出后，采购人改变成交结果，或者成交供应商拒绝签订政府采购合同的，应当承担相应的法律责任。</w:t>
      </w:r>
    </w:p>
    <w:p w14:paraId="606F5D6C">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6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p>
    <w:p w14:paraId="606F5D6D">
      <w:pPr>
        <w:pStyle w:val="5"/>
        <w:bidi w:val="0"/>
        <w:ind w:firstLine="367"/>
        <w:rPr>
          <w:rFonts w:hint="eastAsia" w:ascii="宋体" w:hAnsi="宋体" w:eastAsia="宋体"/>
          <w:b/>
          <w:bCs/>
          <w:color w:val="000000" w:themeColor="text1"/>
          <w14:textFill>
            <w14:solidFill>
              <w14:schemeClr w14:val="tx1"/>
            </w14:solidFill>
          </w14:textFill>
        </w:rPr>
      </w:pPr>
      <w:bookmarkStart w:id="220" w:name="_Toc247085727"/>
      <w:bookmarkStart w:id="221" w:name="_Toc246996213"/>
      <w:bookmarkStart w:id="222" w:name="_Toc152045569"/>
      <w:bookmarkStart w:id="223" w:name="_Toc488184244"/>
      <w:bookmarkStart w:id="224" w:name="_Toc152042345"/>
      <w:bookmarkStart w:id="225" w:name="_Toc461115644"/>
      <w:bookmarkStart w:id="226" w:name="_Toc296602459"/>
      <w:bookmarkStart w:id="227" w:name="_Toc246996956"/>
      <w:bookmarkStart w:id="228" w:name="_Toc144974537"/>
      <w:bookmarkStart w:id="229" w:name="_Toc179632587"/>
      <w:bookmarkStart w:id="230" w:name="_Toc46924569"/>
      <w:bookmarkStart w:id="231" w:name="_Toc74169270"/>
      <w:bookmarkStart w:id="232" w:name="_Toc72489559"/>
      <w:bookmarkStart w:id="233" w:name="_Toc75418560"/>
      <w:r>
        <w:rPr>
          <w:rFonts w:hint="eastAsia" w:ascii="宋体" w:hAnsi="宋体" w:eastAsia="宋体"/>
          <w:b/>
          <w:bCs/>
          <w:color w:val="000000" w:themeColor="text1"/>
          <w14:textFill>
            <w14:solidFill>
              <w14:schemeClr w14:val="tx1"/>
            </w14:solidFill>
          </w14:textFill>
        </w:rPr>
        <w:t>2</w:t>
      </w:r>
      <w:r>
        <w:rPr>
          <w:rFonts w:ascii="宋体" w:hAnsi="宋体" w:eastAsia="宋体"/>
          <w:b/>
          <w:bCs/>
          <w:color w:val="000000" w:themeColor="text1"/>
          <w14:textFill>
            <w14:solidFill>
              <w14:schemeClr w14:val="tx1"/>
            </w14:solidFill>
          </w14:textFill>
        </w:rPr>
        <w:t>7、</w:t>
      </w:r>
      <w:bookmarkEnd w:id="220"/>
      <w:bookmarkEnd w:id="221"/>
      <w:bookmarkEnd w:id="222"/>
      <w:bookmarkEnd w:id="223"/>
      <w:bookmarkEnd w:id="224"/>
      <w:bookmarkEnd w:id="225"/>
      <w:bookmarkEnd w:id="226"/>
      <w:bookmarkEnd w:id="227"/>
      <w:bookmarkEnd w:id="228"/>
      <w:bookmarkEnd w:id="229"/>
      <w:bookmarkStart w:id="234" w:name="_Toc482343752"/>
      <w:r>
        <w:rPr>
          <w:rFonts w:hint="eastAsia" w:ascii="宋体" w:hAnsi="宋体" w:eastAsia="宋体"/>
          <w:b/>
          <w:bCs/>
          <w:color w:val="000000" w:themeColor="text1"/>
          <w14:textFill>
            <w14:solidFill>
              <w14:schemeClr w14:val="tx1"/>
            </w14:solidFill>
          </w14:textFill>
        </w:rPr>
        <w:t>履约保证金</w:t>
      </w:r>
      <w:bookmarkEnd w:id="230"/>
      <w:bookmarkEnd w:id="231"/>
      <w:bookmarkEnd w:id="232"/>
      <w:bookmarkEnd w:id="233"/>
      <w:bookmarkEnd w:id="234"/>
    </w:p>
    <w:p w14:paraId="606F5D6E">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7.1</w:t>
      </w:r>
      <w:r>
        <w:rPr>
          <w:rFonts w:hint="eastAsia" w:hAnsi="宋体"/>
          <w:color w:val="000000" w:themeColor="text1"/>
          <w:szCs w:val="21"/>
          <w14:textFill>
            <w14:solidFill>
              <w14:schemeClr w14:val="tx1"/>
            </w14:solidFill>
          </w14:textFill>
        </w:rPr>
        <w:t>在签订政府采购合同前，成交供应商应向采购人提交履约保证金，履约保证金递交的金额及形式详见《供应商须知前附表》</w:t>
      </w:r>
      <w:r>
        <w:rPr>
          <w:rFonts w:hAnsi="宋体"/>
          <w:color w:val="000000" w:themeColor="text1"/>
          <w:szCs w:val="21"/>
          <w14:textFill>
            <w14:solidFill>
              <w14:schemeClr w14:val="tx1"/>
            </w14:solidFill>
          </w14:textFill>
        </w:rPr>
        <w:t>。</w:t>
      </w:r>
    </w:p>
    <w:p w14:paraId="606F5D6F">
      <w:pPr>
        <w:spacing w:line="360" w:lineRule="auto"/>
        <w:ind w:firstLine="420" w:firstLineChars="20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7.2签订合同后，除因不可抗力或磋商文件认可的情形以外，成交</w:t>
      </w:r>
      <w:r>
        <w:rPr>
          <w:rFonts w:hint="eastAsia" w:hAnsi="宋体"/>
          <w:color w:val="000000" w:themeColor="text1"/>
          <w:szCs w:val="21"/>
          <w14:textFill>
            <w14:solidFill>
              <w14:schemeClr w14:val="tx1"/>
            </w14:solidFill>
          </w14:textFill>
        </w:rPr>
        <w:t>供应商</w:t>
      </w:r>
      <w:r>
        <w:rPr>
          <w:rFonts w:hAnsi="宋体"/>
          <w:color w:val="000000" w:themeColor="text1"/>
          <w:szCs w:val="21"/>
          <w14:textFill>
            <w14:solidFill>
              <w14:schemeClr w14:val="tx1"/>
            </w14:solidFill>
          </w14:textFill>
        </w:rPr>
        <w:t>不与</w:t>
      </w:r>
      <w:r>
        <w:rPr>
          <w:rFonts w:hint="eastAsia" w:hAnsi="宋体"/>
          <w:color w:val="000000" w:themeColor="text1"/>
          <w:szCs w:val="21"/>
          <w14:textFill>
            <w14:solidFill>
              <w14:schemeClr w14:val="tx1"/>
            </w14:solidFill>
          </w14:textFill>
        </w:rPr>
        <w:t>采购人</w:t>
      </w:r>
      <w:r>
        <w:rPr>
          <w:rFonts w:hAnsi="宋体"/>
          <w:color w:val="000000" w:themeColor="text1"/>
          <w:szCs w:val="21"/>
          <w14:textFill>
            <w14:solidFill>
              <w14:schemeClr w14:val="tx1"/>
            </w14:solidFill>
          </w14:textFill>
        </w:rPr>
        <w:t>签订合同的，</w:t>
      </w:r>
      <w:r>
        <w:rPr>
          <w:rFonts w:hint="eastAsia" w:hAnsi="宋体"/>
          <w:color w:val="000000" w:themeColor="text1"/>
          <w:szCs w:val="21"/>
          <w14:textFill>
            <w14:solidFill>
              <w14:schemeClr w14:val="tx1"/>
            </w14:solidFill>
          </w14:textFill>
        </w:rPr>
        <w:t>视为自动放弃，采购人将</w:t>
      </w:r>
      <w:r>
        <w:rPr>
          <w:rFonts w:hAnsi="宋体"/>
          <w:color w:val="000000" w:themeColor="text1"/>
          <w:szCs w:val="21"/>
          <w14:textFill>
            <w14:solidFill>
              <w14:schemeClr w14:val="tx1"/>
            </w14:solidFill>
          </w14:textFill>
        </w:rPr>
        <w:t>没收其全部履约保证金，履约保证金不足以赔偿损失的，按实际损失赔偿。</w:t>
      </w:r>
    </w:p>
    <w:p w14:paraId="5C9B399A">
      <w:pPr>
        <w:pStyle w:val="4"/>
        <w:bidi w:val="0"/>
        <w:jc w:val="center"/>
        <w:rPr>
          <w:rFonts w:hint="default"/>
          <w:lang w:val="en-US" w:eastAsia="zh-CN"/>
        </w:rPr>
      </w:pPr>
      <w:r>
        <w:rPr>
          <w:rFonts w:hint="eastAsia"/>
          <w:lang w:val="en-US" w:eastAsia="zh-CN"/>
        </w:rPr>
        <w:t>七、其他事项</w:t>
      </w:r>
    </w:p>
    <w:p w14:paraId="606F5D70">
      <w:pPr>
        <w:pStyle w:val="5"/>
        <w:bidi w:val="0"/>
        <w:ind w:firstLine="367"/>
        <w:rPr>
          <w:rFonts w:hint="eastAsia" w:ascii="宋体" w:hAnsi="宋体" w:eastAsia="宋体"/>
          <w:b/>
          <w:bCs/>
          <w:color w:val="000000" w:themeColor="text1"/>
          <w14:textFill>
            <w14:solidFill>
              <w14:schemeClr w14:val="tx1"/>
            </w14:solidFill>
          </w14:textFill>
        </w:rPr>
      </w:pPr>
      <w:bookmarkStart w:id="235" w:name="_Toc75418561"/>
      <w:bookmarkStart w:id="236" w:name="_Toc72489560"/>
      <w:bookmarkStart w:id="237" w:name="_Toc74169271"/>
      <w:bookmarkStart w:id="238" w:name="_Toc46924570"/>
      <w:r>
        <w:rPr>
          <w:rFonts w:hint="eastAsia" w:ascii="宋体" w:hAnsi="宋体" w:eastAsia="宋体"/>
          <w:b/>
          <w:bCs/>
          <w:color w:val="000000" w:themeColor="text1"/>
          <w14:textFill>
            <w14:solidFill>
              <w14:schemeClr w14:val="tx1"/>
            </w14:solidFill>
          </w14:textFill>
        </w:rPr>
        <w:t>2</w:t>
      </w:r>
      <w:r>
        <w:rPr>
          <w:rFonts w:ascii="宋体" w:hAnsi="宋体" w:eastAsia="宋体"/>
          <w:b/>
          <w:bCs/>
          <w:color w:val="000000" w:themeColor="text1"/>
          <w14:textFill>
            <w14:solidFill>
              <w14:schemeClr w14:val="tx1"/>
            </w14:solidFill>
          </w14:textFill>
        </w:rPr>
        <w:t>8</w:t>
      </w:r>
      <w:r>
        <w:rPr>
          <w:rFonts w:hint="eastAsia" w:ascii="宋体" w:hAnsi="宋体" w:eastAsia="宋体"/>
          <w:b/>
          <w:bCs/>
          <w:color w:val="000000" w:themeColor="text1"/>
          <w14:textFill>
            <w14:solidFill>
              <w14:schemeClr w14:val="tx1"/>
            </w14:solidFill>
          </w14:textFill>
        </w:rPr>
        <w:t>、采购代理服务费</w:t>
      </w:r>
      <w:bookmarkEnd w:id="235"/>
      <w:bookmarkEnd w:id="236"/>
      <w:bookmarkEnd w:id="237"/>
      <w:bookmarkEnd w:id="238"/>
    </w:p>
    <w:p w14:paraId="606F5D71">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.1采购代理服务费详见《供应商须知前附表》。</w:t>
      </w:r>
    </w:p>
    <w:p w14:paraId="606F5D95">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.2成交供应商应在接收“成交通知书”前向采购代理机构一次付清采购代理服务费。</w:t>
      </w:r>
    </w:p>
    <w:p w14:paraId="606F5D96">
      <w:pPr>
        <w:pStyle w:val="5"/>
        <w:bidi w:val="0"/>
        <w:ind w:firstLine="367"/>
        <w:rPr>
          <w:rFonts w:hint="eastAsia" w:ascii="宋体" w:hAnsi="宋体" w:eastAsia="宋体"/>
          <w:b/>
          <w:bCs/>
          <w:color w:val="000000" w:themeColor="text1"/>
          <w14:textFill>
            <w14:solidFill>
              <w14:schemeClr w14:val="tx1"/>
            </w14:solidFill>
          </w14:textFill>
        </w:rPr>
      </w:pPr>
      <w:bookmarkStart w:id="239" w:name="_Toc72489561"/>
      <w:bookmarkStart w:id="240" w:name="_Toc46924571"/>
      <w:bookmarkStart w:id="241" w:name="_Toc74169272"/>
      <w:bookmarkStart w:id="242" w:name="_Toc75418562"/>
      <w:r>
        <w:rPr>
          <w:rFonts w:ascii="宋体" w:hAnsi="宋体" w:eastAsia="宋体"/>
          <w:b/>
          <w:bCs/>
          <w:color w:val="000000" w:themeColor="text1"/>
          <w14:textFill>
            <w14:solidFill>
              <w14:schemeClr w14:val="tx1"/>
            </w14:solidFill>
          </w14:textFill>
        </w:rPr>
        <w:t>29</w:t>
      </w:r>
      <w:r>
        <w:rPr>
          <w:rFonts w:hint="eastAsia" w:ascii="宋体" w:hAnsi="宋体" w:eastAsia="宋体"/>
          <w:b/>
          <w:bCs/>
          <w:color w:val="000000" w:themeColor="text1"/>
          <w14:textFill>
            <w14:solidFill>
              <w14:schemeClr w14:val="tx1"/>
            </w14:solidFill>
          </w14:textFill>
        </w:rPr>
        <w:t>、磋商文件编制依据</w:t>
      </w:r>
      <w:bookmarkEnd w:id="239"/>
      <w:bookmarkEnd w:id="240"/>
      <w:bookmarkEnd w:id="241"/>
      <w:bookmarkEnd w:id="242"/>
    </w:p>
    <w:p w14:paraId="606F5D97">
      <w:pPr>
        <w:spacing w:line="360" w:lineRule="auto"/>
        <w:ind w:firstLine="420" w:firstLineChars="200"/>
        <w:jc w:val="left"/>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29</w:t>
      </w:r>
      <w:r>
        <w:rPr>
          <w:rFonts w:hint="eastAsia" w:hAnsi="宋体"/>
          <w:color w:val="000000" w:themeColor="text1"/>
          <w:szCs w:val="21"/>
          <w14:textFill>
            <w14:solidFill>
              <w14:schemeClr w14:val="tx1"/>
            </w14:solidFill>
          </w14:textFill>
        </w:rPr>
        <w:t>.1本竞争性磋商文件根据《中华人民共和国政府采购法》、《中华人民共和国政府采购法实施条例》、《政府采购竞争性磋商采购方式管理暂行办法》等有关法律、法规和规章进行编制，解释权属于采购人、采购代理机构。</w:t>
      </w:r>
    </w:p>
    <w:p w14:paraId="606F5D98">
      <w:pPr>
        <w:pStyle w:val="5"/>
        <w:bidi w:val="0"/>
        <w:ind w:firstLine="367"/>
        <w:rPr>
          <w:rFonts w:hint="eastAsia" w:ascii="宋体" w:hAnsi="宋体" w:eastAsia="宋体"/>
          <w:b/>
          <w:bCs/>
          <w:color w:val="000000" w:themeColor="text1"/>
          <w14:textFill>
            <w14:solidFill>
              <w14:schemeClr w14:val="tx1"/>
            </w14:solidFill>
          </w14:textFill>
        </w:rPr>
      </w:pPr>
      <w:bookmarkStart w:id="243" w:name="_Toc75418563"/>
      <w:bookmarkStart w:id="244" w:name="_Toc72489562"/>
      <w:bookmarkStart w:id="245" w:name="_Toc46924572"/>
      <w:bookmarkStart w:id="246" w:name="_Toc74169273"/>
      <w:r>
        <w:rPr>
          <w:rFonts w:hint="eastAsia" w:ascii="宋体" w:hAnsi="宋体" w:eastAsia="宋体" w:cs="宋体"/>
        </w:rPr>
        <w:t>30</w:t>
      </w:r>
      <w:r>
        <w:rPr>
          <w:rFonts w:hint="eastAsia" w:ascii="宋体" w:hAnsi="宋体" w:eastAsia="宋体"/>
          <w:b/>
          <w:bCs/>
          <w:color w:val="000000" w:themeColor="text1"/>
          <w14:textFill>
            <w14:solidFill>
              <w14:schemeClr w14:val="tx1"/>
            </w14:solidFill>
          </w14:textFill>
        </w:rPr>
        <w:t>、需要补充的其他内容</w:t>
      </w:r>
      <w:bookmarkEnd w:id="243"/>
      <w:bookmarkEnd w:id="244"/>
      <w:bookmarkEnd w:id="245"/>
      <w:bookmarkEnd w:id="246"/>
    </w:p>
    <w:p w14:paraId="532A811B">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.1关于中小企业：</w:t>
      </w:r>
    </w:p>
    <w:p w14:paraId="27EA167D">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30B5F2C4">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.1.2符合中小企业划分标准的个体工商户，在政府采购活动中视同中小企业。</w:t>
      </w:r>
    </w:p>
    <w:p w14:paraId="3A7FF86D">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.1.3在政府采购活动中，供应商提供的货物、工程或者服务符合下列情形的，享受《关于印发&lt;政府采购促进中小企业发展管理办法&gt;的通知》（财库〔2020〕46号）规定的中小企业扶持政策：</w:t>
      </w:r>
    </w:p>
    <w:p w14:paraId="231CEDBD">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（一）在货物采购项目中，货物由中小企业制造，即货物由中小企业生产且使用该中小企业商号或者注册商标；</w:t>
      </w:r>
    </w:p>
    <w:p w14:paraId="71FC584E">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（二）在工程采购项目中，工程由中小企业承建，即工程施工单位为中小企业；</w:t>
      </w:r>
    </w:p>
    <w:p w14:paraId="60F63056">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（三）在服务采购项目中，服务由中小企业承接，即提供服务的人员为中小企业依照《中华人民共和国劳动合同法》订立劳动合同的从业人员。</w:t>
      </w:r>
    </w:p>
    <w:p w14:paraId="1CFBE633">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.1.4在货物采购项目中，供应商提供的货物既有中小企业制造货物，也有大型企业制造货物的，不享受本办法规定的中小企业扶持政策。</w:t>
      </w:r>
    </w:p>
    <w:p w14:paraId="5D7FF5BB">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31.1.5以联合体形式参加政府采购活动，联合体各方均为中小企业的，联合体视同中小企业。其中，联合体各方均为小微企业的,联合体视同小微企业。</w:t>
      </w:r>
    </w:p>
    <w:p w14:paraId="5CEE59FF">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.1.6中小企业参加政府采购活动，应当出具《关于印发&lt;政府采购促进中小企业发展管理办法&gt;的通知》（财库〔2020〕46号）规定的《中小企业声明函》，否则不得享受相关中小企业扶持政策。</w:t>
      </w:r>
    </w:p>
    <w:p w14:paraId="6B6BE966">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.1.7依据《关于印发&lt;政府采购促进中小企业发展管理办法&gt;的通知》（财库〔2020〕46号）规定享受扶持政策获得政府采购合同的，小微企业不得将合同分包给大中型企业，中型企业不得将合同分包给大型企业。</w:t>
      </w:r>
    </w:p>
    <w:p w14:paraId="5E3D6216">
      <w:pPr>
        <w:wordWrap w:val="0"/>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.1.8</w:t>
      </w:r>
      <w:r>
        <w:rPr>
          <w:rFonts w:hint="eastAsia" w:ascii="宋体" w:hAnsi="宋体" w:cs="宋体"/>
          <w:bCs/>
          <w:color w:val="auto"/>
          <w:szCs w:val="21"/>
          <w:highlight w:val="none"/>
        </w:rPr>
        <w:t>根据《关于印发《政府采购促进中小企业发展管理办法》的通知》（财库〔2020〕46号）的规定，</w:t>
      </w:r>
      <w:r>
        <w:rPr>
          <w:rFonts w:hint="eastAsia" w:ascii="宋体" w:hAnsi="宋体" w:cs="宋体"/>
          <w:bCs/>
          <w:color w:val="auto"/>
          <w:szCs w:val="21"/>
          <w:highlight w:val="none"/>
          <w:lang w:val="en-US" w:eastAsia="zh-CN"/>
        </w:rPr>
        <w:t>本项目专门面向中小企业采购</w:t>
      </w:r>
      <w:r>
        <w:rPr>
          <w:rFonts w:hint="eastAsia" w:ascii="宋体" w:hAnsi="宋体" w:eastAsia="宋体" w:cs="宋体"/>
          <w:color w:val="auto"/>
          <w:szCs w:val="21"/>
          <w:highlight w:val="none"/>
        </w:rPr>
        <w:t>。符合条件的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应根据下表所属行业</w:t>
      </w:r>
      <w:r>
        <w:rPr>
          <w:rFonts w:hint="eastAsia" w:ascii="宋体" w:hAnsi="宋体" w:eastAsia="宋体" w:cs="宋体"/>
          <w:color w:val="auto"/>
          <w:szCs w:val="21"/>
          <w:highlight w:val="none"/>
          <w:lang w:val="en-US" w:eastAsia="zh-CN"/>
        </w:rPr>
        <w:t>填写</w:t>
      </w:r>
      <w:r>
        <w:rPr>
          <w:rFonts w:hint="eastAsia" w:ascii="宋体" w:hAnsi="宋体" w:cs="宋体"/>
          <w:color w:val="auto"/>
          <w:szCs w:val="21"/>
          <w:highlight w:val="none"/>
        </w:rPr>
        <w:t>《中小企业声明函》</w:t>
      </w:r>
      <w:r>
        <w:rPr>
          <w:rFonts w:hint="eastAsia" w:ascii="宋体" w:hAnsi="宋体" w:eastAsia="宋体" w:cs="宋体"/>
          <w:color w:val="auto"/>
          <w:szCs w:val="21"/>
          <w:highlight w:val="none"/>
        </w:rPr>
        <w:t>：</w:t>
      </w:r>
    </w:p>
    <w:tbl>
      <w:tblPr>
        <w:tblStyle w:val="18"/>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4"/>
        <w:gridCol w:w="3553"/>
      </w:tblGrid>
      <w:tr w14:paraId="5A43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954" w:type="dxa"/>
            <w:shd w:val="clear" w:color="auto" w:fill="D7D7D7" w:themeFill="background1" w:themeFillShade="D8"/>
            <w:vAlign w:val="center"/>
          </w:tcPr>
          <w:p w14:paraId="4035FFE2">
            <w:pPr>
              <w:pStyle w:val="22"/>
              <w:suppressLineNumbers w:val="0"/>
              <w:bidi w:val="0"/>
              <w:spacing w:before="0" w:beforeAutospacing="0" w:after="0" w:afterAutospacing="0"/>
              <w:ind w:left="0" w:right="0"/>
              <w:jc w:val="center"/>
              <w:rPr>
                <w:rFonts w:hint="default"/>
              </w:rPr>
            </w:pPr>
            <w:r>
              <w:rPr>
                <w:rFonts w:hint="eastAsia"/>
              </w:rPr>
              <w:t>标的名称</w:t>
            </w:r>
          </w:p>
        </w:tc>
        <w:tc>
          <w:tcPr>
            <w:tcW w:w="3553" w:type="dxa"/>
            <w:shd w:val="clear" w:color="auto" w:fill="D7D7D7" w:themeFill="background1" w:themeFillShade="D8"/>
            <w:vAlign w:val="center"/>
          </w:tcPr>
          <w:p w14:paraId="45FA02C5">
            <w:pPr>
              <w:pStyle w:val="22"/>
              <w:suppressLineNumbers w:val="0"/>
              <w:bidi w:val="0"/>
              <w:spacing w:before="0" w:beforeAutospacing="0" w:after="0" w:afterAutospacing="0"/>
              <w:ind w:left="0" w:right="0"/>
              <w:jc w:val="center"/>
              <w:rPr>
                <w:rFonts w:hint="default"/>
              </w:rPr>
            </w:pPr>
            <w:r>
              <w:rPr>
                <w:rFonts w:hint="eastAsia"/>
              </w:rPr>
              <w:t>所属行业</w:t>
            </w:r>
          </w:p>
        </w:tc>
      </w:tr>
      <w:tr w14:paraId="0E75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54" w:type="dxa"/>
            <w:vAlign w:val="center"/>
          </w:tcPr>
          <w:p w14:paraId="08D39F91">
            <w:pPr>
              <w:pStyle w:val="22"/>
              <w:suppressLineNumbers w:val="0"/>
              <w:bidi w:val="0"/>
              <w:spacing w:before="0" w:beforeAutospacing="0" w:after="0" w:afterAutospacing="0"/>
              <w:ind w:left="0" w:right="0"/>
              <w:jc w:val="center"/>
              <w:rPr>
                <w:rFonts w:hint="eastAsia"/>
                <w:highlight w:val="none"/>
                <w:lang w:val="en-US" w:eastAsia="zh-CN"/>
              </w:rPr>
            </w:pPr>
            <w:r>
              <w:rPr>
                <w:rFonts w:hint="eastAsia"/>
                <w:highlight w:val="none"/>
                <w:lang w:val="en-US" w:eastAsia="zh-CN"/>
              </w:rPr>
              <w:t>元谋县2025年中央水利发展资金白蚁等害堤动物防治项目</w:t>
            </w:r>
          </w:p>
        </w:tc>
        <w:tc>
          <w:tcPr>
            <w:tcW w:w="3553" w:type="dxa"/>
            <w:vAlign w:val="center"/>
          </w:tcPr>
          <w:p w14:paraId="0B7F1C54">
            <w:pPr>
              <w:pStyle w:val="22"/>
              <w:suppressLineNumbers w:val="0"/>
              <w:bidi w:val="0"/>
              <w:spacing w:before="0" w:beforeAutospacing="0" w:after="0" w:afterAutospacing="0"/>
              <w:ind w:left="0" w:right="0"/>
              <w:jc w:val="center"/>
              <w:rPr>
                <w:rFonts w:hint="default"/>
                <w:highlight w:val="none"/>
                <w:lang w:val="en-US" w:eastAsia="zh-CN"/>
              </w:rPr>
            </w:pPr>
            <w:r>
              <w:rPr>
                <w:rFonts w:hint="eastAsia"/>
                <w:highlight w:val="none"/>
                <w:lang w:val="en-US" w:eastAsia="zh-CN"/>
              </w:rPr>
              <w:t>其他未列明行业</w:t>
            </w:r>
          </w:p>
        </w:tc>
      </w:tr>
    </w:tbl>
    <w:p w14:paraId="200B21E9">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bCs/>
          <w:color w:val="auto"/>
          <w:kern w:val="2"/>
          <w:sz w:val="21"/>
          <w:szCs w:val="21"/>
          <w:highlight w:val="none"/>
          <w:lang w:val="en-US" w:eastAsia="zh-CN" w:bidi="ar-SA"/>
        </w:rPr>
        <w:t>本项目按照《中小企业划型标准规定》中“</w:t>
      </w:r>
      <w:r>
        <w:rPr>
          <w:rFonts w:hint="eastAsia"/>
          <w:highlight w:val="none"/>
          <w:lang w:val="en-US" w:eastAsia="zh-CN"/>
        </w:rPr>
        <w:t>其他未列明行业</w:t>
      </w:r>
      <w:r>
        <w:rPr>
          <w:rFonts w:hint="eastAsia" w:ascii="宋体" w:hAnsi="宋体" w:eastAsia="宋体" w:cs="宋体"/>
          <w:bCs/>
          <w:color w:val="auto"/>
          <w:kern w:val="2"/>
          <w:sz w:val="21"/>
          <w:szCs w:val="21"/>
          <w:highlight w:val="none"/>
          <w:lang w:val="en-US" w:eastAsia="zh-CN" w:bidi="ar-SA"/>
        </w:rPr>
        <w:t>”的行业划型标准进行划型。</w:t>
      </w:r>
    </w:p>
    <w:p w14:paraId="70B8B49E">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中标、成交供应商享受本办法规定的中小企业扶持政策的，采购人、采购代理机构将随中标、成交结果公开中标、成交供应商的《中小企业声明函》。</w:t>
      </w:r>
    </w:p>
    <w:p w14:paraId="5368767E">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关于监狱企业：</w:t>
      </w:r>
    </w:p>
    <w:p w14:paraId="17BAE42C">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4FA731">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.2监狱企业参加政府采购活动时，应当提供由省级以上监狱管理局、戒毒管理局（含新疆生产建设兵团）出具的属于监狱企业的证明文件。</w:t>
      </w:r>
    </w:p>
    <w:p w14:paraId="47966C37">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.3在政府采购活动中，监狱企业视同小型、微型企业，享受预留份额、评审中价格扣除等政府采购促进中小企业发展的政府采购政策。</w:t>
      </w:r>
    </w:p>
    <w:p w14:paraId="1DD7B7B3">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关于残疾人福利性单位：</w:t>
      </w:r>
    </w:p>
    <w:p w14:paraId="5F2A0EF1">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.1根据《三部门联合发布关于促进残疾人就业政府采购政策的通知》（财库〔2017〕141号）的规定，享受政府采购支持政策的残疾人福利性单位应当同时满足以下条件：</w:t>
      </w:r>
    </w:p>
    <w:p w14:paraId="42645BE1">
      <w:pPr>
        <w:keepNext w:val="0"/>
        <w:keepLines w:val="0"/>
        <w:pageBreakBefore w:val="0"/>
        <w:kinsoku/>
        <w:overflowPunct/>
        <w:topLinePunct w:val="0"/>
        <w:bidi w:val="0"/>
        <w:snapToGrid w:val="0"/>
        <w:spacing w:beforeAutospacing="0" w:afterAutospacing="0" w:line="360" w:lineRule="auto"/>
        <w:ind w:left="0" w:leftChars="0" w:righ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（一）安置的残疾人占本单位在职职工人数的比例不低于25%（含25%），并且安置的残疾人人数不少于10人（含10人）；</w:t>
      </w:r>
    </w:p>
    <w:p w14:paraId="50D85944">
      <w:pPr>
        <w:keepNext w:val="0"/>
        <w:keepLines w:val="0"/>
        <w:pageBreakBefore w:val="0"/>
        <w:kinsoku/>
        <w:overflowPunct/>
        <w:topLinePunct w:val="0"/>
        <w:bidi w:val="0"/>
        <w:snapToGrid w:val="0"/>
        <w:spacing w:beforeAutospacing="0" w:afterAutospacing="0" w:line="360" w:lineRule="auto"/>
        <w:ind w:left="0" w:leftChars="0" w:righ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（二）依法与安置的每位残疾人签订了一年以上（含一年）的劳动合同或服务协议；</w:t>
      </w:r>
    </w:p>
    <w:p w14:paraId="069F227C">
      <w:pPr>
        <w:keepNext w:val="0"/>
        <w:keepLines w:val="0"/>
        <w:pageBreakBefore w:val="0"/>
        <w:kinsoku/>
        <w:overflowPunct/>
        <w:topLinePunct w:val="0"/>
        <w:bidi w:val="0"/>
        <w:snapToGrid w:val="0"/>
        <w:spacing w:beforeAutospacing="0" w:afterAutospacing="0" w:line="360" w:lineRule="auto"/>
        <w:ind w:left="0" w:leftChars="0" w:righ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（三）为安置的每位残疾人按月足额缴纳了基本养老保险、基本医疗保险、失业保险、工伤保险和生育保险等社会保险费；</w:t>
      </w:r>
    </w:p>
    <w:p w14:paraId="5266BFAE">
      <w:pPr>
        <w:keepNext w:val="0"/>
        <w:keepLines w:val="0"/>
        <w:pageBreakBefore w:val="0"/>
        <w:kinsoku/>
        <w:overflowPunct/>
        <w:topLinePunct w:val="0"/>
        <w:bidi w:val="0"/>
        <w:snapToGrid w:val="0"/>
        <w:spacing w:beforeAutospacing="0" w:afterAutospacing="0" w:line="360" w:lineRule="auto"/>
        <w:ind w:left="0" w:leftChars="0" w:righ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（四）通过银行等金融机构向安置的每位残疾人，按月支付了不低于单位所在区县适用的经省级人民政府批准的月最低工资标准的工资；</w:t>
      </w:r>
    </w:p>
    <w:p w14:paraId="00F9CE15">
      <w:pPr>
        <w:keepNext w:val="0"/>
        <w:keepLines w:val="0"/>
        <w:pageBreakBefore w:val="0"/>
        <w:kinsoku/>
        <w:overflowPunct/>
        <w:topLinePunct w:val="0"/>
        <w:bidi w:val="0"/>
        <w:snapToGrid w:val="0"/>
        <w:spacing w:beforeAutospacing="0" w:afterAutospacing="0" w:line="360" w:lineRule="auto"/>
        <w:ind w:left="0" w:leftChars="0" w:righ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7C17C602">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16A988">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2符合条件的残疾人福利性单位在参加政府采购活动时，应当按《三部门联合发布关于促进残疾人就业政府采购政策的通知》（财库〔2017〕141号）提供规定的《残疾人福利性单位声明函》，并对声明的真实性负责。</w:t>
      </w:r>
    </w:p>
    <w:p w14:paraId="01CEFBF2">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rPr>
        <w:t>残疾人福利性单位视同小型、微型企业。残疾人福利性单位属于小型、微型企业的，不重复享受政策。</w:t>
      </w:r>
    </w:p>
    <w:p w14:paraId="7D8308CE">
      <w:pPr>
        <w:pStyle w:val="8"/>
        <w:adjustRightInd w:val="0"/>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.4关于节能产品及环境标志产品：</w:t>
      </w:r>
    </w:p>
    <w:p w14:paraId="0B5CB659">
      <w:pPr>
        <w:pStyle w:val="8"/>
        <w:adjustRightInd w:val="0"/>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.4.1根据《财政部 发展改革委 生态环境部 市场监管总局 关于调整优化节能产品、环境标志产品政府采购执行机制的通知》（财库〔2019〕9号），对政府采购节能产品、环境标志产品实施品目清单管理。</w:t>
      </w:r>
    </w:p>
    <w:p w14:paraId="00A0DDAB">
      <w:pPr>
        <w:pStyle w:val="8"/>
        <w:adjustRightInd w:val="0"/>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.4.2节能产品是指列入财政部和发展改革委公布的《关于印发节能产品政府采购品目清单的通知》（财库〔2019〕19号）《节能产品政府采购品目清单》中的产品，其中以“★”标注的为政府强制采购产品。</w:t>
      </w:r>
    </w:p>
    <w:p w14:paraId="1D9538AB">
      <w:pPr>
        <w:pStyle w:val="8"/>
        <w:adjustRightInd w:val="0"/>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.4.3环境标志产品是指列入财政部和生态环境部公布的《关于印发环境标志产品政府采购品目清单的通知》（财库〔2019〕18号）《环境标志产品政府采购品目清单》中的产品。</w:t>
      </w:r>
    </w:p>
    <w:p w14:paraId="4DED32BD">
      <w:pPr>
        <w:pStyle w:val="8"/>
        <w:adjustRightInd w:val="0"/>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.4.4产品属于节能产品或环境标志产品的，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需在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319AC8BD">
      <w:pPr>
        <w:keepNext w:val="0"/>
        <w:keepLines w:val="0"/>
        <w:pageBreakBefore w:val="0"/>
        <w:tabs>
          <w:tab w:val="left" w:pos="105"/>
          <w:tab w:val="left" w:pos="945"/>
          <w:tab w:val="left" w:pos="3360"/>
        </w:tabs>
        <w:kinsoku/>
        <w:overflowPunct/>
        <w:topLinePunct w:val="0"/>
        <w:bidi w:val="0"/>
        <w:adjustRightInd w:val="0"/>
        <w:snapToGrid w:val="0"/>
        <w:spacing w:beforeAutospacing="0" w:afterAutospacing="0" w:line="360" w:lineRule="auto"/>
        <w:ind w:left="0" w:leftChars="0" w:right="0"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.4.5若</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文件中未提供或未按要求提供产品经国家确定的参与实施政府采购节能产品认证机构或参与实施政府采购环境标志产品认证机构出具的、处于有效期之内的节能产品、环境标志产品认证证书，</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在评审过程中将不予认可，由此造成的一切后果</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1DFC2B3B">
      <w:pPr>
        <w:bidi w:val="0"/>
        <w:rPr>
          <w:rFonts w:hint="eastAsia" w:eastAsia="宋体"/>
          <w:lang w:val="en-US" w:eastAsia="zh-CN"/>
        </w:rPr>
      </w:pPr>
      <w:r>
        <w:rPr>
          <w:rFonts w:hint="eastAsia"/>
          <w:lang w:val="en-US" w:eastAsia="zh-CN"/>
        </w:rPr>
        <w:t>需要补充的其他内容：</w:t>
      </w:r>
      <w:r>
        <w:rPr>
          <w:rFonts w:hint="eastAsia" w:hAnsi="宋体"/>
          <w:color w:val="000000" w:themeColor="text1"/>
          <w:szCs w:val="21"/>
          <w14:textFill>
            <w14:solidFill>
              <w14:schemeClr w14:val="tx1"/>
            </w14:solidFill>
          </w14:textFill>
        </w:rPr>
        <w:t>详见《供应商须知前附表》</w:t>
      </w:r>
      <w:r>
        <w:rPr>
          <w:rFonts w:hint="eastAsia" w:hAnsi="宋体"/>
          <w:color w:val="000000" w:themeColor="text1"/>
          <w:szCs w:val="21"/>
          <w:lang w:eastAsia="zh-CN"/>
          <w14:textFill>
            <w14:solidFill>
              <w14:schemeClr w14:val="tx1"/>
            </w14:solidFill>
          </w14:textFill>
        </w:rPr>
        <w:t>。</w:t>
      </w:r>
    </w:p>
    <w:p w14:paraId="606F5DBA">
      <w:pPr>
        <w:keepLines w:val="0"/>
        <w:widowControl/>
        <w:spacing w:line="360" w:lineRule="auto"/>
        <w:rPr>
          <w:rFonts w:hint="eastAsia" w:ascii="宋体" w:hAnsi="宋体" w:eastAsia="宋体"/>
          <w:b/>
          <w:bCs/>
          <w:color w:val="000000" w:themeColor="text1"/>
          <w14:textFill>
            <w14:solidFill>
              <w14:schemeClr w14:val="tx1"/>
            </w14:solidFill>
          </w14:textFill>
        </w:rPr>
      </w:pPr>
      <w:bookmarkStart w:id="247" w:name="_Toc46924573"/>
      <w:bookmarkStart w:id="248" w:name="_Toc74169274"/>
      <w:bookmarkStart w:id="249" w:name="_Toc72489563"/>
      <w:bookmarkStart w:id="250" w:name="_Toc75418564"/>
      <w:r>
        <w:rPr>
          <w:rFonts w:hint="eastAsia" w:ascii="宋体" w:hAnsi="宋体" w:eastAsia="宋体"/>
          <w:b/>
          <w:bCs/>
          <w:color w:val="000000" w:themeColor="text1"/>
          <w14:textFill>
            <w14:solidFill>
              <w14:schemeClr w14:val="tx1"/>
            </w14:solidFill>
          </w14:textFill>
        </w:rPr>
        <w:t>★3</w:t>
      </w:r>
      <w:r>
        <w:rPr>
          <w:rFonts w:ascii="宋体" w:hAnsi="宋体" w:eastAsia="宋体"/>
          <w:b/>
          <w:bCs/>
          <w:color w:val="000000" w:themeColor="text1"/>
          <w14:textFill>
            <w14:solidFill>
              <w14:schemeClr w14:val="tx1"/>
            </w14:solidFill>
          </w14:textFill>
        </w:rPr>
        <w:t>1</w:t>
      </w:r>
      <w:r>
        <w:rPr>
          <w:rFonts w:hint="eastAsia" w:ascii="宋体" w:hAnsi="宋体" w:eastAsia="宋体"/>
          <w:b/>
          <w:bCs/>
          <w:color w:val="000000" w:themeColor="text1"/>
          <w14:textFill>
            <w14:solidFill>
              <w14:schemeClr w14:val="tx1"/>
            </w14:solidFill>
          </w14:textFill>
        </w:rPr>
        <w:t>、其它内容</w:t>
      </w:r>
      <w:bookmarkEnd w:id="247"/>
      <w:bookmarkEnd w:id="248"/>
      <w:bookmarkEnd w:id="249"/>
      <w:bookmarkEnd w:id="250"/>
    </w:p>
    <w:p w14:paraId="606F5DBB">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根</w:t>
      </w:r>
      <w:r>
        <w:rPr>
          <w:rFonts w:hint="eastAsia" w:hAnsi="宋体"/>
          <w:color w:val="000000" w:themeColor="text1"/>
          <w:szCs w:val="21"/>
          <w14:textFill>
            <w14:solidFill>
              <w14:schemeClr w14:val="tx1"/>
            </w14:solidFill>
          </w14:textFill>
        </w:rPr>
        <w:t>据《财政部关于在政府采购活动中查询及使用信用记录有关问题的通知》（财库〔2016〕125号）相关要求，采购人或者采购代理机构对信用记录进行核实，对列入严重失信主体名单、经营（活动）异常名录信息、失信被执行人、重大税收违法失信主体名单、政府采购严重违法失信行为记录名单、严重违法失信企业名单（黑名单）信息及其他不符合《中华人民共和国政府采购法》第二十二条规定条件的供应商，拒绝其参与政府采购活动</w:t>
      </w:r>
      <w:r>
        <w:rPr>
          <w:rFonts w:hint="eastAsia" w:hAnsi="宋体" w:cs="宋体"/>
          <w:color w:val="000000" w:themeColor="text1"/>
          <w:szCs w:val="21"/>
          <w14:textFill>
            <w14:solidFill>
              <w14:schemeClr w14:val="tx1"/>
            </w14:solidFill>
          </w14:textFill>
        </w:rPr>
        <w:t>。</w:t>
      </w:r>
    </w:p>
    <w:p w14:paraId="2932FA0D">
      <w:pPr>
        <w:keepLines w:val="0"/>
        <w:widowControl/>
        <w:spacing w:line="360" w:lineRule="auto"/>
        <w:rPr>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3</w:t>
      </w:r>
      <w:r>
        <w:rPr>
          <w:rFonts w:ascii="宋体" w:hAnsi="宋体" w:eastAsia="宋体"/>
          <w:b/>
          <w:bCs/>
          <w:color w:val="000000" w:themeColor="text1"/>
          <w14:textFill>
            <w14:solidFill>
              <w14:schemeClr w14:val="tx1"/>
            </w14:solidFill>
          </w14:textFill>
        </w:rPr>
        <w:t>2</w:t>
      </w:r>
      <w:r>
        <w:rPr>
          <w:rFonts w:hint="eastAsia" w:ascii="宋体" w:hAnsi="宋体" w:eastAsia="宋体"/>
          <w:b/>
          <w:bCs/>
          <w:color w:val="000000" w:themeColor="text1"/>
          <w14:textFill>
            <w14:solidFill>
              <w14:schemeClr w14:val="tx1"/>
            </w14:solidFill>
          </w14:textFill>
        </w:rPr>
        <w:t>、特别提示</w:t>
      </w:r>
    </w:p>
    <w:p w14:paraId="694FB33E">
      <w:pPr>
        <w:spacing w:line="360" w:lineRule="auto"/>
        <w:ind w:firstLine="422" w:firstLineChars="200"/>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1、本项目响应文件为网上递交。网上递交响应文件后，在开标时，供应商对响应文件进行解密。</w:t>
      </w:r>
    </w:p>
    <w:p w14:paraId="319C4178">
      <w:pPr>
        <w:spacing w:line="360" w:lineRule="auto"/>
        <w:ind w:firstLine="422" w:firstLineChars="200"/>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2、按《竞争性磋商文件》的规定，在磋商阶段磋商小组将与通过初步评审的供应商进行磋商并进行最后报价；最后报价文件应由法定代表人或其委托代理人签字，在规定的时间统一上传至政府采购云平台。若已提交的最后报价中出现含义不明确、同类问题表述不一致或者签署不完整、有明显文字和计算错误的，可以进行澄清、补充和修正，但不得改变响应文件中实质性内容。</w:t>
      </w:r>
    </w:p>
    <w:p w14:paraId="606F5DC8">
      <w:pPr>
        <w:rPr>
          <w:b/>
          <w:color w:val="000000" w:themeColor="text1"/>
          <w:kern w:val="0"/>
          <w:szCs w:val="32"/>
          <w14:textFill>
            <w14:solidFill>
              <w14:schemeClr w14:val="tx1"/>
            </w14:solidFill>
          </w14:textFill>
        </w:rPr>
      </w:pPr>
      <w:r>
        <w:rPr>
          <w:b/>
          <w:color w:val="000000" w:themeColor="text1"/>
          <w:kern w:val="0"/>
          <w:szCs w:val="32"/>
          <w14:textFill>
            <w14:solidFill>
              <w14:schemeClr w14:val="tx1"/>
            </w14:solidFill>
          </w14:textFill>
        </w:rPr>
        <w:br w:type="page"/>
      </w:r>
    </w:p>
    <w:p w14:paraId="0D2D8683"/>
    <w:p w14:paraId="606F5DCC">
      <w:pPr>
        <w:pStyle w:val="4"/>
        <w:bidi w:val="0"/>
        <w:jc w:val="center"/>
        <w:rPr>
          <w:rFonts w:hint="eastAsia"/>
        </w:rPr>
      </w:pPr>
      <w:bookmarkStart w:id="251" w:name="_Toc201047309"/>
      <w:r>
        <w:rPr>
          <w:rFonts w:hint="eastAsia"/>
        </w:rPr>
        <w:t>政府采购电子交易平台供应商注意事项</w:t>
      </w:r>
      <w:bookmarkEnd w:id="251"/>
    </w:p>
    <w:p w14:paraId="606F5DCD">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为规范采购人、代理机构在政府采购电子交易平台（以下简称：“电子交易平台”）中编制电子采购文件，现就供应商使用电子交易平台注意事项如下：</w:t>
      </w:r>
    </w:p>
    <w:p w14:paraId="606F5DCE">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一、电子采购文件获取</w:t>
      </w:r>
    </w:p>
    <w:p w14:paraId="6E98EF27">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凡有意参加的供应商，</w:t>
      </w:r>
      <w:r>
        <w:rPr>
          <w:rFonts w:hint="eastAsia" w:hAnsi="宋体"/>
          <w:color w:val="000000" w:themeColor="text1"/>
          <w:szCs w:val="21"/>
          <w14:textFill>
            <w14:solidFill>
              <w14:schemeClr w14:val="tx1"/>
            </w14:solidFill>
          </w14:textFill>
        </w:rPr>
        <w:t>请于竞争性磋商文件获取截止时间前，凭企业数字证书（CA）登录 政府采购云平台（网址：www.zcygov.cn），在网上获取竞争性磋商文件及其它采购资料，此为获取竞争性磋商文件的唯一途径。未办理企业数字证书（CA）的，</w:t>
      </w:r>
      <w:r>
        <w:rPr>
          <w:rFonts w:hint="eastAsia" w:hAnsi="宋体" w:cs="宋体"/>
          <w:color w:val="000000" w:themeColor="text1"/>
          <w:szCs w:val="21"/>
          <w14:textFill>
            <w14:solidFill>
              <w14:schemeClr w14:val="tx1"/>
            </w14:solidFill>
          </w14:textFill>
        </w:rPr>
        <w:t>须在政府采购云平台办理数字证书（CA）， CA申领链接：</w:t>
      </w:r>
      <w:r>
        <w:rPr>
          <w:rFonts w:hAnsi="宋体" w:cs="宋体"/>
          <w:color w:val="000000" w:themeColor="text1"/>
          <w:szCs w:val="21"/>
          <w14:textFill>
            <w14:solidFill>
              <w14:schemeClr w14:val="tx1"/>
            </w14:solidFill>
          </w14:textFill>
        </w:rPr>
        <w:t>https://login.zcygov.cn/user-login/#/login</w:t>
      </w:r>
      <w:r>
        <w:rPr>
          <w:rFonts w:hint="eastAsia" w:hAnsi="宋体" w:cs="宋体"/>
          <w:color w:val="000000" w:themeColor="text1"/>
          <w:szCs w:val="21"/>
          <w14:textFill>
            <w14:solidFill>
              <w14:schemeClr w14:val="tx1"/>
            </w14:solidFill>
          </w14:textFill>
        </w:rPr>
        <w:t>，并通过政采云绑定数字证书（CA）后在网上获取</w:t>
      </w:r>
      <w:r>
        <w:rPr>
          <w:rFonts w:hint="eastAsia" w:hAnsi="宋体"/>
          <w:color w:val="000000" w:themeColor="text1"/>
          <w:szCs w:val="21"/>
          <w14:textFill>
            <w14:solidFill>
              <w14:schemeClr w14:val="tx1"/>
            </w14:solidFill>
          </w14:textFill>
        </w:rPr>
        <w:t>竞争性磋商文件及其它采购资料</w:t>
      </w:r>
      <w:r>
        <w:rPr>
          <w:rFonts w:hint="eastAsia" w:hAnsi="宋体" w:cs="宋体"/>
          <w:color w:val="000000" w:themeColor="text1"/>
          <w:szCs w:val="21"/>
          <w14:textFill>
            <w14:solidFill>
              <w14:schemeClr w14:val="tx1"/>
            </w14:solidFill>
          </w14:textFill>
        </w:rPr>
        <w:t>，数字证书（CA）详见其办理流程</w:t>
      </w:r>
      <w:r>
        <w:rPr>
          <w:rFonts w:hAnsi="宋体" w:cs="宋体"/>
          <w:color w:val="000000" w:themeColor="text1"/>
          <w:szCs w:val="21"/>
          <w14:textFill>
            <w14:solidFill>
              <w14:schemeClr w14:val="tx1"/>
            </w14:solidFill>
          </w14:textFill>
        </w:rPr>
        <w:t>。</w:t>
      </w:r>
    </w:p>
    <w:p w14:paraId="606F5DCF">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注：</w:t>
      </w:r>
      <w:r>
        <w:rPr>
          <w:rFonts w:hint="eastAsia" w:hAnsi="宋体" w:cs="宋体"/>
          <w:b/>
          <w:bCs/>
          <w:color w:val="000000" w:themeColor="text1"/>
          <w:szCs w:val="21"/>
          <w14:textFill>
            <w14:solidFill>
              <w14:schemeClr w14:val="tx1"/>
            </w14:solidFill>
          </w14:textFill>
        </w:rPr>
        <w:t>供应商如之前已在云南CA在线数字证书办理网进行过注册并办理过企业数字证书（CA）的，直接绑定即可，无需重复办理（2022年1月1日前在云南省公共资源交易平台办理过云南CA证书的需到原办理点进行升级后方可使用）。云南省省外供应商在政府采购云平台办理的其他CA可直接使用，无需重复办理。无论是云南省省内供应商还是云南省省外供应商，须确保其办理的企业数字证书（CA）为最新版本（老版本的须进行升级），确保其所办理的企业数字证书（CA）可以在政府采购云平台（网址：www.zcygov.cn）正常的登录、电子签章、加密、上传及解密响应文件，否则因供应商自身原因致使响应文件未成功解密的或供应商提交的电子标书不符合本项目电子响应文件编制要求或开标时无法读取导入或解密，其响应文件将不予受理；由此造成的损失及后果由供应商自行承担。具体不清楚或有疑问的，请致电“政采云客服热线：95763（服务时间为工作日8:00-20:00）”或登录政府采购云平台（网址：www.zcygov.cn）连线智能客服进行线上咨询</w:t>
      </w:r>
      <w:r>
        <w:rPr>
          <w:rFonts w:hint="eastAsia" w:hAnsi="宋体" w:cs="宋体"/>
          <w:color w:val="000000" w:themeColor="text1"/>
          <w:szCs w:val="21"/>
          <w14:textFill>
            <w14:solidFill>
              <w14:schemeClr w14:val="tx1"/>
            </w14:solidFill>
          </w14:textFill>
        </w:rPr>
        <w:t>。</w:t>
      </w:r>
    </w:p>
    <w:p w14:paraId="606F5DD0">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供应商通过CA证书获取竞争性磋商文件的视为合法获取了项目争性磋商文件，具备本项目的磋商资格</w:t>
      </w:r>
      <w:r>
        <w:rPr>
          <w:rFonts w:hAnsi="宋体" w:cs="宋体"/>
          <w:color w:val="000000" w:themeColor="text1"/>
          <w:szCs w:val="21"/>
          <w14:textFill>
            <w14:solidFill>
              <w14:schemeClr w14:val="tx1"/>
            </w14:solidFill>
          </w14:textFill>
        </w:rPr>
        <w:t>。</w:t>
      </w:r>
    </w:p>
    <w:p w14:paraId="606F5DD1">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二、电子采购文件澄清与答疑</w:t>
      </w:r>
    </w:p>
    <w:p w14:paraId="606F5DD2">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供应商应仔细阅读和检查采购文件的全部内容。如发现缺页或附件不全，应及时向采购人或代理机构提出，以便补齐。如有疑问，应在供应商须知前附表规定的时间前在政府采购云平台“询问列表”提出，要求采购人或代理机构对采购文件予以澄清。</w:t>
      </w:r>
    </w:p>
    <w:p w14:paraId="606F5DD3">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三、电子投标（响应）文件的编制</w:t>
      </w:r>
    </w:p>
    <w:p w14:paraId="606F5DD4">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（一）电子投标（响应）文件应使用政府采购云平台（</w:t>
      </w:r>
      <w:r>
        <w:rPr>
          <w:rFonts w:hAnsi="宋体" w:cs="宋体"/>
          <w:color w:val="000000" w:themeColor="text1"/>
          <w:szCs w:val="21"/>
          <w14:textFill>
            <w14:solidFill>
              <w14:schemeClr w14:val="tx1"/>
            </w14:solidFill>
          </w14:textFill>
        </w:rPr>
        <w:t>www.zcygov.cn）中下载的政</w:t>
      </w:r>
      <w:r>
        <w:rPr>
          <w:rFonts w:hint="eastAsia" w:hAnsi="宋体" w:cs="宋体"/>
          <w:color w:val="000000" w:themeColor="text1"/>
          <w:szCs w:val="21"/>
          <w14:textFill>
            <w14:solidFill>
              <w14:schemeClr w14:val="tx1"/>
            </w14:solidFill>
          </w14:textFill>
        </w:rPr>
        <w:t>采云电子投标客户端制作，并进行电子签章及加密后上传至政府采购云平台。编制要求见《电子投标文件编制要求》。</w:t>
      </w:r>
    </w:p>
    <w:p w14:paraId="606F5DD5">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（二）如供应商提交的电子标书不符合（一）要求或开标时无法读取导入或解密，其投标（响应）文件将不予受理。</w:t>
      </w:r>
    </w:p>
    <w:p w14:paraId="606F5DD6">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四、电子投标（响应）文件的递交</w:t>
      </w:r>
    </w:p>
    <w:p w14:paraId="606F5DD7">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在投标（响应）文件递交的截止时间（投标截止时间，下同）前，需在网上递交投标（响应）文件，具体要求：</w:t>
      </w:r>
    </w:p>
    <w:p w14:paraId="606F5DD8">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登录政府采购云平台（</w:t>
      </w:r>
      <w:r>
        <w:rPr>
          <w:rFonts w:hAnsi="宋体" w:cs="宋体"/>
          <w:color w:val="000000" w:themeColor="text1"/>
          <w:szCs w:val="21"/>
          <w14:textFill>
            <w14:solidFill>
              <w14:schemeClr w14:val="tx1"/>
            </w14:solidFill>
          </w14:textFill>
        </w:rPr>
        <w:t>www.zcygov.cn），供应商须在投标截止时间前完成投标（响应）文件的电子签章、加密及上传，投标截止时间前未完成投标（响应）文件上传的，视为撤回投标（响应）文件。</w:t>
      </w:r>
    </w:p>
    <w:p w14:paraId="606F5DD9">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五、电子投标（响应）文件的修改与撤回</w:t>
      </w:r>
    </w:p>
    <w:p w14:paraId="606F5DDA">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在投标截止时间前，供应商可以在政府采购云平台修改或撤回已在网上递交的投标（响应）文件，无须书面形式通知采购人。</w:t>
      </w:r>
    </w:p>
    <w:p w14:paraId="606F5DDB">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六、电子开标及投标（响应）文件解密</w:t>
      </w:r>
    </w:p>
    <w:p w14:paraId="606F5DDC">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（一）供应商应登录政府采购云平台（网址：www.zcygov.cn），并按“政府采购云平台”开标大厅中的提示完成采购活动。</w:t>
      </w:r>
    </w:p>
    <w:p w14:paraId="606F5DDE">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（二）采购人宣布开启电子投标（响应）文件后，供应商登录“政府采购云平台”开标大厅，使用供应商编制投标（响应）文件时的加密数字证书对投标（响应）文件进行解密。</w:t>
      </w:r>
    </w:p>
    <w:p w14:paraId="606F5DDF">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七、技术支持</w:t>
      </w:r>
    </w:p>
    <w:p w14:paraId="606F5DE0">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系统操作问题：请致电政采云客服热线：95763（服务时间为工作日8:00-20:00）；</w:t>
      </w:r>
    </w:p>
    <w:p w14:paraId="606F5DE1">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云南CA操作问题：请致电云南CA，4006727666；</w:t>
      </w:r>
    </w:p>
    <w:p w14:paraId="3ABF4BD8">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云南CA紧急联系方式：15288315056。</w:t>
      </w:r>
    </w:p>
    <w:p w14:paraId="606F5DE9">
      <w:pPr>
        <w:rPr>
          <w:rFonts w:hint="eastAsia"/>
          <w:color w:val="000000" w:themeColor="text1"/>
          <w14:textFill>
            <w14:solidFill>
              <w14:schemeClr w14:val="tx1"/>
            </w14:solidFill>
          </w14:textFill>
        </w:rPr>
      </w:pPr>
      <w:r>
        <w:rPr>
          <w:rFonts w:hint="eastAsia" w:hAnsi="宋体" w:cs="宋体"/>
          <w:color w:val="000000" w:themeColor="text1"/>
          <w:szCs w:val="21"/>
          <w14:textFill>
            <w14:solidFill>
              <w14:schemeClr w14:val="tx1"/>
            </w14:solidFill>
          </w14:textFill>
        </w:rPr>
        <w:br w:type="page"/>
      </w:r>
    </w:p>
    <w:p w14:paraId="606F5DFC">
      <w:pPr>
        <w:pStyle w:val="4"/>
        <w:bidi w:val="0"/>
        <w:jc w:val="center"/>
        <w:rPr>
          <w:rFonts w:hint="eastAsia"/>
        </w:rPr>
      </w:pPr>
      <w:bookmarkStart w:id="252" w:name="_Toc201047310"/>
      <w:r>
        <w:rPr>
          <w:rFonts w:hint="eastAsia"/>
        </w:rPr>
        <w:t>电子响应文件编制要求</w:t>
      </w:r>
      <w:bookmarkEnd w:id="252"/>
    </w:p>
    <w:p w14:paraId="606F5DFD">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1、电子响应文件的制作应使用“政</w:t>
      </w:r>
      <w:r>
        <w:rPr>
          <w:rFonts w:hint="eastAsia" w:hAnsi="宋体" w:cs="宋体"/>
          <w:color w:val="000000" w:themeColor="text1"/>
          <w:szCs w:val="21"/>
          <w14:textFill>
            <w14:solidFill>
              <w14:schemeClr w14:val="tx1"/>
            </w14:solidFill>
          </w14:textFill>
        </w:rPr>
        <w:t>采云投标客户端”，供应商下载“政采云投标客户端”，通过“政采云投标客户端”编制并生成加密的响应文件。</w:t>
      </w:r>
    </w:p>
    <w:p w14:paraId="606F5DFE">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2、“政</w:t>
      </w:r>
      <w:r>
        <w:rPr>
          <w:rFonts w:hint="eastAsia" w:hAnsi="宋体" w:cs="宋体"/>
          <w:color w:val="000000" w:themeColor="text1"/>
          <w:szCs w:val="21"/>
          <w14:textFill>
            <w14:solidFill>
              <w14:schemeClr w14:val="tx1"/>
            </w14:solidFill>
          </w14:textFill>
        </w:rPr>
        <w:t>采云投标客户端”提供数字证书（</w:t>
      </w:r>
      <w:r>
        <w:rPr>
          <w:rFonts w:hAnsi="宋体" w:cs="宋体"/>
          <w:color w:val="000000" w:themeColor="text1"/>
          <w:szCs w:val="21"/>
          <w14:textFill>
            <w14:solidFill>
              <w14:schemeClr w14:val="tx1"/>
            </w14:solidFill>
          </w14:textFill>
        </w:rPr>
        <w:t>CA）对响应文件进行加密功能。供应商对网上递交的响应文件应加密。如果供应商使用某个数字证书（CA）对响应文件进行了数字证书（CA）加密，需要在开标时使用该数字证书（CA）进行解密，才能读取或导入响应文件，因供应商原因造成响应文件未解密的，视为撤回其响应文件。</w:t>
      </w:r>
    </w:p>
    <w:p w14:paraId="606F5DFF">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3、网上递交响应文件应根据采购文件要求，在投标截止时间前将电子响应文件通过政采云电子交易系统（网址：https://www.zcygov.com）上传至对应的项目，系统自动生成投标回执，以表明上传成功。</w:t>
      </w:r>
    </w:p>
    <w:p w14:paraId="606F5E00">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“政采云投标客户端”及CA驱动下载网址：</w:t>
      </w:r>
    </w:p>
    <w:p w14:paraId="606F5E01">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https://customer.zcygov.cn/CA-driver-download?utm=web-ca-front.3ddc8fbb.0.0.91c 6cff0db1311ec8cfbc9f613d30204</w:t>
      </w:r>
    </w:p>
    <w:p w14:paraId="606F5E02">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技术支持</w:t>
      </w:r>
    </w:p>
    <w:p w14:paraId="606F5E03">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系统操作问题：请致电政采云客服热线：95763（服务时间为工作日8:00-20:00）；</w:t>
      </w:r>
    </w:p>
    <w:p w14:paraId="606F5E04">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云南CA操作问题：请致电云南CA，4006727666；</w:t>
      </w:r>
    </w:p>
    <w:p w14:paraId="606F5E05">
      <w:pPr>
        <w:spacing w:line="360" w:lineRule="auto"/>
        <w:ind w:firstLine="420" w:firstLineChars="200"/>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云南CA紧急联系方式：15288315056。</w:t>
      </w:r>
    </w:p>
    <w:p w14:paraId="606F5E06">
      <w:pPr>
        <w:rPr>
          <w:color w:val="000000" w:themeColor="text1"/>
          <w14:textFill>
            <w14:solidFill>
              <w14:schemeClr w14:val="tx1"/>
            </w14:solidFill>
          </w14:textFill>
        </w:rPr>
      </w:pPr>
    </w:p>
    <w:p w14:paraId="606F5E07">
      <w:pPr>
        <w:rPr>
          <w:color w:val="000000" w:themeColor="text1"/>
          <w14:textFill>
            <w14:solidFill>
              <w14:schemeClr w14:val="tx1"/>
            </w14:solidFill>
          </w14:textFill>
        </w:rPr>
      </w:pPr>
    </w:p>
    <w:p w14:paraId="606F5E08">
      <w:pPr>
        <w:rPr>
          <w:color w:val="000000" w:themeColor="text1"/>
          <w14:textFill>
            <w14:solidFill>
              <w14:schemeClr w14:val="tx1"/>
            </w14:solidFill>
          </w14:textFill>
        </w:rPr>
      </w:pPr>
    </w:p>
    <w:p w14:paraId="606F5E09">
      <w:pPr>
        <w:rPr>
          <w:color w:val="000000" w:themeColor="text1"/>
          <w14:textFill>
            <w14:solidFill>
              <w14:schemeClr w14:val="tx1"/>
            </w14:solidFill>
          </w14:textFill>
        </w:rPr>
      </w:pPr>
    </w:p>
    <w:p w14:paraId="606F5E0A">
      <w:pPr>
        <w:rPr>
          <w:color w:val="000000" w:themeColor="text1"/>
          <w14:textFill>
            <w14:solidFill>
              <w14:schemeClr w14:val="tx1"/>
            </w14:solidFill>
          </w14:textFill>
        </w:rPr>
      </w:pPr>
    </w:p>
    <w:p w14:paraId="606F5E0B">
      <w:pPr>
        <w:rPr>
          <w:color w:val="000000" w:themeColor="text1"/>
          <w14:textFill>
            <w14:solidFill>
              <w14:schemeClr w14:val="tx1"/>
            </w14:solidFill>
          </w14:textFill>
        </w:rPr>
      </w:pPr>
    </w:p>
    <w:p w14:paraId="606F5E0C">
      <w:pPr>
        <w:rPr>
          <w:color w:val="000000" w:themeColor="text1"/>
          <w14:textFill>
            <w14:solidFill>
              <w14:schemeClr w14:val="tx1"/>
            </w14:solidFill>
          </w14:textFill>
        </w:rPr>
      </w:pPr>
    </w:p>
    <w:p w14:paraId="606F5E0D">
      <w:pPr>
        <w:rPr>
          <w:color w:val="000000" w:themeColor="text1"/>
          <w14:textFill>
            <w14:solidFill>
              <w14:schemeClr w14:val="tx1"/>
            </w14:solidFill>
          </w14:textFill>
        </w:rPr>
      </w:pPr>
    </w:p>
    <w:p w14:paraId="606F5E0E">
      <w:pPr>
        <w:rPr>
          <w:color w:val="000000" w:themeColor="text1"/>
          <w14:textFill>
            <w14:solidFill>
              <w14:schemeClr w14:val="tx1"/>
            </w14:solidFill>
          </w14:textFill>
        </w:rPr>
      </w:pPr>
    </w:p>
    <w:p w14:paraId="606F5E0F">
      <w:pPr>
        <w:rPr>
          <w:color w:val="000000" w:themeColor="text1"/>
          <w14:textFill>
            <w14:solidFill>
              <w14:schemeClr w14:val="tx1"/>
            </w14:solidFill>
          </w14:textFill>
        </w:rPr>
      </w:pPr>
    </w:p>
    <w:p w14:paraId="606F5E10">
      <w:pPr>
        <w:rPr>
          <w:color w:val="000000" w:themeColor="text1"/>
          <w14:textFill>
            <w14:solidFill>
              <w14:schemeClr w14:val="tx1"/>
            </w14:solidFill>
          </w14:textFill>
        </w:rPr>
      </w:pPr>
    </w:p>
    <w:p w14:paraId="606F5E11">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567C48FE">
      <w:pPr>
        <w:pStyle w:val="2"/>
      </w:pPr>
    </w:p>
    <w:p w14:paraId="606F5E17">
      <w:pPr>
        <w:pStyle w:val="3"/>
        <w:bidi w:val="0"/>
        <w:rPr>
          <w:rFonts w:hint="eastAsia" w:ascii="宋体" w:hAnsi="宋体"/>
          <w:color w:val="000000" w:themeColor="text1"/>
          <w:szCs w:val="36"/>
          <w:highlight w:val="none"/>
          <w:lang w:val="zh-CN"/>
          <w14:textFill>
            <w14:solidFill>
              <w14:schemeClr w14:val="tx1"/>
            </w14:solidFill>
          </w14:textFill>
        </w:rPr>
      </w:pPr>
      <w:bookmarkStart w:id="253" w:name="_Toc201047311"/>
      <w:bookmarkStart w:id="254" w:name="_Toc5681"/>
      <w:r>
        <w:rPr>
          <w:rFonts w:hint="eastAsia"/>
          <w:highlight w:val="none"/>
          <w:lang w:val="zh-CN"/>
        </w:rPr>
        <w:t>第三章  合同书样式及主要条款</w:t>
      </w:r>
      <w:bookmarkEnd w:id="253"/>
      <w:bookmarkEnd w:id="254"/>
    </w:p>
    <w:p w14:paraId="536AE80E">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center"/>
        <w:textAlignment w:val="auto"/>
        <w:rPr>
          <w:rFonts w:hint="eastAsia"/>
          <w:b/>
          <w:bCs/>
          <w:color w:val="auto"/>
          <w:sz w:val="21"/>
          <w:szCs w:val="21"/>
          <w:highlight w:val="none"/>
          <w:lang w:eastAsia="zh-CN"/>
        </w:rPr>
      </w:pPr>
      <w:bookmarkStart w:id="255" w:name="Book31"/>
      <w:r>
        <w:rPr>
          <w:rFonts w:hint="eastAsia"/>
          <w:b/>
          <w:bCs/>
          <w:color w:val="auto"/>
          <w:spacing w:val="15"/>
          <w:sz w:val="63"/>
          <w:szCs w:val="63"/>
          <w:highlight w:val="none"/>
          <w:shd w:val="clear" w:color="auto" w:fill="FFFFFF"/>
          <w:lang w:eastAsia="zh-CN"/>
        </w:rPr>
        <w:t>政府采购合同</w:t>
      </w:r>
    </w:p>
    <w:p w14:paraId="47554D5B">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center"/>
        <w:textAlignment w:val="auto"/>
        <w:rPr>
          <w:rFonts w:hint="eastAsia"/>
          <w:color w:val="auto"/>
          <w:sz w:val="21"/>
          <w:szCs w:val="21"/>
          <w:highlight w:val="none"/>
          <w:lang w:eastAsia="zh-CN"/>
        </w:rPr>
      </w:pPr>
    </w:p>
    <w:p w14:paraId="2E8587F5">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center"/>
        <w:textAlignment w:val="auto"/>
        <w:rPr>
          <w:rFonts w:hint="eastAsia"/>
          <w:color w:val="auto"/>
          <w:sz w:val="21"/>
          <w:szCs w:val="21"/>
          <w:highlight w:val="none"/>
          <w:lang w:eastAsia="zh-CN"/>
        </w:rPr>
      </w:pPr>
    </w:p>
    <w:p w14:paraId="53BD8B0F">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center"/>
        <w:textAlignment w:val="auto"/>
        <w:rPr>
          <w:rFonts w:hint="eastAsia"/>
          <w:color w:val="auto"/>
          <w:sz w:val="21"/>
          <w:szCs w:val="21"/>
          <w:highlight w:val="none"/>
          <w:lang w:eastAsia="zh-CN"/>
        </w:rPr>
      </w:pPr>
    </w:p>
    <w:p w14:paraId="298C9C1C">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375" w:afterAutospacing="0" w:line="240" w:lineRule="auto"/>
        <w:ind w:left="0" w:firstLine="0" w:firstLineChars="0"/>
        <w:textAlignment w:val="auto"/>
        <w:rPr>
          <w:rFonts w:hint="eastAsia"/>
          <w:color w:val="auto"/>
          <w:sz w:val="32"/>
          <w:szCs w:val="32"/>
          <w:highlight w:val="none"/>
          <w:shd w:val="clear" w:color="auto" w:fill="FFFFFF"/>
          <w:lang w:eastAsia="zh-CN"/>
        </w:rPr>
      </w:pPr>
      <w:r>
        <w:rPr>
          <w:rFonts w:hint="eastAsia"/>
          <w:color w:val="auto"/>
          <w:sz w:val="32"/>
          <w:szCs w:val="32"/>
          <w:highlight w:val="none"/>
          <w:shd w:val="clear" w:color="auto" w:fill="FFFFFF"/>
          <w:lang w:eastAsia="zh-CN"/>
        </w:rPr>
        <w:t>项目名称：</w:t>
      </w:r>
      <w:r>
        <w:rPr>
          <w:rStyle w:val="20"/>
          <w:rFonts w:hint="eastAsia" w:ascii="宋体" w:hAnsi="宋体"/>
          <w:color w:val="auto"/>
          <w:sz w:val="32"/>
          <w:szCs w:val="32"/>
          <w:highlight w:val="none"/>
          <w:u w:val="single"/>
          <w:shd w:val="clear" w:color="auto" w:fill="FFFFFF"/>
          <w:lang w:eastAsia="zh-CN"/>
        </w:rPr>
        <w:t xml:space="preserve">                     </w:t>
      </w:r>
    </w:p>
    <w:p w14:paraId="124DB9F6">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both"/>
        <w:textAlignment w:val="auto"/>
        <w:rPr>
          <w:rFonts w:hint="eastAsia"/>
          <w:color w:val="auto"/>
          <w:sz w:val="32"/>
          <w:szCs w:val="32"/>
          <w:highlight w:val="none"/>
          <w:lang w:eastAsia="zh-CN"/>
        </w:rPr>
      </w:pPr>
      <w:r>
        <w:rPr>
          <w:rFonts w:hint="eastAsia"/>
          <w:color w:val="auto"/>
          <w:sz w:val="32"/>
          <w:szCs w:val="32"/>
          <w:highlight w:val="none"/>
          <w:shd w:val="clear" w:color="auto" w:fill="FFFFFF"/>
          <w:lang w:eastAsia="zh-CN"/>
        </w:rPr>
        <w:t>合同编号：</w:t>
      </w:r>
      <w:r>
        <w:rPr>
          <w:rStyle w:val="20"/>
          <w:rFonts w:hint="eastAsia" w:ascii="宋体" w:hAnsi="宋体"/>
          <w:color w:val="auto"/>
          <w:sz w:val="32"/>
          <w:szCs w:val="32"/>
          <w:highlight w:val="none"/>
          <w:u w:val="single"/>
          <w:shd w:val="clear" w:color="auto" w:fill="FFFFFF"/>
          <w:lang w:eastAsia="zh-CN"/>
        </w:rPr>
        <w:t xml:space="preserve">                     </w:t>
      </w:r>
      <w:r>
        <w:rPr>
          <w:rFonts w:hint="eastAsia"/>
          <w:color w:val="auto"/>
          <w:sz w:val="32"/>
          <w:szCs w:val="32"/>
          <w:highlight w:val="none"/>
          <w:shd w:val="clear" w:color="auto" w:fill="FFFFFF"/>
          <w:lang w:eastAsia="zh-CN"/>
        </w:rPr>
        <w:t>（系统编号）</w:t>
      </w:r>
    </w:p>
    <w:p w14:paraId="4AE3D966">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both"/>
        <w:textAlignment w:val="auto"/>
        <w:rPr>
          <w:rStyle w:val="20"/>
          <w:rFonts w:hint="eastAsia" w:ascii="宋体" w:hAnsi="宋体"/>
          <w:color w:val="auto"/>
          <w:sz w:val="32"/>
          <w:szCs w:val="32"/>
          <w:highlight w:val="none"/>
          <w:u w:val="single"/>
          <w:shd w:val="clear" w:color="auto" w:fill="FFFFFF"/>
          <w:lang w:eastAsia="zh-CN"/>
        </w:rPr>
      </w:pPr>
    </w:p>
    <w:p w14:paraId="2217FF64">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both"/>
        <w:textAlignment w:val="auto"/>
        <w:rPr>
          <w:rFonts w:hint="eastAsia"/>
          <w:color w:val="auto"/>
          <w:sz w:val="32"/>
          <w:szCs w:val="32"/>
          <w:highlight w:val="none"/>
          <w:lang w:eastAsia="zh-CN"/>
        </w:rPr>
      </w:pPr>
      <w:r>
        <w:rPr>
          <w:rStyle w:val="20"/>
          <w:rFonts w:hint="eastAsia" w:ascii="宋体" w:hAnsi="宋体"/>
          <w:color w:val="auto"/>
          <w:sz w:val="32"/>
          <w:szCs w:val="32"/>
          <w:highlight w:val="none"/>
          <w:u w:val="single"/>
          <w:shd w:val="clear" w:color="auto" w:fill="FFFFFF"/>
          <w:lang w:eastAsia="zh-CN"/>
        </w:rPr>
        <w:t xml:space="preserve">                     </w:t>
      </w:r>
      <w:r>
        <w:rPr>
          <w:rFonts w:hint="eastAsia"/>
          <w:color w:val="auto"/>
          <w:sz w:val="32"/>
          <w:szCs w:val="32"/>
          <w:highlight w:val="none"/>
          <w:shd w:val="clear" w:color="auto" w:fill="FFFFFF"/>
          <w:lang w:eastAsia="zh-CN"/>
        </w:rPr>
        <w:t xml:space="preserve"> （自编号，如有）</w:t>
      </w:r>
    </w:p>
    <w:p w14:paraId="0DAD50EF">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firstLine="0" w:firstLineChars="0"/>
        <w:jc w:val="center"/>
        <w:textAlignment w:val="auto"/>
        <w:rPr>
          <w:rFonts w:hint="eastAsia"/>
          <w:color w:val="auto"/>
          <w:sz w:val="32"/>
          <w:szCs w:val="32"/>
          <w:highlight w:val="none"/>
          <w:lang w:eastAsia="zh-CN"/>
        </w:rPr>
      </w:pPr>
    </w:p>
    <w:p w14:paraId="4D069DBE">
      <w:pPr>
        <w:pStyle w:val="15"/>
        <w:keepNext w:val="0"/>
        <w:keepLines w:val="0"/>
        <w:pageBreakBefore w:val="0"/>
        <w:widowControl/>
        <w:shd w:val="clear" w:color="auto" w:fill="FFFFFF"/>
        <w:kinsoku/>
        <w:wordWrap w:val="0"/>
        <w:overflowPunct/>
        <w:topLinePunct w:val="0"/>
        <w:autoSpaceDE/>
        <w:autoSpaceDN/>
        <w:bidi w:val="0"/>
        <w:adjustRightInd/>
        <w:snapToGrid/>
        <w:spacing w:before="75" w:beforeAutospacing="0" w:after="0" w:afterAutospacing="0" w:line="240" w:lineRule="auto"/>
        <w:ind w:left="0" w:firstLine="0" w:firstLineChars="0"/>
        <w:jc w:val="both"/>
        <w:textAlignment w:val="auto"/>
        <w:rPr>
          <w:rFonts w:hint="eastAsia"/>
          <w:color w:val="auto"/>
          <w:sz w:val="32"/>
          <w:szCs w:val="32"/>
          <w:highlight w:val="none"/>
          <w:lang w:eastAsia="zh-CN"/>
        </w:rPr>
      </w:pPr>
      <w:r>
        <w:rPr>
          <w:rFonts w:hint="eastAsia"/>
          <w:color w:val="auto"/>
          <w:sz w:val="32"/>
          <w:szCs w:val="32"/>
          <w:highlight w:val="none"/>
          <w:shd w:val="clear" w:color="auto" w:fill="FFFFFF"/>
          <w:lang w:eastAsia="zh-CN"/>
        </w:rPr>
        <w:t>甲 方：</w:t>
      </w:r>
      <w:r>
        <w:rPr>
          <w:rStyle w:val="20"/>
          <w:rFonts w:hint="eastAsia" w:ascii="宋体" w:hAnsi="宋体"/>
          <w:color w:val="auto"/>
          <w:sz w:val="32"/>
          <w:szCs w:val="32"/>
          <w:highlight w:val="none"/>
          <w:u w:val="single"/>
          <w:shd w:val="clear" w:color="auto" w:fill="FFFFFF"/>
          <w:lang w:eastAsia="zh-CN"/>
        </w:rPr>
        <w:t xml:space="preserve">                          </w:t>
      </w:r>
      <w:r>
        <w:rPr>
          <w:rFonts w:hint="eastAsia"/>
          <w:color w:val="auto"/>
          <w:sz w:val="32"/>
          <w:szCs w:val="32"/>
          <w:highlight w:val="none"/>
          <w:u w:val="single"/>
          <w:shd w:val="clear" w:color="auto" w:fill="FFFFFF"/>
          <w:lang w:eastAsia="zh-CN"/>
        </w:rPr>
        <w:br w:type="textWrapping"/>
      </w:r>
    </w:p>
    <w:p w14:paraId="11DE4F5A">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both"/>
        <w:textAlignment w:val="auto"/>
        <w:rPr>
          <w:rStyle w:val="20"/>
          <w:rFonts w:hint="eastAsia" w:ascii="宋体" w:hAnsi="宋体"/>
          <w:color w:val="auto"/>
          <w:sz w:val="32"/>
          <w:szCs w:val="32"/>
          <w:highlight w:val="none"/>
          <w:u w:val="single"/>
          <w:shd w:val="clear" w:color="auto" w:fill="FFFFFF"/>
          <w:lang w:eastAsia="zh-CN"/>
        </w:rPr>
      </w:pPr>
      <w:r>
        <w:rPr>
          <w:rFonts w:hint="eastAsia"/>
          <w:color w:val="auto"/>
          <w:sz w:val="32"/>
          <w:szCs w:val="32"/>
          <w:highlight w:val="none"/>
          <w:shd w:val="clear" w:color="auto" w:fill="FFFFFF"/>
        </w:rPr>
        <w:t>乙 方：</w:t>
      </w:r>
      <w:r>
        <w:rPr>
          <w:rStyle w:val="20"/>
          <w:rFonts w:hint="eastAsia" w:ascii="宋体" w:hAnsi="宋体"/>
          <w:color w:val="auto"/>
          <w:sz w:val="32"/>
          <w:szCs w:val="32"/>
          <w:highlight w:val="none"/>
          <w:u w:val="single"/>
          <w:shd w:val="clear" w:color="auto" w:fill="FFFFFF"/>
          <w:lang w:eastAsia="zh-CN"/>
        </w:rPr>
        <w:t xml:space="preserve">                          </w:t>
      </w:r>
    </w:p>
    <w:p w14:paraId="1896F48F">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jc w:val="center"/>
        <w:textAlignment w:val="auto"/>
        <w:rPr>
          <w:rStyle w:val="20"/>
          <w:rFonts w:hint="eastAsia" w:ascii="宋体" w:hAnsi="宋体"/>
          <w:color w:val="auto"/>
          <w:sz w:val="32"/>
          <w:szCs w:val="32"/>
          <w:highlight w:val="none"/>
          <w:u w:val="single"/>
          <w:shd w:val="clear" w:color="auto" w:fill="FFFFFF"/>
        </w:rPr>
      </w:pPr>
    </w:p>
    <w:p w14:paraId="7230C2A6">
      <w:pPr>
        <w:pStyle w:val="15"/>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240" w:lineRule="auto"/>
        <w:ind w:left="0" w:firstLine="0" w:firstLineChars="0"/>
        <w:textAlignment w:val="auto"/>
        <w:rPr>
          <w:rStyle w:val="20"/>
          <w:rFonts w:hint="eastAsia" w:ascii="宋体" w:hAnsi="宋体"/>
          <w:b/>
          <w:bCs/>
          <w:color w:val="auto"/>
          <w:sz w:val="21"/>
          <w:szCs w:val="21"/>
          <w:highlight w:val="none"/>
          <w:u w:val="single"/>
          <w:shd w:val="clear" w:color="auto" w:fill="FFFFFF"/>
        </w:rPr>
      </w:pPr>
    </w:p>
    <w:p w14:paraId="606F5E4A">
      <w:pPr>
        <w:keepNext w:val="0"/>
        <w:keepLines w:val="0"/>
        <w:pageBreakBefore w:val="0"/>
        <w:widowControl/>
        <w:kinsoku/>
        <w:wordWrap w:val="0"/>
        <w:overflowPunct/>
        <w:topLinePunct w:val="0"/>
        <w:autoSpaceDE/>
        <w:autoSpaceDN/>
        <w:bidi w:val="0"/>
        <w:adjustRightInd/>
        <w:snapToGrid/>
        <w:spacing w:after="240"/>
        <w:ind w:firstLine="0" w:firstLineChars="0"/>
        <w:jc w:val="both"/>
        <w:textAlignment w:val="auto"/>
        <w:rPr>
          <w:rFonts w:hint="eastAsia" w:hAnsi="宋体" w:cs="Tahoma"/>
          <w:snapToGrid/>
          <w:color w:val="000000" w:themeColor="text1"/>
          <w:kern w:val="0"/>
          <w:sz w:val="18"/>
          <w:szCs w:val="18"/>
          <w14:textFill>
            <w14:solidFill>
              <w14:schemeClr w14:val="tx1"/>
            </w14:solidFill>
          </w14:textFill>
        </w:rPr>
      </w:pPr>
      <w:r>
        <w:rPr>
          <w:rFonts w:hint="eastAsia" w:hAnsi="宋体" w:cs="Tahoma"/>
          <w:snapToGrid/>
          <w:color w:val="000000" w:themeColor="text1"/>
          <w:kern w:val="0"/>
          <w:sz w:val="18"/>
          <w:szCs w:val="18"/>
          <w14:textFill>
            <w14:solidFill>
              <w14:schemeClr w14:val="tx1"/>
            </w14:solidFill>
          </w14:textFill>
        </w:rPr>
        <w:br w:type="page"/>
      </w:r>
    </w:p>
    <w:p w14:paraId="31D1C27C">
      <w:pPr>
        <w:keepNext w:val="0"/>
        <w:keepLines w:val="0"/>
        <w:pageBreakBefore w:val="0"/>
        <w:widowControl/>
        <w:kinsoku/>
        <w:wordWrap w:val="0"/>
        <w:overflowPunct/>
        <w:topLinePunct w:val="0"/>
        <w:autoSpaceDE/>
        <w:autoSpaceDN/>
        <w:bidi w:val="0"/>
        <w:adjustRightInd/>
        <w:snapToGrid/>
        <w:spacing w:after="240"/>
        <w:ind w:firstLine="0" w:firstLineChars="0"/>
        <w:jc w:val="center"/>
        <w:textAlignment w:val="auto"/>
        <w:rPr>
          <w:rFonts w:hint="eastAsia" w:hAnsi="宋体" w:cs="Tahoma"/>
          <w:snapToGrid/>
          <w:color w:val="000000" w:themeColor="text1"/>
          <w:kern w:val="0"/>
          <w:sz w:val="18"/>
          <w:szCs w:val="18"/>
          <w14:textFill>
            <w14:solidFill>
              <w14:schemeClr w14:val="tx1"/>
            </w14:solidFill>
          </w14:textFill>
        </w:rPr>
      </w:pPr>
    </w:p>
    <w:p w14:paraId="606F5E4B">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37" w:firstLineChars="99"/>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甲方（采购人公章）名 称：</w:t>
      </w:r>
    </w:p>
    <w:p w14:paraId="606F5E4C">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地 址：</w:t>
      </w:r>
    </w:p>
    <w:p w14:paraId="606F5E4D">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邮 编：</w:t>
      </w:r>
    </w:p>
    <w:p w14:paraId="606F5E4E">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法定代表人或委托代理人：</w:t>
      </w:r>
    </w:p>
    <w:p w14:paraId="606F5E4F">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项目（技术）负责人：</w:t>
      </w:r>
    </w:p>
    <w:p w14:paraId="606F5E50">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电 话：</w:t>
      </w:r>
    </w:p>
    <w:p w14:paraId="606F5E51">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签订日期</w:t>
      </w:r>
    </w:p>
    <w:p w14:paraId="606F5E52">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37" w:firstLineChars="99"/>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乙方（供应商公章）名 称：</w:t>
      </w:r>
    </w:p>
    <w:p w14:paraId="606F5E53">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地 址：</w:t>
      </w:r>
    </w:p>
    <w:p w14:paraId="606F5E54">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邮 编：</w:t>
      </w:r>
    </w:p>
    <w:p w14:paraId="606F5E55">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法定代表人或委托代理人：</w:t>
      </w:r>
    </w:p>
    <w:p w14:paraId="606F5E56">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经办人：</w:t>
      </w:r>
    </w:p>
    <w:p w14:paraId="606F5E57">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电 话：</w:t>
      </w:r>
    </w:p>
    <w:p w14:paraId="606F5E58">
      <w:pPr>
        <w:keepNext w:val="0"/>
        <w:keepLines w:val="0"/>
        <w:pageBreakBefore w:val="0"/>
        <w:widowControl/>
        <w:kinsoku/>
        <w:wordWrap w:val="0"/>
        <w:overflowPunct w:val="0"/>
        <w:topLinePunct w:val="0"/>
        <w:autoSpaceDE/>
        <w:autoSpaceDN/>
        <w:bidi w:val="0"/>
        <w:adjustRightInd w:val="0"/>
        <w:snapToGrid w:val="0"/>
        <w:spacing w:line="480" w:lineRule="auto"/>
        <w:ind w:right="659" w:rightChars="314" w:firstLine="2268" w:firstLineChars="945"/>
        <w:jc w:val="left"/>
        <w:textAlignment w:val="auto"/>
        <w:rPr>
          <w:rFonts w:hint="eastAsia" w:hAnsi="宋体"/>
          <w:snapToGrid/>
          <w:color w:val="000000" w:themeColor="text1"/>
          <w:kern w:val="0"/>
          <w:sz w:val="24"/>
          <w:szCs w:val="24"/>
          <w14:textFill>
            <w14:solidFill>
              <w14:schemeClr w14:val="tx1"/>
            </w14:solidFill>
          </w14:textFill>
        </w:rPr>
      </w:pPr>
      <w:r>
        <w:rPr>
          <w:rFonts w:hint="eastAsia" w:hAnsi="宋体"/>
          <w:snapToGrid/>
          <w:color w:val="000000" w:themeColor="text1"/>
          <w:kern w:val="0"/>
          <w:sz w:val="24"/>
          <w:szCs w:val="24"/>
          <w14:textFill>
            <w14:solidFill>
              <w14:schemeClr w14:val="tx1"/>
            </w14:solidFill>
          </w14:textFill>
        </w:rPr>
        <w:t>签订日期：</w:t>
      </w:r>
    </w:p>
    <w:p w14:paraId="330E5A87">
      <w:pPr>
        <w:spacing w:line="360" w:lineRule="auto"/>
        <w:jc w:val="center"/>
        <w:rPr>
          <w:rFonts w:hint="eastAsia" w:hAnsi="宋体"/>
          <w:snapToGrid/>
          <w:color w:val="000000" w:themeColor="text1"/>
          <w:kern w:val="0"/>
          <w:szCs w:val="21"/>
          <w14:textFill>
            <w14:solidFill>
              <w14:schemeClr w14:val="tx1"/>
            </w14:solidFill>
          </w14:textFill>
        </w:rPr>
      </w:pPr>
    </w:p>
    <w:p w14:paraId="03B76A32">
      <w:pPr>
        <w:rPr>
          <w:rFonts w:hint="eastAsia" w:hAnsi="宋体"/>
          <w:snapToGrid/>
          <w:color w:val="000000" w:themeColor="text1"/>
          <w:kern w:val="0"/>
          <w:szCs w:val="21"/>
          <w14:textFill>
            <w14:solidFill>
              <w14:schemeClr w14:val="tx1"/>
            </w14:solidFill>
          </w14:textFill>
        </w:rPr>
      </w:pPr>
      <w:r>
        <w:rPr>
          <w:rFonts w:hint="eastAsia" w:hAnsi="宋体"/>
          <w:snapToGrid/>
          <w:color w:val="000000" w:themeColor="text1"/>
          <w:kern w:val="0"/>
          <w:szCs w:val="21"/>
          <w14:textFill>
            <w14:solidFill>
              <w14:schemeClr w14:val="tx1"/>
            </w14:solidFill>
          </w14:textFill>
        </w:rPr>
        <w:br w:type="page"/>
      </w:r>
    </w:p>
    <w:p w14:paraId="65F9F1A7">
      <w:pPr>
        <w:pStyle w:val="2"/>
        <w:rPr>
          <w:rFonts w:hint="eastAsia"/>
        </w:rPr>
      </w:pPr>
    </w:p>
    <w:p w14:paraId="4054A694">
      <w:pPr>
        <w:widowControl/>
        <w:spacing w:line="360" w:lineRule="auto"/>
        <w:ind w:left="0" w:leftChars="0" w:right="-149" w:rightChars="-71" w:firstLine="0" w:firstLineChars="0"/>
        <w:jc w:val="center"/>
        <w:rPr>
          <w:rFonts w:hint="eastAsia" w:hAnsi="宋体" w:cs="宋体"/>
          <w:b/>
          <w:snapToGrid/>
          <w:color w:val="000000" w:themeColor="text1"/>
          <w:kern w:val="0"/>
          <w:szCs w:val="21"/>
          <w14:textFill>
            <w14:solidFill>
              <w14:schemeClr w14:val="tx1"/>
            </w14:solidFill>
          </w14:textFill>
        </w:rPr>
      </w:pPr>
      <w:r>
        <w:rPr>
          <w:rFonts w:hint="eastAsia" w:hAnsi="宋体" w:cs="宋体"/>
          <w:b/>
          <w:snapToGrid/>
          <w:color w:val="000000" w:themeColor="text1"/>
          <w:kern w:val="0"/>
          <w:szCs w:val="21"/>
          <w14:textFill>
            <w14:solidFill>
              <w14:schemeClr w14:val="tx1"/>
            </w14:solidFill>
          </w14:textFill>
        </w:rPr>
        <w:t>（本章合同条款及格式仅作为参考，采购人保留最终修订合同的权利，最终本合同以实际签订为准）</w:t>
      </w:r>
    </w:p>
    <w:p w14:paraId="22BF4020">
      <w:pPr>
        <w:spacing w:line="360" w:lineRule="auto"/>
        <w:jc w:val="center"/>
        <w:rPr>
          <w:rFonts w:hint="eastAsia" w:hAnsi="宋体"/>
          <w:snapToGrid/>
          <w:color w:val="000000" w:themeColor="text1"/>
          <w:kern w:val="0"/>
          <w:szCs w:val="21"/>
          <w14:textFill>
            <w14:solidFill>
              <w14:schemeClr w14:val="tx1"/>
            </w14:solidFill>
          </w14:textFill>
        </w:rPr>
      </w:pPr>
    </w:p>
    <w:p w14:paraId="6A2D707A">
      <w:pPr>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firstLine="0" w:firstLineChars="0"/>
        <w:jc w:val="center"/>
        <w:rPr>
          <w:rFonts w:hint="eastAsia" w:ascii="宋体" w:hAnsi="宋体" w:eastAsia="宋体" w:cs="宋体"/>
          <w:b/>
          <w:kern w:val="0"/>
          <w:sz w:val="32"/>
          <w:szCs w:val="32"/>
          <w:highlight w:val="none"/>
          <w:lang w:eastAsia="zh-CN"/>
        </w:rPr>
      </w:pPr>
      <w:bookmarkStart w:id="256" w:name="_Hlk100661928"/>
      <w:r>
        <w:rPr>
          <w:rFonts w:hint="eastAsia" w:ascii="宋体" w:hAnsi="宋体" w:eastAsia="宋体" w:cs="宋体"/>
          <w:b/>
          <w:kern w:val="0"/>
          <w:sz w:val="32"/>
          <w:szCs w:val="32"/>
          <w:highlight w:val="none"/>
          <w:lang w:val="en-US" w:eastAsia="zh-CN"/>
        </w:rPr>
        <w:t>元谋县2025年中央水利发展资金白蚁等害堤动物防治</w:t>
      </w:r>
      <w:r>
        <w:rPr>
          <w:rFonts w:hint="eastAsia" w:ascii="宋体" w:hAnsi="宋体" w:eastAsia="宋体" w:cs="宋体"/>
          <w:b/>
          <w:kern w:val="0"/>
          <w:sz w:val="32"/>
          <w:szCs w:val="32"/>
          <w:highlight w:val="none"/>
          <w:lang w:eastAsia="zh-CN"/>
        </w:rPr>
        <w:t>项目</w:t>
      </w:r>
    </w:p>
    <w:bookmarkEnd w:id="256"/>
    <w:p w14:paraId="5790C37B">
      <w:pPr>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firstLine="0" w:firstLineChars="0"/>
        <w:jc w:val="center"/>
        <w:rPr>
          <w:rFonts w:hint="eastAsia" w:ascii="宋体" w:hAnsi="宋体" w:eastAsia="宋体" w:cs="宋体"/>
          <w:b/>
          <w:sz w:val="28"/>
          <w:szCs w:val="28"/>
        </w:rPr>
      </w:pPr>
    </w:p>
    <w:p w14:paraId="1DEEA423">
      <w:pPr>
        <w:pStyle w:val="2"/>
        <w:keepNext w:val="0"/>
        <w:keepLines w:val="0"/>
        <w:pageBreakBefore w:val="0"/>
        <w:widowControl w:val="0"/>
        <w:kinsoku/>
        <w:wordWrap w:val="0"/>
        <w:overflowPunct/>
        <w:topLinePunct w:val="0"/>
        <w:bidi w:val="0"/>
        <w:adjustRightInd/>
        <w:snapToGrid/>
        <w:spacing w:line="360" w:lineRule="auto"/>
        <w:ind w:left="0" w:leftChars="0" w:right="0" w:firstLine="0" w:firstLineChars="0"/>
        <w:rPr>
          <w:rFonts w:hint="eastAsia" w:ascii="宋体" w:hAnsi="宋体" w:eastAsia="宋体" w:cs="宋体"/>
          <w:b/>
          <w:sz w:val="28"/>
          <w:szCs w:val="28"/>
        </w:rPr>
      </w:pPr>
    </w:p>
    <w:p w14:paraId="1FB20D84">
      <w:pPr>
        <w:keepNext w:val="0"/>
        <w:keepLines w:val="0"/>
        <w:pageBreakBefore w:val="0"/>
        <w:widowControl w:val="0"/>
        <w:kinsoku/>
        <w:wordWrap w:val="0"/>
        <w:overflowPunct/>
        <w:topLinePunct w:val="0"/>
        <w:bidi w:val="0"/>
        <w:adjustRightInd/>
        <w:snapToGrid/>
        <w:spacing w:line="360" w:lineRule="auto"/>
        <w:ind w:left="0" w:leftChars="0" w:right="0" w:firstLine="0" w:firstLineChars="0"/>
        <w:rPr>
          <w:rFonts w:hint="eastAsia" w:ascii="宋体" w:hAnsi="宋体" w:eastAsia="宋体" w:cs="宋体"/>
          <w:b/>
          <w:sz w:val="28"/>
          <w:szCs w:val="28"/>
        </w:rPr>
      </w:pPr>
    </w:p>
    <w:p w14:paraId="74B71933">
      <w:pPr>
        <w:keepNext w:val="0"/>
        <w:keepLines w:val="0"/>
        <w:pageBreakBefore w:val="0"/>
        <w:widowControl w:val="0"/>
        <w:kinsoku/>
        <w:wordWrap w:val="0"/>
        <w:overflowPunct/>
        <w:topLinePunct w:val="0"/>
        <w:bidi w:val="0"/>
        <w:adjustRightInd/>
        <w:snapToGrid/>
        <w:spacing w:line="360" w:lineRule="auto"/>
        <w:ind w:left="0" w:leftChars="0" w:right="0" w:firstLine="0" w:firstLineChars="0"/>
        <w:rPr>
          <w:rFonts w:hint="eastAsia" w:ascii="宋体" w:hAnsi="宋体" w:eastAsia="宋体" w:cs="宋体"/>
          <w:b/>
          <w:sz w:val="28"/>
          <w:szCs w:val="28"/>
        </w:rPr>
      </w:pPr>
    </w:p>
    <w:p w14:paraId="77C0D2AF">
      <w:pPr>
        <w:keepNext w:val="0"/>
        <w:keepLines w:val="0"/>
        <w:pageBreakBefore w:val="0"/>
        <w:widowControl w:val="0"/>
        <w:kinsoku/>
        <w:wordWrap w:val="0"/>
        <w:overflowPunct/>
        <w:topLinePunct w:val="0"/>
        <w:bidi w:val="0"/>
        <w:adjustRightInd/>
        <w:snapToGrid/>
        <w:spacing w:line="360" w:lineRule="auto"/>
        <w:ind w:left="0" w:leftChars="0" w:right="0" w:firstLine="0" w:firstLineChars="0"/>
        <w:rPr>
          <w:rFonts w:hint="eastAsia" w:ascii="宋体" w:hAnsi="宋体" w:eastAsia="宋体" w:cs="宋体"/>
          <w:b/>
          <w:sz w:val="28"/>
          <w:szCs w:val="28"/>
        </w:rPr>
      </w:pPr>
    </w:p>
    <w:p w14:paraId="0F6ED0CE">
      <w:pPr>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firstLine="0" w:firstLineChars="0"/>
        <w:jc w:val="center"/>
        <w:rPr>
          <w:rFonts w:hint="eastAsia" w:ascii="宋体" w:hAnsi="宋体" w:eastAsia="宋体" w:cs="宋体"/>
          <w:sz w:val="21"/>
          <w:szCs w:val="24"/>
          <w:lang w:eastAsia="zh-CN"/>
        </w:rPr>
      </w:pPr>
      <w:r>
        <w:rPr>
          <w:rFonts w:hint="eastAsia" w:ascii="宋体" w:hAnsi="宋体" w:eastAsia="宋体" w:cs="宋体"/>
          <w:b/>
          <w:kern w:val="0"/>
          <w:sz w:val="96"/>
          <w:szCs w:val="96"/>
          <w:lang w:eastAsia="zh-CN"/>
        </w:rPr>
        <w:t>服</w:t>
      </w:r>
      <w:r>
        <w:rPr>
          <w:rFonts w:hint="eastAsia" w:cs="宋体"/>
          <w:b/>
          <w:kern w:val="0"/>
          <w:sz w:val="96"/>
          <w:szCs w:val="96"/>
          <w:lang w:val="en-US" w:eastAsia="zh-CN"/>
        </w:rPr>
        <w:t xml:space="preserve"> </w:t>
      </w:r>
      <w:r>
        <w:rPr>
          <w:rFonts w:hint="eastAsia" w:ascii="宋体" w:hAnsi="宋体" w:eastAsia="宋体" w:cs="宋体"/>
          <w:b/>
          <w:kern w:val="0"/>
          <w:sz w:val="96"/>
          <w:szCs w:val="96"/>
          <w:lang w:eastAsia="zh-CN"/>
        </w:rPr>
        <w:t>务</w:t>
      </w:r>
      <w:r>
        <w:rPr>
          <w:rFonts w:hint="eastAsia" w:cs="宋体"/>
          <w:b/>
          <w:kern w:val="0"/>
          <w:sz w:val="96"/>
          <w:szCs w:val="96"/>
          <w:lang w:val="en-US" w:eastAsia="zh-CN"/>
        </w:rPr>
        <w:t xml:space="preserve"> </w:t>
      </w:r>
      <w:r>
        <w:rPr>
          <w:rFonts w:hint="eastAsia" w:ascii="宋体" w:hAnsi="宋体" w:eastAsia="宋体" w:cs="宋体"/>
          <w:b/>
          <w:kern w:val="0"/>
          <w:sz w:val="96"/>
          <w:szCs w:val="96"/>
          <w:lang w:eastAsia="zh-CN"/>
        </w:rPr>
        <w:t>合</w:t>
      </w:r>
      <w:r>
        <w:rPr>
          <w:rFonts w:hint="eastAsia" w:cs="宋体"/>
          <w:b/>
          <w:kern w:val="0"/>
          <w:sz w:val="96"/>
          <w:szCs w:val="96"/>
          <w:lang w:val="en-US" w:eastAsia="zh-CN"/>
        </w:rPr>
        <w:t xml:space="preserve"> </w:t>
      </w:r>
      <w:r>
        <w:rPr>
          <w:rFonts w:hint="eastAsia" w:ascii="宋体" w:hAnsi="宋体" w:eastAsia="宋体" w:cs="宋体"/>
          <w:b/>
          <w:kern w:val="0"/>
          <w:sz w:val="96"/>
          <w:szCs w:val="96"/>
          <w:lang w:eastAsia="zh-CN"/>
        </w:rPr>
        <w:t>同</w:t>
      </w:r>
    </w:p>
    <w:p w14:paraId="0A8F6898">
      <w:pPr>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firstLine="0" w:firstLineChars="0"/>
        <w:jc w:val="center"/>
        <w:rPr>
          <w:rFonts w:hint="eastAsia" w:ascii="宋体" w:hAnsi="宋体" w:eastAsia="宋体" w:cs="宋体"/>
          <w:b/>
          <w:sz w:val="28"/>
          <w:szCs w:val="28"/>
        </w:rPr>
      </w:pPr>
    </w:p>
    <w:p w14:paraId="5643E732">
      <w:pPr>
        <w:pStyle w:val="2"/>
        <w:keepNext w:val="0"/>
        <w:keepLines w:val="0"/>
        <w:pageBreakBefore w:val="0"/>
        <w:widowControl w:val="0"/>
        <w:kinsoku/>
        <w:wordWrap w:val="0"/>
        <w:overflowPunct/>
        <w:topLinePunct w:val="0"/>
        <w:bidi w:val="0"/>
        <w:adjustRightInd/>
        <w:snapToGrid/>
        <w:spacing w:line="360" w:lineRule="auto"/>
        <w:ind w:left="0" w:leftChars="0" w:right="0" w:firstLine="0" w:firstLineChars="0"/>
        <w:jc w:val="left"/>
        <w:rPr>
          <w:rFonts w:hint="eastAsia" w:ascii="宋体" w:hAnsi="宋体" w:eastAsia="宋体" w:cs="宋体"/>
          <w:b/>
          <w:sz w:val="22"/>
          <w:szCs w:val="22"/>
        </w:rPr>
      </w:pPr>
    </w:p>
    <w:p w14:paraId="2656EC01">
      <w:pPr>
        <w:keepNext w:val="0"/>
        <w:keepLines w:val="0"/>
        <w:pageBreakBefore w:val="0"/>
        <w:widowControl w:val="0"/>
        <w:kinsoku/>
        <w:wordWrap w:val="0"/>
        <w:overflowPunct/>
        <w:topLinePunct w:val="0"/>
        <w:bidi w:val="0"/>
        <w:adjustRightInd/>
        <w:snapToGrid/>
        <w:spacing w:line="360" w:lineRule="auto"/>
        <w:ind w:left="0" w:leftChars="0" w:right="0" w:firstLine="0" w:firstLineChars="0"/>
        <w:rPr>
          <w:rFonts w:hint="eastAsia" w:ascii="宋体" w:hAnsi="宋体" w:eastAsia="宋体" w:cs="宋体"/>
          <w:b/>
          <w:bCs w:val="0"/>
          <w:kern w:val="2"/>
          <w:sz w:val="24"/>
          <w:szCs w:val="24"/>
          <w:lang w:eastAsia="zh-CN"/>
        </w:rPr>
      </w:pPr>
    </w:p>
    <w:p w14:paraId="7B59E17B">
      <w:pPr>
        <w:keepNext w:val="0"/>
        <w:keepLines w:val="0"/>
        <w:pageBreakBefore w:val="0"/>
        <w:widowControl w:val="0"/>
        <w:kinsoku/>
        <w:wordWrap w:val="0"/>
        <w:overflowPunct/>
        <w:topLinePunct w:val="0"/>
        <w:bidi w:val="0"/>
        <w:adjustRightInd/>
        <w:snapToGrid/>
        <w:spacing w:line="360" w:lineRule="auto"/>
        <w:ind w:left="0" w:leftChars="0" w:right="0" w:firstLine="0" w:firstLineChars="0"/>
        <w:rPr>
          <w:rFonts w:hint="eastAsia" w:ascii="宋体" w:hAnsi="宋体" w:eastAsia="宋体" w:cs="宋体"/>
          <w:b/>
          <w:bCs w:val="0"/>
          <w:kern w:val="2"/>
          <w:sz w:val="24"/>
          <w:szCs w:val="24"/>
          <w:lang w:eastAsia="zh-CN"/>
        </w:rPr>
      </w:pPr>
    </w:p>
    <w:p w14:paraId="49423120">
      <w:pPr>
        <w:keepNext w:val="0"/>
        <w:keepLines w:val="0"/>
        <w:pageBreakBefore w:val="0"/>
        <w:widowControl w:val="0"/>
        <w:kinsoku/>
        <w:wordWrap w:val="0"/>
        <w:overflowPunct/>
        <w:topLinePunct w:val="0"/>
        <w:bidi w:val="0"/>
        <w:adjustRightInd/>
        <w:snapToGrid/>
        <w:spacing w:line="360" w:lineRule="auto"/>
        <w:ind w:left="1898" w:leftChars="904" w:right="0" w:firstLine="0" w:firstLineChars="0"/>
        <w:rPr>
          <w:rFonts w:hint="eastAsia" w:ascii="宋体" w:hAnsi="宋体" w:eastAsia="宋体" w:cs="宋体"/>
          <w:b/>
          <w:bCs w:val="0"/>
          <w:kern w:val="2"/>
          <w:sz w:val="32"/>
          <w:szCs w:val="32"/>
          <w:lang w:eastAsia="zh-CN"/>
        </w:rPr>
      </w:pPr>
      <w:r>
        <w:rPr>
          <w:rFonts w:hint="eastAsia" w:ascii="宋体" w:hAnsi="宋体" w:eastAsia="宋体" w:cs="宋体"/>
          <w:b/>
          <w:bCs w:val="0"/>
          <w:kern w:val="2"/>
          <w:sz w:val="32"/>
          <w:szCs w:val="32"/>
          <w:lang w:eastAsia="zh-CN"/>
        </w:rPr>
        <w:t>发包人：</w:t>
      </w:r>
      <w:r>
        <w:rPr>
          <w:rFonts w:hint="eastAsia" w:cs="宋体"/>
          <w:b/>
          <w:bCs w:val="0"/>
          <w:kern w:val="2"/>
          <w:sz w:val="32"/>
          <w:szCs w:val="32"/>
          <w:u w:val="single"/>
          <w:lang w:val="en-US" w:eastAsia="zh-CN"/>
        </w:rPr>
        <w:t xml:space="preserve">                       </w:t>
      </w:r>
      <w:r>
        <w:rPr>
          <w:rFonts w:hint="eastAsia" w:ascii="宋体" w:hAnsi="宋体" w:eastAsia="宋体" w:cs="宋体"/>
          <w:b/>
          <w:bCs w:val="0"/>
          <w:kern w:val="2"/>
          <w:sz w:val="32"/>
          <w:szCs w:val="32"/>
          <w:u w:val="single"/>
          <w:lang w:eastAsia="zh-CN"/>
        </w:rPr>
        <w:t xml:space="preserve"> </w:t>
      </w:r>
    </w:p>
    <w:p w14:paraId="28B126CF">
      <w:pPr>
        <w:keepNext w:val="0"/>
        <w:keepLines w:val="0"/>
        <w:pageBreakBefore w:val="0"/>
        <w:widowControl w:val="0"/>
        <w:kinsoku/>
        <w:wordWrap w:val="0"/>
        <w:overflowPunct/>
        <w:topLinePunct w:val="0"/>
        <w:bidi w:val="0"/>
        <w:adjustRightInd/>
        <w:snapToGrid/>
        <w:spacing w:line="360" w:lineRule="auto"/>
        <w:ind w:left="1898" w:leftChars="904" w:right="0" w:firstLine="0" w:firstLineChars="0"/>
        <w:rPr>
          <w:rFonts w:hint="eastAsia" w:ascii="宋体" w:hAnsi="宋体" w:eastAsia="宋体" w:cs="宋体"/>
          <w:b/>
          <w:bCs w:val="0"/>
          <w:kern w:val="2"/>
          <w:sz w:val="32"/>
          <w:szCs w:val="32"/>
          <w:lang w:eastAsia="zh-CN"/>
        </w:rPr>
      </w:pPr>
      <w:r>
        <w:rPr>
          <w:rFonts w:hint="eastAsia" w:ascii="宋体" w:hAnsi="宋体" w:eastAsia="宋体" w:cs="宋体"/>
          <w:b/>
          <w:bCs w:val="0"/>
          <w:kern w:val="2"/>
          <w:sz w:val="32"/>
          <w:szCs w:val="32"/>
          <w:lang w:eastAsia="zh-CN"/>
        </w:rPr>
        <w:t>承包人：</w:t>
      </w:r>
      <w:r>
        <w:rPr>
          <w:rFonts w:hint="eastAsia" w:cs="宋体"/>
          <w:b/>
          <w:bCs w:val="0"/>
          <w:kern w:val="2"/>
          <w:sz w:val="32"/>
          <w:szCs w:val="32"/>
          <w:u w:val="single"/>
          <w:lang w:val="en-US" w:eastAsia="zh-CN"/>
        </w:rPr>
        <w:t xml:space="preserve">                       </w:t>
      </w:r>
      <w:r>
        <w:rPr>
          <w:rFonts w:hint="eastAsia" w:ascii="宋体" w:hAnsi="宋体" w:eastAsia="宋体" w:cs="宋体"/>
          <w:b/>
          <w:bCs w:val="0"/>
          <w:kern w:val="2"/>
          <w:sz w:val="32"/>
          <w:szCs w:val="32"/>
          <w:u w:val="single"/>
          <w:lang w:eastAsia="zh-CN"/>
        </w:rPr>
        <w:t xml:space="preserve"> </w:t>
      </w:r>
    </w:p>
    <w:p w14:paraId="35411866">
      <w:pPr>
        <w:keepNext w:val="0"/>
        <w:keepLines w:val="0"/>
        <w:pageBreakBefore w:val="0"/>
        <w:widowControl w:val="0"/>
        <w:kinsoku/>
        <w:wordWrap w:val="0"/>
        <w:overflowPunct/>
        <w:topLinePunct w:val="0"/>
        <w:bidi w:val="0"/>
        <w:adjustRightInd/>
        <w:snapToGrid/>
        <w:spacing w:line="360" w:lineRule="auto"/>
        <w:ind w:left="1898" w:leftChars="904" w:right="0" w:firstLine="0" w:firstLineChars="0"/>
        <w:rPr>
          <w:rFonts w:hint="eastAsia" w:ascii="宋体" w:hAnsi="宋体" w:eastAsia="宋体" w:cs="宋体"/>
          <w:b/>
          <w:bCs w:val="0"/>
          <w:kern w:val="2"/>
          <w:sz w:val="32"/>
          <w:szCs w:val="32"/>
          <w:lang w:eastAsia="zh-CN"/>
        </w:rPr>
      </w:pPr>
      <w:r>
        <w:rPr>
          <w:rFonts w:hint="eastAsia" w:ascii="宋体" w:hAnsi="宋体" w:eastAsia="宋体" w:cs="宋体"/>
          <w:b/>
          <w:bCs w:val="0"/>
          <w:kern w:val="2"/>
          <w:sz w:val="32"/>
          <w:szCs w:val="32"/>
          <w:lang w:eastAsia="zh-CN"/>
        </w:rPr>
        <w:t xml:space="preserve">签订地点：  </w:t>
      </w:r>
    </w:p>
    <w:p w14:paraId="748D633F">
      <w:pPr>
        <w:keepNext w:val="0"/>
        <w:keepLines w:val="0"/>
        <w:pageBreakBefore w:val="0"/>
        <w:widowControl w:val="0"/>
        <w:kinsoku/>
        <w:wordWrap w:val="0"/>
        <w:overflowPunct/>
        <w:topLinePunct w:val="0"/>
        <w:bidi w:val="0"/>
        <w:adjustRightInd/>
        <w:snapToGrid/>
        <w:spacing w:line="360" w:lineRule="auto"/>
        <w:ind w:left="1898" w:leftChars="904" w:right="0" w:firstLine="0" w:firstLineChars="0"/>
        <w:rPr>
          <w:rFonts w:hint="eastAsia" w:ascii="宋体" w:hAnsi="宋体" w:eastAsia="宋体" w:cs="宋体"/>
          <w:b/>
          <w:bCs w:val="0"/>
          <w:kern w:val="2"/>
          <w:sz w:val="32"/>
          <w:szCs w:val="32"/>
          <w:lang w:eastAsia="zh-CN"/>
        </w:rPr>
      </w:pPr>
      <w:r>
        <w:rPr>
          <w:rFonts w:hint="eastAsia" w:ascii="宋体" w:hAnsi="宋体" w:eastAsia="宋体" w:cs="宋体"/>
          <w:b/>
          <w:bCs w:val="0"/>
          <w:kern w:val="2"/>
          <w:sz w:val="32"/>
          <w:szCs w:val="32"/>
          <w:lang w:eastAsia="zh-CN"/>
        </w:rPr>
        <w:t>签订时间：</w:t>
      </w:r>
      <w:r>
        <w:rPr>
          <w:rFonts w:hint="eastAsia" w:ascii="宋体" w:hAnsi="宋体" w:eastAsia="宋体" w:cs="宋体"/>
          <w:b/>
          <w:bCs w:val="0"/>
          <w:kern w:val="2"/>
          <w:sz w:val="32"/>
          <w:szCs w:val="32"/>
          <w:lang w:val="en-US" w:eastAsia="zh-CN"/>
        </w:rPr>
        <w:t>2025</w:t>
      </w:r>
      <w:r>
        <w:rPr>
          <w:rFonts w:hint="eastAsia" w:ascii="宋体" w:hAnsi="宋体" w:eastAsia="宋体" w:cs="宋体"/>
          <w:b/>
          <w:bCs w:val="0"/>
          <w:kern w:val="2"/>
          <w:sz w:val="32"/>
          <w:szCs w:val="32"/>
          <w:lang w:eastAsia="zh-CN"/>
        </w:rPr>
        <w:t>年</w:t>
      </w:r>
      <w:r>
        <w:rPr>
          <w:rFonts w:hint="eastAsia" w:ascii="宋体" w:hAnsi="宋体" w:eastAsia="宋体" w:cs="宋体"/>
          <w:b/>
          <w:bCs w:val="0"/>
          <w:kern w:val="2"/>
          <w:sz w:val="32"/>
          <w:szCs w:val="32"/>
          <w:lang w:val="en-US" w:eastAsia="zh-CN"/>
        </w:rPr>
        <w:t xml:space="preserve">  </w:t>
      </w:r>
      <w:r>
        <w:rPr>
          <w:rFonts w:hint="eastAsia" w:ascii="宋体" w:hAnsi="宋体" w:eastAsia="宋体" w:cs="宋体"/>
          <w:b/>
          <w:bCs w:val="0"/>
          <w:kern w:val="2"/>
          <w:sz w:val="32"/>
          <w:szCs w:val="32"/>
          <w:lang w:eastAsia="zh-CN"/>
        </w:rPr>
        <w:t>月</w:t>
      </w:r>
      <w:r>
        <w:rPr>
          <w:rFonts w:hint="eastAsia" w:ascii="宋体" w:hAnsi="宋体" w:eastAsia="宋体" w:cs="宋体"/>
          <w:b/>
          <w:bCs w:val="0"/>
          <w:kern w:val="2"/>
          <w:sz w:val="32"/>
          <w:szCs w:val="32"/>
          <w:lang w:val="en-US" w:eastAsia="zh-CN"/>
        </w:rPr>
        <w:t xml:space="preserve">  </w:t>
      </w:r>
      <w:r>
        <w:rPr>
          <w:rFonts w:hint="eastAsia" w:ascii="宋体" w:hAnsi="宋体" w:eastAsia="宋体" w:cs="宋体"/>
          <w:b/>
          <w:bCs w:val="0"/>
          <w:kern w:val="2"/>
          <w:sz w:val="32"/>
          <w:szCs w:val="32"/>
          <w:lang w:eastAsia="zh-CN"/>
        </w:rPr>
        <w:t>日</w:t>
      </w:r>
    </w:p>
    <w:p w14:paraId="3078BED6">
      <w:pPr>
        <w:pStyle w:val="29"/>
        <w:autoSpaceDE w:val="0"/>
        <w:autoSpaceDN w:val="0"/>
        <w:adjustRightInd w:val="0"/>
        <w:snapToGrid w:val="0"/>
        <w:spacing w:beforeLines="100" w:afterLines="50" w:line="760" w:lineRule="exact"/>
        <w:contextualSpacing/>
        <w:jc w:val="both"/>
        <w:rPr>
          <w:rFonts w:hint="eastAsia" w:ascii="方正小标宋简体" w:hAnsi="方正小标宋简体" w:eastAsia="方正小标宋简体" w:cs="方正小标宋简体"/>
          <w:b/>
          <w:sz w:val="44"/>
          <w:szCs w:val="44"/>
          <w:lang w:val="en-US" w:eastAsia="zh-CN" w:bidi="ar-SA"/>
        </w:rPr>
      </w:pPr>
    </w:p>
    <w:p w14:paraId="52BA2E86">
      <w:pPr>
        <w:pStyle w:val="29"/>
        <w:keepNext w:val="0"/>
        <w:keepLines w:val="0"/>
        <w:pageBreakBefore w:val="0"/>
        <w:widowControl/>
        <w:kinsoku/>
        <w:wordWrap/>
        <w:overflowPunct/>
        <w:topLinePunct w:val="0"/>
        <w:autoSpaceDE w:val="0"/>
        <w:autoSpaceDN w:val="0"/>
        <w:bidi w:val="0"/>
        <w:adjustRightInd w:val="0"/>
        <w:snapToGrid w:val="0"/>
        <w:spacing w:beforeLines="100" w:afterLines="50" w:line="560" w:lineRule="exact"/>
        <w:contextualSpacing/>
        <w:jc w:val="center"/>
        <w:textAlignment w:val="auto"/>
        <w:rPr>
          <w:rFonts w:hint="eastAsia" w:ascii="方正小标宋简体" w:hAnsi="方正小标宋简体" w:eastAsia="方正小标宋简体" w:cs="方正小标宋简体"/>
          <w:b w:val="0"/>
          <w:bCs/>
          <w:sz w:val="44"/>
          <w:szCs w:val="44"/>
          <w:lang w:val="en-US" w:eastAsia="zh-CN" w:bidi="ar-SA"/>
        </w:rPr>
        <w:sectPr>
          <w:footerReference r:id="rId8" w:type="default"/>
          <w:pgSz w:w="11906" w:h="16838"/>
          <w:pgMar w:top="1440" w:right="1080" w:bottom="1440" w:left="1080" w:header="851" w:footer="992" w:gutter="0"/>
          <w:pgNumType w:fmt="decimal" w:start="1"/>
          <w:cols w:space="425" w:num="1"/>
          <w:docGrid w:type="lines" w:linePitch="312" w:charSpace="0"/>
        </w:sectPr>
      </w:pPr>
    </w:p>
    <w:p w14:paraId="0445D016">
      <w:pPr>
        <w:pStyle w:val="29"/>
        <w:keepNext w:val="0"/>
        <w:keepLines w:val="0"/>
        <w:pageBreakBefore w:val="0"/>
        <w:widowControl/>
        <w:kinsoku/>
        <w:wordWrap/>
        <w:overflowPunct/>
        <w:topLinePunct w:val="0"/>
        <w:autoSpaceDE w:val="0"/>
        <w:autoSpaceDN w:val="0"/>
        <w:bidi w:val="0"/>
        <w:adjustRightInd w:val="0"/>
        <w:snapToGrid w:val="0"/>
        <w:spacing w:beforeLines="100" w:afterLines="50" w:line="560" w:lineRule="exact"/>
        <w:contextualSpacing/>
        <w:jc w:val="center"/>
        <w:textAlignment w:val="auto"/>
        <w:rPr>
          <w:rFonts w:hint="eastAsia" w:ascii="宋体" w:hAnsi="宋体" w:eastAsia="宋体" w:cs="宋体"/>
          <w:b w:val="0"/>
          <w:bCs/>
          <w:sz w:val="32"/>
          <w:szCs w:val="32"/>
          <w:lang w:val="en-US" w:eastAsia="zh-CN" w:bidi="ar-SA"/>
        </w:rPr>
      </w:pPr>
      <w:r>
        <w:rPr>
          <w:rFonts w:hint="eastAsia" w:ascii="宋体" w:hAnsi="宋体" w:eastAsia="宋体" w:cs="宋体"/>
          <w:b w:val="0"/>
          <w:bCs/>
          <w:sz w:val="32"/>
          <w:szCs w:val="32"/>
          <w:lang w:val="en-US" w:eastAsia="zh-CN" w:bidi="ar-SA"/>
        </w:rPr>
        <w:t>元谋县2025年中央水利发展资金白蚁等害堤动物</w:t>
      </w:r>
    </w:p>
    <w:p w14:paraId="65CFFA04">
      <w:pPr>
        <w:pStyle w:val="29"/>
        <w:keepNext w:val="0"/>
        <w:keepLines w:val="0"/>
        <w:pageBreakBefore w:val="0"/>
        <w:widowControl/>
        <w:kinsoku/>
        <w:wordWrap/>
        <w:overflowPunct/>
        <w:topLinePunct w:val="0"/>
        <w:autoSpaceDE w:val="0"/>
        <w:autoSpaceDN w:val="0"/>
        <w:bidi w:val="0"/>
        <w:adjustRightInd w:val="0"/>
        <w:snapToGrid w:val="0"/>
        <w:spacing w:beforeLines="100" w:afterLines="50" w:line="560" w:lineRule="exact"/>
        <w:contextualSpacing/>
        <w:jc w:val="center"/>
        <w:textAlignment w:val="auto"/>
        <w:rPr>
          <w:rFonts w:hint="eastAsia" w:ascii="宋体" w:hAnsi="宋体" w:eastAsia="宋体" w:cs="宋体"/>
          <w:b w:val="0"/>
          <w:bCs/>
          <w:sz w:val="52"/>
          <w:szCs w:val="52"/>
        </w:rPr>
      </w:pPr>
      <w:r>
        <w:rPr>
          <w:rFonts w:hint="eastAsia" w:ascii="宋体" w:hAnsi="宋体" w:eastAsia="宋体" w:cs="宋体"/>
          <w:b w:val="0"/>
          <w:bCs/>
          <w:sz w:val="32"/>
          <w:szCs w:val="32"/>
          <w:lang w:val="en-US" w:eastAsia="zh-CN" w:bidi="ar-SA"/>
        </w:rPr>
        <w:t>防治项目</w:t>
      </w:r>
      <w:r>
        <w:rPr>
          <w:rFonts w:hint="eastAsia" w:ascii="宋体" w:hAnsi="宋体" w:eastAsia="宋体" w:cs="宋体"/>
          <w:b w:val="0"/>
          <w:bCs/>
          <w:sz w:val="32"/>
          <w:szCs w:val="32"/>
        </w:rPr>
        <w:t>合同协议书</w:t>
      </w:r>
    </w:p>
    <w:p w14:paraId="3B1D9BBC">
      <w:pPr>
        <w:bidi w:val="0"/>
        <w:rPr>
          <w:rFonts w:hint="eastAsia"/>
          <w:lang w:val="en-US" w:eastAsia="zh-CN"/>
        </w:rPr>
      </w:pPr>
      <w:r>
        <w:rPr>
          <w:rFonts w:hint="eastAsia"/>
          <w:lang w:val="en-US" w:eastAsia="zh-CN"/>
        </w:rPr>
        <w:t>为防止白蚁危害水库大坝安全，保护国家和库区人民群众生命财产安全及水库大坝安全运行，依据《民典法》和《水利工程白蚁防治技术规程》（SLT836—2024），</w:t>
      </w:r>
      <w:r>
        <w:rPr>
          <w:rFonts w:hint="eastAsia"/>
          <w:u w:val="single"/>
          <w:lang w:val="en-US" w:eastAsia="zh-CN"/>
        </w:rPr>
        <w:t xml:space="preserve">       </w:t>
      </w:r>
      <w:r>
        <w:rPr>
          <w:rFonts w:hint="eastAsia"/>
          <w:lang w:val="en-US" w:eastAsia="zh-CN"/>
        </w:rPr>
        <w:t>(以下简称“发包人”)为实施元谋县2025年中央水利发展资金白蚁等害堤动物防治项目，已接受</w:t>
      </w:r>
      <w:bookmarkStart w:id="257" w:name="_Hlk100661535"/>
      <w:bookmarkEnd w:id="257"/>
      <w:r>
        <w:rPr>
          <w:rFonts w:hint="eastAsia"/>
          <w:u w:val="single"/>
          <w:lang w:val="en-US" w:eastAsia="zh-CN"/>
        </w:rPr>
        <w:t xml:space="preserve">                   </w:t>
      </w:r>
      <w:r>
        <w:rPr>
          <w:rFonts w:hint="eastAsia"/>
          <w:lang w:val="en-US" w:eastAsia="zh-CN"/>
        </w:rPr>
        <w:t>（以下简称“承包人”)的响应文件，并确定为本项目的成交人。发包人和承包人共同达成如下协议。</w:t>
      </w:r>
    </w:p>
    <w:p w14:paraId="32226594">
      <w:pPr>
        <w:pStyle w:val="4"/>
        <w:bidi w:val="0"/>
        <w:rPr>
          <w:rFonts w:hint="eastAsia"/>
          <w:lang w:eastAsia="zh-CN"/>
        </w:rPr>
      </w:pPr>
      <w:r>
        <w:rPr>
          <w:rFonts w:hint="eastAsia"/>
          <w:lang w:eastAsia="zh-CN"/>
        </w:rPr>
        <w:t>一、服务内容</w:t>
      </w:r>
    </w:p>
    <w:p w14:paraId="3E423515">
      <w:pPr>
        <w:bidi w:val="0"/>
        <w:rPr>
          <w:rFonts w:hint="eastAsia" w:ascii="仿宋_GB2312" w:hAnsi="仿宋_GB2312" w:eastAsia="仿宋_GB2312" w:cs="仿宋_GB2312"/>
          <w:szCs w:val="32"/>
          <w:lang w:val="en-US" w:eastAsia="zh-CN"/>
        </w:rPr>
      </w:pPr>
      <w:r>
        <w:rPr>
          <w:rFonts w:hint="eastAsia"/>
          <w:lang w:val="en-US" w:eastAsia="zh-CN"/>
        </w:rPr>
        <w:t>元谋县2025年中央水利发展资金白蚁等害堤动物防治项目需完成元马镇等8个乡镇、下雷窝等47座小型水库白蚁防治，主要治理内容为：蚁巢开挖回填、白蚁饵剂诱杀、药物喷洒和白蚁监测装置埋设等。水库清单为：下雷窝水库、红坡水库、能禹水库、山神沟水库、下你莫水库、上你莫水库、三岔箐水库、前进水库、大荒地水库、桃树箐水库、龙潭箐水库、小火山水库、储麦水库、丙月团山水库、苴那水库、大白箐水库、丙令水库、那迪水库、大箐水库、石台子水库、腊古水库、渣麻子水库、德大干巴水库、东永水库、树林水库、鼠街水库、团山水库、小地弯水库、小村水库、白坡水库、冷水箐水库、小吃田水库、中山水库、灰冲水库、常家坟水库、牛街路水库、麦浪水库、贡茶水库、火头田水库、姜中水库、李官坟水库、太平水库、新海水库、跃进水库、致富水库、新河水库和东来水库共47座。</w:t>
      </w:r>
    </w:p>
    <w:p w14:paraId="0EDC0603">
      <w:pPr>
        <w:pStyle w:val="4"/>
        <w:bidi w:val="0"/>
        <w:rPr>
          <w:rFonts w:hint="eastAsia"/>
          <w:lang w:eastAsia="zh-CN"/>
        </w:rPr>
      </w:pPr>
      <w:r>
        <w:rPr>
          <w:rFonts w:hint="eastAsia"/>
          <w:lang w:eastAsia="zh-CN"/>
        </w:rPr>
        <w:t>二、服务期限</w:t>
      </w:r>
    </w:p>
    <w:p w14:paraId="51C91F32">
      <w:pPr>
        <w:bidi w:val="0"/>
        <w:rPr>
          <w:rFonts w:hint="eastAsia"/>
          <w:lang w:val="en-US" w:eastAsia="zh-CN"/>
        </w:rPr>
      </w:pPr>
      <w:r>
        <w:rPr>
          <w:rFonts w:hint="eastAsia"/>
          <w:lang w:val="en-US" w:eastAsia="zh-CN"/>
        </w:rPr>
        <w:t>服务期限为90日历天。于2027年4-5月开展效果复查与巩固治理。</w:t>
      </w:r>
    </w:p>
    <w:p w14:paraId="50D546CB">
      <w:pPr>
        <w:pStyle w:val="4"/>
        <w:bidi w:val="0"/>
        <w:rPr>
          <w:rFonts w:hint="eastAsia"/>
          <w:lang w:eastAsia="zh-CN"/>
        </w:rPr>
      </w:pPr>
      <w:r>
        <w:rPr>
          <w:rFonts w:hint="eastAsia"/>
          <w:lang w:eastAsia="zh-CN"/>
        </w:rPr>
        <w:t>三、服务费用</w:t>
      </w:r>
    </w:p>
    <w:p w14:paraId="13800675">
      <w:pPr>
        <w:bidi w:val="0"/>
        <w:rPr>
          <w:rFonts w:hint="eastAsia"/>
          <w:lang w:val="en-US" w:eastAsia="zh-CN"/>
        </w:rPr>
      </w:pPr>
      <w:r>
        <w:rPr>
          <w:rFonts w:hint="eastAsia"/>
          <w:lang w:val="en-US" w:eastAsia="zh-CN"/>
        </w:rPr>
        <w:t>服务费用人民币大写：</w:t>
      </w:r>
      <w:r>
        <w:rPr>
          <w:rFonts w:hint="eastAsia"/>
          <w:u w:val="single"/>
          <w:lang w:val="en-US" w:eastAsia="zh-CN"/>
        </w:rPr>
        <w:t xml:space="preserve">           </w:t>
      </w:r>
      <w:r>
        <w:rPr>
          <w:rFonts w:hint="eastAsia"/>
          <w:lang w:val="en-US" w:eastAsia="zh-CN"/>
        </w:rPr>
        <w:t>（小写：¥</w:t>
      </w:r>
      <w:r>
        <w:rPr>
          <w:rFonts w:hint="eastAsia"/>
          <w:u w:val="single"/>
          <w:lang w:val="en-US" w:eastAsia="zh-CN"/>
        </w:rPr>
        <w:t xml:space="preserve">         </w:t>
      </w:r>
      <w:r>
        <w:rPr>
          <w:rFonts w:hint="eastAsia"/>
          <w:lang w:val="en-US" w:eastAsia="zh-CN"/>
        </w:rPr>
        <w:t>元）。</w:t>
      </w:r>
    </w:p>
    <w:p w14:paraId="31ABD415">
      <w:pPr>
        <w:pStyle w:val="4"/>
        <w:bidi w:val="0"/>
        <w:rPr>
          <w:rFonts w:hint="eastAsia"/>
          <w:lang w:eastAsia="zh-CN"/>
        </w:rPr>
      </w:pPr>
      <w:r>
        <w:rPr>
          <w:rFonts w:hint="eastAsia"/>
          <w:lang w:eastAsia="zh-CN"/>
        </w:rPr>
        <w:t>四、支付方式</w:t>
      </w:r>
    </w:p>
    <w:p w14:paraId="504A69F5">
      <w:pPr>
        <w:bidi w:val="0"/>
        <w:rPr>
          <w:rFonts w:hint="eastAsia"/>
          <w:lang w:val="en-US" w:eastAsia="zh-CN"/>
        </w:rPr>
      </w:pPr>
      <w:r>
        <w:rPr>
          <w:rFonts w:hint="eastAsia"/>
          <w:lang w:val="en-US" w:eastAsia="zh-CN"/>
        </w:rPr>
        <w:t>项目合同价款为：¥</w:t>
      </w:r>
      <w:r>
        <w:rPr>
          <w:rFonts w:hint="eastAsia"/>
          <w:u w:val="single"/>
          <w:lang w:val="en-US" w:eastAsia="zh-CN"/>
        </w:rPr>
        <w:t xml:space="preserve">        </w:t>
      </w:r>
      <w:r>
        <w:rPr>
          <w:rFonts w:hint="eastAsia"/>
          <w:lang w:val="en-US" w:eastAsia="zh-CN"/>
        </w:rPr>
        <w:t>元（大写：</w:t>
      </w:r>
      <w:r>
        <w:rPr>
          <w:rFonts w:hint="eastAsia"/>
          <w:u w:val="single"/>
          <w:lang w:val="en-US" w:eastAsia="zh-CN"/>
        </w:rPr>
        <w:t xml:space="preserve">           </w:t>
      </w:r>
      <w:r>
        <w:rPr>
          <w:rFonts w:hint="eastAsia"/>
          <w:lang w:val="en-US" w:eastAsia="zh-CN"/>
        </w:rPr>
        <w:t>)。</w:t>
      </w:r>
    </w:p>
    <w:p w14:paraId="76265EE5">
      <w:pPr>
        <w:bidi w:val="0"/>
        <w:rPr>
          <w:rFonts w:hint="eastAsia"/>
          <w:lang w:val="en-US" w:eastAsia="zh-CN"/>
        </w:rPr>
      </w:pPr>
      <w:r>
        <w:rPr>
          <w:rFonts w:hint="eastAsia"/>
          <w:lang w:val="en-US" w:eastAsia="zh-CN"/>
        </w:rPr>
        <w:t>本项目不支付预付款，进度款按实际进度支付，项目完成后支付到合同金额的97%。项目完成审计后，按审定价支付剩余的款项。</w:t>
      </w:r>
    </w:p>
    <w:p w14:paraId="2668FC70">
      <w:pPr>
        <w:pStyle w:val="4"/>
        <w:bidi w:val="0"/>
        <w:rPr>
          <w:rFonts w:hint="eastAsia" w:ascii="黑体" w:hAnsi="黑体" w:eastAsia="黑体" w:cs="黑体"/>
          <w:b w:val="0"/>
          <w:i w:val="0"/>
          <w:spacing w:val="0"/>
          <w:w w:val="100"/>
          <w:szCs w:val="32"/>
          <w:lang w:eastAsia="zh-CN"/>
        </w:rPr>
      </w:pPr>
      <w:r>
        <w:rPr>
          <w:rFonts w:hint="eastAsia"/>
          <w:lang w:eastAsia="zh-CN"/>
        </w:rPr>
        <w:t>五、防治方法</w:t>
      </w:r>
    </w:p>
    <w:p w14:paraId="574194B9">
      <w:pPr>
        <w:bidi w:val="0"/>
        <w:rPr>
          <w:rFonts w:hint="eastAsia"/>
          <w:lang w:val="en-US" w:eastAsia="zh-CN"/>
        </w:rPr>
      </w:pPr>
      <w:r>
        <w:rPr>
          <w:rFonts w:hint="eastAsia"/>
          <w:lang w:val="en-US" w:eastAsia="zh-CN"/>
        </w:rPr>
        <w:t>（一）人工挖巢：在水库坝体、坝脚及结构（50米范围内）周边寻找白蚁巢体，在地表指示物和白蚁地表活动的特征迹象来确定主蚁路和巢向，追挖主蚁巢，将其取出销毁，清理空巢腔，将其取出销毁，施药回填夯实，使白蚁无滋生的场所。</w:t>
      </w:r>
    </w:p>
    <w:p w14:paraId="28F06EFD">
      <w:pPr>
        <w:bidi w:val="0"/>
        <w:rPr>
          <w:rFonts w:hint="eastAsia"/>
          <w:lang w:val="en-US" w:eastAsia="zh-CN"/>
        </w:rPr>
      </w:pPr>
      <w:r>
        <w:rPr>
          <w:rFonts w:hint="eastAsia"/>
          <w:lang w:val="en-US" w:eastAsia="zh-CN"/>
        </w:rPr>
        <w:t>（二）埋设诱杀包：根据水库的白蚁危害等级，在白蚁危害严重区域埋置诱杀包，按照间距3～5m一字型排列布置，挖坑尺寸为0.3m×0.3×0.3m（长×宽×深）；在白蚁危害严重区域按照间距3～4m一字型排列布置挖坑尺寸为0.3m×0.3×0.3m（长×宽×深）；药物采用0.5%氟虫腈粉剂放在装有饵料纸袋里，然后放到坑底，用土覆盖并夯实。或者在土石坝蚁患区和蚁源区把饵剂投放到白蚁经常活动的泥被泥线、分飞孔蚁道等处。</w:t>
      </w:r>
    </w:p>
    <w:p w14:paraId="639638DB">
      <w:pPr>
        <w:bidi w:val="0"/>
        <w:rPr>
          <w:rFonts w:hint="eastAsia"/>
          <w:lang w:eastAsia="zh-CN"/>
        </w:rPr>
      </w:pPr>
      <w:r>
        <w:rPr>
          <w:rFonts w:hint="eastAsia"/>
          <w:lang w:val="en-US" w:eastAsia="zh-CN"/>
        </w:rPr>
        <w:t>（三）白蚁监测装置：白蚁监测安装在背水坡，间距视白蚁危害程度和白蚁监测产品说明书要求确定，一般按照沿中轴线水平间距20米，横坡向5米梅花型布设。安装露出地表2公分为宜。</w:t>
      </w:r>
    </w:p>
    <w:p w14:paraId="72663D1B">
      <w:pPr>
        <w:pStyle w:val="4"/>
        <w:bidi w:val="0"/>
        <w:rPr>
          <w:rFonts w:hint="eastAsia" w:ascii="黑体" w:hAnsi="黑体" w:eastAsia="黑体" w:cs="黑体"/>
          <w:b w:val="0"/>
          <w:i w:val="0"/>
          <w:spacing w:val="0"/>
          <w:w w:val="100"/>
          <w:szCs w:val="32"/>
          <w:lang w:eastAsia="zh-CN"/>
        </w:rPr>
      </w:pPr>
      <w:r>
        <w:rPr>
          <w:rFonts w:hint="eastAsia"/>
          <w:lang w:eastAsia="zh-CN"/>
        </w:rPr>
        <w:t>六、服务要求</w:t>
      </w:r>
    </w:p>
    <w:p w14:paraId="680A3228">
      <w:pPr>
        <w:bidi w:val="0"/>
        <w:rPr>
          <w:rFonts w:hint="eastAsia"/>
          <w:lang w:val="en-US" w:eastAsia="zh-CN"/>
        </w:rPr>
      </w:pPr>
      <w:r>
        <w:rPr>
          <w:rFonts w:hint="eastAsia"/>
          <w:lang w:val="en-US" w:eastAsia="zh-CN"/>
        </w:rPr>
        <w:t>（一）服务质量应符合符合《水利工程白蚁防治技术规程》（SLT 836—2024）、《水利工程白蚁防治技术规范》（T∕CHES-44-2020）等要求，同时符合国家现行有关标准的规定。</w:t>
      </w:r>
    </w:p>
    <w:p w14:paraId="59252D50">
      <w:pPr>
        <w:bidi w:val="0"/>
        <w:rPr>
          <w:rFonts w:hint="eastAsia"/>
          <w:lang w:val="en-US" w:eastAsia="zh-CN"/>
        </w:rPr>
      </w:pPr>
      <w:r>
        <w:rPr>
          <w:rFonts w:hint="eastAsia"/>
          <w:lang w:val="en-US" w:eastAsia="zh-CN"/>
        </w:rPr>
        <w:t>（二）服务过程中应做好记录，及时填写项目相关信息，服务结束后，应及时整理相关资料，并进行自检。投放饵剂后应每2-3周检查1次饵剂取食情况，当饵剂消耗量达70%以上且仍有白蚁活动时，应及时增加饵剂投放量，直至该点不再有白蚁取食。</w:t>
      </w:r>
    </w:p>
    <w:p w14:paraId="079CC2E4">
      <w:pPr>
        <w:bidi w:val="0"/>
        <w:rPr>
          <w:rFonts w:hint="eastAsia"/>
          <w:lang w:val="en-US" w:eastAsia="zh-CN"/>
        </w:rPr>
      </w:pPr>
      <w:r>
        <w:rPr>
          <w:rFonts w:hint="eastAsia"/>
          <w:lang w:val="en-US" w:eastAsia="zh-CN"/>
        </w:rPr>
        <w:t>（三）满足“蚁患区通过人工法检查未发现白蚁外露特征;已布设引诱桩(堆、坑、片)等监测装置的，未发现白蚁取食痕迹；蚁源区未发现分飞孔，且平均1000㎡蚁源区范围内白蚁活动外露特征不超过2处”等条件才组织验收。验收在项目完成后半年内进行，同时需提交施工过程资料(含照片、视频资料等)、施工管理工作报告和白蚁标本等资料。项目验收后于次年4-5月开展效果复查，如发现坝体有白蚁危害及时免费予以处理。</w:t>
      </w:r>
    </w:p>
    <w:p w14:paraId="08C16440">
      <w:pPr>
        <w:bidi w:val="0"/>
        <w:rPr>
          <w:rFonts w:hint="default"/>
          <w:lang w:val="en-US" w:eastAsia="zh-CN"/>
        </w:rPr>
      </w:pPr>
      <w:r>
        <w:rPr>
          <w:rFonts w:hint="eastAsia"/>
          <w:lang w:val="en-US" w:eastAsia="zh-CN"/>
        </w:rPr>
        <w:t>（四）服务</w:t>
      </w:r>
      <w:r>
        <w:rPr>
          <w:rFonts w:hint="default"/>
          <w:lang w:val="en-US" w:eastAsia="zh-CN"/>
        </w:rPr>
        <w:t>期间内做好安全工作，严禁药物污染水源及周边环境，告诫白蚁防治区域附近及外来人员做好安全防护，防止任何人员或牲畜发生安全问题，因乙方造成的安全问题由乙方自行负责。</w:t>
      </w:r>
    </w:p>
    <w:p w14:paraId="00B5B270">
      <w:pPr>
        <w:bidi w:val="0"/>
        <w:rPr>
          <w:rFonts w:hint="eastAsia"/>
          <w:lang w:eastAsia="zh-CN"/>
        </w:rPr>
      </w:pPr>
      <w:r>
        <w:rPr>
          <w:rFonts w:hint="default"/>
          <w:lang w:val="en-US" w:eastAsia="zh-CN"/>
        </w:rPr>
        <w:t>（</w:t>
      </w:r>
      <w:r>
        <w:rPr>
          <w:rFonts w:hint="eastAsia"/>
          <w:lang w:val="en-US" w:eastAsia="zh-CN"/>
        </w:rPr>
        <w:t>五</w:t>
      </w:r>
      <w:r>
        <w:rPr>
          <w:rFonts w:hint="default"/>
          <w:lang w:val="en-US" w:eastAsia="zh-CN"/>
        </w:rPr>
        <w:t>）严禁在河流、水库及坝塘等水体中倾倒剩余药物或清洗施药器械，盛装药物的容器和包装物应统一回收并做无害化处理。</w:t>
      </w:r>
    </w:p>
    <w:p w14:paraId="62E36268">
      <w:pPr>
        <w:pStyle w:val="4"/>
        <w:bidi w:val="0"/>
        <w:rPr>
          <w:rFonts w:hint="eastAsia"/>
          <w:lang w:eastAsia="zh-CN"/>
        </w:rPr>
      </w:pPr>
      <w:r>
        <w:rPr>
          <w:rFonts w:hint="eastAsia"/>
          <w:lang w:val="en-US" w:eastAsia="zh-CN"/>
        </w:rPr>
        <w:t>七</w:t>
      </w:r>
      <w:r>
        <w:rPr>
          <w:rFonts w:hint="eastAsia"/>
          <w:lang w:eastAsia="zh-CN"/>
        </w:rPr>
        <w:t>、违约责任</w:t>
      </w:r>
    </w:p>
    <w:p w14:paraId="568BE8E1">
      <w:pPr>
        <w:bidi w:val="0"/>
        <w:rPr>
          <w:rFonts w:hint="default"/>
          <w:lang w:val="en-US" w:eastAsia="zh-CN"/>
        </w:rPr>
      </w:pPr>
      <w:r>
        <w:rPr>
          <w:rFonts w:hint="eastAsia"/>
        </w:rPr>
        <w:t>甲、乙双方应严格遵守本合同的各项条款，以保证本合同正常履行。</w:t>
      </w:r>
    </w:p>
    <w:p w14:paraId="2EE76058">
      <w:pPr>
        <w:pStyle w:val="4"/>
        <w:bidi w:val="0"/>
        <w:rPr>
          <w:rFonts w:hint="eastAsia"/>
          <w:lang w:eastAsia="zh-CN"/>
        </w:rPr>
      </w:pPr>
      <w:r>
        <w:rPr>
          <w:rFonts w:hint="eastAsia"/>
          <w:lang w:eastAsia="zh-CN"/>
        </w:rPr>
        <w:t>八、纠纷处理</w:t>
      </w:r>
    </w:p>
    <w:p w14:paraId="31E233B5">
      <w:pPr>
        <w:bidi w:val="0"/>
        <w:rPr>
          <w:rFonts w:hint="eastAsia"/>
          <w:lang w:val="en-US" w:eastAsia="zh-CN"/>
        </w:rPr>
      </w:pPr>
      <w:r>
        <w:rPr>
          <w:rFonts w:hint="eastAsia"/>
          <w:lang w:val="en-US" w:eastAsia="zh-CN"/>
        </w:rPr>
        <w:t>本合同履行过程中发生与其有关的纠纷，双方应通过友好的协商方式解决。</w:t>
      </w:r>
    </w:p>
    <w:p w14:paraId="003C02CA">
      <w:pPr>
        <w:bidi w:val="0"/>
        <w:rPr>
          <w:rFonts w:hint="eastAsia"/>
        </w:rPr>
      </w:pPr>
      <w:r>
        <w:rPr>
          <w:rFonts w:hint="eastAsia"/>
          <w:lang w:eastAsia="zh-CN"/>
        </w:rPr>
        <w:t>九、</w:t>
      </w:r>
      <w:r>
        <w:rPr>
          <w:rFonts w:hint="eastAsia"/>
        </w:rPr>
        <w:t xml:space="preserve"> 本协议书一式 </w:t>
      </w:r>
      <w:r>
        <w:rPr>
          <w:rFonts w:hint="eastAsia"/>
          <w:u w:val="single"/>
          <w:lang w:val="en-US" w:eastAsia="zh-CN"/>
        </w:rPr>
        <w:t>陆</w:t>
      </w:r>
      <w:r>
        <w:rPr>
          <w:rFonts w:hint="eastAsia"/>
        </w:rPr>
        <w:t xml:space="preserve"> 份，</w:t>
      </w:r>
      <w:r>
        <w:rPr>
          <w:rFonts w:hint="eastAsia"/>
          <w:lang w:eastAsia="zh-CN"/>
        </w:rPr>
        <w:t>发包人</w:t>
      </w:r>
      <w:r>
        <w:rPr>
          <w:rFonts w:hint="eastAsia"/>
        </w:rPr>
        <w:t>执</w:t>
      </w:r>
      <w:r>
        <w:rPr>
          <w:rFonts w:hint="eastAsia"/>
          <w:lang w:val="en-US" w:eastAsia="zh-CN"/>
        </w:rPr>
        <w:t xml:space="preserve"> </w:t>
      </w:r>
      <w:r>
        <w:rPr>
          <w:rFonts w:hint="eastAsia"/>
          <w:u w:val="single"/>
          <w:lang w:val="en-US" w:eastAsia="zh-CN"/>
        </w:rPr>
        <w:t>肆</w:t>
      </w:r>
      <w:r>
        <w:rPr>
          <w:rFonts w:hint="eastAsia"/>
        </w:rPr>
        <w:t xml:space="preserve"> 份，乙方执 </w:t>
      </w:r>
      <w:r>
        <w:rPr>
          <w:rFonts w:hint="eastAsia"/>
          <w:u w:val="single"/>
        </w:rPr>
        <w:t>贰</w:t>
      </w:r>
      <w:r>
        <w:rPr>
          <w:rFonts w:hint="eastAsia"/>
        </w:rPr>
        <w:t xml:space="preserve"> 份，均具有同等法律效力。</w:t>
      </w:r>
    </w:p>
    <w:p w14:paraId="53A70CE4">
      <w:pPr>
        <w:pStyle w:val="4"/>
        <w:bidi w:val="0"/>
        <w:rPr>
          <w:rFonts w:hint="eastAsia"/>
          <w:b/>
          <w:bCs/>
          <w:szCs w:val="24"/>
        </w:rPr>
      </w:pPr>
      <w:r>
        <w:rPr>
          <w:rFonts w:hint="eastAsia"/>
          <w:lang w:eastAsia="zh-CN"/>
        </w:rPr>
        <w:t>十、</w:t>
      </w:r>
      <w:r>
        <w:rPr>
          <w:rFonts w:hint="eastAsia"/>
        </w:rPr>
        <w:t xml:space="preserve"> 合同未尽事宜，双方另行签订补充协议。补充协议是合同的组成部分。</w:t>
      </w:r>
    </w:p>
    <w:p w14:paraId="3CA4C67D">
      <w:pPr>
        <w:bidi w:val="0"/>
        <w:rPr>
          <w:rFonts w:hint="eastAsia"/>
          <w:lang w:val="en-US" w:eastAsia="zh-CN"/>
        </w:rPr>
      </w:pPr>
      <w:r>
        <w:rPr>
          <w:rFonts w:hint="eastAsia"/>
          <w:lang w:val="en-US" w:eastAsia="zh-CN"/>
        </w:rPr>
        <w:t>发包人：</w:t>
      </w:r>
      <w:r>
        <w:rPr>
          <w:rFonts w:hint="eastAsia"/>
          <w:u w:val="single"/>
          <w:lang w:val="en-US" w:eastAsia="zh-CN"/>
        </w:rPr>
        <w:t xml:space="preserve">                            </w:t>
      </w:r>
      <w:r>
        <w:rPr>
          <w:rFonts w:hint="eastAsia"/>
          <w:lang w:val="en-US" w:eastAsia="zh-CN"/>
        </w:rPr>
        <w:t xml:space="preserve"> 承包人：</w:t>
      </w:r>
      <w:r>
        <w:rPr>
          <w:rFonts w:hint="eastAsia"/>
          <w:u w:val="single"/>
          <w:lang w:val="en-US" w:eastAsia="zh-CN"/>
        </w:rPr>
        <w:t xml:space="preserve">                            </w:t>
      </w:r>
    </w:p>
    <w:p w14:paraId="328463D3">
      <w:pPr>
        <w:bidi w:val="0"/>
        <w:rPr>
          <w:rFonts w:hint="default"/>
          <w:lang w:val="en-US" w:eastAsia="zh-CN"/>
        </w:rPr>
      </w:pPr>
      <w:r>
        <w:rPr>
          <w:rFonts w:hint="eastAsia"/>
          <w:lang w:val="en-US" w:eastAsia="zh-CN"/>
        </w:rPr>
        <w:t>法定代表人或委托代理人：</w:t>
      </w:r>
      <w:r>
        <w:rPr>
          <w:rFonts w:hint="eastAsia"/>
          <w:u w:val="single"/>
          <w:lang w:val="en-US" w:eastAsia="zh-CN"/>
        </w:rPr>
        <w:t xml:space="preserve">           </w:t>
      </w:r>
      <w:r>
        <w:rPr>
          <w:rFonts w:hint="eastAsia"/>
          <w:lang w:val="en-US" w:eastAsia="zh-CN"/>
        </w:rPr>
        <w:t xml:space="preserve">  法定代表人或委托代理人：</w:t>
      </w:r>
      <w:r>
        <w:rPr>
          <w:rFonts w:hint="eastAsia"/>
          <w:u w:val="single"/>
          <w:lang w:val="en-US" w:eastAsia="zh-CN"/>
        </w:rPr>
        <w:t xml:space="preserve">           </w:t>
      </w:r>
      <w:r>
        <w:rPr>
          <w:rFonts w:hint="eastAsia"/>
          <w:lang w:val="en-US" w:eastAsia="zh-CN"/>
        </w:rPr>
        <w:t xml:space="preserve"> </w:t>
      </w:r>
    </w:p>
    <w:p w14:paraId="7E68C71F">
      <w:pPr>
        <w:bidi w:val="0"/>
        <w:rPr>
          <w:rFonts w:hint="default"/>
          <w:lang w:val="en-US" w:eastAsia="zh-CN"/>
        </w:rPr>
      </w:pPr>
      <w:r>
        <w:rPr>
          <w:rFonts w:hint="eastAsia"/>
          <w:lang w:val="en-US" w:eastAsia="zh-CN"/>
        </w:rPr>
        <w:t>单位地址：</w:t>
      </w:r>
      <w:r>
        <w:rPr>
          <w:rFonts w:hint="eastAsia"/>
          <w:u w:val="single"/>
          <w:lang w:val="en-US" w:eastAsia="zh-CN"/>
        </w:rPr>
        <w:t xml:space="preserve">                         </w:t>
      </w:r>
      <w:r>
        <w:rPr>
          <w:rFonts w:hint="eastAsia"/>
          <w:lang w:val="en-US" w:eastAsia="zh-CN"/>
        </w:rPr>
        <w:t xml:space="preserve">    单位地址：</w:t>
      </w:r>
      <w:r>
        <w:rPr>
          <w:rFonts w:hint="eastAsia"/>
          <w:u w:val="single"/>
          <w:lang w:val="en-US" w:eastAsia="zh-CN"/>
        </w:rPr>
        <w:t xml:space="preserve">                         </w:t>
      </w:r>
    </w:p>
    <w:p w14:paraId="73E139DD">
      <w:pPr>
        <w:bidi w:val="0"/>
        <w:rPr>
          <w:rFonts w:hint="eastAsia"/>
          <w:lang w:val="en-US" w:eastAsia="zh-CN"/>
        </w:rPr>
      </w:pPr>
      <w:r>
        <w:rPr>
          <w:rFonts w:hint="eastAsia"/>
          <w:lang w:val="en-US" w:eastAsia="zh-CN"/>
        </w:rPr>
        <w:t>电    话：</w:t>
      </w:r>
      <w:r>
        <w:rPr>
          <w:rFonts w:hint="eastAsia"/>
          <w:u w:val="single"/>
          <w:lang w:val="en-US" w:eastAsia="zh-CN"/>
        </w:rPr>
        <w:t xml:space="preserve">                         </w:t>
      </w:r>
      <w:r>
        <w:rPr>
          <w:rFonts w:hint="eastAsia"/>
          <w:lang w:val="en-US" w:eastAsia="zh-CN"/>
        </w:rPr>
        <w:t xml:space="preserve">    电    话：</w:t>
      </w:r>
      <w:r>
        <w:rPr>
          <w:rFonts w:hint="eastAsia"/>
          <w:u w:val="single"/>
          <w:lang w:val="en-US" w:eastAsia="zh-CN"/>
        </w:rPr>
        <w:t xml:space="preserve">                         </w:t>
      </w:r>
    </w:p>
    <w:p w14:paraId="1A451523">
      <w:pPr>
        <w:bidi w:val="0"/>
        <w:rPr>
          <w:rFonts w:hint="eastAsia"/>
          <w:lang w:val="en-US" w:eastAsia="zh-CN"/>
        </w:rPr>
      </w:pPr>
      <w:r>
        <w:rPr>
          <w:rFonts w:hint="eastAsia"/>
          <w:lang w:val="en-US" w:eastAsia="zh-CN"/>
        </w:rPr>
        <w:t>开户银行：</w:t>
      </w:r>
      <w:r>
        <w:rPr>
          <w:rFonts w:hint="eastAsia"/>
          <w:u w:val="single"/>
          <w:lang w:val="en-US" w:eastAsia="zh-CN"/>
        </w:rPr>
        <w:t xml:space="preserve">                         </w:t>
      </w:r>
      <w:r>
        <w:rPr>
          <w:rFonts w:hint="eastAsia"/>
          <w:lang w:val="en-US" w:eastAsia="zh-CN"/>
        </w:rPr>
        <w:t xml:space="preserve">    开户银行：</w:t>
      </w:r>
      <w:r>
        <w:rPr>
          <w:rFonts w:hint="eastAsia"/>
          <w:u w:val="single"/>
          <w:lang w:val="en-US" w:eastAsia="zh-CN"/>
        </w:rPr>
        <w:t xml:space="preserve">                         </w:t>
      </w:r>
    </w:p>
    <w:p w14:paraId="2C3CCCD2">
      <w:pPr>
        <w:bidi w:val="0"/>
        <w:rPr>
          <w:rFonts w:hint="eastAsia"/>
          <w:lang w:val="en-US" w:eastAsia="zh-CN"/>
        </w:rPr>
      </w:pPr>
      <w:r>
        <w:rPr>
          <w:rFonts w:hint="eastAsia"/>
          <w:lang w:val="en-US" w:eastAsia="zh-CN"/>
        </w:rPr>
        <w:t>账 号：</w:t>
      </w:r>
      <w:r>
        <w:rPr>
          <w:rFonts w:hint="eastAsia"/>
          <w:u w:val="single"/>
          <w:lang w:val="en-US" w:eastAsia="zh-CN"/>
        </w:rPr>
        <w:t xml:space="preserve">                            </w:t>
      </w:r>
      <w:r>
        <w:rPr>
          <w:rFonts w:hint="eastAsia"/>
          <w:lang w:val="en-US" w:eastAsia="zh-CN"/>
        </w:rPr>
        <w:t xml:space="preserve">    账 号：</w:t>
      </w:r>
      <w:r>
        <w:rPr>
          <w:rFonts w:hint="eastAsia"/>
          <w:u w:val="single"/>
          <w:lang w:val="en-US" w:eastAsia="zh-CN"/>
        </w:rPr>
        <w:t xml:space="preserve">                            </w:t>
      </w:r>
    </w:p>
    <w:p w14:paraId="31B87ABC">
      <w:pPr>
        <w:bidi w:val="0"/>
        <w:rPr>
          <w:rFonts w:hint="eastAsia"/>
          <w:lang w:val="zh-CN"/>
        </w:rPr>
      </w:pPr>
      <w:r>
        <w:rPr>
          <w:rFonts w:hint="eastAsia"/>
          <w:lang w:val="en-US" w:eastAsia="zh-CN"/>
        </w:rPr>
        <w:t>社会信用代码：</w:t>
      </w:r>
      <w:r>
        <w:rPr>
          <w:rFonts w:hint="eastAsia"/>
          <w:u w:val="single"/>
          <w:lang w:val="en-US" w:eastAsia="zh-CN"/>
        </w:rPr>
        <w:t xml:space="preserve">                     </w:t>
      </w:r>
      <w:r>
        <w:rPr>
          <w:rFonts w:hint="eastAsia"/>
          <w:lang w:val="en-US" w:eastAsia="zh-CN"/>
        </w:rPr>
        <w:t xml:space="preserve">   社会信用代码：</w:t>
      </w:r>
      <w:r>
        <w:rPr>
          <w:rFonts w:hint="eastAsia"/>
          <w:u w:val="single"/>
          <w:lang w:val="en-US" w:eastAsia="zh-CN"/>
        </w:rPr>
        <w:t xml:space="preserve">                     </w:t>
      </w:r>
    </w:p>
    <w:p w14:paraId="694D4D23">
      <w:pPr>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bookmarkEnd w:id="255"/>
    <w:p w14:paraId="606F5E8B">
      <w:pPr>
        <w:pStyle w:val="3"/>
        <w:bidi w:val="0"/>
        <w:rPr>
          <w:rFonts w:hint="eastAsia"/>
          <w:lang w:val="zh-CN"/>
        </w:rPr>
      </w:pPr>
      <w:bookmarkStart w:id="258" w:name="_Toc16986"/>
      <w:bookmarkStart w:id="259" w:name="_Toc201047313"/>
      <w:r>
        <w:rPr>
          <w:rFonts w:hint="eastAsia"/>
          <w:lang w:val="zh-CN"/>
        </w:rPr>
        <w:t>第四章  响应文件格式</w:t>
      </w:r>
      <w:bookmarkEnd w:id="258"/>
      <w:bookmarkEnd w:id="259"/>
    </w:p>
    <w:p w14:paraId="29598E34">
      <w:pPr>
        <w:pStyle w:val="4"/>
        <w:bidi w:val="0"/>
        <w:jc w:val="center"/>
        <w:rPr>
          <w:rFonts w:hint="eastAsia" w:hAnsi="宋体" w:eastAsia="宋体"/>
          <w:b/>
          <w:color w:val="000000" w:themeColor="text1"/>
          <w:kern w:val="0"/>
          <w:sz w:val="28"/>
          <w:szCs w:val="28"/>
          <w:lang w:val="en-US" w:eastAsia="zh-CN"/>
          <w14:textFill>
            <w14:solidFill>
              <w14:schemeClr w14:val="tx1"/>
            </w14:solidFill>
          </w14:textFill>
        </w:rPr>
      </w:pPr>
      <w:bookmarkStart w:id="260" w:name="_Toc201047314"/>
      <w:bookmarkStart w:id="261" w:name="_Toc494043337"/>
      <w:bookmarkStart w:id="262" w:name="_Toc491307353"/>
      <w:bookmarkStart w:id="263" w:name="_Toc491307473"/>
      <w:bookmarkStart w:id="264" w:name="_Toc491307363"/>
      <w:bookmarkStart w:id="265" w:name="_Toc491307483"/>
      <w:bookmarkStart w:id="266" w:name="_Toc491307291"/>
      <w:bookmarkStart w:id="267" w:name="_Toc491307301"/>
      <w:r>
        <w:rPr>
          <w:rFonts w:hint="eastAsia"/>
          <w:lang w:val="en-US"/>
        </w:rPr>
        <w:t>一、</w:t>
      </w:r>
      <w:r>
        <w:rPr>
          <w:lang w:val="en-US"/>
        </w:rPr>
        <w:t>资格证明文件</w:t>
      </w:r>
      <w:bookmarkEnd w:id="260"/>
      <w:r>
        <w:rPr>
          <w:rFonts w:hint="eastAsia"/>
          <w:lang w:val="en-US" w:eastAsia="zh-CN"/>
        </w:rPr>
        <w:t>部分</w:t>
      </w:r>
    </w:p>
    <w:p w14:paraId="6BB1363B">
      <w:pPr>
        <w:keepNext w:val="0"/>
        <w:keepLines w:val="0"/>
        <w:pageBreakBefore w:val="0"/>
        <w:widowControl w:val="0"/>
        <w:kinsoku/>
        <w:wordWrap w:val="0"/>
        <w:overflowPunct/>
        <w:topLinePunct w:val="0"/>
        <w:autoSpaceDE w:val="0"/>
        <w:autoSpaceDN w:val="0"/>
        <w:bidi w:val="0"/>
        <w:adjustRightInd/>
        <w:snapToGrid/>
        <w:spacing w:line="360" w:lineRule="auto"/>
        <w:ind w:firstLine="0" w:firstLineChars="0"/>
        <w:jc w:val="left"/>
        <w:textAlignment w:val="auto"/>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格式1-1</w:t>
      </w:r>
    </w:p>
    <w:p w14:paraId="71521F4E">
      <w:pPr>
        <w:pStyle w:val="5"/>
        <w:bidi w:val="0"/>
        <w:rPr>
          <w:rFonts w:hint="eastAsia"/>
        </w:rPr>
      </w:pPr>
      <w:r>
        <w:rPr>
          <w:rFonts w:hint="eastAsia"/>
        </w:rPr>
        <w:t>具有独立承担民事责任的能力</w:t>
      </w:r>
    </w:p>
    <w:p w14:paraId="087A715E">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供应商须是具有独立承担民事责任能力的法人或其他组织，提供有效的营业执照或事业单位法人证书或其他类似的法定证明文件。</w:t>
      </w:r>
    </w:p>
    <w:p w14:paraId="5C5BE768">
      <w:pPr>
        <w:spacing w:line="360" w:lineRule="auto"/>
        <w:jc w:val="center"/>
        <w:rPr>
          <w:rFonts w:hint="eastAsia" w:hAnsi="宋体"/>
          <w:b/>
          <w:bCs/>
          <w:color w:val="000000" w:themeColor="text1"/>
          <w:kern w:val="2"/>
          <w:szCs w:val="21"/>
          <w:u w:val="single"/>
          <w14:textFill>
            <w14:solidFill>
              <w14:schemeClr w14:val="tx1"/>
            </w14:solidFill>
          </w14:textFill>
        </w:rPr>
      </w:pPr>
      <w:r>
        <w:rPr>
          <w:rFonts w:hint="eastAsia" w:hAnsi="宋体" w:cs="宋体"/>
          <w:b/>
          <w:bCs/>
          <w:color w:val="000000" w:themeColor="text1"/>
          <w:szCs w:val="21"/>
          <w14:textFill>
            <w14:solidFill>
              <w14:schemeClr w14:val="tx1"/>
            </w14:solidFill>
          </w14:textFill>
        </w:rPr>
        <w:t>响应文件中提供上述所需相关证明材料的原件扫描件</w:t>
      </w:r>
    </w:p>
    <w:p w14:paraId="4CC96CD4">
      <w:pPr>
        <w:rPr>
          <w:color w:val="000000" w:themeColor="text1"/>
          <w14:textFill>
            <w14:solidFill>
              <w14:schemeClr w14:val="tx1"/>
            </w14:solidFill>
          </w14:textFill>
        </w:rPr>
      </w:pPr>
    </w:p>
    <w:p w14:paraId="6660D801">
      <w:pPr>
        <w:keepNext w:val="0"/>
        <w:keepLines w:val="0"/>
        <w:pageBreakBefore w:val="0"/>
        <w:widowControl w:val="0"/>
        <w:kinsoku/>
        <w:wordWrap w:val="0"/>
        <w:overflowPunct/>
        <w:topLinePunct w:val="0"/>
        <w:autoSpaceDE w:val="0"/>
        <w:autoSpaceDN w:val="0"/>
        <w:bidi w:val="0"/>
        <w:adjustRightInd/>
        <w:snapToGrid/>
        <w:spacing w:line="360" w:lineRule="auto"/>
        <w:ind w:firstLine="0" w:firstLineChars="0"/>
        <w:jc w:val="left"/>
        <w:textAlignment w:val="auto"/>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格式1-2</w:t>
      </w:r>
    </w:p>
    <w:p w14:paraId="66C5C1B8">
      <w:pPr>
        <w:pStyle w:val="5"/>
        <w:bidi w:val="0"/>
        <w:rPr>
          <w:rFonts w:hint="eastAsia"/>
        </w:rPr>
      </w:pPr>
      <w:r>
        <w:rPr>
          <w:rFonts w:hint="eastAsia"/>
        </w:rPr>
        <w:t>具有良好的商业信誉和健全的财务会计制度</w:t>
      </w:r>
    </w:p>
    <w:p w14:paraId="2C4B9A25">
      <w:pPr>
        <w:spacing w:line="360" w:lineRule="auto"/>
        <w:ind w:firstLine="420" w:firstLineChars="200"/>
        <w:rPr>
          <w:rFonts w:hint="eastAsia" w:hAnsi="宋体"/>
          <w:color w:val="auto"/>
          <w:szCs w:val="21"/>
          <w:highlight w:val="none"/>
        </w:rPr>
      </w:pPr>
      <w:r>
        <w:rPr>
          <w:rFonts w:hint="eastAsia" w:hAnsi="宋体"/>
          <w:color w:val="auto"/>
          <w:szCs w:val="21"/>
          <w:highlight w:val="none"/>
        </w:rPr>
        <w:t>供应商须提供近三年（2022年～2024年）经会计师事务所或审计机构审计的审计报告和财务报表（包括但不限于现金流量表、资产负债表、利润表或损益表）；成立不满三年的须提供自成立以后的审计报告和财务报表；成立不满一年的提供成立至今的财务报表或者根据实际情况提供，或提供自本项目提交响应文件截止时间前三个月内基本开户银行出具的资信证明。</w:t>
      </w:r>
    </w:p>
    <w:p w14:paraId="6B6559FA">
      <w:pPr>
        <w:spacing w:line="360" w:lineRule="auto"/>
        <w:jc w:val="center"/>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响应文件中提供上述所需相关证明材料的原件扫描件</w:t>
      </w:r>
    </w:p>
    <w:p w14:paraId="2A39B22D">
      <w:pPr>
        <w:rPr>
          <w:color w:val="000000" w:themeColor="text1"/>
          <w14:textFill>
            <w14:solidFill>
              <w14:schemeClr w14:val="tx1"/>
            </w14:solidFill>
          </w14:textFill>
        </w:rPr>
      </w:pPr>
    </w:p>
    <w:p w14:paraId="0275209F">
      <w:pPr>
        <w:keepNext w:val="0"/>
        <w:keepLines w:val="0"/>
        <w:pageBreakBefore w:val="0"/>
        <w:widowControl w:val="0"/>
        <w:kinsoku/>
        <w:wordWrap w:val="0"/>
        <w:overflowPunct/>
        <w:topLinePunct w:val="0"/>
        <w:autoSpaceDE w:val="0"/>
        <w:autoSpaceDN w:val="0"/>
        <w:bidi w:val="0"/>
        <w:adjustRightInd/>
        <w:snapToGrid/>
        <w:spacing w:line="360" w:lineRule="auto"/>
        <w:ind w:firstLine="0" w:firstLineChars="0"/>
        <w:jc w:val="left"/>
        <w:textAlignment w:val="auto"/>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格式1-3</w:t>
      </w:r>
    </w:p>
    <w:p w14:paraId="2FD12182">
      <w:pPr>
        <w:pStyle w:val="5"/>
        <w:bidi w:val="0"/>
        <w:rPr>
          <w:rFonts w:hint="eastAsia" w:hAnsi="宋体" w:cs="宋体"/>
          <w:color w:val="000000" w:themeColor="text1"/>
          <w:szCs w:val="21"/>
          <w14:textFill>
            <w14:solidFill>
              <w14:schemeClr w14:val="tx1"/>
            </w14:solidFill>
          </w14:textFill>
        </w:rPr>
      </w:pPr>
      <w:r>
        <w:rPr>
          <w:rFonts w:hint="eastAsia"/>
        </w:rPr>
        <w:t>具有履行合同所必需的设备和专业技术能力</w:t>
      </w:r>
    </w:p>
    <w:p w14:paraId="6271370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供应商须提供具有履行合同所必需的设备和专业技术能力的证明材料或书面声明</w:t>
      </w:r>
      <w:r>
        <w:rPr>
          <w:rFonts w:hint="eastAsia" w:hAnsi="宋体"/>
          <w:color w:val="000000" w:themeColor="text1"/>
          <w:szCs w:val="21"/>
          <w14:textFill>
            <w14:solidFill>
              <w14:schemeClr w14:val="tx1"/>
            </w14:solidFill>
          </w14:textFill>
        </w:rPr>
        <w:t>。</w:t>
      </w:r>
    </w:p>
    <w:p w14:paraId="2C59A58C">
      <w:pPr>
        <w:spacing w:line="360" w:lineRule="auto"/>
        <w:ind w:left="0" w:leftChars="0" w:firstLine="0" w:firstLineChars="0"/>
        <w:jc w:val="both"/>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响应文件中提供上述所需相关证明材料的原件扫描件或书面声明（由供应商自行编写，格式自拟）</w:t>
      </w:r>
    </w:p>
    <w:p w14:paraId="17AA3AE0">
      <w:pPr>
        <w:ind w:left="0" w:leftChars="0" w:firstLine="0" w:firstLineChars="0"/>
        <w:rPr>
          <w:color w:val="000000" w:themeColor="text1"/>
          <w14:textFill>
            <w14:solidFill>
              <w14:schemeClr w14:val="tx1"/>
            </w14:solidFill>
          </w14:textFill>
        </w:rPr>
      </w:pPr>
    </w:p>
    <w:p w14:paraId="78A161CA">
      <w:pPr>
        <w:keepNext w:val="0"/>
        <w:keepLines w:val="0"/>
        <w:pageBreakBefore w:val="0"/>
        <w:widowControl w:val="0"/>
        <w:kinsoku/>
        <w:wordWrap w:val="0"/>
        <w:overflowPunct/>
        <w:topLinePunct w:val="0"/>
        <w:autoSpaceDE w:val="0"/>
        <w:autoSpaceDN w:val="0"/>
        <w:bidi w:val="0"/>
        <w:adjustRightInd/>
        <w:snapToGrid/>
        <w:spacing w:line="360" w:lineRule="auto"/>
        <w:ind w:firstLine="0" w:firstLineChars="0"/>
        <w:jc w:val="left"/>
        <w:textAlignment w:val="auto"/>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格式1-4</w:t>
      </w:r>
    </w:p>
    <w:p w14:paraId="623167FC">
      <w:pPr>
        <w:pStyle w:val="5"/>
        <w:bidi w:val="0"/>
        <w:rPr>
          <w:rFonts w:hint="eastAsia"/>
        </w:rPr>
      </w:pPr>
      <w:r>
        <w:rPr>
          <w:rFonts w:hint="eastAsia"/>
        </w:rPr>
        <w:t>有依法缴纳税收和社会保障资金的良好记录：</w:t>
      </w:r>
    </w:p>
    <w:p w14:paraId="565742E7">
      <w:pPr>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1.</w:t>
      </w:r>
      <w:r>
        <w:rPr>
          <w:rFonts w:hint="eastAsia" w:hAnsi="宋体" w:cs="宋体"/>
          <w:color w:val="000000" w:themeColor="text1"/>
          <w:szCs w:val="21"/>
          <w14:textFill>
            <w14:solidFill>
              <w14:schemeClr w14:val="tx1"/>
            </w14:solidFill>
          </w14:textFill>
        </w:rPr>
        <w:t>供应商须提供缴税所属时间在2025年1月1日起至提交响应文件截止之日内任意3个月的税务局税收通用缴款书复印件或银行电子缴税（费）凭证复印件或税务局出具纳税情况的相关证明，新成立企业，成立时间不足3个月的提供自成立以来的税务局税收通用缴款书复印件或银行电子缴税（费）凭证复印件或税务局出具纳税情况的相关证明。供应商依法免税的，应提供依法免税的相关证明文件；</w:t>
      </w:r>
    </w:p>
    <w:p w14:paraId="32FF9D3E">
      <w:pPr>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2.</w:t>
      </w:r>
      <w:r>
        <w:rPr>
          <w:rFonts w:hint="eastAsia" w:hAnsi="宋体" w:cs="宋体"/>
          <w:color w:val="000000" w:themeColor="text1"/>
          <w:szCs w:val="21"/>
          <w14:textFill>
            <w14:solidFill>
              <w14:schemeClr w14:val="tx1"/>
            </w14:solidFill>
          </w14:textFill>
        </w:rPr>
        <w:t>供应商须提供缴费所属时间在2025年1月1日起至提交响应文件截止之日内任意3个月的社会保险费缴款书复印件或银行电子缴税（费）凭证复印件或社保管理部门出具的有效的缴款证明，新成立企业，成立时间不足3个月的提供自成立以来的社会保险费缴款书复印件或银行电子缴税（费）凭证复印件或社保管理部门出具的有效的缴款证明。供应商依法免缴的，应提供依法免缴的相关证明文件。</w:t>
      </w:r>
    </w:p>
    <w:p w14:paraId="134019F6">
      <w:pPr>
        <w:spacing w:line="360" w:lineRule="auto"/>
        <w:jc w:val="center"/>
        <w:rPr>
          <w:rFonts w:hint="eastAsia" w:hAnsi="宋体"/>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响应文件中提供上述所需相关证明材料的原件扫描件</w:t>
      </w:r>
    </w:p>
    <w:p w14:paraId="1D309BF4">
      <w:pPr>
        <w:spacing w:line="360" w:lineRule="auto"/>
        <w:ind w:firstLine="420" w:firstLineChars="200"/>
        <w:rPr>
          <w:rFonts w:hint="eastAsia" w:hAnsi="宋体"/>
          <w:color w:val="000000" w:themeColor="text1"/>
          <w:szCs w:val="21"/>
          <w14:textFill>
            <w14:solidFill>
              <w14:schemeClr w14:val="tx1"/>
            </w14:solidFill>
          </w14:textFill>
        </w:rPr>
      </w:pPr>
    </w:p>
    <w:p w14:paraId="6CDBB236">
      <w:pPr>
        <w:autoSpaceDE w:val="0"/>
        <w:autoSpaceDN w:val="0"/>
        <w:adjustRightInd w:val="0"/>
        <w:spacing w:line="360" w:lineRule="auto"/>
        <w:ind w:left="0" w:leftChars="0" w:firstLine="0" w:firstLineChars="0"/>
        <w:jc w:val="left"/>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格式1-5</w:t>
      </w:r>
    </w:p>
    <w:p w14:paraId="5FB2DA13">
      <w:pPr>
        <w:pStyle w:val="5"/>
        <w:bidi w:val="0"/>
        <w:rPr>
          <w:rFonts w:hint="eastAsia"/>
        </w:rPr>
      </w:pPr>
      <w:r>
        <w:rPr>
          <w:rFonts w:hint="eastAsia"/>
        </w:rPr>
        <w:t>参加政府采购活动前三年内，在经营活动中没有重大违法记录</w:t>
      </w:r>
    </w:p>
    <w:p w14:paraId="4350A1E6">
      <w:pPr>
        <w:spacing w:line="360" w:lineRule="auto"/>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供应商须提供参加政府采购活动前三年内，在经营活动中没有重大违法记录（重大违法记录是指：供应商因违法经营受到刑事处罚或者责令停产停业、吊销许可证或者执照、较大数额罚款等行政处罚）的书面声明；</w:t>
      </w:r>
    </w:p>
    <w:p w14:paraId="075FDE22">
      <w:pPr>
        <w:spacing w:line="360" w:lineRule="auto"/>
        <w:jc w:val="center"/>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响应文件中提供参加政府采购活动前三年内，在经营活动中没有重大违法记录的书面声明</w:t>
      </w:r>
    </w:p>
    <w:p w14:paraId="03D96F35">
      <w:pPr>
        <w:spacing w:line="360" w:lineRule="auto"/>
        <w:jc w:val="center"/>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（由供应商自行编写，格式自拟）</w:t>
      </w:r>
    </w:p>
    <w:p w14:paraId="478C0837">
      <w:pPr>
        <w:spacing w:line="360" w:lineRule="auto"/>
        <w:ind w:firstLine="420" w:firstLineChars="200"/>
        <w:rPr>
          <w:rFonts w:hint="eastAsia" w:hAnsi="宋体"/>
          <w:color w:val="000000" w:themeColor="text1"/>
          <w:szCs w:val="21"/>
          <w14:textFill>
            <w14:solidFill>
              <w14:schemeClr w14:val="tx1"/>
            </w14:solidFill>
          </w14:textFill>
        </w:rPr>
      </w:pPr>
    </w:p>
    <w:p w14:paraId="6223F627">
      <w:pPr>
        <w:spacing w:line="360" w:lineRule="auto"/>
        <w:ind w:firstLine="420" w:firstLineChars="200"/>
        <w:rPr>
          <w:rFonts w:hint="eastAsia" w:hAnsi="宋体"/>
          <w:color w:val="000000" w:themeColor="text1"/>
          <w:szCs w:val="21"/>
          <w14:textFill>
            <w14:solidFill>
              <w14:schemeClr w14:val="tx1"/>
            </w14:solidFill>
          </w14:textFill>
        </w:rPr>
      </w:pPr>
    </w:p>
    <w:p w14:paraId="18A71DA6">
      <w:pPr>
        <w:rPr>
          <w:color w:val="000000" w:themeColor="text1"/>
          <w14:textFill>
            <w14:solidFill>
              <w14:schemeClr w14:val="tx1"/>
            </w14:solidFill>
          </w14:textFill>
        </w:rPr>
      </w:pPr>
    </w:p>
    <w:p w14:paraId="5E2916DC">
      <w:pPr>
        <w:spacing w:line="360" w:lineRule="auto"/>
        <w:ind w:firstLine="420" w:firstLineChars="200"/>
        <w:rPr>
          <w:rFonts w:hint="eastAsia" w:hAnsi="宋体"/>
          <w:color w:val="000000" w:themeColor="text1"/>
          <w:szCs w:val="21"/>
          <w14:textFill>
            <w14:solidFill>
              <w14:schemeClr w14:val="tx1"/>
            </w14:solidFill>
          </w14:textFill>
        </w:rPr>
      </w:pPr>
    </w:p>
    <w:p w14:paraId="0C029D71">
      <w:pPr>
        <w:spacing w:line="360" w:lineRule="auto"/>
        <w:ind w:firstLine="420" w:firstLineChars="200"/>
        <w:rPr>
          <w:rFonts w:hint="eastAsia" w:hAnsi="宋体"/>
          <w:color w:val="000000" w:themeColor="text1"/>
          <w:szCs w:val="21"/>
          <w14:textFill>
            <w14:solidFill>
              <w14:schemeClr w14:val="tx1"/>
            </w14:solidFill>
          </w14:textFill>
        </w:rPr>
      </w:pPr>
    </w:p>
    <w:p w14:paraId="695EE08B">
      <w:pPr>
        <w:rPr>
          <w:color w:val="000000" w:themeColor="text1"/>
          <w14:textFill>
            <w14:solidFill>
              <w14:schemeClr w14:val="tx1"/>
            </w14:solidFill>
          </w14:textFill>
        </w:rPr>
      </w:pPr>
    </w:p>
    <w:p w14:paraId="4E3F945F">
      <w:pPr>
        <w:autoSpaceDE w:val="0"/>
        <w:autoSpaceDN w:val="0"/>
        <w:adjustRightInd w:val="0"/>
        <w:spacing w:line="360" w:lineRule="auto"/>
        <w:ind w:left="0" w:leftChars="0" w:firstLine="0" w:firstLineChars="0"/>
        <w:jc w:val="left"/>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格式1-6</w:t>
      </w:r>
    </w:p>
    <w:p w14:paraId="3FF0C2CD">
      <w:pPr>
        <w:pStyle w:val="5"/>
        <w:bidi w:val="0"/>
        <w:rPr>
          <w:rFonts w:hint="eastAsia" w:hAnsi="宋体"/>
          <w:b/>
          <w:color w:val="000000" w:themeColor="text1"/>
          <w:kern w:val="0"/>
          <w:szCs w:val="21"/>
          <w14:textFill>
            <w14:solidFill>
              <w14:schemeClr w14:val="tx1"/>
            </w14:solidFill>
          </w14:textFill>
        </w:rPr>
      </w:pPr>
      <w:r>
        <w:rPr>
          <w:rFonts w:hint="eastAsia"/>
        </w:rPr>
        <w:t>法律、行政法规规定的其他条件：</w:t>
      </w:r>
    </w:p>
    <w:p w14:paraId="5A4E1232">
      <w:pPr>
        <w:widowControl/>
        <w:spacing w:line="360" w:lineRule="auto"/>
        <w:ind w:firstLine="482"/>
        <w:jc w:val="left"/>
        <w:rPr>
          <w:color w:val="000000" w:themeColor="text1"/>
          <w14:textFill>
            <w14:solidFill>
              <w14:schemeClr w14:val="tx1"/>
            </w14:solidFill>
          </w14:textFill>
        </w:rPr>
      </w:pPr>
      <w:r>
        <w:rPr>
          <w:rFonts w:hint="eastAsia" w:cs="仿宋"/>
          <w:color w:val="000000" w:themeColor="text1"/>
          <w:szCs w:val="21"/>
          <w14:textFill>
            <w14:solidFill>
              <w14:schemeClr w14:val="tx1"/>
            </w14:solidFill>
          </w14:textFill>
        </w:rPr>
        <w:t>单位负责人为同一人或者存在直接控股、管理关系的不同供应商，不得参加同一合同项下的采购活动（提供声明函）。</w:t>
      </w:r>
    </w:p>
    <w:p w14:paraId="5FC24B7C">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BD6CFE7">
      <w:pPr>
        <w:autoSpaceDE w:val="0"/>
        <w:autoSpaceDN w:val="0"/>
        <w:adjustRightInd w:val="0"/>
        <w:spacing w:line="360" w:lineRule="auto"/>
        <w:ind w:left="0" w:leftChars="0" w:firstLine="0" w:firstLineChars="0"/>
        <w:jc w:val="left"/>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格式1-7</w:t>
      </w:r>
    </w:p>
    <w:p w14:paraId="1329D969">
      <w:pPr>
        <w:pStyle w:val="5"/>
        <w:bidi w:val="0"/>
      </w:pPr>
      <w:r>
        <w:t>落实政府采购政策需满足的资格要求：</w:t>
      </w:r>
    </w:p>
    <w:p w14:paraId="22937FBA">
      <w:pPr>
        <w:autoSpaceDE w:val="0"/>
        <w:autoSpaceDN w:val="0"/>
        <w:adjustRightInd w:val="0"/>
        <w:spacing w:line="360" w:lineRule="auto"/>
        <w:jc w:val="left"/>
        <w:rPr>
          <w:rFonts w:hint="eastAsia"/>
          <w:b w:val="0"/>
          <w:bCs w:val="0"/>
          <w:u w:val="single"/>
        </w:rPr>
      </w:pPr>
      <w:r>
        <w:rPr>
          <w:rFonts w:hint="eastAsia" w:ascii="宋体" w:hAnsi="宋体" w:eastAsia="宋体" w:cs="宋体"/>
          <w:b w:val="0"/>
          <w:bCs w:val="0"/>
          <w:color w:val="auto"/>
          <w:szCs w:val="21"/>
          <w:highlight w:val="none"/>
          <w:u w:val="single"/>
        </w:rPr>
        <w:t>根据《政府采购促进中小企业发展管理办法》（财库〔2020〕46号）有关规定，本项目专门面向中小企业采购，供应商必须为中型企业、小型企业或微型企业；监狱企业、残疾人福利性单位视同小型企业、微型企业</w:t>
      </w:r>
      <w:r>
        <w:rPr>
          <w:rFonts w:hint="eastAsia"/>
          <w:b w:val="0"/>
          <w:bCs w:val="0"/>
          <w:u w:val="single"/>
        </w:rPr>
        <w:t>。</w:t>
      </w:r>
    </w:p>
    <w:p w14:paraId="2F19FE57">
      <w:pPr>
        <w:pStyle w:val="6"/>
        <w:bidi w:val="0"/>
        <w:jc w:val="center"/>
        <w:rPr>
          <w:rFonts w:hint="eastAsia" w:ascii="宋体" w:hAnsi="宋体" w:eastAsia="宋体" w:cs="宋体"/>
          <w:b/>
          <w:bCs/>
          <w:color w:val="auto"/>
          <w:szCs w:val="28"/>
          <w:highlight w:val="none"/>
        </w:rPr>
      </w:pPr>
      <w:r>
        <w:rPr>
          <w:rFonts w:hint="eastAsia"/>
        </w:rPr>
        <w:t>中小企业声明函（工程、服务）</w:t>
      </w:r>
    </w:p>
    <w:p w14:paraId="00280B3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color w:val="auto"/>
          <w:sz w:val="21"/>
          <w:szCs w:val="21"/>
        </w:rPr>
        <w:t>（注：符合中小企业划型标准的企业请提供本函）</w:t>
      </w:r>
    </w:p>
    <w:p w14:paraId="61C36B04">
      <w:pPr>
        <w:pageBreakBefore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lang w:val="en-US" w:eastAsia="zh-CN"/>
        </w:rPr>
        <w:t>（单位名称）</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u w:val="single"/>
          <w:lang w:val="en-US" w:eastAsia="zh-CN"/>
        </w:rPr>
        <w:t>（项目名称）</w:t>
      </w:r>
      <w:r>
        <w:rPr>
          <w:rFonts w:hint="eastAsia" w:ascii="宋体" w:hAnsi="宋体" w:eastAsia="宋体" w:cs="宋体"/>
          <w:color w:val="auto"/>
          <w:szCs w:val="21"/>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0A7A3B5">
      <w:pPr>
        <w:pageBreakBefore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u w:val="single"/>
          <w:lang w:val="en-US" w:eastAsia="zh-CN"/>
        </w:rPr>
        <w:t xml:space="preserve"> （标的名称）</w:t>
      </w:r>
      <w:r>
        <w:rPr>
          <w:rFonts w:hint="eastAsia" w:ascii="宋体" w:hAnsi="宋体" w:eastAsia="宋体" w:cs="宋体"/>
          <w:color w:val="auto"/>
          <w:szCs w:val="21"/>
          <w:highlight w:val="none"/>
          <w:lang w:val="en-US" w:eastAsia="zh-CN"/>
        </w:rPr>
        <w:t>，属于</w:t>
      </w:r>
      <w:r>
        <w:rPr>
          <w:rFonts w:hint="eastAsia" w:ascii="宋体" w:hAnsi="宋体" w:eastAsia="宋体" w:cs="宋体"/>
          <w:color w:val="auto"/>
          <w:szCs w:val="21"/>
          <w:highlight w:val="none"/>
          <w:u w:val="single"/>
          <w:lang w:val="en-US" w:eastAsia="zh-CN"/>
        </w:rPr>
        <w:t>（采购文件中明确的所属行业）</w:t>
      </w:r>
      <w:r>
        <w:rPr>
          <w:rFonts w:hint="eastAsia" w:ascii="宋体" w:hAnsi="宋体" w:eastAsia="宋体" w:cs="宋体"/>
          <w:color w:val="auto"/>
          <w:szCs w:val="21"/>
          <w:highlight w:val="none"/>
          <w:lang w:val="en-US" w:eastAsia="zh-CN"/>
        </w:rPr>
        <w:t>；承建（承接）企业为</w:t>
      </w:r>
      <w:r>
        <w:rPr>
          <w:rFonts w:hint="eastAsia" w:ascii="宋体" w:hAnsi="宋体" w:eastAsia="宋体" w:cs="宋体"/>
          <w:color w:val="auto"/>
          <w:szCs w:val="21"/>
          <w:highlight w:val="none"/>
          <w:u w:val="single"/>
          <w:lang w:val="en-US" w:eastAsia="zh-CN"/>
        </w:rPr>
        <w:t xml:space="preserve">  （企业名称）</w:t>
      </w:r>
      <w:r>
        <w:rPr>
          <w:rFonts w:hint="eastAsia" w:ascii="宋体" w:hAnsi="宋体" w:eastAsia="宋体" w:cs="宋体"/>
          <w:color w:val="auto"/>
          <w:szCs w:val="21"/>
          <w:highlight w:val="none"/>
          <w:lang w:val="en-US" w:eastAsia="zh-CN"/>
        </w:rPr>
        <w:t>，从业人员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万元，资产总额为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u w:val="single"/>
          <w:lang w:val="en-US" w:eastAsia="zh-CN"/>
        </w:rPr>
        <w:t>（中型企业、小型企业、微型企业）</w:t>
      </w:r>
      <w:r>
        <w:rPr>
          <w:rFonts w:hint="eastAsia" w:ascii="宋体" w:hAnsi="宋体" w:eastAsia="宋体" w:cs="宋体"/>
          <w:color w:val="auto"/>
          <w:szCs w:val="21"/>
          <w:highlight w:val="none"/>
          <w:lang w:val="en-US" w:eastAsia="zh-CN"/>
        </w:rPr>
        <w:t>；</w:t>
      </w:r>
    </w:p>
    <w:p w14:paraId="30073F31">
      <w:pPr>
        <w:pageBreakBefore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u w:val="single"/>
          <w:lang w:val="en-US" w:eastAsia="zh-CN"/>
        </w:rPr>
        <w:t xml:space="preserve"> （标的名称）</w:t>
      </w:r>
      <w:r>
        <w:rPr>
          <w:rFonts w:hint="eastAsia" w:ascii="宋体" w:hAnsi="宋体" w:eastAsia="宋体" w:cs="宋体"/>
          <w:color w:val="auto"/>
          <w:szCs w:val="21"/>
          <w:highlight w:val="none"/>
          <w:lang w:val="en-US" w:eastAsia="zh-CN"/>
        </w:rPr>
        <w:t>，属于</w:t>
      </w:r>
      <w:r>
        <w:rPr>
          <w:rFonts w:hint="eastAsia" w:ascii="宋体" w:hAnsi="宋体" w:eastAsia="宋体" w:cs="宋体"/>
          <w:color w:val="auto"/>
          <w:szCs w:val="21"/>
          <w:highlight w:val="none"/>
          <w:u w:val="single"/>
          <w:lang w:val="en-US" w:eastAsia="zh-CN"/>
        </w:rPr>
        <w:t>（采购文件中明确的所属行业）</w:t>
      </w:r>
      <w:r>
        <w:rPr>
          <w:rFonts w:hint="eastAsia" w:ascii="宋体" w:hAnsi="宋体" w:eastAsia="宋体" w:cs="宋体"/>
          <w:color w:val="auto"/>
          <w:szCs w:val="21"/>
          <w:highlight w:val="none"/>
          <w:lang w:val="en-US" w:eastAsia="zh-CN"/>
        </w:rPr>
        <w:t>；承建（承接）企业为</w:t>
      </w:r>
      <w:r>
        <w:rPr>
          <w:rFonts w:hint="eastAsia" w:ascii="宋体" w:hAnsi="宋体" w:eastAsia="宋体" w:cs="宋体"/>
          <w:color w:val="auto"/>
          <w:szCs w:val="21"/>
          <w:highlight w:val="none"/>
          <w:u w:val="single"/>
          <w:lang w:val="en-US" w:eastAsia="zh-CN"/>
        </w:rPr>
        <w:t xml:space="preserve">  （企业名称）</w:t>
      </w:r>
      <w:r>
        <w:rPr>
          <w:rFonts w:hint="eastAsia" w:ascii="宋体" w:hAnsi="宋体" w:eastAsia="宋体" w:cs="宋体"/>
          <w:color w:val="auto"/>
          <w:szCs w:val="21"/>
          <w:highlight w:val="none"/>
          <w:lang w:val="en-US" w:eastAsia="zh-CN"/>
        </w:rPr>
        <w:t>，从业人员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万元，资产总额为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u w:val="single"/>
          <w:lang w:val="en-US" w:eastAsia="zh-CN"/>
        </w:rPr>
        <w:t>（中型企业、小型企业、微型企业）</w:t>
      </w:r>
      <w:r>
        <w:rPr>
          <w:rFonts w:hint="eastAsia" w:ascii="宋体" w:hAnsi="宋体" w:eastAsia="宋体" w:cs="宋体"/>
          <w:color w:val="auto"/>
          <w:szCs w:val="21"/>
          <w:highlight w:val="none"/>
          <w:lang w:val="en-US" w:eastAsia="zh-CN"/>
        </w:rPr>
        <w:t>；</w:t>
      </w:r>
    </w:p>
    <w:p w14:paraId="49549716">
      <w:pPr>
        <w:pageBreakBefore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p w14:paraId="40763D48">
      <w:pPr>
        <w:pageBreakBefore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以上企业，不属于大企业的分支机构，不存在控股股东为大企业的情形，也不存在与大企业的负责人为同一人的情形。</w:t>
      </w:r>
    </w:p>
    <w:p w14:paraId="40CF9F6F">
      <w:pPr>
        <w:pageBreakBefore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本企业对上述声明内容的真实性负责。如有虚假，将依法承担相应责任。</w:t>
      </w:r>
    </w:p>
    <w:p w14:paraId="3378204F">
      <w:pPr>
        <w:pageBreakBefore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企业名称（</w:t>
      </w:r>
      <w:r>
        <w:rPr>
          <w:rFonts w:hint="eastAsia" w:cs="宋体"/>
          <w:color w:val="auto"/>
          <w:szCs w:val="21"/>
          <w:highlight w:val="none"/>
          <w:lang w:val="en-US" w:eastAsia="zh-CN"/>
        </w:rPr>
        <w:t>电子签章</w:t>
      </w:r>
      <w:r>
        <w:rPr>
          <w:rFonts w:hint="eastAsia" w:ascii="宋体" w:hAnsi="宋体" w:eastAsia="宋体" w:cs="宋体"/>
          <w:color w:val="auto"/>
          <w:szCs w:val="21"/>
          <w:highlight w:val="none"/>
          <w:lang w:val="en-US" w:eastAsia="zh-CN"/>
        </w:rPr>
        <w:t>）：</w:t>
      </w:r>
    </w:p>
    <w:p w14:paraId="6BF52BF1">
      <w:pPr>
        <w:pageBreakBefore w:val="0"/>
        <w:kinsoku/>
        <w:wordWrap/>
        <w:overflowPunct/>
        <w:topLinePunct w:val="0"/>
        <w:bidi w:val="0"/>
        <w:adjustRightInd w:val="0"/>
        <w:snapToGrid w:val="0"/>
        <w:spacing w:line="360" w:lineRule="auto"/>
        <w:ind w:firstLine="420" w:firstLineChars="200"/>
        <w:jc w:val="both"/>
        <w:textAlignment w:val="auto"/>
        <w:rPr>
          <w:rFonts w:hint="default" w:ascii="宋体" w:hAnsi="宋体" w:eastAsia="宋体" w:cs="宋体"/>
          <w:color w:val="auto"/>
          <w:spacing w:val="6"/>
          <w:szCs w:val="21"/>
          <w:highlight w:val="none"/>
          <w:lang w:val="en-US" w:eastAsia="zh-CN"/>
        </w:rPr>
      </w:pPr>
      <w:r>
        <w:rPr>
          <w:rFonts w:hint="eastAsia" w:ascii="宋体" w:hAnsi="宋体" w:eastAsia="宋体" w:cs="宋体"/>
          <w:color w:val="auto"/>
          <w:szCs w:val="21"/>
          <w:highlight w:val="none"/>
          <w:lang w:val="en-US" w:eastAsia="zh-CN"/>
        </w:rPr>
        <w:t>日期：</w:t>
      </w:r>
    </w:p>
    <w:p w14:paraId="108B8E60">
      <w:pPr>
        <w:pStyle w:val="11"/>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0D6D863B">
      <w:pPr>
        <w:widowControl/>
        <w:spacing w:line="360" w:lineRule="auto"/>
        <w:jc w:val="left"/>
        <w:rPr>
          <w:rFonts w:hint="eastAsia" w:ascii="宋体" w:hAnsi="宋体" w:cs="宋体"/>
          <w:color w:val="auto"/>
          <w:sz w:val="21"/>
          <w:szCs w:val="21"/>
        </w:rPr>
      </w:pPr>
      <w:r>
        <w:rPr>
          <w:rFonts w:hint="eastAsia" w:ascii="宋体" w:hAnsi="宋体" w:cs="宋体"/>
          <w:b/>
          <w:color w:val="auto"/>
          <w:sz w:val="21"/>
          <w:szCs w:val="21"/>
        </w:rPr>
        <w:t>1）中小微企业磋商应提供《中小企业声明函》。</w:t>
      </w:r>
    </w:p>
    <w:p w14:paraId="3DC32BB9">
      <w:pPr>
        <w:widowControl/>
        <w:spacing w:line="360" w:lineRule="auto"/>
        <w:jc w:val="left"/>
        <w:rPr>
          <w:rFonts w:hint="eastAsia" w:ascii="宋体" w:hAnsi="宋体" w:cs="宋体"/>
          <w:b/>
          <w:color w:val="auto"/>
          <w:sz w:val="21"/>
          <w:szCs w:val="21"/>
        </w:rPr>
      </w:pPr>
      <w:r>
        <w:rPr>
          <w:rFonts w:hint="eastAsia" w:ascii="宋体" w:hAnsi="宋体" w:cs="宋体"/>
          <w:b/>
          <w:color w:val="auto"/>
          <w:sz w:val="21"/>
          <w:szCs w:val="21"/>
        </w:rPr>
        <w:t>2）所属行业应为《中小企业划型标准规定》中的</w:t>
      </w:r>
      <w:r>
        <w:rPr>
          <w:rFonts w:hint="eastAsia" w:ascii="宋体" w:hAnsi="宋体" w:cs="宋体"/>
          <w:b/>
          <w:color w:val="auto"/>
          <w:sz w:val="21"/>
          <w:szCs w:val="21"/>
          <w:u w:val="single"/>
        </w:rPr>
        <w:t xml:space="preserve"> </w:t>
      </w:r>
      <w:r>
        <w:rPr>
          <w:rFonts w:hint="eastAsia" w:cs="宋体"/>
          <w:b/>
          <w:color w:val="auto"/>
          <w:sz w:val="21"/>
          <w:szCs w:val="21"/>
          <w:u w:val="single"/>
          <w:lang w:val="en-US" w:eastAsia="zh-CN"/>
        </w:rPr>
        <w:t>其他未列明行业</w:t>
      </w:r>
      <w:r>
        <w:rPr>
          <w:rFonts w:hint="eastAsia" w:ascii="宋体" w:hAnsi="宋体" w:cs="宋体"/>
          <w:b/>
          <w:color w:val="auto"/>
          <w:sz w:val="21"/>
          <w:szCs w:val="21"/>
          <w:u w:val="single"/>
        </w:rPr>
        <w:t xml:space="preserve">  </w:t>
      </w:r>
      <w:r>
        <w:rPr>
          <w:rFonts w:hint="eastAsia" w:ascii="宋体" w:hAnsi="宋体" w:cs="宋体"/>
          <w:b/>
          <w:color w:val="auto"/>
          <w:sz w:val="21"/>
          <w:szCs w:val="21"/>
        </w:rPr>
        <w:t>。</w:t>
      </w:r>
    </w:p>
    <w:p w14:paraId="5CBEE64C">
      <w:pPr>
        <w:autoSpaceDE w:val="0"/>
        <w:autoSpaceDN w:val="0"/>
        <w:adjustRightInd w:val="0"/>
        <w:spacing w:line="360" w:lineRule="auto"/>
        <w:jc w:val="left"/>
        <w:rPr>
          <w:rFonts w:hint="eastAsia" w:ascii="宋体" w:hAnsi="宋体" w:eastAsia="宋体" w:cs="宋体"/>
          <w:b/>
          <w:color w:val="auto"/>
          <w:sz w:val="21"/>
          <w:szCs w:val="21"/>
          <w:highlight w:val="none"/>
        </w:rPr>
      </w:pPr>
      <w:r>
        <w:rPr>
          <w:rFonts w:hint="eastAsia" w:ascii="宋体" w:hAnsi="宋体" w:cs="宋体"/>
          <w:b/>
          <w:color w:val="auto"/>
          <w:sz w:val="21"/>
          <w:szCs w:val="21"/>
        </w:rPr>
        <w:t>3）从业人员、营业收入、资产总额填报上一年度数据，无上一年度数据的新成立企业可不填报。</w:t>
      </w:r>
    </w:p>
    <w:p w14:paraId="7B20E14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2685F73">
      <w:pPr>
        <w:autoSpaceDE w:val="0"/>
        <w:autoSpaceDN w:val="0"/>
        <w:adjustRightInd w:val="0"/>
        <w:spacing w:line="360" w:lineRule="auto"/>
        <w:jc w:val="left"/>
        <w:rPr>
          <w:rFonts w:hint="eastAsia" w:ascii="宋体" w:hAnsi="宋体" w:eastAsia="宋体" w:cs="宋体"/>
          <w:b/>
          <w:color w:val="auto"/>
          <w:sz w:val="21"/>
          <w:szCs w:val="21"/>
          <w:highlight w:val="none"/>
        </w:rPr>
      </w:pPr>
    </w:p>
    <w:p w14:paraId="1F066C91">
      <w:pPr>
        <w:keepNext/>
        <w:keepLines/>
        <w:pageBreakBefore w:val="0"/>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监狱企业证明文件</w:t>
      </w:r>
    </w:p>
    <w:p w14:paraId="3B83045B">
      <w:pPr>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olor w:val="auto"/>
          <w:sz w:val="21"/>
          <w:szCs w:val="21"/>
        </w:rPr>
        <w:t>（注：符合条件的监狱企业请提供本函，不符合的不提供本函）</w:t>
      </w:r>
    </w:p>
    <w:p w14:paraId="53763730">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C5CEDA">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053FF993">
      <w:pPr>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28"/>
          <w:szCs w:val="28"/>
          <w:highlight w:val="none"/>
        </w:rPr>
      </w:pPr>
    </w:p>
    <w:p w14:paraId="2434F8F1">
      <w:pPr>
        <w:keepNext/>
        <w:keepLines/>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注：符合条件的监狱企业在参加政府采购活动时，应当按《财政部 司法部关于政府采购支持监狱企业发展有关问题的通知》（财库[2014]68号）提供规定的《监狱企业证明文件》，并对真实性负责。</w:t>
      </w:r>
    </w:p>
    <w:p w14:paraId="52856C74">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0BBB2C2B">
      <w:pPr>
        <w:rPr>
          <w:rFonts w:hint="eastAsia"/>
        </w:rPr>
      </w:pPr>
    </w:p>
    <w:p w14:paraId="26725F2A">
      <w:pPr>
        <w:keepNext/>
        <w:keepLines/>
        <w:adjustRightInd w:val="0"/>
        <w:snapToGrid w:val="0"/>
        <w:spacing w:line="360" w:lineRule="auto"/>
        <w:jc w:val="center"/>
        <w:outlineLvl w:val="3"/>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残疾人福利性单位声明函</w:t>
      </w:r>
    </w:p>
    <w:p w14:paraId="59715F97">
      <w:pPr>
        <w:adjustRightInd w:val="0"/>
        <w:snapToGrid w:val="0"/>
        <w:spacing w:line="360" w:lineRule="auto"/>
        <w:ind w:left="0" w:leftChars="0" w:firstLine="0" w:firstLineChars="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（注：符合条件的残疾人福利性单位请提供本函，不符合的不提供本函）</w:t>
      </w:r>
    </w:p>
    <w:p w14:paraId="7B9A7B58">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D295C9">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4FB34B52">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20C49CA0">
      <w:pPr>
        <w:adjustRightInd w:val="0"/>
        <w:snapToGrid w:val="0"/>
        <w:spacing w:line="360" w:lineRule="auto"/>
        <w:ind w:firstLine="444" w:firstLineChars="200"/>
        <w:rPr>
          <w:rFonts w:hint="eastAsia" w:ascii="宋体" w:hAnsi="宋体" w:eastAsia="宋体" w:cs="宋体"/>
          <w:color w:val="auto"/>
          <w:spacing w:val="6"/>
          <w:szCs w:val="21"/>
          <w:highlight w:val="none"/>
        </w:rPr>
      </w:pPr>
    </w:p>
    <w:p w14:paraId="6B8D45BE">
      <w:pPr>
        <w:tabs>
          <w:tab w:val="left" w:pos="4860"/>
        </w:tabs>
        <w:adjustRightInd w:val="0"/>
        <w:snapToGrid w:val="0"/>
        <w:spacing w:line="360" w:lineRule="auto"/>
        <w:ind w:firstLine="444" w:firstLineChars="200"/>
        <w:jc w:val="righ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cs="宋体"/>
          <w:color w:val="auto"/>
          <w:spacing w:val="6"/>
          <w:szCs w:val="21"/>
          <w:highlight w:val="none"/>
          <w:lang w:val="en-US" w:eastAsia="zh-CN"/>
        </w:rPr>
        <w:t>电子签章</w:t>
      </w:r>
      <w:r>
        <w:rPr>
          <w:rFonts w:hint="eastAsia" w:ascii="宋体" w:hAnsi="宋体" w:eastAsia="宋体" w:cs="宋体"/>
          <w:color w:val="auto"/>
          <w:spacing w:val="6"/>
          <w:szCs w:val="21"/>
          <w:highlight w:val="none"/>
        </w:rPr>
        <w:t>）</w:t>
      </w:r>
    </w:p>
    <w:p w14:paraId="0078B831">
      <w:pPr>
        <w:tabs>
          <w:tab w:val="left" w:pos="4860"/>
        </w:tabs>
        <w:adjustRightInd w:val="0"/>
        <w:snapToGrid w:val="0"/>
        <w:spacing w:line="360" w:lineRule="auto"/>
        <w:ind w:firstLine="666" w:firstLineChars="300"/>
        <w:jc w:val="righ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F0CAB1E">
      <w:pPr>
        <w:adjustRightInd w:val="0"/>
        <w:snapToGrid w:val="0"/>
        <w:spacing w:line="360" w:lineRule="auto"/>
        <w:rPr>
          <w:rFonts w:hint="eastAsia" w:ascii="宋体" w:hAnsi="宋体" w:eastAsia="宋体" w:cs="宋体"/>
          <w:b/>
          <w:color w:val="auto"/>
          <w:szCs w:val="21"/>
          <w:highlight w:val="none"/>
        </w:rPr>
      </w:pPr>
    </w:p>
    <w:p w14:paraId="1DACC77B">
      <w:pPr>
        <w:adjustRightInd w:val="0"/>
        <w:snapToGrid w:val="0"/>
        <w:spacing w:line="360" w:lineRule="auto"/>
        <w:rPr>
          <w:rFonts w:hint="eastAsia" w:ascii="宋体" w:hAnsi="宋体" w:eastAsia="宋体" w:cs="宋体"/>
          <w:b/>
          <w:color w:val="auto"/>
          <w:szCs w:val="21"/>
          <w:highlight w:val="none"/>
        </w:rPr>
      </w:pPr>
    </w:p>
    <w:p w14:paraId="68AF3EB7">
      <w:pPr>
        <w:adjustRightInd w:val="0"/>
        <w:snapToGrid w:val="0"/>
        <w:spacing w:line="360" w:lineRule="auto"/>
        <w:rPr>
          <w:rFonts w:hint="eastAsia" w:ascii="宋体" w:hAnsi="宋体" w:eastAsia="宋体" w:cs="宋体"/>
          <w:b/>
          <w:color w:val="auto"/>
          <w:szCs w:val="21"/>
          <w:highlight w:val="none"/>
        </w:rPr>
      </w:pPr>
    </w:p>
    <w:p w14:paraId="410A20AF">
      <w:pPr>
        <w:autoSpaceDE w:val="0"/>
        <w:autoSpaceDN w:val="0"/>
        <w:adjustRightInd w:val="0"/>
        <w:spacing w:line="360" w:lineRule="auto"/>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r>
        <w:rPr>
          <w:rFonts w:hint="eastAsia" w:ascii="宋体" w:hAnsi="宋体" w:eastAsia="宋体" w:cs="宋体"/>
          <w:b/>
          <w:color w:val="auto"/>
          <w:szCs w:val="21"/>
          <w:highlight w:val="none"/>
          <w:lang w:eastAsia="zh-CN"/>
        </w:rPr>
        <w:t>。</w:t>
      </w:r>
    </w:p>
    <w:p w14:paraId="0F085185">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29C8814">
      <w:pPr>
        <w:autoSpaceDE w:val="0"/>
        <w:autoSpaceDN w:val="0"/>
        <w:adjustRightInd w:val="0"/>
        <w:spacing w:line="360" w:lineRule="auto"/>
        <w:ind w:left="0" w:leftChars="0" w:firstLine="0" w:firstLineChars="0"/>
        <w:jc w:val="left"/>
        <w:rPr>
          <w:rFonts w:hint="eastAsia" w:hAnsi="宋体" w:eastAsia="宋体"/>
          <w:b/>
          <w:color w:val="000000" w:themeColor="text1"/>
          <w:kern w:val="0"/>
          <w:sz w:val="28"/>
          <w:szCs w:val="28"/>
          <w:lang w:eastAsia="zh-CN"/>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w:t>
      </w:r>
      <w:r>
        <w:rPr>
          <w:rFonts w:hint="eastAsia"/>
          <w:b/>
          <w:color w:val="000000" w:themeColor="text1"/>
          <w:kern w:val="0"/>
          <w:sz w:val="28"/>
          <w:szCs w:val="28"/>
          <w:lang w:val="en-US" w:eastAsia="zh-CN"/>
          <w14:textFill>
            <w14:solidFill>
              <w14:schemeClr w14:val="tx1"/>
            </w14:solidFill>
          </w14:textFill>
        </w:rPr>
        <w:t>8</w:t>
      </w:r>
    </w:p>
    <w:p w14:paraId="08964FAB">
      <w:pPr>
        <w:pStyle w:val="5"/>
        <w:bidi w:val="0"/>
        <w:rPr>
          <w:b/>
          <w:bCs/>
          <w:highlight w:val="none"/>
        </w:rPr>
      </w:pPr>
      <w:r>
        <w:rPr>
          <w:b/>
          <w:bCs/>
          <w:highlight w:val="none"/>
        </w:rPr>
        <w:t>本项目的特定资格要求：</w:t>
      </w:r>
    </w:p>
    <w:p w14:paraId="34DE12FD">
      <w:pPr>
        <w:bidi w:val="0"/>
        <w:rPr>
          <w:rFonts w:hint="eastAsia" w:eastAsia="宋体"/>
          <w:lang w:eastAsia="zh-CN"/>
        </w:rPr>
      </w:pPr>
      <w:r>
        <w:rPr>
          <w:rFonts w:hint="eastAsia"/>
          <w:lang w:val="en-US" w:eastAsia="zh-CN"/>
        </w:rPr>
        <w:t>1.</w:t>
      </w:r>
      <w:r>
        <w:rPr>
          <w:rFonts w:hint="eastAsia"/>
        </w:rPr>
        <w:t>供应商资质要求：供应商需具备有害生物防制服务机构资质证书或白蚁防治服务企业资质证书</w:t>
      </w:r>
      <w:r>
        <w:rPr>
          <w:rFonts w:hint="eastAsia"/>
          <w:lang w:eastAsia="zh-CN"/>
        </w:rPr>
        <w:t>，</w:t>
      </w:r>
      <w:r>
        <w:rPr>
          <w:rFonts w:hint="eastAsia"/>
        </w:rPr>
        <w:t>提供相关证明材料的原件扫描件</w:t>
      </w:r>
      <w:r>
        <w:rPr>
          <w:rFonts w:hint="eastAsia"/>
          <w:lang w:eastAsia="zh-CN"/>
        </w:rPr>
        <w:t>；</w:t>
      </w:r>
    </w:p>
    <w:p w14:paraId="4CE59461">
      <w:pPr>
        <w:bidi w:val="0"/>
        <w:rPr>
          <w:rFonts w:hint="eastAsia"/>
        </w:rPr>
      </w:pPr>
      <w:r>
        <w:rPr>
          <w:rFonts w:hint="eastAsia"/>
          <w:lang w:val="en-US" w:eastAsia="zh-CN"/>
        </w:rPr>
        <w:t>2.</w:t>
      </w:r>
      <w:r>
        <w:rPr>
          <w:rFonts w:hint="eastAsia"/>
        </w:rPr>
        <w:t xml:space="preserve"> 项目负责人资格要求：拟投入本项目的项目负责人须具备白蚁防治工程师及以上证书；</w:t>
      </w:r>
    </w:p>
    <w:p w14:paraId="6CDF9C1B">
      <w:pPr>
        <w:bidi w:val="0"/>
        <w:rPr>
          <w:rFonts w:hint="eastAsia"/>
        </w:rPr>
      </w:pPr>
      <w:r>
        <w:rPr>
          <w:rFonts w:hint="eastAsia"/>
        </w:rPr>
        <w:t>3.其他人员要求：拟投入本项目的其他人员不得少于三人（不含项目负责人）；</w:t>
      </w:r>
    </w:p>
    <w:p w14:paraId="6A6CA3CF">
      <w:pPr>
        <w:bidi w:val="0"/>
        <w:rPr>
          <w:rFonts w:hint="eastAsia"/>
        </w:rPr>
      </w:pPr>
      <w:r>
        <w:rPr>
          <w:rFonts w:hint="eastAsia"/>
        </w:rPr>
        <w:t>注：拟投入本项目的所有人员须为本单位在职人员，提供自2025年1月1日起至提交响应文件截止之日内连续3个月的由社会保险部门或机构出具的上述人员在该时段内参加社保的有效证明材料，须有社保部门或机构盖章。</w:t>
      </w:r>
    </w:p>
    <w:p w14:paraId="6151691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b/>
          <w:bCs/>
        </w:rPr>
      </w:pPr>
      <w:r>
        <w:rPr>
          <w:rFonts w:hint="eastAsia"/>
          <w:b/>
          <w:bCs/>
          <w:lang w:val="en-US" w:eastAsia="zh-CN"/>
        </w:rPr>
        <w:t>拟投入本项目人员配置情况表</w:t>
      </w:r>
    </w:p>
    <w:tbl>
      <w:tblPr>
        <w:tblStyle w:val="1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64"/>
        <w:gridCol w:w="746"/>
        <w:gridCol w:w="904"/>
        <w:gridCol w:w="832"/>
        <w:gridCol w:w="815"/>
        <w:gridCol w:w="1190"/>
        <w:gridCol w:w="1480"/>
        <w:gridCol w:w="1434"/>
      </w:tblGrid>
      <w:tr w14:paraId="0A59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6" w:type="dxa"/>
            <w:vAlign w:val="center"/>
          </w:tcPr>
          <w:p w14:paraId="02370B79">
            <w:pPr>
              <w:pStyle w:val="22"/>
              <w:bidi w:val="0"/>
              <w:jc w:val="center"/>
              <w:rPr>
                <w:rFonts w:hint="eastAsia"/>
                <w:b/>
                <w:bCs w:val="0"/>
                <w:color w:val="auto"/>
                <w:highlight w:val="none"/>
              </w:rPr>
            </w:pPr>
            <w:r>
              <w:rPr>
                <w:rFonts w:hint="eastAsia"/>
                <w:b/>
                <w:bCs w:val="0"/>
                <w:color w:val="auto"/>
                <w:highlight w:val="none"/>
              </w:rPr>
              <w:t>序号</w:t>
            </w:r>
          </w:p>
        </w:tc>
        <w:tc>
          <w:tcPr>
            <w:tcW w:w="864" w:type="dxa"/>
            <w:vAlign w:val="center"/>
          </w:tcPr>
          <w:p w14:paraId="7A0765E0">
            <w:pPr>
              <w:pStyle w:val="22"/>
              <w:bidi w:val="0"/>
              <w:jc w:val="center"/>
              <w:rPr>
                <w:rFonts w:hint="eastAsia"/>
                <w:b/>
                <w:bCs w:val="0"/>
                <w:color w:val="auto"/>
                <w:highlight w:val="none"/>
              </w:rPr>
            </w:pPr>
            <w:r>
              <w:rPr>
                <w:rFonts w:hint="eastAsia"/>
                <w:b/>
                <w:bCs w:val="0"/>
                <w:color w:val="auto"/>
                <w:highlight w:val="none"/>
              </w:rPr>
              <w:t>姓名</w:t>
            </w:r>
          </w:p>
        </w:tc>
        <w:tc>
          <w:tcPr>
            <w:tcW w:w="746" w:type="dxa"/>
            <w:vAlign w:val="center"/>
          </w:tcPr>
          <w:p w14:paraId="5B166330">
            <w:pPr>
              <w:pStyle w:val="22"/>
              <w:bidi w:val="0"/>
              <w:jc w:val="center"/>
              <w:rPr>
                <w:rFonts w:hint="eastAsia"/>
                <w:b/>
                <w:bCs w:val="0"/>
                <w:color w:val="auto"/>
                <w:highlight w:val="none"/>
              </w:rPr>
            </w:pPr>
            <w:r>
              <w:rPr>
                <w:rFonts w:hint="eastAsia"/>
                <w:b/>
                <w:bCs w:val="0"/>
                <w:color w:val="auto"/>
                <w:highlight w:val="none"/>
              </w:rPr>
              <w:t>性别</w:t>
            </w:r>
          </w:p>
        </w:tc>
        <w:tc>
          <w:tcPr>
            <w:tcW w:w="904" w:type="dxa"/>
            <w:vAlign w:val="center"/>
          </w:tcPr>
          <w:p w14:paraId="5C4A2174">
            <w:pPr>
              <w:pStyle w:val="22"/>
              <w:bidi w:val="0"/>
              <w:jc w:val="center"/>
              <w:rPr>
                <w:rFonts w:hint="eastAsia"/>
                <w:b/>
                <w:bCs w:val="0"/>
                <w:color w:val="auto"/>
                <w:highlight w:val="none"/>
              </w:rPr>
            </w:pPr>
            <w:r>
              <w:rPr>
                <w:rFonts w:hint="eastAsia"/>
                <w:b/>
                <w:bCs w:val="0"/>
                <w:color w:val="auto"/>
                <w:highlight w:val="none"/>
              </w:rPr>
              <w:t>学历</w:t>
            </w:r>
          </w:p>
        </w:tc>
        <w:tc>
          <w:tcPr>
            <w:tcW w:w="832" w:type="dxa"/>
            <w:vAlign w:val="center"/>
          </w:tcPr>
          <w:p w14:paraId="6471A913">
            <w:pPr>
              <w:pStyle w:val="22"/>
              <w:bidi w:val="0"/>
              <w:jc w:val="center"/>
              <w:rPr>
                <w:rFonts w:hint="eastAsia"/>
                <w:b/>
                <w:bCs w:val="0"/>
                <w:color w:val="auto"/>
                <w:highlight w:val="none"/>
              </w:rPr>
            </w:pPr>
            <w:r>
              <w:rPr>
                <w:rFonts w:hint="eastAsia"/>
                <w:b/>
                <w:bCs w:val="0"/>
                <w:color w:val="auto"/>
                <w:highlight w:val="none"/>
              </w:rPr>
              <w:t>专业</w:t>
            </w:r>
          </w:p>
        </w:tc>
        <w:tc>
          <w:tcPr>
            <w:tcW w:w="815" w:type="dxa"/>
            <w:vAlign w:val="center"/>
          </w:tcPr>
          <w:p w14:paraId="44A36DEE">
            <w:pPr>
              <w:pStyle w:val="22"/>
              <w:bidi w:val="0"/>
              <w:jc w:val="center"/>
              <w:rPr>
                <w:rFonts w:hint="eastAsia"/>
                <w:b/>
                <w:bCs w:val="0"/>
                <w:color w:val="auto"/>
                <w:highlight w:val="none"/>
              </w:rPr>
            </w:pPr>
            <w:r>
              <w:rPr>
                <w:rFonts w:hint="eastAsia"/>
                <w:b/>
                <w:bCs w:val="0"/>
                <w:color w:val="auto"/>
                <w:highlight w:val="none"/>
              </w:rPr>
              <w:t>年龄</w:t>
            </w:r>
          </w:p>
        </w:tc>
        <w:tc>
          <w:tcPr>
            <w:tcW w:w="1190" w:type="dxa"/>
            <w:vAlign w:val="center"/>
          </w:tcPr>
          <w:p w14:paraId="6510A54F">
            <w:pPr>
              <w:pStyle w:val="22"/>
              <w:bidi w:val="0"/>
              <w:jc w:val="center"/>
              <w:rPr>
                <w:rFonts w:hint="default" w:eastAsia="宋体"/>
                <w:b/>
                <w:bCs w:val="0"/>
                <w:color w:val="auto"/>
                <w:highlight w:val="none"/>
                <w:lang w:val="en-US" w:eastAsia="zh-CN"/>
              </w:rPr>
            </w:pPr>
            <w:r>
              <w:rPr>
                <w:rFonts w:hint="eastAsia"/>
                <w:b/>
                <w:bCs w:val="0"/>
                <w:color w:val="auto"/>
                <w:highlight w:val="none"/>
                <w:lang w:val="en-US" w:eastAsia="zh-CN"/>
              </w:rPr>
              <w:t>相关证书</w:t>
            </w:r>
          </w:p>
        </w:tc>
        <w:tc>
          <w:tcPr>
            <w:tcW w:w="1480" w:type="dxa"/>
            <w:vAlign w:val="center"/>
          </w:tcPr>
          <w:p w14:paraId="195D3AD0">
            <w:pPr>
              <w:pStyle w:val="22"/>
              <w:bidi w:val="0"/>
              <w:jc w:val="center"/>
              <w:rPr>
                <w:rFonts w:hint="eastAsia"/>
                <w:b/>
                <w:bCs w:val="0"/>
                <w:color w:val="auto"/>
                <w:highlight w:val="none"/>
              </w:rPr>
            </w:pPr>
            <w:r>
              <w:rPr>
                <w:rFonts w:hint="eastAsia"/>
                <w:b/>
                <w:bCs w:val="0"/>
                <w:color w:val="auto"/>
                <w:highlight w:val="none"/>
              </w:rPr>
              <w:t>在本项目拟任职务</w:t>
            </w:r>
          </w:p>
        </w:tc>
        <w:tc>
          <w:tcPr>
            <w:tcW w:w="1434" w:type="dxa"/>
            <w:vAlign w:val="center"/>
          </w:tcPr>
          <w:p w14:paraId="55958D73">
            <w:pPr>
              <w:pStyle w:val="22"/>
              <w:bidi w:val="0"/>
              <w:jc w:val="center"/>
              <w:rPr>
                <w:rFonts w:hint="eastAsia"/>
                <w:b/>
                <w:bCs w:val="0"/>
                <w:color w:val="auto"/>
                <w:highlight w:val="none"/>
                <w:lang w:eastAsia="zh-CN"/>
              </w:rPr>
            </w:pPr>
            <w:r>
              <w:rPr>
                <w:rFonts w:hint="eastAsia"/>
                <w:b/>
                <w:bCs w:val="0"/>
                <w:color w:val="auto"/>
                <w:highlight w:val="none"/>
                <w:lang w:val="en-US" w:eastAsia="zh-CN"/>
              </w:rPr>
              <w:t>备注</w:t>
            </w:r>
          </w:p>
        </w:tc>
      </w:tr>
      <w:tr w14:paraId="6B00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6" w:type="dxa"/>
            <w:vAlign w:val="center"/>
          </w:tcPr>
          <w:p w14:paraId="06621FDA">
            <w:pPr>
              <w:pStyle w:val="22"/>
              <w:bidi w:val="0"/>
              <w:jc w:val="center"/>
              <w:rPr>
                <w:rFonts w:hint="eastAsia"/>
                <w:color w:val="auto"/>
                <w:highlight w:val="none"/>
              </w:rPr>
            </w:pPr>
          </w:p>
        </w:tc>
        <w:tc>
          <w:tcPr>
            <w:tcW w:w="864" w:type="dxa"/>
            <w:vAlign w:val="center"/>
          </w:tcPr>
          <w:p w14:paraId="6019AED7">
            <w:pPr>
              <w:pStyle w:val="22"/>
              <w:bidi w:val="0"/>
              <w:jc w:val="center"/>
              <w:rPr>
                <w:rFonts w:hint="eastAsia"/>
                <w:color w:val="auto"/>
                <w:highlight w:val="none"/>
              </w:rPr>
            </w:pPr>
          </w:p>
        </w:tc>
        <w:tc>
          <w:tcPr>
            <w:tcW w:w="746" w:type="dxa"/>
            <w:vAlign w:val="center"/>
          </w:tcPr>
          <w:p w14:paraId="6D131D54">
            <w:pPr>
              <w:pStyle w:val="22"/>
              <w:bidi w:val="0"/>
              <w:jc w:val="center"/>
              <w:rPr>
                <w:rFonts w:hint="eastAsia"/>
                <w:color w:val="auto"/>
                <w:highlight w:val="none"/>
              </w:rPr>
            </w:pPr>
          </w:p>
        </w:tc>
        <w:tc>
          <w:tcPr>
            <w:tcW w:w="904" w:type="dxa"/>
            <w:vAlign w:val="center"/>
          </w:tcPr>
          <w:p w14:paraId="5E6EF2B5">
            <w:pPr>
              <w:pStyle w:val="22"/>
              <w:bidi w:val="0"/>
              <w:jc w:val="center"/>
              <w:rPr>
                <w:rFonts w:hint="eastAsia"/>
                <w:color w:val="auto"/>
                <w:highlight w:val="none"/>
              </w:rPr>
            </w:pPr>
          </w:p>
        </w:tc>
        <w:tc>
          <w:tcPr>
            <w:tcW w:w="832" w:type="dxa"/>
            <w:vAlign w:val="center"/>
          </w:tcPr>
          <w:p w14:paraId="1B9073A6">
            <w:pPr>
              <w:pStyle w:val="22"/>
              <w:bidi w:val="0"/>
              <w:jc w:val="center"/>
              <w:rPr>
                <w:rFonts w:hint="eastAsia"/>
                <w:color w:val="auto"/>
                <w:highlight w:val="none"/>
              </w:rPr>
            </w:pPr>
          </w:p>
        </w:tc>
        <w:tc>
          <w:tcPr>
            <w:tcW w:w="815" w:type="dxa"/>
            <w:vAlign w:val="center"/>
          </w:tcPr>
          <w:p w14:paraId="7BECBDF6">
            <w:pPr>
              <w:pStyle w:val="22"/>
              <w:bidi w:val="0"/>
              <w:jc w:val="center"/>
              <w:rPr>
                <w:rFonts w:hint="eastAsia"/>
                <w:color w:val="auto"/>
                <w:highlight w:val="none"/>
              </w:rPr>
            </w:pPr>
          </w:p>
        </w:tc>
        <w:tc>
          <w:tcPr>
            <w:tcW w:w="1190" w:type="dxa"/>
            <w:vAlign w:val="center"/>
          </w:tcPr>
          <w:p w14:paraId="1F0E5446">
            <w:pPr>
              <w:pStyle w:val="22"/>
              <w:bidi w:val="0"/>
              <w:jc w:val="center"/>
              <w:rPr>
                <w:rFonts w:hint="eastAsia"/>
                <w:color w:val="auto"/>
                <w:highlight w:val="none"/>
              </w:rPr>
            </w:pPr>
          </w:p>
        </w:tc>
        <w:tc>
          <w:tcPr>
            <w:tcW w:w="1480" w:type="dxa"/>
            <w:vAlign w:val="center"/>
          </w:tcPr>
          <w:p w14:paraId="5ABDC058">
            <w:pPr>
              <w:pStyle w:val="22"/>
              <w:bidi w:val="0"/>
              <w:jc w:val="center"/>
              <w:rPr>
                <w:rFonts w:hint="default" w:eastAsia="宋体"/>
                <w:color w:val="auto"/>
                <w:highlight w:val="none"/>
                <w:lang w:val="en-US" w:eastAsia="zh-CN"/>
              </w:rPr>
            </w:pPr>
            <w:r>
              <w:rPr>
                <w:rFonts w:hint="eastAsia"/>
                <w:color w:val="auto"/>
                <w:highlight w:val="none"/>
                <w:lang w:val="en-US" w:eastAsia="zh-CN"/>
              </w:rPr>
              <w:t>项目负责人</w:t>
            </w:r>
          </w:p>
        </w:tc>
        <w:tc>
          <w:tcPr>
            <w:tcW w:w="1434" w:type="dxa"/>
            <w:vAlign w:val="center"/>
          </w:tcPr>
          <w:p w14:paraId="62BDF86C">
            <w:pPr>
              <w:pStyle w:val="22"/>
              <w:bidi w:val="0"/>
              <w:jc w:val="center"/>
              <w:rPr>
                <w:rFonts w:hint="eastAsia"/>
                <w:color w:val="auto"/>
                <w:highlight w:val="none"/>
              </w:rPr>
            </w:pPr>
          </w:p>
        </w:tc>
      </w:tr>
      <w:tr w14:paraId="6435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6" w:type="dxa"/>
            <w:vAlign w:val="center"/>
          </w:tcPr>
          <w:p w14:paraId="058B2148">
            <w:pPr>
              <w:pStyle w:val="22"/>
              <w:bidi w:val="0"/>
              <w:jc w:val="center"/>
              <w:rPr>
                <w:rFonts w:hint="eastAsia"/>
                <w:color w:val="auto"/>
                <w:highlight w:val="none"/>
              </w:rPr>
            </w:pPr>
          </w:p>
        </w:tc>
        <w:tc>
          <w:tcPr>
            <w:tcW w:w="864" w:type="dxa"/>
            <w:vAlign w:val="center"/>
          </w:tcPr>
          <w:p w14:paraId="4BA1CA2E">
            <w:pPr>
              <w:pStyle w:val="22"/>
              <w:bidi w:val="0"/>
              <w:jc w:val="center"/>
              <w:rPr>
                <w:rFonts w:hint="eastAsia"/>
                <w:color w:val="auto"/>
                <w:highlight w:val="none"/>
              </w:rPr>
            </w:pPr>
          </w:p>
        </w:tc>
        <w:tc>
          <w:tcPr>
            <w:tcW w:w="746" w:type="dxa"/>
            <w:vAlign w:val="center"/>
          </w:tcPr>
          <w:p w14:paraId="696911A8">
            <w:pPr>
              <w:pStyle w:val="22"/>
              <w:bidi w:val="0"/>
              <w:jc w:val="center"/>
              <w:rPr>
                <w:rFonts w:hint="eastAsia"/>
                <w:color w:val="auto"/>
                <w:highlight w:val="none"/>
              </w:rPr>
            </w:pPr>
          </w:p>
        </w:tc>
        <w:tc>
          <w:tcPr>
            <w:tcW w:w="904" w:type="dxa"/>
            <w:vAlign w:val="center"/>
          </w:tcPr>
          <w:p w14:paraId="22D23F4E">
            <w:pPr>
              <w:pStyle w:val="22"/>
              <w:bidi w:val="0"/>
              <w:jc w:val="center"/>
              <w:rPr>
                <w:rFonts w:hint="eastAsia"/>
                <w:color w:val="auto"/>
                <w:highlight w:val="none"/>
              </w:rPr>
            </w:pPr>
          </w:p>
        </w:tc>
        <w:tc>
          <w:tcPr>
            <w:tcW w:w="832" w:type="dxa"/>
            <w:vAlign w:val="center"/>
          </w:tcPr>
          <w:p w14:paraId="11999BF6">
            <w:pPr>
              <w:pStyle w:val="22"/>
              <w:bidi w:val="0"/>
              <w:jc w:val="center"/>
              <w:rPr>
                <w:rFonts w:hint="eastAsia"/>
                <w:color w:val="auto"/>
                <w:highlight w:val="none"/>
              </w:rPr>
            </w:pPr>
          </w:p>
        </w:tc>
        <w:tc>
          <w:tcPr>
            <w:tcW w:w="815" w:type="dxa"/>
            <w:vAlign w:val="center"/>
          </w:tcPr>
          <w:p w14:paraId="476A7B1D">
            <w:pPr>
              <w:pStyle w:val="22"/>
              <w:bidi w:val="0"/>
              <w:jc w:val="center"/>
              <w:rPr>
                <w:rFonts w:hint="eastAsia"/>
                <w:color w:val="auto"/>
                <w:highlight w:val="none"/>
              </w:rPr>
            </w:pPr>
          </w:p>
        </w:tc>
        <w:tc>
          <w:tcPr>
            <w:tcW w:w="1190" w:type="dxa"/>
            <w:vAlign w:val="center"/>
          </w:tcPr>
          <w:p w14:paraId="28D2D14E">
            <w:pPr>
              <w:pStyle w:val="22"/>
              <w:bidi w:val="0"/>
              <w:jc w:val="center"/>
              <w:rPr>
                <w:rFonts w:hint="eastAsia"/>
                <w:color w:val="auto"/>
                <w:highlight w:val="none"/>
              </w:rPr>
            </w:pPr>
          </w:p>
        </w:tc>
        <w:tc>
          <w:tcPr>
            <w:tcW w:w="1480" w:type="dxa"/>
            <w:vAlign w:val="center"/>
          </w:tcPr>
          <w:p w14:paraId="099E8F2E">
            <w:pPr>
              <w:pStyle w:val="22"/>
              <w:bidi w:val="0"/>
              <w:jc w:val="center"/>
              <w:rPr>
                <w:rFonts w:hint="eastAsia"/>
                <w:color w:val="auto"/>
                <w:highlight w:val="none"/>
              </w:rPr>
            </w:pPr>
          </w:p>
        </w:tc>
        <w:tc>
          <w:tcPr>
            <w:tcW w:w="1434" w:type="dxa"/>
            <w:vAlign w:val="center"/>
          </w:tcPr>
          <w:p w14:paraId="6C3D4351">
            <w:pPr>
              <w:pStyle w:val="22"/>
              <w:bidi w:val="0"/>
              <w:jc w:val="center"/>
              <w:rPr>
                <w:rFonts w:hint="eastAsia"/>
                <w:color w:val="auto"/>
                <w:highlight w:val="none"/>
              </w:rPr>
            </w:pPr>
          </w:p>
        </w:tc>
      </w:tr>
      <w:tr w14:paraId="5759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6" w:type="dxa"/>
            <w:vAlign w:val="center"/>
          </w:tcPr>
          <w:p w14:paraId="5D8473A1">
            <w:pPr>
              <w:pStyle w:val="22"/>
              <w:bidi w:val="0"/>
              <w:jc w:val="center"/>
              <w:rPr>
                <w:rFonts w:hint="eastAsia"/>
                <w:color w:val="auto"/>
                <w:highlight w:val="none"/>
              </w:rPr>
            </w:pPr>
          </w:p>
        </w:tc>
        <w:tc>
          <w:tcPr>
            <w:tcW w:w="864" w:type="dxa"/>
            <w:vAlign w:val="center"/>
          </w:tcPr>
          <w:p w14:paraId="3448F3C4">
            <w:pPr>
              <w:pStyle w:val="22"/>
              <w:bidi w:val="0"/>
              <w:jc w:val="center"/>
              <w:rPr>
                <w:rFonts w:hint="eastAsia"/>
                <w:color w:val="auto"/>
                <w:highlight w:val="none"/>
              </w:rPr>
            </w:pPr>
          </w:p>
        </w:tc>
        <w:tc>
          <w:tcPr>
            <w:tcW w:w="746" w:type="dxa"/>
            <w:vAlign w:val="center"/>
          </w:tcPr>
          <w:p w14:paraId="3745E18B">
            <w:pPr>
              <w:pStyle w:val="22"/>
              <w:bidi w:val="0"/>
              <w:jc w:val="center"/>
              <w:rPr>
                <w:rFonts w:hint="eastAsia"/>
                <w:color w:val="auto"/>
                <w:highlight w:val="none"/>
              </w:rPr>
            </w:pPr>
          </w:p>
        </w:tc>
        <w:tc>
          <w:tcPr>
            <w:tcW w:w="904" w:type="dxa"/>
            <w:vAlign w:val="center"/>
          </w:tcPr>
          <w:p w14:paraId="4769BC1E">
            <w:pPr>
              <w:pStyle w:val="22"/>
              <w:bidi w:val="0"/>
              <w:jc w:val="center"/>
              <w:rPr>
                <w:rFonts w:hint="eastAsia"/>
                <w:color w:val="auto"/>
                <w:highlight w:val="none"/>
              </w:rPr>
            </w:pPr>
          </w:p>
        </w:tc>
        <w:tc>
          <w:tcPr>
            <w:tcW w:w="832" w:type="dxa"/>
            <w:vAlign w:val="center"/>
          </w:tcPr>
          <w:p w14:paraId="78015136">
            <w:pPr>
              <w:pStyle w:val="22"/>
              <w:bidi w:val="0"/>
              <w:jc w:val="center"/>
              <w:rPr>
                <w:rFonts w:hint="eastAsia"/>
                <w:color w:val="auto"/>
                <w:highlight w:val="none"/>
              </w:rPr>
            </w:pPr>
          </w:p>
        </w:tc>
        <w:tc>
          <w:tcPr>
            <w:tcW w:w="815" w:type="dxa"/>
            <w:vAlign w:val="center"/>
          </w:tcPr>
          <w:p w14:paraId="17C64ACA">
            <w:pPr>
              <w:pStyle w:val="22"/>
              <w:bidi w:val="0"/>
              <w:jc w:val="center"/>
              <w:rPr>
                <w:rFonts w:hint="eastAsia"/>
                <w:color w:val="auto"/>
                <w:highlight w:val="none"/>
              </w:rPr>
            </w:pPr>
          </w:p>
        </w:tc>
        <w:tc>
          <w:tcPr>
            <w:tcW w:w="1190" w:type="dxa"/>
            <w:vAlign w:val="center"/>
          </w:tcPr>
          <w:p w14:paraId="4DD7FF2C">
            <w:pPr>
              <w:pStyle w:val="22"/>
              <w:bidi w:val="0"/>
              <w:jc w:val="center"/>
              <w:rPr>
                <w:rFonts w:hint="eastAsia"/>
                <w:color w:val="auto"/>
                <w:highlight w:val="none"/>
              </w:rPr>
            </w:pPr>
          </w:p>
        </w:tc>
        <w:tc>
          <w:tcPr>
            <w:tcW w:w="1480" w:type="dxa"/>
            <w:vAlign w:val="center"/>
          </w:tcPr>
          <w:p w14:paraId="3B4C46FC">
            <w:pPr>
              <w:pStyle w:val="22"/>
              <w:bidi w:val="0"/>
              <w:jc w:val="center"/>
              <w:rPr>
                <w:rFonts w:hint="eastAsia"/>
                <w:color w:val="auto"/>
                <w:highlight w:val="none"/>
              </w:rPr>
            </w:pPr>
          </w:p>
        </w:tc>
        <w:tc>
          <w:tcPr>
            <w:tcW w:w="1434" w:type="dxa"/>
            <w:vAlign w:val="center"/>
          </w:tcPr>
          <w:p w14:paraId="0FF4DDF4">
            <w:pPr>
              <w:pStyle w:val="22"/>
              <w:bidi w:val="0"/>
              <w:jc w:val="center"/>
              <w:rPr>
                <w:rFonts w:hint="eastAsia"/>
                <w:color w:val="auto"/>
                <w:highlight w:val="none"/>
              </w:rPr>
            </w:pPr>
          </w:p>
        </w:tc>
      </w:tr>
      <w:tr w14:paraId="3F94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6" w:type="dxa"/>
            <w:vAlign w:val="center"/>
          </w:tcPr>
          <w:p w14:paraId="55AC39A6">
            <w:pPr>
              <w:pStyle w:val="22"/>
              <w:bidi w:val="0"/>
              <w:jc w:val="center"/>
              <w:rPr>
                <w:rFonts w:hint="eastAsia"/>
                <w:color w:val="auto"/>
                <w:highlight w:val="none"/>
              </w:rPr>
            </w:pPr>
          </w:p>
        </w:tc>
        <w:tc>
          <w:tcPr>
            <w:tcW w:w="864" w:type="dxa"/>
            <w:vAlign w:val="center"/>
          </w:tcPr>
          <w:p w14:paraId="677384F1">
            <w:pPr>
              <w:pStyle w:val="22"/>
              <w:bidi w:val="0"/>
              <w:jc w:val="center"/>
              <w:rPr>
                <w:rFonts w:hint="eastAsia"/>
                <w:color w:val="auto"/>
                <w:highlight w:val="none"/>
              </w:rPr>
            </w:pPr>
          </w:p>
        </w:tc>
        <w:tc>
          <w:tcPr>
            <w:tcW w:w="746" w:type="dxa"/>
            <w:vAlign w:val="center"/>
          </w:tcPr>
          <w:p w14:paraId="0E360968">
            <w:pPr>
              <w:pStyle w:val="22"/>
              <w:bidi w:val="0"/>
              <w:jc w:val="center"/>
              <w:rPr>
                <w:rFonts w:hint="eastAsia"/>
                <w:color w:val="auto"/>
                <w:highlight w:val="none"/>
              </w:rPr>
            </w:pPr>
          </w:p>
        </w:tc>
        <w:tc>
          <w:tcPr>
            <w:tcW w:w="904" w:type="dxa"/>
            <w:vAlign w:val="center"/>
          </w:tcPr>
          <w:p w14:paraId="60E7E539">
            <w:pPr>
              <w:pStyle w:val="22"/>
              <w:bidi w:val="0"/>
              <w:jc w:val="center"/>
              <w:rPr>
                <w:rFonts w:hint="eastAsia"/>
                <w:color w:val="auto"/>
                <w:highlight w:val="none"/>
              </w:rPr>
            </w:pPr>
          </w:p>
        </w:tc>
        <w:tc>
          <w:tcPr>
            <w:tcW w:w="832" w:type="dxa"/>
            <w:vAlign w:val="center"/>
          </w:tcPr>
          <w:p w14:paraId="6F34F7CE">
            <w:pPr>
              <w:pStyle w:val="22"/>
              <w:bidi w:val="0"/>
              <w:jc w:val="center"/>
              <w:rPr>
                <w:rFonts w:hint="eastAsia"/>
                <w:color w:val="auto"/>
                <w:highlight w:val="none"/>
              </w:rPr>
            </w:pPr>
          </w:p>
        </w:tc>
        <w:tc>
          <w:tcPr>
            <w:tcW w:w="815" w:type="dxa"/>
            <w:vAlign w:val="center"/>
          </w:tcPr>
          <w:p w14:paraId="1E41BF94">
            <w:pPr>
              <w:pStyle w:val="22"/>
              <w:bidi w:val="0"/>
              <w:jc w:val="center"/>
              <w:rPr>
                <w:rFonts w:hint="eastAsia"/>
                <w:color w:val="auto"/>
                <w:highlight w:val="none"/>
              </w:rPr>
            </w:pPr>
          </w:p>
        </w:tc>
        <w:tc>
          <w:tcPr>
            <w:tcW w:w="1190" w:type="dxa"/>
            <w:vAlign w:val="center"/>
          </w:tcPr>
          <w:p w14:paraId="4D20F760">
            <w:pPr>
              <w:pStyle w:val="22"/>
              <w:bidi w:val="0"/>
              <w:jc w:val="center"/>
              <w:rPr>
                <w:rFonts w:hint="eastAsia"/>
                <w:color w:val="auto"/>
                <w:highlight w:val="none"/>
              </w:rPr>
            </w:pPr>
          </w:p>
        </w:tc>
        <w:tc>
          <w:tcPr>
            <w:tcW w:w="1480" w:type="dxa"/>
            <w:vAlign w:val="center"/>
          </w:tcPr>
          <w:p w14:paraId="0A5823C5">
            <w:pPr>
              <w:pStyle w:val="22"/>
              <w:bidi w:val="0"/>
              <w:jc w:val="center"/>
              <w:rPr>
                <w:rFonts w:hint="eastAsia"/>
                <w:color w:val="auto"/>
                <w:highlight w:val="none"/>
              </w:rPr>
            </w:pPr>
          </w:p>
        </w:tc>
        <w:tc>
          <w:tcPr>
            <w:tcW w:w="1434" w:type="dxa"/>
            <w:vAlign w:val="center"/>
          </w:tcPr>
          <w:p w14:paraId="2A55FB00">
            <w:pPr>
              <w:pStyle w:val="22"/>
              <w:bidi w:val="0"/>
              <w:jc w:val="center"/>
              <w:rPr>
                <w:rFonts w:hint="eastAsia"/>
                <w:color w:val="auto"/>
                <w:highlight w:val="none"/>
              </w:rPr>
            </w:pPr>
          </w:p>
        </w:tc>
      </w:tr>
      <w:tr w14:paraId="0AF4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6" w:type="dxa"/>
            <w:vAlign w:val="center"/>
          </w:tcPr>
          <w:p w14:paraId="4845BAF8">
            <w:pPr>
              <w:pStyle w:val="22"/>
              <w:bidi w:val="0"/>
              <w:jc w:val="center"/>
              <w:rPr>
                <w:rFonts w:hint="eastAsia"/>
                <w:color w:val="auto"/>
                <w:highlight w:val="none"/>
              </w:rPr>
            </w:pPr>
          </w:p>
        </w:tc>
        <w:tc>
          <w:tcPr>
            <w:tcW w:w="864" w:type="dxa"/>
            <w:vAlign w:val="center"/>
          </w:tcPr>
          <w:p w14:paraId="53E405D2">
            <w:pPr>
              <w:pStyle w:val="22"/>
              <w:bidi w:val="0"/>
              <w:jc w:val="center"/>
              <w:rPr>
                <w:rFonts w:hint="eastAsia"/>
                <w:color w:val="auto"/>
                <w:highlight w:val="none"/>
              </w:rPr>
            </w:pPr>
          </w:p>
        </w:tc>
        <w:tc>
          <w:tcPr>
            <w:tcW w:w="746" w:type="dxa"/>
            <w:vAlign w:val="center"/>
          </w:tcPr>
          <w:p w14:paraId="6592B036">
            <w:pPr>
              <w:pStyle w:val="22"/>
              <w:bidi w:val="0"/>
              <w:jc w:val="center"/>
              <w:rPr>
                <w:rFonts w:hint="eastAsia"/>
                <w:color w:val="auto"/>
                <w:highlight w:val="none"/>
              </w:rPr>
            </w:pPr>
          </w:p>
        </w:tc>
        <w:tc>
          <w:tcPr>
            <w:tcW w:w="904" w:type="dxa"/>
            <w:vAlign w:val="center"/>
          </w:tcPr>
          <w:p w14:paraId="4480F068">
            <w:pPr>
              <w:pStyle w:val="22"/>
              <w:bidi w:val="0"/>
              <w:jc w:val="center"/>
              <w:rPr>
                <w:rFonts w:hint="eastAsia"/>
                <w:color w:val="auto"/>
                <w:highlight w:val="none"/>
              </w:rPr>
            </w:pPr>
          </w:p>
        </w:tc>
        <w:tc>
          <w:tcPr>
            <w:tcW w:w="832" w:type="dxa"/>
            <w:vAlign w:val="center"/>
          </w:tcPr>
          <w:p w14:paraId="2FAB105D">
            <w:pPr>
              <w:pStyle w:val="22"/>
              <w:bidi w:val="0"/>
              <w:jc w:val="center"/>
              <w:rPr>
                <w:rFonts w:hint="eastAsia"/>
                <w:color w:val="auto"/>
                <w:highlight w:val="none"/>
              </w:rPr>
            </w:pPr>
          </w:p>
        </w:tc>
        <w:tc>
          <w:tcPr>
            <w:tcW w:w="815" w:type="dxa"/>
            <w:vAlign w:val="center"/>
          </w:tcPr>
          <w:p w14:paraId="2E476475">
            <w:pPr>
              <w:pStyle w:val="22"/>
              <w:bidi w:val="0"/>
              <w:jc w:val="center"/>
              <w:rPr>
                <w:rFonts w:hint="eastAsia"/>
                <w:color w:val="auto"/>
                <w:highlight w:val="none"/>
              </w:rPr>
            </w:pPr>
          </w:p>
        </w:tc>
        <w:tc>
          <w:tcPr>
            <w:tcW w:w="1190" w:type="dxa"/>
            <w:vAlign w:val="center"/>
          </w:tcPr>
          <w:p w14:paraId="038FF93C">
            <w:pPr>
              <w:pStyle w:val="22"/>
              <w:bidi w:val="0"/>
              <w:jc w:val="center"/>
              <w:rPr>
                <w:rFonts w:hint="eastAsia"/>
                <w:color w:val="auto"/>
                <w:highlight w:val="none"/>
              </w:rPr>
            </w:pPr>
          </w:p>
        </w:tc>
        <w:tc>
          <w:tcPr>
            <w:tcW w:w="1480" w:type="dxa"/>
            <w:vAlign w:val="center"/>
          </w:tcPr>
          <w:p w14:paraId="5E1A817E">
            <w:pPr>
              <w:pStyle w:val="22"/>
              <w:bidi w:val="0"/>
              <w:jc w:val="center"/>
              <w:rPr>
                <w:rFonts w:hint="eastAsia"/>
                <w:color w:val="auto"/>
                <w:highlight w:val="none"/>
              </w:rPr>
            </w:pPr>
          </w:p>
        </w:tc>
        <w:tc>
          <w:tcPr>
            <w:tcW w:w="1434" w:type="dxa"/>
            <w:vAlign w:val="center"/>
          </w:tcPr>
          <w:p w14:paraId="2D447579">
            <w:pPr>
              <w:pStyle w:val="22"/>
              <w:bidi w:val="0"/>
              <w:jc w:val="center"/>
              <w:rPr>
                <w:rFonts w:hint="eastAsia"/>
                <w:color w:val="auto"/>
                <w:highlight w:val="none"/>
              </w:rPr>
            </w:pPr>
          </w:p>
        </w:tc>
      </w:tr>
      <w:tr w14:paraId="6918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6" w:type="dxa"/>
            <w:vAlign w:val="center"/>
          </w:tcPr>
          <w:p w14:paraId="726A2060">
            <w:pPr>
              <w:pStyle w:val="22"/>
              <w:bidi w:val="0"/>
              <w:jc w:val="center"/>
              <w:rPr>
                <w:rFonts w:hint="eastAsia"/>
                <w:color w:val="auto"/>
                <w:highlight w:val="none"/>
              </w:rPr>
            </w:pPr>
          </w:p>
        </w:tc>
        <w:tc>
          <w:tcPr>
            <w:tcW w:w="864" w:type="dxa"/>
            <w:vAlign w:val="center"/>
          </w:tcPr>
          <w:p w14:paraId="4BF20967">
            <w:pPr>
              <w:pStyle w:val="22"/>
              <w:bidi w:val="0"/>
              <w:jc w:val="center"/>
              <w:rPr>
                <w:rFonts w:hint="eastAsia"/>
                <w:color w:val="auto"/>
                <w:highlight w:val="none"/>
              </w:rPr>
            </w:pPr>
          </w:p>
        </w:tc>
        <w:tc>
          <w:tcPr>
            <w:tcW w:w="746" w:type="dxa"/>
            <w:vAlign w:val="center"/>
          </w:tcPr>
          <w:p w14:paraId="32771B38">
            <w:pPr>
              <w:pStyle w:val="22"/>
              <w:bidi w:val="0"/>
              <w:jc w:val="center"/>
              <w:rPr>
                <w:rFonts w:hint="eastAsia"/>
                <w:color w:val="auto"/>
                <w:highlight w:val="none"/>
              </w:rPr>
            </w:pPr>
          </w:p>
        </w:tc>
        <w:tc>
          <w:tcPr>
            <w:tcW w:w="904" w:type="dxa"/>
            <w:vAlign w:val="center"/>
          </w:tcPr>
          <w:p w14:paraId="65C8EFC4">
            <w:pPr>
              <w:pStyle w:val="22"/>
              <w:bidi w:val="0"/>
              <w:jc w:val="center"/>
              <w:rPr>
                <w:rFonts w:hint="eastAsia"/>
                <w:color w:val="auto"/>
                <w:highlight w:val="none"/>
              </w:rPr>
            </w:pPr>
          </w:p>
        </w:tc>
        <w:tc>
          <w:tcPr>
            <w:tcW w:w="832" w:type="dxa"/>
            <w:vAlign w:val="center"/>
          </w:tcPr>
          <w:p w14:paraId="4DC2673A">
            <w:pPr>
              <w:pStyle w:val="22"/>
              <w:bidi w:val="0"/>
              <w:jc w:val="center"/>
              <w:rPr>
                <w:rFonts w:hint="eastAsia"/>
                <w:color w:val="auto"/>
                <w:highlight w:val="none"/>
              </w:rPr>
            </w:pPr>
          </w:p>
        </w:tc>
        <w:tc>
          <w:tcPr>
            <w:tcW w:w="815" w:type="dxa"/>
            <w:vAlign w:val="center"/>
          </w:tcPr>
          <w:p w14:paraId="4E50EC6A">
            <w:pPr>
              <w:pStyle w:val="22"/>
              <w:bidi w:val="0"/>
              <w:jc w:val="center"/>
              <w:rPr>
                <w:rFonts w:hint="eastAsia"/>
                <w:color w:val="auto"/>
                <w:highlight w:val="none"/>
              </w:rPr>
            </w:pPr>
          </w:p>
        </w:tc>
        <w:tc>
          <w:tcPr>
            <w:tcW w:w="1190" w:type="dxa"/>
            <w:vAlign w:val="center"/>
          </w:tcPr>
          <w:p w14:paraId="0DED648B">
            <w:pPr>
              <w:pStyle w:val="22"/>
              <w:bidi w:val="0"/>
              <w:jc w:val="center"/>
              <w:rPr>
                <w:rFonts w:hint="eastAsia"/>
                <w:color w:val="auto"/>
                <w:highlight w:val="none"/>
              </w:rPr>
            </w:pPr>
          </w:p>
        </w:tc>
        <w:tc>
          <w:tcPr>
            <w:tcW w:w="1480" w:type="dxa"/>
            <w:vAlign w:val="center"/>
          </w:tcPr>
          <w:p w14:paraId="053E625E">
            <w:pPr>
              <w:pStyle w:val="22"/>
              <w:bidi w:val="0"/>
              <w:jc w:val="center"/>
              <w:rPr>
                <w:rFonts w:hint="eastAsia"/>
                <w:color w:val="auto"/>
                <w:highlight w:val="none"/>
              </w:rPr>
            </w:pPr>
          </w:p>
        </w:tc>
        <w:tc>
          <w:tcPr>
            <w:tcW w:w="1434" w:type="dxa"/>
            <w:vAlign w:val="center"/>
          </w:tcPr>
          <w:p w14:paraId="316F52F7">
            <w:pPr>
              <w:pStyle w:val="22"/>
              <w:bidi w:val="0"/>
              <w:jc w:val="center"/>
              <w:rPr>
                <w:rFonts w:hint="eastAsia"/>
                <w:color w:val="auto"/>
                <w:highlight w:val="none"/>
              </w:rPr>
            </w:pPr>
          </w:p>
        </w:tc>
      </w:tr>
      <w:tr w14:paraId="19B7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6" w:type="dxa"/>
            <w:vAlign w:val="center"/>
          </w:tcPr>
          <w:p w14:paraId="02BE42F9">
            <w:pPr>
              <w:pStyle w:val="22"/>
              <w:bidi w:val="0"/>
              <w:jc w:val="center"/>
              <w:rPr>
                <w:rFonts w:hint="eastAsia"/>
                <w:color w:val="auto"/>
                <w:highlight w:val="none"/>
              </w:rPr>
            </w:pPr>
          </w:p>
        </w:tc>
        <w:tc>
          <w:tcPr>
            <w:tcW w:w="864" w:type="dxa"/>
            <w:vAlign w:val="center"/>
          </w:tcPr>
          <w:p w14:paraId="0ACD4CAC">
            <w:pPr>
              <w:pStyle w:val="22"/>
              <w:bidi w:val="0"/>
              <w:jc w:val="center"/>
              <w:rPr>
                <w:rFonts w:hint="eastAsia"/>
                <w:color w:val="auto"/>
                <w:highlight w:val="none"/>
              </w:rPr>
            </w:pPr>
          </w:p>
        </w:tc>
        <w:tc>
          <w:tcPr>
            <w:tcW w:w="746" w:type="dxa"/>
            <w:vAlign w:val="center"/>
          </w:tcPr>
          <w:p w14:paraId="0E57F2EF">
            <w:pPr>
              <w:pStyle w:val="22"/>
              <w:bidi w:val="0"/>
              <w:jc w:val="center"/>
              <w:rPr>
                <w:rFonts w:hint="eastAsia"/>
                <w:color w:val="auto"/>
                <w:highlight w:val="none"/>
              </w:rPr>
            </w:pPr>
          </w:p>
        </w:tc>
        <w:tc>
          <w:tcPr>
            <w:tcW w:w="904" w:type="dxa"/>
            <w:vAlign w:val="center"/>
          </w:tcPr>
          <w:p w14:paraId="64160C2A">
            <w:pPr>
              <w:pStyle w:val="22"/>
              <w:bidi w:val="0"/>
              <w:jc w:val="center"/>
              <w:rPr>
                <w:rFonts w:hint="eastAsia"/>
                <w:color w:val="auto"/>
                <w:highlight w:val="none"/>
              </w:rPr>
            </w:pPr>
          </w:p>
        </w:tc>
        <w:tc>
          <w:tcPr>
            <w:tcW w:w="832" w:type="dxa"/>
            <w:vAlign w:val="center"/>
          </w:tcPr>
          <w:p w14:paraId="08DF01FB">
            <w:pPr>
              <w:pStyle w:val="22"/>
              <w:bidi w:val="0"/>
              <w:jc w:val="center"/>
              <w:rPr>
                <w:rFonts w:hint="eastAsia"/>
                <w:color w:val="auto"/>
                <w:highlight w:val="none"/>
              </w:rPr>
            </w:pPr>
          </w:p>
        </w:tc>
        <w:tc>
          <w:tcPr>
            <w:tcW w:w="815" w:type="dxa"/>
            <w:vAlign w:val="center"/>
          </w:tcPr>
          <w:p w14:paraId="01C10A0D">
            <w:pPr>
              <w:pStyle w:val="22"/>
              <w:bidi w:val="0"/>
              <w:jc w:val="center"/>
              <w:rPr>
                <w:rFonts w:hint="eastAsia"/>
                <w:color w:val="auto"/>
                <w:highlight w:val="none"/>
              </w:rPr>
            </w:pPr>
          </w:p>
        </w:tc>
        <w:tc>
          <w:tcPr>
            <w:tcW w:w="1190" w:type="dxa"/>
            <w:vAlign w:val="center"/>
          </w:tcPr>
          <w:p w14:paraId="2FA09940">
            <w:pPr>
              <w:pStyle w:val="22"/>
              <w:bidi w:val="0"/>
              <w:jc w:val="center"/>
              <w:rPr>
                <w:rFonts w:hint="eastAsia"/>
                <w:color w:val="auto"/>
                <w:highlight w:val="none"/>
              </w:rPr>
            </w:pPr>
          </w:p>
        </w:tc>
        <w:tc>
          <w:tcPr>
            <w:tcW w:w="1480" w:type="dxa"/>
            <w:vAlign w:val="center"/>
          </w:tcPr>
          <w:p w14:paraId="259AC1AE">
            <w:pPr>
              <w:pStyle w:val="22"/>
              <w:bidi w:val="0"/>
              <w:jc w:val="center"/>
              <w:rPr>
                <w:rFonts w:hint="eastAsia"/>
                <w:color w:val="auto"/>
                <w:highlight w:val="none"/>
              </w:rPr>
            </w:pPr>
          </w:p>
        </w:tc>
        <w:tc>
          <w:tcPr>
            <w:tcW w:w="1434" w:type="dxa"/>
            <w:vAlign w:val="center"/>
          </w:tcPr>
          <w:p w14:paraId="671FF317">
            <w:pPr>
              <w:pStyle w:val="22"/>
              <w:bidi w:val="0"/>
              <w:jc w:val="center"/>
              <w:rPr>
                <w:rFonts w:hint="eastAsia"/>
                <w:color w:val="auto"/>
                <w:highlight w:val="none"/>
              </w:rPr>
            </w:pPr>
          </w:p>
        </w:tc>
      </w:tr>
    </w:tbl>
    <w:p w14:paraId="2B3EA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注：</w:t>
      </w:r>
      <w:r>
        <w:rPr>
          <w:rFonts w:hint="eastAsia" w:ascii="宋体" w:hAnsi="宋体" w:eastAsia="宋体" w:cs="宋体"/>
          <w:bCs/>
          <w:color w:val="auto"/>
          <w:szCs w:val="21"/>
          <w:highlight w:val="none"/>
          <w:lang w:val="en-US" w:eastAsia="zh-CN"/>
        </w:rPr>
        <w:t>1.本表填报</w:t>
      </w:r>
      <w:r>
        <w:rPr>
          <w:rFonts w:hint="eastAsia" w:ascii="宋体" w:hAnsi="宋体" w:cs="HiddenHorzOCR"/>
          <w:color w:val="auto"/>
          <w:sz w:val="21"/>
          <w:szCs w:val="21"/>
          <w:highlight w:val="none"/>
        </w:rPr>
        <w:t>项目</w:t>
      </w:r>
      <w:r>
        <w:rPr>
          <w:rFonts w:hint="eastAsia" w:cs="HiddenHorzOCR"/>
          <w:color w:val="auto"/>
          <w:sz w:val="21"/>
          <w:szCs w:val="21"/>
          <w:highlight w:val="none"/>
          <w:lang w:val="en-US" w:eastAsia="zh-CN"/>
        </w:rPr>
        <w:t>负责人及</w:t>
      </w:r>
      <w:r>
        <w:rPr>
          <w:rFonts w:hint="eastAsia" w:ascii="宋体" w:hAnsi="宋体" w:cs="HiddenHorzOCR"/>
          <w:color w:val="auto"/>
          <w:sz w:val="21"/>
          <w:szCs w:val="21"/>
          <w:highlight w:val="none"/>
        </w:rPr>
        <w:t>拟投入本项目</w:t>
      </w:r>
      <w:r>
        <w:rPr>
          <w:rFonts w:hint="eastAsia" w:ascii="宋体" w:hAnsi="宋体" w:cs="HiddenHorzOCR"/>
          <w:color w:val="auto"/>
          <w:sz w:val="21"/>
          <w:szCs w:val="21"/>
          <w:highlight w:val="none"/>
          <w:lang w:val="en-US" w:eastAsia="zh-CN"/>
        </w:rPr>
        <w:t>其他</w:t>
      </w:r>
      <w:r>
        <w:rPr>
          <w:rFonts w:hint="eastAsia" w:ascii="宋体" w:hAnsi="宋体" w:cs="HiddenHorzOCR"/>
          <w:color w:val="auto"/>
          <w:sz w:val="21"/>
          <w:szCs w:val="21"/>
          <w:highlight w:val="none"/>
        </w:rPr>
        <w:t>人员</w:t>
      </w:r>
      <w:r>
        <w:rPr>
          <w:rFonts w:hint="eastAsia" w:ascii="宋体" w:hAnsi="宋体" w:eastAsia="宋体" w:cs="宋体"/>
          <w:bCs/>
          <w:color w:val="auto"/>
          <w:szCs w:val="21"/>
          <w:highlight w:val="none"/>
          <w:lang w:val="en-US" w:eastAsia="zh-CN"/>
        </w:rPr>
        <w:t>。</w:t>
      </w:r>
    </w:p>
    <w:p w14:paraId="7D4227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r>
        <w:rPr>
          <w:rFonts w:hint="eastAsia" w:cs="HiddenHorzOCR"/>
          <w:b/>
          <w:bCs/>
          <w:color w:val="auto"/>
          <w:sz w:val="21"/>
          <w:szCs w:val="21"/>
          <w:highlight w:val="none"/>
          <w:lang w:eastAsia="zh-CN"/>
        </w:rPr>
        <w:t>项目负责人</w:t>
      </w:r>
      <w:r>
        <w:rPr>
          <w:rFonts w:hint="eastAsia" w:ascii="宋体" w:hAnsi="宋体" w:cs="HiddenHorzOCR"/>
          <w:color w:val="auto"/>
          <w:sz w:val="21"/>
          <w:szCs w:val="21"/>
          <w:highlight w:val="none"/>
        </w:rPr>
        <w:t>应附身份证、</w:t>
      </w:r>
      <w:r>
        <w:rPr>
          <w:rFonts w:hint="eastAsia"/>
        </w:rPr>
        <w:t>白蚁防治工程师及以上证书</w:t>
      </w:r>
      <w:r>
        <w:rPr>
          <w:rFonts w:hint="eastAsia" w:ascii="宋体" w:hAnsi="宋体" w:cs="HiddenHorzOCR"/>
          <w:color w:val="auto"/>
          <w:sz w:val="21"/>
          <w:szCs w:val="21"/>
          <w:highlight w:val="none"/>
        </w:rPr>
        <w:t>、社保缴费证明材料扫描件；</w:t>
      </w:r>
      <w:r>
        <w:rPr>
          <w:rFonts w:hint="eastAsia" w:ascii="宋体" w:hAnsi="宋体" w:cs="HiddenHorzOCR"/>
          <w:b/>
          <w:bCs/>
          <w:color w:val="auto"/>
          <w:sz w:val="21"/>
          <w:szCs w:val="21"/>
          <w:highlight w:val="none"/>
        </w:rPr>
        <w:t>其他人员</w:t>
      </w:r>
      <w:r>
        <w:rPr>
          <w:rFonts w:hint="eastAsia" w:ascii="宋体" w:hAnsi="宋体" w:cs="HiddenHorzOCR"/>
          <w:color w:val="auto"/>
          <w:sz w:val="21"/>
          <w:szCs w:val="21"/>
          <w:highlight w:val="none"/>
        </w:rPr>
        <w:t>须提供身份证、相关资格证书（如有）和社保缴费证明材料扫描件</w:t>
      </w:r>
      <w:r>
        <w:rPr>
          <w:rFonts w:hint="eastAsia" w:ascii="宋体" w:hAnsi="宋体" w:eastAsia="宋体" w:cs="宋体"/>
          <w:bCs/>
          <w:color w:val="auto"/>
          <w:szCs w:val="21"/>
          <w:highlight w:val="none"/>
          <w:lang w:val="en-US" w:eastAsia="zh-CN"/>
        </w:rPr>
        <w:t>。</w:t>
      </w:r>
    </w:p>
    <w:p w14:paraId="17713D21">
      <w:pPr>
        <w:autoSpaceDE w:val="0"/>
        <w:autoSpaceDN w:val="0"/>
        <w:adjustRightInd w:val="0"/>
        <w:spacing w:line="288" w:lineRule="auto"/>
        <w:jc w:val="left"/>
        <w:rPr>
          <w:rFonts w:hint="eastAsia" w:ascii="宋体" w:hAnsi="宋体" w:cs="HiddenHorzOCR"/>
          <w:b/>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.投标人可根据实际情况拓展本表，但不得改变格式。</w:t>
      </w:r>
    </w:p>
    <w:p w14:paraId="520EDF15">
      <w:pPr>
        <w:autoSpaceDE w:val="0"/>
        <w:autoSpaceDN w:val="0"/>
        <w:adjustRightInd w:val="0"/>
        <w:spacing w:line="288" w:lineRule="auto"/>
        <w:jc w:val="left"/>
        <w:rPr>
          <w:color w:val="000000" w:themeColor="text1"/>
          <w14:textFill>
            <w14:solidFill>
              <w14:schemeClr w14:val="tx1"/>
            </w14:solidFill>
          </w14:textFill>
        </w:rPr>
      </w:pPr>
      <w:r>
        <w:rPr>
          <w:rFonts w:ascii="宋体" w:hAnsi="宋体" w:cs="HiddenHorzOCR"/>
          <w:color w:val="auto"/>
          <w:szCs w:val="21"/>
          <w:highlight w:val="none"/>
        </w:rPr>
        <w:t xml:space="preserve"> </w:t>
      </w:r>
      <w:r>
        <w:rPr>
          <w:rFonts w:ascii="宋体" w:hAnsi="宋体" w:cs="HiddenHorzOCR"/>
          <w:color w:val="auto"/>
          <w:szCs w:val="21"/>
          <w:highlight w:val="none"/>
        </w:rPr>
        <w:br w:type="page"/>
      </w:r>
    </w:p>
    <w:p w14:paraId="3C4A3405">
      <w:pPr>
        <w:autoSpaceDE w:val="0"/>
        <w:autoSpaceDN w:val="0"/>
        <w:adjustRightInd w:val="0"/>
        <w:spacing w:line="360" w:lineRule="auto"/>
        <w:ind w:left="0" w:leftChars="0" w:firstLine="0" w:firstLineChars="0"/>
        <w:jc w:val="left"/>
        <w:rPr>
          <w:rFonts w:hint="default" w:hAnsi="宋体" w:eastAsia="宋体"/>
          <w:b/>
          <w:color w:val="000000" w:themeColor="text1"/>
          <w:kern w:val="0"/>
          <w:sz w:val="28"/>
          <w:szCs w:val="28"/>
          <w:lang w:val="en-US" w:eastAsia="zh-CN"/>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格式1-</w:t>
      </w:r>
      <w:r>
        <w:rPr>
          <w:rFonts w:hint="eastAsia"/>
          <w:b/>
          <w:color w:val="000000" w:themeColor="text1"/>
          <w:kern w:val="0"/>
          <w:sz w:val="28"/>
          <w:szCs w:val="28"/>
          <w:lang w:val="en-US" w:eastAsia="zh-CN"/>
          <w14:textFill>
            <w14:solidFill>
              <w14:schemeClr w14:val="tx1"/>
            </w14:solidFill>
          </w14:textFill>
        </w:rPr>
        <w:t>9</w:t>
      </w:r>
    </w:p>
    <w:p w14:paraId="05BA6C93">
      <w:pPr>
        <w:pStyle w:val="5"/>
        <w:bidi w:val="0"/>
        <w:rPr>
          <w:rFonts w:hint="eastAsia"/>
        </w:rPr>
      </w:pPr>
      <w:r>
        <w:rPr>
          <w:rFonts w:hint="eastAsia"/>
        </w:rPr>
        <w:t>竞争性磋商文件要求或供应商认为有必要提交的其他资料</w:t>
      </w:r>
    </w:p>
    <w:p w14:paraId="5BE40530">
      <w:pPr>
        <w:spacing w:line="360" w:lineRule="auto"/>
        <w:jc w:val="center"/>
        <w:rPr>
          <w:rFonts w:hint="eastAsia" w:eastAsia="宋体"/>
          <w:color w:val="000000" w:themeColor="text1"/>
          <w:lang w:eastAsia="zh-CN"/>
          <w14:textFill>
            <w14:solidFill>
              <w14:schemeClr w14:val="tx1"/>
            </w14:solidFill>
          </w14:textFill>
        </w:rPr>
      </w:pPr>
      <w:r>
        <w:rPr>
          <w:rFonts w:hint="eastAsia" w:hAnsi="宋体" w:cs="宋体"/>
          <w:color w:val="000000" w:themeColor="text1"/>
          <w:szCs w:val="21"/>
          <w14:textFill>
            <w14:solidFill>
              <w14:schemeClr w14:val="tx1"/>
            </w14:solidFill>
          </w14:textFill>
        </w:rPr>
        <w:t>如竞争性磋商文件的资格审查有要求的</w:t>
      </w:r>
      <w:bookmarkStart w:id="295" w:name="_GoBack"/>
      <w:bookmarkEnd w:id="295"/>
      <w:r>
        <w:rPr>
          <w:rFonts w:hint="eastAsia" w:hAnsi="宋体" w:cs="宋体"/>
          <w:color w:val="000000" w:themeColor="text1"/>
          <w:szCs w:val="21"/>
          <w14:textFill>
            <w14:solidFill>
              <w14:schemeClr w14:val="tx1"/>
            </w14:solidFill>
          </w14:textFill>
        </w:rPr>
        <w:t>，但“响应文件格式”中未给出对应格式的，由供应商在此提供（格式自拟）</w:t>
      </w:r>
      <w:r>
        <w:rPr>
          <w:rFonts w:hint="eastAsia" w:cs="宋体"/>
          <w:color w:val="000000" w:themeColor="text1"/>
          <w:szCs w:val="21"/>
          <w:lang w:eastAsia="zh-CN"/>
          <w14:textFill>
            <w14:solidFill>
              <w14:schemeClr w14:val="tx1"/>
            </w14:solidFill>
          </w14:textFill>
        </w:rPr>
        <w:t>。</w:t>
      </w:r>
    </w:p>
    <w:p w14:paraId="66384016">
      <w:pPr>
        <w:rPr>
          <w:rFonts w:hint="eastAsia" w:hAnsi="宋体"/>
          <w:color w:val="000000" w:themeColor="text1"/>
          <w14:textFill>
            <w14:solidFill>
              <w14:schemeClr w14:val="tx1"/>
            </w14:solidFill>
          </w14:textFill>
        </w:rPr>
      </w:pPr>
    </w:p>
    <w:p w14:paraId="606F5EB8">
      <w:pPr>
        <w:rPr>
          <w:rFonts w:hint="eastAsia" w:hAnsi="宋体"/>
          <w:color w:val="000000" w:themeColor="text1"/>
          <w14:textFill>
            <w14:solidFill>
              <w14:schemeClr w14:val="tx1"/>
            </w14:solidFill>
          </w14:textFill>
        </w:rPr>
      </w:pPr>
    </w:p>
    <w:p w14:paraId="606F5EB9">
      <w:pPr>
        <w:rPr>
          <w:rFonts w:hint="eastAsia" w:hAnsi="宋体"/>
          <w:color w:val="000000" w:themeColor="text1"/>
          <w14:textFill>
            <w14:solidFill>
              <w14:schemeClr w14:val="tx1"/>
            </w14:solidFill>
          </w14:textFill>
        </w:rPr>
      </w:pPr>
    </w:p>
    <w:p w14:paraId="606F5EBA">
      <w:pPr>
        <w:rPr>
          <w:rFonts w:hint="eastAsia" w:hAnsi="宋体"/>
          <w:color w:val="000000" w:themeColor="text1"/>
          <w14:textFill>
            <w14:solidFill>
              <w14:schemeClr w14:val="tx1"/>
            </w14:solidFill>
          </w14:textFill>
        </w:rPr>
      </w:pPr>
    </w:p>
    <w:p w14:paraId="606F5EC9">
      <w:pPr>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br w:type="page"/>
      </w:r>
    </w:p>
    <w:p w14:paraId="606F5ECA">
      <w:pPr>
        <w:pStyle w:val="4"/>
        <w:keepLines w:val="0"/>
        <w:spacing w:before="240" w:after="240" w:line="360" w:lineRule="auto"/>
        <w:jc w:val="center"/>
        <w:rPr>
          <w:rFonts w:hint="eastAsia" w:ascii="宋体" w:eastAsia="宋体"/>
          <w:b/>
          <w:bCs w:val="0"/>
          <w:color w:val="000000" w:themeColor="text1"/>
          <w:kern w:val="0"/>
          <w:sz w:val="30"/>
          <w:szCs w:val="30"/>
          <w:lang w:val="en-US" w:eastAsia="zh-CN"/>
          <w14:textFill>
            <w14:solidFill>
              <w14:schemeClr w14:val="tx1"/>
            </w14:solidFill>
          </w14:textFill>
        </w:rPr>
      </w:pPr>
      <w:bookmarkStart w:id="268" w:name="_Toc125054718"/>
      <w:bookmarkStart w:id="269" w:name="_Toc201047315"/>
      <w:bookmarkStart w:id="270" w:name="_Toc199949745"/>
      <w:r>
        <w:rPr>
          <w:rFonts w:hint="eastAsia" w:ascii="宋体" w:eastAsia="宋体"/>
          <w:b/>
          <w:bCs w:val="0"/>
          <w:color w:val="000000" w:themeColor="text1"/>
          <w:kern w:val="0"/>
          <w:sz w:val="30"/>
          <w:szCs w:val="30"/>
          <w:lang w:val="en-US"/>
          <w14:textFill>
            <w14:solidFill>
              <w14:schemeClr w14:val="tx1"/>
            </w14:solidFill>
          </w14:textFill>
        </w:rPr>
        <w:t>二、报价</w:t>
      </w:r>
      <w:r>
        <w:rPr>
          <w:rFonts w:ascii="宋体" w:eastAsia="宋体"/>
          <w:b/>
          <w:bCs w:val="0"/>
          <w:color w:val="000000" w:themeColor="text1"/>
          <w:kern w:val="0"/>
          <w:sz w:val="30"/>
          <w:szCs w:val="30"/>
          <w:lang w:val="en-US"/>
          <w14:textFill>
            <w14:solidFill>
              <w14:schemeClr w14:val="tx1"/>
            </w14:solidFill>
          </w14:textFill>
        </w:rPr>
        <w:t>文件</w:t>
      </w:r>
      <w:bookmarkEnd w:id="268"/>
      <w:bookmarkEnd w:id="269"/>
      <w:bookmarkEnd w:id="270"/>
      <w:r>
        <w:rPr>
          <w:rFonts w:hint="eastAsia"/>
          <w:b/>
          <w:bCs w:val="0"/>
          <w:color w:val="000000" w:themeColor="text1"/>
          <w:kern w:val="0"/>
          <w:sz w:val="30"/>
          <w:szCs w:val="30"/>
          <w:lang w:val="en-US" w:eastAsia="zh-CN"/>
          <w14:textFill>
            <w14:solidFill>
              <w14:schemeClr w14:val="tx1"/>
            </w14:solidFill>
          </w14:textFill>
        </w:rPr>
        <w:t>部分</w:t>
      </w:r>
    </w:p>
    <w:p w14:paraId="606F5ED1">
      <w:pPr>
        <w:autoSpaceDE w:val="0"/>
        <w:autoSpaceDN w:val="0"/>
        <w:adjustRightInd w:val="0"/>
        <w:spacing w:line="360" w:lineRule="auto"/>
        <w:ind w:left="0" w:leftChars="0" w:firstLine="0" w:firstLineChars="0"/>
        <w:jc w:val="left"/>
        <w:rPr>
          <w:rFonts w:hint="eastAsia"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w:t>
      </w:r>
      <w:r>
        <w:rPr>
          <w:rFonts w:hint="eastAsia"/>
          <w:b/>
          <w:color w:val="000000" w:themeColor="text1"/>
          <w:kern w:val="0"/>
          <w:sz w:val="28"/>
          <w:szCs w:val="28"/>
          <w:lang w:val="en-US" w:eastAsia="zh-CN"/>
          <w14:textFill>
            <w14:solidFill>
              <w14:schemeClr w14:val="tx1"/>
            </w14:solidFill>
          </w14:textFill>
        </w:rPr>
        <w:t>2</w:t>
      </w:r>
      <w:r>
        <w:rPr>
          <w:rFonts w:hAnsi="宋体"/>
          <w:b/>
          <w:color w:val="000000" w:themeColor="text1"/>
          <w:kern w:val="0"/>
          <w:sz w:val="28"/>
          <w:szCs w:val="28"/>
          <w14:textFill>
            <w14:solidFill>
              <w14:schemeClr w14:val="tx1"/>
            </w14:solidFill>
          </w14:textFill>
        </w:rPr>
        <w:t>-1</w:t>
      </w:r>
    </w:p>
    <w:p w14:paraId="3FF699EE">
      <w:pPr>
        <w:pStyle w:val="5"/>
        <w:tabs>
          <w:tab w:val="left" w:pos="432"/>
          <w:tab w:val="left" w:pos="720"/>
        </w:tabs>
        <w:spacing w:before="240" w:after="240" w:line="360" w:lineRule="auto"/>
        <w:ind w:firstLine="0"/>
        <w:jc w:val="center"/>
        <w:rPr>
          <w:rFonts w:ascii="宋体" w:eastAsia="宋体"/>
          <w:color w:val="000000" w:themeColor="text1"/>
          <w:szCs w:val="30"/>
          <w:lang w:val="en-US"/>
          <w14:textFill>
            <w14:solidFill>
              <w14:schemeClr w14:val="tx1"/>
            </w14:solidFill>
          </w14:textFill>
        </w:rPr>
      </w:pPr>
      <w:r>
        <w:rPr>
          <w:rFonts w:ascii="宋体" w:eastAsia="宋体"/>
          <w:color w:val="000000" w:themeColor="text1"/>
          <w:szCs w:val="30"/>
          <w:lang w:val="en-US"/>
          <w14:textFill>
            <w14:solidFill>
              <w14:schemeClr w14:val="tx1"/>
            </w14:solidFill>
          </w14:textFill>
        </w:rPr>
        <w:t>首次磋商报价一览表</w:t>
      </w:r>
    </w:p>
    <w:p w14:paraId="1D9FD091">
      <w:pPr>
        <w:autoSpaceDE w:val="0"/>
        <w:autoSpaceDN w:val="0"/>
        <w:adjustRightInd w:val="0"/>
        <w:spacing w:line="360" w:lineRule="auto"/>
        <w:jc w:val="left"/>
        <w:rPr>
          <w:rFonts w:hint="eastAsia" w:hAnsi="宋体"/>
          <w:bCs/>
          <w:color w:val="000000" w:themeColor="text1"/>
          <w:kern w:val="0"/>
          <w:szCs w:val="21"/>
          <w:u w:val="single"/>
          <w14:textFill>
            <w14:solidFill>
              <w14:schemeClr w14:val="tx1"/>
            </w14:solidFill>
          </w14:textFill>
        </w:rPr>
      </w:pPr>
      <w:r>
        <w:rPr>
          <w:rFonts w:hint="eastAsia" w:hAnsi="宋体"/>
          <w:bCs/>
          <w:color w:val="000000" w:themeColor="text1"/>
          <w:kern w:val="0"/>
          <w:szCs w:val="21"/>
          <w14:textFill>
            <w14:solidFill>
              <w14:schemeClr w14:val="tx1"/>
            </w14:solidFill>
          </w14:textFill>
        </w:rPr>
        <w:t>项目名称：</w:t>
      </w:r>
    </w:p>
    <w:p w14:paraId="61D50356">
      <w:pPr>
        <w:autoSpaceDE w:val="0"/>
        <w:autoSpaceDN w:val="0"/>
        <w:adjustRightInd w:val="0"/>
        <w:spacing w:line="360" w:lineRule="auto"/>
        <w:jc w:val="left"/>
        <w:rPr>
          <w:rFonts w:hint="eastAsia" w:hAnsi="宋体"/>
          <w:bCs/>
          <w:color w:val="000000" w:themeColor="text1"/>
          <w:kern w:val="0"/>
          <w:szCs w:val="21"/>
          <w:u w:val="single"/>
          <w14:textFill>
            <w14:solidFill>
              <w14:schemeClr w14:val="tx1"/>
            </w14:solidFill>
          </w14:textFill>
        </w:rPr>
      </w:pPr>
      <w:r>
        <w:rPr>
          <w:rFonts w:hint="eastAsia" w:hAnsi="宋体"/>
          <w:bCs/>
          <w:color w:val="000000" w:themeColor="text1"/>
          <w:kern w:val="0"/>
          <w:szCs w:val="21"/>
          <w14:textFill>
            <w14:solidFill>
              <w14:schemeClr w14:val="tx1"/>
            </w14:solidFill>
          </w14:textFill>
        </w:rPr>
        <w:t>项目编号：</w:t>
      </w:r>
    </w:p>
    <w:tbl>
      <w:tblPr>
        <w:tblStyle w:val="17"/>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7063"/>
      </w:tblGrid>
      <w:tr w14:paraId="4EA7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749" w:type="dxa"/>
            <w:tcBorders>
              <w:top w:val="single" w:color="auto" w:sz="4" w:space="0"/>
              <w:left w:val="single" w:color="auto" w:sz="4" w:space="0"/>
              <w:bottom w:val="single" w:color="auto" w:sz="4" w:space="0"/>
              <w:right w:val="single" w:color="auto" w:sz="4" w:space="0"/>
            </w:tcBorders>
            <w:vAlign w:val="center"/>
          </w:tcPr>
          <w:p w14:paraId="3FFB18C2">
            <w:pPr>
              <w:pStyle w:val="22"/>
              <w:bidi w:val="0"/>
              <w:jc w:val="center"/>
              <w:rPr>
                <w:rFonts w:hint="eastAsia"/>
              </w:rPr>
            </w:pPr>
            <w:r>
              <w:rPr>
                <w:rFonts w:hint="eastAsia"/>
              </w:rPr>
              <w:t>供应商名称</w:t>
            </w:r>
          </w:p>
        </w:tc>
        <w:tc>
          <w:tcPr>
            <w:tcW w:w="7063" w:type="dxa"/>
            <w:tcBorders>
              <w:top w:val="single" w:color="auto" w:sz="4" w:space="0"/>
              <w:left w:val="single" w:color="auto" w:sz="4" w:space="0"/>
              <w:bottom w:val="single" w:color="auto" w:sz="4" w:space="0"/>
              <w:right w:val="single" w:color="auto" w:sz="4" w:space="0"/>
            </w:tcBorders>
            <w:vAlign w:val="center"/>
          </w:tcPr>
          <w:p w14:paraId="3AE83297">
            <w:pPr>
              <w:pStyle w:val="22"/>
              <w:bidi w:val="0"/>
              <w:outlineLvl w:val="9"/>
              <w:rPr>
                <w:rFonts w:hint="eastAsia"/>
              </w:rPr>
            </w:pPr>
          </w:p>
        </w:tc>
      </w:tr>
      <w:tr w14:paraId="32F1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749" w:type="dxa"/>
            <w:tcBorders>
              <w:top w:val="single" w:color="auto" w:sz="4" w:space="0"/>
              <w:left w:val="single" w:color="auto" w:sz="4" w:space="0"/>
              <w:bottom w:val="single" w:color="auto" w:sz="4" w:space="0"/>
              <w:right w:val="single" w:color="auto" w:sz="4" w:space="0"/>
            </w:tcBorders>
            <w:vAlign w:val="center"/>
          </w:tcPr>
          <w:p w14:paraId="6CCE41B5">
            <w:pPr>
              <w:pStyle w:val="22"/>
              <w:bidi w:val="0"/>
              <w:jc w:val="center"/>
              <w:rPr>
                <w:rFonts w:hint="eastAsia"/>
              </w:rPr>
            </w:pPr>
            <w:r>
              <w:rPr>
                <w:rFonts w:hint="eastAsia"/>
              </w:rPr>
              <w:t>磋商</w:t>
            </w:r>
            <w:r>
              <w:t>报价（元）</w:t>
            </w:r>
          </w:p>
        </w:tc>
        <w:tc>
          <w:tcPr>
            <w:tcW w:w="7063" w:type="dxa"/>
            <w:tcBorders>
              <w:top w:val="single" w:color="auto" w:sz="4" w:space="0"/>
              <w:left w:val="single" w:color="auto" w:sz="4" w:space="0"/>
              <w:bottom w:val="single" w:color="auto" w:sz="4" w:space="0"/>
              <w:right w:val="single" w:color="auto" w:sz="4" w:space="0"/>
            </w:tcBorders>
            <w:vAlign w:val="center"/>
          </w:tcPr>
          <w:p w14:paraId="2D606E69">
            <w:pPr>
              <w:pStyle w:val="22"/>
              <w:bidi w:val="0"/>
              <w:rPr>
                <w:rFonts w:hint="eastAsia"/>
              </w:rPr>
            </w:pPr>
            <w:r>
              <w:rPr>
                <w:rFonts w:hint="eastAsia"/>
              </w:rPr>
              <w:t>小写：¥</w:t>
            </w:r>
            <w:r>
              <w:rPr>
                <w:rFonts w:hint="eastAsia"/>
                <w:u w:val="single"/>
              </w:rPr>
              <w:t xml:space="preserve"> </w:t>
            </w:r>
            <w:r>
              <w:rPr>
                <w:u w:val="single"/>
              </w:rPr>
              <w:t xml:space="preserve">                 </w:t>
            </w:r>
            <w:r>
              <w:rPr>
                <w:rFonts w:hint="eastAsia"/>
              </w:rPr>
              <w:t>元</w:t>
            </w:r>
          </w:p>
          <w:p w14:paraId="0596D9B9">
            <w:pPr>
              <w:pStyle w:val="22"/>
              <w:bidi w:val="0"/>
              <w:rPr>
                <w:rFonts w:hint="eastAsia"/>
              </w:rPr>
            </w:pPr>
            <w:r>
              <w:rPr>
                <w:rFonts w:hint="eastAsia"/>
              </w:rPr>
              <w:t xml:space="preserve">大写：人民币 </w:t>
            </w:r>
            <w:r>
              <w:t xml:space="preserve">               </w:t>
            </w:r>
          </w:p>
        </w:tc>
      </w:tr>
      <w:tr w14:paraId="737A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749" w:type="dxa"/>
            <w:tcBorders>
              <w:top w:val="single" w:color="auto" w:sz="4" w:space="0"/>
              <w:left w:val="single" w:color="auto" w:sz="4" w:space="0"/>
              <w:bottom w:val="single" w:color="auto" w:sz="4" w:space="0"/>
              <w:right w:val="single" w:color="auto" w:sz="4" w:space="0"/>
            </w:tcBorders>
            <w:vAlign w:val="center"/>
          </w:tcPr>
          <w:p w14:paraId="14EE362F">
            <w:pPr>
              <w:pStyle w:val="22"/>
              <w:bidi w:val="0"/>
              <w:jc w:val="center"/>
              <w:rPr>
                <w:rFonts w:hint="eastAsia"/>
              </w:rPr>
            </w:pPr>
            <w:r>
              <w:rPr>
                <w:rFonts w:hint="eastAsia"/>
                <w:lang w:val="en-US" w:eastAsia="zh-CN"/>
              </w:rPr>
              <w:t>合同履行期限</w:t>
            </w:r>
            <w:r>
              <w:rPr>
                <w:rFonts w:hint="eastAsia"/>
              </w:rPr>
              <w:t>承诺</w:t>
            </w:r>
          </w:p>
        </w:tc>
        <w:tc>
          <w:tcPr>
            <w:tcW w:w="7063" w:type="dxa"/>
            <w:tcBorders>
              <w:top w:val="single" w:color="auto" w:sz="4" w:space="0"/>
              <w:left w:val="single" w:color="auto" w:sz="4" w:space="0"/>
              <w:bottom w:val="single" w:color="auto" w:sz="4" w:space="0"/>
              <w:right w:val="single" w:color="auto" w:sz="4" w:space="0"/>
            </w:tcBorders>
            <w:vAlign w:val="center"/>
          </w:tcPr>
          <w:p w14:paraId="5BFB6DB0">
            <w:pPr>
              <w:pStyle w:val="22"/>
              <w:bidi w:val="0"/>
              <w:outlineLvl w:val="9"/>
              <w:rPr>
                <w:rFonts w:hint="eastAsia"/>
              </w:rPr>
            </w:pPr>
          </w:p>
        </w:tc>
      </w:tr>
      <w:tr w14:paraId="73CA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749" w:type="dxa"/>
            <w:tcBorders>
              <w:top w:val="single" w:color="auto" w:sz="4" w:space="0"/>
              <w:left w:val="single" w:color="auto" w:sz="4" w:space="0"/>
              <w:bottom w:val="single" w:color="auto" w:sz="4" w:space="0"/>
              <w:right w:val="single" w:color="auto" w:sz="4" w:space="0"/>
            </w:tcBorders>
            <w:vAlign w:val="center"/>
          </w:tcPr>
          <w:p w14:paraId="1F113CF9">
            <w:pPr>
              <w:pStyle w:val="22"/>
              <w:bidi w:val="0"/>
              <w:jc w:val="center"/>
              <w:rPr>
                <w:rFonts w:hint="eastAsia"/>
              </w:rPr>
            </w:pPr>
            <w:r>
              <w:rPr>
                <w:rFonts w:hint="eastAsia"/>
              </w:rPr>
              <w:t>质量标准承诺</w:t>
            </w:r>
          </w:p>
        </w:tc>
        <w:tc>
          <w:tcPr>
            <w:tcW w:w="7063" w:type="dxa"/>
            <w:tcBorders>
              <w:top w:val="single" w:color="auto" w:sz="4" w:space="0"/>
              <w:left w:val="single" w:color="auto" w:sz="4" w:space="0"/>
              <w:bottom w:val="single" w:color="auto" w:sz="4" w:space="0"/>
              <w:right w:val="single" w:color="auto" w:sz="4" w:space="0"/>
            </w:tcBorders>
            <w:vAlign w:val="center"/>
          </w:tcPr>
          <w:p w14:paraId="54FF6724">
            <w:pPr>
              <w:pStyle w:val="22"/>
              <w:bidi w:val="0"/>
              <w:outlineLvl w:val="9"/>
              <w:rPr>
                <w:rFonts w:hint="eastAsia"/>
              </w:rPr>
            </w:pPr>
          </w:p>
        </w:tc>
      </w:tr>
      <w:tr w14:paraId="6D2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749" w:type="dxa"/>
            <w:tcBorders>
              <w:top w:val="single" w:color="auto" w:sz="4" w:space="0"/>
              <w:left w:val="single" w:color="auto" w:sz="4" w:space="0"/>
              <w:bottom w:val="single" w:color="auto" w:sz="4" w:space="0"/>
              <w:right w:val="single" w:color="auto" w:sz="4" w:space="0"/>
            </w:tcBorders>
            <w:vAlign w:val="center"/>
          </w:tcPr>
          <w:p w14:paraId="7DF3FBC0">
            <w:pPr>
              <w:pStyle w:val="22"/>
              <w:bidi w:val="0"/>
              <w:jc w:val="center"/>
              <w:rPr>
                <w:rFonts w:hint="eastAsia"/>
              </w:rPr>
            </w:pPr>
            <w:r>
              <w:rPr>
                <w:rFonts w:hint="eastAsia"/>
                <w:color w:val="auto"/>
                <w:lang w:eastAsia="zh-CN"/>
              </w:rPr>
              <w:t>项目负责人</w:t>
            </w:r>
            <w:r>
              <w:rPr>
                <w:rFonts w:hint="eastAsia"/>
                <w:color w:val="auto"/>
              </w:rPr>
              <w:t>（姓名）</w:t>
            </w:r>
          </w:p>
        </w:tc>
        <w:tc>
          <w:tcPr>
            <w:tcW w:w="7063" w:type="dxa"/>
            <w:tcBorders>
              <w:top w:val="single" w:color="auto" w:sz="4" w:space="0"/>
              <w:left w:val="single" w:color="auto" w:sz="4" w:space="0"/>
              <w:bottom w:val="single" w:color="auto" w:sz="4" w:space="0"/>
              <w:right w:val="single" w:color="auto" w:sz="4" w:space="0"/>
            </w:tcBorders>
            <w:vAlign w:val="center"/>
          </w:tcPr>
          <w:p w14:paraId="2B206525">
            <w:pPr>
              <w:pStyle w:val="22"/>
              <w:bidi w:val="0"/>
              <w:outlineLvl w:val="9"/>
              <w:rPr>
                <w:rFonts w:hint="eastAsia"/>
              </w:rPr>
            </w:pPr>
          </w:p>
        </w:tc>
      </w:tr>
      <w:tr w14:paraId="642A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749" w:type="dxa"/>
            <w:tcBorders>
              <w:top w:val="single" w:color="auto" w:sz="4" w:space="0"/>
              <w:left w:val="single" w:color="auto" w:sz="4" w:space="0"/>
              <w:bottom w:val="single" w:color="auto" w:sz="4" w:space="0"/>
              <w:right w:val="single" w:color="auto" w:sz="4" w:space="0"/>
            </w:tcBorders>
            <w:vAlign w:val="center"/>
          </w:tcPr>
          <w:p w14:paraId="2C00A918">
            <w:pPr>
              <w:pStyle w:val="22"/>
              <w:bidi w:val="0"/>
              <w:jc w:val="center"/>
              <w:rPr>
                <w:rFonts w:hint="eastAsia"/>
              </w:rPr>
            </w:pPr>
            <w:r>
              <w:rPr>
                <w:rFonts w:hint="eastAsia"/>
              </w:rPr>
              <w:t>备 注</w:t>
            </w:r>
          </w:p>
        </w:tc>
        <w:tc>
          <w:tcPr>
            <w:tcW w:w="7063" w:type="dxa"/>
            <w:tcBorders>
              <w:top w:val="single" w:color="auto" w:sz="4" w:space="0"/>
              <w:left w:val="single" w:color="auto" w:sz="4" w:space="0"/>
              <w:bottom w:val="single" w:color="auto" w:sz="4" w:space="0"/>
              <w:right w:val="single" w:color="auto" w:sz="4" w:space="0"/>
            </w:tcBorders>
            <w:vAlign w:val="center"/>
          </w:tcPr>
          <w:p w14:paraId="2781C4F4">
            <w:pPr>
              <w:pStyle w:val="22"/>
              <w:bidi w:val="0"/>
              <w:rPr>
                <w:rFonts w:hint="eastAsia"/>
              </w:rPr>
            </w:pPr>
          </w:p>
        </w:tc>
      </w:tr>
    </w:tbl>
    <w:p w14:paraId="719300C0">
      <w:pPr>
        <w:spacing w:before="93" w:beforeLines="30" w:line="480" w:lineRule="auto"/>
        <w:ind w:firstLine="0"/>
        <w:rPr>
          <w:rFonts w:hint="eastAsia" w:ascii="宋体" w:hAnsi="宋体" w:eastAsia="宋体"/>
          <w:color w:val="000000" w:themeColor="text1"/>
          <w:szCs w:val="21"/>
          <w14:textFill>
            <w14:solidFill>
              <w14:schemeClr w14:val="tx1"/>
            </w14:solidFill>
          </w14:textFill>
        </w:rPr>
      </w:pPr>
    </w:p>
    <w:p w14:paraId="403D4A56">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0" w:firstLine="428"/>
        <w:jc w:val="both"/>
        <w:textAlignment w:val="auto"/>
        <w:outlineLvl w:val="9"/>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lang w:val="en-US" w:eastAsia="zh-CN"/>
        </w:rPr>
        <w:t>供应商</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 xml:space="preserve"> </w:t>
      </w:r>
      <w:r>
        <w:rPr>
          <w:rFonts w:hint="eastAsia" w:ascii="Times New Roman" w:hAnsi="Times New Roman" w:cs="Times New Roman"/>
          <w:b/>
          <w:bCs/>
          <w:color w:val="auto"/>
          <w:szCs w:val="21"/>
          <w:highlight w:val="none"/>
          <w:u w:val="single"/>
          <w:lang w:val="en-US" w:eastAsia="zh-CN"/>
        </w:rPr>
        <w:t xml:space="preserve">                     </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电子签</w:t>
      </w:r>
      <w:r>
        <w:rPr>
          <w:rFonts w:hint="eastAsia" w:ascii="Times New Roman" w:hAnsi="Times New Roman" w:cs="Times New Roman"/>
          <w:b/>
          <w:bCs/>
          <w:color w:val="auto"/>
          <w:szCs w:val="21"/>
          <w:highlight w:val="none"/>
        </w:rPr>
        <w:t>章</w:t>
      </w:r>
      <w:r>
        <w:rPr>
          <w:rFonts w:ascii="Times New Roman" w:hAnsi="Times New Roman" w:cs="Times New Roman"/>
          <w:b/>
          <w:bCs/>
          <w:color w:val="auto"/>
          <w:szCs w:val="21"/>
          <w:highlight w:val="none"/>
        </w:rPr>
        <w:t>）</w:t>
      </w:r>
    </w:p>
    <w:p w14:paraId="6237D709">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0" w:firstLine="428"/>
        <w:jc w:val="both"/>
        <w:textAlignment w:val="auto"/>
        <w:outlineLvl w:val="9"/>
        <w:rPr>
          <w:rFonts w:ascii="Times New Roman" w:hAnsi="Times New Roman" w:cs="Times New Roman"/>
          <w:b/>
          <w:bCs/>
          <w:color w:val="auto"/>
          <w:szCs w:val="21"/>
          <w:highlight w:val="none"/>
          <w:u w:val="single"/>
        </w:rPr>
      </w:pPr>
      <w:r>
        <w:rPr>
          <w:rFonts w:ascii="Times New Roman" w:hAnsi="Times New Roman" w:cs="Times New Roman"/>
          <w:b/>
          <w:bCs/>
          <w:color w:val="auto"/>
          <w:szCs w:val="21"/>
          <w:highlight w:val="none"/>
        </w:rPr>
        <w:t>法定代表人</w:t>
      </w:r>
      <w:r>
        <w:rPr>
          <w:rFonts w:hint="eastAsia" w:ascii="Times New Roman" w:hAnsi="Times New Roman" w:cs="Times New Roman"/>
          <w:b/>
          <w:bCs/>
          <w:color w:val="auto"/>
          <w:szCs w:val="21"/>
          <w:highlight w:val="none"/>
        </w:rPr>
        <w:t>或委托代理人</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u w:val="single"/>
          <w:lang w:val="en-US" w:eastAsia="zh-CN"/>
        </w:rPr>
        <w:t xml:space="preserve">           </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rPr>
        <w:t>电子</w:t>
      </w:r>
      <w:r>
        <w:rPr>
          <w:rFonts w:ascii="Times New Roman" w:hAnsi="Times New Roman" w:cs="Times New Roman"/>
          <w:b/>
          <w:bCs/>
          <w:color w:val="auto"/>
          <w:szCs w:val="21"/>
          <w:highlight w:val="none"/>
        </w:rPr>
        <w:t>签名或</w:t>
      </w:r>
      <w:r>
        <w:rPr>
          <w:rFonts w:hint="eastAsia" w:ascii="Times New Roman" w:hAnsi="Times New Roman" w:cs="Times New Roman"/>
          <w:b/>
          <w:bCs/>
          <w:color w:val="auto"/>
          <w:szCs w:val="21"/>
          <w:highlight w:val="none"/>
        </w:rPr>
        <w:t>电子</w:t>
      </w:r>
      <w:r>
        <w:rPr>
          <w:rFonts w:ascii="Times New Roman" w:hAnsi="Times New Roman" w:cs="Times New Roman"/>
          <w:b/>
          <w:bCs/>
          <w:color w:val="auto"/>
          <w:szCs w:val="21"/>
          <w:highlight w:val="none"/>
        </w:rPr>
        <w:t>签章）</w:t>
      </w:r>
    </w:p>
    <w:p w14:paraId="27B1744B">
      <w:pPr>
        <w:keepNext w:val="0"/>
        <w:keepLines w:val="0"/>
        <w:pageBreakBefore w:val="0"/>
        <w:widowControl w:val="0"/>
        <w:kinsoku/>
        <w:wordWrap/>
        <w:overflowPunct/>
        <w:topLinePunct w:val="0"/>
        <w:autoSpaceDE/>
        <w:autoSpaceDN/>
        <w:bidi w:val="0"/>
        <w:adjustRightInd/>
        <w:snapToGrid/>
        <w:spacing w:line="480" w:lineRule="auto"/>
        <w:jc w:val="both"/>
        <w:textAlignment w:val="auto"/>
      </w:pPr>
      <w:r>
        <w:rPr>
          <w:rFonts w:ascii="Times New Roman" w:hAnsi="Times New Roman" w:cs="Times New Roman"/>
          <w:b/>
          <w:bCs/>
          <w:color w:val="auto"/>
          <w:szCs w:val="21"/>
          <w:highlight w:val="none"/>
        </w:rPr>
        <w:t>日</w:t>
      </w:r>
      <w:r>
        <w:rPr>
          <w:rFonts w:hint="eastAsia" w:ascii="Times New Roman" w:hAnsi="Times New Roman" w:cs="Times New Roman"/>
          <w:b/>
          <w:bCs/>
          <w:color w:val="auto"/>
          <w:szCs w:val="21"/>
          <w:highlight w:val="none"/>
        </w:rPr>
        <w:t xml:space="preserve">    </w:t>
      </w:r>
      <w:r>
        <w:rPr>
          <w:rFonts w:ascii="Times New Roman" w:hAnsi="Times New Roman" w:cs="Times New Roman"/>
          <w:b/>
          <w:bCs/>
          <w:color w:val="auto"/>
          <w:szCs w:val="21"/>
          <w:highlight w:val="none"/>
        </w:rPr>
        <w:t>期：</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年</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月</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日</w:t>
      </w:r>
    </w:p>
    <w:p w14:paraId="06A3A421">
      <w:pPr>
        <w:rPr>
          <w:color w:val="000000" w:themeColor="text1"/>
          <w14:textFill>
            <w14:solidFill>
              <w14:schemeClr w14:val="tx1"/>
            </w14:solidFill>
          </w14:textFill>
        </w:rPr>
      </w:pPr>
    </w:p>
    <w:p w14:paraId="30705B7D">
      <w:pPr>
        <w:rPr>
          <w:color w:val="000000" w:themeColor="text1"/>
          <w14:textFill>
            <w14:solidFill>
              <w14:schemeClr w14:val="tx1"/>
            </w14:solidFill>
          </w14:textFill>
        </w:rPr>
      </w:pPr>
    </w:p>
    <w:p w14:paraId="11DE5642">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7C281B2">
      <w:pPr>
        <w:pStyle w:val="4"/>
        <w:bidi w:val="0"/>
        <w:jc w:val="center"/>
        <w:rPr>
          <w:rFonts w:hint="default"/>
          <w:lang w:val="en-US" w:eastAsia="zh-CN"/>
        </w:rPr>
      </w:pPr>
      <w:r>
        <w:rPr>
          <w:rFonts w:hint="eastAsia"/>
          <w:lang w:val="en-US" w:eastAsia="zh-CN"/>
        </w:rPr>
        <w:t>三、商务技术文件部分</w:t>
      </w:r>
    </w:p>
    <w:p w14:paraId="1EB661F7">
      <w:pPr>
        <w:autoSpaceDE w:val="0"/>
        <w:autoSpaceDN w:val="0"/>
        <w:adjustRightInd w:val="0"/>
        <w:spacing w:line="360" w:lineRule="auto"/>
        <w:ind w:left="0" w:leftChars="0" w:firstLine="0" w:firstLineChars="0"/>
        <w:jc w:val="left"/>
        <w:rPr>
          <w:rFonts w:hint="eastAsia" w:hAnsi="宋体" w:eastAsia="宋体"/>
          <w:b/>
          <w:color w:val="000000" w:themeColor="text1"/>
          <w:kern w:val="0"/>
          <w:sz w:val="28"/>
          <w:szCs w:val="28"/>
          <w:lang w:eastAsia="zh-CN"/>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格式</w:t>
      </w:r>
      <w:r>
        <w:rPr>
          <w:rFonts w:hint="eastAsia" w:hAnsi="宋体"/>
          <w:b/>
          <w:color w:val="000000" w:themeColor="text1"/>
          <w:kern w:val="0"/>
          <w:sz w:val="28"/>
          <w:szCs w:val="28"/>
          <w:lang w:val="en-US" w:eastAsia="zh-CN"/>
          <w14:textFill>
            <w14:solidFill>
              <w14:schemeClr w14:val="tx1"/>
            </w14:solidFill>
          </w14:textFill>
        </w:rPr>
        <w:t>3</w:t>
      </w:r>
      <w:r>
        <w:rPr>
          <w:rFonts w:hint="eastAsia" w:hAnsi="宋体"/>
          <w:b/>
          <w:color w:val="000000" w:themeColor="text1"/>
          <w:kern w:val="0"/>
          <w:sz w:val="28"/>
          <w:szCs w:val="28"/>
          <w14:textFill>
            <w14:solidFill>
              <w14:schemeClr w14:val="tx1"/>
            </w14:solidFill>
          </w14:textFill>
        </w:rPr>
        <w:t>-</w:t>
      </w:r>
      <w:r>
        <w:rPr>
          <w:rFonts w:hint="eastAsia" w:hAnsi="宋体"/>
          <w:b/>
          <w:color w:val="000000" w:themeColor="text1"/>
          <w:kern w:val="0"/>
          <w:sz w:val="28"/>
          <w:szCs w:val="28"/>
          <w:lang w:val="en-US" w:eastAsia="zh-CN"/>
          <w14:textFill>
            <w14:solidFill>
              <w14:schemeClr w14:val="tx1"/>
            </w14:solidFill>
          </w14:textFill>
        </w:rPr>
        <w:t>1</w:t>
      </w:r>
    </w:p>
    <w:p w14:paraId="4C4F2D02">
      <w:pPr>
        <w:pStyle w:val="5"/>
        <w:tabs>
          <w:tab w:val="left" w:pos="432"/>
          <w:tab w:val="left" w:pos="720"/>
        </w:tabs>
        <w:spacing w:before="240" w:after="240" w:line="360" w:lineRule="auto"/>
        <w:ind w:firstLine="0"/>
        <w:jc w:val="center"/>
        <w:rPr>
          <w:rFonts w:ascii="宋体" w:eastAsia="宋体"/>
          <w:color w:val="000000" w:themeColor="text1"/>
          <w:szCs w:val="30"/>
          <w:lang w:val="en-US"/>
          <w14:textFill>
            <w14:solidFill>
              <w14:schemeClr w14:val="tx1"/>
            </w14:solidFill>
          </w14:textFill>
        </w:rPr>
      </w:pPr>
      <w:bookmarkStart w:id="271" w:name="_Toc125054719"/>
      <w:bookmarkStart w:id="272" w:name="_Toc199949746"/>
      <w:r>
        <w:rPr>
          <w:rFonts w:ascii="宋体" w:eastAsia="宋体"/>
          <w:color w:val="000000" w:themeColor="text1"/>
          <w:szCs w:val="30"/>
          <w:lang w:val="en-US"/>
          <w14:textFill>
            <w14:solidFill>
              <w14:schemeClr w14:val="tx1"/>
            </w14:solidFill>
          </w14:textFill>
        </w:rPr>
        <w:t>磋商申请函</w:t>
      </w:r>
      <w:bookmarkEnd w:id="271"/>
      <w:bookmarkEnd w:id="272"/>
    </w:p>
    <w:p w14:paraId="6CFFEA33">
      <w:pPr>
        <w:spacing w:line="300" w:lineRule="auto"/>
        <w:ind w:left="0" w:leftChars="0" w:firstLine="0" w:firstLineChars="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致：</w:t>
      </w:r>
      <w:r>
        <w:rPr>
          <w:rFonts w:hint="eastAsia" w:hAnsi="宋体"/>
          <w:color w:val="000000" w:themeColor="text1"/>
          <w:szCs w:val="21"/>
          <w:u w:val="single"/>
          <w14:textFill>
            <w14:solidFill>
              <w14:schemeClr w14:val="tx1"/>
            </w14:solidFill>
          </w14:textFill>
        </w:rPr>
        <w:t>（采购人名称）</w:t>
      </w:r>
    </w:p>
    <w:p w14:paraId="2F1444F2">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我方仔细研究了</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（项目名称）（项目编号：</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）竞争性磋商文件的全部内容，正式授权下述签字人</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（姓名和职务）全权代表供应商</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（供应商全称）</w:t>
      </w:r>
      <w:r>
        <w:rPr>
          <w:rFonts w:hAnsi="宋体"/>
          <w:color w:val="000000" w:themeColor="text1"/>
          <w:szCs w:val="21"/>
          <w14:textFill>
            <w14:solidFill>
              <w14:schemeClr w14:val="tx1"/>
            </w14:solidFill>
          </w14:textFill>
        </w:rPr>
        <w:t>参加</w:t>
      </w:r>
      <w:r>
        <w:rPr>
          <w:rFonts w:hint="eastAsia" w:hAnsi="宋体"/>
          <w:color w:val="000000" w:themeColor="text1"/>
          <w:szCs w:val="21"/>
          <w14:textFill>
            <w14:solidFill>
              <w14:schemeClr w14:val="tx1"/>
            </w14:solidFill>
          </w14:textFill>
        </w:rPr>
        <w:t>磋商</w:t>
      </w:r>
      <w:r>
        <w:rPr>
          <w:rFonts w:hAnsi="宋体"/>
          <w:color w:val="000000" w:themeColor="text1"/>
          <w:szCs w:val="21"/>
          <w14:textFill>
            <w14:solidFill>
              <w14:schemeClr w14:val="tx1"/>
            </w14:solidFill>
          </w14:textFill>
        </w:rPr>
        <w:t>，并</w:t>
      </w:r>
      <w:r>
        <w:rPr>
          <w:rFonts w:hint="eastAsia" w:hAnsi="宋体"/>
          <w:color w:val="000000" w:themeColor="text1"/>
          <w:szCs w:val="21"/>
          <w14:textFill>
            <w14:solidFill>
              <w14:schemeClr w14:val="tx1"/>
            </w14:solidFill>
          </w14:textFill>
        </w:rPr>
        <w:t>提交响应文件</w:t>
      </w:r>
      <w:r>
        <w:rPr>
          <w:rFonts w:hAnsi="宋体"/>
          <w:color w:val="000000" w:themeColor="text1"/>
          <w:szCs w:val="21"/>
          <w14:textFill>
            <w14:solidFill>
              <w14:schemeClr w14:val="tx1"/>
            </w14:solidFill>
          </w14:textFill>
        </w:rPr>
        <w:t>。</w:t>
      </w:r>
    </w:p>
    <w:p w14:paraId="2EF4452B">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据此函，签字人兹宣布同意如下：</w:t>
      </w:r>
    </w:p>
    <w:p w14:paraId="10FAE356">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按本竞争性磋商文件及采购需求进行报价，并认可</w:t>
      </w:r>
      <w:r>
        <w:rPr>
          <w:rFonts w:hint="eastAsia" w:hAnsi="宋体"/>
          <w:color w:val="000000" w:themeColor="text1"/>
          <w:kern w:val="0"/>
          <w:szCs w:val="21"/>
          <w14:textFill>
            <w14:solidFill>
              <w14:schemeClr w14:val="tx1"/>
            </w14:solidFill>
          </w14:textFill>
        </w:rPr>
        <w:t>我方授权人在</w:t>
      </w:r>
      <w:r>
        <w:rPr>
          <w:rFonts w:hint="eastAsia" w:hAnsi="宋体"/>
          <w:color w:val="000000" w:themeColor="text1"/>
          <w:kern w:val="0"/>
          <w:szCs w:val="21"/>
          <w:u w:val="single"/>
          <w14:textFill>
            <w14:solidFill>
              <w14:schemeClr w14:val="tx1"/>
            </w14:solidFill>
          </w14:textFill>
        </w:rPr>
        <w:t>磋商现场填报的最后磋商报价</w:t>
      </w:r>
      <w:r>
        <w:rPr>
          <w:rFonts w:hint="eastAsia" w:hAnsi="宋体"/>
          <w:color w:val="000000" w:themeColor="text1"/>
          <w:kern w:val="0"/>
          <w:szCs w:val="21"/>
          <w14:textFill>
            <w14:solidFill>
              <w14:schemeClr w14:val="tx1"/>
            </w14:solidFill>
          </w14:textFill>
        </w:rPr>
        <w:t>为成交价</w:t>
      </w:r>
      <w:r>
        <w:rPr>
          <w:rFonts w:hint="eastAsia" w:hAnsi="宋体"/>
          <w:color w:val="000000" w:themeColor="text1"/>
          <w:szCs w:val="21"/>
          <w14:textFill>
            <w14:solidFill>
              <w14:schemeClr w14:val="tx1"/>
            </w14:solidFill>
          </w14:textFill>
        </w:rPr>
        <w:t>，并承诺在合同约定的期限内完成全部合同工作。</w:t>
      </w:r>
    </w:p>
    <w:p w14:paraId="0D431813">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我方已</w:t>
      </w:r>
      <w:r>
        <w:rPr>
          <w:rFonts w:hAnsi="宋体"/>
          <w:color w:val="000000" w:themeColor="text1"/>
          <w:szCs w:val="21"/>
          <w14:textFill>
            <w14:solidFill>
              <w14:schemeClr w14:val="tx1"/>
            </w14:solidFill>
          </w14:textFill>
        </w:rPr>
        <w:t>详细审查</w:t>
      </w:r>
      <w:r>
        <w:rPr>
          <w:rFonts w:hint="eastAsia" w:hAnsi="宋体"/>
          <w:color w:val="000000" w:themeColor="text1"/>
          <w:szCs w:val="21"/>
          <w14:textFill>
            <w14:solidFill>
              <w14:schemeClr w14:val="tx1"/>
            </w14:solidFill>
          </w14:textFill>
        </w:rPr>
        <w:t>本竞争性磋商</w:t>
      </w:r>
      <w:r>
        <w:rPr>
          <w:rFonts w:hAnsi="宋体"/>
          <w:color w:val="000000" w:themeColor="text1"/>
          <w:szCs w:val="21"/>
          <w14:textFill>
            <w14:solidFill>
              <w14:schemeClr w14:val="tx1"/>
            </w14:solidFill>
          </w14:textFill>
        </w:rPr>
        <w:t>文件</w:t>
      </w:r>
      <w:r>
        <w:rPr>
          <w:rFonts w:hint="eastAsia" w:hAnsi="宋体"/>
          <w:color w:val="000000" w:themeColor="text1"/>
          <w:szCs w:val="21"/>
          <w14:textFill>
            <w14:solidFill>
              <w14:schemeClr w14:val="tx1"/>
            </w14:solidFill>
          </w14:textFill>
        </w:rPr>
        <w:t>的全部内容</w:t>
      </w:r>
      <w:r>
        <w:rPr>
          <w:rFonts w:hAnsi="宋体"/>
          <w:color w:val="000000" w:themeColor="text1"/>
          <w:szCs w:val="21"/>
          <w14:textFill>
            <w14:solidFill>
              <w14:schemeClr w14:val="tx1"/>
            </w14:solidFill>
          </w14:textFill>
        </w:rPr>
        <w:t>，包括</w:t>
      </w:r>
      <w:r>
        <w:rPr>
          <w:rFonts w:hint="eastAsia" w:hAnsi="宋体"/>
          <w:color w:val="000000" w:themeColor="text1"/>
          <w:szCs w:val="21"/>
          <w14:textFill>
            <w14:solidFill>
              <w14:schemeClr w14:val="tx1"/>
            </w14:solidFill>
          </w14:textFill>
        </w:rPr>
        <w:t>澄清、修改</w:t>
      </w:r>
      <w:r>
        <w:rPr>
          <w:rFonts w:hAnsi="宋体"/>
          <w:color w:val="000000" w:themeColor="text1"/>
          <w:szCs w:val="21"/>
          <w14:textFill>
            <w14:solidFill>
              <w14:schemeClr w14:val="tx1"/>
            </w14:solidFill>
          </w14:textFill>
        </w:rPr>
        <w:t>文件</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如果有</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。我</w:t>
      </w:r>
      <w:r>
        <w:rPr>
          <w:rFonts w:hint="eastAsia" w:hAnsi="宋体"/>
          <w:color w:val="000000" w:themeColor="text1"/>
          <w:szCs w:val="21"/>
          <w14:textFill>
            <w14:solidFill>
              <w14:schemeClr w14:val="tx1"/>
            </w14:solidFill>
          </w14:textFill>
        </w:rPr>
        <w:t>方</w:t>
      </w:r>
      <w:r>
        <w:rPr>
          <w:rFonts w:hAnsi="宋体"/>
          <w:color w:val="000000" w:themeColor="text1"/>
          <w:szCs w:val="21"/>
          <w14:textFill>
            <w14:solidFill>
              <w14:schemeClr w14:val="tx1"/>
            </w14:solidFill>
          </w14:textFill>
        </w:rPr>
        <w:t>完全理解</w:t>
      </w:r>
      <w:r>
        <w:rPr>
          <w:rFonts w:hint="eastAsia" w:hAnsi="宋体"/>
          <w:color w:val="000000" w:themeColor="text1"/>
          <w:szCs w:val="21"/>
          <w14:textFill>
            <w14:solidFill>
              <w14:schemeClr w14:val="tx1"/>
            </w14:solidFill>
          </w14:textFill>
        </w:rPr>
        <w:t>本竞争性磋商文件相关要求，</w:t>
      </w:r>
      <w:r>
        <w:rPr>
          <w:rFonts w:hAnsi="宋体"/>
          <w:color w:val="000000" w:themeColor="text1"/>
          <w:szCs w:val="21"/>
          <w14:textFill>
            <w14:solidFill>
              <w14:schemeClr w14:val="tx1"/>
            </w14:solidFill>
          </w14:textFill>
        </w:rPr>
        <w:t>并</w:t>
      </w:r>
      <w:r>
        <w:rPr>
          <w:rFonts w:hint="eastAsia" w:hAnsi="宋体"/>
          <w:color w:val="000000" w:themeColor="text1"/>
          <w:szCs w:val="21"/>
          <w14:textFill>
            <w14:solidFill>
              <w14:schemeClr w14:val="tx1"/>
            </w14:solidFill>
          </w14:textFill>
        </w:rPr>
        <w:t>承担</w:t>
      </w:r>
      <w:r>
        <w:rPr>
          <w:rFonts w:hAnsi="宋体"/>
          <w:color w:val="000000" w:themeColor="text1"/>
          <w:szCs w:val="21"/>
          <w14:textFill>
            <w14:solidFill>
              <w14:schemeClr w14:val="tx1"/>
            </w14:solidFill>
          </w14:textFill>
        </w:rPr>
        <w:t>对</w:t>
      </w:r>
      <w:r>
        <w:rPr>
          <w:rFonts w:hint="eastAsia" w:hAnsi="宋体"/>
          <w:color w:val="000000" w:themeColor="text1"/>
          <w:szCs w:val="21"/>
          <w14:textFill>
            <w14:solidFill>
              <w14:schemeClr w14:val="tx1"/>
            </w14:solidFill>
          </w14:textFill>
        </w:rPr>
        <w:t>本竞争性磋商文件</w:t>
      </w:r>
      <w:r>
        <w:rPr>
          <w:rFonts w:hAnsi="宋体"/>
          <w:color w:val="000000" w:themeColor="text1"/>
          <w:szCs w:val="21"/>
          <w14:textFill>
            <w14:solidFill>
              <w14:schemeClr w14:val="tx1"/>
            </w14:solidFill>
          </w14:textFill>
        </w:rPr>
        <w:t>有不明及误解的</w:t>
      </w:r>
      <w:r>
        <w:rPr>
          <w:rFonts w:hint="eastAsia" w:hAnsi="宋体"/>
          <w:color w:val="000000" w:themeColor="text1"/>
          <w:szCs w:val="21"/>
          <w14:textFill>
            <w14:solidFill>
              <w14:schemeClr w14:val="tx1"/>
            </w14:solidFill>
          </w14:textFill>
        </w:rPr>
        <w:t>后果</w:t>
      </w:r>
      <w:r>
        <w:rPr>
          <w:rFonts w:hAnsi="宋体"/>
          <w:color w:val="000000" w:themeColor="text1"/>
          <w:szCs w:val="21"/>
          <w14:textFill>
            <w14:solidFill>
              <w14:schemeClr w14:val="tx1"/>
            </w14:solidFill>
          </w14:textFill>
        </w:rPr>
        <w:t>。</w:t>
      </w:r>
    </w:p>
    <w:p w14:paraId="0B0015E2">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在供应商须知规定的提交日期起遵循本竞争性磋商文件，并在供应商须知第17.1条规定的响应文件有效期届满之日前均具有约束力。</w:t>
      </w:r>
    </w:p>
    <w:p w14:paraId="3CFECD83">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．同意</w:t>
      </w:r>
      <w:r>
        <w:rPr>
          <w:rFonts w:hint="eastAsia" w:hAnsi="宋体"/>
          <w:color w:val="000000" w:themeColor="text1"/>
          <w:szCs w:val="21"/>
          <w14:textFill>
            <w14:solidFill>
              <w14:schemeClr w14:val="tx1"/>
            </w14:solidFill>
          </w14:textFill>
        </w:rPr>
        <w:t>本竞争性磋商文件</w:t>
      </w:r>
      <w:r>
        <w:rPr>
          <w:rFonts w:hAnsi="宋体"/>
          <w:color w:val="000000" w:themeColor="text1"/>
          <w:szCs w:val="21"/>
          <w14:textFill>
            <w14:solidFill>
              <w14:schemeClr w14:val="tx1"/>
            </w14:solidFill>
          </w14:textFill>
        </w:rPr>
        <w:t>中关于</w:t>
      </w:r>
      <w:r>
        <w:rPr>
          <w:rFonts w:hint="eastAsia" w:hAnsi="宋体"/>
          <w:color w:val="000000" w:themeColor="text1"/>
          <w:szCs w:val="21"/>
          <w14:textFill>
            <w14:solidFill>
              <w14:schemeClr w14:val="tx1"/>
            </w14:solidFill>
          </w14:textFill>
        </w:rPr>
        <w:t>没收磋商</w:t>
      </w:r>
      <w:r>
        <w:rPr>
          <w:rFonts w:hAnsi="宋体"/>
          <w:color w:val="000000" w:themeColor="text1"/>
          <w:szCs w:val="21"/>
          <w14:textFill>
            <w14:solidFill>
              <w14:schemeClr w14:val="tx1"/>
            </w14:solidFill>
          </w14:textFill>
        </w:rPr>
        <w:t>保证金的规定。</w:t>
      </w:r>
    </w:p>
    <w:p w14:paraId="6A6512AD">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5</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同意应贵方要求提供与本项目有关的任何数据或资料</w:t>
      </w:r>
      <w:r>
        <w:rPr>
          <w:rFonts w:hAnsi="宋体"/>
          <w:color w:val="000000" w:themeColor="text1"/>
          <w:szCs w:val="21"/>
          <w14:textFill>
            <w14:solidFill>
              <w14:schemeClr w14:val="tx1"/>
            </w14:solidFill>
          </w14:textFill>
        </w:rPr>
        <w:t>，并保证数据和资料的完整性和真实性。</w:t>
      </w:r>
    </w:p>
    <w:p w14:paraId="57D03571">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6</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我方承诺我们的培训服务费不低于本项目预算金额。</w:t>
      </w:r>
    </w:p>
    <w:p w14:paraId="505521C1">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7</w:t>
      </w:r>
      <w:r>
        <w:rPr>
          <w:rFonts w:hAnsi="宋体"/>
          <w:color w:val="000000" w:themeColor="text1"/>
          <w:szCs w:val="21"/>
          <w14:textFill>
            <w14:solidFill>
              <w14:schemeClr w14:val="tx1"/>
            </w14:solidFill>
          </w14:textFill>
        </w:rPr>
        <w:t>．如我方</w:t>
      </w:r>
      <w:r>
        <w:rPr>
          <w:rFonts w:hint="eastAsia" w:hAnsi="宋体"/>
          <w:color w:val="000000" w:themeColor="text1"/>
          <w:szCs w:val="21"/>
          <w14:textFill>
            <w14:solidFill>
              <w14:schemeClr w14:val="tx1"/>
            </w14:solidFill>
          </w14:textFill>
        </w:rPr>
        <w:t>成交</w:t>
      </w:r>
      <w:r>
        <w:rPr>
          <w:rFonts w:hAnsi="宋体"/>
          <w:color w:val="000000" w:themeColor="text1"/>
          <w:szCs w:val="21"/>
          <w14:textFill>
            <w14:solidFill>
              <w14:schemeClr w14:val="tx1"/>
            </w14:solidFill>
          </w14:textFill>
        </w:rPr>
        <w:t>：</w:t>
      </w:r>
    </w:p>
    <w:p w14:paraId="30C561FD">
      <w:pPr>
        <w:spacing w:line="300" w:lineRule="auto"/>
        <w:ind w:firstLine="420" w:firstLineChars="200"/>
        <w:jc w:val="left"/>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（1）我方承诺在收到</w:t>
      </w:r>
      <w:r>
        <w:rPr>
          <w:rFonts w:hint="eastAsia" w:hAnsi="宋体"/>
          <w:color w:val="000000" w:themeColor="text1"/>
          <w:szCs w:val="21"/>
          <w14:textFill>
            <w14:solidFill>
              <w14:schemeClr w14:val="tx1"/>
            </w14:solidFill>
          </w14:textFill>
        </w:rPr>
        <w:t>成交</w:t>
      </w:r>
      <w:r>
        <w:rPr>
          <w:rFonts w:hAnsi="宋体"/>
          <w:color w:val="000000" w:themeColor="text1"/>
          <w:szCs w:val="21"/>
          <w14:textFill>
            <w14:solidFill>
              <w14:schemeClr w14:val="tx1"/>
            </w14:solidFill>
          </w14:textFill>
        </w:rPr>
        <w:t>通知书后，在</w:t>
      </w:r>
      <w:r>
        <w:rPr>
          <w:rFonts w:hint="eastAsia" w:hAnsi="宋体"/>
          <w:color w:val="000000" w:themeColor="text1"/>
          <w:szCs w:val="21"/>
          <w14:textFill>
            <w14:solidFill>
              <w14:schemeClr w14:val="tx1"/>
            </w14:solidFill>
          </w14:textFill>
        </w:rPr>
        <w:t>成交</w:t>
      </w:r>
      <w:r>
        <w:rPr>
          <w:rFonts w:hAnsi="宋体"/>
          <w:color w:val="000000" w:themeColor="text1"/>
          <w:szCs w:val="21"/>
          <w14:textFill>
            <w14:solidFill>
              <w14:schemeClr w14:val="tx1"/>
            </w14:solidFill>
          </w14:textFill>
        </w:rPr>
        <w:t>通知书规定的期限内与你方签订合同</w:t>
      </w:r>
      <w:r>
        <w:rPr>
          <w:rFonts w:hint="eastAsia" w:hAnsi="宋体"/>
          <w:color w:val="000000" w:themeColor="text1"/>
          <w:szCs w:val="21"/>
          <w14:textFill>
            <w14:solidFill>
              <w14:schemeClr w14:val="tx1"/>
            </w14:solidFill>
          </w14:textFill>
        </w:rPr>
        <w:t>，并</w:t>
      </w:r>
      <w:r>
        <w:rPr>
          <w:rFonts w:hAnsi="宋体"/>
          <w:color w:val="000000" w:themeColor="text1"/>
          <w:szCs w:val="21"/>
          <w14:textFill>
            <w14:solidFill>
              <w14:schemeClr w14:val="tx1"/>
            </w14:solidFill>
          </w14:textFill>
        </w:rPr>
        <w:t>履行</w:t>
      </w:r>
      <w:r>
        <w:rPr>
          <w:rFonts w:hint="eastAsia" w:hAnsi="宋体"/>
          <w:color w:val="000000" w:themeColor="text1"/>
          <w:szCs w:val="21"/>
          <w14:textFill>
            <w14:solidFill>
              <w14:schemeClr w14:val="tx1"/>
            </w14:solidFill>
          </w14:textFill>
        </w:rPr>
        <w:t>相应的</w:t>
      </w:r>
      <w:r>
        <w:rPr>
          <w:rFonts w:hAnsi="宋体"/>
          <w:color w:val="000000" w:themeColor="text1"/>
          <w:szCs w:val="21"/>
          <w14:textFill>
            <w14:solidFill>
              <w14:schemeClr w14:val="tx1"/>
            </w14:solidFill>
          </w14:textFill>
        </w:rPr>
        <w:t>合同责任和义务。</w:t>
      </w:r>
    </w:p>
    <w:p w14:paraId="19607EE2">
      <w:pPr>
        <w:spacing w:line="300" w:lineRule="auto"/>
        <w:ind w:firstLine="420" w:firstLineChars="200"/>
        <w:jc w:val="left"/>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（2）我方承诺按照</w:t>
      </w:r>
      <w:r>
        <w:rPr>
          <w:rFonts w:hint="eastAsia" w:hAnsi="宋体"/>
          <w:color w:val="000000" w:themeColor="text1"/>
          <w:szCs w:val="21"/>
          <w14:textFill>
            <w14:solidFill>
              <w14:schemeClr w14:val="tx1"/>
            </w14:solidFill>
          </w14:textFill>
        </w:rPr>
        <w:t>本竞争性磋商</w:t>
      </w:r>
      <w:r>
        <w:rPr>
          <w:rFonts w:hAnsi="宋体"/>
          <w:color w:val="000000" w:themeColor="text1"/>
          <w:szCs w:val="21"/>
          <w14:textFill>
            <w14:solidFill>
              <w14:schemeClr w14:val="tx1"/>
            </w14:solidFill>
          </w14:textFill>
        </w:rPr>
        <w:t>文件</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规定向你方递交履约</w:t>
      </w:r>
      <w:r>
        <w:rPr>
          <w:rFonts w:hint="eastAsia" w:hAnsi="宋体"/>
          <w:color w:val="000000" w:themeColor="text1"/>
          <w:szCs w:val="21"/>
          <w14:textFill>
            <w14:solidFill>
              <w14:schemeClr w14:val="tx1"/>
            </w14:solidFill>
          </w14:textFill>
        </w:rPr>
        <w:t>保证金</w:t>
      </w:r>
      <w:r>
        <w:rPr>
          <w:rFonts w:hAnsi="宋体"/>
          <w:color w:val="000000" w:themeColor="text1"/>
          <w:szCs w:val="21"/>
          <w14:textFill>
            <w14:solidFill>
              <w14:schemeClr w14:val="tx1"/>
            </w14:solidFill>
          </w14:textFill>
        </w:rPr>
        <w:t>。</w:t>
      </w:r>
    </w:p>
    <w:p w14:paraId="4323CFA4">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我方承诺</w:t>
      </w:r>
      <w:r>
        <w:rPr>
          <w:rFonts w:hint="eastAsia" w:hAnsi="宋体"/>
          <w:color w:val="000000" w:themeColor="text1"/>
          <w:szCs w:val="21"/>
          <w14:textFill>
            <w14:solidFill>
              <w14:schemeClr w14:val="tx1"/>
            </w14:solidFill>
          </w14:textFill>
        </w:rPr>
        <w:t>将承担合同中约定的服务及质量责任。</w:t>
      </w:r>
    </w:p>
    <w:p w14:paraId="36B56E26">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8</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我方在此声明，所递交的响应文件及有关资料内容完整、真实和准确。</w:t>
      </w:r>
    </w:p>
    <w:p w14:paraId="5E29C501">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9．</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其他</w:t>
      </w:r>
      <w:r>
        <w:rPr>
          <w:rFonts w:hAnsi="宋体"/>
          <w:color w:val="000000" w:themeColor="text1"/>
          <w:szCs w:val="21"/>
          <w14:textFill>
            <w14:solidFill>
              <w14:schemeClr w14:val="tx1"/>
            </w14:solidFill>
          </w14:textFill>
        </w:rPr>
        <w:t>补充说明）。</w:t>
      </w:r>
    </w:p>
    <w:p w14:paraId="7BEE1193">
      <w:pPr>
        <w:spacing w:line="30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我单位正式通讯地址为：</w:t>
      </w:r>
    </w:p>
    <w:p w14:paraId="6F686E92">
      <w:pPr>
        <w:spacing w:line="300" w:lineRule="auto"/>
        <w:ind w:firstLine="420" w:firstLineChars="200"/>
        <w:jc w:val="left"/>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地址：</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电话：</w:t>
      </w:r>
      <w:r>
        <w:rPr>
          <w:rFonts w:hint="eastAsia" w:hAnsi="宋体"/>
          <w:color w:val="000000" w:themeColor="text1"/>
          <w:szCs w:val="21"/>
          <w:u w:val="single"/>
          <w14:textFill>
            <w14:solidFill>
              <w14:schemeClr w14:val="tx1"/>
            </w14:solidFill>
          </w14:textFill>
        </w:rPr>
        <w:t xml:space="preserve">                         </w:t>
      </w:r>
    </w:p>
    <w:p w14:paraId="5147B799">
      <w:pPr>
        <w:spacing w:line="300" w:lineRule="auto"/>
        <w:ind w:firstLine="420" w:firstLineChars="200"/>
        <w:jc w:val="left"/>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开户名称：</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开户银行：</w:t>
      </w:r>
      <w:r>
        <w:rPr>
          <w:rFonts w:hint="eastAsia" w:hAnsi="宋体"/>
          <w:color w:val="000000" w:themeColor="text1"/>
          <w:szCs w:val="21"/>
          <w:u w:val="single"/>
          <w14:textFill>
            <w14:solidFill>
              <w14:schemeClr w14:val="tx1"/>
            </w14:solidFill>
          </w14:textFill>
        </w:rPr>
        <w:t xml:space="preserve">                  </w:t>
      </w:r>
    </w:p>
    <w:p w14:paraId="5CA6D40F">
      <w:pPr>
        <w:spacing w:line="300" w:lineRule="auto"/>
        <w:ind w:firstLine="420" w:firstLineChars="200"/>
        <w:jc w:val="left"/>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帐    号：</w:t>
      </w:r>
      <w:r>
        <w:rPr>
          <w:rFonts w:hint="eastAsia" w:hAnsi="宋体"/>
          <w:color w:val="000000" w:themeColor="text1"/>
          <w:szCs w:val="21"/>
          <w:u w:val="single"/>
          <w14:textFill>
            <w14:solidFill>
              <w14:schemeClr w14:val="tx1"/>
            </w14:solidFill>
          </w14:textFill>
        </w:rPr>
        <w:t xml:space="preserve">                     </w:t>
      </w:r>
    </w:p>
    <w:p w14:paraId="2815435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428"/>
        <w:jc w:val="both"/>
        <w:textAlignment w:val="auto"/>
        <w:outlineLvl w:val="9"/>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lang w:val="en-US" w:eastAsia="zh-CN"/>
        </w:rPr>
        <w:t>供应商</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 xml:space="preserve"> </w:t>
      </w:r>
      <w:r>
        <w:rPr>
          <w:rFonts w:hint="eastAsia" w:ascii="Times New Roman" w:hAnsi="Times New Roman" w:cs="Times New Roman"/>
          <w:b/>
          <w:bCs/>
          <w:color w:val="auto"/>
          <w:szCs w:val="21"/>
          <w:highlight w:val="none"/>
          <w:u w:val="single"/>
          <w:lang w:val="en-US" w:eastAsia="zh-CN"/>
        </w:rPr>
        <w:t xml:space="preserve">                     </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电子签</w:t>
      </w:r>
      <w:r>
        <w:rPr>
          <w:rFonts w:hint="eastAsia" w:ascii="Times New Roman" w:hAnsi="Times New Roman" w:cs="Times New Roman"/>
          <w:b/>
          <w:bCs/>
          <w:color w:val="auto"/>
          <w:szCs w:val="21"/>
          <w:highlight w:val="none"/>
        </w:rPr>
        <w:t>章</w:t>
      </w:r>
      <w:r>
        <w:rPr>
          <w:rFonts w:ascii="Times New Roman" w:hAnsi="Times New Roman" w:cs="Times New Roman"/>
          <w:b/>
          <w:bCs/>
          <w:color w:val="auto"/>
          <w:szCs w:val="21"/>
          <w:highlight w:val="none"/>
        </w:rPr>
        <w:t>）</w:t>
      </w:r>
    </w:p>
    <w:p w14:paraId="67B876A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0" w:firstLine="428"/>
        <w:jc w:val="both"/>
        <w:textAlignment w:val="auto"/>
        <w:outlineLvl w:val="9"/>
        <w:rPr>
          <w:rFonts w:ascii="Times New Roman" w:hAnsi="Times New Roman" w:cs="Times New Roman"/>
          <w:b/>
          <w:bCs/>
          <w:color w:val="auto"/>
          <w:szCs w:val="21"/>
          <w:highlight w:val="none"/>
          <w:u w:val="single"/>
        </w:rPr>
      </w:pPr>
      <w:r>
        <w:rPr>
          <w:rFonts w:ascii="Times New Roman" w:hAnsi="Times New Roman" w:cs="Times New Roman"/>
          <w:b/>
          <w:bCs/>
          <w:color w:val="auto"/>
          <w:szCs w:val="21"/>
          <w:highlight w:val="none"/>
        </w:rPr>
        <w:t>法定代表人</w:t>
      </w:r>
      <w:r>
        <w:rPr>
          <w:rFonts w:hint="eastAsia" w:ascii="Times New Roman" w:hAnsi="Times New Roman" w:cs="Times New Roman"/>
          <w:b/>
          <w:bCs/>
          <w:color w:val="auto"/>
          <w:szCs w:val="21"/>
          <w:highlight w:val="none"/>
        </w:rPr>
        <w:t>或委托代理人</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u w:val="single"/>
          <w:lang w:val="en-US" w:eastAsia="zh-CN"/>
        </w:rPr>
        <w:t xml:space="preserve">           </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rPr>
        <w:t>电子</w:t>
      </w:r>
      <w:r>
        <w:rPr>
          <w:rFonts w:ascii="Times New Roman" w:hAnsi="Times New Roman" w:cs="Times New Roman"/>
          <w:b/>
          <w:bCs/>
          <w:color w:val="auto"/>
          <w:szCs w:val="21"/>
          <w:highlight w:val="none"/>
        </w:rPr>
        <w:t>签名或</w:t>
      </w:r>
      <w:r>
        <w:rPr>
          <w:rFonts w:hint="eastAsia" w:ascii="Times New Roman" w:hAnsi="Times New Roman" w:cs="Times New Roman"/>
          <w:b/>
          <w:bCs/>
          <w:color w:val="auto"/>
          <w:szCs w:val="21"/>
          <w:highlight w:val="none"/>
        </w:rPr>
        <w:t>电子</w:t>
      </w:r>
      <w:r>
        <w:rPr>
          <w:rFonts w:ascii="Times New Roman" w:hAnsi="Times New Roman" w:cs="Times New Roman"/>
          <w:b/>
          <w:bCs/>
          <w:color w:val="auto"/>
          <w:szCs w:val="21"/>
          <w:highlight w:val="none"/>
        </w:rPr>
        <w:t>签章）</w:t>
      </w:r>
    </w:p>
    <w:p w14:paraId="154101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000000" w:themeColor="text1"/>
          <w:szCs w:val="21"/>
          <w14:textFill>
            <w14:solidFill>
              <w14:schemeClr w14:val="tx1"/>
            </w14:solidFill>
          </w14:textFill>
        </w:rPr>
      </w:pPr>
      <w:r>
        <w:rPr>
          <w:rFonts w:ascii="Times New Roman" w:hAnsi="Times New Roman" w:cs="Times New Roman"/>
          <w:b/>
          <w:bCs/>
          <w:color w:val="auto"/>
          <w:szCs w:val="21"/>
          <w:highlight w:val="none"/>
        </w:rPr>
        <w:t>日</w:t>
      </w:r>
      <w:r>
        <w:rPr>
          <w:rFonts w:hint="eastAsia" w:ascii="Times New Roman" w:hAnsi="Times New Roman" w:cs="Times New Roman"/>
          <w:b/>
          <w:bCs/>
          <w:color w:val="auto"/>
          <w:szCs w:val="21"/>
          <w:highlight w:val="none"/>
        </w:rPr>
        <w:t xml:space="preserve">    </w:t>
      </w:r>
      <w:r>
        <w:rPr>
          <w:rFonts w:ascii="Times New Roman" w:hAnsi="Times New Roman" w:cs="Times New Roman"/>
          <w:b/>
          <w:bCs/>
          <w:color w:val="auto"/>
          <w:szCs w:val="21"/>
          <w:highlight w:val="none"/>
        </w:rPr>
        <w:t>期：</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年</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月</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日</w:t>
      </w:r>
      <w:r>
        <w:rPr>
          <w:rFonts w:hint="eastAsia" w:hAnsi="宋体"/>
          <w:color w:val="000000" w:themeColor="text1"/>
          <w:szCs w:val="21"/>
          <w14:textFill>
            <w14:solidFill>
              <w14:schemeClr w14:val="tx1"/>
            </w14:solidFill>
          </w14:textFill>
        </w:rPr>
        <w:br w:type="page"/>
      </w:r>
    </w:p>
    <w:p w14:paraId="2CB9FCA0">
      <w:pPr>
        <w:rPr>
          <w:rFonts w:hint="eastAsia" w:hAnsi="宋体"/>
          <w:color w:val="000000" w:themeColor="text1"/>
          <w14:textFill>
            <w14:solidFill>
              <w14:schemeClr w14:val="tx1"/>
            </w14:solidFill>
          </w14:textFill>
        </w:rPr>
      </w:pPr>
    </w:p>
    <w:p w14:paraId="0DEC0479">
      <w:pPr>
        <w:spacing w:line="440" w:lineRule="exact"/>
        <w:ind w:left="0" w:leftChars="0" w:firstLine="0" w:firstLineChars="0"/>
        <w:rPr>
          <w:rFonts w:hint="eastAsia" w:hAnsi="宋体" w:eastAsia="宋体"/>
          <w:b/>
          <w:snapToGrid/>
          <w:color w:val="000000" w:themeColor="text1"/>
          <w:kern w:val="0"/>
          <w:sz w:val="28"/>
          <w:szCs w:val="28"/>
          <w:lang w:eastAsia="zh-CN"/>
          <w14:textFill>
            <w14:solidFill>
              <w14:schemeClr w14:val="tx1"/>
            </w14:solidFill>
          </w14:textFill>
        </w:rPr>
      </w:pPr>
      <w:r>
        <w:rPr>
          <w:rFonts w:hint="eastAsia" w:hAnsi="宋体"/>
          <w:b/>
          <w:snapToGrid/>
          <w:color w:val="000000" w:themeColor="text1"/>
          <w:kern w:val="0"/>
          <w:sz w:val="28"/>
          <w:szCs w:val="28"/>
          <w14:textFill>
            <w14:solidFill>
              <w14:schemeClr w14:val="tx1"/>
            </w14:solidFill>
          </w14:textFill>
        </w:rPr>
        <w:t>格式</w:t>
      </w:r>
      <w:r>
        <w:rPr>
          <w:rFonts w:hAnsi="宋体"/>
          <w:b/>
          <w:snapToGrid/>
          <w:color w:val="000000" w:themeColor="text1"/>
          <w:kern w:val="0"/>
          <w:sz w:val="28"/>
          <w:szCs w:val="28"/>
          <w14:textFill>
            <w14:solidFill>
              <w14:schemeClr w14:val="tx1"/>
            </w14:solidFill>
          </w14:textFill>
        </w:rPr>
        <w:t>3</w:t>
      </w:r>
      <w:r>
        <w:rPr>
          <w:rFonts w:hint="eastAsia" w:hAnsi="宋体"/>
          <w:b/>
          <w:snapToGrid/>
          <w:color w:val="000000" w:themeColor="text1"/>
          <w:kern w:val="0"/>
          <w:sz w:val="28"/>
          <w:szCs w:val="28"/>
          <w14:textFill>
            <w14:solidFill>
              <w14:schemeClr w14:val="tx1"/>
            </w14:solidFill>
          </w14:textFill>
        </w:rPr>
        <w:t>-</w:t>
      </w:r>
      <w:r>
        <w:rPr>
          <w:rFonts w:hint="eastAsia" w:hAnsi="宋体"/>
          <w:b/>
          <w:snapToGrid/>
          <w:color w:val="000000" w:themeColor="text1"/>
          <w:kern w:val="0"/>
          <w:sz w:val="28"/>
          <w:szCs w:val="28"/>
          <w:lang w:val="en-US" w:eastAsia="zh-CN"/>
          <w14:textFill>
            <w14:solidFill>
              <w14:schemeClr w14:val="tx1"/>
            </w14:solidFill>
          </w14:textFill>
        </w:rPr>
        <w:t>2</w:t>
      </w:r>
    </w:p>
    <w:p w14:paraId="1D2BDAC2">
      <w:pPr>
        <w:pStyle w:val="5"/>
        <w:spacing w:before="240" w:after="240" w:line="360" w:lineRule="auto"/>
        <w:ind w:firstLine="0"/>
        <w:jc w:val="center"/>
        <w:rPr>
          <w:rFonts w:ascii="宋体" w:eastAsia="宋体"/>
          <w:color w:val="000000" w:themeColor="text1"/>
          <w:kern w:val="0"/>
          <w:szCs w:val="30"/>
          <w:lang w:val="en-US"/>
          <w14:textFill>
            <w14:solidFill>
              <w14:schemeClr w14:val="tx1"/>
            </w14:solidFill>
          </w14:textFill>
        </w:rPr>
      </w:pPr>
      <w:r>
        <w:rPr>
          <w:rFonts w:ascii="宋体" w:eastAsia="宋体"/>
          <w:color w:val="000000" w:themeColor="text1"/>
          <w:kern w:val="0"/>
          <w:szCs w:val="30"/>
          <w:lang w:val="en-US"/>
          <w14:textFill>
            <w14:solidFill>
              <w14:schemeClr w14:val="tx1"/>
            </w14:solidFill>
          </w14:textFill>
        </w:rPr>
        <w:t>法定代表人身份证明书</w:t>
      </w:r>
    </w:p>
    <w:p w14:paraId="72D232B9">
      <w:pPr>
        <w:spacing w:line="360" w:lineRule="auto"/>
        <w:ind w:firstLine="850" w:firstLineChars="405"/>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单位名称：</w:t>
      </w:r>
      <w:r>
        <w:rPr>
          <w:rFonts w:hAnsi="宋体"/>
          <w:color w:val="000000" w:themeColor="text1"/>
          <w:szCs w:val="21"/>
          <w:u w:val="single"/>
          <w14:textFill>
            <w14:solidFill>
              <w14:schemeClr w14:val="tx1"/>
            </w14:solidFill>
          </w14:textFill>
        </w:rPr>
        <w:t xml:space="preserve">                          </w:t>
      </w:r>
    </w:p>
    <w:p w14:paraId="31043D52">
      <w:pPr>
        <w:spacing w:line="360" w:lineRule="auto"/>
        <w:ind w:firstLine="850" w:firstLineChars="405"/>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单位性质：</w:t>
      </w:r>
      <w:r>
        <w:rPr>
          <w:rFonts w:hAnsi="宋体"/>
          <w:color w:val="000000" w:themeColor="text1"/>
          <w:szCs w:val="21"/>
          <w:u w:val="single"/>
          <w14:textFill>
            <w14:solidFill>
              <w14:schemeClr w14:val="tx1"/>
            </w14:solidFill>
          </w14:textFill>
        </w:rPr>
        <w:t xml:space="preserve">                            </w:t>
      </w:r>
    </w:p>
    <w:p w14:paraId="30314E0A">
      <w:pPr>
        <w:spacing w:line="360" w:lineRule="auto"/>
        <w:ind w:firstLine="850" w:firstLineChars="405"/>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 xml:space="preserve">地 </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址：</w:t>
      </w:r>
      <w:r>
        <w:rPr>
          <w:rFonts w:hAnsi="宋体"/>
          <w:color w:val="000000" w:themeColor="text1"/>
          <w:szCs w:val="21"/>
          <w:u w:val="single"/>
          <w14:textFill>
            <w14:solidFill>
              <w14:schemeClr w14:val="tx1"/>
            </w14:solidFill>
          </w14:textFill>
        </w:rPr>
        <w:t xml:space="preserve">                            </w:t>
      </w:r>
    </w:p>
    <w:p w14:paraId="33C8268E">
      <w:pPr>
        <w:spacing w:line="360" w:lineRule="auto"/>
        <w:ind w:firstLine="850" w:firstLineChars="405"/>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成立时间：</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w:t>
      </w:r>
    </w:p>
    <w:p w14:paraId="03709EE3">
      <w:pPr>
        <w:spacing w:line="360" w:lineRule="auto"/>
        <w:ind w:firstLine="850" w:firstLineChars="405"/>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经营期限：</w:t>
      </w:r>
      <w:r>
        <w:rPr>
          <w:rFonts w:hAnsi="宋体"/>
          <w:color w:val="000000" w:themeColor="text1"/>
          <w:szCs w:val="21"/>
          <w:u w:val="single"/>
          <w14:textFill>
            <w14:solidFill>
              <w14:schemeClr w14:val="tx1"/>
            </w14:solidFill>
          </w14:textFill>
        </w:rPr>
        <w:t xml:space="preserve">                            </w:t>
      </w:r>
    </w:p>
    <w:p w14:paraId="6183265A">
      <w:pPr>
        <w:spacing w:line="360" w:lineRule="auto"/>
        <w:ind w:firstLine="850" w:firstLineChars="405"/>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姓名：</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性别：</w:t>
      </w:r>
      <w:r>
        <w:rPr>
          <w:rFonts w:hAnsi="宋体"/>
          <w:color w:val="000000" w:themeColor="text1"/>
          <w:szCs w:val="21"/>
          <w:u w:val="single"/>
          <w14:textFill>
            <w14:solidFill>
              <w14:schemeClr w14:val="tx1"/>
            </w14:solidFill>
          </w14:textFill>
        </w:rPr>
        <w:t xml:space="preserve">            </w:t>
      </w:r>
    </w:p>
    <w:p w14:paraId="0A7D4191">
      <w:pPr>
        <w:spacing w:line="360" w:lineRule="auto"/>
        <w:ind w:firstLine="850" w:firstLineChars="405"/>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年龄：</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职务：</w:t>
      </w:r>
      <w:r>
        <w:rPr>
          <w:rFonts w:hAnsi="宋体"/>
          <w:color w:val="000000" w:themeColor="text1"/>
          <w:szCs w:val="21"/>
          <w:u w:val="single"/>
          <w14:textFill>
            <w14:solidFill>
              <w14:schemeClr w14:val="tx1"/>
            </w14:solidFill>
          </w14:textFill>
        </w:rPr>
        <w:t xml:space="preserve">            </w:t>
      </w:r>
    </w:p>
    <w:p w14:paraId="4E7AE449">
      <w:pPr>
        <w:spacing w:line="360" w:lineRule="auto"/>
        <w:ind w:firstLine="850" w:firstLineChars="405"/>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身份证号码：</w:t>
      </w:r>
      <w:r>
        <w:rPr>
          <w:rFonts w:hint="eastAsia" w:hAnsi="宋体"/>
          <w:color w:val="000000" w:themeColor="text1"/>
          <w:szCs w:val="21"/>
          <w:u w:val="single"/>
          <w14:textFill>
            <w14:solidFill>
              <w14:schemeClr w14:val="tx1"/>
            </w14:solidFill>
          </w14:textFill>
        </w:rPr>
        <w:t xml:space="preserve">                                    </w:t>
      </w:r>
    </w:p>
    <w:p w14:paraId="19EE3AC3">
      <w:pPr>
        <w:spacing w:line="360" w:lineRule="auto"/>
        <w:ind w:firstLine="850" w:firstLineChars="405"/>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系</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（供应商名称）的法定代表人。</w:t>
      </w:r>
    </w:p>
    <w:p w14:paraId="51AACCCC">
      <w:pPr>
        <w:spacing w:line="360" w:lineRule="auto"/>
        <w:ind w:firstLine="850" w:firstLineChars="405"/>
        <w:rPr>
          <w:rFonts w:hint="eastAsia" w:hAnsi="宋体"/>
          <w:color w:val="000000" w:themeColor="text1"/>
          <w:szCs w:val="21"/>
          <w14:textFill>
            <w14:solidFill>
              <w14:schemeClr w14:val="tx1"/>
            </w14:solidFill>
          </w14:textFill>
        </w:rPr>
      </w:pPr>
    </w:p>
    <w:p w14:paraId="23EED347">
      <w:pPr>
        <w:spacing w:line="360" w:lineRule="auto"/>
        <w:ind w:firstLine="850" w:firstLineChars="405"/>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特此证明。</w:t>
      </w:r>
    </w:p>
    <w:p w14:paraId="363E3959">
      <w:pPr>
        <w:spacing w:line="480" w:lineRule="auto"/>
        <w:ind w:firstLine="539" w:firstLineChars="257"/>
        <w:rPr>
          <w:rFonts w:hint="eastAsia" w:hAnsi="宋体"/>
          <w:color w:val="000000" w:themeColor="text1"/>
          <w:szCs w:val="21"/>
          <w14:textFill>
            <w14:solidFill>
              <w14:schemeClr w14:val="tx1"/>
            </w14:solidFill>
          </w14:textFill>
        </w:rPr>
      </w:pPr>
    </w:p>
    <w:p w14:paraId="1C4074B7">
      <w:pPr>
        <w:keepNext w:val="0"/>
        <w:keepLines w:val="0"/>
        <w:pageBreakBefore w:val="0"/>
        <w:widowControl w:val="0"/>
        <w:kinsoku/>
        <w:overflowPunct/>
        <w:topLinePunct w:val="0"/>
        <w:autoSpaceDE/>
        <w:autoSpaceDN/>
        <w:bidi w:val="0"/>
        <w:adjustRightInd/>
        <w:snapToGrid/>
        <w:spacing w:line="480" w:lineRule="auto"/>
        <w:ind w:firstLine="422" w:firstLineChars="200"/>
        <w:textAlignment w:val="auto"/>
        <w:rPr>
          <w:rFonts w:hint="eastAsia" w:hAnsi="宋体" w:eastAsia="宋体"/>
          <w:color w:val="000000" w:themeColor="text1"/>
          <w:szCs w:val="21"/>
          <w:lang w:eastAsia="zh-CN"/>
          <w14:textFill>
            <w14:solidFill>
              <w14:schemeClr w14:val="tx1"/>
            </w14:solidFill>
          </w14:textFill>
        </w:rPr>
      </w:pPr>
      <w:r>
        <w:rPr>
          <w:rFonts w:hint="eastAsia"/>
          <w:b/>
          <w:color w:val="000000" w:themeColor="text1"/>
          <w:szCs w:val="21"/>
          <w14:textFill>
            <w14:solidFill>
              <w14:schemeClr w14:val="tx1"/>
            </w14:solidFill>
          </w14:textFill>
        </w:rPr>
        <w:t>附：法定代表人身份证正反面原件扫描件</w:t>
      </w:r>
      <w:r>
        <w:rPr>
          <w:rFonts w:hint="eastAsia"/>
          <w:b/>
          <w:color w:val="000000" w:themeColor="text1"/>
          <w:szCs w:val="21"/>
          <w:lang w:eastAsia="zh-CN"/>
          <w14:textFill>
            <w14:solidFill>
              <w14:schemeClr w14:val="tx1"/>
            </w14:solidFill>
          </w14:textFill>
        </w:rPr>
        <w:t>。</w:t>
      </w:r>
    </w:p>
    <w:p w14:paraId="3667C74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hAnsi="宋体"/>
          <w:color w:val="000000" w:themeColor="text1"/>
          <w:szCs w:val="21"/>
          <w14:textFill>
            <w14:solidFill>
              <w14:schemeClr w14:val="tx1"/>
            </w14:solidFill>
          </w14:textFill>
        </w:rPr>
      </w:pPr>
    </w:p>
    <w:p w14:paraId="1529236B">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0" w:firstLine="422" w:firstLineChars="200"/>
        <w:jc w:val="both"/>
        <w:textAlignment w:val="auto"/>
        <w:outlineLvl w:val="9"/>
        <w:rPr>
          <w:rFonts w:ascii="Times New Roman" w:hAnsi="Times New Roman" w:cs="Times New Roman"/>
          <w:b/>
          <w:bCs/>
          <w:color w:val="auto"/>
          <w:szCs w:val="21"/>
          <w:highlight w:val="none"/>
          <w:u w:val="single"/>
        </w:rPr>
      </w:pPr>
      <w:r>
        <w:rPr>
          <w:rFonts w:hint="eastAsia" w:ascii="Times New Roman" w:hAnsi="Times New Roman" w:cs="Times New Roman"/>
          <w:b/>
          <w:bCs/>
          <w:color w:val="auto"/>
          <w:szCs w:val="21"/>
          <w:highlight w:val="none"/>
          <w:lang w:val="en-US" w:eastAsia="zh-CN"/>
        </w:rPr>
        <w:t>供应商</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 xml:space="preserve"> </w:t>
      </w:r>
      <w:r>
        <w:rPr>
          <w:rFonts w:hint="eastAsia" w:ascii="Times New Roman" w:hAnsi="Times New Roman" w:cs="Times New Roman"/>
          <w:b/>
          <w:bCs/>
          <w:color w:val="auto"/>
          <w:szCs w:val="21"/>
          <w:highlight w:val="none"/>
          <w:u w:val="single"/>
          <w:lang w:val="en-US" w:eastAsia="zh-CN"/>
        </w:rPr>
        <w:t xml:space="preserve">                     </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电子签</w:t>
      </w:r>
      <w:r>
        <w:rPr>
          <w:rFonts w:hint="eastAsia" w:ascii="Times New Roman" w:hAnsi="Times New Roman" w:cs="Times New Roman"/>
          <w:b/>
          <w:bCs/>
          <w:color w:val="auto"/>
          <w:szCs w:val="21"/>
          <w:highlight w:val="none"/>
        </w:rPr>
        <w:t>章</w:t>
      </w:r>
      <w:r>
        <w:rPr>
          <w:rFonts w:ascii="Times New Roman" w:hAnsi="Times New Roman" w:cs="Times New Roman"/>
          <w:b/>
          <w:bCs/>
          <w:color w:val="auto"/>
          <w:szCs w:val="21"/>
          <w:highlight w:val="none"/>
        </w:rPr>
        <w:t>）</w:t>
      </w:r>
    </w:p>
    <w:p w14:paraId="6B73A4DA">
      <w:pPr>
        <w:keepNext w:val="0"/>
        <w:keepLines w:val="0"/>
        <w:pageBreakBefore w:val="0"/>
        <w:widowControl w:val="0"/>
        <w:kinsoku/>
        <w:wordWrap/>
        <w:overflowPunct/>
        <w:topLinePunct w:val="0"/>
        <w:autoSpaceDE/>
        <w:autoSpaceDN/>
        <w:bidi w:val="0"/>
        <w:adjustRightInd/>
        <w:snapToGrid/>
        <w:spacing w:line="480" w:lineRule="auto"/>
        <w:ind w:firstLine="422" w:firstLineChars="200"/>
        <w:jc w:val="both"/>
        <w:textAlignment w:val="auto"/>
      </w:pPr>
      <w:r>
        <w:rPr>
          <w:rFonts w:ascii="Times New Roman" w:hAnsi="Times New Roman" w:cs="Times New Roman"/>
          <w:b/>
          <w:bCs/>
          <w:color w:val="auto"/>
          <w:szCs w:val="21"/>
          <w:highlight w:val="none"/>
        </w:rPr>
        <w:t>日</w:t>
      </w:r>
      <w:r>
        <w:rPr>
          <w:rFonts w:hint="eastAsia" w:ascii="Times New Roman" w:hAnsi="Times New Roman" w:cs="Times New Roman"/>
          <w:b/>
          <w:bCs/>
          <w:color w:val="auto"/>
          <w:szCs w:val="21"/>
          <w:highlight w:val="none"/>
        </w:rPr>
        <w:t xml:space="preserve">    </w:t>
      </w:r>
      <w:r>
        <w:rPr>
          <w:rFonts w:ascii="Times New Roman" w:hAnsi="Times New Roman" w:cs="Times New Roman"/>
          <w:b/>
          <w:bCs/>
          <w:color w:val="auto"/>
          <w:szCs w:val="21"/>
          <w:highlight w:val="none"/>
        </w:rPr>
        <w:t>期：</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年</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月</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日</w:t>
      </w:r>
    </w:p>
    <w:p w14:paraId="1D9D4364">
      <w:pPr>
        <w:spacing w:line="480" w:lineRule="auto"/>
        <w:jc w:val="right"/>
        <w:rPr>
          <w:color w:val="000000" w:themeColor="text1"/>
          <w:szCs w:val="21"/>
          <w14:textFill>
            <w14:solidFill>
              <w14:schemeClr w14:val="tx1"/>
            </w14:solidFill>
          </w14:textFill>
        </w:rPr>
      </w:pPr>
    </w:p>
    <w:p w14:paraId="2AD1E3D4">
      <w:pP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br w:type="page"/>
      </w:r>
    </w:p>
    <w:p w14:paraId="6A9F4328">
      <w:pPr>
        <w:spacing w:line="440" w:lineRule="exact"/>
        <w:ind w:left="0" w:leftChars="0" w:firstLine="0" w:firstLineChars="0"/>
        <w:rPr>
          <w:rFonts w:hint="eastAsia" w:hAnsi="宋体" w:eastAsia="宋体"/>
          <w:b/>
          <w:snapToGrid/>
          <w:color w:val="000000" w:themeColor="text1"/>
          <w:kern w:val="0"/>
          <w:sz w:val="28"/>
          <w:szCs w:val="28"/>
          <w:lang w:val="en-US" w:eastAsia="zh-CN"/>
          <w14:textFill>
            <w14:solidFill>
              <w14:schemeClr w14:val="tx1"/>
            </w14:solidFill>
          </w14:textFill>
        </w:rPr>
      </w:pPr>
      <w:r>
        <w:rPr>
          <w:rFonts w:hint="eastAsia" w:hAnsi="宋体"/>
          <w:b/>
          <w:snapToGrid/>
          <w:color w:val="000000" w:themeColor="text1"/>
          <w:kern w:val="0"/>
          <w:sz w:val="28"/>
          <w:szCs w:val="28"/>
          <w14:textFill>
            <w14:solidFill>
              <w14:schemeClr w14:val="tx1"/>
            </w14:solidFill>
          </w14:textFill>
        </w:rPr>
        <w:t>格式</w:t>
      </w:r>
      <w:r>
        <w:rPr>
          <w:rFonts w:hAnsi="宋体"/>
          <w:b/>
          <w:snapToGrid/>
          <w:color w:val="000000" w:themeColor="text1"/>
          <w:kern w:val="0"/>
          <w:sz w:val="28"/>
          <w:szCs w:val="28"/>
          <w14:textFill>
            <w14:solidFill>
              <w14:schemeClr w14:val="tx1"/>
            </w14:solidFill>
          </w14:textFill>
        </w:rPr>
        <w:t>3</w:t>
      </w:r>
      <w:r>
        <w:rPr>
          <w:rFonts w:hint="eastAsia" w:hAnsi="宋体"/>
          <w:b/>
          <w:snapToGrid/>
          <w:color w:val="000000" w:themeColor="text1"/>
          <w:kern w:val="0"/>
          <w:sz w:val="28"/>
          <w:szCs w:val="28"/>
          <w14:textFill>
            <w14:solidFill>
              <w14:schemeClr w14:val="tx1"/>
            </w14:solidFill>
          </w14:textFill>
        </w:rPr>
        <w:t>-</w:t>
      </w:r>
      <w:r>
        <w:rPr>
          <w:rFonts w:hint="eastAsia" w:hAnsi="宋体"/>
          <w:b/>
          <w:snapToGrid/>
          <w:color w:val="000000" w:themeColor="text1"/>
          <w:kern w:val="0"/>
          <w:sz w:val="28"/>
          <w:szCs w:val="28"/>
          <w:lang w:val="en-US" w:eastAsia="zh-CN"/>
          <w14:textFill>
            <w14:solidFill>
              <w14:schemeClr w14:val="tx1"/>
            </w14:solidFill>
          </w14:textFill>
        </w:rPr>
        <w:t>3</w:t>
      </w:r>
    </w:p>
    <w:p w14:paraId="39F29F09">
      <w:pPr>
        <w:pStyle w:val="5"/>
        <w:spacing w:before="240" w:after="240" w:line="360" w:lineRule="auto"/>
        <w:ind w:firstLine="0"/>
        <w:jc w:val="center"/>
        <w:rPr>
          <w:rFonts w:ascii="宋体" w:eastAsia="宋体"/>
          <w:color w:val="000000" w:themeColor="text1"/>
          <w:kern w:val="0"/>
          <w:szCs w:val="30"/>
          <w:lang w:val="en-US"/>
          <w14:textFill>
            <w14:solidFill>
              <w14:schemeClr w14:val="tx1"/>
            </w14:solidFill>
          </w14:textFill>
        </w:rPr>
      </w:pPr>
      <w:r>
        <w:rPr>
          <w:rFonts w:ascii="宋体" w:eastAsia="宋体"/>
          <w:color w:val="000000" w:themeColor="text1"/>
          <w:kern w:val="0"/>
          <w:szCs w:val="30"/>
          <w:lang w:val="en-US"/>
          <w14:textFill>
            <w14:solidFill>
              <w14:schemeClr w14:val="tx1"/>
            </w14:solidFill>
          </w14:textFill>
        </w:rPr>
        <w:t>法定代表人授权委托书</w:t>
      </w:r>
    </w:p>
    <w:p w14:paraId="20779A2E">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本授权委托书声明</w:t>
      </w:r>
      <w:r>
        <w:rPr>
          <w:rFonts w:hint="eastAsia" w:hAnsi="宋体"/>
          <w:color w:val="000000" w:themeColor="text1"/>
          <w:szCs w:val="21"/>
          <w14:textFill>
            <w14:solidFill>
              <w14:schemeClr w14:val="tx1"/>
            </w14:solidFill>
          </w14:textFill>
        </w:rPr>
        <w:t>：</w:t>
      </w:r>
      <w:r>
        <w:rPr>
          <w:rFonts w:hint="eastAsia" w:hAnsi="宋体"/>
          <w:color w:val="000000" w:themeColor="text1"/>
          <w:szCs w:val="21"/>
          <w:u w:val="single"/>
          <w14:textFill>
            <w14:solidFill>
              <w14:schemeClr w14:val="tx1"/>
            </w14:solidFill>
          </w14:textFill>
        </w:rPr>
        <w:t xml:space="preserve">  （供应商全称）  </w:t>
      </w:r>
      <w:r>
        <w:rPr>
          <w:rFonts w:hint="eastAsia" w:hAnsi="宋体"/>
          <w:color w:val="000000" w:themeColor="text1"/>
          <w:szCs w:val="21"/>
          <w14:textFill>
            <w14:solidFill>
              <w14:schemeClr w14:val="tx1"/>
            </w14:solidFill>
          </w14:textFill>
        </w:rPr>
        <w:t>的法定代表人代表本公司授权</w:t>
      </w:r>
      <w:r>
        <w:rPr>
          <w:rFonts w:hint="eastAsia" w:hAnsi="宋体"/>
          <w:color w:val="000000" w:themeColor="text1"/>
          <w:szCs w:val="21"/>
          <w:u w:val="single"/>
          <w14:textFill>
            <w14:solidFill>
              <w14:schemeClr w14:val="tx1"/>
            </w14:solidFill>
          </w14:textFill>
        </w:rPr>
        <w:t>（委托代理人姓名）</w:t>
      </w:r>
      <w:r>
        <w:rPr>
          <w:rFonts w:hint="eastAsia" w:hAnsi="宋体"/>
          <w:color w:val="000000" w:themeColor="text1"/>
          <w:szCs w:val="21"/>
          <w14:textFill>
            <w14:solidFill>
              <w14:schemeClr w14:val="tx1"/>
            </w14:solidFill>
          </w14:textFill>
        </w:rPr>
        <w:t>为本公司合法代理人，就贵方组织的有关</w:t>
      </w:r>
      <w:r>
        <w:rPr>
          <w:rFonts w:hint="eastAsia" w:hAnsi="宋体"/>
          <w:color w:val="000000" w:themeColor="text1"/>
          <w:szCs w:val="21"/>
          <w:u w:val="single"/>
          <w14:textFill>
            <w14:solidFill>
              <w14:schemeClr w14:val="tx1"/>
            </w14:solidFill>
          </w14:textFill>
        </w:rPr>
        <w:t>（项目名称）</w:t>
      </w:r>
      <w:r>
        <w:rPr>
          <w:rFonts w:hint="eastAsia" w:hAnsi="宋体"/>
          <w:color w:val="000000" w:themeColor="text1"/>
          <w:szCs w:val="21"/>
          <w14:textFill>
            <w14:solidFill>
              <w14:schemeClr w14:val="tx1"/>
            </w14:solidFill>
          </w14:textFill>
        </w:rPr>
        <w:t>项目的竞争性磋商，以本单位名义参加。</w:t>
      </w:r>
      <w:r>
        <w:rPr>
          <w:rFonts w:hAnsi="宋体"/>
          <w:color w:val="000000" w:themeColor="text1"/>
          <w:szCs w:val="21"/>
          <w14:textFill>
            <w14:solidFill>
              <w14:schemeClr w14:val="tx1"/>
            </w14:solidFill>
          </w14:textFill>
        </w:rPr>
        <w:t>代理人在本项目</w:t>
      </w:r>
      <w:r>
        <w:rPr>
          <w:rFonts w:hint="eastAsia" w:hAnsi="宋体"/>
          <w:color w:val="000000" w:themeColor="text1"/>
          <w:szCs w:val="21"/>
          <w14:textFill>
            <w14:solidFill>
              <w14:schemeClr w14:val="tx1"/>
            </w14:solidFill>
          </w14:textFill>
        </w:rPr>
        <w:t>磋商</w:t>
      </w:r>
      <w:r>
        <w:rPr>
          <w:rFonts w:hAnsi="宋体"/>
          <w:color w:val="000000" w:themeColor="text1"/>
          <w:szCs w:val="21"/>
          <w14:textFill>
            <w14:solidFill>
              <w14:schemeClr w14:val="tx1"/>
            </w14:solidFill>
          </w14:textFill>
        </w:rPr>
        <w:t>过程中所签署的一切文件和处理与之有关的一切事务，我方均予承认</w:t>
      </w:r>
      <w:r>
        <w:rPr>
          <w:rFonts w:hint="eastAsia" w:hAnsi="宋体"/>
          <w:color w:val="000000" w:themeColor="text1"/>
          <w:szCs w:val="21"/>
          <w14:textFill>
            <w14:solidFill>
              <w14:schemeClr w14:val="tx1"/>
            </w14:solidFill>
          </w14:textFill>
        </w:rPr>
        <w:t>，其法律后果由我方承担</w:t>
      </w:r>
      <w:r>
        <w:rPr>
          <w:rFonts w:hAnsi="宋体"/>
          <w:color w:val="000000" w:themeColor="text1"/>
          <w:szCs w:val="21"/>
          <w14:textFill>
            <w14:solidFill>
              <w14:schemeClr w14:val="tx1"/>
            </w14:solidFill>
          </w14:textFill>
        </w:rPr>
        <w:t>。</w:t>
      </w:r>
    </w:p>
    <w:p w14:paraId="1287F89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hAnsi="宋体" w:eastAsia="宋体"/>
          <w:color w:val="000000" w:themeColor="text1"/>
          <w:szCs w:val="21"/>
          <w:u w:val="single"/>
          <w:lang w:eastAsia="zh-CN"/>
          <w14:textFill>
            <w14:solidFill>
              <w14:schemeClr w14:val="tx1"/>
            </w14:solidFill>
          </w14:textFill>
        </w:rPr>
      </w:pPr>
      <w:r>
        <w:rPr>
          <w:rFonts w:hint="eastAsia" w:hAnsi="宋体"/>
          <w:color w:val="000000" w:themeColor="text1"/>
          <w:szCs w:val="21"/>
          <w14:textFill>
            <w14:solidFill>
              <w14:schemeClr w14:val="tx1"/>
            </w14:solidFill>
          </w14:textFill>
        </w:rPr>
        <w:t>委托期限：</w:t>
      </w:r>
      <w:r>
        <w:rPr>
          <w:rFonts w:hint="eastAsia"/>
          <w:color w:val="000000" w:themeColor="text1"/>
          <w:szCs w:val="21"/>
          <w:u w:val="single"/>
          <w:lang w:val="en-US" w:eastAsia="zh-CN"/>
          <w14:textFill>
            <w14:solidFill>
              <w14:schemeClr w14:val="tx1"/>
            </w14:solidFill>
          </w14:textFill>
        </w:rPr>
        <w:t>自委托之日起至响应文件有效期期满止</w:t>
      </w:r>
      <w:r>
        <w:rPr>
          <w:rFonts w:hint="eastAsia"/>
          <w:color w:val="000000" w:themeColor="text1"/>
          <w:szCs w:val="21"/>
          <w:u w:val="none"/>
          <w:lang w:eastAsia="zh-CN"/>
          <w14:textFill>
            <w14:solidFill>
              <w14:schemeClr w14:val="tx1"/>
            </w14:solidFill>
          </w14:textFill>
        </w:rPr>
        <w:t>。</w:t>
      </w:r>
    </w:p>
    <w:p w14:paraId="710A507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hAnsi="宋体"/>
          <w:color w:val="000000" w:themeColor="text1"/>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代理人无转委托权，特此委托</w:t>
      </w:r>
      <w:r>
        <w:rPr>
          <w:rFonts w:hAnsi="宋体"/>
          <w:color w:val="000000" w:themeColor="text1"/>
          <w:szCs w:val="21"/>
          <w14:textFill>
            <w14:solidFill>
              <w14:schemeClr w14:val="tx1"/>
            </w14:solidFill>
          </w14:textFill>
        </w:rPr>
        <w:t>。</w:t>
      </w:r>
    </w:p>
    <w:p w14:paraId="57E5A03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hAnsi="宋体"/>
          <w:color w:val="000000" w:themeColor="text1"/>
          <w:szCs w:val="21"/>
          <w14:textFill>
            <w14:solidFill>
              <w14:schemeClr w14:val="tx1"/>
            </w14:solidFill>
          </w14:textFill>
        </w:rPr>
      </w:pPr>
    </w:p>
    <w:p w14:paraId="429CF73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供应商：</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（电子签章）</w:t>
      </w:r>
    </w:p>
    <w:p w14:paraId="3BD2653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法定代表人：</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（电子签名或电子签章）</w:t>
      </w:r>
    </w:p>
    <w:p w14:paraId="307C8A9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身份证号码：</w:t>
      </w:r>
      <w:r>
        <w:rPr>
          <w:rFonts w:hint="eastAsia" w:hAnsi="宋体"/>
          <w:color w:val="000000" w:themeColor="text1"/>
          <w:szCs w:val="21"/>
          <w:u w:val="single"/>
          <w14:textFill>
            <w14:solidFill>
              <w14:schemeClr w14:val="tx1"/>
            </w14:solidFill>
          </w14:textFill>
        </w:rPr>
        <w:t xml:space="preserve">                                      </w:t>
      </w:r>
    </w:p>
    <w:p w14:paraId="780E6B6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委托代理人：</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Ansi="宋体"/>
          <w:b/>
          <w:bCs/>
          <w:color w:val="000000" w:themeColor="text1"/>
          <w:szCs w:val="21"/>
          <w14:textFill>
            <w14:solidFill>
              <w14:schemeClr w14:val="tx1"/>
            </w14:solidFill>
          </w14:textFill>
        </w:rPr>
        <w:t>（</w:t>
      </w:r>
      <w:r>
        <w:rPr>
          <w:rFonts w:hint="eastAsia" w:hAnsi="宋体"/>
          <w:b/>
          <w:bCs/>
          <w:color w:val="000000" w:themeColor="text1"/>
          <w:szCs w:val="21"/>
          <w14:textFill>
            <w14:solidFill>
              <w14:schemeClr w14:val="tx1"/>
            </w14:solidFill>
          </w14:textFill>
        </w:rPr>
        <w:t>签字或盖章或电子签章</w:t>
      </w:r>
      <w:r>
        <w:rPr>
          <w:rFonts w:hAnsi="宋体"/>
          <w:b/>
          <w:bCs/>
          <w:color w:val="000000" w:themeColor="text1"/>
          <w:szCs w:val="21"/>
          <w14:textFill>
            <w14:solidFill>
              <w14:schemeClr w14:val="tx1"/>
            </w14:solidFill>
          </w14:textFill>
        </w:rPr>
        <w:t>）</w:t>
      </w:r>
    </w:p>
    <w:p w14:paraId="204EDB1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身份证号码：</w:t>
      </w:r>
      <w:r>
        <w:rPr>
          <w:rFonts w:hint="eastAsia" w:hAnsi="宋体"/>
          <w:color w:val="000000" w:themeColor="text1"/>
          <w:szCs w:val="21"/>
          <w:u w:val="single"/>
          <w14:textFill>
            <w14:solidFill>
              <w14:schemeClr w14:val="tx1"/>
            </w14:solidFill>
          </w14:textFill>
        </w:rPr>
        <w:t xml:space="preserve">                                      </w:t>
      </w:r>
    </w:p>
    <w:p w14:paraId="27206972">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textAlignment w:val="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日期：</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w:t>
      </w:r>
    </w:p>
    <w:p w14:paraId="7EF75F60">
      <w:pPr>
        <w:spacing w:line="360" w:lineRule="auto"/>
        <w:rPr>
          <w:rFonts w:hint="eastAsia" w:hAnsi="宋体"/>
          <w:b/>
          <w:bCs/>
          <w:color w:val="000000" w:themeColor="text1"/>
          <w:szCs w:val="21"/>
          <w14:textFill>
            <w14:solidFill>
              <w14:schemeClr w14:val="tx1"/>
            </w14:solidFill>
          </w14:textFill>
        </w:rPr>
      </w:pPr>
    </w:p>
    <w:p w14:paraId="53D34960">
      <w:pPr>
        <w:spacing w:line="360" w:lineRule="auto"/>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注：1.附被授权代理人身份证正反面原件扫描件；</w:t>
      </w:r>
    </w:p>
    <w:p w14:paraId="3327C180">
      <w:pPr>
        <w:spacing w:line="360" w:lineRule="auto"/>
        <w:ind w:firstLine="422" w:firstLineChars="200"/>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2.如供应商由法定代表人亲自签署响应文件并参与相关活动，则不需要办理授权。如由被授权的代理人签署上述文件，则必须按本格式规定填报并提交授权书，否则被授权的代理人将不被认可。</w:t>
      </w:r>
    </w:p>
    <w:p w14:paraId="1EFB9A67">
      <w:pPr>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br w:type="page"/>
      </w:r>
    </w:p>
    <w:p w14:paraId="2414B851">
      <w:pPr>
        <w:ind w:left="0" w:leftChars="0" w:firstLine="0" w:firstLineChars="0"/>
        <w:rPr>
          <w:rFonts w:hint="eastAsia"/>
        </w:rPr>
      </w:pPr>
      <w:r>
        <w:rPr>
          <w:rFonts w:hint="eastAsia" w:hAnsi="宋体"/>
          <w:b/>
          <w:color w:val="000000" w:themeColor="text1"/>
          <w:sz w:val="28"/>
          <w:szCs w:val="28"/>
          <w14:textFill>
            <w14:solidFill>
              <w14:schemeClr w14:val="tx1"/>
            </w14:solidFill>
          </w14:textFill>
        </w:rPr>
        <w:t>格式</w:t>
      </w:r>
      <w:r>
        <w:rPr>
          <w:rFonts w:hint="eastAsia" w:hAnsi="宋体"/>
          <w:b/>
          <w:color w:val="000000" w:themeColor="text1"/>
          <w:sz w:val="28"/>
          <w:szCs w:val="28"/>
          <w:lang w:val="en-US" w:eastAsia="zh-CN"/>
          <w14:textFill>
            <w14:solidFill>
              <w14:schemeClr w14:val="tx1"/>
            </w14:solidFill>
          </w14:textFill>
        </w:rPr>
        <w:t>3-4</w:t>
      </w:r>
    </w:p>
    <w:p w14:paraId="6937A69C">
      <w:pPr>
        <w:pStyle w:val="5"/>
        <w:bidi w:val="0"/>
        <w:jc w:val="center"/>
        <w:rPr>
          <w:rFonts w:hint="eastAsia"/>
        </w:rPr>
      </w:pPr>
      <w:r>
        <w:rPr>
          <w:rFonts w:hint="eastAsia"/>
        </w:rPr>
        <w:t>磋商保证金缴纳凭证</w:t>
      </w:r>
    </w:p>
    <w:p w14:paraId="4A74E202">
      <w:pPr>
        <w:autoSpaceDE w:val="0"/>
        <w:autoSpaceDN w:val="0"/>
        <w:adjustRightInd w:val="0"/>
        <w:spacing w:line="360" w:lineRule="auto"/>
        <w:jc w:val="left"/>
        <w:rPr>
          <w:rFonts w:hint="eastAsia" w:hAnsi="宋体"/>
          <w:b/>
          <w:snapToGrid/>
          <w:color w:val="000000" w:themeColor="text1"/>
          <w:kern w:val="0"/>
          <w:sz w:val="28"/>
          <w:szCs w:val="28"/>
          <w14:textFill>
            <w14:solidFill>
              <w14:schemeClr w14:val="tx1"/>
            </w14:solidFill>
          </w14:textFill>
        </w:rPr>
      </w:pPr>
    </w:p>
    <w:p w14:paraId="0A31E6C4">
      <w:pPr>
        <w:spacing w:line="440" w:lineRule="exact"/>
        <w:ind w:left="0" w:leftChars="0" w:firstLine="0" w:firstLineChars="0"/>
        <w:rPr>
          <w:rFonts w:hint="eastAsia" w:hAnsi="宋体" w:eastAsia="宋体"/>
          <w:b/>
          <w:snapToGrid/>
          <w:color w:val="000000" w:themeColor="text1"/>
          <w:kern w:val="0"/>
          <w:sz w:val="28"/>
          <w:szCs w:val="28"/>
          <w:lang w:eastAsia="zh-CN"/>
          <w14:textFill>
            <w14:solidFill>
              <w14:schemeClr w14:val="tx1"/>
            </w14:solidFill>
          </w14:textFill>
        </w:rPr>
      </w:pPr>
      <w:r>
        <w:rPr>
          <w:rFonts w:hint="eastAsia" w:hAnsi="宋体"/>
          <w:b/>
          <w:snapToGrid/>
          <w:color w:val="000000" w:themeColor="text1"/>
          <w:kern w:val="0"/>
          <w:sz w:val="28"/>
          <w:szCs w:val="28"/>
          <w14:textFill>
            <w14:solidFill>
              <w14:schemeClr w14:val="tx1"/>
            </w14:solidFill>
          </w14:textFill>
        </w:rPr>
        <w:t>格式</w:t>
      </w:r>
      <w:r>
        <w:rPr>
          <w:rFonts w:hint="eastAsia"/>
          <w:b/>
          <w:snapToGrid/>
          <w:color w:val="000000" w:themeColor="text1"/>
          <w:kern w:val="0"/>
          <w:sz w:val="28"/>
          <w:szCs w:val="28"/>
          <w:lang w:val="en-US" w:eastAsia="zh-CN"/>
          <w14:textFill>
            <w14:solidFill>
              <w14:schemeClr w14:val="tx1"/>
            </w14:solidFill>
          </w14:textFill>
        </w:rPr>
        <w:t>3-5</w:t>
      </w:r>
    </w:p>
    <w:p w14:paraId="57D46A6D">
      <w:pPr>
        <w:pStyle w:val="5"/>
        <w:bidi w:val="0"/>
        <w:jc w:val="center"/>
        <w:rPr>
          <w:rFonts w:hint="eastAsia"/>
          <w:lang w:val="en-US" w:eastAsia="zh-CN"/>
        </w:rPr>
      </w:pPr>
      <w:r>
        <w:rPr>
          <w:lang w:val="en-US"/>
        </w:rPr>
        <w:t>类似业绩</w:t>
      </w:r>
      <w:r>
        <w:rPr>
          <w:rFonts w:hint="eastAsia"/>
          <w:lang w:val="en-US" w:eastAsia="zh-CN"/>
        </w:rPr>
        <w:t>（如有）</w:t>
      </w:r>
    </w:p>
    <w:tbl>
      <w:tblPr>
        <w:tblStyle w:val="17"/>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45"/>
        <w:gridCol w:w="2237"/>
        <w:gridCol w:w="1396"/>
        <w:gridCol w:w="1707"/>
        <w:gridCol w:w="1552"/>
      </w:tblGrid>
      <w:tr w14:paraId="1DCE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71" w:type="dxa"/>
            <w:vAlign w:val="center"/>
          </w:tcPr>
          <w:p w14:paraId="6706E9A4">
            <w:pPr>
              <w:pStyle w:val="22"/>
              <w:bidi w:val="0"/>
              <w:jc w:val="center"/>
              <w:rPr>
                <w:rFonts w:hint="eastAsia"/>
                <w:b/>
                <w:bCs w:val="0"/>
              </w:rPr>
            </w:pPr>
            <w:r>
              <w:rPr>
                <w:rFonts w:hint="eastAsia"/>
                <w:b/>
                <w:bCs w:val="0"/>
              </w:rPr>
              <w:t>序号</w:t>
            </w:r>
          </w:p>
        </w:tc>
        <w:tc>
          <w:tcPr>
            <w:tcW w:w="1645" w:type="dxa"/>
            <w:vAlign w:val="center"/>
          </w:tcPr>
          <w:p w14:paraId="6B78AA3F">
            <w:pPr>
              <w:pStyle w:val="22"/>
              <w:bidi w:val="0"/>
              <w:jc w:val="center"/>
              <w:rPr>
                <w:rFonts w:hint="eastAsia"/>
                <w:b/>
                <w:bCs w:val="0"/>
              </w:rPr>
            </w:pPr>
            <w:r>
              <w:rPr>
                <w:b/>
                <w:bCs w:val="0"/>
              </w:rPr>
              <w:t>委托单位名称</w:t>
            </w:r>
          </w:p>
        </w:tc>
        <w:tc>
          <w:tcPr>
            <w:tcW w:w="2237" w:type="dxa"/>
            <w:vAlign w:val="center"/>
          </w:tcPr>
          <w:p w14:paraId="4AF45B55">
            <w:pPr>
              <w:pStyle w:val="22"/>
              <w:bidi w:val="0"/>
              <w:jc w:val="center"/>
              <w:rPr>
                <w:rFonts w:hint="eastAsia"/>
                <w:b/>
                <w:bCs w:val="0"/>
              </w:rPr>
            </w:pPr>
            <w:r>
              <w:rPr>
                <w:rFonts w:hint="eastAsia"/>
                <w:b/>
                <w:bCs w:val="0"/>
              </w:rPr>
              <w:t>项目名称</w:t>
            </w:r>
          </w:p>
        </w:tc>
        <w:tc>
          <w:tcPr>
            <w:tcW w:w="1396" w:type="dxa"/>
            <w:vAlign w:val="center"/>
          </w:tcPr>
          <w:p w14:paraId="1FD8A242">
            <w:pPr>
              <w:pStyle w:val="22"/>
              <w:bidi w:val="0"/>
              <w:jc w:val="center"/>
              <w:rPr>
                <w:rFonts w:hint="eastAsia"/>
                <w:b/>
                <w:bCs w:val="0"/>
              </w:rPr>
            </w:pPr>
            <w:r>
              <w:rPr>
                <w:rFonts w:hint="eastAsia"/>
                <w:b/>
                <w:bCs w:val="0"/>
              </w:rPr>
              <w:t>项目规模</w:t>
            </w:r>
          </w:p>
        </w:tc>
        <w:tc>
          <w:tcPr>
            <w:tcW w:w="1707" w:type="dxa"/>
            <w:vAlign w:val="center"/>
          </w:tcPr>
          <w:p w14:paraId="2141D851">
            <w:pPr>
              <w:pStyle w:val="22"/>
              <w:bidi w:val="0"/>
              <w:jc w:val="center"/>
              <w:rPr>
                <w:rFonts w:hint="eastAsia"/>
                <w:b/>
                <w:bCs w:val="0"/>
              </w:rPr>
            </w:pPr>
            <w:r>
              <w:rPr>
                <w:rFonts w:hint="eastAsia"/>
                <w:b/>
                <w:bCs w:val="0"/>
              </w:rPr>
              <w:t>委托时间</w:t>
            </w:r>
          </w:p>
        </w:tc>
        <w:tc>
          <w:tcPr>
            <w:tcW w:w="1552" w:type="dxa"/>
            <w:vAlign w:val="center"/>
          </w:tcPr>
          <w:p w14:paraId="7493E034">
            <w:pPr>
              <w:pStyle w:val="22"/>
              <w:bidi w:val="0"/>
              <w:jc w:val="center"/>
              <w:rPr>
                <w:rFonts w:hint="eastAsia"/>
                <w:b/>
                <w:bCs w:val="0"/>
              </w:rPr>
            </w:pPr>
            <w:r>
              <w:rPr>
                <w:rFonts w:hint="eastAsia"/>
                <w:b/>
                <w:bCs w:val="0"/>
              </w:rPr>
              <w:t>承担内容</w:t>
            </w:r>
          </w:p>
        </w:tc>
      </w:tr>
      <w:tr w14:paraId="709C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1" w:type="dxa"/>
            <w:vAlign w:val="center"/>
          </w:tcPr>
          <w:p w14:paraId="2C5C4D5E">
            <w:pPr>
              <w:pStyle w:val="22"/>
              <w:bidi w:val="0"/>
              <w:jc w:val="center"/>
            </w:pPr>
            <w:r>
              <w:t>1</w:t>
            </w:r>
          </w:p>
        </w:tc>
        <w:tc>
          <w:tcPr>
            <w:tcW w:w="1645" w:type="dxa"/>
            <w:vAlign w:val="center"/>
          </w:tcPr>
          <w:p w14:paraId="0488E676">
            <w:pPr>
              <w:pStyle w:val="22"/>
              <w:bidi w:val="0"/>
              <w:outlineLvl w:val="9"/>
              <w:rPr>
                <w:rFonts w:hint="eastAsia"/>
              </w:rPr>
            </w:pPr>
          </w:p>
        </w:tc>
        <w:tc>
          <w:tcPr>
            <w:tcW w:w="2237" w:type="dxa"/>
            <w:vAlign w:val="center"/>
          </w:tcPr>
          <w:p w14:paraId="0CD9ED1F">
            <w:pPr>
              <w:pStyle w:val="22"/>
              <w:bidi w:val="0"/>
              <w:outlineLvl w:val="9"/>
              <w:rPr>
                <w:rFonts w:hint="eastAsia"/>
              </w:rPr>
            </w:pPr>
          </w:p>
        </w:tc>
        <w:tc>
          <w:tcPr>
            <w:tcW w:w="1396" w:type="dxa"/>
          </w:tcPr>
          <w:p w14:paraId="37C4ECFD">
            <w:pPr>
              <w:pStyle w:val="22"/>
              <w:bidi w:val="0"/>
              <w:outlineLvl w:val="9"/>
              <w:rPr>
                <w:rFonts w:hint="eastAsia"/>
              </w:rPr>
            </w:pPr>
          </w:p>
        </w:tc>
        <w:tc>
          <w:tcPr>
            <w:tcW w:w="1707" w:type="dxa"/>
            <w:vAlign w:val="center"/>
          </w:tcPr>
          <w:p w14:paraId="4B30C854">
            <w:pPr>
              <w:pStyle w:val="22"/>
              <w:bidi w:val="0"/>
              <w:outlineLvl w:val="9"/>
              <w:rPr>
                <w:rFonts w:hint="eastAsia"/>
              </w:rPr>
            </w:pPr>
          </w:p>
        </w:tc>
        <w:tc>
          <w:tcPr>
            <w:tcW w:w="1552" w:type="dxa"/>
            <w:vAlign w:val="center"/>
          </w:tcPr>
          <w:p w14:paraId="0D5EA7BD">
            <w:pPr>
              <w:pStyle w:val="22"/>
              <w:bidi w:val="0"/>
              <w:outlineLvl w:val="9"/>
              <w:rPr>
                <w:rFonts w:hint="eastAsia"/>
              </w:rPr>
            </w:pPr>
          </w:p>
        </w:tc>
      </w:tr>
      <w:tr w14:paraId="406E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71" w:type="dxa"/>
            <w:vAlign w:val="center"/>
          </w:tcPr>
          <w:p w14:paraId="1C2EE347">
            <w:pPr>
              <w:pStyle w:val="22"/>
              <w:bidi w:val="0"/>
              <w:jc w:val="center"/>
            </w:pPr>
            <w:r>
              <w:t>2</w:t>
            </w:r>
          </w:p>
        </w:tc>
        <w:tc>
          <w:tcPr>
            <w:tcW w:w="1645" w:type="dxa"/>
            <w:vAlign w:val="center"/>
          </w:tcPr>
          <w:p w14:paraId="3DB54592">
            <w:pPr>
              <w:pStyle w:val="22"/>
              <w:bidi w:val="0"/>
              <w:outlineLvl w:val="9"/>
              <w:rPr>
                <w:rFonts w:hint="eastAsia"/>
              </w:rPr>
            </w:pPr>
          </w:p>
        </w:tc>
        <w:tc>
          <w:tcPr>
            <w:tcW w:w="2237" w:type="dxa"/>
            <w:vAlign w:val="center"/>
          </w:tcPr>
          <w:p w14:paraId="38CF50C0">
            <w:pPr>
              <w:pStyle w:val="22"/>
              <w:bidi w:val="0"/>
              <w:outlineLvl w:val="9"/>
              <w:rPr>
                <w:rFonts w:hint="eastAsia"/>
              </w:rPr>
            </w:pPr>
          </w:p>
        </w:tc>
        <w:tc>
          <w:tcPr>
            <w:tcW w:w="1396" w:type="dxa"/>
          </w:tcPr>
          <w:p w14:paraId="44224DBC">
            <w:pPr>
              <w:pStyle w:val="22"/>
              <w:bidi w:val="0"/>
              <w:outlineLvl w:val="9"/>
              <w:rPr>
                <w:rFonts w:hint="eastAsia"/>
              </w:rPr>
            </w:pPr>
          </w:p>
        </w:tc>
        <w:tc>
          <w:tcPr>
            <w:tcW w:w="1707" w:type="dxa"/>
            <w:vAlign w:val="center"/>
          </w:tcPr>
          <w:p w14:paraId="37236F4E">
            <w:pPr>
              <w:pStyle w:val="22"/>
              <w:bidi w:val="0"/>
              <w:outlineLvl w:val="9"/>
              <w:rPr>
                <w:rFonts w:hint="eastAsia"/>
              </w:rPr>
            </w:pPr>
          </w:p>
        </w:tc>
        <w:tc>
          <w:tcPr>
            <w:tcW w:w="1552" w:type="dxa"/>
            <w:vAlign w:val="center"/>
          </w:tcPr>
          <w:p w14:paraId="5D381C8C">
            <w:pPr>
              <w:pStyle w:val="22"/>
              <w:bidi w:val="0"/>
              <w:outlineLvl w:val="9"/>
              <w:rPr>
                <w:rFonts w:hint="eastAsia"/>
              </w:rPr>
            </w:pPr>
          </w:p>
        </w:tc>
      </w:tr>
      <w:tr w14:paraId="15E7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71" w:type="dxa"/>
            <w:vAlign w:val="center"/>
          </w:tcPr>
          <w:p w14:paraId="506C4725">
            <w:pPr>
              <w:pStyle w:val="22"/>
              <w:bidi w:val="0"/>
              <w:jc w:val="center"/>
            </w:pPr>
            <w:r>
              <w:t>3</w:t>
            </w:r>
          </w:p>
        </w:tc>
        <w:tc>
          <w:tcPr>
            <w:tcW w:w="1645" w:type="dxa"/>
            <w:vAlign w:val="center"/>
          </w:tcPr>
          <w:p w14:paraId="02F189CB">
            <w:pPr>
              <w:pStyle w:val="22"/>
              <w:bidi w:val="0"/>
              <w:outlineLvl w:val="9"/>
              <w:rPr>
                <w:rFonts w:hint="eastAsia"/>
              </w:rPr>
            </w:pPr>
          </w:p>
        </w:tc>
        <w:tc>
          <w:tcPr>
            <w:tcW w:w="2237" w:type="dxa"/>
            <w:vAlign w:val="center"/>
          </w:tcPr>
          <w:p w14:paraId="114FC45F">
            <w:pPr>
              <w:pStyle w:val="22"/>
              <w:bidi w:val="0"/>
              <w:outlineLvl w:val="9"/>
              <w:rPr>
                <w:rFonts w:hint="eastAsia"/>
              </w:rPr>
            </w:pPr>
          </w:p>
        </w:tc>
        <w:tc>
          <w:tcPr>
            <w:tcW w:w="1396" w:type="dxa"/>
          </w:tcPr>
          <w:p w14:paraId="684409C0">
            <w:pPr>
              <w:pStyle w:val="22"/>
              <w:bidi w:val="0"/>
              <w:outlineLvl w:val="9"/>
              <w:rPr>
                <w:rFonts w:hint="eastAsia"/>
              </w:rPr>
            </w:pPr>
          </w:p>
        </w:tc>
        <w:tc>
          <w:tcPr>
            <w:tcW w:w="1707" w:type="dxa"/>
            <w:vAlign w:val="center"/>
          </w:tcPr>
          <w:p w14:paraId="488A6994">
            <w:pPr>
              <w:pStyle w:val="22"/>
              <w:bidi w:val="0"/>
              <w:outlineLvl w:val="9"/>
              <w:rPr>
                <w:rFonts w:hint="eastAsia"/>
              </w:rPr>
            </w:pPr>
          </w:p>
        </w:tc>
        <w:tc>
          <w:tcPr>
            <w:tcW w:w="1552" w:type="dxa"/>
            <w:vAlign w:val="center"/>
          </w:tcPr>
          <w:p w14:paraId="26FA7DD8">
            <w:pPr>
              <w:pStyle w:val="22"/>
              <w:bidi w:val="0"/>
              <w:outlineLvl w:val="9"/>
              <w:rPr>
                <w:rFonts w:hint="eastAsia"/>
              </w:rPr>
            </w:pPr>
          </w:p>
        </w:tc>
      </w:tr>
      <w:tr w14:paraId="56AD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1" w:type="dxa"/>
            <w:vAlign w:val="center"/>
          </w:tcPr>
          <w:p w14:paraId="1AEBC613">
            <w:pPr>
              <w:pStyle w:val="22"/>
              <w:bidi w:val="0"/>
              <w:jc w:val="center"/>
            </w:pPr>
            <w:r>
              <w:t>4</w:t>
            </w:r>
          </w:p>
        </w:tc>
        <w:tc>
          <w:tcPr>
            <w:tcW w:w="1645" w:type="dxa"/>
            <w:vAlign w:val="center"/>
          </w:tcPr>
          <w:p w14:paraId="5D0C3147">
            <w:pPr>
              <w:pStyle w:val="22"/>
              <w:bidi w:val="0"/>
              <w:outlineLvl w:val="9"/>
              <w:rPr>
                <w:rFonts w:hint="eastAsia"/>
              </w:rPr>
            </w:pPr>
          </w:p>
        </w:tc>
        <w:tc>
          <w:tcPr>
            <w:tcW w:w="2237" w:type="dxa"/>
            <w:vAlign w:val="center"/>
          </w:tcPr>
          <w:p w14:paraId="12A8F301">
            <w:pPr>
              <w:pStyle w:val="22"/>
              <w:bidi w:val="0"/>
              <w:outlineLvl w:val="9"/>
              <w:rPr>
                <w:rFonts w:hint="eastAsia"/>
              </w:rPr>
            </w:pPr>
          </w:p>
        </w:tc>
        <w:tc>
          <w:tcPr>
            <w:tcW w:w="1396" w:type="dxa"/>
          </w:tcPr>
          <w:p w14:paraId="6D84A30F">
            <w:pPr>
              <w:pStyle w:val="22"/>
              <w:bidi w:val="0"/>
              <w:outlineLvl w:val="9"/>
              <w:rPr>
                <w:rFonts w:hint="eastAsia"/>
              </w:rPr>
            </w:pPr>
          </w:p>
        </w:tc>
        <w:tc>
          <w:tcPr>
            <w:tcW w:w="1707" w:type="dxa"/>
            <w:vAlign w:val="center"/>
          </w:tcPr>
          <w:p w14:paraId="154E45A3">
            <w:pPr>
              <w:pStyle w:val="22"/>
              <w:bidi w:val="0"/>
              <w:outlineLvl w:val="9"/>
              <w:rPr>
                <w:rFonts w:hint="eastAsia"/>
              </w:rPr>
            </w:pPr>
          </w:p>
        </w:tc>
        <w:tc>
          <w:tcPr>
            <w:tcW w:w="1552" w:type="dxa"/>
            <w:vAlign w:val="center"/>
          </w:tcPr>
          <w:p w14:paraId="6D37991D">
            <w:pPr>
              <w:pStyle w:val="22"/>
              <w:bidi w:val="0"/>
              <w:outlineLvl w:val="9"/>
              <w:rPr>
                <w:rFonts w:hint="eastAsia"/>
              </w:rPr>
            </w:pPr>
          </w:p>
        </w:tc>
      </w:tr>
      <w:tr w14:paraId="4C59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1" w:type="dxa"/>
            <w:vAlign w:val="center"/>
          </w:tcPr>
          <w:p w14:paraId="785FD09A">
            <w:pPr>
              <w:pStyle w:val="22"/>
              <w:bidi w:val="0"/>
              <w:jc w:val="center"/>
            </w:pPr>
            <w:r>
              <w:t>5</w:t>
            </w:r>
          </w:p>
        </w:tc>
        <w:tc>
          <w:tcPr>
            <w:tcW w:w="1645" w:type="dxa"/>
            <w:vAlign w:val="center"/>
          </w:tcPr>
          <w:p w14:paraId="314D26D3">
            <w:pPr>
              <w:pStyle w:val="22"/>
              <w:bidi w:val="0"/>
              <w:outlineLvl w:val="9"/>
              <w:rPr>
                <w:rFonts w:hint="eastAsia"/>
              </w:rPr>
            </w:pPr>
          </w:p>
        </w:tc>
        <w:tc>
          <w:tcPr>
            <w:tcW w:w="2237" w:type="dxa"/>
            <w:vAlign w:val="center"/>
          </w:tcPr>
          <w:p w14:paraId="36991AA7">
            <w:pPr>
              <w:pStyle w:val="22"/>
              <w:bidi w:val="0"/>
              <w:outlineLvl w:val="9"/>
              <w:rPr>
                <w:rFonts w:hint="eastAsia"/>
              </w:rPr>
            </w:pPr>
          </w:p>
        </w:tc>
        <w:tc>
          <w:tcPr>
            <w:tcW w:w="1396" w:type="dxa"/>
          </w:tcPr>
          <w:p w14:paraId="413016ED">
            <w:pPr>
              <w:pStyle w:val="22"/>
              <w:bidi w:val="0"/>
              <w:outlineLvl w:val="9"/>
              <w:rPr>
                <w:rFonts w:hint="eastAsia"/>
              </w:rPr>
            </w:pPr>
          </w:p>
        </w:tc>
        <w:tc>
          <w:tcPr>
            <w:tcW w:w="1707" w:type="dxa"/>
            <w:vAlign w:val="center"/>
          </w:tcPr>
          <w:p w14:paraId="16A2857E">
            <w:pPr>
              <w:pStyle w:val="22"/>
              <w:bidi w:val="0"/>
              <w:outlineLvl w:val="9"/>
              <w:rPr>
                <w:rFonts w:hint="eastAsia"/>
              </w:rPr>
            </w:pPr>
          </w:p>
        </w:tc>
        <w:tc>
          <w:tcPr>
            <w:tcW w:w="1552" w:type="dxa"/>
            <w:vAlign w:val="center"/>
          </w:tcPr>
          <w:p w14:paraId="38C6608F">
            <w:pPr>
              <w:pStyle w:val="22"/>
              <w:bidi w:val="0"/>
              <w:outlineLvl w:val="9"/>
              <w:rPr>
                <w:rFonts w:hint="eastAsia"/>
              </w:rPr>
            </w:pPr>
          </w:p>
        </w:tc>
      </w:tr>
      <w:tr w14:paraId="2CB8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71" w:type="dxa"/>
            <w:vAlign w:val="center"/>
          </w:tcPr>
          <w:p w14:paraId="61445256">
            <w:pPr>
              <w:pStyle w:val="22"/>
              <w:bidi w:val="0"/>
              <w:jc w:val="center"/>
            </w:pPr>
            <w:r>
              <w:t>…</w:t>
            </w:r>
          </w:p>
        </w:tc>
        <w:tc>
          <w:tcPr>
            <w:tcW w:w="1645" w:type="dxa"/>
            <w:vAlign w:val="center"/>
          </w:tcPr>
          <w:p w14:paraId="1EB25817">
            <w:pPr>
              <w:pStyle w:val="22"/>
              <w:bidi w:val="0"/>
              <w:outlineLvl w:val="9"/>
              <w:rPr>
                <w:rFonts w:hint="eastAsia"/>
              </w:rPr>
            </w:pPr>
          </w:p>
        </w:tc>
        <w:tc>
          <w:tcPr>
            <w:tcW w:w="2237" w:type="dxa"/>
            <w:vAlign w:val="center"/>
          </w:tcPr>
          <w:p w14:paraId="12438207">
            <w:pPr>
              <w:pStyle w:val="22"/>
              <w:bidi w:val="0"/>
              <w:outlineLvl w:val="9"/>
              <w:rPr>
                <w:rFonts w:hint="eastAsia"/>
              </w:rPr>
            </w:pPr>
          </w:p>
        </w:tc>
        <w:tc>
          <w:tcPr>
            <w:tcW w:w="1396" w:type="dxa"/>
          </w:tcPr>
          <w:p w14:paraId="764370BA">
            <w:pPr>
              <w:pStyle w:val="22"/>
              <w:bidi w:val="0"/>
              <w:outlineLvl w:val="9"/>
              <w:rPr>
                <w:rFonts w:hint="eastAsia"/>
              </w:rPr>
            </w:pPr>
          </w:p>
        </w:tc>
        <w:tc>
          <w:tcPr>
            <w:tcW w:w="1707" w:type="dxa"/>
            <w:vAlign w:val="center"/>
          </w:tcPr>
          <w:p w14:paraId="0115B3DB">
            <w:pPr>
              <w:pStyle w:val="22"/>
              <w:bidi w:val="0"/>
              <w:outlineLvl w:val="9"/>
              <w:rPr>
                <w:rFonts w:hint="eastAsia"/>
              </w:rPr>
            </w:pPr>
          </w:p>
        </w:tc>
        <w:tc>
          <w:tcPr>
            <w:tcW w:w="1552" w:type="dxa"/>
            <w:vAlign w:val="center"/>
          </w:tcPr>
          <w:p w14:paraId="1FD37992">
            <w:pPr>
              <w:pStyle w:val="22"/>
              <w:bidi w:val="0"/>
              <w:outlineLvl w:val="9"/>
              <w:rPr>
                <w:rFonts w:hint="eastAsia"/>
              </w:rPr>
            </w:pPr>
          </w:p>
        </w:tc>
      </w:tr>
    </w:tbl>
    <w:p w14:paraId="382A918A">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w:t>
      </w:r>
    </w:p>
    <w:p w14:paraId="2C4418AF">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1、本表后须按上表提供相对应的业绩证明材料</w:t>
      </w:r>
      <w:r>
        <w:rPr>
          <w:rFonts w:hint="eastAsia"/>
          <w:color w:val="000000" w:themeColor="text1"/>
          <w:szCs w:val="21"/>
          <w:lang w:val="zh-CN"/>
          <w14:textFill>
            <w14:solidFill>
              <w14:schemeClr w14:val="tx1"/>
            </w14:solidFill>
          </w14:textFill>
        </w:rPr>
        <w:t>原件扫描</w:t>
      </w:r>
      <w:r>
        <w:rPr>
          <w:rFonts w:hint="eastAsia" w:hAnsi="宋体"/>
          <w:color w:val="000000" w:themeColor="text1"/>
          <w:szCs w:val="21"/>
          <w14:textFill>
            <w14:solidFill>
              <w14:schemeClr w14:val="tx1"/>
            </w14:solidFill>
          </w14:textFill>
        </w:rPr>
        <w:t>件，业绩证明材料为合同协议书；无证明材料或未按要求提供证明材料或证明材料无法体现内容的，不予认可。</w:t>
      </w:r>
    </w:p>
    <w:p w14:paraId="1D786785">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2、供应商可根据实际情况拓展本表。</w:t>
      </w:r>
    </w:p>
    <w:p w14:paraId="043BF978">
      <w:pPr>
        <w:rPr>
          <w:color w:val="000000" w:themeColor="text1"/>
          <w14:textFill>
            <w14:solidFill>
              <w14:schemeClr w14:val="tx1"/>
            </w14:solidFill>
          </w14:textFill>
        </w:rPr>
      </w:pPr>
    </w:p>
    <w:p w14:paraId="2E612577">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0" w:firstLine="428"/>
        <w:jc w:val="both"/>
        <w:textAlignment w:val="auto"/>
        <w:outlineLvl w:val="9"/>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lang w:val="en-US" w:eastAsia="zh-CN"/>
        </w:rPr>
        <w:t>供应商</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 xml:space="preserve"> </w:t>
      </w:r>
      <w:r>
        <w:rPr>
          <w:rFonts w:hint="eastAsia" w:ascii="Times New Roman" w:hAnsi="Times New Roman" w:cs="Times New Roman"/>
          <w:b/>
          <w:bCs/>
          <w:color w:val="auto"/>
          <w:szCs w:val="21"/>
          <w:highlight w:val="none"/>
          <w:u w:val="single"/>
          <w:lang w:val="en-US" w:eastAsia="zh-CN"/>
        </w:rPr>
        <w:t xml:space="preserve">                     </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电子签</w:t>
      </w:r>
      <w:r>
        <w:rPr>
          <w:rFonts w:hint="eastAsia" w:ascii="Times New Roman" w:hAnsi="Times New Roman" w:cs="Times New Roman"/>
          <w:b/>
          <w:bCs/>
          <w:color w:val="auto"/>
          <w:szCs w:val="21"/>
          <w:highlight w:val="none"/>
        </w:rPr>
        <w:t>章</w:t>
      </w:r>
      <w:r>
        <w:rPr>
          <w:rFonts w:ascii="Times New Roman" w:hAnsi="Times New Roman" w:cs="Times New Roman"/>
          <w:b/>
          <w:bCs/>
          <w:color w:val="auto"/>
          <w:szCs w:val="21"/>
          <w:highlight w:val="none"/>
        </w:rPr>
        <w:t>）</w:t>
      </w:r>
    </w:p>
    <w:p w14:paraId="327E1E5A">
      <w:pPr>
        <w:keepNext w:val="0"/>
        <w:keepLines w:val="0"/>
        <w:pageBreakBefore w:val="0"/>
        <w:widowControl w:val="0"/>
        <w:tabs>
          <w:tab w:val="left" w:pos="4860"/>
        </w:tabs>
        <w:kinsoku/>
        <w:wordWrap/>
        <w:overflowPunct/>
        <w:topLinePunct w:val="0"/>
        <w:autoSpaceDE/>
        <w:autoSpaceDN/>
        <w:bidi w:val="0"/>
        <w:adjustRightInd/>
        <w:snapToGrid/>
        <w:spacing w:line="480" w:lineRule="auto"/>
        <w:ind w:right="0" w:firstLine="428"/>
        <w:jc w:val="both"/>
        <w:textAlignment w:val="auto"/>
        <w:outlineLvl w:val="9"/>
        <w:rPr>
          <w:rFonts w:ascii="Times New Roman" w:hAnsi="Times New Roman" w:cs="Times New Roman"/>
          <w:b/>
          <w:bCs/>
          <w:color w:val="auto"/>
          <w:szCs w:val="21"/>
          <w:highlight w:val="none"/>
          <w:u w:val="single"/>
        </w:rPr>
      </w:pPr>
      <w:r>
        <w:rPr>
          <w:rFonts w:ascii="Times New Roman" w:hAnsi="Times New Roman" w:cs="Times New Roman"/>
          <w:b/>
          <w:bCs/>
          <w:color w:val="auto"/>
          <w:szCs w:val="21"/>
          <w:highlight w:val="none"/>
        </w:rPr>
        <w:t>法定代表人</w:t>
      </w:r>
      <w:r>
        <w:rPr>
          <w:rFonts w:hint="eastAsia" w:ascii="Times New Roman" w:hAnsi="Times New Roman" w:cs="Times New Roman"/>
          <w:b/>
          <w:bCs/>
          <w:color w:val="auto"/>
          <w:szCs w:val="21"/>
          <w:highlight w:val="none"/>
        </w:rPr>
        <w:t>或委托代理人</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u w:val="single"/>
          <w:lang w:val="en-US" w:eastAsia="zh-CN"/>
        </w:rPr>
        <w:t xml:space="preserve">           </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rPr>
        <w:t>电子</w:t>
      </w:r>
      <w:r>
        <w:rPr>
          <w:rFonts w:ascii="Times New Roman" w:hAnsi="Times New Roman" w:cs="Times New Roman"/>
          <w:b/>
          <w:bCs/>
          <w:color w:val="auto"/>
          <w:szCs w:val="21"/>
          <w:highlight w:val="none"/>
        </w:rPr>
        <w:t>签名或</w:t>
      </w:r>
      <w:r>
        <w:rPr>
          <w:rFonts w:hint="eastAsia" w:ascii="Times New Roman" w:hAnsi="Times New Roman" w:cs="Times New Roman"/>
          <w:b/>
          <w:bCs/>
          <w:color w:val="auto"/>
          <w:szCs w:val="21"/>
          <w:highlight w:val="none"/>
        </w:rPr>
        <w:t>电子</w:t>
      </w:r>
      <w:r>
        <w:rPr>
          <w:rFonts w:ascii="Times New Roman" w:hAnsi="Times New Roman" w:cs="Times New Roman"/>
          <w:b/>
          <w:bCs/>
          <w:color w:val="auto"/>
          <w:szCs w:val="21"/>
          <w:highlight w:val="none"/>
        </w:rPr>
        <w:t>签章）</w:t>
      </w:r>
    </w:p>
    <w:p w14:paraId="23173B08">
      <w:pPr>
        <w:keepNext w:val="0"/>
        <w:keepLines w:val="0"/>
        <w:pageBreakBefore w:val="0"/>
        <w:widowControl w:val="0"/>
        <w:kinsoku/>
        <w:wordWrap/>
        <w:overflowPunct/>
        <w:topLinePunct w:val="0"/>
        <w:autoSpaceDE/>
        <w:autoSpaceDN/>
        <w:bidi w:val="0"/>
        <w:adjustRightInd/>
        <w:snapToGrid/>
        <w:spacing w:line="480" w:lineRule="auto"/>
        <w:jc w:val="both"/>
        <w:textAlignment w:val="auto"/>
      </w:pPr>
      <w:r>
        <w:rPr>
          <w:rFonts w:ascii="Times New Roman" w:hAnsi="Times New Roman" w:cs="Times New Roman"/>
          <w:b/>
          <w:bCs/>
          <w:color w:val="auto"/>
          <w:szCs w:val="21"/>
          <w:highlight w:val="none"/>
        </w:rPr>
        <w:t>日</w:t>
      </w:r>
      <w:r>
        <w:rPr>
          <w:rFonts w:hint="eastAsia" w:ascii="Times New Roman" w:hAnsi="Times New Roman" w:cs="Times New Roman"/>
          <w:b/>
          <w:bCs/>
          <w:color w:val="auto"/>
          <w:szCs w:val="21"/>
          <w:highlight w:val="none"/>
        </w:rPr>
        <w:t xml:space="preserve">    </w:t>
      </w:r>
      <w:r>
        <w:rPr>
          <w:rFonts w:ascii="Times New Roman" w:hAnsi="Times New Roman" w:cs="Times New Roman"/>
          <w:b/>
          <w:bCs/>
          <w:color w:val="auto"/>
          <w:szCs w:val="21"/>
          <w:highlight w:val="none"/>
        </w:rPr>
        <w:t>期：</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年</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月</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日</w:t>
      </w:r>
    </w:p>
    <w:p w14:paraId="606F5F31">
      <w:pPr>
        <w:ind w:left="0" w:leftChars="0" w:firstLine="420" w:firstLineChars="200"/>
        <w:rPr>
          <w:rFonts w:hint="eastAsia"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br w:type="page"/>
      </w:r>
    </w:p>
    <w:p w14:paraId="606F5FF4">
      <w:pPr>
        <w:spacing w:line="440" w:lineRule="exact"/>
        <w:ind w:left="0" w:leftChars="0" w:firstLine="0" w:firstLineChars="0"/>
        <w:rPr>
          <w:rFonts w:hint="eastAsia" w:hAnsi="宋体" w:eastAsia="宋体"/>
          <w:b/>
          <w:snapToGrid/>
          <w:color w:val="000000" w:themeColor="text1"/>
          <w:kern w:val="0"/>
          <w:sz w:val="28"/>
          <w:szCs w:val="28"/>
          <w:highlight w:val="none"/>
          <w:lang w:eastAsia="zh-CN"/>
          <w14:textFill>
            <w14:solidFill>
              <w14:schemeClr w14:val="tx1"/>
            </w14:solidFill>
          </w14:textFill>
        </w:rPr>
      </w:pPr>
      <w:r>
        <w:rPr>
          <w:rFonts w:hint="eastAsia" w:hAnsi="宋体"/>
          <w:b/>
          <w:snapToGrid/>
          <w:color w:val="000000" w:themeColor="text1"/>
          <w:kern w:val="0"/>
          <w:sz w:val="28"/>
          <w:szCs w:val="28"/>
          <w:highlight w:val="none"/>
          <w14:textFill>
            <w14:solidFill>
              <w14:schemeClr w14:val="tx1"/>
            </w14:solidFill>
          </w14:textFill>
        </w:rPr>
        <w:t>格式</w:t>
      </w:r>
      <w:r>
        <w:rPr>
          <w:rFonts w:hint="eastAsia"/>
          <w:b/>
          <w:snapToGrid/>
          <w:color w:val="000000" w:themeColor="text1"/>
          <w:kern w:val="0"/>
          <w:sz w:val="28"/>
          <w:szCs w:val="28"/>
          <w:highlight w:val="none"/>
          <w:lang w:val="en-US" w:eastAsia="zh-CN"/>
          <w14:textFill>
            <w14:solidFill>
              <w14:schemeClr w14:val="tx1"/>
            </w14:solidFill>
          </w14:textFill>
        </w:rPr>
        <w:t>3</w:t>
      </w:r>
      <w:r>
        <w:rPr>
          <w:rFonts w:hint="eastAsia" w:hAnsi="宋体"/>
          <w:b/>
          <w:snapToGrid/>
          <w:color w:val="000000" w:themeColor="text1"/>
          <w:kern w:val="0"/>
          <w:sz w:val="28"/>
          <w:szCs w:val="28"/>
          <w:highlight w:val="none"/>
          <w14:textFill>
            <w14:solidFill>
              <w14:schemeClr w14:val="tx1"/>
            </w14:solidFill>
          </w14:textFill>
        </w:rPr>
        <w:t>-</w:t>
      </w:r>
      <w:r>
        <w:rPr>
          <w:rFonts w:hint="eastAsia"/>
          <w:b/>
          <w:snapToGrid/>
          <w:color w:val="000000" w:themeColor="text1"/>
          <w:kern w:val="0"/>
          <w:sz w:val="28"/>
          <w:szCs w:val="28"/>
          <w:highlight w:val="none"/>
          <w:lang w:val="en-US" w:eastAsia="zh-CN"/>
          <w14:textFill>
            <w14:solidFill>
              <w14:schemeClr w14:val="tx1"/>
            </w14:solidFill>
          </w14:textFill>
        </w:rPr>
        <w:t>7</w:t>
      </w:r>
    </w:p>
    <w:p w14:paraId="67EF4BB5">
      <w:pPr>
        <w:pStyle w:val="5"/>
        <w:tabs>
          <w:tab w:val="left" w:pos="432"/>
          <w:tab w:val="left" w:pos="720"/>
        </w:tabs>
        <w:spacing w:before="240" w:after="240" w:line="360" w:lineRule="auto"/>
        <w:ind w:firstLine="0"/>
        <w:jc w:val="center"/>
        <w:rPr>
          <w:rFonts w:ascii="宋体" w:eastAsia="宋体"/>
          <w:b/>
          <w:bCs w:val="0"/>
          <w:color w:val="000000" w:themeColor="text1"/>
          <w:szCs w:val="30"/>
          <w:highlight w:val="none"/>
          <w:lang w:val="en-US"/>
          <w14:textFill>
            <w14:solidFill>
              <w14:schemeClr w14:val="tx1"/>
            </w14:solidFill>
          </w14:textFill>
        </w:rPr>
      </w:pPr>
      <w:r>
        <w:rPr>
          <w:rFonts w:hint="eastAsia" w:ascii="宋体" w:eastAsia="宋体"/>
          <w:b/>
          <w:bCs w:val="0"/>
          <w:color w:val="000000" w:themeColor="text1"/>
          <w:szCs w:val="30"/>
          <w:highlight w:val="none"/>
          <w:lang w:val="en-US"/>
          <w14:textFill>
            <w14:solidFill>
              <w14:schemeClr w14:val="tx1"/>
            </w14:solidFill>
          </w14:textFill>
        </w:rPr>
        <w:t>项目整体实施方案</w:t>
      </w:r>
    </w:p>
    <w:p w14:paraId="62384E2C">
      <w:pPr>
        <w:spacing w:line="360" w:lineRule="auto"/>
        <w:ind w:left="-141" w:leftChars="-67" w:right="-143" w:rightChars="-68"/>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（供应商按照竞争性磋商文件要求、评审办法的评审内容及采购需求由供应商自行编写，格式自拟）</w:t>
      </w:r>
    </w:p>
    <w:p w14:paraId="251BCBA6">
      <w:pPr>
        <w:spacing w:line="360" w:lineRule="auto"/>
        <w:jc w:val="center"/>
        <w:rPr>
          <w:color w:val="000000" w:themeColor="text1"/>
          <w14:textFill>
            <w14:solidFill>
              <w14:schemeClr w14:val="tx1"/>
            </w14:solidFill>
          </w14:textFill>
        </w:rPr>
      </w:pPr>
    </w:p>
    <w:p w14:paraId="366054BB">
      <w:pPr>
        <w:spacing w:line="440" w:lineRule="exact"/>
        <w:ind w:left="0" w:leftChars="0" w:firstLine="0" w:firstLineChars="0"/>
        <w:rPr>
          <w:rFonts w:hint="eastAsia" w:hAnsi="宋体" w:eastAsia="宋体"/>
          <w:b/>
          <w:snapToGrid/>
          <w:color w:val="000000" w:themeColor="text1"/>
          <w:kern w:val="0"/>
          <w:sz w:val="28"/>
          <w:szCs w:val="28"/>
          <w:lang w:eastAsia="zh-CN"/>
          <w14:textFill>
            <w14:solidFill>
              <w14:schemeClr w14:val="tx1"/>
            </w14:solidFill>
          </w14:textFill>
        </w:rPr>
      </w:pPr>
      <w:r>
        <w:rPr>
          <w:rFonts w:hint="eastAsia" w:hAnsi="宋体"/>
          <w:b/>
          <w:snapToGrid/>
          <w:color w:val="000000" w:themeColor="text1"/>
          <w:kern w:val="0"/>
          <w:sz w:val="28"/>
          <w:szCs w:val="28"/>
          <w14:textFill>
            <w14:solidFill>
              <w14:schemeClr w14:val="tx1"/>
            </w14:solidFill>
          </w14:textFill>
        </w:rPr>
        <w:t>格式</w:t>
      </w:r>
      <w:r>
        <w:rPr>
          <w:rFonts w:hint="eastAsia"/>
          <w:b/>
          <w:snapToGrid/>
          <w:color w:val="000000" w:themeColor="text1"/>
          <w:kern w:val="0"/>
          <w:sz w:val="28"/>
          <w:szCs w:val="28"/>
          <w:lang w:val="en-US" w:eastAsia="zh-CN"/>
          <w14:textFill>
            <w14:solidFill>
              <w14:schemeClr w14:val="tx1"/>
            </w14:solidFill>
          </w14:textFill>
        </w:rPr>
        <w:t>3</w:t>
      </w:r>
      <w:r>
        <w:rPr>
          <w:rFonts w:hint="eastAsia" w:hAnsi="宋体"/>
          <w:b/>
          <w:snapToGrid/>
          <w:color w:val="000000" w:themeColor="text1"/>
          <w:kern w:val="0"/>
          <w:sz w:val="28"/>
          <w:szCs w:val="28"/>
          <w14:textFill>
            <w14:solidFill>
              <w14:schemeClr w14:val="tx1"/>
            </w14:solidFill>
          </w14:textFill>
        </w:rPr>
        <w:t>-</w:t>
      </w:r>
      <w:r>
        <w:rPr>
          <w:rFonts w:hint="eastAsia"/>
          <w:b/>
          <w:snapToGrid/>
          <w:color w:val="000000" w:themeColor="text1"/>
          <w:kern w:val="0"/>
          <w:sz w:val="28"/>
          <w:szCs w:val="28"/>
          <w:lang w:val="en-US" w:eastAsia="zh-CN"/>
          <w14:textFill>
            <w14:solidFill>
              <w14:schemeClr w14:val="tx1"/>
            </w14:solidFill>
          </w14:textFill>
        </w:rPr>
        <w:t>8</w:t>
      </w:r>
    </w:p>
    <w:p w14:paraId="289F50F8">
      <w:pPr>
        <w:pStyle w:val="5"/>
        <w:tabs>
          <w:tab w:val="left" w:pos="432"/>
          <w:tab w:val="left" w:pos="720"/>
        </w:tabs>
        <w:spacing w:before="240" w:after="240" w:line="360" w:lineRule="auto"/>
        <w:ind w:firstLine="0"/>
        <w:jc w:val="center"/>
        <w:rPr>
          <w:rFonts w:ascii="宋体" w:eastAsia="宋体"/>
          <w:b/>
          <w:bCs w:val="0"/>
          <w:color w:val="000000" w:themeColor="text1"/>
          <w:szCs w:val="30"/>
          <w:lang w:val="en-US"/>
          <w14:textFill>
            <w14:solidFill>
              <w14:schemeClr w14:val="tx1"/>
            </w14:solidFill>
          </w14:textFill>
        </w:rPr>
      </w:pPr>
      <w:r>
        <w:rPr>
          <w:rFonts w:hint="eastAsia" w:ascii="宋体" w:eastAsia="宋体"/>
          <w:b/>
          <w:bCs w:val="0"/>
          <w:color w:val="000000" w:themeColor="text1"/>
          <w:szCs w:val="30"/>
          <w:lang w:val="en-US"/>
          <w14:textFill>
            <w14:solidFill>
              <w14:schemeClr w14:val="tx1"/>
            </w14:solidFill>
          </w14:textFill>
        </w:rPr>
        <w:t>防治</w:t>
      </w:r>
      <w:r>
        <w:rPr>
          <w:rFonts w:hint="eastAsia"/>
          <w:b/>
          <w:bCs w:val="0"/>
          <w:color w:val="000000" w:themeColor="text1"/>
          <w:szCs w:val="30"/>
          <w:lang w:val="en-US" w:eastAsia="zh-CN"/>
          <w14:textFill>
            <w14:solidFill>
              <w14:schemeClr w14:val="tx1"/>
            </w14:solidFill>
          </w14:textFill>
        </w:rPr>
        <w:t>服务</w:t>
      </w:r>
      <w:r>
        <w:rPr>
          <w:rFonts w:hint="eastAsia" w:ascii="宋体" w:eastAsia="宋体"/>
          <w:b/>
          <w:bCs w:val="0"/>
          <w:color w:val="000000" w:themeColor="text1"/>
          <w:szCs w:val="30"/>
          <w:lang w:val="en-US"/>
          <w14:textFill>
            <w14:solidFill>
              <w14:schemeClr w14:val="tx1"/>
            </w14:solidFill>
          </w14:textFill>
        </w:rPr>
        <w:t>质量保证措施及承诺</w:t>
      </w:r>
    </w:p>
    <w:p w14:paraId="02F1F511">
      <w:pPr>
        <w:spacing w:line="360" w:lineRule="auto"/>
        <w:ind w:left="-141" w:leftChars="-67" w:right="-143" w:rightChars="-68"/>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（供应商按照竞争性磋商文件要求、评审办法的评审内容及采购需求由供应商自行编写，格式自拟）</w:t>
      </w:r>
    </w:p>
    <w:p w14:paraId="17533EC8">
      <w:pPr>
        <w:spacing w:line="360" w:lineRule="auto"/>
        <w:jc w:val="center"/>
        <w:rPr>
          <w:color w:val="000000" w:themeColor="text1"/>
          <w14:textFill>
            <w14:solidFill>
              <w14:schemeClr w14:val="tx1"/>
            </w14:solidFill>
          </w14:textFill>
        </w:rPr>
      </w:pPr>
    </w:p>
    <w:p w14:paraId="6F9C3B93">
      <w:pPr>
        <w:spacing w:line="440" w:lineRule="exact"/>
        <w:ind w:left="0" w:leftChars="0" w:firstLine="0" w:firstLineChars="0"/>
        <w:rPr>
          <w:rFonts w:hint="eastAsia" w:hAnsi="宋体" w:eastAsia="宋体"/>
          <w:b/>
          <w:snapToGrid/>
          <w:color w:val="000000" w:themeColor="text1"/>
          <w:kern w:val="0"/>
          <w:sz w:val="28"/>
          <w:szCs w:val="28"/>
          <w:lang w:eastAsia="zh-CN"/>
          <w14:textFill>
            <w14:solidFill>
              <w14:schemeClr w14:val="tx1"/>
            </w14:solidFill>
          </w14:textFill>
        </w:rPr>
      </w:pPr>
      <w:r>
        <w:rPr>
          <w:rFonts w:hint="eastAsia" w:hAnsi="宋体"/>
          <w:b/>
          <w:snapToGrid/>
          <w:color w:val="000000" w:themeColor="text1"/>
          <w:kern w:val="0"/>
          <w:sz w:val="28"/>
          <w:szCs w:val="28"/>
          <w14:textFill>
            <w14:solidFill>
              <w14:schemeClr w14:val="tx1"/>
            </w14:solidFill>
          </w14:textFill>
        </w:rPr>
        <w:t>格式</w:t>
      </w:r>
      <w:r>
        <w:rPr>
          <w:rFonts w:hint="eastAsia"/>
          <w:b/>
          <w:snapToGrid/>
          <w:color w:val="000000" w:themeColor="text1"/>
          <w:kern w:val="0"/>
          <w:sz w:val="28"/>
          <w:szCs w:val="28"/>
          <w:lang w:val="en-US" w:eastAsia="zh-CN"/>
          <w14:textFill>
            <w14:solidFill>
              <w14:schemeClr w14:val="tx1"/>
            </w14:solidFill>
          </w14:textFill>
        </w:rPr>
        <w:t>3</w:t>
      </w:r>
      <w:r>
        <w:rPr>
          <w:rFonts w:hint="eastAsia" w:hAnsi="宋体"/>
          <w:b/>
          <w:snapToGrid/>
          <w:color w:val="000000" w:themeColor="text1"/>
          <w:kern w:val="0"/>
          <w:sz w:val="28"/>
          <w:szCs w:val="28"/>
          <w14:textFill>
            <w14:solidFill>
              <w14:schemeClr w14:val="tx1"/>
            </w14:solidFill>
          </w14:textFill>
        </w:rPr>
        <w:t>-</w:t>
      </w:r>
      <w:r>
        <w:rPr>
          <w:rFonts w:hint="eastAsia"/>
          <w:b/>
          <w:snapToGrid/>
          <w:color w:val="000000" w:themeColor="text1"/>
          <w:kern w:val="0"/>
          <w:sz w:val="28"/>
          <w:szCs w:val="28"/>
          <w:lang w:val="en-US" w:eastAsia="zh-CN"/>
          <w14:textFill>
            <w14:solidFill>
              <w14:schemeClr w14:val="tx1"/>
            </w14:solidFill>
          </w14:textFill>
        </w:rPr>
        <w:t>9</w:t>
      </w:r>
    </w:p>
    <w:p w14:paraId="57A65ABB">
      <w:pPr>
        <w:pStyle w:val="5"/>
        <w:tabs>
          <w:tab w:val="left" w:pos="432"/>
          <w:tab w:val="left" w:pos="720"/>
        </w:tabs>
        <w:spacing w:before="240" w:after="240" w:line="360" w:lineRule="auto"/>
        <w:ind w:firstLine="0"/>
        <w:jc w:val="center"/>
        <w:rPr>
          <w:rFonts w:ascii="宋体" w:eastAsia="宋体"/>
          <w:b/>
          <w:bCs w:val="0"/>
          <w:color w:val="000000" w:themeColor="text1"/>
          <w:szCs w:val="30"/>
          <w:lang w:val="en-US"/>
          <w14:textFill>
            <w14:solidFill>
              <w14:schemeClr w14:val="tx1"/>
            </w14:solidFill>
          </w14:textFill>
        </w:rPr>
      </w:pPr>
      <w:r>
        <w:rPr>
          <w:rFonts w:hint="eastAsia" w:ascii="宋体" w:eastAsia="宋体"/>
          <w:b/>
          <w:bCs w:val="0"/>
          <w:color w:val="000000" w:themeColor="text1"/>
          <w:szCs w:val="30"/>
          <w:lang w:val="en-US"/>
          <w14:textFill>
            <w14:solidFill>
              <w14:schemeClr w14:val="tx1"/>
            </w14:solidFill>
          </w14:textFill>
        </w:rPr>
        <w:t>对白蚁虫害防治的理解、重难点分析及合理化建议</w:t>
      </w:r>
    </w:p>
    <w:p w14:paraId="23F39A2B">
      <w:pPr>
        <w:spacing w:line="360" w:lineRule="auto"/>
        <w:ind w:left="-141" w:leftChars="-67" w:right="-143" w:rightChars="-68"/>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（供应商按照竞争性磋商文件要求、评审办法的评审内容及采购需求由供应商自行编写，格式自拟）</w:t>
      </w:r>
    </w:p>
    <w:p w14:paraId="536E1C1E">
      <w:pPr>
        <w:spacing w:line="360" w:lineRule="auto"/>
        <w:jc w:val="center"/>
        <w:rPr>
          <w:color w:val="000000" w:themeColor="text1"/>
          <w14:textFill>
            <w14:solidFill>
              <w14:schemeClr w14:val="tx1"/>
            </w14:solidFill>
          </w14:textFill>
        </w:rPr>
      </w:pPr>
    </w:p>
    <w:p w14:paraId="42398317">
      <w:pPr>
        <w:rPr>
          <w:color w:val="000000" w:themeColor="text1"/>
          <w14:textFill>
            <w14:solidFill>
              <w14:schemeClr w14:val="tx1"/>
            </w14:solidFill>
          </w14:textFill>
        </w:rPr>
      </w:pPr>
    </w:p>
    <w:p w14:paraId="3366DB2E">
      <w:pPr>
        <w:spacing w:line="440" w:lineRule="exact"/>
        <w:ind w:left="0" w:leftChars="0" w:firstLine="0" w:firstLineChars="0"/>
        <w:rPr>
          <w:rFonts w:hint="default" w:hAnsi="宋体" w:eastAsia="宋体"/>
          <w:b/>
          <w:snapToGrid/>
          <w:color w:val="000000" w:themeColor="text1"/>
          <w:kern w:val="0"/>
          <w:sz w:val="28"/>
          <w:szCs w:val="28"/>
          <w:lang w:val="en-US" w:eastAsia="zh-CN"/>
          <w14:textFill>
            <w14:solidFill>
              <w14:schemeClr w14:val="tx1"/>
            </w14:solidFill>
          </w14:textFill>
        </w:rPr>
      </w:pPr>
      <w:r>
        <w:rPr>
          <w:rFonts w:hint="eastAsia" w:hAnsi="宋体"/>
          <w:b/>
          <w:snapToGrid/>
          <w:color w:val="000000" w:themeColor="text1"/>
          <w:kern w:val="0"/>
          <w:sz w:val="28"/>
          <w:szCs w:val="28"/>
          <w14:textFill>
            <w14:solidFill>
              <w14:schemeClr w14:val="tx1"/>
            </w14:solidFill>
          </w14:textFill>
        </w:rPr>
        <w:t>格式</w:t>
      </w:r>
      <w:r>
        <w:rPr>
          <w:rFonts w:hint="eastAsia"/>
          <w:b/>
          <w:snapToGrid/>
          <w:color w:val="000000" w:themeColor="text1"/>
          <w:kern w:val="0"/>
          <w:sz w:val="28"/>
          <w:szCs w:val="28"/>
          <w:lang w:val="en-US" w:eastAsia="zh-CN"/>
          <w14:textFill>
            <w14:solidFill>
              <w14:schemeClr w14:val="tx1"/>
            </w14:solidFill>
          </w14:textFill>
        </w:rPr>
        <w:t>3</w:t>
      </w:r>
      <w:r>
        <w:rPr>
          <w:rFonts w:hint="eastAsia" w:hAnsi="宋体"/>
          <w:b/>
          <w:snapToGrid/>
          <w:color w:val="000000" w:themeColor="text1"/>
          <w:kern w:val="0"/>
          <w:sz w:val="28"/>
          <w:szCs w:val="28"/>
          <w14:textFill>
            <w14:solidFill>
              <w14:schemeClr w14:val="tx1"/>
            </w14:solidFill>
          </w14:textFill>
        </w:rPr>
        <w:t>-</w:t>
      </w:r>
      <w:r>
        <w:rPr>
          <w:rFonts w:hint="eastAsia"/>
          <w:b/>
          <w:snapToGrid/>
          <w:color w:val="000000" w:themeColor="text1"/>
          <w:kern w:val="0"/>
          <w:sz w:val="28"/>
          <w:szCs w:val="28"/>
          <w:lang w:val="en-US" w:eastAsia="zh-CN"/>
          <w14:textFill>
            <w14:solidFill>
              <w14:schemeClr w14:val="tx1"/>
            </w14:solidFill>
          </w14:textFill>
        </w:rPr>
        <w:t>10</w:t>
      </w:r>
    </w:p>
    <w:p w14:paraId="0BF334AD">
      <w:pPr>
        <w:pStyle w:val="5"/>
        <w:tabs>
          <w:tab w:val="left" w:pos="432"/>
          <w:tab w:val="left" w:pos="720"/>
        </w:tabs>
        <w:spacing w:before="240" w:after="240" w:line="360" w:lineRule="auto"/>
        <w:ind w:firstLine="0"/>
        <w:jc w:val="center"/>
        <w:rPr>
          <w:rFonts w:ascii="宋体" w:eastAsia="宋体"/>
          <w:b/>
          <w:bCs w:val="0"/>
          <w:color w:val="000000" w:themeColor="text1"/>
          <w:szCs w:val="30"/>
          <w:lang w:val="en-US"/>
          <w14:textFill>
            <w14:solidFill>
              <w14:schemeClr w14:val="tx1"/>
            </w14:solidFill>
          </w14:textFill>
        </w:rPr>
      </w:pPr>
      <w:r>
        <w:rPr>
          <w:rFonts w:hint="eastAsia" w:ascii="宋体" w:eastAsia="宋体"/>
          <w:b/>
          <w:bCs w:val="0"/>
          <w:color w:val="000000" w:themeColor="text1"/>
          <w:szCs w:val="30"/>
          <w:lang w:val="en-US"/>
          <w14:textFill>
            <w14:solidFill>
              <w14:schemeClr w14:val="tx1"/>
            </w14:solidFill>
          </w14:textFill>
        </w:rPr>
        <w:t>项目进度计划与保证措施</w:t>
      </w:r>
    </w:p>
    <w:p w14:paraId="0C3896D6">
      <w:pPr>
        <w:spacing w:line="360" w:lineRule="auto"/>
        <w:ind w:left="-141" w:leftChars="-67" w:right="-143" w:rightChars="-68"/>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（供应商按照竞争性磋商文件要求、评审办法的评审内容及采购需求由供应商自行编写，格式自拟）</w:t>
      </w:r>
    </w:p>
    <w:p w14:paraId="71FF35E1">
      <w:pPr>
        <w:spacing w:line="360" w:lineRule="auto"/>
        <w:jc w:val="center"/>
        <w:rPr>
          <w:color w:val="000000" w:themeColor="text1"/>
          <w14:textFill>
            <w14:solidFill>
              <w14:schemeClr w14:val="tx1"/>
            </w14:solidFill>
          </w14:textFill>
        </w:rPr>
      </w:pPr>
    </w:p>
    <w:p w14:paraId="66C2E409">
      <w:pPr>
        <w:spacing w:line="440" w:lineRule="exact"/>
        <w:ind w:left="0" w:leftChars="0" w:firstLine="0" w:firstLineChars="0"/>
        <w:rPr>
          <w:rFonts w:hint="default" w:hAnsi="宋体" w:eastAsia="宋体"/>
          <w:b/>
          <w:snapToGrid/>
          <w:color w:val="000000" w:themeColor="text1"/>
          <w:kern w:val="0"/>
          <w:sz w:val="28"/>
          <w:szCs w:val="28"/>
          <w:lang w:val="en-US" w:eastAsia="zh-CN"/>
          <w14:textFill>
            <w14:solidFill>
              <w14:schemeClr w14:val="tx1"/>
            </w14:solidFill>
          </w14:textFill>
        </w:rPr>
      </w:pPr>
      <w:r>
        <w:rPr>
          <w:rFonts w:hint="eastAsia" w:hAnsi="宋体"/>
          <w:b/>
          <w:snapToGrid/>
          <w:color w:val="000000" w:themeColor="text1"/>
          <w:kern w:val="0"/>
          <w:sz w:val="28"/>
          <w:szCs w:val="28"/>
          <w14:textFill>
            <w14:solidFill>
              <w14:schemeClr w14:val="tx1"/>
            </w14:solidFill>
          </w14:textFill>
        </w:rPr>
        <w:t>格式</w:t>
      </w:r>
      <w:r>
        <w:rPr>
          <w:rFonts w:hint="eastAsia"/>
          <w:b/>
          <w:snapToGrid/>
          <w:color w:val="000000" w:themeColor="text1"/>
          <w:kern w:val="0"/>
          <w:sz w:val="28"/>
          <w:szCs w:val="28"/>
          <w:lang w:val="en-US" w:eastAsia="zh-CN"/>
          <w14:textFill>
            <w14:solidFill>
              <w14:schemeClr w14:val="tx1"/>
            </w14:solidFill>
          </w14:textFill>
        </w:rPr>
        <w:t>3</w:t>
      </w:r>
      <w:r>
        <w:rPr>
          <w:rFonts w:hint="eastAsia" w:hAnsi="宋体"/>
          <w:b/>
          <w:snapToGrid/>
          <w:color w:val="000000" w:themeColor="text1"/>
          <w:kern w:val="0"/>
          <w:sz w:val="28"/>
          <w:szCs w:val="28"/>
          <w14:textFill>
            <w14:solidFill>
              <w14:schemeClr w14:val="tx1"/>
            </w14:solidFill>
          </w14:textFill>
        </w:rPr>
        <w:t>-</w:t>
      </w:r>
      <w:r>
        <w:rPr>
          <w:rFonts w:hint="eastAsia"/>
          <w:b/>
          <w:snapToGrid/>
          <w:color w:val="000000" w:themeColor="text1"/>
          <w:kern w:val="0"/>
          <w:sz w:val="28"/>
          <w:szCs w:val="28"/>
          <w:lang w:val="en-US" w:eastAsia="zh-CN"/>
          <w14:textFill>
            <w14:solidFill>
              <w14:schemeClr w14:val="tx1"/>
            </w14:solidFill>
          </w14:textFill>
        </w:rPr>
        <w:t>11</w:t>
      </w:r>
    </w:p>
    <w:p w14:paraId="235248EC">
      <w:pPr>
        <w:pStyle w:val="5"/>
        <w:tabs>
          <w:tab w:val="left" w:pos="432"/>
          <w:tab w:val="left" w:pos="720"/>
        </w:tabs>
        <w:spacing w:before="240" w:after="240" w:line="360" w:lineRule="auto"/>
        <w:ind w:firstLine="0"/>
        <w:jc w:val="center"/>
        <w:rPr>
          <w:rFonts w:ascii="宋体" w:eastAsia="宋体"/>
          <w:b/>
          <w:bCs w:val="0"/>
          <w:color w:val="000000" w:themeColor="text1"/>
          <w:szCs w:val="30"/>
          <w:lang w:val="en-US"/>
          <w14:textFill>
            <w14:solidFill>
              <w14:schemeClr w14:val="tx1"/>
            </w14:solidFill>
          </w14:textFill>
        </w:rPr>
      </w:pPr>
      <w:r>
        <w:rPr>
          <w:rFonts w:hint="eastAsia" w:ascii="宋体" w:eastAsia="宋体"/>
          <w:b/>
          <w:bCs w:val="0"/>
          <w:color w:val="000000" w:themeColor="text1"/>
          <w:szCs w:val="30"/>
          <w:lang w:val="en-US"/>
          <w14:textFill>
            <w14:solidFill>
              <w14:schemeClr w14:val="tx1"/>
            </w14:solidFill>
          </w14:textFill>
        </w:rPr>
        <w:t>后续服务安排及承诺</w:t>
      </w:r>
    </w:p>
    <w:p w14:paraId="38C5879A">
      <w:pPr>
        <w:spacing w:line="360" w:lineRule="auto"/>
        <w:ind w:left="-141" w:leftChars="-67" w:right="-143" w:rightChars="-68"/>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（供应商按照竞争性磋商文件要求、评审办法的评审内容及采购需求由供应商自行编写，格式自拟）</w:t>
      </w:r>
    </w:p>
    <w:p w14:paraId="0CEFF7BD">
      <w:pPr>
        <w:spacing w:line="360" w:lineRule="auto"/>
        <w:jc w:val="center"/>
        <w:rPr>
          <w:color w:val="000000" w:themeColor="text1"/>
          <w14:textFill>
            <w14:solidFill>
              <w14:schemeClr w14:val="tx1"/>
            </w14:solidFill>
          </w14:textFill>
        </w:rPr>
      </w:pPr>
    </w:p>
    <w:p w14:paraId="6CFFCA80">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51036B9B">
      <w:pPr>
        <w:spacing w:line="440" w:lineRule="exact"/>
        <w:ind w:left="0" w:leftChars="0" w:firstLine="0" w:firstLineChars="0"/>
        <w:rPr>
          <w:rFonts w:hint="default" w:hAnsi="宋体" w:eastAsia="宋体"/>
          <w:b/>
          <w:snapToGrid/>
          <w:color w:val="000000" w:themeColor="text1"/>
          <w:kern w:val="0"/>
          <w:sz w:val="28"/>
          <w:szCs w:val="28"/>
          <w:lang w:val="en-US" w:eastAsia="zh-CN"/>
          <w14:textFill>
            <w14:solidFill>
              <w14:schemeClr w14:val="tx1"/>
            </w14:solidFill>
          </w14:textFill>
        </w:rPr>
      </w:pPr>
      <w:r>
        <w:rPr>
          <w:rFonts w:hint="eastAsia" w:hAnsi="宋体"/>
          <w:b/>
          <w:snapToGrid/>
          <w:color w:val="000000" w:themeColor="text1"/>
          <w:kern w:val="0"/>
          <w:sz w:val="28"/>
          <w:szCs w:val="28"/>
          <w14:textFill>
            <w14:solidFill>
              <w14:schemeClr w14:val="tx1"/>
            </w14:solidFill>
          </w14:textFill>
        </w:rPr>
        <w:t>格式</w:t>
      </w:r>
      <w:r>
        <w:rPr>
          <w:rFonts w:hint="eastAsia"/>
          <w:b/>
          <w:snapToGrid/>
          <w:color w:val="000000" w:themeColor="text1"/>
          <w:kern w:val="0"/>
          <w:sz w:val="28"/>
          <w:szCs w:val="28"/>
          <w:lang w:val="en-US" w:eastAsia="zh-CN"/>
          <w14:textFill>
            <w14:solidFill>
              <w14:schemeClr w14:val="tx1"/>
            </w14:solidFill>
          </w14:textFill>
        </w:rPr>
        <w:t>3</w:t>
      </w:r>
      <w:r>
        <w:rPr>
          <w:rFonts w:hint="eastAsia" w:hAnsi="宋体"/>
          <w:b/>
          <w:snapToGrid/>
          <w:color w:val="000000" w:themeColor="text1"/>
          <w:kern w:val="0"/>
          <w:sz w:val="28"/>
          <w:szCs w:val="28"/>
          <w14:textFill>
            <w14:solidFill>
              <w14:schemeClr w14:val="tx1"/>
            </w14:solidFill>
          </w14:textFill>
        </w:rPr>
        <w:t>-</w:t>
      </w:r>
      <w:r>
        <w:rPr>
          <w:rFonts w:hint="eastAsia"/>
          <w:b/>
          <w:snapToGrid/>
          <w:color w:val="000000" w:themeColor="text1"/>
          <w:kern w:val="0"/>
          <w:sz w:val="28"/>
          <w:szCs w:val="28"/>
          <w:lang w:val="en-US" w:eastAsia="zh-CN"/>
          <w14:textFill>
            <w14:solidFill>
              <w14:schemeClr w14:val="tx1"/>
            </w14:solidFill>
          </w14:textFill>
        </w:rPr>
        <w:t>12</w:t>
      </w:r>
    </w:p>
    <w:p w14:paraId="6AC8C87B">
      <w:pPr>
        <w:pStyle w:val="5"/>
        <w:bidi w:val="0"/>
        <w:jc w:val="center"/>
        <w:rPr>
          <w:rFonts w:hint="default"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构成商务技术文件部分其他材料</w:t>
      </w:r>
    </w:p>
    <w:p w14:paraId="7C8C00AE">
      <w:pPr>
        <w:bidi w:val="0"/>
        <w:ind w:left="0" w:leftChars="0" w:firstLine="0" w:firstLineChars="0"/>
        <w:jc w:val="center"/>
        <w:rPr>
          <w:lang w:val="en-US"/>
        </w:rPr>
      </w:pPr>
      <w:r>
        <w:rPr>
          <w:rFonts w:hint="eastAsia"/>
        </w:rPr>
        <w:t>（若有，内容格式自拟）</w:t>
      </w:r>
    </w:p>
    <w:p w14:paraId="7E43BCC0">
      <w:pPr>
        <w:rPr>
          <w:rFonts w:hint="eastAsia" w:hAnsi="宋体"/>
          <w:color w:val="000000" w:themeColor="text1"/>
          <w14:textFill>
            <w14:solidFill>
              <w14:schemeClr w14:val="tx1"/>
            </w14:solidFill>
          </w14:textFill>
        </w:rPr>
      </w:pPr>
    </w:p>
    <w:p w14:paraId="3312F4D1">
      <w:pPr>
        <w:rPr>
          <w:color w:val="000000" w:themeColor="text1"/>
          <w14:textFill>
            <w14:solidFill>
              <w14:schemeClr w14:val="tx1"/>
            </w14:solidFill>
          </w14:textFill>
        </w:rPr>
      </w:pPr>
    </w:p>
    <w:p w14:paraId="4F6964D0">
      <w:pPr>
        <w:rPr>
          <w:color w:val="000000" w:themeColor="text1"/>
          <w14:textFill>
            <w14:solidFill>
              <w14:schemeClr w14:val="tx1"/>
            </w14:solidFill>
          </w14:textFill>
        </w:rPr>
      </w:pPr>
      <w:r>
        <w:rPr>
          <w:color w:val="000000" w:themeColor="text1"/>
          <w14:textFill>
            <w14:solidFill>
              <w14:schemeClr w14:val="tx1"/>
            </w14:solidFill>
          </w14:textFill>
        </w:rPr>
        <w:br w:type="page"/>
      </w:r>
    </w:p>
    <w:bookmarkEnd w:id="261"/>
    <w:bookmarkEnd w:id="262"/>
    <w:bookmarkEnd w:id="263"/>
    <w:bookmarkEnd w:id="264"/>
    <w:bookmarkEnd w:id="265"/>
    <w:bookmarkEnd w:id="266"/>
    <w:bookmarkEnd w:id="267"/>
    <w:p w14:paraId="606F609E">
      <w:pPr>
        <w:pStyle w:val="3"/>
        <w:bidi w:val="0"/>
        <w:rPr>
          <w:rFonts w:hint="eastAsia"/>
          <w:highlight w:val="none"/>
          <w:lang w:val="zh-CN"/>
        </w:rPr>
      </w:pPr>
      <w:bookmarkStart w:id="273" w:name="_Toc28274"/>
      <w:bookmarkStart w:id="274" w:name="_Toc201047317"/>
      <w:bookmarkStart w:id="275" w:name="_Toc491307331"/>
      <w:r>
        <w:rPr>
          <w:rFonts w:hint="eastAsia"/>
          <w:highlight w:val="none"/>
          <w:lang w:val="zh-CN"/>
        </w:rPr>
        <w:t>第五章  采购需求</w:t>
      </w:r>
      <w:bookmarkEnd w:id="273"/>
      <w:bookmarkEnd w:id="274"/>
      <w:bookmarkEnd w:id="275"/>
    </w:p>
    <w:p w14:paraId="606F60BB">
      <w:pPr>
        <w:pStyle w:val="5"/>
        <w:bidi w:val="0"/>
        <w:rPr>
          <w:rFonts w:hint="eastAsia"/>
          <w:highlight w:val="none"/>
        </w:rPr>
      </w:pPr>
      <w:bookmarkStart w:id="276" w:name="_Toc46924596"/>
      <w:bookmarkStart w:id="277" w:name="_Hlk201158313"/>
      <w:bookmarkStart w:id="278" w:name="_Toc421799430"/>
      <w:bookmarkStart w:id="279" w:name="_Toc421622894"/>
      <w:r>
        <w:rPr>
          <w:highlight w:val="none"/>
        </w:rPr>
        <w:t>一、</w:t>
      </w:r>
      <w:r>
        <w:rPr>
          <w:rFonts w:hint="eastAsia"/>
          <w:highlight w:val="none"/>
        </w:rPr>
        <w:t>采购标的需实现的功能或者目标，以及为落实政府采购政策需满足的要求</w:t>
      </w:r>
      <w:bookmarkEnd w:id="276"/>
    </w:p>
    <w:p w14:paraId="606F60BC">
      <w:pPr>
        <w:widowControl/>
        <w:spacing w:line="360" w:lineRule="auto"/>
        <w:ind w:firstLine="420" w:firstLineChars="200"/>
        <w:jc w:val="left"/>
        <w:rPr>
          <w:rFonts w:hint="eastAsia" w:hAnsi="宋体"/>
          <w:color w:val="FF0000"/>
          <w:szCs w:val="21"/>
        </w:rPr>
      </w:pPr>
      <w:r>
        <w:rPr>
          <w:rFonts w:hint="eastAsia"/>
          <w:color w:val="auto"/>
          <w:szCs w:val="21"/>
          <w:highlight w:val="none"/>
          <w:lang w:eastAsia="zh-CN"/>
        </w:rPr>
        <w:t>按照《堤坝白蚁防治技术规程》、《水利工程白蚁防治技术规程》（SL∕T 836-2024）等相关规范，完成元马镇等8个乡镇47座小型水库白蚁防治，主要治理内容为：蚁巢开挖回填、白蚁饵剂诱杀、药物喷洒和白蚁监测装置埋设等</w:t>
      </w:r>
      <w:r>
        <w:rPr>
          <w:rFonts w:hint="eastAsia" w:hAnsi="宋体"/>
          <w:color w:val="auto"/>
          <w:szCs w:val="21"/>
          <w:highlight w:val="none"/>
        </w:rPr>
        <w:t>。</w:t>
      </w:r>
    </w:p>
    <w:tbl>
      <w:tblPr>
        <w:tblStyle w:val="17"/>
        <w:tblW w:w="9462"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935"/>
        <w:gridCol w:w="1395"/>
        <w:gridCol w:w="5385"/>
      </w:tblGrid>
      <w:tr w14:paraId="2BFF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038C9E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b/>
                <w:bCs/>
                <w:color w:val="FF0000"/>
                <w:sz w:val="21"/>
                <w:szCs w:val="21"/>
                <w:lang w:val="en-US" w:eastAsia="zh-CN"/>
              </w:rPr>
            </w:pPr>
            <w:r>
              <w:rPr>
                <w:rFonts w:hint="eastAsia" w:ascii="宋体" w:hAnsi="宋体" w:eastAsia="宋体" w:cs="宋体"/>
                <w:b/>
                <w:bCs/>
                <w:sz w:val="21"/>
                <w:szCs w:val="21"/>
                <w:lang w:val="en-US" w:eastAsia="zh-CN"/>
              </w:rPr>
              <w:t>服务内容及要求</w:t>
            </w:r>
          </w:p>
        </w:tc>
      </w:tr>
      <w:tr w14:paraId="3837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9350AC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935" w:type="dxa"/>
            <w:noWrap w:val="0"/>
            <w:vAlign w:val="center"/>
          </w:tcPr>
          <w:p w14:paraId="69B22F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水库名称</w:t>
            </w:r>
          </w:p>
        </w:tc>
        <w:tc>
          <w:tcPr>
            <w:tcW w:w="1395" w:type="dxa"/>
            <w:noWrap w:val="0"/>
            <w:vAlign w:val="center"/>
          </w:tcPr>
          <w:p w14:paraId="69A3BF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水库类型</w:t>
            </w:r>
          </w:p>
        </w:tc>
        <w:tc>
          <w:tcPr>
            <w:tcW w:w="5385" w:type="dxa"/>
            <w:noWrap w:val="0"/>
            <w:vAlign w:val="center"/>
          </w:tcPr>
          <w:p w14:paraId="676A2E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服务内容</w:t>
            </w:r>
          </w:p>
        </w:tc>
      </w:tr>
      <w:tr w14:paraId="56FF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533A932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元马镇</w:t>
            </w:r>
          </w:p>
        </w:tc>
      </w:tr>
      <w:tr w14:paraId="0976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1F3768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1</w:t>
            </w:r>
          </w:p>
        </w:tc>
        <w:tc>
          <w:tcPr>
            <w:tcW w:w="1935" w:type="dxa"/>
            <w:shd w:val="clear" w:color="auto" w:fill="auto"/>
            <w:noWrap w:val="0"/>
            <w:vAlign w:val="center"/>
          </w:tcPr>
          <w:p w14:paraId="2FF841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hAnsi="宋体"/>
                <w:color w:val="000000" w:themeColor="text1"/>
                <w:szCs w:val="21"/>
                <w14:textFill>
                  <w14:solidFill>
                    <w14:schemeClr w14:val="tx1"/>
                  </w14:solidFill>
                </w14:textFill>
              </w:rPr>
              <w:t>下雷窝水库</w:t>
            </w:r>
          </w:p>
        </w:tc>
        <w:tc>
          <w:tcPr>
            <w:tcW w:w="1395" w:type="dxa"/>
            <w:noWrap w:val="0"/>
            <w:vAlign w:val="center"/>
          </w:tcPr>
          <w:p w14:paraId="5B37A8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44DF33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蚁巢开挖回填4个；白蚁饵剂诱杀8000㎡；药物喷洒8000㎡；白蚁监测装置200套。</w:t>
            </w:r>
          </w:p>
        </w:tc>
      </w:tr>
      <w:tr w14:paraId="592A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4C52194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2</w:t>
            </w:r>
          </w:p>
        </w:tc>
        <w:tc>
          <w:tcPr>
            <w:tcW w:w="1935" w:type="dxa"/>
            <w:noWrap w:val="0"/>
            <w:vAlign w:val="center"/>
          </w:tcPr>
          <w:p w14:paraId="21A249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红坡水库</w:t>
            </w:r>
          </w:p>
        </w:tc>
        <w:tc>
          <w:tcPr>
            <w:tcW w:w="1395" w:type="dxa"/>
            <w:noWrap w:val="0"/>
            <w:vAlign w:val="center"/>
          </w:tcPr>
          <w:p w14:paraId="12F27A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7069FC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蚁巢开挖回填1个；白蚁饵剂诱杀3200㎡；药物喷洒3200㎡；白蚁监测装置80套；红火蚁饵剂诱杀3200㎡。</w:t>
            </w:r>
          </w:p>
        </w:tc>
      </w:tr>
      <w:tr w14:paraId="4EF9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404E70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3</w:t>
            </w:r>
          </w:p>
        </w:tc>
        <w:tc>
          <w:tcPr>
            <w:tcW w:w="1935" w:type="dxa"/>
            <w:shd w:val="clear" w:color="auto" w:fill="auto"/>
            <w:noWrap w:val="0"/>
            <w:vAlign w:val="center"/>
          </w:tcPr>
          <w:p w14:paraId="09A4A7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hAnsi="宋体"/>
                <w:color w:val="000000" w:themeColor="text1"/>
                <w:szCs w:val="21"/>
                <w14:textFill>
                  <w14:solidFill>
                    <w14:schemeClr w14:val="tx1"/>
                  </w14:solidFill>
                </w14:textFill>
              </w:rPr>
              <w:t>能禹水库</w:t>
            </w:r>
          </w:p>
        </w:tc>
        <w:tc>
          <w:tcPr>
            <w:tcW w:w="1395" w:type="dxa"/>
            <w:noWrap w:val="0"/>
            <w:vAlign w:val="center"/>
          </w:tcPr>
          <w:p w14:paraId="34303C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5A3939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蚁巢开挖回填2个；白蚁饵剂诱杀1660㎡；药物喷洒1660㎡；白蚁监测装置42套；红火蚁饵剂诱杀1660㎡。</w:t>
            </w:r>
          </w:p>
        </w:tc>
      </w:tr>
      <w:tr w14:paraId="4A18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195290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4</w:t>
            </w:r>
          </w:p>
        </w:tc>
        <w:tc>
          <w:tcPr>
            <w:tcW w:w="1935" w:type="dxa"/>
            <w:noWrap w:val="0"/>
            <w:vAlign w:val="center"/>
          </w:tcPr>
          <w:p w14:paraId="72B13D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山神沟水库</w:t>
            </w:r>
          </w:p>
        </w:tc>
        <w:tc>
          <w:tcPr>
            <w:tcW w:w="1395" w:type="dxa"/>
            <w:noWrap w:val="0"/>
            <w:vAlign w:val="center"/>
          </w:tcPr>
          <w:p w14:paraId="239966B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3471BA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蚁巢开挖回填3个；白蚁饵剂诱杀1208㎡；药物喷洒1208㎡；白蚁监测装置30套；红火蚁饵剂诱杀1208㎡。</w:t>
            </w:r>
          </w:p>
        </w:tc>
      </w:tr>
      <w:tr w14:paraId="74E5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799AA4E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hAnsi="宋体"/>
                <w:color w:val="000000" w:themeColor="text1"/>
                <w:szCs w:val="21"/>
                <w14:textFill>
                  <w14:solidFill>
                    <w14:schemeClr w14:val="tx1"/>
                  </w14:solidFill>
                </w14:textFill>
              </w:rPr>
            </w:pPr>
            <w:r>
              <w:rPr>
                <w:rFonts w:hint="eastAsia" w:ascii="宋体" w:hAnsi="宋体" w:eastAsia="宋体" w:cs="宋体"/>
                <w:b/>
                <w:bCs/>
                <w:color w:val="auto"/>
                <w:sz w:val="21"/>
                <w:szCs w:val="21"/>
                <w:lang w:val="en-US" w:eastAsia="zh-CN"/>
              </w:rPr>
              <w:t>黄瓜园镇</w:t>
            </w:r>
          </w:p>
        </w:tc>
      </w:tr>
      <w:tr w14:paraId="2F03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5CAC7E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5</w:t>
            </w:r>
          </w:p>
        </w:tc>
        <w:tc>
          <w:tcPr>
            <w:tcW w:w="1935" w:type="dxa"/>
            <w:noWrap w:val="0"/>
            <w:vAlign w:val="center"/>
          </w:tcPr>
          <w:p w14:paraId="715332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下你莫水库</w:t>
            </w:r>
          </w:p>
        </w:tc>
        <w:tc>
          <w:tcPr>
            <w:tcW w:w="1395" w:type="dxa"/>
            <w:noWrap w:val="0"/>
            <w:vAlign w:val="center"/>
          </w:tcPr>
          <w:p w14:paraId="1B9903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28A5B2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蚁巢开挖回填2个；白蚁饵剂诱杀2060㎡；药物喷洒2060㎡；白蚁监测装置52套。</w:t>
            </w:r>
          </w:p>
        </w:tc>
      </w:tr>
      <w:tr w14:paraId="11C4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429E60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6</w:t>
            </w:r>
          </w:p>
        </w:tc>
        <w:tc>
          <w:tcPr>
            <w:tcW w:w="1935" w:type="dxa"/>
            <w:noWrap w:val="0"/>
            <w:vAlign w:val="center"/>
          </w:tcPr>
          <w:p w14:paraId="54EF33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上你莫水库</w:t>
            </w:r>
          </w:p>
        </w:tc>
        <w:tc>
          <w:tcPr>
            <w:tcW w:w="1395" w:type="dxa"/>
            <w:noWrap w:val="0"/>
            <w:vAlign w:val="center"/>
          </w:tcPr>
          <w:p w14:paraId="01F539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199D7E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蚁巢开挖回填1个；白蚁饵剂诱杀2782㎡；药物喷洒2782㎡；白蚁监测装置70套。</w:t>
            </w:r>
          </w:p>
        </w:tc>
      </w:tr>
      <w:tr w14:paraId="1990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1B537F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7</w:t>
            </w:r>
          </w:p>
        </w:tc>
        <w:tc>
          <w:tcPr>
            <w:tcW w:w="1935" w:type="dxa"/>
            <w:noWrap w:val="0"/>
            <w:vAlign w:val="center"/>
          </w:tcPr>
          <w:p w14:paraId="7C461E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三岔箐水库</w:t>
            </w:r>
          </w:p>
        </w:tc>
        <w:tc>
          <w:tcPr>
            <w:tcW w:w="1395" w:type="dxa"/>
            <w:noWrap w:val="0"/>
            <w:vAlign w:val="center"/>
          </w:tcPr>
          <w:p w14:paraId="6F1BD4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2EDDFCD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kern w:val="2"/>
                <w:sz w:val="21"/>
                <w:szCs w:val="21"/>
                <w:lang w:val="en-US" w:eastAsia="zh-CN" w:bidi="ar-SA"/>
              </w:rPr>
            </w:pPr>
            <w:r>
              <w:rPr>
                <w:rFonts w:hint="eastAsia" w:hAnsi="宋体"/>
                <w:color w:val="000000" w:themeColor="text1"/>
                <w:szCs w:val="21"/>
                <w14:textFill>
                  <w14:solidFill>
                    <w14:schemeClr w14:val="tx1"/>
                  </w14:solidFill>
                </w14:textFill>
              </w:rPr>
              <w:t>蚁巢开挖回填7个；白蚁饵剂诱杀1105㎡；药物喷洒1105㎡；白蚁监测装置28套。</w:t>
            </w:r>
          </w:p>
        </w:tc>
      </w:tr>
      <w:tr w14:paraId="79D6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397622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hAnsi="宋体"/>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羊街镇</w:t>
            </w:r>
          </w:p>
        </w:tc>
      </w:tr>
      <w:tr w14:paraId="7AEC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374A44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8</w:t>
            </w:r>
          </w:p>
        </w:tc>
        <w:tc>
          <w:tcPr>
            <w:tcW w:w="1935" w:type="dxa"/>
            <w:noWrap w:val="0"/>
            <w:vAlign w:val="center"/>
          </w:tcPr>
          <w:p w14:paraId="7B7F118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前进水库</w:t>
            </w:r>
          </w:p>
        </w:tc>
        <w:tc>
          <w:tcPr>
            <w:tcW w:w="1395" w:type="dxa"/>
            <w:noWrap w:val="0"/>
            <w:vAlign w:val="center"/>
          </w:tcPr>
          <w:p w14:paraId="77A3C8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701711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蚁巢开挖回填1个；白蚁饵剂诱杀8959㎡；药物喷洒8959㎡；白蚁监测装置224套；红火蚁饵剂诱杀8959㎡。</w:t>
            </w:r>
          </w:p>
        </w:tc>
      </w:tr>
      <w:tr w14:paraId="2E0D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3D648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b w:val="0"/>
                <w:bCs w:val="0"/>
                <w:lang w:val="en-US" w:eastAsia="zh-CN"/>
              </w:rPr>
              <w:t>9</w:t>
            </w:r>
          </w:p>
        </w:tc>
        <w:tc>
          <w:tcPr>
            <w:tcW w:w="1935" w:type="dxa"/>
            <w:noWrap w:val="0"/>
            <w:vAlign w:val="center"/>
          </w:tcPr>
          <w:p w14:paraId="75EA3C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大荒地水库</w:t>
            </w:r>
          </w:p>
        </w:tc>
        <w:tc>
          <w:tcPr>
            <w:tcW w:w="1395" w:type="dxa"/>
            <w:noWrap w:val="0"/>
            <w:vAlign w:val="center"/>
          </w:tcPr>
          <w:p w14:paraId="3935AB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4608C2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蚁巢开挖回填1个；白蚁饵剂诱杀3823㎡；药物喷洒3823㎡；白蚁监测装置96套；红火蚁饵剂诱杀3823㎡。</w:t>
            </w:r>
          </w:p>
        </w:tc>
      </w:tr>
      <w:tr w14:paraId="5C97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47237A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10</w:t>
            </w:r>
          </w:p>
        </w:tc>
        <w:tc>
          <w:tcPr>
            <w:tcW w:w="1935" w:type="dxa"/>
            <w:noWrap w:val="0"/>
            <w:vAlign w:val="center"/>
          </w:tcPr>
          <w:p w14:paraId="48415B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桃树箐水库</w:t>
            </w:r>
          </w:p>
        </w:tc>
        <w:tc>
          <w:tcPr>
            <w:tcW w:w="1395" w:type="dxa"/>
            <w:noWrap w:val="0"/>
            <w:vAlign w:val="center"/>
          </w:tcPr>
          <w:p w14:paraId="04D000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20B8F1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蚁巢开挖回填2个；白蚁饵剂诱杀1311㎡；药物喷洒1311㎡；白蚁监测装置33套；红火蚁饵剂诱杀1311㎡。</w:t>
            </w:r>
          </w:p>
        </w:tc>
      </w:tr>
      <w:tr w14:paraId="530F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208B68E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11</w:t>
            </w:r>
          </w:p>
        </w:tc>
        <w:tc>
          <w:tcPr>
            <w:tcW w:w="1935" w:type="dxa"/>
            <w:noWrap w:val="0"/>
            <w:vAlign w:val="center"/>
          </w:tcPr>
          <w:p w14:paraId="4330C0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龙潭箐水库</w:t>
            </w:r>
          </w:p>
        </w:tc>
        <w:tc>
          <w:tcPr>
            <w:tcW w:w="1395" w:type="dxa"/>
            <w:noWrap w:val="0"/>
            <w:vAlign w:val="center"/>
          </w:tcPr>
          <w:p w14:paraId="07B34A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09F738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蚁巢开挖回填1个；白蚁饵剂诱杀2635㎡；药物喷洒2635㎡；白蚁监测装置66套；红火蚁饵剂诱杀2635㎡。</w:t>
            </w:r>
          </w:p>
        </w:tc>
      </w:tr>
      <w:tr w14:paraId="74B7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99496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12</w:t>
            </w:r>
          </w:p>
        </w:tc>
        <w:tc>
          <w:tcPr>
            <w:tcW w:w="1935" w:type="dxa"/>
            <w:noWrap w:val="0"/>
            <w:vAlign w:val="center"/>
          </w:tcPr>
          <w:p w14:paraId="1EB834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小火山水库</w:t>
            </w:r>
          </w:p>
        </w:tc>
        <w:tc>
          <w:tcPr>
            <w:tcW w:w="1395" w:type="dxa"/>
            <w:noWrap w:val="0"/>
            <w:vAlign w:val="center"/>
          </w:tcPr>
          <w:p w14:paraId="034860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52D9A5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蚁巢开挖回填2个；白蚁饵剂诱杀1615㎡；药物喷洒1615㎡；白蚁监测装置40套；红火蚁饵剂诱杀1615㎡。</w:t>
            </w:r>
          </w:p>
        </w:tc>
      </w:tr>
      <w:tr w14:paraId="56CE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548011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hAnsi="宋体"/>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老城乡</w:t>
            </w:r>
          </w:p>
        </w:tc>
      </w:tr>
      <w:tr w14:paraId="4BDA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CC890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13</w:t>
            </w:r>
          </w:p>
        </w:tc>
        <w:tc>
          <w:tcPr>
            <w:tcW w:w="1935" w:type="dxa"/>
            <w:noWrap w:val="0"/>
            <w:vAlign w:val="center"/>
          </w:tcPr>
          <w:p w14:paraId="3E6AB8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储麦水库</w:t>
            </w:r>
          </w:p>
        </w:tc>
        <w:tc>
          <w:tcPr>
            <w:tcW w:w="1395" w:type="dxa"/>
            <w:shd w:val="clear" w:color="auto" w:fill="auto"/>
            <w:noWrap w:val="0"/>
            <w:vAlign w:val="center"/>
          </w:tcPr>
          <w:p w14:paraId="26B4BF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27D7F8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蚁巢开挖回填5个；白蚁饵剂诱杀10332㎡；药物喷洒10332㎡；白蚁监测装置258套；红火蚁饵剂诱杀11500㎡。</w:t>
            </w:r>
          </w:p>
        </w:tc>
      </w:tr>
      <w:tr w14:paraId="473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57C6359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14</w:t>
            </w:r>
          </w:p>
        </w:tc>
        <w:tc>
          <w:tcPr>
            <w:tcW w:w="1935" w:type="dxa"/>
            <w:noWrap w:val="0"/>
            <w:vAlign w:val="center"/>
          </w:tcPr>
          <w:p w14:paraId="222ABB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丙月团山水库</w:t>
            </w:r>
          </w:p>
        </w:tc>
        <w:tc>
          <w:tcPr>
            <w:tcW w:w="1395" w:type="dxa"/>
            <w:shd w:val="clear" w:color="auto" w:fill="auto"/>
            <w:noWrap w:val="0"/>
            <w:vAlign w:val="center"/>
          </w:tcPr>
          <w:p w14:paraId="1A8659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126299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蚁巢开挖回填3个；白蚁饵剂诱杀3330㎡；药物喷洒3330㎡；白蚁监测装置83套。</w:t>
            </w:r>
          </w:p>
        </w:tc>
      </w:tr>
      <w:tr w14:paraId="3736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63DB0F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15</w:t>
            </w:r>
          </w:p>
        </w:tc>
        <w:tc>
          <w:tcPr>
            <w:tcW w:w="1935" w:type="dxa"/>
            <w:noWrap w:val="0"/>
            <w:vAlign w:val="center"/>
          </w:tcPr>
          <w:p w14:paraId="2FB413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苴那水库</w:t>
            </w:r>
          </w:p>
        </w:tc>
        <w:tc>
          <w:tcPr>
            <w:tcW w:w="1395" w:type="dxa"/>
            <w:shd w:val="clear" w:color="auto" w:fill="auto"/>
            <w:noWrap w:val="0"/>
            <w:vAlign w:val="center"/>
          </w:tcPr>
          <w:p w14:paraId="0A9788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4DB53F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蚁巢开挖回填1个；白蚁饵剂诱杀3671㎡；药物喷洒3671㎡；白蚁监测装置92套；红火蚁饵剂诱杀3671㎡。</w:t>
            </w:r>
          </w:p>
        </w:tc>
      </w:tr>
      <w:tr w14:paraId="21FD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534A5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16</w:t>
            </w:r>
          </w:p>
        </w:tc>
        <w:tc>
          <w:tcPr>
            <w:tcW w:w="1935" w:type="dxa"/>
            <w:noWrap w:val="0"/>
            <w:vAlign w:val="center"/>
          </w:tcPr>
          <w:p w14:paraId="430249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大白箐水库</w:t>
            </w:r>
          </w:p>
        </w:tc>
        <w:tc>
          <w:tcPr>
            <w:tcW w:w="1395" w:type="dxa"/>
            <w:shd w:val="clear" w:color="auto" w:fill="auto"/>
            <w:noWrap w:val="0"/>
            <w:vAlign w:val="center"/>
          </w:tcPr>
          <w:p w14:paraId="4ED6A5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shd w:val="clear" w:color="auto" w:fill="auto"/>
            <w:noWrap w:val="0"/>
            <w:vAlign w:val="center"/>
          </w:tcPr>
          <w:p w14:paraId="45B26E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kern w:val="2"/>
                <w:sz w:val="21"/>
                <w:szCs w:val="21"/>
                <w:lang w:val="en-US" w:eastAsia="zh-CN" w:bidi="ar-SA"/>
              </w:rPr>
            </w:pPr>
            <w:r>
              <w:rPr>
                <w:rFonts w:hint="eastAsia" w:hAnsi="宋体"/>
                <w:color w:val="000000" w:themeColor="text1"/>
                <w:szCs w:val="21"/>
                <w14:textFill>
                  <w14:solidFill>
                    <w14:schemeClr w14:val="tx1"/>
                  </w14:solidFill>
                </w14:textFill>
              </w:rPr>
              <w:t>蚁巢开挖回填1个；白蚁饵剂诱杀1189㎡；药物喷洒1189㎡；白蚁监测装置30套。</w:t>
            </w:r>
          </w:p>
        </w:tc>
      </w:tr>
      <w:tr w14:paraId="6C18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5EBF2A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hAnsi="宋体" w:eastAsia="宋体"/>
                <w:color w:val="000000" w:themeColor="text1"/>
                <w:szCs w:val="21"/>
                <w:lang w:eastAsia="zh-CN"/>
                <w14:textFill>
                  <w14:solidFill>
                    <w14:schemeClr w14:val="tx1"/>
                  </w14:solidFill>
                </w14:textFill>
              </w:rPr>
            </w:pPr>
            <w:r>
              <w:rPr>
                <w:rFonts w:hint="eastAsia" w:hAnsi="宋体"/>
                <w:b/>
                <w:bCs/>
                <w:color w:val="000000" w:themeColor="text1"/>
                <w:szCs w:val="21"/>
                <w14:textFill>
                  <w14:solidFill>
                    <w14:schemeClr w14:val="tx1"/>
                  </w14:solidFill>
                </w14:textFill>
              </w:rPr>
              <w:t>平田乡</w:t>
            </w:r>
          </w:p>
        </w:tc>
      </w:tr>
      <w:tr w14:paraId="313B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0A1D69C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17</w:t>
            </w:r>
          </w:p>
        </w:tc>
        <w:tc>
          <w:tcPr>
            <w:tcW w:w="1935" w:type="dxa"/>
            <w:noWrap w:val="0"/>
            <w:vAlign w:val="center"/>
          </w:tcPr>
          <w:p w14:paraId="385166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丙令水库</w:t>
            </w:r>
          </w:p>
        </w:tc>
        <w:tc>
          <w:tcPr>
            <w:tcW w:w="1395" w:type="dxa"/>
            <w:shd w:val="clear" w:color="auto" w:fill="auto"/>
            <w:noWrap w:val="0"/>
            <w:vAlign w:val="center"/>
          </w:tcPr>
          <w:p w14:paraId="79A257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6D77D8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蚁巢开挖回填8个；白蚁饵剂诱杀11500㎡；药物喷洒11500㎡；白蚁监测装置288套。</w:t>
            </w:r>
          </w:p>
        </w:tc>
      </w:tr>
      <w:tr w14:paraId="67AA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151289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18</w:t>
            </w:r>
          </w:p>
        </w:tc>
        <w:tc>
          <w:tcPr>
            <w:tcW w:w="1935" w:type="dxa"/>
            <w:noWrap w:val="0"/>
            <w:vAlign w:val="center"/>
          </w:tcPr>
          <w:p w14:paraId="1B613C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那迪水库</w:t>
            </w:r>
          </w:p>
        </w:tc>
        <w:tc>
          <w:tcPr>
            <w:tcW w:w="1395" w:type="dxa"/>
            <w:shd w:val="clear" w:color="auto" w:fill="auto"/>
            <w:noWrap w:val="0"/>
            <w:vAlign w:val="center"/>
          </w:tcPr>
          <w:p w14:paraId="12A1B3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25FBC2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蚁巢开挖回填1个；白蚁饵剂诱杀974㎡；药物喷洒974㎡；白蚁监测装置24套。</w:t>
            </w:r>
          </w:p>
        </w:tc>
      </w:tr>
      <w:tr w14:paraId="7416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28D645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19</w:t>
            </w:r>
          </w:p>
        </w:tc>
        <w:tc>
          <w:tcPr>
            <w:tcW w:w="1935" w:type="dxa"/>
            <w:noWrap w:val="0"/>
            <w:vAlign w:val="center"/>
          </w:tcPr>
          <w:p w14:paraId="2375C9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大箐水库</w:t>
            </w:r>
          </w:p>
        </w:tc>
        <w:tc>
          <w:tcPr>
            <w:tcW w:w="1395" w:type="dxa"/>
            <w:shd w:val="clear" w:color="auto" w:fill="auto"/>
            <w:noWrap w:val="0"/>
            <w:vAlign w:val="center"/>
          </w:tcPr>
          <w:p w14:paraId="367F19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19289F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蚁巢开挖回填1个；白蚁饵剂诱杀1178㎡；药物喷洒1178㎡；白蚁监测装置29套；红火蚁饵剂诱杀1178㎡。</w:t>
            </w:r>
          </w:p>
        </w:tc>
      </w:tr>
      <w:tr w14:paraId="7DA0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14A7CA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20</w:t>
            </w:r>
          </w:p>
        </w:tc>
        <w:tc>
          <w:tcPr>
            <w:tcW w:w="1935" w:type="dxa"/>
            <w:shd w:val="clear" w:color="auto" w:fill="auto"/>
            <w:noWrap w:val="0"/>
            <w:vAlign w:val="center"/>
          </w:tcPr>
          <w:p w14:paraId="0F4DFF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hAnsi="宋体"/>
                <w:color w:val="000000" w:themeColor="text1"/>
                <w:szCs w:val="21"/>
                <w14:textFill>
                  <w14:solidFill>
                    <w14:schemeClr w14:val="tx1"/>
                  </w14:solidFill>
                </w14:textFill>
              </w:rPr>
              <w:t>石台子水库</w:t>
            </w:r>
          </w:p>
        </w:tc>
        <w:tc>
          <w:tcPr>
            <w:tcW w:w="1395" w:type="dxa"/>
            <w:shd w:val="clear" w:color="auto" w:fill="auto"/>
            <w:noWrap w:val="0"/>
            <w:vAlign w:val="center"/>
          </w:tcPr>
          <w:p w14:paraId="722F29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44520C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蚁巢开挖回填2个；白蚁饵剂诱杀1218㎡；药物喷洒1218㎡；白蚁监测装置30套。</w:t>
            </w:r>
          </w:p>
        </w:tc>
      </w:tr>
      <w:tr w14:paraId="0641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6646C55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21</w:t>
            </w:r>
          </w:p>
        </w:tc>
        <w:tc>
          <w:tcPr>
            <w:tcW w:w="1935" w:type="dxa"/>
            <w:noWrap w:val="0"/>
            <w:vAlign w:val="center"/>
          </w:tcPr>
          <w:p w14:paraId="0F7097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腊古水库</w:t>
            </w:r>
          </w:p>
        </w:tc>
        <w:tc>
          <w:tcPr>
            <w:tcW w:w="1395" w:type="dxa"/>
            <w:shd w:val="clear" w:color="auto" w:fill="auto"/>
            <w:noWrap w:val="0"/>
            <w:vAlign w:val="center"/>
          </w:tcPr>
          <w:p w14:paraId="454979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59D183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蚁巢开挖回填1个；白蚁饵剂诱杀1253㎡；药物喷洒1253㎡；白蚁监测装置31套。</w:t>
            </w:r>
          </w:p>
        </w:tc>
      </w:tr>
      <w:tr w14:paraId="6CAB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21B872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22</w:t>
            </w:r>
          </w:p>
        </w:tc>
        <w:tc>
          <w:tcPr>
            <w:tcW w:w="1935" w:type="dxa"/>
            <w:noWrap w:val="0"/>
            <w:vAlign w:val="center"/>
          </w:tcPr>
          <w:p w14:paraId="53BFA3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渣麻子水库</w:t>
            </w:r>
          </w:p>
        </w:tc>
        <w:tc>
          <w:tcPr>
            <w:tcW w:w="1395" w:type="dxa"/>
            <w:shd w:val="clear" w:color="auto" w:fill="auto"/>
            <w:noWrap w:val="0"/>
            <w:vAlign w:val="center"/>
          </w:tcPr>
          <w:p w14:paraId="0A236E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0B875A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蚁巢开挖回填5个；白蚁饵剂诱杀1397㎡；药物喷洒1397㎡；白蚁监测装置35套；红火蚁饵剂诱杀1397㎡。</w:t>
            </w:r>
          </w:p>
        </w:tc>
      </w:tr>
      <w:tr w14:paraId="6C5D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562C10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23</w:t>
            </w:r>
          </w:p>
        </w:tc>
        <w:tc>
          <w:tcPr>
            <w:tcW w:w="1935" w:type="dxa"/>
            <w:noWrap w:val="0"/>
            <w:vAlign w:val="center"/>
          </w:tcPr>
          <w:p w14:paraId="751026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德大干巴水库</w:t>
            </w:r>
          </w:p>
        </w:tc>
        <w:tc>
          <w:tcPr>
            <w:tcW w:w="1395" w:type="dxa"/>
            <w:shd w:val="clear" w:color="auto" w:fill="auto"/>
            <w:noWrap w:val="0"/>
            <w:vAlign w:val="center"/>
          </w:tcPr>
          <w:p w14:paraId="6E7A8BF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5E1DC34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蚁巢开挖回填4个；白蚁饵剂诱杀885㎡；药物喷洒885㎡；白蚁监测装置22套。</w:t>
            </w:r>
          </w:p>
        </w:tc>
      </w:tr>
      <w:tr w14:paraId="4D14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23F04D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24</w:t>
            </w:r>
          </w:p>
        </w:tc>
        <w:tc>
          <w:tcPr>
            <w:tcW w:w="1935" w:type="dxa"/>
            <w:noWrap w:val="0"/>
            <w:vAlign w:val="center"/>
          </w:tcPr>
          <w:p w14:paraId="1A1CD07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东永水库</w:t>
            </w:r>
          </w:p>
        </w:tc>
        <w:tc>
          <w:tcPr>
            <w:tcW w:w="1395" w:type="dxa"/>
            <w:shd w:val="clear" w:color="auto" w:fill="auto"/>
            <w:noWrap w:val="0"/>
            <w:vAlign w:val="center"/>
          </w:tcPr>
          <w:p w14:paraId="5EFCEA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shd w:val="clear" w:color="auto" w:fill="auto"/>
            <w:noWrap w:val="0"/>
            <w:vAlign w:val="center"/>
          </w:tcPr>
          <w:p w14:paraId="191D63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kern w:val="2"/>
                <w:sz w:val="21"/>
                <w:szCs w:val="21"/>
                <w:lang w:val="en-US" w:eastAsia="zh-CN" w:bidi="ar-SA"/>
              </w:rPr>
            </w:pPr>
            <w:r>
              <w:rPr>
                <w:rFonts w:hint="eastAsia" w:hAnsi="宋体"/>
                <w:color w:val="000000" w:themeColor="text1"/>
                <w:szCs w:val="21"/>
                <w14:textFill>
                  <w14:solidFill>
                    <w14:schemeClr w14:val="tx1"/>
                  </w14:solidFill>
                </w14:textFill>
              </w:rPr>
              <w:t>蚁巢开挖回填6个；白蚁饵剂诱杀1087㎡；药物喷洒1087㎡；白蚁监测装置27套。</w:t>
            </w:r>
          </w:p>
        </w:tc>
      </w:tr>
      <w:tr w14:paraId="394C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3FDD92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25</w:t>
            </w:r>
          </w:p>
        </w:tc>
        <w:tc>
          <w:tcPr>
            <w:tcW w:w="1935" w:type="dxa"/>
            <w:noWrap w:val="0"/>
            <w:vAlign w:val="center"/>
          </w:tcPr>
          <w:p w14:paraId="5E2DF2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树林水库</w:t>
            </w:r>
          </w:p>
        </w:tc>
        <w:tc>
          <w:tcPr>
            <w:tcW w:w="1395" w:type="dxa"/>
            <w:shd w:val="clear" w:color="auto" w:fill="auto"/>
            <w:noWrap w:val="0"/>
            <w:vAlign w:val="center"/>
          </w:tcPr>
          <w:p w14:paraId="76AAF6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7A0E2E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蚁巢开挖回填8个；白蚁饵剂诱杀1769㎡；药物喷洒1769㎡；白蚁监测装置44套。</w:t>
            </w:r>
          </w:p>
        </w:tc>
      </w:tr>
      <w:tr w14:paraId="4EAE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28A534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hAnsi="宋体" w:eastAsia="宋体"/>
                <w:color w:val="000000" w:themeColor="text1"/>
                <w:szCs w:val="21"/>
                <w:lang w:eastAsia="zh-CN"/>
                <w14:textFill>
                  <w14:solidFill>
                    <w14:schemeClr w14:val="tx1"/>
                  </w14:solidFill>
                </w14:textFill>
              </w:rPr>
            </w:pPr>
            <w:r>
              <w:rPr>
                <w:rFonts w:hint="eastAsia" w:hAnsi="宋体"/>
                <w:b/>
                <w:bCs/>
                <w:color w:val="000000" w:themeColor="text1"/>
                <w:szCs w:val="21"/>
                <w14:textFill>
                  <w14:solidFill>
                    <w14:schemeClr w14:val="tx1"/>
                  </w14:solidFill>
                </w14:textFill>
              </w:rPr>
              <w:t>新华乡</w:t>
            </w:r>
          </w:p>
        </w:tc>
      </w:tr>
      <w:tr w14:paraId="2655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5EE69A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26</w:t>
            </w:r>
          </w:p>
        </w:tc>
        <w:tc>
          <w:tcPr>
            <w:tcW w:w="1935" w:type="dxa"/>
            <w:noWrap w:val="0"/>
            <w:vAlign w:val="center"/>
          </w:tcPr>
          <w:p w14:paraId="0F1AB5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鼠街水库</w:t>
            </w:r>
          </w:p>
        </w:tc>
        <w:tc>
          <w:tcPr>
            <w:tcW w:w="1395" w:type="dxa"/>
            <w:noWrap w:val="0"/>
            <w:vAlign w:val="center"/>
          </w:tcPr>
          <w:p w14:paraId="2D4BC9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yellow"/>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7B2DFD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蚁巢开挖回填4个；白蚁饵剂诱杀4700㎡；药物喷洒4700㎡；白蚁监测装置118套；红火蚁饵剂诱杀4700㎡。</w:t>
            </w:r>
          </w:p>
        </w:tc>
      </w:tr>
      <w:tr w14:paraId="4E9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3D7D3B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27</w:t>
            </w:r>
          </w:p>
        </w:tc>
        <w:tc>
          <w:tcPr>
            <w:tcW w:w="1935" w:type="dxa"/>
            <w:noWrap w:val="0"/>
            <w:vAlign w:val="center"/>
          </w:tcPr>
          <w:p w14:paraId="3EDF8B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团山水库</w:t>
            </w:r>
          </w:p>
        </w:tc>
        <w:tc>
          <w:tcPr>
            <w:tcW w:w="1395" w:type="dxa"/>
            <w:noWrap w:val="0"/>
            <w:vAlign w:val="center"/>
          </w:tcPr>
          <w:p w14:paraId="44FEEC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400A96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蚁巢开挖回填1个；白蚁饵剂诱杀2083㎡；药物喷洒2083㎡；白蚁监测装置52套。</w:t>
            </w:r>
          </w:p>
        </w:tc>
      </w:tr>
      <w:tr w14:paraId="4747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4249F0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28</w:t>
            </w:r>
          </w:p>
        </w:tc>
        <w:tc>
          <w:tcPr>
            <w:tcW w:w="1935" w:type="dxa"/>
            <w:noWrap w:val="0"/>
            <w:vAlign w:val="center"/>
          </w:tcPr>
          <w:p w14:paraId="38DF764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小地弯水库</w:t>
            </w:r>
          </w:p>
        </w:tc>
        <w:tc>
          <w:tcPr>
            <w:tcW w:w="1395" w:type="dxa"/>
            <w:noWrap w:val="0"/>
            <w:vAlign w:val="center"/>
          </w:tcPr>
          <w:p w14:paraId="26EBB9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3BE612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蚁巢开挖回填1个；白蚁饵剂诱杀1382㎡；药物喷洒1382㎡；白蚁监测装置20套；红火蚁饵剂诱杀1382㎡。</w:t>
            </w:r>
          </w:p>
        </w:tc>
      </w:tr>
      <w:tr w14:paraId="5D4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38E9B7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29</w:t>
            </w:r>
          </w:p>
        </w:tc>
        <w:tc>
          <w:tcPr>
            <w:tcW w:w="1935" w:type="dxa"/>
            <w:noWrap w:val="0"/>
            <w:vAlign w:val="center"/>
          </w:tcPr>
          <w:p w14:paraId="4B0A56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小村水库</w:t>
            </w:r>
          </w:p>
        </w:tc>
        <w:tc>
          <w:tcPr>
            <w:tcW w:w="1395" w:type="dxa"/>
            <w:noWrap w:val="0"/>
            <w:vAlign w:val="center"/>
          </w:tcPr>
          <w:p w14:paraId="7E18E4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shd w:val="clear" w:color="auto" w:fill="auto"/>
            <w:noWrap w:val="0"/>
            <w:vAlign w:val="center"/>
          </w:tcPr>
          <w:p w14:paraId="76F530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val="0"/>
                <w:bCs w:val="0"/>
                <w:color w:val="FF0000"/>
                <w:kern w:val="2"/>
                <w:sz w:val="21"/>
                <w:szCs w:val="21"/>
                <w:lang w:val="en-US" w:eastAsia="zh-CN" w:bidi="ar-SA"/>
              </w:rPr>
            </w:pPr>
            <w:r>
              <w:rPr>
                <w:rFonts w:hint="eastAsia" w:hAnsi="宋体"/>
                <w:color w:val="000000" w:themeColor="text1"/>
                <w:szCs w:val="21"/>
                <w14:textFill>
                  <w14:solidFill>
                    <w14:schemeClr w14:val="tx1"/>
                  </w14:solidFill>
                </w14:textFill>
              </w:rPr>
              <w:t>蚁巢开挖回填1个；白蚁饵剂诱杀3826㎡；药物喷洒3826㎡；白蚁监测装置96套；红火蚁饵剂诱杀3826㎡。</w:t>
            </w:r>
          </w:p>
        </w:tc>
      </w:tr>
      <w:tr w14:paraId="56B7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2E709E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30</w:t>
            </w:r>
          </w:p>
        </w:tc>
        <w:tc>
          <w:tcPr>
            <w:tcW w:w="1935" w:type="dxa"/>
            <w:noWrap w:val="0"/>
            <w:vAlign w:val="center"/>
          </w:tcPr>
          <w:p w14:paraId="35C39D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白坡水库</w:t>
            </w:r>
          </w:p>
        </w:tc>
        <w:tc>
          <w:tcPr>
            <w:tcW w:w="1395" w:type="dxa"/>
            <w:noWrap w:val="0"/>
            <w:vAlign w:val="center"/>
          </w:tcPr>
          <w:p w14:paraId="7607C6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shd w:val="clear" w:color="auto" w:fill="auto"/>
            <w:noWrap w:val="0"/>
            <w:vAlign w:val="center"/>
          </w:tcPr>
          <w:p w14:paraId="5C6A0A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kern w:val="2"/>
                <w:sz w:val="21"/>
                <w:szCs w:val="21"/>
                <w:lang w:val="en-US" w:eastAsia="zh-CN" w:bidi="ar-SA"/>
              </w:rPr>
            </w:pPr>
            <w:r>
              <w:rPr>
                <w:rFonts w:hint="eastAsia" w:hAnsi="宋体"/>
                <w:color w:val="000000" w:themeColor="text1"/>
                <w:szCs w:val="21"/>
                <w14:textFill>
                  <w14:solidFill>
                    <w14:schemeClr w14:val="tx1"/>
                  </w14:solidFill>
                </w14:textFill>
              </w:rPr>
              <w:t>蚁巢开挖回填1个；白蚁饵剂诱杀1076㎡；药物喷洒1076㎡；白蚁监测装置27套。</w:t>
            </w:r>
          </w:p>
        </w:tc>
      </w:tr>
      <w:tr w14:paraId="1747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45F2A8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31</w:t>
            </w:r>
          </w:p>
        </w:tc>
        <w:tc>
          <w:tcPr>
            <w:tcW w:w="1935" w:type="dxa"/>
            <w:noWrap w:val="0"/>
            <w:vAlign w:val="center"/>
          </w:tcPr>
          <w:p w14:paraId="2147C1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冷水箐水库</w:t>
            </w:r>
          </w:p>
        </w:tc>
        <w:tc>
          <w:tcPr>
            <w:tcW w:w="1395" w:type="dxa"/>
            <w:noWrap w:val="0"/>
            <w:vAlign w:val="center"/>
          </w:tcPr>
          <w:p w14:paraId="6E83EB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783E20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蚁巢开挖回填4个；白蚁饵剂诱杀2581㎡；药物喷洒2581㎡；白蚁监测装置65套。</w:t>
            </w:r>
          </w:p>
        </w:tc>
      </w:tr>
      <w:tr w14:paraId="01F1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6E1C1F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32</w:t>
            </w:r>
          </w:p>
        </w:tc>
        <w:tc>
          <w:tcPr>
            <w:tcW w:w="1935" w:type="dxa"/>
            <w:noWrap w:val="0"/>
            <w:vAlign w:val="center"/>
          </w:tcPr>
          <w:p w14:paraId="102367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小吃田水库</w:t>
            </w:r>
          </w:p>
        </w:tc>
        <w:tc>
          <w:tcPr>
            <w:tcW w:w="1395" w:type="dxa"/>
            <w:noWrap w:val="0"/>
            <w:vAlign w:val="center"/>
          </w:tcPr>
          <w:p w14:paraId="3C31E3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shd w:val="clear" w:color="auto" w:fill="auto"/>
            <w:noWrap w:val="0"/>
            <w:vAlign w:val="center"/>
          </w:tcPr>
          <w:p w14:paraId="57C2C5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kern w:val="2"/>
                <w:sz w:val="21"/>
                <w:szCs w:val="21"/>
                <w:lang w:val="en-US" w:eastAsia="zh-CN" w:bidi="ar-SA"/>
              </w:rPr>
            </w:pPr>
            <w:r>
              <w:rPr>
                <w:rFonts w:hint="eastAsia" w:hAnsi="宋体"/>
                <w:color w:val="000000" w:themeColor="text1"/>
                <w:szCs w:val="21"/>
                <w14:textFill>
                  <w14:solidFill>
                    <w14:schemeClr w14:val="tx1"/>
                  </w14:solidFill>
                </w14:textFill>
              </w:rPr>
              <w:t>蚁巢开挖回填1个；白蚁饵剂诱杀2935㎡；药物喷洒2935㎡；白蚁监测装置73套；红火蚁饵剂诱杀2935㎡。</w:t>
            </w:r>
          </w:p>
        </w:tc>
      </w:tr>
      <w:tr w14:paraId="44E7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1118F3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33</w:t>
            </w:r>
          </w:p>
        </w:tc>
        <w:tc>
          <w:tcPr>
            <w:tcW w:w="1935" w:type="dxa"/>
            <w:noWrap w:val="0"/>
            <w:vAlign w:val="center"/>
          </w:tcPr>
          <w:p w14:paraId="326BA9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中山水库</w:t>
            </w:r>
          </w:p>
        </w:tc>
        <w:tc>
          <w:tcPr>
            <w:tcW w:w="1395" w:type="dxa"/>
            <w:noWrap w:val="0"/>
            <w:vAlign w:val="center"/>
          </w:tcPr>
          <w:p w14:paraId="7EB519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shd w:val="clear" w:color="auto" w:fill="auto"/>
            <w:noWrap w:val="0"/>
            <w:vAlign w:val="center"/>
          </w:tcPr>
          <w:p w14:paraId="6E67F8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kern w:val="2"/>
                <w:sz w:val="21"/>
                <w:szCs w:val="21"/>
                <w:lang w:val="en-US" w:eastAsia="zh-CN" w:bidi="ar-SA"/>
              </w:rPr>
            </w:pPr>
            <w:r>
              <w:rPr>
                <w:rFonts w:hint="eastAsia" w:hAnsi="宋体"/>
                <w:color w:val="000000" w:themeColor="text1"/>
                <w:szCs w:val="21"/>
                <w14:textFill>
                  <w14:solidFill>
                    <w14:schemeClr w14:val="tx1"/>
                  </w14:solidFill>
                </w14:textFill>
              </w:rPr>
              <w:t>蚁巢开挖回填1个；白蚁饵剂诱杀5580㎡；药物喷洒5580㎡；白蚁监测装置140套；红火蚁饵剂诱杀5580㎡。</w:t>
            </w:r>
          </w:p>
        </w:tc>
      </w:tr>
      <w:tr w14:paraId="4FCF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6540F8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34</w:t>
            </w:r>
          </w:p>
        </w:tc>
        <w:tc>
          <w:tcPr>
            <w:tcW w:w="1935" w:type="dxa"/>
            <w:noWrap w:val="0"/>
            <w:vAlign w:val="center"/>
          </w:tcPr>
          <w:p w14:paraId="19D8FB4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灰冲水库</w:t>
            </w:r>
          </w:p>
        </w:tc>
        <w:tc>
          <w:tcPr>
            <w:tcW w:w="1395" w:type="dxa"/>
            <w:noWrap w:val="0"/>
            <w:vAlign w:val="center"/>
          </w:tcPr>
          <w:p w14:paraId="4BEE4F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1EA2EE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蚁巢开挖回填1个；白蚁饵剂诱杀868㎡；药物喷洒868㎡；白蚁监测装置22套；红火蚁饵剂诱杀868㎡。</w:t>
            </w:r>
          </w:p>
        </w:tc>
      </w:tr>
      <w:tr w14:paraId="734E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5F4423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35</w:t>
            </w:r>
          </w:p>
        </w:tc>
        <w:tc>
          <w:tcPr>
            <w:tcW w:w="1935" w:type="dxa"/>
            <w:noWrap w:val="0"/>
            <w:vAlign w:val="center"/>
          </w:tcPr>
          <w:p w14:paraId="4171E8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常家坟水库</w:t>
            </w:r>
          </w:p>
        </w:tc>
        <w:tc>
          <w:tcPr>
            <w:tcW w:w="1395" w:type="dxa"/>
            <w:noWrap w:val="0"/>
            <w:vAlign w:val="center"/>
          </w:tcPr>
          <w:p w14:paraId="160425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312F33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蚁巢开挖回填2个；白蚁饵剂诱杀735㎡；药物喷洒735㎡；白蚁监测装置18套。</w:t>
            </w:r>
          </w:p>
        </w:tc>
      </w:tr>
      <w:tr w14:paraId="71B7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23B9D0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36</w:t>
            </w:r>
          </w:p>
        </w:tc>
        <w:tc>
          <w:tcPr>
            <w:tcW w:w="1935" w:type="dxa"/>
            <w:noWrap w:val="0"/>
            <w:vAlign w:val="center"/>
          </w:tcPr>
          <w:p w14:paraId="172820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牛街路水库</w:t>
            </w:r>
          </w:p>
        </w:tc>
        <w:tc>
          <w:tcPr>
            <w:tcW w:w="1395" w:type="dxa"/>
            <w:noWrap w:val="0"/>
            <w:vAlign w:val="center"/>
          </w:tcPr>
          <w:p w14:paraId="7EB17E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210CCD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蚁巢开挖回填4个；白蚁饵剂诱杀1796㎡；药物喷洒1796㎡；白蚁监测装置45套；红火蚁饵剂诱杀1796㎡。</w:t>
            </w:r>
          </w:p>
        </w:tc>
      </w:tr>
      <w:tr w14:paraId="44E8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384DD8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37</w:t>
            </w:r>
          </w:p>
        </w:tc>
        <w:tc>
          <w:tcPr>
            <w:tcW w:w="1935" w:type="dxa"/>
            <w:noWrap w:val="0"/>
            <w:vAlign w:val="center"/>
          </w:tcPr>
          <w:p w14:paraId="249B38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麦浪水库</w:t>
            </w:r>
          </w:p>
        </w:tc>
        <w:tc>
          <w:tcPr>
            <w:tcW w:w="1395" w:type="dxa"/>
            <w:noWrap w:val="0"/>
            <w:vAlign w:val="center"/>
          </w:tcPr>
          <w:p w14:paraId="38BEE0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63B03B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蚁巢开挖回填5个；白蚁饵剂诱杀1365㎡；药物喷洒1365㎡；白蚁监测装置34套。</w:t>
            </w:r>
          </w:p>
        </w:tc>
      </w:tr>
      <w:tr w14:paraId="1127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1DEDFD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hAnsi="宋体"/>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姜驿乡</w:t>
            </w:r>
          </w:p>
        </w:tc>
      </w:tr>
      <w:tr w14:paraId="39A1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01BADAF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38</w:t>
            </w:r>
          </w:p>
        </w:tc>
        <w:tc>
          <w:tcPr>
            <w:tcW w:w="1935" w:type="dxa"/>
            <w:noWrap w:val="0"/>
            <w:vAlign w:val="center"/>
          </w:tcPr>
          <w:p w14:paraId="4FD2B2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贡茶水库</w:t>
            </w:r>
          </w:p>
        </w:tc>
        <w:tc>
          <w:tcPr>
            <w:tcW w:w="1395" w:type="dxa"/>
            <w:noWrap w:val="0"/>
            <w:vAlign w:val="center"/>
          </w:tcPr>
          <w:p w14:paraId="4FEA16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503352B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蚁巢开挖回填1个；白蚁饵剂诱杀1400㎡；药物喷洒1400㎡；白蚁监测装置35套。治理概算投资6355.00元。</w:t>
            </w:r>
          </w:p>
        </w:tc>
      </w:tr>
      <w:tr w14:paraId="39C3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3DFEC2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39</w:t>
            </w:r>
          </w:p>
        </w:tc>
        <w:tc>
          <w:tcPr>
            <w:tcW w:w="1935" w:type="dxa"/>
            <w:noWrap w:val="0"/>
            <w:vAlign w:val="center"/>
          </w:tcPr>
          <w:p w14:paraId="5D0C4D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火头田水库</w:t>
            </w:r>
          </w:p>
        </w:tc>
        <w:tc>
          <w:tcPr>
            <w:tcW w:w="1395" w:type="dxa"/>
            <w:noWrap w:val="0"/>
            <w:vAlign w:val="center"/>
          </w:tcPr>
          <w:p w14:paraId="1D62B7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553852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蚁巢开挖回填1个；白蚁饵剂诱杀1500㎡；药物喷洒1500㎡；白蚁监测装置38套。</w:t>
            </w:r>
          </w:p>
        </w:tc>
      </w:tr>
      <w:tr w14:paraId="3A2D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4F87FF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40</w:t>
            </w:r>
          </w:p>
        </w:tc>
        <w:tc>
          <w:tcPr>
            <w:tcW w:w="1935" w:type="dxa"/>
            <w:noWrap w:val="0"/>
            <w:vAlign w:val="center"/>
          </w:tcPr>
          <w:p w14:paraId="4B0DD15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姜中水库</w:t>
            </w:r>
          </w:p>
        </w:tc>
        <w:tc>
          <w:tcPr>
            <w:tcW w:w="1395" w:type="dxa"/>
            <w:noWrap w:val="0"/>
            <w:vAlign w:val="center"/>
          </w:tcPr>
          <w:p w14:paraId="2DA2AF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25614A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蚁巢开挖回填1个；白蚁饵剂诱杀1986㎡；药物喷洒1986㎡；白蚁监测装置50套。</w:t>
            </w:r>
          </w:p>
        </w:tc>
      </w:tr>
      <w:tr w14:paraId="343F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0B118E1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41</w:t>
            </w:r>
          </w:p>
        </w:tc>
        <w:tc>
          <w:tcPr>
            <w:tcW w:w="1935" w:type="dxa"/>
            <w:noWrap w:val="0"/>
            <w:vAlign w:val="center"/>
          </w:tcPr>
          <w:p w14:paraId="428FC5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李官坟水库</w:t>
            </w:r>
          </w:p>
        </w:tc>
        <w:tc>
          <w:tcPr>
            <w:tcW w:w="1395" w:type="dxa"/>
            <w:noWrap w:val="0"/>
            <w:vAlign w:val="center"/>
          </w:tcPr>
          <w:p w14:paraId="1BA8AA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713E1F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蚁巢开挖回填2个；白蚁饵剂诱杀1048㎡；药物喷洒1948㎡；白蚁监测装置26套。</w:t>
            </w:r>
          </w:p>
        </w:tc>
      </w:tr>
      <w:tr w14:paraId="33B7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636C2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42</w:t>
            </w:r>
          </w:p>
        </w:tc>
        <w:tc>
          <w:tcPr>
            <w:tcW w:w="1935" w:type="dxa"/>
            <w:noWrap w:val="0"/>
            <w:vAlign w:val="center"/>
          </w:tcPr>
          <w:p w14:paraId="60EF22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太平水库</w:t>
            </w:r>
          </w:p>
        </w:tc>
        <w:tc>
          <w:tcPr>
            <w:tcW w:w="1395" w:type="dxa"/>
            <w:noWrap w:val="0"/>
            <w:vAlign w:val="center"/>
          </w:tcPr>
          <w:p w14:paraId="01185F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20E436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蚁巢开挖回填1个；白蚁饵剂诱杀1748㎡；药物喷洒1748㎡；白蚁监测装置44套。</w:t>
            </w:r>
          </w:p>
        </w:tc>
      </w:tr>
      <w:tr w14:paraId="75AD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2487BC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43</w:t>
            </w:r>
          </w:p>
        </w:tc>
        <w:tc>
          <w:tcPr>
            <w:tcW w:w="1935" w:type="dxa"/>
            <w:noWrap w:val="0"/>
            <w:vAlign w:val="center"/>
          </w:tcPr>
          <w:p w14:paraId="5F4D59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新海水库</w:t>
            </w:r>
          </w:p>
        </w:tc>
        <w:tc>
          <w:tcPr>
            <w:tcW w:w="1395" w:type="dxa"/>
            <w:noWrap w:val="0"/>
            <w:vAlign w:val="center"/>
          </w:tcPr>
          <w:p w14:paraId="4104B3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16CC3B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蚁巢开挖回填1个；白蚁饵剂诱杀1600㎡；药物喷洒1600白蚁监测装置40套。</w:t>
            </w:r>
          </w:p>
        </w:tc>
      </w:tr>
      <w:tr w14:paraId="7B18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20128A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44</w:t>
            </w:r>
          </w:p>
        </w:tc>
        <w:tc>
          <w:tcPr>
            <w:tcW w:w="1935" w:type="dxa"/>
            <w:noWrap w:val="0"/>
            <w:vAlign w:val="center"/>
          </w:tcPr>
          <w:p w14:paraId="603088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跃进水库</w:t>
            </w:r>
          </w:p>
        </w:tc>
        <w:tc>
          <w:tcPr>
            <w:tcW w:w="1395" w:type="dxa"/>
            <w:noWrap w:val="0"/>
            <w:vAlign w:val="center"/>
          </w:tcPr>
          <w:p w14:paraId="277A0E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4F5FBCA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蚁巢开挖回填1个；白蚁饵剂诱杀1244㎡；药物喷洒1244㎡；白蚁监测装置31套。</w:t>
            </w:r>
          </w:p>
        </w:tc>
      </w:tr>
      <w:tr w14:paraId="1874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6B4D02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45</w:t>
            </w:r>
          </w:p>
        </w:tc>
        <w:tc>
          <w:tcPr>
            <w:tcW w:w="1935" w:type="dxa"/>
            <w:noWrap w:val="0"/>
            <w:vAlign w:val="center"/>
          </w:tcPr>
          <w:p w14:paraId="5265F8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致富水库</w:t>
            </w:r>
          </w:p>
        </w:tc>
        <w:tc>
          <w:tcPr>
            <w:tcW w:w="1395" w:type="dxa"/>
            <w:noWrap w:val="0"/>
            <w:vAlign w:val="center"/>
          </w:tcPr>
          <w:p w14:paraId="1B1F9A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小（2）型</w:t>
            </w:r>
          </w:p>
        </w:tc>
        <w:tc>
          <w:tcPr>
            <w:tcW w:w="5385" w:type="dxa"/>
            <w:noWrap w:val="0"/>
            <w:vAlign w:val="center"/>
          </w:tcPr>
          <w:p w14:paraId="3CDCB8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蚁巢开挖回填1个；白蚁饵剂诱杀1445㎡；药物喷洒1445㎡；白蚁监测装置36套；红火蚁饵剂诱杀1445㎡。</w:t>
            </w:r>
          </w:p>
        </w:tc>
      </w:tr>
      <w:tr w14:paraId="0EAE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2" w:type="dxa"/>
            <w:gridSpan w:val="4"/>
            <w:noWrap w:val="0"/>
            <w:vAlign w:val="center"/>
          </w:tcPr>
          <w:p w14:paraId="0D1274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hAnsi="宋体"/>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物茂乡</w:t>
            </w:r>
          </w:p>
        </w:tc>
      </w:tr>
      <w:tr w14:paraId="123E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74E895E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46</w:t>
            </w:r>
          </w:p>
        </w:tc>
        <w:tc>
          <w:tcPr>
            <w:tcW w:w="1935" w:type="dxa"/>
            <w:noWrap w:val="0"/>
            <w:vAlign w:val="center"/>
          </w:tcPr>
          <w:p w14:paraId="642D427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新河水库</w:t>
            </w:r>
          </w:p>
        </w:tc>
        <w:tc>
          <w:tcPr>
            <w:tcW w:w="1395" w:type="dxa"/>
            <w:noWrap w:val="0"/>
            <w:vAlign w:val="center"/>
          </w:tcPr>
          <w:p w14:paraId="52245C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0AEE8C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蚁巢开挖回填8个；白蚁饵剂诱杀4181㎡；药物喷洒4181㎡；白蚁监测装置105套。</w:t>
            </w:r>
          </w:p>
        </w:tc>
      </w:tr>
      <w:tr w14:paraId="3477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7" w:type="dxa"/>
            <w:noWrap w:val="0"/>
            <w:vAlign w:val="center"/>
          </w:tcPr>
          <w:p w14:paraId="036EFB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b w:val="0"/>
                <w:bCs w:val="0"/>
                <w:lang w:val="en-US" w:eastAsia="zh-CN"/>
              </w:rPr>
            </w:pPr>
            <w:r>
              <w:rPr>
                <w:rFonts w:hint="eastAsia"/>
                <w:b w:val="0"/>
                <w:bCs w:val="0"/>
                <w:lang w:val="en-US" w:eastAsia="zh-CN"/>
              </w:rPr>
              <w:t>47</w:t>
            </w:r>
          </w:p>
        </w:tc>
        <w:tc>
          <w:tcPr>
            <w:tcW w:w="1935" w:type="dxa"/>
            <w:noWrap w:val="0"/>
            <w:vAlign w:val="center"/>
          </w:tcPr>
          <w:p w14:paraId="14307C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lang w:val="en-US" w:eastAsia="zh-CN"/>
              </w:rPr>
            </w:pPr>
            <w:r>
              <w:rPr>
                <w:rFonts w:hint="eastAsia" w:hAnsi="宋体"/>
                <w:color w:val="000000" w:themeColor="text1"/>
                <w:szCs w:val="21"/>
                <w14:textFill>
                  <w14:solidFill>
                    <w14:schemeClr w14:val="tx1"/>
                  </w14:solidFill>
                </w14:textFill>
              </w:rPr>
              <w:t>东来水库</w:t>
            </w:r>
          </w:p>
        </w:tc>
        <w:tc>
          <w:tcPr>
            <w:tcW w:w="1395" w:type="dxa"/>
            <w:noWrap w:val="0"/>
            <w:vAlign w:val="center"/>
          </w:tcPr>
          <w:p w14:paraId="6F71DA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小（</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）型</w:t>
            </w:r>
          </w:p>
        </w:tc>
        <w:tc>
          <w:tcPr>
            <w:tcW w:w="5385" w:type="dxa"/>
            <w:noWrap w:val="0"/>
            <w:vAlign w:val="center"/>
          </w:tcPr>
          <w:p w14:paraId="11D0E6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宋体" w:hAnsi="宋体" w:eastAsia="宋体" w:cs="宋体"/>
                <w:b/>
                <w:bCs/>
                <w:color w:val="FF0000"/>
                <w:sz w:val="21"/>
                <w:szCs w:val="21"/>
                <w:lang w:val="en-US" w:eastAsia="zh-CN"/>
              </w:rPr>
            </w:pPr>
            <w:r>
              <w:rPr>
                <w:rFonts w:hint="eastAsia" w:hAnsi="宋体"/>
                <w:color w:val="000000" w:themeColor="text1"/>
                <w:szCs w:val="21"/>
                <w14:textFill>
                  <w14:solidFill>
                    <w14:schemeClr w14:val="tx1"/>
                  </w14:solidFill>
                </w14:textFill>
              </w:rPr>
              <w:t>蚁巢开挖回填6个；白蚁饵剂诱杀9549㎡；药物喷洒9549㎡；白蚁监测装置239套。</w:t>
            </w:r>
          </w:p>
        </w:tc>
      </w:tr>
    </w:tbl>
    <w:p w14:paraId="4E996030">
      <w:pPr>
        <w:widowControl/>
        <w:spacing w:line="360" w:lineRule="auto"/>
        <w:ind w:firstLine="420" w:firstLineChars="200"/>
        <w:jc w:val="left"/>
        <w:rPr>
          <w:rFonts w:hint="eastAsia" w:hAnsi="宋体"/>
          <w:color w:val="000000" w:themeColor="text1"/>
          <w:szCs w:val="21"/>
          <w14:textFill>
            <w14:solidFill>
              <w14:schemeClr w14:val="tx1"/>
            </w14:solidFill>
          </w14:textFill>
        </w:rPr>
      </w:pPr>
    </w:p>
    <w:p w14:paraId="606F60BD">
      <w:pPr>
        <w:widowControl/>
        <w:spacing w:line="360" w:lineRule="auto"/>
        <w:ind w:firstLine="420" w:firstLineChars="200"/>
        <w:jc w:val="left"/>
        <w:rPr>
          <w:rFonts w:hint="eastAsia" w:ascii="Times New Roman" w:hAnsi="宋体"/>
          <w:snapToGrid/>
          <w:color w:val="000000" w:themeColor="text1"/>
          <w:kern w:val="0"/>
          <w:szCs w:val="21"/>
          <w14:textFill>
            <w14:solidFill>
              <w14:schemeClr w14:val="tx1"/>
            </w14:solidFill>
          </w14:textFill>
        </w:rPr>
      </w:pPr>
      <w:r>
        <w:rPr>
          <w:rFonts w:hint="eastAsia" w:hAnsi="宋体"/>
          <w:snapToGrid/>
          <w:color w:val="000000" w:themeColor="text1"/>
          <w:kern w:val="0"/>
          <w:szCs w:val="21"/>
          <w14:textFill>
            <w14:solidFill>
              <w14:schemeClr w14:val="tx1"/>
            </w14:solidFill>
          </w14:textFill>
        </w:rPr>
        <w:t>申请人须满足《中华人民共和国政府采购法》第二十二条规定及竞争性磋商公告针对本项目的特定资格要求的规定</w:t>
      </w:r>
      <w:bookmarkStart w:id="280" w:name="_Toc46924597"/>
      <w:r>
        <w:rPr>
          <w:rFonts w:hint="eastAsia" w:ascii="Times New Roman" w:hAnsi="宋体"/>
          <w:snapToGrid/>
          <w:color w:val="000000" w:themeColor="text1"/>
          <w:kern w:val="0"/>
          <w:szCs w:val="21"/>
          <w14:textFill>
            <w14:solidFill>
              <w14:schemeClr w14:val="tx1"/>
            </w14:solidFill>
          </w14:textFill>
        </w:rPr>
        <w:t>。</w:t>
      </w:r>
    </w:p>
    <w:p w14:paraId="606F60BE">
      <w:pPr>
        <w:pStyle w:val="5"/>
        <w:bidi w:val="0"/>
        <w:rPr>
          <w:rFonts w:hint="eastAsia"/>
        </w:rPr>
      </w:pPr>
      <w:r>
        <w:rPr>
          <w:rFonts w:hint="eastAsia"/>
        </w:rPr>
        <w:t>二</w:t>
      </w:r>
      <w:r>
        <w:t>、</w:t>
      </w:r>
      <w:r>
        <w:rPr>
          <w:rFonts w:hint="eastAsia"/>
        </w:rPr>
        <w:t>采购标的需执行的国家相关标准、行业标准、地方标准或者其他标准、规范</w:t>
      </w:r>
      <w:bookmarkEnd w:id="280"/>
    </w:p>
    <w:p w14:paraId="606F60BF">
      <w:pPr>
        <w:widowControl/>
        <w:spacing w:line="360" w:lineRule="auto"/>
        <w:ind w:firstLine="420" w:firstLineChars="200"/>
        <w:jc w:val="left"/>
        <w:rPr>
          <w:rFonts w:hint="eastAsia" w:hAnsi="宋体"/>
          <w:snapToGrid/>
          <w:color w:val="000000" w:themeColor="text1"/>
          <w:kern w:val="0"/>
          <w:szCs w:val="22"/>
          <w14:textFill>
            <w14:solidFill>
              <w14:schemeClr w14:val="tx1"/>
            </w14:solidFill>
          </w14:textFill>
        </w:rPr>
      </w:pPr>
      <w:bookmarkStart w:id="281" w:name="_Toc46924598"/>
      <w:r>
        <w:rPr>
          <w:rFonts w:hint="eastAsia"/>
          <w:color w:val="000000" w:themeColor="text1"/>
          <w:szCs w:val="21"/>
          <w:lang w:eastAsia="zh-CN"/>
          <w14:textFill>
            <w14:solidFill>
              <w14:schemeClr w14:val="tx1"/>
            </w14:solidFill>
          </w14:textFill>
        </w:rPr>
        <w:t>符合《水利工程白蚁防治技术规程》（SLT 836—2024）、《水利工程白蚁防治技术规范》（T∕CHES-44-2020）等要求，同时符合国家现行有关标准的规定</w:t>
      </w:r>
      <w:r>
        <w:rPr>
          <w:rFonts w:hint="eastAsia" w:hAnsi="宋体"/>
          <w:color w:val="000000" w:themeColor="text1"/>
          <w:szCs w:val="21"/>
          <w14:textFill>
            <w14:solidFill>
              <w14:schemeClr w14:val="tx1"/>
            </w14:solidFill>
          </w14:textFill>
        </w:rPr>
        <w:t>。</w:t>
      </w:r>
    </w:p>
    <w:p w14:paraId="606F60C0">
      <w:pPr>
        <w:pStyle w:val="5"/>
        <w:bidi w:val="0"/>
        <w:rPr>
          <w:rFonts w:hint="eastAsia"/>
        </w:rPr>
      </w:pPr>
      <w:r>
        <w:rPr>
          <w:rFonts w:hint="eastAsia"/>
        </w:rPr>
        <w:t>三</w:t>
      </w:r>
      <w:r>
        <w:t>、</w:t>
      </w:r>
      <w:r>
        <w:rPr>
          <w:rFonts w:hint="eastAsia"/>
        </w:rPr>
        <w:t>采购标的需满足的质量、安全、技术规格、物理特性等要求</w:t>
      </w:r>
      <w:bookmarkEnd w:id="281"/>
    </w:p>
    <w:p w14:paraId="606F60C1">
      <w:pPr>
        <w:widowControl/>
        <w:spacing w:line="360" w:lineRule="auto"/>
        <w:ind w:firstLine="420" w:firstLineChars="200"/>
        <w:jc w:val="left"/>
        <w:rPr>
          <w:rFonts w:hint="eastAsia" w:hAnsi="宋体"/>
          <w:snapToGrid/>
          <w:color w:val="000000" w:themeColor="text1"/>
          <w:kern w:val="0"/>
          <w:szCs w:val="22"/>
          <w14:textFill>
            <w14:solidFill>
              <w14:schemeClr w14:val="tx1"/>
            </w14:solidFill>
          </w14:textFill>
        </w:rPr>
      </w:pPr>
      <w:bookmarkStart w:id="282" w:name="_Toc46924599"/>
      <w:r>
        <w:rPr>
          <w:rFonts w:hint="eastAsia"/>
          <w:color w:val="000000" w:themeColor="text1"/>
          <w:szCs w:val="21"/>
          <w:lang w:eastAsia="zh-CN"/>
          <w14:textFill>
            <w14:solidFill>
              <w14:schemeClr w14:val="tx1"/>
            </w14:solidFill>
          </w14:textFill>
        </w:rPr>
        <w:t>符合《水利工程白蚁防治技术规程》（SLT 836—2024）、《水利工程白蚁防治技术规范》（T∕CHES-44-2020）等要求，同时符合国家现行有关标准的规定</w:t>
      </w:r>
      <w:r>
        <w:rPr>
          <w:rFonts w:hint="eastAsia" w:hAnsi="宋体"/>
          <w:color w:val="000000" w:themeColor="text1"/>
          <w:szCs w:val="21"/>
          <w14:textFill>
            <w14:solidFill>
              <w14:schemeClr w14:val="tx1"/>
            </w14:solidFill>
          </w14:textFill>
        </w:rPr>
        <w:t>。</w:t>
      </w:r>
    </w:p>
    <w:p w14:paraId="606F60C2">
      <w:pPr>
        <w:pStyle w:val="5"/>
        <w:bidi w:val="0"/>
        <w:rPr>
          <w:rFonts w:hint="eastAsia"/>
        </w:rPr>
      </w:pPr>
      <w:r>
        <w:rPr>
          <w:rFonts w:hint="eastAsia"/>
        </w:rPr>
        <w:t>四</w:t>
      </w:r>
      <w:r>
        <w:t>、</w:t>
      </w:r>
      <w:r>
        <w:rPr>
          <w:rFonts w:hint="eastAsia"/>
        </w:rPr>
        <w:t>采购标的的数量、采购项目交付或者实施的时间和地点</w:t>
      </w:r>
      <w:bookmarkEnd w:id="282"/>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3"/>
        <w:gridCol w:w="2533"/>
      </w:tblGrid>
      <w:tr w14:paraId="256C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3B4125B6">
            <w:pPr>
              <w:pStyle w:val="22"/>
              <w:suppressLineNumbers w:val="0"/>
              <w:bidi w:val="0"/>
              <w:spacing w:before="0" w:beforeAutospacing="0" w:after="0" w:afterAutospacing="0"/>
              <w:ind w:left="0" w:right="0"/>
              <w:jc w:val="center"/>
              <w:rPr>
                <w:rFonts w:hint="default"/>
                <w:lang w:val="en-US" w:eastAsia="zh-CN"/>
              </w:rPr>
            </w:pPr>
            <w:bookmarkStart w:id="283" w:name="_Toc46924600"/>
            <w:r>
              <w:rPr>
                <w:rFonts w:hint="eastAsia"/>
                <w:lang w:val="en-US" w:eastAsia="zh-CN"/>
              </w:rPr>
              <w:t>采购标的名称</w:t>
            </w:r>
          </w:p>
        </w:tc>
        <w:tc>
          <w:tcPr>
            <w:tcW w:w="2533" w:type="dxa"/>
          </w:tcPr>
          <w:p w14:paraId="2664B999">
            <w:pPr>
              <w:pStyle w:val="22"/>
              <w:suppressLineNumbers w:val="0"/>
              <w:bidi w:val="0"/>
              <w:spacing w:before="0" w:beforeAutospacing="0" w:after="0" w:afterAutospacing="0"/>
              <w:ind w:left="0" w:right="0"/>
              <w:jc w:val="center"/>
              <w:rPr>
                <w:rFonts w:hint="default"/>
                <w:lang w:val="en-US" w:eastAsia="zh-CN"/>
              </w:rPr>
            </w:pPr>
            <w:r>
              <w:rPr>
                <w:rFonts w:hint="eastAsia"/>
                <w:lang w:val="en-US" w:eastAsia="zh-CN"/>
              </w:rPr>
              <w:t>数量</w:t>
            </w:r>
          </w:p>
        </w:tc>
      </w:tr>
      <w:tr w14:paraId="004D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41932714">
            <w:pPr>
              <w:pStyle w:val="22"/>
              <w:suppressLineNumbers w:val="0"/>
              <w:bidi w:val="0"/>
              <w:spacing w:before="0" w:beforeAutospacing="0" w:after="0" w:afterAutospacing="0"/>
              <w:ind w:left="0" w:right="0"/>
              <w:jc w:val="center"/>
              <w:rPr>
                <w:rFonts w:hint="eastAsia"/>
                <w:lang w:val="en-US" w:eastAsia="zh-CN"/>
              </w:rPr>
            </w:pPr>
            <w:r>
              <w:rPr>
                <w:rFonts w:hint="eastAsia"/>
                <w:lang w:val="en-US" w:eastAsia="zh-CN"/>
              </w:rPr>
              <w:t>元谋县2025年中央水利发展资金白蚁等害堤动物防治项目</w:t>
            </w:r>
          </w:p>
        </w:tc>
        <w:tc>
          <w:tcPr>
            <w:tcW w:w="2533" w:type="dxa"/>
          </w:tcPr>
          <w:p w14:paraId="2DFE8BDE">
            <w:pPr>
              <w:pStyle w:val="22"/>
              <w:suppressLineNumbers w:val="0"/>
              <w:bidi w:val="0"/>
              <w:spacing w:before="0" w:beforeAutospacing="0" w:after="0" w:afterAutospacing="0"/>
              <w:ind w:left="0" w:right="0"/>
              <w:jc w:val="center"/>
              <w:rPr>
                <w:rFonts w:hint="default"/>
                <w:lang w:val="en-US" w:eastAsia="zh-CN"/>
              </w:rPr>
            </w:pPr>
            <w:r>
              <w:rPr>
                <w:rFonts w:hint="eastAsia"/>
                <w:lang w:val="en-US" w:eastAsia="zh-CN"/>
              </w:rPr>
              <w:t>1项</w:t>
            </w:r>
          </w:p>
        </w:tc>
      </w:tr>
    </w:tbl>
    <w:p w14:paraId="4D87DA5D">
      <w:pPr>
        <w:spacing w:line="360" w:lineRule="auto"/>
        <w:ind w:firstLine="420" w:firstLineChars="200"/>
        <w:jc w:val="left"/>
        <w:rPr>
          <w:rFonts w:hint="eastAsia" w:ascii="宋体" w:hAnsi="宋体"/>
          <w:color w:val="auto"/>
        </w:rPr>
      </w:pPr>
      <w:r>
        <w:rPr>
          <w:rFonts w:hint="eastAsia"/>
          <w:color w:val="auto"/>
          <w:szCs w:val="21"/>
          <w:lang w:val="en-US" w:eastAsia="zh-CN"/>
        </w:rPr>
        <w:t>合同履行期限</w:t>
      </w:r>
      <w:r>
        <w:rPr>
          <w:rFonts w:hint="eastAsia" w:hAnsi="宋体"/>
          <w:color w:val="auto"/>
          <w:szCs w:val="21"/>
        </w:rPr>
        <w:t>：</w:t>
      </w:r>
      <w:r>
        <w:rPr>
          <w:rFonts w:hint="eastAsia"/>
          <w:color w:val="auto"/>
          <w:szCs w:val="21"/>
          <w:lang w:val="en-US" w:eastAsia="zh-CN"/>
        </w:rPr>
        <w:t>90日历天。于2027年4-5月开展效果复查与巩固治理</w:t>
      </w:r>
      <w:r>
        <w:rPr>
          <w:rFonts w:hint="eastAsia" w:ascii="宋体" w:hAnsi="宋体"/>
          <w:color w:val="auto"/>
          <w:szCs w:val="21"/>
        </w:rPr>
        <w:t>。</w:t>
      </w:r>
    </w:p>
    <w:p w14:paraId="605DF14D">
      <w:pPr>
        <w:spacing w:line="360" w:lineRule="auto"/>
        <w:ind w:firstLine="420" w:firstLineChars="200"/>
        <w:rPr>
          <w:rFonts w:hint="eastAsia" w:hAnsi="宋体"/>
          <w:color w:val="auto"/>
          <w:szCs w:val="21"/>
        </w:rPr>
      </w:pPr>
      <w:r>
        <w:rPr>
          <w:rFonts w:hint="eastAsia" w:hAnsi="宋体"/>
          <w:color w:val="auto"/>
          <w:szCs w:val="21"/>
        </w:rPr>
        <w:t>项目实施地点：元谋县元马镇、黄瓜园镇、羊街镇、物茂乡、老城乡、平田乡、新华乡和姜驿乡。</w:t>
      </w:r>
    </w:p>
    <w:p w14:paraId="606F60F7">
      <w:pPr>
        <w:pStyle w:val="5"/>
        <w:bidi w:val="0"/>
        <w:rPr>
          <w:rFonts w:hint="eastAsia"/>
          <w:color w:val="auto"/>
        </w:rPr>
      </w:pPr>
      <w:r>
        <w:rPr>
          <w:rFonts w:hint="eastAsia"/>
          <w:color w:val="auto"/>
        </w:rPr>
        <w:t>五</w:t>
      </w:r>
      <w:r>
        <w:rPr>
          <w:color w:val="auto"/>
        </w:rPr>
        <w:t>、</w:t>
      </w:r>
      <w:r>
        <w:rPr>
          <w:rFonts w:hint="eastAsia"/>
          <w:color w:val="auto"/>
        </w:rPr>
        <w:t>采购标的需满足的服务标准、期限、效率等要求</w:t>
      </w:r>
      <w:bookmarkEnd w:id="283"/>
    </w:p>
    <w:p w14:paraId="606F60F8">
      <w:pPr>
        <w:widowControl/>
        <w:spacing w:line="360" w:lineRule="auto"/>
        <w:ind w:firstLine="420" w:firstLineChars="200"/>
        <w:jc w:val="left"/>
        <w:rPr>
          <w:rFonts w:hint="eastAsia" w:hAnsi="宋体"/>
          <w:snapToGrid/>
          <w:color w:val="auto"/>
          <w:kern w:val="0"/>
          <w:szCs w:val="21"/>
        </w:rPr>
      </w:pPr>
      <w:r>
        <w:rPr>
          <w:rFonts w:hint="eastAsia" w:hAnsi="宋体"/>
          <w:color w:val="auto"/>
          <w:szCs w:val="21"/>
        </w:rPr>
        <w:t>质量要求：符合《水利工程白蚁防治技术规程》（SLT 836—2024）、《水利工程白蚁防治技术规范》（T∕CHES-44-2020）等要求，同时符合国家现行有关标准的规定。</w:t>
      </w:r>
    </w:p>
    <w:p w14:paraId="606F60F9">
      <w:pPr>
        <w:widowControl/>
        <w:spacing w:line="360" w:lineRule="auto"/>
        <w:ind w:firstLine="420"/>
        <w:jc w:val="left"/>
        <w:rPr>
          <w:rFonts w:hint="eastAsia" w:hAnsi="宋体"/>
          <w:b/>
          <w:bCs/>
          <w:snapToGrid/>
          <w:color w:val="auto"/>
          <w:kern w:val="0"/>
          <w:szCs w:val="21"/>
        </w:rPr>
      </w:pPr>
      <w:r>
        <w:rPr>
          <w:rFonts w:hint="eastAsia"/>
          <w:color w:val="auto"/>
          <w:szCs w:val="21"/>
          <w:lang w:val="en-US" w:eastAsia="zh-CN"/>
        </w:rPr>
        <w:t>合同履行期限</w:t>
      </w:r>
      <w:r>
        <w:rPr>
          <w:rFonts w:hint="eastAsia" w:hAnsi="宋体"/>
          <w:snapToGrid/>
          <w:color w:val="auto"/>
          <w:kern w:val="0"/>
          <w:szCs w:val="21"/>
        </w:rPr>
        <w:t>：</w:t>
      </w:r>
      <w:r>
        <w:rPr>
          <w:rFonts w:hint="eastAsia"/>
          <w:snapToGrid/>
          <w:color w:val="auto"/>
          <w:kern w:val="0"/>
          <w:szCs w:val="21"/>
          <w:lang w:val="en-US" w:eastAsia="zh-CN"/>
        </w:rPr>
        <w:t>90日历天。于2027年4-5月开展效果复查与巩固治理</w:t>
      </w:r>
      <w:r>
        <w:rPr>
          <w:rFonts w:hint="eastAsia" w:hAnsi="宋体"/>
          <w:color w:val="auto"/>
          <w:szCs w:val="21"/>
        </w:rPr>
        <w:t>。</w:t>
      </w:r>
    </w:p>
    <w:p w14:paraId="606F60FA">
      <w:pPr>
        <w:pStyle w:val="5"/>
        <w:bidi w:val="0"/>
        <w:rPr>
          <w:rFonts w:hint="eastAsia"/>
        </w:rPr>
      </w:pPr>
      <w:bookmarkStart w:id="284" w:name="_Toc46924601"/>
      <w:r>
        <w:rPr>
          <w:rFonts w:hint="eastAsia"/>
        </w:rPr>
        <w:t>六</w:t>
      </w:r>
      <w:r>
        <w:t>、</w:t>
      </w:r>
      <w:r>
        <w:rPr>
          <w:rFonts w:hint="eastAsia"/>
        </w:rPr>
        <w:t>采购标的的验收标准</w:t>
      </w:r>
      <w:bookmarkEnd w:id="284"/>
    </w:p>
    <w:p w14:paraId="64A94223">
      <w:pPr>
        <w:spacing w:line="360" w:lineRule="auto"/>
        <w:ind w:firstLine="420" w:firstLineChars="200"/>
        <w:jc w:val="left"/>
        <w:rPr>
          <w:rFonts w:hint="eastAsia" w:cs="Times New Roman"/>
          <w:b w:val="0"/>
          <w:color w:val="auto"/>
          <w:kern w:val="2"/>
          <w:sz w:val="21"/>
          <w:szCs w:val="21"/>
          <w:lang w:val="en-US" w:eastAsia="zh-CN" w:bidi="ar-SA"/>
        </w:rPr>
      </w:pPr>
      <w:bookmarkStart w:id="285" w:name="_Toc46924602"/>
      <w:r>
        <w:rPr>
          <w:rFonts w:hint="eastAsia" w:cs="Times New Roman"/>
          <w:b w:val="0"/>
          <w:color w:val="auto"/>
          <w:kern w:val="2"/>
          <w:sz w:val="21"/>
          <w:szCs w:val="21"/>
          <w:lang w:val="en-US" w:eastAsia="zh-CN" w:bidi="ar-SA"/>
        </w:rPr>
        <w:t>符合《水利工程白蚁防治技术规程》（SLT 836—2024）、《水利工程白蚁防治技术规范》（T∕CHES-44-2020）等要求，同时符合国家现行有关标准的规定。</w:t>
      </w:r>
    </w:p>
    <w:p w14:paraId="75CFF7FE">
      <w:pPr>
        <w:spacing w:line="360" w:lineRule="auto"/>
        <w:ind w:firstLine="420" w:firstLineChars="200"/>
        <w:jc w:val="left"/>
        <w:rPr>
          <w:rFonts w:hint="eastAsia" w:ascii="宋体" w:hAnsi="宋体" w:eastAsia="宋体" w:cs="Times New Roman"/>
          <w:b w:val="0"/>
          <w:color w:val="auto"/>
          <w:kern w:val="2"/>
          <w:sz w:val="21"/>
          <w:szCs w:val="21"/>
          <w:lang w:val="en-US" w:eastAsia="zh-CN" w:bidi="ar-SA"/>
        </w:rPr>
      </w:pPr>
      <w:r>
        <w:rPr>
          <w:rFonts w:hint="eastAsia" w:cs="Times New Roman"/>
          <w:b w:val="0"/>
          <w:color w:val="auto"/>
          <w:kern w:val="2"/>
          <w:sz w:val="21"/>
          <w:szCs w:val="21"/>
          <w:lang w:val="en-US" w:eastAsia="zh-CN" w:bidi="ar-SA"/>
        </w:rPr>
        <w:t>白蚁防治质量应达到《堤坝白蚁防治技术规程》、《水利工程白蚁防治技术规程》（SL∕T 836-2024）相关要求。</w:t>
      </w:r>
    </w:p>
    <w:p w14:paraId="0BE902A2">
      <w:pPr>
        <w:pStyle w:val="5"/>
        <w:bidi w:val="0"/>
        <w:rPr>
          <w:rFonts w:hint="eastAsia" w:ascii="宋体" w:hAnsi="宋体" w:eastAsia="宋体" w:cs="宋体"/>
          <w:lang w:eastAsia="zh-CN"/>
        </w:rPr>
      </w:pPr>
      <w:r>
        <w:rPr>
          <w:rFonts w:hint="eastAsia" w:ascii="宋体" w:hAnsi="宋体" w:eastAsia="宋体" w:cs="宋体"/>
          <w:lang w:val="en-US" w:eastAsia="zh-CN"/>
        </w:rPr>
        <w:t>七、防治原则</w:t>
      </w:r>
    </w:p>
    <w:p w14:paraId="3F495254">
      <w:pPr>
        <w:tabs>
          <w:tab w:val="left" w:pos="7245"/>
        </w:tabs>
        <w:adjustRightInd w:val="0"/>
        <w:snapToGrid w:val="0"/>
        <w:spacing w:line="360" w:lineRule="auto"/>
        <w:ind w:firstLine="420" w:firstLineChars="200"/>
        <w:jc w:val="both"/>
        <w:rPr>
          <w:rFonts w:hint="eastAsia" w:ascii="宋体" w:hAnsi="宋体" w:eastAsia="宋体" w:cs="Times New Roman"/>
          <w:color w:val="auto"/>
          <w:szCs w:val="21"/>
        </w:rPr>
      </w:pPr>
      <w:r>
        <w:rPr>
          <w:rFonts w:hint="eastAsia" w:ascii="宋体" w:hAnsi="宋体" w:eastAsia="宋体" w:cs="Times New Roman"/>
          <w:color w:val="auto"/>
          <w:szCs w:val="21"/>
        </w:rPr>
        <w:t>1.坚持“保护堤坝为主，分级防控，重点优先进行白蚁灭治优先，监测、预防与灭治相结合进行综合治理”的原则。对堤坝进行白蚁防治，降至和控制坝体近邻白蚁不向坝体上蔓延扩散，确保堤坝免受白蚁危害，达到设计合理、措施可靠、成本低廉、保护环境，不影响水资源的目的。</w:t>
      </w:r>
    </w:p>
    <w:p w14:paraId="44C70EF6">
      <w:pPr>
        <w:tabs>
          <w:tab w:val="left" w:pos="7245"/>
        </w:tabs>
        <w:adjustRightInd w:val="0"/>
        <w:snapToGrid w:val="0"/>
        <w:spacing w:line="360" w:lineRule="auto"/>
        <w:ind w:firstLine="420" w:firstLineChars="200"/>
        <w:jc w:val="both"/>
        <w:rPr>
          <w:rFonts w:hint="eastAsia" w:ascii="宋体" w:hAnsi="宋体" w:eastAsia="宋体" w:cs="Times New Roman"/>
          <w:color w:val="auto"/>
          <w:szCs w:val="21"/>
        </w:rPr>
      </w:pPr>
      <w:r>
        <w:rPr>
          <w:rFonts w:hint="eastAsia" w:ascii="宋体" w:hAnsi="宋体" w:eastAsia="宋体" w:cs="Times New Roman"/>
          <w:color w:val="auto"/>
          <w:szCs w:val="21"/>
        </w:rPr>
        <w:t>2.堤坝白蚁防治必须遵守水利工程保护原则。坚持“内坝体不打孔，不开沟；排涝站前后左右不打孔，不开沟；外坝体土质松弛或滑坡区域改用浅层诱杀法；遇到大雨、暴雨不施工”的基本原则。</w:t>
      </w:r>
    </w:p>
    <w:p w14:paraId="1D367781">
      <w:pPr>
        <w:tabs>
          <w:tab w:val="left" w:pos="7245"/>
        </w:tabs>
        <w:adjustRightInd w:val="0"/>
        <w:snapToGrid w:val="0"/>
        <w:spacing w:line="360" w:lineRule="auto"/>
        <w:ind w:firstLine="420" w:firstLineChars="200"/>
        <w:jc w:val="both"/>
        <w:rPr>
          <w:rFonts w:hint="eastAsia" w:ascii="宋体" w:hAnsi="宋体" w:eastAsia="宋体" w:cs="Times New Roman"/>
          <w:color w:val="auto"/>
          <w:szCs w:val="21"/>
        </w:rPr>
      </w:pPr>
      <w:r>
        <w:rPr>
          <w:rFonts w:hint="eastAsia" w:ascii="宋体" w:hAnsi="宋体" w:eastAsia="宋体" w:cs="Times New Roman"/>
          <w:color w:val="auto"/>
          <w:szCs w:val="21"/>
        </w:rPr>
        <w:t>3.堤坝白蚁防治必须遵守安全及环境保护原则，更多采用生物技术措施，物理措施，尽量减少化学措施，达到“环保、安全、健康、高效、经济”的要求。</w:t>
      </w:r>
    </w:p>
    <w:p w14:paraId="09DD2361">
      <w:pPr>
        <w:rPr>
          <w:rFonts w:hint="eastAsia" w:ascii="宋体" w:hAnsi="宋体" w:eastAsia="宋体" w:cs="Times New Roman"/>
          <w:color w:val="auto"/>
          <w:szCs w:val="21"/>
        </w:rPr>
      </w:pPr>
      <w:r>
        <w:rPr>
          <w:rFonts w:hint="eastAsia" w:ascii="宋体" w:hAnsi="宋体" w:eastAsia="宋体" w:cs="Times New Roman"/>
          <w:color w:val="auto"/>
          <w:szCs w:val="21"/>
        </w:rPr>
        <w:br w:type="page"/>
      </w:r>
    </w:p>
    <w:tbl>
      <w:tblPr>
        <w:tblStyle w:val="17"/>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7"/>
        <w:gridCol w:w="3972"/>
        <w:gridCol w:w="3978"/>
      </w:tblGrid>
      <w:tr w14:paraId="414B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3"/>
            <w:tcBorders>
              <w:top w:val="nil"/>
              <w:left w:val="nil"/>
              <w:bottom w:val="single" w:color="auto" w:sz="4" w:space="0"/>
              <w:right w:val="nil"/>
            </w:tcBorders>
            <w:shd w:val="clear" w:color="auto" w:fill="auto"/>
            <w:vAlign w:val="center"/>
          </w:tcPr>
          <w:p w14:paraId="05A83E41">
            <w:pPr>
              <w:pStyle w:val="22"/>
              <w:bidi w:val="0"/>
              <w:jc w:val="center"/>
              <w:rPr>
                <w:rFonts w:hint="eastAsia"/>
              </w:rPr>
            </w:pPr>
            <w:r>
              <w:rPr>
                <w:rFonts w:hint="eastAsia"/>
              </w:rPr>
              <w:t>元谋县2025年中央水利发展资金白蚁等害堤动物防治项目</w:t>
            </w:r>
            <w:r>
              <w:rPr>
                <w:rFonts w:hint="eastAsia"/>
                <w:lang w:val="en-US" w:eastAsia="zh-CN"/>
              </w:rPr>
              <w:t>水库危害等级</w:t>
            </w:r>
          </w:p>
        </w:tc>
      </w:tr>
      <w:tr w14:paraId="05E8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4CB145BE">
            <w:pPr>
              <w:pStyle w:val="22"/>
              <w:bidi w:val="0"/>
              <w:jc w:val="center"/>
              <w:rPr>
                <w:rFonts w:hint="eastAsia"/>
                <w:b/>
                <w:bCs w:val="0"/>
                <w:lang w:val="en-US" w:eastAsia="zh-CN"/>
              </w:rPr>
            </w:pPr>
            <w:r>
              <w:rPr>
                <w:rFonts w:hint="eastAsia"/>
                <w:b/>
                <w:bCs w:val="0"/>
                <w:lang w:val="en-US" w:eastAsia="zh-CN"/>
              </w:rPr>
              <w:t>序号</w:t>
            </w:r>
          </w:p>
        </w:tc>
        <w:tc>
          <w:tcPr>
            <w:tcW w:w="2141" w:type="pct"/>
            <w:tcBorders>
              <w:top w:val="single" w:color="auto" w:sz="4" w:space="0"/>
              <w:left w:val="single" w:color="auto" w:sz="4" w:space="0"/>
              <w:bottom w:val="single" w:color="auto" w:sz="4" w:space="0"/>
              <w:right w:val="single" w:color="auto" w:sz="4" w:space="0"/>
            </w:tcBorders>
            <w:shd w:val="clear" w:color="auto" w:fill="auto"/>
            <w:vAlign w:val="center"/>
          </w:tcPr>
          <w:p w14:paraId="130DAEC5">
            <w:pPr>
              <w:pStyle w:val="22"/>
              <w:bidi w:val="0"/>
              <w:jc w:val="center"/>
              <w:rPr>
                <w:rFonts w:hint="eastAsia"/>
                <w:b/>
                <w:bCs w:val="0"/>
                <w:lang w:val="en-US" w:eastAsia="zh-CN"/>
              </w:rPr>
            </w:pPr>
            <w:r>
              <w:rPr>
                <w:rFonts w:hint="eastAsia"/>
                <w:b/>
                <w:bCs w:val="0"/>
                <w:lang w:val="en-US" w:eastAsia="zh-CN"/>
              </w:rPr>
              <w:t>水库名称</w:t>
            </w:r>
          </w:p>
        </w:tc>
        <w:tc>
          <w:tcPr>
            <w:tcW w:w="2142" w:type="pct"/>
            <w:tcBorders>
              <w:top w:val="single" w:color="auto" w:sz="4" w:space="0"/>
              <w:left w:val="single" w:color="auto" w:sz="4" w:space="0"/>
              <w:bottom w:val="single" w:color="auto" w:sz="4" w:space="0"/>
              <w:right w:val="single" w:color="auto" w:sz="4" w:space="0"/>
            </w:tcBorders>
            <w:shd w:val="clear" w:color="auto" w:fill="auto"/>
            <w:vAlign w:val="center"/>
          </w:tcPr>
          <w:p w14:paraId="1600BAA2">
            <w:pPr>
              <w:pStyle w:val="22"/>
              <w:bidi w:val="0"/>
              <w:jc w:val="center"/>
              <w:rPr>
                <w:rFonts w:hint="eastAsia"/>
                <w:b/>
                <w:bCs w:val="0"/>
                <w:lang w:val="en-US" w:eastAsia="zh-CN"/>
              </w:rPr>
            </w:pPr>
            <w:r>
              <w:rPr>
                <w:rFonts w:hint="eastAsia"/>
                <w:b/>
                <w:bCs w:val="0"/>
                <w:lang w:val="en-US" w:eastAsia="zh-CN"/>
              </w:rPr>
              <w:t>白蚁危害程度</w:t>
            </w:r>
          </w:p>
        </w:tc>
      </w:tr>
      <w:tr w14:paraId="55A6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1D4F4">
            <w:pPr>
              <w:pStyle w:val="22"/>
              <w:bidi w:val="0"/>
              <w:jc w:val="center"/>
              <w:rPr>
                <w:rFonts w:hint="eastAsia"/>
              </w:rPr>
            </w:pPr>
            <w:r>
              <w:rPr>
                <w:rFonts w:hint="eastAsia"/>
                <w:lang w:val="en-US" w:eastAsia="zh-CN"/>
              </w:rPr>
              <w:t>1</w:t>
            </w:r>
          </w:p>
        </w:tc>
        <w:tc>
          <w:tcPr>
            <w:tcW w:w="2141" w:type="pct"/>
            <w:tcBorders>
              <w:top w:val="single" w:color="auto" w:sz="4" w:space="0"/>
              <w:left w:val="single" w:color="auto" w:sz="4" w:space="0"/>
              <w:bottom w:val="single" w:color="auto" w:sz="4" w:space="0"/>
              <w:right w:val="single" w:color="auto" w:sz="4" w:space="0"/>
            </w:tcBorders>
            <w:shd w:val="clear" w:color="auto" w:fill="auto"/>
            <w:vAlign w:val="center"/>
          </w:tcPr>
          <w:p w14:paraId="5D6EC783">
            <w:pPr>
              <w:pStyle w:val="22"/>
              <w:bidi w:val="0"/>
              <w:jc w:val="center"/>
              <w:rPr>
                <w:rFonts w:hint="eastAsia"/>
              </w:rPr>
            </w:pPr>
            <w:r>
              <w:rPr>
                <w:rFonts w:hint="eastAsia"/>
                <w:lang w:val="en-US" w:eastAsia="zh-CN"/>
              </w:rPr>
              <w:t>下雷窝水库</w:t>
            </w:r>
          </w:p>
        </w:tc>
        <w:tc>
          <w:tcPr>
            <w:tcW w:w="2142" w:type="pct"/>
            <w:tcBorders>
              <w:top w:val="single" w:color="auto" w:sz="4" w:space="0"/>
              <w:left w:val="single" w:color="auto" w:sz="4" w:space="0"/>
              <w:bottom w:val="single" w:color="auto" w:sz="4" w:space="0"/>
              <w:right w:val="single" w:color="auto" w:sz="4" w:space="0"/>
            </w:tcBorders>
            <w:shd w:val="clear" w:color="auto" w:fill="auto"/>
            <w:vAlign w:val="center"/>
          </w:tcPr>
          <w:p w14:paraId="59DFA169">
            <w:pPr>
              <w:pStyle w:val="22"/>
              <w:bidi w:val="0"/>
              <w:jc w:val="center"/>
              <w:rPr>
                <w:rFonts w:hint="eastAsia"/>
              </w:rPr>
            </w:pPr>
            <w:r>
              <w:rPr>
                <w:rFonts w:hint="eastAsia"/>
                <w:lang w:val="en-US" w:eastAsia="zh-CN"/>
              </w:rPr>
              <w:t>Ⅰ级</w:t>
            </w:r>
          </w:p>
        </w:tc>
      </w:tr>
      <w:tr w14:paraId="6460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89B68E4">
            <w:pPr>
              <w:pStyle w:val="22"/>
              <w:bidi w:val="0"/>
              <w:jc w:val="center"/>
              <w:rPr>
                <w:rFonts w:hint="eastAsia"/>
              </w:rPr>
            </w:pPr>
            <w:r>
              <w:rPr>
                <w:rFonts w:hint="eastAsia"/>
                <w:lang w:val="en-US" w:eastAsia="zh-CN"/>
              </w:rPr>
              <w:t>2</w:t>
            </w:r>
          </w:p>
        </w:tc>
        <w:tc>
          <w:tcPr>
            <w:tcW w:w="2141" w:type="pct"/>
            <w:tcBorders>
              <w:top w:val="single" w:color="auto" w:sz="4" w:space="0"/>
              <w:left w:val="single" w:color="000000" w:sz="4" w:space="0"/>
              <w:bottom w:val="single" w:color="000000" w:sz="4" w:space="0"/>
              <w:right w:val="single" w:color="000000" w:sz="4" w:space="0"/>
            </w:tcBorders>
            <w:shd w:val="clear" w:color="auto" w:fill="auto"/>
            <w:vAlign w:val="center"/>
          </w:tcPr>
          <w:p w14:paraId="11CB94D8">
            <w:pPr>
              <w:pStyle w:val="22"/>
              <w:bidi w:val="0"/>
              <w:jc w:val="center"/>
              <w:rPr>
                <w:rFonts w:hint="eastAsia"/>
              </w:rPr>
            </w:pPr>
            <w:r>
              <w:rPr>
                <w:rFonts w:hint="eastAsia"/>
                <w:lang w:val="en-US" w:eastAsia="zh-CN"/>
              </w:rPr>
              <w:t>红坡水库</w:t>
            </w:r>
          </w:p>
        </w:tc>
        <w:tc>
          <w:tcPr>
            <w:tcW w:w="2142" w:type="pct"/>
            <w:tcBorders>
              <w:top w:val="single" w:color="auto" w:sz="4" w:space="0"/>
              <w:left w:val="single" w:color="000000" w:sz="4" w:space="0"/>
              <w:bottom w:val="single" w:color="000000" w:sz="4" w:space="0"/>
              <w:right w:val="single" w:color="000000" w:sz="4" w:space="0"/>
            </w:tcBorders>
            <w:shd w:val="clear" w:color="auto" w:fill="auto"/>
            <w:vAlign w:val="center"/>
          </w:tcPr>
          <w:p w14:paraId="783E51B0">
            <w:pPr>
              <w:pStyle w:val="22"/>
              <w:bidi w:val="0"/>
              <w:jc w:val="center"/>
              <w:rPr>
                <w:rFonts w:hint="eastAsia"/>
              </w:rPr>
            </w:pPr>
            <w:r>
              <w:rPr>
                <w:rFonts w:hint="eastAsia"/>
                <w:lang w:val="en-US" w:eastAsia="zh-CN"/>
              </w:rPr>
              <w:t>Ⅰ级</w:t>
            </w:r>
          </w:p>
        </w:tc>
      </w:tr>
      <w:tr w14:paraId="6C40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30E5">
            <w:pPr>
              <w:pStyle w:val="22"/>
              <w:bidi w:val="0"/>
              <w:jc w:val="center"/>
              <w:rPr>
                <w:rFonts w:hint="eastAsia"/>
              </w:rPr>
            </w:pPr>
            <w:r>
              <w:rPr>
                <w:rFonts w:hint="eastAsia"/>
                <w:lang w:val="en-US" w:eastAsia="zh-CN"/>
              </w:rPr>
              <w:t>3</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45B0">
            <w:pPr>
              <w:pStyle w:val="22"/>
              <w:bidi w:val="0"/>
              <w:jc w:val="center"/>
              <w:rPr>
                <w:rFonts w:hint="eastAsia"/>
              </w:rPr>
            </w:pPr>
            <w:r>
              <w:rPr>
                <w:rFonts w:hint="eastAsia"/>
                <w:lang w:val="en-US" w:eastAsia="zh-CN"/>
              </w:rPr>
              <w:t>新华团山水库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5284">
            <w:pPr>
              <w:pStyle w:val="22"/>
              <w:bidi w:val="0"/>
              <w:jc w:val="center"/>
              <w:rPr>
                <w:rFonts w:hint="eastAsia"/>
              </w:rPr>
            </w:pPr>
            <w:r>
              <w:rPr>
                <w:rFonts w:hint="eastAsia"/>
                <w:lang w:val="en-US" w:eastAsia="zh-CN"/>
              </w:rPr>
              <w:t>Ⅰ级</w:t>
            </w:r>
          </w:p>
        </w:tc>
      </w:tr>
      <w:tr w14:paraId="2E29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A363">
            <w:pPr>
              <w:pStyle w:val="22"/>
              <w:bidi w:val="0"/>
              <w:jc w:val="center"/>
              <w:rPr>
                <w:rFonts w:hint="eastAsia"/>
              </w:rPr>
            </w:pPr>
            <w:r>
              <w:rPr>
                <w:rFonts w:hint="eastAsia"/>
                <w:lang w:val="en-US" w:eastAsia="zh-CN"/>
              </w:rPr>
              <w:t>4</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BC9E">
            <w:pPr>
              <w:pStyle w:val="22"/>
              <w:bidi w:val="0"/>
              <w:jc w:val="center"/>
              <w:rPr>
                <w:rFonts w:hint="eastAsia"/>
              </w:rPr>
            </w:pPr>
            <w:r>
              <w:rPr>
                <w:rFonts w:hint="eastAsia"/>
                <w:lang w:val="en-US" w:eastAsia="zh-CN"/>
              </w:rPr>
              <w:t>下你莫水库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5AC0">
            <w:pPr>
              <w:pStyle w:val="22"/>
              <w:bidi w:val="0"/>
              <w:jc w:val="center"/>
              <w:rPr>
                <w:rFonts w:hint="eastAsia"/>
              </w:rPr>
            </w:pPr>
            <w:r>
              <w:rPr>
                <w:rFonts w:hint="eastAsia"/>
                <w:lang w:val="en-US" w:eastAsia="zh-CN"/>
              </w:rPr>
              <w:t>Ⅰ级</w:t>
            </w:r>
          </w:p>
        </w:tc>
      </w:tr>
      <w:tr w14:paraId="7621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AFAA">
            <w:pPr>
              <w:pStyle w:val="22"/>
              <w:bidi w:val="0"/>
              <w:jc w:val="center"/>
              <w:rPr>
                <w:rFonts w:hint="eastAsia"/>
              </w:rPr>
            </w:pPr>
            <w:r>
              <w:rPr>
                <w:rFonts w:hint="eastAsia"/>
                <w:lang w:val="en-US" w:eastAsia="zh-CN"/>
              </w:rPr>
              <w:t>5</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24A1">
            <w:pPr>
              <w:pStyle w:val="22"/>
              <w:bidi w:val="0"/>
              <w:jc w:val="center"/>
              <w:rPr>
                <w:rFonts w:hint="eastAsia"/>
              </w:rPr>
            </w:pPr>
            <w:r>
              <w:rPr>
                <w:rFonts w:hint="eastAsia"/>
                <w:lang w:val="en-US" w:eastAsia="zh-CN"/>
              </w:rPr>
              <w:t>上你莫水库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7FF5">
            <w:pPr>
              <w:pStyle w:val="22"/>
              <w:bidi w:val="0"/>
              <w:jc w:val="center"/>
              <w:rPr>
                <w:rFonts w:hint="eastAsia"/>
              </w:rPr>
            </w:pPr>
            <w:r>
              <w:rPr>
                <w:rFonts w:hint="eastAsia"/>
                <w:lang w:val="en-US" w:eastAsia="zh-CN"/>
              </w:rPr>
              <w:t>Ⅰ级</w:t>
            </w:r>
          </w:p>
        </w:tc>
      </w:tr>
      <w:tr w14:paraId="0613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FF82">
            <w:pPr>
              <w:pStyle w:val="22"/>
              <w:bidi w:val="0"/>
              <w:jc w:val="center"/>
              <w:rPr>
                <w:rFonts w:hint="eastAsia"/>
              </w:rPr>
            </w:pPr>
            <w:r>
              <w:rPr>
                <w:rFonts w:hint="eastAsia"/>
                <w:lang w:val="en-US" w:eastAsia="zh-CN"/>
              </w:rPr>
              <w:t>6</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2715">
            <w:pPr>
              <w:pStyle w:val="22"/>
              <w:bidi w:val="0"/>
              <w:jc w:val="center"/>
              <w:rPr>
                <w:rFonts w:hint="eastAsia"/>
              </w:rPr>
            </w:pPr>
            <w:r>
              <w:rPr>
                <w:rFonts w:hint="eastAsia"/>
                <w:lang w:val="en-US" w:eastAsia="zh-CN"/>
              </w:rPr>
              <w:t>那迪水库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7841">
            <w:pPr>
              <w:pStyle w:val="22"/>
              <w:bidi w:val="0"/>
              <w:jc w:val="center"/>
              <w:rPr>
                <w:rFonts w:hint="eastAsia"/>
              </w:rPr>
            </w:pPr>
            <w:r>
              <w:rPr>
                <w:rFonts w:hint="eastAsia"/>
                <w:lang w:val="en-US" w:eastAsia="zh-CN"/>
              </w:rPr>
              <w:t>Ⅰ级</w:t>
            </w:r>
          </w:p>
        </w:tc>
      </w:tr>
      <w:tr w14:paraId="3941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0B77">
            <w:pPr>
              <w:pStyle w:val="22"/>
              <w:bidi w:val="0"/>
              <w:jc w:val="center"/>
              <w:rPr>
                <w:rFonts w:hint="eastAsia"/>
              </w:rPr>
            </w:pPr>
            <w:r>
              <w:rPr>
                <w:rFonts w:hint="eastAsia"/>
                <w:lang w:val="en-US" w:eastAsia="zh-CN"/>
              </w:rPr>
              <w:t>7</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9024">
            <w:pPr>
              <w:pStyle w:val="22"/>
              <w:bidi w:val="0"/>
              <w:jc w:val="center"/>
              <w:rPr>
                <w:rFonts w:hint="eastAsia"/>
              </w:rPr>
            </w:pPr>
            <w:r>
              <w:rPr>
                <w:rFonts w:hint="eastAsia"/>
                <w:lang w:val="en-US" w:eastAsia="zh-CN"/>
              </w:rPr>
              <w:t>大箐水库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EBEA">
            <w:pPr>
              <w:pStyle w:val="22"/>
              <w:bidi w:val="0"/>
              <w:jc w:val="center"/>
              <w:rPr>
                <w:rFonts w:hint="eastAsia"/>
              </w:rPr>
            </w:pPr>
            <w:r>
              <w:rPr>
                <w:rFonts w:hint="eastAsia"/>
                <w:lang w:val="en-US" w:eastAsia="zh-CN"/>
              </w:rPr>
              <w:t>Ⅰ级</w:t>
            </w:r>
          </w:p>
        </w:tc>
      </w:tr>
      <w:tr w14:paraId="1E80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3ABB">
            <w:pPr>
              <w:pStyle w:val="22"/>
              <w:bidi w:val="0"/>
              <w:jc w:val="center"/>
              <w:rPr>
                <w:rFonts w:hint="eastAsia"/>
              </w:rPr>
            </w:pPr>
            <w:r>
              <w:rPr>
                <w:rFonts w:hint="eastAsia"/>
                <w:lang w:val="en-US" w:eastAsia="zh-CN"/>
              </w:rPr>
              <w:t>8</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778F">
            <w:pPr>
              <w:pStyle w:val="22"/>
              <w:bidi w:val="0"/>
              <w:jc w:val="center"/>
              <w:rPr>
                <w:rFonts w:hint="eastAsia"/>
              </w:rPr>
            </w:pPr>
            <w:r>
              <w:rPr>
                <w:rFonts w:hint="eastAsia"/>
                <w:lang w:val="en-US" w:eastAsia="zh-CN"/>
              </w:rPr>
              <w:t>石台子水库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806D">
            <w:pPr>
              <w:pStyle w:val="22"/>
              <w:bidi w:val="0"/>
              <w:jc w:val="center"/>
              <w:rPr>
                <w:rFonts w:hint="eastAsia"/>
              </w:rPr>
            </w:pPr>
            <w:r>
              <w:rPr>
                <w:rFonts w:hint="eastAsia"/>
                <w:lang w:val="en-US" w:eastAsia="zh-CN"/>
              </w:rPr>
              <w:t>Ⅰ级</w:t>
            </w:r>
          </w:p>
        </w:tc>
      </w:tr>
      <w:tr w14:paraId="37F4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8A38">
            <w:pPr>
              <w:pStyle w:val="22"/>
              <w:bidi w:val="0"/>
              <w:jc w:val="center"/>
              <w:rPr>
                <w:rFonts w:hint="eastAsia"/>
              </w:rPr>
            </w:pPr>
            <w:r>
              <w:rPr>
                <w:rFonts w:hint="eastAsia"/>
                <w:lang w:val="en-US" w:eastAsia="zh-CN"/>
              </w:rPr>
              <w:t>9</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0043">
            <w:pPr>
              <w:pStyle w:val="22"/>
              <w:bidi w:val="0"/>
              <w:jc w:val="center"/>
              <w:rPr>
                <w:rFonts w:hint="eastAsia"/>
              </w:rPr>
            </w:pPr>
            <w:r>
              <w:rPr>
                <w:rFonts w:hint="eastAsia"/>
                <w:lang w:val="en-US" w:eastAsia="zh-CN"/>
              </w:rPr>
              <w:t>腊古水库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E265">
            <w:pPr>
              <w:pStyle w:val="22"/>
              <w:bidi w:val="0"/>
              <w:jc w:val="center"/>
              <w:rPr>
                <w:rFonts w:hint="eastAsia"/>
              </w:rPr>
            </w:pPr>
            <w:r>
              <w:rPr>
                <w:rFonts w:hint="eastAsia"/>
                <w:lang w:val="en-US" w:eastAsia="zh-CN"/>
              </w:rPr>
              <w:t>Ⅰ级</w:t>
            </w:r>
          </w:p>
        </w:tc>
      </w:tr>
      <w:tr w14:paraId="36AE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AB31">
            <w:pPr>
              <w:pStyle w:val="22"/>
              <w:bidi w:val="0"/>
              <w:jc w:val="center"/>
              <w:rPr>
                <w:rFonts w:hint="eastAsia"/>
              </w:rPr>
            </w:pPr>
            <w:r>
              <w:rPr>
                <w:rFonts w:hint="eastAsia"/>
                <w:lang w:val="en-US" w:eastAsia="zh-CN"/>
              </w:rPr>
              <w:t>10</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6D48">
            <w:pPr>
              <w:pStyle w:val="22"/>
              <w:bidi w:val="0"/>
              <w:jc w:val="center"/>
              <w:rPr>
                <w:rFonts w:hint="eastAsia"/>
              </w:rPr>
            </w:pPr>
            <w:r>
              <w:rPr>
                <w:rFonts w:hint="eastAsia"/>
                <w:lang w:val="en-US" w:eastAsia="zh-CN"/>
              </w:rPr>
              <w:t>东来水库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D81F">
            <w:pPr>
              <w:pStyle w:val="22"/>
              <w:bidi w:val="0"/>
              <w:jc w:val="center"/>
              <w:rPr>
                <w:rFonts w:hint="eastAsia"/>
              </w:rPr>
            </w:pPr>
            <w:r>
              <w:rPr>
                <w:rFonts w:hint="eastAsia"/>
                <w:lang w:val="en-US" w:eastAsia="zh-CN"/>
              </w:rPr>
              <w:t>Ⅰ级</w:t>
            </w:r>
          </w:p>
        </w:tc>
      </w:tr>
      <w:tr w14:paraId="45F1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4095">
            <w:pPr>
              <w:pStyle w:val="22"/>
              <w:bidi w:val="0"/>
              <w:jc w:val="center"/>
              <w:rPr>
                <w:rFonts w:hint="eastAsia"/>
              </w:rPr>
            </w:pPr>
            <w:r>
              <w:rPr>
                <w:rFonts w:hint="eastAsia"/>
                <w:lang w:val="en-US" w:eastAsia="zh-CN"/>
              </w:rPr>
              <w:t>11</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7491">
            <w:pPr>
              <w:pStyle w:val="22"/>
              <w:bidi w:val="0"/>
              <w:jc w:val="center"/>
              <w:rPr>
                <w:rFonts w:hint="eastAsia"/>
              </w:rPr>
            </w:pPr>
            <w:r>
              <w:rPr>
                <w:rFonts w:hint="eastAsia"/>
                <w:lang w:val="en-US" w:eastAsia="zh-CN"/>
              </w:rPr>
              <w:t>丙令水库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BC0D">
            <w:pPr>
              <w:pStyle w:val="22"/>
              <w:bidi w:val="0"/>
              <w:jc w:val="center"/>
              <w:rPr>
                <w:rFonts w:hint="eastAsia"/>
              </w:rPr>
            </w:pPr>
            <w:r>
              <w:rPr>
                <w:rFonts w:hint="eastAsia"/>
                <w:lang w:val="en-US" w:eastAsia="zh-CN"/>
              </w:rPr>
              <w:t>Ⅰ级</w:t>
            </w:r>
          </w:p>
        </w:tc>
      </w:tr>
      <w:tr w14:paraId="2875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C84A">
            <w:pPr>
              <w:pStyle w:val="22"/>
              <w:bidi w:val="0"/>
              <w:jc w:val="center"/>
              <w:rPr>
                <w:rFonts w:hint="eastAsia"/>
              </w:rPr>
            </w:pPr>
            <w:r>
              <w:rPr>
                <w:rFonts w:hint="eastAsia"/>
                <w:lang w:val="en-US" w:eastAsia="zh-CN"/>
              </w:rPr>
              <w:t>12</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CA39">
            <w:pPr>
              <w:pStyle w:val="22"/>
              <w:bidi w:val="0"/>
              <w:jc w:val="center"/>
              <w:rPr>
                <w:rFonts w:hint="eastAsia"/>
              </w:rPr>
            </w:pPr>
            <w:r>
              <w:rPr>
                <w:rFonts w:hint="eastAsia"/>
                <w:lang w:val="en-US" w:eastAsia="zh-CN"/>
              </w:rPr>
              <w:t>丙月团山水库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5ECC">
            <w:pPr>
              <w:pStyle w:val="22"/>
              <w:bidi w:val="0"/>
              <w:jc w:val="center"/>
              <w:rPr>
                <w:rFonts w:hint="eastAsia"/>
              </w:rPr>
            </w:pPr>
            <w:r>
              <w:rPr>
                <w:rFonts w:hint="eastAsia"/>
                <w:lang w:val="en-US" w:eastAsia="zh-CN"/>
              </w:rPr>
              <w:t>Ⅰ级</w:t>
            </w:r>
          </w:p>
        </w:tc>
      </w:tr>
      <w:tr w14:paraId="1B1D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C1A">
            <w:pPr>
              <w:pStyle w:val="22"/>
              <w:bidi w:val="0"/>
              <w:jc w:val="center"/>
              <w:rPr>
                <w:rFonts w:hint="eastAsia"/>
              </w:rPr>
            </w:pPr>
            <w:r>
              <w:rPr>
                <w:rFonts w:hint="eastAsia"/>
                <w:lang w:val="en-US" w:eastAsia="zh-CN"/>
              </w:rPr>
              <w:t>13</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B2CC">
            <w:pPr>
              <w:pStyle w:val="22"/>
              <w:bidi w:val="0"/>
              <w:jc w:val="center"/>
              <w:rPr>
                <w:rFonts w:hint="eastAsia"/>
              </w:rPr>
            </w:pPr>
            <w:r>
              <w:rPr>
                <w:rFonts w:hint="eastAsia"/>
                <w:lang w:val="en-US" w:eastAsia="zh-CN"/>
              </w:rPr>
              <w:t>苴那水库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F406">
            <w:pPr>
              <w:pStyle w:val="22"/>
              <w:bidi w:val="0"/>
              <w:jc w:val="center"/>
              <w:rPr>
                <w:rFonts w:hint="eastAsia"/>
              </w:rPr>
            </w:pPr>
            <w:r>
              <w:rPr>
                <w:rFonts w:hint="eastAsia"/>
                <w:lang w:val="en-US" w:eastAsia="zh-CN"/>
              </w:rPr>
              <w:t>Ⅰ级</w:t>
            </w:r>
          </w:p>
        </w:tc>
      </w:tr>
      <w:tr w14:paraId="0F3D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29F7">
            <w:pPr>
              <w:pStyle w:val="22"/>
              <w:bidi w:val="0"/>
              <w:jc w:val="center"/>
              <w:rPr>
                <w:rFonts w:hint="eastAsia"/>
              </w:rPr>
            </w:pPr>
            <w:r>
              <w:rPr>
                <w:rFonts w:hint="eastAsia"/>
                <w:lang w:val="en-US" w:eastAsia="zh-CN"/>
              </w:rPr>
              <w:t>14</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8DA3">
            <w:pPr>
              <w:pStyle w:val="22"/>
              <w:bidi w:val="0"/>
              <w:jc w:val="center"/>
              <w:rPr>
                <w:rFonts w:hint="eastAsia"/>
              </w:rPr>
            </w:pPr>
            <w:r>
              <w:rPr>
                <w:rFonts w:hint="eastAsia"/>
                <w:lang w:val="en-US" w:eastAsia="zh-CN"/>
              </w:rPr>
              <w:t>大白箐水库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B16F">
            <w:pPr>
              <w:pStyle w:val="22"/>
              <w:bidi w:val="0"/>
              <w:jc w:val="center"/>
              <w:rPr>
                <w:rFonts w:hint="eastAsia"/>
              </w:rPr>
            </w:pPr>
            <w:r>
              <w:rPr>
                <w:rFonts w:hint="eastAsia"/>
                <w:lang w:val="en-US" w:eastAsia="zh-CN"/>
              </w:rPr>
              <w:t>Ⅰ级</w:t>
            </w:r>
          </w:p>
        </w:tc>
      </w:tr>
      <w:tr w14:paraId="503B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ACDC">
            <w:pPr>
              <w:pStyle w:val="22"/>
              <w:bidi w:val="0"/>
              <w:jc w:val="center"/>
              <w:rPr>
                <w:rFonts w:hint="eastAsia"/>
              </w:rPr>
            </w:pPr>
            <w:r>
              <w:rPr>
                <w:rFonts w:hint="eastAsia"/>
                <w:lang w:val="en-US" w:eastAsia="zh-CN"/>
              </w:rPr>
              <w:t>15</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F45D">
            <w:pPr>
              <w:pStyle w:val="22"/>
              <w:bidi w:val="0"/>
              <w:jc w:val="center"/>
              <w:rPr>
                <w:rFonts w:hint="eastAsia"/>
              </w:rPr>
            </w:pPr>
            <w:r>
              <w:rPr>
                <w:rFonts w:hint="eastAsia"/>
                <w:lang w:val="en-US" w:eastAsia="zh-CN"/>
              </w:rPr>
              <w:t>储麦水库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F3A5">
            <w:pPr>
              <w:pStyle w:val="22"/>
              <w:bidi w:val="0"/>
              <w:jc w:val="center"/>
              <w:rPr>
                <w:rFonts w:hint="eastAsia"/>
              </w:rPr>
            </w:pPr>
            <w:r>
              <w:rPr>
                <w:rFonts w:hint="eastAsia"/>
                <w:lang w:val="en-US" w:eastAsia="zh-CN"/>
              </w:rPr>
              <w:t>Ⅰ级</w:t>
            </w:r>
          </w:p>
        </w:tc>
      </w:tr>
      <w:tr w14:paraId="2B3D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AE28">
            <w:pPr>
              <w:pStyle w:val="22"/>
              <w:bidi w:val="0"/>
              <w:jc w:val="center"/>
              <w:rPr>
                <w:rFonts w:hint="eastAsia"/>
              </w:rPr>
            </w:pPr>
            <w:r>
              <w:rPr>
                <w:rFonts w:hint="eastAsia"/>
                <w:lang w:val="en-US" w:eastAsia="zh-CN"/>
              </w:rPr>
              <w:t>16</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E60B">
            <w:pPr>
              <w:pStyle w:val="22"/>
              <w:bidi w:val="0"/>
              <w:jc w:val="center"/>
              <w:rPr>
                <w:rFonts w:hint="eastAsia"/>
              </w:rPr>
            </w:pPr>
            <w:r>
              <w:rPr>
                <w:rFonts w:hint="eastAsia"/>
                <w:lang w:val="en-US" w:eastAsia="zh-CN"/>
              </w:rPr>
              <w:t>前进水库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7580">
            <w:pPr>
              <w:pStyle w:val="22"/>
              <w:bidi w:val="0"/>
              <w:jc w:val="center"/>
              <w:rPr>
                <w:rFonts w:hint="eastAsia"/>
              </w:rPr>
            </w:pPr>
            <w:r>
              <w:rPr>
                <w:rFonts w:hint="eastAsia"/>
                <w:lang w:val="en-US" w:eastAsia="zh-CN"/>
              </w:rPr>
              <w:t>Ⅰ级</w:t>
            </w:r>
          </w:p>
        </w:tc>
      </w:tr>
      <w:tr w14:paraId="359C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BA49">
            <w:pPr>
              <w:pStyle w:val="22"/>
              <w:bidi w:val="0"/>
              <w:jc w:val="center"/>
              <w:rPr>
                <w:rFonts w:hint="eastAsia"/>
              </w:rPr>
            </w:pPr>
            <w:r>
              <w:rPr>
                <w:rFonts w:hint="eastAsia"/>
                <w:lang w:val="en-US" w:eastAsia="zh-CN"/>
              </w:rPr>
              <w:t>17</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B6CE">
            <w:pPr>
              <w:pStyle w:val="22"/>
              <w:bidi w:val="0"/>
              <w:jc w:val="center"/>
              <w:rPr>
                <w:rFonts w:hint="eastAsia"/>
              </w:rPr>
            </w:pPr>
            <w:r>
              <w:rPr>
                <w:rFonts w:hint="eastAsia"/>
                <w:lang w:val="en-US" w:eastAsia="zh-CN"/>
              </w:rPr>
              <w:t>大荒地水库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CC9E">
            <w:pPr>
              <w:pStyle w:val="22"/>
              <w:bidi w:val="0"/>
              <w:jc w:val="center"/>
              <w:rPr>
                <w:rFonts w:hint="eastAsia"/>
              </w:rPr>
            </w:pPr>
            <w:r>
              <w:rPr>
                <w:rFonts w:hint="eastAsia"/>
                <w:lang w:val="en-US" w:eastAsia="zh-CN"/>
              </w:rPr>
              <w:t>Ⅰ级</w:t>
            </w:r>
          </w:p>
        </w:tc>
      </w:tr>
      <w:tr w14:paraId="7A15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A6F4">
            <w:pPr>
              <w:pStyle w:val="22"/>
              <w:bidi w:val="0"/>
              <w:jc w:val="center"/>
              <w:rPr>
                <w:rFonts w:hint="eastAsia"/>
              </w:rPr>
            </w:pPr>
            <w:r>
              <w:rPr>
                <w:rFonts w:hint="eastAsia"/>
                <w:lang w:val="en-US" w:eastAsia="zh-CN"/>
              </w:rPr>
              <w:t>18</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34D6">
            <w:pPr>
              <w:pStyle w:val="22"/>
              <w:bidi w:val="0"/>
              <w:jc w:val="center"/>
              <w:rPr>
                <w:rFonts w:hint="eastAsia"/>
              </w:rPr>
            </w:pPr>
            <w:r>
              <w:rPr>
                <w:rFonts w:hint="eastAsia"/>
                <w:lang w:val="en-US" w:eastAsia="zh-CN"/>
              </w:rPr>
              <w:t>桃树箐水库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E37B">
            <w:pPr>
              <w:pStyle w:val="22"/>
              <w:bidi w:val="0"/>
              <w:jc w:val="center"/>
              <w:rPr>
                <w:rFonts w:hint="eastAsia"/>
              </w:rPr>
            </w:pPr>
            <w:r>
              <w:rPr>
                <w:rFonts w:hint="eastAsia"/>
                <w:lang w:val="en-US" w:eastAsia="zh-CN"/>
              </w:rPr>
              <w:t>Ⅰ级</w:t>
            </w:r>
          </w:p>
        </w:tc>
      </w:tr>
      <w:tr w14:paraId="3A62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5348">
            <w:pPr>
              <w:pStyle w:val="22"/>
              <w:bidi w:val="0"/>
              <w:jc w:val="center"/>
              <w:rPr>
                <w:rFonts w:hint="eastAsia"/>
              </w:rPr>
            </w:pPr>
            <w:r>
              <w:rPr>
                <w:rFonts w:hint="eastAsia"/>
                <w:lang w:val="en-US" w:eastAsia="zh-CN"/>
              </w:rPr>
              <w:t>19</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3E66">
            <w:pPr>
              <w:pStyle w:val="22"/>
              <w:bidi w:val="0"/>
              <w:jc w:val="center"/>
              <w:rPr>
                <w:rFonts w:hint="eastAsia"/>
              </w:rPr>
            </w:pPr>
            <w:r>
              <w:rPr>
                <w:rFonts w:hint="eastAsia"/>
                <w:lang w:val="en-US" w:eastAsia="zh-CN"/>
              </w:rPr>
              <w:t>龙潭箐水库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C9B4">
            <w:pPr>
              <w:pStyle w:val="22"/>
              <w:bidi w:val="0"/>
              <w:jc w:val="center"/>
              <w:rPr>
                <w:rFonts w:hint="eastAsia"/>
              </w:rPr>
            </w:pPr>
            <w:r>
              <w:rPr>
                <w:rFonts w:hint="eastAsia"/>
                <w:lang w:val="en-US" w:eastAsia="zh-CN"/>
              </w:rPr>
              <w:t>Ⅰ级</w:t>
            </w:r>
          </w:p>
        </w:tc>
      </w:tr>
      <w:tr w14:paraId="2D96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D704">
            <w:pPr>
              <w:pStyle w:val="22"/>
              <w:bidi w:val="0"/>
              <w:jc w:val="center"/>
              <w:rPr>
                <w:rFonts w:hint="eastAsia"/>
              </w:rPr>
            </w:pPr>
            <w:r>
              <w:rPr>
                <w:rFonts w:hint="eastAsia"/>
                <w:lang w:val="en-US" w:eastAsia="zh-CN"/>
              </w:rPr>
              <w:t>20</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C20B">
            <w:pPr>
              <w:pStyle w:val="22"/>
              <w:bidi w:val="0"/>
              <w:jc w:val="center"/>
              <w:rPr>
                <w:rFonts w:hint="eastAsia"/>
              </w:rPr>
            </w:pPr>
            <w:r>
              <w:rPr>
                <w:rFonts w:hint="eastAsia"/>
                <w:lang w:val="en-US" w:eastAsia="zh-CN"/>
              </w:rPr>
              <w:t>小火山水库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FE98">
            <w:pPr>
              <w:pStyle w:val="22"/>
              <w:bidi w:val="0"/>
              <w:jc w:val="center"/>
              <w:rPr>
                <w:rFonts w:hint="eastAsia"/>
              </w:rPr>
            </w:pPr>
            <w:r>
              <w:rPr>
                <w:rFonts w:hint="eastAsia"/>
                <w:lang w:val="en-US" w:eastAsia="zh-CN"/>
              </w:rPr>
              <w:t>Ⅰ级</w:t>
            </w:r>
          </w:p>
        </w:tc>
      </w:tr>
      <w:tr w14:paraId="4208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F194">
            <w:pPr>
              <w:pStyle w:val="22"/>
              <w:bidi w:val="0"/>
              <w:jc w:val="center"/>
              <w:rPr>
                <w:rFonts w:hint="eastAsia"/>
              </w:rPr>
            </w:pPr>
            <w:r>
              <w:rPr>
                <w:rFonts w:hint="eastAsia"/>
                <w:lang w:val="en-US" w:eastAsia="zh-CN"/>
              </w:rPr>
              <w:t>21</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D6C4">
            <w:pPr>
              <w:pStyle w:val="22"/>
              <w:bidi w:val="0"/>
              <w:jc w:val="center"/>
              <w:rPr>
                <w:rFonts w:hint="eastAsia"/>
              </w:rPr>
            </w:pPr>
            <w:r>
              <w:rPr>
                <w:rFonts w:hint="eastAsia"/>
                <w:lang w:val="en-US" w:eastAsia="zh-CN"/>
              </w:rPr>
              <w:t>鼠街水库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DC98">
            <w:pPr>
              <w:pStyle w:val="22"/>
              <w:bidi w:val="0"/>
              <w:jc w:val="center"/>
              <w:rPr>
                <w:rFonts w:hint="eastAsia"/>
              </w:rPr>
            </w:pPr>
            <w:r>
              <w:rPr>
                <w:rFonts w:hint="eastAsia"/>
                <w:lang w:val="en-US" w:eastAsia="zh-CN"/>
              </w:rPr>
              <w:t>Ⅰ级</w:t>
            </w:r>
          </w:p>
        </w:tc>
      </w:tr>
      <w:tr w14:paraId="6572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84B2">
            <w:pPr>
              <w:pStyle w:val="22"/>
              <w:bidi w:val="0"/>
              <w:jc w:val="center"/>
              <w:rPr>
                <w:rFonts w:hint="eastAsia"/>
              </w:rPr>
            </w:pPr>
            <w:r>
              <w:rPr>
                <w:rFonts w:hint="eastAsia"/>
                <w:lang w:val="en-US" w:eastAsia="zh-CN"/>
              </w:rPr>
              <w:t>22</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4676">
            <w:pPr>
              <w:pStyle w:val="22"/>
              <w:bidi w:val="0"/>
              <w:jc w:val="center"/>
              <w:rPr>
                <w:rFonts w:hint="eastAsia"/>
              </w:rPr>
            </w:pPr>
            <w:r>
              <w:rPr>
                <w:rFonts w:hint="eastAsia"/>
                <w:lang w:val="en-US" w:eastAsia="zh-CN"/>
              </w:rPr>
              <w:t>小村水库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A6ED">
            <w:pPr>
              <w:pStyle w:val="22"/>
              <w:bidi w:val="0"/>
              <w:jc w:val="center"/>
              <w:rPr>
                <w:rFonts w:hint="eastAsia"/>
              </w:rPr>
            </w:pPr>
            <w:r>
              <w:rPr>
                <w:rFonts w:hint="eastAsia"/>
                <w:lang w:val="en-US" w:eastAsia="zh-CN"/>
              </w:rPr>
              <w:t>Ⅰ级</w:t>
            </w:r>
          </w:p>
        </w:tc>
      </w:tr>
      <w:tr w14:paraId="74FE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9F8B">
            <w:pPr>
              <w:pStyle w:val="22"/>
              <w:bidi w:val="0"/>
              <w:jc w:val="center"/>
              <w:rPr>
                <w:rFonts w:hint="eastAsia"/>
              </w:rPr>
            </w:pPr>
            <w:r>
              <w:rPr>
                <w:rFonts w:hint="eastAsia"/>
                <w:lang w:val="en-US" w:eastAsia="zh-CN"/>
              </w:rPr>
              <w:t>23</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42F4">
            <w:pPr>
              <w:pStyle w:val="22"/>
              <w:bidi w:val="0"/>
              <w:jc w:val="center"/>
              <w:rPr>
                <w:rFonts w:hint="eastAsia"/>
              </w:rPr>
            </w:pPr>
            <w:r>
              <w:rPr>
                <w:rFonts w:hint="eastAsia"/>
                <w:lang w:val="en-US" w:eastAsia="zh-CN"/>
              </w:rPr>
              <w:t>白坡水库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2AE8">
            <w:pPr>
              <w:pStyle w:val="22"/>
              <w:bidi w:val="0"/>
              <w:jc w:val="center"/>
              <w:rPr>
                <w:rFonts w:hint="eastAsia"/>
              </w:rPr>
            </w:pPr>
            <w:r>
              <w:rPr>
                <w:rFonts w:hint="eastAsia"/>
                <w:lang w:val="en-US" w:eastAsia="zh-CN"/>
              </w:rPr>
              <w:t>Ⅰ级</w:t>
            </w:r>
          </w:p>
        </w:tc>
      </w:tr>
      <w:tr w14:paraId="08CF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9390">
            <w:pPr>
              <w:pStyle w:val="22"/>
              <w:bidi w:val="0"/>
              <w:jc w:val="center"/>
              <w:rPr>
                <w:rFonts w:hint="eastAsia"/>
              </w:rPr>
            </w:pPr>
            <w:r>
              <w:rPr>
                <w:rFonts w:hint="eastAsia"/>
                <w:lang w:val="en-US" w:eastAsia="zh-CN"/>
              </w:rPr>
              <w:t>24</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5C0F">
            <w:pPr>
              <w:pStyle w:val="22"/>
              <w:bidi w:val="0"/>
              <w:jc w:val="center"/>
              <w:rPr>
                <w:rFonts w:hint="eastAsia"/>
              </w:rPr>
            </w:pPr>
            <w:r>
              <w:rPr>
                <w:rFonts w:hint="eastAsia"/>
                <w:lang w:val="en-US" w:eastAsia="zh-CN"/>
              </w:rPr>
              <w:t>冷水箐水库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23ED">
            <w:pPr>
              <w:pStyle w:val="22"/>
              <w:bidi w:val="0"/>
              <w:jc w:val="center"/>
              <w:rPr>
                <w:rFonts w:hint="eastAsia"/>
              </w:rPr>
            </w:pPr>
            <w:r>
              <w:rPr>
                <w:rFonts w:hint="eastAsia"/>
                <w:lang w:val="en-US" w:eastAsia="zh-CN"/>
              </w:rPr>
              <w:t>Ⅰ级</w:t>
            </w:r>
          </w:p>
        </w:tc>
      </w:tr>
      <w:tr w14:paraId="7D4C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04B9">
            <w:pPr>
              <w:pStyle w:val="22"/>
              <w:bidi w:val="0"/>
              <w:jc w:val="center"/>
              <w:rPr>
                <w:rFonts w:hint="eastAsia"/>
              </w:rPr>
            </w:pPr>
            <w:r>
              <w:rPr>
                <w:rFonts w:hint="eastAsia"/>
                <w:lang w:val="en-US" w:eastAsia="zh-CN"/>
              </w:rPr>
              <w:t>25</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7E61">
            <w:pPr>
              <w:pStyle w:val="22"/>
              <w:bidi w:val="0"/>
              <w:jc w:val="center"/>
              <w:rPr>
                <w:rFonts w:hint="eastAsia"/>
              </w:rPr>
            </w:pPr>
            <w:r>
              <w:rPr>
                <w:rFonts w:hint="eastAsia"/>
                <w:lang w:val="en-US" w:eastAsia="zh-CN"/>
              </w:rPr>
              <w:t>小吃田水库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6DF1">
            <w:pPr>
              <w:pStyle w:val="22"/>
              <w:bidi w:val="0"/>
              <w:jc w:val="center"/>
              <w:rPr>
                <w:rFonts w:hint="eastAsia"/>
              </w:rPr>
            </w:pPr>
            <w:r>
              <w:rPr>
                <w:rFonts w:hint="eastAsia"/>
                <w:lang w:val="en-US" w:eastAsia="zh-CN"/>
              </w:rPr>
              <w:t>Ⅰ级</w:t>
            </w:r>
          </w:p>
        </w:tc>
      </w:tr>
      <w:tr w14:paraId="4660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3283">
            <w:pPr>
              <w:pStyle w:val="22"/>
              <w:bidi w:val="0"/>
              <w:jc w:val="center"/>
              <w:rPr>
                <w:rFonts w:hint="eastAsia"/>
              </w:rPr>
            </w:pPr>
            <w:r>
              <w:rPr>
                <w:rFonts w:hint="eastAsia"/>
                <w:lang w:val="en-US" w:eastAsia="zh-CN"/>
              </w:rPr>
              <w:t>26</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3318">
            <w:pPr>
              <w:pStyle w:val="22"/>
              <w:bidi w:val="0"/>
              <w:jc w:val="center"/>
              <w:rPr>
                <w:rFonts w:hint="eastAsia"/>
              </w:rPr>
            </w:pPr>
            <w:r>
              <w:rPr>
                <w:rFonts w:hint="eastAsia"/>
                <w:lang w:val="en-US" w:eastAsia="zh-CN"/>
              </w:rPr>
              <w:t>中山水库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DCCC">
            <w:pPr>
              <w:pStyle w:val="22"/>
              <w:bidi w:val="0"/>
              <w:jc w:val="center"/>
              <w:rPr>
                <w:rFonts w:hint="eastAsia"/>
              </w:rPr>
            </w:pPr>
            <w:r>
              <w:rPr>
                <w:rFonts w:hint="eastAsia"/>
                <w:lang w:val="en-US" w:eastAsia="zh-CN"/>
              </w:rPr>
              <w:t>Ⅰ级</w:t>
            </w:r>
          </w:p>
        </w:tc>
      </w:tr>
      <w:tr w14:paraId="16B8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5165">
            <w:pPr>
              <w:pStyle w:val="22"/>
              <w:bidi w:val="0"/>
              <w:jc w:val="center"/>
              <w:rPr>
                <w:rFonts w:hint="eastAsia"/>
              </w:rPr>
            </w:pPr>
            <w:r>
              <w:rPr>
                <w:rFonts w:hint="eastAsia"/>
                <w:lang w:val="en-US" w:eastAsia="zh-CN"/>
              </w:rPr>
              <w:t>27</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FF6C">
            <w:pPr>
              <w:pStyle w:val="22"/>
              <w:bidi w:val="0"/>
              <w:jc w:val="center"/>
              <w:rPr>
                <w:rFonts w:hint="eastAsia"/>
              </w:rPr>
            </w:pPr>
            <w:r>
              <w:rPr>
                <w:rFonts w:hint="eastAsia"/>
                <w:lang w:val="en-US" w:eastAsia="zh-CN"/>
              </w:rPr>
              <w:t>灰冲水库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E2CE">
            <w:pPr>
              <w:pStyle w:val="22"/>
              <w:bidi w:val="0"/>
              <w:jc w:val="center"/>
              <w:rPr>
                <w:rFonts w:hint="eastAsia"/>
              </w:rPr>
            </w:pPr>
            <w:r>
              <w:rPr>
                <w:rFonts w:hint="eastAsia"/>
                <w:lang w:val="en-US" w:eastAsia="zh-CN"/>
              </w:rPr>
              <w:t>Ⅰ级</w:t>
            </w:r>
          </w:p>
        </w:tc>
      </w:tr>
      <w:tr w14:paraId="6658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9990">
            <w:pPr>
              <w:pStyle w:val="22"/>
              <w:bidi w:val="0"/>
              <w:jc w:val="center"/>
              <w:rPr>
                <w:rFonts w:hint="eastAsia"/>
              </w:rPr>
            </w:pPr>
            <w:r>
              <w:rPr>
                <w:rFonts w:hint="eastAsia"/>
                <w:lang w:val="en-US" w:eastAsia="zh-CN"/>
              </w:rPr>
              <w:t>28</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1452">
            <w:pPr>
              <w:pStyle w:val="22"/>
              <w:bidi w:val="0"/>
              <w:jc w:val="center"/>
              <w:rPr>
                <w:rFonts w:hint="eastAsia"/>
              </w:rPr>
            </w:pPr>
            <w:r>
              <w:rPr>
                <w:rFonts w:hint="eastAsia"/>
                <w:lang w:val="en-US" w:eastAsia="zh-CN"/>
              </w:rPr>
              <w:t>贡茶水库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0F5F">
            <w:pPr>
              <w:pStyle w:val="22"/>
              <w:bidi w:val="0"/>
              <w:jc w:val="center"/>
              <w:rPr>
                <w:rFonts w:hint="eastAsia"/>
              </w:rPr>
            </w:pPr>
            <w:r>
              <w:rPr>
                <w:rFonts w:hint="eastAsia"/>
                <w:lang w:val="en-US" w:eastAsia="zh-CN"/>
              </w:rPr>
              <w:t>Ⅰ级</w:t>
            </w:r>
          </w:p>
        </w:tc>
      </w:tr>
      <w:tr w14:paraId="5C18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85A7">
            <w:pPr>
              <w:pStyle w:val="22"/>
              <w:bidi w:val="0"/>
              <w:jc w:val="center"/>
              <w:rPr>
                <w:rFonts w:hint="eastAsia"/>
              </w:rPr>
            </w:pPr>
            <w:r>
              <w:rPr>
                <w:rFonts w:hint="eastAsia"/>
                <w:lang w:val="en-US" w:eastAsia="zh-CN"/>
              </w:rPr>
              <w:t>29</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610D">
            <w:pPr>
              <w:pStyle w:val="22"/>
              <w:bidi w:val="0"/>
              <w:jc w:val="center"/>
              <w:rPr>
                <w:rFonts w:hint="eastAsia"/>
              </w:rPr>
            </w:pPr>
            <w:r>
              <w:rPr>
                <w:rFonts w:hint="eastAsia"/>
                <w:lang w:val="en-US" w:eastAsia="zh-CN"/>
              </w:rPr>
              <w:t>火头田水库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8734">
            <w:pPr>
              <w:pStyle w:val="22"/>
              <w:bidi w:val="0"/>
              <w:jc w:val="center"/>
              <w:rPr>
                <w:rFonts w:hint="eastAsia"/>
              </w:rPr>
            </w:pPr>
            <w:r>
              <w:rPr>
                <w:rFonts w:hint="eastAsia"/>
                <w:lang w:val="en-US" w:eastAsia="zh-CN"/>
              </w:rPr>
              <w:t>Ⅰ级</w:t>
            </w:r>
          </w:p>
        </w:tc>
      </w:tr>
      <w:tr w14:paraId="1069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64A7">
            <w:pPr>
              <w:pStyle w:val="22"/>
              <w:bidi w:val="0"/>
              <w:jc w:val="center"/>
              <w:rPr>
                <w:rFonts w:hint="eastAsia"/>
              </w:rPr>
            </w:pPr>
            <w:r>
              <w:rPr>
                <w:rFonts w:hint="eastAsia"/>
                <w:lang w:val="en-US" w:eastAsia="zh-CN"/>
              </w:rPr>
              <w:t>30</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63C2">
            <w:pPr>
              <w:pStyle w:val="22"/>
              <w:bidi w:val="0"/>
              <w:jc w:val="center"/>
              <w:rPr>
                <w:rFonts w:hint="eastAsia"/>
              </w:rPr>
            </w:pPr>
            <w:r>
              <w:rPr>
                <w:rFonts w:hint="eastAsia"/>
                <w:lang w:val="en-US" w:eastAsia="zh-CN"/>
              </w:rPr>
              <w:t>姜中水库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9437">
            <w:pPr>
              <w:pStyle w:val="22"/>
              <w:bidi w:val="0"/>
              <w:jc w:val="center"/>
              <w:rPr>
                <w:rFonts w:hint="eastAsia"/>
              </w:rPr>
            </w:pPr>
            <w:r>
              <w:rPr>
                <w:rFonts w:hint="eastAsia"/>
                <w:lang w:val="en-US" w:eastAsia="zh-CN"/>
              </w:rPr>
              <w:t>Ⅰ级</w:t>
            </w:r>
          </w:p>
        </w:tc>
      </w:tr>
      <w:tr w14:paraId="512C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7B82">
            <w:pPr>
              <w:pStyle w:val="22"/>
              <w:bidi w:val="0"/>
              <w:jc w:val="center"/>
              <w:rPr>
                <w:rFonts w:hint="eastAsia"/>
              </w:rPr>
            </w:pPr>
            <w:r>
              <w:rPr>
                <w:rFonts w:hint="eastAsia"/>
                <w:lang w:val="en-US" w:eastAsia="zh-CN"/>
              </w:rPr>
              <w:t>31</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2FB9">
            <w:pPr>
              <w:pStyle w:val="22"/>
              <w:bidi w:val="0"/>
              <w:jc w:val="center"/>
              <w:rPr>
                <w:rFonts w:hint="eastAsia"/>
              </w:rPr>
            </w:pPr>
            <w:r>
              <w:rPr>
                <w:rFonts w:hint="eastAsia"/>
                <w:lang w:val="en-US" w:eastAsia="zh-CN"/>
              </w:rPr>
              <w:t>李官坟水库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BDDB">
            <w:pPr>
              <w:pStyle w:val="22"/>
              <w:bidi w:val="0"/>
              <w:jc w:val="center"/>
              <w:rPr>
                <w:rFonts w:hint="eastAsia"/>
              </w:rPr>
            </w:pPr>
            <w:r>
              <w:rPr>
                <w:rFonts w:hint="eastAsia"/>
                <w:lang w:val="en-US" w:eastAsia="zh-CN"/>
              </w:rPr>
              <w:t>Ⅰ级</w:t>
            </w:r>
          </w:p>
        </w:tc>
      </w:tr>
      <w:tr w14:paraId="1635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9180">
            <w:pPr>
              <w:pStyle w:val="22"/>
              <w:bidi w:val="0"/>
              <w:jc w:val="center"/>
              <w:rPr>
                <w:rFonts w:hint="eastAsia"/>
              </w:rPr>
            </w:pPr>
            <w:r>
              <w:rPr>
                <w:rFonts w:hint="eastAsia"/>
                <w:lang w:val="en-US" w:eastAsia="zh-CN"/>
              </w:rPr>
              <w:t>32</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4A18">
            <w:pPr>
              <w:pStyle w:val="22"/>
              <w:bidi w:val="0"/>
              <w:jc w:val="center"/>
              <w:rPr>
                <w:rFonts w:hint="eastAsia"/>
              </w:rPr>
            </w:pPr>
            <w:r>
              <w:rPr>
                <w:rFonts w:hint="eastAsia"/>
                <w:lang w:val="en-US" w:eastAsia="zh-CN"/>
              </w:rPr>
              <w:t>太平水库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6DD5">
            <w:pPr>
              <w:pStyle w:val="22"/>
              <w:bidi w:val="0"/>
              <w:jc w:val="center"/>
              <w:rPr>
                <w:rFonts w:hint="eastAsia"/>
              </w:rPr>
            </w:pPr>
            <w:r>
              <w:rPr>
                <w:rFonts w:hint="eastAsia"/>
                <w:lang w:val="en-US" w:eastAsia="zh-CN"/>
              </w:rPr>
              <w:t>Ⅰ级</w:t>
            </w:r>
          </w:p>
        </w:tc>
      </w:tr>
      <w:tr w14:paraId="0855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2885">
            <w:pPr>
              <w:pStyle w:val="22"/>
              <w:bidi w:val="0"/>
              <w:jc w:val="center"/>
              <w:rPr>
                <w:rFonts w:hint="eastAsia"/>
              </w:rPr>
            </w:pPr>
            <w:r>
              <w:rPr>
                <w:rFonts w:hint="eastAsia"/>
                <w:lang w:val="en-US" w:eastAsia="zh-CN"/>
              </w:rPr>
              <w:t>33</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4FA9">
            <w:pPr>
              <w:pStyle w:val="22"/>
              <w:bidi w:val="0"/>
              <w:jc w:val="center"/>
              <w:rPr>
                <w:rFonts w:hint="eastAsia"/>
              </w:rPr>
            </w:pPr>
            <w:r>
              <w:rPr>
                <w:rFonts w:hint="eastAsia"/>
                <w:lang w:val="en-US" w:eastAsia="zh-CN"/>
              </w:rPr>
              <w:t>新海水库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53AC">
            <w:pPr>
              <w:pStyle w:val="22"/>
              <w:bidi w:val="0"/>
              <w:jc w:val="center"/>
              <w:rPr>
                <w:rFonts w:hint="eastAsia"/>
              </w:rPr>
            </w:pPr>
            <w:r>
              <w:rPr>
                <w:rFonts w:hint="eastAsia"/>
                <w:lang w:val="en-US" w:eastAsia="zh-CN"/>
              </w:rPr>
              <w:t>Ⅰ级</w:t>
            </w:r>
          </w:p>
        </w:tc>
      </w:tr>
      <w:tr w14:paraId="49A6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6156">
            <w:pPr>
              <w:pStyle w:val="22"/>
              <w:bidi w:val="0"/>
              <w:jc w:val="center"/>
              <w:rPr>
                <w:rFonts w:hint="eastAsia"/>
              </w:rPr>
            </w:pPr>
            <w:r>
              <w:rPr>
                <w:rFonts w:hint="eastAsia"/>
                <w:lang w:val="en-US" w:eastAsia="zh-CN"/>
              </w:rPr>
              <w:t>34</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75B0">
            <w:pPr>
              <w:pStyle w:val="22"/>
              <w:bidi w:val="0"/>
              <w:jc w:val="center"/>
              <w:rPr>
                <w:rFonts w:hint="eastAsia"/>
              </w:rPr>
            </w:pPr>
            <w:r>
              <w:rPr>
                <w:rFonts w:hint="eastAsia"/>
                <w:lang w:val="en-US" w:eastAsia="zh-CN"/>
              </w:rPr>
              <w:t>跃进水库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275F">
            <w:pPr>
              <w:pStyle w:val="22"/>
              <w:bidi w:val="0"/>
              <w:jc w:val="center"/>
              <w:rPr>
                <w:rFonts w:hint="eastAsia"/>
              </w:rPr>
            </w:pPr>
            <w:r>
              <w:rPr>
                <w:rFonts w:hint="eastAsia"/>
                <w:lang w:val="en-US" w:eastAsia="zh-CN"/>
              </w:rPr>
              <w:t>Ⅰ级</w:t>
            </w:r>
          </w:p>
        </w:tc>
      </w:tr>
      <w:tr w14:paraId="5DE2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3504">
            <w:pPr>
              <w:pStyle w:val="22"/>
              <w:bidi w:val="0"/>
              <w:jc w:val="center"/>
              <w:rPr>
                <w:rFonts w:hint="eastAsia"/>
              </w:rPr>
            </w:pPr>
            <w:r>
              <w:rPr>
                <w:rFonts w:hint="eastAsia"/>
                <w:lang w:val="en-US" w:eastAsia="zh-CN"/>
              </w:rPr>
              <w:t>35</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98C9">
            <w:pPr>
              <w:pStyle w:val="22"/>
              <w:bidi w:val="0"/>
              <w:jc w:val="center"/>
              <w:rPr>
                <w:rFonts w:hint="eastAsia"/>
              </w:rPr>
            </w:pPr>
            <w:r>
              <w:rPr>
                <w:rFonts w:hint="eastAsia"/>
                <w:lang w:val="en-US" w:eastAsia="zh-CN"/>
              </w:rPr>
              <w:t>致富水库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7EA5">
            <w:pPr>
              <w:pStyle w:val="22"/>
              <w:bidi w:val="0"/>
              <w:jc w:val="center"/>
              <w:rPr>
                <w:rFonts w:hint="eastAsia"/>
              </w:rPr>
            </w:pPr>
            <w:r>
              <w:rPr>
                <w:rFonts w:hint="eastAsia"/>
                <w:lang w:val="en-US" w:eastAsia="zh-CN"/>
              </w:rPr>
              <w:t>Ⅰ级</w:t>
            </w:r>
          </w:p>
        </w:tc>
      </w:tr>
      <w:tr w14:paraId="3823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1B94">
            <w:pPr>
              <w:pStyle w:val="22"/>
              <w:bidi w:val="0"/>
              <w:jc w:val="center"/>
              <w:rPr>
                <w:rFonts w:hint="eastAsia"/>
              </w:rPr>
            </w:pPr>
            <w:r>
              <w:rPr>
                <w:rFonts w:hint="eastAsia"/>
                <w:lang w:val="en-US" w:eastAsia="zh-CN"/>
              </w:rPr>
              <w:t>36</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2B33">
            <w:pPr>
              <w:pStyle w:val="22"/>
              <w:bidi w:val="0"/>
              <w:jc w:val="center"/>
              <w:rPr>
                <w:rFonts w:hint="eastAsia"/>
              </w:rPr>
            </w:pPr>
            <w:r>
              <w:rPr>
                <w:rFonts w:hint="eastAsia"/>
                <w:lang w:val="en-US" w:eastAsia="zh-CN"/>
              </w:rPr>
              <w:t>能禹水库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B1DF">
            <w:pPr>
              <w:pStyle w:val="22"/>
              <w:bidi w:val="0"/>
              <w:jc w:val="center"/>
              <w:rPr>
                <w:rFonts w:hint="eastAsia"/>
              </w:rPr>
            </w:pPr>
            <w:r>
              <w:rPr>
                <w:rFonts w:hint="eastAsia"/>
                <w:lang w:val="en-US" w:eastAsia="zh-CN"/>
              </w:rPr>
              <w:t>Ⅱ级</w:t>
            </w:r>
          </w:p>
        </w:tc>
      </w:tr>
      <w:tr w14:paraId="2B52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FA7F">
            <w:pPr>
              <w:pStyle w:val="22"/>
              <w:bidi w:val="0"/>
              <w:jc w:val="center"/>
              <w:rPr>
                <w:rFonts w:hint="eastAsia"/>
              </w:rPr>
            </w:pPr>
            <w:r>
              <w:rPr>
                <w:rFonts w:hint="eastAsia"/>
                <w:lang w:val="en-US" w:eastAsia="zh-CN"/>
              </w:rPr>
              <w:t>37</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05A7">
            <w:pPr>
              <w:pStyle w:val="22"/>
              <w:bidi w:val="0"/>
              <w:jc w:val="center"/>
              <w:rPr>
                <w:rFonts w:hint="eastAsia"/>
              </w:rPr>
            </w:pPr>
            <w:r>
              <w:rPr>
                <w:rFonts w:hint="eastAsia"/>
                <w:lang w:val="en-US" w:eastAsia="zh-CN"/>
              </w:rPr>
              <w:t>山神沟水库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AB1C">
            <w:pPr>
              <w:pStyle w:val="22"/>
              <w:bidi w:val="0"/>
              <w:jc w:val="center"/>
              <w:rPr>
                <w:rFonts w:hint="eastAsia"/>
              </w:rPr>
            </w:pPr>
            <w:r>
              <w:rPr>
                <w:rFonts w:hint="eastAsia"/>
                <w:lang w:val="en-US" w:eastAsia="zh-CN"/>
              </w:rPr>
              <w:t>Ⅱ级</w:t>
            </w:r>
          </w:p>
        </w:tc>
      </w:tr>
      <w:tr w14:paraId="0D2C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C615">
            <w:pPr>
              <w:pStyle w:val="22"/>
              <w:bidi w:val="0"/>
              <w:jc w:val="center"/>
              <w:rPr>
                <w:rFonts w:hint="eastAsia"/>
              </w:rPr>
            </w:pPr>
            <w:r>
              <w:rPr>
                <w:rFonts w:hint="eastAsia"/>
                <w:lang w:val="en-US" w:eastAsia="zh-CN"/>
              </w:rPr>
              <w:t>38</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7669">
            <w:pPr>
              <w:pStyle w:val="22"/>
              <w:bidi w:val="0"/>
              <w:jc w:val="center"/>
              <w:rPr>
                <w:rFonts w:hint="eastAsia"/>
              </w:rPr>
            </w:pPr>
            <w:r>
              <w:rPr>
                <w:rFonts w:hint="eastAsia"/>
                <w:lang w:val="en-US" w:eastAsia="zh-CN"/>
              </w:rPr>
              <w:t>渣麻子水库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2E3B">
            <w:pPr>
              <w:pStyle w:val="22"/>
              <w:bidi w:val="0"/>
              <w:jc w:val="center"/>
              <w:rPr>
                <w:rFonts w:hint="eastAsia"/>
              </w:rPr>
            </w:pPr>
            <w:r>
              <w:rPr>
                <w:rFonts w:hint="eastAsia"/>
                <w:lang w:val="en-US" w:eastAsia="zh-CN"/>
              </w:rPr>
              <w:t>Ⅱ级</w:t>
            </w:r>
          </w:p>
        </w:tc>
      </w:tr>
      <w:tr w14:paraId="26FD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E7CF">
            <w:pPr>
              <w:pStyle w:val="22"/>
              <w:bidi w:val="0"/>
              <w:jc w:val="center"/>
              <w:rPr>
                <w:rFonts w:hint="eastAsia"/>
              </w:rPr>
            </w:pPr>
            <w:r>
              <w:rPr>
                <w:rFonts w:hint="eastAsia"/>
                <w:lang w:val="en-US" w:eastAsia="zh-CN"/>
              </w:rPr>
              <w:t>39</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C265">
            <w:pPr>
              <w:pStyle w:val="22"/>
              <w:bidi w:val="0"/>
              <w:jc w:val="center"/>
              <w:rPr>
                <w:rFonts w:hint="eastAsia"/>
              </w:rPr>
            </w:pPr>
            <w:r>
              <w:rPr>
                <w:rFonts w:hint="eastAsia"/>
                <w:lang w:val="en-US" w:eastAsia="zh-CN"/>
              </w:rPr>
              <w:t>新河水库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E986">
            <w:pPr>
              <w:pStyle w:val="22"/>
              <w:bidi w:val="0"/>
              <w:jc w:val="center"/>
              <w:rPr>
                <w:rFonts w:hint="eastAsia"/>
              </w:rPr>
            </w:pPr>
            <w:r>
              <w:rPr>
                <w:rFonts w:hint="eastAsia"/>
                <w:lang w:val="en-US" w:eastAsia="zh-CN"/>
              </w:rPr>
              <w:t>Ⅱ级</w:t>
            </w:r>
          </w:p>
        </w:tc>
      </w:tr>
      <w:tr w14:paraId="6B17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029E">
            <w:pPr>
              <w:pStyle w:val="22"/>
              <w:bidi w:val="0"/>
              <w:jc w:val="center"/>
              <w:rPr>
                <w:rFonts w:hint="eastAsia"/>
              </w:rPr>
            </w:pPr>
            <w:r>
              <w:rPr>
                <w:rFonts w:hint="eastAsia"/>
                <w:lang w:val="en-US" w:eastAsia="zh-CN"/>
              </w:rPr>
              <w:t>40</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52D6">
            <w:pPr>
              <w:pStyle w:val="22"/>
              <w:bidi w:val="0"/>
              <w:jc w:val="center"/>
              <w:rPr>
                <w:rFonts w:hint="eastAsia"/>
              </w:rPr>
            </w:pPr>
            <w:r>
              <w:rPr>
                <w:rFonts w:hint="eastAsia"/>
                <w:lang w:val="en-US" w:eastAsia="zh-CN"/>
              </w:rPr>
              <w:t>常家坟水库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2FDC">
            <w:pPr>
              <w:pStyle w:val="22"/>
              <w:bidi w:val="0"/>
              <w:jc w:val="center"/>
              <w:rPr>
                <w:rFonts w:hint="eastAsia"/>
              </w:rPr>
            </w:pPr>
            <w:r>
              <w:rPr>
                <w:rFonts w:hint="eastAsia"/>
                <w:lang w:val="en-US" w:eastAsia="zh-CN"/>
              </w:rPr>
              <w:t>Ⅱ级</w:t>
            </w:r>
          </w:p>
        </w:tc>
      </w:tr>
      <w:tr w14:paraId="6934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B850">
            <w:pPr>
              <w:pStyle w:val="22"/>
              <w:bidi w:val="0"/>
              <w:jc w:val="center"/>
              <w:rPr>
                <w:rFonts w:hint="eastAsia"/>
              </w:rPr>
            </w:pPr>
            <w:r>
              <w:rPr>
                <w:rFonts w:hint="eastAsia"/>
                <w:lang w:val="en-US" w:eastAsia="zh-CN"/>
              </w:rPr>
              <w:t>41</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E321">
            <w:pPr>
              <w:pStyle w:val="22"/>
              <w:bidi w:val="0"/>
              <w:jc w:val="center"/>
              <w:rPr>
                <w:rFonts w:hint="eastAsia"/>
              </w:rPr>
            </w:pPr>
            <w:r>
              <w:rPr>
                <w:rFonts w:hint="eastAsia"/>
                <w:lang w:val="en-US" w:eastAsia="zh-CN"/>
              </w:rPr>
              <w:t>牛街路水库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4E13">
            <w:pPr>
              <w:pStyle w:val="22"/>
              <w:bidi w:val="0"/>
              <w:jc w:val="center"/>
              <w:rPr>
                <w:rFonts w:hint="eastAsia"/>
              </w:rPr>
            </w:pPr>
            <w:r>
              <w:rPr>
                <w:rFonts w:hint="eastAsia"/>
                <w:lang w:val="en-US" w:eastAsia="zh-CN"/>
              </w:rPr>
              <w:t>Ⅱ级</w:t>
            </w:r>
          </w:p>
        </w:tc>
      </w:tr>
      <w:tr w14:paraId="4356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7B68">
            <w:pPr>
              <w:pStyle w:val="22"/>
              <w:bidi w:val="0"/>
              <w:jc w:val="center"/>
              <w:rPr>
                <w:rFonts w:hint="eastAsia"/>
              </w:rPr>
            </w:pPr>
            <w:r>
              <w:rPr>
                <w:rFonts w:hint="eastAsia"/>
                <w:lang w:val="en-US" w:eastAsia="zh-CN"/>
              </w:rPr>
              <w:t>42</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98AE">
            <w:pPr>
              <w:pStyle w:val="22"/>
              <w:bidi w:val="0"/>
              <w:jc w:val="center"/>
              <w:rPr>
                <w:rFonts w:hint="eastAsia"/>
              </w:rPr>
            </w:pPr>
            <w:r>
              <w:rPr>
                <w:rFonts w:hint="eastAsia"/>
                <w:lang w:val="en-US" w:eastAsia="zh-CN"/>
              </w:rPr>
              <w:t>三岔水库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3152">
            <w:pPr>
              <w:pStyle w:val="22"/>
              <w:bidi w:val="0"/>
              <w:jc w:val="center"/>
              <w:rPr>
                <w:rFonts w:hint="eastAsia"/>
              </w:rPr>
            </w:pPr>
            <w:r>
              <w:rPr>
                <w:rFonts w:hint="eastAsia"/>
                <w:lang w:val="en-US" w:eastAsia="zh-CN"/>
              </w:rPr>
              <w:t>Ⅲ级</w:t>
            </w:r>
          </w:p>
        </w:tc>
      </w:tr>
      <w:tr w14:paraId="5CD6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ED1A">
            <w:pPr>
              <w:pStyle w:val="22"/>
              <w:bidi w:val="0"/>
              <w:jc w:val="center"/>
              <w:rPr>
                <w:rFonts w:hint="eastAsia"/>
              </w:rPr>
            </w:pPr>
            <w:r>
              <w:rPr>
                <w:rFonts w:hint="eastAsia"/>
                <w:lang w:val="en-US" w:eastAsia="zh-CN"/>
              </w:rPr>
              <w:t>43</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5BAB">
            <w:pPr>
              <w:pStyle w:val="22"/>
              <w:bidi w:val="0"/>
              <w:jc w:val="center"/>
              <w:rPr>
                <w:rFonts w:hint="eastAsia"/>
              </w:rPr>
            </w:pPr>
            <w:r>
              <w:rPr>
                <w:rFonts w:hint="eastAsia"/>
                <w:lang w:val="en-US" w:eastAsia="zh-CN"/>
              </w:rPr>
              <w:t>德大干巴水库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1C1E">
            <w:pPr>
              <w:pStyle w:val="22"/>
              <w:bidi w:val="0"/>
              <w:jc w:val="center"/>
              <w:rPr>
                <w:rFonts w:hint="eastAsia"/>
              </w:rPr>
            </w:pPr>
            <w:r>
              <w:rPr>
                <w:rFonts w:hint="eastAsia"/>
                <w:lang w:val="en-US" w:eastAsia="zh-CN"/>
              </w:rPr>
              <w:t>Ⅲ级</w:t>
            </w:r>
          </w:p>
        </w:tc>
      </w:tr>
      <w:tr w14:paraId="16B6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BA7D">
            <w:pPr>
              <w:pStyle w:val="22"/>
              <w:bidi w:val="0"/>
              <w:jc w:val="center"/>
              <w:rPr>
                <w:rFonts w:hint="eastAsia"/>
              </w:rPr>
            </w:pPr>
            <w:r>
              <w:rPr>
                <w:rFonts w:hint="eastAsia"/>
                <w:lang w:val="en-US" w:eastAsia="zh-CN"/>
              </w:rPr>
              <w:t>44</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2262">
            <w:pPr>
              <w:pStyle w:val="22"/>
              <w:bidi w:val="0"/>
              <w:jc w:val="center"/>
              <w:rPr>
                <w:rFonts w:hint="eastAsia"/>
              </w:rPr>
            </w:pPr>
            <w:r>
              <w:rPr>
                <w:rFonts w:hint="eastAsia"/>
                <w:lang w:val="en-US" w:eastAsia="zh-CN"/>
              </w:rPr>
              <w:t>东永水库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E284">
            <w:pPr>
              <w:pStyle w:val="22"/>
              <w:bidi w:val="0"/>
              <w:jc w:val="center"/>
              <w:rPr>
                <w:rFonts w:hint="eastAsia"/>
              </w:rPr>
            </w:pPr>
            <w:r>
              <w:rPr>
                <w:rFonts w:hint="eastAsia"/>
                <w:lang w:val="en-US" w:eastAsia="zh-CN"/>
              </w:rPr>
              <w:t>Ⅲ级</w:t>
            </w:r>
          </w:p>
        </w:tc>
      </w:tr>
      <w:tr w14:paraId="4127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CEAA">
            <w:pPr>
              <w:pStyle w:val="22"/>
              <w:bidi w:val="0"/>
              <w:jc w:val="center"/>
              <w:rPr>
                <w:rFonts w:hint="eastAsia"/>
              </w:rPr>
            </w:pPr>
            <w:r>
              <w:rPr>
                <w:rFonts w:hint="eastAsia"/>
                <w:lang w:val="en-US" w:eastAsia="zh-CN"/>
              </w:rPr>
              <w:t>45</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CC13">
            <w:pPr>
              <w:pStyle w:val="22"/>
              <w:bidi w:val="0"/>
              <w:jc w:val="center"/>
              <w:rPr>
                <w:rFonts w:hint="eastAsia"/>
              </w:rPr>
            </w:pPr>
            <w:r>
              <w:rPr>
                <w:rFonts w:hint="eastAsia"/>
                <w:lang w:val="en-US" w:eastAsia="zh-CN"/>
              </w:rPr>
              <w:t>树林水库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6E58">
            <w:pPr>
              <w:pStyle w:val="22"/>
              <w:bidi w:val="0"/>
              <w:jc w:val="center"/>
              <w:rPr>
                <w:rFonts w:hint="eastAsia"/>
              </w:rPr>
            </w:pPr>
            <w:r>
              <w:rPr>
                <w:rFonts w:hint="eastAsia"/>
                <w:lang w:val="en-US" w:eastAsia="zh-CN"/>
              </w:rPr>
              <w:t>Ⅲ级</w:t>
            </w:r>
          </w:p>
        </w:tc>
      </w:tr>
      <w:tr w14:paraId="5D1F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3B92">
            <w:pPr>
              <w:pStyle w:val="22"/>
              <w:bidi w:val="0"/>
              <w:jc w:val="center"/>
              <w:rPr>
                <w:rFonts w:hint="eastAsia"/>
              </w:rPr>
            </w:pPr>
            <w:r>
              <w:rPr>
                <w:rFonts w:hint="eastAsia"/>
                <w:lang w:val="en-US" w:eastAsia="zh-CN"/>
              </w:rPr>
              <w:t>46</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1050">
            <w:pPr>
              <w:pStyle w:val="22"/>
              <w:bidi w:val="0"/>
              <w:jc w:val="center"/>
              <w:rPr>
                <w:rFonts w:hint="eastAsia"/>
              </w:rPr>
            </w:pPr>
            <w:r>
              <w:rPr>
                <w:rFonts w:hint="eastAsia"/>
                <w:lang w:val="en-US" w:eastAsia="zh-CN"/>
              </w:rPr>
              <w:t>麦浪水库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A3E4">
            <w:pPr>
              <w:pStyle w:val="22"/>
              <w:bidi w:val="0"/>
              <w:jc w:val="center"/>
              <w:rPr>
                <w:rFonts w:hint="eastAsia"/>
              </w:rPr>
            </w:pPr>
            <w:r>
              <w:rPr>
                <w:rFonts w:hint="eastAsia"/>
                <w:lang w:val="en-US" w:eastAsia="zh-CN"/>
              </w:rPr>
              <w:t>Ⅲ级</w:t>
            </w:r>
          </w:p>
        </w:tc>
      </w:tr>
      <w:tr w14:paraId="3A02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0328">
            <w:pPr>
              <w:pStyle w:val="22"/>
              <w:bidi w:val="0"/>
              <w:jc w:val="center"/>
              <w:rPr>
                <w:rFonts w:hint="eastAsia"/>
              </w:rPr>
            </w:pPr>
            <w:r>
              <w:rPr>
                <w:rFonts w:hint="eastAsia"/>
                <w:lang w:val="en-US" w:eastAsia="zh-CN"/>
              </w:rPr>
              <w:t>47</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75F6">
            <w:pPr>
              <w:pStyle w:val="22"/>
              <w:bidi w:val="0"/>
              <w:jc w:val="center"/>
              <w:rPr>
                <w:rFonts w:hint="eastAsia"/>
              </w:rPr>
            </w:pPr>
            <w:r>
              <w:rPr>
                <w:rFonts w:hint="eastAsia"/>
                <w:lang w:val="en-US" w:eastAsia="zh-CN"/>
              </w:rPr>
              <w:t>小地湾水库</w:t>
            </w:r>
          </w:p>
        </w:tc>
        <w:tc>
          <w:tcPr>
            <w:tcW w:w="2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70B4">
            <w:pPr>
              <w:pStyle w:val="22"/>
              <w:bidi w:val="0"/>
              <w:jc w:val="center"/>
              <w:rPr>
                <w:rFonts w:hint="eastAsia"/>
              </w:rPr>
            </w:pPr>
            <w:r>
              <w:rPr>
                <w:rFonts w:hint="eastAsia"/>
                <w:lang w:val="en-US" w:eastAsia="zh-CN"/>
              </w:rPr>
              <w:t>Ⅱ级</w:t>
            </w:r>
          </w:p>
        </w:tc>
      </w:tr>
    </w:tbl>
    <w:p w14:paraId="1A4D0256">
      <w:pPr>
        <w:pStyle w:val="21"/>
        <w:jc w:val="center"/>
        <w:rPr>
          <w:rFonts w:hint="eastAsia"/>
          <w:vertAlign w:val="baseline"/>
          <w:lang w:val="en-US" w:eastAsia="zh-CN"/>
        </w:rPr>
      </w:pPr>
    </w:p>
    <w:p w14:paraId="05DE6F65">
      <w:pPr>
        <w:pStyle w:val="21"/>
        <w:jc w:val="center"/>
        <w:rPr>
          <w:rFonts w:hint="eastAsia"/>
          <w:lang w:val="en-US" w:eastAsia="zh-CN"/>
        </w:rPr>
      </w:pPr>
    </w:p>
    <w:p w14:paraId="38946D32">
      <w:pPr>
        <w:rPr>
          <w:rFonts w:hint="eastAsia"/>
          <w:lang w:val="en-US" w:eastAsia="zh-CN"/>
        </w:rPr>
      </w:pPr>
      <w:r>
        <w:rPr>
          <w:rFonts w:hint="eastAsia"/>
          <w:lang w:val="en-US" w:eastAsia="zh-CN"/>
        </w:rPr>
        <w:br w:type="page"/>
      </w:r>
    </w:p>
    <w:bookmarkEnd w:id="277"/>
    <w:bookmarkEnd w:id="285"/>
    <w:p w14:paraId="606F6118">
      <w:pPr>
        <w:pStyle w:val="3"/>
        <w:numPr>
          <w:ilvl w:val="0"/>
          <w:numId w:val="0"/>
        </w:numPr>
        <w:bidi w:val="0"/>
        <w:spacing w:line="360" w:lineRule="auto"/>
        <w:ind w:firstLine="0" w:firstLineChars="0"/>
        <w:rPr>
          <w:rFonts w:hint="eastAsia"/>
          <w:highlight w:val="none"/>
          <w:lang w:val="zh-CN"/>
        </w:rPr>
      </w:pPr>
      <w:bookmarkStart w:id="286" w:name="_Toc201047319"/>
      <w:bookmarkStart w:id="287" w:name="_Toc11679"/>
      <w:r>
        <w:rPr>
          <w:rFonts w:hint="eastAsia" w:ascii="宋体" w:hAnsi="宋体" w:eastAsia="宋体" w:cs="宋体"/>
          <w:b/>
          <w:bCs/>
          <w:snapToGrid/>
          <w:kern w:val="44"/>
          <w:sz w:val="36"/>
          <w:szCs w:val="44"/>
          <w:lang w:val="zh-CN" w:eastAsia="zh-CN" w:bidi="ar-SA"/>
        </w:rPr>
        <w:t>第</w:t>
      </w:r>
      <w:r>
        <w:rPr>
          <w:rFonts w:hint="eastAsia" w:cs="宋体"/>
          <w:b/>
          <w:bCs/>
          <w:snapToGrid/>
          <w:kern w:val="44"/>
          <w:sz w:val="36"/>
          <w:szCs w:val="44"/>
          <w:lang w:val="en-US" w:eastAsia="zh-CN" w:bidi="ar-SA"/>
        </w:rPr>
        <w:t>六</w:t>
      </w:r>
      <w:r>
        <w:rPr>
          <w:rFonts w:hint="eastAsia" w:ascii="宋体" w:hAnsi="宋体" w:eastAsia="宋体" w:cs="宋体"/>
          <w:b/>
          <w:bCs/>
          <w:snapToGrid/>
          <w:kern w:val="44"/>
          <w:sz w:val="36"/>
          <w:szCs w:val="44"/>
          <w:lang w:val="zh-CN" w:eastAsia="zh-CN" w:bidi="ar-SA"/>
        </w:rPr>
        <w:t>章</w:t>
      </w:r>
      <w:r>
        <w:rPr>
          <w:highlight w:val="none"/>
          <w:lang w:val="zh-CN"/>
        </w:rPr>
        <w:t xml:space="preserve"> </w:t>
      </w:r>
      <w:bookmarkEnd w:id="278"/>
      <w:bookmarkEnd w:id="279"/>
      <w:r>
        <w:rPr>
          <w:rFonts w:hint="eastAsia"/>
          <w:highlight w:val="none"/>
          <w:lang w:val="en-US" w:eastAsia="zh-CN"/>
        </w:rPr>
        <w:t xml:space="preserve"> </w:t>
      </w:r>
      <w:r>
        <w:rPr>
          <w:rFonts w:hint="eastAsia"/>
          <w:highlight w:val="none"/>
          <w:lang w:val="zh-CN"/>
        </w:rPr>
        <w:t>评审方法</w:t>
      </w:r>
      <w:bookmarkEnd w:id="286"/>
      <w:bookmarkEnd w:id="287"/>
      <w:bookmarkStart w:id="288" w:name="_Toc196764552"/>
    </w:p>
    <w:p w14:paraId="03FB8287">
      <w:pPr>
        <w:pStyle w:val="4"/>
        <w:bidi w:val="0"/>
        <w:spacing w:line="360" w:lineRule="auto"/>
        <w:jc w:val="center"/>
        <w:rPr>
          <w:rFonts w:hint="eastAsia"/>
          <w:lang w:val="en-US"/>
        </w:rPr>
      </w:pPr>
      <w:r>
        <w:rPr>
          <w:lang w:val="en-US"/>
        </w:rPr>
        <w:t>评审方法前附表</w:t>
      </w:r>
    </w:p>
    <w:tbl>
      <w:tblPr>
        <w:tblStyle w:val="17"/>
        <w:tblpPr w:leftFromText="180" w:rightFromText="180" w:vertAnchor="text" w:horzAnchor="page" w:tblpX="1006" w:tblpY="298"/>
        <w:tblOverlap w:val="never"/>
        <w:tblW w:w="10147" w:type="dxa"/>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38"/>
        <w:gridCol w:w="2056"/>
        <w:gridCol w:w="6495"/>
      </w:tblGrid>
      <w:tr w14:paraId="4111BFF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gridSpan w:val="2"/>
            <w:vAlign w:val="center"/>
          </w:tcPr>
          <w:p w14:paraId="5DC471CD">
            <w:pPr>
              <w:pStyle w:val="22"/>
              <w:bidi w:val="0"/>
              <w:jc w:val="center"/>
              <w:rPr>
                <w:rFonts w:hint="eastAsia"/>
                <w:b/>
                <w:bCs w:val="0"/>
              </w:rPr>
            </w:pPr>
            <w:bookmarkStart w:id="289" w:name="_Toc201047320"/>
            <w:bookmarkStart w:id="290" w:name="_Toc482343782"/>
            <w:r>
              <w:rPr>
                <w:rFonts w:hint="eastAsia"/>
                <w:b/>
                <w:bCs w:val="0"/>
              </w:rPr>
              <w:t>条款号</w:t>
            </w:r>
          </w:p>
        </w:tc>
        <w:tc>
          <w:tcPr>
            <w:tcW w:w="2056" w:type="dxa"/>
            <w:vAlign w:val="center"/>
          </w:tcPr>
          <w:p w14:paraId="02F8D16D">
            <w:pPr>
              <w:pStyle w:val="22"/>
              <w:bidi w:val="0"/>
              <w:jc w:val="center"/>
              <w:rPr>
                <w:rFonts w:hint="eastAsia"/>
                <w:b/>
                <w:bCs w:val="0"/>
              </w:rPr>
            </w:pPr>
            <w:r>
              <w:rPr>
                <w:rFonts w:hint="eastAsia"/>
                <w:b/>
                <w:bCs w:val="0"/>
              </w:rPr>
              <w:t>评审内容</w:t>
            </w:r>
          </w:p>
        </w:tc>
        <w:tc>
          <w:tcPr>
            <w:tcW w:w="6495" w:type="dxa"/>
            <w:vAlign w:val="center"/>
          </w:tcPr>
          <w:p w14:paraId="532288B8">
            <w:pPr>
              <w:pStyle w:val="22"/>
              <w:bidi w:val="0"/>
              <w:jc w:val="center"/>
              <w:rPr>
                <w:rFonts w:hint="eastAsia"/>
                <w:b/>
                <w:bCs w:val="0"/>
              </w:rPr>
            </w:pPr>
            <w:r>
              <w:rPr>
                <w:rFonts w:hint="eastAsia"/>
                <w:b/>
                <w:bCs w:val="0"/>
              </w:rPr>
              <w:t>评审标准</w:t>
            </w:r>
          </w:p>
        </w:tc>
      </w:tr>
      <w:tr w14:paraId="05F35B9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Align w:val="center"/>
          </w:tcPr>
          <w:p w14:paraId="75B2A6A2">
            <w:pPr>
              <w:pStyle w:val="22"/>
              <w:bidi w:val="0"/>
              <w:jc w:val="center"/>
              <w:rPr>
                <w:rFonts w:hint="eastAsia"/>
              </w:rPr>
            </w:pPr>
            <w:r>
              <w:rPr>
                <w:rFonts w:hint="eastAsia"/>
              </w:rPr>
              <w:t>2.1</w:t>
            </w:r>
          </w:p>
        </w:tc>
        <w:tc>
          <w:tcPr>
            <w:tcW w:w="1038" w:type="dxa"/>
            <w:vAlign w:val="center"/>
          </w:tcPr>
          <w:p w14:paraId="377FF4B0">
            <w:pPr>
              <w:pStyle w:val="22"/>
              <w:bidi w:val="0"/>
              <w:jc w:val="center"/>
              <w:rPr>
                <w:rFonts w:hint="eastAsia"/>
              </w:rPr>
            </w:pPr>
            <w:r>
              <w:rPr>
                <w:rFonts w:hint="eastAsia"/>
              </w:rPr>
              <w:t>资格评审标准</w:t>
            </w:r>
          </w:p>
        </w:tc>
        <w:tc>
          <w:tcPr>
            <w:tcW w:w="2056" w:type="dxa"/>
            <w:vAlign w:val="center"/>
          </w:tcPr>
          <w:p w14:paraId="7773A395">
            <w:pPr>
              <w:pStyle w:val="22"/>
              <w:bidi w:val="0"/>
              <w:jc w:val="center"/>
              <w:rPr>
                <w:rFonts w:hint="eastAsia"/>
              </w:rPr>
            </w:pPr>
            <w:r>
              <w:rPr>
                <w:rFonts w:hint="eastAsia"/>
              </w:rPr>
              <w:t>资格条件</w:t>
            </w:r>
          </w:p>
        </w:tc>
        <w:tc>
          <w:tcPr>
            <w:tcW w:w="6495" w:type="dxa"/>
            <w:vAlign w:val="center"/>
          </w:tcPr>
          <w:p w14:paraId="3DDFD8B7">
            <w:pPr>
              <w:pStyle w:val="22"/>
              <w:bidi w:val="0"/>
              <w:rPr>
                <w:rFonts w:hint="eastAsia"/>
              </w:rPr>
            </w:pPr>
            <w:r>
              <w:rPr>
                <w:rFonts w:hint="eastAsia"/>
              </w:rPr>
              <w:t>符合第二章“供应商须知”第</w:t>
            </w:r>
            <w:r>
              <w:t>4</w:t>
            </w:r>
            <w:r>
              <w:rPr>
                <w:rFonts w:hint="eastAsia"/>
              </w:rPr>
              <w:t>.1项规定</w:t>
            </w:r>
          </w:p>
        </w:tc>
      </w:tr>
      <w:tr w14:paraId="740C01A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58" w:type="dxa"/>
            <w:vMerge w:val="restart"/>
            <w:vAlign w:val="center"/>
          </w:tcPr>
          <w:p w14:paraId="014BF028">
            <w:pPr>
              <w:pStyle w:val="22"/>
              <w:bidi w:val="0"/>
              <w:jc w:val="center"/>
              <w:rPr>
                <w:rFonts w:hint="eastAsia"/>
              </w:rPr>
            </w:pPr>
            <w:r>
              <w:rPr>
                <w:rFonts w:hint="eastAsia"/>
              </w:rPr>
              <w:t>2.2</w:t>
            </w:r>
          </w:p>
        </w:tc>
        <w:tc>
          <w:tcPr>
            <w:tcW w:w="1038" w:type="dxa"/>
            <w:vMerge w:val="restart"/>
            <w:vAlign w:val="center"/>
          </w:tcPr>
          <w:p w14:paraId="40D44302">
            <w:pPr>
              <w:pStyle w:val="22"/>
              <w:bidi w:val="0"/>
              <w:jc w:val="center"/>
              <w:rPr>
                <w:rFonts w:hint="eastAsia"/>
              </w:rPr>
            </w:pPr>
            <w:r>
              <w:rPr>
                <w:rFonts w:hint="eastAsia"/>
              </w:rPr>
              <w:t>符合性评审标准</w:t>
            </w:r>
          </w:p>
        </w:tc>
        <w:tc>
          <w:tcPr>
            <w:tcW w:w="2056" w:type="dxa"/>
            <w:vAlign w:val="center"/>
          </w:tcPr>
          <w:p w14:paraId="4FB01D39">
            <w:pPr>
              <w:pStyle w:val="22"/>
              <w:bidi w:val="0"/>
              <w:jc w:val="center"/>
              <w:rPr>
                <w:rFonts w:hint="default" w:eastAsia="宋体"/>
                <w:lang w:val="en-US" w:eastAsia="zh-CN"/>
              </w:rPr>
            </w:pPr>
            <w:r>
              <w:rPr>
                <w:rFonts w:hint="eastAsia"/>
                <w:lang w:val="en-US" w:eastAsia="zh-CN"/>
              </w:rPr>
              <w:t>磋商保证金</w:t>
            </w:r>
          </w:p>
        </w:tc>
        <w:tc>
          <w:tcPr>
            <w:tcW w:w="6495" w:type="dxa"/>
            <w:vAlign w:val="center"/>
          </w:tcPr>
          <w:p w14:paraId="0739CC63">
            <w:pPr>
              <w:pStyle w:val="22"/>
              <w:bidi w:val="0"/>
              <w:rPr>
                <w:rFonts w:hint="eastAsia"/>
              </w:rPr>
            </w:pPr>
            <w:r>
              <w:rPr>
                <w:rFonts w:hint="eastAsia"/>
              </w:rPr>
              <w:t>符合第二章“供应商须知”第1</w:t>
            </w:r>
            <w:r>
              <w:rPr>
                <w:rFonts w:hint="eastAsia"/>
                <w:lang w:val="en-US" w:eastAsia="zh-CN"/>
              </w:rPr>
              <w:t>8</w:t>
            </w:r>
            <w:r>
              <w:rPr>
                <w:rFonts w:hint="eastAsia"/>
              </w:rPr>
              <w:t>.1项规定</w:t>
            </w:r>
          </w:p>
        </w:tc>
      </w:tr>
      <w:tr w14:paraId="0FAE4B8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8" w:type="dxa"/>
            <w:vMerge w:val="continue"/>
            <w:vAlign w:val="center"/>
          </w:tcPr>
          <w:p w14:paraId="2A3C5746">
            <w:pPr>
              <w:pStyle w:val="22"/>
              <w:bidi w:val="0"/>
              <w:jc w:val="center"/>
              <w:outlineLvl w:val="9"/>
              <w:rPr>
                <w:rFonts w:hint="eastAsia"/>
              </w:rPr>
            </w:pPr>
          </w:p>
        </w:tc>
        <w:tc>
          <w:tcPr>
            <w:tcW w:w="1038" w:type="dxa"/>
            <w:vMerge w:val="continue"/>
            <w:vAlign w:val="center"/>
          </w:tcPr>
          <w:p w14:paraId="5078B223">
            <w:pPr>
              <w:pStyle w:val="22"/>
              <w:bidi w:val="0"/>
              <w:jc w:val="center"/>
              <w:outlineLvl w:val="9"/>
              <w:rPr>
                <w:rFonts w:hint="eastAsia"/>
              </w:rPr>
            </w:pPr>
          </w:p>
        </w:tc>
        <w:tc>
          <w:tcPr>
            <w:tcW w:w="2056" w:type="dxa"/>
            <w:vAlign w:val="center"/>
          </w:tcPr>
          <w:p w14:paraId="2C8C3526">
            <w:pPr>
              <w:pStyle w:val="22"/>
              <w:bidi w:val="0"/>
              <w:jc w:val="center"/>
              <w:rPr>
                <w:rFonts w:hint="eastAsia"/>
              </w:rPr>
            </w:pPr>
            <w:r>
              <w:rPr>
                <w:rFonts w:hint="eastAsia"/>
              </w:rPr>
              <w:t>响应文件的签署</w:t>
            </w:r>
          </w:p>
        </w:tc>
        <w:tc>
          <w:tcPr>
            <w:tcW w:w="6495" w:type="dxa"/>
            <w:vAlign w:val="center"/>
          </w:tcPr>
          <w:p w14:paraId="42D55B11">
            <w:pPr>
              <w:pStyle w:val="22"/>
              <w:bidi w:val="0"/>
              <w:rPr>
                <w:rFonts w:hint="eastAsia"/>
              </w:rPr>
            </w:pPr>
            <w:r>
              <w:rPr>
                <w:rFonts w:hint="eastAsia"/>
              </w:rPr>
              <w:t>符合第二章“供应商须知前附表”第</w:t>
            </w:r>
            <w:r>
              <w:t>19.2</w:t>
            </w:r>
            <w:r>
              <w:rPr>
                <w:rFonts w:hint="eastAsia"/>
              </w:rPr>
              <w:t>项规定</w:t>
            </w:r>
          </w:p>
        </w:tc>
      </w:tr>
      <w:tr w14:paraId="78C1890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42543287">
            <w:pPr>
              <w:pStyle w:val="22"/>
              <w:bidi w:val="0"/>
              <w:jc w:val="center"/>
              <w:outlineLvl w:val="9"/>
              <w:rPr>
                <w:rFonts w:hint="eastAsia"/>
              </w:rPr>
            </w:pPr>
          </w:p>
        </w:tc>
        <w:tc>
          <w:tcPr>
            <w:tcW w:w="1038" w:type="dxa"/>
            <w:vMerge w:val="continue"/>
            <w:vAlign w:val="center"/>
          </w:tcPr>
          <w:p w14:paraId="780CF673">
            <w:pPr>
              <w:pStyle w:val="22"/>
              <w:bidi w:val="0"/>
              <w:jc w:val="center"/>
              <w:outlineLvl w:val="9"/>
              <w:rPr>
                <w:rFonts w:hint="eastAsia"/>
              </w:rPr>
            </w:pPr>
          </w:p>
        </w:tc>
        <w:tc>
          <w:tcPr>
            <w:tcW w:w="2056" w:type="dxa"/>
            <w:vAlign w:val="center"/>
          </w:tcPr>
          <w:p w14:paraId="7C24E6D2">
            <w:pPr>
              <w:pStyle w:val="22"/>
              <w:bidi w:val="0"/>
              <w:jc w:val="center"/>
              <w:rPr>
                <w:rFonts w:hint="eastAsia"/>
              </w:rPr>
            </w:pPr>
            <w:r>
              <w:rPr>
                <w:rFonts w:hint="eastAsia"/>
              </w:rPr>
              <w:t>响应文件的格式</w:t>
            </w:r>
          </w:p>
        </w:tc>
        <w:tc>
          <w:tcPr>
            <w:tcW w:w="6495" w:type="dxa"/>
            <w:vAlign w:val="center"/>
          </w:tcPr>
          <w:p w14:paraId="0F4612B2">
            <w:pPr>
              <w:pStyle w:val="22"/>
              <w:bidi w:val="0"/>
              <w:rPr>
                <w:rFonts w:hint="eastAsia"/>
              </w:rPr>
            </w:pPr>
            <w:r>
              <w:rPr>
                <w:rFonts w:hint="eastAsia"/>
              </w:rPr>
              <w:t>符合第四章“响应文件格式”的要求</w:t>
            </w:r>
          </w:p>
        </w:tc>
      </w:tr>
      <w:tr w14:paraId="029EFBF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44D6E573">
            <w:pPr>
              <w:pStyle w:val="22"/>
              <w:bidi w:val="0"/>
              <w:jc w:val="center"/>
              <w:outlineLvl w:val="9"/>
              <w:rPr>
                <w:rFonts w:hint="eastAsia"/>
              </w:rPr>
            </w:pPr>
          </w:p>
        </w:tc>
        <w:tc>
          <w:tcPr>
            <w:tcW w:w="1038" w:type="dxa"/>
            <w:vMerge w:val="continue"/>
            <w:vAlign w:val="center"/>
          </w:tcPr>
          <w:p w14:paraId="1B5027CF">
            <w:pPr>
              <w:pStyle w:val="22"/>
              <w:bidi w:val="0"/>
              <w:jc w:val="center"/>
              <w:outlineLvl w:val="9"/>
              <w:rPr>
                <w:rFonts w:hint="eastAsia"/>
              </w:rPr>
            </w:pPr>
          </w:p>
        </w:tc>
        <w:tc>
          <w:tcPr>
            <w:tcW w:w="2056" w:type="dxa"/>
            <w:vAlign w:val="center"/>
          </w:tcPr>
          <w:p w14:paraId="40D5E678">
            <w:pPr>
              <w:pStyle w:val="22"/>
              <w:bidi w:val="0"/>
              <w:jc w:val="center"/>
              <w:rPr>
                <w:rFonts w:hint="eastAsia" w:eastAsia="宋体"/>
                <w:lang w:val="en-US" w:eastAsia="zh-CN"/>
              </w:rPr>
            </w:pPr>
            <w:r>
              <w:t>法定代表人身份证明书</w:t>
            </w:r>
            <w:r>
              <w:rPr>
                <w:rFonts w:hint="eastAsia"/>
                <w:lang w:val="en-US" w:eastAsia="zh-CN"/>
              </w:rPr>
              <w:t>及</w:t>
            </w:r>
            <w:r>
              <w:rPr>
                <w:rFonts w:hint="eastAsia"/>
              </w:rPr>
              <w:t>授权委托书</w:t>
            </w:r>
          </w:p>
        </w:tc>
        <w:tc>
          <w:tcPr>
            <w:tcW w:w="6495" w:type="dxa"/>
            <w:vAlign w:val="center"/>
          </w:tcPr>
          <w:p w14:paraId="0D5488F1">
            <w:pPr>
              <w:pStyle w:val="22"/>
              <w:bidi w:val="0"/>
              <w:rPr>
                <w:rFonts w:hint="default" w:eastAsia="宋体"/>
                <w:lang w:val="en-US" w:eastAsia="zh-CN"/>
              </w:rPr>
            </w:pPr>
            <w:r>
              <w:rPr>
                <w:rFonts w:hint="eastAsia"/>
              </w:rPr>
              <w:t>按竞争性磋商文件规定格式填写</w:t>
            </w:r>
            <w:r>
              <w:rPr>
                <w:rFonts w:hint="eastAsia"/>
                <w:lang w:eastAsia="zh-CN"/>
              </w:rPr>
              <w:t>、</w:t>
            </w:r>
            <w:r>
              <w:rPr>
                <w:rFonts w:hint="eastAsia"/>
                <w:lang w:val="en-US" w:eastAsia="zh-CN"/>
              </w:rPr>
              <w:t>签字及盖章</w:t>
            </w:r>
          </w:p>
        </w:tc>
      </w:tr>
      <w:tr w14:paraId="718D122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58" w:type="dxa"/>
            <w:vMerge w:val="continue"/>
            <w:vAlign w:val="center"/>
          </w:tcPr>
          <w:p w14:paraId="7CCB0092">
            <w:pPr>
              <w:pStyle w:val="22"/>
              <w:bidi w:val="0"/>
              <w:jc w:val="center"/>
              <w:outlineLvl w:val="9"/>
              <w:rPr>
                <w:rFonts w:hint="eastAsia"/>
              </w:rPr>
            </w:pPr>
          </w:p>
        </w:tc>
        <w:tc>
          <w:tcPr>
            <w:tcW w:w="1038" w:type="dxa"/>
            <w:vMerge w:val="continue"/>
            <w:vAlign w:val="center"/>
          </w:tcPr>
          <w:p w14:paraId="7F354A67">
            <w:pPr>
              <w:pStyle w:val="22"/>
              <w:bidi w:val="0"/>
              <w:jc w:val="center"/>
              <w:outlineLvl w:val="9"/>
              <w:rPr>
                <w:rFonts w:hint="eastAsia"/>
              </w:rPr>
            </w:pPr>
          </w:p>
        </w:tc>
        <w:tc>
          <w:tcPr>
            <w:tcW w:w="2056" w:type="dxa"/>
            <w:vAlign w:val="center"/>
          </w:tcPr>
          <w:p w14:paraId="7C2251BD">
            <w:pPr>
              <w:pStyle w:val="22"/>
              <w:bidi w:val="0"/>
              <w:jc w:val="center"/>
              <w:rPr>
                <w:rFonts w:hint="eastAsia"/>
              </w:rPr>
            </w:pPr>
            <w:r>
              <w:rPr>
                <w:rFonts w:hint="eastAsia"/>
                <w:lang w:val="en-US" w:eastAsia="zh-CN"/>
              </w:rPr>
              <w:t>合同履行期限</w:t>
            </w:r>
          </w:p>
        </w:tc>
        <w:tc>
          <w:tcPr>
            <w:tcW w:w="6495" w:type="dxa"/>
            <w:vAlign w:val="center"/>
          </w:tcPr>
          <w:p w14:paraId="33EDE523">
            <w:pPr>
              <w:pStyle w:val="22"/>
              <w:bidi w:val="0"/>
              <w:rPr>
                <w:rFonts w:hint="eastAsia"/>
              </w:rPr>
            </w:pPr>
            <w:r>
              <w:rPr>
                <w:rFonts w:hint="eastAsia"/>
              </w:rPr>
              <w:t>符合第二章“供应商须知前附表”第</w:t>
            </w:r>
            <w:r>
              <w:t>3.3</w:t>
            </w:r>
            <w:r>
              <w:rPr>
                <w:rFonts w:hint="eastAsia"/>
              </w:rPr>
              <w:t>项规定</w:t>
            </w:r>
          </w:p>
        </w:tc>
      </w:tr>
      <w:tr w14:paraId="495A336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1F0BFD9C">
            <w:pPr>
              <w:pStyle w:val="22"/>
              <w:bidi w:val="0"/>
              <w:jc w:val="center"/>
              <w:outlineLvl w:val="9"/>
              <w:rPr>
                <w:rFonts w:hint="eastAsia"/>
              </w:rPr>
            </w:pPr>
          </w:p>
        </w:tc>
        <w:tc>
          <w:tcPr>
            <w:tcW w:w="1038" w:type="dxa"/>
            <w:vMerge w:val="continue"/>
            <w:vAlign w:val="center"/>
          </w:tcPr>
          <w:p w14:paraId="1A32D8D3">
            <w:pPr>
              <w:pStyle w:val="22"/>
              <w:bidi w:val="0"/>
              <w:jc w:val="center"/>
              <w:outlineLvl w:val="9"/>
              <w:rPr>
                <w:rFonts w:hint="eastAsia"/>
              </w:rPr>
            </w:pPr>
          </w:p>
        </w:tc>
        <w:tc>
          <w:tcPr>
            <w:tcW w:w="2056" w:type="dxa"/>
            <w:vAlign w:val="center"/>
          </w:tcPr>
          <w:p w14:paraId="260392FB">
            <w:pPr>
              <w:pStyle w:val="22"/>
              <w:bidi w:val="0"/>
              <w:jc w:val="center"/>
              <w:rPr>
                <w:rFonts w:hint="default" w:eastAsia="宋体"/>
                <w:lang w:val="en-US" w:eastAsia="zh-CN"/>
              </w:rPr>
            </w:pPr>
            <w:r>
              <w:rPr>
                <w:rFonts w:hint="eastAsia"/>
              </w:rPr>
              <w:t>质量标准</w:t>
            </w:r>
          </w:p>
        </w:tc>
        <w:tc>
          <w:tcPr>
            <w:tcW w:w="6495" w:type="dxa"/>
            <w:vAlign w:val="center"/>
          </w:tcPr>
          <w:p w14:paraId="38E25EE5">
            <w:pPr>
              <w:pStyle w:val="22"/>
              <w:bidi w:val="0"/>
              <w:rPr>
                <w:rFonts w:hint="eastAsia"/>
              </w:rPr>
            </w:pPr>
            <w:r>
              <w:rPr>
                <w:rFonts w:hint="eastAsia"/>
              </w:rPr>
              <w:t>符合第二章“供应商须知前附表”第</w:t>
            </w:r>
            <w:r>
              <w:t>3.4</w:t>
            </w:r>
            <w:r>
              <w:rPr>
                <w:rFonts w:hint="eastAsia"/>
              </w:rPr>
              <w:t>项规定</w:t>
            </w:r>
          </w:p>
        </w:tc>
      </w:tr>
      <w:tr w14:paraId="143D0DC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58" w:type="dxa"/>
            <w:vMerge w:val="continue"/>
            <w:vAlign w:val="center"/>
          </w:tcPr>
          <w:p w14:paraId="3AF53006">
            <w:pPr>
              <w:pStyle w:val="22"/>
              <w:bidi w:val="0"/>
              <w:jc w:val="center"/>
              <w:outlineLvl w:val="9"/>
              <w:rPr>
                <w:rFonts w:hint="eastAsia"/>
              </w:rPr>
            </w:pPr>
          </w:p>
        </w:tc>
        <w:tc>
          <w:tcPr>
            <w:tcW w:w="1038" w:type="dxa"/>
            <w:vMerge w:val="continue"/>
            <w:vAlign w:val="center"/>
          </w:tcPr>
          <w:p w14:paraId="54667405">
            <w:pPr>
              <w:pStyle w:val="22"/>
              <w:bidi w:val="0"/>
              <w:jc w:val="center"/>
              <w:outlineLvl w:val="9"/>
              <w:rPr>
                <w:rFonts w:hint="eastAsia"/>
              </w:rPr>
            </w:pPr>
          </w:p>
        </w:tc>
        <w:tc>
          <w:tcPr>
            <w:tcW w:w="2056" w:type="dxa"/>
            <w:vAlign w:val="center"/>
          </w:tcPr>
          <w:p w14:paraId="70BB470C">
            <w:pPr>
              <w:pStyle w:val="22"/>
              <w:bidi w:val="0"/>
              <w:jc w:val="center"/>
            </w:pPr>
            <w:r>
              <w:rPr>
                <w:rFonts w:hint="eastAsia"/>
              </w:rPr>
              <w:t>磋商报价</w:t>
            </w:r>
          </w:p>
        </w:tc>
        <w:tc>
          <w:tcPr>
            <w:tcW w:w="6495" w:type="dxa"/>
            <w:vAlign w:val="center"/>
          </w:tcPr>
          <w:p w14:paraId="3F92BD25">
            <w:pPr>
              <w:pStyle w:val="22"/>
              <w:bidi w:val="0"/>
              <w:rPr>
                <w:rFonts w:hint="eastAsia" w:eastAsia="宋体"/>
                <w:lang w:eastAsia="zh-CN"/>
              </w:rPr>
            </w:pPr>
            <w:r>
              <w:rPr>
                <w:rFonts w:hint="eastAsia"/>
              </w:rPr>
              <w:t>首次报价及最后报价均未超过最高限价</w:t>
            </w:r>
          </w:p>
        </w:tc>
      </w:tr>
      <w:tr w14:paraId="30B4E3E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558" w:type="dxa"/>
            <w:vMerge w:val="restart"/>
            <w:vAlign w:val="center"/>
          </w:tcPr>
          <w:p w14:paraId="2117E095">
            <w:pPr>
              <w:pStyle w:val="22"/>
              <w:bidi w:val="0"/>
              <w:jc w:val="center"/>
              <w:rPr>
                <w:rFonts w:hint="eastAsia"/>
              </w:rPr>
            </w:pPr>
            <w:r>
              <w:rPr>
                <w:rFonts w:hint="eastAsia"/>
              </w:rPr>
              <w:t>2.3</w:t>
            </w:r>
          </w:p>
        </w:tc>
        <w:tc>
          <w:tcPr>
            <w:tcW w:w="1038" w:type="dxa"/>
            <w:vMerge w:val="restart"/>
            <w:vAlign w:val="center"/>
          </w:tcPr>
          <w:p w14:paraId="637528A0">
            <w:pPr>
              <w:pStyle w:val="22"/>
              <w:bidi w:val="0"/>
              <w:jc w:val="center"/>
              <w:rPr>
                <w:rFonts w:hint="eastAsia"/>
              </w:rPr>
            </w:pPr>
            <w:r>
              <w:rPr>
                <w:rFonts w:hint="eastAsia"/>
              </w:rPr>
              <w:t>详细评审标准</w:t>
            </w:r>
          </w:p>
        </w:tc>
        <w:tc>
          <w:tcPr>
            <w:tcW w:w="2056" w:type="dxa"/>
            <w:vAlign w:val="center"/>
          </w:tcPr>
          <w:p w14:paraId="768DE8AA">
            <w:pPr>
              <w:pStyle w:val="22"/>
              <w:bidi w:val="0"/>
              <w:jc w:val="center"/>
              <w:rPr>
                <w:rFonts w:hint="eastAsia"/>
              </w:rPr>
            </w:pPr>
            <w:r>
              <w:rPr>
                <w:rFonts w:hint="eastAsia"/>
              </w:rPr>
              <w:t>评审得分计算公式</w:t>
            </w:r>
          </w:p>
        </w:tc>
        <w:tc>
          <w:tcPr>
            <w:tcW w:w="6495" w:type="dxa"/>
            <w:vAlign w:val="center"/>
          </w:tcPr>
          <w:p w14:paraId="0D838275">
            <w:pPr>
              <w:pStyle w:val="22"/>
              <w:bidi w:val="0"/>
              <w:rPr>
                <w:rFonts w:hint="eastAsia"/>
              </w:rPr>
            </w:pPr>
            <w:r>
              <w:rPr>
                <w:rFonts w:hint="eastAsia"/>
              </w:rPr>
              <w:t>供应商</w:t>
            </w:r>
            <w:r>
              <w:t>的</w:t>
            </w:r>
            <w:r>
              <w:rPr>
                <w:rFonts w:hint="eastAsia"/>
              </w:rPr>
              <w:t>评审得分满分100分，</w:t>
            </w:r>
          </w:p>
          <w:p w14:paraId="275846CB">
            <w:pPr>
              <w:pStyle w:val="22"/>
              <w:bidi w:val="0"/>
              <w:rPr>
                <w:rFonts w:hint="default" w:eastAsia="宋体"/>
                <w:lang w:val="en-US" w:eastAsia="zh-CN"/>
              </w:rPr>
            </w:pPr>
            <w:r>
              <w:rPr>
                <w:rFonts w:hint="eastAsia"/>
              </w:rPr>
              <w:t>供应商</w:t>
            </w:r>
            <w:r>
              <w:t>的</w:t>
            </w:r>
            <w:r>
              <w:rPr>
                <w:rFonts w:hint="eastAsia"/>
              </w:rPr>
              <w:t>评审得分</w:t>
            </w:r>
            <w:r>
              <w:t>＝</w:t>
            </w:r>
            <w:r>
              <w:rPr>
                <w:rFonts w:hint="eastAsia"/>
              </w:rPr>
              <w:t>F1</w:t>
            </w:r>
            <w:r>
              <w:t>+</w:t>
            </w:r>
            <w:r>
              <w:rPr>
                <w:rFonts w:hint="eastAsia"/>
              </w:rPr>
              <w:t>F2</w:t>
            </w:r>
            <w:r>
              <w:rPr>
                <w:rFonts w:hint="eastAsia"/>
                <w:lang w:val="en-US" w:eastAsia="zh-CN"/>
              </w:rPr>
              <w:t>+F3</w:t>
            </w:r>
          </w:p>
          <w:p w14:paraId="515BD196">
            <w:pPr>
              <w:pStyle w:val="22"/>
              <w:bidi w:val="0"/>
              <w:rPr>
                <w:rFonts w:hint="eastAsia"/>
              </w:rPr>
            </w:pPr>
            <w:r>
              <w:t>其中：F1、F2</w:t>
            </w:r>
            <w:r>
              <w:rPr>
                <w:rFonts w:hint="eastAsia"/>
                <w:lang w:eastAsia="zh-CN"/>
              </w:rPr>
              <w:t>、</w:t>
            </w:r>
            <w:r>
              <w:rPr>
                <w:rFonts w:hint="eastAsia"/>
                <w:lang w:val="en-US" w:eastAsia="zh-CN"/>
              </w:rPr>
              <w:t>F3</w:t>
            </w:r>
            <w:r>
              <w:t>分别为</w:t>
            </w:r>
            <w:r>
              <w:rPr>
                <w:rFonts w:hint="eastAsia"/>
                <w:lang w:val="en-US" w:eastAsia="zh-CN"/>
              </w:rPr>
              <w:t>磋商报价</w:t>
            </w:r>
            <w:r>
              <w:rPr>
                <w:rFonts w:hint="eastAsia"/>
              </w:rPr>
              <w:t>评分</w:t>
            </w:r>
            <w:r>
              <w:t>、技术部分</w:t>
            </w:r>
            <w:r>
              <w:rPr>
                <w:rFonts w:hint="eastAsia"/>
              </w:rPr>
              <w:t>评分</w:t>
            </w:r>
            <w:r>
              <w:rPr>
                <w:rFonts w:hint="eastAsia"/>
                <w:lang w:eastAsia="zh-CN"/>
              </w:rPr>
              <w:t>、</w:t>
            </w:r>
            <w:r>
              <w:rPr>
                <w:rFonts w:hint="eastAsia"/>
                <w:lang w:val="en-US" w:eastAsia="zh-CN"/>
              </w:rPr>
              <w:t>商务</w:t>
            </w:r>
            <w:r>
              <w:rPr>
                <w:rFonts w:hint="eastAsia"/>
              </w:rPr>
              <w:t>部分</w:t>
            </w:r>
            <w:r>
              <w:rPr>
                <w:rFonts w:hint="eastAsia"/>
                <w:lang w:val="en-US" w:eastAsia="zh-CN"/>
              </w:rPr>
              <w:t>评分3</w:t>
            </w:r>
            <w:r>
              <w:t>项评</w:t>
            </w:r>
            <w:r>
              <w:rPr>
                <w:rFonts w:hint="eastAsia"/>
              </w:rPr>
              <w:t>审</w:t>
            </w:r>
            <w:r>
              <w:t>因素的汇总得分</w:t>
            </w:r>
            <w:r>
              <w:rPr>
                <w:rFonts w:hint="eastAsia"/>
              </w:rPr>
              <w:t>。</w:t>
            </w:r>
          </w:p>
        </w:tc>
      </w:tr>
      <w:tr w14:paraId="32057C7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58" w:type="dxa"/>
            <w:vMerge w:val="continue"/>
            <w:vAlign w:val="center"/>
          </w:tcPr>
          <w:p w14:paraId="000A7162">
            <w:pPr>
              <w:pStyle w:val="22"/>
              <w:bidi w:val="0"/>
              <w:jc w:val="center"/>
              <w:outlineLvl w:val="9"/>
              <w:rPr>
                <w:rFonts w:hint="eastAsia"/>
              </w:rPr>
            </w:pPr>
          </w:p>
        </w:tc>
        <w:tc>
          <w:tcPr>
            <w:tcW w:w="1038" w:type="dxa"/>
            <w:vMerge w:val="continue"/>
            <w:vAlign w:val="center"/>
          </w:tcPr>
          <w:p w14:paraId="049D03BD">
            <w:pPr>
              <w:pStyle w:val="22"/>
              <w:bidi w:val="0"/>
              <w:jc w:val="center"/>
              <w:outlineLvl w:val="9"/>
              <w:rPr>
                <w:rFonts w:hint="eastAsia"/>
              </w:rPr>
            </w:pPr>
          </w:p>
        </w:tc>
        <w:tc>
          <w:tcPr>
            <w:tcW w:w="2056" w:type="dxa"/>
            <w:vAlign w:val="center"/>
          </w:tcPr>
          <w:p w14:paraId="6311CF75">
            <w:pPr>
              <w:pStyle w:val="22"/>
              <w:bidi w:val="0"/>
              <w:jc w:val="center"/>
              <w:rPr>
                <w:rFonts w:hint="eastAsia"/>
              </w:rPr>
            </w:pPr>
            <w:r>
              <w:rPr>
                <w:rFonts w:hint="eastAsia"/>
              </w:rPr>
              <w:t>评审因素权重</w:t>
            </w:r>
          </w:p>
        </w:tc>
        <w:tc>
          <w:tcPr>
            <w:tcW w:w="6495" w:type="dxa"/>
            <w:vAlign w:val="center"/>
          </w:tcPr>
          <w:p w14:paraId="7572CBA0">
            <w:pPr>
              <w:pStyle w:val="22"/>
              <w:bidi w:val="0"/>
              <w:rPr>
                <w:rFonts w:hint="eastAsia"/>
                <w:highlight w:val="none"/>
              </w:rPr>
            </w:pPr>
            <w:r>
              <w:rPr>
                <w:rFonts w:hint="eastAsia"/>
                <w:lang w:val="en-US" w:eastAsia="zh-CN"/>
              </w:rPr>
              <w:t>磋商报价</w:t>
            </w:r>
            <w:r>
              <w:rPr>
                <w:rFonts w:hint="eastAsia"/>
                <w:highlight w:val="none"/>
              </w:rPr>
              <w:t>评分</w:t>
            </w:r>
            <w:r>
              <w:rPr>
                <w:highlight w:val="none"/>
              </w:rPr>
              <w:t>F1</w:t>
            </w:r>
            <w:r>
              <w:rPr>
                <w:rFonts w:hint="eastAsia"/>
                <w:highlight w:val="none"/>
              </w:rPr>
              <w:t>满分</w:t>
            </w:r>
            <w:r>
              <w:rPr>
                <w:rFonts w:hint="eastAsia"/>
                <w:highlight w:val="none"/>
                <w:lang w:val="en-US" w:eastAsia="zh-CN"/>
              </w:rPr>
              <w:t>15</w:t>
            </w:r>
            <w:r>
              <w:rPr>
                <w:highlight w:val="none"/>
              </w:rPr>
              <w:t>分</w:t>
            </w:r>
            <w:r>
              <w:rPr>
                <w:rFonts w:hint="eastAsia"/>
                <w:highlight w:val="none"/>
              </w:rPr>
              <w:t>；</w:t>
            </w:r>
          </w:p>
          <w:p w14:paraId="0B03ED46">
            <w:pPr>
              <w:pStyle w:val="22"/>
              <w:bidi w:val="0"/>
              <w:rPr>
                <w:rFonts w:hint="eastAsia"/>
                <w:highlight w:val="none"/>
              </w:rPr>
            </w:pPr>
            <w:r>
              <w:rPr>
                <w:highlight w:val="none"/>
              </w:rPr>
              <w:t>技术部分</w:t>
            </w:r>
            <w:r>
              <w:rPr>
                <w:rFonts w:hint="eastAsia"/>
                <w:highlight w:val="none"/>
              </w:rPr>
              <w:t>评分</w:t>
            </w:r>
            <w:r>
              <w:rPr>
                <w:highlight w:val="none"/>
              </w:rPr>
              <w:t>F</w:t>
            </w:r>
            <w:r>
              <w:rPr>
                <w:rFonts w:hint="eastAsia"/>
                <w:highlight w:val="none"/>
              </w:rPr>
              <w:t>2满分</w:t>
            </w:r>
            <w:r>
              <w:rPr>
                <w:rFonts w:hint="eastAsia"/>
                <w:highlight w:val="none"/>
                <w:lang w:val="en-US" w:eastAsia="zh-CN"/>
              </w:rPr>
              <w:t>65</w:t>
            </w:r>
            <w:r>
              <w:rPr>
                <w:highlight w:val="none"/>
              </w:rPr>
              <w:t>分</w:t>
            </w:r>
            <w:r>
              <w:rPr>
                <w:rFonts w:hint="eastAsia"/>
                <w:highlight w:val="none"/>
              </w:rPr>
              <w:t>；</w:t>
            </w:r>
          </w:p>
          <w:p w14:paraId="444B20DA">
            <w:pPr>
              <w:pStyle w:val="22"/>
              <w:bidi w:val="0"/>
              <w:rPr>
                <w:rFonts w:hint="eastAsia" w:eastAsia="宋体"/>
                <w:lang w:eastAsia="zh-CN"/>
              </w:rPr>
            </w:pPr>
            <w:r>
              <w:rPr>
                <w:rFonts w:hint="eastAsia"/>
                <w:highlight w:val="none"/>
                <w:lang w:val="en-US" w:eastAsia="zh-CN"/>
              </w:rPr>
              <w:t>商务</w:t>
            </w:r>
            <w:r>
              <w:rPr>
                <w:rFonts w:hint="eastAsia"/>
                <w:highlight w:val="none"/>
              </w:rPr>
              <w:t>部分</w:t>
            </w:r>
            <w:r>
              <w:rPr>
                <w:rFonts w:hint="eastAsia"/>
                <w:highlight w:val="none"/>
                <w:lang w:val="en-US" w:eastAsia="zh-CN"/>
              </w:rPr>
              <w:t>评分</w:t>
            </w:r>
            <w:r>
              <w:rPr>
                <w:rFonts w:hint="eastAsia"/>
                <w:highlight w:val="none"/>
              </w:rPr>
              <w:t>F3满分</w:t>
            </w:r>
            <w:r>
              <w:rPr>
                <w:rFonts w:hint="eastAsia"/>
                <w:highlight w:val="none"/>
                <w:lang w:val="en-US" w:eastAsia="zh-CN"/>
              </w:rPr>
              <w:t>20</w:t>
            </w:r>
            <w:r>
              <w:rPr>
                <w:rFonts w:hint="eastAsia"/>
                <w:highlight w:val="none"/>
              </w:rPr>
              <w:t>分</w:t>
            </w:r>
            <w:r>
              <w:rPr>
                <w:rFonts w:hint="eastAsia"/>
                <w:highlight w:val="none"/>
                <w:lang w:eastAsia="zh-CN"/>
              </w:rPr>
              <w:t>。</w:t>
            </w:r>
          </w:p>
        </w:tc>
      </w:tr>
      <w:tr w14:paraId="4C05D21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58" w:type="dxa"/>
            <w:vMerge w:val="continue"/>
            <w:vAlign w:val="center"/>
          </w:tcPr>
          <w:p w14:paraId="14711D72">
            <w:pPr>
              <w:pStyle w:val="22"/>
              <w:bidi w:val="0"/>
              <w:jc w:val="center"/>
              <w:outlineLvl w:val="9"/>
              <w:rPr>
                <w:rFonts w:hint="eastAsia"/>
              </w:rPr>
            </w:pPr>
          </w:p>
        </w:tc>
        <w:tc>
          <w:tcPr>
            <w:tcW w:w="1038" w:type="dxa"/>
            <w:vMerge w:val="continue"/>
            <w:vAlign w:val="center"/>
          </w:tcPr>
          <w:p w14:paraId="5A4C3264">
            <w:pPr>
              <w:pStyle w:val="22"/>
              <w:bidi w:val="0"/>
              <w:jc w:val="center"/>
              <w:outlineLvl w:val="9"/>
              <w:rPr>
                <w:rFonts w:hint="eastAsia"/>
              </w:rPr>
            </w:pPr>
          </w:p>
        </w:tc>
        <w:tc>
          <w:tcPr>
            <w:tcW w:w="8551" w:type="dxa"/>
            <w:gridSpan w:val="2"/>
            <w:vAlign w:val="center"/>
          </w:tcPr>
          <w:p w14:paraId="6FAB84CE">
            <w:pPr>
              <w:pStyle w:val="22"/>
              <w:bidi w:val="0"/>
              <w:jc w:val="center"/>
              <w:rPr>
                <w:rFonts w:hint="eastAsia"/>
              </w:rPr>
            </w:pPr>
            <w:r>
              <w:rPr>
                <w:rFonts w:hint="eastAsia"/>
                <w:b/>
                <w:bCs w:val="0"/>
              </w:rPr>
              <w:t>磋商报价F</w:t>
            </w:r>
            <w:r>
              <w:rPr>
                <w:b/>
                <w:bCs w:val="0"/>
              </w:rPr>
              <w:t>1</w:t>
            </w:r>
            <w:r>
              <w:rPr>
                <w:rFonts w:hint="eastAsia"/>
                <w:b/>
                <w:bCs w:val="0"/>
              </w:rPr>
              <w:t>（满分</w:t>
            </w:r>
            <w:r>
              <w:rPr>
                <w:rFonts w:hint="eastAsia"/>
                <w:b/>
                <w:bCs w:val="0"/>
                <w:lang w:val="en-US" w:eastAsia="zh-CN"/>
              </w:rPr>
              <w:t>15</w:t>
            </w:r>
            <w:r>
              <w:rPr>
                <w:rFonts w:hint="eastAsia"/>
                <w:b/>
                <w:bCs w:val="0"/>
              </w:rPr>
              <w:t>分）</w:t>
            </w:r>
          </w:p>
        </w:tc>
      </w:tr>
      <w:tr w14:paraId="7F0B585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694" w:hRule="atLeast"/>
        </w:trPr>
        <w:tc>
          <w:tcPr>
            <w:tcW w:w="558" w:type="dxa"/>
            <w:vMerge w:val="continue"/>
            <w:vAlign w:val="center"/>
          </w:tcPr>
          <w:p w14:paraId="309DEA6D">
            <w:pPr>
              <w:pStyle w:val="22"/>
              <w:bidi w:val="0"/>
              <w:jc w:val="center"/>
              <w:outlineLvl w:val="9"/>
              <w:rPr>
                <w:rFonts w:hint="eastAsia"/>
              </w:rPr>
            </w:pPr>
          </w:p>
        </w:tc>
        <w:tc>
          <w:tcPr>
            <w:tcW w:w="1038" w:type="dxa"/>
            <w:vMerge w:val="continue"/>
            <w:vAlign w:val="center"/>
          </w:tcPr>
          <w:p w14:paraId="1F8B8BE9">
            <w:pPr>
              <w:pStyle w:val="22"/>
              <w:bidi w:val="0"/>
              <w:jc w:val="center"/>
              <w:outlineLvl w:val="9"/>
              <w:rPr>
                <w:rFonts w:hint="eastAsia"/>
              </w:rPr>
            </w:pPr>
          </w:p>
        </w:tc>
        <w:tc>
          <w:tcPr>
            <w:tcW w:w="2056" w:type="dxa"/>
            <w:vAlign w:val="center"/>
          </w:tcPr>
          <w:p w14:paraId="17E1E1F5">
            <w:pPr>
              <w:pStyle w:val="22"/>
              <w:bidi w:val="0"/>
              <w:jc w:val="center"/>
              <w:rPr>
                <w:rFonts w:hint="eastAsia"/>
              </w:rPr>
            </w:pPr>
            <w:r>
              <w:rPr>
                <w:rFonts w:hint="eastAsia"/>
                <w:lang w:val="en-US" w:eastAsia="zh-CN"/>
              </w:rPr>
              <w:t>磋商报价</w:t>
            </w:r>
            <w:r>
              <w:rPr>
                <w:rFonts w:hint="eastAsia"/>
              </w:rPr>
              <w:t>评分</w:t>
            </w:r>
          </w:p>
          <w:p w14:paraId="5E6E960E">
            <w:pPr>
              <w:pStyle w:val="22"/>
              <w:bidi w:val="0"/>
              <w:jc w:val="center"/>
              <w:rPr>
                <w:rFonts w:hint="eastAsia"/>
              </w:rPr>
            </w:pPr>
            <w:r>
              <w:rPr>
                <w:rFonts w:hint="eastAsia"/>
              </w:rPr>
              <w:t>（满分</w:t>
            </w:r>
            <w:r>
              <w:rPr>
                <w:rFonts w:hint="eastAsia"/>
                <w:lang w:val="en-US" w:eastAsia="zh-CN"/>
              </w:rPr>
              <w:t>15</w:t>
            </w:r>
            <w:r>
              <w:rPr>
                <w:rFonts w:hint="eastAsia"/>
              </w:rPr>
              <w:t>分）</w:t>
            </w:r>
          </w:p>
        </w:tc>
        <w:tc>
          <w:tcPr>
            <w:tcW w:w="6495" w:type="dxa"/>
            <w:vAlign w:val="center"/>
          </w:tcPr>
          <w:p w14:paraId="49637498">
            <w:pPr>
              <w:pStyle w:val="22"/>
              <w:bidi w:val="0"/>
              <w:rPr>
                <w:rFonts w:hint="eastAsia"/>
              </w:rPr>
            </w:pPr>
            <w:r>
              <w:rPr>
                <w:rFonts w:hint="eastAsia"/>
              </w:rPr>
              <w:t>报价评分采用低价优先法计算，即满足磋商文件要求且最后报价（即：磋商现场最后磋商报价）最低的供应商的价格为磋商基准价，其</w:t>
            </w:r>
            <w:r>
              <w:rPr>
                <w:rFonts w:hint="eastAsia"/>
                <w:lang w:val="en-US" w:eastAsia="zh-CN"/>
              </w:rPr>
              <w:t>报价</w:t>
            </w:r>
            <w:r>
              <w:rPr>
                <w:rFonts w:hint="eastAsia"/>
              </w:rPr>
              <w:t>分为满分。其他供应商的报价分统一按照下列公式计算：</w:t>
            </w:r>
          </w:p>
          <w:p w14:paraId="4FC9929E">
            <w:pPr>
              <w:pStyle w:val="22"/>
              <w:bidi w:val="0"/>
              <w:rPr>
                <w:rFonts w:hint="default"/>
                <w:lang w:val="en-US"/>
              </w:rPr>
            </w:pPr>
            <w:r>
              <w:rPr>
                <w:rFonts w:hint="eastAsia"/>
              </w:rPr>
              <w:t>磋商报价得分</w:t>
            </w:r>
            <w:r>
              <w:t>=</w:t>
            </w:r>
            <w:r>
              <w:rPr>
                <w:rFonts w:hint="eastAsia"/>
              </w:rPr>
              <w:t>（磋商基准价</w:t>
            </w:r>
            <w:r>
              <w:t>/</w:t>
            </w:r>
            <w:r>
              <w:rPr>
                <w:rFonts w:hint="eastAsia"/>
              </w:rPr>
              <w:t>最后磋商报价）×</w:t>
            </w:r>
            <w:r>
              <w:rPr>
                <w:rFonts w:hint="eastAsia"/>
                <w:lang w:val="en-US" w:eastAsia="zh-CN"/>
              </w:rPr>
              <w:t>15</w:t>
            </w:r>
          </w:p>
          <w:p w14:paraId="1DDB7FED">
            <w:pPr>
              <w:pStyle w:val="22"/>
              <w:bidi w:val="0"/>
              <w:rPr>
                <w:rFonts w:hint="default"/>
                <w:lang w:val="en-US"/>
              </w:rPr>
            </w:pPr>
            <w:r>
              <w:rPr>
                <w:rFonts w:hint="eastAsia"/>
              </w:rPr>
              <w:t>即：</w:t>
            </w:r>
            <w:r>
              <w:t>F</w:t>
            </w:r>
            <w:r>
              <w:rPr>
                <w:rFonts w:hint="eastAsia"/>
              </w:rPr>
              <w:t>1</w:t>
            </w:r>
            <w:r>
              <w:t>=C/（B1，B2，…</w:t>
            </w:r>
            <w:r>
              <w:rPr>
                <w:rFonts w:hint="eastAsia"/>
              </w:rPr>
              <w:t>，</w:t>
            </w:r>
            <w:r>
              <w:t>Bn）</w:t>
            </w:r>
            <w:r>
              <w:rPr>
                <w:rFonts w:hint="eastAsia"/>
              </w:rPr>
              <w:t>×</w:t>
            </w:r>
            <w:r>
              <w:rPr>
                <w:rFonts w:hint="eastAsia"/>
                <w:lang w:val="en-US" w:eastAsia="zh-CN"/>
              </w:rPr>
              <w:t>15</w:t>
            </w:r>
          </w:p>
          <w:p w14:paraId="6A7897CF">
            <w:pPr>
              <w:pStyle w:val="22"/>
              <w:bidi w:val="0"/>
              <w:rPr>
                <w:rFonts w:hint="eastAsia"/>
              </w:rPr>
            </w:pPr>
            <w:r>
              <w:rPr>
                <w:rFonts w:hint="eastAsia"/>
                <w:lang w:val="en-US" w:eastAsia="zh-CN"/>
              </w:rPr>
              <w:t>说明</w:t>
            </w:r>
            <w:r>
              <w:rPr>
                <w:rFonts w:hint="eastAsia"/>
              </w:rPr>
              <w:t>：</w:t>
            </w:r>
          </w:p>
          <w:p w14:paraId="3B053911">
            <w:pPr>
              <w:pStyle w:val="22"/>
              <w:bidi w:val="0"/>
              <w:rPr>
                <w:rFonts w:hint="eastAsia"/>
              </w:rPr>
            </w:pPr>
            <w:r>
              <w:rPr>
                <w:rFonts w:hint="eastAsia"/>
              </w:rPr>
              <w:t>1）</w:t>
            </w:r>
            <w:r>
              <w:t>C为</w:t>
            </w:r>
            <w:r>
              <w:rPr>
                <w:rFonts w:hint="eastAsia"/>
              </w:rPr>
              <w:t>磋商</w:t>
            </w:r>
            <w:r>
              <w:t>基准价，</w:t>
            </w:r>
            <w:r>
              <w:rPr>
                <w:rFonts w:hint="eastAsia"/>
              </w:rPr>
              <w:t>即满足磋商文件要求且最后报价最低的供应商的价格为磋商基准价</w:t>
            </w:r>
            <w:r>
              <w:t>；</w:t>
            </w:r>
          </w:p>
          <w:p w14:paraId="41F53EA7">
            <w:pPr>
              <w:pStyle w:val="22"/>
              <w:bidi w:val="0"/>
            </w:pPr>
            <w:r>
              <w:rPr>
                <w:rFonts w:hint="eastAsia"/>
              </w:rPr>
              <w:t>2）</w:t>
            </w:r>
            <w:r>
              <w:t>B1，B2，…</w:t>
            </w:r>
            <w:r>
              <w:rPr>
                <w:rFonts w:hint="eastAsia"/>
              </w:rPr>
              <w:t>，</w:t>
            </w:r>
            <w:r>
              <w:t>Bn为第n个经</w:t>
            </w:r>
            <w:r>
              <w:rPr>
                <w:rFonts w:hint="eastAsia"/>
              </w:rPr>
              <w:t>实质性</w:t>
            </w:r>
            <w:r>
              <w:t>审查合格的</w:t>
            </w:r>
            <w:r>
              <w:rPr>
                <w:rFonts w:hint="eastAsia"/>
              </w:rPr>
              <w:t>最后磋商报价</w:t>
            </w:r>
            <w:r>
              <w:t>。</w:t>
            </w:r>
          </w:p>
          <w:p w14:paraId="75A31075">
            <w:pPr>
              <w:pStyle w:val="22"/>
              <w:bidi w:val="0"/>
              <w:rPr>
                <w:rFonts w:hint="default" w:eastAsia="宋体"/>
                <w:lang w:val="en-US" w:eastAsia="zh-CN"/>
              </w:rPr>
            </w:pPr>
            <w:r>
              <w:rPr>
                <w:rFonts w:hint="eastAsia"/>
                <w:lang w:val="en-US" w:eastAsia="zh-CN"/>
              </w:rPr>
              <w:t>注：</w:t>
            </w:r>
            <w:r>
              <w:rPr>
                <w:rFonts w:hint="eastAsia" w:ascii="宋体" w:hAnsi="宋体" w:eastAsia="宋体" w:cs="宋体"/>
              </w:rPr>
              <w:t>本项目为专门面向中小企业采购项目，不再进行价格折扣。</w:t>
            </w:r>
          </w:p>
        </w:tc>
      </w:tr>
      <w:tr w14:paraId="0A48794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58" w:type="dxa"/>
            <w:vMerge w:val="continue"/>
            <w:vAlign w:val="center"/>
          </w:tcPr>
          <w:p w14:paraId="60189F9F">
            <w:pPr>
              <w:pStyle w:val="22"/>
              <w:bidi w:val="0"/>
              <w:jc w:val="center"/>
              <w:outlineLvl w:val="9"/>
              <w:rPr>
                <w:rFonts w:hint="eastAsia"/>
              </w:rPr>
            </w:pPr>
          </w:p>
        </w:tc>
        <w:tc>
          <w:tcPr>
            <w:tcW w:w="1038" w:type="dxa"/>
            <w:vMerge w:val="continue"/>
            <w:vAlign w:val="center"/>
          </w:tcPr>
          <w:p w14:paraId="46E12F53">
            <w:pPr>
              <w:pStyle w:val="22"/>
              <w:bidi w:val="0"/>
              <w:jc w:val="center"/>
              <w:outlineLvl w:val="9"/>
              <w:rPr>
                <w:rFonts w:hint="eastAsia"/>
              </w:rPr>
            </w:pPr>
          </w:p>
        </w:tc>
        <w:tc>
          <w:tcPr>
            <w:tcW w:w="8551" w:type="dxa"/>
            <w:gridSpan w:val="2"/>
            <w:vAlign w:val="center"/>
          </w:tcPr>
          <w:p w14:paraId="5ECA1F82">
            <w:pPr>
              <w:pStyle w:val="22"/>
              <w:bidi w:val="0"/>
              <w:jc w:val="center"/>
              <w:rPr>
                <w:rFonts w:hint="eastAsia"/>
              </w:rPr>
            </w:pPr>
            <w:r>
              <w:rPr>
                <w:rFonts w:hint="eastAsia"/>
                <w:b/>
                <w:bCs w:val="0"/>
              </w:rPr>
              <w:t>技术部分F2（满分</w:t>
            </w:r>
            <w:r>
              <w:rPr>
                <w:rFonts w:hint="eastAsia"/>
                <w:b/>
                <w:bCs w:val="0"/>
                <w:lang w:val="en-US" w:eastAsia="zh-CN"/>
              </w:rPr>
              <w:t>65</w:t>
            </w:r>
            <w:r>
              <w:rPr>
                <w:rFonts w:hint="eastAsia"/>
                <w:b/>
                <w:bCs w:val="0"/>
              </w:rPr>
              <w:t>分）</w:t>
            </w:r>
          </w:p>
        </w:tc>
      </w:tr>
      <w:tr w14:paraId="4ECE31E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60B95824">
            <w:pPr>
              <w:pStyle w:val="22"/>
              <w:bidi w:val="0"/>
              <w:jc w:val="center"/>
              <w:outlineLvl w:val="9"/>
              <w:rPr>
                <w:rFonts w:hint="eastAsia"/>
              </w:rPr>
            </w:pPr>
          </w:p>
        </w:tc>
        <w:tc>
          <w:tcPr>
            <w:tcW w:w="1038" w:type="dxa"/>
            <w:vMerge w:val="continue"/>
            <w:vAlign w:val="center"/>
          </w:tcPr>
          <w:p w14:paraId="71FBA55C">
            <w:pPr>
              <w:pStyle w:val="22"/>
              <w:bidi w:val="0"/>
              <w:jc w:val="center"/>
              <w:outlineLvl w:val="9"/>
              <w:rPr>
                <w:rFonts w:hint="eastAsia"/>
              </w:rPr>
            </w:pPr>
          </w:p>
        </w:tc>
        <w:tc>
          <w:tcPr>
            <w:tcW w:w="2056" w:type="dxa"/>
            <w:vAlign w:val="center"/>
          </w:tcPr>
          <w:p w14:paraId="147B310F">
            <w:pPr>
              <w:pStyle w:val="22"/>
              <w:bidi w:val="0"/>
              <w:jc w:val="center"/>
              <w:rPr>
                <w:rFonts w:hint="eastAsia" w:ascii="宋体" w:hAnsi="宋体" w:eastAsia="宋体" w:cs="宋体"/>
              </w:rPr>
            </w:pPr>
            <w:r>
              <w:rPr>
                <w:rFonts w:hint="eastAsia" w:ascii="宋体" w:hAnsi="宋体" w:eastAsia="宋体" w:cs="宋体"/>
              </w:rPr>
              <w:t>项目整体实施方案（满分2</w:t>
            </w:r>
            <w:r>
              <w:rPr>
                <w:rFonts w:hint="eastAsia" w:ascii="宋体" w:hAnsi="宋体" w:eastAsia="宋体" w:cs="宋体"/>
                <w:lang w:val="en-US" w:eastAsia="zh-CN"/>
              </w:rPr>
              <w:t>0</w:t>
            </w:r>
            <w:r>
              <w:rPr>
                <w:rFonts w:hint="eastAsia" w:ascii="宋体" w:hAnsi="宋体" w:eastAsia="宋体" w:cs="宋体"/>
              </w:rPr>
              <w:t>分）</w:t>
            </w:r>
          </w:p>
        </w:tc>
        <w:tc>
          <w:tcPr>
            <w:tcW w:w="6495" w:type="dxa"/>
            <w:vAlign w:val="top"/>
          </w:tcPr>
          <w:p w14:paraId="12E26F0B">
            <w:pPr>
              <w:pStyle w:val="22"/>
              <w:bidi w:val="0"/>
              <w:jc w:val="left"/>
              <w:rPr>
                <w:rFonts w:hint="eastAsia" w:ascii="宋体" w:hAnsi="宋体" w:eastAsia="宋体" w:cs="宋体"/>
                <w:lang w:val="en-US" w:eastAsia="zh-CN"/>
              </w:rPr>
            </w:pPr>
            <w:r>
              <w:rPr>
                <w:rFonts w:hint="eastAsia" w:ascii="宋体" w:hAnsi="宋体" w:eastAsia="宋体" w:cs="宋体"/>
                <w:b/>
                <w:bCs w:val="0"/>
                <w:lang w:val="en-US" w:eastAsia="zh-CN"/>
              </w:rPr>
              <w:t>第一档次（20分）</w:t>
            </w:r>
            <w:r>
              <w:rPr>
                <w:rFonts w:hint="eastAsia" w:ascii="宋体" w:hAnsi="宋体" w:eastAsia="宋体" w:cs="宋体"/>
                <w:lang w:val="en-US" w:eastAsia="zh-CN"/>
              </w:rPr>
              <w:t>：对项目总体概况表述清晰、完整；项目部署安排及</w:t>
            </w:r>
            <w:r>
              <w:rPr>
                <w:rFonts w:hint="eastAsia" w:cs="宋体"/>
                <w:lang w:val="en-US" w:eastAsia="zh-CN"/>
              </w:rPr>
              <w:t>实施</w:t>
            </w:r>
            <w:r>
              <w:rPr>
                <w:rFonts w:hint="eastAsia" w:ascii="宋体" w:hAnsi="宋体" w:eastAsia="宋体" w:cs="宋体"/>
                <w:lang w:val="en-US" w:eastAsia="zh-CN"/>
              </w:rPr>
              <w:t>方法和技术措施先进、可靠，提供项目协调组织、应急管理措施等内容科学合理、可行性强，符合环保、安全、文明生产要求</w:t>
            </w:r>
            <w:r>
              <w:rPr>
                <w:rFonts w:hint="eastAsia" w:cs="宋体"/>
                <w:lang w:val="en-US" w:eastAsia="zh-CN"/>
              </w:rPr>
              <w:t>；</w:t>
            </w:r>
          </w:p>
          <w:p w14:paraId="513003FE">
            <w:pPr>
              <w:pStyle w:val="22"/>
              <w:bidi w:val="0"/>
              <w:jc w:val="left"/>
              <w:rPr>
                <w:rFonts w:hint="eastAsia" w:ascii="宋体" w:hAnsi="宋体" w:eastAsia="宋体" w:cs="宋体"/>
                <w:lang w:val="en-US" w:eastAsia="zh-CN"/>
              </w:rPr>
            </w:pPr>
            <w:r>
              <w:rPr>
                <w:rFonts w:hint="eastAsia" w:ascii="宋体" w:hAnsi="宋体" w:eastAsia="宋体" w:cs="宋体"/>
                <w:b/>
                <w:bCs w:val="0"/>
                <w:lang w:val="en-US" w:eastAsia="zh-CN"/>
              </w:rPr>
              <w:t>第二档次（15分）</w:t>
            </w:r>
            <w:r>
              <w:rPr>
                <w:rFonts w:hint="eastAsia" w:ascii="宋体" w:hAnsi="宋体" w:eastAsia="宋体" w:cs="宋体"/>
                <w:lang w:val="en-US" w:eastAsia="zh-CN"/>
              </w:rPr>
              <w:t>：对项目总体概况表述较清晰、完整；项目部署安排及</w:t>
            </w:r>
            <w:r>
              <w:rPr>
                <w:rFonts w:hint="eastAsia" w:cs="宋体"/>
                <w:lang w:val="en-US" w:eastAsia="zh-CN"/>
              </w:rPr>
              <w:t>实施</w:t>
            </w:r>
            <w:r>
              <w:rPr>
                <w:rFonts w:hint="eastAsia" w:ascii="宋体" w:hAnsi="宋体" w:eastAsia="宋体" w:cs="宋体"/>
                <w:lang w:val="en-US" w:eastAsia="zh-CN"/>
              </w:rPr>
              <w:t>方法和技术措施具体较可靠；提供项目协调组织、应急管理措施等内容合理可行，较符合环保、安全、文明生产要求</w:t>
            </w:r>
            <w:r>
              <w:rPr>
                <w:rFonts w:hint="eastAsia" w:cs="宋体"/>
                <w:lang w:val="en-US" w:eastAsia="zh-CN"/>
              </w:rPr>
              <w:t>；</w:t>
            </w:r>
          </w:p>
          <w:p w14:paraId="03BF33E7">
            <w:pPr>
              <w:pStyle w:val="22"/>
              <w:bidi w:val="0"/>
              <w:jc w:val="left"/>
              <w:rPr>
                <w:rFonts w:hint="eastAsia" w:ascii="宋体" w:hAnsi="宋体" w:eastAsia="宋体" w:cs="宋体"/>
                <w:lang w:val="en-US" w:eastAsia="zh-CN"/>
              </w:rPr>
            </w:pPr>
            <w:r>
              <w:rPr>
                <w:rFonts w:hint="eastAsia" w:ascii="宋体" w:hAnsi="宋体" w:eastAsia="宋体" w:cs="宋体"/>
                <w:b/>
                <w:bCs w:val="0"/>
                <w:lang w:val="en-US" w:eastAsia="zh-CN"/>
              </w:rPr>
              <w:t>第三档次（10分）</w:t>
            </w:r>
            <w:r>
              <w:rPr>
                <w:rFonts w:hint="eastAsia" w:ascii="宋体" w:hAnsi="宋体" w:eastAsia="宋体" w:cs="宋体"/>
                <w:lang w:val="en-US" w:eastAsia="zh-CN"/>
              </w:rPr>
              <w:t>：对项目总体概况表述不够清晰，项目部署安排及</w:t>
            </w:r>
            <w:r>
              <w:rPr>
                <w:rFonts w:hint="eastAsia" w:cs="宋体"/>
                <w:lang w:val="en-US" w:eastAsia="zh-CN"/>
              </w:rPr>
              <w:t>实施</w:t>
            </w:r>
            <w:r>
              <w:rPr>
                <w:rFonts w:hint="eastAsia" w:ascii="宋体" w:hAnsi="宋体" w:eastAsia="宋体" w:cs="宋体"/>
                <w:lang w:val="en-US" w:eastAsia="zh-CN"/>
              </w:rPr>
              <w:t>方法和技术措施不够具体；提供项目协调组织、应急管理措施等内容可行性一般，对项目主要及关键方案表述不够清晰</w:t>
            </w:r>
            <w:r>
              <w:rPr>
                <w:rFonts w:hint="eastAsia" w:cs="宋体"/>
                <w:lang w:val="en-US" w:eastAsia="zh-CN"/>
              </w:rPr>
              <w:t>；</w:t>
            </w:r>
          </w:p>
          <w:p w14:paraId="71FFAB35">
            <w:pPr>
              <w:pStyle w:val="22"/>
              <w:bidi w:val="0"/>
              <w:jc w:val="left"/>
              <w:rPr>
                <w:rFonts w:hint="eastAsia" w:ascii="宋体" w:hAnsi="宋体" w:eastAsia="宋体" w:cs="宋体"/>
                <w:lang w:val="en-US" w:eastAsia="zh-CN"/>
              </w:rPr>
            </w:pPr>
            <w:r>
              <w:rPr>
                <w:rFonts w:hint="eastAsia" w:ascii="宋体" w:hAnsi="宋体" w:eastAsia="宋体" w:cs="宋体"/>
                <w:b/>
                <w:bCs w:val="0"/>
                <w:lang w:val="en-US" w:eastAsia="zh-CN"/>
              </w:rPr>
              <w:t>第四档次（5分）</w:t>
            </w:r>
            <w:r>
              <w:rPr>
                <w:rFonts w:hint="eastAsia" w:ascii="宋体" w:hAnsi="宋体" w:eastAsia="宋体" w:cs="宋体"/>
                <w:lang w:val="en-US" w:eastAsia="zh-CN"/>
              </w:rPr>
              <w:t>：对项目总体概况表述一般、无针对性，项目部署安排及</w:t>
            </w:r>
            <w:r>
              <w:rPr>
                <w:rFonts w:hint="eastAsia" w:cs="宋体"/>
                <w:lang w:val="en-US" w:eastAsia="zh-CN"/>
              </w:rPr>
              <w:t>实施</w:t>
            </w:r>
            <w:r>
              <w:rPr>
                <w:rFonts w:hint="eastAsia" w:ascii="宋体" w:hAnsi="宋体" w:eastAsia="宋体" w:cs="宋体"/>
                <w:lang w:val="en-US" w:eastAsia="zh-CN"/>
              </w:rPr>
              <w:t>方法和技术措施不够具体，提供项目协调组织、应急管理措施等内容合理性、可行性较差，对项目主要及关键方案表述</w:t>
            </w:r>
            <w:r>
              <w:rPr>
                <w:rFonts w:hint="eastAsia" w:cs="宋体"/>
                <w:lang w:val="en-US" w:eastAsia="zh-CN"/>
              </w:rPr>
              <w:t>较差；</w:t>
            </w:r>
          </w:p>
          <w:p w14:paraId="0A16609E">
            <w:pPr>
              <w:pStyle w:val="22"/>
              <w:bidi w:val="0"/>
              <w:jc w:val="left"/>
              <w:rPr>
                <w:rFonts w:hint="eastAsia" w:ascii="宋体" w:hAnsi="宋体" w:eastAsia="宋体" w:cs="宋体"/>
              </w:rPr>
            </w:pPr>
            <w:r>
              <w:rPr>
                <w:rFonts w:hint="eastAsia" w:ascii="宋体" w:hAnsi="宋体" w:eastAsia="宋体" w:cs="宋体"/>
              </w:rPr>
              <w:t>注：未提供项目整体实施方案的</w:t>
            </w:r>
            <w:r>
              <w:rPr>
                <w:rFonts w:hint="eastAsia" w:cs="宋体"/>
                <w:lang w:val="en-US" w:eastAsia="zh-CN"/>
              </w:rPr>
              <w:t>，</w:t>
            </w:r>
            <w:r>
              <w:rPr>
                <w:rFonts w:hint="eastAsia" w:ascii="宋体" w:hAnsi="宋体" w:eastAsia="宋体" w:cs="宋体"/>
                <w:highlight w:val="none"/>
              </w:rPr>
              <w:t>得0分。</w:t>
            </w:r>
          </w:p>
        </w:tc>
      </w:tr>
      <w:tr w14:paraId="7E054F5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0E45A3AE">
            <w:pPr>
              <w:pStyle w:val="22"/>
              <w:bidi w:val="0"/>
              <w:jc w:val="center"/>
              <w:outlineLvl w:val="9"/>
              <w:rPr>
                <w:rFonts w:hint="eastAsia"/>
              </w:rPr>
            </w:pPr>
          </w:p>
        </w:tc>
        <w:tc>
          <w:tcPr>
            <w:tcW w:w="1038" w:type="dxa"/>
            <w:vMerge w:val="continue"/>
            <w:vAlign w:val="center"/>
          </w:tcPr>
          <w:p w14:paraId="6BE29DA5">
            <w:pPr>
              <w:pStyle w:val="22"/>
              <w:bidi w:val="0"/>
              <w:jc w:val="center"/>
              <w:outlineLvl w:val="9"/>
              <w:rPr>
                <w:rFonts w:hint="eastAsia"/>
              </w:rPr>
            </w:pPr>
          </w:p>
        </w:tc>
        <w:tc>
          <w:tcPr>
            <w:tcW w:w="2056" w:type="dxa"/>
            <w:vAlign w:val="center"/>
          </w:tcPr>
          <w:p w14:paraId="745C5A43">
            <w:pPr>
              <w:pStyle w:val="22"/>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防治</w:t>
            </w:r>
            <w:r>
              <w:rPr>
                <w:rFonts w:hint="eastAsia" w:cs="宋体"/>
                <w:highlight w:val="none"/>
                <w:lang w:val="en-US" w:eastAsia="zh-CN"/>
              </w:rPr>
              <w:t>服务</w:t>
            </w:r>
            <w:r>
              <w:rPr>
                <w:rFonts w:hint="eastAsia" w:ascii="宋体" w:hAnsi="宋体" w:eastAsia="宋体" w:cs="宋体"/>
                <w:highlight w:val="none"/>
                <w:lang w:val="en-US" w:eastAsia="zh-CN"/>
              </w:rPr>
              <w:t>质量保证措施及承诺</w:t>
            </w:r>
          </w:p>
          <w:p w14:paraId="0AE8C42E">
            <w:pPr>
              <w:pStyle w:val="22"/>
              <w:bidi w:val="0"/>
              <w:jc w:val="center"/>
              <w:rPr>
                <w:rFonts w:hint="eastAsia" w:ascii="宋体" w:hAnsi="宋体" w:eastAsia="宋体" w:cs="宋体"/>
                <w:highlight w:val="none"/>
              </w:rPr>
            </w:pPr>
            <w:r>
              <w:rPr>
                <w:rFonts w:hint="eastAsia" w:ascii="宋体" w:hAnsi="宋体" w:eastAsia="宋体" w:cs="宋体"/>
                <w:highlight w:val="none"/>
              </w:rPr>
              <w:t>(满分</w:t>
            </w:r>
            <w:r>
              <w:rPr>
                <w:rFonts w:hint="eastAsia" w:cs="宋体"/>
                <w:highlight w:val="none"/>
                <w:lang w:val="en-US" w:eastAsia="zh-CN"/>
              </w:rPr>
              <w:t>15</w:t>
            </w:r>
            <w:r>
              <w:rPr>
                <w:rFonts w:hint="eastAsia" w:ascii="宋体" w:hAnsi="宋体" w:eastAsia="宋体" w:cs="宋体"/>
                <w:highlight w:val="none"/>
              </w:rPr>
              <w:t>分)</w:t>
            </w:r>
          </w:p>
        </w:tc>
        <w:tc>
          <w:tcPr>
            <w:tcW w:w="6495" w:type="dxa"/>
            <w:vAlign w:val="center"/>
          </w:tcPr>
          <w:p w14:paraId="05346853">
            <w:pPr>
              <w:pStyle w:val="22"/>
              <w:bidi w:val="0"/>
              <w:jc w:val="left"/>
              <w:rPr>
                <w:rFonts w:hint="eastAsia" w:ascii="宋体" w:hAnsi="宋体" w:eastAsia="宋体" w:cs="宋体"/>
                <w:highlight w:val="none"/>
              </w:rPr>
            </w:pPr>
            <w:r>
              <w:rPr>
                <w:rFonts w:hint="eastAsia" w:ascii="宋体" w:hAnsi="宋体" w:eastAsia="宋体" w:cs="宋体"/>
                <w:b/>
                <w:bCs w:val="0"/>
                <w:highlight w:val="none"/>
              </w:rPr>
              <w:t>第一档次（</w:t>
            </w:r>
            <w:r>
              <w:rPr>
                <w:rFonts w:hint="eastAsia" w:cs="宋体"/>
                <w:b/>
                <w:bCs w:val="0"/>
                <w:highlight w:val="none"/>
                <w:lang w:val="en-US" w:eastAsia="zh-CN"/>
              </w:rPr>
              <w:t>15</w:t>
            </w:r>
            <w:r>
              <w:rPr>
                <w:rFonts w:hint="eastAsia" w:ascii="宋体" w:hAnsi="宋体" w:eastAsia="宋体" w:cs="宋体"/>
                <w:b/>
                <w:bCs w:val="0"/>
                <w:highlight w:val="none"/>
              </w:rPr>
              <w:t>分）</w:t>
            </w:r>
            <w:r>
              <w:rPr>
                <w:rFonts w:hint="eastAsia" w:ascii="宋体" w:hAnsi="宋体" w:eastAsia="宋体" w:cs="宋体"/>
                <w:highlight w:val="none"/>
              </w:rPr>
              <w:t>：防治</w:t>
            </w:r>
            <w:r>
              <w:rPr>
                <w:rFonts w:hint="eastAsia" w:cs="宋体"/>
                <w:highlight w:val="none"/>
                <w:lang w:val="en-US" w:eastAsia="zh-CN"/>
              </w:rPr>
              <w:t>服务</w:t>
            </w:r>
            <w:r>
              <w:rPr>
                <w:rFonts w:hint="eastAsia" w:ascii="宋体" w:hAnsi="宋体" w:eastAsia="宋体" w:cs="宋体"/>
                <w:highlight w:val="none"/>
              </w:rPr>
              <w:t>质量保证措施完整，有周密的阶段性质量保证措施、质量控制措施；能够满足采购需求中的防治要求，并附有具体违约承诺；</w:t>
            </w:r>
          </w:p>
          <w:p w14:paraId="2C4973B4">
            <w:pPr>
              <w:pStyle w:val="22"/>
              <w:bidi w:val="0"/>
              <w:jc w:val="left"/>
              <w:rPr>
                <w:rFonts w:hint="eastAsia" w:ascii="宋体" w:hAnsi="宋体" w:eastAsia="宋体" w:cs="宋体"/>
                <w:highlight w:val="none"/>
              </w:rPr>
            </w:pPr>
            <w:r>
              <w:rPr>
                <w:rFonts w:hint="eastAsia" w:ascii="宋体" w:hAnsi="宋体" w:eastAsia="宋体" w:cs="宋体"/>
                <w:b/>
                <w:bCs w:val="0"/>
                <w:highlight w:val="none"/>
              </w:rPr>
              <w:t>第</w:t>
            </w:r>
            <w:r>
              <w:rPr>
                <w:rFonts w:hint="eastAsia" w:ascii="宋体" w:hAnsi="宋体" w:eastAsia="宋体" w:cs="宋体"/>
                <w:b/>
                <w:bCs w:val="0"/>
                <w:highlight w:val="none"/>
                <w:lang w:val="en-US" w:eastAsia="zh-CN"/>
              </w:rPr>
              <w:t>二</w:t>
            </w:r>
            <w:r>
              <w:rPr>
                <w:rFonts w:hint="eastAsia" w:ascii="宋体" w:hAnsi="宋体" w:eastAsia="宋体" w:cs="宋体"/>
                <w:b/>
                <w:bCs w:val="0"/>
                <w:highlight w:val="none"/>
              </w:rPr>
              <w:t>档次（</w:t>
            </w:r>
            <w:r>
              <w:rPr>
                <w:rFonts w:hint="eastAsia" w:cs="宋体"/>
                <w:b/>
                <w:bCs w:val="0"/>
                <w:highlight w:val="none"/>
                <w:lang w:val="en-US" w:eastAsia="zh-CN"/>
              </w:rPr>
              <w:t>10</w:t>
            </w:r>
            <w:r>
              <w:rPr>
                <w:rFonts w:hint="eastAsia" w:ascii="宋体" w:hAnsi="宋体" w:eastAsia="宋体" w:cs="宋体"/>
                <w:b/>
                <w:bCs w:val="0"/>
                <w:highlight w:val="none"/>
              </w:rPr>
              <w:t>分）</w:t>
            </w:r>
            <w:r>
              <w:rPr>
                <w:rFonts w:hint="eastAsia" w:ascii="宋体" w:hAnsi="宋体" w:eastAsia="宋体" w:cs="宋体"/>
                <w:highlight w:val="none"/>
              </w:rPr>
              <w:t>：防治</w:t>
            </w:r>
            <w:r>
              <w:rPr>
                <w:rFonts w:hint="eastAsia" w:cs="宋体"/>
                <w:highlight w:val="none"/>
                <w:lang w:val="en-US" w:eastAsia="zh-CN"/>
              </w:rPr>
              <w:t>服务</w:t>
            </w:r>
            <w:r>
              <w:rPr>
                <w:rFonts w:hint="eastAsia" w:ascii="宋体" w:hAnsi="宋体" w:eastAsia="宋体" w:cs="宋体"/>
                <w:highlight w:val="none"/>
              </w:rPr>
              <w:t>质量保证措施稍显欠缺但相对完整，有操作性但针对性、适用性稍显欠缺，基本满足采购需求中的关键要求，且违约承诺</w:t>
            </w:r>
            <w:r>
              <w:rPr>
                <w:rFonts w:hint="eastAsia" w:cs="宋体"/>
                <w:highlight w:val="none"/>
                <w:lang w:val="en-US" w:eastAsia="zh-CN"/>
              </w:rPr>
              <w:t>不具体</w:t>
            </w:r>
            <w:r>
              <w:rPr>
                <w:rFonts w:hint="eastAsia" w:ascii="宋体" w:hAnsi="宋体" w:eastAsia="宋体" w:cs="宋体"/>
                <w:highlight w:val="none"/>
              </w:rPr>
              <w:t>；</w:t>
            </w:r>
          </w:p>
          <w:p w14:paraId="63760C80">
            <w:pPr>
              <w:pStyle w:val="22"/>
              <w:bidi w:val="0"/>
              <w:jc w:val="left"/>
              <w:rPr>
                <w:rFonts w:hint="default" w:ascii="宋体" w:hAnsi="宋体" w:eastAsia="宋体" w:cs="宋体"/>
                <w:highlight w:val="none"/>
                <w:lang w:val="en-US" w:eastAsia="zh-CN"/>
              </w:rPr>
            </w:pPr>
            <w:r>
              <w:rPr>
                <w:rFonts w:hint="eastAsia" w:ascii="宋体" w:hAnsi="宋体" w:eastAsia="宋体" w:cs="宋体"/>
                <w:b/>
                <w:bCs w:val="0"/>
                <w:highlight w:val="none"/>
              </w:rPr>
              <w:t>第</w:t>
            </w:r>
            <w:r>
              <w:rPr>
                <w:rFonts w:hint="eastAsia" w:ascii="宋体" w:hAnsi="宋体" w:eastAsia="宋体" w:cs="宋体"/>
                <w:b/>
                <w:bCs w:val="0"/>
                <w:highlight w:val="none"/>
                <w:lang w:val="en-US" w:eastAsia="zh-CN"/>
              </w:rPr>
              <w:t>三</w:t>
            </w:r>
            <w:r>
              <w:rPr>
                <w:rFonts w:hint="eastAsia" w:ascii="宋体" w:hAnsi="宋体" w:eastAsia="宋体" w:cs="宋体"/>
                <w:b/>
                <w:bCs w:val="0"/>
                <w:highlight w:val="none"/>
              </w:rPr>
              <w:t>档次（</w:t>
            </w:r>
            <w:r>
              <w:rPr>
                <w:rFonts w:hint="eastAsia" w:cs="宋体"/>
                <w:b/>
                <w:bCs w:val="0"/>
                <w:highlight w:val="none"/>
                <w:lang w:val="en-US" w:eastAsia="zh-CN"/>
              </w:rPr>
              <w:t>5</w:t>
            </w:r>
            <w:r>
              <w:rPr>
                <w:rFonts w:hint="eastAsia" w:ascii="宋体" w:hAnsi="宋体" w:eastAsia="宋体" w:cs="宋体"/>
                <w:b/>
                <w:bCs w:val="0"/>
                <w:highlight w:val="none"/>
              </w:rPr>
              <w:t>分）</w:t>
            </w:r>
            <w:r>
              <w:rPr>
                <w:rFonts w:hint="eastAsia" w:ascii="宋体" w:hAnsi="宋体" w:eastAsia="宋体" w:cs="宋体"/>
                <w:highlight w:val="none"/>
              </w:rPr>
              <w:t>：防治</w:t>
            </w:r>
            <w:r>
              <w:rPr>
                <w:rFonts w:hint="eastAsia" w:cs="宋体"/>
                <w:highlight w:val="none"/>
                <w:lang w:val="en-US" w:eastAsia="zh-CN"/>
              </w:rPr>
              <w:t>服务</w:t>
            </w:r>
            <w:r>
              <w:rPr>
                <w:rFonts w:hint="eastAsia" w:ascii="宋体" w:hAnsi="宋体" w:eastAsia="宋体" w:cs="宋体"/>
                <w:highlight w:val="none"/>
              </w:rPr>
              <w:t>质量</w:t>
            </w:r>
            <w:r>
              <w:rPr>
                <w:rFonts w:hint="eastAsia" w:ascii="宋体" w:hAnsi="宋体" w:eastAsia="宋体" w:cs="宋体"/>
                <w:highlight w:val="none"/>
                <w:lang w:eastAsia="zh-CN"/>
              </w:rPr>
              <w:t>保证措施</w:t>
            </w:r>
            <w:r>
              <w:rPr>
                <w:rFonts w:hint="eastAsia" w:ascii="宋体" w:hAnsi="宋体" w:eastAsia="宋体" w:cs="宋体"/>
                <w:highlight w:val="none"/>
              </w:rPr>
              <w:t>操作性</w:t>
            </w:r>
            <w:r>
              <w:rPr>
                <w:rFonts w:hint="eastAsia" w:ascii="宋体" w:hAnsi="宋体" w:eastAsia="宋体" w:cs="宋体"/>
                <w:highlight w:val="none"/>
                <w:lang w:eastAsia="zh-CN"/>
              </w:rPr>
              <w:t>及针对性较差，</w:t>
            </w:r>
            <w:r>
              <w:rPr>
                <w:rFonts w:hint="eastAsia" w:ascii="宋体" w:hAnsi="宋体" w:eastAsia="宋体" w:cs="宋体"/>
                <w:highlight w:val="none"/>
              </w:rPr>
              <w:t>无具体违约承诺</w:t>
            </w:r>
            <w:r>
              <w:rPr>
                <w:rFonts w:hint="eastAsia" w:ascii="宋体" w:hAnsi="宋体" w:eastAsia="宋体" w:cs="宋体"/>
                <w:highlight w:val="none"/>
                <w:lang w:val="en-US" w:eastAsia="zh-CN"/>
              </w:rPr>
              <w:t>；</w:t>
            </w:r>
          </w:p>
          <w:p w14:paraId="3AC733F4">
            <w:pPr>
              <w:pStyle w:val="22"/>
              <w:bidi w:val="0"/>
              <w:jc w:val="left"/>
              <w:rPr>
                <w:rFonts w:hint="eastAsia" w:ascii="宋体" w:hAnsi="宋体" w:eastAsia="宋体" w:cs="宋体"/>
                <w:highlight w:val="none"/>
              </w:rPr>
            </w:pPr>
            <w:r>
              <w:rPr>
                <w:rFonts w:hint="eastAsia" w:ascii="宋体" w:hAnsi="宋体" w:eastAsia="宋体" w:cs="宋体"/>
                <w:highlight w:val="none"/>
              </w:rPr>
              <w:t>注：未提供防治</w:t>
            </w:r>
            <w:r>
              <w:rPr>
                <w:rFonts w:hint="eastAsia" w:cs="宋体"/>
                <w:highlight w:val="none"/>
                <w:lang w:val="en-US" w:eastAsia="zh-CN"/>
              </w:rPr>
              <w:t>服务</w:t>
            </w:r>
            <w:r>
              <w:rPr>
                <w:rFonts w:hint="eastAsia" w:ascii="宋体" w:hAnsi="宋体" w:eastAsia="宋体" w:cs="宋体"/>
                <w:highlight w:val="none"/>
              </w:rPr>
              <w:t>质量保证措施及承诺的</w:t>
            </w:r>
            <w:r>
              <w:rPr>
                <w:rFonts w:hint="eastAsia" w:cs="宋体"/>
                <w:highlight w:val="none"/>
                <w:lang w:val="en-US" w:eastAsia="zh-CN"/>
              </w:rPr>
              <w:t>，</w:t>
            </w:r>
            <w:r>
              <w:rPr>
                <w:rFonts w:hint="eastAsia" w:ascii="宋体" w:hAnsi="宋体" w:eastAsia="宋体" w:cs="宋体"/>
                <w:highlight w:val="none"/>
              </w:rPr>
              <w:t>得0分。</w:t>
            </w:r>
          </w:p>
        </w:tc>
      </w:tr>
      <w:tr w14:paraId="6D53308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78FAA1A5">
            <w:pPr>
              <w:pStyle w:val="22"/>
              <w:bidi w:val="0"/>
              <w:jc w:val="center"/>
              <w:outlineLvl w:val="9"/>
              <w:rPr>
                <w:rFonts w:hint="eastAsia"/>
              </w:rPr>
            </w:pPr>
          </w:p>
        </w:tc>
        <w:tc>
          <w:tcPr>
            <w:tcW w:w="1038" w:type="dxa"/>
            <w:vMerge w:val="continue"/>
            <w:vAlign w:val="center"/>
          </w:tcPr>
          <w:p w14:paraId="55B36DDE">
            <w:pPr>
              <w:pStyle w:val="22"/>
              <w:bidi w:val="0"/>
              <w:jc w:val="center"/>
              <w:outlineLvl w:val="9"/>
              <w:rPr>
                <w:rFonts w:hint="eastAsia"/>
              </w:rPr>
            </w:pPr>
          </w:p>
        </w:tc>
        <w:tc>
          <w:tcPr>
            <w:tcW w:w="2056" w:type="dxa"/>
            <w:vAlign w:val="center"/>
          </w:tcPr>
          <w:p w14:paraId="5A7FE774">
            <w:pPr>
              <w:pStyle w:val="22"/>
              <w:bidi w:val="0"/>
              <w:jc w:val="center"/>
              <w:rPr>
                <w:rFonts w:hint="eastAsia" w:ascii="宋体" w:hAnsi="宋体" w:eastAsia="宋体" w:cs="宋体"/>
              </w:rPr>
            </w:pPr>
            <w:r>
              <w:rPr>
                <w:rFonts w:hint="eastAsia" w:ascii="宋体" w:hAnsi="宋体" w:eastAsia="宋体" w:cs="宋体"/>
              </w:rPr>
              <w:t>对白蚁虫害防治的理解、重难点分析及合理化建议（满分</w:t>
            </w:r>
            <w:r>
              <w:rPr>
                <w:rFonts w:hint="eastAsia" w:cs="宋体"/>
                <w:lang w:val="en-US" w:eastAsia="zh-CN"/>
              </w:rPr>
              <w:t>10</w:t>
            </w:r>
            <w:r>
              <w:rPr>
                <w:rFonts w:hint="eastAsia" w:ascii="宋体" w:hAnsi="宋体" w:eastAsia="宋体" w:cs="宋体"/>
              </w:rPr>
              <w:t>分）</w:t>
            </w:r>
          </w:p>
        </w:tc>
        <w:tc>
          <w:tcPr>
            <w:tcW w:w="6495" w:type="dxa"/>
            <w:vAlign w:val="top"/>
          </w:tcPr>
          <w:p w14:paraId="64B00123">
            <w:pPr>
              <w:pStyle w:val="22"/>
              <w:bidi w:val="0"/>
              <w:jc w:val="left"/>
              <w:rPr>
                <w:rFonts w:hint="eastAsia" w:ascii="宋体" w:hAnsi="宋体" w:eastAsia="宋体" w:cs="宋体"/>
                <w:lang w:eastAsia="zh-CN"/>
              </w:rPr>
            </w:pPr>
            <w:r>
              <w:rPr>
                <w:rFonts w:hint="eastAsia" w:ascii="宋体" w:hAnsi="宋体" w:eastAsia="宋体" w:cs="宋体"/>
                <w:b/>
                <w:bCs w:val="0"/>
              </w:rPr>
              <w:t>第一档次（</w:t>
            </w:r>
            <w:r>
              <w:rPr>
                <w:rFonts w:hint="eastAsia" w:cs="宋体"/>
                <w:b/>
                <w:bCs w:val="0"/>
                <w:lang w:val="en-US" w:eastAsia="zh-CN"/>
              </w:rPr>
              <w:t>10</w:t>
            </w:r>
            <w:r>
              <w:rPr>
                <w:rFonts w:hint="eastAsia" w:ascii="宋体" w:hAnsi="宋体" w:eastAsia="宋体" w:cs="宋体"/>
                <w:b/>
                <w:bCs w:val="0"/>
              </w:rPr>
              <w:t>分）</w:t>
            </w:r>
            <w:r>
              <w:rPr>
                <w:rFonts w:hint="eastAsia" w:ascii="宋体" w:hAnsi="宋体" w:eastAsia="宋体" w:cs="宋体"/>
              </w:rPr>
              <w:t>：对白蚁虫害防治的</w:t>
            </w:r>
            <w:r>
              <w:rPr>
                <w:rFonts w:hint="eastAsia" w:cs="宋体"/>
                <w:lang w:val="en-US" w:eastAsia="zh-CN"/>
              </w:rPr>
              <w:t>实施</w:t>
            </w:r>
            <w:r>
              <w:rPr>
                <w:rFonts w:hint="eastAsia" w:ascii="宋体" w:hAnsi="宋体" w:eastAsia="宋体" w:cs="宋体"/>
              </w:rPr>
              <w:t>、关键技术、工艺有明确、深入的表述，对</w:t>
            </w:r>
            <w:r>
              <w:rPr>
                <w:rFonts w:hint="eastAsia" w:cs="宋体"/>
                <w:lang w:val="en-US" w:eastAsia="zh-CN"/>
              </w:rPr>
              <w:t>项目</w:t>
            </w:r>
            <w:r>
              <w:rPr>
                <w:rFonts w:hint="eastAsia" w:ascii="宋体" w:hAnsi="宋体" w:eastAsia="宋体" w:cs="宋体"/>
              </w:rPr>
              <w:t>重点、难点、经济、安全的解决方案和保证措施方案及合理化建议切实可行</w:t>
            </w:r>
            <w:r>
              <w:rPr>
                <w:rFonts w:hint="eastAsia" w:cs="宋体"/>
                <w:lang w:eastAsia="zh-CN"/>
              </w:rPr>
              <w:t>；</w:t>
            </w:r>
          </w:p>
          <w:p w14:paraId="034253F8">
            <w:pPr>
              <w:pStyle w:val="22"/>
              <w:bidi w:val="0"/>
              <w:jc w:val="left"/>
              <w:rPr>
                <w:rFonts w:hint="eastAsia" w:ascii="宋体" w:hAnsi="宋体" w:eastAsia="宋体" w:cs="宋体"/>
                <w:lang w:eastAsia="zh-CN"/>
              </w:rPr>
            </w:pPr>
            <w:r>
              <w:rPr>
                <w:rFonts w:hint="eastAsia" w:ascii="宋体" w:hAnsi="宋体" w:eastAsia="宋体" w:cs="宋体"/>
                <w:b/>
                <w:bCs w:val="0"/>
              </w:rPr>
              <w:t>第</w:t>
            </w:r>
            <w:r>
              <w:rPr>
                <w:rFonts w:hint="eastAsia" w:ascii="宋体" w:hAnsi="宋体" w:eastAsia="宋体" w:cs="宋体"/>
                <w:b/>
                <w:bCs w:val="0"/>
                <w:lang w:val="en-US" w:eastAsia="zh-CN"/>
              </w:rPr>
              <w:t>二</w:t>
            </w:r>
            <w:r>
              <w:rPr>
                <w:rFonts w:hint="eastAsia" w:ascii="宋体" w:hAnsi="宋体" w:eastAsia="宋体" w:cs="宋体"/>
                <w:b/>
                <w:bCs w:val="0"/>
              </w:rPr>
              <w:t>档次（</w:t>
            </w:r>
            <w:r>
              <w:rPr>
                <w:rFonts w:hint="eastAsia" w:cs="宋体"/>
                <w:b/>
                <w:bCs w:val="0"/>
                <w:lang w:val="en-US" w:eastAsia="zh-CN"/>
              </w:rPr>
              <w:t>7</w:t>
            </w:r>
            <w:r>
              <w:rPr>
                <w:rFonts w:hint="eastAsia" w:ascii="宋体" w:hAnsi="宋体" w:eastAsia="宋体" w:cs="宋体"/>
                <w:b/>
                <w:bCs w:val="0"/>
              </w:rPr>
              <w:t>分）</w:t>
            </w:r>
            <w:r>
              <w:rPr>
                <w:rFonts w:hint="eastAsia" w:ascii="宋体" w:hAnsi="宋体" w:eastAsia="宋体" w:cs="宋体"/>
              </w:rPr>
              <w:t>：对白蚁虫害防治的</w:t>
            </w:r>
            <w:r>
              <w:rPr>
                <w:rFonts w:hint="eastAsia" w:cs="宋体"/>
                <w:lang w:val="en-US" w:eastAsia="zh-CN"/>
              </w:rPr>
              <w:t>实施</w:t>
            </w:r>
            <w:r>
              <w:rPr>
                <w:rFonts w:hint="eastAsia" w:ascii="宋体" w:hAnsi="宋体" w:eastAsia="宋体" w:cs="宋体"/>
              </w:rPr>
              <w:t>、关键技术、工艺的表述不够明确，对</w:t>
            </w:r>
            <w:r>
              <w:rPr>
                <w:rFonts w:hint="eastAsia" w:cs="宋体"/>
                <w:lang w:val="en-US" w:eastAsia="zh-CN"/>
              </w:rPr>
              <w:t>项目</w:t>
            </w:r>
            <w:r>
              <w:rPr>
                <w:rFonts w:hint="eastAsia" w:ascii="宋体" w:hAnsi="宋体" w:eastAsia="宋体" w:cs="宋体"/>
              </w:rPr>
              <w:t>重点、难点、经济、安全的解决方案和保证措施方案及合理化建议描述</w:t>
            </w:r>
            <w:r>
              <w:rPr>
                <w:rFonts w:hint="eastAsia" w:cs="宋体"/>
                <w:lang w:val="en-US" w:eastAsia="zh-CN"/>
              </w:rPr>
              <w:t>较为</w:t>
            </w:r>
            <w:r>
              <w:rPr>
                <w:rFonts w:hint="eastAsia" w:ascii="宋体" w:hAnsi="宋体" w:eastAsia="宋体" w:cs="宋体"/>
              </w:rPr>
              <w:t>简单</w:t>
            </w:r>
            <w:r>
              <w:rPr>
                <w:rFonts w:hint="eastAsia" w:cs="宋体"/>
                <w:lang w:eastAsia="zh-CN"/>
              </w:rPr>
              <w:t>；</w:t>
            </w:r>
          </w:p>
          <w:p w14:paraId="45DC5D89">
            <w:pPr>
              <w:pStyle w:val="22"/>
              <w:bidi w:val="0"/>
              <w:jc w:val="left"/>
              <w:rPr>
                <w:rFonts w:hint="eastAsia" w:ascii="宋体" w:hAnsi="宋体" w:eastAsia="宋体" w:cs="宋体"/>
                <w:lang w:eastAsia="zh-CN"/>
              </w:rPr>
            </w:pPr>
            <w:r>
              <w:rPr>
                <w:rFonts w:hint="eastAsia" w:ascii="宋体" w:hAnsi="宋体" w:eastAsia="宋体" w:cs="宋体"/>
                <w:b/>
                <w:bCs w:val="0"/>
              </w:rPr>
              <w:t>第</w:t>
            </w:r>
            <w:r>
              <w:rPr>
                <w:rFonts w:hint="eastAsia" w:ascii="宋体" w:hAnsi="宋体" w:eastAsia="宋体" w:cs="宋体"/>
                <w:b/>
                <w:bCs w:val="0"/>
                <w:lang w:val="en-US" w:eastAsia="zh-CN"/>
              </w:rPr>
              <w:t>三</w:t>
            </w:r>
            <w:r>
              <w:rPr>
                <w:rFonts w:hint="eastAsia" w:ascii="宋体" w:hAnsi="宋体" w:eastAsia="宋体" w:cs="宋体"/>
                <w:b/>
                <w:bCs w:val="0"/>
              </w:rPr>
              <w:t>档次（</w:t>
            </w:r>
            <w:r>
              <w:rPr>
                <w:rFonts w:hint="eastAsia" w:cs="宋体"/>
                <w:b/>
                <w:bCs w:val="0"/>
                <w:lang w:val="en-US" w:eastAsia="zh-CN"/>
              </w:rPr>
              <w:t>4</w:t>
            </w:r>
            <w:r>
              <w:rPr>
                <w:rFonts w:hint="eastAsia" w:ascii="宋体" w:hAnsi="宋体" w:eastAsia="宋体" w:cs="宋体"/>
                <w:b/>
                <w:bCs w:val="0"/>
              </w:rPr>
              <w:t>分）</w:t>
            </w:r>
            <w:r>
              <w:rPr>
                <w:rFonts w:hint="eastAsia" w:ascii="宋体" w:hAnsi="宋体" w:eastAsia="宋体" w:cs="宋体"/>
              </w:rPr>
              <w:t>：对白蚁虫害防治的</w:t>
            </w:r>
            <w:r>
              <w:rPr>
                <w:rFonts w:hint="eastAsia" w:cs="宋体"/>
                <w:lang w:val="en-US" w:eastAsia="zh-CN"/>
              </w:rPr>
              <w:t>实施</w:t>
            </w:r>
            <w:r>
              <w:rPr>
                <w:rFonts w:hint="eastAsia" w:ascii="宋体" w:hAnsi="宋体" w:eastAsia="宋体" w:cs="宋体"/>
              </w:rPr>
              <w:t>、关键技术、工艺的表述简单，对</w:t>
            </w:r>
            <w:r>
              <w:rPr>
                <w:rFonts w:hint="eastAsia" w:cs="宋体"/>
                <w:lang w:val="en-US" w:eastAsia="zh-CN"/>
              </w:rPr>
              <w:t>项目</w:t>
            </w:r>
            <w:r>
              <w:rPr>
                <w:rFonts w:hint="eastAsia" w:ascii="宋体" w:hAnsi="宋体" w:eastAsia="宋体" w:cs="宋体"/>
              </w:rPr>
              <w:t>重点、难点、经济、安全的解决方案和保证措施无针对性</w:t>
            </w:r>
            <w:r>
              <w:rPr>
                <w:rFonts w:hint="eastAsia" w:cs="宋体"/>
                <w:lang w:eastAsia="zh-CN"/>
              </w:rPr>
              <w:t>；</w:t>
            </w:r>
          </w:p>
          <w:p w14:paraId="786BAB4B">
            <w:pPr>
              <w:pStyle w:val="22"/>
              <w:bidi w:val="0"/>
              <w:jc w:val="left"/>
              <w:rPr>
                <w:rFonts w:hint="eastAsia" w:ascii="宋体" w:hAnsi="宋体" w:eastAsia="宋体" w:cs="宋体"/>
              </w:rPr>
            </w:pPr>
            <w:r>
              <w:rPr>
                <w:rFonts w:hint="eastAsia" w:ascii="宋体" w:hAnsi="宋体" w:eastAsia="宋体" w:cs="宋体"/>
              </w:rPr>
              <w:t>注：未提供对白蚁虫害防治的理解、重难点分析及合理化建议的</w:t>
            </w:r>
            <w:r>
              <w:rPr>
                <w:rFonts w:hint="eastAsia" w:cs="宋体"/>
                <w:lang w:val="en-US" w:eastAsia="zh-CN"/>
              </w:rPr>
              <w:t>，</w:t>
            </w:r>
            <w:r>
              <w:rPr>
                <w:rFonts w:hint="eastAsia" w:ascii="宋体" w:hAnsi="宋体" w:eastAsia="宋体" w:cs="宋体"/>
                <w:highlight w:val="none"/>
              </w:rPr>
              <w:t>得0分。</w:t>
            </w:r>
          </w:p>
        </w:tc>
      </w:tr>
      <w:tr w14:paraId="49DFF98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558" w:type="dxa"/>
            <w:vMerge w:val="continue"/>
            <w:vAlign w:val="center"/>
          </w:tcPr>
          <w:p w14:paraId="3325F2E4">
            <w:pPr>
              <w:pStyle w:val="22"/>
              <w:bidi w:val="0"/>
              <w:jc w:val="center"/>
              <w:outlineLvl w:val="9"/>
              <w:rPr>
                <w:rFonts w:hint="eastAsia"/>
              </w:rPr>
            </w:pPr>
          </w:p>
        </w:tc>
        <w:tc>
          <w:tcPr>
            <w:tcW w:w="1038" w:type="dxa"/>
            <w:vMerge w:val="continue"/>
            <w:vAlign w:val="center"/>
          </w:tcPr>
          <w:p w14:paraId="227504B7">
            <w:pPr>
              <w:pStyle w:val="22"/>
              <w:bidi w:val="0"/>
              <w:jc w:val="center"/>
              <w:outlineLvl w:val="9"/>
              <w:rPr>
                <w:rFonts w:hint="eastAsia"/>
              </w:rPr>
            </w:pPr>
          </w:p>
        </w:tc>
        <w:tc>
          <w:tcPr>
            <w:tcW w:w="2056" w:type="dxa"/>
            <w:vAlign w:val="center"/>
          </w:tcPr>
          <w:p w14:paraId="4E1B5BF0">
            <w:pPr>
              <w:pStyle w:val="22"/>
              <w:bidi w:val="0"/>
              <w:jc w:val="center"/>
              <w:rPr>
                <w:rFonts w:hint="eastAsia" w:ascii="宋体" w:hAnsi="宋体" w:eastAsia="宋体" w:cs="宋体"/>
                <w:highlight w:val="none"/>
              </w:rPr>
            </w:pPr>
            <w:r>
              <w:rPr>
                <w:rFonts w:hint="eastAsia" w:ascii="宋体" w:hAnsi="宋体" w:eastAsia="宋体" w:cs="宋体"/>
                <w:highlight w:val="none"/>
                <w:lang w:val="en-US" w:eastAsia="zh-CN"/>
              </w:rPr>
              <w:t>项目进度计划与保证措施（满分</w:t>
            </w:r>
            <w:r>
              <w:rPr>
                <w:rFonts w:hint="eastAsia" w:cs="宋体"/>
                <w:highlight w:val="none"/>
                <w:lang w:val="en-US" w:eastAsia="zh-CN"/>
              </w:rPr>
              <w:t>10</w:t>
            </w:r>
            <w:r>
              <w:rPr>
                <w:rFonts w:hint="eastAsia" w:ascii="宋体" w:hAnsi="宋体" w:eastAsia="宋体" w:cs="宋体"/>
                <w:highlight w:val="none"/>
                <w:lang w:val="en-US" w:eastAsia="zh-CN"/>
              </w:rPr>
              <w:t>分）</w:t>
            </w:r>
          </w:p>
        </w:tc>
        <w:tc>
          <w:tcPr>
            <w:tcW w:w="6495" w:type="dxa"/>
            <w:vAlign w:val="top"/>
          </w:tcPr>
          <w:p w14:paraId="62150D49">
            <w:pPr>
              <w:pStyle w:val="22"/>
              <w:bidi w:val="0"/>
              <w:jc w:val="left"/>
              <w:rPr>
                <w:rFonts w:hint="eastAsia" w:ascii="宋体" w:hAnsi="宋体" w:eastAsia="宋体" w:cs="宋体"/>
                <w:highlight w:val="none"/>
                <w:lang w:val="en-US" w:eastAsia="zh-CN"/>
              </w:rPr>
            </w:pPr>
            <w:r>
              <w:rPr>
                <w:rFonts w:hint="eastAsia" w:ascii="宋体" w:hAnsi="宋体" w:eastAsia="宋体" w:cs="宋体"/>
                <w:b/>
                <w:bCs w:val="0"/>
                <w:highlight w:val="none"/>
                <w:lang w:val="en-US" w:eastAsia="zh-CN"/>
              </w:rPr>
              <w:t>第一档次（</w:t>
            </w:r>
            <w:r>
              <w:rPr>
                <w:rFonts w:hint="eastAsia" w:cs="宋体"/>
                <w:b/>
                <w:bCs w:val="0"/>
                <w:highlight w:val="none"/>
                <w:lang w:val="en-US" w:eastAsia="zh-CN"/>
              </w:rPr>
              <w:t>10</w:t>
            </w:r>
            <w:r>
              <w:rPr>
                <w:rFonts w:hint="eastAsia" w:ascii="宋体" w:hAnsi="宋体" w:eastAsia="宋体" w:cs="宋体"/>
                <w:b/>
                <w:bCs w:val="0"/>
                <w:highlight w:val="none"/>
                <w:lang w:val="en-US" w:eastAsia="zh-CN"/>
              </w:rPr>
              <w:t>分）</w:t>
            </w:r>
            <w:r>
              <w:rPr>
                <w:rFonts w:hint="eastAsia" w:ascii="宋体" w:hAnsi="宋体" w:eastAsia="宋体" w:cs="宋体"/>
                <w:highlight w:val="none"/>
                <w:lang w:val="en-US" w:eastAsia="zh-CN"/>
              </w:rPr>
              <w:t>：项目进度计划内容全面，线路清晰、准确、完整，计划编制合理可行，有详细完整的项目进度图</w:t>
            </w:r>
            <w:r>
              <w:rPr>
                <w:rFonts w:hint="eastAsia" w:cs="宋体"/>
                <w:highlight w:val="none"/>
                <w:lang w:val="en-US" w:eastAsia="zh-CN"/>
              </w:rPr>
              <w:t>，</w:t>
            </w:r>
            <w:r>
              <w:rPr>
                <w:rFonts w:hint="eastAsia" w:ascii="宋体" w:hAnsi="宋体" w:eastAsia="宋体" w:cs="宋体"/>
                <w:highlight w:val="none"/>
                <w:lang w:val="en-US" w:eastAsia="zh-CN"/>
              </w:rPr>
              <w:t>计划安排保障措施有力、合理、可行</w:t>
            </w:r>
            <w:r>
              <w:rPr>
                <w:rFonts w:hint="eastAsia" w:cs="宋体"/>
                <w:highlight w:val="none"/>
                <w:lang w:val="en-US" w:eastAsia="zh-CN"/>
              </w:rPr>
              <w:t>；</w:t>
            </w:r>
          </w:p>
          <w:p w14:paraId="559AE794">
            <w:pPr>
              <w:pStyle w:val="22"/>
              <w:bidi w:val="0"/>
              <w:jc w:val="left"/>
              <w:rPr>
                <w:rFonts w:hint="eastAsia" w:ascii="宋体" w:hAnsi="宋体" w:eastAsia="宋体" w:cs="宋体"/>
                <w:highlight w:val="none"/>
                <w:lang w:val="en-US" w:eastAsia="zh-CN"/>
              </w:rPr>
            </w:pPr>
            <w:r>
              <w:rPr>
                <w:rFonts w:hint="eastAsia" w:ascii="宋体" w:hAnsi="宋体" w:eastAsia="宋体" w:cs="宋体"/>
                <w:b/>
                <w:bCs w:val="0"/>
                <w:highlight w:val="none"/>
                <w:lang w:val="en-US" w:eastAsia="zh-CN"/>
              </w:rPr>
              <w:t>第</w:t>
            </w:r>
            <w:r>
              <w:rPr>
                <w:rFonts w:hint="eastAsia" w:cs="宋体"/>
                <w:b/>
                <w:bCs w:val="0"/>
                <w:highlight w:val="none"/>
                <w:lang w:val="en-US" w:eastAsia="zh-CN"/>
              </w:rPr>
              <w:t>二</w:t>
            </w:r>
            <w:r>
              <w:rPr>
                <w:rFonts w:hint="eastAsia" w:ascii="宋体" w:hAnsi="宋体" w:eastAsia="宋体" w:cs="宋体"/>
                <w:b/>
                <w:bCs w:val="0"/>
                <w:highlight w:val="none"/>
                <w:lang w:val="en-US" w:eastAsia="zh-CN"/>
              </w:rPr>
              <w:t>档次（</w:t>
            </w:r>
            <w:r>
              <w:rPr>
                <w:rFonts w:hint="eastAsia" w:cs="宋体"/>
                <w:b/>
                <w:bCs w:val="0"/>
                <w:highlight w:val="none"/>
                <w:lang w:val="en-US" w:eastAsia="zh-CN"/>
              </w:rPr>
              <w:t>7</w:t>
            </w:r>
            <w:r>
              <w:rPr>
                <w:rFonts w:hint="eastAsia" w:ascii="宋体" w:hAnsi="宋体" w:eastAsia="宋体" w:cs="宋体"/>
                <w:b/>
                <w:bCs w:val="0"/>
                <w:highlight w:val="none"/>
                <w:lang w:val="en-US" w:eastAsia="zh-CN"/>
              </w:rPr>
              <w:t>分）</w:t>
            </w:r>
            <w:r>
              <w:rPr>
                <w:rFonts w:hint="eastAsia" w:ascii="宋体" w:hAnsi="宋体" w:eastAsia="宋体" w:cs="宋体"/>
                <w:highlight w:val="none"/>
                <w:lang w:val="en-US" w:eastAsia="zh-CN"/>
              </w:rPr>
              <w:t>：项目进度计划内容</w:t>
            </w:r>
            <w:r>
              <w:rPr>
                <w:rFonts w:hint="eastAsia" w:cs="宋体"/>
                <w:highlight w:val="none"/>
                <w:lang w:val="en-US" w:eastAsia="zh-CN"/>
              </w:rPr>
              <w:t>较</w:t>
            </w:r>
            <w:r>
              <w:rPr>
                <w:rFonts w:hint="eastAsia" w:ascii="宋体" w:hAnsi="宋体" w:eastAsia="宋体" w:cs="宋体"/>
                <w:highlight w:val="none"/>
                <w:lang w:val="en-US" w:eastAsia="zh-CN"/>
              </w:rPr>
              <w:t>全面，线路</w:t>
            </w:r>
            <w:r>
              <w:rPr>
                <w:rFonts w:hint="eastAsia" w:cs="宋体"/>
                <w:highlight w:val="none"/>
                <w:lang w:val="en-US" w:eastAsia="zh-CN"/>
              </w:rPr>
              <w:t>较</w:t>
            </w:r>
            <w:r>
              <w:rPr>
                <w:rFonts w:hint="eastAsia" w:ascii="宋体" w:hAnsi="宋体" w:eastAsia="宋体" w:cs="宋体"/>
                <w:highlight w:val="none"/>
                <w:lang w:val="en-US" w:eastAsia="zh-CN"/>
              </w:rPr>
              <w:t>清晰，计划编制</w:t>
            </w:r>
            <w:r>
              <w:rPr>
                <w:rFonts w:hint="eastAsia" w:cs="宋体"/>
                <w:highlight w:val="none"/>
                <w:lang w:val="en-US" w:eastAsia="zh-CN"/>
              </w:rPr>
              <w:t>较</w:t>
            </w:r>
            <w:r>
              <w:rPr>
                <w:rFonts w:hint="eastAsia" w:ascii="宋体" w:hAnsi="宋体" w:eastAsia="宋体" w:cs="宋体"/>
                <w:highlight w:val="none"/>
                <w:lang w:val="en-US" w:eastAsia="zh-CN"/>
              </w:rPr>
              <w:t>合理，项目进度图存在缺陷</w:t>
            </w:r>
            <w:r>
              <w:rPr>
                <w:rFonts w:hint="eastAsia" w:cs="宋体"/>
                <w:highlight w:val="none"/>
                <w:lang w:val="en-US" w:eastAsia="zh-CN"/>
              </w:rPr>
              <w:t>，</w:t>
            </w:r>
            <w:r>
              <w:rPr>
                <w:rFonts w:hint="eastAsia" w:ascii="宋体" w:hAnsi="宋体" w:eastAsia="宋体" w:cs="宋体"/>
                <w:highlight w:val="none"/>
                <w:lang w:val="en-US" w:eastAsia="zh-CN"/>
              </w:rPr>
              <w:t>计划安排保障措施基本可行</w:t>
            </w:r>
            <w:r>
              <w:rPr>
                <w:rFonts w:hint="eastAsia" w:cs="宋体"/>
                <w:highlight w:val="none"/>
                <w:lang w:val="en-US" w:eastAsia="zh-CN"/>
              </w:rPr>
              <w:t>；</w:t>
            </w:r>
          </w:p>
          <w:p w14:paraId="63C870F4">
            <w:pPr>
              <w:pStyle w:val="22"/>
              <w:bidi w:val="0"/>
              <w:jc w:val="left"/>
              <w:rPr>
                <w:rFonts w:hint="eastAsia" w:ascii="宋体" w:hAnsi="宋体" w:eastAsia="宋体" w:cs="宋体"/>
                <w:highlight w:val="none"/>
                <w:lang w:val="en-US" w:eastAsia="zh-CN"/>
              </w:rPr>
            </w:pPr>
            <w:r>
              <w:rPr>
                <w:rFonts w:hint="eastAsia" w:ascii="宋体" w:hAnsi="宋体" w:eastAsia="宋体" w:cs="宋体"/>
                <w:b/>
                <w:bCs w:val="0"/>
                <w:highlight w:val="none"/>
                <w:lang w:val="en-US" w:eastAsia="zh-CN"/>
              </w:rPr>
              <w:t>第</w:t>
            </w:r>
            <w:r>
              <w:rPr>
                <w:rFonts w:hint="eastAsia" w:cs="宋体"/>
                <w:b/>
                <w:bCs w:val="0"/>
                <w:highlight w:val="none"/>
                <w:lang w:val="en-US" w:eastAsia="zh-CN"/>
              </w:rPr>
              <w:t>三</w:t>
            </w:r>
            <w:r>
              <w:rPr>
                <w:rFonts w:hint="eastAsia" w:ascii="宋体" w:hAnsi="宋体" w:eastAsia="宋体" w:cs="宋体"/>
                <w:b/>
                <w:bCs w:val="0"/>
                <w:highlight w:val="none"/>
                <w:lang w:val="en-US" w:eastAsia="zh-CN"/>
              </w:rPr>
              <w:t>档次（</w:t>
            </w:r>
            <w:r>
              <w:rPr>
                <w:rFonts w:hint="eastAsia" w:cs="宋体"/>
                <w:b/>
                <w:bCs w:val="0"/>
                <w:highlight w:val="none"/>
                <w:lang w:val="en-US" w:eastAsia="zh-CN"/>
              </w:rPr>
              <w:t>4</w:t>
            </w:r>
            <w:r>
              <w:rPr>
                <w:rFonts w:hint="eastAsia" w:ascii="宋体" w:hAnsi="宋体" w:eastAsia="宋体" w:cs="宋体"/>
                <w:b/>
                <w:bCs w:val="0"/>
                <w:highlight w:val="none"/>
                <w:lang w:val="en-US" w:eastAsia="zh-CN"/>
              </w:rPr>
              <w:t>分）</w:t>
            </w:r>
            <w:r>
              <w:rPr>
                <w:rFonts w:hint="eastAsia" w:ascii="宋体" w:hAnsi="宋体" w:eastAsia="宋体" w:cs="宋体"/>
                <w:highlight w:val="none"/>
                <w:lang w:val="en-US" w:eastAsia="zh-CN"/>
              </w:rPr>
              <w:t>：项目进度计划内容不够全面，线路不够清晰，计划编制不够合理，无项目进度图</w:t>
            </w:r>
            <w:r>
              <w:rPr>
                <w:rFonts w:hint="eastAsia" w:cs="宋体"/>
                <w:highlight w:val="none"/>
                <w:lang w:val="en-US" w:eastAsia="zh-CN"/>
              </w:rPr>
              <w:t>，</w:t>
            </w:r>
            <w:r>
              <w:rPr>
                <w:rFonts w:hint="eastAsia" w:ascii="宋体" w:hAnsi="宋体" w:eastAsia="宋体" w:cs="宋体"/>
                <w:highlight w:val="none"/>
                <w:lang w:val="en-US" w:eastAsia="zh-CN"/>
              </w:rPr>
              <w:t>计划安排保障措施保障一般</w:t>
            </w:r>
            <w:r>
              <w:rPr>
                <w:rFonts w:hint="eastAsia" w:cs="宋体"/>
                <w:highlight w:val="none"/>
                <w:lang w:val="en-US" w:eastAsia="zh-CN"/>
              </w:rPr>
              <w:t>；</w:t>
            </w:r>
          </w:p>
          <w:p w14:paraId="63AB8000">
            <w:pPr>
              <w:pStyle w:val="22"/>
              <w:bidi w:val="0"/>
              <w:jc w:val="left"/>
              <w:rPr>
                <w:rFonts w:hint="eastAsia" w:ascii="宋体" w:hAnsi="宋体" w:eastAsia="宋体" w:cs="宋体"/>
                <w:highlight w:val="none"/>
              </w:rPr>
            </w:pPr>
            <w:r>
              <w:rPr>
                <w:rFonts w:hint="eastAsia" w:ascii="宋体" w:hAnsi="宋体" w:eastAsia="宋体" w:cs="宋体"/>
                <w:highlight w:val="none"/>
              </w:rPr>
              <w:t>注：未提供项目进度计划与保证措施的</w:t>
            </w:r>
            <w:r>
              <w:rPr>
                <w:rFonts w:hint="eastAsia" w:cs="宋体"/>
                <w:lang w:val="en-US" w:eastAsia="zh-CN"/>
              </w:rPr>
              <w:t>，</w:t>
            </w:r>
            <w:r>
              <w:rPr>
                <w:rFonts w:hint="eastAsia" w:ascii="宋体" w:hAnsi="宋体" w:eastAsia="宋体" w:cs="宋体"/>
                <w:highlight w:val="none"/>
              </w:rPr>
              <w:t>得0分。</w:t>
            </w:r>
          </w:p>
        </w:tc>
      </w:tr>
      <w:tr w14:paraId="7E7AF0D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084F8A82">
            <w:pPr>
              <w:pStyle w:val="22"/>
              <w:bidi w:val="0"/>
              <w:outlineLvl w:val="9"/>
              <w:rPr>
                <w:rFonts w:hint="eastAsia"/>
              </w:rPr>
            </w:pPr>
          </w:p>
        </w:tc>
        <w:tc>
          <w:tcPr>
            <w:tcW w:w="1038" w:type="dxa"/>
            <w:vMerge w:val="continue"/>
            <w:vAlign w:val="center"/>
          </w:tcPr>
          <w:p w14:paraId="1DA5C344">
            <w:pPr>
              <w:pStyle w:val="22"/>
              <w:bidi w:val="0"/>
              <w:outlineLvl w:val="9"/>
              <w:rPr>
                <w:rFonts w:hint="eastAsia"/>
              </w:rPr>
            </w:pPr>
          </w:p>
        </w:tc>
        <w:tc>
          <w:tcPr>
            <w:tcW w:w="2056" w:type="dxa"/>
            <w:vAlign w:val="center"/>
          </w:tcPr>
          <w:p w14:paraId="544D426D">
            <w:pPr>
              <w:pStyle w:val="22"/>
              <w:bidi w:val="0"/>
              <w:jc w:val="center"/>
              <w:rPr>
                <w:rFonts w:hint="eastAsia" w:ascii="宋体" w:hAnsi="宋体" w:eastAsia="宋体" w:cs="宋体"/>
                <w:highlight w:val="none"/>
              </w:rPr>
            </w:pPr>
            <w:r>
              <w:rPr>
                <w:rFonts w:hint="eastAsia" w:ascii="宋体" w:hAnsi="宋体" w:eastAsia="宋体" w:cs="宋体"/>
                <w:highlight w:val="none"/>
              </w:rPr>
              <w:t>后续服务</w:t>
            </w:r>
            <w:r>
              <w:rPr>
                <w:rFonts w:hint="eastAsia" w:cs="宋体"/>
                <w:highlight w:val="none"/>
                <w:lang w:val="en-US" w:eastAsia="zh-CN"/>
              </w:rPr>
              <w:t>安排及</w:t>
            </w:r>
            <w:r>
              <w:rPr>
                <w:rFonts w:hint="eastAsia" w:ascii="宋体" w:hAnsi="宋体" w:eastAsia="宋体" w:cs="宋体"/>
                <w:highlight w:val="none"/>
              </w:rPr>
              <w:t>承诺（满分</w:t>
            </w:r>
            <w:r>
              <w:rPr>
                <w:rFonts w:hint="eastAsia" w:cs="宋体"/>
                <w:highlight w:val="none"/>
                <w:lang w:val="en-US" w:eastAsia="zh-CN"/>
              </w:rPr>
              <w:t>10</w:t>
            </w:r>
            <w:r>
              <w:rPr>
                <w:rFonts w:hint="eastAsia" w:ascii="宋体" w:hAnsi="宋体" w:eastAsia="宋体" w:cs="宋体"/>
                <w:highlight w:val="none"/>
              </w:rPr>
              <w:t>分）</w:t>
            </w:r>
          </w:p>
        </w:tc>
        <w:tc>
          <w:tcPr>
            <w:tcW w:w="6495" w:type="dxa"/>
            <w:vAlign w:val="center"/>
          </w:tcPr>
          <w:p w14:paraId="15715EB5">
            <w:pPr>
              <w:pStyle w:val="22"/>
              <w:bidi w:val="0"/>
              <w:jc w:val="left"/>
              <w:rPr>
                <w:rFonts w:hint="eastAsia" w:ascii="宋体" w:hAnsi="宋体" w:eastAsia="宋体" w:cs="宋体"/>
                <w:highlight w:val="none"/>
              </w:rPr>
            </w:pPr>
            <w:r>
              <w:rPr>
                <w:rFonts w:hint="eastAsia" w:ascii="宋体" w:hAnsi="宋体" w:eastAsia="宋体" w:cs="宋体"/>
                <w:b/>
                <w:bCs w:val="0"/>
                <w:highlight w:val="none"/>
              </w:rPr>
              <w:t>第一档次（</w:t>
            </w:r>
            <w:r>
              <w:rPr>
                <w:rFonts w:hint="eastAsia" w:cs="宋体"/>
                <w:b/>
                <w:bCs w:val="0"/>
                <w:highlight w:val="none"/>
                <w:lang w:val="en-US" w:eastAsia="zh-CN"/>
              </w:rPr>
              <w:t>10</w:t>
            </w:r>
            <w:r>
              <w:rPr>
                <w:rFonts w:hint="eastAsia" w:ascii="宋体" w:hAnsi="宋体" w:eastAsia="宋体" w:cs="宋体"/>
                <w:b/>
                <w:bCs w:val="0"/>
                <w:highlight w:val="none"/>
              </w:rPr>
              <w:t>分）</w:t>
            </w:r>
            <w:r>
              <w:rPr>
                <w:rFonts w:hint="eastAsia" w:ascii="宋体" w:hAnsi="宋体" w:eastAsia="宋体" w:cs="宋体"/>
                <w:highlight w:val="none"/>
              </w:rPr>
              <w:t>：后续服务工作安排全面完善，服务内容详细、科学合理，技术支持强，响应快，承诺全面；</w:t>
            </w:r>
          </w:p>
          <w:p w14:paraId="792B5DD4">
            <w:pPr>
              <w:pStyle w:val="22"/>
              <w:bidi w:val="0"/>
              <w:jc w:val="left"/>
              <w:rPr>
                <w:rFonts w:hint="eastAsia" w:ascii="宋体" w:hAnsi="宋体" w:eastAsia="宋体" w:cs="宋体"/>
                <w:highlight w:val="none"/>
              </w:rPr>
            </w:pPr>
            <w:r>
              <w:rPr>
                <w:rFonts w:hint="eastAsia" w:ascii="宋体" w:hAnsi="宋体" w:eastAsia="宋体" w:cs="宋体"/>
                <w:b/>
                <w:bCs w:val="0"/>
                <w:highlight w:val="none"/>
              </w:rPr>
              <w:t>第二档次（</w:t>
            </w:r>
            <w:r>
              <w:rPr>
                <w:rFonts w:hint="eastAsia" w:cs="宋体"/>
                <w:b/>
                <w:bCs w:val="0"/>
                <w:highlight w:val="none"/>
                <w:lang w:val="en-US" w:eastAsia="zh-CN"/>
              </w:rPr>
              <w:t>7</w:t>
            </w:r>
            <w:r>
              <w:rPr>
                <w:rFonts w:hint="eastAsia" w:ascii="宋体" w:hAnsi="宋体" w:eastAsia="宋体" w:cs="宋体"/>
                <w:b/>
                <w:bCs w:val="0"/>
                <w:highlight w:val="none"/>
              </w:rPr>
              <w:t>分）</w:t>
            </w:r>
            <w:r>
              <w:rPr>
                <w:rFonts w:hint="eastAsia" w:ascii="宋体" w:hAnsi="宋体" w:eastAsia="宋体" w:cs="宋体"/>
                <w:highlight w:val="none"/>
              </w:rPr>
              <w:t>：后续服务工作完善，服务内容较详细、合理，技术支持较强，响应较快，承诺较全面；</w:t>
            </w:r>
          </w:p>
          <w:p w14:paraId="5076DAC4">
            <w:pPr>
              <w:pStyle w:val="22"/>
              <w:bidi w:val="0"/>
              <w:jc w:val="left"/>
              <w:rPr>
                <w:rFonts w:hint="eastAsia" w:ascii="宋体" w:hAnsi="宋体" w:eastAsia="宋体" w:cs="宋体"/>
                <w:highlight w:val="none"/>
              </w:rPr>
            </w:pPr>
            <w:r>
              <w:rPr>
                <w:rFonts w:hint="eastAsia" w:ascii="宋体" w:hAnsi="宋体" w:eastAsia="宋体" w:cs="宋体"/>
                <w:b/>
                <w:bCs w:val="0"/>
                <w:highlight w:val="none"/>
              </w:rPr>
              <w:t>第三档次（</w:t>
            </w:r>
            <w:r>
              <w:rPr>
                <w:rFonts w:hint="eastAsia" w:cs="宋体"/>
                <w:b/>
                <w:bCs w:val="0"/>
                <w:highlight w:val="none"/>
                <w:lang w:val="en-US" w:eastAsia="zh-CN"/>
              </w:rPr>
              <w:t>4</w:t>
            </w:r>
            <w:r>
              <w:rPr>
                <w:rFonts w:hint="eastAsia" w:ascii="宋体" w:hAnsi="宋体" w:eastAsia="宋体" w:cs="宋体"/>
                <w:b/>
                <w:bCs w:val="0"/>
                <w:highlight w:val="none"/>
              </w:rPr>
              <w:t>分）</w:t>
            </w:r>
            <w:r>
              <w:rPr>
                <w:rFonts w:hint="eastAsia" w:ascii="宋体" w:hAnsi="宋体" w:eastAsia="宋体" w:cs="宋体"/>
                <w:highlight w:val="none"/>
              </w:rPr>
              <w:t>：后续服务工作基本满足项目需求，但技术支持、响应、承诺等均一般；</w:t>
            </w:r>
          </w:p>
          <w:p w14:paraId="60F42460">
            <w:pPr>
              <w:pStyle w:val="22"/>
              <w:bidi w:val="0"/>
              <w:jc w:val="left"/>
              <w:rPr>
                <w:rFonts w:hint="eastAsia" w:ascii="宋体" w:hAnsi="宋体" w:eastAsia="宋体" w:cs="宋体"/>
                <w:highlight w:val="none"/>
              </w:rPr>
            </w:pPr>
            <w:r>
              <w:rPr>
                <w:rFonts w:hint="eastAsia" w:ascii="宋体" w:hAnsi="宋体" w:eastAsia="宋体" w:cs="宋体"/>
                <w:highlight w:val="none"/>
              </w:rPr>
              <w:t>注：未提供后续服务</w:t>
            </w:r>
            <w:r>
              <w:rPr>
                <w:rFonts w:hint="eastAsia" w:cs="宋体"/>
                <w:highlight w:val="none"/>
                <w:lang w:val="en-US" w:eastAsia="zh-CN"/>
              </w:rPr>
              <w:t>安排及</w:t>
            </w:r>
            <w:r>
              <w:rPr>
                <w:rFonts w:hint="eastAsia" w:ascii="宋体" w:hAnsi="宋体" w:eastAsia="宋体" w:cs="宋体"/>
                <w:highlight w:val="none"/>
              </w:rPr>
              <w:t>承诺的</w:t>
            </w:r>
            <w:r>
              <w:rPr>
                <w:rFonts w:hint="eastAsia" w:ascii="宋体" w:hAnsi="宋体" w:eastAsia="宋体" w:cs="宋体"/>
                <w:highlight w:val="none"/>
                <w:lang w:eastAsia="zh-CN"/>
              </w:rPr>
              <w:t>，</w:t>
            </w:r>
            <w:r>
              <w:rPr>
                <w:rFonts w:hint="eastAsia" w:ascii="宋体" w:hAnsi="宋体" w:eastAsia="宋体" w:cs="宋体"/>
                <w:highlight w:val="none"/>
              </w:rPr>
              <w:t>得0分。</w:t>
            </w:r>
          </w:p>
        </w:tc>
      </w:tr>
      <w:tr w14:paraId="3E789FD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5A20C786">
            <w:pPr>
              <w:pStyle w:val="22"/>
              <w:bidi w:val="0"/>
              <w:outlineLvl w:val="9"/>
              <w:rPr>
                <w:rFonts w:hint="eastAsia"/>
              </w:rPr>
            </w:pPr>
          </w:p>
        </w:tc>
        <w:tc>
          <w:tcPr>
            <w:tcW w:w="1038" w:type="dxa"/>
            <w:vMerge w:val="continue"/>
            <w:vAlign w:val="center"/>
          </w:tcPr>
          <w:p w14:paraId="74061856">
            <w:pPr>
              <w:pStyle w:val="22"/>
              <w:bidi w:val="0"/>
              <w:outlineLvl w:val="9"/>
              <w:rPr>
                <w:rFonts w:hint="eastAsia"/>
              </w:rPr>
            </w:pPr>
          </w:p>
        </w:tc>
        <w:tc>
          <w:tcPr>
            <w:tcW w:w="8551" w:type="dxa"/>
            <w:gridSpan w:val="2"/>
            <w:vAlign w:val="center"/>
          </w:tcPr>
          <w:p w14:paraId="1302AE71">
            <w:pPr>
              <w:pStyle w:val="22"/>
              <w:bidi w:val="0"/>
              <w:jc w:val="center"/>
              <w:rPr>
                <w:rFonts w:hint="eastAsia" w:ascii="宋体" w:hAnsi="宋体" w:eastAsia="宋体" w:cs="宋体"/>
                <w:b/>
                <w:bCs w:val="0"/>
                <w:highlight w:val="none"/>
                <w:lang w:eastAsia="zh-CN"/>
              </w:rPr>
            </w:pPr>
            <w:r>
              <w:rPr>
                <w:rFonts w:hint="eastAsia" w:cs="宋体"/>
                <w:b/>
                <w:bCs w:val="0"/>
                <w:highlight w:val="none"/>
                <w:lang w:val="en-US" w:eastAsia="zh-CN"/>
              </w:rPr>
              <w:t>商务</w:t>
            </w:r>
            <w:r>
              <w:rPr>
                <w:rFonts w:hint="eastAsia" w:ascii="宋体" w:hAnsi="宋体" w:eastAsia="宋体" w:cs="宋体"/>
                <w:b/>
                <w:bCs w:val="0"/>
                <w:highlight w:val="none"/>
              </w:rPr>
              <w:t>部分F3</w:t>
            </w:r>
            <w:r>
              <w:rPr>
                <w:rFonts w:hint="eastAsia" w:cs="宋体"/>
                <w:b/>
                <w:bCs w:val="0"/>
                <w:highlight w:val="none"/>
                <w:lang w:eastAsia="zh-CN"/>
              </w:rPr>
              <w:t>（</w:t>
            </w:r>
            <w:r>
              <w:rPr>
                <w:rFonts w:hint="eastAsia" w:ascii="宋体" w:hAnsi="宋体" w:eastAsia="宋体" w:cs="宋体"/>
                <w:b/>
                <w:bCs w:val="0"/>
                <w:highlight w:val="none"/>
              </w:rPr>
              <w:t>满分</w:t>
            </w:r>
            <w:r>
              <w:rPr>
                <w:rFonts w:hint="eastAsia" w:cs="宋体"/>
                <w:b/>
                <w:bCs w:val="0"/>
                <w:highlight w:val="none"/>
                <w:lang w:val="en-US" w:eastAsia="zh-CN"/>
              </w:rPr>
              <w:t>20</w:t>
            </w:r>
            <w:r>
              <w:rPr>
                <w:rFonts w:hint="eastAsia" w:ascii="宋体" w:hAnsi="宋体" w:eastAsia="宋体" w:cs="宋体"/>
                <w:b/>
                <w:bCs w:val="0"/>
                <w:highlight w:val="none"/>
              </w:rPr>
              <w:t>分</w:t>
            </w:r>
            <w:r>
              <w:rPr>
                <w:rFonts w:hint="eastAsia" w:cs="宋体"/>
                <w:b/>
                <w:bCs w:val="0"/>
                <w:highlight w:val="none"/>
                <w:lang w:eastAsia="zh-CN"/>
              </w:rPr>
              <w:t>）</w:t>
            </w:r>
          </w:p>
        </w:tc>
      </w:tr>
      <w:tr w14:paraId="4D11147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08F41E4C">
            <w:pPr>
              <w:pStyle w:val="22"/>
              <w:bidi w:val="0"/>
              <w:outlineLvl w:val="9"/>
              <w:rPr>
                <w:rFonts w:hint="eastAsia"/>
              </w:rPr>
            </w:pPr>
          </w:p>
        </w:tc>
        <w:tc>
          <w:tcPr>
            <w:tcW w:w="1038" w:type="dxa"/>
            <w:vMerge w:val="continue"/>
            <w:vAlign w:val="center"/>
          </w:tcPr>
          <w:p w14:paraId="67702059">
            <w:pPr>
              <w:pStyle w:val="22"/>
              <w:bidi w:val="0"/>
              <w:outlineLvl w:val="9"/>
              <w:rPr>
                <w:rFonts w:hint="eastAsia"/>
              </w:rPr>
            </w:pPr>
          </w:p>
        </w:tc>
        <w:tc>
          <w:tcPr>
            <w:tcW w:w="2056" w:type="dxa"/>
            <w:vAlign w:val="center"/>
          </w:tcPr>
          <w:p w14:paraId="39CA06BE">
            <w:pPr>
              <w:spacing w:line="360" w:lineRule="auto"/>
              <w:ind w:left="0" w:leftChars="0" w:firstLine="0" w:firstLineChars="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拟投入人员</w:t>
            </w:r>
            <w:r>
              <w:rPr>
                <w:rFonts w:hint="eastAsia" w:ascii="宋体" w:hAnsi="宋体" w:eastAsia="宋体" w:cs="Times New Roman"/>
                <w:color w:val="auto"/>
                <w:szCs w:val="21"/>
                <w:highlight w:val="none"/>
                <w:lang w:eastAsia="zh-CN"/>
              </w:rPr>
              <w:t>及设备</w:t>
            </w:r>
          </w:p>
          <w:p w14:paraId="1740BEFD">
            <w:pPr>
              <w:spacing w:line="360" w:lineRule="auto"/>
              <w:ind w:left="0" w:leftChars="0" w:firstLine="0" w:firstLineChars="0"/>
              <w:jc w:val="center"/>
              <w:rPr>
                <w:rFonts w:hint="eastAsia" w:eastAsia="宋体"/>
                <w:highlight w:val="none"/>
                <w:lang w:eastAsia="zh-CN"/>
              </w:rPr>
            </w:pPr>
            <w:r>
              <w:rPr>
                <w:rFonts w:hint="eastAsia" w:ascii="宋体" w:hAnsi="宋体"/>
                <w:color w:val="auto"/>
                <w:szCs w:val="21"/>
                <w:highlight w:val="none"/>
              </w:rPr>
              <w:t>（</w:t>
            </w:r>
            <w:r>
              <w:rPr>
                <w:rFonts w:hint="eastAsia"/>
                <w:color w:val="auto"/>
                <w:szCs w:val="21"/>
                <w:highlight w:val="none"/>
                <w:lang w:val="en-US" w:eastAsia="zh-CN"/>
              </w:rPr>
              <w:t>10</w:t>
            </w:r>
            <w:r>
              <w:rPr>
                <w:rFonts w:hint="eastAsia" w:ascii="宋体" w:hAnsi="宋体"/>
                <w:color w:val="auto"/>
                <w:szCs w:val="21"/>
                <w:highlight w:val="none"/>
              </w:rPr>
              <w:t>分）</w:t>
            </w:r>
          </w:p>
        </w:tc>
        <w:tc>
          <w:tcPr>
            <w:tcW w:w="6495" w:type="dxa"/>
            <w:vAlign w:val="center"/>
          </w:tcPr>
          <w:p w14:paraId="5ACBE2C3">
            <w:pPr>
              <w:pStyle w:val="22"/>
              <w:bidi w:val="0"/>
              <w:jc w:val="left"/>
              <w:rPr>
                <w:rFonts w:hint="eastAsia" w:ascii="宋体" w:hAnsi="宋体" w:eastAsia="宋体" w:cs="宋体"/>
                <w:highlight w:val="none"/>
                <w:lang w:val="en-US" w:eastAsia="zh-CN"/>
              </w:rPr>
            </w:pPr>
            <w:r>
              <w:rPr>
                <w:rFonts w:hint="eastAsia" w:ascii="宋体" w:hAnsi="宋体" w:eastAsia="宋体" w:cs="宋体"/>
                <w:b/>
                <w:bCs w:val="0"/>
                <w:highlight w:val="none"/>
              </w:rPr>
              <w:t>第一档次（</w:t>
            </w:r>
            <w:r>
              <w:rPr>
                <w:rFonts w:hint="eastAsia" w:cs="宋体"/>
                <w:b/>
                <w:bCs w:val="0"/>
                <w:highlight w:val="none"/>
                <w:lang w:val="en-US" w:eastAsia="zh-CN"/>
              </w:rPr>
              <w:t>10</w:t>
            </w:r>
            <w:r>
              <w:rPr>
                <w:rFonts w:hint="eastAsia" w:ascii="宋体" w:hAnsi="宋体" w:eastAsia="宋体" w:cs="宋体"/>
                <w:b/>
                <w:bCs w:val="0"/>
                <w:highlight w:val="none"/>
              </w:rPr>
              <w:t>分）</w:t>
            </w:r>
            <w:r>
              <w:rPr>
                <w:rFonts w:hint="eastAsia" w:ascii="宋体" w:hAnsi="宋体" w:eastAsia="宋体" w:cs="宋体"/>
                <w:highlight w:val="none"/>
              </w:rPr>
              <w:t>：</w:t>
            </w:r>
            <w:r>
              <w:rPr>
                <w:rFonts w:hint="eastAsia" w:ascii="宋体" w:hAnsi="宋体" w:eastAsia="宋体" w:cs="宋体"/>
                <w:highlight w:val="none"/>
                <w:lang w:val="en-US" w:eastAsia="zh-CN"/>
              </w:rPr>
              <w:t>拟投入本项目人员针对项目实际配置合理，能满足项目需要</w:t>
            </w:r>
            <w:r>
              <w:rPr>
                <w:rFonts w:hint="eastAsia" w:cs="宋体"/>
                <w:highlight w:val="none"/>
                <w:lang w:val="en-US" w:eastAsia="zh-CN"/>
              </w:rPr>
              <w:t>，</w:t>
            </w:r>
            <w:r>
              <w:rPr>
                <w:rFonts w:hint="eastAsia" w:ascii="宋体" w:hAnsi="宋体" w:eastAsia="宋体" w:cs="宋体"/>
                <w:highlight w:val="none"/>
                <w:lang w:val="en-US" w:eastAsia="zh-CN"/>
              </w:rPr>
              <w:t>有针对性；提供设备齐全，完全满足项目要求</w:t>
            </w:r>
            <w:r>
              <w:rPr>
                <w:rFonts w:hint="eastAsia" w:cs="宋体"/>
                <w:highlight w:val="none"/>
                <w:lang w:val="en-US" w:eastAsia="zh-CN"/>
              </w:rPr>
              <w:t>；</w:t>
            </w:r>
          </w:p>
          <w:p w14:paraId="4FB5F092">
            <w:pPr>
              <w:pStyle w:val="22"/>
              <w:bidi w:val="0"/>
              <w:jc w:val="left"/>
              <w:rPr>
                <w:rFonts w:hint="eastAsia" w:ascii="宋体" w:hAnsi="宋体" w:eastAsia="宋体" w:cs="宋体"/>
                <w:highlight w:val="none"/>
                <w:lang w:val="en-US" w:eastAsia="zh-CN"/>
              </w:rPr>
            </w:pPr>
            <w:r>
              <w:rPr>
                <w:rFonts w:hint="eastAsia" w:ascii="宋体" w:hAnsi="宋体" w:eastAsia="宋体" w:cs="宋体"/>
                <w:b/>
                <w:bCs w:val="0"/>
                <w:highlight w:val="none"/>
              </w:rPr>
              <w:t>第</w:t>
            </w:r>
            <w:r>
              <w:rPr>
                <w:rFonts w:hint="eastAsia" w:ascii="宋体" w:hAnsi="宋体" w:eastAsia="宋体" w:cs="宋体"/>
                <w:b/>
                <w:bCs w:val="0"/>
                <w:highlight w:val="none"/>
                <w:lang w:val="en-US" w:eastAsia="zh-CN"/>
              </w:rPr>
              <w:t>二</w:t>
            </w:r>
            <w:r>
              <w:rPr>
                <w:rFonts w:hint="eastAsia" w:ascii="宋体" w:hAnsi="宋体" w:eastAsia="宋体" w:cs="宋体"/>
                <w:b/>
                <w:bCs w:val="0"/>
                <w:highlight w:val="none"/>
              </w:rPr>
              <w:t>档次（</w:t>
            </w:r>
            <w:r>
              <w:rPr>
                <w:rFonts w:hint="eastAsia" w:cs="宋体"/>
                <w:b/>
                <w:bCs w:val="0"/>
                <w:highlight w:val="none"/>
                <w:lang w:val="en-US" w:eastAsia="zh-CN"/>
              </w:rPr>
              <w:t>7</w:t>
            </w:r>
            <w:r>
              <w:rPr>
                <w:rFonts w:hint="eastAsia" w:ascii="宋体" w:hAnsi="宋体" w:eastAsia="宋体" w:cs="宋体"/>
                <w:b/>
                <w:bCs w:val="0"/>
                <w:highlight w:val="none"/>
              </w:rPr>
              <w:t>分）</w:t>
            </w:r>
            <w:r>
              <w:rPr>
                <w:rFonts w:hint="eastAsia" w:ascii="宋体" w:hAnsi="宋体" w:eastAsia="宋体" w:cs="宋体"/>
                <w:highlight w:val="none"/>
              </w:rPr>
              <w:t>：</w:t>
            </w:r>
            <w:r>
              <w:rPr>
                <w:rFonts w:hint="eastAsia" w:ascii="宋体" w:hAnsi="宋体" w:eastAsia="宋体" w:cs="宋体"/>
                <w:highlight w:val="none"/>
                <w:lang w:val="en-US" w:eastAsia="zh-CN"/>
              </w:rPr>
              <w:t>拟投入本项目人员配置基本合理，基本能满足项目需要但专业配置针对性一般；提供设备基本满足项目要求</w:t>
            </w:r>
            <w:r>
              <w:rPr>
                <w:rFonts w:hint="eastAsia" w:cs="宋体"/>
                <w:highlight w:val="none"/>
                <w:lang w:val="en-US" w:eastAsia="zh-CN"/>
              </w:rPr>
              <w:t>；</w:t>
            </w:r>
          </w:p>
          <w:p w14:paraId="668B571C">
            <w:pPr>
              <w:pStyle w:val="22"/>
              <w:bidi w:val="0"/>
              <w:jc w:val="left"/>
              <w:rPr>
                <w:rFonts w:hint="eastAsia" w:ascii="宋体" w:hAnsi="宋体" w:eastAsia="宋体" w:cs="宋体"/>
                <w:highlight w:val="none"/>
                <w:lang w:val="en-US" w:eastAsia="zh-CN"/>
              </w:rPr>
            </w:pPr>
            <w:r>
              <w:rPr>
                <w:rFonts w:hint="eastAsia" w:ascii="宋体" w:hAnsi="宋体" w:eastAsia="宋体" w:cs="宋体"/>
                <w:b/>
                <w:bCs w:val="0"/>
                <w:highlight w:val="none"/>
              </w:rPr>
              <w:t>第</w:t>
            </w:r>
            <w:r>
              <w:rPr>
                <w:rFonts w:hint="eastAsia" w:ascii="宋体" w:hAnsi="宋体" w:eastAsia="宋体" w:cs="宋体"/>
                <w:b/>
                <w:bCs w:val="0"/>
                <w:highlight w:val="none"/>
                <w:lang w:val="en-US" w:eastAsia="zh-CN"/>
              </w:rPr>
              <w:t>三</w:t>
            </w:r>
            <w:r>
              <w:rPr>
                <w:rFonts w:hint="eastAsia" w:ascii="宋体" w:hAnsi="宋体" w:eastAsia="宋体" w:cs="宋体"/>
                <w:b/>
                <w:bCs w:val="0"/>
                <w:highlight w:val="none"/>
              </w:rPr>
              <w:t>档次（</w:t>
            </w:r>
            <w:r>
              <w:rPr>
                <w:rFonts w:hint="eastAsia" w:cs="宋体"/>
                <w:b/>
                <w:bCs w:val="0"/>
                <w:highlight w:val="none"/>
                <w:lang w:val="en-US" w:eastAsia="zh-CN"/>
              </w:rPr>
              <w:t>4</w:t>
            </w:r>
            <w:r>
              <w:rPr>
                <w:rFonts w:hint="eastAsia" w:ascii="宋体" w:hAnsi="宋体" w:eastAsia="宋体" w:cs="宋体"/>
                <w:b/>
                <w:bCs w:val="0"/>
                <w:highlight w:val="none"/>
              </w:rPr>
              <w:t>分）</w:t>
            </w:r>
            <w:r>
              <w:rPr>
                <w:rFonts w:hint="eastAsia" w:ascii="宋体" w:hAnsi="宋体" w:eastAsia="宋体" w:cs="宋体"/>
                <w:highlight w:val="none"/>
              </w:rPr>
              <w:t>：</w:t>
            </w:r>
            <w:r>
              <w:rPr>
                <w:rFonts w:hint="eastAsia" w:ascii="宋体" w:hAnsi="宋体" w:eastAsia="宋体" w:cs="宋体"/>
                <w:highlight w:val="none"/>
                <w:lang w:val="en-US" w:eastAsia="zh-CN"/>
              </w:rPr>
              <w:t>拟投入本项目人员配置不满足项目需要，专业配置缺乏针对性；提供设备不能满足项目要求</w:t>
            </w:r>
            <w:r>
              <w:rPr>
                <w:rFonts w:hint="eastAsia" w:cs="宋体"/>
                <w:highlight w:val="none"/>
                <w:lang w:val="en-US" w:eastAsia="zh-CN"/>
              </w:rPr>
              <w:t>；</w:t>
            </w:r>
          </w:p>
          <w:p w14:paraId="50CED17D">
            <w:pPr>
              <w:pStyle w:val="22"/>
              <w:bidi w:val="0"/>
              <w:jc w:val="left"/>
              <w:rPr>
                <w:rFonts w:hint="eastAsia" w:ascii="宋体" w:hAnsi="宋体" w:eastAsia="宋体" w:cs="宋体"/>
                <w:b/>
                <w:bCs w:val="0"/>
                <w:highlight w:val="none"/>
              </w:rPr>
            </w:pPr>
            <w:r>
              <w:rPr>
                <w:rFonts w:hint="eastAsia" w:ascii="宋体" w:hAnsi="宋体" w:eastAsia="宋体" w:cs="宋体"/>
                <w:highlight w:val="none"/>
                <w:lang w:val="en-US" w:eastAsia="zh-CN"/>
              </w:rPr>
              <w:t>未提供拟投入人员、设备配置的，得0分。</w:t>
            </w:r>
          </w:p>
        </w:tc>
      </w:tr>
      <w:tr w14:paraId="11818C1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8" w:type="dxa"/>
            <w:vMerge w:val="continue"/>
            <w:vAlign w:val="center"/>
          </w:tcPr>
          <w:p w14:paraId="078C3CC9">
            <w:pPr>
              <w:pStyle w:val="22"/>
              <w:bidi w:val="0"/>
              <w:outlineLvl w:val="9"/>
              <w:rPr>
                <w:rFonts w:hint="eastAsia"/>
              </w:rPr>
            </w:pPr>
          </w:p>
        </w:tc>
        <w:tc>
          <w:tcPr>
            <w:tcW w:w="1038" w:type="dxa"/>
            <w:vMerge w:val="continue"/>
            <w:vAlign w:val="center"/>
          </w:tcPr>
          <w:p w14:paraId="223B9982">
            <w:pPr>
              <w:pStyle w:val="22"/>
              <w:bidi w:val="0"/>
              <w:outlineLvl w:val="9"/>
              <w:rPr>
                <w:rFonts w:hint="eastAsia"/>
              </w:rPr>
            </w:pPr>
          </w:p>
        </w:tc>
        <w:tc>
          <w:tcPr>
            <w:tcW w:w="2056" w:type="dxa"/>
            <w:vAlign w:val="center"/>
          </w:tcPr>
          <w:p w14:paraId="07AD449E">
            <w:pPr>
              <w:pStyle w:val="22"/>
              <w:bidi w:val="0"/>
              <w:ind w:firstLine="0" w:firstLineChars="0"/>
              <w:jc w:val="center"/>
              <w:rPr>
                <w:rFonts w:ascii="宋体" w:hAnsi="宋体"/>
                <w:color w:val="auto"/>
                <w:highlight w:val="none"/>
              </w:rPr>
            </w:pPr>
            <w:r>
              <w:rPr>
                <w:rFonts w:ascii="宋体" w:hAnsi="宋体"/>
                <w:color w:val="auto"/>
                <w:highlight w:val="none"/>
              </w:rPr>
              <w:t>类似项目业绩</w:t>
            </w:r>
          </w:p>
          <w:p w14:paraId="4A6196B8">
            <w:pPr>
              <w:pStyle w:val="22"/>
              <w:bidi w:val="0"/>
              <w:ind w:firstLine="0" w:firstLineChars="0"/>
              <w:jc w:val="center"/>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满分</w:t>
            </w:r>
            <w:r>
              <w:rPr>
                <w:rFonts w:hint="eastAsia"/>
                <w:color w:val="auto"/>
                <w:highlight w:val="none"/>
                <w:lang w:val="en-US" w:eastAsia="zh-CN"/>
              </w:rPr>
              <w:t>10</w:t>
            </w:r>
            <w:r>
              <w:rPr>
                <w:rFonts w:hint="eastAsia" w:ascii="宋体" w:hAnsi="宋体"/>
                <w:color w:val="auto"/>
                <w:highlight w:val="none"/>
                <w:lang w:val="en-US" w:eastAsia="zh-CN"/>
              </w:rPr>
              <w:t>分</w:t>
            </w:r>
            <w:r>
              <w:rPr>
                <w:rFonts w:hint="eastAsia" w:ascii="宋体" w:hAnsi="宋体"/>
                <w:color w:val="auto"/>
                <w:highlight w:val="none"/>
                <w:lang w:eastAsia="zh-CN"/>
              </w:rPr>
              <w:t>）</w:t>
            </w:r>
          </w:p>
        </w:tc>
        <w:tc>
          <w:tcPr>
            <w:tcW w:w="6495" w:type="dxa"/>
            <w:vAlign w:val="center"/>
          </w:tcPr>
          <w:p w14:paraId="71EAF845">
            <w:pPr>
              <w:pStyle w:val="22"/>
              <w:bidi w:val="0"/>
              <w:ind w:firstLine="0" w:firstLineChars="0"/>
              <w:rPr>
                <w:rFonts w:hint="eastAsia" w:ascii="宋体" w:hAnsi="宋体" w:eastAsia="宋体" w:cs="宋体"/>
                <w:b/>
                <w:bCs w:val="0"/>
              </w:rPr>
            </w:pPr>
            <w:r>
              <w:rPr>
                <w:rStyle w:val="24"/>
                <w:rFonts w:hint="eastAsia" w:eastAsia="宋体"/>
                <w:color w:val="auto"/>
                <w:highlight w:val="none"/>
              </w:rPr>
              <w:t>近5年（20</w:t>
            </w:r>
            <w:r>
              <w:rPr>
                <w:rStyle w:val="24"/>
                <w:rFonts w:hint="eastAsia" w:eastAsia="宋体"/>
                <w:color w:val="auto"/>
                <w:highlight w:val="none"/>
                <w:lang w:val="en-US" w:eastAsia="zh-CN"/>
              </w:rPr>
              <w:t>20</w:t>
            </w:r>
            <w:r>
              <w:rPr>
                <w:rStyle w:val="24"/>
                <w:rFonts w:hint="eastAsia" w:eastAsia="宋体"/>
                <w:color w:val="auto"/>
                <w:highlight w:val="none"/>
              </w:rPr>
              <w:t>年</w:t>
            </w:r>
            <w:r>
              <w:rPr>
                <w:rStyle w:val="24"/>
                <w:rFonts w:hint="eastAsia" w:eastAsia="宋体"/>
                <w:color w:val="auto"/>
                <w:highlight w:val="none"/>
                <w:lang w:val="en-US" w:eastAsia="zh-CN"/>
              </w:rPr>
              <w:t>1</w:t>
            </w:r>
            <w:r>
              <w:rPr>
                <w:rStyle w:val="24"/>
                <w:rFonts w:hint="eastAsia" w:eastAsia="宋体"/>
                <w:color w:val="auto"/>
                <w:highlight w:val="none"/>
              </w:rPr>
              <w:t>月</w:t>
            </w:r>
            <w:r>
              <w:rPr>
                <w:rStyle w:val="24"/>
                <w:rFonts w:hint="eastAsia" w:eastAsia="宋体"/>
                <w:color w:val="auto"/>
                <w:highlight w:val="none"/>
                <w:lang w:val="en-US" w:eastAsia="zh-CN"/>
              </w:rPr>
              <w:t>1日</w:t>
            </w:r>
            <w:r>
              <w:rPr>
                <w:rStyle w:val="24"/>
                <w:rFonts w:hint="eastAsia" w:eastAsia="宋体"/>
                <w:color w:val="auto"/>
                <w:highlight w:val="none"/>
              </w:rPr>
              <w:t>至今）</w:t>
            </w:r>
            <w:r>
              <w:rPr>
                <w:rFonts w:hint="eastAsia" w:eastAsia="宋体" w:cs="宋体"/>
                <w:color w:val="auto"/>
                <w:highlight w:val="none"/>
                <w:lang w:val="en-US"/>
              </w:rPr>
              <w:t>承担过</w:t>
            </w:r>
            <w:r>
              <w:rPr>
                <w:rFonts w:hint="eastAsia" w:eastAsia="宋体" w:cs="宋体"/>
                <w:color w:val="auto"/>
                <w:highlight w:val="none"/>
                <w:lang w:val="en-US" w:eastAsia="zh-CN"/>
              </w:rPr>
              <w:t>一件类似项目</w:t>
            </w:r>
            <w:r>
              <w:rPr>
                <w:rStyle w:val="24"/>
                <w:rFonts w:hint="eastAsia" w:eastAsia="宋体"/>
                <w:color w:val="auto"/>
                <w:highlight w:val="none"/>
              </w:rPr>
              <w:t>得</w:t>
            </w:r>
            <w:r>
              <w:rPr>
                <w:rStyle w:val="24"/>
                <w:rFonts w:hint="eastAsia"/>
                <w:color w:val="auto"/>
                <w:highlight w:val="none"/>
                <w:lang w:val="en-US" w:eastAsia="zh-CN"/>
              </w:rPr>
              <w:t>2.5</w:t>
            </w:r>
            <w:r>
              <w:rPr>
                <w:rStyle w:val="24"/>
                <w:rFonts w:hint="eastAsia" w:eastAsia="宋体"/>
                <w:color w:val="auto"/>
                <w:highlight w:val="none"/>
              </w:rPr>
              <w:t>分，本项满分</w:t>
            </w:r>
            <w:r>
              <w:rPr>
                <w:rStyle w:val="24"/>
                <w:rFonts w:hint="eastAsia"/>
                <w:color w:val="auto"/>
                <w:highlight w:val="none"/>
                <w:lang w:val="en-US" w:eastAsia="zh-CN"/>
              </w:rPr>
              <w:t>10</w:t>
            </w:r>
            <w:r>
              <w:rPr>
                <w:rStyle w:val="24"/>
                <w:rFonts w:hint="eastAsia" w:eastAsia="宋体"/>
                <w:color w:val="auto"/>
                <w:highlight w:val="none"/>
              </w:rPr>
              <w:t>分。</w:t>
            </w:r>
          </w:p>
        </w:tc>
      </w:tr>
      <w:bookmarkEnd w:id="289"/>
      <w:bookmarkEnd w:id="290"/>
    </w:tbl>
    <w:p w14:paraId="676AEE55">
      <w:pPr>
        <w:rPr>
          <w:rFonts w:hint="eastAsia"/>
          <w:lang w:val="zh-CN"/>
        </w:rPr>
      </w:pPr>
      <w:r>
        <w:rPr>
          <w:rFonts w:hint="eastAsia"/>
          <w:lang w:val="zh-CN"/>
        </w:rPr>
        <w:br w:type="page"/>
      </w:r>
    </w:p>
    <w:bookmarkEnd w:id="288"/>
    <w:p w14:paraId="606F61BD">
      <w:pPr>
        <w:pStyle w:val="4"/>
        <w:bidi w:val="0"/>
        <w:rPr>
          <w:rFonts w:hint="eastAsia"/>
        </w:rPr>
      </w:pPr>
      <w:r>
        <w:t>1、评审原则及方法</w:t>
      </w:r>
    </w:p>
    <w:p w14:paraId="606F61BE">
      <w:pPr>
        <w:bidi w:val="0"/>
        <w:rPr>
          <w:rFonts w:hint="eastAsia"/>
        </w:rPr>
      </w:pPr>
      <w:r>
        <w:rPr>
          <w:rFonts w:hint="eastAsia"/>
        </w:rPr>
        <w:t>1.1评审原则：磋商小组成员应当按照客观、公正、审慎的原则，根据磋商文件规定的评审程序、评审方法和评审标准进行独立评审。未通过竞争性磋商文件资格审查、符合性审查、未实质性响应竞争性磋商文件的响应文件按无效响应处理，磋商小组将告知提交响应文件的供应商，供应商不得再继续参加磋商。</w:t>
      </w:r>
    </w:p>
    <w:p w14:paraId="606F61BF">
      <w:pPr>
        <w:bidi w:val="0"/>
        <w:rPr>
          <w:rFonts w:hint="eastAsia"/>
        </w:rPr>
      </w:pPr>
      <w:r>
        <w:rPr>
          <w:rFonts w:hint="eastAsia"/>
        </w:rPr>
        <w:t>1.2评审方法：综合评分法，是指响应文件满足磋商文件全部实质性要求且按评审因素的量化指标评审得分最高的供应商为成交候选供应商的评审方法。</w:t>
      </w:r>
    </w:p>
    <w:p w14:paraId="606F61C0">
      <w:pPr>
        <w:pStyle w:val="4"/>
        <w:bidi w:val="0"/>
        <w:rPr>
          <w:rFonts w:hint="eastAsia"/>
        </w:rPr>
      </w:pPr>
      <w:r>
        <w:rPr>
          <w:rFonts w:hint="eastAsia"/>
        </w:rPr>
        <w:t>2、资格评审、符合性评审</w:t>
      </w:r>
    </w:p>
    <w:p w14:paraId="1ACF3461">
      <w:pPr>
        <w:pStyle w:val="5"/>
        <w:bidi w:val="0"/>
        <w:rPr>
          <w:rFonts w:hint="eastAsia"/>
        </w:rPr>
      </w:pPr>
      <w:r>
        <w:rPr>
          <w:rFonts w:hint="eastAsia"/>
        </w:rPr>
        <w:t>2.1资格评审</w:t>
      </w:r>
    </w:p>
    <w:p w14:paraId="005E0D65">
      <w:pPr>
        <w:spacing w:line="360" w:lineRule="auto"/>
        <w:ind w:firstLine="420" w:firstLineChars="200"/>
        <w:rPr>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磋商小组依据竞争性磋商文件第三章《评审方法》2.1资格评审标准规定的内容，对供应商响应文件进行审查，未通过竞争性磋商文件资格审查标准的响应文件按无效响应处理，磋商小组将告知提交响应文件的供应商，供应商不得再继续参加磋商。</w:t>
      </w:r>
    </w:p>
    <w:p w14:paraId="17BB4BEE">
      <w:pPr>
        <w:pStyle w:val="5"/>
        <w:bidi w:val="0"/>
        <w:rPr>
          <w:rFonts w:hint="eastAsia"/>
        </w:rPr>
      </w:pPr>
      <w:r>
        <w:rPr>
          <w:rFonts w:hint="eastAsia"/>
        </w:rPr>
        <w:t>2.2符合性评审</w:t>
      </w:r>
    </w:p>
    <w:p w14:paraId="11B51FAE">
      <w:pPr>
        <w:spacing w:line="360" w:lineRule="auto"/>
        <w:ind w:firstLine="630" w:firstLineChars="3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磋商小组依据竞争性磋商文件第三章《评审方法》2.2符合性评审标准规定的内容，对供应商响应文件进行审查，以确定供应商是否具备参加本项目竞争性磋商采购活动的资格，未实质性响应竞争性磋商文件的响应文件按无效响应处理，磋商小组将告知提交响应文件的供应商，供应商不得再继续参加磋商。</w:t>
      </w:r>
    </w:p>
    <w:p w14:paraId="606F61C2">
      <w:pPr>
        <w:pStyle w:val="4"/>
        <w:bidi w:val="0"/>
        <w:rPr>
          <w:rFonts w:hint="eastAsia"/>
        </w:rPr>
      </w:pPr>
      <w:r>
        <w:rPr>
          <w:rFonts w:hint="eastAsia"/>
        </w:rPr>
        <w:t>3、磋商及最后报价</w:t>
      </w:r>
    </w:p>
    <w:p w14:paraId="606F61C3">
      <w:pPr>
        <w:bidi w:val="0"/>
        <w:rPr>
          <w:rFonts w:hint="eastAsia"/>
        </w:rPr>
      </w:pPr>
      <w:r>
        <w:rPr>
          <w:rFonts w:hint="eastAsia"/>
        </w:rPr>
        <w:t>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6F61C4">
      <w:pPr>
        <w:bidi w:val="0"/>
        <w:rPr>
          <w:rFonts w:hint="eastAsia"/>
        </w:rPr>
      </w:pPr>
      <w:r>
        <w:rPr>
          <w:rFonts w:hint="eastAsia"/>
        </w:rPr>
        <w:t>3.2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06F61C5">
      <w:pPr>
        <w:bidi w:val="0"/>
        <w:rPr>
          <w:rFonts w:hint="eastAsia"/>
        </w:rPr>
      </w:pPr>
      <w:r>
        <w:rPr>
          <w:rFonts w:hint="eastAsia"/>
        </w:rPr>
        <w:t>3.3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606F61C6">
      <w:pPr>
        <w:bidi w:val="0"/>
        <w:rPr>
          <w:rFonts w:hint="eastAsia"/>
        </w:rPr>
      </w:pPr>
      <w:r>
        <w:rPr>
          <w:rFonts w:hint="eastAsia"/>
        </w:rPr>
        <w:t>3.4对磋商文件作出的实质性变动是磋商文件的有效组成部分，磋商小组将及时以书面形式同时通知所有参加磋商的供应商。</w:t>
      </w:r>
    </w:p>
    <w:p w14:paraId="606F61C7">
      <w:pPr>
        <w:bidi w:val="0"/>
        <w:rPr>
          <w:rFonts w:hint="eastAsia" w:hAnsi="宋体"/>
          <w:color w:val="000000" w:themeColor="text1"/>
          <w:szCs w:val="21"/>
          <w14:textFill>
            <w14:solidFill>
              <w14:schemeClr w14:val="tx1"/>
            </w14:solidFill>
          </w14:textFill>
        </w:rPr>
      </w:pPr>
      <w:r>
        <w:rPr>
          <w:rFonts w:hint="eastAsia"/>
        </w:rPr>
        <w:t>3.5磋商结束后，磋商小组将要求所有实质性响应的供应商在规定时间内提交最后报价，提交最后报价的供应商不得少于3家，最后报价应由法定代表人或其委托代理人签字、盖章（或电子签章）后在磋商时上传至政府采购云平台，最后报价是供应商响应文件的有效组成部分。在提交最后报价之前，供应商可以根据磋商情况退出磋商，其磋商保证金按规定的时间予以退还。</w:t>
      </w:r>
    </w:p>
    <w:p w14:paraId="606F61C8">
      <w:pPr>
        <w:pStyle w:val="4"/>
        <w:bidi w:val="0"/>
        <w:rPr>
          <w:rFonts w:hint="eastAsia"/>
        </w:rPr>
      </w:pPr>
      <w:r>
        <w:rPr>
          <w:rFonts w:hint="eastAsia"/>
        </w:rPr>
        <w:t>4、详细评审及统分原则</w:t>
      </w:r>
    </w:p>
    <w:p w14:paraId="606F61C9">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4.1磋商小组各成员将按照竞争性磋商文件中规定的详细评审标准独立对每个有效响应的文件进行评价、打分，然后汇总每个供应商每项评分因素的得分，最终按以下公式计算出各供应商的评审得分。</w:t>
      </w:r>
    </w:p>
    <w:p w14:paraId="606F61CA">
      <w:pPr>
        <w:spacing w:line="360" w:lineRule="auto"/>
        <w:ind w:firstLine="420" w:firstLineChars="200"/>
        <w:rPr>
          <w:rFonts w:hint="default"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14:textFill>
            <w14:solidFill>
              <w14:schemeClr w14:val="tx1"/>
            </w14:solidFill>
          </w14:textFill>
        </w:rPr>
        <w:t>评审得分=F1</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F2</w:t>
      </w:r>
      <w:r>
        <w:rPr>
          <w:rFonts w:hint="eastAsia"/>
          <w:color w:val="000000" w:themeColor="text1"/>
          <w:szCs w:val="21"/>
          <w:lang w:val="en-US" w:eastAsia="zh-CN"/>
          <w14:textFill>
            <w14:solidFill>
              <w14:schemeClr w14:val="tx1"/>
            </w14:solidFill>
          </w14:textFill>
        </w:rPr>
        <w:t>+F3</w:t>
      </w:r>
    </w:p>
    <w:p w14:paraId="606F61CB">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其中：F1、F2</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F3</w:t>
      </w:r>
      <w:r>
        <w:rPr>
          <w:rFonts w:hint="eastAsia" w:hAnsi="宋体"/>
          <w:color w:val="000000" w:themeColor="text1"/>
          <w:szCs w:val="21"/>
          <w14:textFill>
            <w14:solidFill>
              <w14:schemeClr w14:val="tx1"/>
            </w14:solidFill>
          </w14:textFill>
        </w:rPr>
        <w:t>分别为</w:t>
      </w:r>
      <w:r>
        <w:rPr>
          <w:rFonts w:hint="eastAsia"/>
          <w:color w:val="000000" w:themeColor="text1"/>
          <w:szCs w:val="21"/>
          <w:lang w:val="en-US" w:eastAsia="zh-CN"/>
          <w14:textFill>
            <w14:solidFill>
              <w14:schemeClr w14:val="tx1"/>
            </w14:solidFill>
          </w14:textFill>
        </w:rPr>
        <w:t>磋商报价</w:t>
      </w:r>
      <w:r>
        <w:rPr>
          <w:rFonts w:hint="eastAsia" w:hAnsi="宋体"/>
          <w:color w:val="000000" w:themeColor="text1"/>
          <w:szCs w:val="21"/>
          <w14:textFill>
            <w14:solidFill>
              <w14:schemeClr w14:val="tx1"/>
            </w14:solidFill>
          </w14:textFill>
        </w:rPr>
        <w:t>评分、技术部分评分</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商务</w:t>
      </w:r>
      <w:r>
        <w:rPr>
          <w:rFonts w:hint="eastAsia"/>
          <w:color w:val="000000" w:themeColor="text1"/>
          <w:szCs w:val="21"/>
          <w:lang w:eastAsia="zh-CN"/>
          <w14:textFill>
            <w14:solidFill>
              <w14:schemeClr w14:val="tx1"/>
            </w14:solidFill>
          </w14:textFill>
        </w:rPr>
        <w:t>部分</w:t>
      </w:r>
      <w:r>
        <w:rPr>
          <w:rFonts w:hint="eastAsia"/>
          <w:color w:val="000000" w:themeColor="text1"/>
          <w:szCs w:val="21"/>
          <w:lang w:val="en-US" w:eastAsia="zh-CN"/>
          <w14:textFill>
            <w14:solidFill>
              <w14:schemeClr w14:val="tx1"/>
            </w14:solidFill>
          </w14:textFill>
        </w:rPr>
        <w:t>3</w:t>
      </w:r>
      <w:r>
        <w:rPr>
          <w:rFonts w:hint="eastAsia" w:hAnsi="宋体"/>
          <w:color w:val="000000" w:themeColor="text1"/>
          <w:szCs w:val="21"/>
          <w14:textFill>
            <w14:solidFill>
              <w14:schemeClr w14:val="tx1"/>
            </w14:solidFill>
          </w14:textFill>
        </w:rPr>
        <w:t>项评审因素的汇总得分。</w:t>
      </w:r>
    </w:p>
    <w:p w14:paraId="606F61CC">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4.2磋商小组成员要依法独立审查，并对审查意见承担个人责任。磋商小组成员对需要共同认定的事项存在争议的，按照少数服从多数的原则做出结论。持不同意见的磋商小组成员应当在评审报告上签署不同意见并说明理由，否则视为同意。</w:t>
      </w:r>
    </w:p>
    <w:p w14:paraId="606F61CD">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4.3磋商小组对供应商的价格分等客观评分项的评分应当一致，对其他需要借助专业知识评判的主观评分项，应当严格按照评分细则公正评分。</w:t>
      </w:r>
    </w:p>
    <w:p w14:paraId="606F61CE">
      <w:pPr>
        <w:spacing w:line="360"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4.4供应商各项评分因素得分为该项因素各成员评分的算术平均值（保留小数点后两位），小数点后第三位“四舍五入”。</w:t>
      </w:r>
    </w:p>
    <w:p w14:paraId="606F61CF">
      <w:pPr>
        <w:pStyle w:val="4"/>
        <w:bidi w:val="0"/>
        <w:rPr>
          <w:rFonts w:hint="eastAsia" w:ascii="宋体" w:hAnsi="宋体" w:eastAsia="宋体"/>
          <w:b/>
          <w:bCs/>
          <w:color w:val="000000" w:themeColor="text1"/>
          <w14:textFill>
            <w14:solidFill>
              <w14:schemeClr w14:val="tx1"/>
            </w14:solidFill>
          </w14:textFill>
        </w:rPr>
      </w:pPr>
      <w:r>
        <w:rPr>
          <w:rFonts w:hint="eastAsia"/>
        </w:rPr>
        <w:t>5、推荐成交候选供应商及确定成交供应商</w:t>
      </w:r>
    </w:p>
    <w:p w14:paraId="606F61D0">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5.1磋商小组根据综合评分情况，按照评审得分由高到低顺序推荐3名以上成交候选供应商，并编写评审报告。评审得分相同的，按照最后报价由低到高的顺序推荐。评审得分且最后报价相同的，按照技术指标优劣顺序推荐。</w:t>
      </w:r>
    </w:p>
    <w:p w14:paraId="606F61D1">
      <w:pPr>
        <w:spacing w:line="336" w:lineRule="auto"/>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5.2采购人从评审报告提出的成交候选供应商中，按照排序由高到低的原则确定成交供应商。</w:t>
      </w:r>
    </w:p>
    <w:p w14:paraId="3D6C3ABE">
      <w:pPr>
        <w:ind w:left="0" w:leftChars="0" w:firstLine="0" w:firstLineChars="0"/>
      </w:pPr>
      <w:bookmarkStart w:id="291" w:name="_Toc125054732"/>
      <w:r>
        <w:rPr>
          <w:color w:val="000000" w:themeColor="text1"/>
          <w14:textFill>
            <w14:solidFill>
              <w14:schemeClr w14:val="tx1"/>
            </w14:solidFill>
          </w14:textFill>
        </w:rPr>
        <w:br w:type="page"/>
      </w:r>
    </w:p>
    <w:p w14:paraId="606F61F1">
      <w:pPr>
        <w:pStyle w:val="3"/>
        <w:bidi w:val="0"/>
        <w:rPr>
          <w:rFonts w:hint="eastAsia" w:ascii="宋体" w:hAnsi="宋体"/>
          <w:color w:val="000000" w:themeColor="text1"/>
          <w:sz w:val="36"/>
          <w:szCs w:val="36"/>
          <w:lang w:val="zh-CN"/>
          <w14:textFill>
            <w14:solidFill>
              <w14:schemeClr w14:val="tx1"/>
            </w14:solidFill>
          </w14:textFill>
        </w:rPr>
      </w:pPr>
      <w:bookmarkStart w:id="292" w:name="_Toc201047321"/>
      <w:bookmarkStart w:id="293" w:name="_Toc26153"/>
      <w:bookmarkStart w:id="294" w:name="_Toc199949762"/>
      <w:r>
        <w:rPr>
          <w:rFonts w:hint="eastAsia" w:ascii="宋体" w:hAnsi="宋体"/>
          <w:color w:val="000000" w:themeColor="text1"/>
          <w:sz w:val="36"/>
          <w:szCs w:val="36"/>
          <w:lang w:val="zh-CN"/>
          <w14:textFill>
            <w14:solidFill>
              <w14:schemeClr w14:val="tx1"/>
            </w14:solidFill>
          </w14:textFill>
        </w:rPr>
        <w:t>竞争性磋商</w:t>
      </w:r>
      <w:r>
        <w:rPr>
          <w:rFonts w:hint="eastAsia" w:ascii="宋体" w:hAnsi="宋体"/>
          <w:color w:val="000000" w:themeColor="text1"/>
          <w:sz w:val="36"/>
          <w:szCs w:val="36"/>
          <w:lang w:val="en-US" w:eastAsia="zh-CN"/>
          <w14:textFill>
            <w14:solidFill>
              <w14:schemeClr w14:val="tx1"/>
            </w14:solidFill>
          </w14:textFill>
        </w:rPr>
        <w:t>最后报价及</w:t>
      </w:r>
      <w:r>
        <w:rPr>
          <w:rFonts w:hint="eastAsia" w:ascii="宋体" w:hAnsi="宋体"/>
          <w:color w:val="000000" w:themeColor="text1"/>
          <w:sz w:val="36"/>
          <w:szCs w:val="36"/>
          <w:lang w:val="zh-CN"/>
          <w14:textFill>
            <w14:solidFill>
              <w14:schemeClr w14:val="tx1"/>
            </w14:solidFill>
          </w14:textFill>
        </w:rPr>
        <w:t>承诺书</w:t>
      </w:r>
      <w:bookmarkEnd w:id="291"/>
      <w:bookmarkEnd w:id="292"/>
      <w:bookmarkEnd w:id="293"/>
      <w:bookmarkEnd w:id="294"/>
    </w:p>
    <w:tbl>
      <w:tblPr>
        <w:tblStyle w:val="17"/>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606F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0" w:type="dxa"/>
            <w:vAlign w:val="center"/>
          </w:tcPr>
          <w:p w14:paraId="606F61F2">
            <w:pPr>
              <w:spacing w:line="400" w:lineRule="exact"/>
              <w:rPr>
                <w:rFonts w:hint="eastAsia" w:hAnsi="宋体" w:eastAsia="宋体" w:cs="宋体"/>
                <w:color w:val="000000" w:themeColor="text1"/>
                <w:szCs w:val="21"/>
                <w:lang w:eastAsia="zh-CN"/>
                <w14:textFill>
                  <w14:solidFill>
                    <w14:schemeClr w14:val="tx1"/>
                  </w14:solidFill>
                </w14:textFill>
              </w:rPr>
            </w:pPr>
            <w:r>
              <w:rPr>
                <w:rFonts w:hint="eastAsia" w:hAnsi="宋体" w:cs="宋体"/>
                <w:color w:val="000000" w:themeColor="text1"/>
                <w:szCs w:val="21"/>
                <w14:textFill>
                  <w14:solidFill>
                    <w14:schemeClr w14:val="tx1"/>
                  </w14:solidFill>
                </w14:textFill>
              </w:rPr>
              <w:t>项目名称：</w:t>
            </w:r>
            <w:r>
              <w:rPr>
                <w:rFonts w:hint="eastAsia"/>
                <w:color w:val="000000" w:themeColor="text1"/>
                <w:lang w:eastAsia="zh-CN"/>
                <w14:textFill>
                  <w14:solidFill>
                    <w14:schemeClr w14:val="tx1"/>
                  </w14:solidFill>
                </w14:textFill>
              </w:rPr>
              <w:t>元谋县2025年中央水利发展资金白蚁等害堤动物防治项目</w:t>
            </w:r>
          </w:p>
        </w:tc>
      </w:tr>
      <w:tr w14:paraId="606F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7" w:hRule="atLeast"/>
          <w:jc w:val="center"/>
        </w:trPr>
        <w:tc>
          <w:tcPr>
            <w:tcW w:w="9700" w:type="dxa"/>
          </w:tcPr>
          <w:p w14:paraId="606F61F7">
            <w:pPr>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承诺内容：</w:t>
            </w:r>
          </w:p>
          <w:p w14:paraId="606F61F8">
            <w:pPr>
              <w:rPr>
                <w:rFonts w:hint="eastAsia" w:hAnsi="宋体" w:cs="宋体"/>
                <w:color w:val="000000" w:themeColor="text1"/>
                <w:szCs w:val="21"/>
                <w:highlight w:val="none"/>
                <w14:textFill>
                  <w14:solidFill>
                    <w14:schemeClr w14:val="tx1"/>
                  </w14:solidFill>
                </w14:textFill>
              </w:rPr>
            </w:pPr>
          </w:p>
          <w:p w14:paraId="606F61F9">
            <w:pPr>
              <w:rPr>
                <w:rFonts w:hint="eastAsia" w:hAnsi="宋体" w:cs="宋体"/>
                <w:color w:val="000000" w:themeColor="text1"/>
                <w:szCs w:val="21"/>
                <w:highlight w:val="none"/>
                <w14:textFill>
                  <w14:solidFill>
                    <w14:schemeClr w14:val="tx1"/>
                  </w14:solidFill>
                </w14:textFill>
              </w:rPr>
            </w:pPr>
          </w:p>
          <w:p w14:paraId="606F61FA">
            <w:pPr>
              <w:rPr>
                <w:rFonts w:hint="eastAsia" w:hAnsi="宋体" w:cs="宋体"/>
                <w:color w:val="000000" w:themeColor="text1"/>
                <w:szCs w:val="21"/>
                <w:highlight w:val="none"/>
                <w14:textFill>
                  <w14:solidFill>
                    <w14:schemeClr w14:val="tx1"/>
                  </w14:solidFill>
                </w14:textFill>
              </w:rPr>
            </w:pPr>
          </w:p>
          <w:p w14:paraId="606F620F">
            <w:pPr>
              <w:rPr>
                <w:rFonts w:hint="eastAsia" w:hAnsi="宋体" w:cs="宋体"/>
                <w:color w:val="000000" w:themeColor="text1"/>
                <w:szCs w:val="21"/>
                <w:highlight w:val="none"/>
                <w14:textFill>
                  <w14:solidFill>
                    <w14:schemeClr w14:val="tx1"/>
                  </w14:solidFill>
                </w14:textFill>
              </w:rPr>
            </w:pPr>
          </w:p>
          <w:p w14:paraId="606F6213">
            <w:pPr>
              <w:rPr>
                <w:rFonts w:hint="eastAsia" w:hAnsi="宋体" w:cs="宋体"/>
                <w:color w:val="000000" w:themeColor="text1"/>
                <w:szCs w:val="21"/>
                <w:highlight w:val="none"/>
                <w14:textFill>
                  <w14:solidFill>
                    <w14:schemeClr w14:val="tx1"/>
                  </w14:solidFill>
                </w14:textFill>
              </w:rPr>
            </w:pPr>
          </w:p>
        </w:tc>
      </w:tr>
      <w:tr w14:paraId="0326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0" w:type="dxa"/>
            <w:vAlign w:val="center"/>
          </w:tcPr>
          <w:p w14:paraId="7685B966">
            <w:pPr>
              <w:rPr>
                <w:rFonts w:hint="eastAsia" w:hAnsi="宋体"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最后</w:t>
            </w:r>
            <w:r>
              <w:rPr>
                <w:rFonts w:hint="eastAsia" w:cs="宋体"/>
                <w:color w:val="000000" w:themeColor="text1"/>
                <w:szCs w:val="21"/>
                <w:highlight w:val="none"/>
                <w14:textFill>
                  <w14:solidFill>
                    <w14:schemeClr w14:val="tx1"/>
                  </w14:solidFill>
                </w14:textFill>
              </w:rPr>
              <w:t>报价：小写：￥</w:t>
            </w:r>
            <w:r>
              <w:rPr>
                <w:rFonts w:hint="eastAsia" w:cs="宋体"/>
                <w:color w:val="000000" w:themeColor="text1"/>
                <w:szCs w:val="21"/>
                <w:highlight w:val="none"/>
                <w:u w:val="single"/>
                <w14:textFill>
                  <w14:solidFill>
                    <w14:schemeClr w14:val="tx1"/>
                  </w14:solidFill>
                </w14:textFill>
              </w:rPr>
              <w:t xml:space="preserve"> </w:t>
            </w:r>
            <w:r>
              <w:rPr>
                <w:rFonts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u w:val="single"/>
                <w14:textFill>
                  <w14:solidFill>
                    <w14:schemeClr w14:val="tx1"/>
                  </w14:solidFill>
                </w14:textFill>
              </w:rPr>
              <w:t xml:space="preserve"> </w:t>
            </w:r>
            <w:r>
              <w:rPr>
                <w:rFonts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 xml:space="preserve">元 </w:t>
            </w:r>
            <w:r>
              <w:rPr>
                <w:rFonts w:cs="宋体"/>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大写：人民币</w:t>
            </w:r>
            <w:r>
              <w:rPr>
                <w:rFonts w:hint="eastAsia" w:cs="宋体"/>
                <w:color w:val="000000" w:themeColor="text1"/>
                <w:szCs w:val="21"/>
                <w:highlight w:val="none"/>
                <w:u w:val="single"/>
                <w14:textFill>
                  <w14:solidFill>
                    <w14:schemeClr w14:val="tx1"/>
                  </w14:solidFill>
                </w14:textFill>
              </w:rPr>
              <w:t xml:space="preserve"> </w:t>
            </w:r>
            <w:r>
              <w:rPr>
                <w:rFonts w:cs="宋体"/>
                <w:color w:val="000000" w:themeColor="text1"/>
                <w:szCs w:val="21"/>
                <w:highlight w:val="none"/>
                <w:u w:val="single"/>
                <w14:textFill>
                  <w14:solidFill>
                    <w14:schemeClr w14:val="tx1"/>
                  </w14:solidFill>
                </w14:textFill>
              </w:rPr>
              <w:t xml:space="preserve">              </w:t>
            </w:r>
          </w:p>
        </w:tc>
      </w:tr>
      <w:tr w14:paraId="2C2B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0" w:type="dxa"/>
            <w:vAlign w:val="center"/>
          </w:tcPr>
          <w:p w14:paraId="00D790B2">
            <w:pPr>
              <w:spacing w:line="360" w:lineRule="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供应商：</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（盖章或电子签章）</w:t>
            </w:r>
          </w:p>
          <w:p w14:paraId="68D6B71B">
            <w:pPr>
              <w:spacing w:line="360" w:lineRule="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法定代表人或其委托代理人：</w:t>
            </w:r>
            <w:r>
              <w:rPr>
                <w:rFonts w:hint="eastAsia"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（签字或盖章或电子签章）</w:t>
            </w:r>
          </w:p>
          <w:p w14:paraId="1123F99C">
            <w:pPr>
              <w:spacing w:line="360" w:lineRule="auto"/>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日   期：</w:t>
            </w:r>
            <w:r>
              <w:rPr>
                <w:rFonts w:hint="eastAsia" w:cs="宋体"/>
                <w:color w:val="000000" w:themeColor="text1"/>
                <w:szCs w:val="21"/>
                <w:highlight w:val="none"/>
                <w:lang w:val="en-US" w:eastAsia="zh-CN"/>
                <w14:textFill>
                  <w14:solidFill>
                    <w14:schemeClr w14:val="tx1"/>
                  </w14:solidFill>
                </w14:textFill>
              </w:rPr>
              <w:t xml:space="preserve">    年   月   日</w:t>
            </w:r>
          </w:p>
        </w:tc>
      </w:tr>
    </w:tbl>
    <w:p w14:paraId="606F6219">
      <w:pPr>
        <w:spacing w:line="360" w:lineRule="auto"/>
        <w:ind w:left="-283" w:leftChars="-135" w:firstLine="422" w:firstLineChars="200"/>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注：此表不需做入响应文件中，签字、盖章（或电子签章）后在磋商时上传至政府采购云平台（网址：www.zcygov.cn）。</w:t>
      </w:r>
    </w:p>
    <w:p w14:paraId="130FC497">
      <w:pPr>
        <w:pStyle w:val="21"/>
        <w:rPr>
          <w:rFonts w:hint="eastAsia"/>
        </w:rPr>
      </w:pPr>
    </w:p>
    <w:p w14:paraId="06C93581"/>
    <w:sectPr>
      <w:headerReference r:id="rId9" w:type="default"/>
      <w:footerReference r:id="rId10" w:type="default"/>
      <w:pgSz w:w="11906" w:h="16838"/>
      <w:pgMar w:top="1985" w:right="1418" w:bottom="1418" w:left="1418"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iddenHorzOCR">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F621B">
    <w:pPr>
      <w:tabs>
        <w:tab w:val="center" w:pos="4153"/>
        <w:tab w:val="right" w:pos="8306"/>
      </w:tabs>
      <w:jc w:val="lef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2AE9">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81C18">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976D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9976D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95E7">
    <w:pPr>
      <w:tabs>
        <w:tab w:val="center" w:pos="4153"/>
        <w:tab w:val="right" w:pos="8306"/>
      </w:tabs>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FEF21">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DFEF21">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F621A">
    <w:pPr>
      <w:pBdr>
        <w:bottom w:val="none" w:color="auto" w:sz="0" w:space="1"/>
      </w:pBdr>
      <w:tabs>
        <w:tab w:val="center" w:pos="4153"/>
        <w:tab w:val="right" w:pos="8306"/>
      </w:tabs>
      <w:rPr>
        <w:rFonts w:hint="eastAsia"/>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5BBE">
    <w:pPr>
      <w:pStyle w:val="13"/>
      <w:pBdr>
        <w:bottom w:val="none" w:color="auto" w:sz="0" w:space="1"/>
      </w:pBdr>
      <w:ind w:left="0" w:leftChars="0"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4"/>
      <w:numFmt w:val="taiwaneseCountingThousand"/>
      <w:lvlText w:val="%1、"/>
      <w:lvlJc w:val="left"/>
      <w:pPr>
        <w:tabs>
          <w:tab w:val="left" w:pos="720"/>
        </w:tabs>
        <w:ind w:left="720" w:hanging="720"/>
      </w:pPr>
      <w:rPr>
        <w:rFonts w:hint="eastAsia"/>
      </w:rPr>
    </w:lvl>
    <w:lvl w:ilvl="1" w:tentative="0">
      <w:start w:val="1"/>
      <w:numFmt w:val="none"/>
      <w:lvlText w:val=""/>
      <w:lvlJc w:val="left"/>
      <w:pPr>
        <w:tabs>
          <w:tab w:val="left" w:pos="1353"/>
        </w:tabs>
        <w:ind w:left="0" w:firstLine="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rPr>
        <w:rFonts w:hint="eastAsia"/>
      </w:rPr>
    </w:lvl>
    <w:lvl w:ilvl="3" w:tentative="0">
      <w:start w:val="1"/>
      <w:numFmt w:val="decimal"/>
      <w:lvlText w:val="%4."/>
      <w:lvlJc w:val="left"/>
      <w:pPr>
        <w:tabs>
          <w:tab w:val="left" w:pos="1920"/>
        </w:tabs>
        <w:ind w:left="1920" w:hanging="480"/>
      </w:pPr>
      <w:rPr>
        <w:rFonts w:hint="eastAsia"/>
      </w:rPr>
    </w:lvl>
    <w:lvl w:ilvl="4" w:tentative="0">
      <w:start w:val="1"/>
      <w:numFmt w:val="ideographTraditional"/>
      <w:lvlText w:val="%5、"/>
      <w:lvlJc w:val="left"/>
      <w:pPr>
        <w:tabs>
          <w:tab w:val="left" w:pos="2400"/>
        </w:tabs>
        <w:ind w:left="2400" w:hanging="480"/>
      </w:pPr>
      <w:rPr>
        <w:rFonts w:hint="eastAsia"/>
      </w:rPr>
    </w:lvl>
    <w:lvl w:ilvl="5" w:tentative="0">
      <w:start w:val="1"/>
      <w:numFmt w:val="lowerRoman"/>
      <w:lvlText w:val="%6."/>
      <w:lvlJc w:val="right"/>
      <w:pPr>
        <w:tabs>
          <w:tab w:val="left" w:pos="2880"/>
        </w:tabs>
        <w:ind w:left="2880" w:hanging="480"/>
      </w:pPr>
      <w:rPr>
        <w:rFonts w:hint="eastAsia"/>
      </w:rPr>
    </w:lvl>
    <w:lvl w:ilvl="6" w:tentative="0">
      <w:start w:val="1"/>
      <w:numFmt w:val="decimal"/>
      <w:pStyle w:val="7"/>
      <w:lvlText w:val="%7."/>
      <w:lvlJc w:val="left"/>
      <w:pPr>
        <w:tabs>
          <w:tab w:val="left" w:pos="3360"/>
        </w:tabs>
        <w:ind w:left="3360" w:hanging="480"/>
      </w:pPr>
      <w:rPr>
        <w:rFonts w:hint="eastAsia"/>
      </w:rPr>
    </w:lvl>
    <w:lvl w:ilvl="7" w:tentative="0">
      <w:start w:val="1"/>
      <w:numFmt w:val="ideographTraditional"/>
      <w:lvlText w:val="%8、"/>
      <w:lvlJc w:val="left"/>
      <w:pPr>
        <w:tabs>
          <w:tab w:val="left" w:pos="3840"/>
        </w:tabs>
        <w:ind w:left="3840" w:hanging="480"/>
      </w:pPr>
      <w:rPr>
        <w:rFonts w:hint="eastAsia"/>
      </w:rPr>
    </w:lvl>
    <w:lvl w:ilvl="8" w:tentative="0">
      <w:start w:val="1"/>
      <w:numFmt w:val="lowerRoman"/>
      <w:lvlText w:val="%9."/>
      <w:lvlJc w:val="right"/>
      <w:pPr>
        <w:tabs>
          <w:tab w:val="left" w:pos="4320"/>
        </w:tabs>
        <w:ind w:left="432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82715"/>
    <w:rsid w:val="009F18A6"/>
    <w:rsid w:val="00BC20B0"/>
    <w:rsid w:val="00E8675F"/>
    <w:rsid w:val="028E71E0"/>
    <w:rsid w:val="03AC020F"/>
    <w:rsid w:val="03C71A42"/>
    <w:rsid w:val="03DE35E4"/>
    <w:rsid w:val="04082715"/>
    <w:rsid w:val="05232E77"/>
    <w:rsid w:val="066C25A3"/>
    <w:rsid w:val="067564C3"/>
    <w:rsid w:val="06AB1C35"/>
    <w:rsid w:val="07955FBC"/>
    <w:rsid w:val="079756AD"/>
    <w:rsid w:val="0A643367"/>
    <w:rsid w:val="0BD3663C"/>
    <w:rsid w:val="0C1B0042"/>
    <w:rsid w:val="0DF92C8E"/>
    <w:rsid w:val="0E6354DA"/>
    <w:rsid w:val="0F02192F"/>
    <w:rsid w:val="0F0767AD"/>
    <w:rsid w:val="0F97228F"/>
    <w:rsid w:val="0FBB60B3"/>
    <w:rsid w:val="101511D2"/>
    <w:rsid w:val="101822F4"/>
    <w:rsid w:val="10A402A8"/>
    <w:rsid w:val="111C790C"/>
    <w:rsid w:val="122F34E0"/>
    <w:rsid w:val="1234284C"/>
    <w:rsid w:val="124150D0"/>
    <w:rsid w:val="12F23A34"/>
    <w:rsid w:val="13007E63"/>
    <w:rsid w:val="13103A5A"/>
    <w:rsid w:val="13D74B28"/>
    <w:rsid w:val="140C6686"/>
    <w:rsid w:val="148F59F9"/>
    <w:rsid w:val="165878EE"/>
    <w:rsid w:val="179F0869"/>
    <w:rsid w:val="188A479A"/>
    <w:rsid w:val="189B44BC"/>
    <w:rsid w:val="19024013"/>
    <w:rsid w:val="19C31F4B"/>
    <w:rsid w:val="19D92807"/>
    <w:rsid w:val="1A06347C"/>
    <w:rsid w:val="1AA26354"/>
    <w:rsid w:val="1ACB69DD"/>
    <w:rsid w:val="1DAC22EC"/>
    <w:rsid w:val="1DF23010"/>
    <w:rsid w:val="1EA77665"/>
    <w:rsid w:val="1FB2188E"/>
    <w:rsid w:val="21046952"/>
    <w:rsid w:val="215948FD"/>
    <w:rsid w:val="21EF5D80"/>
    <w:rsid w:val="22DE26B6"/>
    <w:rsid w:val="252D4E0E"/>
    <w:rsid w:val="26BC241D"/>
    <w:rsid w:val="27A76F1A"/>
    <w:rsid w:val="280C5EDE"/>
    <w:rsid w:val="2874680A"/>
    <w:rsid w:val="2A3F3E7C"/>
    <w:rsid w:val="2A84085A"/>
    <w:rsid w:val="2A85729B"/>
    <w:rsid w:val="2BB13721"/>
    <w:rsid w:val="2FAF45CB"/>
    <w:rsid w:val="30F32296"/>
    <w:rsid w:val="311D254F"/>
    <w:rsid w:val="32CB4AB4"/>
    <w:rsid w:val="331F55C4"/>
    <w:rsid w:val="34D224BE"/>
    <w:rsid w:val="350A1388"/>
    <w:rsid w:val="358467B6"/>
    <w:rsid w:val="35D24627"/>
    <w:rsid w:val="36072780"/>
    <w:rsid w:val="371A4062"/>
    <w:rsid w:val="387939C8"/>
    <w:rsid w:val="39847402"/>
    <w:rsid w:val="3A880D96"/>
    <w:rsid w:val="3D601ADA"/>
    <w:rsid w:val="3EB968CD"/>
    <w:rsid w:val="3FD000A6"/>
    <w:rsid w:val="41A60FFA"/>
    <w:rsid w:val="41C2018E"/>
    <w:rsid w:val="4283592E"/>
    <w:rsid w:val="43E443EC"/>
    <w:rsid w:val="44DF36E5"/>
    <w:rsid w:val="458C5EA1"/>
    <w:rsid w:val="45A40FF5"/>
    <w:rsid w:val="468808C3"/>
    <w:rsid w:val="46915B5A"/>
    <w:rsid w:val="469B5CD6"/>
    <w:rsid w:val="46BC589A"/>
    <w:rsid w:val="472563F7"/>
    <w:rsid w:val="482D3E87"/>
    <w:rsid w:val="4870167D"/>
    <w:rsid w:val="4AF84C20"/>
    <w:rsid w:val="4C1B595D"/>
    <w:rsid w:val="4C677925"/>
    <w:rsid w:val="4C98113E"/>
    <w:rsid w:val="4D2240A0"/>
    <w:rsid w:val="4F405FC4"/>
    <w:rsid w:val="4F663D2E"/>
    <w:rsid w:val="4F6B698D"/>
    <w:rsid w:val="505E3B0D"/>
    <w:rsid w:val="51FA302C"/>
    <w:rsid w:val="52E53CDC"/>
    <w:rsid w:val="53DB4B68"/>
    <w:rsid w:val="541359EC"/>
    <w:rsid w:val="541C54DC"/>
    <w:rsid w:val="54964864"/>
    <w:rsid w:val="54C76717"/>
    <w:rsid w:val="54FD0B04"/>
    <w:rsid w:val="55472A2C"/>
    <w:rsid w:val="55E95E72"/>
    <w:rsid w:val="574739A9"/>
    <w:rsid w:val="589F5C71"/>
    <w:rsid w:val="595C3701"/>
    <w:rsid w:val="59723DF0"/>
    <w:rsid w:val="5AB6510A"/>
    <w:rsid w:val="5B1A64ED"/>
    <w:rsid w:val="5B405245"/>
    <w:rsid w:val="5B741850"/>
    <w:rsid w:val="5D2F18FC"/>
    <w:rsid w:val="5DAE4FBE"/>
    <w:rsid w:val="5E455888"/>
    <w:rsid w:val="5E4E21B7"/>
    <w:rsid w:val="5EE8167F"/>
    <w:rsid w:val="5F07325A"/>
    <w:rsid w:val="5FBC3876"/>
    <w:rsid w:val="60A64A32"/>
    <w:rsid w:val="616C5CF8"/>
    <w:rsid w:val="61720EED"/>
    <w:rsid w:val="619F53F4"/>
    <w:rsid w:val="62425D42"/>
    <w:rsid w:val="63F735D2"/>
    <w:rsid w:val="65824B6E"/>
    <w:rsid w:val="658A2326"/>
    <w:rsid w:val="65C13498"/>
    <w:rsid w:val="6624583D"/>
    <w:rsid w:val="66BD07DC"/>
    <w:rsid w:val="67C16A07"/>
    <w:rsid w:val="683A638D"/>
    <w:rsid w:val="68C86459"/>
    <w:rsid w:val="68ED73EF"/>
    <w:rsid w:val="69533F6A"/>
    <w:rsid w:val="6953603C"/>
    <w:rsid w:val="6A3371C4"/>
    <w:rsid w:val="6B6241DE"/>
    <w:rsid w:val="6C962A74"/>
    <w:rsid w:val="6D5D230C"/>
    <w:rsid w:val="6D6F50D3"/>
    <w:rsid w:val="6E6B7334"/>
    <w:rsid w:val="6F306868"/>
    <w:rsid w:val="6FC6712F"/>
    <w:rsid w:val="70473CFE"/>
    <w:rsid w:val="711E74F0"/>
    <w:rsid w:val="716C0423"/>
    <w:rsid w:val="71F7006D"/>
    <w:rsid w:val="721134D8"/>
    <w:rsid w:val="735130BB"/>
    <w:rsid w:val="74A2005E"/>
    <w:rsid w:val="7536433E"/>
    <w:rsid w:val="75FA1258"/>
    <w:rsid w:val="77302EC9"/>
    <w:rsid w:val="77512E3F"/>
    <w:rsid w:val="77E86C88"/>
    <w:rsid w:val="77FE3051"/>
    <w:rsid w:val="787B1E35"/>
    <w:rsid w:val="79C42FAC"/>
    <w:rsid w:val="7A76117A"/>
    <w:rsid w:val="7AA70B24"/>
    <w:rsid w:val="7CC30BC8"/>
    <w:rsid w:val="7CDE04DB"/>
    <w:rsid w:val="7D230DDA"/>
    <w:rsid w:val="7DCC0473"/>
    <w:rsid w:val="7DD02D0F"/>
    <w:rsid w:val="7FE6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360" w:lineRule="auto"/>
      <w:ind w:firstLine="420" w:firstLineChars="200"/>
      <w:jc w:val="both"/>
    </w:pPr>
    <w:rPr>
      <w:rFonts w:ascii="宋体" w:hAnsi="宋体" w:eastAsia="宋体" w:cs="宋体"/>
      <w:snapToGrid w:val="0"/>
      <w:kern w:val="21"/>
      <w:sz w:val="21"/>
      <w:szCs w:val="24"/>
      <w:lang w:val="en-US" w:eastAsia="zh-CN" w:bidi="ar-SA"/>
    </w:rPr>
  </w:style>
  <w:style w:type="paragraph" w:styleId="3">
    <w:name w:val="heading 1"/>
    <w:basedOn w:val="1"/>
    <w:next w:val="1"/>
    <w:qFormat/>
    <w:uiPriority w:val="9"/>
    <w:pPr>
      <w:keepNext/>
      <w:keepLines/>
      <w:spacing w:before="260" w:after="260" w:line="360" w:lineRule="auto"/>
      <w:ind w:firstLine="0" w:firstLineChars="0"/>
      <w:jc w:val="center"/>
      <w:outlineLvl w:val="0"/>
    </w:pPr>
    <w:rPr>
      <w:b/>
      <w:bCs/>
      <w:snapToGrid/>
      <w:kern w:val="44"/>
      <w:sz w:val="36"/>
      <w:szCs w:val="44"/>
    </w:rPr>
  </w:style>
  <w:style w:type="paragraph" w:styleId="4">
    <w:name w:val="heading 2"/>
    <w:basedOn w:val="1"/>
    <w:next w:val="1"/>
    <w:link w:val="23"/>
    <w:qFormat/>
    <w:uiPriority w:val="0"/>
    <w:pPr>
      <w:keepNext/>
      <w:keepLines/>
      <w:spacing w:before="120" w:after="120" w:line="360" w:lineRule="auto"/>
      <w:ind w:firstLine="0" w:firstLineChars="0"/>
      <w:outlineLvl w:val="1"/>
    </w:pPr>
    <w:rPr>
      <w:rFonts w:ascii="宋体" w:hAnsi="宋体" w:eastAsia="宋体"/>
      <w:b/>
      <w:bCs/>
      <w:snapToGrid/>
      <w:kern w:val="2"/>
      <w:sz w:val="30"/>
      <w:szCs w:val="36"/>
      <w:lang w:val="zh-CN"/>
    </w:rPr>
  </w:style>
  <w:style w:type="paragraph" w:styleId="5">
    <w:name w:val="heading 3"/>
    <w:basedOn w:val="1"/>
    <w:next w:val="1"/>
    <w:qFormat/>
    <w:uiPriority w:val="0"/>
    <w:pPr>
      <w:keepNext/>
      <w:keepLines/>
      <w:spacing w:before="60" w:after="60" w:line="360" w:lineRule="auto"/>
      <w:ind w:firstLine="367" w:firstLineChars="175"/>
      <w:outlineLvl w:val="2"/>
    </w:pPr>
    <w:rPr>
      <w:rFonts w:hint="eastAsia"/>
      <w:b/>
      <w:bCs/>
      <w:snapToGrid/>
      <w:kern w:val="2"/>
      <w:sz w:val="24"/>
      <w:szCs w:val="20"/>
      <w:lang w:val="zh-CN"/>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lang w:val="zh-CN"/>
    </w:rPr>
  </w:style>
  <w:style w:type="paragraph" w:styleId="7">
    <w:name w:val="heading 7"/>
    <w:basedOn w:val="1"/>
    <w:next w:val="1"/>
    <w:qFormat/>
    <w:uiPriority w:val="0"/>
    <w:pPr>
      <w:keepNext/>
      <w:keepLines/>
      <w:widowControl/>
      <w:numPr>
        <w:ilvl w:val="6"/>
        <w:numId w:val="1"/>
      </w:numPr>
      <w:tabs>
        <w:tab w:val="left" w:pos="2520"/>
      </w:tabs>
      <w:spacing w:before="240" w:after="64" w:line="316" w:lineRule="auto"/>
      <w:jc w:val="left"/>
      <w:outlineLvl w:val="6"/>
    </w:pPr>
    <w:rPr>
      <w:b/>
      <w:bCs/>
      <w:kern w:val="0"/>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360" w:lineRule="auto"/>
      <w:ind w:right="-447"/>
      <w:textAlignment w:val="baseline"/>
    </w:pPr>
    <w:rPr>
      <w:rFonts w:ascii="宋体" w:hAnsi="宋体"/>
      <w:kern w:val="2"/>
      <w:sz w:val="28"/>
      <w:szCs w:val="24"/>
    </w:rPr>
  </w:style>
  <w:style w:type="paragraph" w:styleId="8">
    <w:name w:val="Normal Indent"/>
    <w:basedOn w:val="1"/>
    <w:next w:val="1"/>
    <w:qFormat/>
    <w:uiPriority w:val="0"/>
    <w:pPr>
      <w:ind w:firstLine="420"/>
    </w:pPr>
    <w:rPr>
      <w:snapToGrid/>
      <w:kern w:val="2"/>
      <w:szCs w:val="20"/>
    </w:rPr>
  </w:style>
  <w:style w:type="paragraph" w:styleId="9">
    <w:name w:val="Document Map"/>
    <w:basedOn w:val="1"/>
    <w:next w:val="7"/>
    <w:unhideWhenUsed/>
    <w:qFormat/>
    <w:uiPriority w:val="99"/>
    <w:rPr>
      <w:rFonts w:ascii="宋体"/>
      <w:sz w:val="18"/>
      <w:szCs w:val="18"/>
    </w:rPr>
  </w:style>
  <w:style w:type="paragraph" w:styleId="10">
    <w:name w:val="Body Text Indent"/>
    <w:basedOn w:val="1"/>
    <w:unhideWhenUsed/>
    <w:qFormat/>
    <w:uiPriority w:val="99"/>
    <w:pPr>
      <w:spacing w:line="460" w:lineRule="exact"/>
      <w:ind w:firstLine="510"/>
    </w:pPr>
    <w:rPr>
      <w:rFonts w:ascii="Calibri" w:hAnsi="Calibri"/>
      <w:sz w:val="20"/>
    </w:rPr>
  </w:style>
  <w:style w:type="paragraph" w:styleId="11">
    <w:name w:val="Plain Text"/>
    <w:basedOn w:val="1"/>
    <w:next w:val="1"/>
    <w:qFormat/>
    <w:uiPriority w:val="99"/>
    <w:rPr>
      <w:rFonts w:ascii="宋体"/>
      <w:snapToGrid/>
      <w:kern w:val="2"/>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qFormat/>
    <w:uiPriority w:val="99"/>
    <w:pPr>
      <w:widowControl/>
      <w:spacing w:before="100" w:beforeLines="0" w:beforeAutospacing="1" w:after="100" w:afterLines="0" w:afterAutospacing="1"/>
      <w:jc w:val="left"/>
    </w:pPr>
    <w:rPr>
      <w:rFonts w:hAnsi="宋体"/>
      <w:snapToGrid/>
      <w:kern w:val="0"/>
      <w:sz w:val="24"/>
    </w:rPr>
  </w:style>
  <w:style w:type="paragraph" w:styleId="16">
    <w:name w:val="Body Text First Indent 2"/>
    <w:basedOn w:val="10"/>
    <w:qFormat/>
    <w:uiPriority w:val="0"/>
    <w:pPr>
      <w:spacing w:after="0" w:line="240" w:lineRule="auto"/>
    </w:pPr>
    <w:rPr>
      <w:rFonts w:hAnsi="MS Sans Serif"/>
      <w:spacing w:val="12"/>
      <w:sz w:val="21"/>
      <w:szCs w:val="20"/>
    </w:rPr>
  </w:style>
  <w:style w:type="table" w:styleId="18">
    <w:name w:val="Table Grid"/>
    <w:basedOn w:val="17"/>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TML Sample"/>
    <w:basedOn w:val="19"/>
    <w:unhideWhenUsed/>
    <w:qFormat/>
    <w:uiPriority w:val="99"/>
    <w:rPr>
      <w:rFonts w:ascii="Courier New" w:hAnsi="Courier New"/>
    </w:rPr>
  </w:style>
  <w:style w:type="paragraph" w:customStyle="1" w:styleId="21">
    <w:name w:val="Normal Indent1"/>
    <w:basedOn w:val="1"/>
    <w:qFormat/>
    <w:uiPriority w:val="0"/>
    <w:pPr>
      <w:ind w:firstLine="420" w:firstLineChars="200"/>
    </w:pPr>
  </w:style>
  <w:style w:type="paragraph" w:customStyle="1" w:styleId="22">
    <w:name w:val="表格"/>
    <w:basedOn w:val="1"/>
    <w:qFormat/>
    <w:uiPriority w:val="0"/>
    <w:pPr>
      <w:keepNext/>
      <w:keepLines/>
      <w:wordWrap w:val="0"/>
      <w:spacing w:beforeLines="0" w:afterLines="0" w:line="400" w:lineRule="exact"/>
      <w:ind w:firstLine="0" w:firstLineChars="0"/>
      <w:jc w:val="both"/>
      <w:outlineLvl w:val="1"/>
    </w:pPr>
    <w:rPr>
      <w:rFonts w:hint="eastAsia"/>
      <w:bCs/>
      <w:snapToGrid/>
      <w:kern w:val="2"/>
      <w:szCs w:val="36"/>
    </w:rPr>
  </w:style>
  <w:style w:type="character" w:customStyle="1" w:styleId="23">
    <w:name w:val="标题 2 Char"/>
    <w:link w:val="4"/>
    <w:qFormat/>
    <w:uiPriority w:val="0"/>
    <w:rPr>
      <w:rFonts w:ascii="宋体" w:hAnsi="宋体" w:eastAsia="宋体"/>
      <w:b/>
      <w:bCs/>
      <w:snapToGrid/>
      <w:kern w:val="2"/>
      <w:sz w:val="30"/>
      <w:szCs w:val="36"/>
      <w:lang w:val="zh-CN"/>
    </w:rPr>
  </w:style>
  <w:style w:type="character" w:customStyle="1" w:styleId="24">
    <w:name w:val="正文文本2"/>
    <w:qFormat/>
    <w:uiPriority w:val="0"/>
    <w:rPr>
      <w:rFonts w:ascii="宋体" w:hAnsi="宋体" w:eastAsia="Times New Roman" w:cs="宋体"/>
      <w:color w:val="000000"/>
      <w:spacing w:val="0"/>
      <w:w w:val="100"/>
      <w:position w:val="0"/>
      <w:shd w:val="clear" w:color="auto" w:fill="FFFFFF"/>
      <w:lang w:val="zh-C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6"/>
    <w:qFormat/>
    <w:uiPriority w:val="0"/>
    <w:rPr>
      <w:rFonts w:ascii="Calibri" w:hAnsi="Calibri" w:cs="宋体"/>
    </w:rPr>
  </w:style>
  <w:style w:type="paragraph" w:customStyle="1" w:styleId="26">
    <w:name w:val="图表目录1"/>
    <w:basedOn w:val="25"/>
    <w:next w:val="25"/>
    <w:qFormat/>
    <w:uiPriority w:val="0"/>
    <w:pPr>
      <w:spacing w:line="480" w:lineRule="exact"/>
      <w:ind w:left="200" w:leftChars="200" w:hanging="200" w:hangingChars="200"/>
      <w:jc w:val="left"/>
    </w:pPr>
    <w:rPr>
      <w:color w:val="7030A0"/>
      <w:sz w:val="24"/>
    </w:rPr>
  </w:style>
  <w:style w:type="character" w:customStyle="1" w:styleId="27">
    <w:name w:val="NormalCharacter"/>
    <w:link w:val="28"/>
    <w:qFormat/>
    <w:uiPriority w:val="0"/>
    <w:rPr>
      <w:sz w:val="20"/>
      <w:szCs w:val="20"/>
    </w:rPr>
  </w:style>
  <w:style w:type="paragraph" w:customStyle="1" w:styleId="28">
    <w:name w:val="UserStyle_1"/>
    <w:basedOn w:val="1"/>
    <w:link w:val="27"/>
    <w:qFormat/>
    <w:uiPriority w:val="0"/>
    <w:pPr>
      <w:widowControl w:val="0"/>
      <w:jc w:val="both"/>
      <w:textAlignment w:val="baseline"/>
    </w:pPr>
    <w:rPr>
      <w:sz w:val="20"/>
      <w:szCs w:val="20"/>
    </w:rPr>
  </w:style>
  <w:style w:type="paragraph" w:customStyle="1" w:styleId="29">
    <w:name w:val="正文1"/>
    <w:qFormat/>
    <w:uiPriority w:val="0"/>
    <w:pPr>
      <w:spacing w:after="200" w:line="276" w:lineRule="auto"/>
      <w:jc w:val="both"/>
    </w:pPr>
    <w:rPr>
      <w:rFonts w:ascii="Times New Roman" w:hAnsi="Times New Roman" w:eastAsia="Times New Roman" w:cstheme="minorBidi"/>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31835</Words>
  <Characters>34382</Characters>
  <Lines>0</Lines>
  <Paragraphs>0</Paragraphs>
  <TotalTime>125</TotalTime>
  <ScaleCrop>false</ScaleCrop>
  <LinksUpToDate>false</LinksUpToDate>
  <CharactersWithSpaces>36073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2025-07-04T07:56:00Z</dcterms:created>
  <dc:creator>LTH</dc:creator>
  <cp:lastModifiedBy>LTH</cp:lastModifiedBy>
  <cp:lastPrinted>2025-09-04T08:44:00Z</cp:lastPrinted>
  <dcterms:modified xsi:type="dcterms:W3CDTF">2025-09-30T07:09:14Z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0878FC828AEF432DB2A8945F5148F0C1_13</vt:lpwstr>
  </property>
  <property fmtid="{D5CDD505-2E9C-101B-9397-08002B2CF9AE}" pid="4" name="KSOTemplateDocerSaveRecord">
    <vt:lpwstr>eyJoZGlkIjoiMjg2MDYzMDhiMDUxMTc1NTBkYzAwMGVlZWVlMDFiNjUiLCJ1c2VySWQiOiI1NTMwMDg0MTUifQ==</vt:lpwstr>
  </property>
</Properties>
</file>