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6F469">
      <w:pPr>
        <w:spacing w:line="360" w:lineRule="auto"/>
        <w:rPr>
          <w:rFonts w:hAnsi="宋体" w:cs="宋体"/>
          <w:color w:val="auto"/>
          <w:sz w:val="28"/>
          <w:highlight w:val="none"/>
        </w:rPr>
      </w:pPr>
    </w:p>
    <w:p w14:paraId="2EE5DA6A">
      <w:pPr>
        <w:widowControl/>
        <w:spacing w:before="75" w:after="75"/>
        <w:jc w:val="center"/>
        <w:rPr>
          <w:rFonts w:hAnsi="宋体" w:cs="宋体"/>
          <w:b/>
          <w:bCs/>
          <w:color w:val="auto"/>
          <w:sz w:val="84"/>
          <w:szCs w:val="84"/>
          <w:highlight w:val="none"/>
        </w:rPr>
      </w:pPr>
      <w:r>
        <w:rPr>
          <w:rFonts w:hint="eastAsia" w:hAnsi="宋体" w:cs="宋体"/>
          <w:b/>
          <w:bCs/>
          <w:color w:val="auto"/>
          <w:sz w:val="84"/>
          <w:szCs w:val="84"/>
          <w:highlight w:val="none"/>
        </w:rPr>
        <w:t>苏州市级政府采购</w:t>
      </w:r>
    </w:p>
    <w:p w14:paraId="5923BEEE">
      <w:pPr>
        <w:widowControl/>
        <w:spacing w:before="75" w:after="75"/>
        <w:jc w:val="center"/>
        <w:rPr>
          <w:rFonts w:hint="eastAsia" w:hAnsi="宋体" w:cs="宋体"/>
          <w:b/>
          <w:bCs/>
          <w:color w:val="auto"/>
          <w:sz w:val="84"/>
          <w:szCs w:val="84"/>
          <w:highlight w:val="none"/>
        </w:rPr>
      </w:pPr>
      <w:r>
        <w:rPr>
          <w:rFonts w:hint="eastAsia" w:hAnsi="宋体" w:cs="宋体"/>
          <w:b/>
          <w:bCs/>
          <w:color w:val="auto"/>
          <w:sz w:val="84"/>
          <w:szCs w:val="84"/>
          <w:highlight w:val="none"/>
        </w:rPr>
        <w:t>服务类公开招标项目</w:t>
      </w:r>
    </w:p>
    <w:p w14:paraId="135392F6">
      <w:pPr>
        <w:spacing w:line="360" w:lineRule="auto"/>
        <w:jc w:val="center"/>
        <w:rPr>
          <w:rFonts w:hAnsi="宋体" w:cs="宋体"/>
          <w:color w:val="auto"/>
          <w:sz w:val="28"/>
          <w:highlight w:val="none"/>
        </w:rPr>
      </w:pPr>
    </w:p>
    <w:p w14:paraId="58C020F5">
      <w:pPr>
        <w:spacing w:line="360" w:lineRule="auto"/>
        <w:jc w:val="center"/>
        <w:rPr>
          <w:rFonts w:hAnsi="宋体" w:cs="宋体"/>
          <w:color w:val="auto"/>
          <w:sz w:val="28"/>
          <w:highlight w:val="none"/>
        </w:rPr>
      </w:pPr>
    </w:p>
    <w:p w14:paraId="4C82A934">
      <w:pPr>
        <w:pStyle w:val="8"/>
        <w:numPr>
          <w:ilvl w:val="0"/>
          <w:numId w:val="0"/>
        </w:numPr>
        <w:rPr>
          <w:color w:val="auto"/>
          <w:highlight w:val="none"/>
        </w:rPr>
      </w:pPr>
    </w:p>
    <w:p w14:paraId="30BF462F">
      <w:pPr>
        <w:rPr>
          <w:color w:val="auto"/>
          <w:highlight w:val="none"/>
        </w:rPr>
      </w:pPr>
    </w:p>
    <w:p w14:paraId="2E107719">
      <w:pPr>
        <w:spacing w:line="360" w:lineRule="auto"/>
        <w:jc w:val="center"/>
        <w:rPr>
          <w:rFonts w:hAnsi="宋体" w:cs="宋体"/>
          <w:color w:val="auto"/>
          <w:sz w:val="28"/>
          <w:highlight w:val="none"/>
        </w:rPr>
      </w:pPr>
    </w:p>
    <w:p w14:paraId="41CBAFDE">
      <w:pPr>
        <w:spacing w:line="360" w:lineRule="auto"/>
        <w:ind w:firstLine="361"/>
        <w:rPr>
          <w:rFonts w:hint="eastAsia" w:hAnsi="宋体" w:eastAsia="宋体" w:cs="宋体"/>
          <w:b/>
          <w:bCs/>
          <w:color w:val="auto"/>
          <w:sz w:val="36"/>
          <w:szCs w:val="36"/>
          <w:highlight w:val="none"/>
        </w:rPr>
      </w:pPr>
      <w:r>
        <w:rPr>
          <w:rFonts w:hint="eastAsia" w:hAnsi="宋体" w:cs="宋体"/>
          <w:b/>
          <w:bCs/>
          <w:color w:val="auto"/>
          <w:sz w:val="36"/>
          <w:szCs w:val="36"/>
          <w:highlight w:val="none"/>
        </w:rPr>
        <w:t>采购单位：</w:t>
      </w:r>
      <w:r>
        <w:rPr>
          <w:rFonts w:hint="eastAsia" w:hAnsi="宋体" w:cs="宋体"/>
          <w:b/>
          <w:bCs/>
          <w:color w:val="auto"/>
          <w:sz w:val="36"/>
          <w:szCs w:val="36"/>
          <w:highlight w:val="none"/>
          <w:lang w:eastAsia="zh-CN"/>
        </w:rPr>
        <w:t>苏州市姑苏区住房保障和物业管理中心</w:t>
      </w:r>
    </w:p>
    <w:p w14:paraId="6C73FA19">
      <w:pPr>
        <w:spacing w:line="360" w:lineRule="auto"/>
        <w:ind w:firstLine="361"/>
        <w:rPr>
          <w:rFonts w:hint="eastAsia" w:hAnsi="宋体" w:eastAsia="宋体" w:cs="宋体"/>
          <w:b/>
          <w:bCs/>
          <w:color w:val="auto"/>
          <w:sz w:val="36"/>
          <w:szCs w:val="36"/>
          <w:highlight w:val="none"/>
        </w:rPr>
      </w:pPr>
      <w:r>
        <w:rPr>
          <w:rFonts w:hint="eastAsia" w:hAnsi="宋体" w:cs="宋体"/>
          <w:b/>
          <w:bCs/>
          <w:color w:val="auto"/>
          <w:sz w:val="36"/>
          <w:szCs w:val="36"/>
          <w:highlight w:val="none"/>
        </w:rPr>
        <w:t>采购内容：</w:t>
      </w:r>
      <w:r>
        <w:rPr>
          <w:rFonts w:hint="eastAsia" w:hAnsi="宋体" w:cs="宋体"/>
          <w:b/>
          <w:bCs/>
          <w:color w:val="auto"/>
          <w:sz w:val="36"/>
          <w:szCs w:val="36"/>
          <w:highlight w:val="none"/>
          <w:lang w:eastAsia="zh-CN"/>
        </w:rPr>
        <w:t>姑苏区老旧住区改造项目(2025年度第一批)白蚁防治服务</w:t>
      </w:r>
    </w:p>
    <w:p w14:paraId="1DF500DD">
      <w:pPr>
        <w:spacing w:line="360" w:lineRule="auto"/>
        <w:ind w:firstLine="361"/>
        <w:rPr>
          <w:rFonts w:hint="eastAsia" w:hAnsi="宋体" w:eastAsia="宋体" w:cs="宋体"/>
          <w:b/>
          <w:bCs/>
          <w:color w:val="auto"/>
          <w:sz w:val="36"/>
          <w:szCs w:val="36"/>
          <w:highlight w:val="none"/>
        </w:rPr>
      </w:pPr>
      <w:r>
        <w:rPr>
          <w:rFonts w:hint="eastAsia" w:hAnsi="宋体" w:cs="宋体"/>
          <w:b/>
          <w:bCs/>
          <w:color w:val="auto"/>
          <w:sz w:val="36"/>
          <w:szCs w:val="36"/>
          <w:highlight w:val="none"/>
        </w:rPr>
        <w:t>采购编号：</w:t>
      </w:r>
      <w:r>
        <w:rPr>
          <w:rFonts w:hint="eastAsia" w:hAnsi="宋体" w:cs="宋体"/>
          <w:b/>
          <w:bCs/>
          <w:color w:val="auto"/>
          <w:sz w:val="36"/>
          <w:szCs w:val="36"/>
          <w:highlight w:val="none"/>
          <w:lang w:eastAsia="zh-CN"/>
        </w:rPr>
        <w:t>JSZC-320508-SZJJ-G2025-0032</w:t>
      </w:r>
    </w:p>
    <w:p w14:paraId="60F5D0B8">
      <w:pPr>
        <w:tabs>
          <w:tab w:val="left" w:pos="720"/>
        </w:tabs>
        <w:spacing w:line="360" w:lineRule="auto"/>
        <w:ind w:right="18" w:firstLine="361"/>
        <w:rPr>
          <w:rFonts w:hAnsi="宋体" w:cs="宋体"/>
          <w:b/>
          <w:bCs/>
          <w:color w:val="auto"/>
          <w:sz w:val="36"/>
          <w:szCs w:val="36"/>
          <w:highlight w:val="none"/>
        </w:rPr>
      </w:pPr>
      <w:r>
        <w:rPr>
          <w:rFonts w:hint="eastAsia" w:ascii="Calibri"/>
          <w:b/>
          <w:color w:val="auto"/>
          <w:sz w:val="36"/>
          <w:szCs w:val="36"/>
          <w:highlight w:val="none"/>
        </w:rPr>
        <w:t>采购类别</w:t>
      </w:r>
      <w:r>
        <w:rPr>
          <w:rFonts w:hint="eastAsia" w:hAnsi="宋体" w:cs="宋体"/>
          <w:b/>
          <w:bCs/>
          <w:color w:val="auto"/>
          <w:sz w:val="36"/>
          <w:szCs w:val="36"/>
          <w:highlight w:val="none"/>
        </w:rPr>
        <w:t>：服务类</w:t>
      </w:r>
    </w:p>
    <w:p w14:paraId="708671DD">
      <w:pPr>
        <w:pStyle w:val="9"/>
        <w:rPr>
          <w:color w:val="auto"/>
          <w:highlight w:val="none"/>
        </w:rPr>
      </w:pPr>
    </w:p>
    <w:p w14:paraId="2588A960">
      <w:pPr>
        <w:jc w:val="center"/>
        <w:rPr>
          <w:rFonts w:hAnsi="宋体" w:cs="宋体"/>
          <w:color w:val="auto"/>
          <w:sz w:val="24"/>
          <w:szCs w:val="24"/>
          <w:highlight w:val="none"/>
        </w:rPr>
      </w:pPr>
    </w:p>
    <w:p w14:paraId="2E76D78A">
      <w:pPr>
        <w:spacing w:line="360" w:lineRule="auto"/>
        <w:rPr>
          <w:rFonts w:hAnsi="宋体" w:cs="宋体"/>
          <w:color w:val="auto"/>
          <w:sz w:val="28"/>
          <w:highlight w:val="none"/>
        </w:rPr>
      </w:pPr>
    </w:p>
    <w:p w14:paraId="2C344E12">
      <w:pPr>
        <w:spacing w:line="360" w:lineRule="auto"/>
        <w:jc w:val="center"/>
        <w:rPr>
          <w:rFonts w:hint="eastAsia" w:hAnsi="宋体" w:cs="宋体"/>
          <w:color w:val="auto"/>
          <w:sz w:val="28"/>
          <w:highlight w:val="none"/>
        </w:rPr>
      </w:pPr>
    </w:p>
    <w:p w14:paraId="4FE2E80E">
      <w:pPr>
        <w:tabs>
          <w:tab w:val="left" w:pos="720"/>
        </w:tabs>
        <w:spacing w:line="360" w:lineRule="auto"/>
        <w:ind w:right="18" w:firstLine="1807"/>
        <w:rPr>
          <w:rFonts w:hint="eastAsia" w:hAnsi="宋体" w:cs="宋体"/>
          <w:b/>
          <w:bCs/>
          <w:color w:val="auto"/>
          <w:sz w:val="36"/>
          <w:szCs w:val="36"/>
          <w:highlight w:val="none"/>
        </w:rPr>
      </w:pPr>
    </w:p>
    <w:p w14:paraId="23509B04">
      <w:pPr>
        <w:pStyle w:val="8"/>
        <w:numPr>
          <w:ilvl w:val="0"/>
          <w:numId w:val="0"/>
        </w:numPr>
        <w:rPr>
          <w:rFonts w:hint="eastAsia"/>
          <w:color w:val="auto"/>
          <w:highlight w:val="none"/>
        </w:rPr>
      </w:pPr>
    </w:p>
    <w:p w14:paraId="44F9A5BF">
      <w:pPr>
        <w:rPr>
          <w:rFonts w:hint="eastAsia"/>
          <w:color w:val="auto"/>
          <w:highlight w:val="none"/>
        </w:rPr>
      </w:pPr>
    </w:p>
    <w:p w14:paraId="35A6F676">
      <w:pPr>
        <w:tabs>
          <w:tab w:val="left" w:pos="720"/>
        </w:tabs>
        <w:spacing w:line="360" w:lineRule="auto"/>
        <w:ind w:right="18"/>
        <w:jc w:val="center"/>
        <w:rPr>
          <w:rFonts w:hint="eastAsia" w:hAnsi="宋体" w:eastAsia="宋体" w:cs="宋体"/>
          <w:b/>
          <w:bCs/>
          <w:color w:val="auto"/>
          <w:sz w:val="36"/>
          <w:szCs w:val="36"/>
          <w:highlight w:val="none"/>
        </w:rPr>
      </w:pPr>
      <w:r>
        <w:rPr>
          <w:rFonts w:hint="eastAsia" w:hAnsi="宋体" w:cs="宋体"/>
          <w:b/>
          <w:bCs/>
          <w:color w:val="auto"/>
          <w:sz w:val="36"/>
          <w:szCs w:val="36"/>
          <w:highlight w:val="none"/>
          <w:lang w:eastAsia="zh-CN"/>
        </w:rPr>
        <w:t>苏州骏捷建设管理咨询有限公司</w:t>
      </w:r>
    </w:p>
    <w:p w14:paraId="124248C7">
      <w:pPr>
        <w:tabs>
          <w:tab w:val="left" w:pos="720"/>
        </w:tabs>
        <w:spacing w:line="360" w:lineRule="auto"/>
        <w:ind w:right="18"/>
        <w:jc w:val="center"/>
        <w:rPr>
          <w:rFonts w:hint="eastAsia" w:hAnsi="宋体" w:cs="宋体"/>
          <w:b/>
          <w:bCs/>
          <w:color w:val="auto"/>
          <w:sz w:val="36"/>
          <w:szCs w:val="36"/>
          <w:highlight w:val="none"/>
        </w:rPr>
      </w:pPr>
      <w:r>
        <w:rPr>
          <w:rFonts w:hint="eastAsia" w:hAnsi="宋体" w:cs="宋体"/>
          <w:b/>
          <w:bCs/>
          <w:color w:val="auto"/>
          <w:sz w:val="36"/>
          <w:szCs w:val="36"/>
          <w:highlight w:val="none"/>
        </w:rPr>
        <w:t>二O二</w:t>
      </w:r>
      <w:r>
        <w:rPr>
          <w:rFonts w:hint="eastAsia" w:hAnsi="宋体" w:cs="宋体"/>
          <w:b/>
          <w:bCs/>
          <w:color w:val="auto"/>
          <w:sz w:val="36"/>
          <w:szCs w:val="36"/>
          <w:highlight w:val="none"/>
          <w:lang w:val="en-US" w:eastAsia="zh-CN"/>
        </w:rPr>
        <w:t>五</w:t>
      </w:r>
      <w:r>
        <w:rPr>
          <w:rFonts w:hint="eastAsia" w:hAnsi="宋体" w:cs="宋体"/>
          <w:b/>
          <w:bCs/>
          <w:color w:val="auto"/>
          <w:sz w:val="36"/>
          <w:szCs w:val="36"/>
          <w:highlight w:val="none"/>
        </w:rPr>
        <w:t>年</w:t>
      </w:r>
      <w:r>
        <w:rPr>
          <w:rFonts w:hint="eastAsia" w:hAnsi="宋体" w:cs="宋体"/>
          <w:b/>
          <w:bCs/>
          <w:color w:val="auto"/>
          <w:sz w:val="36"/>
          <w:szCs w:val="36"/>
          <w:highlight w:val="none"/>
          <w:lang w:val="en-US" w:eastAsia="zh-CN"/>
        </w:rPr>
        <w:t>九</w:t>
      </w:r>
      <w:r>
        <w:rPr>
          <w:rFonts w:hint="eastAsia" w:hAnsi="宋体" w:cs="宋体"/>
          <w:b/>
          <w:bCs/>
          <w:color w:val="auto"/>
          <w:sz w:val="36"/>
          <w:szCs w:val="36"/>
          <w:highlight w:val="none"/>
        </w:rPr>
        <w:t>月</w:t>
      </w:r>
      <w:r>
        <w:rPr>
          <w:rFonts w:hint="eastAsia" w:hAnsi="宋体" w:eastAsia="宋体" w:cs="宋体"/>
          <w:b/>
          <w:color w:val="auto"/>
          <w:sz w:val="30"/>
          <w:highlight w:val="none"/>
        </w:rPr>
        <w:br w:type="page" w:clear="all"/>
      </w:r>
    </w:p>
    <w:p w14:paraId="73B0D26E">
      <w:pPr>
        <w:spacing w:line="360" w:lineRule="auto"/>
        <w:jc w:val="center"/>
        <w:rPr>
          <w:rFonts w:hAnsi="宋体"/>
          <w:b/>
          <w:color w:val="auto"/>
          <w:sz w:val="36"/>
          <w:highlight w:val="none"/>
        </w:rPr>
      </w:pPr>
      <w:r>
        <w:rPr>
          <w:rFonts w:hint="eastAsia" w:hAnsi="宋体"/>
          <w:b/>
          <w:color w:val="auto"/>
          <w:sz w:val="36"/>
          <w:highlight w:val="none"/>
        </w:rPr>
        <w:t>投标须知前附表</w:t>
      </w:r>
    </w:p>
    <w:p w14:paraId="34EF1E14">
      <w:pPr>
        <w:jc w:val="left"/>
        <w:rPr>
          <w:rFonts w:hint="eastAsia" w:hAnsi="宋体"/>
          <w:color w:val="auto"/>
          <w:sz w:val="24"/>
          <w:highlight w:val="none"/>
        </w:rPr>
      </w:pPr>
      <w:r>
        <w:rPr>
          <w:rFonts w:hint="eastAsia" w:hAnsi="宋体"/>
          <w:color w:val="auto"/>
          <w:sz w:val="24"/>
          <w:highlight w:val="none"/>
        </w:rPr>
        <w:t>本表是本招标项目的具体资料，是对投标人须知的具体补充和修改，如有矛盾，应以本表为准。</w:t>
      </w:r>
    </w:p>
    <w:tbl>
      <w:tblPr>
        <w:tblStyle w:val="6"/>
        <w:tblW w:w="90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3"/>
        <w:gridCol w:w="8041"/>
      </w:tblGrid>
      <w:tr w14:paraId="5545A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6E47B9F6">
            <w:pPr>
              <w:jc w:val="center"/>
              <w:rPr>
                <w:rFonts w:hAnsi="宋体"/>
                <w:b/>
                <w:color w:val="auto"/>
                <w:sz w:val="24"/>
                <w:highlight w:val="none"/>
              </w:rPr>
            </w:pPr>
            <w:r>
              <w:rPr>
                <w:rFonts w:hint="eastAsia" w:hAnsi="宋体"/>
                <w:b/>
                <w:color w:val="auto"/>
                <w:sz w:val="24"/>
                <w:highlight w:val="none"/>
              </w:rPr>
              <w:t>序号</w:t>
            </w:r>
          </w:p>
        </w:tc>
        <w:tc>
          <w:tcPr>
            <w:tcW w:w="8041" w:type="dxa"/>
            <w:noWrap w:val="0"/>
            <w:vAlign w:val="center"/>
          </w:tcPr>
          <w:p w14:paraId="5302471E">
            <w:pPr>
              <w:jc w:val="center"/>
              <w:rPr>
                <w:rFonts w:hAnsi="宋体"/>
                <w:b/>
                <w:color w:val="auto"/>
                <w:sz w:val="24"/>
                <w:highlight w:val="none"/>
              </w:rPr>
            </w:pPr>
            <w:r>
              <w:rPr>
                <w:rFonts w:hint="eastAsia" w:hAnsi="宋体"/>
                <w:b/>
                <w:color w:val="auto"/>
                <w:sz w:val="24"/>
                <w:highlight w:val="none"/>
              </w:rPr>
              <w:t>内容</w:t>
            </w:r>
          </w:p>
        </w:tc>
      </w:tr>
      <w:tr w14:paraId="3E4AB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4536558A">
            <w:pPr>
              <w:jc w:val="center"/>
              <w:rPr>
                <w:rFonts w:hAnsi="宋体"/>
                <w:color w:val="auto"/>
                <w:sz w:val="24"/>
                <w:highlight w:val="none"/>
              </w:rPr>
            </w:pPr>
            <w:r>
              <w:rPr>
                <w:rFonts w:hAnsi="宋体"/>
                <w:color w:val="auto"/>
                <w:sz w:val="24"/>
                <w:highlight w:val="none"/>
              </w:rPr>
              <w:t>1</w:t>
            </w:r>
          </w:p>
        </w:tc>
        <w:tc>
          <w:tcPr>
            <w:tcW w:w="8041" w:type="dxa"/>
            <w:noWrap w:val="0"/>
            <w:vAlign w:val="center"/>
          </w:tcPr>
          <w:p w14:paraId="2CEBE42C">
            <w:pPr>
              <w:rPr>
                <w:rFonts w:hint="eastAsia" w:hAnsi="宋体" w:eastAsia="宋体"/>
                <w:color w:val="auto"/>
                <w:sz w:val="24"/>
                <w:highlight w:val="none"/>
              </w:rPr>
            </w:pPr>
            <w:r>
              <w:rPr>
                <w:rFonts w:hint="eastAsia" w:hAnsi="宋体"/>
                <w:color w:val="auto"/>
                <w:sz w:val="24"/>
                <w:highlight w:val="none"/>
              </w:rPr>
              <w:t>采购编号：</w:t>
            </w:r>
            <w:r>
              <w:rPr>
                <w:rFonts w:hint="eastAsia" w:hAnsi="宋体"/>
                <w:color w:val="auto"/>
                <w:sz w:val="24"/>
                <w:highlight w:val="none"/>
                <w:lang w:eastAsia="zh-CN"/>
              </w:rPr>
              <w:t>JSZC-320508-SZJJ-G2025-0032</w:t>
            </w:r>
          </w:p>
        </w:tc>
      </w:tr>
      <w:tr w14:paraId="4C10B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1069D089">
            <w:pPr>
              <w:jc w:val="center"/>
              <w:rPr>
                <w:rFonts w:hAnsi="宋体"/>
                <w:color w:val="auto"/>
                <w:sz w:val="24"/>
                <w:highlight w:val="none"/>
              </w:rPr>
            </w:pPr>
            <w:r>
              <w:rPr>
                <w:rFonts w:hint="eastAsia" w:hAnsi="宋体"/>
                <w:color w:val="auto"/>
                <w:sz w:val="24"/>
                <w:highlight w:val="none"/>
              </w:rPr>
              <w:t>2</w:t>
            </w:r>
          </w:p>
        </w:tc>
        <w:tc>
          <w:tcPr>
            <w:tcW w:w="8041" w:type="dxa"/>
            <w:noWrap w:val="0"/>
            <w:vAlign w:val="center"/>
          </w:tcPr>
          <w:p w14:paraId="3FC1A043">
            <w:pPr>
              <w:rPr>
                <w:rFonts w:hint="eastAsia" w:hAnsi="宋体" w:eastAsia="宋体"/>
                <w:color w:val="auto"/>
                <w:sz w:val="24"/>
                <w:highlight w:val="none"/>
              </w:rPr>
            </w:pPr>
            <w:r>
              <w:rPr>
                <w:rFonts w:hAnsi="宋体"/>
                <w:color w:val="auto"/>
                <w:sz w:val="24"/>
                <w:highlight w:val="none"/>
              </w:rPr>
              <w:t>采购内容：</w:t>
            </w:r>
            <w:r>
              <w:rPr>
                <w:rFonts w:hint="eastAsia" w:hAnsi="宋体"/>
                <w:color w:val="auto"/>
                <w:sz w:val="24"/>
                <w:highlight w:val="none"/>
                <w:lang w:eastAsia="zh-CN"/>
              </w:rPr>
              <w:t>姑苏区老旧住区改造项目(2025年度第一批)白蚁防治服务</w:t>
            </w:r>
          </w:p>
        </w:tc>
      </w:tr>
      <w:tr w14:paraId="4EFE0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2" w:hRule="atLeast"/>
          <w:jc w:val="center"/>
        </w:trPr>
        <w:tc>
          <w:tcPr>
            <w:tcW w:w="993" w:type="dxa"/>
            <w:noWrap w:val="0"/>
            <w:vAlign w:val="center"/>
          </w:tcPr>
          <w:p w14:paraId="4221FB88">
            <w:pPr>
              <w:jc w:val="center"/>
              <w:rPr>
                <w:rFonts w:hAnsi="宋体"/>
                <w:color w:val="auto"/>
                <w:sz w:val="24"/>
                <w:highlight w:val="none"/>
              </w:rPr>
            </w:pPr>
            <w:r>
              <w:rPr>
                <w:rFonts w:hint="eastAsia" w:hAnsi="宋体"/>
                <w:color w:val="auto"/>
                <w:sz w:val="24"/>
                <w:highlight w:val="none"/>
              </w:rPr>
              <w:t>3</w:t>
            </w:r>
          </w:p>
        </w:tc>
        <w:tc>
          <w:tcPr>
            <w:tcW w:w="8041" w:type="dxa"/>
            <w:noWrap w:val="0"/>
            <w:vAlign w:val="center"/>
          </w:tcPr>
          <w:p w14:paraId="1A5E6650">
            <w:pPr>
              <w:jc w:val="left"/>
              <w:rPr>
                <w:rFonts w:hint="eastAsia" w:hAnsi="宋体"/>
                <w:color w:val="auto"/>
                <w:sz w:val="24"/>
                <w:highlight w:val="none"/>
              </w:rPr>
            </w:pPr>
            <w:r>
              <w:rPr>
                <w:rFonts w:hint="eastAsia" w:hAnsi="宋体"/>
                <w:color w:val="auto"/>
                <w:sz w:val="24"/>
                <w:highlight w:val="none"/>
                <w:lang w:val="zh-CN"/>
              </w:rPr>
              <w:t>项目采购预算金额：1112300.00元，最高限价总价：1112300.00元，最高限价单价：</w:t>
            </w:r>
            <w:r>
              <w:rPr>
                <w:rFonts w:hint="eastAsia" w:hAnsi="宋体"/>
                <w:color w:val="auto"/>
                <w:sz w:val="24"/>
                <w:highlight w:val="none"/>
                <w:lang w:val="en-US" w:eastAsia="zh-CN"/>
              </w:rPr>
              <w:t>6.6</w:t>
            </w:r>
            <w:r>
              <w:rPr>
                <w:rFonts w:hint="eastAsia" w:hAnsi="宋体"/>
                <w:color w:val="auto"/>
                <w:sz w:val="24"/>
                <w:highlight w:val="none"/>
                <w:lang w:val="zh-CN"/>
              </w:rPr>
              <w:t>元/平方米）</w:t>
            </w:r>
          </w:p>
        </w:tc>
      </w:tr>
      <w:tr w14:paraId="06220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749C9C5F">
            <w:pPr>
              <w:jc w:val="center"/>
              <w:rPr>
                <w:rFonts w:hAnsi="宋体"/>
                <w:color w:val="auto"/>
                <w:sz w:val="24"/>
                <w:highlight w:val="none"/>
              </w:rPr>
            </w:pPr>
            <w:r>
              <w:rPr>
                <w:rFonts w:hint="eastAsia" w:hAnsi="宋体"/>
                <w:color w:val="auto"/>
                <w:sz w:val="24"/>
                <w:highlight w:val="none"/>
              </w:rPr>
              <w:t>4</w:t>
            </w:r>
          </w:p>
        </w:tc>
        <w:tc>
          <w:tcPr>
            <w:tcW w:w="8041" w:type="dxa"/>
            <w:noWrap w:val="0"/>
            <w:vAlign w:val="center"/>
          </w:tcPr>
          <w:p w14:paraId="5E83FD93">
            <w:pPr>
              <w:rPr>
                <w:rFonts w:hint="eastAsia" w:hAnsi="宋体" w:eastAsia="宋体"/>
                <w:color w:val="auto"/>
                <w:sz w:val="24"/>
                <w:highlight w:val="none"/>
              </w:rPr>
            </w:pPr>
            <w:r>
              <w:rPr>
                <w:rFonts w:hint="eastAsia" w:hAnsi="宋体"/>
                <w:color w:val="auto"/>
                <w:sz w:val="24"/>
                <w:highlight w:val="none"/>
              </w:rPr>
              <w:t>采购人：</w:t>
            </w:r>
            <w:r>
              <w:rPr>
                <w:rFonts w:hint="eastAsia" w:hAnsi="宋体"/>
                <w:color w:val="auto"/>
                <w:sz w:val="24"/>
                <w:highlight w:val="none"/>
                <w:lang w:eastAsia="zh-CN"/>
              </w:rPr>
              <w:t>苏州市姑苏区住房保障和物业管理中心</w:t>
            </w:r>
          </w:p>
          <w:p w14:paraId="23084841">
            <w:pPr>
              <w:pBdr>
                <w:top w:val="none" w:color="000000" w:sz="0" w:space="0"/>
                <w:left w:val="none" w:color="000000" w:sz="0" w:space="0"/>
                <w:bottom w:val="none" w:color="000000" w:sz="0" w:space="0"/>
                <w:right w:val="none" w:color="000000" w:sz="0" w:space="0"/>
              </w:pBdr>
              <w:spacing w:after="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地址：苏州市姑苏区</w:t>
            </w:r>
          </w:p>
          <w:p w14:paraId="18FF51C0">
            <w:pPr>
              <w:pBdr>
                <w:top w:val="none" w:color="000000" w:sz="0" w:space="0"/>
                <w:left w:val="none" w:color="000000" w:sz="0" w:space="0"/>
                <w:bottom w:val="none" w:color="000000" w:sz="0" w:space="0"/>
                <w:right w:val="none" w:color="000000" w:sz="0" w:space="0"/>
              </w:pBdr>
              <w:spacing w:after="0" w:line="240" w:lineRule="auto"/>
              <w:rPr>
                <w:rFonts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hAnsi="宋体" w:cs="宋体"/>
                <w:color w:val="auto"/>
                <w:sz w:val="24"/>
                <w:szCs w:val="24"/>
                <w:highlight w:val="none"/>
                <w:lang w:val="en-US" w:eastAsia="zh-CN"/>
              </w:rPr>
              <w:t>田工</w:t>
            </w:r>
          </w:p>
          <w:p w14:paraId="35A3B0E7">
            <w:pPr>
              <w:rPr>
                <w:rFonts w:hint="eastAsia" w:hAnsi="宋体" w:eastAsia="宋体"/>
                <w:color w:val="auto"/>
                <w:sz w:val="24"/>
                <w:highlight w:val="none"/>
              </w:rPr>
            </w:pPr>
            <w:r>
              <w:rPr>
                <w:rFonts w:hint="eastAsia" w:ascii="宋体" w:hAnsi="宋体" w:eastAsia="宋体" w:cs="宋体"/>
                <w:color w:val="auto"/>
                <w:sz w:val="24"/>
                <w:szCs w:val="24"/>
                <w:highlight w:val="none"/>
                <w:lang w:eastAsia="zh-CN"/>
              </w:rPr>
              <w:t>联系电话：</w:t>
            </w:r>
            <w:r>
              <w:rPr>
                <w:rFonts w:hint="eastAsia" w:ascii="宋体" w:hAnsi="宋体" w:eastAsia="宋体"/>
                <w:color w:val="auto"/>
                <w:sz w:val="24"/>
                <w:highlight w:val="none"/>
                <w:lang w:eastAsia="zh-CN"/>
              </w:rPr>
              <w:t>0512-</w:t>
            </w:r>
            <w:r>
              <w:rPr>
                <w:rFonts w:hint="eastAsia" w:ascii="宋体" w:hAnsi="宋体" w:eastAsia="宋体"/>
                <w:color w:val="auto"/>
                <w:sz w:val="24"/>
                <w:highlight w:val="none"/>
                <w:lang w:val="en-US" w:eastAsia="zh-CN"/>
              </w:rPr>
              <w:t>66096135</w:t>
            </w:r>
          </w:p>
        </w:tc>
      </w:tr>
      <w:tr w14:paraId="4923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1BF7AD03">
            <w:pPr>
              <w:jc w:val="center"/>
              <w:rPr>
                <w:rFonts w:hAnsi="宋体"/>
                <w:color w:val="auto"/>
                <w:sz w:val="24"/>
                <w:highlight w:val="none"/>
              </w:rPr>
            </w:pPr>
            <w:r>
              <w:rPr>
                <w:rFonts w:hint="eastAsia" w:hAnsi="宋体"/>
                <w:color w:val="auto"/>
                <w:sz w:val="24"/>
                <w:highlight w:val="none"/>
              </w:rPr>
              <w:t>5</w:t>
            </w:r>
          </w:p>
        </w:tc>
        <w:tc>
          <w:tcPr>
            <w:tcW w:w="8041" w:type="dxa"/>
            <w:noWrap w:val="0"/>
            <w:vAlign w:val="center"/>
          </w:tcPr>
          <w:p w14:paraId="13860795">
            <w:pPr>
              <w:rPr>
                <w:rFonts w:hint="eastAsia" w:hAnsi="宋体" w:eastAsia="宋体"/>
                <w:color w:val="auto"/>
                <w:sz w:val="24"/>
                <w:highlight w:val="none"/>
              </w:rPr>
            </w:pPr>
            <w:r>
              <w:rPr>
                <w:rFonts w:hint="eastAsia" w:hAnsi="宋体"/>
                <w:color w:val="auto"/>
                <w:sz w:val="24"/>
                <w:highlight w:val="none"/>
              </w:rPr>
              <w:t>采购代理机构：</w:t>
            </w:r>
            <w:r>
              <w:rPr>
                <w:rFonts w:hint="eastAsia" w:hAnsi="宋体"/>
                <w:color w:val="auto"/>
                <w:sz w:val="24"/>
                <w:highlight w:val="none"/>
                <w:lang w:eastAsia="zh-CN"/>
              </w:rPr>
              <w:t>苏州骏捷建设管理咨询有限公司</w:t>
            </w:r>
          </w:p>
          <w:p w14:paraId="42CCA46D">
            <w:pPr>
              <w:rPr>
                <w:rFonts w:hint="eastAsia" w:hAnsi="宋体" w:eastAsia="宋体"/>
                <w:color w:val="auto"/>
                <w:sz w:val="24"/>
                <w:highlight w:val="none"/>
              </w:rPr>
            </w:pPr>
            <w:r>
              <w:rPr>
                <w:rFonts w:hint="eastAsia" w:hAnsi="宋体"/>
                <w:color w:val="auto"/>
                <w:sz w:val="24"/>
                <w:highlight w:val="none"/>
              </w:rPr>
              <w:t>地      址：</w:t>
            </w:r>
            <w:r>
              <w:rPr>
                <w:rFonts w:hint="eastAsia" w:hAnsi="宋体"/>
                <w:color w:val="auto"/>
                <w:sz w:val="24"/>
                <w:highlight w:val="none"/>
                <w:lang w:eastAsia="zh-CN"/>
              </w:rPr>
              <w:t>苏州市姑苏区金门路1299号2号楼518</w:t>
            </w:r>
          </w:p>
          <w:p w14:paraId="31086D3B">
            <w:pPr>
              <w:rPr>
                <w:rFonts w:hint="eastAsia" w:hAnsi="宋体"/>
                <w:color w:val="auto"/>
                <w:sz w:val="24"/>
                <w:highlight w:val="none"/>
              </w:rPr>
            </w:pPr>
            <w:r>
              <w:rPr>
                <w:rFonts w:hint="eastAsia" w:hAnsi="宋体"/>
                <w:color w:val="auto"/>
                <w:sz w:val="24"/>
                <w:highlight w:val="none"/>
              </w:rPr>
              <w:t>业务联系人：</w:t>
            </w:r>
            <w:r>
              <w:rPr>
                <w:rFonts w:hint="eastAsia" w:hAnsi="宋体"/>
                <w:color w:val="auto"/>
                <w:sz w:val="24"/>
                <w:highlight w:val="none"/>
                <w:lang w:eastAsia="zh-CN"/>
              </w:rPr>
              <w:t>杨喻婷、杨易</w:t>
            </w:r>
          </w:p>
          <w:p w14:paraId="6D7251C5">
            <w:pPr>
              <w:rPr>
                <w:rFonts w:hint="default" w:hAnsi="宋体" w:eastAsia="宋体"/>
                <w:color w:val="auto"/>
                <w:sz w:val="24"/>
                <w:highlight w:val="none"/>
                <w:lang w:val="en-US"/>
              </w:rPr>
            </w:pPr>
            <w:r>
              <w:rPr>
                <w:rFonts w:hint="eastAsia" w:hAnsi="宋体"/>
                <w:color w:val="auto"/>
                <w:sz w:val="24"/>
                <w:highlight w:val="none"/>
              </w:rPr>
              <w:t>联系电话：</w:t>
            </w:r>
            <w:r>
              <w:rPr>
                <w:rFonts w:hint="eastAsia" w:hAnsi="宋体"/>
                <w:color w:val="auto"/>
                <w:sz w:val="24"/>
                <w:highlight w:val="none"/>
                <w:lang w:eastAsia="zh-CN"/>
              </w:rPr>
              <w:t>0512-65954780-8</w:t>
            </w:r>
            <w:r>
              <w:rPr>
                <w:rFonts w:hint="eastAsia" w:hAnsi="宋体"/>
                <w:color w:val="auto"/>
                <w:sz w:val="24"/>
                <w:highlight w:val="none"/>
                <w:lang w:val="en-US" w:eastAsia="zh-CN"/>
              </w:rPr>
              <w:t>16</w:t>
            </w:r>
          </w:p>
        </w:tc>
      </w:tr>
      <w:tr w14:paraId="4B788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7CCB04E0">
            <w:pPr>
              <w:jc w:val="center"/>
              <w:rPr>
                <w:rFonts w:hAnsi="宋体"/>
                <w:color w:val="auto"/>
                <w:sz w:val="24"/>
                <w:highlight w:val="none"/>
              </w:rPr>
            </w:pPr>
            <w:r>
              <w:rPr>
                <w:rFonts w:hint="eastAsia" w:hAnsi="宋体"/>
                <w:color w:val="auto"/>
                <w:sz w:val="24"/>
                <w:highlight w:val="none"/>
              </w:rPr>
              <w:t>6</w:t>
            </w:r>
          </w:p>
        </w:tc>
        <w:tc>
          <w:tcPr>
            <w:tcW w:w="8041" w:type="dxa"/>
            <w:noWrap w:val="0"/>
            <w:vAlign w:val="center"/>
          </w:tcPr>
          <w:p w14:paraId="1F10E703">
            <w:pPr>
              <w:rPr>
                <w:rFonts w:hAnsi="宋体"/>
                <w:color w:val="auto"/>
                <w:sz w:val="24"/>
                <w:highlight w:val="none"/>
              </w:rPr>
            </w:pPr>
            <w:r>
              <w:rPr>
                <w:rFonts w:hAnsi="宋体"/>
                <w:color w:val="auto"/>
                <w:sz w:val="24"/>
                <w:highlight w:val="none"/>
                <w:lang w:val="zh-CN"/>
              </w:rPr>
              <w:t>投标有效期：</w:t>
            </w:r>
            <w:r>
              <w:rPr>
                <w:rFonts w:hint="eastAsia" w:hAnsi="宋体"/>
                <w:color w:val="auto"/>
                <w:sz w:val="24"/>
                <w:highlight w:val="none"/>
                <w:lang w:val="zh-CN"/>
              </w:rPr>
              <w:t>提交投标文件截止之日起六十日历日</w:t>
            </w:r>
          </w:p>
        </w:tc>
      </w:tr>
      <w:tr w14:paraId="06451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2732FE43">
            <w:pPr>
              <w:jc w:val="center"/>
              <w:rPr>
                <w:rFonts w:hAnsi="宋体"/>
                <w:color w:val="auto"/>
                <w:sz w:val="24"/>
                <w:highlight w:val="none"/>
              </w:rPr>
            </w:pPr>
            <w:r>
              <w:rPr>
                <w:rFonts w:hint="eastAsia" w:hAnsi="宋体"/>
                <w:color w:val="auto"/>
                <w:sz w:val="24"/>
                <w:highlight w:val="none"/>
              </w:rPr>
              <w:t>7</w:t>
            </w:r>
          </w:p>
        </w:tc>
        <w:tc>
          <w:tcPr>
            <w:tcW w:w="8041" w:type="dxa"/>
            <w:noWrap w:val="0"/>
            <w:vAlign w:val="center"/>
          </w:tcPr>
          <w:p w14:paraId="1632B2E0">
            <w:pPr>
              <w:rPr>
                <w:rFonts w:hint="eastAsia" w:hAnsi="宋体"/>
                <w:color w:val="auto"/>
                <w:sz w:val="24"/>
                <w:highlight w:val="none"/>
              </w:rPr>
            </w:pPr>
            <w:r>
              <w:rPr>
                <w:rFonts w:hAnsi="宋体"/>
                <w:color w:val="auto"/>
                <w:sz w:val="24"/>
                <w:highlight w:val="none"/>
              </w:rPr>
              <w:t>网上报名截止时间：202</w:t>
            </w:r>
            <w:r>
              <w:rPr>
                <w:rFonts w:hint="eastAsia" w:hAnsi="宋体"/>
                <w:color w:val="auto"/>
                <w:sz w:val="24"/>
                <w:highlight w:val="none"/>
                <w:lang w:val="en-US" w:eastAsia="zh-CN"/>
              </w:rPr>
              <w:t>5</w:t>
            </w:r>
            <w:r>
              <w:rPr>
                <w:rFonts w:hAnsi="宋体"/>
                <w:color w:val="auto"/>
                <w:sz w:val="24"/>
                <w:highlight w:val="none"/>
              </w:rPr>
              <w:t xml:space="preserve">年10月10日  </w:t>
            </w:r>
          </w:p>
        </w:tc>
      </w:tr>
      <w:tr w14:paraId="60856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16F2096D">
            <w:pPr>
              <w:jc w:val="center"/>
              <w:rPr>
                <w:rFonts w:hAnsi="宋体"/>
                <w:color w:val="auto"/>
                <w:sz w:val="24"/>
                <w:highlight w:val="none"/>
              </w:rPr>
            </w:pPr>
            <w:r>
              <w:rPr>
                <w:rFonts w:hint="eastAsia" w:hAnsi="宋体"/>
                <w:color w:val="auto"/>
                <w:sz w:val="24"/>
                <w:highlight w:val="none"/>
              </w:rPr>
              <w:t>8</w:t>
            </w:r>
          </w:p>
        </w:tc>
        <w:tc>
          <w:tcPr>
            <w:tcW w:w="8041" w:type="dxa"/>
            <w:noWrap w:val="0"/>
            <w:vAlign w:val="center"/>
          </w:tcPr>
          <w:p w14:paraId="71F66FD4">
            <w:pPr>
              <w:rPr>
                <w:rFonts w:hAnsi="宋体" w:eastAsia="宋体"/>
                <w:color w:val="auto"/>
                <w:sz w:val="24"/>
                <w:highlight w:val="none"/>
              </w:rPr>
            </w:pPr>
            <w:r>
              <w:rPr>
                <w:rFonts w:hAnsi="宋体"/>
                <w:color w:val="auto"/>
                <w:sz w:val="24"/>
                <w:highlight w:val="none"/>
              </w:rPr>
              <w:t>投标文件份数：</w:t>
            </w:r>
            <w:r>
              <w:rPr>
                <w:rFonts w:hint="eastAsia" w:hAnsi="宋体"/>
                <w:color w:val="auto"/>
                <w:sz w:val="24"/>
                <w:highlight w:val="none"/>
              </w:rPr>
              <w:t>中标后由中标单位提供4份</w:t>
            </w:r>
            <w:r>
              <w:rPr>
                <w:rFonts w:hint="eastAsia" w:hAnsi="宋体"/>
                <w:color w:val="auto"/>
                <w:sz w:val="24"/>
                <w:highlight w:val="none"/>
                <w:lang w:val="en-US" w:eastAsia="zh-CN"/>
              </w:rPr>
              <w:t>纸质投标文件</w:t>
            </w:r>
          </w:p>
        </w:tc>
      </w:tr>
      <w:tr w14:paraId="08572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015ADC24">
            <w:pPr>
              <w:jc w:val="center"/>
              <w:rPr>
                <w:rFonts w:hAnsi="宋体"/>
                <w:color w:val="auto"/>
                <w:sz w:val="24"/>
                <w:highlight w:val="none"/>
              </w:rPr>
            </w:pPr>
            <w:r>
              <w:rPr>
                <w:rFonts w:hint="eastAsia" w:hAnsi="宋体"/>
                <w:color w:val="auto"/>
                <w:sz w:val="24"/>
                <w:highlight w:val="none"/>
              </w:rPr>
              <w:t>9</w:t>
            </w:r>
          </w:p>
        </w:tc>
        <w:tc>
          <w:tcPr>
            <w:tcW w:w="8041" w:type="dxa"/>
            <w:noWrap w:val="0"/>
            <w:vAlign w:val="center"/>
          </w:tcPr>
          <w:p w14:paraId="624802E6">
            <w:pPr>
              <w:rPr>
                <w:rFonts w:hint="eastAsia" w:hAnsi="宋体" w:eastAsia="宋体"/>
                <w:color w:val="auto"/>
                <w:sz w:val="24"/>
                <w:highlight w:val="none"/>
                <w:lang w:eastAsia="zh-CN"/>
              </w:rPr>
            </w:pPr>
            <w:r>
              <w:rPr>
                <w:rFonts w:hAnsi="宋体"/>
                <w:color w:val="auto"/>
                <w:sz w:val="24"/>
                <w:highlight w:val="none"/>
              </w:rPr>
              <w:t>投标时间：202</w:t>
            </w:r>
            <w:r>
              <w:rPr>
                <w:rFonts w:hint="eastAsia" w:hAnsi="宋体"/>
                <w:color w:val="auto"/>
                <w:sz w:val="24"/>
                <w:highlight w:val="none"/>
                <w:lang w:val="en-US" w:eastAsia="zh-CN"/>
              </w:rPr>
              <w:t>5</w:t>
            </w:r>
            <w:r>
              <w:rPr>
                <w:rFonts w:hAnsi="宋体"/>
                <w:color w:val="auto"/>
                <w:sz w:val="24"/>
                <w:highlight w:val="none"/>
              </w:rPr>
              <w:t>年10月20日</w:t>
            </w:r>
            <w:r>
              <w:rPr>
                <w:rFonts w:hint="eastAsia" w:hAnsi="宋体"/>
                <w:color w:val="auto"/>
                <w:sz w:val="24"/>
                <w:highlight w:val="none"/>
              </w:rPr>
              <w:t>上午09：30分</w:t>
            </w:r>
            <w:r>
              <w:rPr>
                <w:rFonts w:hint="eastAsia" w:hAnsi="宋体"/>
                <w:color w:val="auto"/>
                <w:sz w:val="24"/>
                <w:highlight w:val="none"/>
                <w:lang w:eastAsia="zh-CN"/>
              </w:rPr>
              <w:t>（</w:t>
            </w:r>
            <w:r>
              <w:rPr>
                <w:rFonts w:hint="eastAsia" w:hAnsi="宋体"/>
                <w:color w:val="auto"/>
                <w:sz w:val="24"/>
                <w:highlight w:val="none"/>
                <w:lang w:val="en-US" w:eastAsia="zh-CN"/>
              </w:rPr>
              <w:t>北京时间</w:t>
            </w:r>
            <w:r>
              <w:rPr>
                <w:rFonts w:hint="eastAsia" w:hAnsi="宋体"/>
                <w:color w:val="auto"/>
                <w:sz w:val="24"/>
                <w:highlight w:val="none"/>
                <w:lang w:eastAsia="zh-CN"/>
              </w:rPr>
              <w:t>）</w:t>
            </w:r>
          </w:p>
        </w:tc>
      </w:tr>
      <w:tr w14:paraId="6DCD2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768E4208">
            <w:pPr>
              <w:jc w:val="center"/>
              <w:rPr>
                <w:rFonts w:hAnsi="宋体"/>
                <w:color w:val="auto"/>
                <w:sz w:val="24"/>
                <w:highlight w:val="none"/>
              </w:rPr>
            </w:pPr>
            <w:r>
              <w:rPr>
                <w:rFonts w:hint="eastAsia" w:hAnsi="宋体"/>
                <w:color w:val="auto"/>
                <w:sz w:val="24"/>
                <w:highlight w:val="none"/>
              </w:rPr>
              <w:t>10</w:t>
            </w:r>
          </w:p>
        </w:tc>
        <w:tc>
          <w:tcPr>
            <w:tcW w:w="8041" w:type="dxa"/>
            <w:noWrap w:val="0"/>
            <w:vAlign w:val="center"/>
          </w:tcPr>
          <w:p w14:paraId="37848F90">
            <w:pPr>
              <w:rPr>
                <w:rFonts w:hint="eastAsia" w:hAnsi="宋体"/>
                <w:color w:val="auto"/>
                <w:sz w:val="24"/>
                <w:highlight w:val="none"/>
              </w:rPr>
            </w:pPr>
            <w:r>
              <w:rPr>
                <w:rFonts w:hAnsi="宋体"/>
                <w:color w:val="auto"/>
                <w:sz w:val="24"/>
                <w:highlight w:val="none"/>
              </w:rPr>
              <w:t>投标文件递交地点：</w:t>
            </w:r>
            <w:r>
              <w:rPr>
                <w:rFonts w:hint="eastAsia" w:ascii="宋体" w:hAnsi="宋体"/>
                <w:color w:val="auto"/>
                <w:sz w:val="24"/>
                <w:highlight w:val="none"/>
              </w:rPr>
              <w:t>“苏采云”系统（网址：http://jszfcg.jsczt.cn/）。响应文件网上提交，不需要现场参加采购活动，无需提供纸质响应文件。</w:t>
            </w:r>
          </w:p>
        </w:tc>
      </w:tr>
      <w:tr w14:paraId="75B11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5E973447">
            <w:pPr>
              <w:jc w:val="center"/>
              <w:rPr>
                <w:rFonts w:hAnsi="宋体"/>
                <w:color w:val="auto"/>
                <w:sz w:val="24"/>
                <w:highlight w:val="none"/>
              </w:rPr>
            </w:pPr>
            <w:r>
              <w:rPr>
                <w:rFonts w:hint="eastAsia" w:hAnsi="宋体"/>
                <w:color w:val="auto"/>
                <w:sz w:val="24"/>
                <w:highlight w:val="none"/>
              </w:rPr>
              <w:t>11</w:t>
            </w:r>
          </w:p>
        </w:tc>
        <w:tc>
          <w:tcPr>
            <w:tcW w:w="8041" w:type="dxa"/>
            <w:noWrap w:val="0"/>
            <w:vAlign w:val="center"/>
          </w:tcPr>
          <w:p w14:paraId="04979F3C">
            <w:pPr>
              <w:rPr>
                <w:rFonts w:hint="eastAsia" w:hAnsi="宋体"/>
                <w:color w:val="auto"/>
                <w:sz w:val="24"/>
                <w:highlight w:val="none"/>
              </w:rPr>
            </w:pPr>
            <w:r>
              <w:rPr>
                <w:rFonts w:hAnsi="宋体"/>
                <w:color w:val="auto"/>
                <w:sz w:val="24"/>
                <w:highlight w:val="none"/>
              </w:rPr>
              <w:t>开标时间地点：</w:t>
            </w:r>
            <w:r>
              <w:rPr>
                <w:rFonts w:hint="eastAsia" w:ascii="宋体" w:hAnsi="宋体"/>
                <w:color w:val="auto"/>
                <w:sz w:val="24"/>
                <w:highlight w:val="none"/>
              </w:rPr>
              <w:t>“苏采云”系统（网址：http://jszfcg.jsczt.cn/）。响应文件网上提交，不需要现场参加采购活动，无需提供纸质响应文件。</w:t>
            </w:r>
          </w:p>
        </w:tc>
      </w:tr>
      <w:tr w14:paraId="7AB86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1DC84253">
            <w:pPr>
              <w:jc w:val="center"/>
              <w:rPr>
                <w:rFonts w:hint="eastAsia" w:hAnsi="宋体"/>
                <w:color w:val="auto"/>
                <w:sz w:val="24"/>
                <w:highlight w:val="none"/>
              </w:rPr>
            </w:pPr>
            <w:r>
              <w:rPr>
                <w:rFonts w:hint="eastAsia" w:hAnsi="宋体"/>
                <w:color w:val="auto"/>
                <w:sz w:val="24"/>
                <w:highlight w:val="none"/>
              </w:rPr>
              <w:t>12</w:t>
            </w:r>
          </w:p>
        </w:tc>
        <w:tc>
          <w:tcPr>
            <w:tcW w:w="8041" w:type="dxa"/>
            <w:noWrap w:val="0"/>
            <w:vAlign w:val="center"/>
          </w:tcPr>
          <w:p w14:paraId="57D87363">
            <w:pPr>
              <w:rPr>
                <w:rFonts w:hint="eastAsia" w:hAnsi="宋体"/>
                <w:color w:val="auto"/>
                <w:sz w:val="24"/>
                <w:highlight w:val="none"/>
              </w:rPr>
            </w:pPr>
            <w:r>
              <w:rPr>
                <w:rFonts w:hAnsi="宋体"/>
                <w:color w:val="auto"/>
                <w:sz w:val="24"/>
                <w:highlight w:val="none"/>
              </w:rPr>
              <w:t>收费标准：</w:t>
            </w:r>
            <w:r>
              <w:rPr>
                <w:rFonts w:hint="eastAsia" w:hAnsi="宋体"/>
                <w:color w:val="auto"/>
                <w:sz w:val="24"/>
                <w:highlight w:val="none"/>
              </w:rPr>
              <w:t>根据2021年苏州市级政府采购代理服务收费公告信息变更表（第四批）的规定</w:t>
            </w:r>
            <w:r>
              <w:rPr>
                <w:rFonts w:hAnsi="宋体"/>
                <w:color w:val="auto"/>
                <w:sz w:val="24"/>
                <w:highlight w:val="none"/>
              </w:rPr>
              <w:t>。中标服务费的收取按差额定率累进法计算</w:t>
            </w:r>
            <w:r>
              <w:rPr>
                <w:rFonts w:hint="eastAsia" w:hAnsi="宋体"/>
                <w:color w:val="auto"/>
                <w:sz w:val="24"/>
                <w:highlight w:val="none"/>
              </w:rPr>
              <w:t>：</w:t>
            </w:r>
          </w:p>
          <w:p w14:paraId="761D8CCD">
            <w:pPr>
              <w:rPr>
                <w:rFonts w:hint="eastAsia" w:hAnsi="宋体"/>
                <w:color w:val="auto"/>
                <w:sz w:val="24"/>
                <w:highlight w:val="none"/>
              </w:rPr>
            </w:pPr>
            <w:r>
              <w:rPr>
                <w:rFonts w:hAnsi="宋体"/>
                <w:color w:val="auto"/>
                <w:sz w:val="24"/>
                <w:highlight w:val="none"/>
              </w:rPr>
              <w:t>预算金额100万以下费率为预算金额1.5%；</w:t>
            </w:r>
          </w:p>
          <w:p w14:paraId="03BA76FB">
            <w:pPr>
              <w:rPr>
                <w:rFonts w:hint="eastAsia" w:hAnsi="宋体"/>
                <w:color w:val="auto"/>
                <w:sz w:val="24"/>
                <w:highlight w:val="none"/>
              </w:rPr>
            </w:pPr>
            <w:r>
              <w:rPr>
                <w:rFonts w:hAnsi="宋体"/>
                <w:color w:val="auto"/>
                <w:sz w:val="24"/>
                <w:highlight w:val="none"/>
              </w:rPr>
              <w:t>预算金额100－500万费率为预算金额的1.1%</w:t>
            </w:r>
          </w:p>
          <w:p w14:paraId="1E838CAE">
            <w:pPr>
              <w:rPr>
                <w:rFonts w:hint="eastAsia" w:hAnsi="宋体"/>
                <w:color w:val="auto"/>
                <w:sz w:val="24"/>
                <w:highlight w:val="none"/>
              </w:rPr>
            </w:pPr>
            <w:r>
              <w:rPr>
                <w:rFonts w:hAnsi="宋体"/>
                <w:color w:val="auto"/>
                <w:sz w:val="24"/>
                <w:highlight w:val="none"/>
              </w:rPr>
              <w:t>预算金额500-1000万费率为预算金额的0.8%</w:t>
            </w:r>
          </w:p>
          <w:p w14:paraId="394F3BAF">
            <w:pPr>
              <w:rPr>
                <w:rFonts w:hint="eastAsia" w:hAnsi="宋体"/>
                <w:color w:val="auto"/>
                <w:sz w:val="24"/>
                <w:highlight w:val="none"/>
              </w:rPr>
            </w:pPr>
            <w:r>
              <w:rPr>
                <w:rFonts w:hAnsi="宋体"/>
                <w:color w:val="auto"/>
                <w:sz w:val="24"/>
                <w:highlight w:val="none"/>
              </w:rPr>
              <w:t>预算金额1000-5000万费率为预算金额的0.5%</w:t>
            </w:r>
          </w:p>
          <w:p w14:paraId="523C138A">
            <w:pPr>
              <w:rPr>
                <w:rFonts w:hint="eastAsia" w:hAnsi="宋体" w:eastAsia="宋体"/>
                <w:color w:val="auto"/>
                <w:sz w:val="24"/>
                <w:highlight w:val="none"/>
              </w:rPr>
            </w:pPr>
            <w:r>
              <w:rPr>
                <w:rFonts w:hAnsi="宋体"/>
                <w:color w:val="auto"/>
                <w:sz w:val="24"/>
                <w:highlight w:val="none"/>
              </w:rPr>
              <w:t>注：中标服务费的收取按差额定率累进法计算，若预算金额为150万，则中标服务费＝100万×1.5%＋（150万－100万）×1.1%</w:t>
            </w:r>
            <w:r>
              <w:rPr>
                <w:rFonts w:hint="eastAsia" w:hAnsi="宋体"/>
                <w:color w:val="auto"/>
                <w:sz w:val="24"/>
                <w:highlight w:val="none"/>
                <w:lang w:eastAsia="zh-CN"/>
              </w:rPr>
              <w:t>。</w:t>
            </w:r>
          </w:p>
          <w:p w14:paraId="496019F6">
            <w:pPr>
              <w:rPr>
                <w:rFonts w:hint="eastAsia" w:hAnsi="宋体"/>
                <w:color w:val="auto"/>
                <w:sz w:val="24"/>
                <w:highlight w:val="none"/>
              </w:rPr>
            </w:pPr>
            <w:r>
              <w:rPr>
                <w:rFonts w:hint="eastAsia" w:hAnsi="宋体"/>
                <w:color w:val="auto"/>
                <w:sz w:val="24"/>
                <w:highlight w:val="none"/>
              </w:rPr>
              <w:t>服务费交纳帐户：苏州骏捷建设管理咨询有限公司</w:t>
            </w:r>
          </w:p>
          <w:p w14:paraId="7A2D771C">
            <w:pPr>
              <w:rPr>
                <w:rFonts w:hint="eastAsia" w:hAnsi="宋体"/>
                <w:color w:val="auto"/>
                <w:sz w:val="24"/>
                <w:highlight w:val="none"/>
              </w:rPr>
            </w:pPr>
            <w:r>
              <w:rPr>
                <w:rFonts w:hint="eastAsia" w:hAnsi="宋体"/>
                <w:color w:val="auto"/>
                <w:sz w:val="24"/>
                <w:highlight w:val="none"/>
              </w:rPr>
              <w:t>开户行：招商银行股份有限公司苏州分行新区支行</w:t>
            </w:r>
          </w:p>
          <w:p w14:paraId="4AD8492D">
            <w:pPr>
              <w:rPr>
                <w:rFonts w:hint="eastAsia" w:hAnsi="宋体"/>
                <w:color w:val="auto"/>
                <w:sz w:val="24"/>
                <w:highlight w:val="none"/>
              </w:rPr>
            </w:pPr>
            <w:r>
              <w:rPr>
                <w:rFonts w:hint="eastAsia" w:hAnsi="宋体"/>
                <w:color w:val="auto"/>
                <w:sz w:val="24"/>
                <w:highlight w:val="none"/>
              </w:rPr>
              <w:t>账号：512904630810306</w:t>
            </w:r>
          </w:p>
          <w:p w14:paraId="08186C5C">
            <w:pPr>
              <w:rPr>
                <w:color w:val="auto"/>
                <w:highlight w:val="none"/>
              </w:rPr>
            </w:pPr>
            <w:r>
              <w:rPr>
                <w:rFonts w:hint="eastAsia" w:hAnsi="宋体"/>
                <w:color w:val="auto"/>
                <w:sz w:val="24"/>
                <w:highlight w:val="none"/>
                <w:lang w:val="zh-CN"/>
              </w:rPr>
              <w:t>本项目代理服务费</w:t>
            </w:r>
            <w:r>
              <w:rPr>
                <w:rFonts w:hint="eastAsia" w:hAnsi="宋体"/>
                <w:color w:val="auto"/>
                <w:sz w:val="24"/>
                <w:highlight w:val="none"/>
                <w:lang w:val="en-US" w:eastAsia="zh-CN"/>
              </w:rPr>
              <w:t>16235.3</w:t>
            </w:r>
            <w:r>
              <w:rPr>
                <w:rFonts w:hint="eastAsia" w:hAnsi="宋体"/>
                <w:color w:val="auto"/>
                <w:sz w:val="24"/>
                <w:highlight w:val="none"/>
              </w:rPr>
              <w:t>元</w:t>
            </w:r>
          </w:p>
        </w:tc>
      </w:tr>
      <w:tr w14:paraId="067FB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5681858B">
            <w:pPr>
              <w:jc w:val="center"/>
              <w:rPr>
                <w:rFonts w:hint="eastAsia" w:hAnsi="宋体"/>
                <w:color w:val="auto"/>
                <w:sz w:val="24"/>
                <w:highlight w:val="none"/>
              </w:rPr>
            </w:pPr>
            <w:r>
              <w:rPr>
                <w:rFonts w:hint="eastAsia" w:hAnsi="宋体"/>
                <w:color w:val="auto"/>
                <w:sz w:val="24"/>
                <w:highlight w:val="none"/>
              </w:rPr>
              <w:t>13</w:t>
            </w:r>
          </w:p>
        </w:tc>
        <w:tc>
          <w:tcPr>
            <w:tcW w:w="8041" w:type="dxa"/>
            <w:noWrap w:val="0"/>
            <w:vAlign w:val="center"/>
          </w:tcPr>
          <w:p w14:paraId="31CFE807">
            <w:pPr>
              <w:rPr>
                <w:rFonts w:hAnsi="宋体"/>
                <w:color w:val="auto"/>
                <w:sz w:val="24"/>
                <w:highlight w:val="none"/>
              </w:rPr>
            </w:pPr>
            <w:r>
              <w:rPr>
                <w:rFonts w:hint="eastAsia" w:hAnsi="宋体"/>
                <w:color w:val="auto"/>
                <w:sz w:val="24"/>
                <w:highlight w:val="none"/>
              </w:rPr>
              <w:t>投标保证金：无</w:t>
            </w:r>
          </w:p>
        </w:tc>
      </w:tr>
      <w:tr w14:paraId="3FFE3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060785DF">
            <w:pPr>
              <w:jc w:val="center"/>
              <w:rPr>
                <w:rFonts w:hAnsi="宋体"/>
                <w:color w:val="auto"/>
                <w:sz w:val="24"/>
                <w:highlight w:val="none"/>
              </w:rPr>
            </w:pPr>
            <w:r>
              <w:rPr>
                <w:rFonts w:hint="eastAsia" w:hAnsi="宋体"/>
                <w:color w:val="auto"/>
                <w:sz w:val="24"/>
                <w:highlight w:val="none"/>
              </w:rPr>
              <w:t>14</w:t>
            </w:r>
          </w:p>
        </w:tc>
        <w:tc>
          <w:tcPr>
            <w:tcW w:w="8041" w:type="dxa"/>
            <w:noWrap w:val="0"/>
            <w:vAlign w:val="center"/>
          </w:tcPr>
          <w:p w14:paraId="1C7B1CAC">
            <w:pPr>
              <w:rPr>
                <w:rFonts w:hint="eastAsia" w:hAnsi="宋体"/>
                <w:color w:val="auto"/>
                <w:sz w:val="24"/>
                <w:highlight w:val="none"/>
              </w:rPr>
            </w:pPr>
            <w:r>
              <w:rPr>
                <w:rFonts w:hint="eastAsia" w:hAnsi="宋体"/>
                <w:color w:val="auto"/>
                <w:sz w:val="24"/>
                <w:highlight w:val="none"/>
              </w:rPr>
              <w:t>落实政府采购政策需满足的资格要求：本项目专门面向中小企业采购，本项目所属行业为其他未列明行业。</w:t>
            </w:r>
          </w:p>
        </w:tc>
      </w:tr>
      <w:tr w14:paraId="18B7D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127A862C">
            <w:pPr>
              <w:jc w:val="center"/>
              <w:rPr>
                <w:rFonts w:hint="default" w:hAnsi="宋体" w:eastAsia="宋体"/>
                <w:color w:val="auto"/>
                <w:sz w:val="24"/>
                <w:highlight w:val="none"/>
                <w:lang w:val="en-US" w:eastAsia="zh-CN"/>
              </w:rPr>
            </w:pPr>
            <w:r>
              <w:rPr>
                <w:rFonts w:hint="eastAsia" w:hAnsi="宋体"/>
                <w:color w:val="auto"/>
                <w:sz w:val="24"/>
                <w:highlight w:val="none"/>
                <w:lang w:val="en-US" w:eastAsia="zh-CN"/>
              </w:rPr>
              <w:t>15</w:t>
            </w:r>
          </w:p>
        </w:tc>
        <w:tc>
          <w:tcPr>
            <w:tcW w:w="8041" w:type="dxa"/>
            <w:noWrap w:val="0"/>
            <w:vAlign w:val="center"/>
          </w:tcPr>
          <w:p w14:paraId="77FC86F2">
            <w:pPr>
              <w:rPr>
                <w:rFonts w:hint="eastAsia" w:hAnsi="宋体"/>
                <w:color w:val="auto"/>
                <w:sz w:val="24"/>
                <w:highlight w:val="none"/>
              </w:rPr>
            </w:pPr>
            <w:r>
              <w:rPr>
                <w:rFonts w:hint="eastAsia" w:hAnsi="宋体"/>
                <w:color w:val="auto"/>
                <w:sz w:val="24"/>
                <w:highlight w:val="none"/>
                <w:lang w:val="en-US" w:eastAsia="zh-CN"/>
              </w:rPr>
              <w:t>履约保证金：</w:t>
            </w:r>
            <w:r>
              <w:rPr>
                <w:rFonts w:hint="eastAsia" w:ascii="宋体" w:hAnsi="宋体" w:eastAsia="宋体" w:cs="宋体"/>
                <w:color w:val="auto"/>
                <w:sz w:val="24"/>
                <w:szCs w:val="24"/>
                <w:highlight w:val="none"/>
              </w:rPr>
              <w:t>根据《关于在全省政府采购领域推行电子履约保函（保险）的通知（苏财购【2023】150号）》规定，中标（成交）供应商可以自愿选择，使用以电子履约保函（保险）形式代替提供履约保证金。供应商可通过江苏省政府采购网、“苏采云”系统链接访问登录“政府采购电子履约保函（保险）平台”，选择第三方机构并提交保函（保险）申请。详见：江苏政府采购网“资料下载”栏目（网址：www.ccgp-jiangsu.gov.cn/jiangsu/zlxz）下载“政府采购电子履约保函（保险）操作手册”。</w:t>
            </w:r>
          </w:p>
        </w:tc>
      </w:tr>
      <w:tr w14:paraId="71F59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993" w:type="dxa"/>
            <w:noWrap w:val="0"/>
            <w:vAlign w:val="center"/>
          </w:tcPr>
          <w:p w14:paraId="15E575A3">
            <w:pPr>
              <w:jc w:val="center"/>
              <w:rPr>
                <w:rFonts w:hint="default" w:hAnsi="宋体" w:eastAsia="宋体"/>
                <w:color w:val="auto"/>
                <w:sz w:val="24"/>
                <w:highlight w:val="none"/>
                <w:lang w:val="en-US" w:eastAsia="zh-CN"/>
              </w:rPr>
            </w:pPr>
            <w:r>
              <w:rPr>
                <w:rFonts w:hint="eastAsia" w:hAnsi="宋体"/>
                <w:color w:val="auto"/>
                <w:sz w:val="24"/>
                <w:highlight w:val="none"/>
                <w:lang w:val="en-US" w:eastAsia="zh-CN"/>
              </w:rPr>
              <w:t>16</w:t>
            </w:r>
          </w:p>
        </w:tc>
        <w:tc>
          <w:tcPr>
            <w:tcW w:w="8041" w:type="dxa"/>
            <w:noWrap w:val="0"/>
            <w:vAlign w:val="center"/>
          </w:tcPr>
          <w:p w14:paraId="2928E7AB">
            <w:pPr>
              <w:rPr>
                <w:rFonts w:hint="eastAsia" w:hAnsi="宋体"/>
                <w:color w:val="auto"/>
                <w:sz w:val="24"/>
                <w:highlight w:val="none"/>
              </w:rPr>
            </w:pPr>
            <w:r>
              <w:rPr>
                <w:rFonts w:hint="eastAsia" w:hAnsi="宋体"/>
                <w:color w:val="auto"/>
                <w:sz w:val="24"/>
                <w:highlight w:val="none"/>
              </w:rPr>
              <w:t>导致无效标因素：</w:t>
            </w:r>
          </w:p>
          <w:p w14:paraId="3ED9111F">
            <w:pPr>
              <w:rPr>
                <w:rFonts w:hAnsi="宋体"/>
                <w:color w:val="auto"/>
                <w:sz w:val="24"/>
                <w:highlight w:val="none"/>
              </w:rPr>
            </w:pPr>
            <w:r>
              <w:rPr>
                <w:rFonts w:hint="eastAsia" w:hAnsi="宋体"/>
                <w:color w:val="auto"/>
                <w:sz w:val="24"/>
                <w:highlight w:val="none"/>
              </w:rPr>
              <w:t>投标文件属下列情况之一的，在资格性、符合性检查时按照无效投标处理：</w:t>
            </w:r>
          </w:p>
          <w:p w14:paraId="7ED26BCF">
            <w:pPr>
              <w:rPr>
                <w:rFonts w:hAnsi="宋体"/>
                <w:color w:val="auto"/>
                <w:sz w:val="24"/>
                <w:highlight w:val="none"/>
              </w:rPr>
            </w:pPr>
            <w:r>
              <w:rPr>
                <w:rFonts w:hint="eastAsia" w:hAnsi="宋体"/>
                <w:color w:val="auto"/>
                <w:sz w:val="24"/>
                <w:highlight w:val="none"/>
              </w:rPr>
              <w:t>（一）未按照招标文件规定要求制作电子投标文件；</w:t>
            </w:r>
          </w:p>
          <w:p w14:paraId="1E82181B">
            <w:pPr>
              <w:rPr>
                <w:rFonts w:hAnsi="宋体"/>
                <w:color w:val="auto"/>
                <w:sz w:val="24"/>
                <w:highlight w:val="none"/>
              </w:rPr>
            </w:pPr>
            <w:r>
              <w:rPr>
                <w:rFonts w:hint="eastAsia" w:hAnsi="宋体"/>
                <w:color w:val="auto"/>
                <w:sz w:val="24"/>
                <w:highlight w:val="none"/>
              </w:rPr>
              <w:t>（二）不具备招标文件中规定资格要求的；</w:t>
            </w:r>
          </w:p>
          <w:p w14:paraId="20114105">
            <w:pPr>
              <w:rPr>
                <w:rFonts w:hAnsi="宋体"/>
                <w:color w:val="auto"/>
                <w:sz w:val="24"/>
                <w:highlight w:val="none"/>
              </w:rPr>
            </w:pPr>
            <w:r>
              <w:rPr>
                <w:rFonts w:hint="eastAsia" w:hAnsi="宋体"/>
                <w:color w:val="auto"/>
                <w:sz w:val="24"/>
                <w:highlight w:val="none"/>
              </w:rPr>
              <w:t>（三）不符合法律、法规和招标文件中规定的其他实质性要求的；</w:t>
            </w:r>
          </w:p>
          <w:p w14:paraId="56BE3F6D">
            <w:pPr>
              <w:rPr>
                <w:rFonts w:hint="eastAsia" w:hAnsi="宋体"/>
                <w:color w:val="auto"/>
                <w:sz w:val="24"/>
                <w:highlight w:val="none"/>
              </w:rPr>
            </w:pPr>
            <w:r>
              <w:rPr>
                <w:rFonts w:hint="eastAsia" w:hAnsi="宋体"/>
                <w:color w:val="auto"/>
                <w:sz w:val="24"/>
                <w:highlight w:val="none"/>
              </w:rPr>
              <w:t>（四）其它在招标文件中已明确为无效标的。</w:t>
            </w:r>
          </w:p>
        </w:tc>
      </w:tr>
    </w:tbl>
    <w:p w14:paraId="6E871E57">
      <w:pPr>
        <w:pStyle w:val="10"/>
        <w:spacing w:line="360" w:lineRule="auto"/>
        <w:ind w:firstLine="0"/>
        <w:jc w:val="center"/>
        <w:rPr>
          <w:rFonts w:hint="eastAsia" w:hAnsi="宋体" w:eastAsia="宋体" w:cs="宋体"/>
          <w:b/>
          <w:color w:val="auto"/>
          <w:sz w:val="30"/>
          <w:highlight w:val="none"/>
        </w:rPr>
      </w:pPr>
    </w:p>
    <w:p w14:paraId="2AEF6DE7">
      <w:pPr>
        <w:pStyle w:val="10"/>
        <w:spacing w:line="360" w:lineRule="auto"/>
        <w:ind w:firstLine="0"/>
        <w:jc w:val="center"/>
        <w:rPr>
          <w:rFonts w:hint="eastAsia" w:hAnsi="宋体" w:eastAsia="宋体" w:cs="宋体"/>
          <w:b/>
          <w:color w:val="auto"/>
          <w:sz w:val="30"/>
          <w:highlight w:val="none"/>
        </w:rPr>
      </w:pPr>
    </w:p>
    <w:p w14:paraId="3F026F52">
      <w:pPr>
        <w:pStyle w:val="10"/>
        <w:spacing w:line="360" w:lineRule="auto"/>
        <w:ind w:firstLine="0"/>
        <w:jc w:val="center"/>
        <w:rPr>
          <w:rFonts w:hint="eastAsia" w:hAnsi="宋体" w:eastAsia="宋体" w:cs="宋体"/>
          <w:b/>
          <w:color w:val="auto"/>
          <w:sz w:val="30"/>
          <w:highlight w:val="none"/>
        </w:rPr>
      </w:pPr>
    </w:p>
    <w:p w14:paraId="4579E5E7">
      <w:pPr>
        <w:pStyle w:val="10"/>
        <w:spacing w:line="360" w:lineRule="auto"/>
        <w:ind w:firstLine="0"/>
        <w:jc w:val="center"/>
        <w:rPr>
          <w:rFonts w:hint="eastAsia" w:hAnsi="宋体" w:eastAsia="宋体" w:cs="宋体"/>
          <w:b/>
          <w:color w:val="auto"/>
          <w:sz w:val="30"/>
          <w:highlight w:val="none"/>
        </w:rPr>
      </w:pPr>
    </w:p>
    <w:p w14:paraId="4A9C8490">
      <w:pPr>
        <w:pStyle w:val="10"/>
        <w:spacing w:line="360" w:lineRule="auto"/>
        <w:ind w:firstLine="0"/>
        <w:jc w:val="center"/>
        <w:rPr>
          <w:rFonts w:hint="eastAsia" w:hAnsi="宋体" w:eastAsia="宋体" w:cs="宋体"/>
          <w:b/>
          <w:color w:val="auto"/>
          <w:sz w:val="30"/>
          <w:highlight w:val="none"/>
        </w:rPr>
      </w:pPr>
    </w:p>
    <w:p w14:paraId="6988581E">
      <w:pPr>
        <w:pStyle w:val="10"/>
        <w:spacing w:line="360" w:lineRule="auto"/>
        <w:ind w:firstLine="0"/>
        <w:jc w:val="center"/>
        <w:rPr>
          <w:rFonts w:hint="eastAsia" w:hAnsi="宋体" w:eastAsia="宋体" w:cs="宋体"/>
          <w:b/>
          <w:color w:val="auto"/>
          <w:sz w:val="30"/>
          <w:highlight w:val="none"/>
        </w:rPr>
      </w:pPr>
    </w:p>
    <w:p w14:paraId="1D6EB527">
      <w:pPr>
        <w:pStyle w:val="10"/>
        <w:spacing w:line="360" w:lineRule="auto"/>
        <w:ind w:firstLine="0"/>
        <w:jc w:val="center"/>
        <w:rPr>
          <w:rFonts w:hint="eastAsia" w:hAnsi="宋体" w:eastAsia="宋体" w:cs="宋体"/>
          <w:b/>
          <w:color w:val="auto"/>
          <w:sz w:val="30"/>
          <w:highlight w:val="none"/>
        </w:rPr>
      </w:pPr>
    </w:p>
    <w:p w14:paraId="78BF6B08">
      <w:pPr>
        <w:pStyle w:val="10"/>
        <w:spacing w:line="360" w:lineRule="auto"/>
        <w:ind w:firstLine="0"/>
        <w:jc w:val="center"/>
        <w:rPr>
          <w:rFonts w:hint="eastAsia" w:hAnsi="宋体" w:eastAsia="宋体" w:cs="宋体"/>
          <w:b/>
          <w:color w:val="auto"/>
          <w:sz w:val="30"/>
          <w:highlight w:val="none"/>
        </w:rPr>
      </w:pPr>
    </w:p>
    <w:p w14:paraId="26A54F6D">
      <w:pPr>
        <w:pStyle w:val="10"/>
        <w:spacing w:line="360" w:lineRule="auto"/>
        <w:ind w:firstLine="0"/>
        <w:jc w:val="center"/>
        <w:rPr>
          <w:rFonts w:hint="eastAsia" w:hAnsi="宋体" w:eastAsia="宋体" w:cs="宋体"/>
          <w:b/>
          <w:color w:val="auto"/>
          <w:sz w:val="30"/>
          <w:highlight w:val="none"/>
        </w:rPr>
      </w:pPr>
    </w:p>
    <w:p w14:paraId="308C2448">
      <w:pPr>
        <w:pStyle w:val="10"/>
        <w:spacing w:line="360" w:lineRule="auto"/>
        <w:ind w:firstLine="0"/>
        <w:jc w:val="center"/>
        <w:rPr>
          <w:rFonts w:hint="eastAsia" w:hAnsi="宋体" w:eastAsia="宋体" w:cs="宋体"/>
          <w:b/>
          <w:color w:val="auto"/>
          <w:sz w:val="30"/>
          <w:highlight w:val="none"/>
        </w:rPr>
      </w:pPr>
    </w:p>
    <w:p w14:paraId="23B0BBA2">
      <w:pPr>
        <w:pStyle w:val="10"/>
        <w:spacing w:line="360" w:lineRule="auto"/>
        <w:ind w:firstLine="0"/>
        <w:jc w:val="center"/>
        <w:rPr>
          <w:rFonts w:hint="eastAsia" w:hAnsi="宋体" w:eastAsia="宋体" w:cs="宋体"/>
          <w:b/>
          <w:color w:val="auto"/>
          <w:sz w:val="30"/>
          <w:highlight w:val="none"/>
        </w:rPr>
      </w:pPr>
    </w:p>
    <w:p w14:paraId="5F9B8769">
      <w:pPr>
        <w:pStyle w:val="10"/>
        <w:spacing w:line="360" w:lineRule="auto"/>
        <w:ind w:firstLine="0"/>
        <w:jc w:val="center"/>
        <w:rPr>
          <w:rFonts w:hint="eastAsia" w:hAnsi="宋体" w:eastAsia="宋体" w:cs="宋体"/>
          <w:b/>
          <w:color w:val="auto"/>
          <w:sz w:val="30"/>
          <w:highlight w:val="none"/>
        </w:rPr>
      </w:pPr>
    </w:p>
    <w:p w14:paraId="2698A561">
      <w:pPr>
        <w:pStyle w:val="10"/>
        <w:spacing w:line="360" w:lineRule="auto"/>
        <w:ind w:firstLine="0"/>
        <w:jc w:val="center"/>
        <w:rPr>
          <w:rFonts w:hint="eastAsia" w:hAnsi="宋体" w:eastAsia="宋体" w:cs="宋体"/>
          <w:b/>
          <w:color w:val="auto"/>
          <w:sz w:val="30"/>
          <w:highlight w:val="none"/>
        </w:rPr>
      </w:pPr>
    </w:p>
    <w:p w14:paraId="3C145E97">
      <w:pPr>
        <w:pStyle w:val="10"/>
        <w:spacing w:line="360" w:lineRule="auto"/>
        <w:ind w:firstLine="0"/>
        <w:jc w:val="center"/>
        <w:rPr>
          <w:rFonts w:hint="eastAsia" w:hAnsi="宋体" w:eastAsia="宋体" w:cs="宋体"/>
          <w:b/>
          <w:color w:val="auto"/>
          <w:sz w:val="30"/>
          <w:highlight w:val="none"/>
        </w:rPr>
      </w:pPr>
    </w:p>
    <w:p w14:paraId="415F4555">
      <w:pPr>
        <w:pStyle w:val="10"/>
        <w:spacing w:line="360" w:lineRule="auto"/>
        <w:ind w:firstLine="0"/>
        <w:jc w:val="center"/>
        <w:rPr>
          <w:rFonts w:hint="eastAsia" w:hAnsi="宋体" w:eastAsia="宋体" w:cs="宋体"/>
          <w:b/>
          <w:color w:val="auto"/>
          <w:sz w:val="30"/>
          <w:highlight w:val="none"/>
        </w:rPr>
      </w:pPr>
    </w:p>
    <w:p w14:paraId="3621318A">
      <w:pPr>
        <w:pStyle w:val="10"/>
        <w:spacing w:line="360" w:lineRule="auto"/>
        <w:ind w:firstLine="0"/>
        <w:jc w:val="center"/>
        <w:rPr>
          <w:rFonts w:hint="eastAsia" w:hAnsi="宋体" w:eastAsia="宋体" w:cs="宋体"/>
          <w:b/>
          <w:color w:val="auto"/>
          <w:sz w:val="30"/>
          <w:highlight w:val="none"/>
        </w:rPr>
      </w:pPr>
    </w:p>
    <w:p w14:paraId="263E079C">
      <w:pPr>
        <w:pStyle w:val="10"/>
        <w:spacing w:line="360" w:lineRule="auto"/>
        <w:ind w:firstLine="0"/>
        <w:jc w:val="center"/>
        <w:rPr>
          <w:rFonts w:hint="eastAsia" w:hAnsi="宋体" w:eastAsia="宋体" w:cs="宋体"/>
          <w:b/>
          <w:color w:val="auto"/>
          <w:sz w:val="30"/>
          <w:highlight w:val="none"/>
        </w:rPr>
      </w:pPr>
    </w:p>
    <w:p w14:paraId="4D86A6F8">
      <w:pPr>
        <w:spacing w:line="360" w:lineRule="auto"/>
        <w:rPr>
          <w:rFonts w:hAnsi="宋体" w:cs="宋体"/>
          <w:color w:val="auto"/>
          <w:sz w:val="28"/>
          <w:highlight w:val="none"/>
        </w:rPr>
      </w:pPr>
    </w:p>
    <w:p w14:paraId="3A92331C">
      <w:pPr>
        <w:pStyle w:val="11"/>
        <w:spacing w:line="360" w:lineRule="auto"/>
        <w:ind w:firstLine="3654"/>
        <w:rPr>
          <w:rFonts w:hAnsi="宋体" w:eastAsia="宋体" w:cs="宋体"/>
          <w:b/>
          <w:color w:val="auto"/>
          <w:highlight w:val="none"/>
        </w:rPr>
      </w:pPr>
    </w:p>
    <w:p w14:paraId="2DFCFD00">
      <w:pPr>
        <w:pStyle w:val="11"/>
        <w:spacing w:line="360" w:lineRule="auto"/>
        <w:ind w:firstLine="3654"/>
        <w:rPr>
          <w:rFonts w:hAnsi="宋体" w:eastAsia="宋体" w:cs="宋体"/>
          <w:b/>
          <w:color w:val="auto"/>
          <w:highlight w:val="none"/>
        </w:rPr>
      </w:pPr>
      <w:r>
        <w:rPr>
          <w:rFonts w:hAnsi="宋体" w:eastAsia="宋体" w:cs="宋体"/>
          <w:b/>
          <w:color w:val="auto"/>
          <w:highlight w:val="none"/>
        </w:rPr>
        <w:t>第一章邀请函</w:t>
      </w:r>
    </w:p>
    <w:p w14:paraId="43CDD5AE">
      <w:pPr>
        <w:keepNext/>
        <w:keepLines/>
        <w:spacing w:line="360" w:lineRule="auto"/>
        <w:rPr>
          <w:rFonts w:hint="eastAsia" w:hAnsi="宋体" w:cs="宋体"/>
          <w:b/>
          <w:color w:val="auto"/>
          <w:sz w:val="24"/>
          <w:szCs w:val="24"/>
          <w:highlight w:val="none"/>
        </w:rPr>
      </w:pPr>
      <w:bookmarkStart w:id="0" w:name="_Toc35393621"/>
      <w:bookmarkStart w:id="1" w:name="_Toc28359002"/>
      <w:bookmarkStart w:id="2" w:name="_Toc28359079"/>
      <w:bookmarkStart w:id="3" w:name="_Toc35393790"/>
      <w:bookmarkStart w:id="4" w:name="_Hlk24379207"/>
      <w:r>
        <w:rPr>
          <w:rFonts w:hint="eastAsia" w:hAnsi="宋体" w:cs="宋体"/>
          <w:b/>
          <w:color w:val="auto"/>
          <w:sz w:val="24"/>
          <w:szCs w:val="24"/>
          <w:highlight w:val="none"/>
        </w:rPr>
        <w:t>一、项目基本情况</w:t>
      </w:r>
      <w:bookmarkEnd w:id="0"/>
      <w:bookmarkEnd w:id="1"/>
      <w:bookmarkEnd w:id="2"/>
      <w:bookmarkEnd w:id="3"/>
    </w:p>
    <w:p w14:paraId="16A51C39">
      <w:pPr>
        <w:spacing w:line="360" w:lineRule="auto"/>
        <w:ind w:firstLine="480"/>
        <w:rPr>
          <w:rFonts w:hint="eastAsia" w:hAnsi="宋体" w:eastAsia="宋体" w:cs="宋体"/>
          <w:color w:val="auto"/>
          <w:sz w:val="24"/>
          <w:szCs w:val="24"/>
          <w:highlight w:val="none"/>
        </w:rPr>
      </w:pPr>
      <w:r>
        <w:rPr>
          <w:rFonts w:hint="eastAsia" w:hAnsi="宋体" w:cs="宋体"/>
          <w:color w:val="auto"/>
          <w:sz w:val="24"/>
          <w:szCs w:val="24"/>
          <w:highlight w:val="none"/>
        </w:rPr>
        <w:t>项目编号：</w:t>
      </w:r>
      <w:r>
        <w:rPr>
          <w:rFonts w:hint="eastAsia" w:hAnsi="宋体" w:cs="宋体"/>
          <w:color w:val="auto"/>
          <w:sz w:val="24"/>
          <w:szCs w:val="24"/>
          <w:highlight w:val="none"/>
          <w:lang w:eastAsia="zh-CN"/>
        </w:rPr>
        <w:t>JSZC-320508-SZJJ-G2025-0032</w:t>
      </w:r>
    </w:p>
    <w:p w14:paraId="795D1F14">
      <w:pPr>
        <w:spacing w:line="360" w:lineRule="auto"/>
        <w:ind w:firstLine="480"/>
        <w:rPr>
          <w:rFonts w:hint="eastAsia" w:hAnsi="宋体" w:eastAsia="宋体" w:cs="宋体"/>
          <w:color w:val="auto"/>
          <w:sz w:val="24"/>
          <w:szCs w:val="24"/>
          <w:highlight w:val="none"/>
        </w:rPr>
      </w:pPr>
      <w:r>
        <w:rPr>
          <w:rFonts w:hint="eastAsia" w:hAnsi="宋体" w:cs="宋体"/>
          <w:color w:val="auto"/>
          <w:sz w:val="24"/>
          <w:szCs w:val="24"/>
          <w:highlight w:val="none"/>
        </w:rPr>
        <w:t>项目名称：</w:t>
      </w:r>
      <w:r>
        <w:rPr>
          <w:rFonts w:hint="eastAsia" w:hAnsi="宋体" w:cs="宋体"/>
          <w:color w:val="auto"/>
          <w:sz w:val="24"/>
          <w:szCs w:val="24"/>
          <w:highlight w:val="none"/>
          <w:lang w:eastAsia="zh-CN"/>
        </w:rPr>
        <w:t>姑苏区老旧住区改造项目(2025年度第一批)白蚁防治服务</w:t>
      </w:r>
      <w:bookmarkEnd w:id="4"/>
    </w:p>
    <w:p w14:paraId="42F8FBB0">
      <w:pPr>
        <w:widowControl/>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预算金额:1112300.00元（最高限价总价：1112300.00元，最高限价单价：</w:t>
      </w:r>
      <w:r>
        <w:rPr>
          <w:rFonts w:hint="eastAsia" w:hAnsi="宋体" w:cs="宋体"/>
          <w:color w:val="auto"/>
          <w:sz w:val="24"/>
          <w:szCs w:val="24"/>
          <w:highlight w:val="none"/>
          <w:lang w:val="en-US" w:eastAsia="zh-CN"/>
        </w:rPr>
        <w:t>6.6</w:t>
      </w:r>
      <w:r>
        <w:rPr>
          <w:rFonts w:hint="eastAsia" w:hAnsi="宋体" w:cs="宋体"/>
          <w:color w:val="auto"/>
          <w:sz w:val="24"/>
          <w:szCs w:val="24"/>
          <w:highlight w:val="none"/>
        </w:rPr>
        <w:t>元/平方米）</w:t>
      </w:r>
    </w:p>
    <w:p w14:paraId="7BA210D3">
      <w:pPr>
        <w:widowControl/>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采购需求：</w:t>
      </w:r>
      <w:r>
        <w:rPr>
          <w:rFonts w:hint="eastAsia" w:hAnsi="宋体" w:cs="宋体"/>
          <w:color w:val="auto"/>
          <w:sz w:val="24"/>
          <w:szCs w:val="24"/>
          <w:highlight w:val="none"/>
          <w:lang w:eastAsia="zh-CN"/>
        </w:rPr>
        <w:t>姑苏区老旧住区改造项目(2025年度第一批)白蚁预防服务。</w:t>
      </w:r>
    </w:p>
    <w:p w14:paraId="7DD0CEA2">
      <w:pPr>
        <w:keepNext/>
        <w:keepLines/>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服务期限：合同签订之日起至完成全部本项目白蚁防治工作并通过</w:t>
      </w:r>
      <w:r>
        <w:rPr>
          <w:rFonts w:hint="eastAsia" w:hAnsi="宋体" w:cs="宋体"/>
          <w:color w:val="auto"/>
          <w:sz w:val="24"/>
          <w:szCs w:val="24"/>
          <w:highlight w:val="none"/>
          <w:lang w:val="en-US" w:eastAsia="zh-CN"/>
        </w:rPr>
        <w:t>采购人</w:t>
      </w:r>
      <w:r>
        <w:rPr>
          <w:rFonts w:hint="eastAsia" w:hAnsi="宋体" w:cs="宋体"/>
          <w:color w:val="auto"/>
          <w:sz w:val="24"/>
          <w:szCs w:val="24"/>
          <w:highlight w:val="none"/>
        </w:rPr>
        <w:t xml:space="preserve">组织的履约验收止  </w:t>
      </w:r>
    </w:p>
    <w:p w14:paraId="2DE1FD09">
      <w:pPr>
        <w:keepNext/>
        <w:keepLines/>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bookmarkStart w:id="5" w:name="_Toc35393791"/>
      <w:bookmarkStart w:id="6" w:name="_Toc35393622"/>
      <w:bookmarkStart w:id="7" w:name="_Toc28359003"/>
      <w:bookmarkStart w:id="8" w:name="_Toc28359080"/>
      <w:r>
        <w:rPr>
          <w:rFonts w:hint="eastAsia" w:ascii="宋体" w:hAnsi="宋体" w:eastAsia="宋体" w:cs="宋体"/>
          <w:color w:val="auto"/>
          <w:sz w:val="24"/>
          <w:szCs w:val="24"/>
          <w:highlight w:val="none"/>
        </w:rPr>
        <w:t>姑苏区</w:t>
      </w:r>
    </w:p>
    <w:p w14:paraId="73DC7942">
      <w:pPr>
        <w:keepNext/>
        <w:keepLines/>
        <w:spacing w:line="360" w:lineRule="auto"/>
        <w:rPr>
          <w:rFonts w:hint="eastAsia" w:hAnsi="宋体" w:cs="宋体"/>
          <w:b/>
          <w:color w:val="auto"/>
          <w:sz w:val="24"/>
          <w:szCs w:val="24"/>
          <w:highlight w:val="none"/>
        </w:rPr>
      </w:pPr>
      <w:r>
        <w:rPr>
          <w:rFonts w:hint="eastAsia" w:hAnsi="宋体" w:cs="宋体"/>
          <w:b/>
          <w:color w:val="auto"/>
          <w:sz w:val="24"/>
          <w:szCs w:val="24"/>
          <w:highlight w:val="none"/>
        </w:rPr>
        <w:t>二、申请人的资格要求：</w:t>
      </w:r>
      <w:bookmarkEnd w:id="5"/>
      <w:bookmarkEnd w:id="6"/>
      <w:bookmarkEnd w:id="7"/>
      <w:bookmarkEnd w:id="8"/>
    </w:p>
    <w:p w14:paraId="66AE4EF3">
      <w:pPr>
        <w:spacing w:line="360" w:lineRule="auto"/>
        <w:ind w:firstLine="480"/>
        <w:rPr>
          <w:rFonts w:hint="eastAsia" w:hAnsi="宋体" w:cs="宋体"/>
          <w:color w:val="auto"/>
          <w:sz w:val="24"/>
          <w:szCs w:val="24"/>
          <w:highlight w:val="none"/>
        </w:rPr>
      </w:pPr>
      <w:bookmarkStart w:id="9" w:name="_Toc28359004"/>
      <w:bookmarkStart w:id="10" w:name="_Toc35393623"/>
      <w:bookmarkStart w:id="11" w:name="_Toc35393792"/>
      <w:bookmarkStart w:id="12" w:name="_Toc28359081"/>
      <w:r>
        <w:rPr>
          <w:rFonts w:hint="eastAsia" w:hAnsi="宋体" w:cs="宋体"/>
          <w:color w:val="auto"/>
          <w:sz w:val="24"/>
          <w:szCs w:val="24"/>
          <w:highlight w:val="none"/>
        </w:rPr>
        <w:t>1.满足《中华人民共和国政府采购法》第二十二条规定：</w:t>
      </w:r>
    </w:p>
    <w:p w14:paraId="01D385CC">
      <w:pP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1.1 具有独立承担民事责任的能力。</w:t>
      </w:r>
    </w:p>
    <w:p w14:paraId="0ACCE786">
      <w:pP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1.2具有良好的商业信誉和健全的财务会计制度证明。</w:t>
      </w:r>
    </w:p>
    <w:p w14:paraId="16628CA0">
      <w:pP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1.3履行合同所必备的设备和专业技术能力的证明材料。</w:t>
      </w:r>
    </w:p>
    <w:p w14:paraId="63371C77">
      <w:pP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1.4有依法缴纳税收和社会保障资金的良好记录。</w:t>
      </w:r>
    </w:p>
    <w:p w14:paraId="7B1C4DCC">
      <w:pP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1.5 参加政府采购活动前三年内，在经营活动中没有重大违法记录。</w:t>
      </w:r>
    </w:p>
    <w:p w14:paraId="532B3D12">
      <w:pP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1.6法律、行政法规规定的其他条件。</w:t>
      </w:r>
    </w:p>
    <w:p w14:paraId="0E4B3220">
      <w:pP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1.7本项目不接受联合投标。</w:t>
      </w:r>
    </w:p>
    <w:p w14:paraId="55E927AD">
      <w:pPr>
        <w:numPr>
          <w:ilvl w:val="0"/>
          <w:numId w:val="2"/>
        </w:numPr>
        <w:spacing w:line="360" w:lineRule="auto"/>
        <w:ind w:firstLine="480"/>
        <w:rPr>
          <w:rFonts w:hint="eastAsia" w:hAnsi="宋体" w:cs="宋体"/>
          <w:color w:val="auto"/>
          <w:sz w:val="24"/>
          <w:szCs w:val="24"/>
          <w:highlight w:val="none"/>
        </w:rPr>
      </w:pPr>
      <w:r>
        <w:rPr>
          <w:rFonts w:hint="eastAsia" w:hAnsi="宋体" w:cs="宋体"/>
          <w:color w:val="auto"/>
          <w:sz w:val="24"/>
          <w:highlight w:val="none"/>
        </w:rPr>
        <w:t>落实政府采购政策需满足的资格要求：根据《政府采购促进中小企业发展管理办法》的相关规定，本项目专门面向中小企业，所属行业为</w:t>
      </w:r>
      <w:r>
        <w:rPr>
          <w:rFonts w:hint="eastAsia" w:hAnsi="宋体" w:cs="宋体"/>
          <w:b/>
          <w:bCs/>
          <w:color w:val="auto"/>
          <w:sz w:val="24"/>
          <w:highlight w:val="none"/>
        </w:rPr>
        <w:t>其他未列明行业</w:t>
      </w:r>
      <w:r>
        <w:rPr>
          <w:rFonts w:hint="eastAsia" w:hAnsi="宋体" w:cs="宋体"/>
          <w:color w:val="auto"/>
          <w:sz w:val="24"/>
          <w:highlight w:val="none"/>
        </w:rPr>
        <w:t xml:space="preserve">，供应商应为中小微企业、监狱企业、残疾人福利性单位。 </w:t>
      </w:r>
      <w:r>
        <w:rPr>
          <w:rFonts w:hint="eastAsia" w:hAnsi="宋体" w:cs="宋体"/>
          <w:color w:val="auto"/>
          <w:sz w:val="24"/>
          <w:szCs w:val="24"/>
          <w:highlight w:val="none"/>
        </w:rPr>
        <w:t xml:space="preserve"> </w:t>
      </w:r>
    </w:p>
    <w:p w14:paraId="02ECD97C">
      <w:pPr>
        <w:numPr>
          <w:ilvl w:val="0"/>
          <w:numId w:val="2"/>
        </w:numP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本项目的特定资格要求：</w:t>
      </w:r>
    </w:p>
    <w:p w14:paraId="3462996F">
      <w:pP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（1）未被“信用中国”网站（WWW.creditchina.gov.cn）或“中国政府采购网”网站（www.ccgp.gov.cn）列入失信被执行人、重大税收违法案件当事人名单、政府采购严重失信行为记录名单；</w:t>
      </w:r>
    </w:p>
    <w:p w14:paraId="618FDE47">
      <w:pP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44A7890F">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（3）采购人的其他特定资格要求：</w:t>
      </w:r>
      <w:r>
        <w:rPr>
          <w:rFonts w:hint="eastAsia" w:hAnsi="宋体" w:cs="宋体"/>
          <w:color w:val="auto"/>
          <w:sz w:val="24"/>
          <w:szCs w:val="24"/>
          <w:highlight w:val="none"/>
          <w:lang w:val="en-US" w:eastAsia="zh-CN"/>
        </w:rPr>
        <w:t>无</w:t>
      </w:r>
    </w:p>
    <w:p w14:paraId="026AE99C">
      <w:pPr>
        <w:spacing w:line="360" w:lineRule="auto"/>
        <w:ind w:firstLine="482"/>
        <w:rPr>
          <w:rFonts w:hint="eastAsia" w:hAnsi="宋体" w:cs="宋体"/>
          <w:color w:val="auto"/>
          <w:sz w:val="24"/>
          <w:szCs w:val="24"/>
          <w:highlight w:val="none"/>
        </w:rPr>
      </w:pPr>
      <w:r>
        <w:rPr>
          <w:rFonts w:hint="eastAsia" w:hAnsi="宋体" w:cs="宋体"/>
          <w:b/>
          <w:bCs/>
          <w:color w:val="auto"/>
          <w:sz w:val="24"/>
          <w:szCs w:val="24"/>
          <w:highlight w:val="none"/>
        </w:rPr>
        <w:t>三、</w:t>
      </w:r>
      <w:bookmarkEnd w:id="9"/>
      <w:bookmarkEnd w:id="10"/>
      <w:bookmarkEnd w:id="11"/>
      <w:bookmarkEnd w:id="12"/>
      <w:r>
        <w:rPr>
          <w:rFonts w:hint="eastAsia" w:hAnsi="宋体" w:cs="宋体"/>
          <w:b/>
          <w:bCs/>
          <w:color w:val="auto"/>
          <w:sz w:val="24"/>
          <w:szCs w:val="24"/>
          <w:highlight w:val="none"/>
        </w:rPr>
        <w:t>报名及采购文件的获取</w:t>
      </w:r>
    </w:p>
    <w:p w14:paraId="1AC4A7B3">
      <w:pPr>
        <w:spacing w:line="360" w:lineRule="auto"/>
        <w:ind w:firstLine="480"/>
        <w:rPr>
          <w:rFonts w:hint="eastAsia" w:ascii="宋体" w:hAnsi="宋体" w:eastAsia="宋体" w:cs="宋体"/>
          <w:color w:val="auto"/>
          <w:sz w:val="24"/>
          <w:szCs w:val="24"/>
          <w:highlight w:val="none"/>
        </w:rPr>
      </w:pPr>
      <w:bookmarkStart w:id="13" w:name="_Toc35393793"/>
      <w:bookmarkStart w:id="14" w:name="_Toc28359005"/>
      <w:bookmarkStart w:id="15" w:name="_Toc35393624"/>
      <w:bookmarkStart w:id="16" w:name="_Toc28359082"/>
      <w:r>
        <w:rPr>
          <w:rFonts w:hint="eastAsia" w:ascii="宋体" w:hAnsi="宋体" w:eastAsia="宋体" w:cs="宋体"/>
          <w:color w:val="auto"/>
          <w:sz w:val="24"/>
          <w:szCs w:val="24"/>
          <w:highlight w:val="none"/>
        </w:rPr>
        <w:t>（一）报名时间：自公告发布之日起5个工作日</w:t>
      </w:r>
    </w:p>
    <w:p w14:paraId="2478114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（二）文件获取方式及售价：</w:t>
      </w:r>
    </w:p>
    <w:p w14:paraId="3870320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.文件获取方式：江苏省政府采购一体化平台“苏采云”系统自行下载 。</w:t>
      </w:r>
    </w:p>
    <w:p w14:paraId="7C0560C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文件售价：免费</w:t>
      </w:r>
    </w:p>
    <w:p w14:paraId="0267708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、报名方式（网上报名）</w:t>
      </w:r>
    </w:p>
    <w:p w14:paraId="599FFE5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.1申领CA证书：</w:t>
      </w:r>
    </w:p>
    <w:p w14:paraId="24898C7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苏州现场办理地址：苏州市姑苏区平泷路251号政务服务中心4楼公共交易中心窗口，咨询电话：0512-69820834。</w:t>
      </w:r>
    </w:p>
    <w:p w14:paraId="7BC0664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登录报名：供应商插入CA证书登陆“苏采云”系统后选择具体项目，点击“我要参与”并签章提交《投标供应商确认函》，提交《投标供应商确认函》日期视同为依法获取采购文件日期。供应商须打印、保留《投标供应商确认函》，质疑时《投标供应商确认函》与质疑函一并提交；未依照采购公告要求提交《投标供应商确认函》的供应商，视为未参与该项政府采购活动，不具备对该政府采购项目提出质疑的法定权利，但因供应商资格条件或获取采购文件时间设定不符合有关法律法规规定等原因使供应商权益受损的除外。</w:t>
      </w:r>
    </w:p>
    <w:p w14:paraId="4B45958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、制作、提交电子响应文件：</w:t>
      </w:r>
    </w:p>
    <w:p w14:paraId="751D377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本项目采用电子招投标方式，请供应商在“苏采云”系统中操作成功参与项目后，必须在“已参与项目”界面中下载电子采购文件（后缀名为“.kedt”）并导入政府采购客户端工具后方可进行响应文件制作和提交（具体详见《苏采云系统供应商操作手册》，网址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"https://czju.suzhou.gov.cn/zfcg/html/content/20231220161910031.shtml" \o "https://czju.suzhou.gov.cn/zfcg/html/content/20231220161910031.shtml"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https://czju.suzhou.gov.cn/zfcg/html/content/20231220161910031.shtml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请供应商按照《苏采云系统供应商操作手册》、采购文件要求进行制作、上传电子响应文件，响应单位无需提供纸质响应文件。电子响应文件制作完成后请在截止时间前完成提交（上传），否则视为放弃参加该采购项目。供应商应充分考虑到网络环境、网络带宽等风险因素，如因供应商自身原因造成的电子响应文件上传不成功由供应商自行承担全部责任。</w:t>
      </w:r>
      <w:bookmarkEnd w:id="13"/>
      <w:bookmarkEnd w:id="14"/>
      <w:bookmarkEnd w:id="15"/>
      <w:bookmarkEnd w:id="16"/>
    </w:p>
    <w:p w14:paraId="6E4CCD9B">
      <w:pPr>
        <w:widowControl/>
        <w:numPr>
          <w:ilvl w:val="0"/>
          <w:numId w:val="3"/>
        </w:numPr>
        <w:spacing w:line="360" w:lineRule="auto"/>
        <w:ind w:firstLine="480"/>
        <w:jc w:val="left"/>
        <w:rPr>
          <w:rFonts w:hint="eastAsia" w:hAnsi="宋体" w:cs="宋体"/>
          <w:b/>
          <w:color w:val="auto"/>
          <w:sz w:val="24"/>
          <w:szCs w:val="24"/>
          <w:highlight w:val="none"/>
        </w:rPr>
      </w:pPr>
      <w:r>
        <w:rPr>
          <w:rFonts w:hint="eastAsia" w:ascii="宋体" w:hAnsi="宋体" w:cs="宋体"/>
          <w:b/>
          <w:color w:val="auto"/>
          <w:sz w:val="24"/>
          <w:highlight w:val="none"/>
        </w:rPr>
        <w:t>投标文件递交（上传）截止时间</w:t>
      </w:r>
    </w:p>
    <w:p w14:paraId="40CD4EBF">
      <w:pPr>
        <w:widowControl/>
        <w:spacing w:line="360" w:lineRule="auto"/>
        <w:ind w:firstLine="48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投标文件上传截止时间：202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年10月20日09:30（北京时间）</w:t>
      </w:r>
    </w:p>
    <w:p w14:paraId="0422CCD6">
      <w:pPr>
        <w:widowControl/>
        <w:spacing w:line="360" w:lineRule="auto"/>
        <w:ind w:firstLine="48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“苏采云”系统（网址：http://jszfcg.jsczt.cn/）。响应文件网上提交。</w:t>
      </w:r>
      <w:r>
        <w:rPr>
          <w:rFonts w:hint="eastAsia" w:ascii="宋体" w:hAnsi="宋体" w:eastAsia="宋体" w:cs="宋体"/>
          <w:bCs/>
          <w:color w:val="auto"/>
          <w:sz w:val="24"/>
          <w:szCs w:val="24"/>
          <w:highlight w:val="none"/>
        </w:rPr>
        <w:t>投标文件上传截止时间即为投标截止时间，投标文件必须在上传截止时间前完成上传，逾期恕不接受。</w:t>
      </w:r>
    </w:p>
    <w:p w14:paraId="2D522F35">
      <w:pPr>
        <w:widowControl/>
        <w:spacing w:line="360" w:lineRule="auto"/>
        <w:ind w:firstLine="482"/>
        <w:jc w:val="left"/>
        <w:rPr>
          <w:rFonts w:hint="eastAsia" w:hAnsi="宋体" w:cs="宋体"/>
          <w:b/>
          <w:color w:val="auto"/>
          <w:sz w:val="24"/>
          <w:szCs w:val="24"/>
          <w:highlight w:val="none"/>
        </w:rPr>
      </w:pPr>
      <w:r>
        <w:rPr>
          <w:rFonts w:hint="eastAsia" w:hAnsi="宋体" w:cs="宋体"/>
          <w:b/>
          <w:color w:val="auto"/>
          <w:sz w:val="24"/>
          <w:szCs w:val="24"/>
          <w:highlight w:val="none"/>
        </w:rPr>
        <w:t>五、开标时间和地点</w:t>
      </w:r>
    </w:p>
    <w:p w14:paraId="65612F70">
      <w:pPr>
        <w:widowControl/>
        <w:spacing w:line="360" w:lineRule="auto"/>
        <w:ind w:firstLine="480"/>
        <w:jc w:val="left"/>
        <w:rPr>
          <w:rFonts w:hint="eastAsia" w:ascii="宋体" w:hAnsi="宋体"/>
          <w:color w:val="auto"/>
          <w:sz w:val="24"/>
          <w:highlight w:val="none"/>
        </w:rPr>
      </w:pPr>
      <w:bookmarkStart w:id="17" w:name="_Toc35393794"/>
      <w:bookmarkStart w:id="18" w:name="_Toc28359007"/>
      <w:bookmarkStart w:id="19" w:name="_Toc28359084"/>
      <w:bookmarkStart w:id="20" w:name="_Toc35393625"/>
      <w:r>
        <w:rPr>
          <w:rFonts w:hint="eastAsia" w:ascii="宋体" w:hAnsi="宋体"/>
          <w:color w:val="auto"/>
          <w:sz w:val="24"/>
          <w:highlight w:val="none"/>
        </w:rPr>
        <w:t>（一）开标时间：</w:t>
      </w:r>
      <w:r>
        <w:rPr>
          <w:rFonts w:hint="eastAsia" w:ascii="宋体" w:hAnsi="宋体" w:eastAsia="宋体" w:cs="宋体"/>
          <w:bCs/>
          <w:color w:val="auto"/>
          <w:sz w:val="24"/>
          <w:szCs w:val="24"/>
          <w:highlight w:val="none"/>
        </w:rPr>
        <w:t>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年10月20日09:30</w:t>
      </w:r>
      <w:r>
        <w:rPr>
          <w:rFonts w:hint="eastAsia" w:ascii="宋体" w:hAnsi="宋体"/>
          <w:color w:val="auto"/>
          <w:sz w:val="24"/>
          <w:highlight w:val="none"/>
        </w:rPr>
        <w:t>（北京时间）</w:t>
      </w:r>
    </w:p>
    <w:p w14:paraId="26D185CA">
      <w:pPr>
        <w:widowControl/>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（二）开标地点：“苏采云”系统（网址：</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"http://jszfcg.jsczt.cn/）。" </w:instrText>
      </w:r>
      <w:r>
        <w:rPr>
          <w:rFonts w:hint="eastAsia" w:ascii="宋体" w:hAnsi="宋体"/>
          <w:color w:val="auto"/>
          <w:sz w:val="24"/>
          <w:highlight w:val="none"/>
        </w:rPr>
        <w:fldChar w:fldCharType="separate"/>
      </w:r>
      <w:r>
        <w:rPr>
          <w:rStyle w:val="12"/>
          <w:rFonts w:hint="eastAsia" w:ascii="宋体" w:hAnsi="宋体"/>
          <w:color w:val="auto"/>
          <w:sz w:val="24"/>
          <w:highlight w:val="none"/>
        </w:rPr>
        <w:t>http://jszfcg.jsczt.cn/）</w:t>
      </w:r>
      <w:r>
        <w:rPr>
          <w:rStyle w:val="12"/>
          <w:rFonts w:hint="eastAsia" w:ascii="宋体" w:hAnsi="宋体"/>
          <w:color w:val="auto"/>
          <w:sz w:val="24"/>
          <w:highlight w:val="none"/>
          <w:lang w:eastAsia="zh-CN"/>
        </w:rPr>
        <w:t>。</w:t>
      </w:r>
      <w:r>
        <w:rPr>
          <w:rFonts w:hint="eastAsia" w:ascii="宋体" w:hAnsi="宋体"/>
          <w:color w:val="auto"/>
          <w:sz w:val="24"/>
          <w:highlight w:val="none"/>
        </w:rPr>
        <w:fldChar w:fldCharType="end"/>
      </w:r>
    </w:p>
    <w:p w14:paraId="6C21AE64">
      <w:pPr>
        <w:widowControl/>
        <w:spacing w:line="360" w:lineRule="auto"/>
        <w:ind w:firstLine="48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三</w:t>
      </w:r>
      <w:r>
        <w:rPr>
          <w:rFonts w:hint="eastAsia" w:ascii="宋体" w:hAnsi="宋体" w:eastAsia="宋体" w:cs="Times New Roman"/>
          <w:color w:val="auto"/>
          <w:sz w:val="24"/>
          <w:highlight w:val="none"/>
          <w:lang w:eastAsia="zh-CN"/>
        </w:rPr>
        <w:t>）线上参加开标（开启）会方式：供应商登录“苏采云”系统在平台首页点击“开标大厅”，进入江苏省政府采购一体化不见面开标（采购）大厅，在今日项目列表，点击项目，进入不见面开标系统。本项目为不见面项目，开启阶段供应商在【供应商解密】环节必须使用 CA证书解密电子响应文件，如在系统规定的解密时间内未能完成解密的视为放弃参与本项目。</w:t>
      </w:r>
    </w:p>
    <w:p w14:paraId="70E7F32C">
      <w:pPr>
        <w:widowControl/>
        <w:spacing w:line="360" w:lineRule="auto"/>
        <w:ind w:firstLine="48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请供应商确保电脑、系统及其他设备（视频输入输出设备等）无误，且开启直至项目结束始终保持系统在线状态。</w:t>
      </w:r>
    </w:p>
    <w:p w14:paraId="3ACAC430">
      <w:pPr>
        <w:spacing w:line="360" w:lineRule="auto"/>
        <w:ind w:firstLine="482"/>
        <w:rPr>
          <w:rFonts w:hint="eastAsia" w:hAnsi="宋体" w:cs="宋体"/>
          <w:b/>
          <w:color w:val="auto"/>
          <w:sz w:val="24"/>
          <w:szCs w:val="24"/>
          <w:highlight w:val="none"/>
        </w:rPr>
      </w:pPr>
      <w:r>
        <w:rPr>
          <w:rFonts w:hint="eastAsia" w:hAnsi="宋体" w:cs="宋体"/>
          <w:b/>
          <w:color w:val="auto"/>
          <w:sz w:val="24"/>
          <w:szCs w:val="24"/>
          <w:highlight w:val="none"/>
          <w:lang w:val="en-US" w:eastAsia="zh-CN"/>
        </w:rPr>
        <w:t>六</w:t>
      </w:r>
      <w:r>
        <w:rPr>
          <w:rFonts w:hint="eastAsia" w:hAnsi="宋体" w:cs="宋体"/>
          <w:b/>
          <w:color w:val="auto"/>
          <w:sz w:val="24"/>
          <w:szCs w:val="24"/>
          <w:highlight w:val="none"/>
        </w:rPr>
        <w:t>、公告期限</w:t>
      </w:r>
      <w:bookmarkEnd w:id="17"/>
      <w:bookmarkEnd w:id="18"/>
      <w:bookmarkEnd w:id="19"/>
      <w:bookmarkEnd w:id="20"/>
    </w:p>
    <w:p w14:paraId="3101897E">
      <w:pPr>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自本公告发布之日起5个工作日。</w:t>
      </w:r>
    </w:p>
    <w:p w14:paraId="3ED3CBAB">
      <w:pPr>
        <w:spacing w:line="360" w:lineRule="auto"/>
        <w:ind w:firstLine="482"/>
        <w:rPr>
          <w:rFonts w:hint="eastAsia" w:hAnsi="宋体" w:cs="宋体"/>
          <w:b/>
          <w:color w:val="auto"/>
          <w:sz w:val="24"/>
          <w:szCs w:val="24"/>
          <w:highlight w:val="none"/>
        </w:rPr>
      </w:pPr>
      <w:bookmarkStart w:id="21" w:name="_Toc35393626"/>
      <w:bookmarkStart w:id="22" w:name="_Toc35393795"/>
      <w:r>
        <w:rPr>
          <w:rFonts w:hint="eastAsia" w:hAnsi="宋体" w:cs="宋体"/>
          <w:b/>
          <w:color w:val="auto"/>
          <w:sz w:val="24"/>
          <w:szCs w:val="24"/>
          <w:highlight w:val="none"/>
          <w:lang w:val="en-US" w:eastAsia="zh-CN"/>
        </w:rPr>
        <w:t>七</w:t>
      </w:r>
      <w:r>
        <w:rPr>
          <w:rFonts w:hint="eastAsia" w:hAnsi="宋体" w:cs="宋体"/>
          <w:b/>
          <w:color w:val="auto"/>
          <w:sz w:val="24"/>
          <w:szCs w:val="24"/>
          <w:highlight w:val="none"/>
        </w:rPr>
        <w:t>、其他补充事宜</w:t>
      </w:r>
      <w:bookmarkEnd w:id="21"/>
      <w:bookmarkEnd w:id="22"/>
    </w:p>
    <w:p w14:paraId="7B90F0B6">
      <w:pPr>
        <w:widowControl/>
        <w:spacing w:line="360" w:lineRule="auto"/>
        <w:ind w:firstLine="480"/>
        <w:jc w:val="left"/>
        <w:outlineLvl w:val="0"/>
        <w:rPr>
          <w:rFonts w:hint="eastAsia" w:ascii="宋体" w:hAnsi="宋体" w:eastAsia="宋体" w:cs="宋体"/>
          <w:color w:val="auto"/>
          <w:sz w:val="24"/>
          <w:highlight w:val="none"/>
        </w:rPr>
      </w:pPr>
      <w:r>
        <w:rPr>
          <w:rFonts w:hint="eastAsia" w:hAnsi="宋体" w:cs="宋体"/>
          <w:bCs/>
          <w:color w:val="auto"/>
          <w:sz w:val="24"/>
          <w:szCs w:val="24"/>
          <w:highlight w:val="none"/>
        </w:rPr>
        <w:t xml:space="preserve">1. </w:t>
      </w:r>
      <w:r>
        <w:rPr>
          <w:rFonts w:hint="eastAsia" w:ascii="宋体" w:hAnsi="宋体" w:eastAsia="宋体" w:cs="宋体"/>
          <w:color w:val="auto"/>
          <w:sz w:val="24"/>
          <w:highlight w:val="none"/>
        </w:rPr>
        <w:t>本公告同时在江苏省政府采购网、苏州市政府采购网、中国政府采购网上发布。</w:t>
      </w:r>
    </w:p>
    <w:p w14:paraId="73926C37">
      <w:pPr>
        <w:widowControl/>
        <w:spacing w:line="360" w:lineRule="auto"/>
        <w:ind w:firstLine="480"/>
        <w:jc w:val="left"/>
        <w:rPr>
          <w:rFonts w:hint="eastAsia" w:hAnsi="宋体" w:cs="宋体"/>
          <w:bCs/>
          <w:color w:val="auto"/>
          <w:sz w:val="24"/>
          <w:szCs w:val="24"/>
          <w:highlight w:val="none"/>
        </w:rPr>
      </w:pPr>
      <w:r>
        <w:rPr>
          <w:rFonts w:hint="eastAsia" w:hAnsi="宋体" w:cs="宋体"/>
          <w:bCs/>
          <w:color w:val="auto"/>
          <w:sz w:val="24"/>
          <w:szCs w:val="24"/>
          <w:highlight w:val="none"/>
        </w:rPr>
        <w:t>2. 苏州市姑苏区政府采购管理监督电话：0512-68728409。</w:t>
      </w:r>
    </w:p>
    <w:p w14:paraId="6FC9211B">
      <w:pPr>
        <w:widowControl/>
        <w:spacing w:line="360" w:lineRule="auto"/>
        <w:ind w:firstLine="480"/>
        <w:jc w:val="left"/>
        <w:rPr>
          <w:rFonts w:hint="eastAsia" w:hAnsi="宋体" w:cs="宋体"/>
          <w:bCs/>
          <w:color w:val="auto"/>
          <w:sz w:val="24"/>
          <w:szCs w:val="24"/>
          <w:highlight w:val="none"/>
        </w:rPr>
      </w:pPr>
      <w:r>
        <w:rPr>
          <w:rFonts w:hint="eastAsia" w:hAnsi="宋体" w:cs="宋体"/>
          <w:bCs/>
          <w:color w:val="auto"/>
          <w:sz w:val="24"/>
          <w:szCs w:val="24"/>
          <w:highlight w:val="none"/>
        </w:rPr>
        <w:t xml:space="preserve">3. </w:t>
      </w:r>
      <w:bookmarkStart w:id="23" w:name="_Toc35393796"/>
      <w:bookmarkStart w:id="24" w:name="_Toc35393627"/>
      <w:bookmarkStart w:id="25" w:name="_Toc28359085"/>
      <w:bookmarkStart w:id="26" w:name="_Toc28359008"/>
      <w:r>
        <w:rPr>
          <w:rFonts w:hint="eastAsia" w:hAnsi="宋体" w:cs="宋体"/>
          <w:bCs/>
          <w:color w:val="auto"/>
          <w:sz w:val="24"/>
          <w:szCs w:val="24"/>
          <w:highlight w:val="none"/>
        </w:rPr>
        <w:t>供应商投标（响应）文件‘机器码一致’将其作为无效投标情形处理。</w:t>
      </w:r>
    </w:p>
    <w:p w14:paraId="2531EAD3">
      <w:pPr>
        <w:widowControl/>
        <w:spacing w:line="360" w:lineRule="auto"/>
        <w:ind w:firstLine="480"/>
        <w:jc w:val="left"/>
        <w:rPr>
          <w:rFonts w:hint="eastAsia" w:hAnsi="宋体" w:cs="宋体"/>
          <w:bCs/>
          <w:color w:val="auto"/>
          <w:sz w:val="24"/>
          <w:szCs w:val="24"/>
          <w:highlight w:val="none"/>
          <w:lang w:val="en-US" w:eastAsia="zh-CN"/>
        </w:rPr>
      </w:pPr>
      <w:r>
        <w:rPr>
          <w:rFonts w:hint="eastAsia" w:hAnsi="宋体" w:cs="宋体"/>
          <w:bCs/>
          <w:color w:val="auto"/>
          <w:sz w:val="24"/>
          <w:szCs w:val="24"/>
          <w:highlight w:val="none"/>
          <w:lang w:val="en-US" w:eastAsia="zh-CN"/>
        </w:rPr>
        <w:t>4.本项目不接收联合体投标。</w:t>
      </w:r>
    </w:p>
    <w:p w14:paraId="59EC1C2D">
      <w:pPr>
        <w:widowControl/>
        <w:spacing w:line="360" w:lineRule="auto"/>
        <w:ind w:firstLine="480"/>
        <w:jc w:val="left"/>
        <w:rPr>
          <w:rFonts w:hint="eastAsia" w:hAnsi="宋体" w:cs="宋体"/>
          <w:bCs/>
          <w:color w:val="auto"/>
          <w:sz w:val="24"/>
          <w:szCs w:val="24"/>
          <w:highlight w:val="none"/>
        </w:rPr>
      </w:pPr>
      <w:r>
        <w:rPr>
          <w:rFonts w:hint="eastAsia" w:hAnsi="宋体" w:cs="宋体"/>
          <w:bCs/>
          <w:color w:val="auto"/>
          <w:sz w:val="24"/>
          <w:szCs w:val="24"/>
          <w:highlight w:val="none"/>
          <w:lang w:val="en-US" w:eastAsia="zh-CN"/>
        </w:rPr>
        <w:t>5</w:t>
      </w:r>
      <w:r>
        <w:rPr>
          <w:rFonts w:hint="eastAsia" w:hAnsi="宋体" w:cs="宋体"/>
          <w:bCs/>
          <w:color w:val="auto"/>
          <w:sz w:val="24"/>
          <w:szCs w:val="24"/>
          <w:highlight w:val="none"/>
        </w:rPr>
        <w:t>.供应商中标后须提供与电子响应文件完全一致的纸质文件四套，其中正本一套，副本三套，以中文为准，装订成册并由供应商加盖企业公章及法定代表人签章（或签字）或其授权代表签字（或签章）。</w:t>
      </w:r>
    </w:p>
    <w:p w14:paraId="19EB9484">
      <w:pPr>
        <w:widowControl/>
        <w:spacing w:line="360" w:lineRule="auto"/>
        <w:ind w:firstLine="480"/>
        <w:jc w:val="left"/>
        <w:outlineLvl w:val="0"/>
        <w:rPr>
          <w:rFonts w:hint="eastAsia" w:ascii="宋体" w:hAnsi="宋体" w:eastAsia="宋体" w:cs="宋体"/>
          <w:color w:val="auto"/>
          <w:sz w:val="24"/>
          <w:highlight w:val="none"/>
        </w:rPr>
      </w:pPr>
      <w:r>
        <w:rPr>
          <w:rFonts w:hint="eastAsia" w:hAnsi="宋体" w:cs="宋体"/>
          <w:color w:val="auto"/>
          <w:sz w:val="24"/>
          <w:highlight w:val="none"/>
          <w:lang w:val="en-US" w:eastAsia="zh-CN"/>
        </w:rPr>
        <w:t>6.</w:t>
      </w:r>
      <w:r>
        <w:rPr>
          <w:rFonts w:hint="eastAsia" w:ascii="宋体" w:hAnsi="宋体" w:eastAsia="宋体" w:cs="宋体"/>
          <w:color w:val="auto"/>
          <w:sz w:val="24"/>
          <w:highlight w:val="none"/>
        </w:rPr>
        <w:t>根据苏州市财政局《关于深入开展苏州市政府采购合同信用融资业务的通知》相关要求，本项目支持政府采购合同信用融资。</w:t>
      </w:r>
    </w:p>
    <w:p w14:paraId="2F730F95">
      <w:pPr>
        <w:widowControl/>
        <w:spacing w:line="360" w:lineRule="auto"/>
        <w:ind w:firstLine="480"/>
        <w:jc w:val="left"/>
        <w:outlineLvl w:val="0"/>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7.本招标文件适用苏财规【2024】7号文件关于印发《江苏省政府采购履约验收管理办法》的通知。</w:t>
      </w:r>
    </w:p>
    <w:p w14:paraId="0ECDA2B7">
      <w:pPr>
        <w:widowControl/>
        <w:spacing w:line="360" w:lineRule="auto"/>
        <w:ind w:firstLine="480"/>
        <w:jc w:val="left"/>
        <w:rPr>
          <w:rFonts w:hint="eastAsia" w:hAnsi="宋体" w:cs="宋体"/>
          <w:b/>
          <w:color w:val="auto"/>
          <w:sz w:val="24"/>
          <w:szCs w:val="24"/>
          <w:highlight w:val="none"/>
        </w:rPr>
      </w:pPr>
      <w:r>
        <w:rPr>
          <w:rFonts w:hint="eastAsia" w:hAnsi="宋体" w:cs="宋体"/>
          <w:b/>
          <w:color w:val="auto"/>
          <w:sz w:val="24"/>
          <w:szCs w:val="24"/>
          <w:highlight w:val="none"/>
          <w:lang w:val="en-US" w:eastAsia="zh-CN"/>
        </w:rPr>
        <w:t>八</w:t>
      </w:r>
      <w:r>
        <w:rPr>
          <w:rFonts w:hint="eastAsia" w:hAnsi="宋体" w:cs="宋体"/>
          <w:b/>
          <w:color w:val="auto"/>
          <w:sz w:val="24"/>
          <w:szCs w:val="24"/>
          <w:highlight w:val="none"/>
        </w:rPr>
        <w:t>、对本次招标提出询问，请按以下方式联系。</w:t>
      </w:r>
      <w:bookmarkEnd w:id="23"/>
      <w:bookmarkEnd w:id="24"/>
      <w:bookmarkEnd w:id="25"/>
      <w:bookmarkEnd w:id="26"/>
    </w:p>
    <w:p w14:paraId="4F4449B1">
      <w:pPr>
        <w:widowControl/>
        <w:spacing w:line="360" w:lineRule="auto"/>
        <w:ind w:firstLine="480"/>
        <w:jc w:val="left"/>
        <w:rPr>
          <w:rFonts w:hint="eastAsia" w:hAnsi="宋体" w:cs="宋体"/>
          <w:bCs/>
          <w:color w:val="auto"/>
          <w:sz w:val="24"/>
          <w:szCs w:val="24"/>
          <w:highlight w:val="none"/>
        </w:rPr>
      </w:pPr>
      <w:bookmarkStart w:id="27" w:name="_Toc28359075"/>
      <w:bookmarkStart w:id="28" w:name="_Toc35393786"/>
      <w:bookmarkStart w:id="29" w:name="_Toc35393617"/>
      <w:bookmarkStart w:id="30" w:name="_Toc28358998"/>
      <w:r>
        <w:rPr>
          <w:rFonts w:hint="eastAsia" w:hAnsi="宋体" w:cs="宋体"/>
          <w:bCs/>
          <w:color w:val="auto"/>
          <w:sz w:val="24"/>
          <w:szCs w:val="24"/>
          <w:highlight w:val="none"/>
        </w:rPr>
        <w:t>1.采购人信息</w:t>
      </w:r>
      <w:bookmarkEnd w:id="27"/>
      <w:bookmarkEnd w:id="28"/>
      <w:bookmarkEnd w:id="29"/>
      <w:bookmarkEnd w:id="30"/>
    </w:p>
    <w:p w14:paraId="0FE2EB5D">
      <w:pPr>
        <w:widowControl/>
        <w:spacing w:line="360" w:lineRule="auto"/>
        <w:ind w:firstLine="480"/>
        <w:jc w:val="left"/>
        <w:rPr>
          <w:rFonts w:hint="eastAsia" w:hAnsi="宋体" w:eastAsia="宋体" w:cs="宋体"/>
          <w:bCs/>
          <w:color w:val="auto"/>
          <w:sz w:val="24"/>
          <w:szCs w:val="24"/>
          <w:highlight w:val="none"/>
        </w:rPr>
      </w:pPr>
      <w:r>
        <w:rPr>
          <w:rFonts w:hint="eastAsia" w:hAnsi="宋体" w:cs="宋体"/>
          <w:bCs/>
          <w:color w:val="auto"/>
          <w:sz w:val="24"/>
          <w:szCs w:val="24"/>
          <w:highlight w:val="none"/>
        </w:rPr>
        <w:t>名称：</w:t>
      </w:r>
      <w:r>
        <w:rPr>
          <w:rFonts w:hint="eastAsia" w:hAnsi="宋体" w:cs="宋体"/>
          <w:bCs/>
          <w:color w:val="auto"/>
          <w:sz w:val="24"/>
          <w:szCs w:val="24"/>
          <w:highlight w:val="none"/>
          <w:lang w:eastAsia="zh-CN"/>
        </w:rPr>
        <w:t>苏州市姑苏区住房保障和物业管理中心</w:t>
      </w:r>
    </w:p>
    <w:p w14:paraId="554D4AA5">
      <w:pPr>
        <w:widowControl/>
        <w:spacing w:line="360" w:lineRule="auto"/>
        <w:ind w:firstLine="480"/>
        <w:jc w:val="left"/>
        <w:rPr>
          <w:rFonts w:hint="eastAsia" w:hAnsi="宋体" w:cs="宋体"/>
          <w:bCs/>
          <w:color w:val="auto"/>
          <w:sz w:val="24"/>
          <w:szCs w:val="24"/>
          <w:highlight w:val="none"/>
        </w:rPr>
      </w:pPr>
      <w:bookmarkStart w:id="31" w:name="_Toc28359077"/>
      <w:bookmarkStart w:id="32" w:name="_Toc35393619"/>
      <w:bookmarkStart w:id="33" w:name="_Toc28359000"/>
      <w:bookmarkStart w:id="34" w:name="_Toc35393788"/>
      <w:r>
        <w:rPr>
          <w:rFonts w:hint="eastAsia" w:hAnsi="宋体" w:cs="宋体"/>
          <w:bCs/>
          <w:color w:val="auto"/>
          <w:sz w:val="24"/>
          <w:szCs w:val="24"/>
          <w:highlight w:val="none"/>
        </w:rPr>
        <w:t>地址：苏州市姑苏区</w:t>
      </w:r>
    </w:p>
    <w:p w14:paraId="107AD06B">
      <w:pPr>
        <w:widowControl/>
        <w:spacing w:line="360" w:lineRule="auto"/>
        <w:ind w:firstLine="480"/>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联系人：</w:t>
      </w:r>
      <w:r>
        <w:rPr>
          <w:rFonts w:hint="eastAsia" w:hAnsi="宋体" w:cs="宋体"/>
          <w:bCs/>
          <w:color w:val="auto"/>
          <w:sz w:val="24"/>
          <w:szCs w:val="24"/>
          <w:highlight w:val="none"/>
          <w:lang w:eastAsia="zh-CN"/>
        </w:rPr>
        <w:t>田工</w:t>
      </w:r>
    </w:p>
    <w:p w14:paraId="28098737">
      <w:pPr>
        <w:widowControl/>
        <w:spacing w:line="360" w:lineRule="auto"/>
        <w:ind w:firstLine="480"/>
        <w:jc w:val="left"/>
        <w:rPr>
          <w:rFonts w:hint="eastAsia" w:hAnsi="宋体" w:cs="宋体"/>
          <w:bCs/>
          <w:color w:val="auto"/>
          <w:sz w:val="24"/>
          <w:szCs w:val="24"/>
          <w:highlight w:val="none"/>
        </w:rPr>
      </w:pPr>
      <w:r>
        <w:rPr>
          <w:rFonts w:hint="eastAsia" w:hAnsi="宋体" w:cs="宋体"/>
          <w:bCs/>
          <w:color w:val="auto"/>
          <w:sz w:val="24"/>
          <w:szCs w:val="24"/>
          <w:highlight w:val="none"/>
        </w:rPr>
        <w:t>联系电话：0512-66096135</w:t>
      </w:r>
    </w:p>
    <w:p w14:paraId="3FCF6D6E">
      <w:pPr>
        <w:widowControl/>
        <w:spacing w:line="360" w:lineRule="auto"/>
        <w:ind w:firstLine="480"/>
        <w:jc w:val="left"/>
        <w:rPr>
          <w:rFonts w:hint="eastAsia" w:hAnsi="宋体" w:cs="宋体"/>
          <w:bCs/>
          <w:color w:val="auto"/>
          <w:sz w:val="24"/>
          <w:szCs w:val="24"/>
          <w:highlight w:val="none"/>
        </w:rPr>
      </w:pPr>
      <w:r>
        <w:rPr>
          <w:rFonts w:hint="eastAsia" w:hAnsi="宋体" w:cs="宋体"/>
          <w:bCs/>
          <w:color w:val="auto"/>
          <w:sz w:val="24"/>
          <w:szCs w:val="24"/>
          <w:highlight w:val="none"/>
        </w:rPr>
        <w:t>2.代理机构联系方式</w:t>
      </w:r>
      <w:bookmarkEnd w:id="31"/>
      <w:bookmarkEnd w:id="32"/>
      <w:bookmarkEnd w:id="33"/>
      <w:bookmarkEnd w:id="34"/>
    </w:p>
    <w:p w14:paraId="4F001109">
      <w:pPr>
        <w:widowControl/>
        <w:spacing w:line="360" w:lineRule="auto"/>
        <w:ind w:firstLine="480"/>
        <w:jc w:val="left"/>
        <w:rPr>
          <w:rFonts w:hint="eastAsia" w:hAnsi="宋体" w:cs="宋体"/>
          <w:color w:val="auto"/>
          <w:sz w:val="24"/>
          <w:szCs w:val="24"/>
          <w:highlight w:val="none"/>
        </w:rPr>
      </w:pPr>
      <w:r>
        <w:rPr>
          <w:rFonts w:hint="eastAsia" w:hAnsi="宋体" w:cs="宋体"/>
          <w:color w:val="auto"/>
          <w:sz w:val="24"/>
          <w:szCs w:val="24"/>
          <w:highlight w:val="none"/>
        </w:rPr>
        <w:t>名称：</w:t>
      </w:r>
      <w:r>
        <w:rPr>
          <w:rFonts w:hint="eastAsia" w:hAnsi="宋体" w:cs="宋体"/>
          <w:color w:val="auto"/>
          <w:sz w:val="24"/>
          <w:szCs w:val="24"/>
          <w:highlight w:val="none"/>
          <w:lang w:eastAsia="zh-CN"/>
        </w:rPr>
        <w:t>苏州骏捷建设管理咨询有限公司</w:t>
      </w:r>
      <w:r>
        <w:rPr>
          <w:rFonts w:hint="eastAsia" w:hAnsi="宋体" w:cs="宋体"/>
          <w:color w:val="auto"/>
          <w:sz w:val="24"/>
          <w:szCs w:val="24"/>
          <w:highlight w:val="none"/>
        </w:rPr>
        <w:t>               </w:t>
      </w:r>
    </w:p>
    <w:p w14:paraId="6E597875">
      <w:pPr>
        <w:widowControl/>
        <w:spacing w:line="360" w:lineRule="auto"/>
        <w:ind w:firstLine="480"/>
        <w:jc w:val="left"/>
        <w:rPr>
          <w:rFonts w:hint="eastAsia" w:hAnsi="宋体" w:eastAsia="宋体" w:cs="宋体"/>
          <w:color w:val="auto"/>
          <w:sz w:val="24"/>
          <w:szCs w:val="24"/>
          <w:highlight w:val="none"/>
        </w:rPr>
      </w:pPr>
      <w:r>
        <w:rPr>
          <w:rFonts w:hint="eastAsia" w:hAnsi="宋体" w:cs="宋体"/>
          <w:color w:val="auto"/>
          <w:sz w:val="24"/>
          <w:szCs w:val="24"/>
          <w:highlight w:val="none"/>
        </w:rPr>
        <w:t>地 址：</w:t>
      </w:r>
      <w:r>
        <w:rPr>
          <w:rFonts w:hint="eastAsia" w:hAnsi="宋体" w:cs="宋体"/>
          <w:color w:val="auto"/>
          <w:sz w:val="24"/>
          <w:szCs w:val="24"/>
          <w:highlight w:val="none"/>
          <w:lang w:eastAsia="zh-CN"/>
        </w:rPr>
        <w:t>苏州市姑苏区金门路1299号2号楼518</w:t>
      </w:r>
    </w:p>
    <w:p w14:paraId="5B01AE03">
      <w:pPr>
        <w:widowControl/>
        <w:spacing w:line="360" w:lineRule="auto"/>
        <w:ind w:firstLine="480"/>
        <w:jc w:val="left"/>
        <w:rPr>
          <w:rFonts w:hint="eastAsia" w:hAnsi="宋体" w:eastAsia="宋体" w:cs="宋体"/>
          <w:color w:val="auto"/>
          <w:sz w:val="24"/>
          <w:szCs w:val="24"/>
          <w:highlight w:val="none"/>
        </w:rPr>
      </w:pPr>
      <w:r>
        <w:rPr>
          <w:rFonts w:hint="eastAsia" w:hAnsi="宋体" w:cs="宋体"/>
          <w:color w:val="auto"/>
          <w:sz w:val="24"/>
          <w:szCs w:val="24"/>
          <w:highlight w:val="none"/>
        </w:rPr>
        <w:t>联系人：</w:t>
      </w:r>
      <w:r>
        <w:rPr>
          <w:rFonts w:hint="eastAsia" w:hAnsi="宋体" w:cs="宋体"/>
          <w:color w:val="auto"/>
          <w:sz w:val="24"/>
          <w:szCs w:val="24"/>
          <w:highlight w:val="none"/>
          <w:lang w:eastAsia="zh-CN"/>
        </w:rPr>
        <w:t>杨喻婷、杨易</w:t>
      </w:r>
    </w:p>
    <w:p w14:paraId="644C8F2D">
      <w:pPr>
        <w:widowControl/>
        <w:spacing w:line="360" w:lineRule="auto"/>
        <w:ind w:firstLine="480"/>
        <w:jc w:val="left"/>
        <w:rPr>
          <w:rFonts w:hint="default" w:hAnsi="宋体" w:eastAsia="宋体" w:cs="宋体"/>
          <w:color w:val="auto"/>
          <w:sz w:val="24"/>
          <w:szCs w:val="24"/>
          <w:highlight w:val="none"/>
          <w:lang w:val="en-US"/>
        </w:rPr>
      </w:pPr>
      <w:r>
        <w:rPr>
          <w:rFonts w:hint="eastAsia" w:hAnsi="宋体" w:cs="宋体"/>
          <w:color w:val="auto"/>
          <w:sz w:val="24"/>
          <w:szCs w:val="24"/>
          <w:highlight w:val="none"/>
        </w:rPr>
        <w:t>联系方式：</w:t>
      </w:r>
      <w:r>
        <w:rPr>
          <w:rFonts w:hint="eastAsia" w:hAnsi="宋体" w:cs="宋体"/>
          <w:color w:val="auto"/>
          <w:sz w:val="24"/>
          <w:szCs w:val="24"/>
          <w:highlight w:val="none"/>
          <w:lang w:eastAsia="zh-CN"/>
        </w:rPr>
        <w:t>0512-65954780</w:t>
      </w:r>
      <w:r>
        <w:rPr>
          <w:rFonts w:hint="eastAsia" w:hAnsi="宋体" w:eastAsia="宋体" w:cs="宋体"/>
          <w:color w:val="auto"/>
          <w:sz w:val="24"/>
          <w:szCs w:val="24"/>
          <w:highlight w:val="none"/>
          <w:lang w:eastAsia="zh-CN"/>
        </w:rPr>
        <w:t>-8</w:t>
      </w:r>
      <w:r>
        <w:rPr>
          <w:rFonts w:hint="eastAsia" w:hAnsi="宋体" w:cs="宋体"/>
          <w:color w:val="auto"/>
          <w:sz w:val="24"/>
          <w:szCs w:val="24"/>
          <w:highlight w:val="none"/>
          <w:lang w:val="en-US" w:eastAsia="zh-CN"/>
        </w:rPr>
        <w:t>16</w:t>
      </w:r>
    </w:p>
    <w:p w14:paraId="30443192">
      <w:pPr>
        <w:rPr>
          <w:rFonts w:hAnsi="宋体" w:cs="宋体"/>
          <w:b/>
          <w:color w:val="auto"/>
          <w:sz w:val="24"/>
          <w:szCs w:val="24"/>
          <w:highlight w:val="none"/>
        </w:rPr>
      </w:pPr>
      <w:r>
        <w:rPr>
          <w:rFonts w:hint="eastAsia" w:hAnsi="宋体" w:cs="宋体"/>
          <w:b/>
          <w:color w:val="auto"/>
          <w:sz w:val="24"/>
          <w:szCs w:val="24"/>
          <w:highlight w:val="none"/>
        </w:rPr>
        <w:br w:type="page" w:clear="all"/>
      </w:r>
    </w:p>
    <w:p w14:paraId="30A46102">
      <w:pPr>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第二章投标单位须知</w:t>
      </w:r>
    </w:p>
    <w:p w14:paraId="7B35832B">
      <w:pPr>
        <w:spacing w:line="360" w:lineRule="auto"/>
        <w:outlineLvl w:val="0"/>
        <w:rPr>
          <w:rFonts w:hAnsi="宋体" w:cs="宋体"/>
          <w:b/>
          <w:color w:val="auto"/>
          <w:sz w:val="24"/>
          <w:szCs w:val="24"/>
          <w:highlight w:val="none"/>
        </w:rPr>
      </w:pPr>
      <w:r>
        <w:rPr>
          <w:rFonts w:hint="eastAsia" w:hAnsi="宋体" w:cs="宋体"/>
          <w:b/>
          <w:color w:val="auto"/>
          <w:sz w:val="24"/>
          <w:szCs w:val="24"/>
          <w:highlight w:val="none"/>
        </w:rPr>
        <w:t>一、说明和释义</w:t>
      </w:r>
    </w:p>
    <w:p w14:paraId="471AEB3C">
      <w:pPr>
        <w:spacing w:line="360" w:lineRule="auto"/>
        <w:rPr>
          <w:rFonts w:hAnsi="宋体" w:cs="宋体"/>
          <w:b/>
          <w:color w:val="auto"/>
          <w:sz w:val="24"/>
          <w:szCs w:val="24"/>
          <w:highlight w:val="none"/>
        </w:rPr>
      </w:pPr>
      <w:r>
        <w:rPr>
          <w:rFonts w:hint="eastAsia" w:hAnsi="宋体" w:cs="宋体"/>
          <w:b/>
          <w:color w:val="auto"/>
          <w:sz w:val="24"/>
          <w:szCs w:val="24"/>
          <w:highlight w:val="none"/>
        </w:rPr>
        <w:t>1. 说明</w:t>
      </w:r>
    </w:p>
    <w:p w14:paraId="4FE03C91">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1.1  本招标文件仅适用于</w:t>
      </w:r>
      <w:r>
        <w:rPr>
          <w:rFonts w:hint="eastAsia" w:hAnsi="宋体" w:eastAsia="宋体" w:cs="宋体"/>
          <w:color w:val="auto"/>
          <w:szCs w:val="24"/>
          <w:highlight w:val="none"/>
          <w:lang w:eastAsia="zh-CN"/>
        </w:rPr>
        <w:t>苏州骏捷建设管理咨询有限公司</w:t>
      </w:r>
      <w:r>
        <w:rPr>
          <w:rFonts w:hint="eastAsia" w:hAnsi="宋体" w:eastAsia="宋体" w:cs="宋体"/>
          <w:color w:val="auto"/>
          <w:szCs w:val="24"/>
          <w:highlight w:val="none"/>
        </w:rPr>
        <w:t>组织的招标活动。</w:t>
      </w:r>
    </w:p>
    <w:p w14:paraId="0843C962">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1.2  本次招标活动及因本次招标产生的合同受中国法律制约和保护。</w:t>
      </w:r>
    </w:p>
    <w:p w14:paraId="15AEC5E9">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1.3  本招标文件的解释权属于</w:t>
      </w:r>
      <w:r>
        <w:rPr>
          <w:rFonts w:hint="eastAsia" w:hAnsi="宋体" w:eastAsia="宋体" w:cs="宋体"/>
          <w:color w:val="auto"/>
          <w:szCs w:val="24"/>
          <w:highlight w:val="none"/>
          <w:lang w:eastAsia="zh-CN"/>
        </w:rPr>
        <w:t>苏州骏捷建设管理咨询有限公司</w:t>
      </w:r>
      <w:r>
        <w:rPr>
          <w:rFonts w:hint="eastAsia" w:hAnsi="宋体" w:eastAsia="宋体" w:cs="宋体"/>
          <w:color w:val="auto"/>
          <w:szCs w:val="24"/>
          <w:highlight w:val="none"/>
        </w:rPr>
        <w:t>。</w:t>
      </w:r>
    </w:p>
    <w:p w14:paraId="0B558EBE">
      <w:pPr>
        <w:spacing w:line="360" w:lineRule="auto"/>
        <w:rPr>
          <w:rFonts w:hAnsi="宋体" w:cs="宋体"/>
          <w:b/>
          <w:color w:val="auto"/>
          <w:sz w:val="24"/>
          <w:szCs w:val="24"/>
          <w:highlight w:val="none"/>
        </w:rPr>
      </w:pPr>
      <w:r>
        <w:rPr>
          <w:rFonts w:hint="eastAsia" w:hAnsi="宋体" w:cs="宋体"/>
          <w:b/>
          <w:color w:val="auto"/>
          <w:sz w:val="24"/>
          <w:szCs w:val="24"/>
          <w:highlight w:val="none"/>
        </w:rPr>
        <w:t>2. 词语释义</w:t>
      </w:r>
    </w:p>
    <w:p w14:paraId="18CBE082">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2.1  采购代理机构：在委托人授权范围内具体组织实施招标活动的法人。</w:t>
      </w:r>
    </w:p>
    <w:p w14:paraId="50E3D460">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2.2  投标单位：经认定有资格响应招标，参加投标竞争的法人企业。</w:t>
      </w:r>
    </w:p>
    <w:p w14:paraId="7E5FEE3D">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2.3  响应：投标单位根据采购代理机构发布的招标文件，编制投标文件并按规定投标的行为。</w:t>
      </w:r>
    </w:p>
    <w:p w14:paraId="34A36AD2">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2.4  合同：采供双方根据招标文件和中标的投标文件及中标通知书规定的内容签署的以书面形式所达成的协议，包括所有的附件、附录和构成协议的所有文件。</w:t>
      </w:r>
    </w:p>
    <w:p w14:paraId="27D251AD">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2.5  甲方（采购方）：合同中明确规定的实际购买货物和服务的法人、行政事业、团体组织。</w:t>
      </w:r>
    </w:p>
    <w:p w14:paraId="1B383C3F">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2.6  乙方（供应商）：合同中规定的向采购方提供货物和服务的法人企业。</w:t>
      </w:r>
    </w:p>
    <w:p w14:paraId="53D2DFE7">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2.7  伴随服务：根据合同规定乙方应承担的与提供服务有关的辅助服务。</w:t>
      </w:r>
    </w:p>
    <w:p w14:paraId="6AB18A9C">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2.8  知识产权：指专利权、商标权、著作权等无形财产专有权的统称。</w:t>
      </w:r>
    </w:p>
    <w:p w14:paraId="78D4AF9D">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2.9  天：日历日。</w:t>
      </w:r>
    </w:p>
    <w:p w14:paraId="42A9DB65">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2.10  交货地点：合同中明确约定的乙方提交的货物和服务最终到达地点。</w:t>
      </w:r>
    </w:p>
    <w:p w14:paraId="3D247B2E">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2.11 合同价款：根据合同规定，乙方在正确地履行合同义务后甲方应支付乙方的价款。</w:t>
      </w:r>
    </w:p>
    <w:p w14:paraId="1BB7525B">
      <w:pPr>
        <w:pStyle w:val="10"/>
        <w:widowControl/>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2.12 产地：货物开采、生长、生产、最终制造、加工或提供服务的来源地。</w:t>
      </w:r>
    </w:p>
    <w:p w14:paraId="72B1ABBE">
      <w:pPr>
        <w:spacing w:line="360" w:lineRule="auto"/>
        <w:rPr>
          <w:rFonts w:hAnsi="宋体" w:cs="宋体"/>
          <w:color w:val="auto"/>
          <w:sz w:val="24"/>
          <w:szCs w:val="24"/>
          <w:highlight w:val="none"/>
        </w:rPr>
      </w:pPr>
      <w:r>
        <w:rPr>
          <w:rFonts w:hint="eastAsia" w:hAnsi="宋体" w:cs="宋体"/>
          <w:color w:val="auto"/>
          <w:sz w:val="24"/>
          <w:szCs w:val="24"/>
          <w:highlight w:val="none"/>
        </w:rPr>
        <w:t>2.13 不可抗力：不能预见、不能避免并且不能克服的客观情况。</w:t>
      </w:r>
    </w:p>
    <w:p w14:paraId="2B9A72F1">
      <w:pPr>
        <w:spacing w:line="360" w:lineRule="auto"/>
        <w:outlineLvl w:val="0"/>
        <w:rPr>
          <w:rFonts w:hint="eastAsia" w:hAnsi="宋体" w:cs="宋体"/>
          <w:bCs/>
          <w:color w:val="auto"/>
          <w:sz w:val="24"/>
          <w:szCs w:val="24"/>
          <w:highlight w:val="none"/>
        </w:rPr>
      </w:pPr>
      <w:r>
        <w:rPr>
          <w:rFonts w:hint="eastAsia" w:hAnsi="宋体" w:cs="宋体"/>
          <w:bCs/>
          <w:color w:val="auto"/>
          <w:sz w:val="24"/>
          <w:szCs w:val="24"/>
          <w:highlight w:val="none"/>
        </w:rPr>
        <w:t>2.14实质响应：</w:t>
      </w:r>
      <w:r>
        <w:rPr>
          <w:rFonts w:hint="eastAsia" w:hAnsi="宋体" w:cs="宋体"/>
          <w:bCs/>
          <w:color w:val="auto"/>
          <w:sz w:val="24"/>
          <w:szCs w:val="24"/>
          <w:highlight w:val="none"/>
          <w:lang w:val="zh-CN"/>
        </w:rPr>
        <w:t>满足有关本项目服务的具体要求，包括服务内容、履行期限、履行地点和方式、违约责任和解决争议方法等要求。</w:t>
      </w:r>
    </w:p>
    <w:p w14:paraId="71E5BA09">
      <w:pPr>
        <w:spacing w:line="360" w:lineRule="auto"/>
        <w:outlineLvl w:val="0"/>
        <w:rPr>
          <w:rFonts w:hint="eastAsia" w:hAnsi="宋体" w:cs="宋体"/>
          <w:bCs/>
          <w:color w:val="auto"/>
          <w:sz w:val="24"/>
          <w:szCs w:val="24"/>
          <w:highlight w:val="none"/>
        </w:rPr>
      </w:pPr>
      <w:r>
        <w:rPr>
          <w:rFonts w:hint="eastAsia" w:hAnsi="宋体" w:cs="宋体"/>
          <w:bCs/>
          <w:color w:val="auto"/>
          <w:sz w:val="24"/>
          <w:szCs w:val="24"/>
          <w:highlight w:val="none"/>
        </w:rPr>
        <w:t>2.15书面形式：指书面文字、合同书、信件和传真等可以有形地表现所载内容的形式。</w:t>
      </w:r>
    </w:p>
    <w:p w14:paraId="61C68FEC">
      <w:pPr>
        <w:spacing w:line="360" w:lineRule="auto"/>
        <w:outlineLvl w:val="0"/>
        <w:rPr>
          <w:rFonts w:hint="eastAsia" w:hAnsi="宋体" w:cs="宋体"/>
          <w:bCs/>
          <w:color w:val="auto"/>
          <w:sz w:val="24"/>
          <w:szCs w:val="24"/>
          <w:highlight w:val="none"/>
        </w:rPr>
      </w:pPr>
      <w:r>
        <w:rPr>
          <w:rFonts w:hint="eastAsia" w:hAnsi="宋体" w:cs="宋体"/>
          <w:bCs/>
          <w:color w:val="auto"/>
          <w:sz w:val="24"/>
          <w:szCs w:val="24"/>
          <w:highlight w:val="none"/>
        </w:rPr>
        <w:t>2.16小型企业且提供自有服务的，视同为小型企业。微型企业且提供自有服务的，视同为微型企业。</w:t>
      </w:r>
    </w:p>
    <w:p w14:paraId="52FB0011">
      <w:pPr>
        <w:spacing w:line="360" w:lineRule="auto"/>
        <w:outlineLvl w:val="0"/>
        <w:rPr>
          <w:rFonts w:hint="eastAsia" w:hAnsi="宋体" w:cs="宋体"/>
          <w:b/>
          <w:color w:val="auto"/>
          <w:sz w:val="24"/>
          <w:szCs w:val="24"/>
          <w:highlight w:val="none"/>
        </w:rPr>
      </w:pPr>
    </w:p>
    <w:p w14:paraId="6BA4993E">
      <w:pPr>
        <w:spacing w:line="360" w:lineRule="auto"/>
        <w:outlineLvl w:val="0"/>
        <w:rPr>
          <w:rFonts w:hint="eastAsia" w:hAnsi="宋体" w:cs="宋体"/>
          <w:b/>
          <w:color w:val="auto"/>
          <w:sz w:val="24"/>
          <w:szCs w:val="24"/>
          <w:highlight w:val="none"/>
        </w:rPr>
      </w:pPr>
    </w:p>
    <w:p w14:paraId="0BA66C8D">
      <w:pPr>
        <w:spacing w:line="360" w:lineRule="auto"/>
        <w:outlineLvl w:val="0"/>
        <w:rPr>
          <w:rFonts w:hAnsi="宋体" w:cs="宋体"/>
          <w:b/>
          <w:color w:val="auto"/>
          <w:sz w:val="24"/>
          <w:szCs w:val="24"/>
          <w:highlight w:val="none"/>
        </w:rPr>
      </w:pPr>
      <w:r>
        <w:rPr>
          <w:rFonts w:hint="eastAsia" w:hAnsi="宋体" w:cs="宋体"/>
          <w:b/>
          <w:color w:val="auto"/>
          <w:sz w:val="24"/>
          <w:szCs w:val="24"/>
          <w:highlight w:val="none"/>
        </w:rPr>
        <w:t>二、投标单位</w:t>
      </w:r>
    </w:p>
    <w:p w14:paraId="553CA374">
      <w:pPr>
        <w:spacing w:line="360" w:lineRule="auto"/>
        <w:rPr>
          <w:rFonts w:hAnsi="宋体" w:cs="宋体"/>
          <w:b/>
          <w:color w:val="auto"/>
          <w:sz w:val="24"/>
          <w:szCs w:val="24"/>
          <w:highlight w:val="none"/>
        </w:rPr>
      </w:pPr>
      <w:r>
        <w:rPr>
          <w:rFonts w:hint="eastAsia" w:hAnsi="宋体" w:cs="宋体"/>
          <w:b/>
          <w:color w:val="auto"/>
          <w:sz w:val="24"/>
          <w:szCs w:val="24"/>
          <w:highlight w:val="none"/>
        </w:rPr>
        <w:t>3. 合格投标单位的范围</w:t>
      </w:r>
    </w:p>
    <w:p w14:paraId="49838ED3">
      <w:pPr>
        <w:spacing w:line="360" w:lineRule="auto"/>
        <w:rPr>
          <w:rFonts w:hAnsi="宋体" w:cs="宋体"/>
          <w:b/>
          <w:color w:val="auto"/>
          <w:sz w:val="24"/>
          <w:szCs w:val="24"/>
          <w:highlight w:val="none"/>
        </w:rPr>
      </w:pPr>
      <w:r>
        <w:rPr>
          <w:rFonts w:hint="eastAsia" w:hAnsi="宋体" w:cs="宋体"/>
          <w:b/>
          <w:color w:val="auto"/>
          <w:sz w:val="24"/>
          <w:szCs w:val="24"/>
          <w:highlight w:val="none"/>
        </w:rPr>
        <w:t>（一）一般条件：</w:t>
      </w:r>
    </w:p>
    <w:p w14:paraId="69506CB3">
      <w:pPr>
        <w:spacing w:line="360" w:lineRule="auto"/>
        <w:rPr>
          <w:rFonts w:hAnsi="宋体" w:cs="宋体"/>
          <w:color w:val="auto"/>
          <w:sz w:val="24"/>
          <w:highlight w:val="none"/>
        </w:rPr>
      </w:pPr>
      <w:r>
        <w:rPr>
          <w:rFonts w:hint="eastAsia" w:hAnsi="宋体" w:cs="宋体"/>
          <w:color w:val="auto"/>
          <w:sz w:val="24"/>
          <w:highlight w:val="none"/>
        </w:rPr>
        <w:t>3.1 具有独立承担民事责任的能力。</w:t>
      </w:r>
    </w:p>
    <w:p w14:paraId="1DBF7421">
      <w:pPr>
        <w:spacing w:line="360" w:lineRule="auto"/>
        <w:rPr>
          <w:rFonts w:hAnsi="宋体" w:cs="宋体"/>
          <w:color w:val="auto"/>
          <w:sz w:val="24"/>
          <w:highlight w:val="none"/>
        </w:rPr>
      </w:pPr>
      <w:r>
        <w:rPr>
          <w:rFonts w:hint="eastAsia" w:hAnsi="宋体" w:cs="宋体"/>
          <w:color w:val="auto"/>
          <w:sz w:val="24"/>
          <w:highlight w:val="none"/>
        </w:rPr>
        <w:t>3.2 具有良好的商业信誉和健全的财务会计制度。</w:t>
      </w:r>
    </w:p>
    <w:p w14:paraId="7A85545E">
      <w:pPr>
        <w:spacing w:line="360" w:lineRule="auto"/>
        <w:rPr>
          <w:rFonts w:hAnsi="宋体" w:cs="宋体"/>
          <w:color w:val="auto"/>
          <w:sz w:val="24"/>
          <w:highlight w:val="none"/>
        </w:rPr>
      </w:pPr>
      <w:r>
        <w:rPr>
          <w:rFonts w:hint="eastAsia" w:hAnsi="宋体" w:cs="宋体"/>
          <w:color w:val="auto"/>
          <w:sz w:val="24"/>
          <w:highlight w:val="none"/>
        </w:rPr>
        <w:t>3.3 具有履行合同所必须的设备和专业技术能力。</w:t>
      </w:r>
    </w:p>
    <w:p w14:paraId="773B268E">
      <w:pPr>
        <w:spacing w:line="360" w:lineRule="auto"/>
        <w:rPr>
          <w:rFonts w:hAnsi="宋体" w:cs="宋体"/>
          <w:color w:val="auto"/>
          <w:sz w:val="24"/>
          <w:highlight w:val="none"/>
        </w:rPr>
      </w:pPr>
      <w:r>
        <w:rPr>
          <w:rFonts w:hint="eastAsia" w:hAnsi="宋体" w:cs="宋体"/>
          <w:color w:val="auto"/>
          <w:sz w:val="24"/>
          <w:highlight w:val="none"/>
        </w:rPr>
        <w:t>3.4 有依法缴纳税收和社会保障基金的良好记录。</w:t>
      </w:r>
    </w:p>
    <w:p w14:paraId="49985340">
      <w:pPr>
        <w:spacing w:line="360" w:lineRule="auto"/>
        <w:rPr>
          <w:rFonts w:hint="eastAsia" w:hAnsi="宋体" w:cs="宋体"/>
          <w:color w:val="auto"/>
          <w:sz w:val="24"/>
          <w:highlight w:val="none"/>
        </w:rPr>
      </w:pPr>
      <w:r>
        <w:rPr>
          <w:rFonts w:hint="eastAsia" w:hAnsi="宋体" w:cs="宋体"/>
          <w:color w:val="auto"/>
          <w:sz w:val="24"/>
          <w:highlight w:val="none"/>
        </w:rPr>
        <w:t>3.5 参加政府采购活动前三年内，在经营活动中没有重大违法记录。</w:t>
      </w:r>
    </w:p>
    <w:p w14:paraId="7F289255">
      <w:pPr>
        <w:spacing w:line="360" w:lineRule="auto"/>
        <w:rPr>
          <w:rFonts w:hAnsi="宋体" w:cs="宋体"/>
          <w:color w:val="auto"/>
          <w:sz w:val="24"/>
          <w:highlight w:val="none"/>
        </w:rPr>
      </w:pPr>
      <w:r>
        <w:rPr>
          <w:rFonts w:hint="eastAsia" w:hAnsi="宋体" w:cs="宋体"/>
          <w:color w:val="auto"/>
          <w:sz w:val="24"/>
          <w:highlight w:val="none"/>
        </w:rPr>
        <w:t>3.6法律、行政法规规定的其他条件。</w:t>
      </w:r>
    </w:p>
    <w:p w14:paraId="17EC1BB1">
      <w:pPr>
        <w:spacing w:line="360" w:lineRule="auto"/>
        <w:rPr>
          <w:rFonts w:hint="eastAsia" w:hAnsi="宋体" w:cs="宋体"/>
          <w:color w:val="auto"/>
          <w:sz w:val="24"/>
          <w:highlight w:val="none"/>
        </w:rPr>
      </w:pPr>
      <w:r>
        <w:rPr>
          <w:rFonts w:hint="eastAsia" w:hAnsi="宋体" w:cs="宋体"/>
          <w:color w:val="auto"/>
          <w:sz w:val="24"/>
          <w:highlight w:val="none"/>
        </w:rPr>
        <w:t>3.7本项目不接受联合投标。</w:t>
      </w:r>
    </w:p>
    <w:p w14:paraId="10C8E874">
      <w:pPr>
        <w:spacing w:line="360" w:lineRule="auto"/>
        <w:rPr>
          <w:rFonts w:hAnsi="宋体" w:cs="宋体"/>
          <w:color w:val="auto"/>
          <w:sz w:val="24"/>
          <w:highlight w:val="none"/>
        </w:rPr>
      </w:pPr>
      <w:r>
        <w:rPr>
          <w:rFonts w:hint="eastAsia" w:hAnsi="宋体" w:cs="宋体"/>
          <w:color w:val="auto"/>
          <w:sz w:val="24"/>
          <w:highlight w:val="none"/>
        </w:rPr>
        <w:t>3.8落实政府采购政策需满足的资格要求：根据《政府采购促进中小企业发展管理办法》的相关规定，本项目专门面向中小企业，所属行业为</w:t>
      </w:r>
      <w:r>
        <w:rPr>
          <w:rFonts w:hint="eastAsia" w:hAnsi="宋体" w:cs="宋体"/>
          <w:b/>
          <w:bCs/>
          <w:color w:val="auto"/>
          <w:sz w:val="24"/>
          <w:highlight w:val="none"/>
        </w:rPr>
        <w:t>其他未列明行业</w:t>
      </w:r>
      <w:r>
        <w:rPr>
          <w:rFonts w:hint="eastAsia" w:hAnsi="宋体" w:cs="宋体"/>
          <w:color w:val="auto"/>
          <w:sz w:val="24"/>
          <w:highlight w:val="none"/>
        </w:rPr>
        <w:t xml:space="preserve">，供应商应为中小微企业、监狱企业、残疾人福利性单位。 </w:t>
      </w:r>
    </w:p>
    <w:p w14:paraId="7F22A276">
      <w:pPr>
        <w:spacing w:line="360" w:lineRule="auto"/>
        <w:rPr>
          <w:rFonts w:hint="eastAsia" w:hAnsi="宋体" w:cs="宋体"/>
          <w:color w:val="auto"/>
          <w:sz w:val="24"/>
          <w:highlight w:val="none"/>
        </w:rPr>
      </w:pPr>
      <w:r>
        <w:rPr>
          <w:rFonts w:hint="eastAsia" w:hAnsi="宋体" w:cs="宋体"/>
          <w:color w:val="auto"/>
          <w:sz w:val="24"/>
          <w:highlight w:val="none"/>
        </w:rPr>
        <w:t>注：单位法定代表人为同一人或者存在控股、管理关系的不同单位，不得参加同一类别投标或者未划分类别的同一招标项目投标。</w:t>
      </w:r>
    </w:p>
    <w:p w14:paraId="3FA7F7F5">
      <w:pPr>
        <w:spacing w:line="360" w:lineRule="auto"/>
        <w:ind w:firstLine="480"/>
        <w:rPr>
          <w:rFonts w:hint="eastAsia" w:hAnsi="宋体" w:cs="宋体"/>
          <w:color w:val="auto"/>
          <w:sz w:val="24"/>
          <w:highlight w:val="none"/>
        </w:rPr>
      </w:pPr>
      <w:r>
        <w:rPr>
          <w:rFonts w:hint="eastAsia" w:hAnsi="宋体" w:cs="宋体"/>
          <w:color w:val="auto"/>
          <w:sz w:val="24"/>
          <w:szCs w:val="24"/>
          <w:highlight w:val="none"/>
        </w:rPr>
        <w:t>未被“信用中国”网站（WWW.creditchina.gov.cn）或“中国政府采购网”网站（www.ccgp.gov.cn）列入失信被执行人、重大税收违法案件当事人名单、政府采购严重失信行为记录名单；</w:t>
      </w:r>
    </w:p>
    <w:p w14:paraId="46A50812">
      <w:pPr>
        <w:numPr>
          <w:ilvl w:val="0"/>
          <w:numId w:val="0"/>
        </w:numPr>
        <w:spacing w:line="360" w:lineRule="auto"/>
        <w:rPr>
          <w:rFonts w:hAnsi="宋体" w:cs="宋体"/>
          <w:b/>
          <w:color w:val="auto"/>
          <w:sz w:val="24"/>
          <w:szCs w:val="24"/>
          <w:highlight w:val="none"/>
        </w:rPr>
      </w:pPr>
      <w:r>
        <w:rPr>
          <w:rFonts w:hint="eastAsia" w:hAnsi="宋体" w:cs="宋体"/>
          <w:b/>
          <w:color w:val="auto"/>
          <w:sz w:val="24"/>
          <w:szCs w:val="24"/>
          <w:highlight w:val="none"/>
        </w:rPr>
        <w:t>4. 投标委托</w:t>
      </w:r>
    </w:p>
    <w:p w14:paraId="6687B49D">
      <w:pPr>
        <w:spacing w:line="360" w:lineRule="auto"/>
        <w:rPr>
          <w:rFonts w:hAnsi="宋体" w:cs="宋体"/>
          <w:color w:val="auto"/>
          <w:sz w:val="24"/>
          <w:szCs w:val="24"/>
          <w:highlight w:val="none"/>
        </w:rPr>
      </w:pPr>
      <w:r>
        <w:rPr>
          <w:rFonts w:hint="eastAsia" w:hAnsi="宋体" w:cs="宋体"/>
          <w:color w:val="auto"/>
          <w:sz w:val="24"/>
          <w:szCs w:val="24"/>
          <w:highlight w:val="none"/>
        </w:rPr>
        <w:t>4.1 如投标单位代表不是法定代表人，须持有《法定代表人授权委托书》（格式见附件）。</w:t>
      </w:r>
    </w:p>
    <w:p w14:paraId="50990F40">
      <w:pPr>
        <w:spacing w:line="360" w:lineRule="auto"/>
        <w:rPr>
          <w:rFonts w:hAnsi="宋体" w:cs="宋体"/>
          <w:b/>
          <w:color w:val="auto"/>
          <w:sz w:val="24"/>
          <w:szCs w:val="24"/>
          <w:highlight w:val="none"/>
        </w:rPr>
      </w:pPr>
      <w:r>
        <w:rPr>
          <w:rFonts w:hint="eastAsia" w:hAnsi="宋体" w:cs="宋体"/>
          <w:b/>
          <w:color w:val="auto"/>
          <w:sz w:val="24"/>
          <w:szCs w:val="24"/>
          <w:highlight w:val="none"/>
        </w:rPr>
        <w:t>5. 投标费用</w:t>
      </w:r>
    </w:p>
    <w:p w14:paraId="0D3BE32C">
      <w:pPr>
        <w:spacing w:line="360" w:lineRule="auto"/>
        <w:rPr>
          <w:rFonts w:hAnsi="宋体" w:cs="宋体"/>
          <w:color w:val="auto"/>
          <w:sz w:val="24"/>
          <w:szCs w:val="24"/>
          <w:highlight w:val="none"/>
        </w:rPr>
      </w:pPr>
      <w:r>
        <w:rPr>
          <w:rFonts w:hint="eastAsia" w:hAnsi="宋体" w:cs="宋体"/>
          <w:color w:val="auto"/>
          <w:sz w:val="24"/>
          <w:szCs w:val="24"/>
          <w:highlight w:val="none"/>
        </w:rPr>
        <w:t>5.1 无论投标过程中的做法和结果如何，投标单位自行承担所有与参加投标有关的全部费用。</w:t>
      </w:r>
    </w:p>
    <w:p w14:paraId="5E47FAB9">
      <w:pPr>
        <w:spacing w:line="360" w:lineRule="auto"/>
        <w:rPr>
          <w:rFonts w:hAnsi="宋体" w:cs="宋体"/>
          <w:color w:val="auto"/>
          <w:sz w:val="24"/>
          <w:szCs w:val="24"/>
          <w:highlight w:val="none"/>
        </w:rPr>
      </w:pPr>
      <w:r>
        <w:rPr>
          <w:rFonts w:hint="eastAsia" w:hAnsi="宋体" w:cs="宋体"/>
          <w:b/>
          <w:color w:val="auto"/>
          <w:sz w:val="24"/>
          <w:szCs w:val="24"/>
          <w:highlight w:val="none"/>
        </w:rPr>
        <w:t>6. 联合投标</w:t>
      </w:r>
    </w:p>
    <w:p w14:paraId="76A277C9">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6.1 本项目不接受联合投标。</w:t>
      </w:r>
    </w:p>
    <w:p w14:paraId="37CDDFCE">
      <w:pPr>
        <w:spacing w:line="360" w:lineRule="auto"/>
        <w:outlineLvl w:val="0"/>
        <w:rPr>
          <w:rFonts w:hAnsi="宋体" w:cs="宋体"/>
          <w:b/>
          <w:color w:val="auto"/>
          <w:sz w:val="24"/>
          <w:szCs w:val="24"/>
          <w:highlight w:val="none"/>
        </w:rPr>
      </w:pPr>
      <w:r>
        <w:rPr>
          <w:rFonts w:hint="eastAsia" w:hAnsi="宋体" w:cs="宋体"/>
          <w:b/>
          <w:color w:val="auto"/>
          <w:sz w:val="24"/>
          <w:szCs w:val="24"/>
          <w:highlight w:val="none"/>
        </w:rPr>
        <w:t>三、招标文件的说明</w:t>
      </w:r>
    </w:p>
    <w:p w14:paraId="5569D3D2">
      <w:pPr>
        <w:spacing w:line="360" w:lineRule="auto"/>
        <w:rPr>
          <w:rFonts w:hAnsi="宋体" w:cs="宋体"/>
          <w:b/>
          <w:color w:val="auto"/>
          <w:sz w:val="24"/>
          <w:szCs w:val="24"/>
          <w:highlight w:val="none"/>
        </w:rPr>
      </w:pPr>
      <w:r>
        <w:rPr>
          <w:rFonts w:hint="eastAsia" w:hAnsi="宋体" w:cs="宋体"/>
          <w:b/>
          <w:color w:val="auto"/>
          <w:sz w:val="24"/>
          <w:szCs w:val="24"/>
          <w:highlight w:val="none"/>
        </w:rPr>
        <w:t>7. 招标文件</w:t>
      </w:r>
    </w:p>
    <w:p w14:paraId="67820A46">
      <w:pPr>
        <w:spacing w:line="360" w:lineRule="auto"/>
        <w:rPr>
          <w:rFonts w:hAnsi="宋体" w:cs="宋体"/>
          <w:color w:val="auto"/>
          <w:sz w:val="24"/>
          <w:szCs w:val="24"/>
          <w:highlight w:val="none"/>
        </w:rPr>
      </w:pPr>
      <w:r>
        <w:rPr>
          <w:rFonts w:hint="eastAsia" w:hAnsi="宋体" w:cs="宋体"/>
          <w:color w:val="auto"/>
          <w:sz w:val="24"/>
          <w:szCs w:val="24"/>
          <w:highlight w:val="none"/>
        </w:rPr>
        <w:t>7.1 招标文件由招标文件总目录所列内容组成。投标单位应详细阅读招标文件的全部内容。不按招标文件的要求提供的投标文件和资料，可能导致投标被拒绝。</w:t>
      </w:r>
    </w:p>
    <w:p w14:paraId="79F0989A">
      <w:pPr>
        <w:spacing w:line="360" w:lineRule="auto"/>
        <w:rPr>
          <w:rFonts w:hAnsi="宋体" w:cs="宋体"/>
          <w:b/>
          <w:color w:val="auto"/>
          <w:sz w:val="24"/>
          <w:szCs w:val="24"/>
          <w:highlight w:val="none"/>
        </w:rPr>
      </w:pPr>
      <w:r>
        <w:rPr>
          <w:rFonts w:hint="eastAsia" w:hAnsi="宋体" w:cs="宋体"/>
          <w:b/>
          <w:color w:val="auto"/>
          <w:sz w:val="24"/>
          <w:szCs w:val="24"/>
          <w:highlight w:val="none"/>
        </w:rPr>
        <w:t>8. 招标文件的澄清</w:t>
      </w:r>
    </w:p>
    <w:p w14:paraId="47BEECF2">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8.1 投标单位在收到招标文件后，若有问题需要澄清，应于收到招标文件后以书面形式向采购代理机构提出，采购代理机构将以书面形式的方式予以解答（包括对询问的解释，但不说明来源）。</w:t>
      </w:r>
    </w:p>
    <w:p w14:paraId="2478365A">
      <w:pPr>
        <w:spacing w:line="360" w:lineRule="auto"/>
        <w:rPr>
          <w:rFonts w:hAnsi="宋体" w:cs="宋体"/>
          <w:b/>
          <w:color w:val="auto"/>
          <w:sz w:val="24"/>
          <w:szCs w:val="24"/>
          <w:highlight w:val="none"/>
        </w:rPr>
      </w:pPr>
      <w:r>
        <w:rPr>
          <w:rFonts w:hint="eastAsia" w:hAnsi="宋体" w:cs="宋体"/>
          <w:b/>
          <w:color w:val="auto"/>
          <w:sz w:val="24"/>
          <w:szCs w:val="24"/>
          <w:highlight w:val="none"/>
        </w:rPr>
        <w:t>9. 招标文件的修改</w:t>
      </w:r>
    </w:p>
    <w:p w14:paraId="674A4435">
      <w:pPr>
        <w:spacing w:line="360" w:lineRule="auto"/>
        <w:rPr>
          <w:rFonts w:hAnsi="宋体" w:cs="宋体"/>
          <w:color w:val="auto"/>
          <w:sz w:val="24"/>
          <w:szCs w:val="24"/>
          <w:highlight w:val="none"/>
        </w:rPr>
      </w:pPr>
      <w:r>
        <w:rPr>
          <w:rFonts w:hint="eastAsia" w:hAnsi="宋体" w:cs="宋体"/>
          <w:color w:val="auto"/>
          <w:sz w:val="24"/>
          <w:szCs w:val="24"/>
          <w:highlight w:val="none"/>
        </w:rPr>
        <w:t>9.1在投标截止时间前，招标代理人无论出于自己的考虑，还是出于对投标单位提问的澄清，均可对招标文件用补充文件的方式进行修改。</w:t>
      </w:r>
    </w:p>
    <w:p w14:paraId="138889C7">
      <w:pPr>
        <w:spacing w:line="360" w:lineRule="auto"/>
        <w:rPr>
          <w:rFonts w:hAnsi="宋体" w:cs="宋体"/>
          <w:color w:val="auto"/>
          <w:sz w:val="24"/>
          <w:szCs w:val="24"/>
          <w:highlight w:val="none"/>
        </w:rPr>
      </w:pPr>
      <w:r>
        <w:rPr>
          <w:rFonts w:hint="eastAsia" w:hAnsi="宋体" w:cs="宋体"/>
          <w:color w:val="auto"/>
          <w:sz w:val="24"/>
          <w:szCs w:val="24"/>
          <w:highlight w:val="none"/>
        </w:rPr>
        <w:t>9.2招标代理人对招标文件的修改在政府采购信息发布媒体上发布更正公告。更正公告将作为招标文件的组成部分，对所有投标单位具有约束力。</w:t>
      </w:r>
    </w:p>
    <w:p w14:paraId="336D74F5">
      <w:pPr>
        <w:spacing w:line="360" w:lineRule="auto"/>
        <w:rPr>
          <w:rFonts w:hAnsi="宋体" w:cs="宋体"/>
          <w:color w:val="auto"/>
          <w:sz w:val="24"/>
          <w:szCs w:val="24"/>
          <w:highlight w:val="none"/>
        </w:rPr>
      </w:pPr>
      <w:r>
        <w:rPr>
          <w:rFonts w:hint="eastAsia" w:hAnsi="宋体" w:cs="宋体"/>
          <w:color w:val="auto"/>
          <w:sz w:val="24"/>
          <w:szCs w:val="24"/>
          <w:highlight w:val="none"/>
        </w:rPr>
        <w:t>9.3为使投标单位有足够的时间按招标文件的修改要求考虑修正投标文件，或出于其他原因，招标代理人可酌情推迟投标截止日期和开标日期，于原定投标时间前将此变更通知上述每一投标单位，并在政府采购信息发布媒体上发布变更公告。</w:t>
      </w:r>
    </w:p>
    <w:p w14:paraId="761A7D7C">
      <w:p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10. 质疑</w:t>
      </w:r>
    </w:p>
    <w:p w14:paraId="3D992EAC">
      <w:pPr>
        <w:spacing w:line="360" w:lineRule="auto"/>
        <w:rPr>
          <w:rFonts w:hint="eastAsia" w:hAnsi="宋体" w:cs="宋体"/>
          <w:bCs/>
          <w:color w:val="auto"/>
          <w:sz w:val="24"/>
          <w:szCs w:val="24"/>
          <w:highlight w:val="none"/>
        </w:rPr>
      </w:pPr>
      <w:r>
        <w:rPr>
          <w:rFonts w:hint="eastAsia" w:hAnsi="宋体" w:cs="宋体"/>
          <w:bCs/>
          <w:color w:val="auto"/>
          <w:sz w:val="24"/>
          <w:szCs w:val="24"/>
          <w:highlight w:val="none"/>
        </w:rPr>
        <w:t>10.</w:t>
      </w:r>
      <w:r>
        <w:rPr>
          <w:rFonts w:hint="eastAsia" w:hAnsi="宋体" w:cs="宋体"/>
          <w:bCs/>
          <w:color w:val="auto"/>
          <w:sz w:val="24"/>
          <w:szCs w:val="24"/>
          <w:highlight w:val="none"/>
          <w:lang w:val="zh-CN"/>
        </w:rPr>
        <w:t>1供应商认为本采购文件条款使自己的权益受到损害的，应在知道或者应知权益受到损害之日起七个工作日内，以书面形式向招标代理机构提出质疑。招标代理机构应当在收到投标人书面质疑后七个工作日内作出答复。</w:t>
      </w:r>
    </w:p>
    <w:p w14:paraId="7E517BD2">
      <w:pPr>
        <w:spacing w:line="360" w:lineRule="auto"/>
        <w:rPr>
          <w:rFonts w:hint="eastAsia" w:hAnsi="宋体" w:cs="宋体"/>
          <w:bCs/>
          <w:color w:val="auto"/>
          <w:sz w:val="24"/>
          <w:szCs w:val="24"/>
          <w:highlight w:val="none"/>
        </w:rPr>
      </w:pPr>
      <w:r>
        <w:rPr>
          <w:rFonts w:hint="eastAsia" w:hAnsi="宋体" w:cs="宋体"/>
          <w:bCs/>
          <w:color w:val="auto"/>
          <w:sz w:val="24"/>
          <w:szCs w:val="24"/>
          <w:highlight w:val="none"/>
        </w:rPr>
        <w:t>10</w:t>
      </w:r>
      <w:r>
        <w:rPr>
          <w:rFonts w:hint="eastAsia" w:hAnsi="宋体" w:cs="宋体"/>
          <w:bCs/>
          <w:color w:val="auto"/>
          <w:sz w:val="24"/>
          <w:szCs w:val="24"/>
          <w:highlight w:val="none"/>
          <w:lang w:val="zh-CN"/>
        </w:rPr>
        <w:t>.2根据财政部94号令第十一条规定，提出质疑的供应商应当是参与所质疑项目采购活动的供应商。因此凡是对采购文件提出质疑的供应商，请将符合资格条件的证明材料及网上报名确认单与质疑函一起递交。</w:t>
      </w:r>
    </w:p>
    <w:p w14:paraId="4BCA6A00">
      <w:pPr>
        <w:spacing w:line="360" w:lineRule="auto"/>
        <w:rPr>
          <w:rFonts w:hint="eastAsia" w:hAnsi="宋体" w:cs="宋体"/>
          <w:bCs/>
          <w:color w:val="auto"/>
          <w:sz w:val="24"/>
          <w:szCs w:val="24"/>
          <w:highlight w:val="none"/>
        </w:rPr>
      </w:pPr>
      <w:r>
        <w:rPr>
          <w:rFonts w:hint="eastAsia" w:hAnsi="宋体" w:cs="宋体"/>
          <w:bCs/>
          <w:color w:val="auto"/>
          <w:sz w:val="24"/>
          <w:szCs w:val="24"/>
          <w:highlight w:val="none"/>
        </w:rPr>
        <w:t>10</w:t>
      </w:r>
      <w:r>
        <w:rPr>
          <w:rFonts w:hint="eastAsia" w:hAnsi="宋体" w:cs="宋体"/>
          <w:bCs/>
          <w:color w:val="auto"/>
          <w:sz w:val="24"/>
          <w:szCs w:val="24"/>
          <w:highlight w:val="none"/>
          <w:lang w:val="zh-CN"/>
        </w:rPr>
        <w:t>.3未依照采购公告要求实行网上报名的供应商，视为未参加该项政府采购活动，不具备对该项目提出质疑的法定权利。但因供应商资格条件或报名时间设定不符合有关法律法规规定等原因使供应商权益受损的除外。</w:t>
      </w:r>
    </w:p>
    <w:p w14:paraId="25C2B106">
      <w:pPr>
        <w:spacing w:line="360" w:lineRule="auto"/>
        <w:rPr>
          <w:rFonts w:hint="eastAsia" w:hAnsi="宋体" w:cs="宋体"/>
          <w:bCs/>
          <w:color w:val="auto"/>
          <w:sz w:val="24"/>
          <w:szCs w:val="24"/>
          <w:highlight w:val="none"/>
        </w:rPr>
      </w:pPr>
      <w:r>
        <w:rPr>
          <w:rFonts w:hint="eastAsia" w:hAnsi="宋体" w:cs="宋体"/>
          <w:bCs/>
          <w:color w:val="auto"/>
          <w:sz w:val="24"/>
          <w:szCs w:val="24"/>
          <w:highlight w:val="none"/>
        </w:rPr>
        <w:t>10</w:t>
      </w:r>
      <w:r>
        <w:rPr>
          <w:rFonts w:hint="eastAsia" w:hAnsi="宋体" w:cs="宋体"/>
          <w:bCs/>
          <w:color w:val="auto"/>
          <w:sz w:val="24"/>
          <w:szCs w:val="24"/>
          <w:highlight w:val="none"/>
          <w:lang w:val="zh-CN"/>
        </w:rPr>
        <w:t>.4供应商如对本项目提出质疑须在法定质疑期内一次性提出针对同一采购程序环节的质疑。</w:t>
      </w:r>
    </w:p>
    <w:p w14:paraId="20E765FC">
      <w:pPr>
        <w:spacing w:line="360" w:lineRule="auto"/>
        <w:rPr>
          <w:rFonts w:hint="eastAsia" w:hAnsi="宋体" w:cs="宋体"/>
          <w:bCs/>
          <w:color w:val="auto"/>
          <w:sz w:val="24"/>
          <w:szCs w:val="24"/>
          <w:highlight w:val="none"/>
        </w:rPr>
      </w:pPr>
      <w:r>
        <w:rPr>
          <w:rFonts w:hint="eastAsia" w:hAnsi="宋体" w:cs="宋体"/>
          <w:bCs/>
          <w:color w:val="auto"/>
          <w:sz w:val="24"/>
          <w:szCs w:val="24"/>
          <w:highlight w:val="none"/>
        </w:rPr>
        <w:t>10</w:t>
      </w:r>
      <w:r>
        <w:rPr>
          <w:rFonts w:hint="eastAsia" w:hAnsi="宋体" w:cs="宋体"/>
          <w:bCs/>
          <w:color w:val="auto"/>
          <w:sz w:val="24"/>
          <w:szCs w:val="24"/>
          <w:highlight w:val="none"/>
          <w:lang w:val="zh-CN"/>
        </w:rPr>
        <w:t>.5接受质疑函的方式：当场送达或邮寄方式。</w:t>
      </w:r>
    </w:p>
    <w:p w14:paraId="41A56C53">
      <w:pPr>
        <w:spacing w:line="360" w:lineRule="auto"/>
        <w:rPr>
          <w:rFonts w:hint="eastAsia" w:hAnsi="宋体" w:eastAsia="宋体" w:cs="宋体"/>
          <w:bCs/>
          <w:color w:val="auto"/>
          <w:sz w:val="24"/>
          <w:szCs w:val="24"/>
          <w:highlight w:val="none"/>
        </w:rPr>
      </w:pPr>
      <w:r>
        <w:rPr>
          <w:rFonts w:hint="eastAsia" w:hAnsi="宋体" w:cs="宋体"/>
          <w:bCs/>
          <w:color w:val="auto"/>
          <w:sz w:val="24"/>
          <w:szCs w:val="24"/>
          <w:highlight w:val="none"/>
        </w:rPr>
        <w:t>10</w:t>
      </w:r>
      <w:r>
        <w:rPr>
          <w:rFonts w:hint="eastAsia" w:hAnsi="宋体" w:cs="宋体"/>
          <w:bCs/>
          <w:color w:val="auto"/>
          <w:sz w:val="24"/>
          <w:szCs w:val="24"/>
          <w:highlight w:val="none"/>
          <w:lang w:val="zh-CN"/>
        </w:rPr>
        <w:t>.6联系单位：</w:t>
      </w:r>
      <w:r>
        <w:rPr>
          <w:rFonts w:hint="eastAsia" w:hAnsi="宋体" w:cs="宋体"/>
          <w:color w:val="auto"/>
          <w:sz w:val="24"/>
          <w:szCs w:val="24"/>
          <w:highlight w:val="none"/>
          <w:lang w:eastAsia="zh-CN"/>
        </w:rPr>
        <w:t>苏州骏捷建设管理咨询有限公司</w:t>
      </w:r>
    </w:p>
    <w:p w14:paraId="5A9C5470">
      <w:pPr>
        <w:spacing w:line="360" w:lineRule="auto"/>
        <w:rPr>
          <w:rFonts w:hint="eastAsia" w:hAnsi="宋体" w:cs="宋体"/>
          <w:bCs/>
          <w:color w:val="auto"/>
          <w:sz w:val="24"/>
          <w:szCs w:val="24"/>
          <w:highlight w:val="none"/>
        </w:rPr>
      </w:pPr>
      <w:r>
        <w:rPr>
          <w:rFonts w:hint="eastAsia" w:hAnsi="宋体" w:cs="宋体"/>
          <w:bCs/>
          <w:color w:val="auto"/>
          <w:sz w:val="24"/>
          <w:szCs w:val="24"/>
          <w:highlight w:val="none"/>
        </w:rPr>
        <w:t>10</w:t>
      </w:r>
      <w:r>
        <w:rPr>
          <w:rFonts w:hint="eastAsia" w:hAnsi="宋体" w:cs="宋体"/>
          <w:bCs/>
          <w:color w:val="auto"/>
          <w:sz w:val="24"/>
          <w:szCs w:val="24"/>
          <w:highlight w:val="none"/>
          <w:lang w:val="zh-CN"/>
        </w:rPr>
        <w:t>.7收件人：</w:t>
      </w:r>
      <w:r>
        <w:rPr>
          <w:rFonts w:hint="eastAsia" w:hAnsi="宋体" w:cs="宋体"/>
          <w:color w:val="auto"/>
          <w:sz w:val="24"/>
          <w:szCs w:val="24"/>
          <w:highlight w:val="none"/>
          <w:lang w:eastAsia="zh-CN"/>
        </w:rPr>
        <w:t>杨喻婷、杨易</w:t>
      </w:r>
    </w:p>
    <w:p w14:paraId="2CE446D8">
      <w:pPr>
        <w:spacing w:line="360" w:lineRule="auto"/>
        <w:rPr>
          <w:rFonts w:hint="eastAsia" w:hAnsi="宋体" w:eastAsia="宋体" w:cs="宋体"/>
          <w:bCs/>
          <w:color w:val="auto"/>
          <w:sz w:val="24"/>
          <w:szCs w:val="24"/>
          <w:highlight w:val="none"/>
        </w:rPr>
      </w:pPr>
      <w:r>
        <w:rPr>
          <w:rFonts w:hint="eastAsia" w:hAnsi="宋体" w:cs="宋体"/>
          <w:bCs/>
          <w:color w:val="auto"/>
          <w:sz w:val="24"/>
          <w:szCs w:val="24"/>
          <w:highlight w:val="none"/>
        </w:rPr>
        <w:t>10</w:t>
      </w:r>
      <w:r>
        <w:rPr>
          <w:rFonts w:hint="eastAsia" w:hAnsi="宋体" w:cs="宋体"/>
          <w:bCs/>
          <w:color w:val="auto"/>
          <w:sz w:val="24"/>
          <w:szCs w:val="24"/>
          <w:highlight w:val="none"/>
          <w:lang w:val="zh-CN"/>
        </w:rPr>
        <w:t>.8联系电话：</w:t>
      </w:r>
      <w:r>
        <w:rPr>
          <w:rFonts w:hint="eastAsia" w:hAnsi="宋体" w:cs="宋体"/>
          <w:color w:val="auto"/>
          <w:sz w:val="24"/>
          <w:szCs w:val="24"/>
          <w:highlight w:val="none"/>
          <w:lang w:eastAsia="zh-CN"/>
        </w:rPr>
        <w:t>0512-65954780</w:t>
      </w:r>
    </w:p>
    <w:p w14:paraId="12C2BE0A">
      <w:pPr>
        <w:rPr>
          <w:rFonts w:hint="eastAsia" w:hAnsi="宋体" w:eastAsia="宋体" w:cs="宋体"/>
          <w:color w:val="auto"/>
          <w:szCs w:val="24"/>
          <w:highlight w:val="none"/>
        </w:rPr>
      </w:pPr>
      <w:r>
        <w:rPr>
          <w:rFonts w:hint="eastAsia" w:hAnsi="宋体" w:cs="宋体"/>
          <w:bCs/>
          <w:color w:val="auto"/>
          <w:sz w:val="24"/>
          <w:szCs w:val="24"/>
          <w:highlight w:val="none"/>
        </w:rPr>
        <w:t>10</w:t>
      </w:r>
      <w:r>
        <w:rPr>
          <w:rFonts w:hint="eastAsia" w:hAnsi="宋体" w:cs="宋体"/>
          <w:bCs/>
          <w:color w:val="auto"/>
          <w:sz w:val="24"/>
          <w:szCs w:val="24"/>
          <w:highlight w:val="none"/>
          <w:lang w:val="zh-CN"/>
        </w:rPr>
        <w:t>.9通讯地址：</w:t>
      </w:r>
      <w:r>
        <w:rPr>
          <w:rFonts w:hint="eastAsia" w:hAnsi="宋体" w:cs="宋体"/>
          <w:color w:val="auto"/>
          <w:sz w:val="24"/>
          <w:szCs w:val="24"/>
          <w:highlight w:val="none"/>
          <w:lang w:eastAsia="zh-CN"/>
        </w:rPr>
        <w:t>苏州市姑苏区金门路1299号2号楼518</w:t>
      </w:r>
    </w:p>
    <w:p w14:paraId="209CC365">
      <w:pPr>
        <w:spacing w:line="360" w:lineRule="auto"/>
        <w:outlineLvl w:val="0"/>
        <w:rPr>
          <w:rFonts w:hAnsi="宋体" w:cs="宋体"/>
          <w:b/>
          <w:color w:val="auto"/>
          <w:sz w:val="24"/>
          <w:szCs w:val="24"/>
          <w:highlight w:val="none"/>
        </w:rPr>
      </w:pPr>
      <w:r>
        <w:rPr>
          <w:rFonts w:hint="eastAsia" w:hAnsi="宋体" w:cs="宋体"/>
          <w:b/>
          <w:color w:val="auto"/>
          <w:sz w:val="24"/>
          <w:szCs w:val="24"/>
          <w:highlight w:val="none"/>
        </w:rPr>
        <w:t>四、投标文件说明</w:t>
      </w:r>
    </w:p>
    <w:p w14:paraId="00C805BC">
      <w:pPr>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投标文件计量单位和使用文字</w:t>
      </w:r>
    </w:p>
    <w:p w14:paraId="46ADB4C5">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11.1 投标文件中所使用的计量单位，除招标文件中有特殊要求外，应采用国家法定计量单位。</w:t>
      </w:r>
    </w:p>
    <w:p w14:paraId="56CFC968">
      <w:pPr>
        <w:spacing w:line="360" w:lineRule="auto"/>
        <w:rPr>
          <w:rFonts w:hAnsi="宋体" w:cs="宋体"/>
          <w:color w:val="auto"/>
          <w:sz w:val="24"/>
          <w:szCs w:val="24"/>
          <w:highlight w:val="none"/>
        </w:rPr>
      </w:pPr>
      <w:r>
        <w:rPr>
          <w:rFonts w:hint="eastAsia" w:hAnsi="宋体" w:cs="宋体"/>
          <w:color w:val="auto"/>
          <w:sz w:val="24"/>
          <w:szCs w:val="24"/>
          <w:highlight w:val="none"/>
        </w:rPr>
        <w:t>11.2 投标文件应使用中文编制，投标文件中必须使用其他文字的，必须附有中文译本。对于未附有中文译本和中文译本不准确的投标文件，由此引起的对投标单位不利后果的，采购代理机构概不负责。</w:t>
      </w:r>
    </w:p>
    <w:p w14:paraId="2F0ACDE4">
      <w:pPr>
        <w:spacing w:line="360" w:lineRule="auto"/>
        <w:rPr>
          <w:rFonts w:hAnsi="宋体" w:cs="宋体"/>
          <w:b/>
          <w:color w:val="auto"/>
          <w:sz w:val="24"/>
          <w:szCs w:val="24"/>
          <w:highlight w:val="none"/>
        </w:rPr>
      </w:pPr>
      <w:r>
        <w:rPr>
          <w:rFonts w:hint="eastAsia" w:hAnsi="宋体" w:cs="宋体"/>
          <w:b/>
          <w:color w:val="auto"/>
          <w:sz w:val="24"/>
          <w:szCs w:val="24"/>
          <w:highlight w:val="none"/>
        </w:rPr>
        <w:t>12. 投标文件的组成和顺序</w:t>
      </w:r>
    </w:p>
    <w:p w14:paraId="77328704">
      <w:pPr>
        <w:spacing w:line="360" w:lineRule="auto"/>
        <w:rPr>
          <w:rFonts w:hAnsi="宋体" w:cs="宋体"/>
          <w:color w:val="auto"/>
          <w:sz w:val="24"/>
          <w:szCs w:val="24"/>
          <w:highlight w:val="none"/>
        </w:rPr>
      </w:pPr>
      <w:r>
        <w:rPr>
          <w:rFonts w:hint="eastAsia" w:hAnsi="宋体" w:cs="宋体"/>
          <w:color w:val="auto"/>
          <w:sz w:val="24"/>
          <w:szCs w:val="24"/>
          <w:highlight w:val="none"/>
        </w:rPr>
        <w:t>12.1 投标书一（报价）：</w:t>
      </w:r>
    </w:p>
    <w:p w14:paraId="20AEDC17">
      <w:pPr>
        <w:spacing w:line="360" w:lineRule="auto"/>
        <w:rPr>
          <w:rFonts w:hAnsi="宋体" w:cs="宋体"/>
          <w:color w:val="auto"/>
          <w:sz w:val="24"/>
          <w:szCs w:val="24"/>
          <w:highlight w:val="none"/>
        </w:rPr>
      </w:pPr>
      <w:r>
        <w:rPr>
          <w:rFonts w:hint="eastAsia" w:hAnsi="宋体" w:cs="宋体"/>
          <w:color w:val="auto"/>
          <w:sz w:val="24"/>
          <w:szCs w:val="24"/>
          <w:highlight w:val="none"/>
        </w:rPr>
        <w:t>12.1.1 法定代表人授权委托书；</w:t>
      </w:r>
    </w:p>
    <w:p w14:paraId="3709398B">
      <w:pPr>
        <w:spacing w:line="360" w:lineRule="auto"/>
        <w:rPr>
          <w:rFonts w:hAnsi="宋体" w:cs="宋体"/>
          <w:color w:val="auto"/>
          <w:sz w:val="24"/>
          <w:szCs w:val="24"/>
          <w:highlight w:val="none"/>
        </w:rPr>
      </w:pPr>
      <w:r>
        <w:rPr>
          <w:rFonts w:hint="eastAsia" w:hAnsi="宋体" w:cs="宋体"/>
          <w:color w:val="auto"/>
          <w:sz w:val="24"/>
          <w:szCs w:val="24"/>
          <w:highlight w:val="none"/>
        </w:rPr>
        <w:t>12.1.2 投标函；</w:t>
      </w:r>
    </w:p>
    <w:p w14:paraId="370A92B2">
      <w:pPr>
        <w:spacing w:line="360" w:lineRule="auto"/>
        <w:rPr>
          <w:rFonts w:hAnsi="宋体" w:cs="宋体"/>
          <w:color w:val="auto"/>
          <w:sz w:val="24"/>
          <w:szCs w:val="24"/>
          <w:highlight w:val="none"/>
        </w:rPr>
      </w:pPr>
      <w:r>
        <w:rPr>
          <w:rFonts w:hint="eastAsia" w:hAnsi="宋体" w:cs="宋体"/>
          <w:color w:val="auto"/>
          <w:sz w:val="24"/>
          <w:szCs w:val="24"/>
          <w:highlight w:val="none"/>
        </w:rPr>
        <w:t>12.1.3 关于资格声明函（见格式）；</w:t>
      </w:r>
    </w:p>
    <w:p w14:paraId="11C6F1C3">
      <w:pPr>
        <w:spacing w:line="360" w:lineRule="auto"/>
        <w:rPr>
          <w:rFonts w:hAnsi="宋体" w:cs="宋体"/>
          <w:color w:val="auto"/>
          <w:sz w:val="24"/>
          <w:szCs w:val="24"/>
          <w:highlight w:val="none"/>
        </w:rPr>
      </w:pPr>
      <w:r>
        <w:rPr>
          <w:rFonts w:hint="eastAsia" w:hAnsi="宋体" w:cs="宋体"/>
          <w:color w:val="auto"/>
          <w:sz w:val="24"/>
          <w:szCs w:val="24"/>
          <w:highlight w:val="none"/>
        </w:rPr>
        <w:t>12.1.4投标人营业执照副本复印件；</w:t>
      </w:r>
    </w:p>
    <w:p w14:paraId="6AA39407">
      <w:pPr>
        <w:spacing w:line="360" w:lineRule="auto"/>
        <w:rPr>
          <w:rFonts w:hAnsi="宋体" w:cs="宋体"/>
          <w:color w:val="auto"/>
          <w:sz w:val="24"/>
          <w:szCs w:val="24"/>
          <w:highlight w:val="none"/>
        </w:rPr>
      </w:pPr>
      <w:r>
        <w:rPr>
          <w:rFonts w:hint="eastAsia" w:hAnsi="宋体" w:cs="宋体"/>
          <w:color w:val="auto"/>
          <w:sz w:val="24"/>
          <w:szCs w:val="24"/>
          <w:highlight w:val="none"/>
        </w:rPr>
        <w:t>12.1.5投标人法定代表人身份证明；</w:t>
      </w:r>
    </w:p>
    <w:p w14:paraId="42AA2E7E">
      <w:pPr>
        <w:spacing w:line="360" w:lineRule="auto"/>
        <w:rPr>
          <w:rFonts w:hAnsi="宋体" w:cs="宋体"/>
          <w:color w:val="auto"/>
          <w:sz w:val="24"/>
          <w:szCs w:val="24"/>
          <w:highlight w:val="none"/>
        </w:rPr>
      </w:pPr>
      <w:r>
        <w:rPr>
          <w:rFonts w:hint="eastAsia" w:hAnsi="宋体" w:cs="宋体"/>
          <w:color w:val="auto"/>
          <w:sz w:val="24"/>
          <w:szCs w:val="24"/>
          <w:highlight w:val="none"/>
        </w:rPr>
        <w:t>12.1.6投标人被授权人身份证明；</w:t>
      </w:r>
    </w:p>
    <w:p w14:paraId="262AF383">
      <w:pPr>
        <w:spacing w:line="360" w:lineRule="auto"/>
        <w:rPr>
          <w:rFonts w:hAnsi="宋体" w:cs="宋体"/>
          <w:color w:val="auto"/>
          <w:sz w:val="24"/>
          <w:szCs w:val="24"/>
          <w:highlight w:val="none"/>
        </w:rPr>
      </w:pPr>
      <w:r>
        <w:rPr>
          <w:rFonts w:hint="eastAsia" w:hAnsi="宋体" w:cs="宋体"/>
          <w:color w:val="auto"/>
          <w:sz w:val="24"/>
          <w:szCs w:val="24"/>
          <w:highlight w:val="none"/>
        </w:rPr>
        <w:t>12.1.7开标一览表(统一格式，用于唱标)；</w:t>
      </w:r>
    </w:p>
    <w:p w14:paraId="228231B9">
      <w:pPr>
        <w:spacing w:line="360" w:lineRule="auto"/>
        <w:rPr>
          <w:rFonts w:hAnsi="宋体" w:cs="宋体"/>
          <w:color w:val="auto"/>
          <w:sz w:val="24"/>
          <w:szCs w:val="24"/>
          <w:highlight w:val="none"/>
        </w:rPr>
      </w:pPr>
      <w:r>
        <w:rPr>
          <w:rFonts w:hint="eastAsia" w:hAnsi="宋体" w:cs="宋体"/>
          <w:color w:val="auto"/>
          <w:sz w:val="24"/>
          <w:szCs w:val="24"/>
          <w:highlight w:val="none"/>
        </w:rPr>
        <w:t>12.1.8投标报价表；</w:t>
      </w:r>
    </w:p>
    <w:p w14:paraId="12028EB6">
      <w:pPr>
        <w:spacing w:line="360" w:lineRule="auto"/>
        <w:rPr>
          <w:rFonts w:hAnsi="宋体" w:cs="宋体"/>
          <w:color w:val="auto"/>
          <w:sz w:val="24"/>
          <w:szCs w:val="24"/>
          <w:highlight w:val="none"/>
        </w:rPr>
      </w:pPr>
      <w:r>
        <w:rPr>
          <w:rFonts w:hint="eastAsia" w:hAnsi="宋体" w:cs="宋体"/>
          <w:color w:val="auto"/>
          <w:sz w:val="24"/>
          <w:szCs w:val="24"/>
          <w:highlight w:val="none"/>
        </w:rPr>
        <w:t>12.1.9投标单位为中小型企业，须提供中小型企业证明文件；</w:t>
      </w:r>
    </w:p>
    <w:p w14:paraId="2E318F27">
      <w:pPr>
        <w:spacing w:line="360" w:lineRule="auto"/>
        <w:rPr>
          <w:rFonts w:hAnsi="宋体" w:cs="宋体"/>
          <w:color w:val="auto"/>
          <w:sz w:val="24"/>
          <w:szCs w:val="24"/>
          <w:highlight w:val="none"/>
        </w:rPr>
      </w:pPr>
      <w:r>
        <w:rPr>
          <w:rFonts w:hint="eastAsia" w:hAnsi="宋体" w:cs="宋体"/>
          <w:color w:val="auto"/>
          <w:sz w:val="24"/>
          <w:szCs w:val="24"/>
          <w:highlight w:val="none"/>
        </w:rPr>
        <w:t>12.1.10 参加政府采购活动前三年内，在经营活动中没有重大违法记录；</w:t>
      </w:r>
    </w:p>
    <w:p w14:paraId="288E0A57">
      <w:pPr>
        <w:spacing w:line="360" w:lineRule="auto"/>
        <w:rPr>
          <w:rFonts w:hAnsi="宋体" w:cs="宋体"/>
          <w:color w:val="auto"/>
          <w:sz w:val="24"/>
          <w:szCs w:val="24"/>
          <w:highlight w:val="none"/>
        </w:rPr>
      </w:pPr>
      <w:r>
        <w:rPr>
          <w:rFonts w:hint="eastAsia" w:hAnsi="宋体" w:cs="宋体"/>
          <w:color w:val="auto"/>
          <w:sz w:val="24"/>
          <w:szCs w:val="24"/>
          <w:highlight w:val="none"/>
        </w:rPr>
        <w:t>12.2 投标书二（资格、技术及相关文件部分）：</w:t>
      </w:r>
    </w:p>
    <w:p w14:paraId="3DCCF808">
      <w:pPr>
        <w:spacing w:line="360" w:lineRule="auto"/>
        <w:rPr>
          <w:rFonts w:hAnsi="宋体" w:cs="宋体"/>
          <w:color w:val="auto"/>
          <w:sz w:val="24"/>
          <w:szCs w:val="24"/>
          <w:highlight w:val="none"/>
        </w:rPr>
      </w:pPr>
      <w:r>
        <w:rPr>
          <w:rFonts w:hint="eastAsia" w:hAnsi="宋体" w:cs="宋体"/>
          <w:color w:val="auto"/>
          <w:sz w:val="24"/>
          <w:szCs w:val="24"/>
          <w:highlight w:val="none"/>
        </w:rPr>
        <w:t>12.2.1 关于资格声明函（见格式）；</w:t>
      </w:r>
    </w:p>
    <w:p w14:paraId="1748FAD6">
      <w:pPr>
        <w:spacing w:line="360" w:lineRule="auto"/>
        <w:rPr>
          <w:rFonts w:hAnsi="宋体" w:cs="宋体"/>
          <w:color w:val="auto"/>
          <w:sz w:val="24"/>
          <w:szCs w:val="24"/>
          <w:highlight w:val="none"/>
        </w:rPr>
      </w:pPr>
      <w:r>
        <w:rPr>
          <w:rFonts w:hint="eastAsia" w:hAnsi="宋体" w:cs="宋体"/>
          <w:color w:val="auto"/>
          <w:sz w:val="24"/>
          <w:szCs w:val="24"/>
          <w:highlight w:val="none"/>
        </w:rPr>
        <w:t>12.2.2 投标人营业执照副本复印件；</w:t>
      </w:r>
    </w:p>
    <w:p w14:paraId="412545E8">
      <w:pPr>
        <w:spacing w:line="360" w:lineRule="auto"/>
        <w:rPr>
          <w:rFonts w:hAnsi="宋体" w:cs="宋体"/>
          <w:color w:val="auto"/>
          <w:sz w:val="24"/>
          <w:szCs w:val="24"/>
          <w:highlight w:val="none"/>
        </w:rPr>
      </w:pPr>
      <w:r>
        <w:rPr>
          <w:rFonts w:hint="eastAsia" w:hAnsi="宋体" w:cs="宋体"/>
          <w:color w:val="auto"/>
          <w:sz w:val="24"/>
          <w:szCs w:val="24"/>
          <w:highlight w:val="none"/>
        </w:rPr>
        <w:t>12.2.3 投标人法定代表人身份证明；</w:t>
      </w:r>
    </w:p>
    <w:p w14:paraId="7D704510">
      <w:pPr>
        <w:spacing w:line="360" w:lineRule="auto"/>
        <w:rPr>
          <w:rFonts w:hAnsi="宋体" w:cs="宋体"/>
          <w:color w:val="auto"/>
          <w:sz w:val="24"/>
          <w:highlight w:val="none"/>
        </w:rPr>
      </w:pPr>
      <w:r>
        <w:rPr>
          <w:rFonts w:hint="eastAsia" w:hAnsi="宋体" w:cs="宋体"/>
          <w:color w:val="auto"/>
          <w:sz w:val="24"/>
          <w:highlight w:val="none"/>
        </w:rPr>
        <w:t>12.2.4投标人被授权人身份证明；</w:t>
      </w:r>
    </w:p>
    <w:p w14:paraId="510C6D7D">
      <w:pPr>
        <w:spacing w:line="360" w:lineRule="auto"/>
        <w:rPr>
          <w:rFonts w:hAnsi="宋体" w:cs="宋体"/>
          <w:color w:val="auto"/>
          <w:sz w:val="24"/>
          <w:highlight w:val="none"/>
        </w:rPr>
      </w:pPr>
      <w:r>
        <w:rPr>
          <w:rFonts w:hint="eastAsia" w:hAnsi="宋体" w:cs="宋体"/>
          <w:color w:val="auto"/>
          <w:sz w:val="24"/>
          <w:highlight w:val="none"/>
        </w:rPr>
        <w:t>12.2.5具有良好的商业信誉和健全的财务会计制度证明。包括但不限于最近一期经审计的财务报告。（包括但不限于最近一期经审计过的财务报告或其他组织、自然人及成立未满一年的法人应提供银行出具的资信证明。）</w:t>
      </w:r>
    </w:p>
    <w:p w14:paraId="176D54A4">
      <w:pPr>
        <w:spacing w:line="360" w:lineRule="auto"/>
        <w:rPr>
          <w:rFonts w:hAnsi="宋体" w:cs="宋体"/>
          <w:color w:val="auto"/>
          <w:sz w:val="24"/>
          <w:highlight w:val="none"/>
        </w:rPr>
      </w:pPr>
      <w:r>
        <w:rPr>
          <w:rFonts w:hint="eastAsia" w:hAnsi="宋体" w:cs="宋体"/>
          <w:color w:val="auto"/>
          <w:sz w:val="24"/>
          <w:highlight w:val="none"/>
        </w:rPr>
        <w:t>12.2.6履行合同所必备的设备和专业技术能力的证明材料。（完成本项目所使用的设备的购置合同或发票、本项目服务人员情况介绍和用工合同等证明材料）；</w:t>
      </w:r>
    </w:p>
    <w:p w14:paraId="2A1491E6">
      <w:pPr>
        <w:spacing w:line="360" w:lineRule="auto"/>
        <w:rPr>
          <w:rFonts w:hAnsi="宋体" w:cs="宋体"/>
          <w:color w:val="auto"/>
          <w:sz w:val="24"/>
          <w:highlight w:val="none"/>
        </w:rPr>
      </w:pPr>
      <w:r>
        <w:rPr>
          <w:rFonts w:hint="eastAsia" w:hAnsi="宋体" w:cs="宋体"/>
          <w:color w:val="auto"/>
          <w:sz w:val="24"/>
          <w:highlight w:val="none"/>
        </w:rPr>
        <w:t>12.2.7有依法缴纳税收和社会保障资金的良好记录。如税务登记证（如有）和提供参加采购活动前近一个月的缴纳增值税或企业所得税的凭据，社会保险登记证（如有）和参加采购活动前近一个月缴纳的社会保险的凭据（专用收据或社会保险缴纳清单）；</w:t>
      </w:r>
    </w:p>
    <w:p w14:paraId="567AC94F">
      <w:pPr>
        <w:spacing w:line="360" w:lineRule="auto"/>
        <w:rPr>
          <w:rFonts w:hint="eastAsia" w:hAnsi="宋体" w:cs="宋体"/>
          <w:color w:val="auto"/>
          <w:sz w:val="24"/>
          <w:highlight w:val="none"/>
        </w:rPr>
      </w:pPr>
      <w:r>
        <w:rPr>
          <w:rFonts w:hint="eastAsia" w:hAnsi="宋体" w:cs="宋体"/>
          <w:color w:val="auto"/>
          <w:sz w:val="24"/>
          <w:szCs w:val="22"/>
          <w:highlight w:val="none"/>
        </w:rPr>
        <w:t>12.2.8 参加本次招投标活动前三年内，在经营活动中没有重大违法记录；</w:t>
      </w:r>
    </w:p>
    <w:p w14:paraId="2DFBF119">
      <w:pPr>
        <w:spacing w:line="360" w:lineRule="auto"/>
        <w:rPr>
          <w:rFonts w:hint="eastAsia" w:hAnsi="宋体" w:eastAsia="宋体" w:cs="宋体"/>
          <w:color w:val="auto"/>
          <w:sz w:val="24"/>
          <w:szCs w:val="24"/>
          <w:highlight w:val="none"/>
        </w:rPr>
      </w:pPr>
      <w:r>
        <w:rPr>
          <w:rFonts w:hint="eastAsia" w:hAnsi="宋体" w:cs="宋体"/>
          <w:color w:val="auto"/>
          <w:sz w:val="24"/>
          <w:szCs w:val="24"/>
          <w:highlight w:val="none"/>
        </w:rPr>
        <w:t>12.2.9中小企业声明函</w:t>
      </w:r>
      <w:r>
        <w:rPr>
          <w:rFonts w:hint="eastAsia" w:hAnsi="宋体" w:cs="宋体"/>
          <w:color w:val="auto"/>
          <w:sz w:val="24"/>
          <w:szCs w:val="24"/>
          <w:highlight w:val="none"/>
          <w:lang w:eastAsia="zh-CN"/>
        </w:rPr>
        <w:t>；</w:t>
      </w:r>
    </w:p>
    <w:p w14:paraId="7AB7EF72">
      <w:pPr>
        <w:spacing w:line="360" w:lineRule="auto"/>
        <w:rPr>
          <w:rFonts w:hint="eastAsia" w:hAnsi="宋体" w:cs="宋体"/>
          <w:color w:val="auto"/>
          <w:sz w:val="24"/>
          <w:szCs w:val="24"/>
          <w:highlight w:val="none"/>
        </w:rPr>
      </w:pPr>
      <w:r>
        <w:rPr>
          <w:rFonts w:hint="eastAsia" w:hAnsi="宋体" w:cs="宋体"/>
          <w:color w:val="auto"/>
          <w:sz w:val="24"/>
          <w:szCs w:val="24"/>
          <w:highlight w:val="none"/>
        </w:rPr>
        <w:t>12.2.10</w:t>
      </w:r>
      <w:r>
        <w:rPr>
          <w:rFonts w:hint="eastAsia" w:hAnsi="宋体" w:cs="宋体"/>
          <w:color w:val="auto"/>
          <w:sz w:val="24"/>
          <w:szCs w:val="24"/>
          <w:highlight w:val="none"/>
          <w:lang w:val="zh-CN"/>
        </w:rPr>
        <w:t>残疾人福利性单位声明函（如</w:t>
      </w:r>
      <w:r>
        <w:rPr>
          <w:rFonts w:hint="eastAsia" w:hAnsi="宋体" w:cs="宋体"/>
          <w:color w:val="auto"/>
          <w:sz w:val="24"/>
          <w:szCs w:val="24"/>
          <w:highlight w:val="none"/>
        </w:rPr>
        <w:t>有</w:t>
      </w:r>
      <w:r>
        <w:rPr>
          <w:rFonts w:hint="eastAsia" w:hAnsi="宋体" w:cs="宋体"/>
          <w:color w:val="auto"/>
          <w:sz w:val="24"/>
          <w:szCs w:val="24"/>
          <w:highlight w:val="none"/>
          <w:lang w:val="zh-CN"/>
        </w:rPr>
        <w:t>）；未提供视为非残疾人福利性单位，不视同小微企业，不享受残疾人福利性单位政策；</w:t>
      </w:r>
    </w:p>
    <w:p w14:paraId="5D08016B">
      <w:pPr>
        <w:spacing w:line="360" w:lineRule="auto"/>
        <w:rPr>
          <w:rFonts w:hAnsi="宋体" w:cs="宋体"/>
          <w:color w:val="auto"/>
          <w:sz w:val="24"/>
          <w:szCs w:val="24"/>
          <w:highlight w:val="none"/>
        </w:rPr>
      </w:pPr>
      <w:r>
        <w:rPr>
          <w:rFonts w:hint="eastAsia" w:hAnsi="宋体" w:cs="宋体"/>
          <w:color w:val="auto"/>
          <w:sz w:val="24"/>
          <w:szCs w:val="24"/>
          <w:highlight w:val="none"/>
        </w:rPr>
        <w:t>12.2.11监狱企业证明材料（如有）；由省级以上监狱管理局、戒毒管理局（含新疆生产建设兵团）出具，未提供视为非监狱企业，不视同小微企业，不享受监狱企业政策；12.2.12采购代理机构在招标文件或补充文件中要求的证书、文件等资料；</w:t>
      </w:r>
    </w:p>
    <w:p w14:paraId="6D73DDFE">
      <w:pPr>
        <w:spacing w:line="360" w:lineRule="auto"/>
        <w:rPr>
          <w:rFonts w:hAnsi="宋体" w:cs="宋体"/>
          <w:color w:val="auto"/>
          <w:sz w:val="24"/>
          <w:szCs w:val="24"/>
          <w:highlight w:val="none"/>
        </w:rPr>
      </w:pPr>
      <w:r>
        <w:rPr>
          <w:rFonts w:hint="eastAsia" w:hAnsi="宋体" w:cs="宋体"/>
          <w:color w:val="auto"/>
          <w:sz w:val="24"/>
          <w:szCs w:val="24"/>
          <w:highlight w:val="none"/>
        </w:rPr>
        <w:t>12.3 投标文件组成要求</w:t>
      </w:r>
    </w:p>
    <w:p w14:paraId="4A7254CC">
      <w:pPr>
        <w:pStyle w:val="10"/>
        <w:spacing w:line="360" w:lineRule="auto"/>
        <w:ind w:left="1" w:firstLine="0"/>
        <w:rPr>
          <w:rFonts w:hAnsi="宋体" w:eastAsia="宋体" w:cs="宋体"/>
          <w:color w:val="auto"/>
          <w:szCs w:val="24"/>
          <w:highlight w:val="none"/>
        </w:rPr>
      </w:pPr>
      <w:r>
        <w:rPr>
          <w:rFonts w:hint="eastAsia" w:hAnsi="宋体" w:eastAsia="宋体" w:cs="宋体"/>
          <w:color w:val="auto"/>
          <w:szCs w:val="24"/>
          <w:highlight w:val="none"/>
        </w:rPr>
        <w:t>12.3.1投标人必须提交“12.1、12.2.1-12.2.</w:t>
      </w:r>
      <w:r>
        <w:rPr>
          <w:rFonts w:hint="eastAsia" w:hAnsi="宋体" w:eastAsia="宋体" w:cs="宋体"/>
          <w:color w:val="auto"/>
          <w:szCs w:val="24"/>
          <w:highlight w:val="none"/>
          <w:lang w:val="en-US" w:eastAsia="zh-CN"/>
        </w:rPr>
        <w:t>9</w:t>
      </w:r>
      <w:r>
        <w:rPr>
          <w:rFonts w:hint="eastAsia" w:hAnsi="宋体" w:eastAsia="宋体" w:cs="宋体"/>
          <w:color w:val="auto"/>
          <w:szCs w:val="24"/>
          <w:highlight w:val="none"/>
          <w:lang w:val="zh-CN"/>
        </w:rPr>
        <w:t>”</w:t>
      </w:r>
      <w:r>
        <w:rPr>
          <w:rFonts w:hint="eastAsia" w:hAnsi="宋体" w:eastAsia="宋体" w:cs="宋体"/>
          <w:color w:val="auto"/>
          <w:szCs w:val="24"/>
          <w:highlight w:val="none"/>
        </w:rPr>
        <w:t>的全部内容的资料，否则，投标文件将因未实质响应招标文件而被拒绝；</w:t>
      </w:r>
    </w:p>
    <w:p w14:paraId="2C1A6EDF">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12.3.2 投标人所提交的“12.2”其他内容的完整与否，将直接影响投标人的评分。</w:t>
      </w:r>
    </w:p>
    <w:p w14:paraId="1D760B8A">
      <w:pPr>
        <w:spacing w:line="360" w:lineRule="auto"/>
        <w:rPr>
          <w:rFonts w:hAnsi="宋体" w:cs="宋体"/>
          <w:b/>
          <w:color w:val="auto"/>
          <w:sz w:val="24"/>
          <w:szCs w:val="24"/>
          <w:highlight w:val="none"/>
        </w:rPr>
      </w:pPr>
      <w:r>
        <w:rPr>
          <w:rFonts w:hint="eastAsia" w:hAnsi="宋体" w:cs="宋体"/>
          <w:b/>
          <w:color w:val="auto"/>
          <w:sz w:val="24"/>
          <w:szCs w:val="24"/>
          <w:highlight w:val="none"/>
        </w:rPr>
        <w:t>13. 投标文件编制说明</w:t>
      </w:r>
    </w:p>
    <w:p w14:paraId="3BCEDEEE">
      <w:pPr>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13.1 本项目采用电子招投标形式，请供应商按照《苏采云系统供应商操作手册》进行制作、上传电子投标文件。制作电子投标文件时，应按照招标文件要求加盖投标人电子公章。 </w:t>
      </w:r>
    </w:p>
    <w:p w14:paraId="3A6C7831">
      <w:pPr>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13.2 </w:t>
      </w:r>
      <w:r>
        <w:rPr>
          <w:rFonts w:hint="eastAsia" w:hAnsi="宋体" w:cs="宋体"/>
          <w:color w:val="auto"/>
          <w:sz w:val="24"/>
          <w:szCs w:val="24"/>
          <w:highlight w:val="none"/>
          <w:lang w:val="zh-CN"/>
        </w:rPr>
        <w:t>《开标一览表》为唱标的内容，要求按格式填写，统一规范，不得自行增减内容。</w:t>
      </w:r>
    </w:p>
    <w:p w14:paraId="5DAE1B3A">
      <w:pPr>
        <w:spacing w:line="360" w:lineRule="auto"/>
        <w:rPr>
          <w:rFonts w:hAnsi="宋体" w:cs="宋体"/>
          <w:b/>
          <w:color w:val="auto"/>
          <w:sz w:val="24"/>
          <w:szCs w:val="24"/>
          <w:highlight w:val="none"/>
        </w:rPr>
      </w:pPr>
      <w:r>
        <w:rPr>
          <w:rFonts w:hint="eastAsia" w:hAnsi="宋体" w:cs="宋体"/>
          <w:b/>
          <w:color w:val="auto"/>
          <w:sz w:val="24"/>
          <w:szCs w:val="24"/>
          <w:highlight w:val="none"/>
        </w:rPr>
        <w:t>14. 对本次投标的详细说明的编制</w:t>
      </w:r>
    </w:p>
    <w:p w14:paraId="204964AA">
      <w:pPr>
        <w:spacing w:line="360" w:lineRule="auto"/>
        <w:rPr>
          <w:rFonts w:hAnsi="宋体" w:cs="宋体"/>
          <w:color w:val="auto"/>
          <w:sz w:val="24"/>
          <w:szCs w:val="24"/>
          <w:highlight w:val="none"/>
        </w:rPr>
      </w:pPr>
      <w:r>
        <w:rPr>
          <w:rFonts w:hint="eastAsia" w:hAnsi="宋体" w:cs="宋体"/>
          <w:color w:val="auto"/>
          <w:sz w:val="24"/>
          <w:szCs w:val="24"/>
          <w:highlight w:val="none"/>
        </w:rPr>
        <w:t>14.1 对本次投标的详细说明由投标单位视各自的情况自行编制。</w:t>
      </w:r>
    </w:p>
    <w:p w14:paraId="74900B03">
      <w:pPr>
        <w:spacing w:line="360" w:lineRule="auto"/>
        <w:rPr>
          <w:rFonts w:hAnsi="宋体" w:cs="宋体"/>
          <w:color w:val="auto"/>
          <w:sz w:val="24"/>
          <w:szCs w:val="24"/>
          <w:highlight w:val="none"/>
        </w:rPr>
      </w:pPr>
      <w:r>
        <w:rPr>
          <w:rFonts w:hint="eastAsia" w:hAnsi="宋体" w:cs="宋体"/>
          <w:color w:val="auto"/>
          <w:sz w:val="24"/>
          <w:szCs w:val="24"/>
          <w:highlight w:val="none"/>
        </w:rPr>
        <w:t>14.2 对本次投标的详细说明可以包含(但不限于)以下内容：</w:t>
      </w:r>
    </w:p>
    <w:p w14:paraId="70EE9141">
      <w:pPr>
        <w:spacing w:line="360" w:lineRule="auto"/>
        <w:rPr>
          <w:rFonts w:hAnsi="宋体" w:cs="宋体"/>
          <w:color w:val="auto"/>
          <w:sz w:val="24"/>
          <w:szCs w:val="24"/>
          <w:highlight w:val="none"/>
        </w:rPr>
      </w:pPr>
      <w:r>
        <w:rPr>
          <w:rFonts w:hint="eastAsia" w:hAnsi="宋体" w:cs="宋体"/>
          <w:color w:val="auto"/>
          <w:sz w:val="24"/>
          <w:szCs w:val="24"/>
          <w:highlight w:val="none"/>
        </w:rPr>
        <w:t>14.2.1投标单位提出的合理化建议或对招标文件的投标偏离说明（技术和商务）；</w:t>
      </w:r>
    </w:p>
    <w:p w14:paraId="46CFDFC0">
      <w:pPr>
        <w:spacing w:line="360" w:lineRule="auto"/>
        <w:rPr>
          <w:rFonts w:hAnsi="宋体" w:cs="宋体"/>
          <w:color w:val="auto"/>
          <w:sz w:val="24"/>
          <w:szCs w:val="24"/>
          <w:highlight w:val="none"/>
        </w:rPr>
      </w:pPr>
      <w:r>
        <w:rPr>
          <w:rFonts w:hint="eastAsia" w:hAnsi="宋体" w:cs="宋体"/>
          <w:b/>
          <w:color w:val="auto"/>
          <w:sz w:val="24"/>
          <w:szCs w:val="24"/>
          <w:highlight w:val="none"/>
        </w:rPr>
        <w:t>15. 投标报价</w:t>
      </w:r>
      <w:r>
        <w:rPr>
          <w:rFonts w:hint="eastAsia" w:hAnsi="宋体" w:cs="宋体"/>
          <w:color w:val="auto"/>
          <w:sz w:val="24"/>
          <w:szCs w:val="24"/>
          <w:highlight w:val="none"/>
        </w:rPr>
        <w:t>：</w:t>
      </w:r>
    </w:p>
    <w:p w14:paraId="37CBA1E8">
      <w:pPr>
        <w:pStyle w:val="10"/>
        <w:spacing w:line="360" w:lineRule="auto"/>
        <w:ind w:firstLine="0"/>
        <w:rPr>
          <w:rFonts w:hint="eastAsia" w:hAnsi="宋体" w:eastAsia="宋体"/>
          <w:color w:val="auto"/>
          <w:szCs w:val="24"/>
          <w:highlight w:val="none"/>
        </w:rPr>
      </w:pPr>
      <w:r>
        <w:rPr>
          <w:rFonts w:hint="eastAsia" w:hAnsi="宋体" w:eastAsia="宋体" w:cs="宋体"/>
          <w:color w:val="auto"/>
          <w:szCs w:val="24"/>
          <w:highlight w:val="none"/>
        </w:rPr>
        <w:t>15.1 除非合同中另有规定，投标单位对《投标报价表》中的全部货物和服务的报价应</w:t>
      </w:r>
      <w:r>
        <w:rPr>
          <w:rFonts w:hint="eastAsia" w:hAnsi="宋体" w:eastAsia="宋体"/>
          <w:color w:val="auto"/>
          <w:szCs w:val="24"/>
          <w:highlight w:val="none"/>
        </w:rPr>
        <w:t>包括</w:t>
      </w:r>
      <w:bookmarkStart w:id="35" w:name="_Hlk509995864"/>
      <w:r>
        <w:rPr>
          <w:rFonts w:hint="eastAsia" w:hAnsi="宋体" w:eastAsia="宋体"/>
          <w:color w:val="auto"/>
          <w:szCs w:val="24"/>
          <w:highlight w:val="none"/>
        </w:rPr>
        <w:t>但不限于</w:t>
      </w:r>
      <w:bookmarkEnd w:id="35"/>
      <w:r>
        <w:rPr>
          <w:rFonts w:hint="eastAsia" w:hAnsi="宋体" w:eastAsia="宋体"/>
          <w:color w:val="auto"/>
          <w:szCs w:val="24"/>
          <w:highlight w:val="none"/>
        </w:rPr>
        <w:t>完成本项工作所需的设备、人工（含人员保险费用）、协调费用、利润、税金、管理费、风险费、文件规定政策性费用等所有费用。除上述费用外，甲方不承担其他相关费用及因乙方人员辞退、工伤事故等发生的全部经济补偿金和赔偿金。上述价格在合同实施期间不因市场变化因素而变动。除非因特殊原因并经甲乙双方协商同意，乙方不得再要求追加任何费用。</w:t>
      </w:r>
    </w:p>
    <w:p w14:paraId="45E580D6">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15.2 投标单位应按《投标报价表》中的全部服务计算单价和总价。《投标报价表》中的每一单项均应计算并填写单价和总价，并由法定代表人或被授权人签署。</w:t>
      </w:r>
    </w:p>
    <w:p w14:paraId="0687DBCA">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15.3 投标单位应对招标文件内所要采购的全部内容进行报价，只投其中部分内容者，其投标书将被拒绝。</w:t>
      </w:r>
    </w:p>
    <w:p w14:paraId="430C3324">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15.4 一项投标内容只允许一个报价，采购（招标）代理人不接受任何有选择性的投标报价。</w:t>
      </w:r>
    </w:p>
    <w:p w14:paraId="2CC920E0">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15.5投标文件报价中的单价和总价全部采用人民币表示，除非合同主要条款另有规定。</w:t>
      </w:r>
    </w:p>
    <w:p w14:paraId="458A5D74">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15.6最低报价不能作为中标的保证。</w:t>
      </w:r>
    </w:p>
    <w:p w14:paraId="0A1C4C36">
      <w:pPr>
        <w:numPr>
          <w:ilvl w:val="0"/>
          <w:numId w:val="4"/>
        </w:numPr>
        <w:spacing w:line="360" w:lineRule="auto"/>
        <w:rPr>
          <w:rFonts w:hAnsi="宋体" w:cs="宋体"/>
          <w:b/>
          <w:color w:val="auto"/>
          <w:sz w:val="24"/>
          <w:szCs w:val="24"/>
          <w:highlight w:val="none"/>
        </w:rPr>
      </w:pPr>
      <w:r>
        <w:rPr>
          <w:rFonts w:hint="eastAsia" w:hAnsi="宋体" w:cs="宋体"/>
          <w:b/>
          <w:color w:val="auto"/>
          <w:sz w:val="24"/>
          <w:szCs w:val="24"/>
          <w:highlight w:val="none"/>
        </w:rPr>
        <w:t>投标保证金：本项目不设置保证金。</w:t>
      </w:r>
    </w:p>
    <w:p w14:paraId="67335875">
      <w:pPr>
        <w:spacing w:line="360" w:lineRule="auto"/>
        <w:rPr>
          <w:rFonts w:hAnsi="宋体" w:cs="宋体"/>
          <w:b/>
          <w:color w:val="auto"/>
          <w:sz w:val="24"/>
          <w:szCs w:val="24"/>
          <w:highlight w:val="none"/>
        </w:rPr>
      </w:pPr>
      <w:r>
        <w:rPr>
          <w:rFonts w:hint="eastAsia" w:hAnsi="宋体" w:cs="宋体"/>
          <w:b/>
          <w:color w:val="auto"/>
          <w:sz w:val="24"/>
          <w:szCs w:val="24"/>
          <w:highlight w:val="none"/>
        </w:rPr>
        <w:t>17. 投标文件的有效期</w:t>
      </w:r>
    </w:p>
    <w:p w14:paraId="62A26340">
      <w:pPr>
        <w:spacing w:line="360" w:lineRule="auto"/>
        <w:rPr>
          <w:rFonts w:hAnsi="宋体" w:cs="宋体"/>
          <w:color w:val="auto"/>
          <w:sz w:val="24"/>
          <w:szCs w:val="24"/>
          <w:highlight w:val="none"/>
        </w:rPr>
      </w:pPr>
      <w:r>
        <w:rPr>
          <w:rFonts w:hint="eastAsia" w:hAnsi="宋体" w:cs="宋体"/>
          <w:color w:val="auto"/>
          <w:sz w:val="24"/>
          <w:szCs w:val="24"/>
          <w:highlight w:val="none"/>
        </w:rPr>
        <w:t>17.1 自开标日起60天投标书应保持有效。有效期短于这个规定期限的投标将被拒绝。</w:t>
      </w:r>
    </w:p>
    <w:p w14:paraId="79E9269C">
      <w:pPr>
        <w:spacing w:line="360" w:lineRule="auto"/>
        <w:rPr>
          <w:rFonts w:hAnsi="宋体" w:cs="宋体"/>
          <w:color w:val="auto"/>
          <w:sz w:val="24"/>
          <w:szCs w:val="24"/>
          <w:highlight w:val="none"/>
        </w:rPr>
      </w:pPr>
      <w:r>
        <w:rPr>
          <w:rFonts w:hint="eastAsia" w:hAnsi="宋体" w:cs="宋体"/>
          <w:color w:val="auto"/>
          <w:sz w:val="24"/>
          <w:szCs w:val="24"/>
          <w:highlight w:val="none"/>
        </w:rPr>
        <w:t>17.2 在特殊情况下，采购代理机构可与投标单位协商延长投标书的有效期。这种要求和答复都应以书面、传真或电子邮件的形式进行。同意延长有效期的投标单位不能修改投标文件。拒绝接受延期要求的投标单位的投标将被拒绝。</w:t>
      </w:r>
    </w:p>
    <w:p w14:paraId="4B317BB8">
      <w:pPr>
        <w:spacing w:line="360" w:lineRule="auto"/>
        <w:rPr>
          <w:rFonts w:hAnsi="宋体" w:cs="宋体"/>
          <w:color w:val="auto"/>
          <w:sz w:val="24"/>
          <w:szCs w:val="24"/>
          <w:highlight w:val="none"/>
        </w:rPr>
      </w:pPr>
      <w:r>
        <w:rPr>
          <w:rFonts w:hint="eastAsia" w:hAnsi="宋体" w:cs="宋体"/>
          <w:b/>
          <w:color w:val="auto"/>
          <w:sz w:val="24"/>
          <w:szCs w:val="24"/>
          <w:highlight w:val="none"/>
        </w:rPr>
        <w:t>18. 投标文件的份数和签署</w:t>
      </w:r>
    </w:p>
    <w:p w14:paraId="1E293509">
      <w:pPr>
        <w:pStyle w:val="10"/>
        <w:spacing w:line="360" w:lineRule="auto"/>
        <w:ind w:firstLine="0"/>
        <w:rPr>
          <w:rFonts w:hint="eastAsia" w:hAnsi="宋体" w:eastAsia="宋体" w:cs="宋体"/>
          <w:color w:val="auto"/>
          <w:szCs w:val="24"/>
          <w:highlight w:val="none"/>
        </w:rPr>
      </w:pPr>
      <w:r>
        <w:rPr>
          <w:rFonts w:hint="eastAsia" w:hAnsi="宋体" w:eastAsia="宋体" w:cs="宋体"/>
          <w:color w:val="auto"/>
          <w:szCs w:val="24"/>
          <w:highlight w:val="none"/>
        </w:rPr>
        <w:t>18.1 应按照招标文件要求加盖投标人电子公章</w:t>
      </w:r>
      <w:r>
        <w:rPr>
          <w:rFonts w:hint="eastAsia" w:hAnsi="宋体" w:eastAsia="宋体" w:cs="宋体"/>
          <w:color w:val="auto"/>
          <w:szCs w:val="24"/>
          <w:highlight w:val="none"/>
          <w:lang w:eastAsia="zh-CN"/>
        </w:rPr>
        <w:t>。</w:t>
      </w:r>
    </w:p>
    <w:p w14:paraId="716A6ED1">
      <w:pPr>
        <w:spacing w:line="360" w:lineRule="auto"/>
        <w:outlineLvl w:val="0"/>
        <w:rPr>
          <w:rFonts w:hAnsi="宋体" w:cs="宋体"/>
          <w:bCs/>
          <w:color w:val="auto"/>
          <w:sz w:val="24"/>
          <w:szCs w:val="24"/>
          <w:highlight w:val="none"/>
        </w:rPr>
      </w:pPr>
      <w:r>
        <w:rPr>
          <w:rFonts w:hint="eastAsia" w:hAnsi="宋体" w:cs="宋体"/>
          <w:bCs/>
          <w:color w:val="auto"/>
          <w:sz w:val="24"/>
          <w:szCs w:val="24"/>
          <w:highlight w:val="none"/>
        </w:rPr>
        <w:t>18.2供应商中标后须提供与电子响应文件完全一致的纸质文件四套，其中正本一套，副本三套，以中文为准，装订成册并由供应商加盖企业公章及法定代表人签章（或签字）或其授权代表签字（或签章）。</w:t>
      </w:r>
    </w:p>
    <w:p w14:paraId="6ABA32E4">
      <w:pPr>
        <w:spacing w:line="360" w:lineRule="auto"/>
        <w:outlineLvl w:val="0"/>
        <w:rPr>
          <w:rFonts w:hAnsi="宋体" w:cs="宋体"/>
          <w:b/>
          <w:color w:val="auto"/>
          <w:sz w:val="24"/>
          <w:szCs w:val="24"/>
          <w:highlight w:val="none"/>
        </w:rPr>
      </w:pPr>
      <w:r>
        <w:rPr>
          <w:rFonts w:hint="eastAsia" w:hAnsi="宋体" w:cs="宋体"/>
          <w:b/>
          <w:color w:val="auto"/>
          <w:sz w:val="24"/>
          <w:szCs w:val="24"/>
          <w:highlight w:val="none"/>
        </w:rPr>
        <w:t>五、投标文件的递交</w:t>
      </w:r>
    </w:p>
    <w:p w14:paraId="39071BF8">
      <w:pPr>
        <w:widowControl/>
        <w:spacing w:line="360" w:lineRule="auto"/>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19.1供应商必须在</w:t>
      </w:r>
      <w:r>
        <w:rPr>
          <w:rFonts w:hint="eastAsia" w:ascii="宋体" w:hAnsi="宋体" w:eastAsia="宋体" w:cs="Times New Roman"/>
          <w:color w:val="auto"/>
          <w:sz w:val="24"/>
          <w:highlight w:val="none"/>
          <w:lang w:eastAsia="zh-CN"/>
        </w:rPr>
        <w:t>投标截止时间前完成投标文件上传操作；电子投标文件制作完成后请于投标文件网上提交截止时间前成功上传至“苏采云”系统，否则视为放弃参加该采购项目。</w:t>
      </w:r>
    </w:p>
    <w:p w14:paraId="5C605702">
      <w:pPr>
        <w:spacing w:line="360" w:lineRule="auto"/>
        <w:rPr>
          <w:rFonts w:hAnsi="宋体" w:cs="宋体"/>
          <w:b/>
          <w:color w:val="auto"/>
          <w:sz w:val="24"/>
          <w:szCs w:val="24"/>
          <w:highlight w:val="none"/>
        </w:rPr>
      </w:pPr>
      <w:r>
        <w:rPr>
          <w:rFonts w:hint="eastAsia" w:hAnsi="宋体" w:cs="宋体"/>
          <w:b/>
          <w:color w:val="auto"/>
          <w:sz w:val="24"/>
          <w:szCs w:val="24"/>
          <w:highlight w:val="none"/>
        </w:rPr>
        <w:t>20. 投标截止时间</w:t>
      </w:r>
    </w:p>
    <w:p w14:paraId="0357B388">
      <w:pPr>
        <w:widowControl/>
        <w:spacing w:line="360" w:lineRule="auto"/>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20.1</w:t>
      </w:r>
      <w:r>
        <w:rPr>
          <w:rFonts w:hint="eastAsia" w:ascii="宋体" w:hAnsi="宋体" w:eastAsia="宋体" w:cs="Times New Roman"/>
          <w:color w:val="auto"/>
          <w:sz w:val="24"/>
          <w:highlight w:val="none"/>
          <w:lang w:eastAsia="zh-CN"/>
        </w:rPr>
        <w:t>供应商必须在投标截止时间前完成投标文件上传操作；电子投标文件制作完成后请于投标文件网上提交截止时间前成功上传至“苏采云”系统，否则视为放弃参加该采购项目。投标人提交投标文件的时间以系统收到上传的电子投标文件时间为准，投标人应充分考虑到网络环境、网络带宽等风险因素，如因投标人自身原因造成的电子投标文件上传不成功由投标人自行承担全部责任。</w:t>
      </w:r>
    </w:p>
    <w:p w14:paraId="4669A3CF">
      <w:pPr>
        <w:widowControl/>
        <w:spacing w:line="360" w:lineRule="auto"/>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20.2</w:t>
      </w:r>
      <w:r>
        <w:rPr>
          <w:rFonts w:hint="eastAsia" w:ascii="宋体" w:hAnsi="宋体" w:eastAsia="宋体" w:cs="Times New Roman"/>
          <w:color w:val="auto"/>
          <w:sz w:val="24"/>
          <w:highlight w:val="none"/>
          <w:lang w:eastAsia="zh-CN"/>
        </w:rPr>
        <w:t>至投标截止时间，投标人不足3家的，不得开标。</w:t>
      </w:r>
    </w:p>
    <w:p w14:paraId="07D4F793">
      <w:pPr>
        <w:widowControl/>
        <w:spacing w:line="360" w:lineRule="auto"/>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20</w:t>
      </w:r>
      <w:r>
        <w:rPr>
          <w:rFonts w:hint="eastAsia" w:ascii="宋体" w:hAnsi="宋体" w:eastAsia="宋体" w:cs="Times New Roman"/>
          <w:color w:val="auto"/>
          <w:sz w:val="24"/>
          <w:highlight w:val="none"/>
          <w:lang w:eastAsia="zh-CN"/>
        </w:rPr>
        <w:t>.3采购人推迟开标截止时间时，将在苏州市政府采购网上发布通知，投标人通过苏州市政府采购网自行查看。在这种情况下，采购人和投标人的权利和义务将受到新的截止期的约束。</w:t>
      </w:r>
    </w:p>
    <w:p w14:paraId="57BEEBA5">
      <w:pPr>
        <w:widowControl/>
        <w:spacing w:line="360" w:lineRule="auto"/>
        <w:jc w:val="left"/>
        <w:rPr>
          <w:rFonts w:hAnsi="宋体" w:cs="宋体"/>
          <w:b/>
          <w:color w:val="auto"/>
          <w:sz w:val="24"/>
          <w:szCs w:val="24"/>
          <w:highlight w:val="none"/>
        </w:rPr>
      </w:pPr>
      <w:r>
        <w:rPr>
          <w:rFonts w:hint="eastAsia" w:hAnsi="宋体" w:cs="宋体"/>
          <w:b/>
          <w:color w:val="auto"/>
          <w:sz w:val="24"/>
          <w:szCs w:val="24"/>
          <w:highlight w:val="none"/>
        </w:rPr>
        <w:t>21. 投标文件的撤回</w:t>
      </w:r>
    </w:p>
    <w:p w14:paraId="74373637">
      <w:pPr>
        <w:spacing w:line="360" w:lineRule="auto"/>
        <w:rPr>
          <w:rFonts w:hAnsi="宋体" w:cs="宋体"/>
          <w:color w:val="auto"/>
          <w:sz w:val="24"/>
          <w:szCs w:val="24"/>
          <w:highlight w:val="none"/>
        </w:rPr>
      </w:pPr>
      <w:r>
        <w:rPr>
          <w:rFonts w:hint="eastAsia" w:hAnsi="宋体" w:cs="宋体"/>
          <w:color w:val="auto"/>
          <w:sz w:val="24"/>
          <w:szCs w:val="24"/>
          <w:highlight w:val="none"/>
        </w:rPr>
        <w:t>开标后投标单位不得撤回投标。</w:t>
      </w:r>
    </w:p>
    <w:p w14:paraId="1DE1F58B">
      <w:pPr>
        <w:spacing w:line="360" w:lineRule="auto"/>
        <w:outlineLvl w:val="0"/>
        <w:rPr>
          <w:rFonts w:hAnsi="宋体" w:cs="宋体"/>
          <w:b/>
          <w:color w:val="auto"/>
          <w:sz w:val="24"/>
          <w:szCs w:val="24"/>
          <w:highlight w:val="none"/>
        </w:rPr>
      </w:pPr>
      <w:r>
        <w:rPr>
          <w:rFonts w:hint="eastAsia" w:hAnsi="宋体" w:cs="宋体"/>
          <w:b/>
          <w:color w:val="auto"/>
          <w:sz w:val="24"/>
          <w:szCs w:val="24"/>
          <w:highlight w:val="none"/>
        </w:rPr>
        <w:t>六、开标和评标</w:t>
      </w:r>
    </w:p>
    <w:p w14:paraId="573A7B78">
      <w:pPr>
        <w:spacing w:line="360" w:lineRule="auto"/>
        <w:rPr>
          <w:rFonts w:hAnsi="宋体" w:cs="宋体"/>
          <w:b/>
          <w:color w:val="auto"/>
          <w:sz w:val="24"/>
          <w:szCs w:val="24"/>
          <w:highlight w:val="none"/>
        </w:rPr>
      </w:pPr>
      <w:r>
        <w:rPr>
          <w:rFonts w:hint="eastAsia" w:hAnsi="宋体" w:cs="宋体"/>
          <w:b/>
          <w:color w:val="auto"/>
          <w:sz w:val="24"/>
          <w:szCs w:val="24"/>
          <w:highlight w:val="none"/>
        </w:rPr>
        <w:t>22. 开标</w:t>
      </w:r>
    </w:p>
    <w:p w14:paraId="36DC8C65">
      <w:pPr>
        <w:spacing w:line="360" w:lineRule="auto"/>
        <w:rPr>
          <w:rFonts w:hint="eastAsia" w:hAnsi="宋体" w:cs="宋体"/>
          <w:color w:val="auto"/>
          <w:sz w:val="24"/>
          <w:szCs w:val="24"/>
          <w:highlight w:val="none"/>
        </w:rPr>
      </w:pPr>
      <w:r>
        <w:rPr>
          <w:rFonts w:hint="eastAsia" w:hAnsi="宋体" w:cs="宋体"/>
          <w:color w:val="auto"/>
          <w:sz w:val="24"/>
          <w:szCs w:val="24"/>
          <w:highlight w:val="none"/>
        </w:rPr>
        <w:t>22.1 开标由采购代理机构在线主持，邀请投标人在线参加。投标人应当按照《苏采云系统供应商操作手册》规定，参加开标活动和在“苏采云”系统规定的时间内对投标文件进行解密。评标委员会成员不得参加开标活动。</w:t>
      </w:r>
    </w:p>
    <w:p w14:paraId="642F8A53">
      <w:pPr>
        <w:spacing w:line="360" w:lineRule="auto"/>
        <w:rPr>
          <w:rFonts w:hint="eastAsia" w:hAnsi="宋体" w:cs="宋体"/>
          <w:color w:val="auto"/>
          <w:sz w:val="24"/>
          <w:szCs w:val="24"/>
          <w:highlight w:val="none"/>
        </w:rPr>
      </w:pPr>
      <w:r>
        <w:rPr>
          <w:rFonts w:hint="eastAsia" w:hAnsi="宋体" w:cs="宋体"/>
          <w:color w:val="auto"/>
          <w:sz w:val="24"/>
          <w:szCs w:val="24"/>
          <w:highlight w:val="none"/>
        </w:rPr>
        <w:t>22.2开标时，由采购代理机构通过“苏采云”系统在线宣布投标人名称、投标价格和招标文件规定的需要宣布的其他内容。投标人在不见面开标系统中确认投标价格，如投标人未在线参加开标或未在规定时间内确认价格的，视同认可开标结果。</w:t>
      </w:r>
    </w:p>
    <w:p w14:paraId="0A241ABC">
      <w:pPr>
        <w:spacing w:line="360" w:lineRule="auto"/>
        <w:rPr>
          <w:rFonts w:hint="eastAsia" w:hAnsi="宋体" w:cs="宋体"/>
          <w:color w:val="auto"/>
          <w:sz w:val="24"/>
          <w:szCs w:val="24"/>
          <w:highlight w:val="none"/>
        </w:rPr>
      </w:pPr>
      <w:r>
        <w:rPr>
          <w:rFonts w:hint="eastAsia" w:hAnsi="宋体" w:cs="宋体"/>
          <w:color w:val="auto"/>
          <w:sz w:val="24"/>
          <w:szCs w:val="24"/>
          <w:highlight w:val="none"/>
        </w:rPr>
        <w:t>22.3 至投标文件提交截止时间，每个标段递交投标文件的投标人不足三家的，不得开标。</w:t>
      </w:r>
    </w:p>
    <w:p w14:paraId="0680EF9A">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22.</w:t>
      </w:r>
      <w:r>
        <w:rPr>
          <w:rFonts w:hint="eastAsia" w:hAnsi="宋体" w:eastAsia="宋体" w:cs="宋体"/>
          <w:color w:val="auto"/>
          <w:szCs w:val="24"/>
          <w:highlight w:val="none"/>
          <w:lang w:val="en-US" w:eastAsia="zh-CN"/>
        </w:rPr>
        <w:t>4</w:t>
      </w:r>
      <w:r>
        <w:rPr>
          <w:rFonts w:hint="eastAsia" w:hAnsi="宋体" w:eastAsia="宋体" w:cs="宋体"/>
          <w:color w:val="auto"/>
          <w:szCs w:val="24"/>
          <w:highlight w:val="none"/>
        </w:rPr>
        <w:t>在开标时，投标文件有下列情况之一者将视为无效：</w:t>
      </w:r>
    </w:p>
    <w:p w14:paraId="571264C2">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22.</w:t>
      </w:r>
      <w:r>
        <w:rPr>
          <w:rFonts w:hint="eastAsia" w:hAnsi="宋体" w:eastAsia="宋体" w:cs="宋体"/>
          <w:color w:val="auto"/>
          <w:szCs w:val="24"/>
          <w:highlight w:val="none"/>
          <w:lang w:val="en-US" w:eastAsia="zh-CN"/>
        </w:rPr>
        <w:t>4</w:t>
      </w:r>
      <w:r>
        <w:rPr>
          <w:rFonts w:hint="eastAsia" w:hAnsi="宋体" w:eastAsia="宋体" w:cs="宋体"/>
          <w:color w:val="auto"/>
          <w:szCs w:val="24"/>
          <w:highlight w:val="none"/>
        </w:rPr>
        <w:t>.1 投标文件未按招标文件要求签署、盖章的；</w:t>
      </w:r>
    </w:p>
    <w:p w14:paraId="6BA86A6F">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22.</w:t>
      </w:r>
      <w:r>
        <w:rPr>
          <w:rFonts w:hint="eastAsia" w:hAnsi="宋体" w:eastAsia="宋体" w:cs="宋体"/>
          <w:color w:val="auto"/>
          <w:szCs w:val="24"/>
          <w:highlight w:val="none"/>
          <w:lang w:val="en-US" w:eastAsia="zh-CN"/>
        </w:rPr>
        <w:t>4</w:t>
      </w:r>
      <w:r>
        <w:rPr>
          <w:rFonts w:hint="eastAsia" w:hAnsi="宋体" w:eastAsia="宋体" w:cs="宋体"/>
          <w:color w:val="auto"/>
          <w:szCs w:val="24"/>
          <w:highlight w:val="none"/>
        </w:rPr>
        <w:t>.2 不具备招标文件中规定的资格要求的；</w:t>
      </w:r>
    </w:p>
    <w:p w14:paraId="0B95CA67">
      <w:pPr>
        <w:spacing w:line="360" w:lineRule="auto"/>
        <w:rPr>
          <w:rFonts w:hAnsi="宋体" w:cs="宋体"/>
          <w:color w:val="auto"/>
          <w:sz w:val="24"/>
          <w:szCs w:val="24"/>
          <w:highlight w:val="none"/>
        </w:rPr>
      </w:pPr>
      <w:r>
        <w:rPr>
          <w:rFonts w:hint="eastAsia" w:hAnsi="宋体" w:cs="宋体"/>
          <w:color w:val="auto"/>
          <w:sz w:val="24"/>
          <w:szCs w:val="24"/>
          <w:highlight w:val="none"/>
        </w:rPr>
        <w:t>22.</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.3 报价超过招标文件中规定的预算金额或者最高限价的；</w:t>
      </w:r>
    </w:p>
    <w:p w14:paraId="08B20406">
      <w:pPr>
        <w:spacing w:line="360" w:lineRule="auto"/>
        <w:rPr>
          <w:rFonts w:hAnsi="宋体" w:cs="宋体"/>
          <w:color w:val="auto"/>
          <w:sz w:val="24"/>
          <w:szCs w:val="24"/>
          <w:highlight w:val="none"/>
        </w:rPr>
      </w:pPr>
      <w:r>
        <w:rPr>
          <w:rFonts w:hint="eastAsia" w:hAnsi="宋体" w:cs="宋体"/>
          <w:color w:val="auto"/>
          <w:sz w:val="24"/>
          <w:szCs w:val="24"/>
          <w:highlight w:val="none"/>
        </w:rPr>
        <w:t>22.</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.4 投标文件含有采购人不能接受的附加条件的；</w:t>
      </w:r>
    </w:p>
    <w:p w14:paraId="2FD30ECF">
      <w:pPr>
        <w:spacing w:line="360" w:lineRule="auto"/>
        <w:rPr>
          <w:rFonts w:hAnsi="宋体" w:cs="宋体"/>
          <w:color w:val="auto"/>
          <w:sz w:val="24"/>
          <w:szCs w:val="24"/>
          <w:highlight w:val="none"/>
        </w:rPr>
      </w:pPr>
      <w:r>
        <w:rPr>
          <w:rFonts w:hint="eastAsia" w:hAnsi="宋体" w:cs="宋体"/>
          <w:color w:val="auto"/>
          <w:sz w:val="24"/>
          <w:szCs w:val="24"/>
          <w:highlight w:val="none"/>
        </w:rPr>
        <w:t>22.</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.5 法律、法规和招标文件规定的其他无效情形。</w:t>
      </w:r>
    </w:p>
    <w:p w14:paraId="7D381C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.6 不符合法律、法规和招标文件中规定的其他实质性要求的。</w:t>
      </w:r>
    </w:p>
    <w:p w14:paraId="783E0F59">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w:t>
      </w: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资格审查</w:t>
      </w:r>
    </w:p>
    <w:p w14:paraId="50ADAF8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w:t>
      </w:r>
      <w:r>
        <w:rPr>
          <w:rFonts w:hint="eastAsia" w:ascii="宋体" w:hAnsi="宋体" w:eastAsia="宋体" w:cs="宋体"/>
          <w:b/>
          <w:bCs/>
          <w:color w:val="auto"/>
          <w:sz w:val="24"/>
          <w:szCs w:val="24"/>
          <w:highlight w:val="none"/>
          <w:lang w:val="en-US" w:eastAsia="zh-CN"/>
        </w:rPr>
        <w:t>5.1</w:t>
      </w:r>
      <w:r>
        <w:rPr>
          <w:rFonts w:hint="eastAsia" w:ascii="宋体" w:hAnsi="宋体" w:eastAsia="宋体" w:cs="宋体"/>
          <w:b/>
          <w:bCs/>
          <w:color w:val="auto"/>
          <w:sz w:val="24"/>
          <w:szCs w:val="24"/>
          <w:highlight w:val="none"/>
        </w:rPr>
        <w:t>公开招标采购项目开标结束后，采购人应当依法对投标人的资格进行审查。</w:t>
      </w:r>
    </w:p>
    <w:p w14:paraId="48BDA470">
      <w:pPr>
        <w:spacing w:line="360" w:lineRule="auto"/>
        <w:rPr>
          <w:rFonts w:hAnsi="宋体" w:cs="宋体"/>
          <w:b/>
          <w:color w:val="auto"/>
          <w:sz w:val="24"/>
          <w:szCs w:val="24"/>
          <w:highlight w:val="none"/>
        </w:rPr>
      </w:pPr>
      <w:r>
        <w:rPr>
          <w:rFonts w:hint="eastAsia" w:hAnsi="宋体" w:cs="宋体"/>
          <w:b/>
          <w:color w:val="auto"/>
          <w:sz w:val="24"/>
          <w:szCs w:val="24"/>
          <w:highlight w:val="none"/>
        </w:rPr>
        <w:t>23. 评标委员会或评标小组</w:t>
      </w:r>
    </w:p>
    <w:p w14:paraId="3B6BD61E">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23.1 评标委员会或评标小组（以下简称评标委员会）的评标工作由采购人授权采购代理机构负责组织，具体评标事务由评标委员会负责，并独立履行其法规规定的职责。</w:t>
      </w:r>
    </w:p>
    <w:p w14:paraId="542C1055">
      <w:pPr>
        <w:spacing w:line="360" w:lineRule="auto"/>
        <w:rPr>
          <w:rFonts w:hAnsi="宋体" w:cs="宋体"/>
          <w:b/>
          <w:color w:val="auto"/>
          <w:sz w:val="24"/>
          <w:szCs w:val="24"/>
          <w:highlight w:val="none"/>
        </w:rPr>
      </w:pPr>
      <w:r>
        <w:rPr>
          <w:rFonts w:hint="eastAsia" w:hAnsi="宋体" w:cs="宋体"/>
          <w:b/>
          <w:color w:val="auto"/>
          <w:sz w:val="24"/>
          <w:szCs w:val="24"/>
          <w:highlight w:val="none"/>
        </w:rPr>
        <w:t>24. 评标内容的保密</w:t>
      </w:r>
    </w:p>
    <w:p w14:paraId="73DD4DC7">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24.1 公开开标后，直到宣布授予中标单位中标为止，凡属于审查、澄清、评价和比较投标的所有资料，有关授予中标的信息都不应向投标单位或与评标无关的其他人泄露。</w:t>
      </w:r>
    </w:p>
    <w:p w14:paraId="73BB45F4">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24.2 在投标文件的审查、澄清、评价和比较以及授予中标的过程中，投标单位对采购代理机构和评标委员会成员施加影响的任何行为，都将取消其投标资格。</w:t>
      </w:r>
    </w:p>
    <w:p w14:paraId="648228A3">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24.3 在评标期间，采购代理机构将通过指定联络人与投标单位进行联系。</w:t>
      </w:r>
    </w:p>
    <w:p w14:paraId="089CED11">
      <w:pPr>
        <w:spacing w:line="360" w:lineRule="auto"/>
        <w:rPr>
          <w:rFonts w:hAnsi="宋体" w:cs="宋体"/>
          <w:b/>
          <w:color w:val="auto"/>
          <w:sz w:val="24"/>
          <w:szCs w:val="24"/>
          <w:highlight w:val="none"/>
        </w:rPr>
      </w:pPr>
      <w:r>
        <w:rPr>
          <w:rFonts w:hint="eastAsia" w:hAnsi="宋体" w:cs="宋体"/>
          <w:b/>
          <w:color w:val="auto"/>
          <w:sz w:val="24"/>
          <w:szCs w:val="24"/>
          <w:highlight w:val="none"/>
        </w:rPr>
        <w:t>25. 对电子投标文件初审</w:t>
      </w:r>
    </w:p>
    <w:p w14:paraId="3D3FB9AD">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1评委会将对资格符合的投标文件进行符合性审查。即依据采购文件规定，从投标文件的有效性、完整性和对采购文件的响应程度进行审查，以确定是否对采购文件的实质性要求作出响应。投标人存在下列情况之一的，投标无效：</w:t>
      </w:r>
    </w:p>
    <w:p w14:paraId="6D4B183C">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.2电子投标文件有下列情况之一者将被认定为无效投标：</w:t>
      </w:r>
    </w:p>
    <w:p w14:paraId="577D439C">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.2.1电子投标文件未按照本须知规定签署和盖章；</w:t>
      </w:r>
    </w:p>
    <w:p w14:paraId="6487B190">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.2.4投标人拒绝修正错误；</w:t>
      </w:r>
    </w:p>
    <w:p w14:paraId="5148C25F">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.2.5投标人的报价是选择性的；</w:t>
      </w:r>
    </w:p>
    <w:p w14:paraId="15E2CA0E">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.2.6投标人的报价只投了同一标段中部分内容；</w:t>
      </w:r>
    </w:p>
    <w:p w14:paraId="4237638C">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.2.7投标人的电子投标文件中出现评委会认为</w:t>
      </w:r>
      <w:r>
        <w:rPr>
          <w:rFonts w:hint="eastAsia" w:hAnsi="宋体" w:cs="宋体"/>
          <w:color w:val="auto"/>
          <w:sz w:val="24"/>
          <w:szCs w:val="24"/>
          <w:highlight w:val="none"/>
          <w:lang w:val="en-US" w:eastAsia="zh-CN"/>
        </w:rPr>
        <w:t>存在</w:t>
      </w:r>
      <w:r>
        <w:rPr>
          <w:rFonts w:hint="eastAsia" w:hAnsi="宋体" w:cs="宋体"/>
          <w:color w:val="auto"/>
          <w:sz w:val="24"/>
          <w:szCs w:val="24"/>
          <w:highlight w:val="none"/>
          <w:lang w:val="zh-CN"/>
        </w:rPr>
        <w:t>雷同的；</w:t>
      </w:r>
    </w:p>
    <w:p w14:paraId="7B0BAE04">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.2.8其他被评委会认定无效的情况。</w:t>
      </w:r>
    </w:p>
    <w:p w14:paraId="244043B0">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3实质性响应的投标应该是与采购文件要求的标的、数量、价款、质保期或者报酬、履行期限、履行地点和方式、违约责任和解决争议方法等条款相符。不得限制合同中买方的权利或投标人的义务，也不得对其他实质性响应的投标人的竞争地位产生不公正影响。</w:t>
      </w:r>
    </w:p>
    <w:p w14:paraId="4F8437F8">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.4采购文件提供的服务内容、参考的商标或样本目录号码等仅作为说明并没有限制性，投标人在投标中可以选用替代标准，但这些替代标准要优于或相当于技术规格中要求的标准，以满足采购人的需要。</w:t>
      </w:r>
    </w:p>
    <w:p w14:paraId="4014EF2A">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5对于电子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名。投标人的澄清、说明或者补正不得超出电子投标文件的范围或者改变电子投标文件的实质性内容。</w:t>
      </w:r>
    </w:p>
    <w:p w14:paraId="4263F441">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.6电子投标文件报价出现前后不一致的，除采购文件另有规定外，按照下列规定修正：</w:t>
      </w:r>
    </w:p>
    <w:p w14:paraId="054A7ABD">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.6.1电子投标文件中开标一览表（报价表）内容与电子投标文件中相应内容不一致的，以开标一览表（报价表）为准；</w:t>
      </w:r>
    </w:p>
    <w:p w14:paraId="3A6B1518">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.6.2大写金额和小写金额不一致的，以大写金额为准；</w:t>
      </w:r>
    </w:p>
    <w:p w14:paraId="6CA6620E">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.6.3单价金额小数点或者百分比有明显错位的，以开标一览表的总价为准，并修改单价；</w:t>
      </w:r>
    </w:p>
    <w:p w14:paraId="25B372B2">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.6.4总价金额与按单价汇总金额不一致的，以单价金额计算结果为准。同时出现两种以上不一致的，按照前款规定的顺序修正。修正后的报价按照本须知2</w:t>
      </w:r>
      <w:r>
        <w:rPr>
          <w:rFonts w:hint="eastAsia" w:hAnsi="宋体" w:cs="宋体"/>
          <w:color w:val="auto"/>
          <w:sz w:val="24"/>
          <w:szCs w:val="24"/>
          <w:highlight w:val="none"/>
        </w:rPr>
        <w:t>5</w:t>
      </w:r>
      <w:r>
        <w:rPr>
          <w:rFonts w:hint="eastAsia" w:hAnsi="宋体" w:cs="宋体"/>
          <w:color w:val="auto"/>
          <w:sz w:val="24"/>
          <w:szCs w:val="24"/>
          <w:highlight w:val="none"/>
          <w:lang w:val="zh-CN"/>
        </w:rPr>
        <w:t>.5条规定经投标人确认后产生约束力，投标人不确认的，其投标无效。</w:t>
      </w:r>
    </w:p>
    <w:p w14:paraId="72F71A70">
      <w:pPr>
        <w:spacing w:line="360" w:lineRule="auto"/>
        <w:rPr>
          <w:rFonts w:hint="eastAsia" w:hAnsi="宋体" w:cs="宋体"/>
          <w:color w:val="auto"/>
          <w:sz w:val="24"/>
          <w:szCs w:val="24"/>
          <w:highlight w:val="none"/>
          <w:lang w:val="zh-CN"/>
        </w:rPr>
      </w:pPr>
      <w:r>
        <w:rPr>
          <w:rFonts w:hint="eastAsia" w:hAnsi="宋体" w:cs="宋体"/>
          <w:color w:val="auto"/>
          <w:sz w:val="24"/>
          <w:szCs w:val="24"/>
          <w:highlight w:val="none"/>
          <w:lang w:val="zh-CN"/>
        </w:rPr>
        <w:t>25.7根据江苏省财政厅“苏财购【2025】62号”《关于推动解决政府采购异常低价问题相关工作的通知》，在评标过程中，如出现投标单位低价投标（响应）的情况，评标委员会将对异常低价投标（响应）启动审查，审查的情形和具体要求，包括：</w:t>
      </w:r>
    </w:p>
    <w:p w14:paraId="492A3319">
      <w:pPr>
        <w:spacing w:line="360" w:lineRule="auto"/>
        <w:rPr>
          <w:rFonts w:hint="eastAsia" w:hAnsi="宋体" w:cs="宋体"/>
          <w:color w:val="auto"/>
          <w:sz w:val="24"/>
          <w:szCs w:val="24"/>
          <w:highlight w:val="none"/>
          <w:lang w:val="zh-CN"/>
        </w:rPr>
      </w:pPr>
      <w:r>
        <w:rPr>
          <w:rFonts w:hint="eastAsia" w:hAnsi="宋体" w:cs="宋体"/>
          <w:color w:val="auto"/>
          <w:sz w:val="24"/>
          <w:szCs w:val="24"/>
          <w:highlight w:val="none"/>
          <w:lang w:val="zh-CN"/>
        </w:rPr>
        <w:t xml:space="preserve">（一）评标过程中出现下列情形之一的，评标委员会应当启动异常低价投标（响应）审查程序： </w:t>
      </w:r>
    </w:p>
    <w:p w14:paraId="620C9159">
      <w:pPr>
        <w:spacing w:line="360" w:lineRule="auto"/>
        <w:rPr>
          <w:rFonts w:hint="eastAsia" w:hAnsi="宋体" w:cs="宋体"/>
          <w:color w:val="auto"/>
          <w:sz w:val="24"/>
          <w:szCs w:val="24"/>
          <w:highlight w:val="none"/>
          <w:lang w:val="zh-CN"/>
        </w:rPr>
      </w:pPr>
      <w:r>
        <w:rPr>
          <w:rFonts w:hint="eastAsia" w:hAnsi="宋体" w:cs="宋体"/>
          <w:color w:val="auto"/>
          <w:sz w:val="24"/>
          <w:szCs w:val="24"/>
          <w:highlight w:val="none"/>
          <w:lang w:val="zh-CN"/>
        </w:rPr>
        <w:t xml:space="preserve">（1）投标（响应）报价低于采购项目预算 50% 的，即投标（响应）报价&lt;采购项目预算×50% ； </w:t>
      </w:r>
    </w:p>
    <w:p w14:paraId="674F5438">
      <w:pPr>
        <w:spacing w:line="360" w:lineRule="auto"/>
        <w:rPr>
          <w:rFonts w:hint="eastAsia" w:hAnsi="宋体" w:cs="宋体"/>
          <w:color w:val="auto"/>
          <w:sz w:val="24"/>
          <w:szCs w:val="24"/>
          <w:highlight w:val="none"/>
          <w:lang w:val="zh-CN"/>
        </w:rPr>
      </w:pPr>
      <w:r>
        <w:rPr>
          <w:rFonts w:hint="eastAsia" w:hAnsi="宋体" w:cs="宋体"/>
          <w:color w:val="auto"/>
          <w:sz w:val="24"/>
          <w:szCs w:val="24"/>
          <w:highlight w:val="none"/>
          <w:lang w:val="zh-CN"/>
        </w:rPr>
        <w:t xml:space="preserve">（2）投标（响应）报价低于采购项目最高限价 45% 的，即投标（响应）报价&lt;采购项目最高限价×45% ； </w:t>
      </w:r>
    </w:p>
    <w:p w14:paraId="390BE3A1">
      <w:pPr>
        <w:spacing w:line="360" w:lineRule="auto"/>
        <w:rPr>
          <w:rFonts w:hint="eastAsia" w:hAnsi="宋体" w:cs="宋体"/>
          <w:color w:val="auto"/>
          <w:sz w:val="24"/>
          <w:szCs w:val="24"/>
          <w:highlight w:val="none"/>
          <w:lang w:val="zh-CN"/>
        </w:rPr>
      </w:pPr>
      <w:r>
        <w:rPr>
          <w:rFonts w:hint="eastAsia" w:hAnsi="宋体" w:cs="宋体"/>
          <w:color w:val="auto"/>
          <w:sz w:val="24"/>
          <w:szCs w:val="24"/>
          <w:highlight w:val="none"/>
          <w:lang w:val="zh-CN"/>
        </w:rPr>
        <w:t xml:space="preserve">（3）评标委员会认定的供应商报价过低、有可能影响产品质量或者不能诚信履约的其他情形。 </w:t>
      </w:r>
    </w:p>
    <w:p w14:paraId="44B0C326">
      <w:pPr>
        <w:spacing w:line="360" w:lineRule="auto"/>
        <w:rPr>
          <w:rFonts w:hint="eastAsia" w:hAnsi="宋体" w:cs="宋体"/>
          <w:color w:val="auto"/>
          <w:sz w:val="24"/>
          <w:szCs w:val="24"/>
          <w:highlight w:val="none"/>
          <w:lang w:val="zh-CN"/>
        </w:rPr>
      </w:pPr>
      <w:r>
        <w:rPr>
          <w:rFonts w:hint="eastAsia" w:hAnsi="宋体" w:cs="宋体"/>
          <w:color w:val="auto"/>
          <w:sz w:val="24"/>
          <w:szCs w:val="24"/>
          <w:highlight w:val="none"/>
          <w:lang w:val="zh-CN"/>
        </w:rPr>
        <w:t>（二）启动异常低价投标（响应）审查后，评标委员会应当要求相关供应商在评标现场合理的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在评审报告中进行记录。</w:t>
      </w:r>
    </w:p>
    <w:p w14:paraId="53B7DD43">
      <w:pPr>
        <w:spacing w:line="360" w:lineRule="auto"/>
        <w:rPr>
          <w:rFonts w:hint="eastAsia" w:hAnsi="宋体" w:cs="宋体"/>
          <w:color w:val="auto"/>
          <w:sz w:val="24"/>
          <w:szCs w:val="24"/>
          <w:highlight w:val="none"/>
          <w:lang w:val="zh-CN"/>
        </w:rPr>
      </w:pPr>
      <w:r>
        <w:rPr>
          <w:rFonts w:hint="eastAsia" w:hAnsi="宋体" w:cs="宋体"/>
          <w:color w:val="auto"/>
          <w:sz w:val="24"/>
          <w:szCs w:val="24"/>
          <w:highlight w:val="none"/>
          <w:lang w:val="zh-CN"/>
        </w:rPr>
        <w:t>25.8除上述情形外，对电子投标文件的判定，只依据电子投标文件本身，不依靠开标后的任何外来证明。</w:t>
      </w:r>
    </w:p>
    <w:p w14:paraId="79BC06C3">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.9采购代理机构将拒绝被确定为非实质性响应的投标，投标人不能通过修正或撤销不符之处而使其投标成为实质性响应的投标。</w:t>
      </w:r>
    </w:p>
    <w:p w14:paraId="69C23AF6">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5</w:t>
      </w:r>
      <w:r>
        <w:rPr>
          <w:rFonts w:hint="eastAsia" w:hAnsi="宋体" w:cs="宋体"/>
          <w:color w:val="auto"/>
          <w:sz w:val="24"/>
          <w:szCs w:val="24"/>
          <w:highlight w:val="none"/>
          <w:lang w:val="zh-CN"/>
        </w:rPr>
        <w:t>.10对不同文字文本电子投标文件的解释发生异议的，以中文文本为准；</w:t>
      </w:r>
      <w:r>
        <w:rPr>
          <w:rFonts w:hint="eastAsia" w:hAnsi="宋体" w:cs="宋体"/>
          <w:color w:val="auto"/>
          <w:sz w:val="24"/>
          <w:szCs w:val="24"/>
          <w:highlight w:val="none"/>
        </w:rPr>
        <w:t xml:space="preserve"> </w:t>
      </w:r>
    </w:p>
    <w:p w14:paraId="03BDDF52">
      <w:pPr>
        <w:spacing w:line="360" w:lineRule="auto"/>
        <w:rPr>
          <w:rFonts w:hAnsi="宋体" w:cs="宋体"/>
          <w:b/>
          <w:color w:val="auto"/>
          <w:sz w:val="24"/>
          <w:szCs w:val="24"/>
          <w:highlight w:val="none"/>
        </w:rPr>
      </w:pPr>
      <w:r>
        <w:rPr>
          <w:rFonts w:hint="eastAsia" w:hAnsi="宋体" w:cs="宋体"/>
          <w:b/>
          <w:color w:val="auto"/>
          <w:sz w:val="24"/>
          <w:szCs w:val="24"/>
          <w:highlight w:val="none"/>
        </w:rPr>
        <w:t>26. 投标的澄清</w:t>
      </w:r>
    </w:p>
    <w:p w14:paraId="240FD9C4">
      <w:pPr>
        <w:spacing w:line="360" w:lineRule="auto"/>
        <w:rPr>
          <w:rFonts w:hAnsi="宋体" w:cs="宋体"/>
          <w:color w:val="auto"/>
          <w:sz w:val="24"/>
          <w:szCs w:val="24"/>
          <w:highlight w:val="none"/>
        </w:rPr>
      </w:pPr>
      <w:r>
        <w:rPr>
          <w:rFonts w:hint="eastAsia" w:hAnsi="宋体" w:cs="宋体"/>
          <w:color w:val="auto"/>
          <w:sz w:val="24"/>
          <w:szCs w:val="24"/>
          <w:highlight w:val="none"/>
        </w:rPr>
        <w:t>26.1 评标委员会有权就投标文件中含混之处向投标单位提出询问或澄清要求。投标单位必须按照</w:t>
      </w:r>
      <w:r>
        <w:rPr>
          <w:rFonts w:hint="eastAsia" w:hAnsi="宋体" w:cs="宋体"/>
          <w:color w:val="auto"/>
          <w:sz w:val="24"/>
          <w:szCs w:val="24"/>
          <w:highlight w:val="none"/>
          <w:lang w:val="en-US" w:eastAsia="zh-CN"/>
        </w:rPr>
        <w:t>苏采云系统推送内容</w:t>
      </w:r>
      <w:r>
        <w:rPr>
          <w:rFonts w:hint="eastAsia" w:hAnsi="宋体" w:cs="宋体"/>
          <w:color w:val="auto"/>
          <w:sz w:val="24"/>
          <w:szCs w:val="24"/>
          <w:highlight w:val="none"/>
        </w:rPr>
        <w:t>进行澄清。</w:t>
      </w:r>
    </w:p>
    <w:p w14:paraId="4F0BC2C0">
      <w:pPr>
        <w:spacing w:line="360" w:lineRule="auto"/>
        <w:rPr>
          <w:rFonts w:hAnsi="宋体" w:cs="宋体"/>
          <w:color w:val="auto"/>
          <w:sz w:val="24"/>
          <w:szCs w:val="24"/>
          <w:highlight w:val="none"/>
        </w:rPr>
      </w:pPr>
      <w:r>
        <w:rPr>
          <w:rFonts w:hint="eastAsia" w:hAnsi="宋体" w:cs="宋体"/>
          <w:color w:val="auto"/>
          <w:sz w:val="24"/>
          <w:szCs w:val="24"/>
          <w:highlight w:val="none"/>
        </w:rPr>
        <w:t>26.</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 xml:space="preserve"> 投标单位对投标文件的澄清不得改变投标的实质性内容。</w:t>
      </w:r>
    </w:p>
    <w:p w14:paraId="5977AF0C">
      <w:pPr>
        <w:spacing w:line="360" w:lineRule="auto"/>
        <w:rPr>
          <w:rFonts w:hAnsi="宋体" w:cs="宋体"/>
          <w:b/>
          <w:color w:val="auto"/>
          <w:sz w:val="24"/>
          <w:szCs w:val="24"/>
          <w:highlight w:val="none"/>
        </w:rPr>
      </w:pPr>
      <w:r>
        <w:rPr>
          <w:rFonts w:hint="eastAsia" w:hAnsi="宋体" w:cs="宋体"/>
          <w:b/>
          <w:color w:val="auto"/>
          <w:sz w:val="24"/>
          <w:szCs w:val="24"/>
          <w:highlight w:val="none"/>
        </w:rPr>
        <w:t>27．废标</w:t>
      </w:r>
    </w:p>
    <w:p w14:paraId="1E22958E">
      <w:pPr>
        <w:spacing w:line="360" w:lineRule="auto"/>
        <w:rPr>
          <w:rFonts w:hAnsi="宋体" w:cs="宋体"/>
          <w:color w:val="auto"/>
          <w:sz w:val="24"/>
          <w:szCs w:val="24"/>
          <w:highlight w:val="none"/>
        </w:rPr>
      </w:pPr>
      <w:r>
        <w:rPr>
          <w:rFonts w:hint="eastAsia" w:hAnsi="宋体" w:cs="宋体"/>
          <w:color w:val="auto"/>
          <w:sz w:val="24"/>
          <w:szCs w:val="24"/>
          <w:highlight w:val="none"/>
        </w:rPr>
        <w:t>27.1 在招标过程中，出现下列情况之一的，应予废标：</w:t>
      </w:r>
    </w:p>
    <w:p w14:paraId="0193E11C">
      <w:pPr>
        <w:spacing w:line="360" w:lineRule="auto"/>
        <w:rPr>
          <w:rFonts w:hAnsi="宋体" w:cs="宋体"/>
          <w:color w:val="auto"/>
          <w:sz w:val="24"/>
          <w:szCs w:val="24"/>
          <w:highlight w:val="none"/>
        </w:rPr>
      </w:pPr>
      <w:r>
        <w:rPr>
          <w:rFonts w:hint="eastAsia" w:hAnsi="宋体" w:cs="宋体"/>
          <w:color w:val="auto"/>
          <w:sz w:val="24"/>
          <w:szCs w:val="24"/>
          <w:highlight w:val="none"/>
        </w:rPr>
        <w:t>27.1.1 符合专业条件的供应商或者对招标文件作实质响应的供应商不足三家的；</w:t>
      </w:r>
    </w:p>
    <w:p w14:paraId="13704210">
      <w:pPr>
        <w:spacing w:line="360" w:lineRule="auto"/>
        <w:rPr>
          <w:rFonts w:hAnsi="宋体" w:cs="宋体"/>
          <w:color w:val="auto"/>
          <w:sz w:val="24"/>
          <w:szCs w:val="24"/>
          <w:highlight w:val="none"/>
        </w:rPr>
      </w:pPr>
      <w:r>
        <w:rPr>
          <w:rFonts w:hint="eastAsia" w:hAnsi="宋体" w:cs="宋体"/>
          <w:color w:val="auto"/>
          <w:sz w:val="24"/>
          <w:szCs w:val="24"/>
          <w:highlight w:val="none"/>
        </w:rPr>
        <w:t>27.1.2 出现影响采购公正的违法、违规行为的；</w:t>
      </w:r>
    </w:p>
    <w:p w14:paraId="07FF4909">
      <w:pPr>
        <w:spacing w:line="360" w:lineRule="auto"/>
        <w:rPr>
          <w:rFonts w:hAnsi="宋体" w:cs="宋体"/>
          <w:color w:val="auto"/>
          <w:sz w:val="24"/>
          <w:szCs w:val="24"/>
          <w:highlight w:val="none"/>
        </w:rPr>
      </w:pPr>
      <w:r>
        <w:rPr>
          <w:rFonts w:hint="eastAsia" w:hAnsi="宋体" w:cs="宋体"/>
          <w:color w:val="auto"/>
          <w:sz w:val="24"/>
          <w:szCs w:val="24"/>
          <w:highlight w:val="none"/>
        </w:rPr>
        <w:t>27.1.3 因重大变故，采购任务取消的。</w:t>
      </w:r>
    </w:p>
    <w:p w14:paraId="522EF346">
      <w:pPr>
        <w:spacing w:line="360" w:lineRule="auto"/>
        <w:rPr>
          <w:rFonts w:hAnsi="宋体" w:cs="宋体"/>
          <w:color w:val="auto"/>
          <w:sz w:val="24"/>
          <w:szCs w:val="24"/>
          <w:highlight w:val="none"/>
        </w:rPr>
      </w:pPr>
      <w:r>
        <w:rPr>
          <w:rFonts w:hint="eastAsia" w:hAnsi="宋体" w:cs="宋体"/>
          <w:color w:val="auto"/>
          <w:sz w:val="24"/>
          <w:szCs w:val="24"/>
          <w:highlight w:val="none"/>
        </w:rPr>
        <w:t>27.2 废标后，采购代理机构将把废标的理由通知所有投标单位。</w:t>
      </w:r>
    </w:p>
    <w:p w14:paraId="65824ED7">
      <w:pPr>
        <w:spacing w:line="360" w:lineRule="auto"/>
        <w:rPr>
          <w:rFonts w:hint="eastAsia" w:hAnsi="宋体" w:cs="宋体"/>
          <w:b/>
          <w:bCs/>
          <w:color w:val="auto"/>
          <w:sz w:val="24"/>
          <w:szCs w:val="24"/>
          <w:highlight w:val="none"/>
        </w:rPr>
      </w:pPr>
      <w:r>
        <w:rPr>
          <w:rFonts w:hint="eastAsia" w:hAnsi="宋体" w:cs="宋体"/>
          <w:b/>
          <w:color w:val="auto"/>
          <w:sz w:val="24"/>
          <w:szCs w:val="24"/>
          <w:highlight w:val="none"/>
        </w:rPr>
        <w:t xml:space="preserve">28. </w:t>
      </w:r>
      <w:r>
        <w:rPr>
          <w:rFonts w:hint="eastAsia" w:hAnsi="宋体" w:cs="宋体"/>
          <w:b/>
          <w:bCs/>
          <w:color w:val="auto"/>
          <w:sz w:val="24"/>
          <w:szCs w:val="24"/>
          <w:highlight w:val="none"/>
          <w:lang w:val="zh-CN"/>
        </w:rPr>
        <w:t>电子投标文件的评价和比较</w:t>
      </w:r>
    </w:p>
    <w:p w14:paraId="7AA57584">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8</w:t>
      </w:r>
      <w:r>
        <w:rPr>
          <w:rFonts w:hint="eastAsia" w:hAnsi="宋体" w:cs="宋体"/>
          <w:color w:val="auto"/>
          <w:sz w:val="24"/>
          <w:szCs w:val="24"/>
          <w:highlight w:val="none"/>
          <w:lang w:val="zh-CN"/>
        </w:rPr>
        <w:t>.1评标委员会将仅对</w:t>
      </w:r>
      <w:r>
        <w:rPr>
          <w:rFonts w:hint="eastAsia" w:hAnsi="宋体" w:cs="宋体"/>
          <w:color w:val="auto"/>
          <w:sz w:val="24"/>
          <w:szCs w:val="24"/>
          <w:highlight w:val="none"/>
        </w:rPr>
        <w:t>满足</w:t>
      </w:r>
      <w:r>
        <w:rPr>
          <w:rFonts w:hint="eastAsia" w:hAnsi="宋体" w:cs="宋体"/>
          <w:color w:val="auto"/>
          <w:sz w:val="24"/>
          <w:szCs w:val="24"/>
          <w:highlight w:val="none"/>
          <w:lang w:val="zh-CN"/>
        </w:rPr>
        <w:t>采购文件</w:t>
      </w:r>
      <w:r>
        <w:rPr>
          <w:rFonts w:hint="eastAsia" w:hAnsi="宋体" w:cs="宋体"/>
          <w:color w:val="auto"/>
          <w:sz w:val="24"/>
          <w:szCs w:val="24"/>
          <w:highlight w:val="none"/>
        </w:rPr>
        <w:t>实质性</w:t>
      </w:r>
      <w:r>
        <w:rPr>
          <w:rFonts w:hint="eastAsia" w:hAnsi="宋体" w:cs="宋体"/>
          <w:color w:val="auto"/>
          <w:sz w:val="24"/>
          <w:szCs w:val="24"/>
          <w:highlight w:val="none"/>
          <w:lang w:val="zh-CN"/>
        </w:rPr>
        <w:t>要求的电子投标文件进行评价和比较。</w:t>
      </w:r>
    </w:p>
    <w:p w14:paraId="60593B96">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8</w:t>
      </w:r>
      <w:r>
        <w:rPr>
          <w:rFonts w:hint="eastAsia" w:hAnsi="宋体" w:cs="宋体"/>
          <w:color w:val="auto"/>
          <w:sz w:val="24"/>
          <w:szCs w:val="24"/>
          <w:highlight w:val="none"/>
          <w:lang w:val="zh-CN"/>
        </w:rPr>
        <w:t>.2评价和比较采用综合评分法，评委会严格按照采购文件的规定要求、条件、评分标准，对投标人所提供货物或服务的先进性、可靠性、售后服务承诺、质量保证承诺等实质性响应内容进行比较评价。</w:t>
      </w:r>
    </w:p>
    <w:p w14:paraId="23B28740">
      <w:pPr>
        <w:spacing w:line="360" w:lineRule="auto"/>
        <w:rPr>
          <w:rFonts w:hint="eastAsia" w:hAnsi="宋体" w:cs="宋体"/>
          <w:color w:val="auto"/>
          <w:sz w:val="24"/>
          <w:szCs w:val="24"/>
          <w:highlight w:val="none"/>
        </w:rPr>
      </w:pPr>
      <w:r>
        <w:rPr>
          <w:rFonts w:hint="eastAsia" w:hAnsi="宋体" w:cs="宋体"/>
          <w:color w:val="auto"/>
          <w:sz w:val="24"/>
          <w:szCs w:val="24"/>
          <w:highlight w:val="none"/>
          <w:lang w:val="zh-CN"/>
        </w:rPr>
        <w:t>2</w:t>
      </w:r>
      <w:r>
        <w:rPr>
          <w:rFonts w:hint="eastAsia" w:hAnsi="宋体" w:cs="宋体"/>
          <w:color w:val="auto"/>
          <w:sz w:val="24"/>
          <w:szCs w:val="24"/>
          <w:highlight w:val="none"/>
        </w:rPr>
        <w:t>8</w:t>
      </w:r>
      <w:r>
        <w:rPr>
          <w:rFonts w:hint="eastAsia" w:hAnsi="宋体" w:cs="宋体"/>
          <w:color w:val="auto"/>
          <w:sz w:val="24"/>
          <w:szCs w:val="24"/>
          <w:highlight w:val="none"/>
          <w:lang w:val="zh-CN"/>
        </w:rPr>
        <w:t>.3 最低的投标报价或最高的折扣比例是中标的重要条件，但不是唯一条件。</w:t>
      </w:r>
    </w:p>
    <w:p w14:paraId="00AAFC94">
      <w:pPr>
        <w:spacing w:line="360" w:lineRule="auto"/>
        <w:outlineLvl w:val="0"/>
        <w:rPr>
          <w:rFonts w:hAnsi="宋体" w:cs="宋体"/>
          <w:b/>
          <w:color w:val="auto"/>
          <w:sz w:val="24"/>
          <w:szCs w:val="24"/>
          <w:highlight w:val="none"/>
        </w:rPr>
      </w:pPr>
      <w:r>
        <w:rPr>
          <w:rFonts w:hint="eastAsia" w:hAnsi="宋体" w:cs="宋体"/>
          <w:b/>
          <w:color w:val="auto"/>
          <w:sz w:val="24"/>
          <w:szCs w:val="24"/>
          <w:highlight w:val="none"/>
        </w:rPr>
        <w:t>七、授标</w:t>
      </w:r>
    </w:p>
    <w:p w14:paraId="31A2900D">
      <w:pPr>
        <w:spacing w:line="360" w:lineRule="auto"/>
        <w:rPr>
          <w:rFonts w:hAnsi="宋体" w:cs="宋体"/>
          <w:b/>
          <w:color w:val="auto"/>
          <w:sz w:val="24"/>
          <w:szCs w:val="24"/>
          <w:highlight w:val="none"/>
        </w:rPr>
      </w:pPr>
      <w:r>
        <w:rPr>
          <w:rFonts w:hint="eastAsia" w:hAnsi="宋体" w:cs="宋体"/>
          <w:b/>
          <w:color w:val="auto"/>
          <w:sz w:val="24"/>
          <w:szCs w:val="24"/>
          <w:highlight w:val="none"/>
        </w:rPr>
        <w:t>29. 中标单位的确认</w:t>
      </w:r>
    </w:p>
    <w:p w14:paraId="4CD8CCDB">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29.1 评标委员会根据投标单位资格审查情况，投标文件的评价和比较，按照招标文件的评分标准进行打分并汇总评分结果。</w:t>
      </w:r>
    </w:p>
    <w:p w14:paraId="69C29020">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29.2 甲方按评标委员会推荐的中标候选供应商顺序审核确定中标供应商。</w:t>
      </w:r>
    </w:p>
    <w:p w14:paraId="7B4EC022">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29.3 根据评标委员会推荐的中标候选人，采购代理机构在评标结束后规定时间内在政府采购信息媒体上发布“中标公告”。</w:t>
      </w:r>
    </w:p>
    <w:p w14:paraId="0E1D8883">
      <w:pPr>
        <w:spacing w:line="360" w:lineRule="auto"/>
        <w:rPr>
          <w:rFonts w:hAnsi="宋体" w:cs="宋体"/>
          <w:b/>
          <w:color w:val="auto"/>
          <w:sz w:val="24"/>
          <w:szCs w:val="24"/>
          <w:highlight w:val="none"/>
        </w:rPr>
      </w:pPr>
      <w:r>
        <w:rPr>
          <w:rFonts w:hint="eastAsia" w:hAnsi="宋体" w:cs="宋体"/>
          <w:b/>
          <w:color w:val="auto"/>
          <w:sz w:val="24"/>
          <w:szCs w:val="24"/>
          <w:highlight w:val="none"/>
        </w:rPr>
        <w:t>30. 中标人标准</w:t>
      </w:r>
    </w:p>
    <w:p w14:paraId="45FF2FDA">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30.1 确定为中标的投标人必须具有实施本合同的能力和资源。</w:t>
      </w:r>
    </w:p>
    <w:p w14:paraId="385104E2">
      <w:pPr>
        <w:spacing w:line="360" w:lineRule="auto"/>
        <w:rPr>
          <w:rFonts w:hAnsi="宋体" w:cs="宋体"/>
          <w:color w:val="auto"/>
          <w:sz w:val="24"/>
          <w:szCs w:val="24"/>
          <w:highlight w:val="none"/>
        </w:rPr>
      </w:pPr>
      <w:r>
        <w:rPr>
          <w:rFonts w:hint="eastAsia" w:hAnsi="宋体" w:cs="宋体"/>
          <w:color w:val="auto"/>
          <w:sz w:val="24"/>
          <w:szCs w:val="24"/>
          <w:highlight w:val="none"/>
        </w:rPr>
        <w:t>30.2 在合同签订之前，采购人和采购代理机构有权对中标单位的履约能力进行最后审查，如发现中标单位提供的投标文件和有关材料虚假或对招标书所要求说明的情况故意隐瞒或虚报，则有权取消其中标资格。</w:t>
      </w:r>
    </w:p>
    <w:p w14:paraId="0BD6F221">
      <w:pPr>
        <w:spacing w:line="360" w:lineRule="auto"/>
        <w:rPr>
          <w:rFonts w:hAnsi="宋体" w:cs="宋体"/>
          <w:b/>
          <w:color w:val="auto"/>
          <w:sz w:val="24"/>
          <w:szCs w:val="24"/>
          <w:highlight w:val="none"/>
        </w:rPr>
      </w:pPr>
      <w:r>
        <w:rPr>
          <w:rFonts w:hint="eastAsia" w:hAnsi="宋体" w:cs="宋体"/>
          <w:b/>
          <w:color w:val="auto"/>
          <w:sz w:val="24"/>
          <w:szCs w:val="24"/>
          <w:highlight w:val="none"/>
        </w:rPr>
        <w:t>31. 中标通知书</w:t>
      </w:r>
    </w:p>
    <w:p w14:paraId="65A664C4">
      <w:pPr>
        <w:pStyle w:val="10"/>
        <w:spacing w:line="360" w:lineRule="auto"/>
        <w:ind w:firstLine="0"/>
        <w:rPr>
          <w:rFonts w:hint="eastAsia" w:hAnsi="宋体" w:eastAsia="宋体" w:cs="宋体"/>
          <w:color w:val="auto"/>
          <w:szCs w:val="24"/>
          <w:highlight w:val="none"/>
        </w:rPr>
      </w:pPr>
      <w:r>
        <w:rPr>
          <w:rFonts w:hint="eastAsia" w:hAnsi="宋体" w:eastAsia="宋体" w:cs="宋体"/>
          <w:color w:val="auto"/>
          <w:szCs w:val="24"/>
          <w:highlight w:val="none"/>
        </w:rPr>
        <w:t>31.1 确定出中标人后，采购代理机构在法定时间内向中标人发出中标通知书。请中标人在中标结果公告届满之日起30日内,使用CA证书登录“苏采云”系统及时下载中标通知书。因系统存储空间有限，自中标结果公告届满之日起30日后，“苏采云”系统不再保证提供下载中标通知书服务,因未及时下载而造成的不利后果由中标人自行承担。中标通知书是合同的组成部分。</w:t>
      </w:r>
    </w:p>
    <w:p w14:paraId="55DF0124">
      <w:pPr>
        <w:pStyle w:val="10"/>
        <w:spacing w:line="360" w:lineRule="auto"/>
        <w:ind w:firstLine="0"/>
        <w:rPr>
          <w:rFonts w:hint="eastAsia" w:hAnsi="宋体" w:eastAsia="宋体" w:cs="宋体"/>
          <w:b/>
          <w:bCs/>
          <w:color w:val="auto"/>
          <w:szCs w:val="24"/>
          <w:highlight w:val="none"/>
        </w:rPr>
      </w:pPr>
      <w:r>
        <w:rPr>
          <w:rFonts w:hint="eastAsia" w:hAnsi="宋体" w:eastAsia="宋体" w:cs="宋体"/>
          <w:b/>
          <w:bCs/>
          <w:color w:val="auto"/>
          <w:szCs w:val="24"/>
          <w:highlight w:val="none"/>
        </w:rPr>
        <w:t>32.</w:t>
      </w:r>
      <w:r>
        <w:rPr>
          <w:rFonts w:hint="eastAsia" w:hAnsi="宋体" w:eastAsia="宋体" w:cs="宋体"/>
          <w:b/>
          <w:bCs/>
          <w:color w:val="auto"/>
          <w:szCs w:val="24"/>
          <w:highlight w:val="none"/>
          <w:lang w:val="zh-CN"/>
        </w:rPr>
        <w:t>告知招标结果</w:t>
      </w:r>
    </w:p>
    <w:p w14:paraId="7A339D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32.</w:t>
      </w:r>
      <w:r>
        <w:rPr>
          <w:rFonts w:hint="eastAsia" w:ascii="宋体" w:hAnsi="宋体" w:eastAsia="宋体" w:cs="宋体"/>
          <w:color w:val="auto"/>
          <w:sz w:val="24"/>
          <w:szCs w:val="24"/>
          <w:highlight w:val="none"/>
          <w:lang w:val="zh-CN" w:eastAsia="zh-CN" w:bidi="ar-SA"/>
        </w:rPr>
        <w:t>1 参与项目评审的未中标（成交）供应商可在中标公告（成交公告）公告期届满之日起7个工作日内电话咨询招标代理机构索取《未中标（成交）通知书》，招标代理机构应以电子邮件形式告知未中标（成交）供应商的评审得分与排名。未中标（成交）供应商未按约定的时间和方式获取告知信息的，视为自动放弃并自行承担相应后果。</w:t>
      </w:r>
    </w:p>
    <w:p w14:paraId="1DCC1BFF">
      <w:pPr>
        <w:spacing w:line="360" w:lineRule="auto"/>
        <w:rPr>
          <w:rFonts w:hAnsi="宋体" w:cs="宋体"/>
          <w:b/>
          <w:color w:val="auto"/>
          <w:sz w:val="24"/>
          <w:szCs w:val="24"/>
          <w:highlight w:val="none"/>
        </w:rPr>
      </w:pPr>
      <w:r>
        <w:rPr>
          <w:rFonts w:hint="eastAsia" w:hAnsi="宋体" w:cs="宋体"/>
          <w:b/>
          <w:color w:val="auto"/>
          <w:sz w:val="24"/>
          <w:szCs w:val="24"/>
          <w:highlight w:val="none"/>
        </w:rPr>
        <w:t>33. 合同的签订</w:t>
      </w:r>
    </w:p>
    <w:p w14:paraId="3A07E558">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33.1 中标单位应按中标通知书中规定的期限和地点，由法定代表人或被授权人与甲方代表签订合同。</w:t>
      </w:r>
    </w:p>
    <w:p w14:paraId="5513D154">
      <w:pPr>
        <w:pStyle w:val="10"/>
        <w:spacing w:line="360" w:lineRule="auto"/>
        <w:ind w:firstLine="0"/>
        <w:rPr>
          <w:rFonts w:hint="eastAsia" w:hAnsi="宋体" w:eastAsia="宋体" w:cs="宋体"/>
          <w:color w:val="auto"/>
          <w:szCs w:val="24"/>
          <w:highlight w:val="none"/>
        </w:rPr>
      </w:pPr>
      <w:r>
        <w:rPr>
          <w:rFonts w:hint="eastAsia" w:hAnsi="宋体" w:eastAsia="宋体" w:cs="宋体"/>
          <w:color w:val="auto"/>
          <w:szCs w:val="24"/>
          <w:highlight w:val="none"/>
        </w:rPr>
        <w:t>33.2 签订合同及合同条款应以招标文件和中标单位的投标文件为依据。</w:t>
      </w:r>
    </w:p>
    <w:p w14:paraId="0E497C3B">
      <w:pPr>
        <w:pStyle w:val="10"/>
        <w:spacing w:line="360" w:lineRule="auto"/>
        <w:ind w:firstLine="0"/>
        <w:rPr>
          <w:rFonts w:hint="eastAsia" w:hAnsi="宋体" w:eastAsia="宋体" w:cs="宋体"/>
          <w:color w:val="auto"/>
          <w:szCs w:val="24"/>
          <w:highlight w:val="none"/>
        </w:rPr>
      </w:pPr>
      <w:r>
        <w:rPr>
          <w:rFonts w:hint="eastAsia" w:hAnsi="宋体" w:eastAsia="宋体" w:cs="宋体"/>
          <w:color w:val="auto"/>
          <w:szCs w:val="24"/>
          <w:highlight w:val="none"/>
          <w:lang w:val="zh-CN"/>
        </w:rPr>
        <w:t>3</w:t>
      </w:r>
      <w:r>
        <w:rPr>
          <w:rFonts w:hint="eastAsia" w:hAnsi="宋体" w:eastAsia="宋体" w:cs="宋体"/>
          <w:color w:val="auto"/>
          <w:szCs w:val="24"/>
          <w:highlight w:val="none"/>
        </w:rPr>
        <w:t>3</w:t>
      </w:r>
      <w:r>
        <w:rPr>
          <w:rFonts w:hint="eastAsia" w:hAnsi="宋体" w:eastAsia="宋体" w:cs="宋体"/>
          <w:color w:val="auto"/>
          <w:szCs w:val="24"/>
          <w:highlight w:val="none"/>
          <w:lang w:val="zh-CN"/>
        </w:rPr>
        <w:t>.</w:t>
      </w:r>
      <w:r>
        <w:rPr>
          <w:rFonts w:hint="eastAsia" w:hAnsi="宋体" w:eastAsia="宋体" w:cs="宋体"/>
          <w:color w:val="auto"/>
          <w:szCs w:val="24"/>
          <w:highlight w:val="none"/>
        </w:rPr>
        <w:t>3</w:t>
      </w:r>
      <w:r>
        <w:rPr>
          <w:rFonts w:hint="eastAsia" w:hAnsi="宋体" w:eastAsia="宋体" w:cs="宋体"/>
          <w:color w:val="auto"/>
          <w:szCs w:val="24"/>
          <w:highlight w:val="none"/>
          <w:lang w:val="zh-CN"/>
        </w:rPr>
        <w:t>中标供应商应当自发出中标通知书之日起</w:t>
      </w:r>
      <w:r>
        <w:rPr>
          <w:rFonts w:hint="eastAsia" w:hAnsi="宋体" w:eastAsia="宋体" w:cs="宋体"/>
          <w:color w:val="auto"/>
          <w:szCs w:val="24"/>
          <w:highlight w:val="none"/>
          <w:lang w:val="en-US" w:eastAsia="zh-CN"/>
        </w:rPr>
        <w:t>30</w:t>
      </w:r>
      <w:r>
        <w:rPr>
          <w:rFonts w:hint="eastAsia" w:hAnsi="宋体" w:eastAsia="宋体" w:cs="宋体"/>
          <w:color w:val="auto"/>
          <w:szCs w:val="24"/>
          <w:highlight w:val="none"/>
          <w:lang w:val="zh-CN"/>
        </w:rPr>
        <w:t>日内，与采购人签订合同。</w:t>
      </w:r>
    </w:p>
    <w:p w14:paraId="37E1F693">
      <w:pPr>
        <w:pStyle w:val="10"/>
        <w:spacing w:line="360" w:lineRule="auto"/>
        <w:ind w:firstLine="0"/>
        <w:rPr>
          <w:rFonts w:hint="eastAsia" w:hAnsi="宋体" w:eastAsia="宋体" w:cs="宋体"/>
          <w:color w:val="auto"/>
          <w:szCs w:val="24"/>
          <w:highlight w:val="none"/>
        </w:rPr>
      </w:pPr>
      <w:r>
        <w:rPr>
          <w:rFonts w:hint="eastAsia" w:hAnsi="宋体" w:eastAsia="宋体" w:cs="宋体"/>
          <w:color w:val="auto"/>
          <w:szCs w:val="24"/>
          <w:highlight w:val="none"/>
        </w:rPr>
        <w:t>33</w:t>
      </w:r>
      <w:r>
        <w:rPr>
          <w:rFonts w:hint="eastAsia" w:hAnsi="宋体" w:eastAsia="宋体" w:cs="宋体"/>
          <w:color w:val="auto"/>
          <w:szCs w:val="24"/>
          <w:highlight w:val="none"/>
          <w:lang w:val="zh-CN"/>
        </w:rPr>
        <w:t>.</w:t>
      </w:r>
      <w:r>
        <w:rPr>
          <w:rFonts w:hint="eastAsia" w:hAnsi="宋体" w:eastAsia="宋体" w:cs="宋体"/>
          <w:color w:val="auto"/>
          <w:szCs w:val="24"/>
          <w:highlight w:val="none"/>
        </w:rPr>
        <w:t>4</w:t>
      </w:r>
      <w:r>
        <w:rPr>
          <w:rFonts w:hint="eastAsia" w:hAnsi="宋体" w:eastAsia="宋体" w:cs="宋体"/>
          <w:color w:val="auto"/>
          <w:szCs w:val="24"/>
          <w:highlight w:val="none"/>
          <w:lang w:val="zh-CN"/>
        </w:rPr>
        <w:t>招标文件、中标供应商的投标文件及其澄清文件等，均为签订合同的依据。</w:t>
      </w:r>
    </w:p>
    <w:p w14:paraId="5BF04172">
      <w:pPr>
        <w:pStyle w:val="10"/>
        <w:spacing w:line="360" w:lineRule="auto"/>
        <w:ind w:firstLine="0"/>
        <w:rPr>
          <w:rFonts w:hint="eastAsia" w:hAnsi="宋体" w:eastAsia="宋体" w:cs="宋体"/>
          <w:color w:val="auto"/>
          <w:szCs w:val="24"/>
          <w:highlight w:val="none"/>
        </w:rPr>
      </w:pPr>
      <w:r>
        <w:rPr>
          <w:rFonts w:hint="eastAsia" w:hAnsi="宋体" w:eastAsia="宋体" w:cs="宋体"/>
          <w:color w:val="auto"/>
          <w:szCs w:val="24"/>
          <w:highlight w:val="none"/>
          <w:lang w:val="zh-CN"/>
        </w:rPr>
        <w:t>3</w:t>
      </w:r>
      <w:r>
        <w:rPr>
          <w:rFonts w:hint="eastAsia" w:hAnsi="宋体" w:eastAsia="宋体" w:cs="宋体"/>
          <w:color w:val="auto"/>
          <w:szCs w:val="24"/>
          <w:highlight w:val="none"/>
        </w:rPr>
        <w:t>3</w:t>
      </w:r>
      <w:r>
        <w:rPr>
          <w:rFonts w:hint="eastAsia" w:hAnsi="宋体" w:eastAsia="宋体" w:cs="宋体"/>
          <w:color w:val="auto"/>
          <w:szCs w:val="24"/>
          <w:highlight w:val="none"/>
          <w:lang w:val="zh-CN"/>
        </w:rPr>
        <w:t>.</w:t>
      </w:r>
      <w:r>
        <w:rPr>
          <w:rFonts w:hint="eastAsia" w:hAnsi="宋体" w:eastAsia="宋体" w:cs="宋体"/>
          <w:color w:val="auto"/>
          <w:szCs w:val="24"/>
          <w:highlight w:val="none"/>
        </w:rPr>
        <w:t>5</w:t>
      </w:r>
      <w:r>
        <w:rPr>
          <w:rFonts w:hint="eastAsia" w:hAnsi="宋体" w:eastAsia="宋体" w:cs="宋体"/>
          <w:color w:val="auto"/>
          <w:szCs w:val="24"/>
          <w:highlight w:val="none"/>
          <w:lang w:val="zh-CN"/>
        </w:rPr>
        <w:t>中标人无正当理由不得拒绝签订政府采购合同。</w:t>
      </w:r>
    </w:p>
    <w:p w14:paraId="3928C630">
      <w:pPr>
        <w:spacing w:line="360" w:lineRule="auto"/>
        <w:rPr>
          <w:rFonts w:hint="eastAsia" w:hAnsi="宋体" w:cs="宋体"/>
          <w:b/>
          <w:color w:val="auto"/>
          <w:sz w:val="24"/>
          <w:szCs w:val="24"/>
          <w:highlight w:val="none"/>
        </w:rPr>
      </w:pPr>
      <w:r>
        <w:rPr>
          <w:rFonts w:hint="eastAsia" w:hAnsi="宋体" w:cs="宋体"/>
          <w:b/>
          <w:color w:val="auto"/>
          <w:sz w:val="24"/>
          <w:szCs w:val="24"/>
          <w:highlight w:val="none"/>
        </w:rPr>
        <w:t>34.履约保证金：</w:t>
      </w:r>
      <w:r>
        <w:rPr>
          <w:rFonts w:hint="eastAsia" w:hAnsi="宋体" w:cs="宋体"/>
          <w:b/>
          <w:color w:val="auto"/>
          <w:sz w:val="24"/>
          <w:szCs w:val="24"/>
          <w:highlight w:val="none"/>
          <w:lang w:val="en-US" w:eastAsia="zh-CN"/>
        </w:rPr>
        <w:t>详见前附表</w:t>
      </w:r>
      <w:r>
        <w:rPr>
          <w:rFonts w:hint="eastAsia" w:hAnsi="宋体" w:cs="宋体"/>
          <w:b/>
          <w:color w:val="auto"/>
          <w:sz w:val="24"/>
          <w:szCs w:val="24"/>
          <w:highlight w:val="none"/>
        </w:rPr>
        <w:t>。</w:t>
      </w:r>
    </w:p>
    <w:p w14:paraId="5024F897">
      <w:pPr>
        <w:spacing w:line="360" w:lineRule="auto"/>
        <w:outlineLvl w:val="0"/>
        <w:rPr>
          <w:rFonts w:hAnsi="宋体" w:cs="宋体"/>
          <w:b/>
          <w:color w:val="auto"/>
          <w:sz w:val="24"/>
          <w:szCs w:val="24"/>
          <w:highlight w:val="none"/>
        </w:rPr>
      </w:pPr>
      <w:r>
        <w:rPr>
          <w:rFonts w:hint="eastAsia" w:hAnsi="宋体" w:cs="宋体"/>
          <w:b/>
          <w:color w:val="auto"/>
          <w:sz w:val="24"/>
          <w:szCs w:val="24"/>
          <w:highlight w:val="none"/>
        </w:rPr>
        <w:t>八、其他事项</w:t>
      </w:r>
    </w:p>
    <w:p w14:paraId="41D9D829">
      <w:pPr>
        <w:spacing w:line="360" w:lineRule="auto"/>
        <w:rPr>
          <w:rFonts w:hint="eastAsia" w:hAnsi="宋体" w:cs="宋体"/>
          <w:b/>
          <w:bCs/>
          <w:color w:val="auto"/>
          <w:sz w:val="24"/>
          <w:szCs w:val="22"/>
          <w:highlight w:val="none"/>
        </w:rPr>
      </w:pPr>
      <w:r>
        <w:rPr>
          <w:rFonts w:hint="eastAsia" w:hAnsi="宋体" w:cs="宋体"/>
          <w:b/>
          <w:bCs/>
          <w:color w:val="auto"/>
          <w:sz w:val="24"/>
          <w:szCs w:val="22"/>
          <w:highlight w:val="none"/>
        </w:rPr>
        <w:t>35. 中标服务费</w:t>
      </w:r>
    </w:p>
    <w:p w14:paraId="25D6857E">
      <w:pPr>
        <w:pStyle w:val="10"/>
        <w:spacing w:line="360" w:lineRule="auto"/>
        <w:ind w:firstLine="0"/>
        <w:rPr>
          <w:rFonts w:hint="eastAsia" w:hAnsi="宋体" w:eastAsia="宋体" w:cs="宋体"/>
          <w:color w:val="auto"/>
          <w:szCs w:val="22"/>
          <w:highlight w:val="none"/>
        </w:rPr>
      </w:pPr>
      <w:r>
        <w:rPr>
          <w:rFonts w:hint="eastAsia" w:hAnsi="宋体" w:eastAsia="宋体" w:cs="宋体"/>
          <w:color w:val="auto"/>
          <w:szCs w:val="22"/>
          <w:highlight w:val="none"/>
        </w:rPr>
        <w:t>35.1本项目服务</w:t>
      </w:r>
      <w:r>
        <w:rPr>
          <w:rFonts w:hint="eastAsia" w:hAnsi="宋体" w:eastAsia="宋体" w:cs="宋体"/>
          <w:color w:val="auto"/>
          <w:szCs w:val="24"/>
          <w:highlight w:val="none"/>
        </w:rPr>
        <w:t>根据2021年苏州市级政府采购代理服务收费公告信息变更表（第四批）的规定</w:t>
      </w:r>
      <w:r>
        <w:rPr>
          <w:rFonts w:hint="eastAsia" w:hAnsi="宋体" w:eastAsia="宋体" w:cs="宋体"/>
          <w:color w:val="auto"/>
          <w:szCs w:val="22"/>
          <w:highlight w:val="none"/>
        </w:rPr>
        <w:t>的由成交单位支付成交服务费。领取中标通知书时向招标代理机构一次付清。收取方式为转账或现金。</w:t>
      </w:r>
    </w:p>
    <w:p w14:paraId="089BDB47">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rPr>
        <w:t>35.2 中标单位如果未按规定缴纳中标服务费，采购代理机构将保留诉讼的权利。</w:t>
      </w:r>
    </w:p>
    <w:p w14:paraId="26BDC766">
      <w:pPr>
        <w:spacing w:line="360" w:lineRule="auto"/>
        <w:rPr>
          <w:rFonts w:hAnsi="宋体" w:cs="宋体"/>
          <w:b/>
          <w:color w:val="auto"/>
          <w:sz w:val="24"/>
          <w:szCs w:val="24"/>
          <w:highlight w:val="none"/>
        </w:rPr>
      </w:pPr>
      <w:r>
        <w:rPr>
          <w:rFonts w:hint="eastAsia" w:hAnsi="宋体" w:cs="宋体"/>
          <w:b/>
          <w:color w:val="auto"/>
          <w:sz w:val="24"/>
          <w:szCs w:val="24"/>
          <w:highlight w:val="none"/>
        </w:rPr>
        <w:t>36. 监督和公证</w:t>
      </w:r>
    </w:p>
    <w:p w14:paraId="2BA1B4EC">
      <w:pPr>
        <w:pStyle w:val="10"/>
        <w:spacing w:line="360" w:lineRule="auto"/>
        <w:ind w:firstLine="0"/>
        <w:rPr>
          <w:rFonts w:hint="eastAsia" w:hAnsi="宋体" w:eastAsia="宋体" w:cs="宋体"/>
          <w:color w:val="auto"/>
          <w:szCs w:val="22"/>
          <w:highlight w:val="none"/>
        </w:rPr>
      </w:pPr>
      <w:r>
        <w:rPr>
          <w:rFonts w:hint="eastAsia" w:hAnsi="宋体" w:eastAsia="宋体" w:cs="宋体"/>
          <w:color w:val="auto"/>
          <w:szCs w:val="22"/>
          <w:highlight w:val="none"/>
        </w:rPr>
        <w:t>36.1 有关监督部门将对招投标全过程进行监督。</w:t>
      </w:r>
    </w:p>
    <w:p w14:paraId="0D6CD8C3">
      <w:pPr>
        <w:pStyle w:val="10"/>
        <w:spacing w:line="360" w:lineRule="auto"/>
        <w:ind w:firstLine="0"/>
        <w:rPr>
          <w:rFonts w:hint="eastAsia" w:hAnsi="宋体" w:eastAsia="宋体" w:cs="宋体"/>
          <w:color w:val="auto"/>
          <w:szCs w:val="22"/>
          <w:highlight w:val="none"/>
          <w:lang w:eastAsia="zh-CN"/>
        </w:rPr>
      </w:pPr>
      <w:r>
        <w:rPr>
          <w:rFonts w:hint="eastAsia" w:hAnsi="宋体" w:eastAsia="宋体" w:cs="宋体"/>
          <w:color w:val="auto"/>
          <w:szCs w:val="22"/>
          <w:highlight w:val="none"/>
        </w:rPr>
        <w:t>36.2 采购代理机构的投、开、评标过程可通过公证机关进行公证。</w:t>
      </w:r>
      <w:r>
        <w:rPr>
          <w:rFonts w:hint="eastAsia" w:hAnsi="宋体" w:eastAsia="宋体" w:cs="宋体"/>
          <w:color w:val="auto"/>
          <w:szCs w:val="22"/>
          <w:highlight w:val="none"/>
          <w:lang w:eastAsia="zh-CN"/>
        </w:rPr>
        <w:t>（</w:t>
      </w:r>
      <w:r>
        <w:rPr>
          <w:rFonts w:hint="eastAsia" w:hAnsi="宋体" w:eastAsia="宋体" w:cs="宋体"/>
          <w:color w:val="auto"/>
          <w:szCs w:val="22"/>
          <w:highlight w:val="none"/>
          <w:lang w:val="en-US" w:eastAsia="zh-CN"/>
        </w:rPr>
        <w:t>如有</w:t>
      </w:r>
      <w:r>
        <w:rPr>
          <w:rFonts w:hint="eastAsia" w:hAnsi="宋体" w:eastAsia="宋体" w:cs="宋体"/>
          <w:color w:val="auto"/>
          <w:szCs w:val="22"/>
          <w:highlight w:val="none"/>
          <w:lang w:eastAsia="zh-CN"/>
        </w:rPr>
        <w:t>）</w:t>
      </w:r>
    </w:p>
    <w:p w14:paraId="135365F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37. </w:t>
      </w:r>
      <w:r>
        <w:rPr>
          <w:rFonts w:hint="eastAsia" w:ascii="宋体" w:hAnsi="宋体" w:eastAsia="宋体" w:cs="宋体"/>
          <w:b/>
          <w:color w:val="auto"/>
          <w:sz w:val="24"/>
          <w:szCs w:val="24"/>
          <w:highlight w:val="none"/>
          <w:lang w:val="zh-CN"/>
        </w:rPr>
        <w:t>未尽事宜</w:t>
      </w:r>
    </w:p>
    <w:p w14:paraId="2167E846">
      <w:pPr>
        <w:pStyle w:val="10"/>
        <w:spacing w:line="360" w:lineRule="auto"/>
        <w:ind w:firstLine="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zh-CN"/>
        </w:rPr>
        <w:t>按《中华人民共和国政府采购法》及其他有关政府采购的法律法规的规定执行。</w:t>
      </w:r>
    </w:p>
    <w:p w14:paraId="28E35F05">
      <w:pPr>
        <w:rPr>
          <w:color w:val="auto"/>
          <w:highlight w:val="none"/>
        </w:rPr>
      </w:pPr>
    </w:p>
    <w:p w14:paraId="41A1D31A">
      <w:pPr>
        <w:spacing w:line="360" w:lineRule="auto"/>
        <w:rPr>
          <w:rFonts w:hAnsi="宋体" w:cs="宋体"/>
          <w:color w:val="auto"/>
          <w:sz w:val="24"/>
          <w:szCs w:val="24"/>
          <w:highlight w:val="none"/>
        </w:rPr>
      </w:pPr>
    </w:p>
    <w:p w14:paraId="01364D4D">
      <w:pPr>
        <w:pStyle w:val="10"/>
        <w:spacing w:line="360" w:lineRule="auto"/>
        <w:ind w:firstLine="0"/>
        <w:jc w:val="center"/>
        <w:rPr>
          <w:rFonts w:hint="eastAsia" w:hAnsi="宋体" w:eastAsia="宋体" w:cs="宋体"/>
          <w:b/>
          <w:color w:val="auto"/>
          <w:szCs w:val="24"/>
          <w:highlight w:val="none"/>
        </w:rPr>
      </w:pPr>
    </w:p>
    <w:p w14:paraId="2451907C">
      <w:pPr>
        <w:pStyle w:val="10"/>
        <w:spacing w:line="360" w:lineRule="auto"/>
        <w:ind w:firstLine="0"/>
        <w:jc w:val="center"/>
        <w:rPr>
          <w:rFonts w:hint="eastAsia" w:hAnsi="宋体" w:eastAsia="宋体" w:cs="宋体"/>
          <w:b/>
          <w:color w:val="auto"/>
          <w:szCs w:val="24"/>
          <w:highlight w:val="none"/>
        </w:rPr>
      </w:pPr>
    </w:p>
    <w:p w14:paraId="6EEECD31">
      <w:pPr>
        <w:pStyle w:val="10"/>
        <w:spacing w:line="360" w:lineRule="auto"/>
        <w:ind w:firstLine="0"/>
        <w:jc w:val="center"/>
        <w:rPr>
          <w:rFonts w:hint="eastAsia" w:hAnsi="宋体" w:eastAsia="宋体" w:cs="宋体"/>
          <w:b/>
          <w:color w:val="auto"/>
          <w:szCs w:val="24"/>
          <w:highlight w:val="none"/>
        </w:rPr>
      </w:pPr>
    </w:p>
    <w:p w14:paraId="295EE8C4">
      <w:pPr>
        <w:pStyle w:val="10"/>
        <w:spacing w:line="360" w:lineRule="auto"/>
        <w:ind w:firstLine="0"/>
        <w:jc w:val="center"/>
        <w:rPr>
          <w:rFonts w:hint="eastAsia" w:hAnsi="宋体" w:eastAsia="宋体" w:cs="宋体"/>
          <w:b/>
          <w:color w:val="auto"/>
          <w:szCs w:val="24"/>
          <w:highlight w:val="none"/>
        </w:rPr>
      </w:pPr>
    </w:p>
    <w:p w14:paraId="628E6EDD">
      <w:pPr>
        <w:pStyle w:val="10"/>
        <w:spacing w:line="360" w:lineRule="auto"/>
        <w:ind w:firstLine="0"/>
        <w:jc w:val="center"/>
        <w:rPr>
          <w:rFonts w:hint="eastAsia" w:hAnsi="宋体" w:eastAsia="宋体" w:cs="宋体"/>
          <w:b/>
          <w:color w:val="auto"/>
          <w:szCs w:val="24"/>
          <w:highlight w:val="none"/>
        </w:rPr>
      </w:pPr>
    </w:p>
    <w:p w14:paraId="2EB399B8">
      <w:pPr>
        <w:rPr>
          <w:rFonts w:hint="eastAsia"/>
          <w:color w:val="auto"/>
          <w:highlight w:val="none"/>
        </w:rPr>
      </w:pPr>
    </w:p>
    <w:p w14:paraId="62696E83">
      <w:pPr>
        <w:pStyle w:val="10"/>
        <w:spacing w:line="360" w:lineRule="auto"/>
        <w:ind w:firstLine="0"/>
        <w:jc w:val="center"/>
        <w:rPr>
          <w:rFonts w:hAnsi="宋体" w:eastAsia="宋体" w:cs="宋体"/>
          <w:b/>
          <w:color w:val="auto"/>
          <w:szCs w:val="24"/>
          <w:highlight w:val="none"/>
        </w:rPr>
      </w:pPr>
      <w:r>
        <w:rPr>
          <w:rFonts w:hint="eastAsia" w:hAnsi="宋体" w:eastAsia="宋体" w:cs="宋体"/>
          <w:b/>
          <w:color w:val="auto"/>
          <w:szCs w:val="24"/>
          <w:highlight w:val="none"/>
        </w:rPr>
        <w:t>投标文件格式</w:t>
      </w:r>
    </w:p>
    <w:p w14:paraId="00A6FD0F">
      <w:pPr>
        <w:pStyle w:val="10"/>
        <w:spacing w:line="360" w:lineRule="auto"/>
        <w:ind w:firstLine="0"/>
        <w:rPr>
          <w:rFonts w:hAnsi="宋体" w:eastAsia="宋体" w:cs="宋体"/>
          <w:b/>
          <w:color w:val="auto"/>
          <w:szCs w:val="24"/>
          <w:highlight w:val="none"/>
        </w:rPr>
      </w:pPr>
    </w:p>
    <w:p w14:paraId="5AEB1022">
      <w:pPr>
        <w:pStyle w:val="10"/>
        <w:spacing w:line="360" w:lineRule="auto"/>
        <w:ind w:firstLine="0"/>
        <w:rPr>
          <w:rFonts w:hAnsi="宋体" w:eastAsia="宋体" w:cs="宋体"/>
          <w:b/>
          <w:color w:val="auto"/>
          <w:szCs w:val="24"/>
          <w:highlight w:val="none"/>
        </w:rPr>
      </w:pPr>
      <w:r>
        <w:rPr>
          <w:rFonts w:hint="eastAsia" w:hAnsi="宋体" w:eastAsia="宋体" w:cs="宋体"/>
          <w:b/>
          <w:color w:val="auto"/>
          <w:szCs w:val="24"/>
          <w:highlight w:val="none"/>
        </w:rPr>
        <w:t>说明：</w:t>
      </w:r>
    </w:p>
    <w:p w14:paraId="13D600AD">
      <w:pPr>
        <w:pStyle w:val="10"/>
        <w:spacing w:line="360" w:lineRule="auto"/>
        <w:ind w:firstLine="0"/>
        <w:rPr>
          <w:rFonts w:hAnsi="宋体" w:eastAsia="宋体" w:cs="宋体"/>
          <w:b/>
          <w:color w:val="auto"/>
          <w:szCs w:val="24"/>
          <w:highlight w:val="none"/>
        </w:rPr>
      </w:pPr>
      <w:r>
        <w:rPr>
          <w:rFonts w:hint="eastAsia" w:hAnsi="宋体" w:eastAsia="宋体" w:cs="宋体"/>
          <w:b/>
          <w:color w:val="auto"/>
          <w:szCs w:val="24"/>
          <w:highlight w:val="none"/>
        </w:rPr>
        <w:t>对本章所有的投标书格式，投标方可根据自身情况进行补充和修改，但补充和修改不得造成与本格式内容有实质性的违背。</w:t>
      </w:r>
    </w:p>
    <w:p w14:paraId="702DF35E">
      <w:pPr>
        <w:pStyle w:val="10"/>
        <w:spacing w:line="360" w:lineRule="auto"/>
        <w:ind w:firstLine="0"/>
        <w:rPr>
          <w:rFonts w:hAnsi="宋体" w:eastAsia="宋体" w:cs="宋体"/>
          <w:b/>
          <w:color w:val="auto"/>
          <w:szCs w:val="24"/>
          <w:highlight w:val="none"/>
        </w:rPr>
      </w:pPr>
    </w:p>
    <w:p w14:paraId="51055851">
      <w:pPr>
        <w:pStyle w:val="10"/>
        <w:spacing w:line="360" w:lineRule="auto"/>
        <w:ind w:firstLine="0"/>
        <w:rPr>
          <w:rFonts w:hAnsi="宋体" w:eastAsia="宋体" w:cs="宋体"/>
          <w:color w:val="auto"/>
          <w:szCs w:val="24"/>
          <w:highlight w:val="none"/>
        </w:rPr>
      </w:pPr>
    </w:p>
    <w:p w14:paraId="491B405A">
      <w:pPr>
        <w:pStyle w:val="10"/>
        <w:spacing w:line="360" w:lineRule="auto"/>
        <w:ind w:firstLine="0"/>
        <w:rPr>
          <w:rFonts w:hAnsi="宋体" w:eastAsia="宋体" w:cs="宋体"/>
          <w:color w:val="auto"/>
          <w:szCs w:val="24"/>
          <w:highlight w:val="none"/>
        </w:rPr>
      </w:pPr>
    </w:p>
    <w:p w14:paraId="790977DE">
      <w:pPr>
        <w:pStyle w:val="10"/>
        <w:spacing w:line="360" w:lineRule="auto"/>
        <w:ind w:firstLine="0"/>
        <w:rPr>
          <w:rFonts w:hAnsi="宋体" w:eastAsia="宋体" w:cs="宋体"/>
          <w:color w:val="auto"/>
          <w:szCs w:val="24"/>
          <w:highlight w:val="none"/>
        </w:rPr>
      </w:pPr>
    </w:p>
    <w:p w14:paraId="060B47B1">
      <w:pPr>
        <w:pStyle w:val="10"/>
        <w:spacing w:line="360" w:lineRule="auto"/>
        <w:ind w:firstLine="0"/>
        <w:rPr>
          <w:rFonts w:hAnsi="宋体" w:eastAsia="宋体" w:cs="宋体"/>
          <w:color w:val="auto"/>
          <w:szCs w:val="24"/>
          <w:highlight w:val="none"/>
        </w:rPr>
      </w:pPr>
    </w:p>
    <w:p w14:paraId="62ECCDEE">
      <w:pPr>
        <w:pStyle w:val="10"/>
        <w:spacing w:line="360" w:lineRule="auto"/>
        <w:ind w:firstLine="0"/>
        <w:rPr>
          <w:rFonts w:hAnsi="宋体" w:eastAsia="宋体" w:cs="宋体"/>
          <w:color w:val="auto"/>
          <w:szCs w:val="24"/>
          <w:highlight w:val="none"/>
        </w:rPr>
      </w:pPr>
    </w:p>
    <w:p w14:paraId="1DAF1173">
      <w:pPr>
        <w:pStyle w:val="10"/>
        <w:spacing w:line="360" w:lineRule="auto"/>
        <w:ind w:firstLine="0"/>
        <w:rPr>
          <w:rFonts w:hAnsi="宋体" w:eastAsia="宋体" w:cs="宋体"/>
          <w:color w:val="auto"/>
          <w:szCs w:val="24"/>
          <w:highlight w:val="none"/>
        </w:rPr>
      </w:pPr>
    </w:p>
    <w:p w14:paraId="6F9D8CE5">
      <w:pPr>
        <w:pStyle w:val="10"/>
        <w:spacing w:line="360" w:lineRule="auto"/>
        <w:ind w:firstLine="0"/>
        <w:rPr>
          <w:rFonts w:hAnsi="宋体" w:eastAsia="宋体" w:cs="宋体"/>
          <w:color w:val="auto"/>
          <w:szCs w:val="24"/>
          <w:highlight w:val="none"/>
        </w:rPr>
      </w:pPr>
    </w:p>
    <w:p w14:paraId="6F600579">
      <w:pPr>
        <w:pStyle w:val="10"/>
        <w:spacing w:line="360" w:lineRule="auto"/>
        <w:ind w:firstLine="0"/>
        <w:rPr>
          <w:rFonts w:hAnsi="宋体" w:eastAsia="宋体" w:cs="宋体"/>
          <w:color w:val="auto"/>
          <w:szCs w:val="24"/>
          <w:highlight w:val="none"/>
        </w:rPr>
      </w:pPr>
    </w:p>
    <w:p w14:paraId="6B5D727E">
      <w:pPr>
        <w:pStyle w:val="10"/>
        <w:spacing w:line="360" w:lineRule="auto"/>
        <w:ind w:firstLine="0"/>
        <w:rPr>
          <w:rFonts w:hAnsi="宋体" w:eastAsia="宋体" w:cs="宋体"/>
          <w:color w:val="auto"/>
          <w:szCs w:val="24"/>
          <w:highlight w:val="none"/>
        </w:rPr>
      </w:pPr>
    </w:p>
    <w:p w14:paraId="7F0B098A">
      <w:pPr>
        <w:pStyle w:val="10"/>
        <w:spacing w:line="360" w:lineRule="auto"/>
        <w:ind w:firstLine="0"/>
        <w:rPr>
          <w:rFonts w:hAnsi="宋体" w:eastAsia="宋体" w:cs="宋体"/>
          <w:color w:val="auto"/>
          <w:szCs w:val="24"/>
          <w:highlight w:val="none"/>
        </w:rPr>
      </w:pPr>
    </w:p>
    <w:p w14:paraId="51EEC0E8">
      <w:pPr>
        <w:pStyle w:val="10"/>
        <w:spacing w:line="360" w:lineRule="auto"/>
        <w:ind w:firstLine="0"/>
        <w:rPr>
          <w:rFonts w:hAnsi="宋体" w:eastAsia="宋体" w:cs="宋体"/>
          <w:color w:val="auto"/>
          <w:szCs w:val="24"/>
          <w:highlight w:val="none"/>
        </w:rPr>
      </w:pPr>
    </w:p>
    <w:p w14:paraId="1CBEF212">
      <w:pPr>
        <w:pStyle w:val="10"/>
        <w:spacing w:line="360" w:lineRule="auto"/>
        <w:ind w:firstLine="0"/>
        <w:rPr>
          <w:rFonts w:hAnsi="宋体" w:eastAsia="宋体" w:cs="宋体"/>
          <w:color w:val="auto"/>
          <w:szCs w:val="24"/>
          <w:highlight w:val="none"/>
        </w:rPr>
      </w:pPr>
    </w:p>
    <w:p w14:paraId="60668144">
      <w:pPr>
        <w:pStyle w:val="10"/>
        <w:spacing w:line="360" w:lineRule="auto"/>
        <w:ind w:firstLine="0"/>
        <w:rPr>
          <w:rFonts w:hAnsi="宋体" w:eastAsia="宋体" w:cs="宋体"/>
          <w:b/>
          <w:color w:val="auto"/>
          <w:szCs w:val="24"/>
          <w:highlight w:val="none"/>
        </w:rPr>
      </w:pPr>
    </w:p>
    <w:p w14:paraId="102FDB38">
      <w:pPr>
        <w:pStyle w:val="10"/>
        <w:spacing w:line="360" w:lineRule="auto"/>
        <w:ind w:firstLine="0"/>
        <w:rPr>
          <w:rFonts w:hAnsi="宋体" w:eastAsia="宋体" w:cs="宋体"/>
          <w:b/>
          <w:color w:val="auto"/>
          <w:szCs w:val="24"/>
          <w:highlight w:val="none"/>
        </w:rPr>
      </w:pPr>
    </w:p>
    <w:p w14:paraId="215F1041">
      <w:pPr>
        <w:pStyle w:val="10"/>
        <w:spacing w:line="360" w:lineRule="auto"/>
        <w:ind w:firstLine="0"/>
        <w:rPr>
          <w:rFonts w:hAnsi="宋体" w:eastAsia="宋体" w:cs="宋体"/>
          <w:b/>
          <w:color w:val="auto"/>
          <w:szCs w:val="24"/>
          <w:highlight w:val="none"/>
        </w:rPr>
      </w:pPr>
      <w:r>
        <w:rPr>
          <w:rFonts w:hint="eastAsia" w:hAnsi="宋体" w:eastAsia="宋体" w:cs="宋体"/>
          <w:b/>
          <w:color w:val="auto"/>
          <w:szCs w:val="24"/>
          <w:highlight w:val="none"/>
        </w:rPr>
        <w:br w:type="page" w:clear="all"/>
      </w:r>
      <w:r>
        <w:rPr>
          <w:rFonts w:hint="eastAsia" w:hAnsi="宋体" w:eastAsia="宋体" w:cs="宋体"/>
          <w:b/>
          <w:color w:val="auto"/>
          <w:szCs w:val="24"/>
          <w:highlight w:val="none"/>
        </w:rPr>
        <w:t>1、法定代表人身份证明书及（投标方）法定代表人授权委托书</w:t>
      </w:r>
    </w:p>
    <w:p w14:paraId="52D0DC40">
      <w:pPr>
        <w:pStyle w:val="10"/>
        <w:spacing w:line="360" w:lineRule="auto"/>
        <w:ind w:firstLine="0"/>
        <w:rPr>
          <w:rFonts w:hAnsi="宋体" w:eastAsia="宋体" w:cs="宋体"/>
          <w:color w:val="auto"/>
          <w:szCs w:val="24"/>
          <w:highlight w:val="none"/>
        </w:rPr>
      </w:pPr>
    </w:p>
    <w:p w14:paraId="117D3DDB">
      <w:pPr>
        <w:spacing w:line="360" w:lineRule="auto"/>
        <w:jc w:val="center"/>
        <w:rPr>
          <w:rFonts w:ascii="黑体" w:hAnsi="黑体" w:eastAsia="黑体" w:cs="Arial"/>
          <w:color w:val="auto"/>
          <w:sz w:val="30"/>
          <w:szCs w:val="30"/>
          <w:highlight w:val="none"/>
          <w:shd w:val="clear" w:color="auto" w:fill="FFFFFF"/>
        </w:rPr>
      </w:pPr>
      <w:r>
        <w:rPr>
          <w:rFonts w:hint="eastAsia" w:ascii="黑体" w:hAnsi="黑体" w:eastAsia="黑体"/>
          <w:color w:val="auto"/>
          <w:sz w:val="30"/>
          <w:szCs w:val="30"/>
          <w:highlight w:val="none"/>
        </w:rPr>
        <w:t>法定代表人</w:t>
      </w:r>
      <w:r>
        <w:rPr>
          <w:rFonts w:ascii="黑体" w:hAnsi="黑体" w:eastAsia="黑体"/>
          <w:color w:val="auto"/>
          <w:sz w:val="30"/>
          <w:szCs w:val="30"/>
          <w:highlight w:val="none"/>
        </w:rPr>
        <w:t>身份证明书</w:t>
      </w:r>
    </w:p>
    <w:p w14:paraId="4C68C53A">
      <w:pPr>
        <w:spacing w:line="360" w:lineRule="auto"/>
        <w:rPr>
          <w:rFonts w:ascii="Arial" w:hAnsi="Arial" w:cs="Arial"/>
          <w:color w:val="auto"/>
          <w:highlight w:val="none"/>
          <w:shd w:val="clear" w:color="auto" w:fill="FFFFFF"/>
        </w:rPr>
      </w:pPr>
    </w:p>
    <w:p w14:paraId="13DA811B">
      <w:pPr>
        <w:spacing w:line="360" w:lineRule="auto"/>
        <w:rPr>
          <w:rFonts w:hAnsi="宋体"/>
          <w:color w:val="auto"/>
          <w:sz w:val="24"/>
          <w:highlight w:val="none"/>
        </w:rPr>
      </w:pPr>
      <w:r>
        <w:rPr>
          <w:rFonts w:hAnsi="宋体"/>
          <w:color w:val="auto"/>
          <w:sz w:val="24"/>
          <w:highlight w:val="none"/>
          <w:u w:val="single"/>
        </w:rPr>
        <w:t>致</w:t>
      </w:r>
      <w:r>
        <w:rPr>
          <w:rFonts w:hint="eastAsia" w:hAnsi="宋体"/>
          <w:color w:val="auto"/>
          <w:sz w:val="24"/>
          <w:highlight w:val="none"/>
          <w:u w:val="single"/>
        </w:rPr>
        <w:t>（采购代理机构名称）</w:t>
      </w:r>
      <w:r>
        <w:rPr>
          <w:rFonts w:hint="eastAsia" w:hAnsi="宋体"/>
          <w:color w:val="auto"/>
          <w:sz w:val="24"/>
          <w:highlight w:val="none"/>
        </w:rPr>
        <w:t>：</w:t>
      </w:r>
    </w:p>
    <w:p w14:paraId="342E59EB">
      <w:pPr>
        <w:spacing w:line="360" w:lineRule="auto"/>
        <w:ind w:firstLine="480"/>
        <w:rPr>
          <w:rFonts w:hAnsi="宋体"/>
          <w:color w:val="auto"/>
          <w:sz w:val="24"/>
          <w:highlight w:val="none"/>
        </w:rPr>
      </w:pP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rPr>
        <w:t>（姓名、性别、年龄</w:t>
      </w:r>
      <w:r>
        <w:rPr>
          <w:rFonts w:hint="eastAsia" w:hAnsi="宋体"/>
          <w:color w:val="auto"/>
          <w:sz w:val="24"/>
          <w:highlight w:val="none"/>
        </w:rPr>
        <w:t>、身份证</w:t>
      </w:r>
      <w:r>
        <w:rPr>
          <w:rFonts w:hAnsi="宋体"/>
          <w:color w:val="auto"/>
          <w:sz w:val="24"/>
          <w:highlight w:val="none"/>
        </w:rPr>
        <w:t>号码）在我</w:t>
      </w:r>
      <w:r>
        <w:rPr>
          <w:color w:val="auto"/>
          <w:highlight w:val="none"/>
        </w:rPr>
        <w:fldChar w:fldCharType="begin"/>
      </w:r>
      <w:r>
        <w:rPr>
          <w:color w:val="auto"/>
          <w:highlight w:val="none"/>
        </w:rPr>
        <w:instrText xml:space="preserve"> HYPERLINK "https://baike.baidu.com/item/%E5%8D%95%E4%BD%8D/32292" \t "_blank" </w:instrText>
      </w:r>
      <w:r>
        <w:rPr>
          <w:color w:val="auto"/>
          <w:highlight w:val="none"/>
        </w:rPr>
        <w:fldChar w:fldCharType="separate"/>
      </w:r>
      <w:r>
        <w:rPr>
          <w:rFonts w:hAnsi="宋体"/>
          <w:color w:val="auto"/>
          <w:sz w:val="24"/>
          <w:highlight w:val="none"/>
        </w:rPr>
        <w:t>单位</w:t>
      </w:r>
      <w:r>
        <w:rPr>
          <w:rFonts w:hAnsi="宋体"/>
          <w:color w:val="auto"/>
          <w:sz w:val="24"/>
          <w:highlight w:val="none"/>
        </w:rPr>
        <w:fldChar w:fldCharType="end"/>
      </w:r>
      <w:r>
        <w:rPr>
          <w:rFonts w:hAnsi="宋体"/>
          <w:color w:val="auto"/>
          <w:sz w:val="24"/>
          <w:highlight w:val="none"/>
        </w:rPr>
        <w:t>任</w:t>
      </w:r>
      <w:r>
        <w:rPr>
          <w:rFonts w:hAnsi="宋体"/>
          <w:color w:val="auto"/>
          <w:sz w:val="24"/>
          <w:highlight w:val="none"/>
          <w:u w:val="single"/>
        </w:rPr>
        <w:t xml:space="preserve">        </w:t>
      </w:r>
      <w:r>
        <w:rPr>
          <w:rFonts w:hAnsi="宋体"/>
          <w:color w:val="auto"/>
          <w:sz w:val="24"/>
          <w:highlight w:val="none"/>
        </w:rPr>
        <w:t>（董事长、总经理等）职务，是我单位的法定代表人。</w:t>
      </w:r>
    </w:p>
    <w:p w14:paraId="1177990D">
      <w:pPr>
        <w:spacing w:line="360" w:lineRule="auto"/>
        <w:rPr>
          <w:rFonts w:hAnsi="宋体"/>
          <w:color w:val="auto"/>
          <w:sz w:val="24"/>
          <w:highlight w:val="none"/>
        </w:rPr>
      </w:pPr>
    </w:p>
    <w:p w14:paraId="0A7F034F">
      <w:pPr>
        <w:spacing w:line="360" w:lineRule="auto"/>
        <w:ind w:firstLine="480"/>
        <w:rPr>
          <w:rFonts w:hAnsi="宋体"/>
          <w:color w:val="auto"/>
          <w:sz w:val="24"/>
          <w:highlight w:val="none"/>
        </w:rPr>
      </w:pPr>
      <w:r>
        <w:rPr>
          <w:rFonts w:hAnsi="宋体"/>
          <w:color w:val="auto"/>
          <w:sz w:val="24"/>
          <w:highlight w:val="none"/>
        </w:rPr>
        <w:t>特此证明。</w:t>
      </w:r>
    </w:p>
    <w:p w14:paraId="4440875D">
      <w:pPr>
        <w:spacing w:line="360" w:lineRule="auto"/>
        <w:rPr>
          <w:rFonts w:hAnsi="宋体"/>
          <w:color w:val="auto"/>
          <w:sz w:val="24"/>
          <w:highlight w:val="none"/>
        </w:rPr>
      </w:pPr>
    </w:p>
    <w:p w14:paraId="32BB4077">
      <w:pPr>
        <w:pStyle w:val="14"/>
        <w:tabs>
          <w:tab w:val="left" w:pos="5580"/>
        </w:tabs>
        <w:spacing w:line="360" w:lineRule="auto"/>
        <w:ind w:left="-874" w:firstLine="900"/>
        <w:rPr>
          <w:rFonts w:hAnsi="宋体" w:eastAsia="宋体"/>
          <w:color w:val="auto"/>
          <w:sz w:val="24"/>
          <w:highlight w:val="none"/>
        </w:rPr>
      </w:pPr>
      <w:r>
        <w:rPr>
          <w:rFonts w:hint="eastAsia" w:hAnsi="宋体" w:eastAsia="宋体"/>
          <w:color w:val="auto"/>
          <w:sz w:val="24"/>
          <w:highlight w:val="none"/>
        </w:rPr>
        <w:t>投标人签章</w:t>
      </w:r>
      <w:r>
        <w:rPr>
          <w:rFonts w:hAnsi="宋体" w:eastAsia="宋体"/>
          <w:color w:val="auto"/>
          <w:sz w:val="24"/>
          <w:highlight w:val="none"/>
        </w:rPr>
        <w:t>：</w:t>
      </w:r>
      <w:r>
        <w:rPr>
          <w:rFonts w:hint="eastAsia" w:hAnsi="宋体" w:eastAsia="宋体"/>
          <w:color w:val="auto"/>
          <w:sz w:val="24"/>
          <w:highlight w:val="none"/>
          <w:u w:val="single"/>
        </w:rPr>
        <w:t xml:space="preserve">                 </w:t>
      </w:r>
      <w:r>
        <w:rPr>
          <w:rFonts w:hAnsi="宋体" w:eastAsia="宋体"/>
          <w:color w:val="auto"/>
          <w:sz w:val="24"/>
          <w:highlight w:val="none"/>
          <w:u w:val="single"/>
        </w:rPr>
        <w:t xml:space="preserve">  </w:t>
      </w:r>
      <w:r>
        <w:rPr>
          <w:rFonts w:hint="eastAsia" w:hAnsi="宋体" w:eastAsia="宋体"/>
          <w:color w:val="auto"/>
          <w:sz w:val="24"/>
          <w:highlight w:val="none"/>
          <w:u w:val="single"/>
        </w:rPr>
        <w:t xml:space="preserve">          </w:t>
      </w:r>
      <w:r>
        <w:rPr>
          <w:rFonts w:hint="eastAsia" w:hAnsi="宋体" w:eastAsia="宋体"/>
          <w:color w:val="auto"/>
          <w:sz w:val="24"/>
          <w:highlight w:val="none"/>
        </w:rPr>
        <w:t xml:space="preserve">                    </w:t>
      </w:r>
    </w:p>
    <w:p w14:paraId="2DD413C5">
      <w:pPr>
        <w:pStyle w:val="14"/>
        <w:tabs>
          <w:tab w:val="left" w:pos="5580"/>
        </w:tabs>
        <w:spacing w:line="360" w:lineRule="auto"/>
        <w:rPr>
          <w:rFonts w:hAnsi="宋体" w:eastAsia="宋体"/>
          <w:color w:val="auto"/>
          <w:sz w:val="24"/>
          <w:highlight w:val="none"/>
        </w:rPr>
      </w:pPr>
      <w:r>
        <w:rPr>
          <w:rFonts w:hint="eastAsia" w:hAnsi="宋体" w:eastAsia="宋体"/>
          <w:color w:val="auto"/>
          <w:sz w:val="24"/>
          <w:highlight w:val="none"/>
        </w:rPr>
        <w:t>详细通讯地址：</w:t>
      </w:r>
      <w:r>
        <w:rPr>
          <w:rFonts w:hint="eastAsia" w:hAnsi="宋体" w:eastAsia="宋体"/>
          <w:color w:val="auto"/>
          <w:sz w:val="24"/>
          <w:highlight w:val="none"/>
          <w:u w:val="single"/>
        </w:rPr>
        <w:t xml:space="preserve">                                </w:t>
      </w:r>
    </w:p>
    <w:p w14:paraId="233AAD6D">
      <w:pPr>
        <w:pStyle w:val="14"/>
        <w:tabs>
          <w:tab w:val="left" w:pos="5580"/>
        </w:tabs>
        <w:spacing w:line="360" w:lineRule="auto"/>
        <w:rPr>
          <w:rFonts w:hAnsi="宋体" w:eastAsia="宋体"/>
          <w:color w:val="auto"/>
          <w:sz w:val="24"/>
          <w:highlight w:val="none"/>
        </w:rPr>
      </w:pPr>
      <w:r>
        <w:rPr>
          <w:rFonts w:hint="eastAsia" w:hAnsi="宋体" w:eastAsia="宋体"/>
          <w:color w:val="auto"/>
          <w:sz w:val="24"/>
          <w:highlight w:val="none"/>
        </w:rPr>
        <w:t>邮 政 编 码 ：</w:t>
      </w:r>
      <w:r>
        <w:rPr>
          <w:rFonts w:hint="eastAsia" w:hAnsi="宋体" w:eastAsia="宋体"/>
          <w:color w:val="auto"/>
          <w:sz w:val="24"/>
          <w:highlight w:val="none"/>
          <w:u w:val="single"/>
        </w:rPr>
        <w:t xml:space="preserve">                                </w:t>
      </w:r>
    </w:p>
    <w:p w14:paraId="0DCDF2E7">
      <w:pPr>
        <w:pStyle w:val="14"/>
        <w:tabs>
          <w:tab w:val="left" w:pos="5580"/>
        </w:tabs>
        <w:spacing w:line="360" w:lineRule="auto"/>
        <w:rPr>
          <w:rFonts w:hAnsi="宋体" w:eastAsia="宋体"/>
          <w:color w:val="auto"/>
          <w:sz w:val="24"/>
          <w:highlight w:val="none"/>
        </w:rPr>
      </w:pPr>
      <w:r>
        <w:rPr>
          <w:rFonts w:hint="eastAsia" w:hAnsi="宋体" w:eastAsia="宋体"/>
          <w:color w:val="auto"/>
          <w:sz w:val="24"/>
          <w:highlight w:val="none"/>
        </w:rPr>
        <w:t>传真：</w:t>
      </w:r>
      <w:r>
        <w:rPr>
          <w:rFonts w:hint="eastAsia" w:hAnsi="宋体" w:eastAsia="宋体"/>
          <w:color w:val="auto"/>
          <w:sz w:val="24"/>
          <w:highlight w:val="none"/>
          <w:u w:val="single"/>
        </w:rPr>
        <w:t xml:space="preserve">                                </w:t>
      </w:r>
    </w:p>
    <w:p w14:paraId="6E77D87F">
      <w:pPr>
        <w:pStyle w:val="14"/>
        <w:tabs>
          <w:tab w:val="left" w:pos="5580"/>
        </w:tabs>
        <w:spacing w:line="360" w:lineRule="auto"/>
        <w:rPr>
          <w:rFonts w:hAnsi="宋体" w:eastAsia="宋体"/>
          <w:color w:val="auto"/>
          <w:sz w:val="24"/>
          <w:highlight w:val="none"/>
          <w:u w:val="single"/>
        </w:rPr>
      </w:pPr>
      <w:r>
        <w:rPr>
          <w:rFonts w:hint="eastAsia" w:hAnsi="宋体" w:eastAsia="宋体"/>
          <w:color w:val="auto"/>
          <w:sz w:val="24"/>
          <w:highlight w:val="none"/>
        </w:rPr>
        <w:t>电话：</w:t>
      </w:r>
      <w:r>
        <w:rPr>
          <w:rFonts w:hint="eastAsia" w:hAnsi="宋体" w:eastAsia="宋体"/>
          <w:color w:val="auto"/>
          <w:sz w:val="24"/>
          <w:highlight w:val="none"/>
          <w:u w:val="single"/>
        </w:rPr>
        <w:t xml:space="preserve">                                </w:t>
      </w:r>
    </w:p>
    <w:p w14:paraId="423BD8DC">
      <w:pPr>
        <w:pStyle w:val="15"/>
        <w:spacing w:before="75" w:beforeAutospacing="0" w:after="75" w:afterAutospacing="0" w:line="405" w:lineRule="atLeast"/>
        <w:rPr>
          <w:rFonts w:cs="宋体"/>
          <w:color w:val="auto"/>
          <w:highlight w:val="none"/>
        </w:rPr>
      </w:pPr>
    </w:p>
    <w:p w14:paraId="04D33814">
      <w:pPr>
        <w:pStyle w:val="15"/>
        <w:spacing w:before="75" w:beforeAutospacing="0" w:after="75" w:afterAutospacing="0" w:line="405" w:lineRule="atLeast"/>
        <w:rPr>
          <w:rFonts w:ascii="sans-serif" w:hAnsi="sans-serif" w:eastAsia="sans-serif" w:cs="sans-serif"/>
          <w:color w:val="auto"/>
          <w:highlight w:val="none"/>
        </w:rPr>
      </w:pPr>
      <w:r>
        <w:rPr>
          <w:rFonts w:hint="eastAsia" w:cs="宋体"/>
          <w:color w:val="auto"/>
          <w:highlight w:val="none"/>
        </w:rPr>
        <w:t>附：法定代表人的身份证正反面复印件</w:t>
      </w:r>
    </w:p>
    <w:tbl>
      <w:tblPr>
        <w:tblStyle w:val="6"/>
        <w:tblW w:w="0" w:type="auto"/>
        <w:tblInd w:w="-10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
      <w:tblGrid>
        <w:gridCol w:w="8565"/>
      </w:tblGrid>
      <w:tr w14:paraId="05FA9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45" w:hRule="atLeast"/>
        </w:trPr>
        <w:tc>
          <w:tcPr>
            <w:tcW w:w="8565" w:type="dxa"/>
            <w:noWrap w:val="0"/>
            <w:tcMar>
              <w:top w:w="0" w:type="dxa"/>
              <w:left w:w="105" w:type="dxa"/>
              <w:bottom w:w="0" w:type="dxa"/>
              <w:right w:w="105" w:type="dxa"/>
            </w:tcMar>
            <w:vAlign w:val="center"/>
          </w:tcPr>
          <w:p w14:paraId="146CA7A5">
            <w:pPr>
              <w:pStyle w:val="15"/>
              <w:spacing w:beforeAutospacing="0" w:afterAutospacing="0" w:line="405" w:lineRule="atLeast"/>
              <w:jc w:val="center"/>
              <w:rPr>
                <w:color w:val="auto"/>
                <w:highlight w:val="none"/>
              </w:rPr>
            </w:pPr>
            <w:r>
              <w:rPr>
                <w:rStyle w:val="16"/>
                <w:rFonts w:hint="eastAsia" w:cs="宋体"/>
                <w:color w:val="auto"/>
                <w:highlight w:val="none"/>
              </w:rPr>
              <w:t> </w:t>
            </w:r>
          </w:p>
          <w:p w14:paraId="4B6704C8">
            <w:pPr>
              <w:pStyle w:val="15"/>
              <w:spacing w:beforeAutospacing="0" w:afterAutospacing="0" w:line="405" w:lineRule="atLeast"/>
              <w:jc w:val="center"/>
              <w:rPr>
                <w:color w:val="auto"/>
                <w:highlight w:val="none"/>
              </w:rPr>
            </w:pPr>
            <w:r>
              <w:rPr>
                <w:rStyle w:val="16"/>
                <w:rFonts w:hint="eastAsia" w:cs="宋体"/>
                <w:color w:val="auto"/>
                <w:highlight w:val="none"/>
              </w:rPr>
              <w:t>要求：真实、有效、清晰</w:t>
            </w:r>
          </w:p>
          <w:p w14:paraId="2D013B00">
            <w:pPr>
              <w:pStyle w:val="15"/>
              <w:spacing w:beforeAutospacing="0" w:afterAutospacing="0" w:line="405" w:lineRule="atLeast"/>
              <w:jc w:val="center"/>
              <w:rPr>
                <w:color w:val="auto"/>
                <w:highlight w:val="none"/>
              </w:rPr>
            </w:pPr>
            <w:r>
              <w:rPr>
                <w:rStyle w:val="16"/>
                <w:rFonts w:hint="eastAsia" w:cs="宋体"/>
                <w:color w:val="auto"/>
                <w:highlight w:val="none"/>
              </w:rPr>
              <w:t> </w:t>
            </w:r>
          </w:p>
        </w:tc>
      </w:tr>
    </w:tbl>
    <w:p w14:paraId="707B7730">
      <w:pPr>
        <w:spacing w:line="360" w:lineRule="auto"/>
        <w:rPr>
          <w:rFonts w:ascii="仿宋_GB2312" w:hAnsi="宋体" w:eastAsia="仿宋_GB2312"/>
          <w:color w:val="auto"/>
          <w:sz w:val="24"/>
          <w:highlight w:val="none"/>
        </w:rPr>
      </w:pPr>
    </w:p>
    <w:p w14:paraId="65B61516">
      <w:pPr>
        <w:spacing w:line="360" w:lineRule="auto"/>
        <w:rPr>
          <w:rFonts w:ascii="仿宋_GB2312" w:hAnsi="宋体" w:eastAsia="仿宋_GB2312"/>
          <w:color w:val="auto"/>
          <w:sz w:val="24"/>
          <w:highlight w:val="none"/>
        </w:rPr>
      </w:pPr>
    </w:p>
    <w:p w14:paraId="44CA5C86">
      <w:pPr>
        <w:spacing w:line="360" w:lineRule="auto"/>
        <w:rPr>
          <w:rFonts w:ascii="仿宋_GB2312" w:hAnsi="宋体" w:eastAsia="仿宋_GB2312"/>
          <w:color w:val="auto"/>
          <w:sz w:val="24"/>
          <w:highlight w:val="none"/>
        </w:rPr>
      </w:pPr>
    </w:p>
    <w:p w14:paraId="26342E4C">
      <w:pPr>
        <w:spacing w:line="360" w:lineRule="auto"/>
        <w:rPr>
          <w:rFonts w:ascii="仿宋_GB2312" w:hAnsi="宋体" w:eastAsia="仿宋_GB2312"/>
          <w:color w:val="auto"/>
          <w:sz w:val="24"/>
          <w:highlight w:val="none"/>
        </w:rPr>
      </w:pPr>
    </w:p>
    <w:p w14:paraId="314A6C8F">
      <w:pPr>
        <w:spacing w:line="360" w:lineRule="auto"/>
        <w:rPr>
          <w:b/>
          <w:bCs/>
          <w:color w:val="auto"/>
          <w:szCs w:val="21"/>
          <w:highlight w:val="none"/>
        </w:rPr>
      </w:pPr>
      <w:r>
        <w:rPr>
          <w:rFonts w:ascii="仿宋_GB2312" w:hAnsi="宋体" w:eastAsia="仿宋_GB2312"/>
          <w:color w:val="auto"/>
          <w:sz w:val="24"/>
          <w:highlight w:val="none"/>
        </w:rPr>
        <w:br w:type="page" w:clear="all"/>
      </w:r>
    </w:p>
    <w:p w14:paraId="0982FB7F">
      <w:pPr>
        <w:spacing w:line="360" w:lineRule="auto"/>
        <w:jc w:val="center"/>
        <w:outlineLvl w:val="0"/>
        <w:rPr>
          <w:rFonts w:cs="宋体"/>
          <w:color w:val="auto"/>
          <w:szCs w:val="21"/>
          <w:highlight w:val="none"/>
        </w:rPr>
      </w:pPr>
      <w:r>
        <w:rPr>
          <w:rFonts w:eastAsia="黑体"/>
          <w:color w:val="auto"/>
          <w:sz w:val="30"/>
          <w:szCs w:val="30"/>
          <w:highlight w:val="none"/>
          <w:lang w:val="zh-CN"/>
        </w:rPr>
        <w:t>法定代表人</w:t>
      </w:r>
      <w:r>
        <w:rPr>
          <w:rFonts w:hint="eastAsia" w:eastAsia="黑体"/>
          <w:color w:val="auto"/>
          <w:sz w:val="30"/>
          <w:szCs w:val="30"/>
          <w:highlight w:val="none"/>
          <w:lang w:val="zh-CN"/>
        </w:rPr>
        <w:t>授权</w:t>
      </w:r>
      <w:r>
        <w:rPr>
          <w:rFonts w:eastAsia="黑体"/>
          <w:color w:val="auto"/>
          <w:sz w:val="30"/>
          <w:szCs w:val="30"/>
          <w:highlight w:val="none"/>
          <w:lang w:val="zh-CN"/>
        </w:rPr>
        <w:t>委托书</w:t>
      </w:r>
    </w:p>
    <w:p w14:paraId="6EA8A3DE">
      <w:pPr>
        <w:spacing w:line="360" w:lineRule="auto"/>
        <w:ind w:firstLine="480"/>
        <w:jc w:val="left"/>
        <w:rPr>
          <w:color w:val="auto"/>
          <w:sz w:val="24"/>
          <w:szCs w:val="24"/>
          <w:highlight w:val="none"/>
          <w:u w:val="single"/>
        </w:rPr>
      </w:pPr>
      <w:r>
        <w:rPr>
          <w:color w:val="auto"/>
          <w:sz w:val="24"/>
          <w:szCs w:val="24"/>
          <w:highlight w:val="none"/>
        </w:rPr>
        <w:t xml:space="preserve">本授权委托书声明：我 </w:t>
      </w:r>
      <w:r>
        <w:rPr>
          <w:color w:val="auto"/>
          <w:sz w:val="24"/>
          <w:szCs w:val="24"/>
          <w:highlight w:val="none"/>
          <w:u w:val="single"/>
        </w:rPr>
        <w:t xml:space="preserve"> </w:t>
      </w:r>
      <w:r>
        <w:rPr>
          <w:rFonts w:hint="eastAsia" w:hAnsi="宋体"/>
          <w:color w:val="auto"/>
          <w:sz w:val="24"/>
          <w:szCs w:val="24"/>
          <w:highlight w:val="none"/>
          <w:u w:val="single"/>
        </w:rPr>
        <w:t>×××</w:t>
      </w:r>
      <w:r>
        <w:rPr>
          <w:rFonts w:hint="eastAsia"/>
          <w:color w:val="auto"/>
          <w:sz w:val="24"/>
          <w:szCs w:val="24"/>
          <w:highlight w:val="none"/>
          <w:u w:val="single"/>
        </w:rPr>
        <w:t xml:space="preserve"> </w:t>
      </w:r>
      <w:r>
        <w:rPr>
          <w:color w:val="auto"/>
          <w:sz w:val="24"/>
          <w:szCs w:val="24"/>
          <w:highlight w:val="none"/>
          <w:u w:val="single"/>
        </w:rPr>
        <w:t>（姓名）</w:t>
      </w:r>
      <w:r>
        <w:rPr>
          <w:color w:val="auto"/>
          <w:sz w:val="24"/>
          <w:szCs w:val="24"/>
          <w:highlight w:val="none"/>
        </w:rPr>
        <w:t>系</w:t>
      </w:r>
      <w:r>
        <w:rPr>
          <w:color w:val="auto"/>
          <w:sz w:val="24"/>
          <w:szCs w:val="24"/>
          <w:highlight w:val="none"/>
          <w:u w:val="single"/>
        </w:rPr>
        <w:t xml:space="preserve"> </w:t>
      </w:r>
      <w:r>
        <w:rPr>
          <w:rFonts w:hint="eastAsia" w:hAnsi="宋体"/>
          <w:color w:val="auto"/>
          <w:sz w:val="24"/>
          <w:szCs w:val="24"/>
          <w:highlight w:val="none"/>
          <w:u w:val="single"/>
        </w:rPr>
        <w:t>××××</w:t>
      </w:r>
      <w:r>
        <w:rPr>
          <w:color w:val="auto"/>
          <w:sz w:val="24"/>
          <w:szCs w:val="24"/>
          <w:highlight w:val="none"/>
          <w:u w:val="single"/>
        </w:rPr>
        <w:t>（投标单位名称）</w:t>
      </w:r>
      <w:r>
        <w:rPr>
          <w:color w:val="auto"/>
          <w:sz w:val="24"/>
          <w:szCs w:val="24"/>
          <w:highlight w:val="none"/>
        </w:rPr>
        <w:t>的法</w:t>
      </w:r>
      <w:r>
        <w:rPr>
          <w:rFonts w:hint="eastAsia"/>
          <w:color w:val="auto"/>
          <w:sz w:val="24"/>
          <w:szCs w:val="24"/>
          <w:highlight w:val="none"/>
        </w:rPr>
        <w:t>定代表</w:t>
      </w:r>
      <w:r>
        <w:rPr>
          <w:color w:val="auto"/>
          <w:sz w:val="24"/>
          <w:szCs w:val="24"/>
          <w:highlight w:val="none"/>
        </w:rPr>
        <w:t>人，现授权委托</w:t>
      </w:r>
      <w:r>
        <w:rPr>
          <w:rFonts w:hint="eastAsia"/>
          <w:color w:val="auto"/>
          <w:sz w:val="24"/>
          <w:szCs w:val="24"/>
          <w:highlight w:val="none"/>
          <w:u w:val="single"/>
        </w:rPr>
        <w:t xml:space="preserve"> </w:t>
      </w:r>
      <w:r>
        <w:rPr>
          <w:rFonts w:hint="eastAsia" w:hAnsi="宋体"/>
          <w:color w:val="auto"/>
          <w:sz w:val="24"/>
          <w:szCs w:val="24"/>
          <w:highlight w:val="none"/>
          <w:u w:val="single"/>
        </w:rPr>
        <w:t>××××××</w:t>
      </w:r>
      <w:r>
        <w:rPr>
          <w:rFonts w:hint="eastAsia"/>
          <w:color w:val="auto"/>
          <w:sz w:val="24"/>
          <w:szCs w:val="24"/>
          <w:highlight w:val="none"/>
          <w:u w:val="single"/>
        </w:rPr>
        <w:t xml:space="preserve"> </w:t>
      </w:r>
      <w:r>
        <w:rPr>
          <w:color w:val="auto"/>
          <w:sz w:val="24"/>
          <w:szCs w:val="24"/>
          <w:highlight w:val="none"/>
        </w:rPr>
        <w:t>为我</w:t>
      </w:r>
      <w:r>
        <w:rPr>
          <w:rFonts w:hint="eastAsia"/>
          <w:color w:val="auto"/>
          <w:sz w:val="24"/>
          <w:szCs w:val="24"/>
          <w:highlight w:val="none"/>
        </w:rPr>
        <w:t>单位本项目</w:t>
      </w:r>
      <w:r>
        <w:rPr>
          <w:color w:val="auto"/>
          <w:sz w:val="24"/>
          <w:szCs w:val="24"/>
          <w:highlight w:val="none"/>
        </w:rPr>
        <w:t>代理人，以本</w:t>
      </w:r>
      <w:r>
        <w:rPr>
          <w:rFonts w:hint="eastAsia"/>
          <w:color w:val="auto"/>
          <w:sz w:val="24"/>
          <w:szCs w:val="24"/>
          <w:highlight w:val="none"/>
        </w:rPr>
        <w:t>单位</w:t>
      </w:r>
      <w:r>
        <w:rPr>
          <w:color w:val="auto"/>
          <w:sz w:val="24"/>
          <w:szCs w:val="24"/>
          <w:highlight w:val="none"/>
        </w:rPr>
        <w:t>的名义参加</w:t>
      </w:r>
      <w:r>
        <w:rPr>
          <w:rFonts w:hint="eastAsia" w:hAnsi="宋体"/>
          <w:color w:val="auto"/>
          <w:sz w:val="24"/>
          <w:szCs w:val="24"/>
          <w:highlight w:val="none"/>
          <w:u w:val="single"/>
        </w:rPr>
        <w:t>××××</w:t>
      </w:r>
      <w:r>
        <w:rPr>
          <w:rFonts w:hint="eastAsia"/>
          <w:color w:val="auto"/>
          <w:sz w:val="24"/>
          <w:szCs w:val="24"/>
          <w:highlight w:val="none"/>
          <w:u w:val="single"/>
        </w:rPr>
        <w:t>（采购代理机构名称）</w:t>
      </w:r>
      <w:r>
        <w:rPr>
          <w:color w:val="auto"/>
          <w:sz w:val="24"/>
          <w:szCs w:val="24"/>
          <w:highlight w:val="none"/>
        </w:rPr>
        <w:t>组织实施的编号为</w:t>
      </w:r>
      <w:r>
        <w:rPr>
          <w:color w:val="auto"/>
          <w:sz w:val="24"/>
          <w:szCs w:val="24"/>
          <w:highlight w:val="none"/>
          <w:u w:val="single"/>
        </w:rPr>
        <w:t xml:space="preserve"> </w:t>
      </w:r>
      <w:r>
        <w:rPr>
          <w:rFonts w:hint="eastAsia" w:hAnsi="宋体"/>
          <w:color w:val="auto"/>
          <w:sz w:val="24"/>
          <w:szCs w:val="24"/>
          <w:highlight w:val="none"/>
          <w:u w:val="single"/>
        </w:rPr>
        <w:t>××××</w:t>
      </w:r>
      <w:r>
        <w:rPr>
          <w:color w:val="auto"/>
          <w:sz w:val="24"/>
          <w:szCs w:val="24"/>
          <w:highlight w:val="none"/>
        </w:rPr>
        <w:t>的采购活动。代理人在开标、评标、合同谈判过程中所签署的一切文件和处理与这有关的一切事务，我均予以承认。</w:t>
      </w:r>
    </w:p>
    <w:p w14:paraId="095E58AB">
      <w:pPr>
        <w:spacing w:line="360" w:lineRule="auto"/>
        <w:ind w:firstLine="480"/>
        <w:rPr>
          <w:color w:val="auto"/>
          <w:sz w:val="24"/>
          <w:szCs w:val="24"/>
          <w:highlight w:val="none"/>
        </w:rPr>
      </w:pPr>
      <w:r>
        <w:rPr>
          <w:color w:val="auto"/>
          <w:sz w:val="24"/>
          <w:szCs w:val="24"/>
          <w:highlight w:val="none"/>
        </w:rPr>
        <w:t>代理人在授权委托书有效期内签署的所有文件不因授权委托的撤销而失效，除非有撤销授权委托的书面通知，本授权委托书自投标开始至合同履行完毕止。</w:t>
      </w:r>
    </w:p>
    <w:p w14:paraId="7ABF9F33">
      <w:pPr>
        <w:spacing w:line="360" w:lineRule="auto"/>
        <w:ind w:firstLine="480"/>
        <w:rPr>
          <w:color w:val="auto"/>
          <w:sz w:val="24"/>
          <w:szCs w:val="24"/>
          <w:highlight w:val="none"/>
        </w:rPr>
      </w:pPr>
      <w:r>
        <w:rPr>
          <w:color w:val="auto"/>
          <w:sz w:val="24"/>
          <w:szCs w:val="24"/>
          <w:highlight w:val="none"/>
        </w:rPr>
        <w:t>代理人无转委托权。特此委托。</w:t>
      </w:r>
    </w:p>
    <w:p w14:paraId="1734FE21">
      <w:pPr>
        <w:spacing w:line="360" w:lineRule="auto"/>
        <w:rPr>
          <w:color w:val="auto"/>
          <w:sz w:val="24"/>
          <w:szCs w:val="24"/>
          <w:highlight w:val="none"/>
        </w:rPr>
      </w:pPr>
      <w:r>
        <w:rPr>
          <w:color w:val="auto"/>
          <w:sz w:val="24"/>
          <w:szCs w:val="24"/>
          <w:highlight w:val="none"/>
        </w:rPr>
        <w:t>投标</w:t>
      </w:r>
      <w:r>
        <w:rPr>
          <w:rFonts w:hint="eastAsia"/>
          <w:color w:val="auto"/>
          <w:sz w:val="24"/>
          <w:szCs w:val="24"/>
          <w:highlight w:val="none"/>
        </w:rPr>
        <w:t>人签章</w:t>
      </w:r>
      <w:r>
        <w:rPr>
          <w:color w:val="auto"/>
          <w:sz w:val="24"/>
          <w:szCs w:val="24"/>
          <w:highlight w:val="none"/>
        </w:rPr>
        <w:t xml:space="preserve">： </w:t>
      </w:r>
    </w:p>
    <w:p w14:paraId="4F85DA26">
      <w:pPr>
        <w:spacing w:line="360" w:lineRule="auto"/>
        <w:rPr>
          <w:color w:val="auto"/>
          <w:sz w:val="24"/>
          <w:szCs w:val="24"/>
          <w:highlight w:val="none"/>
        </w:rPr>
      </w:pPr>
      <w:r>
        <w:rPr>
          <w:color w:val="auto"/>
          <w:sz w:val="24"/>
          <w:szCs w:val="24"/>
          <w:highlight w:val="none"/>
        </w:rPr>
        <w:t>法</w:t>
      </w:r>
      <w:r>
        <w:rPr>
          <w:rFonts w:hint="eastAsia"/>
          <w:color w:val="auto"/>
          <w:sz w:val="24"/>
          <w:szCs w:val="24"/>
          <w:highlight w:val="none"/>
        </w:rPr>
        <w:t>定代表</w:t>
      </w:r>
      <w:r>
        <w:rPr>
          <w:color w:val="auto"/>
          <w:sz w:val="24"/>
          <w:szCs w:val="24"/>
          <w:highlight w:val="none"/>
        </w:rPr>
        <w:t>人：（签字或</w:t>
      </w:r>
      <w:r>
        <w:rPr>
          <w:rFonts w:hint="eastAsia"/>
          <w:color w:val="auto"/>
          <w:sz w:val="24"/>
          <w:szCs w:val="24"/>
          <w:highlight w:val="none"/>
        </w:rPr>
        <w:t>签</w:t>
      </w:r>
      <w:r>
        <w:rPr>
          <w:color w:val="auto"/>
          <w:sz w:val="24"/>
          <w:szCs w:val="24"/>
          <w:highlight w:val="none"/>
        </w:rPr>
        <w:t>章）</w:t>
      </w:r>
    </w:p>
    <w:p w14:paraId="7E941219">
      <w:pPr>
        <w:spacing w:line="360" w:lineRule="auto"/>
        <w:rPr>
          <w:color w:val="auto"/>
          <w:sz w:val="24"/>
          <w:szCs w:val="24"/>
          <w:highlight w:val="none"/>
        </w:rPr>
      </w:pPr>
      <w:r>
        <w:rPr>
          <w:rFonts w:hint="eastAsia"/>
          <w:color w:val="auto"/>
          <w:sz w:val="24"/>
          <w:szCs w:val="24"/>
          <w:highlight w:val="none"/>
        </w:rPr>
        <w:t>代理人</w:t>
      </w:r>
      <w:r>
        <w:rPr>
          <w:color w:val="auto"/>
          <w:sz w:val="24"/>
          <w:szCs w:val="24"/>
          <w:highlight w:val="none"/>
        </w:rPr>
        <w:t>：（签字或</w:t>
      </w:r>
      <w:r>
        <w:rPr>
          <w:rFonts w:hint="eastAsia"/>
          <w:color w:val="auto"/>
          <w:sz w:val="24"/>
          <w:szCs w:val="24"/>
          <w:highlight w:val="none"/>
        </w:rPr>
        <w:t>签</w:t>
      </w:r>
      <w:r>
        <w:rPr>
          <w:color w:val="auto"/>
          <w:sz w:val="24"/>
          <w:szCs w:val="24"/>
          <w:highlight w:val="none"/>
        </w:rPr>
        <w:t>章）</w:t>
      </w:r>
    </w:p>
    <w:p w14:paraId="24291C91">
      <w:pPr>
        <w:spacing w:line="360" w:lineRule="auto"/>
        <w:ind w:right="210" w:firstLine="425"/>
        <w:jc w:val="right"/>
        <w:rPr>
          <w:rFonts w:cs="宋体"/>
          <w:color w:val="auto"/>
          <w:sz w:val="24"/>
          <w:szCs w:val="24"/>
          <w:highlight w:val="none"/>
        </w:rPr>
      </w:pPr>
    </w:p>
    <w:p w14:paraId="6F065687">
      <w:pPr>
        <w:spacing w:line="360" w:lineRule="auto"/>
        <w:ind w:firstLine="425"/>
        <w:jc w:val="center"/>
        <w:rPr>
          <w:rFonts w:cs="宋体"/>
          <w:color w:val="auto"/>
          <w:sz w:val="24"/>
          <w:szCs w:val="24"/>
          <w:highlight w:val="none"/>
        </w:rPr>
      </w:pPr>
      <w:r>
        <w:rPr>
          <w:rFonts w:cs="宋体"/>
          <w:color w:val="auto"/>
          <w:sz w:val="24"/>
          <w:szCs w:val="24"/>
          <w:highlight w:val="none"/>
          <w:lang w:val="zh-CN"/>
        </w:rPr>
        <w:t xml:space="preserve">                                       </w:t>
      </w:r>
      <w:r>
        <w:rPr>
          <w:rFonts w:hint="eastAsia" w:cs="宋体"/>
          <w:color w:val="auto"/>
          <w:sz w:val="24"/>
          <w:szCs w:val="24"/>
          <w:highlight w:val="none"/>
          <w:lang w:val="zh-CN"/>
        </w:rPr>
        <w:t xml:space="preserve">日期：   </w:t>
      </w:r>
      <w:r>
        <w:rPr>
          <w:rFonts w:cs="宋体"/>
          <w:color w:val="auto"/>
          <w:sz w:val="24"/>
          <w:szCs w:val="24"/>
          <w:highlight w:val="none"/>
          <w:lang w:val="zh-CN"/>
        </w:rPr>
        <w:t xml:space="preserve">     </w:t>
      </w:r>
      <w:r>
        <w:rPr>
          <w:rFonts w:hint="eastAsia" w:cs="宋体"/>
          <w:color w:val="auto"/>
          <w:sz w:val="24"/>
          <w:szCs w:val="24"/>
          <w:highlight w:val="none"/>
          <w:lang w:val="zh-CN"/>
        </w:rPr>
        <w:t>年</w:t>
      </w:r>
      <w:r>
        <w:rPr>
          <w:rFonts w:cs="宋体"/>
          <w:color w:val="auto"/>
          <w:sz w:val="24"/>
          <w:szCs w:val="24"/>
          <w:highlight w:val="none"/>
          <w:lang w:val="zh-CN"/>
        </w:rPr>
        <w:t xml:space="preserve">  </w:t>
      </w:r>
      <w:r>
        <w:rPr>
          <w:rFonts w:hint="eastAsia" w:cs="宋体"/>
          <w:color w:val="auto"/>
          <w:sz w:val="24"/>
          <w:szCs w:val="24"/>
          <w:highlight w:val="none"/>
          <w:lang w:val="zh-CN"/>
        </w:rPr>
        <w:t xml:space="preserve"> </w:t>
      </w:r>
      <w:r>
        <w:rPr>
          <w:rFonts w:cs="宋体"/>
          <w:color w:val="auto"/>
          <w:sz w:val="24"/>
          <w:szCs w:val="24"/>
          <w:highlight w:val="none"/>
          <w:lang w:val="zh-CN"/>
        </w:rPr>
        <w:t xml:space="preserve">  </w:t>
      </w:r>
      <w:r>
        <w:rPr>
          <w:rFonts w:hint="eastAsia" w:cs="宋体"/>
          <w:color w:val="auto"/>
          <w:sz w:val="24"/>
          <w:szCs w:val="24"/>
          <w:highlight w:val="none"/>
          <w:lang w:val="zh-CN"/>
        </w:rPr>
        <w:t>月</w:t>
      </w:r>
      <w:r>
        <w:rPr>
          <w:rFonts w:cs="宋体"/>
          <w:color w:val="auto"/>
          <w:sz w:val="24"/>
          <w:szCs w:val="24"/>
          <w:highlight w:val="none"/>
          <w:lang w:val="zh-CN"/>
        </w:rPr>
        <w:t xml:space="preserve">     </w:t>
      </w:r>
      <w:r>
        <w:rPr>
          <w:rFonts w:hint="eastAsia" w:cs="宋体"/>
          <w:color w:val="auto"/>
          <w:sz w:val="24"/>
          <w:szCs w:val="24"/>
          <w:highlight w:val="none"/>
          <w:lang w:val="zh-CN"/>
        </w:rPr>
        <w:t>日</w:t>
      </w:r>
    </w:p>
    <w:p w14:paraId="3603DF70">
      <w:pPr>
        <w:pStyle w:val="15"/>
        <w:spacing w:before="75" w:beforeAutospacing="0" w:after="75" w:afterAutospacing="0" w:line="405" w:lineRule="atLeast"/>
        <w:rPr>
          <w:rFonts w:ascii="sans-serif" w:hAnsi="sans-serif" w:eastAsia="sans-serif" w:cs="sans-serif"/>
          <w:color w:val="auto"/>
          <w:highlight w:val="none"/>
        </w:rPr>
      </w:pPr>
      <w:r>
        <w:rPr>
          <w:rFonts w:hint="eastAsia" w:cs="宋体"/>
          <w:color w:val="auto"/>
          <w:highlight w:val="none"/>
        </w:rPr>
        <w:t>附：法人代表、授权代表的身份证正反面复印件</w:t>
      </w:r>
    </w:p>
    <w:tbl>
      <w:tblPr>
        <w:tblStyle w:val="6"/>
        <w:tblW w:w="0" w:type="auto"/>
        <w:tblInd w:w="-10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
      <w:tblGrid>
        <w:gridCol w:w="8565"/>
      </w:tblGrid>
      <w:tr w14:paraId="3B007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rPr>
          <w:trHeight w:val="645" w:hRule="atLeast"/>
        </w:trPr>
        <w:tc>
          <w:tcPr>
            <w:tcW w:w="8565" w:type="dxa"/>
            <w:noWrap w:val="0"/>
            <w:tcMar>
              <w:top w:w="0" w:type="dxa"/>
              <w:left w:w="105" w:type="dxa"/>
              <w:bottom w:w="0" w:type="dxa"/>
              <w:right w:w="105" w:type="dxa"/>
            </w:tcMar>
            <w:vAlign w:val="center"/>
          </w:tcPr>
          <w:p w14:paraId="259F4E8E">
            <w:pPr>
              <w:pStyle w:val="15"/>
              <w:spacing w:beforeAutospacing="0" w:afterAutospacing="0" w:line="405" w:lineRule="atLeast"/>
              <w:jc w:val="center"/>
              <w:rPr>
                <w:color w:val="auto"/>
                <w:highlight w:val="none"/>
              </w:rPr>
            </w:pPr>
            <w:r>
              <w:rPr>
                <w:rStyle w:val="16"/>
                <w:rFonts w:hint="eastAsia" w:cs="宋体"/>
                <w:color w:val="auto"/>
                <w:highlight w:val="none"/>
              </w:rPr>
              <w:t> </w:t>
            </w:r>
          </w:p>
          <w:p w14:paraId="6DDABEAB">
            <w:pPr>
              <w:pStyle w:val="15"/>
              <w:spacing w:beforeAutospacing="0" w:afterAutospacing="0" w:line="405" w:lineRule="atLeast"/>
              <w:jc w:val="center"/>
              <w:rPr>
                <w:color w:val="auto"/>
                <w:highlight w:val="none"/>
              </w:rPr>
            </w:pPr>
            <w:r>
              <w:rPr>
                <w:rStyle w:val="16"/>
                <w:rFonts w:hint="eastAsia" w:cs="宋体"/>
                <w:color w:val="auto"/>
                <w:highlight w:val="none"/>
              </w:rPr>
              <w:t>要求：真实、有效、清晰</w:t>
            </w:r>
          </w:p>
          <w:p w14:paraId="11E53B61">
            <w:pPr>
              <w:pStyle w:val="15"/>
              <w:spacing w:beforeAutospacing="0" w:afterAutospacing="0" w:line="405" w:lineRule="atLeast"/>
              <w:jc w:val="center"/>
              <w:rPr>
                <w:color w:val="auto"/>
                <w:highlight w:val="none"/>
              </w:rPr>
            </w:pPr>
            <w:r>
              <w:rPr>
                <w:rStyle w:val="16"/>
                <w:rFonts w:hint="eastAsia" w:cs="宋体"/>
                <w:color w:val="auto"/>
                <w:highlight w:val="none"/>
              </w:rPr>
              <w:t> </w:t>
            </w:r>
          </w:p>
        </w:tc>
      </w:tr>
    </w:tbl>
    <w:p w14:paraId="036AFDF3">
      <w:pPr>
        <w:pStyle w:val="11"/>
        <w:spacing w:line="360" w:lineRule="auto"/>
        <w:rPr>
          <w:rFonts w:hAnsi="宋体" w:eastAsia="宋体" w:cs="宋体"/>
          <w:b/>
          <w:color w:val="auto"/>
          <w:sz w:val="24"/>
          <w:szCs w:val="24"/>
          <w:highlight w:val="none"/>
        </w:rPr>
      </w:pPr>
      <w:r>
        <w:rPr>
          <w:rFonts w:hAnsi="宋体" w:eastAsia="宋体" w:cs="宋体"/>
          <w:b/>
          <w:color w:val="auto"/>
          <w:sz w:val="24"/>
          <w:szCs w:val="24"/>
          <w:highlight w:val="none"/>
        </w:rPr>
        <w:br w:type="page" w:clear="all"/>
      </w:r>
      <w:r>
        <w:rPr>
          <w:rFonts w:hAnsi="宋体" w:eastAsia="宋体" w:cs="宋体"/>
          <w:b/>
          <w:color w:val="auto"/>
          <w:sz w:val="24"/>
          <w:szCs w:val="24"/>
          <w:highlight w:val="none"/>
        </w:rPr>
        <w:t>2、投标函</w:t>
      </w:r>
    </w:p>
    <w:p w14:paraId="47655A8B">
      <w:pPr>
        <w:pStyle w:val="11"/>
        <w:spacing w:line="360" w:lineRule="auto"/>
        <w:jc w:val="center"/>
        <w:rPr>
          <w:rFonts w:hAnsi="宋体" w:eastAsia="宋体" w:cs="宋体"/>
          <w:b/>
          <w:color w:val="auto"/>
          <w:sz w:val="24"/>
          <w:szCs w:val="24"/>
          <w:highlight w:val="none"/>
        </w:rPr>
      </w:pPr>
      <w:r>
        <w:rPr>
          <w:rFonts w:hAnsi="宋体" w:eastAsia="宋体" w:cs="宋体"/>
          <w:b/>
          <w:color w:val="auto"/>
          <w:sz w:val="24"/>
          <w:szCs w:val="24"/>
          <w:highlight w:val="none"/>
        </w:rPr>
        <w:t>投标函</w:t>
      </w:r>
    </w:p>
    <w:p w14:paraId="4CB7AC04">
      <w:pPr>
        <w:pStyle w:val="11"/>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u w:val="single"/>
          <w:lang w:eastAsia="zh-CN"/>
        </w:rPr>
        <w:t>苏州骏捷建设管理咨询有限公司</w:t>
      </w:r>
      <w:r>
        <w:rPr>
          <w:rFonts w:hAnsi="宋体" w:eastAsia="宋体" w:cs="宋体"/>
          <w:color w:val="auto"/>
          <w:sz w:val="24"/>
          <w:szCs w:val="24"/>
          <w:highlight w:val="none"/>
        </w:rPr>
        <w:t>：</w:t>
      </w:r>
    </w:p>
    <w:p w14:paraId="270065F0">
      <w:pPr>
        <w:pStyle w:val="17"/>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我们收到贵公司</w:t>
      </w:r>
      <w:r>
        <w:rPr>
          <w:rFonts w:hint="eastAsia" w:hAnsi="宋体" w:eastAsia="宋体" w:cs="宋体"/>
          <w:color w:val="auto"/>
          <w:sz w:val="24"/>
          <w:szCs w:val="24"/>
          <w:highlight w:val="none"/>
          <w:u w:val="single"/>
          <w:lang w:val="en-US" w:eastAsia="zh-CN"/>
        </w:rPr>
        <w:t xml:space="preserve">         </w:t>
      </w:r>
      <w:r>
        <w:rPr>
          <w:rFonts w:hint="eastAsia"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rPr>
        <w:t>号招标文件，经仔细阅读和研究，我们同意招标文件中各款要求并决定参加投标。</w:t>
      </w:r>
    </w:p>
    <w:p w14:paraId="43E932C6">
      <w:pPr>
        <w:spacing w:line="360" w:lineRule="auto"/>
        <w:rPr>
          <w:rFonts w:hAnsi="宋体"/>
          <w:color w:val="auto"/>
          <w:sz w:val="24"/>
          <w:szCs w:val="24"/>
          <w:highlight w:val="none"/>
        </w:rPr>
      </w:pPr>
      <w:r>
        <w:rPr>
          <w:rFonts w:hint="eastAsia" w:hAnsi="宋体" w:cs="宋体"/>
          <w:color w:val="auto"/>
          <w:sz w:val="24"/>
          <w:szCs w:val="24"/>
          <w:highlight w:val="none"/>
        </w:rPr>
        <w:t xml:space="preserve">  1、我们愿意按照招标文件的一切要求，承诺所</w:t>
      </w:r>
      <w:r>
        <w:rPr>
          <w:rFonts w:hint="eastAsia" w:hAnsi="宋体" w:cs="宋体"/>
          <w:color w:val="auto"/>
          <w:sz w:val="24"/>
          <w:highlight w:val="none"/>
        </w:rPr>
        <w:t>提供的货物能够至少达到以上要求，同时明确详细的服务方案。</w:t>
      </w:r>
      <w:r>
        <w:rPr>
          <w:rFonts w:hint="eastAsia" w:hAnsi="宋体"/>
          <w:color w:val="auto"/>
          <w:sz w:val="24"/>
          <w:highlight w:val="none"/>
        </w:rPr>
        <w:t>报价包括但不限于完成本项工作所需的设备、人工（含人员保险费用）、协调费用、利润、税金、管理费、风险费、文件规定政策性费用等所有费用。除上述费用外，甲方不承担其他相关费用及因乙方人员辞退、工伤事故等发生的全部经济补偿金和赔偿金。上述价格在合同实施期间不因市场变化因素而变动。除非因特殊原因并经甲乙双方协商同意，乙方不得再要求追加任何费用。</w:t>
      </w:r>
      <w:r>
        <w:rPr>
          <w:rFonts w:hint="eastAsia" w:hAnsi="宋体"/>
          <w:color w:val="auto"/>
          <w:sz w:val="24"/>
          <w:szCs w:val="24"/>
          <w:highlight w:val="none"/>
        </w:rPr>
        <w:t>明细见《投标报价表》。</w:t>
      </w:r>
    </w:p>
    <w:p w14:paraId="5AC1CA1F">
      <w:pPr>
        <w:pStyle w:val="17"/>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2、如果我们的投标书被接受，我们将严格履行招标文件中规定的每一项要求，按期、按质、按量履行合同的义务。</w:t>
      </w:r>
    </w:p>
    <w:p w14:paraId="78DE9A26">
      <w:pPr>
        <w:pStyle w:val="17"/>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3、我们同意招标文件的各项条款并按招标文件中的规定进行投标。</w:t>
      </w:r>
    </w:p>
    <w:p w14:paraId="164FA954">
      <w:pPr>
        <w:pStyle w:val="17"/>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4、我们愿意提供招标代理人在招标文件中要求的所有资料，本投标书的有效期限为开标后</w:t>
      </w:r>
      <w:r>
        <w:rPr>
          <w:rFonts w:hint="eastAsia" w:hAnsi="宋体" w:eastAsia="宋体" w:cs="宋体"/>
          <w:color w:val="auto"/>
          <w:sz w:val="24"/>
          <w:szCs w:val="24"/>
          <w:highlight w:val="none"/>
          <w:u w:val="single"/>
        </w:rPr>
        <w:t>60</w:t>
      </w:r>
      <w:r>
        <w:rPr>
          <w:rFonts w:hint="eastAsia" w:hAnsi="宋体" w:eastAsia="宋体" w:cs="宋体"/>
          <w:color w:val="auto"/>
          <w:sz w:val="24"/>
          <w:szCs w:val="24"/>
          <w:highlight w:val="none"/>
        </w:rPr>
        <w:t>天。</w:t>
      </w:r>
    </w:p>
    <w:p w14:paraId="5680F9AD">
      <w:pPr>
        <w:pStyle w:val="17"/>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5、我们认为你们有权根据有关规定决定中标者，还认为你们有权根据有关规定接受或拒绝所有的投标者。</w:t>
      </w:r>
    </w:p>
    <w:p w14:paraId="72D59AD3">
      <w:pPr>
        <w:pStyle w:val="17"/>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6、我们愿意遵守招标通告及招标文件中所列的收费标准。</w:t>
      </w:r>
    </w:p>
    <w:p w14:paraId="2594F8B5">
      <w:pPr>
        <w:pStyle w:val="17"/>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 xml:space="preserve">    7、我们承诺该项投标在开标后的全过程中保持有效，不作任何更改和变动。</w:t>
      </w:r>
    </w:p>
    <w:p w14:paraId="6475FAC5">
      <w:pPr>
        <w:pStyle w:val="17"/>
        <w:spacing w:line="300" w:lineRule="auto"/>
        <w:ind w:firstLine="480"/>
        <w:rPr>
          <w:rFonts w:hAnsi="宋体" w:eastAsia="宋体" w:cs="宋体"/>
          <w:color w:val="auto"/>
          <w:sz w:val="24"/>
          <w:szCs w:val="24"/>
          <w:highlight w:val="none"/>
        </w:rPr>
      </w:pPr>
      <w:r>
        <w:rPr>
          <w:rFonts w:hint="eastAsia" w:hAnsi="宋体" w:eastAsia="宋体" w:cs="宋体"/>
          <w:color w:val="auto"/>
          <w:sz w:val="24"/>
          <w:szCs w:val="24"/>
          <w:highlight w:val="none"/>
        </w:rPr>
        <w:t>8、如果我们中标，按规定支付中标服务费；</w:t>
      </w:r>
    </w:p>
    <w:p w14:paraId="19CD9941">
      <w:pPr>
        <w:pStyle w:val="17"/>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9、综合说明：</w:t>
      </w:r>
    </w:p>
    <w:p w14:paraId="40EFC431">
      <w:pPr>
        <w:pStyle w:val="17"/>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（1）伴随服务及配合措施；</w:t>
      </w:r>
    </w:p>
    <w:p w14:paraId="04C36C80">
      <w:pPr>
        <w:pStyle w:val="17"/>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（2）要求甲方提供的配合；</w:t>
      </w:r>
    </w:p>
    <w:p w14:paraId="13EBA56E">
      <w:pPr>
        <w:pStyle w:val="17"/>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（3）对招标文件有不同意见的偏离说明；</w:t>
      </w:r>
    </w:p>
    <w:p w14:paraId="04EA7BA5">
      <w:pPr>
        <w:pStyle w:val="17"/>
        <w:spacing w:line="300" w:lineRule="auto"/>
        <w:ind w:firstLine="420"/>
        <w:rPr>
          <w:rFonts w:hAnsi="宋体" w:eastAsia="宋体" w:cs="宋体"/>
          <w:color w:val="auto"/>
          <w:sz w:val="24"/>
          <w:szCs w:val="24"/>
          <w:highlight w:val="none"/>
        </w:rPr>
      </w:pPr>
      <w:r>
        <w:rPr>
          <w:rFonts w:hint="eastAsia" w:hAnsi="宋体" w:eastAsia="宋体" w:cs="宋体"/>
          <w:color w:val="auto"/>
          <w:sz w:val="24"/>
          <w:szCs w:val="24"/>
          <w:highlight w:val="none"/>
        </w:rPr>
        <w:t>（4）其它说明。</w:t>
      </w:r>
    </w:p>
    <w:p w14:paraId="72FB6D44">
      <w:pPr>
        <w:pStyle w:val="17"/>
        <w:spacing w:line="300" w:lineRule="auto"/>
        <w:rPr>
          <w:rFonts w:hAnsi="宋体" w:eastAsia="宋体" w:cs="宋体"/>
          <w:color w:val="auto"/>
          <w:sz w:val="24"/>
          <w:szCs w:val="24"/>
          <w:highlight w:val="none"/>
        </w:rPr>
      </w:pPr>
      <w:r>
        <w:rPr>
          <w:rFonts w:hint="eastAsia" w:hAnsi="宋体" w:eastAsia="宋体" w:cs="宋体"/>
          <w:color w:val="auto"/>
          <w:sz w:val="24"/>
          <w:szCs w:val="24"/>
          <w:highlight w:val="none"/>
        </w:rPr>
        <w:t>所有有关标书的函电，请按下列地址联系：</w:t>
      </w:r>
    </w:p>
    <w:p w14:paraId="2BB8F0FC">
      <w:pPr>
        <w:pStyle w:val="11"/>
        <w:spacing w:line="360" w:lineRule="auto"/>
        <w:ind w:firstLine="240"/>
        <w:rPr>
          <w:rFonts w:hAnsi="宋体" w:eastAsia="宋体" w:cs="宋体"/>
          <w:color w:val="auto"/>
          <w:sz w:val="24"/>
          <w:szCs w:val="24"/>
          <w:highlight w:val="none"/>
        </w:rPr>
      </w:pPr>
      <w:r>
        <w:rPr>
          <w:rFonts w:hAnsi="宋体" w:eastAsia="宋体" w:cs="宋体"/>
          <w:color w:val="auto"/>
          <w:sz w:val="24"/>
          <w:szCs w:val="24"/>
          <w:highlight w:val="none"/>
        </w:rPr>
        <w:t>投标单位：（单位盖章）：                联系人：</w:t>
      </w:r>
    </w:p>
    <w:p w14:paraId="224D42B6">
      <w:pPr>
        <w:pStyle w:val="11"/>
        <w:spacing w:line="360" w:lineRule="auto"/>
        <w:ind w:firstLine="240"/>
        <w:rPr>
          <w:rFonts w:hAnsi="宋体" w:eastAsia="宋体" w:cs="宋体"/>
          <w:color w:val="auto"/>
          <w:sz w:val="24"/>
          <w:szCs w:val="24"/>
          <w:highlight w:val="none"/>
        </w:rPr>
      </w:pPr>
      <w:r>
        <w:rPr>
          <w:rFonts w:hAnsi="宋体" w:eastAsia="宋体" w:cs="宋体"/>
          <w:color w:val="auto"/>
          <w:sz w:val="24"/>
          <w:szCs w:val="24"/>
          <w:highlight w:val="none"/>
        </w:rPr>
        <w:t>地址：</w:t>
      </w:r>
    </w:p>
    <w:p w14:paraId="06D70C02">
      <w:pPr>
        <w:pStyle w:val="11"/>
        <w:spacing w:line="360" w:lineRule="auto"/>
        <w:ind w:firstLine="240"/>
        <w:rPr>
          <w:rFonts w:hAnsi="宋体" w:eastAsia="宋体" w:cs="宋体"/>
          <w:color w:val="auto"/>
          <w:sz w:val="24"/>
          <w:szCs w:val="24"/>
          <w:highlight w:val="none"/>
        </w:rPr>
      </w:pPr>
      <w:r>
        <w:rPr>
          <w:rFonts w:hAnsi="宋体" w:eastAsia="宋体" w:cs="宋体"/>
          <w:color w:val="auto"/>
          <w:sz w:val="24"/>
          <w:szCs w:val="24"/>
          <w:highlight w:val="none"/>
        </w:rPr>
        <w:t>联系电话：</w:t>
      </w:r>
    </w:p>
    <w:p w14:paraId="44216930">
      <w:pPr>
        <w:pStyle w:val="11"/>
        <w:spacing w:line="360" w:lineRule="auto"/>
        <w:ind w:firstLine="240"/>
        <w:rPr>
          <w:rFonts w:hAnsi="宋体" w:eastAsia="宋体" w:cs="宋体"/>
          <w:color w:val="auto"/>
          <w:sz w:val="24"/>
          <w:szCs w:val="24"/>
          <w:highlight w:val="none"/>
        </w:rPr>
      </w:pPr>
      <w:r>
        <w:rPr>
          <w:rFonts w:hAnsi="宋体" w:eastAsia="宋体" w:cs="宋体"/>
          <w:color w:val="auto"/>
          <w:sz w:val="24"/>
          <w:szCs w:val="24"/>
          <w:highlight w:val="none"/>
        </w:rPr>
        <w:t>传真：</w:t>
      </w:r>
    </w:p>
    <w:p w14:paraId="7155B6C3">
      <w:pPr>
        <w:pStyle w:val="11"/>
        <w:spacing w:line="360" w:lineRule="auto"/>
        <w:ind w:firstLine="240"/>
        <w:rPr>
          <w:rFonts w:hAnsi="宋体" w:eastAsia="宋体" w:cs="宋体"/>
          <w:color w:val="auto"/>
          <w:sz w:val="24"/>
          <w:szCs w:val="24"/>
          <w:highlight w:val="none"/>
        </w:rPr>
      </w:pPr>
      <w:r>
        <w:rPr>
          <w:rFonts w:hAnsi="宋体" w:eastAsia="宋体" w:cs="宋体"/>
          <w:color w:val="auto"/>
          <w:sz w:val="24"/>
          <w:szCs w:val="24"/>
          <w:highlight w:val="none"/>
        </w:rPr>
        <w:t>法定代表人或被授权人：（签字或盖章）</w:t>
      </w:r>
      <w:r>
        <w:rPr>
          <w:rFonts w:hint="eastAsia" w:hAnsi="宋体" w:eastAsia="宋体" w:cs="宋体"/>
          <w:color w:val="auto"/>
          <w:sz w:val="24"/>
          <w:szCs w:val="24"/>
          <w:highlight w:val="none"/>
          <w:lang w:val="en-US" w:eastAsia="zh-CN"/>
        </w:rPr>
        <w:t xml:space="preserve">        </w:t>
      </w:r>
      <w:r>
        <w:rPr>
          <w:rFonts w:hAnsi="宋体" w:eastAsia="宋体" w:cs="宋体"/>
          <w:color w:val="auto"/>
          <w:sz w:val="24"/>
          <w:szCs w:val="24"/>
          <w:highlight w:val="none"/>
        </w:rPr>
        <w:t>年   月    日</w:t>
      </w:r>
    </w:p>
    <w:p w14:paraId="066724DB">
      <w:pPr>
        <w:pStyle w:val="18"/>
        <w:spacing w:line="360" w:lineRule="auto"/>
        <w:rPr>
          <w:rFonts w:hint="eastAsia" w:hAnsi="宋体" w:cs="宋体"/>
          <w:b/>
          <w:color w:val="auto"/>
          <w:sz w:val="24"/>
          <w:szCs w:val="24"/>
          <w:highlight w:val="none"/>
        </w:rPr>
      </w:pPr>
    </w:p>
    <w:p w14:paraId="5A9E8FEC">
      <w:pPr>
        <w:pStyle w:val="18"/>
        <w:spacing w:line="360" w:lineRule="auto"/>
        <w:rPr>
          <w:rFonts w:hAnsi="宋体" w:cs="宋体"/>
          <w:color w:val="auto"/>
          <w:sz w:val="24"/>
          <w:szCs w:val="24"/>
          <w:highlight w:val="none"/>
        </w:rPr>
      </w:pPr>
      <w:r>
        <w:rPr>
          <w:rFonts w:hint="eastAsia" w:hAnsi="宋体" w:cs="宋体"/>
          <w:b/>
          <w:color w:val="auto"/>
          <w:sz w:val="24"/>
          <w:szCs w:val="24"/>
          <w:highlight w:val="none"/>
        </w:rPr>
        <w:t>3、开标一览表</w:t>
      </w:r>
    </w:p>
    <w:p w14:paraId="682A5760">
      <w:pPr>
        <w:pStyle w:val="18"/>
        <w:spacing w:line="360" w:lineRule="auto"/>
        <w:jc w:val="center"/>
        <w:rPr>
          <w:rFonts w:hAnsi="宋体" w:cs="宋体"/>
          <w:color w:val="auto"/>
          <w:sz w:val="24"/>
          <w:szCs w:val="24"/>
          <w:highlight w:val="none"/>
        </w:rPr>
      </w:pPr>
      <w:r>
        <w:rPr>
          <w:rFonts w:hint="eastAsia" w:hAnsi="宋体" w:cs="宋体"/>
          <w:color w:val="auto"/>
          <w:sz w:val="24"/>
          <w:szCs w:val="24"/>
          <w:highlight w:val="none"/>
        </w:rPr>
        <w:t>开标一览表</w:t>
      </w:r>
    </w:p>
    <w:p w14:paraId="2CE7C69A">
      <w:pPr>
        <w:pStyle w:val="18"/>
        <w:spacing w:line="360" w:lineRule="auto"/>
        <w:jc w:val="center"/>
        <w:rPr>
          <w:rFonts w:hAnsi="宋体" w:cs="宋体"/>
          <w:color w:val="auto"/>
          <w:sz w:val="24"/>
          <w:szCs w:val="24"/>
          <w:highlight w:val="none"/>
        </w:rPr>
      </w:pPr>
    </w:p>
    <w:p w14:paraId="139B0C58">
      <w:pPr>
        <w:widowControl/>
        <w:rPr>
          <w:rFonts w:ascii="Calibri" w:hAnsi="Calibri"/>
          <w:color w:val="auto"/>
          <w:sz w:val="24"/>
          <w:szCs w:val="24"/>
          <w:highlight w:val="none"/>
        </w:rPr>
      </w:pPr>
    </w:p>
    <w:tbl>
      <w:tblPr>
        <w:tblStyle w:val="6"/>
        <w:tblW w:w="4998" w:type="pct"/>
        <w:jc w:val="center"/>
        <w:tblLayout w:type="autofit"/>
        <w:tblCellMar>
          <w:top w:w="0" w:type="dxa"/>
          <w:left w:w="108" w:type="dxa"/>
          <w:bottom w:w="0" w:type="dxa"/>
          <w:right w:w="108" w:type="dxa"/>
        </w:tblCellMar>
      </w:tblPr>
      <w:tblGrid>
        <w:gridCol w:w="2483"/>
        <w:gridCol w:w="3422"/>
        <w:gridCol w:w="3424"/>
      </w:tblGrid>
      <w:tr w14:paraId="531C1C48">
        <w:tblPrEx>
          <w:tblCellMar>
            <w:top w:w="0" w:type="dxa"/>
            <w:left w:w="108" w:type="dxa"/>
            <w:bottom w:w="0" w:type="dxa"/>
            <w:right w:w="108" w:type="dxa"/>
          </w:tblCellMar>
        </w:tblPrEx>
        <w:trPr>
          <w:trHeight w:val="564" w:hRule="atLeast"/>
          <w:jc w:val="center"/>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2EDAC82F">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1834" w:type="pct"/>
            <w:tcBorders>
              <w:top w:val="single" w:color="000000" w:sz="4" w:space="0"/>
              <w:left w:val="single" w:color="000000" w:sz="4" w:space="0"/>
              <w:bottom w:val="single" w:color="000000" w:sz="4" w:space="0"/>
              <w:right w:val="single" w:color="000000" w:sz="4" w:space="0"/>
            </w:tcBorders>
            <w:noWrap w:val="0"/>
            <w:vAlign w:val="center"/>
          </w:tcPr>
          <w:p w14:paraId="3E35AB96">
            <w:pPr>
              <w:spacing w:line="360" w:lineRule="auto"/>
              <w:jc w:val="center"/>
              <w:rPr>
                <w:rFonts w:hint="eastAsia" w:ascii="宋体" w:hAnsi="宋体" w:eastAsia="宋体"/>
                <w:color w:val="auto"/>
                <w:sz w:val="24"/>
                <w:szCs w:val="24"/>
                <w:highlight w:val="none"/>
                <w:lang w:val="en-US" w:eastAsia="zh-CN"/>
              </w:rPr>
            </w:pPr>
            <w:r>
              <w:rPr>
                <w:rFonts w:hint="eastAsia" w:hAnsi="宋体"/>
                <w:color w:val="auto"/>
                <w:sz w:val="24"/>
                <w:szCs w:val="24"/>
                <w:highlight w:val="none"/>
                <w:lang w:val="en-US" w:eastAsia="zh-CN"/>
              </w:rPr>
              <w:t>单价（元/平方米）</w:t>
            </w:r>
          </w:p>
        </w:tc>
        <w:tc>
          <w:tcPr>
            <w:tcW w:w="1834" w:type="pct"/>
            <w:tcBorders>
              <w:top w:val="single" w:color="000000" w:sz="4" w:space="0"/>
              <w:left w:val="single" w:color="000000" w:sz="4" w:space="0"/>
              <w:bottom w:val="single" w:color="000000" w:sz="4" w:space="0"/>
              <w:right w:val="single" w:color="000000" w:sz="4" w:space="0"/>
            </w:tcBorders>
            <w:noWrap w:val="0"/>
            <w:vAlign w:val="center"/>
          </w:tcPr>
          <w:p w14:paraId="4E59AF77">
            <w:pPr>
              <w:spacing w:line="360" w:lineRule="auto"/>
              <w:jc w:val="center"/>
              <w:rPr>
                <w:rFonts w:hint="eastAsia" w:ascii="宋体" w:hAnsi="宋体" w:eastAsia="宋体"/>
                <w:color w:val="auto"/>
                <w:sz w:val="24"/>
                <w:szCs w:val="24"/>
                <w:highlight w:val="none"/>
                <w:lang w:eastAsia="zh-CN"/>
              </w:rPr>
            </w:pPr>
            <w:r>
              <w:rPr>
                <w:rFonts w:hint="eastAsia" w:hAnsi="宋体"/>
                <w:color w:val="auto"/>
                <w:sz w:val="24"/>
                <w:szCs w:val="24"/>
                <w:highlight w:val="none"/>
                <w:lang w:eastAsia="zh-CN"/>
              </w:rPr>
              <w:t>备注</w:t>
            </w:r>
          </w:p>
        </w:tc>
      </w:tr>
      <w:tr w14:paraId="078654BC">
        <w:tblPrEx>
          <w:tblCellMar>
            <w:top w:w="0" w:type="dxa"/>
            <w:left w:w="108" w:type="dxa"/>
            <w:bottom w:w="0" w:type="dxa"/>
            <w:right w:w="108" w:type="dxa"/>
          </w:tblCellMar>
        </w:tblPrEx>
        <w:trPr>
          <w:trHeight w:val="614" w:hRule="atLeast"/>
          <w:jc w:val="center"/>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64189459">
            <w:pPr>
              <w:spacing w:line="360" w:lineRule="auto"/>
              <w:rPr>
                <w:rFonts w:ascii="宋体" w:hAnsi="宋体"/>
                <w:color w:val="auto"/>
                <w:sz w:val="24"/>
                <w:szCs w:val="24"/>
                <w:highlight w:val="none"/>
              </w:rPr>
            </w:pPr>
          </w:p>
        </w:tc>
        <w:tc>
          <w:tcPr>
            <w:tcW w:w="1834" w:type="pct"/>
            <w:tcBorders>
              <w:top w:val="single" w:color="000000" w:sz="4" w:space="0"/>
              <w:left w:val="single" w:color="000000" w:sz="4" w:space="0"/>
              <w:bottom w:val="single" w:color="000000" w:sz="4" w:space="0"/>
              <w:right w:val="single" w:color="000000" w:sz="4" w:space="0"/>
            </w:tcBorders>
            <w:noWrap w:val="0"/>
            <w:vAlign w:val="center"/>
          </w:tcPr>
          <w:p w14:paraId="343F99B4">
            <w:pPr>
              <w:spacing w:line="360" w:lineRule="auto"/>
              <w:rPr>
                <w:rFonts w:ascii="宋体" w:hAnsi="宋体"/>
                <w:color w:val="auto"/>
                <w:sz w:val="24"/>
                <w:szCs w:val="24"/>
                <w:highlight w:val="none"/>
              </w:rPr>
            </w:pPr>
          </w:p>
        </w:tc>
        <w:tc>
          <w:tcPr>
            <w:tcW w:w="1834" w:type="pct"/>
            <w:tcBorders>
              <w:top w:val="single" w:color="000000" w:sz="4" w:space="0"/>
              <w:left w:val="single" w:color="000000" w:sz="4" w:space="0"/>
              <w:bottom w:val="single" w:color="000000" w:sz="4" w:space="0"/>
              <w:right w:val="single" w:color="000000" w:sz="4" w:space="0"/>
            </w:tcBorders>
            <w:noWrap w:val="0"/>
            <w:vAlign w:val="center"/>
          </w:tcPr>
          <w:p w14:paraId="0B3C8655">
            <w:pPr>
              <w:spacing w:line="360" w:lineRule="auto"/>
              <w:ind w:firstLine="480"/>
              <w:jc w:val="left"/>
              <w:rPr>
                <w:rFonts w:hint="default" w:ascii="宋体" w:hAnsi="宋体" w:eastAsia="宋体"/>
                <w:color w:val="auto"/>
                <w:sz w:val="24"/>
                <w:szCs w:val="24"/>
                <w:highlight w:val="none"/>
                <w:lang w:val="en-US" w:eastAsia="zh-CN"/>
              </w:rPr>
            </w:pPr>
            <w:r>
              <w:rPr>
                <w:rFonts w:hint="eastAsia" w:hAnsi="宋体"/>
                <w:color w:val="auto"/>
                <w:sz w:val="24"/>
                <w:szCs w:val="24"/>
                <w:highlight w:val="none"/>
                <w:lang w:eastAsia="zh-CN"/>
              </w:rPr>
              <w:t>承诺最终结算按投标单价乘以实际完成白蚁防治建筑面积计算且最终结算的总额不得超过采购预算金额</w:t>
            </w:r>
            <w:r>
              <w:rPr>
                <w:rFonts w:hint="eastAsia" w:hAnsi="宋体"/>
                <w:color w:val="auto"/>
                <w:sz w:val="24"/>
                <w:szCs w:val="24"/>
                <w:highlight w:val="none"/>
                <w:lang w:val="en-US" w:eastAsia="zh-CN"/>
              </w:rPr>
              <w:t>1112300.00元。</w:t>
            </w:r>
          </w:p>
        </w:tc>
      </w:tr>
      <w:tr w14:paraId="17A4B4B6">
        <w:tblPrEx>
          <w:tblCellMar>
            <w:top w:w="0" w:type="dxa"/>
            <w:left w:w="108" w:type="dxa"/>
            <w:bottom w:w="0" w:type="dxa"/>
            <w:right w:w="108" w:type="dxa"/>
          </w:tblCellMar>
        </w:tblPrEx>
        <w:trPr>
          <w:trHeight w:val="614"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6B85439">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投标报价（大写金额）</w:t>
            </w:r>
          </w:p>
        </w:tc>
      </w:tr>
    </w:tbl>
    <w:p w14:paraId="16F268DF">
      <w:pPr>
        <w:pStyle w:val="9"/>
        <w:ind w:firstLine="0"/>
        <w:rPr>
          <w:rFonts w:hint="eastAsia" w:hAnsi="宋体" w:cs="宋体"/>
          <w:color w:val="auto"/>
          <w:sz w:val="24"/>
          <w:szCs w:val="24"/>
          <w:highlight w:val="none"/>
          <w:lang w:val="zh-CN"/>
        </w:rPr>
      </w:pPr>
    </w:p>
    <w:p w14:paraId="33A3B69E">
      <w:pPr>
        <w:pStyle w:val="9"/>
        <w:ind w:firstLine="0"/>
        <w:rPr>
          <w:rFonts w:hint="eastAsia" w:hAnsi="宋体" w:cs="宋体"/>
          <w:color w:val="auto"/>
          <w:sz w:val="24"/>
          <w:szCs w:val="24"/>
          <w:highlight w:val="none"/>
          <w:lang w:val="zh-CN"/>
        </w:rPr>
      </w:pPr>
    </w:p>
    <w:p w14:paraId="2D5A138D">
      <w:pPr>
        <w:pStyle w:val="9"/>
        <w:ind w:firstLine="0"/>
        <w:jc w:val="right"/>
        <w:rPr>
          <w:color w:val="auto"/>
          <w:sz w:val="24"/>
          <w:szCs w:val="24"/>
          <w:highlight w:val="none"/>
        </w:rPr>
      </w:pPr>
      <w:r>
        <w:rPr>
          <w:rFonts w:hint="eastAsia" w:hAnsi="宋体" w:cs="宋体"/>
          <w:color w:val="auto"/>
          <w:sz w:val="24"/>
          <w:szCs w:val="24"/>
          <w:highlight w:val="none"/>
          <w:lang w:val="zh-CN"/>
        </w:rPr>
        <w:t>日    期：     年</w:t>
      </w:r>
      <w:r>
        <w:rPr>
          <w:rFonts w:hint="eastAsia" w:hAnsi="宋体" w:cs="宋体"/>
          <w:color w:val="auto"/>
          <w:sz w:val="24"/>
          <w:szCs w:val="24"/>
          <w:highlight w:val="none"/>
        </w:rPr>
        <w:t xml:space="preserve">     </w:t>
      </w:r>
      <w:r>
        <w:rPr>
          <w:rFonts w:hint="eastAsia" w:hAnsi="宋体" w:cs="宋体"/>
          <w:color w:val="auto"/>
          <w:sz w:val="24"/>
          <w:szCs w:val="24"/>
          <w:highlight w:val="none"/>
          <w:lang w:val="zh-CN"/>
        </w:rPr>
        <w:t xml:space="preserve">月   </w:t>
      </w:r>
      <w:r>
        <w:rPr>
          <w:rFonts w:hint="eastAsia" w:hAnsi="宋体" w:cs="宋体"/>
          <w:color w:val="auto"/>
          <w:sz w:val="24"/>
          <w:szCs w:val="24"/>
          <w:highlight w:val="none"/>
        </w:rPr>
        <w:t xml:space="preserve"> </w:t>
      </w:r>
      <w:r>
        <w:rPr>
          <w:rFonts w:hint="eastAsia" w:hAnsi="宋体" w:cs="宋体"/>
          <w:color w:val="auto"/>
          <w:sz w:val="24"/>
          <w:szCs w:val="24"/>
          <w:highlight w:val="none"/>
          <w:lang w:val="zh-CN"/>
        </w:rPr>
        <w:t>日</w:t>
      </w:r>
    </w:p>
    <w:p w14:paraId="13AF08BB">
      <w:pPr>
        <w:pStyle w:val="19"/>
        <w:ind w:firstLine="422"/>
        <w:jc w:val="center"/>
        <w:rPr>
          <w:rFonts w:hint="eastAsia" w:hAnsi="宋体" w:eastAsia="宋体" w:cs="宋体"/>
          <w:b/>
          <w:bCs/>
          <w:color w:val="auto"/>
          <w:sz w:val="24"/>
          <w:szCs w:val="24"/>
          <w:highlight w:val="none"/>
          <w:lang w:val="zh-CN"/>
        </w:rPr>
      </w:pPr>
    </w:p>
    <w:p w14:paraId="75E9ECF0">
      <w:pPr>
        <w:pStyle w:val="18"/>
        <w:spacing w:line="360" w:lineRule="auto"/>
        <w:jc w:val="left"/>
        <w:rPr>
          <w:rFonts w:hint="eastAsia" w:hAnsi="宋体" w:cs="宋体"/>
          <w:b/>
          <w:bCs/>
          <w:color w:val="auto"/>
          <w:sz w:val="24"/>
          <w:szCs w:val="24"/>
          <w:highlight w:val="none"/>
        </w:rPr>
      </w:pPr>
    </w:p>
    <w:p w14:paraId="0FD9A7AA">
      <w:pPr>
        <w:pStyle w:val="18"/>
        <w:spacing w:line="360" w:lineRule="auto"/>
        <w:rPr>
          <w:rFonts w:hint="eastAsia" w:hAnsi="宋体" w:cs="宋体"/>
          <w:color w:val="auto"/>
          <w:sz w:val="24"/>
          <w:szCs w:val="24"/>
          <w:highlight w:val="none"/>
        </w:rPr>
      </w:pPr>
    </w:p>
    <w:p w14:paraId="1B3D28E8">
      <w:pPr>
        <w:pStyle w:val="17"/>
        <w:spacing w:line="400" w:lineRule="exact"/>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投标单位：（公章）</w:t>
      </w:r>
    </w:p>
    <w:p w14:paraId="663EC951">
      <w:pPr>
        <w:pStyle w:val="10"/>
        <w:spacing w:line="400" w:lineRule="exact"/>
        <w:ind w:firstLine="0"/>
        <w:rPr>
          <w:rFonts w:eastAsia="宋体"/>
          <w:color w:val="auto"/>
          <w:szCs w:val="24"/>
          <w:highlight w:val="none"/>
        </w:rPr>
      </w:pPr>
      <w:r>
        <w:rPr>
          <w:rFonts w:eastAsia="宋体"/>
          <w:color w:val="auto"/>
          <w:szCs w:val="24"/>
          <w:highlight w:val="none"/>
        </w:rPr>
        <w:t>法定代表人或委托代理人（签字或盖章）：</w:t>
      </w:r>
    </w:p>
    <w:p w14:paraId="0F09BDD5">
      <w:pPr>
        <w:pStyle w:val="10"/>
        <w:spacing w:line="400" w:lineRule="exact"/>
        <w:ind w:firstLine="0"/>
        <w:rPr>
          <w:rFonts w:eastAsia="宋体"/>
          <w:color w:val="auto"/>
          <w:szCs w:val="24"/>
          <w:highlight w:val="none"/>
        </w:rPr>
      </w:pPr>
      <w:r>
        <w:rPr>
          <w:rFonts w:eastAsia="宋体"/>
          <w:color w:val="auto"/>
          <w:szCs w:val="24"/>
          <w:highlight w:val="none"/>
        </w:rPr>
        <w:t>日期：年月日</w:t>
      </w:r>
    </w:p>
    <w:p w14:paraId="77DFD768">
      <w:pPr>
        <w:pStyle w:val="18"/>
        <w:spacing w:line="360" w:lineRule="auto"/>
        <w:jc w:val="center"/>
        <w:rPr>
          <w:rFonts w:hAnsi="宋体" w:cs="宋体"/>
          <w:color w:val="auto"/>
          <w:sz w:val="24"/>
          <w:szCs w:val="24"/>
          <w:highlight w:val="none"/>
        </w:rPr>
      </w:pPr>
    </w:p>
    <w:p w14:paraId="18253BAC">
      <w:pPr>
        <w:pStyle w:val="18"/>
        <w:spacing w:line="360" w:lineRule="auto"/>
        <w:jc w:val="both"/>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注：本项目最高限价单价：6.6元/平方米，超过最高限价单价为无效报价。</w:t>
      </w:r>
    </w:p>
    <w:p w14:paraId="2FB26A14">
      <w:pPr>
        <w:pStyle w:val="18"/>
        <w:spacing w:line="360" w:lineRule="auto"/>
        <w:jc w:val="both"/>
        <w:rPr>
          <w:rFonts w:hAnsi="宋体" w:cs="宋体"/>
          <w:color w:val="auto"/>
          <w:sz w:val="24"/>
          <w:szCs w:val="24"/>
          <w:highlight w:val="none"/>
        </w:rPr>
      </w:pPr>
    </w:p>
    <w:p w14:paraId="2094BFB9">
      <w:pPr>
        <w:pStyle w:val="18"/>
        <w:spacing w:line="360" w:lineRule="auto"/>
        <w:jc w:val="both"/>
        <w:rPr>
          <w:rFonts w:hAnsi="宋体" w:cs="宋体"/>
          <w:color w:val="auto"/>
          <w:sz w:val="24"/>
          <w:szCs w:val="24"/>
          <w:highlight w:val="none"/>
        </w:rPr>
      </w:pPr>
    </w:p>
    <w:p w14:paraId="3EE6C6BD">
      <w:pPr>
        <w:pStyle w:val="18"/>
        <w:spacing w:line="360" w:lineRule="auto"/>
        <w:jc w:val="both"/>
        <w:rPr>
          <w:rFonts w:hAnsi="宋体" w:cs="宋体"/>
          <w:color w:val="auto"/>
          <w:sz w:val="24"/>
          <w:szCs w:val="24"/>
          <w:highlight w:val="none"/>
        </w:rPr>
      </w:pPr>
    </w:p>
    <w:p w14:paraId="65A5B05F">
      <w:pPr>
        <w:pStyle w:val="18"/>
        <w:spacing w:line="360" w:lineRule="auto"/>
        <w:jc w:val="both"/>
        <w:rPr>
          <w:rFonts w:hAnsi="宋体" w:cs="宋体"/>
          <w:color w:val="auto"/>
          <w:sz w:val="24"/>
          <w:szCs w:val="24"/>
          <w:highlight w:val="none"/>
        </w:rPr>
      </w:pPr>
    </w:p>
    <w:p w14:paraId="37416CB6">
      <w:pPr>
        <w:pStyle w:val="18"/>
        <w:spacing w:line="360" w:lineRule="auto"/>
        <w:jc w:val="both"/>
        <w:rPr>
          <w:rFonts w:hAnsi="宋体" w:cs="宋体"/>
          <w:color w:val="auto"/>
          <w:sz w:val="24"/>
          <w:szCs w:val="24"/>
          <w:highlight w:val="none"/>
        </w:rPr>
      </w:pPr>
    </w:p>
    <w:p w14:paraId="75802ED3">
      <w:pPr>
        <w:pStyle w:val="18"/>
        <w:spacing w:line="360" w:lineRule="auto"/>
        <w:jc w:val="both"/>
        <w:rPr>
          <w:rFonts w:hAnsi="宋体" w:cs="宋体"/>
          <w:color w:val="auto"/>
          <w:sz w:val="24"/>
          <w:szCs w:val="24"/>
          <w:highlight w:val="none"/>
        </w:rPr>
      </w:pPr>
    </w:p>
    <w:p w14:paraId="0AFF52C1">
      <w:pPr>
        <w:pStyle w:val="18"/>
        <w:spacing w:line="360" w:lineRule="auto"/>
        <w:jc w:val="both"/>
        <w:rPr>
          <w:rFonts w:hAnsi="宋体" w:cs="宋体"/>
          <w:color w:val="auto"/>
          <w:sz w:val="24"/>
          <w:szCs w:val="24"/>
          <w:highlight w:val="none"/>
        </w:rPr>
      </w:pPr>
    </w:p>
    <w:p w14:paraId="42EC0273">
      <w:pPr>
        <w:pStyle w:val="18"/>
        <w:spacing w:line="360" w:lineRule="auto"/>
        <w:jc w:val="both"/>
        <w:rPr>
          <w:rFonts w:hAnsi="宋体" w:cs="宋体"/>
          <w:color w:val="auto"/>
          <w:sz w:val="24"/>
          <w:szCs w:val="24"/>
          <w:highlight w:val="none"/>
        </w:rPr>
      </w:pPr>
    </w:p>
    <w:p w14:paraId="1628CF05">
      <w:pPr>
        <w:pStyle w:val="18"/>
        <w:spacing w:line="360" w:lineRule="auto"/>
        <w:jc w:val="both"/>
        <w:rPr>
          <w:rFonts w:hAnsi="宋体" w:cs="宋体"/>
          <w:color w:val="auto"/>
          <w:sz w:val="24"/>
          <w:szCs w:val="24"/>
          <w:highlight w:val="none"/>
        </w:rPr>
      </w:pPr>
    </w:p>
    <w:p w14:paraId="15479346">
      <w:pPr>
        <w:numPr>
          <w:ilvl w:val="0"/>
          <w:numId w:val="0"/>
        </w:numPr>
        <w:spacing w:line="360" w:lineRule="auto"/>
        <w:rPr>
          <w:rFonts w:hint="eastAsia" w:hAnsi="宋体" w:cs="宋体"/>
          <w:b/>
          <w:color w:val="auto"/>
          <w:sz w:val="24"/>
          <w:szCs w:val="24"/>
          <w:highlight w:val="none"/>
        </w:rPr>
      </w:pPr>
      <w:r>
        <w:rPr>
          <w:rFonts w:hint="eastAsia" w:hAnsi="宋体" w:cs="宋体"/>
          <w:b/>
          <w:color w:val="auto"/>
          <w:sz w:val="24"/>
          <w:szCs w:val="24"/>
          <w:highlight w:val="none"/>
          <w:lang w:val="en-US" w:eastAsia="zh-CN"/>
        </w:rPr>
        <w:t>4、</w:t>
      </w:r>
      <w:r>
        <w:rPr>
          <w:rFonts w:hint="eastAsia" w:hAnsi="宋体" w:cs="宋体"/>
          <w:b/>
          <w:color w:val="auto"/>
          <w:sz w:val="24"/>
          <w:szCs w:val="24"/>
          <w:highlight w:val="none"/>
          <w:lang w:val="zh-CN"/>
        </w:rPr>
        <w:t>技术部分（格式为参考，投标单位可参照下述格式自制表格投标，但至少应包括下述格式中的内容，没有参考格式的则可根据情况自行编制）</w:t>
      </w:r>
    </w:p>
    <w:p w14:paraId="5DF8D1CF">
      <w:pPr>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4</w:t>
      </w:r>
      <w:r>
        <w:rPr>
          <w:rFonts w:hint="eastAsia" w:hAnsi="宋体" w:cs="宋体"/>
          <w:b/>
          <w:bCs/>
          <w:color w:val="auto"/>
          <w:sz w:val="24"/>
          <w:szCs w:val="24"/>
          <w:highlight w:val="none"/>
        </w:rPr>
        <w:t>.1投标服务重点、难点说明与描述，完整详细的服务方案</w:t>
      </w:r>
    </w:p>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8"/>
      </w:tblGrid>
      <w:tr w14:paraId="11ECE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trPr>
        <w:tc>
          <w:tcPr>
            <w:tcW w:w="9648" w:type="dxa"/>
            <w:noWrap w:val="0"/>
            <w:vAlign w:val="top"/>
          </w:tcPr>
          <w:p w14:paraId="55C6A3F5">
            <w:pPr>
              <w:rPr>
                <w:rFonts w:hint="eastAsia" w:hAnsi="宋体" w:cs="宋体"/>
                <w:color w:val="auto"/>
                <w:sz w:val="24"/>
                <w:szCs w:val="24"/>
                <w:highlight w:val="none"/>
              </w:rPr>
            </w:pPr>
            <w:r>
              <w:rPr>
                <w:rFonts w:hint="eastAsia" w:hAnsi="宋体" w:cs="宋体"/>
                <w:color w:val="auto"/>
                <w:sz w:val="24"/>
                <w:szCs w:val="24"/>
                <w:highlight w:val="none"/>
              </w:rPr>
              <w:t>提示：</w:t>
            </w:r>
          </w:p>
          <w:p w14:paraId="30D89347">
            <w:pPr>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zh-CN"/>
              </w:rPr>
              <w:t>投标单位</w:t>
            </w:r>
            <w:r>
              <w:rPr>
                <w:rFonts w:hint="eastAsia" w:hAnsi="宋体" w:cs="宋体"/>
                <w:color w:val="auto"/>
                <w:sz w:val="24"/>
                <w:szCs w:val="24"/>
                <w:highlight w:val="none"/>
              </w:rPr>
              <w:t>应根据本次招标项目要求，对所投服务重点、难点，完整详细的服务方案等进行详细的说明与描述。</w:t>
            </w:r>
          </w:p>
          <w:p w14:paraId="4E95BD49">
            <w:pPr>
              <w:rPr>
                <w:rFonts w:hint="eastAsia"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szCs w:val="24"/>
                <w:highlight w:val="none"/>
                <w:lang w:val="zh-CN"/>
              </w:rPr>
              <w:t>投标单位</w:t>
            </w:r>
            <w:r>
              <w:rPr>
                <w:rFonts w:hint="eastAsia" w:hAnsi="宋体" w:cs="宋体"/>
                <w:color w:val="auto"/>
                <w:sz w:val="24"/>
                <w:szCs w:val="24"/>
                <w:highlight w:val="none"/>
              </w:rPr>
              <w:t>应针对本次招标项目特点：针对本项目所需服务内容进行逐一描述。</w:t>
            </w:r>
          </w:p>
          <w:p w14:paraId="23E86966">
            <w:pPr>
              <w:rPr>
                <w:rFonts w:hint="eastAsia"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szCs w:val="24"/>
                <w:highlight w:val="none"/>
                <w:lang w:val="zh-CN"/>
              </w:rPr>
              <w:t>投标单位</w:t>
            </w:r>
            <w:r>
              <w:rPr>
                <w:rFonts w:hint="eastAsia" w:hAnsi="宋体" w:cs="宋体"/>
                <w:color w:val="auto"/>
                <w:sz w:val="24"/>
                <w:szCs w:val="24"/>
                <w:highlight w:val="none"/>
              </w:rPr>
              <w:t>可根据自身情况便携，本页不够可另加页附后。</w:t>
            </w:r>
          </w:p>
        </w:tc>
      </w:tr>
      <w:tr w14:paraId="0A626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5" w:hRule="atLeast"/>
        </w:trPr>
        <w:tc>
          <w:tcPr>
            <w:tcW w:w="9648" w:type="dxa"/>
            <w:noWrap w:val="0"/>
            <w:vAlign w:val="bottom"/>
          </w:tcPr>
          <w:p w14:paraId="0CF3F199">
            <w:pPr>
              <w:tabs>
                <w:tab w:val="left" w:pos="1320"/>
              </w:tabs>
              <w:spacing w:line="360" w:lineRule="auto"/>
              <w:rPr>
                <w:rFonts w:hint="eastAsia" w:hAnsi="宋体" w:cs="宋体"/>
                <w:color w:val="auto"/>
                <w:sz w:val="24"/>
                <w:szCs w:val="24"/>
                <w:highlight w:val="none"/>
                <w:u w:val="single"/>
              </w:rPr>
            </w:pPr>
            <w:r>
              <w:rPr>
                <w:rFonts w:hint="eastAsia" w:hAnsi="宋体" w:cs="宋体"/>
                <w:color w:val="auto"/>
                <w:sz w:val="24"/>
                <w:szCs w:val="24"/>
                <w:highlight w:val="none"/>
                <w:u w:val="single"/>
              </w:rPr>
              <w:t xml:space="preserve">单位名称（盖章）：                  </w:t>
            </w:r>
          </w:p>
        </w:tc>
      </w:tr>
    </w:tbl>
    <w:p w14:paraId="135609E5">
      <w:pPr>
        <w:pageBreakBefore/>
        <w:spacing w:line="360" w:lineRule="auto"/>
        <w:jc w:val="left"/>
        <w:rPr>
          <w:b/>
          <w:color w:val="auto"/>
          <w:sz w:val="24"/>
          <w:szCs w:val="24"/>
          <w:highlight w:val="none"/>
        </w:rPr>
      </w:pPr>
      <w:r>
        <w:rPr>
          <w:rFonts w:hint="eastAsia"/>
          <w:b/>
          <w:color w:val="auto"/>
          <w:sz w:val="24"/>
          <w:szCs w:val="24"/>
          <w:highlight w:val="none"/>
          <w:lang w:val="en-US" w:eastAsia="zh-CN"/>
        </w:rPr>
        <w:t>4</w:t>
      </w:r>
      <w:r>
        <w:rPr>
          <w:rFonts w:hint="eastAsia"/>
          <w:b/>
          <w:color w:val="auto"/>
          <w:sz w:val="24"/>
          <w:szCs w:val="24"/>
          <w:highlight w:val="none"/>
        </w:rPr>
        <w:t>.2</w:t>
      </w:r>
      <w:r>
        <w:rPr>
          <w:b/>
          <w:color w:val="auto"/>
          <w:sz w:val="24"/>
          <w:szCs w:val="24"/>
          <w:highlight w:val="none"/>
        </w:rPr>
        <w:t>.技术响应对照表</w:t>
      </w:r>
    </w:p>
    <w:p w14:paraId="19C5EF99">
      <w:pPr>
        <w:spacing w:line="360" w:lineRule="auto"/>
        <w:jc w:val="center"/>
        <w:rPr>
          <w:color w:val="auto"/>
          <w:spacing w:val="20"/>
          <w:sz w:val="24"/>
          <w:szCs w:val="24"/>
          <w:highlight w:val="none"/>
        </w:rPr>
      </w:pPr>
      <w:r>
        <w:rPr>
          <w:b/>
          <w:color w:val="auto"/>
          <w:sz w:val="24"/>
          <w:szCs w:val="24"/>
          <w:highlight w:val="none"/>
        </w:rPr>
        <w:t>技术响应对照表</w:t>
      </w:r>
    </w:p>
    <w:p w14:paraId="41BAC4DB">
      <w:pPr>
        <w:spacing w:line="360" w:lineRule="auto"/>
        <w:rPr>
          <w:color w:val="auto"/>
          <w:spacing w:val="20"/>
          <w:sz w:val="24"/>
          <w:szCs w:val="24"/>
          <w:highlight w:val="none"/>
        </w:rPr>
      </w:pPr>
      <w:r>
        <w:rPr>
          <w:color w:val="auto"/>
          <w:spacing w:val="20"/>
          <w:sz w:val="24"/>
          <w:szCs w:val="24"/>
          <w:highlight w:val="none"/>
        </w:rPr>
        <w:t>招标编号：</w:t>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1856"/>
        <w:gridCol w:w="1740"/>
        <w:gridCol w:w="1542"/>
        <w:gridCol w:w="3060"/>
      </w:tblGrid>
      <w:tr w14:paraId="1016F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9" w:hRule="exact"/>
        </w:trPr>
        <w:tc>
          <w:tcPr>
            <w:tcW w:w="782" w:type="dxa"/>
            <w:noWrap w:val="0"/>
            <w:vAlign w:val="center"/>
          </w:tcPr>
          <w:p w14:paraId="2C03020F">
            <w:pPr>
              <w:spacing w:line="360" w:lineRule="auto"/>
              <w:jc w:val="center"/>
              <w:rPr>
                <w:color w:val="auto"/>
                <w:sz w:val="24"/>
                <w:szCs w:val="24"/>
                <w:highlight w:val="none"/>
              </w:rPr>
            </w:pPr>
            <w:r>
              <w:rPr>
                <w:color w:val="auto"/>
                <w:sz w:val="24"/>
                <w:szCs w:val="24"/>
                <w:highlight w:val="none"/>
              </w:rPr>
              <w:t>序号</w:t>
            </w:r>
          </w:p>
        </w:tc>
        <w:tc>
          <w:tcPr>
            <w:tcW w:w="1856" w:type="dxa"/>
            <w:noWrap w:val="0"/>
            <w:vAlign w:val="center"/>
          </w:tcPr>
          <w:p w14:paraId="107453E5">
            <w:pPr>
              <w:spacing w:line="360" w:lineRule="auto"/>
              <w:jc w:val="center"/>
              <w:rPr>
                <w:color w:val="auto"/>
                <w:sz w:val="24"/>
                <w:szCs w:val="24"/>
                <w:highlight w:val="none"/>
              </w:rPr>
            </w:pPr>
            <w:r>
              <w:rPr>
                <w:color w:val="auto"/>
                <w:sz w:val="24"/>
                <w:szCs w:val="24"/>
                <w:highlight w:val="none"/>
              </w:rPr>
              <w:t>产品（服务）名称</w:t>
            </w:r>
          </w:p>
        </w:tc>
        <w:tc>
          <w:tcPr>
            <w:tcW w:w="1740" w:type="dxa"/>
            <w:noWrap w:val="0"/>
            <w:vAlign w:val="center"/>
          </w:tcPr>
          <w:p w14:paraId="13F9F124">
            <w:pPr>
              <w:spacing w:line="360" w:lineRule="auto"/>
              <w:jc w:val="center"/>
              <w:rPr>
                <w:color w:val="auto"/>
                <w:sz w:val="24"/>
                <w:szCs w:val="24"/>
                <w:highlight w:val="none"/>
              </w:rPr>
            </w:pPr>
            <w:r>
              <w:rPr>
                <w:color w:val="auto"/>
                <w:sz w:val="24"/>
                <w:szCs w:val="24"/>
                <w:highlight w:val="none"/>
              </w:rPr>
              <w:t>招标技术要求</w:t>
            </w:r>
          </w:p>
        </w:tc>
        <w:tc>
          <w:tcPr>
            <w:tcW w:w="1542" w:type="dxa"/>
            <w:noWrap w:val="0"/>
            <w:vAlign w:val="center"/>
          </w:tcPr>
          <w:p w14:paraId="4470F4A1">
            <w:pPr>
              <w:spacing w:line="360" w:lineRule="auto"/>
              <w:jc w:val="center"/>
              <w:rPr>
                <w:color w:val="auto"/>
                <w:sz w:val="24"/>
                <w:szCs w:val="24"/>
                <w:highlight w:val="none"/>
              </w:rPr>
            </w:pPr>
            <w:r>
              <w:rPr>
                <w:color w:val="auto"/>
                <w:sz w:val="24"/>
                <w:szCs w:val="24"/>
                <w:highlight w:val="none"/>
              </w:rPr>
              <w:t>响应技术指标</w:t>
            </w:r>
          </w:p>
        </w:tc>
        <w:tc>
          <w:tcPr>
            <w:tcW w:w="3060" w:type="dxa"/>
            <w:noWrap w:val="0"/>
            <w:vAlign w:val="center"/>
          </w:tcPr>
          <w:p w14:paraId="00A63F83">
            <w:pPr>
              <w:spacing w:line="360" w:lineRule="auto"/>
              <w:jc w:val="center"/>
              <w:rPr>
                <w:color w:val="auto"/>
                <w:sz w:val="24"/>
                <w:szCs w:val="24"/>
                <w:highlight w:val="none"/>
              </w:rPr>
            </w:pPr>
            <w:r>
              <w:rPr>
                <w:color w:val="auto"/>
                <w:sz w:val="24"/>
                <w:szCs w:val="24"/>
                <w:highlight w:val="none"/>
              </w:rPr>
              <w:t>选择项</w:t>
            </w:r>
          </w:p>
          <w:p w14:paraId="4DE82941">
            <w:pPr>
              <w:spacing w:line="360" w:lineRule="auto"/>
              <w:jc w:val="center"/>
              <w:rPr>
                <w:color w:val="auto"/>
                <w:sz w:val="24"/>
                <w:szCs w:val="24"/>
                <w:highlight w:val="none"/>
              </w:rPr>
            </w:pPr>
            <w:r>
              <w:rPr>
                <w:color w:val="auto"/>
                <w:sz w:val="24"/>
                <w:szCs w:val="24"/>
                <w:highlight w:val="none"/>
              </w:rPr>
              <w:t>（正偏离、负偏离或无偏离）</w:t>
            </w:r>
          </w:p>
        </w:tc>
      </w:tr>
      <w:tr w14:paraId="67C11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782" w:type="dxa"/>
            <w:noWrap w:val="0"/>
            <w:vAlign w:val="top"/>
          </w:tcPr>
          <w:p w14:paraId="3B2C0EC6">
            <w:pPr>
              <w:spacing w:line="360" w:lineRule="auto"/>
              <w:rPr>
                <w:color w:val="auto"/>
                <w:sz w:val="24"/>
                <w:szCs w:val="24"/>
                <w:highlight w:val="none"/>
              </w:rPr>
            </w:pPr>
          </w:p>
        </w:tc>
        <w:tc>
          <w:tcPr>
            <w:tcW w:w="1856" w:type="dxa"/>
            <w:noWrap w:val="0"/>
            <w:vAlign w:val="top"/>
          </w:tcPr>
          <w:p w14:paraId="2291BF7B">
            <w:pPr>
              <w:spacing w:line="360" w:lineRule="auto"/>
              <w:rPr>
                <w:color w:val="auto"/>
                <w:sz w:val="24"/>
                <w:szCs w:val="24"/>
                <w:highlight w:val="none"/>
              </w:rPr>
            </w:pPr>
          </w:p>
        </w:tc>
        <w:tc>
          <w:tcPr>
            <w:tcW w:w="1740" w:type="dxa"/>
            <w:noWrap w:val="0"/>
            <w:vAlign w:val="top"/>
          </w:tcPr>
          <w:p w14:paraId="53D95955">
            <w:pPr>
              <w:spacing w:line="360" w:lineRule="auto"/>
              <w:rPr>
                <w:color w:val="auto"/>
                <w:sz w:val="24"/>
                <w:szCs w:val="24"/>
                <w:highlight w:val="none"/>
              </w:rPr>
            </w:pPr>
          </w:p>
        </w:tc>
        <w:tc>
          <w:tcPr>
            <w:tcW w:w="1542" w:type="dxa"/>
            <w:noWrap w:val="0"/>
            <w:vAlign w:val="top"/>
          </w:tcPr>
          <w:p w14:paraId="1A96C88D">
            <w:pPr>
              <w:spacing w:line="360" w:lineRule="auto"/>
              <w:rPr>
                <w:color w:val="auto"/>
                <w:sz w:val="24"/>
                <w:szCs w:val="24"/>
                <w:highlight w:val="none"/>
              </w:rPr>
            </w:pPr>
          </w:p>
        </w:tc>
        <w:tc>
          <w:tcPr>
            <w:tcW w:w="3060" w:type="dxa"/>
            <w:noWrap w:val="0"/>
            <w:vAlign w:val="top"/>
          </w:tcPr>
          <w:p w14:paraId="72493999">
            <w:pPr>
              <w:spacing w:line="360" w:lineRule="auto"/>
              <w:rPr>
                <w:color w:val="auto"/>
                <w:sz w:val="24"/>
                <w:szCs w:val="24"/>
                <w:highlight w:val="none"/>
              </w:rPr>
            </w:pPr>
          </w:p>
        </w:tc>
      </w:tr>
      <w:tr w14:paraId="41B9D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782" w:type="dxa"/>
            <w:noWrap w:val="0"/>
            <w:vAlign w:val="top"/>
          </w:tcPr>
          <w:p w14:paraId="5F534457">
            <w:pPr>
              <w:spacing w:line="360" w:lineRule="auto"/>
              <w:rPr>
                <w:color w:val="auto"/>
                <w:sz w:val="24"/>
                <w:szCs w:val="24"/>
                <w:highlight w:val="none"/>
              </w:rPr>
            </w:pPr>
          </w:p>
        </w:tc>
        <w:tc>
          <w:tcPr>
            <w:tcW w:w="1856" w:type="dxa"/>
            <w:noWrap w:val="0"/>
            <w:vAlign w:val="top"/>
          </w:tcPr>
          <w:p w14:paraId="16F5A59D">
            <w:pPr>
              <w:spacing w:line="360" w:lineRule="auto"/>
              <w:rPr>
                <w:color w:val="auto"/>
                <w:sz w:val="24"/>
                <w:szCs w:val="24"/>
                <w:highlight w:val="none"/>
              </w:rPr>
            </w:pPr>
          </w:p>
        </w:tc>
        <w:tc>
          <w:tcPr>
            <w:tcW w:w="1740" w:type="dxa"/>
            <w:noWrap w:val="0"/>
            <w:vAlign w:val="top"/>
          </w:tcPr>
          <w:p w14:paraId="4056EF6C">
            <w:pPr>
              <w:spacing w:line="360" w:lineRule="auto"/>
              <w:rPr>
                <w:color w:val="auto"/>
                <w:sz w:val="24"/>
                <w:szCs w:val="24"/>
                <w:highlight w:val="none"/>
              </w:rPr>
            </w:pPr>
          </w:p>
        </w:tc>
        <w:tc>
          <w:tcPr>
            <w:tcW w:w="1542" w:type="dxa"/>
            <w:noWrap w:val="0"/>
            <w:vAlign w:val="top"/>
          </w:tcPr>
          <w:p w14:paraId="051FE441">
            <w:pPr>
              <w:spacing w:line="360" w:lineRule="auto"/>
              <w:rPr>
                <w:color w:val="auto"/>
                <w:sz w:val="24"/>
                <w:szCs w:val="24"/>
                <w:highlight w:val="none"/>
              </w:rPr>
            </w:pPr>
          </w:p>
        </w:tc>
        <w:tc>
          <w:tcPr>
            <w:tcW w:w="3060" w:type="dxa"/>
            <w:noWrap w:val="0"/>
            <w:vAlign w:val="top"/>
          </w:tcPr>
          <w:p w14:paraId="2571101B">
            <w:pPr>
              <w:spacing w:line="360" w:lineRule="auto"/>
              <w:rPr>
                <w:color w:val="auto"/>
                <w:sz w:val="24"/>
                <w:szCs w:val="24"/>
                <w:highlight w:val="none"/>
              </w:rPr>
            </w:pPr>
          </w:p>
        </w:tc>
      </w:tr>
      <w:tr w14:paraId="587B6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782" w:type="dxa"/>
            <w:noWrap w:val="0"/>
            <w:vAlign w:val="top"/>
          </w:tcPr>
          <w:p w14:paraId="1E3E526F">
            <w:pPr>
              <w:spacing w:line="360" w:lineRule="auto"/>
              <w:rPr>
                <w:color w:val="auto"/>
                <w:sz w:val="24"/>
                <w:szCs w:val="24"/>
                <w:highlight w:val="none"/>
              </w:rPr>
            </w:pPr>
          </w:p>
        </w:tc>
        <w:tc>
          <w:tcPr>
            <w:tcW w:w="1856" w:type="dxa"/>
            <w:noWrap w:val="0"/>
            <w:vAlign w:val="top"/>
          </w:tcPr>
          <w:p w14:paraId="2FBB1C9E">
            <w:pPr>
              <w:spacing w:line="360" w:lineRule="auto"/>
              <w:rPr>
                <w:color w:val="auto"/>
                <w:sz w:val="24"/>
                <w:szCs w:val="24"/>
                <w:highlight w:val="none"/>
              </w:rPr>
            </w:pPr>
          </w:p>
        </w:tc>
        <w:tc>
          <w:tcPr>
            <w:tcW w:w="1740" w:type="dxa"/>
            <w:noWrap w:val="0"/>
            <w:vAlign w:val="top"/>
          </w:tcPr>
          <w:p w14:paraId="1CB9A9CD">
            <w:pPr>
              <w:spacing w:line="360" w:lineRule="auto"/>
              <w:rPr>
                <w:color w:val="auto"/>
                <w:sz w:val="24"/>
                <w:szCs w:val="24"/>
                <w:highlight w:val="none"/>
              </w:rPr>
            </w:pPr>
          </w:p>
        </w:tc>
        <w:tc>
          <w:tcPr>
            <w:tcW w:w="1542" w:type="dxa"/>
            <w:noWrap w:val="0"/>
            <w:vAlign w:val="top"/>
          </w:tcPr>
          <w:p w14:paraId="78F27158">
            <w:pPr>
              <w:spacing w:line="360" w:lineRule="auto"/>
              <w:rPr>
                <w:color w:val="auto"/>
                <w:sz w:val="24"/>
                <w:szCs w:val="24"/>
                <w:highlight w:val="none"/>
              </w:rPr>
            </w:pPr>
          </w:p>
        </w:tc>
        <w:tc>
          <w:tcPr>
            <w:tcW w:w="3060" w:type="dxa"/>
            <w:noWrap w:val="0"/>
            <w:vAlign w:val="top"/>
          </w:tcPr>
          <w:p w14:paraId="7286778D">
            <w:pPr>
              <w:spacing w:line="360" w:lineRule="auto"/>
              <w:rPr>
                <w:color w:val="auto"/>
                <w:sz w:val="24"/>
                <w:szCs w:val="24"/>
                <w:highlight w:val="none"/>
              </w:rPr>
            </w:pPr>
          </w:p>
        </w:tc>
      </w:tr>
      <w:tr w14:paraId="230E7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782" w:type="dxa"/>
            <w:noWrap w:val="0"/>
            <w:vAlign w:val="top"/>
          </w:tcPr>
          <w:p w14:paraId="7076F268">
            <w:pPr>
              <w:spacing w:line="360" w:lineRule="auto"/>
              <w:rPr>
                <w:color w:val="auto"/>
                <w:sz w:val="24"/>
                <w:szCs w:val="24"/>
                <w:highlight w:val="none"/>
              </w:rPr>
            </w:pPr>
          </w:p>
        </w:tc>
        <w:tc>
          <w:tcPr>
            <w:tcW w:w="1856" w:type="dxa"/>
            <w:noWrap w:val="0"/>
            <w:vAlign w:val="top"/>
          </w:tcPr>
          <w:p w14:paraId="78C543A3">
            <w:pPr>
              <w:spacing w:line="360" w:lineRule="auto"/>
              <w:rPr>
                <w:color w:val="auto"/>
                <w:sz w:val="24"/>
                <w:szCs w:val="24"/>
                <w:highlight w:val="none"/>
              </w:rPr>
            </w:pPr>
          </w:p>
        </w:tc>
        <w:tc>
          <w:tcPr>
            <w:tcW w:w="1740" w:type="dxa"/>
            <w:noWrap w:val="0"/>
            <w:vAlign w:val="top"/>
          </w:tcPr>
          <w:p w14:paraId="4FEFF20C">
            <w:pPr>
              <w:spacing w:line="360" w:lineRule="auto"/>
              <w:rPr>
                <w:color w:val="auto"/>
                <w:sz w:val="24"/>
                <w:szCs w:val="24"/>
                <w:highlight w:val="none"/>
              </w:rPr>
            </w:pPr>
          </w:p>
        </w:tc>
        <w:tc>
          <w:tcPr>
            <w:tcW w:w="1542" w:type="dxa"/>
            <w:noWrap w:val="0"/>
            <w:vAlign w:val="top"/>
          </w:tcPr>
          <w:p w14:paraId="1B18E3B5">
            <w:pPr>
              <w:spacing w:line="360" w:lineRule="auto"/>
              <w:rPr>
                <w:color w:val="auto"/>
                <w:sz w:val="24"/>
                <w:szCs w:val="24"/>
                <w:highlight w:val="none"/>
              </w:rPr>
            </w:pPr>
          </w:p>
        </w:tc>
        <w:tc>
          <w:tcPr>
            <w:tcW w:w="3060" w:type="dxa"/>
            <w:noWrap w:val="0"/>
            <w:vAlign w:val="top"/>
          </w:tcPr>
          <w:p w14:paraId="7DC09C9F">
            <w:pPr>
              <w:spacing w:line="360" w:lineRule="auto"/>
              <w:rPr>
                <w:color w:val="auto"/>
                <w:sz w:val="24"/>
                <w:szCs w:val="24"/>
                <w:highlight w:val="none"/>
              </w:rPr>
            </w:pPr>
          </w:p>
        </w:tc>
      </w:tr>
      <w:tr w14:paraId="32522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782" w:type="dxa"/>
            <w:noWrap w:val="0"/>
            <w:vAlign w:val="top"/>
          </w:tcPr>
          <w:p w14:paraId="65E80210">
            <w:pPr>
              <w:spacing w:line="360" w:lineRule="auto"/>
              <w:rPr>
                <w:color w:val="auto"/>
                <w:sz w:val="24"/>
                <w:szCs w:val="24"/>
                <w:highlight w:val="none"/>
              </w:rPr>
            </w:pPr>
          </w:p>
        </w:tc>
        <w:tc>
          <w:tcPr>
            <w:tcW w:w="1856" w:type="dxa"/>
            <w:noWrap w:val="0"/>
            <w:vAlign w:val="top"/>
          </w:tcPr>
          <w:p w14:paraId="628484E6">
            <w:pPr>
              <w:spacing w:line="360" w:lineRule="auto"/>
              <w:rPr>
                <w:color w:val="auto"/>
                <w:sz w:val="24"/>
                <w:szCs w:val="24"/>
                <w:highlight w:val="none"/>
              </w:rPr>
            </w:pPr>
          </w:p>
        </w:tc>
        <w:tc>
          <w:tcPr>
            <w:tcW w:w="1740" w:type="dxa"/>
            <w:noWrap w:val="0"/>
            <w:vAlign w:val="top"/>
          </w:tcPr>
          <w:p w14:paraId="667FC0C5">
            <w:pPr>
              <w:spacing w:line="360" w:lineRule="auto"/>
              <w:rPr>
                <w:color w:val="auto"/>
                <w:sz w:val="24"/>
                <w:szCs w:val="24"/>
                <w:highlight w:val="none"/>
              </w:rPr>
            </w:pPr>
          </w:p>
        </w:tc>
        <w:tc>
          <w:tcPr>
            <w:tcW w:w="1542" w:type="dxa"/>
            <w:noWrap w:val="0"/>
            <w:vAlign w:val="top"/>
          </w:tcPr>
          <w:p w14:paraId="78BDA940">
            <w:pPr>
              <w:spacing w:line="360" w:lineRule="auto"/>
              <w:rPr>
                <w:color w:val="auto"/>
                <w:sz w:val="24"/>
                <w:szCs w:val="24"/>
                <w:highlight w:val="none"/>
              </w:rPr>
            </w:pPr>
          </w:p>
        </w:tc>
        <w:tc>
          <w:tcPr>
            <w:tcW w:w="3060" w:type="dxa"/>
            <w:noWrap w:val="0"/>
            <w:vAlign w:val="top"/>
          </w:tcPr>
          <w:p w14:paraId="3A0AC24E">
            <w:pPr>
              <w:spacing w:line="360" w:lineRule="auto"/>
              <w:rPr>
                <w:color w:val="auto"/>
                <w:sz w:val="24"/>
                <w:szCs w:val="24"/>
                <w:highlight w:val="none"/>
              </w:rPr>
            </w:pPr>
          </w:p>
        </w:tc>
      </w:tr>
    </w:tbl>
    <w:p w14:paraId="3E6F7F5F">
      <w:pPr>
        <w:pStyle w:val="17"/>
        <w:spacing w:line="400" w:lineRule="exact"/>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投标单位：（公章）</w:t>
      </w:r>
    </w:p>
    <w:p w14:paraId="41604657">
      <w:pPr>
        <w:pStyle w:val="10"/>
        <w:spacing w:line="400" w:lineRule="exact"/>
        <w:ind w:firstLine="0"/>
        <w:rPr>
          <w:rFonts w:eastAsia="宋体"/>
          <w:color w:val="auto"/>
          <w:szCs w:val="24"/>
          <w:highlight w:val="none"/>
        </w:rPr>
      </w:pPr>
      <w:r>
        <w:rPr>
          <w:rFonts w:eastAsia="宋体"/>
          <w:color w:val="auto"/>
          <w:szCs w:val="24"/>
          <w:highlight w:val="none"/>
        </w:rPr>
        <w:t>法定代表人或委托代理人（签字或盖章）：</w:t>
      </w:r>
    </w:p>
    <w:p w14:paraId="3C4B1647">
      <w:pPr>
        <w:pStyle w:val="10"/>
        <w:spacing w:line="400" w:lineRule="exact"/>
        <w:ind w:firstLine="0"/>
        <w:rPr>
          <w:rFonts w:eastAsia="宋体"/>
          <w:color w:val="auto"/>
          <w:szCs w:val="24"/>
          <w:highlight w:val="none"/>
        </w:rPr>
      </w:pPr>
      <w:r>
        <w:rPr>
          <w:rFonts w:eastAsia="宋体"/>
          <w:color w:val="auto"/>
          <w:szCs w:val="24"/>
          <w:highlight w:val="none"/>
        </w:rPr>
        <w:t>日期：年月日</w:t>
      </w:r>
    </w:p>
    <w:p w14:paraId="22464AD9">
      <w:pPr>
        <w:spacing w:line="400" w:lineRule="exact"/>
        <w:rPr>
          <w:color w:val="auto"/>
          <w:sz w:val="24"/>
          <w:szCs w:val="24"/>
          <w:highlight w:val="none"/>
        </w:rPr>
      </w:pPr>
      <w:r>
        <w:rPr>
          <w:color w:val="auto"/>
          <w:sz w:val="24"/>
          <w:szCs w:val="24"/>
          <w:highlight w:val="none"/>
        </w:rPr>
        <w:t>注：</w:t>
      </w:r>
      <w:r>
        <w:rPr>
          <w:b/>
          <w:bCs/>
          <w:color w:val="auto"/>
          <w:sz w:val="24"/>
          <w:szCs w:val="24"/>
          <w:highlight w:val="none"/>
        </w:rPr>
        <w:t>1、各投标单位可参照上述格式自</w:t>
      </w:r>
      <w:r>
        <w:rPr>
          <w:b/>
          <w:color w:val="auto"/>
          <w:sz w:val="24"/>
          <w:szCs w:val="24"/>
          <w:highlight w:val="none"/>
        </w:rPr>
        <w:t>制《技术响应对照表》进行投标。</w:t>
      </w:r>
    </w:p>
    <w:p w14:paraId="76717845">
      <w:pPr>
        <w:spacing w:line="400" w:lineRule="exact"/>
        <w:ind w:firstLine="482"/>
        <w:rPr>
          <w:b/>
          <w:bCs/>
          <w:color w:val="auto"/>
          <w:sz w:val="24"/>
          <w:szCs w:val="24"/>
          <w:highlight w:val="none"/>
          <w:u w:val="single"/>
        </w:rPr>
      </w:pPr>
      <w:r>
        <w:rPr>
          <w:b/>
          <w:color w:val="auto"/>
          <w:sz w:val="24"/>
          <w:szCs w:val="24"/>
          <w:highlight w:val="none"/>
        </w:rPr>
        <w:t>2、</w:t>
      </w:r>
      <w:r>
        <w:rPr>
          <w:b/>
          <w:color w:val="auto"/>
          <w:sz w:val="24"/>
          <w:szCs w:val="24"/>
          <w:highlight w:val="none"/>
          <w:u w:val="single"/>
        </w:rPr>
        <w:t>投标单位必须对照招标文件的技术规格，逐条说明所提供的设备已对招标文件的技术规格做出了实质性的响应，并申明与技术规格条文的偏差和例</w:t>
      </w:r>
      <w:r>
        <w:rPr>
          <w:b/>
          <w:bCs/>
          <w:color w:val="auto"/>
          <w:sz w:val="24"/>
          <w:szCs w:val="24"/>
          <w:highlight w:val="none"/>
          <w:u w:val="single"/>
        </w:rPr>
        <w:t>外。特别对有具体参数要求的指标，投标</w:t>
      </w:r>
      <w:r>
        <w:rPr>
          <w:b/>
          <w:color w:val="auto"/>
          <w:sz w:val="24"/>
          <w:szCs w:val="24"/>
          <w:highlight w:val="none"/>
          <w:u w:val="single"/>
        </w:rPr>
        <w:t>单位</w:t>
      </w:r>
      <w:r>
        <w:rPr>
          <w:b/>
          <w:bCs/>
          <w:color w:val="auto"/>
          <w:sz w:val="24"/>
          <w:szCs w:val="24"/>
          <w:highlight w:val="none"/>
          <w:u w:val="single"/>
        </w:rPr>
        <w:t>必须提供产品的具体参数值，</w:t>
      </w:r>
      <w:r>
        <w:rPr>
          <w:b/>
          <w:color w:val="auto"/>
          <w:sz w:val="24"/>
          <w:szCs w:val="24"/>
          <w:highlight w:val="none"/>
          <w:u w:val="single"/>
        </w:rPr>
        <w:t>而不应以“全部符合”等字样来响应，否则将承担其投标被拒绝的风险。未列明的视为投标单位满足招标技术要求，</w:t>
      </w:r>
      <w:r>
        <w:rPr>
          <w:b/>
          <w:bCs/>
          <w:color w:val="auto"/>
          <w:sz w:val="24"/>
          <w:szCs w:val="24"/>
          <w:highlight w:val="none"/>
          <w:u w:val="single"/>
        </w:rPr>
        <w:t>如中标后所供设备无法满足该项要求的，视为投标单位虚假应标。</w:t>
      </w:r>
    </w:p>
    <w:p w14:paraId="5EC0EB6C">
      <w:pPr>
        <w:spacing w:line="400" w:lineRule="exact"/>
        <w:ind w:firstLine="482"/>
        <w:rPr>
          <w:b/>
          <w:color w:val="auto"/>
          <w:sz w:val="24"/>
          <w:szCs w:val="24"/>
          <w:highlight w:val="none"/>
        </w:rPr>
      </w:pPr>
      <w:r>
        <w:rPr>
          <w:b/>
          <w:color w:val="auto"/>
          <w:sz w:val="24"/>
          <w:szCs w:val="24"/>
          <w:highlight w:val="none"/>
        </w:rPr>
        <w:t>3、各投标单位必须真实填写此表格内容，对于技术规格中重要技术条款（参数）的响应，投标人的投标文件中应提供技术支持资料（包括设备的样本、说明书等），若有虚假，将取消其投标资格或中标资格。</w:t>
      </w:r>
    </w:p>
    <w:p w14:paraId="1FBEA523">
      <w:pPr>
        <w:spacing w:line="400" w:lineRule="exact"/>
        <w:ind w:firstLine="435"/>
        <w:rPr>
          <w:b/>
          <w:color w:val="auto"/>
          <w:sz w:val="24"/>
          <w:szCs w:val="24"/>
          <w:highlight w:val="none"/>
        </w:rPr>
      </w:pPr>
      <w:r>
        <w:rPr>
          <w:b/>
          <w:color w:val="auto"/>
          <w:sz w:val="24"/>
          <w:szCs w:val="24"/>
          <w:highlight w:val="none"/>
        </w:rPr>
        <w:t>4、</w:t>
      </w:r>
      <w:r>
        <w:rPr>
          <w:b/>
          <w:color w:val="auto"/>
          <w:sz w:val="24"/>
          <w:szCs w:val="24"/>
          <w:highlight w:val="none"/>
          <w:lang w:val="zh-CN"/>
        </w:rPr>
        <w:t>投标单位须对所有技术应答负责，如技术响应对照表中出现提供的参数虚假或对采购文件所要求说明的情况故意隐瞒或虚报，视为不实质性响应招标文件，为无效投标。已中标的将取消中标资格，并按《中华人民共和国政府采购法》第七十七条“提供虚假材料谋取中标、</w:t>
      </w:r>
      <w:r>
        <w:rPr>
          <w:rFonts w:hint="eastAsia"/>
          <w:b/>
          <w:color w:val="auto"/>
          <w:sz w:val="24"/>
          <w:szCs w:val="24"/>
          <w:highlight w:val="none"/>
          <w:lang w:val="zh-CN"/>
        </w:rPr>
        <w:t>中标</w:t>
      </w:r>
      <w:r>
        <w:rPr>
          <w:b/>
          <w:color w:val="auto"/>
          <w:sz w:val="24"/>
          <w:szCs w:val="24"/>
          <w:highlight w:val="none"/>
          <w:lang w:val="zh-CN"/>
        </w:rPr>
        <w:t>”相关处理办法处理。</w:t>
      </w:r>
    </w:p>
    <w:p w14:paraId="2C4A8166">
      <w:pPr>
        <w:spacing w:line="400" w:lineRule="exact"/>
        <w:ind w:firstLine="482"/>
        <w:rPr>
          <w:b/>
          <w:color w:val="auto"/>
          <w:sz w:val="24"/>
          <w:szCs w:val="24"/>
          <w:highlight w:val="none"/>
        </w:rPr>
      </w:pPr>
      <w:r>
        <w:rPr>
          <w:b/>
          <w:color w:val="auto"/>
          <w:sz w:val="24"/>
          <w:szCs w:val="24"/>
          <w:highlight w:val="none"/>
        </w:rPr>
        <w:t>5、投标单位应根据清单技术要求中要求提供相关资料证明的在投标文件中清晰的体现，应便于评标委员会评审。</w:t>
      </w:r>
    </w:p>
    <w:p w14:paraId="5D26A23A">
      <w:pPr>
        <w:spacing w:line="360" w:lineRule="auto"/>
        <w:ind w:firstLine="482"/>
        <w:rPr>
          <w:b/>
          <w:color w:val="auto"/>
          <w:sz w:val="24"/>
          <w:szCs w:val="24"/>
          <w:highlight w:val="none"/>
        </w:rPr>
      </w:pPr>
    </w:p>
    <w:p w14:paraId="10337DC3">
      <w:pPr>
        <w:pStyle w:val="17"/>
        <w:spacing w:line="360" w:lineRule="auto"/>
        <w:ind w:firstLine="477"/>
        <w:rPr>
          <w:rFonts w:ascii="Times New Roman" w:hAnsi="Times New Roman" w:eastAsia="宋体"/>
          <w:b/>
          <w:color w:val="auto"/>
          <w:sz w:val="24"/>
          <w:szCs w:val="24"/>
          <w:highlight w:val="none"/>
        </w:rPr>
      </w:pPr>
    </w:p>
    <w:p w14:paraId="4E333EB3">
      <w:pPr>
        <w:jc w:val="center"/>
        <w:rPr>
          <w:b/>
          <w:color w:val="auto"/>
          <w:sz w:val="24"/>
          <w:szCs w:val="24"/>
          <w:highlight w:val="none"/>
        </w:rPr>
      </w:pPr>
    </w:p>
    <w:p w14:paraId="67D93010">
      <w:pPr>
        <w:pageBreakBefore/>
        <w:jc w:val="left"/>
        <w:rPr>
          <w:b/>
          <w:color w:val="auto"/>
          <w:sz w:val="24"/>
          <w:szCs w:val="24"/>
          <w:highlight w:val="none"/>
        </w:rPr>
      </w:pPr>
      <w:r>
        <w:rPr>
          <w:rFonts w:hint="eastAsia"/>
          <w:b/>
          <w:color w:val="auto"/>
          <w:sz w:val="24"/>
          <w:szCs w:val="24"/>
          <w:highlight w:val="none"/>
          <w:lang w:val="en-US" w:eastAsia="zh-CN"/>
        </w:rPr>
        <w:t>4</w:t>
      </w:r>
      <w:r>
        <w:rPr>
          <w:rFonts w:hint="eastAsia"/>
          <w:b/>
          <w:color w:val="auto"/>
          <w:sz w:val="24"/>
          <w:szCs w:val="24"/>
          <w:highlight w:val="none"/>
        </w:rPr>
        <w:t>.3</w:t>
      </w:r>
      <w:r>
        <w:rPr>
          <w:b/>
          <w:color w:val="auto"/>
          <w:sz w:val="24"/>
          <w:szCs w:val="24"/>
          <w:highlight w:val="none"/>
        </w:rPr>
        <w:t>.服务偏离表</w:t>
      </w:r>
    </w:p>
    <w:p w14:paraId="338AEDBD">
      <w:pPr>
        <w:jc w:val="center"/>
        <w:rPr>
          <w:color w:val="auto"/>
          <w:sz w:val="24"/>
          <w:szCs w:val="24"/>
          <w:highlight w:val="none"/>
        </w:rPr>
      </w:pPr>
      <w:r>
        <w:rPr>
          <w:b/>
          <w:color w:val="auto"/>
          <w:sz w:val="24"/>
          <w:szCs w:val="24"/>
          <w:highlight w:val="none"/>
        </w:rPr>
        <w:t>服务偏离表</w:t>
      </w:r>
    </w:p>
    <w:p w14:paraId="02C5A045">
      <w:pPr>
        <w:rPr>
          <w:color w:val="auto"/>
          <w:sz w:val="24"/>
          <w:szCs w:val="24"/>
          <w:highlight w:val="none"/>
        </w:rPr>
      </w:pPr>
      <w:r>
        <w:rPr>
          <w:color w:val="auto"/>
          <w:sz w:val="24"/>
          <w:szCs w:val="24"/>
          <w:highlight w:val="none"/>
        </w:rPr>
        <w:t>单位名称（盖章）：</w:t>
      </w:r>
    </w:p>
    <w:tbl>
      <w:tblPr>
        <w:tblStyle w:val="6"/>
        <w:tblW w:w="0" w:type="auto"/>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800"/>
        <w:gridCol w:w="1620"/>
        <w:gridCol w:w="1440"/>
        <w:gridCol w:w="1699"/>
        <w:gridCol w:w="1757"/>
      </w:tblGrid>
      <w:tr w14:paraId="72C9D2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center"/>
          </w:tcPr>
          <w:p w14:paraId="56B69BEC">
            <w:pPr>
              <w:spacing w:before="240" w:after="240"/>
              <w:jc w:val="center"/>
              <w:rPr>
                <w:color w:val="auto"/>
                <w:sz w:val="24"/>
                <w:szCs w:val="24"/>
                <w:highlight w:val="none"/>
              </w:rPr>
            </w:pPr>
            <w:r>
              <w:rPr>
                <w:color w:val="auto"/>
                <w:sz w:val="24"/>
                <w:szCs w:val="24"/>
                <w:highlight w:val="none"/>
              </w:rPr>
              <w:t>序号</w:t>
            </w:r>
          </w:p>
        </w:tc>
        <w:tc>
          <w:tcPr>
            <w:tcW w:w="1800" w:type="dxa"/>
            <w:noWrap w:val="0"/>
            <w:vAlign w:val="center"/>
          </w:tcPr>
          <w:p w14:paraId="69473611">
            <w:pPr>
              <w:jc w:val="center"/>
              <w:rPr>
                <w:color w:val="auto"/>
                <w:sz w:val="24"/>
                <w:szCs w:val="24"/>
                <w:highlight w:val="none"/>
              </w:rPr>
            </w:pPr>
            <w:r>
              <w:rPr>
                <w:color w:val="auto"/>
                <w:sz w:val="24"/>
                <w:szCs w:val="24"/>
                <w:highlight w:val="none"/>
              </w:rPr>
              <w:t>服务内容</w:t>
            </w:r>
          </w:p>
        </w:tc>
        <w:tc>
          <w:tcPr>
            <w:tcW w:w="1620" w:type="dxa"/>
            <w:noWrap w:val="0"/>
            <w:vAlign w:val="center"/>
          </w:tcPr>
          <w:p w14:paraId="71EEA244">
            <w:pPr>
              <w:jc w:val="center"/>
              <w:rPr>
                <w:color w:val="auto"/>
                <w:sz w:val="24"/>
                <w:szCs w:val="24"/>
                <w:highlight w:val="none"/>
              </w:rPr>
            </w:pPr>
            <w:r>
              <w:rPr>
                <w:color w:val="auto"/>
                <w:sz w:val="24"/>
                <w:szCs w:val="24"/>
                <w:highlight w:val="none"/>
              </w:rPr>
              <w:t>招标要求</w:t>
            </w:r>
          </w:p>
        </w:tc>
        <w:tc>
          <w:tcPr>
            <w:tcW w:w="1440" w:type="dxa"/>
            <w:noWrap w:val="0"/>
            <w:vAlign w:val="center"/>
          </w:tcPr>
          <w:p w14:paraId="1FE1E32C">
            <w:pPr>
              <w:jc w:val="center"/>
              <w:rPr>
                <w:color w:val="auto"/>
                <w:sz w:val="24"/>
                <w:szCs w:val="24"/>
                <w:highlight w:val="none"/>
              </w:rPr>
            </w:pPr>
            <w:r>
              <w:rPr>
                <w:color w:val="auto"/>
                <w:sz w:val="24"/>
                <w:szCs w:val="24"/>
                <w:highlight w:val="none"/>
              </w:rPr>
              <w:t>投标要求</w:t>
            </w:r>
          </w:p>
        </w:tc>
        <w:tc>
          <w:tcPr>
            <w:tcW w:w="1699" w:type="dxa"/>
            <w:noWrap w:val="0"/>
            <w:vAlign w:val="center"/>
          </w:tcPr>
          <w:p w14:paraId="771EB3E0">
            <w:pPr>
              <w:jc w:val="center"/>
              <w:rPr>
                <w:color w:val="auto"/>
                <w:sz w:val="24"/>
                <w:szCs w:val="24"/>
                <w:highlight w:val="none"/>
              </w:rPr>
            </w:pPr>
            <w:r>
              <w:rPr>
                <w:color w:val="auto"/>
                <w:sz w:val="24"/>
                <w:szCs w:val="24"/>
                <w:highlight w:val="none"/>
              </w:rPr>
              <w:t>偏离/响应</w:t>
            </w:r>
          </w:p>
        </w:tc>
        <w:tc>
          <w:tcPr>
            <w:tcW w:w="1757" w:type="dxa"/>
            <w:noWrap w:val="0"/>
            <w:vAlign w:val="center"/>
          </w:tcPr>
          <w:p w14:paraId="268A5594">
            <w:pPr>
              <w:jc w:val="center"/>
              <w:rPr>
                <w:color w:val="auto"/>
                <w:sz w:val="24"/>
                <w:szCs w:val="24"/>
                <w:highlight w:val="none"/>
              </w:rPr>
            </w:pPr>
            <w:r>
              <w:rPr>
                <w:color w:val="auto"/>
                <w:sz w:val="24"/>
                <w:szCs w:val="24"/>
                <w:highlight w:val="none"/>
              </w:rPr>
              <w:t>说明</w:t>
            </w:r>
          </w:p>
        </w:tc>
      </w:tr>
      <w:tr w14:paraId="727ACA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top"/>
          </w:tcPr>
          <w:p w14:paraId="1319A2E6">
            <w:pPr>
              <w:spacing w:before="240" w:after="240"/>
              <w:rPr>
                <w:color w:val="auto"/>
                <w:sz w:val="24"/>
                <w:szCs w:val="24"/>
                <w:highlight w:val="none"/>
              </w:rPr>
            </w:pPr>
          </w:p>
        </w:tc>
        <w:tc>
          <w:tcPr>
            <w:tcW w:w="1800" w:type="dxa"/>
            <w:noWrap w:val="0"/>
            <w:vAlign w:val="top"/>
          </w:tcPr>
          <w:p w14:paraId="5E8DA2A6">
            <w:pPr>
              <w:rPr>
                <w:color w:val="auto"/>
                <w:sz w:val="24"/>
                <w:szCs w:val="24"/>
                <w:highlight w:val="none"/>
              </w:rPr>
            </w:pPr>
          </w:p>
        </w:tc>
        <w:tc>
          <w:tcPr>
            <w:tcW w:w="1620" w:type="dxa"/>
            <w:noWrap w:val="0"/>
            <w:vAlign w:val="top"/>
          </w:tcPr>
          <w:p w14:paraId="4E8A50B9">
            <w:pPr>
              <w:rPr>
                <w:color w:val="auto"/>
                <w:sz w:val="24"/>
                <w:szCs w:val="24"/>
                <w:highlight w:val="none"/>
              </w:rPr>
            </w:pPr>
          </w:p>
        </w:tc>
        <w:tc>
          <w:tcPr>
            <w:tcW w:w="1440" w:type="dxa"/>
            <w:noWrap w:val="0"/>
            <w:vAlign w:val="top"/>
          </w:tcPr>
          <w:p w14:paraId="354DB45D">
            <w:pPr>
              <w:rPr>
                <w:color w:val="auto"/>
                <w:sz w:val="24"/>
                <w:szCs w:val="24"/>
                <w:highlight w:val="none"/>
              </w:rPr>
            </w:pPr>
          </w:p>
        </w:tc>
        <w:tc>
          <w:tcPr>
            <w:tcW w:w="1699" w:type="dxa"/>
            <w:noWrap w:val="0"/>
            <w:vAlign w:val="top"/>
          </w:tcPr>
          <w:p w14:paraId="44F6350C">
            <w:pPr>
              <w:rPr>
                <w:color w:val="auto"/>
                <w:sz w:val="24"/>
                <w:szCs w:val="24"/>
                <w:highlight w:val="none"/>
              </w:rPr>
            </w:pPr>
          </w:p>
        </w:tc>
        <w:tc>
          <w:tcPr>
            <w:tcW w:w="1757" w:type="dxa"/>
            <w:noWrap w:val="0"/>
            <w:vAlign w:val="top"/>
          </w:tcPr>
          <w:p w14:paraId="3E0CE6BC">
            <w:pPr>
              <w:rPr>
                <w:color w:val="auto"/>
                <w:sz w:val="24"/>
                <w:szCs w:val="24"/>
                <w:highlight w:val="none"/>
              </w:rPr>
            </w:pPr>
          </w:p>
        </w:tc>
      </w:tr>
      <w:tr w14:paraId="1B49CA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top"/>
          </w:tcPr>
          <w:p w14:paraId="1FC38A52">
            <w:pPr>
              <w:spacing w:before="240" w:after="240"/>
              <w:rPr>
                <w:color w:val="auto"/>
                <w:sz w:val="24"/>
                <w:szCs w:val="24"/>
                <w:highlight w:val="none"/>
              </w:rPr>
            </w:pPr>
          </w:p>
        </w:tc>
        <w:tc>
          <w:tcPr>
            <w:tcW w:w="1800" w:type="dxa"/>
            <w:noWrap w:val="0"/>
            <w:vAlign w:val="top"/>
          </w:tcPr>
          <w:p w14:paraId="2A30D160">
            <w:pPr>
              <w:rPr>
                <w:color w:val="auto"/>
                <w:sz w:val="24"/>
                <w:szCs w:val="24"/>
                <w:highlight w:val="none"/>
              </w:rPr>
            </w:pPr>
          </w:p>
        </w:tc>
        <w:tc>
          <w:tcPr>
            <w:tcW w:w="1620" w:type="dxa"/>
            <w:noWrap w:val="0"/>
            <w:vAlign w:val="top"/>
          </w:tcPr>
          <w:p w14:paraId="2C26CE20">
            <w:pPr>
              <w:rPr>
                <w:color w:val="auto"/>
                <w:sz w:val="24"/>
                <w:szCs w:val="24"/>
                <w:highlight w:val="none"/>
              </w:rPr>
            </w:pPr>
          </w:p>
        </w:tc>
        <w:tc>
          <w:tcPr>
            <w:tcW w:w="1440" w:type="dxa"/>
            <w:noWrap w:val="0"/>
            <w:vAlign w:val="top"/>
          </w:tcPr>
          <w:p w14:paraId="59ADB08C">
            <w:pPr>
              <w:rPr>
                <w:color w:val="auto"/>
                <w:sz w:val="24"/>
                <w:szCs w:val="24"/>
                <w:highlight w:val="none"/>
              </w:rPr>
            </w:pPr>
          </w:p>
        </w:tc>
        <w:tc>
          <w:tcPr>
            <w:tcW w:w="1699" w:type="dxa"/>
            <w:noWrap w:val="0"/>
            <w:vAlign w:val="top"/>
          </w:tcPr>
          <w:p w14:paraId="04D49E1B">
            <w:pPr>
              <w:rPr>
                <w:color w:val="auto"/>
                <w:sz w:val="24"/>
                <w:szCs w:val="24"/>
                <w:highlight w:val="none"/>
              </w:rPr>
            </w:pPr>
          </w:p>
        </w:tc>
        <w:tc>
          <w:tcPr>
            <w:tcW w:w="1757" w:type="dxa"/>
            <w:noWrap w:val="0"/>
            <w:vAlign w:val="top"/>
          </w:tcPr>
          <w:p w14:paraId="26807933">
            <w:pPr>
              <w:rPr>
                <w:color w:val="auto"/>
                <w:sz w:val="24"/>
                <w:szCs w:val="24"/>
                <w:highlight w:val="none"/>
              </w:rPr>
            </w:pPr>
          </w:p>
        </w:tc>
      </w:tr>
      <w:tr w14:paraId="6BC926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top"/>
          </w:tcPr>
          <w:p w14:paraId="26C47FBB">
            <w:pPr>
              <w:spacing w:before="240" w:after="240"/>
              <w:rPr>
                <w:color w:val="auto"/>
                <w:sz w:val="24"/>
                <w:szCs w:val="24"/>
                <w:highlight w:val="none"/>
              </w:rPr>
            </w:pPr>
          </w:p>
        </w:tc>
        <w:tc>
          <w:tcPr>
            <w:tcW w:w="1800" w:type="dxa"/>
            <w:noWrap w:val="0"/>
            <w:vAlign w:val="top"/>
          </w:tcPr>
          <w:p w14:paraId="16F46E5E">
            <w:pPr>
              <w:rPr>
                <w:color w:val="auto"/>
                <w:sz w:val="24"/>
                <w:szCs w:val="24"/>
                <w:highlight w:val="none"/>
              </w:rPr>
            </w:pPr>
          </w:p>
        </w:tc>
        <w:tc>
          <w:tcPr>
            <w:tcW w:w="1620" w:type="dxa"/>
            <w:noWrap w:val="0"/>
            <w:vAlign w:val="top"/>
          </w:tcPr>
          <w:p w14:paraId="15D0DFC3">
            <w:pPr>
              <w:rPr>
                <w:color w:val="auto"/>
                <w:sz w:val="24"/>
                <w:szCs w:val="24"/>
                <w:highlight w:val="none"/>
              </w:rPr>
            </w:pPr>
          </w:p>
        </w:tc>
        <w:tc>
          <w:tcPr>
            <w:tcW w:w="1440" w:type="dxa"/>
            <w:noWrap w:val="0"/>
            <w:vAlign w:val="top"/>
          </w:tcPr>
          <w:p w14:paraId="77313E41">
            <w:pPr>
              <w:rPr>
                <w:color w:val="auto"/>
                <w:sz w:val="24"/>
                <w:szCs w:val="24"/>
                <w:highlight w:val="none"/>
              </w:rPr>
            </w:pPr>
          </w:p>
        </w:tc>
        <w:tc>
          <w:tcPr>
            <w:tcW w:w="1699" w:type="dxa"/>
            <w:noWrap w:val="0"/>
            <w:vAlign w:val="top"/>
          </w:tcPr>
          <w:p w14:paraId="422910EB">
            <w:pPr>
              <w:rPr>
                <w:color w:val="auto"/>
                <w:sz w:val="24"/>
                <w:szCs w:val="24"/>
                <w:highlight w:val="none"/>
              </w:rPr>
            </w:pPr>
          </w:p>
        </w:tc>
        <w:tc>
          <w:tcPr>
            <w:tcW w:w="1757" w:type="dxa"/>
            <w:noWrap w:val="0"/>
            <w:vAlign w:val="top"/>
          </w:tcPr>
          <w:p w14:paraId="5AEC14CC">
            <w:pPr>
              <w:rPr>
                <w:color w:val="auto"/>
                <w:sz w:val="24"/>
                <w:szCs w:val="24"/>
                <w:highlight w:val="none"/>
              </w:rPr>
            </w:pPr>
          </w:p>
        </w:tc>
      </w:tr>
      <w:tr w14:paraId="6BD0CC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8" w:type="dxa"/>
            <w:noWrap w:val="0"/>
            <w:vAlign w:val="top"/>
          </w:tcPr>
          <w:p w14:paraId="6F23EBF3">
            <w:pPr>
              <w:spacing w:before="240" w:after="240"/>
              <w:rPr>
                <w:color w:val="auto"/>
                <w:sz w:val="24"/>
                <w:szCs w:val="24"/>
                <w:highlight w:val="none"/>
              </w:rPr>
            </w:pPr>
          </w:p>
        </w:tc>
        <w:tc>
          <w:tcPr>
            <w:tcW w:w="1800" w:type="dxa"/>
            <w:noWrap w:val="0"/>
            <w:vAlign w:val="top"/>
          </w:tcPr>
          <w:p w14:paraId="3936F9CC">
            <w:pPr>
              <w:rPr>
                <w:color w:val="auto"/>
                <w:sz w:val="24"/>
                <w:szCs w:val="24"/>
                <w:highlight w:val="none"/>
              </w:rPr>
            </w:pPr>
          </w:p>
        </w:tc>
        <w:tc>
          <w:tcPr>
            <w:tcW w:w="1620" w:type="dxa"/>
            <w:noWrap w:val="0"/>
            <w:vAlign w:val="top"/>
          </w:tcPr>
          <w:p w14:paraId="061DB671">
            <w:pPr>
              <w:rPr>
                <w:color w:val="auto"/>
                <w:sz w:val="24"/>
                <w:szCs w:val="24"/>
                <w:highlight w:val="none"/>
              </w:rPr>
            </w:pPr>
          </w:p>
        </w:tc>
        <w:tc>
          <w:tcPr>
            <w:tcW w:w="1440" w:type="dxa"/>
            <w:noWrap w:val="0"/>
            <w:vAlign w:val="top"/>
          </w:tcPr>
          <w:p w14:paraId="39922335">
            <w:pPr>
              <w:rPr>
                <w:color w:val="auto"/>
                <w:sz w:val="24"/>
                <w:szCs w:val="24"/>
                <w:highlight w:val="none"/>
              </w:rPr>
            </w:pPr>
          </w:p>
        </w:tc>
        <w:tc>
          <w:tcPr>
            <w:tcW w:w="1699" w:type="dxa"/>
            <w:noWrap w:val="0"/>
            <w:vAlign w:val="top"/>
          </w:tcPr>
          <w:p w14:paraId="1A85DA21">
            <w:pPr>
              <w:rPr>
                <w:color w:val="auto"/>
                <w:sz w:val="24"/>
                <w:szCs w:val="24"/>
                <w:highlight w:val="none"/>
              </w:rPr>
            </w:pPr>
          </w:p>
        </w:tc>
        <w:tc>
          <w:tcPr>
            <w:tcW w:w="1757" w:type="dxa"/>
            <w:noWrap w:val="0"/>
            <w:vAlign w:val="top"/>
          </w:tcPr>
          <w:p w14:paraId="7B9D9EC9">
            <w:pPr>
              <w:rPr>
                <w:color w:val="auto"/>
                <w:sz w:val="24"/>
                <w:szCs w:val="24"/>
                <w:highlight w:val="none"/>
              </w:rPr>
            </w:pPr>
          </w:p>
        </w:tc>
      </w:tr>
    </w:tbl>
    <w:p w14:paraId="3112D453">
      <w:pPr>
        <w:rPr>
          <w:color w:val="auto"/>
          <w:sz w:val="24"/>
          <w:szCs w:val="24"/>
          <w:highlight w:val="none"/>
        </w:rPr>
      </w:pPr>
      <w:r>
        <w:rPr>
          <w:color w:val="auto"/>
          <w:sz w:val="24"/>
          <w:szCs w:val="24"/>
          <w:highlight w:val="none"/>
        </w:rPr>
        <w:t>注：1、投标单位应对照招标文件技术要求等要求，所投标的物与招标文件的规定有偏离的，应在此表中申明与技术要求条文的偏差和例外。</w:t>
      </w:r>
    </w:p>
    <w:p w14:paraId="7FAF51EA">
      <w:pPr>
        <w:ind w:firstLine="360"/>
        <w:rPr>
          <w:color w:val="auto"/>
          <w:sz w:val="24"/>
          <w:szCs w:val="24"/>
          <w:highlight w:val="none"/>
        </w:rPr>
      </w:pPr>
      <w:r>
        <w:rPr>
          <w:color w:val="auto"/>
          <w:sz w:val="24"/>
          <w:szCs w:val="24"/>
          <w:highlight w:val="none"/>
        </w:rPr>
        <w:t>2、未在上表中说明的，如在响应文件其他内容中已有文字说明的，则以已有文字说明为准，否则，将被认为完全响应招标文件的规定。但该表不作为投标单位对所投标的物关于技术要求等详细描述和说明的替代。</w:t>
      </w:r>
    </w:p>
    <w:p w14:paraId="3D41B389">
      <w:pPr>
        <w:rPr>
          <w:color w:val="auto"/>
          <w:sz w:val="24"/>
          <w:szCs w:val="24"/>
          <w:highlight w:val="none"/>
        </w:rPr>
      </w:pPr>
    </w:p>
    <w:p w14:paraId="291EBE9B">
      <w:pPr>
        <w:rPr>
          <w:color w:val="auto"/>
          <w:sz w:val="24"/>
          <w:szCs w:val="24"/>
          <w:highlight w:val="none"/>
        </w:rPr>
      </w:pPr>
      <w:r>
        <w:rPr>
          <w:color w:val="auto"/>
          <w:sz w:val="24"/>
          <w:szCs w:val="24"/>
          <w:highlight w:val="none"/>
        </w:rPr>
        <w:t>投标单位：（单位盖章）</w:t>
      </w:r>
    </w:p>
    <w:p w14:paraId="64260B1C">
      <w:pPr>
        <w:rPr>
          <w:color w:val="auto"/>
          <w:sz w:val="24"/>
          <w:szCs w:val="24"/>
          <w:highlight w:val="none"/>
        </w:rPr>
      </w:pPr>
      <w:r>
        <w:rPr>
          <w:color w:val="auto"/>
          <w:sz w:val="24"/>
          <w:szCs w:val="24"/>
          <w:highlight w:val="none"/>
        </w:rPr>
        <w:t>法定代表人或委托代理人：（签字或盖章）</w:t>
      </w:r>
    </w:p>
    <w:p w14:paraId="37634C95">
      <w:pPr>
        <w:spacing w:line="360" w:lineRule="auto"/>
        <w:rPr>
          <w:b/>
          <w:bCs/>
          <w:color w:val="auto"/>
          <w:sz w:val="24"/>
          <w:szCs w:val="24"/>
          <w:highlight w:val="none"/>
        </w:rPr>
      </w:pPr>
      <w:r>
        <w:rPr>
          <w:color w:val="auto"/>
          <w:sz w:val="24"/>
          <w:szCs w:val="24"/>
          <w:highlight w:val="none"/>
        </w:rPr>
        <w:t>日期：年月日</w:t>
      </w:r>
    </w:p>
    <w:p w14:paraId="68AB664A">
      <w:pPr>
        <w:spacing w:line="360" w:lineRule="auto"/>
        <w:rPr>
          <w:b/>
          <w:bCs/>
          <w:color w:val="auto"/>
          <w:sz w:val="24"/>
          <w:szCs w:val="24"/>
          <w:highlight w:val="none"/>
        </w:rPr>
      </w:pPr>
    </w:p>
    <w:p w14:paraId="6355C2C4">
      <w:pPr>
        <w:spacing w:line="360" w:lineRule="auto"/>
        <w:rPr>
          <w:b/>
          <w:bCs/>
          <w:color w:val="auto"/>
          <w:sz w:val="24"/>
          <w:szCs w:val="24"/>
          <w:highlight w:val="none"/>
        </w:rPr>
      </w:pPr>
    </w:p>
    <w:p w14:paraId="2D0ACFB1">
      <w:pPr>
        <w:pStyle w:val="10"/>
        <w:spacing w:line="360" w:lineRule="auto"/>
        <w:ind w:firstLine="0"/>
        <w:rPr>
          <w:rFonts w:hint="eastAsia" w:ascii="仿宋_GB2312" w:hAnsi="宋体" w:eastAsia="仿宋_GB2312"/>
          <w:color w:val="auto"/>
          <w:highlight w:val="none"/>
        </w:rPr>
      </w:pPr>
      <w:r>
        <w:rPr>
          <w:rFonts w:hint="eastAsia" w:hAnsi="宋体" w:eastAsia="宋体" w:cs="宋体"/>
          <w:color w:val="auto"/>
          <w:szCs w:val="24"/>
          <w:highlight w:val="none"/>
        </w:rPr>
        <w:br w:type="page" w:clear="all"/>
      </w:r>
    </w:p>
    <w:p w14:paraId="6512214C">
      <w:pPr>
        <w:pStyle w:val="10"/>
        <w:ind w:firstLine="0"/>
        <w:rPr>
          <w:rFonts w:hint="eastAsia" w:ascii="仿宋_GB2312" w:hAnsi="宋体" w:eastAsia="仿宋_GB2312"/>
          <w:color w:val="auto"/>
          <w:highlight w:val="none"/>
        </w:rPr>
      </w:pPr>
    </w:p>
    <w:p w14:paraId="21D1FA2D">
      <w:pPr>
        <w:pStyle w:val="10"/>
        <w:ind w:firstLine="0"/>
        <w:rPr>
          <w:rFonts w:hint="eastAsia" w:hAnsi="宋体" w:eastAsia="宋体" w:cs="宋体"/>
          <w:b/>
          <w:bCs/>
          <w:color w:val="auto"/>
          <w:szCs w:val="24"/>
          <w:highlight w:val="none"/>
        </w:rPr>
      </w:pPr>
      <w:r>
        <w:rPr>
          <w:rFonts w:hint="eastAsia" w:hAnsi="宋体" w:eastAsia="宋体" w:cs="宋体"/>
          <w:b/>
          <w:bCs/>
          <w:color w:val="auto"/>
          <w:szCs w:val="24"/>
          <w:highlight w:val="none"/>
          <w:lang w:val="en-US" w:eastAsia="zh-CN"/>
        </w:rPr>
        <w:t>5</w:t>
      </w:r>
      <w:r>
        <w:rPr>
          <w:rFonts w:hint="eastAsia" w:hAnsi="宋体" w:eastAsia="宋体" w:cs="宋体"/>
          <w:b/>
          <w:bCs/>
          <w:color w:val="auto"/>
          <w:szCs w:val="24"/>
          <w:highlight w:val="none"/>
        </w:rPr>
        <w:t>、投标保证承诺书</w:t>
      </w:r>
    </w:p>
    <w:p w14:paraId="6B4AA42E">
      <w:pPr>
        <w:pStyle w:val="20"/>
        <w:spacing w:line="420" w:lineRule="exact"/>
        <w:jc w:val="center"/>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投标保证承诺书</w:t>
      </w:r>
    </w:p>
    <w:p w14:paraId="0DDA70E5">
      <w:pPr>
        <w:pStyle w:val="20"/>
        <w:spacing w:line="360" w:lineRule="exact"/>
        <w:rPr>
          <w:rFonts w:hint="eastAsia" w:hAnsi="宋体" w:eastAsia="宋体" w:cs="宋体"/>
          <w:bCs/>
          <w:color w:val="auto"/>
          <w:sz w:val="24"/>
          <w:szCs w:val="24"/>
          <w:highlight w:val="none"/>
        </w:rPr>
      </w:pPr>
    </w:p>
    <w:p w14:paraId="3D5DF2DE">
      <w:pPr>
        <w:pStyle w:val="20"/>
        <w:spacing w:line="360" w:lineRule="exact"/>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致：</w:t>
      </w:r>
      <w:r>
        <w:rPr>
          <w:rFonts w:hint="eastAsia" w:hAnsi="宋体" w:eastAsia="宋体" w:cs="宋体"/>
          <w:bCs/>
          <w:color w:val="auto"/>
          <w:sz w:val="24"/>
          <w:szCs w:val="24"/>
          <w:highlight w:val="none"/>
          <w:u w:val="single"/>
        </w:rPr>
        <w:t>（采购代理机构名称）</w:t>
      </w:r>
    </w:p>
    <w:p w14:paraId="40C4402B">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我方收到贵公司</w:t>
      </w:r>
      <w:r>
        <w:rPr>
          <w:rFonts w:hint="eastAsia" w:hAnsi="宋体" w:eastAsia="宋体" w:cs="宋体"/>
          <w:bCs/>
          <w:color w:val="auto"/>
          <w:sz w:val="24"/>
          <w:szCs w:val="24"/>
          <w:highlight w:val="none"/>
          <w:u w:val="single"/>
        </w:rPr>
        <w:t xml:space="preserve">  （项目名称和招标编号）</w:t>
      </w:r>
      <w:r>
        <w:rPr>
          <w:rFonts w:hint="eastAsia" w:hAnsi="宋体" w:eastAsia="宋体" w:cs="宋体"/>
          <w:bCs/>
          <w:color w:val="auto"/>
          <w:sz w:val="24"/>
          <w:szCs w:val="24"/>
          <w:highlight w:val="none"/>
        </w:rPr>
        <w:t>采购文件，经仔细阅读和研究，我方决定参加投标，并向贵公司作出如下承诺：</w:t>
      </w:r>
    </w:p>
    <w:p w14:paraId="642FEAB3">
      <w:pPr>
        <w:pStyle w:val="20"/>
        <w:spacing w:line="360" w:lineRule="exact"/>
        <w:ind w:firstLine="480"/>
        <w:rPr>
          <w:rFonts w:hint="eastAsia" w:hAnsi="宋体" w:eastAsia="宋体" w:cs="宋体"/>
          <w:color w:val="auto"/>
          <w:sz w:val="24"/>
          <w:szCs w:val="24"/>
          <w:highlight w:val="none"/>
        </w:rPr>
      </w:pPr>
      <w:r>
        <w:rPr>
          <w:rFonts w:hint="eastAsia" w:hAnsi="宋体" w:eastAsia="宋体" w:cs="宋体"/>
          <w:bCs/>
          <w:color w:val="auto"/>
          <w:sz w:val="24"/>
          <w:szCs w:val="24"/>
          <w:highlight w:val="none"/>
        </w:rPr>
        <w:t>1、我方愿意按照采购文件的一切要求，提供本项目的所有内容，我方投标</w:t>
      </w:r>
      <w:r>
        <w:rPr>
          <w:rFonts w:hint="eastAsia" w:hAnsi="宋体" w:eastAsia="宋体" w:cs="宋体"/>
          <w:color w:val="auto"/>
          <w:sz w:val="24"/>
          <w:szCs w:val="24"/>
          <w:highlight w:val="none"/>
        </w:rPr>
        <w:t>报价包括完成本项工作所需的一切应有费用。</w:t>
      </w:r>
    </w:p>
    <w:p w14:paraId="6820A00A">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2、如果我方的投标书被接受，我方将严格履行采购文件中规定的每一项要求，严格履行合同的责任和义务，保证按期、按质履行合同，完成合同所规定的全部内容。</w:t>
      </w:r>
    </w:p>
    <w:p w14:paraId="36C39AC5">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3、我方同意采购文件及更正文件中的规定。本投标书的有效期限为投标截止时间之日起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u w:val="single"/>
          <w:lang w:val="en-US" w:eastAsia="zh-CN"/>
        </w:rPr>
        <w:t>60</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天。</w:t>
      </w:r>
    </w:p>
    <w:p w14:paraId="28BE5A75">
      <w:pPr>
        <w:pStyle w:val="20"/>
        <w:spacing w:line="360" w:lineRule="exact"/>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4、我方保证所提交的投标文件中所有资料均是真实的、准确的。若与真实情况不符，我方愿意承担由此而产生的一切后果。</w:t>
      </w:r>
    </w:p>
    <w:p w14:paraId="6C850239">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5、我方愿意遵守招标公告及采购文件中所列的收费标准。</w:t>
      </w:r>
    </w:p>
    <w:p w14:paraId="715780EB">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6、我方承诺该项投标在开标后的全过程中保持有效，不作任何更改和变动。</w:t>
      </w:r>
    </w:p>
    <w:p w14:paraId="313028B0">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9、我方承诺在参加政府采购活动前三年内，在经营活动中没有重大违法记录。</w:t>
      </w:r>
    </w:p>
    <w:p w14:paraId="3A65DDC0">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10、如果我方中标，我方愿意按采购文件规定支付中标服务费，如未按规定缴纳中标服务费，采购代理机构有权保留诉讼的权力；</w:t>
      </w:r>
    </w:p>
    <w:p w14:paraId="664C43D2">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11、与本投标有关的通讯地址：</w:t>
      </w:r>
    </w:p>
    <w:p w14:paraId="02AA3100">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 xml:space="preserve">单    位：                        联 系 人：                 </w:t>
      </w:r>
    </w:p>
    <w:p w14:paraId="0ABEAD32">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 xml:space="preserve">地    址：                        邮政编码：                   </w:t>
      </w:r>
    </w:p>
    <w:p w14:paraId="3F72688F">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 xml:space="preserve">联系电话：                        传    真：                   </w:t>
      </w:r>
    </w:p>
    <w:p w14:paraId="358D6DD9">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 xml:space="preserve">投标人签章： </w:t>
      </w:r>
    </w:p>
    <w:p w14:paraId="38119F69">
      <w:pPr>
        <w:pStyle w:val="20"/>
        <w:spacing w:line="360" w:lineRule="exact"/>
        <w:ind w:firstLine="48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法定代表人或代理人：（签字或签章）           年     月     日</w:t>
      </w:r>
    </w:p>
    <w:p w14:paraId="2DBCB83C">
      <w:pPr>
        <w:spacing w:line="340" w:lineRule="exact"/>
        <w:rPr>
          <w:rFonts w:hAnsi="宋体"/>
          <w:bCs/>
          <w:color w:val="auto"/>
          <w:szCs w:val="21"/>
          <w:highlight w:val="none"/>
        </w:rPr>
      </w:pPr>
    </w:p>
    <w:p w14:paraId="0E047809">
      <w:pPr>
        <w:pStyle w:val="10"/>
        <w:ind w:firstLine="0"/>
        <w:rPr>
          <w:rFonts w:ascii="仿宋_GB2312" w:hAnsi="宋体" w:eastAsia="仿宋_GB2312"/>
          <w:color w:val="auto"/>
          <w:highlight w:val="none"/>
        </w:rPr>
      </w:pPr>
    </w:p>
    <w:p w14:paraId="25317868">
      <w:pPr>
        <w:pStyle w:val="10"/>
        <w:ind w:firstLine="0"/>
        <w:rPr>
          <w:rFonts w:ascii="仿宋_GB2312" w:hAnsi="宋体" w:eastAsia="仿宋_GB2312"/>
          <w:color w:val="auto"/>
          <w:highlight w:val="none"/>
        </w:rPr>
      </w:pPr>
    </w:p>
    <w:p w14:paraId="41C901CA">
      <w:pPr>
        <w:pStyle w:val="10"/>
        <w:ind w:firstLine="0"/>
        <w:rPr>
          <w:rFonts w:ascii="仿宋_GB2312" w:hAnsi="宋体" w:eastAsia="仿宋_GB2312"/>
          <w:color w:val="auto"/>
          <w:highlight w:val="none"/>
        </w:rPr>
      </w:pPr>
    </w:p>
    <w:p w14:paraId="157CC307">
      <w:pPr>
        <w:pStyle w:val="10"/>
        <w:ind w:firstLine="0"/>
        <w:rPr>
          <w:rFonts w:ascii="仿宋_GB2312" w:hAnsi="宋体" w:eastAsia="仿宋_GB2312"/>
          <w:color w:val="auto"/>
          <w:highlight w:val="none"/>
        </w:rPr>
      </w:pPr>
    </w:p>
    <w:p w14:paraId="428BE70D">
      <w:pPr>
        <w:pStyle w:val="10"/>
        <w:ind w:firstLine="0"/>
        <w:rPr>
          <w:rFonts w:ascii="仿宋_GB2312" w:hAnsi="宋体" w:eastAsia="仿宋_GB2312"/>
          <w:color w:val="auto"/>
          <w:highlight w:val="none"/>
        </w:rPr>
      </w:pPr>
    </w:p>
    <w:p w14:paraId="1F680C8B">
      <w:pPr>
        <w:pStyle w:val="10"/>
        <w:ind w:firstLine="0"/>
        <w:rPr>
          <w:rFonts w:ascii="仿宋_GB2312" w:hAnsi="宋体" w:eastAsia="仿宋_GB2312"/>
          <w:color w:val="auto"/>
          <w:highlight w:val="none"/>
        </w:rPr>
      </w:pPr>
    </w:p>
    <w:p w14:paraId="62BC1E38">
      <w:pPr>
        <w:pStyle w:val="10"/>
        <w:ind w:firstLine="0"/>
        <w:rPr>
          <w:rFonts w:hint="eastAsia" w:hAnsi="宋体" w:eastAsia="宋体" w:cs="宋体"/>
          <w:b/>
          <w:bCs/>
          <w:color w:val="auto"/>
          <w:szCs w:val="24"/>
          <w:highlight w:val="none"/>
        </w:rPr>
      </w:pPr>
      <w:r>
        <w:rPr>
          <w:rFonts w:ascii="仿宋_GB2312" w:hAnsi="宋体" w:eastAsia="仿宋_GB2312"/>
          <w:color w:val="auto"/>
          <w:highlight w:val="none"/>
        </w:rPr>
        <w:br w:type="page" w:clear="all"/>
      </w:r>
      <w:r>
        <w:rPr>
          <w:rFonts w:hint="eastAsia" w:ascii="仿宋_GB2312" w:hAnsi="宋体" w:eastAsia="仿宋_GB2312"/>
          <w:b/>
          <w:bCs/>
          <w:color w:val="auto"/>
          <w:highlight w:val="none"/>
          <w:lang w:val="en-US" w:eastAsia="zh-CN"/>
        </w:rPr>
        <w:t>6</w:t>
      </w:r>
      <w:r>
        <w:rPr>
          <w:rFonts w:hint="eastAsia" w:ascii="仿宋_GB2312" w:hAnsi="宋体" w:eastAsia="仿宋_GB2312"/>
          <w:b/>
          <w:bCs/>
          <w:color w:val="auto"/>
          <w:highlight w:val="none"/>
        </w:rPr>
        <w:t>、</w:t>
      </w:r>
      <w:r>
        <w:rPr>
          <w:rFonts w:hint="eastAsia" w:hAnsi="宋体" w:eastAsia="宋体" w:cs="宋体"/>
          <w:b/>
          <w:bCs/>
          <w:color w:val="auto"/>
          <w:szCs w:val="24"/>
          <w:highlight w:val="none"/>
        </w:rPr>
        <w:t>资格条件证明文件</w:t>
      </w:r>
    </w:p>
    <w:p w14:paraId="548D7988">
      <w:pPr>
        <w:pStyle w:val="15"/>
        <w:spacing w:before="75" w:beforeAutospacing="0" w:after="75" w:afterAutospacing="0"/>
        <w:jc w:val="center"/>
        <w:rPr>
          <w:rStyle w:val="16"/>
          <w:rFonts w:hint="eastAsia" w:cs="宋体"/>
          <w:color w:val="auto"/>
          <w:szCs w:val="24"/>
          <w:highlight w:val="none"/>
        </w:rPr>
      </w:pPr>
      <w:r>
        <w:rPr>
          <w:rStyle w:val="16"/>
          <w:rFonts w:hint="eastAsia" w:cs="宋体"/>
          <w:color w:val="auto"/>
          <w:szCs w:val="24"/>
          <w:highlight w:val="none"/>
        </w:rPr>
        <w:t>资格条件证明文件</w:t>
      </w:r>
    </w:p>
    <w:p w14:paraId="320B11FB">
      <w:pPr>
        <w:pStyle w:val="15"/>
        <w:spacing w:before="75" w:beforeAutospacing="0" w:after="75" w:afterAutospacing="0"/>
        <w:rPr>
          <w:rFonts w:cs="宋体"/>
          <w:color w:val="auto"/>
          <w:highlight w:val="none"/>
        </w:rPr>
      </w:pPr>
      <w:r>
        <w:rPr>
          <w:rFonts w:hint="eastAsia" w:cs="宋体"/>
          <w:color w:val="auto"/>
          <w:highlight w:val="none"/>
        </w:rPr>
        <w:t>  </w:t>
      </w:r>
    </w:p>
    <w:p w14:paraId="38E8A8C2">
      <w:pPr>
        <w:pStyle w:val="15"/>
        <w:spacing w:before="75" w:beforeAutospacing="0" w:after="75" w:afterAutospacing="0" w:line="375" w:lineRule="atLeast"/>
        <w:jc w:val="center"/>
        <w:rPr>
          <w:rFonts w:hint="eastAsia" w:ascii="sans-serif" w:hAnsi="sans-serif" w:cs="sans-serif"/>
          <w:color w:val="auto"/>
          <w:highlight w:val="none"/>
        </w:rPr>
      </w:pPr>
      <w:r>
        <w:rPr>
          <w:rStyle w:val="16"/>
          <w:rFonts w:hint="eastAsia" w:cs="宋体"/>
          <w:color w:val="auto"/>
          <w:highlight w:val="none"/>
        </w:rPr>
        <w:t>（1） 供应商资格文件声明</w:t>
      </w:r>
    </w:p>
    <w:p w14:paraId="77A2DB17">
      <w:pPr>
        <w:pStyle w:val="15"/>
        <w:spacing w:before="75" w:beforeAutospacing="0" w:after="75" w:afterAutospacing="0" w:line="375" w:lineRule="atLeast"/>
        <w:jc w:val="both"/>
        <w:rPr>
          <w:rFonts w:ascii="sans-serif" w:hAnsi="sans-serif" w:eastAsia="sans-serif" w:cs="sans-serif"/>
          <w:color w:val="auto"/>
          <w:highlight w:val="none"/>
        </w:rPr>
      </w:pPr>
      <w:r>
        <w:rPr>
          <w:rFonts w:hint="eastAsia" w:cs="宋体"/>
          <w:color w:val="auto"/>
          <w:highlight w:val="none"/>
        </w:rPr>
        <w:t>致：</w:t>
      </w:r>
      <w:r>
        <w:rPr>
          <w:rFonts w:hint="eastAsia" w:cs="宋体"/>
          <w:color w:val="auto"/>
          <w:highlight w:val="none"/>
          <w:u w:val="single"/>
        </w:rPr>
        <w:t xml:space="preserve"> (采购人或采购代理机构) </w:t>
      </w:r>
    </w:p>
    <w:p w14:paraId="66DD9154">
      <w:pPr>
        <w:pStyle w:val="15"/>
        <w:spacing w:before="75" w:beforeAutospacing="0" w:after="75" w:afterAutospacing="0" w:line="375" w:lineRule="atLeast"/>
        <w:jc w:val="both"/>
        <w:rPr>
          <w:rFonts w:ascii="sans-serif" w:hAnsi="sans-serif" w:eastAsia="sans-serif" w:cs="sans-serif"/>
          <w:color w:val="auto"/>
          <w:highlight w:val="none"/>
        </w:rPr>
      </w:pPr>
      <w:r>
        <w:rPr>
          <w:rStyle w:val="16"/>
          <w:rFonts w:hint="eastAsia" w:cs="宋体"/>
          <w:color w:val="auto"/>
          <w:highlight w:val="none"/>
        </w:rPr>
        <w:t>  </w:t>
      </w:r>
      <w:r>
        <w:rPr>
          <w:rStyle w:val="16"/>
          <w:rFonts w:hint="eastAsia" w:cs="宋体"/>
          <w:b w:val="0"/>
          <w:color w:val="auto"/>
          <w:highlight w:val="none"/>
        </w:rPr>
        <w:t>1、</w:t>
      </w:r>
      <w:r>
        <w:rPr>
          <w:rFonts w:hint="eastAsia" w:cs="宋体"/>
          <w:color w:val="auto"/>
          <w:highlight w:val="none"/>
        </w:rPr>
        <w:t>我方已知晓招标文件要求并认真审核自身情况，在此郑重声明，我方具备并满足下列各项条款的规定。本声明如有虚假或不实之处，我方将失去合格供应商资格。</w:t>
      </w:r>
    </w:p>
    <w:tbl>
      <w:tblPr>
        <w:tblStyle w:val="6"/>
        <w:tblW w:w="0" w:type="auto"/>
        <w:tblInd w:w="-10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5" w:type="dxa"/>
          <w:bottom w:w="0" w:type="dxa"/>
          <w:right w:w="105" w:type="dxa"/>
        </w:tblCellMar>
      </w:tblPr>
      <w:tblGrid>
        <w:gridCol w:w="5640"/>
        <w:gridCol w:w="2880"/>
      </w:tblGrid>
      <w:tr w14:paraId="72E2C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5640" w:type="dxa"/>
            <w:noWrap w:val="0"/>
            <w:tcMar>
              <w:top w:w="0" w:type="dxa"/>
              <w:left w:w="105" w:type="dxa"/>
              <w:bottom w:w="0" w:type="dxa"/>
              <w:right w:w="105" w:type="dxa"/>
            </w:tcMar>
            <w:vAlign w:val="center"/>
          </w:tcPr>
          <w:p w14:paraId="5679A732">
            <w:pPr>
              <w:pStyle w:val="15"/>
              <w:spacing w:beforeAutospacing="0" w:afterAutospacing="0" w:line="375" w:lineRule="atLeast"/>
              <w:jc w:val="both"/>
              <w:rPr>
                <w:color w:val="auto"/>
                <w:highlight w:val="none"/>
              </w:rPr>
            </w:pPr>
            <w:r>
              <w:rPr>
                <w:rStyle w:val="16"/>
                <w:rFonts w:hint="eastAsia" w:cs="宋体"/>
                <w:color w:val="auto"/>
                <w:highlight w:val="none"/>
              </w:rPr>
              <w:t>《中华人民共和国政府采购法》第二十二条对供应商的要求</w:t>
            </w:r>
          </w:p>
        </w:tc>
        <w:tc>
          <w:tcPr>
            <w:tcW w:w="2880" w:type="dxa"/>
            <w:noWrap w:val="0"/>
            <w:tcMar>
              <w:top w:w="0" w:type="dxa"/>
              <w:left w:w="105" w:type="dxa"/>
              <w:bottom w:w="0" w:type="dxa"/>
              <w:right w:w="105" w:type="dxa"/>
            </w:tcMar>
            <w:vAlign w:val="center"/>
          </w:tcPr>
          <w:p w14:paraId="1EDD6E11">
            <w:pPr>
              <w:pStyle w:val="15"/>
              <w:spacing w:beforeAutospacing="0" w:afterAutospacing="0" w:line="375" w:lineRule="atLeast"/>
              <w:jc w:val="both"/>
              <w:rPr>
                <w:color w:val="auto"/>
                <w:highlight w:val="none"/>
              </w:rPr>
            </w:pPr>
            <w:r>
              <w:rPr>
                <w:rStyle w:val="16"/>
                <w:rFonts w:hint="eastAsia" w:cs="宋体"/>
                <w:color w:val="auto"/>
                <w:highlight w:val="none"/>
              </w:rPr>
              <w:t>供应商资格条件证明材料</w:t>
            </w:r>
          </w:p>
        </w:tc>
      </w:tr>
      <w:tr w14:paraId="7CAD5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5640" w:type="dxa"/>
            <w:noWrap w:val="0"/>
            <w:tcMar>
              <w:top w:w="0" w:type="dxa"/>
              <w:left w:w="105" w:type="dxa"/>
              <w:bottom w:w="0" w:type="dxa"/>
              <w:right w:w="105" w:type="dxa"/>
            </w:tcMar>
            <w:vAlign w:val="center"/>
          </w:tcPr>
          <w:p w14:paraId="0AA94299">
            <w:pPr>
              <w:pStyle w:val="15"/>
              <w:spacing w:beforeAutospacing="0" w:afterAutospacing="0" w:line="375" w:lineRule="atLeast"/>
              <w:jc w:val="both"/>
              <w:rPr>
                <w:color w:val="auto"/>
                <w:highlight w:val="none"/>
              </w:rPr>
            </w:pPr>
            <w:r>
              <w:rPr>
                <w:rFonts w:hint="eastAsia" w:cs="宋体"/>
                <w:color w:val="auto"/>
                <w:highlight w:val="none"/>
              </w:rPr>
              <w:t>（1）具有独立承担民事责任的能力</w:t>
            </w:r>
          </w:p>
        </w:tc>
        <w:tc>
          <w:tcPr>
            <w:tcW w:w="2880" w:type="dxa"/>
            <w:noWrap w:val="0"/>
            <w:tcMar>
              <w:top w:w="0" w:type="dxa"/>
              <w:left w:w="105" w:type="dxa"/>
              <w:bottom w:w="0" w:type="dxa"/>
              <w:right w:w="105" w:type="dxa"/>
            </w:tcMar>
            <w:vAlign w:val="center"/>
          </w:tcPr>
          <w:p w14:paraId="1848BD2D">
            <w:pPr>
              <w:widowControl/>
              <w:jc w:val="left"/>
              <w:rPr>
                <w:rFonts w:ascii="sans-serif" w:hAnsi="sans-serif" w:eastAsia="sans-serif" w:cs="sans-serif"/>
                <w:color w:val="auto"/>
                <w:sz w:val="24"/>
                <w:highlight w:val="none"/>
              </w:rPr>
            </w:pPr>
          </w:p>
        </w:tc>
      </w:tr>
      <w:tr w14:paraId="7512B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5640" w:type="dxa"/>
            <w:noWrap w:val="0"/>
            <w:tcMar>
              <w:top w:w="0" w:type="dxa"/>
              <w:left w:w="105" w:type="dxa"/>
              <w:bottom w:w="0" w:type="dxa"/>
              <w:right w:w="105" w:type="dxa"/>
            </w:tcMar>
            <w:vAlign w:val="center"/>
          </w:tcPr>
          <w:p w14:paraId="493B5C12">
            <w:pPr>
              <w:pStyle w:val="15"/>
              <w:spacing w:beforeAutospacing="0" w:afterAutospacing="0" w:line="375" w:lineRule="atLeast"/>
              <w:jc w:val="both"/>
              <w:rPr>
                <w:color w:val="auto"/>
                <w:highlight w:val="none"/>
              </w:rPr>
            </w:pPr>
            <w:r>
              <w:rPr>
                <w:rFonts w:hint="eastAsia" w:cs="宋体"/>
                <w:color w:val="auto"/>
                <w:highlight w:val="none"/>
              </w:rPr>
              <w:t>（2）具有良好的商业信誉和健全的财务会计制度</w:t>
            </w:r>
          </w:p>
        </w:tc>
        <w:tc>
          <w:tcPr>
            <w:tcW w:w="2880" w:type="dxa"/>
            <w:noWrap w:val="0"/>
            <w:tcMar>
              <w:top w:w="0" w:type="dxa"/>
              <w:left w:w="105" w:type="dxa"/>
              <w:bottom w:w="0" w:type="dxa"/>
              <w:right w:w="105" w:type="dxa"/>
            </w:tcMar>
            <w:vAlign w:val="center"/>
          </w:tcPr>
          <w:p w14:paraId="7A19E074">
            <w:pPr>
              <w:widowControl/>
              <w:jc w:val="left"/>
              <w:rPr>
                <w:rFonts w:ascii="sans-serif" w:hAnsi="sans-serif" w:eastAsia="sans-serif" w:cs="sans-serif"/>
                <w:color w:val="auto"/>
                <w:sz w:val="24"/>
                <w:highlight w:val="none"/>
              </w:rPr>
            </w:pPr>
          </w:p>
        </w:tc>
      </w:tr>
      <w:tr w14:paraId="38FFE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5640" w:type="dxa"/>
            <w:noWrap w:val="0"/>
            <w:tcMar>
              <w:top w:w="0" w:type="dxa"/>
              <w:left w:w="105" w:type="dxa"/>
              <w:bottom w:w="0" w:type="dxa"/>
              <w:right w:w="105" w:type="dxa"/>
            </w:tcMar>
            <w:vAlign w:val="center"/>
          </w:tcPr>
          <w:p w14:paraId="1822727C">
            <w:pPr>
              <w:pStyle w:val="15"/>
              <w:spacing w:beforeAutospacing="0" w:afterAutospacing="0" w:line="375" w:lineRule="atLeast"/>
              <w:jc w:val="both"/>
              <w:rPr>
                <w:color w:val="auto"/>
                <w:highlight w:val="none"/>
              </w:rPr>
            </w:pPr>
            <w:r>
              <w:rPr>
                <w:rFonts w:hint="eastAsia" w:cs="宋体"/>
                <w:color w:val="auto"/>
                <w:highlight w:val="none"/>
              </w:rPr>
              <w:t>（3）具有履行合同所必需的设备和专业技术能力</w:t>
            </w:r>
          </w:p>
        </w:tc>
        <w:tc>
          <w:tcPr>
            <w:tcW w:w="2880" w:type="dxa"/>
            <w:noWrap w:val="0"/>
            <w:tcMar>
              <w:top w:w="0" w:type="dxa"/>
              <w:left w:w="105" w:type="dxa"/>
              <w:bottom w:w="0" w:type="dxa"/>
              <w:right w:w="105" w:type="dxa"/>
            </w:tcMar>
            <w:vAlign w:val="center"/>
          </w:tcPr>
          <w:p w14:paraId="55EF5728">
            <w:pPr>
              <w:widowControl/>
              <w:jc w:val="left"/>
              <w:rPr>
                <w:rFonts w:ascii="sans-serif" w:hAnsi="sans-serif" w:eastAsia="sans-serif" w:cs="sans-serif"/>
                <w:color w:val="auto"/>
                <w:sz w:val="24"/>
                <w:highlight w:val="none"/>
              </w:rPr>
            </w:pPr>
          </w:p>
        </w:tc>
      </w:tr>
      <w:tr w14:paraId="355B2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5640" w:type="dxa"/>
            <w:noWrap w:val="0"/>
            <w:tcMar>
              <w:top w:w="0" w:type="dxa"/>
              <w:left w:w="105" w:type="dxa"/>
              <w:bottom w:w="0" w:type="dxa"/>
              <w:right w:w="105" w:type="dxa"/>
            </w:tcMar>
            <w:vAlign w:val="center"/>
          </w:tcPr>
          <w:p w14:paraId="0E28A2B7">
            <w:pPr>
              <w:pStyle w:val="15"/>
              <w:spacing w:beforeAutospacing="0" w:afterAutospacing="0" w:line="375" w:lineRule="atLeast"/>
              <w:jc w:val="both"/>
              <w:rPr>
                <w:color w:val="auto"/>
                <w:highlight w:val="none"/>
              </w:rPr>
            </w:pPr>
            <w:r>
              <w:rPr>
                <w:rFonts w:hint="eastAsia" w:cs="宋体"/>
                <w:color w:val="auto"/>
                <w:highlight w:val="none"/>
              </w:rPr>
              <w:t>（4）有依法缴纳税收和社会保障资金的良好记录</w:t>
            </w:r>
          </w:p>
        </w:tc>
        <w:tc>
          <w:tcPr>
            <w:tcW w:w="2880" w:type="dxa"/>
            <w:noWrap w:val="0"/>
            <w:tcMar>
              <w:top w:w="0" w:type="dxa"/>
              <w:left w:w="105" w:type="dxa"/>
              <w:bottom w:w="0" w:type="dxa"/>
              <w:right w:w="105" w:type="dxa"/>
            </w:tcMar>
            <w:vAlign w:val="center"/>
          </w:tcPr>
          <w:p w14:paraId="3AA50B6E">
            <w:pPr>
              <w:widowControl/>
              <w:jc w:val="left"/>
              <w:rPr>
                <w:rFonts w:ascii="sans-serif" w:hAnsi="sans-serif" w:eastAsia="sans-serif" w:cs="sans-serif"/>
                <w:color w:val="auto"/>
                <w:sz w:val="24"/>
                <w:highlight w:val="none"/>
              </w:rPr>
            </w:pPr>
          </w:p>
        </w:tc>
      </w:tr>
      <w:tr w14:paraId="112F3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5640" w:type="dxa"/>
            <w:noWrap w:val="0"/>
            <w:tcMar>
              <w:top w:w="0" w:type="dxa"/>
              <w:left w:w="105" w:type="dxa"/>
              <w:bottom w:w="0" w:type="dxa"/>
              <w:right w:w="105" w:type="dxa"/>
            </w:tcMar>
            <w:vAlign w:val="center"/>
          </w:tcPr>
          <w:p w14:paraId="5D918818">
            <w:pPr>
              <w:pStyle w:val="15"/>
              <w:spacing w:beforeAutospacing="0" w:afterAutospacing="0" w:line="375" w:lineRule="atLeast"/>
              <w:jc w:val="both"/>
              <w:rPr>
                <w:color w:val="auto"/>
                <w:highlight w:val="none"/>
              </w:rPr>
            </w:pPr>
            <w:r>
              <w:rPr>
                <w:rFonts w:hint="eastAsia" w:cs="宋体"/>
                <w:color w:val="auto"/>
                <w:highlight w:val="none"/>
              </w:rPr>
              <w:t>（5）参加政府采购活动前三年内，在经营活动中没有重大违法记录</w:t>
            </w:r>
          </w:p>
        </w:tc>
        <w:tc>
          <w:tcPr>
            <w:tcW w:w="2880" w:type="dxa"/>
            <w:noWrap w:val="0"/>
            <w:tcMar>
              <w:top w:w="0" w:type="dxa"/>
              <w:left w:w="105" w:type="dxa"/>
              <w:bottom w:w="0" w:type="dxa"/>
              <w:right w:w="105" w:type="dxa"/>
            </w:tcMar>
            <w:vAlign w:val="center"/>
          </w:tcPr>
          <w:p w14:paraId="118B8D0A">
            <w:pPr>
              <w:widowControl/>
              <w:jc w:val="left"/>
              <w:rPr>
                <w:rFonts w:ascii="sans-serif" w:hAnsi="sans-serif" w:eastAsia="sans-serif" w:cs="sans-serif"/>
                <w:color w:val="auto"/>
                <w:sz w:val="24"/>
                <w:highlight w:val="none"/>
              </w:rPr>
            </w:pPr>
          </w:p>
        </w:tc>
      </w:tr>
      <w:tr w14:paraId="7EDD6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5640" w:type="dxa"/>
            <w:noWrap w:val="0"/>
            <w:tcMar>
              <w:top w:w="0" w:type="dxa"/>
              <w:left w:w="105" w:type="dxa"/>
              <w:bottom w:w="0" w:type="dxa"/>
              <w:right w:w="105" w:type="dxa"/>
            </w:tcMar>
            <w:vAlign w:val="center"/>
          </w:tcPr>
          <w:p w14:paraId="7B9EE291">
            <w:pPr>
              <w:pStyle w:val="15"/>
              <w:spacing w:beforeAutospacing="0" w:afterAutospacing="0" w:line="375" w:lineRule="atLeast"/>
              <w:jc w:val="both"/>
              <w:rPr>
                <w:color w:val="auto"/>
                <w:highlight w:val="none"/>
              </w:rPr>
            </w:pPr>
            <w:r>
              <w:rPr>
                <w:rFonts w:hint="eastAsia" w:cs="宋体"/>
                <w:color w:val="auto"/>
                <w:highlight w:val="none"/>
              </w:rPr>
              <w:t>（6）法律、行政法规规定的其他条件</w:t>
            </w:r>
          </w:p>
        </w:tc>
        <w:tc>
          <w:tcPr>
            <w:tcW w:w="2880" w:type="dxa"/>
            <w:noWrap w:val="0"/>
            <w:tcMar>
              <w:top w:w="0" w:type="dxa"/>
              <w:left w:w="105" w:type="dxa"/>
              <w:bottom w:w="0" w:type="dxa"/>
              <w:right w:w="105" w:type="dxa"/>
            </w:tcMar>
            <w:vAlign w:val="center"/>
          </w:tcPr>
          <w:p w14:paraId="200B58B2">
            <w:pPr>
              <w:widowControl/>
              <w:jc w:val="left"/>
              <w:rPr>
                <w:rFonts w:ascii="sans-serif" w:hAnsi="sans-serif" w:eastAsia="sans-serif" w:cs="sans-serif"/>
                <w:color w:val="auto"/>
                <w:sz w:val="24"/>
                <w:highlight w:val="none"/>
              </w:rPr>
            </w:pPr>
          </w:p>
        </w:tc>
      </w:tr>
      <w:tr w14:paraId="163CD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5640" w:type="dxa"/>
            <w:noWrap w:val="0"/>
            <w:tcMar>
              <w:top w:w="0" w:type="dxa"/>
              <w:left w:w="105" w:type="dxa"/>
              <w:bottom w:w="0" w:type="dxa"/>
              <w:right w:w="105" w:type="dxa"/>
            </w:tcMar>
            <w:vAlign w:val="center"/>
          </w:tcPr>
          <w:p w14:paraId="6413FE9C">
            <w:pPr>
              <w:pStyle w:val="15"/>
              <w:spacing w:beforeAutospacing="0" w:afterAutospacing="0" w:line="375" w:lineRule="atLeast"/>
              <w:jc w:val="both"/>
              <w:rPr>
                <w:rFonts w:cs="宋体"/>
                <w:color w:val="auto"/>
                <w:highlight w:val="none"/>
              </w:rPr>
            </w:pPr>
            <w:r>
              <w:rPr>
                <w:rFonts w:hint="eastAsia" w:cs="宋体"/>
                <w:color w:val="auto"/>
                <w:highlight w:val="none"/>
              </w:rPr>
              <w:t>（7）其他（可选）</w:t>
            </w:r>
          </w:p>
        </w:tc>
        <w:tc>
          <w:tcPr>
            <w:tcW w:w="2880" w:type="dxa"/>
            <w:noWrap w:val="0"/>
            <w:tcMar>
              <w:top w:w="0" w:type="dxa"/>
              <w:left w:w="105" w:type="dxa"/>
              <w:bottom w:w="0" w:type="dxa"/>
              <w:right w:w="105" w:type="dxa"/>
            </w:tcMar>
            <w:vAlign w:val="center"/>
          </w:tcPr>
          <w:p w14:paraId="18927D67">
            <w:pPr>
              <w:widowControl/>
              <w:jc w:val="left"/>
              <w:rPr>
                <w:rFonts w:ascii="sans-serif" w:hAnsi="sans-serif" w:eastAsia="sans-serif" w:cs="sans-serif"/>
                <w:color w:val="auto"/>
                <w:sz w:val="24"/>
                <w:highlight w:val="none"/>
              </w:rPr>
            </w:pPr>
          </w:p>
        </w:tc>
      </w:tr>
      <w:tr w14:paraId="58DFB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5640" w:type="dxa"/>
            <w:noWrap w:val="0"/>
            <w:tcMar>
              <w:top w:w="0" w:type="dxa"/>
              <w:left w:w="105" w:type="dxa"/>
              <w:bottom w:w="0" w:type="dxa"/>
              <w:right w:w="105" w:type="dxa"/>
            </w:tcMar>
            <w:vAlign w:val="center"/>
          </w:tcPr>
          <w:p w14:paraId="74669D36">
            <w:pPr>
              <w:pStyle w:val="15"/>
              <w:spacing w:beforeAutospacing="0" w:afterAutospacing="0" w:line="375" w:lineRule="atLeast"/>
              <w:jc w:val="both"/>
              <w:rPr>
                <w:color w:val="auto"/>
                <w:highlight w:val="none"/>
              </w:rPr>
            </w:pPr>
            <w:r>
              <w:rPr>
                <w:rStyle w:val="16"/>
                <w:rFonts w:hint="eastAsia" w:cs="宋体"/>
                <w:color w:val="auto"/>
                <w:highlight w:val="none"/>
              </w:rPr>
              <w:t>招标文件对合格供应商的一般规定</w:t>
            </w:r>
          </w:p>
        </w:tc>
        <w:tc>
          <w:tcPr>
            <w:tcW w:w="2880" w:type="dxa"/>
            <w:noWrap w:val="0"/>
            <w:tcMar>
              <w:top w:w="0" w:type="dxa"/>
              <w:left w:w="105" w:type="dxa"/>
              <w:bottom w:w="0" w:type="dxa"/>
              <w:right w:w="105" w:type="dxa"/>
            </w:tcMar>
            <w:vAlign w:val="center"/>
          </w:tcPr>
          <w:p w14:paraId="3A77D1D9">
            <w:pPr>
              <w:pStyle w:val="15"/>
              <w:spacing w:beforeAutospacing="0" w:afterAutospacing="0" w:line="375" w:lineRule="atLeast"/>
              <w:jc w:val="both"/>
              <w:rPr>
                <w:color w:val="auto"/>
                <w:highlight w:val="none"/>
              </w:rPr>
            </w:pPr>
            <w:r>
              <w:rPr>
                <w:rStyle w:val="16"/>
                <w:rFonts w:hint="eastAsia" w:cs="宋体"/>
                <w:color w:val="auto"/>
                <w:highlight w:val="none"/>
              </w:rPr>
              <w:t>供应商对是否遵守一般规定做如实声明（是/否）</w:t>
            </w:r>
          </w:p>
        </w:tc>
      </w:tr>
      <w:tr w14:paraId="4BECA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5640" w:type="dxa"/>
            <w:noWrap w:val="0"/>
            <w:tcMar>
              <w:top w:w="0" w:type="dxa"/>
              <w:left w:w="105" w:type="dxa"/>
              <w:bottom w:w="0" w:type="dxa"/>
              <w:right w:w="105" w:type="dxa"/>
            </w:tcMar>
            <w:vAlign w:val="center"/>
          </w:tcPr>
          <w:p w14:paraId="3AB2CE2A">
            <w:pPr>
              <w:pStyle w:val="15"/>
              <w:spacing w:beforeAutospacing="0" w:afterAutospacing="0" w:line="375" w:lineRule="atLeast"/>
              <w:jc w:val="both"/>
              <w:rPr>
                <w:color w:val="auto"/>
                <w:highlight w:val="none"/>
              </w:rPr>
            </w:pPr>
            <w:r>
              <w:rPr>
                <w:rFonts w:hint="eastAsia" w:cs="宋体"/>
                <w:color w:val="auto"/>
                <w:highlight w:val="none"/>
              </w:rPr>
              <w:t>供应商应当遵守中国的有关法律、法规和规章的规定，参加政府采购活动时已经自觉检查并按照政府采购相关法律规定，主动回避相应利害关系。</w:t>
            </w:r>
          </w:p>
        </w:tc>
        <w:tc>
          <w:tcPr>
            <w:tcW w:w="2880" w:type="dxa"/>
            <w:noWrap w:val="0"/>
            <w:tcMar>
              <w:top w:w="0" w:type="dxa"/>
              <w:left w:w="105" w:type="dxa"/>
              <w:bottom w:w="0" w:type="dxa"/>
              <w:right w:w="105" w:type="dxa"/>
            </w:tcMar>
            <w:vAlign w:val="center"/>
          </w:tcPr>
          <w:p w14:paraId="0AC448C1">
            <w:pPr>
              <w:widowControl/>
              <w:jc w:val="left"/>
              <w:rPr>
                <w:rFonts w:ascii="sans-serif" w:hAnsi="sans-serif" w:eastAsia="sans-serif" w:cs="sans-serif"/>
                <w:color w:val="auto"/>
                <w:sz w:val="24"/>
                <w:highlight w:val="none"/>
              </w:rPr>
            </w:pPr>
          </w:p>
        </w:tc>
      </w:tr>
      <w:tr w14:paraId="36A42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5640" w:type="dxa"/>
            <w:noWrap w:val="0"/>
            <w:tcMar>
              <w:top w:w="0" w:type="dxa"/>
              <w:left w:w="105" w:type="dxa"/>
              <w:bottom w:w="0" w:type="dxa"/>
              <w:right w:w="105" w:type="dxa"/>
            </w:tcMar>
            <w:vAlign w:val="center"/>
          </w:tcPr>
          <w:p w14:paraId="6888131E">
            <w:pPr>
              <w:pStyle w:val="15"/>
              <w:spacing w:beforeAutospacing="0" w:afterAutospacing="0" w:line="375" w:lineRule="atLeast"/>
              <w:jc w:val="both"/>
              <w:rPr>
                <w:color w:val="auto"/>
                <w:highlight w:val="none"/>
              </w:rPr>
            </w:pPr>
            <w:r>
              <w:rPr>
                <w:rFonts w:hint="eastAsia"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80" w:type="dxa"/>
            <w:noWrap w:val="0"/>
            <w:tcMar>
              <w:top w:w="0" w:type="dxa"/>
              <w:left w:w="105" w:type="dxa"/>
              <w:bottom w:w="0" w:type="dxa"/>
              <w:right w:w="105" w:type="dxa"/>
            </w:tcMar>
            <w:vAlign w:val="center"/>
          </w:tcPr>
          <w:p w14:paraId="7C61407F">
            <w:pPr>
              <w:widowControl/>
              <w:jc w:val="left"/>
              <w:rPr>
                <w:rFonts w:ascii="sans-serif" w:hAnsi="sans-serif" w:eastAsia="sans-serif" w:cs="sans-serif"/>
                <w:color w:val="auto"/>
                <w:sz w:val="24"/>
                <w:highlight w:val="none"/>
              </w:rPr>
            </w:pPr>
          </w:p>
        </w:tc>
      </w:tr>
      <w:tr w14:paraId="1E196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5" w:type="dxa"/>
            <w:bottom w:w="0" w:type="dxa"/>
            <w:right w:w="105" w:type="dxa"/>
          </w:tblCellMar>
        </w:tblPrEx>
        <w:tc>
          <w:tcPr>
            <w:tcW w:w="5640" w:type="dxa"/>
            <w:noWrap w:val="0"/>
            <w:tcMar>
              <w:top w:w="0" w:type="dxa"/>
              <w:left w:w="105" w:type="dxa"/>
              <w:bottom w:w="0" w:type="dxa"/>
              <w:right w:w="105" w:type="dxa"/>
            </w:tcMar>
            <w:vAlign w:val="center"/>
          </w:tcPr>
          <w:p w14:paraId="77912438">
            <w:pPr>
              <w:pStyle w:val="15"/>
              <w:spacing w:beforeAutospacing="0" w:afterAutospacing="0" w:line="375" w:lineRule="atLeast"/>
              <w:jc w:val="both"/>
              <w:rPr>
                <w:color w:val="auto"/>
                <w:highlight w:val="none"/>
              </w:rPr>
            </w:pPr>
            <w:r>
              <w:rPr>
                <w:rFonts w:hint="eastAsia" w:cs="宋体"/>
                <w:color w:val="auto"/>
                <w:highlight w:val="none"/>
              </w:rPr>
              <w:t>列入失信被执行人、重大税收违法案件当事人名单、政府采购严重违法失信行为记录名单的供应商，不得参加政府采购活动。</w:t>
            </w:r>
          </w:p>
        </w:tc>
        <w:tc>
          <w:tcPr>
            <w:tcW w:w="2880" w:type="dxa"/>
            <w:noWrap w:val="0"/>
            <w:tcMar>
              <w:top w:w="0" w:type="dxa"/>
              <w:left w:w="105" w:type="dxa"/>
              <w:bottom w:w="0" w:type="dxa"/>
              <w:right w:w="105" w:type="dxa"/>
            </w:tcMar>
            <w:vAlign w:val="center"/>
          </w:tcPr>
          <w:p w14:paraId="2B32FD7B">
            <w:pPr>
              <w:widowControl/>
              <w:jc w:val="left"/>
              <w:rPr>
                <w:rFonts w:ascii="sans-serif" w:hAnsi="sans-serif" w:eastAsia="sans-serif" w:cs="sans-serif"/>
                <w:color w:val="auto"/>
                <w:sz w:val="24"/>
                <w:highlight w:val="none"/>
              </w:rPr>
            </w:pPr>
          </w:p>
        </w:tc>
      </w:tr>
    </w:tbl>
    <w:p w14:paraId="31D5B281">
      <w:pPr>
        <w:pStyle w:val="15"/>
        <w:spacing w:before="75" w:beforeAutospacing="0" w:after="75" w:afterAutospacing="0" w:line="375" w:lineRule="atLeast"/>
        <w:ind w:firstLine="480"/>
        <w:jc w:val="both"/>
        <w:rPr>
          <w:rFonts w:ascii="sans-serif" w:hAnsi="sans-serif" w:eastAsia="sans-serif" w:cs="sans-serif"/>
          <w:color w:val="auto"/>
          <w:highlight w:val="none"/>
        </w:rPr>
      </w:pPr>
      <w:r>
        <w:rPr>
          <w:rFonts w:hint="eastAsia" w:cs="宋体"/>
          <w:color w:val="auto"/>
          <w:highlight w:val="none"/>
        </w:rPr>
        <w:t>2、我方对上述声明的真实性、合法性、准确性、有效性负责，并愿意根据招标文件和评标过程中贵方要求提供全部现有资料、数据、文件等予以证实。</w:t>
      </w:r>
    </w:p>
    <w:p w14:paraId="0D4BF40C">
      <w:pPr>
        <w:pStyle w:val="15"/>
        <w:spacing w:before="75" w:beforeAutospacing="0" w:after="75" w:afterAutospacing="0" w:line="435" w:lineRule="atLeast"/>
        <w:ind w:firstLine="480"/>
        <w:rPr>
          <w:rFonts w:hint="eastAsia" w:ascii="sans-serif" w:hAnsi="sans-serif" w:cs="sans-serif"/>
          <w:color w:val="auto"/>
          <w:highlight w:val="none"/>
        </w:rPr>
      </w:pPr>
      <w:r>
        <w:rPr>
          <w:rFonts w:hint="eastAsia" w:cs="宋体"/>
          <w:color w:val="auto"/>
          <w:highlight w:val="none"/>
        </w:rPr>
        <w:t>备注：对于接受联合体形式的招标且供应商是联合体的，则联合体各成员都应当提交本资格证明文件。</w:t>
      </w:r>
    </w:p>
    <w:p w14:paraId="7DD7F521">
      <w:pPr>
        <w:pStyle w:val="15"/>
        <w:spacing w:before="75" w:beforeAutospacing="0" w:after="75" w:afterAutospacing="0" w:line="435" w:lineRule="atLeast"/>
        <w:ind w:firstLine="1560"/>
        <w:jc w:val="both"/>
        <w:rPr>
          <w:rFonts w:hint="eastAsia" w:ascii="sans-serif" w:hAnsi="sans-serif" w:cs="sans-serif"/>
          <w:color w:val="auto"/>
          <w:highlight w:val="none"/>
        </w:rPr>
      </w:pPr>
      <w:r>
        <w:rPr>
          <w:rFonts w:hint="eastAsia" w:cs="宋体"/>
          <w:color w:val="auto"/>
          <w:highlight w:val="none"/>
        </w:rPr>
        <w:t>供应商签章：</w:t>
      </w:r>
      <w:r>
        <w:rPr>
          <w:rFonts w:hint="eastAsia" w:cs="宋体"/>
          <w:color w:val="auto"/>
          <w:highlight w:val="none"/>
          <w:u w:val="single"/>
        </w:rPr>
        <w:t xml:space="preserve">         </w:t>
      </w:r>
    </w:p>
    <w:p w14:paraId="6225C44D">
      <w:pPr>
        <w:pStyle w:val="15"/>
        <w:spacing w:before="75" w:beforeAutospacing="0" w:after="75" w:afterAutospacing="0" w:line="435" w:lineRule="atLeast"/>
        <w:ind w:firstLine="1560"/>
        <w:rPr>
          <w:rFonts w:cs="宋体"/>
          <w:color w:val="auto"/>
          <w:highlight w:val="none"/>
        </w:rPr>
      </w:pPr>
      <w:r>
        <w:rPr>
          <w:rFonts w:hint="eastAsia" w:cs="宋体"/>
          <w:color w:val="auto"/>
          <w:highlight w:val="none"/>
        </w:rPr>
        <w:t>日     期：</w:t>
      </w:r>
      <w:r>
        <w:rPr>
          <w:rFonts w:hint="eastAsia" w:cs="宋体"/>
          <w:color w:val="auto"/>
          <w:highlight w:val="none"/>
          <w:u w:val="single"/>
        </w:rPr>
        <w:t>    </w:t>
      </w:r>
      <w:r>
        <w:rPr>
          <w:rFonts w:hint="eastAsia" w:cs="宋体"/>
          <w:color w:val="auto"/>
          <w:highlight w:val="none"/>
        </w:rPr>
        <w:t>年</w:t>
      </w:r>
      <w:r>
        <w:rPr>
          <w:rFonts w:hint="eastAsia" w:cs="宋体"/>
          <w:color w:val="auto"/>
          <w:highlight w:val="none"/>
          <w:u w:val="single"/>
        </w:rPr>
        <w:t>   </w:t>
      </w:r>
      <w:r>
        <w:rPr>
          <w:rFonts w:hint="eastAsia" w:cs="宋体"/>
          <w:color w:val="auto"/>
          <w:highlight w:val="none"/>
        </w:rPr>
        <w:t>月</w:t>
      </w:r>
      <w:r>
        <w:rPr>
          <w:rFonts w:hint="eastAsia" w:cs="宋体"/>
          <w:color w:val="auto"/>
          <w:highlight w:val="none"/>
          <w:u w:val="single"/>
        </w:rPr>
        <w:t>   </w:t>
      </w:r>
      <w:r>
        <w:rPr>
          <w:rFonts w:hint="eastAsia" w:cs="宋体"/>
          <w:color w:val="auto"/>
          <w:highlight w:val="none"/>
        </w:rPr>
        <w:t>日</w:t>
      </w:r>
    </w:p>
    <w:p w14:paraId="2B62C8B1">
      <w:pPr>
        <w:pStyle w:val="15"/>
        <w:spacing w:before="75" w:beforeAutospacing="0" w:after="75" w:afterAutospacing="0" w:line="435" w:lineRule="atLeast"/>
        <w:jc w:val="center"/>
        <w:rPr>
          <w:rFonts w:cs="宋体"/>
          <w:color w:val="auto"/>
          <w:highlight w:val="none"/>
        </w:rPr>
      </w:pPr>
    </w:p>
    <w:p w14:paraId="6F3D4148">
      <w:pPr>
        <w:pStyle w:val="15"/>
        <w:spacing w:before="75" w:beforeAutospacing="0" w:after="75" w:afterAutospacing="0" w:line="435" w:lineRule="atLeast"/>
        <w:jc w:val="center"/>
        <w:rPr>
          <w:rFonts w:ascii="sans-serif" w:hAnsi="sans-serif" w:eastAsia="sans-serif" w:cs="sans-serif"/>
          <w:color w:val="auto"/>
          <w:highlight w:val="none"/>
        </w:rPr>
      </w:pPr>
      <w:r>
        <w:rPr>
          <w:rStyle w:val="16"/>
          <w:rFonts w:hint="eastAsia"/>
          <w:color w:val="auto"/>
          <w:highlight w:val="none"/>
        </w:rPr>
        <w:br w:type="page" w:clear="all"/>
      </w:r>
      <w:r>
        <w:rPr>
          <w:rStyle w:val="16"/>
          <w:rFonts w:hint="eastAsia" w:cs="宋体"/>
          <w:color w:val="auto"/>
          <w:highlight w:val="none"/>
          <w:lang w:val="en-US" w:eastAsia="zh-CN"/>
        </w:rPr>
        <w:t>7、</w:t>
      </w:r>
      <w:r>
        <w:rPr>
          <w:rStyle w:val="16"/>
          <w:rFonts w:hint="eastAsia" w:cs="宋体"/>
          <w:color w:val="auto"/>
          <w:highlight w:val="none"/>
        </w:rPr>
        <w:t>参加采购活动前三年内在经营活动中没有重大违法记录书面声明</w:t>
      </w:r>
    </w:p>
    <w:p w14:paraId="156D8164">
      <w:pPr>
        <w:pStyle w:val="15"/>
        <w:spacing w:before="75" w:beforeAutospacing="0" w:after="75" w:afterAutospacing="0" w:line="435" w:lineRule="atLeast"/>
        <w:rPr>
          <w:rFonts w:ascii="sans-serif" w:hAnsi="sans-serif" w:eastAsia="sans-serif" w:cs="sans-serif"/>
          <w:color w:val="auto"/>
          <w:highlight w:val="none"/>
        </w:rPr>
      </w:pPr>
      <w:r>
        <w:rPr>
          <w:rFonts w:hint="eastAsia" w:cs="宋体"/>
          <w:color w:val="auto"/>
          <w:highlight w:val="none"/>
        </w:rPr>
        <w:t> </w:t>
      </w:r>
    </w:p>
    <w:p w14:paraId="7FA940C7">
      <w:pPr>
        <w:pStyle w:val="15"/>
        <w:spacing w:before="75" w:beforeAutospacing="0" w:after="75" w:afterAutospacing="0" w:line="435" w:lineRule="atLeast"/>
        <w:rPr>
          <w:rFonts w:ascii="sans-serif" w:hAnsi="sans-serif" w:eastAsia="sans-serif" w:cs="sans-serif"/>
          <w:color w:val="auto"/>
          <w:highlight w:val="none"/>
        </w:rPr>
      </w:pPr>
      <w:r>
        <w:rPr>
          <w:rFonts w:hint="eastAsia" w:cs="宋体"/>
          <w:color w:val="auto"/>
          <w:highlight w:val="none"/>
        </w:rPr>
        <w:t>致：</w:t>
      </w:r>
      <w:r>
        <w:rPr>
          <w:rFonts w:hint="eastAsia" w:cs="宋体"/>
          <w:color w:val="auto"/>
          <w:highlight w:val="none"/>
          <w:u w:val="single"/>
        </w:rPr>
        <w:t>     (采购人或采购代理机构)       </w:t>
      </w:r>
    </w:p>
    <w:p w14:paraId="71B8C835">
      <w:pPr>
        <w:pStyle w:val="15"/>
        <w:spacing w:before="75" w:beforeAutospacing="0" w:after="75" w:afterAutospacing="0" w:line="435" w:lineRule="atLeast"/>
        <w:ind w:firstLine="480"/>
        <w:rPr>
          <w:rFonts w:hint="eastAsia" w:ascii="sans-serif" w:hAnsi="sans-serif" w:cs="sans-serif"/>
          <w:color w:val="auto"/>
          <w:highlight w:val="none"/>
        </w:rPr>
      </w:pPr>
      <w:r>
        <w:rPr>
          <w:rFonts w:hint="eastAsia" w:cs="宋体"/>
          <w:color w:val="auto"/>
          <w:highlight w:val="none"/>
        </w:rPr>
        <w:t>参加采购活动前三年内，我方在经营活动中没有重大违法记录。</w:t>
      </w:r>
    </w:p>
    <w:p w14:paraId="39AC838F">
      <w:pPr>
        <w:pStyle w:val="15"/>
        <w:spacing w:before="75" w:beforeAutospacing="0" w:after="75" w:afterAutospacing="0" w:line="435" w:lineRule="atLeast"/>
        <w:ind w:firstLine="480"/>
        <w:rPr>
          <w:rFonts w:ascii="sans-serif" w:hAnsi="sans-serif" w:eastAsia="sans-serif" w:cs="sans-serif"/>
          <w:color w:val="auto"/>
          <w:highlight w:val="none"/>
        </w:rPr>
      </w:pPr>
      <w:r>
        <w:rPr>
          <w:rFonts w:hint="eastAsia" w:cs="宋体"/>
          <w:color w:val="auto"/>
          <w:highlight w:val="none"/>
        </w:rPr>
        <w:t>特此声明。</w:t>
      </w:r>
    </w:p>
    <w:p w14:paraId="02AA2A11">
      <w:pPr>
        <w:pStyle w:val="15"/>
        <w:spacing w:before="75" w:beforeAutospacing="0" w:after="75" w:afterAutospacing="0" w:line="435" w:lineRule="atLeast"/>
        <w:rPr>
          <w:rFonts w:ascii="sans-serif" w:hAnsi="sans-serif" w:eastAsia="sans-serif" w:cs="sans-serif"/>
          <w:color w:val="auto"/>
          <w:highlight w:val="none"/>
        </w:rPr>
      </w:pPr>
      <w:r>
        <w:rPr>
          <w:rFonts w:hint="eastAsia" w:cs="宋体"/>
          <w:color w:val="auto"/>
          <w:highlight w:val="none"/>
        </w:rPr>
        <w:t> </w:t>
      </w:r>
    </w:p>
    <w:p w14:paraId="2EB72162">
      <w:pPr>
        <w:pStyle w:val="15"/>
        <w:spacing w:before="75" w:beforeAutospacing="0" w:after="75" w:afterAutospacing="0" w:line="435" w:lineRule="atLeast"/>
        <w:rPr>
          <w:rFonts w:ascii="sans-serif" w:hAnsi="sans-serif" w:eastAsia="sans-serif" w:cs="sans-serif"/>
          <w:color w:val="auto"/>
          <w:highlight w:val="none"/>
        </w:rPr>
      </w:pPr>
      <w:r>
        <w:rPr>
          <w:rFonts w:hint="eastAsia" w:cs="宋体"/>
          <w:color w:val="auto"/>
          <w:highlight w:val="none"/>
        </w:rPr>
        <w:t>注意：</w:t>
      </w:r>
    </w:p>
    <w:p w14:paraId="029F45D4">
      <w:pPr>
        <w:pStyle w:val="15"/>
        <w:spacing w:before="75" w:beforeAutospacing="0" w:after="75" w:afterAutospacing="0" w:line="435" w:lineRule="atLeast"/>
        <w:rPr>
          <w:rFonts w:ascii="sans-serif" w:hAnsi="sans-serif" w:eastAsia="sans-serif" w:cs="sans-serif"/>
          <w:color w:val="auto"/>
          <w:highlight w:val="none"/>
        </w:rPr>
      </w:pPr>
      <w:r>
        <w:rPr>
          <w:rFonts w:hint="eastAsia" w:cs="宋体"/>
          <w:color w:val="auto"/>
          <w:highlight w:val="none"/>
        </w:rPr>
        <w:t>1、“重大违法记录”指供应商因违法经营受到刑事处罚或责令停产停业、吊销许可证或执照、较大数额罚款等行政处罚。</w:t>
      </w:r>
    </w:p>
    <w:p w14:paraId="6D83426F">
      <w:pPr>
        <w:pStyle w:val="15"/>
        <w:spacing w:before="75" w:beforeAutospacing="0" w:after="75" w:afterAutospacing="0" w:line="435" w:lineRule="atLeast"/>
        <w:rPr>
          <w:rFonts w:ascii="sans-serif" w:hAnsi="sans-serif" w:eastAsia="sans-serif" w:cs="sans-serif"/>
          <w:color w:val="auto"/>
          <w:highlight w:val="none"/>
        </w:rPr>
      </w:pPr>
      <w:r>
        <w:rPr>
          <w:rFonts w:hint="eastAsia" w:cs="宋体"/>
          <w:color w:val="auto"/>
          <w:highlight w:val="none"/>
        </w:rPr>
        <w:t>2、请供应商根据实际情况进行声明，</w:t>
      </w:r>
      <w:r>
        <w:rPr>
          <w:rFonts w:hint="eastAsia" w:cs="宋体"/>
          <w:b/>
          <w:color w:val="auto"/>
          <w:highlight w:val="none"/>
        </w:rPr>
        <w:t>若声明不真实，视为提供虚假材料。</w:t>
      </w:r>
    </w:p>
    <w:p w14:paraId="2B867523">
      <w:pPr>
        <w:pStyle w:val="15"/>
        <w:spacing w:before="75" w:beforeAutospacing="0" w:after="75" w:afterAutospacing="0" w:line="435" w:lineRule="atLeast"/>
        <w:rPr>
          <w:rFonts w:ascii="sans-serif" w:hAnsi="sans-serif" w:eastAsia="sans-serif" w:cs="sans-serif"/>
          <w:color w:val="auto"/>
          <w:highlight w:val="none"/>
        </w:rPr>
      </w:pPr>
      <w:r>
        <w:rPr>
          <w:rFonts w:hint="eastAsia" w:cs="宋体"/>
          <w:color w:val="auto"/>
          <w:highlight w:val="none"/>
        </w:rPr>
        <w:t>3、对于接受联合体形式的投标且供应商是联合体的，则联合体各成员都应当提交本资格证明文件。</w:t>
      </w:r>
    </w:p>
    <w:p w14:paraId="1EA80301">
      <w:pPr>
        <w:pStyle w:val="15"/>
        <w:spacing w:before="75" w:beforeAutospacing="0" w:after="75" w:afterAutospacing="0" w:line="435" w:lineRule="atLeast"/>
        <w:rPr>
          <w:rFonts w:hint="eastAsia" w:ascii="sans-serif" w:hAnsi="sans-serif" w:cs="sans-serif"/>
          <w:color w:val="auto"/>
          <w:highlight w:val="none"/>
        </w:rPr>
      </w:pPr>
      <w:r>
        <w:rPr>
          <w:rFonts w:hint="eastAsia" w:cs="宋体"/>
          <w:color w:val="auto"/>
          <w:highlight w:val="none"/>
        </w:rPr>
        <w:t> </w:t>
      </w:r>
    </w:p>
    <w:p w14:paraId="3D5E8E6C">
      <w:pPr>
        <w:pStyle w:val="15"/>
        <w:spacing w:before="75" w:beforeAutospacing="0" w:after="75" w:afterAutospacing="0" w:line="435" w:lineRule="atLeast"/>
        <w:ind w:firstLine="3480"/>
        <w:jc w:val="both"/>
        <w:rPr>
          <w:rFonts w:hint="eastAsia" w:ascii="sans-serif" w:hAnsi="sans-serif" w:cs="sans-serif"/>
          <w:color w:val="auto"/>
          <w:highlight w:val="none"/>
        </w:rPr>
      </w:pPr>
      <w:r>
        <w:rPr>
          <w:rFonts w:hint="eastAsia" w:cs="宋体"/>
          <w:color w:val="auto"/>
          <w:highlight w:val="none"/>
        </w:rPr>
        <w:t>供应商签章：</w:t>
      </w:r>
      <w:r>
        <w:rPr>
          <w:rFonts w:hint="eastAsia" w:cs="宋体"/>
          <w:color w:val="auto"/>
          <w:highlight w:val="none"/>
          <w:u w:val="single"/>
        </w:rPr>
        <w:t xml:space="preserve">         </w:t>
      </w:r>
    </w:p>
    <w:p w14:paraId="0C531ACC">
      <w:pPr>
        <w:pStyle w:val="15"/>
        <w:spacing w:before="75" w:beforeAutospacing="0" w:after="75" w:afterAutospacing="0" w:line="435" w:lineRule="atLeast"/>
        <w:ind w:firstLine="3480"/>
        <w:rPr>
          <w:rFonts w:ascii="sans-serif" w:hAnsi="sans-serif" w:eastAsia="sans-serif" w:cs="sans-serif"/>
          <w:color w:val="auto"/>
          <w:highlight w:val="none"/>
        </w:rPr>
      </w:pPr>
      <w:r>
        <w:rPr>
          <w:rFonts w:hint="eastAsia" w:cs="宋体"/>
          <w:color w:val="auto"/>
          <w:highlight w:val="none"/>
        </w:rPr>
        <w:t>日     期：</w:t>
      </w:r>
      <w:r>
        <w:rPr>
          <w:rFonts w:hint="eastAsia" w:cs="宋体"/>
          <w:color w:val="auto"/>
          <w:highlight w:val="none"/>
          <w:u w:val="single"/>
        </w:rPr>
        <w:t>    </w:t>
      </w:r>
      <w:r>
        <w:rPr>
          <w:rFonts w:hint="eastAsia" w:cs="宋体"/>
          <w:color w:val="auto"/>
          <w:highlight w:val="none"/>
        </w:rPr>
        <w:t>年</w:t>
      </w:r>
      <w:r>
        <w:rPr>
          <w:rFonts w:hint="eastAsia" w:cs="宋体"/>
          <w:color w:val="auto"/>
          <w:highlight w:val="none"/>
          <w:u w:val="single"/>
        </w:rPr>
        <w:t>   </w:t>
      </w:r>
      <w:r>
        <w:rPr>
          <w:rFonts w:hint="eastAsia" w:cs="宋体"/>
          <w:color w:val="auto"/>
          <w:highlight w:val="none"/>
        </w:rPr>
        <w:t>月</w:t>
      </w:r>
      <w:r>
        <w:rPr>
          <w:rFonts w:hint="eastAsia" w:cs="宋体"/>
          <w:color w:val="auto"/>
          <w:highlight w:val="none"/>
          <w:u w:val="single"/>
        </w:rPr>
        <w:t>   </w:t>
      </w:r>
      <w:r>
        <w:rPr>
          <w:rFonts w:hint="eastAsia" w:cs="宋体"/>
          <w:color w:val="auto"/>
          <w:highlight w:val="none"/>
        </w:rPr>
        <w:t>日</w:t>
      </w:r>
    </w:p>
    <w:p w14:paraId="58948005">
      <w:pPr>
        <w:spacing w:line="340" w:lineRule="exact"/>
        <w:rPr>
          <w:rFonts w:hAnsi="宋体"/>
          <w:bCs/>
          <w:color w:val="auto"/>
          <w:szCs w:val="21"/>
          <w:highlight w:val="none"/>
        </w:rPr>
      </w:pPr>
    </w:p>
    <w:p w14:paraId="26500A1B">
      <w:pPr>
        <w:pStyle w:val="15"/>
        <w:spacing w:before="75" w:beforeAutospacing="0" w:after="75" w:afterAutospacing="0" w:line="435" w:lineRule="atLeast"/>
        <w:ind w:firstLine="3480"/>
        <w:rPr>
          <w:rFonts w:ascii="sans-serif" w:hAnsi="sans-serif" w:eastAsia="sans-serif" w:cs="sans-serif"/>
          <w:color w:val="auto"/>
          <w:highlight w:val="none"/>
        </w:rPr>
      </w:pPr>
    </w:p>
    <w:p w14:paraId="73F781F9">
      <w:pPr>
        <w:spacing w:line="340" w:lineRule="exact"/>
        <w:rPr>
          <w:rFonts w:hAnsi="宋体"/>
          <w:bCs/>
          <w:color w:val="auto"/>
          <w:szCs w:val="21"/>
          <w:highlight w:val="none"/>
        </w:rPr>
      </w:pPr>
    </w:p>
    <w:p w14:paraId="2610E760">
      <w:pPr>
        <w:spacing w:line="340" w:lineRule="exact"/>
        <w:jc w:val="center"/>
        <w:rPr>
          <w:rFonts w:ascii="黑体" w:hAnsi="宋体" w:eastAsia="黑体"/>
          <w:b/>
          <w:bCs/>
          <w:color w:val="auto"/>
          <w:sz w:val="32"/>
          <w:highlight w:val="none"/>
        </w:rPr>
      </w:pPr>
    </w:p>
    <w:p w14:paraId="25978453">
      <w:pPr>
        <w:spacing w:line="340" w:lineRule="exact"/>
        <w:jc w:val="center"/>
        <w:rPr>
          <w:rFonts w:ascii="黑体" w:hAnsi="宋体" w:eastAsia="黑体"/>
          <w:b/>
          <w:bCs/>
          <w:color w:val="auto"/>
          <w:sz w:val="32"/>
          <w:highlight w:val="none"/>
        </w:rPr>
      </w:pPr>
    </w:p>
    <w:p w14:paraId="7DAD84EB">
      <w:pPr>
        <w:pStyle w:val="14"/>
        <w:spacing w:line="360" w:lineRule="auto"/>
        <w:rPr>
          <w:rFonts w:hAnsi="宋体" w:eastAsia="宋体" w:cs="宋体"/>
          <w:b/>
          <w:color w:val="auto"/>
          <w:sz w:val="24"/>
          <w:szCs w:val="24"/>
          <w:highlight w:val="none"/>
        </w:rPr>
      </w:pPr>
      <w:r>
        <w:rPr>
          <w:rFonts w:hint="eastAsia" w:hAnsi="宋体" w:eastAsia="宋体" w:cs="宋体"/>
          <w:b/>
          <w:color w:val="auto"/>
          <w:szCs w:val="24"/>
          <w:highlight w:val="none"/>
        </w:rPr>
        <w:br w:type="page" w:clear="all"/>
      </w:r>
      <w:r>
        <w:rPr>
          <w:rFonts w:hint="eastAsia" w:hAnsi="宋体" w:eastAsia="宋体" w:cs="宋体"/>
          <w:b/>
          <w:color w:val="auto"/>
          <w:sz w:val="24"/>
          <w:szCs w:val="24"/>
          <w:highlight w:val="none"/>
          <w:lang w:val="en-US" w:eastAsia="zh-CN"/>
        </w:rPr>
        <w:t>8</w:t>
      </w:r>
      <w:r>
        <w:rPr>
          <w:rFonts w:hint="eastAsia" w:hAnsi="宋体" w:eastAsia="宋体" w:cs="宋体"/>
          <w:b/>
          <w:color w:val="auto"/>
          <w:sz w:val="24"/>
          <w:szCs w:val="24"/>
          <w:highlight w:val="none"/>
        </w:rPr>
        <w:t>、项目组人员一览表</w:t>
      </w:r>
    </w:p>
    <w:p w14:paraId="5E204A87">
      <w:pPr>
        <w:pStyle w:val="14"/>
        <w:spacing w:line="360" w:lineRule="auto"/>
        <w:jc w:val="center"/>
        <w:rPr>
          <w:rFonts w:hAnsi="宋体" w:eastAsia="宋体" w:cs="宋体"/>
          <w:color w:val="auto"/>
          <w:sz w:val="24"/>
          <w:szCs w:val="24"/>
          <w:highlight w:val="none"/>
        </w:rPr>
      </w:pPr>
      <w:r>
        <w:rPr>
          <w:rFonts w:hint="eastAsia" w:hAnsi="宋体" w:eastAsia="宋体" w:cs="宋体"/>
          <w:b/>
          <w:color w:val="auto"/>
          <w:sz w:val="24"/>
          <w:szCs w:val="24"/>
          <w:highlight w:val="none"/>
        </w:rPr>
        <w:t>项目组人员一览表</w:t>
      </w:r>
    </w:p>
    <w:tbl>
      <w:tblPr>
        <w:tblStyle w:val="6"/>
        <w:tblW w:w="0" w:type="auto"/>
        <w:tblInd w:w="-108"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610"/>
        <w:gridCol w:w="1173"/>
        <w:gridCol w:w="1053"/>
        <w:gridCol w:w="750"/>
        <w:gridCol w:w="796"/>
        <w:gridCol w:w="753"/>
        <w:gridCol w:w="1381"/>
        <w:gridCol w:w="1243"/>
        <w:gridCol w:w="1490"/>
      </w:tblGrid>
      <w:tr w14:paraId="2D99912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51" w:hRule="atLeast"/>
        </w:trPr>
        <w:tc>
          <w:tcPr>
            <w:tcW w:w="610" w:type="dxa"/>
            <w:tcBorders>
              <w:bottom w:val="single" w:color="000000" w:sz="4" w:space="0"/>
              <w:right w:val="single" w:color="000000" w:sz="4" w:space="0"/>
            </w:tcBorders>
            <w:noWrap w:val="0"/>
            <w:vAlign w:val="center"/>
          </w:tcPr>
          <w:p w14:paraId="2473AEB8">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173" w:type="dxa"/>
            <w:tcBorders>
              <w:left w:val="single" w:color="000000" w:sz="4" w:space="0"/>
              <w:bottom w:val="single" w:color="000000" w:sz="4" w:space="0"/>
              <w:right w:val="single" w:color="000000" w:sz="4" w:space="0"/>
            </w:tcBorders>
            <w:noWrap w:val="0"/>
            <w:vAlign w:val="center"/>
          </w:tcPr>
          <w:p w14:paraId="0B02AFDA">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项目组所任职务</w:t>
            </w:r>
          </w:p>
        </w:tc>
        <w:tc>
          <w:tcPr>
            <w:tcW w:w="1053" w:type="dxa"/>
            <w:tcBorders>
              <w:left w:val="single" w:color="000000" w:sz="4" w:space="0"/>
              <w:bottom w:val="single" w:color="000000" w:sz="4" w:space="0"/>
              <w:right w:val="single" w:color="000000" w:sz="4" w:space="0"/>
            </w:tcBorders>
            <w:noWrap w:val="0"/>
            <w:vAlign w:val="center"/>
          </w:tcPr>
          <w:p w14:paraId="7F7E11E1">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50" w:type="dxa"/>
            <w:tcBorders>
              <w:left w:val="single" w:color="000000" w:sz="4" w:space="0"/>
              <w:bottom w:val="single" w:color="000000" w:sz="4" w:space="0"/>
              <w:right w:val="single" w:color="000000" w:sz="4" w:space="0"/>
            </w:tcBorders>
            <w:noWrap w:val="0"/>
            <w:vAlign w:val="center"/>
          </w:tcPr>
          <w:p w14:paraId="23AD68CC">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796" w:type="dxa"/>
            <w:tcBorders>
              <w:left w:val="single" w:color="000000" w:sz="4" w:space="0"/>
              <w:bottom w:val="single" w:color="000000" w:sz="4" w:space="0"/>
              <w:right w:val="single" w:color="000000" w:sz="4" w:space="0"/>
            </w:tcBorders>
            <w:noWrap w:val="0"/>
            <w:vAlign w:val="center"/>
          </w:tcPr>
          <w:p w14:paraId="4A0AD86D">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753" w:type="dxa"/>
            <w:tcBorders>
              <w:left w:val="single" w:color="000000" w:sz="4" w:space="0"/>
              <w:bottom w:val="single" w:color="000000" w:sz="4" w:space="0"/>
              <w:right w:val="single" w:color="000000" w:sz="4" w:space="0"/>
            </w:tcBorders>
            <w:noWrap w:val="0"/>
            <w:vAlign w:val="center"/>
          </w:tcPr>
          <w:p w14:paraId="3480AC84">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381" w:type="dxa"/>
            <w:tcBorders>
              <w:left w:val="single" w:color="000000" w:sz="4" w:space="0"/>
              <w:bottom w:val="single" w:color="000000" w:sz="4" w:space="0"/>
              <w:right w:val="single" w:color="000000" w:sz="4" w:space="0"/>
            </w:tcBorders>
            <w:noWrap w:val="0"/>
            <w:vAlign w:val="center"/>
          </w:tcPr>
          <w:p w14:paraId="67D562B5">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专业/资格</w:t>
            </w:r>
          </w:p>
        </w:tc>
        <w:tc>
          <w:tcPr>
            <w:tcW w:w="1243" w:type="dxa"/>
            <w:tcBorders>
              <w:left w:val="single" w:color="000000" w:sz="4" w:space="0"/>
              <w:bottom w:val="single" w:color="000000" w:sz="4" w:space="0"/>
              <w:right w:val="single" w:color="000000" w:sz="4" w:space="0"/>
            </w:tcBorders>
            <w:noWrap w:val="0"/>
            <w:vAlign w:val="center"/>
          </w:tcPr>
          <w:p w14:paraId="71584AB8">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从事本工作时间</w:t>
            </w:r>
          </w:p>
        </w:tc>
        <w:tc>
          <w:tcPr>
            <w:tcW w:w="1490" w:type="dxa"/>
            <w:tcBorders>
              <w:left w:val="single" w:color="000000" w:sz="4" w:space="0"/>
              <w:bottom w:val="single" w:color="000000" w:sz="4" w:space="0"/>
            </w:tcBorders>
            <w:noWrap w:val="0"/>
            <w:vAlign w:val="center"/>
          </w:tcPr>
          <w:p w14:paraId="6AC6C0B6">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典型业务</w:t>
            </w:r>
          </w:p>
          <w:p w14:paraId="62C50CAB">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与技术专长</w:t>
            </w:r>
          </w:p>
        </w:tc>
      </w:tr>
      <w:tr w14:paraId="061A66F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0693215C">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6F14060">
            <w:pPr>
              <w:pStyle w:val="21"/>
              <w:spacing w:line="360" w:lineRule="auto"/>
              <w:jc w:val="center"/>
              <w:rPr>
                <w:rFonts w:ascii="宋体"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B5B6CF1">
            <w:pPr>
              <w:pStyle w:val="21"/>
              <w:spacing w:line="360" w:lineRule="auto"/>
              <w:jc w:val="center"/>
              <w:rPr>
                <w:rFonts w:ascii="宋体"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A0C4E2">
            <w:pPr>
              <w:pStyle w:val="21"/>
              <w:spacing w:line="360" w:lineRule="auto"/>
              <w:jc w:val="center"/>
              <w:rPr>
                <w:rFonts w:ascii="宋体"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3F4116F6">
            <w:pPr>
              <w:pStyle w:val="21"/>
              <w:spacing w:line="360" w:lineRule="auto"/>
              <w:jc w:val="center"/>
              <w:rPr>
                <w:rFonts w:ascii="宋体"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A278259">
            <w:pPr>
              <w:pStyle w:val="21"/>
              <w:spacing w:line="360" w:lineRule="auto"/>
              <w:jc w:val="center"/>
              <w:rPr>
                <w:rFonts w:ascii="宋体"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7FCF3C32">
            <w:pPr>
              <w:pStyle w:val="21"/>
              <w:spacing w:line="360" w:lineRule="auto"/>
              <w:jc w:val="center"/>
              <w:rPr>
                <w:rFonts w:ascii="宋体"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316FF99A">
            <w:pPr>
              <w:pStyle w:val="21"/>
              <w:spacing w:line="360" w:lineRule="auto"/>
              <w:jc w:val="center"/>
              <w:rPr>
                <w:rFonts w:ascii="宋体"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18A3655A">
            <w:pPr>
              <w:pStyle w:val="21"/>
              <w:spacing w:line="360" w:lineRule="auto"/>
              <w:jc w:val="center"/>
              <w:rPr>
                <w:rFonts w:ascii="宋体" w:hAnsi="宋体" w:cs="宋体"/>
                <w:color w:val="auto"/>
                <w:sz w:val="24"/>
                <w:szCs w:val="24"/>
                <w:highlight w:val="none"/>
              </w:rPr>
            </w:pPr>
          </w:p>
        </w:tc>
      </w:tr>
      <w:tr w14:paraId="5FC3188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100D705C">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24972E8">
            <w:pPr>
              <w:pStyle w:val="21"/>
              <w:spacing w:line="360" w:lineRule="auto"/>
              <w:jc w:val="center"/>
              <w:rPr>
                <w:rFonts w:ascii="宋体"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362AEA52">
            <w:pPr>
              <w:pStyle w:val="21"/>
              <w:spacing w:line="360" w:lineRule="auto"/>
              <w:jc w:val="center"/>
              <w:rPr>
                <w:rFonts w:ascii="宋体"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678C35">
            <w:pPr>
              <w:pStyle w:val="21"/>
              <w:spacing w:line="360" w:lineRule="auto"/>
              <w:jc w:val="center"/>
              <w:rPr>
                <w:rFonts w:ascii="宋体"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2D9423EA">
            <w:pPr>
              <w:pStyle w:val="21"/>
              <w:spacing w:line="360" w:lineRule="auto"/>
              <w:jc w:val="center"/>
              <w:rPr>
                <w:rFonts w:ascii="宋体"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25B9A88">
            <w:pPr>
              <w:pStyle w:val="21"/>
              <w:spacing w:line="360" w:lineRule="auto"/>
              <w:jc w:val="center"/>
              <w:rPr>
                <w:rFonts w:ascii="宋体"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4FFA840D">
            <w:pPr>
              <w:pStyle w:val="21"/>
              <w:spacing w:line="360" w:lineRule="auto"/>
              <w:jc w:val="center"/>
              <w:rPr>
                <w:rFonts w:ascii="宋体"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051FC9E5">
            <w:pPr>
              <w:pStyle w:val="21"/>
              <w:spacing w:line="360" w:lineRule="auto"/>
              <w:jc w:val="center"/>
              <w:rPr>
                <w:rFonts w:ascii="宋体"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6F010A9B">
            <w:pPr>
              <w:pStyle w:val="21"/>
              <w:spacing w:line="360" w:lineRule="auto"/>
              <w:jc w:val="center"/>
              <w:rPr>
                <w:rFonts w:ascii="宋体" w:hAnsi="宋体" w:cs="宋体"/>
                <w:color w:val="auto"/>
                <w:sz w:val="24"/>
                <w:szCs w:val="24"/>
                <w:highlight w:val="none"/>
              </w:rPr>
            </w:pPr>
          </w:p>
        </w:tc>
      </w:tr>
      <w:tr w14:paraId="6CFD385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7F5516E1">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01EC8643">
            <w:pPr>
              <w:pStyle w:val="21"/>
              <w:spacing w:line="360" w:lineRule="auto"/>
              <w:jc w:val="center"/>
              <w:rPr>
                <w:rFonts w:ascii="宋体"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9814B6F">
            <w:pPr>
              <w:pStyle w:val="21"/>
              <w:spacing w:line="360" w:lineRule="auto"/>
              <w:jc w:val="center"/>
              <w:rPr>
                <w:rFonts w:ascii="宋体"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4FF1EC">
            <w:pPr>
              <w:pStyle w:val="21"/>
              <w:spacing w:line="360" w:lineRule="auto"/>
              <w:jc w:val="center"/>
              <w:rPr>
                <w:rFonts w:ascii="宋体"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0C8520F0">
            <w:pPr>
              <w:pStyle w:val="21"/>
              <w:spacing w:line="360" w:lineRule="auto"/>
              <w:jc w:val="center"/>
              <w:rPr>
                <w:rFonts w:ascii="宋体"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24F1F50">
            <w:pPr>
              <w:pStyle w:val="21"/>
              <w:spacing w:line="360" w:lineRule="auto"/>
              <w:jc w:val="center"/>
              <w:rPr>
                <w:rFonts w:ascii="宋体"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2249C378">
            <w:pPr>
              <w:pStyle w:val="21"/>
              <w:spacing w:line="360" w:lineRule="auto"/>
              <w:jc w:val="center"/>
              <w:rPr>
                <w:rFonts w:ascii="宋体"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5681760D">
            <w:pPr>
              <w:pStyle w:val="21"/>
              <w:spacing w:line="360" w:lineRule="auto"/>
              <w:jc w:val="center"/>
              <w:rPr>
                <w:rFonts w:ascii="宋体"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1341BD2E">
            <w:pPr>
              <w:pStyle w:val="21"/>
              <w:spacing w:line="360" w:lineRule="auto"/>
              <w:jc w:val="center"/>
              <w:rPr>
                <w:rFonts w:ascii="宋体" w:hAnsi="宋体" w:cs="宋体"/>
                <w:color w:val="auto"/>
                <w:sz w:val="24"/>
                <w:szCs w:val="24"/>
                <w:highlight w:val="none"/>
              </w:rPr>
            </w:pPr>
          </w:p>
        </w:tc>
      </w:tr>
      <w:tr w14:paraId="222D677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0F8988AE">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5F53A51">
            <w:pPr>
              <w:pStyle w:val="21"/>
              <w:spacing w:line="360" w:lineRule="auto"/>
              <w:jc w:val="center"/>
              <w:rPr>
                <w:rFonts w:ascii="宋体"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A4CD0A8">
            <w:pPr>
              <w:pStyle w:val="21"/>
              <w:spacing w:line="360" w:lineRule="auto"/>
              <w:jc w:val="center"/>
              <w:rPr>
                <w:rFonts w:ascii="宋体"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CD36AE">
            <w:pPr>
              <w:pStyle w:val="21"/>
              <w:spacing w:line="360" w:lineRule="auto"/>
              <w:jc w:val="center"/>
              <w:rPr>
                <w:rFonts w:ascii="宋体"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5E5A4279">
            <w:pPr>
              <w:pStyle w:val="21"/>
              <w:spacing w:line="360" w:lineRule="auto"/>
              <w:jc w:val="center"/>
              <w:rPr>
                <w:rFonts w:ascii="宋体"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7E16175A">
            <w:pPr>
              <w:pStyle w:val="21"/>
              <w:spacing w:line="360" w:lineRule="auto"/>
              <w:jc w:val="center"/>
              <w:rPr>
                <w:rFonts w:ascii="宋体"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5A5CFD9F">
            <w:pPr>
              <w:pStyle w:val="21"/>
              <w:spacing w:line="360" w:lineRule="auto"/>
              <w:jc w:val="center"/>
              <w:rPr>
                <w:rFonts w:ascii="宋体"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740EB946">
            <w:pPr>
              <w:pStyle w:val="21"/>
              <w:spacing w:line="360" w:lineRule="auto"/>
              <w:jc w:val="center"/>
              <w:rPr>
                <w:rFonts w:ascii="宋体"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526E2F2E">
            <w:pPr>
              <w:pStyle w:val="21"/>
              <w:spacing w:line="360" w:lineRule="auto"/>
              <w:jc w:val="center"/>
              <w:rPr>
                <w:rFonts w:ascii="宋体" w:hAnsi="宋体" w:cs="宋体"/>
                <w:color w:val="auto"/>
                <w:sz w:val="24"/>
                <w:szCs w:val="24"/>
                <w:highlight w:val="none"/>
              </w:rPr>
            </w:pPr>
          </w:p>
        </w:tc>
      </w:tr>
      <w:tr w14:paraId="2B31126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089DE3D7">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5D6D55F2">
            <w:pPr>
              <w:pStyle w:val="21"/>
              <w:spacing w:line="360" w:lineRule="auto"/>
              <w:jc w:val="center"/>
              <w:rPr>
                <w:rFonts w:ascii="宋体"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385097F">
            <w:pPr>
              <w:pStyle w:val="21"/>
              <w:spacing w:line="360" w:lineRule="auto"/>
              <w:jc w:val="center"/>
              <w:rPr>
                <w:rFonts w:ascii="宋体"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743E99">
            <w:pPr>
              <w:pStyle w:val="21"/>
              <w:spacing w:line="360" w:lineRule="auto"/>
              <w:jc w:val="center"/>
              <w:rPr>
                <w:rFonts w:ascii="宋体"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6C4D7518">
            <w:pPr>
              <w:pStyle w:val="21"/>
              <w:spacing w:line="360" w:lineRule="auto"/>
              <w:jc w:val="center"/>
              <w:rPr>
                <w:rFonts w:ascii="宋体"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3CE89E8">
            <w:pPr>
              <w:pStyle w:val="21"/>
              <w:spacing w:line="360" w:lineRule="auto"/>
              <w:jc w:val="center"/>
              <w:rPr>
                <w:rFonts w:ascii="宋体"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610D56EF">
            <w:pPr>
              <w:pStyle w:val="21"/>
              <w:spacing w:line="360" w:lineRule="auto"/>
              <w:jc w:val="center"/>
              <w:rPr>
                <w:rFonts w:ascii="宋体"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6874418B">
            <w:pPr>
              <w:pStyle w:val="21"/>
              <w:spacing w:line="360" w:lineRule="auto"/>
              <w:jc w:val="center"/>
              <w:rPr>
                <w:rFonts w:ascii="宋体"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724D2631">
            <w:pPr>
              <w:pStyle w:val="21"/>
              <w:spacing w:line="360" w:lineRule="auto"/>
              <w:jc w:val="center"/>
              <w:rPr>
                <w:rFonts w:ascii="宋体" w:hAnsi="宋体" w:cs="宋体"/>
                <w:color w:val="auto"/>
                <w:sz w:val="24"/>
                <w:szCs w:val="24"/>
                <w:highlight w:val="none"/>
              </w:rPr>
            </w:pPr>
          </w:p>
        </w:tc>
      </w:tr>
      <w:tr w14:paraId="39C8C54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6709F778">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43FEF88">
            <w:pPr>
              <w:pStyle w:val="21"/>
              <w:spacing w:line="360" w:lineRule="auto"/>
              <w:jc w:val="center"/>
              <w:rPr>
                <w:rFonts w:ascii="宋体"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F1679B6">
            <w:pPr>
              <w:pStyle w:val="21"/>
              <w:spacing w:line="360" w:lineRule="auto"/>
              <w:jc w:val="center"/>
              <w:rPr>
                <w:rFonts w:ascii="宋体"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509B05">
            <w:pPr>
              <w:pStyle w:val="21"/>
              <w:spacing w:line="360" w:lineRule="auto"/>
              <w:jc w:val="center"/>
              <w:rPr>
                <w:rFonts w:ascii="宋体"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51EF6678">
            <w:pPr>
              <w:pStyle w:val="21"/>
              <w:spacing w:line="360" w:lineRule="auto"/>
              <w:jc w:val="center"/>
              <w:rPr>
                <w:rFonts w:ascii="宋体"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50F8340F">
            <w:pPr>
              <w:pStyle w:val="21"/>
              <w:spacing w:line="360" w:lineRule="auto"/>
              <w:jc w:val="center"/>
              <w:rPr>
                <w:rFonts w:ascii="宋体"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516D5D99">
            <w:pPr>
              <w:pStyle w:val="21"/>
              <w:spacing w:line="360" w:lineRule="auto"/>
              <w:jc w:val="center"/>
              <w:rPr>
                <w:rFonts w:ascii="宋体"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4F8D9904">
            <w:pPr>
              <w:pStyle w:val="21"/>
              <w:spacing w:line="360" w:lineRule="auto"/>
              <w:jc w:val="center"/>
              <w:rPr>
                <w:rFonts w:ascii="宋体"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7044F670">
            <w:pPr>
              <w:pStyle w:val="21"/>
              <w:spacing w:line="360" w:lineRule="auto"/>
              <w:jc w:val="center"/>
              <w:rPr>
                <w:rFonts w:ascii="宋体" w:hAnsi="宋体" w:cs="宋体"/>
                <w:color w:val="auto"/>
                <w:sz w:val="24"/>
                <w:szCs w:val="24"/>
                <w:highlight w:val="none"/>
              </w:rPr>
            </w:pPr>
          </w:p>
        </w:tc>
      </w:tr>
      <w:tr w14:paraId="56523CB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4DF38DCE">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0A8136E">
            <w:pPr>
              <w:pStyle w:val="21"/>
              <w:spacing w:line="360" w:lineRule="auto"/>
              <w:jc w:val="center"/>
              <w:rPr>
                <w:rFonts w:ascii="宋体"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C03AEE8">
            <w:pPr>
              <w:pStyle w:val="21"/>
              <w:spacing w:line="360" w:lineRule="auto"/>
              <w:jc w:val="center"/>
              <w:rPr>
                <w:rFonts w:ascii="宋体"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1DF589">
            <w:pPr>
              <w:pStyle w:val="21"/>
              <w:spacing w:line="360" w:lineRule="auto"/>
              <w:jc w:val="center"/>
              <w:rPr>
                <w:rFonts w:ascii="宋体"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2AA9C4AF">
            <w:pPr>
              <w:pStyle w:val="21"/>
              <w:spacing w:line="360" w:lineRule="auto"/>
              <w:jc w:val="center"/>
              <w:rPr>
                <w:rFonts w:ascii="宋体"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58CD3B5">
            <w:pPr>
              <w:pStyle w:val="21"/>
              <w:spacing w:line="360" w:lineRule="auto"/>
              <w:jc w:val="center"/>
              <w:rPr>
                <w:rFonts w:ascii="宋体"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3F28DDE3">
            <w:pPr>
              <w:pStyle w:val="21"/>
              <w:spacing w:line="360" w:lineRule="auto"/>
              <w:jc w:val="center"/>
              <w:rPr>
                <w:rFonts w:ascii="宋体"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53116814">
            <w:pPr>
              <w:pStyle w:val="21"/>
              <w:spacing w:line="360" w:lineRule="auto"/>
              <w:jc w:val="center"/>
              <w:rPr>
                <w:rFonts w:ascii="宋体"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6A18D5D7">
            <w:pPr>
              <w:pStyle w:val="21"/>
              <w:spacing w:line="360" w:lineRule="auto"/>
              <w:jc w:val="center"/>
              <w:rPr>
                <w:rFonts w:ascii="宋体" w:hAnsi="宋体" w:cs="宋体"/>
                <w:color w:val="auto"/>
                <w:sz w:val="24"/>
                <w:szCs w:val="24"/>
                <w:highlight w:val="none"/>
              </w:rPr>
            </w:pPr>
          </w:p>
        </w:tc>
      </w:tr>
      <w:tr w14:paraId="5658F95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1B7C8129">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8F6FD64">
            <w:pPr>
              <w:pStyle w:val="21"/>
              <w:spacing w:line="360" w:lineRule="auto"/>
              <w:jc w:val="center"/>
              <w:rPr>
                <w:rFonts w:ascii="宋体"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2CB5B80A">
            <w:pPr>
              <w:pStyle w:val="21"/>
              <w:spacing w:line="360" w:lineRule="auto"/>
              <w:jc w:val="center"/>
              <w:rPr>
                <w:rFonts w:ascii="宋体"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60C3E8">
            <w:pPr>
              <w:pStyle w:val="21"/>
              <w:spacing w:line="360" w:lineRule="auto"/>
              <w:jc w:val="center"/>
              <w:rPr>
                <w:rFonts w:ascii="宋体"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CAAF842">
            <w:pPr>
              <w:pStyle w:val="21"/>
              <w:spacing w:line="360" w:lineRule="auto"/>
              <w:jc w:val="center"/>
              <w:rPr>
                <w:rFonts w:ascii="宋体"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2D3EDB86">
            <w:pPr>
              <w:pStyle w:val="21"/>
              <w:spacing w:line="360" w:lineRule="auto"/>
              <w:jc w:val="center"/>
              <w:rPr>
                <w:rFonts w:ascii="宋体"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1AB5040A">
            <w:pPr>
              <w:pStyle w:val="21"/>
              <w:spacing w:line="360" w:lineRule="auto"/>
              <w:jc w:val="center"/>
              <w:rPr>
                <w:rFonts w:ascii="宋体"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15D107AC">
            <w:pPr>
              <w:pStyle w:val="21"/>
              <w:spacing w:line="360" w:lineRule="auto"/>
              <w:jc w:val="center"/>
              <w:rPr>
                <w:rFonts w:ascii="宋体"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38710EC0">
            <w:pPr>
              <w:pStyle w:val="21"/>
              <w:spacing w:line="360" w:lineRule="auto"/>
              <w:jc w:val="center"/>
              <w:rPr>
                <w:rFonts w:ascii="宋体" w:hAnsi="宋体" w:cs="宋体"/>
                <w:color w:val="auto"/>
                <w:sz w:val="24"/>
                <w:szCs w:val="24"/>
                <w:highlight w:val="none"/>
              </w:rPr>
            </w:pPr>
          </w:p>
        </w:tc>
      </w:tr>
      <w:tr w14:paraId="58CCE7C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7B496565">
            <w:pPr>
              <w:pStyle w:val="21"/>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15477C3A">
            <w:pPr>
              <w:pStyle w:val="21"/>
              <w:spacing w:line="360" w:lineRule="auto"/>
              <w:jc w:val="center"/>
              <w:rPr>
                <w:rFonts w:ascii="宋体"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C4B8032">
            <w:pPr>
              <w:pStyle w:val="21"/>
              <w:spacing w:line="360" w:lineRule="auto"/>
              <w:jc w:val="center"/>
              <w:rPr>
                <w:rFonts w:ascii="宋体"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8DF67C">
            <w:pPr>
              <w:pStyle w:val="21"/>
              <w:spacing w:line="360" w:lineRule="auto"/>
              <w:jc w:val="center"/>
              <w:rPr>
                <w:rFonts w:ascii="宋体"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449FB0CF">
            <w:pPr>
              <w:pStyle w:val="21"/>
              <w:spacing w:line="360" w:lineRule="auto"/>
              <w:jc w:val="center"/>
              <w:rPr>
                <w:rFonts w:ascii="宋体"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042BD76">
            <w:pPr>
              <w:pStyle w:val="21"/>
              <w:spacing w:line="360" w:lineRule="auto"/>
              <w:jc w:val="center"/>
              <w:rPr>
                <w:rFonts w:ascii="宋体"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4ED76E80">
            <w:pPr>
              <w:pStyle w:val="21"/>
              <w:spacing w:line="360" w:lineRule="auto"/>
              <w:jc w:val="center"/>
              <w:rPr>
                <w:rFonts w:ascii="宋体"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788E8967">
            <w:pPr>
              <w:pStyle w:val="21"/>
              <w:spacing w:line="360" w:lineRule="auto"/>
              <w:jc w:val="center"/>
              <w:rPr>
                <w:rFonts w:ascii="宋体"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4AF4C905">
            <w:pPr>
              <w:pStyle w:val="21"/>
              <w:spacing w:line="360" w:lineRule="auto"/>
              <w:jc w:val="center"/>
              <w:rPr>
                <w:rFonts w:ascii="宋体" w:hAnsi="宋体" w:cs="宋体"/>
                <w:color w:val="auto"/>
                <w:sz w:val="24"/>
                <w:szCs w:val="24"/>
                <w:highlight w:val="none"/>
              </w:rPr>
            </w:pPr>
          </w:p>
        </w:tc>
      </w:tr>
      <w:tr w14:paraId="2C61871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5CFF1EB7">
            <w:pPr>
              <w:spacing w:line="360" w:lineRule="auto"/>
              <w:rPr>
                <w:rFonts w:hAnsi="宋体" w:cs="宋体"/>
                <w:color w:val="auto"/>
                <w:sz w:val="24"/>
                <w:szCs w:val="24"/>
                <w:highlight w:val="none"/>
              </w:rPr>
            </w:pPr>
            <w:r>
              <w:rPr>
                <w:rFonts w:hint="eastAsia" w:hAnsi="宋体" w:cs="宋体"/>
                <w:color w:val="auto"/>
                <w:sz w:val="24"/>
                <w:szCs w:val="24"/>
                <w:highlight w:val="none"/>
              </w:rPr>
              <w:t>10</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F9AAA30">
            <w:pPr>
              <w:spacing w:line="360" w:lineRule="auto"/>
              <w:rPr>
                <w:rFonts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496E512">
            <w:pPr>
              <w:spacing w:line="360" w:lineRule="auto"/>
              <w:rPr>
                <w:rFonts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794822">
            <w:pPr>
              <w:spacing w:line="360" w:lineRule="auto"/>
              <w:rPr>
                <w:rFonts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2073BA4C">
            <w:pPr>
              <w:spacing w:line="360" w:lineRule="auto"/>
              <w:rPr>
                <w:rFonts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C465F59">
            <w:pPr>
              <w:spacing w:line="360" w:lineRule="auto"/>
              <w:rPr>
                <w:rFonts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2AA100DE">
            <w:pPr>
              <w:spacing w:line="360" w:lineRule="auto"/>
              <w:rPr>
                <w:rFonts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330AD101">
            <w:pPr>
              <w:spacing w:line="360" w:lineRule="auto"/>
              <w:rPr>
                <w:rFonts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215FFAD5">
            <w:pPr>
              <w:spacing w:line="360" w:lineRule="auto"/>
              <w:rPr>
                <w:rFonts w:hAnsi="宋体" w:cs="宋体"/>
                <w:color w:val="auto"/>
                <w:sz w:val="24"/>
                <w:szCs w:val="24"/>
                <w:highlight w:val="none"/>
              </w:rPr>
            </w:pPr>
          </w:p>
        </w:tc>
      </w:tr>
      <w:tr w14:paraId="1784EB3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1603B193">
            <w:pPr>
              <w:spacing w:line="360" w:lineRule="auto"/>
              <w:rPr>
                <w:rFonts w:hAnsi="宋体" w:cs="宋体"/>
                <w:color w:val="auto"/>
                <w:sz w:val="24"/>
                <w:szCs w:val="24"/>
                <w:highlight w:val="none"/>
              </w:rPr>
            </w:pPr>
            <w:r>
              <w:rPr>
                <w:rFonts w:hint="eastAsia" w:hAnsi="宋体" w:cs="宋体"/>
                <w:color w:val="auto"/>
                <w:sz w:val="24"/>
                <w:szCs w:val="24"/>
                <w:highlight w:val="none"/>
              </w:rPr>
              <w:t>11</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47E899C3">
            <w:pPr>
              <w:spacing w:line="360" w:lineRule="auto"/>
              <w:rPr>
                <w:rFonts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3A0F384">
            <w:pPr>
              <w:spacing w:line="360" w:lineRule="auto"/>
              <w:rPr>
                <w:rFonts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D9F82E">
            <w:pPr>
              <w:spacing w:line="360" w:lineRule="auto"/>
              <w:rPr>
                <w:rFonts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5915FB7B">
            <w:pPr>
              <w:spacing w:line="360" w:lineRule="auto"/>
              <w:rPr>
                <w:rFonts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4FA01892">
            <w:pPr>
              <w:spacing w:line="360" w:lineRule="auto"/>
              <w:rPr>
                <w:rFonts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511713C7">
            <w:pPr>
              <w:spacing w:line="360" w:lineRule="auto"/>
              <w:rPr>
                <w:rFonts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13E48207">
            <w:pPr>
              <w:spacing w:line="360" w:lineRule="auto"/>
              <w:rPr>
                <w:rFonts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508C2850">
            <w:pPr>
              <w:spacing w:line="360" w:lineRule="auto"/>
              <w:rPr>
                <w:rFonts w:hAnsi="宋体" w:cs="宋体"/>
                <w:color w:val="auto"/>
                <w:sz w:val="24"/>
                <w:szCs w:val="24"/>
                <w:highlight w:val="none"/>
              </w:rPr>
            </w:pPr>
          </w:p>
        </w:tc>
      </w:tr>
      <w:tr w14:paraId="2CFCC2B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79EBEAD9">
            <w:pPr>
              <w:spacing w:line="360" w:lineRule="auto"/>
              <w:rPr>
                <w:rFonts w:hAnsi="宋体" w:cs="宋体"/>
                <w:color w:val="auto"/>
                <w:sz w:val="24"/>
                <w:szCs w:val="24"/>
                <w:highlight w:val="none"/>
              </w:rPr>
            </w:pPr>
            <w:r>
              <w:rPr>
                <w:rFonts w:hint="eastAsia" w:hAnsi="宋体" w:cs="宋体"/>
                <w:color w:val="auto"/>
                <w:sz w:val="24"/>
                <w:szCs w:val="24"/>
                <w:highlight w:val="none"/>
              </w:rPr>
              <w:t>12</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6C24C07B">
            <w:pPr>
              <w:spacing w:line="360" w:lineRule="auto"/>
              <w:rPr>
                <w:rFonts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AD1FC5D">
            <w:pPr>
              <w:spacing w:line="360" w:lineRule="auto"/>
              <w:rPr>
                <w:rFonts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69AAF4">
            <w:pPr>
              <w:spacing w:line="360" w:lineRule="auto"/>
              <w:rPr>
                <w:rFonts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71CEC0FC">
            <w:pPr>
              <w:spacing w:line="360" w:lineRule="auto"/>
              <w:rPr>
                <w:rFonts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6EBEA624">
            <w:pPr>
              <w:spacing w:line="360" w:lineRule="auto"/>
              <w:rPr>
                <w:rFonts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43E40D38">
            <w:pPr>
              <w:spacing w:line="360" w:lineRule="auto"/>
              <w:rPr>
                <w:rFonts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3BF3D001">
            <w:pPr>
              <w:spacing w:line="360" w:lineRule="auto"/>
              <w:rPr>
                <w:rFonts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0EFA78D8">
            <w:pPr>
              <w:spacing w:line="360" w:lineRule="auto"/>
              <w:rPr>
                <w:rFonts w:hAnsi="宋体" w:cs="宋体"/>
                <w:color w:val="auto"/>
                <w:sz w:val="24"/>
                <w:szCs w:val="24"/>
                <w:highlight w:val="none"/>
              </w:rPr>
            </w:pPr>
          </w:p>
        </w:tc>
      </w:tr>
      <w:tr w14:paraId="54CDFE1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5D379880">
            <w:pPr>
              <w:spacing w:line="360" w:lineRule="auto"/>
              <w:rPr>
                <w:rFonts w:hAnsi="宋体" w:cs="宋体"/>
                <w:color w:val="auto"/>
                <w:sz w:val="24"/>
                <w:szCs w:val="24"/>
                <w:highlight w:val="none"/>
              </w:rPr>
            </w:pPr>
            <w:r>
              <w:rPr>
                <w:rFonts w:hint="eastAsia" w:hAnsi="宋体" w:cs="宋体"/>
                <w:color w:val="auto"/>
                <w:sz w:val="24"/>
                <w:szCs w:val="24"/>
                <w:highlight w:val="none"/>
              </w:rPr>
              <w:t>13</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799D2704">
            <w:pPr>
              <w:spacing w:line="360" w:lineRule="auto"/>
              <w:rPr>
                <w:rFonts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5162178">
            <w:pPr>
              <w:spacing w:line="360" w:lineRule="auto"/>
              <w:rPr>
                <w:rFonts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B59D82">
            <w:pPr>
              <w:spacing w:line="360" w:lineRule="auto"/>
              <w:rPr>
                <w:rFonts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6B5747DD">
            <w:pPr>
              <w:spacing w:line="360" w:lineRule="auto"/>
              <w:rPr>
                <w:rFonts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1CA8211C">
            <w:pPr>
              <w:spacing w:line="360" w:lineRule="auto"/>
              <w:rPr>
                <w:rFonts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23A066F3">
            <w:pPr>
              <w:spacing w:line="360" w:lineRule="auto"/>
              <w:rPr>
                <w:rFonts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6868A431">
            <w:pPr>
              <w:spacing w:line="360" w:lineRule="auto"/>
              <w:rPr>
                <w:rFonts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431424A8">
            <w:pPr>
              <w:spacing w:line="360" w:lineRule="auto"/>
              <w:rPr>
                <w:rFonts w:hAnsi="宋体" w:cs="宋体"/>
                <w:color w:val="auto"/>
                <w:sz w:val="24"/>
                <w:szCs w:val="24"/>
                <w:highlight w:val="none"/>
              </w:rPr>
            </w:pPr>
          </w:p>
        </w:tc>
      </w:tr>
      <w:tr w14:paraId="36950E4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bottom w:val="single" w:color="000000" w:sz="4" w:space="0"/>
              <w:right w:val="single" w:color="000000" w:sz="4" w:space="0"/>
            </w:tcBorders>
            <w:noWrap w:val="0"/>
            <w:vAlign w:val="center"/>
          </w:tcPr>
          <w:p w14:paraId="57FCDCEC">
            <w:pPr>
              <w:spacing w:line="360" w:lineRule="auto"/>
              <w:rPr>
                <w:rFonts w:hAnsi="宋体" w:cs="宋体"/>
                <w:color w:val="auto"/>
                <w:sz w:val="24"/>
                <w:szCs w:val="24"/>
                <w:highlight w:val="none"/>
              </w:rPr>
            </w:pPr>
            <w:r>
              <w:rPr>
                <w:rFonts w:hint="eastAsia" w:hAnsi="宋体" w:cs="宋体"/>
                <w:color w:val="auto"/>
                <w:sz w:val="24"/>
                <w:szCs w:val="24"/>
                <w:highlight w:val="none"/>
              </w:rPr>
              <w:t>14</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564AF82">
            <w:pPr>
              <w:spacing w:line="360" w:lineRule="auto"/>
              <w:rPr>
                <w:rFonts w:hAnsi="宋体" w:cs="宋体"/>
                <w:color w:val="auto"/>
                <w:sz w:val="24"/>
                <w:szCs w:val="24"/>
                <w:highlight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C8AF56F">
            <w:pPr>
              <w:spacing w:line="360" w:lineRule="auto"/>
              <w:rPr>
                <w:rFonts w:hAnsi="宋体" w:cs="宋体"/>
                <w:color w:val="auto"/>
                <w:sz w:val="24"/>
                <w:szCs w:val="24"/>
                <w:highlight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F4D3BA0">
            <w:pPr>
              <w:spacing w:line="360" w:lineRule="auto"/>
              <w:rPr>
                <w:rFonts w:hAnsi="宋体" w:cs="宋体"/>
                <w:color w:val="auto"/>
                <w:sz w:val="24"/>
                <w:szCs w:val="24"/>
                <w:highlight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14:paraId="1CE3655F">
            <w:pPr>
              <w:spacing w:line="360" w:lineRule="auto"/>
              <w:rPr>
                <w:rFonts w:hAnsi="宋体" w:cs="宋体"/>
                <w:color w:val="auto"/>
                <w:sz w:val="24"/>
                <w:szCs w:val="24"/>
                <w:highlight w:val="none"/>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0F13CBAB">
            <w:pPr>
              <w:spacing w:line="360" w:lineRule="auto"/>
              <w:rPr>
                <w:rFonts w:hAnsi="宋体" w:cs="宋体"/>
                <w:color w:val="auto"/>
                <w:sz w:val="24"/>
                <w:szCs w:val="24"/>
                <w:highlight w:val="none"/>
              </w:rPr>
            </w:pP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73AC9D15">
            <w:pPr>
              <w:spacing w:line="360" w:lineRule="auto"/>
              <w:rPr>
                <w:rFonts w:hAnsi="宋体" w:cs="宋体"/>
                <w:color w:val="auto"/>
                <w:sz w:val="24"/>
                <w:szCs w:val="24"/>
                <w:highlight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14:paraId="2E93F617">
            <w:pPr>
              <w:spacing w:line="360" w:lineRule="auto"/>
              <w:rPr>
                <w:rFonts w:hAnsi="宋体" w:cs="宋体"/>
                <w:color w:val="auto"/>
                <w:sz w:val="24"/>
                <w:szCs w:val="24"/>
                <w:highlight w:val="none"/>
              </w:rPr>
            </w:pPr>
          </w:p>
        </w:tc>
        <w:tc>
          <w:tcPr>
            <w:tcW w:w="1490" w:type="dxa"/>
            <w:tcBorders>
              <w:top w:val="single" w:color="000000" w:sz="4" w:space="0"/>
              <w:left w:val="single" w:color="000000" w:sz="4" w:space="0"/>
              <w:bottom w:val="single" w:color="000000" w:sz="4" w:space="0"/>
            </w:tcBorders>
            <w:noWrap w:val="0"/>
            <w:vAlign w:val="center"/>
          </w:tcPr>
          <w:p w14:paraId="1073D87D">
            <w:pPr>
              <w:spacing w:line="360" w:lineRule="auto"/>
              <w:rPr>
                <w:rFonts w:hAnsi="宋体" w:cs="宋体"/>
                <w:color w:val="auto"/>
                <w:sz w:val="24"/>
                <w:szCs w:val="24"/>
                <w:highlight w:val="none"/>
              </w:rPr>
            </w:pPr>
          </w:p>
        </w:tc>
      </w:tr>
      <w:tr w14:paraId="7B410A1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567" w:hRule="atLeast"/>
        </w:trPr>
        <w:tc>
          <w:tcPr>
            <w:tcW w:w="610" w:type="dxa"/>
            <w:tcBorders>
              <w:top w:val="single" w:color="000000" w:sz="4" w:space="0"/>
              <w:right w:val="single" w:color="000000" w:sz="4" w:space="0"/>
            </w:tcBorders>
            <w:noWrap w:val="0"/>
            <w:vAlign w:val="center"/>
          </w:tcPr>
          <w:p w14:paraId="7558C303">
            <w:pPr>
              <w:spacing w:line="360" w:lineRule="auto"/>
              <w:rPr>
                <w:rFonts w:hAnsi="宋体" w:cs="宋体"/>
                <w:color w:val="auto"/>
                <w:sz w:val="24"/>
                <w:szCs w:val="24"/>
                <w:highlight w:val="none"/>
              </w:rPr>
            </w:pPr>
            <w:r>
              <w:rPr>
                <w:rFonts w:hint="eastAsia" w:hAnsi="宋体" w:cs="宋体"/>
                <w:color w:val="auto"/>
                <w:sz w:val="24"/>
                <w:szCs w:val="24"/>
                <w:highlight w:val="none"/>
              </w:rPr>
              <w:t>…</w:t>
            </w:r>
          </w:p>
        </w:tc>
        <w:tc>
          <w:tcPr>
            <w:tcW w:w="1173" w:type="dxa"/>
            <w:tcBorders>
              <w:top w:val="single" w:color="000000" w:sz="4" w:space="0"/>
              <w:left w:val="single" w:color="000000" w:sz="4" w:space="0"/>
              <w:right w:val="single" w:color="000000" w:sz="4" w:space="0"/>
            </w:tcBorders>
            <w:noWrap w:val="0"/>
            <w:vAlign w:val="center"/>
          </w:tcPr>
          <w:p w14:paraId="05D3B792">
            <w:pPr>
              <w:spacing w:line="360" w:lineRule="auto"/>
              <w:rPr>
                <w:rFonts w:hAnsi="宋体" w:cs="宋体"/>
                <w:color w:val="auto"/>
                <w:sz w:val="24"/>
                <w:szCs w:val="24"/>
                <w:highlight w:val="none"/>
              </w:rPr>
            </w:pPr>
          </w:p>
        </w:tc>
        <w:tc>
          <w:tcPr>
            <w:tcW w:w="1053" w:type="dxa"/>
            <w:tcBorders>
              <w:top w:val="single" w:color="000000" w:sz="4" w:space="0"/>
              <w:left w:val="single" w:color="000000" w:sz="4" w:space="0"/>
              <w:right w:val="single" w:color="000000" w:sz="4" w:space="0"/>
            </w:tcBorders>
            <w:noWrap w:val="0"/>
            <w:vAlign w:val="center"/>
          </w:tcPr>
          <w:p w14:paraId="36BA3725">
            <w:pPr>
              <w:spacing w:line="360" w:lineRule="auto"/>
              <w:rPr>
                <w:rFonts w:hAnsi="宋体" w:cs="宋体"/>
                <w:color w:val="auto"/>
                <w:sz w:val="24"/>
                <w:szCs w:val="24"/>
                <w:highlight w:val="none"/>
              </w:rPr>
            </w:pPr>
          </w:p>
        </w:tc>
        <w:tc>
          <w:tcPr>
            <w:tcW w:w="750" w:type="dxa"/>
            <w:tcBorders>
              <w:top w:val="single" w:color="000000" w:sz="4" w:space="0"/>
              <w:left w:val="single" w:color="000000" w:sz="4" w:space="0"/>
              <w:right w:val="single" w:color="000000" w:sz="4" w:space="0"/>
            </w:tcBorders>
            <w:noWrap w:val="0"/>
            <w:vAlign w:val="center"/>
          </w:tcPr>
          <w:p w14:paraId="2CAD0744">
            <w:pPr>
              <w:spacing w:line="360" w:lineRule="auto"/>
              <w:rPr>
                <w:rFonts w:hAnsi="宋体" w:cs="宋体"/>
                <w:color w:val="auto"/>
                <w:sz w:val="24"/>
                <w:szCs w:val="24"/>
                <w:highlight w:val="none"/>
              </w:rPr>
            </w:pPr>
          </w:p>
        </w:tc>
        <w:tc>
          <w:tcPr>
            <w:tcW w:w="796" w:type="dxa"/>
            <w:tcBorders>
              <w:top w:val="single" w:color="000000" w:sz="4" w:space="0"/>
              <w:left w:val="single" w:color="000000" w:sz="4" w:space="0"/>
              <w:right w:val="single" w:color="000000" w:sz="4" w:space="0"/>
            </w:tcBorders>
            <w:noWrap w:val="0"/>
            <w:vAlign w:val="center"/>
          </w:tcPr>
          <w:p w14:paraId="60AE8489">
            <w:pPr>
              <w:spacing w:line="360" w:lineRule="auto"/>
              <w:rPr>
                <w:rFonts w:hAnsi="宋体" w:cs="宋体"/>
                <w:color w:val="auto"/>
                <w:sz w:val="24"/>
                <w:szCs w:val="24"/>
                <w:highlight w:val="none"/>
              </w:rPr>
            </w:pPr>
          </w:p>
        </w:tc>
        <w:tc>
          <w:tcPr>
            <w:tcW w:w="753" w:type="dxa"/>
            <w:tcBorders>
              <w:top w:val="single" w:color="000000" w:sz="4" w:space="0"/>
              <w:left w:val="single" w:color="000000" w:sz="4" w:space="0"/>
              <w:right w:val="single" w:color="000000" w:sz="4" w:space="0"/>
            </w:tcBorders>
            <w:noWrap w:val="0"/>
            <w:vAlign w:val="center"/>
          </w:tcPr>
          <w:p w14:paraId="62920743">
            <w:pPr>
              <w:spacing w:line="360" w:lineRule="auto"/>
              <w:rPr>
                <w:rFonts w:hAnsi="宋体" w:cs="宋体"/>
                <w:color w:val="auto"/>
                <w:sz w:val="24"/>
                <w:szCs w:val="24"/>
                <w:highlight w:val="none"/>
              </w:rPr>
            </w:pPr>
          </w:p>
        </w:tc>
        <w:tc>
          <w:tcPr>
            <w:tcW w:w="1381" w:type="dxa"/>
            <w:tcBorders>
              <w:top w:val="single" w:color="000000" w:sz="4" w:space="0"/>
              <w:left w:val="single" w:color="000000" w:sz="4" w:space="0"/>
              <w:right w:val="single" w:color="000000" w:sz="4" w:space="0"/>
            </w:tcBorders>
            <w:noWrap w:val="0"/>
            <w:vAlign w:val="center"/>
          </w:tcPr>
          <w:p w14:paraId="639443AF">
            <w:pPr>
              <w:spacing w:line="360" w:lineRule="auto"/>
              <w:rPr>
                <w:rFonts w:hAnsi="宋体" w:cs="宋体"/>
                <w:color w:val="auto"/>
                <w:sz w:val="24"/>
                <w:szCs w:val="24"/>
                <w:highlight w:val="none"/>
              </w:rPr>
            </w:pPr>
          </w:p>
        </w:tc>
        <w:tc>
          <w:tcPr>
            <w:tcW w:w="1243" w:type="dxa"/>
            <w:tcBorders>
              <w:top w:val="single" w:color="000000" w:sz="4" w:space="0"/>
              <w:left w:val="single" w:color="000000" w:sz="4" w:space="0"/>
              <w:right w:val="single" w:color="000000" w:sz="4" w:space="0"/>
            </w:tcBorders>
            <w:noWrap w:val="0"/>
            <w:vAlign w:val="center"/>
          </w:tcPr>
          <w:p w14:paraId="1293E9E6">
            <w:pPr>
              <w:spacing w:line="360" w:lineRule="auto"/>
              <w:rPr>
                <w:rFonts w:hAnsi="宋体" w:cs="宋体"/>
                <w:color w:val="auto"/>
                <w:sz w:val="24"/>
                <w:szCs w:val="24"/>
                <w:highlight w:val="none"/>
              </w:rPr>
            </w:pPr>
          </w:p>
        </w:tc>
        <w:tc>
          <w:tcPr>
            <w:tcW w:w="1490" w:type="dxa"/>
            <w:tcBorders>
              <w:top w:val="single" w:color="000000" w:sz="4" w:space="0"/>
              <w:left w:val="single" w:color="000000" w:sz="4" w:space="0"/>
            </w:tcBorders>
            <w:noWrap w:val="0"/>
            <w:vAlign w:val="center"/>
          </w:tcPr>
          <w:p w14:paraId="168F850B">
            <w:pPr>
              <w:spacing w:line="360" w:lineRule="auto"/>
              <w:rPr>
                <w:rFonts w:hAnsi="宋体" w:cs="宋体"/>
                <w:color w:val="auto"/>
                <w:sz w:val="24"/>
                <w:szCs w:val="24"/>
                <w:highlight w:val="none"/>
              </w:rPr>
            </w:pPr>
          </w:p>
        </w:tc>
      </w:tr>
    </w:tbl>
    <w:p w14:paraId="4E325A5C">
      <w:pPr>
        <w:spacing w:line="360" w:lineRule="auto"/>
        <w:ind w:firstLine="480"/>
        <w:rPr>
          <w:rFonts w:hAnsi="宋体" w:cs="宋体"/>
          <w:color w:val="auto"/>
          <w:sz w:val="24"/>
          <w:szCs w:val="24"/>
          <w:highlight w:val="none"/>
        </w:rPr>
      </w:pPr>
      <w:r>
        <w:rPr>
          <w:rFonts w:hint="eastAsia" w:hAnsi="宋体" w:cs="宋体"/>
          <w:color w:val="auto"/>
          <w:sz w:val="24"/>
          <w:szCs w:val="24"/>
          <w:highlight w:val="none"/>
        </w:rPr>
        <w:t>注：1.附各投标单位专业人员简历及相关证明材料复印件；</w:t>
      </w:r>
    </w:p>
    <w:p w14:paraId="66472C2F">
      <w:pPr>
        <w:pStyle w:val="10"/>
        <w:spacing w:line="360" w:lineRule="auto"/>
        <w:ind w:firstLine="0"/>
        <w:rPr>
          <w:rFonts w:hAnsi="宋体" w:eastAsia="宋体" w:cs="宋体"/>
          <w:color w:val="auto"/>
          <w:szCs w:val="24"/>
          <w:highlight w:val="none"/>
        </w:rPr>
      </w:pPr>
    </w:p>
    <w:p w14:paraId="69FEE141">
      <w:pPr>
        <w:pStyle w:val="18"/>
        <w:spacing w:line="360" w:lineRule="auto"/>
        <w:rPr>
          <w:rFonts w:hAnsi="宋体" w:cs="宋体"/>
          <w:color w:val="auto"/>
          <w:sz w:val="24"/>
          <w:szCs w:val="24"/>
          <w:highlight w:val="none"/>
        </w:rPr>
      </w:pPr>
      <w:r>
        <w:rPr>
          <w:rFonts w:hint="eastAsia" w:hAnsi="宋体" w:cs="宋体"/>
          <w:color w:val="auto"/>
          <w:sz w:val="24"/>
          <w:szCs w:val="24"/>
          <w:highlight w:val="none"/>
        </w:rPr>
        <w:t>投标方：（单位盖章）</w:t>
      </w:r>
    </w:p>
    <w:p w14:paraId="07F8F57F">
      <w:pPr>
        <w:pStyle w:val="18"/>
        <w:spacing w:line="360" w:lineRule="auto"/>
        <w:rPr>
          <w:rFonts w:hAnsi="宋体" w:cs="宋体"/>
          <w:color w:val="auto"/>
          <w:sz w:val="24"/>
          <w:szCs w:val="24"/>
          <w:highlight w:val="none"/>
        </w:rPr>
      </w:pPr>
      <w:r>
        <w:rPr>
          <w:rFonts w:hint="eastAsia" w:hAnsi="宋体" w:cs="宋体"/>
          <w:color w:val="auto"/>
          <w:sz w:val="24"/>
          <w:szCs w:val="24"/>
          <w:highlight w:val="none"/>
        </w:rPr>
        <w:t>法定代表人或代理人：（签字或盖章）</w:t>
      </w:r>
    </w:p>
    <w:p w14:paraId="4AB3D2AD">
      <w:pPr>
        <w:spacing w:line="360" w:lineRule="auto"/>
        <w:rPr>
          <w:rFonts w:hAnsi="宋体" w:cs="宋体"/>
          <w:color w:val="auto"/>
          <w:sz w:val="24"/>
          <w:szCs w:val="24"/>
          <w:highlight w:val="none"/>
        </w:rPr>
      </w:pPr>
      <w:r>
        <w:rPr>
          <w:rFonts w:hint="eastAsia" w:hAnsi="宋体" w:cs="宋体"/>
          <w:color w:val="auto"/>
          <w:sz w:val="24"/>
          <w:szCs w:val="24"/>
          <w:highlight w:val="none"/>
        </w:rPr>
        <w:t>日期：年月日</w:t>
      </w:r>
    </w:p>
    <w:p w14:paraId="706CF20D">
      <w:pPr>
        <w:pStyle w:val="10"/>
        <w:spacing w:line="360" w:lineRule="auto"/>
        <w:ind w:firstLine="0"/>
        <w:rPr>
          <w:rFonts w:hAnsi="宋体" w:eastAsia="宋体" w:cs="宋体"/>
          <w:b/>
          <w:color w:val="auto"/>
          <w:szCs w:val="24"/>
          <w:highlight w:val="none"/>
        </w:rPr>
      </w:pPr>
    </w:p>
    <w:p w14:paraId="0BE3B687">
      <w:pPr>
        <w:spacing w:line="360" w:lineRule="auto"/>
        <w:rPr>
          <w:rFonts w:hAnsi="宋体" w:cs="宋体"/>
          <w:b/>
          <w:color w:val="auto"/>
          <w:sz w:val="24"/>
          <w:szCs w:val="24"/>
          <w:highlight w:val="none"/>
        </w:rPr>
      </w:pPr>
      <w:r>
        <w:rPr>
          <w:rFonts w:hint="eastAsia" w:hAnsi="宋体" w:cs="宋体"/>
          <w:b/>
          <w:color w:val="auto"/>
          <w:sz w:val="24"/>
          <w:szCs w:val="24"/>
          <w:highlight w:val="none"/>
        </w:rPr>
        <w:br w:type="page" w:clear="all"/>
      </w:r>
      <w:r>
        <w:rPr>
          <w:rFonts w:hint="eastAsia" w:hAnsi="宋体" w:cs="宋体"/>
          <w:b/>
          <w:color w:val="auto"/>
          <w:sz w:val="24"/>
          <w:szCs w:val="24"/>
          <w:highlight w:val="none"/>
          <w:lang w:val="en-US" w:eastAsia="zh-CN"/>
        </w:rPr>
        <w:t>9</w:t>
      </w:r>
      <w:r>
        <w:rPr>
          <w:rFonts w:hint="eastAsia" w:hAnsi="宋体" w:cs="宋体"/>
          <w:b/>
          <w:color w:val="auto"/>
          <w:sz w:val="24"/>
          <w:szCs w:val="24"/>
          <w:highlight w:val="none"/>
        </w:rPr>
        <w:t>、企业类似业绩一览表</w:t>
      </w:r>
    </w:p>
    <w:p w14:paraId="0FE1AE11">
      <w:pPr>
        <w:spacing w:line="360" w:lineRule="auto"/>
        <w:jc w:val="center"/>
        <w:rPr>
          <w:rFonts w:hAnsi="宋体" w:cs="宋体"/>
          <w:color w:val="auto"/>
          <w:sz w:val="24"/>
          <w:szCs w:val="24"/>
          <w:highlight w:val="none"/>
        </w:rPr>
      </w:pPr>
    </w:p>
    <w:p w14:paraId="47C3C2F8">
      <w:pPr>
        <w:spacing w:line="360" w:lineRule="auto"/>
        <w:jc w:val="center"/>
        <w:rPr>
          <w:rFonts w:hAnsi="宋体" w:cs="宋体"/>
          <w:color w:val="auto"/>
          <w:sz w:val="24"/>
          <w:szCs w:val="24"/>
          <w:highlight w:val="none"/>
        </w:rPr>
      </w:pPr>
    </w:p>
    <w:p w14:paraId="5132FA9F">
      <w:pPr>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企业类似业绩一览表</w:t>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1679"/>
        <w:gridCol w:w="1506"/>
        <w:gridCol w:w="1757"/>
        <w:gridCol w:w="1699"/>
        <w:gridCol w:w="1923"/>
      </w:tblGrid>
      <w:tr w14:paraId="7E3A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noWrap w:val="0"/>
            <w:vAlign w:val="center"/>
          </w:tcPr>
          <w:p w14:paraId="364655F6">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序号</w:t>
            </w:r>
          </w:p>
        </w:tc>
        <w:tc>
          <w:tcPr>
            <w:tcW w:w="1679" w:type="dxa"/>
            <w:noWrap w:val="0"/>
            <w:vAlign w:val="center"/>
          </w:tcPr>
          <w:p w14:paraId="4FFDB321">
            <w:pPr>
              <w:spacing w:line="360" w:lineRule="auto"/>
              <w:jc w:val="center"/>
              <w:rPr>
                <w:rFonts w:hAnsi="宋体" w:cs="宋体"/>
                <w:color w:val="auto"/>
                <w:sz w:val="24"/>
                <w:szCs w:val="24"/>
                <w:highlight w:val="none"/>
              </w:rPr>
            </w:pPr>
            <w:r>
              <w:rPr>
                <w:rFonts w:hint="eastAsia" w:hAnsi="宋体" w:cs="宋体"/>
                <w:color w:val="auto"/>
                <w:sz w:val="24"/>
                <w:szCs w:val="24"/>
                <w:highlight w:val="none"/>
              </w:rPr>
              <w:t>项目名称</w:t>
            </w:r>
          </w:p>
        </w:tc>
        <w:tc>
          <w:tcPr>
            <w:tcW w:w="1506" w:type="dxa"/>
            <w:noWrap w:val="0"/>
            <w:vAlign w:val="center"/>
          </w:tcPr>
          <w:p w14:paraId="45731C4F">
            <w:pPr>
              <w:tabs>
                <w:tab w:val="left" w:pos="6252"/>
              </w:tabs>
              <w:spacing w:line="360" w:lineRule="auto"/>
              <w:jc w:val="center"/>
              <w:rPr>
                <w:rFonts w:hAnsi="宋体" w:cs="宋体"/>
                <w:color w:val="auto"/>
                <w:sz w:val="24"/>
                <w:szCs w:val="24"/>
                <w:highlight w:val="none"/>
              </w:rPr>
            </w:pPr>
            <w:r>
              <w:rPr>
                <w:rFonts w:hint="eastAsia" w:hAnsi="宋体" w:cs="宋体"/>
                <w:color w:val="auto"/>
                <w:sz w:val="24"/>
                <w:szCs w:val="24"/>
                <w:highlight w:val="none"/>
              </w:rPr>
              <w:t>项目时间</w:t>
            </w:r>
          </w:p>
        </w:tc>
        <w:tc>
          <w:tcPr>
            <w:tcW w:w="1757" w:type="dxa"/>
            <w:noWrap w:val="0"/>
            <w:vAlign w:val="center"/>
          </w:tcPr>
          <w:p w14:paraId="0C17136D">
            <w:pPr>
              <w:tabs>
                <w:tab w:val="left" w:pos="6252"/>
              </w:tabs>
              <w:spacing w:line="360" w:lineRule="auto"/>
              <w:jc w:val="center"/>
              <w:rPr>
                <w:rFonts w:hAnsi="宋体" w:cs="宋体"/>
                <w:color w:val="auto"/>
                <w:sz w:val="24"/>
                <w:szCs w:val="24"/>
                <w:highlight w:val="none"/>
              </w:rPr>
            </w:pPr>
            <w:r>
              <w:rPr>
                <w:rFonts w:hint="eastAsia" w:hAnsi="宋体" w:cs="宋体"/>
                <w:color w:val="auto"/>
                <w:sz w:val="24"/>
                <w:szCs w:val="24"/>
                <w:highlight w:val="none"/>
              </w:rPr>
              <w:t>合同金额</w:t>
            </w:r>
          </w:p>
          <w:p w14:paraId="520B2E73">
            <w:pPr>
              <w:tabs>
                <w:tab w:val="left" w:pos="6252"/>
              </w:tabs>
              <w:spacing w:line="360" w:lineRule="auto"/>
              <w:jc w:val="center"/>
              <w:rPr>
                <w:rFonts w:hAnsi="宋体" w:cs="宋体"/>
                <w:color w:val="auto"/>
                <w:sz w:val="24"/>
                <w:szCs w:val="24"/>
                <w:highlight w:val="none"/>
              </w:rPr>
            </w:pPr>
            <w:r>
              <w:rPr>
                <w:rFonts w:hint="eastAsia" w:hAnsi="宋体" w:cs="宋体"/>
                <w:color w:val="auto"/>
                <w:sz w:val="24"/>
                <w:szCs w:val="24"/>
                <w:highlight w:val="none"/>
              </w:rPr>
              <w:t>（人民币）</w:t>
            </w:r>
          </w:p>
        </w:tc>
        <w:tc>
          <w:tcPr>
            <w:tcW w:w="1699" w:type="dxa"/>
            <w:noWrap w:val="0"/>
            <w:vAlign w:val="center"/>
          </w:tcPr>
          <w:p w14:paraId="52DD42DC">
            <w:pPr>
              <w:tabs>
                <w:tab w:val="left" w:pos="6252"/>
              </w:tabs>
              <w:spacing w:line="360" w:lineRule="auto"/>
              <w:jc w:val="center"/>
              <w:rPr>
                <w:rFonts w:hAnsi="宋体" w:cs="宋体"/>
                <w:color w:val="auto"/>
                <w:sz w:val="24"/>
                <w:szCs w:val="24"/>
                <w:highlight w:val="none"/>
              </w:rPr>
            </w:pPr>
            <w:r>
              <w:rPr>
                <w:rFonts w:hint="eastAsia" w:hAnsi="宋体" w:cs="宋体"/>
                <w:color w:val="auto"/>
                <w:sz w:val="24"/>
                <w:szCs w:val="24"/>
                <w:highlight w:val="none"/>
              </w:rPr>
              <w:t>甲方单位及联系电话</w:t>
            </w:r>
          </w:p>
        </w:tc>
        <w:tc>
          <w:tcPr>
            <w:tcW w:w="1923" w:type="dxa"/>
            <w:noWrap w:val="0"/>
            <w:vAlign w:val="center"/>
          </w:tcPr>
          <w:p w14:paraId="12400FCF">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备注</w:t>
            </w:r>
          </w:p>
        </w:tc>
      </w:tr>
      <w:tr w14:paraId="44AED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noWrap w:val="0"/>
            <w:vAlign w:val="center"/>
          </w:tcPr>
          <w:p w14:paraId="7060A11F">
            <w:pPr>
              <w:spacing w:line="360" w:lineRule="auto"/>
              <w:jc w:val="center"/>
              <w:rPr>
                <w:rFonts w:hAnsi="宋体" w:cs="宋体"/>
                <w:color w:val="auto"/>
                <w:sz w:val="24"/>
                <w:szCs w:val="24"/>
                <w:highlight w:val="none"/>
              </w:rPr>
            </w:pPr>
            <w:r>
              <w:rPr>
                <w:rFonts w:hint="eastAsia" w:hAnsi="宋体" w:cs="宋体"/>
                <w:color w:val="auto"/>
                <w:sz w:val="24"/>
                <w:szCs w:val="24"/>
                <w:highlight w:val="none"/>
              </w:rPr>
              <w:t>1</w:t>
            </w:r>
          </w:p>
        </w:tc>
        <w:tc>
          <w:tcPr>
            <w:tcW w:w="1679" w:type="dxa"/>
            <w:noWrap w:val="0"/>
            <w:vAlign w:val="center"/>
          </w:tcPr>
          <w:p w14:paraId="37D3E4AC">
            <w:pPr>
              <w:spacing w:line="360" w:lineRule="auto"/>
              <w:jc w:val="center"/>
              <w:rPr>
                <w:rFonts w:hAnsi="宋体" w:cs="宋体"/>
                <w:color w:val="auto"/>
                <w:sz w:val="24"/>
                <w:szCs w:val="24"/>
                <w:highlight w:val="none"/>
              </w:rPr>
            </w:pPr>
          </w:p>
        </w:tc>
        <w:tc>
          <w:tcPr>
            <w:tcW w:w="1506" w:type="dxa"/>
            <w:noWrap w:val="0"/>
            <w:vAlign w:val="top"/>
          </w:tcPr>
          <w:p w14:paraId="43300AE9">
            <w:pPr>
              <w:spacing w:line="360" w:lineRule="auto"/>
              <w:jc w:val="center"/>
              <w:rPr>
                <w:rFonts w:hAnsi="宋体" w:cs="宋体"/>
                <w:color w:val="auto"/>
                <w:sz w:val="24"/>
                <w:szCs w:val="24"/>
                <w:highlight w:val="none"/>
              </w:rPr>
            </w:pPr>
          </w:p>
        </w:tc>
        <w:tc>
          <w:tcPr>
            <w:tcW w:w="1757" w:type="dxa"/>
            <w:noWrap w:val="0"/>
            <w:vAlign w:val="center"/>
          </w:tcPr>
          <w:p w14:paraId="0E246B15">
            <w:pPr>
              <w:spacing w:line="360" w:lineRule="auto"/>
              <w:jc w:val="center"/>
              <w:rPr>
                <w:rFonts w:hAnsi="宋体" w:cs="宋体"/>
                <w:color w:val="auto"/>
                <w:sz w:val="24"/>
                <w:szCs w:val="24"/>
                <w:highlight w:val="none"/>
              </w:rPr>
            </w:pPr>
          </w:p>
        </w:tc>
        <w:tc>
          <w:tcPr>
            <w:tcW w:w="1699" w:type="dxa"/>
            <w:noWrap w:val="0"/>
            <w:vAlign w:val="center"/>
          </w:tcPr>
          <w:p w14:paraId="4B473A65">
            <w:pPr>
              <w:spacing w:line="360" w:lineRule="auto"/>
              <w:jc w:val="center"/>
              <w:rPr>
                <w:rFonts w:hAnsi="宋体" w:cs="宋体"/>
                <w:color w:val="auto"/>
                <w:sz w:val="24"/>
                <w:szCs w:val="24"/>
                <w:highlight w:val="none"/>
              </w:rPr>
            </w:pPr>
          </w:p>
        </w:tc>
        <w:tc>
          <w:tcPr>
            <w:tcW w:w="1923" w:type="dxa"/>
            <w:noWrap w:val="0"/>
            <w:vAlign w:val="center"/>
          </w:tcPr>
          <w:p w14:paraId="09A214E0">
            <w:pPr>
              <w:spacing w:line="360" w:lineRule="auto"/>
              <w:jc w:val="center"/>
              <w:rPr>
                <w:rFonts w:hAnsi="宋体" w:cs="宋体"/>
                <w:color w:val="auto"/>
                <w:sz w:val="24"/>
                <w:szCs w:val="24"/>
                <w:highlight w:val="none"/>
              </w:rPr>
            </w:pPr>
          </w:p>
        </w:tc>
      </w:tr>
      <w:tr w14:paraId="0158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noWrap w:val="0"/>
            <w:vAlign w:val="center"/>
          </w:tcPr>
          <w:p w14:paraId="1D98ED49">
            <w:pPr>
              <w:spacing w:line="360" w:lineRule="auto"/>
              <w:jc w:val="center"/>
              <w:rPr>
                <w:rFonts w:hAnsi="宋体" w:cs="宋体"/>
                <w:color w:val="auto"/>
                <w:sz w:val="24"/>
                <w:szCs w:val="24"/>
                <w:highlight w:val="none"/>
              </w:rPr>
            </w:pPr>
            <w:r>
              <w:rPr>
                <w:rFonts w:hint="eastAsia" w:hAnsi="宋体" w:cs="宋体"/>
                <w:color w:val="auto"/>
                <w:sz w:val="24"/>
                <w:szCs w:val="24"/>
                <w:highlight w:val="none"/>
              </w:rPr>
              <w:t>2</w:t>
            </w:r>
          </w:p>
        </w:tc>
        <w:tc>
          <w:tcPr>
            <w:tcW w:w="1679" w:type="dxa"/>
            <w:noWrap w:val="0"/>
            <w:vAlign w:val="center"/>
          </w:tcPr>
          <w:p w14:paraId="09627B53">
            <w:pPr>
              <w:spacing w:line="360" w:lineRule="auto"/>
              <w:jc w:val="center"/>
              <w:rPr>
                <w:rFonts w:hAnsi="宋体" w:cs="宋体"/>
                <w:color w:val="auto"/>
                <w:sz w:val="24"/>
                <w:szCs w:val="24"/>
                <w:highlight w:val="none"/>
              </w:rPr>
            </w:pPr>
          </w:p>
        </w:tc>
        <w:tc>
          <w:tcPr>
            <w:tcW w:w="1506" w:type="dxa"/>
            <w:noWrap w:val="0"/>
            <w:vAlign w:val="top"/>
          </w:tcPr>
          <w:p w14:paraId="053D2942">
            <w:pPr>
              <w:spacing w:line="360" w:lineRule="auto"/>
              <w:jc w:val="center"/>
              <w:rPr>
                <w:rFonts w:hAnsi="宋体" w:cs="宋体"/>
                <w:color w:val="auto"/>
                <w:sz w:val="24"/>
                <w:szCs w:val="24"/>
                <w:highlight w:val="none"/>
              </w:rPr>
            </w:pPr>
          </w:p>
        </w:tc>
        <w:tc>
          <w:tcPr>
            <w:tcW w:w="1757" w:type="dxa"/>
            <w:noWrap w:val="0"/>
            <w:vAlign w:val="center"/>
          </w:tcPr>
          <w:p w14:paraId="06E42D3F">
            <w:pPr>
              <w:spacing w:line="360" w:lineRule="auto"/>
              <w:jc w:val="center"/>
              <w:rPr>
                <w:rFonts w:hAnsi="宋体" w:cs="宋体"/>
                <w:color w:val="auto"/>
                <w:sz w:val="24"/>
                <w:szCs w:val="24"/>
                <w:highlight w:val="none"/>
              </w:rPr>
            </w:pPr>
          </w:p>
        </w:tc>
        <w:tc>
          <w:tcPr>
            <w:tcW w:w="1699" w:type="dxa"/>
            <w:noWrap w:val="0"/>
            <w:vAlign w:val="center"/>
          </w:tcPr>
          <w:p w14:paraId="00795F1A">
            <w:pPr>
              <w:spacing w:line="360" w:lineRule="auto"/>
              <w:jc w:val="center"/>
              <w:rPr>
                <w:rFonts w:hAnsi="宋体" w:cs="宋体"/>
                <w:color w:val="auto"/>
                <w:sz w:val="24"/>
                <w:szCs w:val="24"/>
                <w:highlight w:val="none"/>
              </w:rPr>
            </w:pPr>
          </w:p>
        </w:tc>
        <w:tc>
          <w:tcPr>
            <w:tcW w:w="1923" w:type="dxa"/>
            <w:noWrap w:val="0"/>
            <w:vAlign w:val="center"/>
          </w:tcPr>
          <w:p w14:paraId="571B32ED">
            <w:pPr>
              <w:spacing w:line="360" w:lineRule="auto"/>
              <w:jc w:val="center"/>
              <w:rPr>
                <w:rFonts w:hAnsi="宋体" w:cs="宋体"/>
                <w:color w:val="auto"/>
                <w:sz w:val="24"/>
                <w:szCs w:val="24"/>
                <w:highlight w:val="none"/>
              </w:rPr>
            </w:pPr>
          </w:p>
        </w:tc>
      </w:tr>
      <w:tr w14:paraId="297B3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noWrap w:val="0"/>
            <w:vAlign w:val="center"/>
          </w:tcPr>
          <w:p w14:paraId="69AC67CB">
            <w:pPr>
              <w:spacing w:line="360" w:lineRule="auto"/>
              <w:jc w:val="center"/>
              <w:rPr>
                <w:rFonts w:hAnsi="宋体" w:cs="宋体"/>
                <w:color w:val="auto"/>
                <w:sz w:val="24"/>
                <w:szCs w:val="24"/>
                <w:highlight w:val="none"/>
              </w:rPr>
            </w:pPr>
            <w:r>
              <w:rPr>
                <w:rFonts w:hint="eastAsia" w:hAnsi="宋体" w:cs="宋体"/>
                <w:color w:val="auto"/>
                <w:sz w:val="24"/>
                <w:szCs w:val="24"/>
                <w:highlight w:val="none"/>
              </w:rPr>
              <w:t>3</w:t>
            </w:r>
          </w:p>
        </w:tc>
        <w:tc>
          <w:tcPr>
            <w:tcW w:w="1679" w:type="dxa"/>
            <w:noWrap w:val="0"/>
            <w:vAlign w:val="center"/>
          </w:tcPr>
          <w:p w14:paraId="54A94620">
            <w:pPr>
              <w:spacing w:line="360" w:lineRule="auto"/>
              <w:jc w:val="center"/>
              <w:rPr>
                <w:rFonts w:hAnsi="宋体" w:cs="宋体"/>
                <w:color w:val="auto"/>
                <w:sz w:val="24"/>
                <w:szCs w:val="24"/>
                <w:highlight w:val="none"/>
              </w:rPr>
            </w:pPr>
          </w:p>
        </w:tc>
        <w:tc>
          <w:tcPr>
            <w:tcW w:w="1506" w:type="dxa"/>
            <w:noWrap w:val="0"/>
            <w:vAlign w:val="top"/>
          </w:tcPr>
          <w:p w14:paraId="4DBFADFA">
            <w:pPr>
              <w:spacing w:line="360" w:lineRule="auto"/>
              <w:jc w:val="center"/>
              <w:rPr>
                <w:rFonts w:hAnsi="宋体" w:cs="宋体"/>
                <w:color w:val="auto"/>
                <w:sz w:val="24"/>
                <w:szCs w:val="24"/>
                <w:highlight w:val="none"/>
              </w:rPr>
            </w:pPr>
          </w:p>
        </w:tc>
        <w:tc>
          <w:tcPr>
            <w:tcW w:w="1757" w:type="dxa"/>
            <w:noWrap w:val="0"/>
            <w:vAlign w:val="center"/>
          </w:tcPr>
          <w:p w14:paraId="5C90B897">
            <w:pPr>
              <w:spacing w:line="360" w:lineRule="auto"/>
              <w:jc w:val="center"/>
              <w:rPr>
                <w:rFonts w:hAnsi="宋体" w:cs="宋体"/>
                <w:color w:val="auto"/>
                <w:sz w:val="24"/>
                <w:szCs w:val="24"/>
                <w:highlight w:val="none"/>
              </w:rPr>
            </w:pPr>
          </w:p>
        </w:tc>
        <w:tc>
          <w:tcPr>
            <w:tcW w:w="1699" w:type="dxa"/>
            <w:noWrap w:val="0"/>
            <w:vAlign w:val="center"/>
          </w:tcPr>
          <w:p w14:paraId="0DB94358">
            <w:pPr>
              <w:spacing w:line="360" w:lineRule="auto"/>
              <w:jc w:val="center"/>
              <w:rPr>
                <w:rFonts w:hAnsi="宋体" w:cs="宋体"/>
                <w:color w:val="auto"/>
                <w:sz w:val="24"/>
                <w:szCs w:val="24"/>
                <w:highlight w:val="none"/>
              </w:rPr>
            </w:pPr>
          </w:p>
        </w:tc>
        <w:tc>
          <w:tcPr>
            <w:tcW w:w="1923" w:type="dxa"/>
            <w:noWrap w:val="0"/>
            <w:vAlign w:val="center"/>
          </w:tcPr>
          <w:p w14:paraId="04798276">
            <w:pPr>
              <w:spacing w:line="360" w:lineRule="auto"/>
              <w:jc w:val="center"/>
              <w:rPr>
                <w:rFonts w:hAnsi="宋体" w:cs="宋体"/>
                <w:color w:val="auto"/>
                <w:sz w:val="24"/>
                <w:szCs w:val="24"/>
                <w:highlight w:val="none"/>
              </w:rPr>
            </w:pPr>
          </w:p>
        </w:tc>
      </w:tr>
      <w:tr w14:paraId="7B56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noWrap w:val="0"/>
            <w:vAlign w:val="center"/>
          </w:tcPr>
          <w:p w14:paraId="2C6C41B1">
            <w:pPr>
              <w:spacing w:line="360" w:lineRule="auto"/>
              <w:jc w:val="center"/>
              <w:rPr>
                <w:rFonts w:hAnsi="宋体" w:cs="宋体"/>
                <w:color w:val="auto"/>
                <w:sz w:val="24"/>
                <w:szCs w:val="24"/>
                <w:highlight w:val="none"/>
              </w:rPr>
            </w:pPr>
            <w:r>
              <w:rPr>
                <w:rFonts w:hint="eastAsia" w:hAnsi="宋体" w:cs="宋体"/>
                <w:color w:val="auto"/>
                <w:sz w:val="24"/>
                <w:szCs w:val="24"/>
                <w:highlight w:val="none"/>
              </w:rPr>
              <w:t>4</w:t>
            </w:r>
          </w:p>
        </w:tc>
        <w:tc>
          <w:tcPr>
            <w:tcW w:w="1679" w:type="dxa"/>
            <w:noWrap w:val="0"/>
            <w:vAlign w:val="center"/>
          </w:tcPr>
          <w:p w14:paraId="75AA4AE5">
            <w:pPr>
              <w:spacing w:line="360" w:lineRule="auto"/>
              <w:jc w:val="center"/>
              <w:rPr>
                <w:rFonts w:hAnsi="宋体" w:cs="宋体"/>
                <w:color w:val="auto"/>
                <w:sz w:val="24"/>
                <w:szCs w:val="24"/>
                <w:highlight w:val="none"/>
              </w:rPr>
            </w:pPr>
          </w:p>
        </w:tc>
        <w:tc>
          <w:tcPr>
            <w:tcW w:w="1506" w:type="dxa"/>
            <w:noWrap w:val="0"/>
            <w:vAlign w:val="top"/>
          </w:tcPr>
          <w:p w14:paraId="69563D9B">
            <w:pPr>
              <w:spacing w:line="360" w:lineRule="auto"/>
              <w:jc w:val="center"/>
              <w:rPr>
                <w:rFonts w:hAnsi="宋体" w:cs="宋体"/>
                <w:color w:val="auto"/>
                <w:sz w:val="24"/>
                <w:szCs w:val="24"/>
                <w:highlight w:val="none"/>
              </w:rPr>
            </w:pPr>
          </w:p>
        </w:tc>
        <w:tc>
          <w:tcPr>
            <w:tcW w:w="1757" w:type="dxa"/>
            <w:noWrap w:val="0"/>
            <w:vAlign w:val="center"/>
          </w:tcPr>
          <w:p w14:paraId="7B18FAD7">
            <w:pPr>
              <w:spacing w:line="360" w:lineRule="auto"/>
              <w:jc w:val="center"/>
              <w:rPr>
                <w:rFonts w:hAnsi="宋体" w:cs="宋体"/>
                <w:color w:val="auto"/>
                <w:sz w:val="24"/>
                <w:szCs w:val="24"/>
                <w:highlight w:val="none"/>
              </w:rPr>
            </w:pPr>
          </w:p>
        </w:tc>
        <w:tc>
          <w:tcPr>
            <w:tcW w:w="1699" w:type="dxa"/>
            <w:noWrap w:val="0"/>
            <w:vAlign w:val="center"/>
          </w:tcPr>
          <w:p w14:paraId="3903F58A">
            <w:pPr>
              <w:spacing w:line="360" w:lineRule="auto"/>
              <w:jc w:val="center"/>
              <w:rPr>
                <w:rFonts w:hAnsi="宋体" w:cs="宋体"/>
                <w:color w:val="auto"/>
                <w:sz w:val="24"/>
                <w:szCs w:val="24"/>
                <w:highlight w:val="none"/>
              </w:rPr>
            </w:pPr>
          </w:p>
        </w:tc>
        <w:tc>
          <w:tcPr>
            <w:tcW w:w="1923" w:type="dxa"/>
            <w:noWrap w:val="0"/>
            <w:vAlign w:val="center"/>
          </w:tcPr>
          <w:p w14:paraId="6C08CFF7">
            <w:pPr>
              <w:spacing w:line="360" w:lineRule="auto"/>
              <w:jc w:val="center"/>
              <w:rPr>
                <w:rFonts w:hAnsi="宋体" w:cs="宋体"/>
                <w:color w:val="auto"/>
                <w:sz w:val="24"/>
                <w:szCs w:val="24"/>
                <w:highlight w:val="none"/>
              </w:rPr>
            </w:pPr>
          </w:p>
        </w:tc>
      </w:tr>
      <w:tr w14:paraId="22A6B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noWrap w:val="0"/>
            <w:vAlign w:val="center"/>
          </w:tcPr>
          <w:p w14:paraId="2CCBC7B5">
            <w:pPr>
              <w:spacing w:line="360" w:lineRule="auto"/>
              <w:jc w:val="center"/>
              <w:rPr>
                <w:rFonts w:hAnsi="宋体" w:cs="宋体"/>
                <w:color w:val="auto"/>
                <w:sz w:val="24"/>
                <w:szCs w:val="24"/>
                <w:highlight w:val="none"/>
              </w:rPr>
            </w:pPr>
            <w:r>
              <w:rPr>
                <w:rFonts w:hint="eastAsia" w:hAnsi="宋体" w:cs="宋体"/>
                <w:color w:val="auto"/>
                <w:sz w:val="24"/>
                <w:szCs w:val="24"/>
                <w:highlight w:val="none"/>
              </w:rPr>
              <w:t>5</w:t>
            </w:r>
          </w:p>
        </w:tc>
        <w:tc>
          <w:tcPr>
            <w:tcW w:w="1679" w:type="dxa"/>
            <w:noWrap w:val="0"/>
            <w:vAlign w:val="center"/>
          </w:tcPr>
          <w:p w14:paraId="524195B5">
            <w:pPr>
              <w:spacing w:line="360" w:lineRule="auto"/>
              <w:jc w:val="center"/>
              <w:rPr>
                <w:rFonts w:hAnsi="宋体" w:cs="宋体"/>
                <w:color w:val="auto"/>
                <w:sz w:val="24"/>
                <w:szCs w:val="24"/>
                <w:highlight w:val="none"/>
              </w:rPr>
            </w:pPr>
          </w:p>
        </w:tc>
        <w:tc>
          <w:tcPr>
            <w:tcW w:w="1506" w:type="dxa"/>
            <w:noWrap w:val="0"/>
            <w:vAlign w:val="top"/>
          </w:tcPr>
          <w:p w14:paraId="65CFDC2C">
            <w:pPr>
              <w:spacing w:line="360" w:lineRule="auto"/>
              <w:jc w:val="center"/>
              <w:rPr>
                <w:rFonts w:hAnsi="宋体" w:cs="宋体"/>
                <w:color w:val="auto"/>
                <w:sz w:val="24"/>
                <w:szCs w:val="24"/>
                <w:highlight w:val="none"/>
              </w:rPr>
            </w:pPr>
          </w:p>
        </w:tc>
        <w:tc>
          <w:tcPr>
            <w:tcW w:w="1757" w:type="dxa"/>
            <w:noWrap w:val="0"/>
            <w:vAlign w:val="center"/>
          </w:tcPr>
          <w:p w14:paraId="36089977">
            <w:pPr>
              <w:spacing w:line="360" w:lineRule="auto"/>
              <w:jc w:val="center"/>
              <w:rPr>
                <w:rFonts w:hAnsi="宋体" w:cs="宋体"/>
                <w:color w:val="auto"/>
                <w:sz w:val="24"/>
                <w:szCs w:val="24"/>
                <w:highlight w:val="none"/>
              </w:rPr>
            </w:pPr>
          </w:p>
        </w:tc>
        <w:tc>
          <w:tcPr>
            <w:tcW w:w="1699" w:type="dxa"/>
            <w:noWrap w:val="0"/>
            <w:vAlign w:val="center"/>
          </w:tcPr>
          <w:p w14:paraId="48D8D836">
            <w:pPr>
              <w:spacing w:line="360" w:lineRule="auto"/>
              <w:jc w:val="center"/>
              <w:rPr>
                <w:rFonts w:hAnsi="宋体" w:cs="宋体"/>
                <w:color w:val="auto"/>
                <w:sz w:val="24"/>
                <w:szCs w:val="24"/>
                <w:highlight w:val="none"/>
              </w:rPr>
            </w:pPr>
          </w:p>
        </w:tc>
        <w:tc>
          <w:tcPr>
            <w:tcW w:w="1923" w:type="dxa"/>
            <w:noWrap w:val="0"/>
            <w:vAlign w:val="center"/>
          </w:tcPr>
          <w:p w14:paraId="6106226B">
            <w:pPr>
              <w:spacing w:line="360" w:lineRule="auto"/>
              <w:jc w:val="center"/>
              <w:rPr>
                <w:rFonts w:hAnsi="宋体" w:cs="宋体"/>
                <w:color w:val="auto"/>
                <w:sz w:val="24"/>
                <w:szCs w:val="24"/>
                <w:highlight w:val="none"/>
              </w:rPr>
            </w:pPr>
          </w:p>
        </w:tc>
      </w:tr>
      <w:tr w14:paraId="70292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noWrap w:val="0"/>
            <w:vAlign w:val="center"/>
          </w:tcPr>
          <w:p w14:paraId="40F9D8CF">
            <w:pPr>
              <w:spacing w:line="360" w:lineRule="auto"/>
              <w:jc w:val="center"/>
              <w:rPr>
                <w:rFonts w:hAnsi="宋体" w:cs="宋体"/>
                <w:color w:val="auto"/>
                <w:sz w:val="24"/>
                <w:szCs w:val="24"/>
                <w:highlight w:val="none"/>
              </w:rPr>
            </w:pPr>
            <w:r>
              <w:rPr>
                <w:rFonts w:hint="eastAsia" w:hAnsi="宋体" w:cs="宋体"/>
                <w:color w:val="auto"/>
                <w:sz w:val="24"/>
                <w:szCs w:val="24"/>
                <w:highlight w:val="none"/>
              </w:rPr>
              <w:t>6</w:t>
            </w:r>
          </w:p>
        </w:tc>
        <w:tc>
          <w:tcPr>
            <w:tcW w:w="1679" w:type="dxa"/>
            <w:noWrap w:val="0"/>
            <w:vAlign w:val="center"/>
          </w:tcPr>
          <w:p w14:paraId="5B60E0E8">
            <w:pPr>
              <w:spacing w:line="360" w:lineRule="auto"/>
              <w:jc w:val="center"/>
              <w:rPr>
                <w:rFonts w:hAnsi="宋体" w:cs="宋体"/>
                <w:color w:val="auto"/>
                <w:sz w:val="24"/>
                <w:szCs w:val="24"/>
                <w:highlight w:val="none"/>
              </w:rPr>
            </w:pPr>
          </w:p>
        </w:tc>
        <w:tc>
          <w:tcPr>
            <w:tcW w:w="1506" w:type="dxa"/>
            <w:noWrap w:val="0"/>
            <w:vAlign w:val="top"/>
          </w:tcPr>
          <w:p w14:paraId="39E357FA">
            <w:pPr>
              <w:spacing w:line="360" w:lineRule="auto"/>
              <w:jc w:val="center"/>
              <w:rPr>
                <w:rFonts w:hAnsi="宋体" w:cs="宋体"/>
                <w:color w:val="auto"/>
                <w:sz w:val="24"/>
                <w:szCs w:val="24"/>
                <w:highlight w:val="none"/>
              </w:rPr>
            </w:pPr>
          </w:p>
        </w:tc>
        <w:tc>
          <w:tcPr>
            <w:tcW w:w="1757" w:type="dxa"/>
            <w:noWrap w:val="0"/>
            <w:vAlign w:val="center"/>
          </w:tcPr>
          <w:p w14:paraId="107FF613">
            <w:pPr>
              <w:spacing w:line="360" w:lineRule="auto"/>
              <w:jc w:val="center"/>
              <w:rPr>
                <w:rFonts w:hAnsi="宋体" w:cs="宋体"/>
                <w:color w:val="auto"/>
                <w:sz w:val="24"/>
                <w:szCs w:val="24"/>
                <w:highlight w:val="none"/>
              </w:rPr>
            </w:pPr>
          </w:p>
        </w:tc>
        <w:tc>
          <w:tcPr>
            <w:tcW w:w="1699" w:type="dxa"/>
            <w:noWrap w:val="0"/>
            <w:vAlign w:val="center"/>
          </w:tcPr>
          <w:p w14:paraId="38392C99">
            <w:pPr>
              <w:spacing w:line="360" w:lineRule="auto"/>
              <w:jc w:val="center"/>
              <w:rPr>
                <w:rFonts w:hAnsi="宋体" w:cs="宋体"/>
                <w:color w:val="auto"/>
                <w:sz w:val="24"/>
                <w:szCs w:val="24"/>
                <w:highlight w:val="none"/>
              </w:rPr>
            </w:pPr>
          </w:p>
        </w:tc>
        <w:tc>
          <w:tcPr>
            <w:tcW w:w="1923" w:type="dxa"/>
            <w:noWrap w:val="0"/>
            <w:vAlign w:val="center"/>
          </w:tcPr>
          <w:p w14:paraId="1A198BD6">
            <w:pPr>
              <w:spacing w:line="360" w:lineRule="auto"/>
              <w:jc w:val="center"/>
              <w:rPr>
                <w:rFonts w:hAnsi="宋体" w:cs="宋体"/>
                <w:color w:val="auto"/>
                <w:sz w:val="24"/>
                <w:szCs w:val="24"/>
                <w:highlight w:val="none"/>
              </w:rPr>
            </w:pPr>
          </w:p>
        </w:tc>
      </w:tr>
      <w:tr w14:paraId="48E20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noWrap w:val="0"/>
            <w:vAlign w:val="center"/>
          </w:tcPr>
          <w:p w14:paraId="6AC06774">
            <w:pPr>
              <w:spacing w:line="360" w:lineRule="auto"/>
              <w:jc w:val="center"/>
              <w:rPr>
                <w:rFonts w:hAnsi="宋体" w:cs="宋体"/>
                <w:color w:val="auto"/>
                <w:sz w:val="24"/>
                <w:szCs w:val="24"/>
                <w:highlight w:val="none"/>
              </w:rPr>
            </w:pPr>
          </w:p>
        </w:tc>
        <w:tc>
          <w:tcPr>
            <w:tcW w:w="1679" w:type="dxa"/>
            <w:noWrap w:val="0"/>
            <w:vAlign w:val="center"/>
          </w:tcPr>
          <w:p w14:paraId="6A2C63E3">
            <w:pPr>
              <w:spacing w:line="360" w:lineRule="auto"/>
              <w:jc w:val="center"/>
              <w:rPr>
                <w:rFonts w:hAnsi="宋体" w:cs="宋体"/>
                <w:color w:val="auto"/>
                <w:sz w:val="24"/>
                <w:szCs w:val="24"/>
                <w:highlight w:val="none"/>
              </w:rPr>
            </w:pPr>
          </w:p>
        </w:tc>
        <w:tc>
          <w:tcPr>
            <w:tcW w:w="1506" w:type="dxa"/>
            <w:noWrap w:val="0"/>
            <w:vAlign w:val="top"/>
          </w:tcPr>
          <w:p w14:paraId="1ED46A16">
            <w:pPr>
              <w:spacing w:line="360" w:lineRule="auto"/>
              <w:jc w:val="center"/>
              <w:rPr>
                <w:rFonts w:hAnsi="宋体" w:cs="宋体"/>
                <w:color w:val="auto"/>
                <w:sz w:val="24"/>
                <w:szCs w:val="24"/>
                <w:highlight w:val="none"/>
              </w:rPr>
            </w:pPr>
          </w:p>
        </w:tc>
        <w:tc>
          <w:tcPr>
            <w:tcW w:w="1757" w:type="dxa"/>
            <w:noWrap w:val="0"/>
            <w:vAlign w:val="center"/>
          </w:tcPr>
          <w:p w14:paraId="644FB5A5">
            <w:pPr>
              <w:spacing w:line="360" w:lineRule="auto"/>
              <w:jc w:val="center"/>
              <w:rPr>
                <w:rFonts w:hAnsi="宋体" w:cs="宋体"/>
                <w:color w:val="auto"/>
                <w:sz w:val="24"/>
                <w:szCs w:val="24"/>
                <w:highlight w:val="none"/>
              </w:rPr>
            </w:pPr>
          </w:p>
        </w:tc>
        <w:tc>
          <w:tcPr>
            <w:tcW w:w="1699" w:type="dxa"/>
            <w:noWrap w:val="0"/>
            <w:vAlign w:val="center"/>
          </w:tcPr>
          <w:p w14:paraId="7688AE12">
            <w:pPr>
              <w:spacing w:line="360" w:lineRule="auto"/>
              <w:jc w:val="center"/>
              <w:rPr>
                <w:rFonts w:hAnsi="宋体" w:cs="宋体"/>
                <w:color w:val="auto"/>
                <w:sz w:val="24"/>
                <w:szCs w:val="24"/>
                <w:highlight w:val="none"/>
              </w:rPr>
            </w:pPr>
          </w:p>
        </w:tc>
        <w:tc>
          <w:tcPr>
            <w:tcW w:w="1923" w:type="dxa"/>
            <w:noWrap w:val="0"/>
            <w:vAlign w:val="center"/>
          </w:tcPr>
          <w:p w14:paraId="67CE65F4">
            <w:pPr>
              <w:spacing w:line="360" w:lineRule="auto"/>
              <w:jc w:val="center"/>
              <w:rPr>
                <w:rFonts w:hAnsi="宋体" w:cs="宋体"/>
                <w:color w:val="auto"/>
                <w:sz w:val="24"/>
                <w:szCs w:val="24"/>
                <w:highlight w:val="none"/>
              </w:rPr>
            </w:pPr>
          </w:p>
        </w:tc>
      </w:tr>
      <w:tr w14:paraId="6874C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noWrap w:val="0"/>
            <w:vAlign w:val="center"/>
          </w:tcPr>
          <w:p w14:paraId="216D1BB7">
            <w:pPr>
              <w:spacing w:line="360" w:lineRule="auto"/>
              <w:jc w:val="center"/>
              <w:rPr>
                <w:rFonts w:hAnsi="宋体" w:cs="宋体"/>
                <w:color w:val="auto"/>
                <w:sz w:val="24"/>
                <w:szCs w:val="24"/>
                <w:highlight w:val="none"/>
              </w:rPr>
            </w:pPr>
          </w:p>
        </w:tc>
        <w:tc>
          <w:tcPr>
            <w:tcW w:w="1679" w:type="dxa"/>
            <w:noWrap w:val="0"/>
            <w:vAlign w:val="center"/>
          </w:tcPr>
          <w:p w14:paraId="31E7F32D">
            <w:pPr>
              <w:spacing w:line="360" w:lineRule="auto"/>
              <w:jc w:val="center"/>
              <w:rPr>
                <w:rFonts w:hAnsi="宋体" w:cs="宋体"/>
                <w:color w:val="auto"/>
                <w:sz w:val="24"/>
                <w:szCs w:val="24"/>
                <w:highlight w:val="none"/>
              </w:rPr>
            </w:pPr>
          </w:p>
        </w:tc>
        <w:tc>
          <w:tcPr>
            <w:tcW w:w="1506" w:type="dxa"/>
            <w:noWrap w:val="0"/>
            <w:vAlign w:val="top"/>
          </w:tcPr>
          <w:p w14:paraId="1E40EEC0">
            <w:pPr>
              <w:spacing w:line="360" w:lineRule="auto"/>
              <w:jc w:val="center"/>
              <w:rPr>
                <w:rFonts w:hAnsi="宋体" w:cs="宋体"/>
                <w:color w:val="auto"/>
                <w:sz w:val="24"/>
                <w:szCs w:val="24"/>
                <w:highlight w:val="none"/>
              </w:rPr>
            </w:pPr>
          </w:p>
        </w:tc>
        <w:tc>
          <w:tcPr>
            <w:tcW w:w="1757" w:type="dxa"/>
            <w:noWrap w:val="0"/>
            <w:vAlign w:val="center"/>
          </w:tcPr>
          <w:p w14:paraId="36DCCEAB">
            <w:pPr>
              <w:spacing w:line="360" w:lineRule="auto"/>
              <w:jc w:val="center"/>
              <w:rPr>
                <w:rFonts w:hAnsi="宋体" w:cs="宋体"/>
                <w:color w:val="auto"/>
                <w:sz w:val="24"/>
                <w:szCs w:val="24"/>
                <w:highlight w:val="none"/>
              </w:rPr>
            </w:pPr>
          </w:p>
        </w:tc>
        <w:tc>
          <w:tcPr>
            <w:tcW w:w="1699" w:type="dxa"/>
            <w:noWrap w:val="0"/>
            <w:vAlign w:val="center"/>
          </w:tcPr>
          <w:p w14:paraId="400DC849">
            <w:pPr>
              <w:spacing w:line="360" w:lineRule="auto"/>
              <w:jc w:val="center"/>
              <w:rPr>
                <w:rFonts w:hAnsi="宋体" w:cs="宋体"/>
                <w:color w:val="auto"/>
                <w:sz w:val="24"/>
                <w:szCs w:val="24"/>
                <w:highlight w:val="none"/>
              </w:rPr>
            </w:pPr>
          </w:p>
        </w:tc>
        <w:tc>
          <w:tcPr>
            <w:tcW w:w="1923" w:type="dxa"/>
            <w:noWrap w:val="0"/>
            <w:vAlign w:val="center"/>
          </w:tcPr>
          <w:p w14:paraId="63A28214">
            <w:pPr>
              <w:spacing w:line="360" w:lineRule="auto"/>
              <w:jc w:val="center"/>
              <w:rPr>
                <w:rFonts w:hAnsi="宋体" w:cs="宋体"/>
                <w:color w:val="auto"/>
                <w:sz w:val="24"/>
                <w:szCs w:val="24"/>
                <w:highlight w:val="none"/>
              </w:rPr>
            </w:pPr>
          </w:p>
        </w:tc>
      </w:tr>
      <w:tr w14:paraId="7BF7B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noWrap w:val="0"/>
            <w:vAlign w:val="center"/>
          </w:tcPr>
          <w:p w14:paraId="58B79053">
            <w:pPr>
              <w:spacing w:line="360" w:lineRule="auto"/>
              <w:jc w:val="center"/>
              <w:rPr>
                <w:rFonts w:hAnsi="宋体" w:cs="宋体"/>
                <w:color w:val="auto"/>
                <w:sz w:val="24"/>
                <w:szCs w:val="24"/>
                <w:highlight w:val="none"/>
              </w:rPr>
            </w:pPr>
          </w:p>
        </w:tc>
        <w:tc>
          <w:tcPr>
            <w:tcW w:w="1679" w:type="dxa"/>
            <w:noWrap w:val="0"/>
            <w:vAlign w:val="center"/>
          </w:tcPr>
          <w:p w14:paraId="2BCB134D">
            <w:pPr>
              <w:spacing w:line="360" w:lineRule="auto"/>
              <w:jc w:val="center"/>
              <w:rPr>
                <w:rFonts w:hAnsi="宋体" w:cs="宋体"/>
                <w:color w:val="auto"/>
                <w:sz w:val="24"/>
                <w:szCs w:val="24"/>
                <w:highlight w:val="none"/>
              </w:rPr>
            </w:pPr>
          </w:p>
        </w:tc>
        <w:tc>
          <w:tcPr>
            <w:tcW w:w="1506" w:type="dxa"/>
            <w:noWrap w:val="0"/>
            <w:vAlign w:val="top"/>
          </w:tcPr>
          <w:p w14:paraId="6F367C28">
            <w:pPr>
              <w:spacing w:line="360" w:lineRule="auto"/>
              <w:jc w:val="center"/>
              <w:rPr>
                <w:rFonts w:hAnsi="宋体" w:cs="宋体"/>
                <w:color w:val="auto"/>
                <w:sz w:val="24"/>
                <w:szCs w:val="24"/>
                <w:highlight w:val="none"/>
              </w:rPr>
            </w:pPr>
          </w:p>
        </w:tc>
        <w:tc>
          <w:tcPr>
            <w:tcW w:w="1757" w:type="dxa"/>
            <w:noWrap w:val="0"/>
            <w:vAlign w:val="center"/>
          </w:tcPr>
          <w:p w14:paraId="2C68DB3C">
            <w:pPr>
              <w:spacing w:line="360" w:lineRule="auto"/>
              <w:jc w:val="center"/>
              <w:rPr>
                <w:rFonts w:hAnsi="宋体" w:cs="宋体"/>
                <w:color w:val="auto"/>
                <w:sz w:val="24"/>
                <w:szCs w:val="24"/>
                <w:highlight w:val="none"/>
              </w:rPr>
            </w:pPr>
          </w:p>
        </w:tc>
        <w:tc>
          <w:tcPr>
            <w:tcW w:w="1699" w:type="dxa"/>
            <w:noWrap w:val="0"/>
            <w:vAlign w:val="center"/>
          </w:tcPr>
          <w:p w14:paraId="42DB172E">
            <w:pPr>
              <w:spacing w:line="360" w:lineRule="auto"/>
              <w:jc w:val="center"/>
              <w:rPr>
                <w:rFonts w:hAnsi="宋体" w:cs="宋体"/>
                <w:color w:val="auto"/>
                <w:sz w:val="24"/>
                <w:szCs w:val="24"/>
                <w:highlight w:val="none"/>
              </w:rPr>
            </w:pPr>
          </w:p>
        </w:tc>
        <w:tc>
          <w:tcPr>
            <w:tcW w:w="1923" w:type="dxa"/>
            <w:noWrap w:val="0"/>
            <w:vAlign w:val="center"/>
          </w:tcPr>
          <w:p w14:paraId="7672C656">
            <w:pPr>
              <w:spacing w:line="360" w:lineRule="auto"/>
              <w:jc w:val="center"/>
              <w:rPr>
                <w:rFonts w:hAnsi="宋体" w:cs="宋体"/>
                <w:color w:val="auto"/>
                <w:sz w:val="24"/>
                <w:szCs w:val="24"/>
                <w:highlight w:val="none"/>
              </w:rPr>
            </w:pPr>
          </w:p>
        </w:tc>
      </w:tr>
    </w:tbl>
    <w:p w14:paraId="4E66DE49">
      <w:pPr>
        <w:spacing w:line="360" w:lineRule="auto"/>
        <w:rPr>
          <w:rFonts w:hAnsi="宋体" w:cs="宋体"/>
          <w:color w:val="auto"/>
          <w:sz w:val="24"/>
          <w:szCs w:val="24"/>
          <w:highlight w:val="none"/>
        </w:rPr>
      </w:pPr>
    </w:p>
    <w:p w14:paraId="0B320500">
      <w:pPr>
        <w:spacing w:line="360" w:lineRule="auto"/>
        <w:rPr>
          <w:rFonts w:hAnsi="宋体" w:cs="宋体"/>
          <w:color w:val="auto"/>
          <w:sz w:val="24"/>
          <w:szCs w:val="24"/>
          <w:highlight w:val="none"/>
        </w:rPr>
      </w:pPr>
    </w:p>
    <w:p w14:paraId="0A739571">
      <w:pPr>
        <w:spacing w:line="360" w:lineRule="auto"/>
        <w:rPr>
          <w:rFonts w:hAnsi="宋体" w:cs="宋体"/>
          <w:color w:val="auto"/>
          <w:sz w:val="24"/>
          <w:szCs w:val="24"/>
          <w:highlight w:val="none"/>
        </w:rPr>
      </w:pPr>
    </w:p>
    <w:p w14:paraId="0ED7C1BF">
      <w:pPr>
        <w:spacing w:line="360" w:lineRule="auto"/>
        <w:rPr>
          <w:rFonts w:hAnsi="宋体" w:cs="宋体"/>
          <w:color w:val="auto"/>
          <w:sz w:val="24"/>
          <w:szCs w:val="24"/>
          <w:highlight w:val="none"/>
        </w:rPr>
      </w:pPr>
    </w:p>
    <w:p w14:paraId="3F128160">
      <w:pPr>
        <w:pStyle w:val="18"/>
        <w:spacing w:line="360" w:lineRule="auto"/>
        <w:rPr>
          <w:rFonts w:hAnsi="宋体" w:cs="宋体"/>
          <w:color w:val="auto"/>
          <w:sz w:val="24"/>
          <w:szCs w:val="24"/>
          <w:highlight w:val="none"/>
        </w:rPr>
      </w:pPr>
      <w:r>
        <w:rPr>
          <w:rFonts w:hint="eastAsia" w:hAnsi="宋体" w:cs="宋体"/>
          <w:color w:val="auto"/>
          <w:sz w:val="24"/>
          <w:szCs w:val="24"/>
          <w:highlight w:val="none"/>
        </w:rPr>
        <w:t>投标方：（单位盖章）</w:t>
      </w:r>
    </w:p>
    <w:p w14:paraId="6B3662B7">
      <w:pPr>
        <w:pStyle w:val="18"/>
        <w:spacing w:line="360" w:lineRule="auto"/>
        <w:rPr>
          <w:rFonts w:hAnsi="宋体" w:cs="宋体"/>
          <w:color w:val="auto"/>
          <w:sz w:val="24"/>
          <w:szCs w:val="24"/>
          <w:highlight w:val="none"/>
        </w:rPr>
      </w:pPr>
      <w:r>
        <w:rPr>
          <w:rFonts w:hint="eastAsia" w:hAnsi="宋体" w:cs="宋体"/>
          <w:color w:val="auto"/>
          <w:sz w:val="24"/>
          <w:szCs w:val="24"/>
          <w:highlight w:val="none"/>
        </w:rPr>
        <w:t>法定代表人或代理人：（签字或盖章）</w:t>
      </w:r>
    </w:p>
    <w:p w14:paraId="0CFBDD5F">
      <w:pPr>
        <w:spacing w:line="360" w:lineRule="auto"/>
        <w:rPr>
          <w:rFonts w:hAnsi="宋体" w:cs="宋体"/>
          <w:color w:val="auto"/>
          <w:sz w:val="24"/>
          <w:szCs w:val="24"/>
          <w:highlight w:val="none"/>
        </w:rPr>
      </w:pPr>
      <w:r>
        <w:rPr>
          <w:rFonts w:hint="eastAsia" w:hAnsi="宋体" w:cs="宋体"/>
          <w:color w:val="auto"/>
          <w:sz w:val="24"/>
          <w:szCs w:val="24"/>
          <w:highlight w:val="none"/>
        </w:rPr>
        <w:t>日期：年月日</w:t>
      </w:r>
    </w:p>
    <w:p w14:paraId="0D79BEC8">
      <w:pPr>
        <w:pStyle w:val="10"/>
        <w:spacing w:line="360" w:lineRule="auto"/>
        <w:ind w:firstLine="0"/>
        <w:rPr>
          <w:rFonts w:hAnsi="宋体" w:eastAsia="宋体" w:cs="宋体"/>
          <w:b/>
          <w:color w:val="auto"/>
          <w:sz w:val="21"/>
          <w:szCs w:val="21"/>
          <w:highlight w:val="none"/>
        </w:rPr>
      </w:pPr>
    </w:p>
    <w:p w14:paraId="27F87C07">
      <w:pPr>
        <w:pStyle w:val="10"/>
        <w:spacing w:line="360" w:lineRule="auto"/>
        <w:ind w:firstLine="0"/>
        <w:rPr>
          <w:rFonts w:hAnsi="宋体" w:eastAsia="宋体" w:cs="宋体"/>
          <w:b/>
          <w:color w:val="auto"/>
          <w:sz w:val="21"/>
          <w:szCs w:val="21"/>
          <w:highlight w:val="none"/>
        </w:rPr>
      </w:pPr>
    </w:p>
    <w:p w14:paraId="2F678006">
      <w:pPr>
        <w:pStyle w:val="10"/>
        <w:spacing w:line="360" w:lineRule="auto"/>
        <w:ind w:firstLine="0"/>
        <w:rPr>
          <w:rFonts w:hAnsi="宋体" w:eastAsia="宋体" w:cs="宋体"/>
          <w:b/>
          <w:color w:val="auto"/>
          <w:sz w:val="21"/>
          <w:szCs w:val="21"/>
          <w:highlight w:val="none"/>
        </w:rPr>
      </w:pPr>
    </w:p>
    <w:p w14:paraId="549339A1">
      <w:pPr>
        <w:pStyle w:val="10"/>
        <w:spacing w:line="360" w:lineRule="auto"/>
        <w:ind w:firstLine="0"/>
        <w:rPr>
          <w:rFonts w:hAnsi="宋体" w:eastAsia="宋体" w:cs="宋体"/>
          <w:b/>
          <w:color w:val="auto"/>
          <w:szCs w:val="24"/>
          <w:highlight w:val="none"/>
        </w:rPr>
      </w:pPr>
    </w:p>
    <w:p w14:paraId="3D2D96D7">
      <w:pPr>
        <w:pStyle w:val="10"/>
        <w:spacing w:line="360" w:lineRule="auto"/>
        <w:ind w:firstLine="0"/>
        <w:rPr>
          <w:rFonts w:hAnsi="宋体" w:eastAsia="宋体" w:cs="宋体"/>
          <w:b/>
          <w:color w:val="auto"/>
          <w:szCs w:val="24"/>
          <w:highlight w:val="none"/>
        </w:rPr>
      </w:pPr>
    </w:p>
    <w:p w14:paraId="389601E6">
      <w:pPr>
        <w:pStyle w:val="10"/>
        <w:spacing w:line="360" w:lineRule="auto"/>
        <w:ind w:firstLine="0"/>
        <w:rPr>
          <w:rFonts w:hAnsi="宋体" w:eastAsia="宋体" w:cs="宋体"/>
          <w:b/>
          <w:color w:val="auto"/>
          <w:szCs w:val="24"/>
          <w:highlight w:val="none"/>
        </w:rPr>
      </w:pPr>
    </w:p>
    <w:p w14:paraId="46AC70D5">
      <w:pPr>
        <w:pStyle w:val="10"/>
        <w:spacing w:line="360" w:lineRule="auto"/>
        <w:ind w:firstLine="0"/>
        <w:rPr>
          <w:rFonts w:hAnsi="宋体" w:eastAsia="宋体" w:cs="宋体"/>
          <w:b/>
          <w:color w:val="auto"/>
          <w:szCs w:val="24"/>
          <w:highlight w:val="none"/>
        </w:rPr>
      </w:pPr>
    </w:p>
    <w:p w14:paraId="330FAC87">
      <w:pPr>
        <w:pStyle w:val="10"/>
        <w:spacing w:line="360" w:lineRule="auto"/>
        <w:ind w:firstLine="0"/>
        <w:rPr>
          <w:rFonts w:hAnsi="宋体" w:eastAsia="宋体" w:cs="宋体"/>
          <w:b/>
          <w:color w:val="auto"/>
          <w:szCs w:val="24"/>
          <w:highlight w:val="none"/>
        </w:rPr>
      </w:pPr>
    </w:p>
    <w:p w14:paraId="7F0F2C69">
      <w:pPr>
        <w:pStyle w:val="10"/>
        <w:spacing w:line="360" w:lineRule="auto"/>
        <w:ind w:firstLine="0"/>
        <w:rPr>
          <w:rFonts w:hAnsi="宋体" w:eastAsia="宋体" w:cs="宋体"/>
          <w:b/>
          <w:color w:val="auto"/>
          <w:szCs w:val="24"/>
          <w:highlight w:val="none"/>
        </w:rPr>
      </w:pPr>
      <w:r>
        <w:rPr>
          <w:rFonts w:hint="eastAsia" w:hAnsi="宋体" w:eastAsia="宋体" w:cs="宋体"/>
          <w:b/>
          <w:color w:val="auto"/>
          <w:szCs w:val="24"/>
          <w:highlight w:val="none"/>
          <w:lang w:val="en-US" w:eastAsia="zh-CN"/>
        </w:rPr>
        <w:t>10</w:t>
      </w:r>
      <w:r>
        <w:rPr>
          <w:rFonts w:hint="eastAsia" w:hAnsi="宋体" w:eastAsia="宋体" w:cs="宋体"/>
          <w:b/>
          <w:color w:val="auto"/>
          <w:szCs w:val="24"/>
          <w:highlight w:val="none"/>
        </w:rPr>
        <w:t>、资格证明文件（部分格式）</w:t>
      </w:r>
    </w:p>
    <w:p w14:paraId="5999F4FD">
      <w:pPr>
        <w:pStyle w:val="10"/>
        <w:spacing w:line="360" w:lineRule="auto"/>
        <w:ind w:firstLine="0"/>
        <w:jc w:val="both"/>
        <w:rPr>
          <w:rFonts w:hAnsi="宋体" w:eastAsia="宋体" w:cs="宋体"/>
          <w:b/>
          <w:color w:val="auto"/>
          <w:szCs w:val="24"/>
          <w:highlight w:val="none"/>
        </w:rPr>
      </w:pPr>
      <w:r>
        <w:rPr>
          <w:rFonts w:hint="eastAsia" w:hAnsi="宋体" w:eastAsia="宋体" w:cs="宋体"/>
          <w:b/>
          <w:color w:val="auto"/>
          <w:szCs w:val="24"/>
          <w:highlight w:val="none"/>
        </w:rPr>
        <w:t>1）关于资格文件的声明函</w:t>
      </w:r>
    </w:p>
    <w:p w14:paraId="287DB26A">
      <w:pPr>
        <w:pStyle w:val="10"/>
        <w:spacing w:line="360" w:lineRule="auto"/>
        <w:ind w:firstLine="0"/>
        <w:rPr>
          <w:rFonts w:hAnsi="宋体" w:eastAsia="宋体" w:cs="宋体"/>
          <w:color w:val="auto"/>
          <w:szCs w:val="24"/>
          <w:highlight w:val="none"/>
        </w:rPr>
      </w:pPr>
    </w:p>
    <w:p w14:paraId="3FC592C3">
      <w:pPr>
        <w:pStyle w:val="10"/>
        <w:spacing w:line="360" w:lineRule="auto"/>
        <w:jc w:val="center"/>
        <w:rPr>
          <w:rFonts w:hAnsi="宋体" w:eastAsia="宋体" w:cs="宋体"/>
          <w:b/>
          <w:bCs/>
          <w:color w:val="auto"/>
          <w:szCs w:val="24"/>
          <w:highlight w:val="none"/>
        </w:rPr>
      </w:pPr>
      <w:r>
        <w:rPr>
          <w:rFonts w:hint="eastAsia" w:hAnsi="宋体" w:eastAsia="宋体" w:cs="宋体"/>
          <w:b/>
          <w:bCs/>
          <w:color w:val="auto"/>
          <w:szCs w:val="24"/>
          <w:highlight w:val="none"/>
        </w:rPr>
        <w:t>关于资格文件的声明函</w:t>
      </w:r>
    </w:p>
    <w:p w14:paraId="4E246CEB">
      <w:pPr>
        <w:pStyle w:val="10"/>
        <w:spacing w:line="360" w:lineRule="auto"/>
        <w:jc w:val="center"/>
        <w:rPr>
          <w:rFonts w:hAnsi="宋体" w:eastAsia="宋体" w:cs="宋体"/>
          <w:color w:val="auto"/>
          <w:szCs w:val="24"/>
          <w:highlight w:val="none"/>
        </w:rPr>
      </w:pPr>
    </w:p>
    <w:p w14:paraId="7E3B8CDC">
      <w:pPr>
        <w:pStyle w:val="10"/>
        <w:spacing w:line="360" w:lineRule="auto"/>
        <w:ind w:firstLine="0"/>
        <w:rPr>
          <w:rFonts w:hAnsi="宋体" w:eastAsia="宋体" w:cs="宋体"/>
          <w:color w:val="auto"/>
          <w:szCs w:val="24"/>
          <w:highlight w:val="none"/>
        </w:rPr>
      </w:pPr>
      <w:r>
        <w:rPr>
          <w:rFonts w:hint="eastAsia" w:hAnsi="宋体" w:eastAsia="宋体" w:cs="宋体"/>
          <w:color w:val="auto"/>
          <w:szCs w:val="24"/>
          <w:highlight w:val="none"/>
          <w:u w:val="single"/>
          <w:lang w:eastAsia="zh-CN"/>
        </w:rPr>
        <w:t>苏州骏捷建设管理咨询有限公司</w:t>
      </w:r>
      <w:r>
        <w:rPr>
          <w:rFonts w:hint="eastAsia" w:hAnsi="宋体" w:eastAsia="宋体" w:cs="宋体"/>
          <w:color w:val="auto"/>
          <w:szCs w:val="24"/>
          <w:highlight w:val="none"/>
        </w:rPr>
        <w:t>：</w:t>
      </w:r>
    </w:p>
    <w:p w14:paraId="778DC40A">
      <w:pPr>
        <w:pStyle w:val="10"/>
        <w:spacing w:line="360" w:lineRule="auto"/>
        <w:rPr>
          <w:rFonts w:hAnsi="宋体" w:eastAsia="宋体" w:cs="宋体"/>
          <w:color w:val="auto"/>
          <w:szCs w:val="24"/>
          <w:highlight w:val="none"/>
        </w:rPr>
      </w:pPr>
      <w:r>
        <w:rPr>
          <w:rFonts w:hint="eastAsia" w:hAnsi="宋体" w:eastAsia="宋体" w:cs="宋体"/>
          <w:color w:val="auto"/>
          <w:szCs w:val="24"/>
          <w:highlight w:val="none"/>
        </w:rPr>
        <w:t>本公司愿就由贵公司组织实施的编号为</w:t>
      </w:r>
      <w:r>
        <w:rPr>
          <w:rFonts w:hint="eastAsia" w:hAnsi="宋体" w:eastAsia="宋体" w:cs="宋体"/>
          <w:color w:val="auto"/>
          <w:szCs w:val="24"/>
          <w:highlight w:val="none"/>
          <w:lang w:val="en-US" w:eastAsia="zh-CN"/>
        </w:rPr>
        <w:t xml:space="preserve"> </w:t>
      </w:r>
      <w:r>
        <w:rPr>
          <w:rFonts w:hint="eastAsia" w:hAnsi="宋体" w:eastAsia="宋体" w:cs="宋体"/>
          <w:color w:val="auto"/>
          <w:szCs w:val="24"/>
          <w:highlight w:val="none"/>
          <w:u w:val="single"/>
          <w:lang w:val="en-US" w:eastAsia="zh-CN"/>
        </w:rPr>
        <w:t xml:space="preserve">          </w:t>
      </w:r>
      <w:r>
        <w:rPr>
          <w:rFonts w:hint="eastAsia" w:hAnsi="宋体" w:eastAsia="宋体" w:cs="宋体"/>
          <w:color w:val="auto"/>
          <w:szCs w:val="24"/>
          <w:highlight w:val="none"/>
        </w:rPr>
        <w:t>号的招标活动进行投标。本公司所提交的投标文件中所有关于投标资格的文件、证明和陈述均是真实的、准确的。若与真实情况不符，本公司愿意承担由此而产生的一切后果。</w:t>
      </w:r>
    </w:p>
    <w:p w14:paraId="62082C4B">
      <w:pPr>
        <w:pStyle w:val="10"/>
        <w:spacing w:line="360" w:lineRule="auto"/>
        <w:rPr>
          <w:rFonts w:hAnsi="宋体" w:eastAsia="宋体" w:cs="宋体"/>
          <w:color w:val="auto"/>
          <w:szCs w:val="24"/>
          <w:highlight w:val="none"/>
        </w:rPr>
      </w:pPr>
    </w:p>
    <w:p w14:paraId="71924A51">
      <w:pPr>
        <w:pStyle w:val="10"/>
        <w:spacing w:line="360" w:lineRule="auto"/>
        <w:rPr>
          <w:rFonts w:hAnsi="宋体" w:eastAsia="宋体" w:cs="宋体"/>
          <w:color w:val="auto"/>
          <w:szCs w:val="24"/>
          <w:highlight w:val="none"/>
        </w:rPr>
      </w:pPr>
    </w:p>
    <w:p w14:paraId="11D98EF7">
      <w:pPr>
        <w:pStyle w:val="10"/>
        <w:tabs>
          <w:tab w:val="left" w:pos="2940"/>
        </w:tabs>
        <w:spacing w:line="360" w:lineRule="auto"/>
        <w:rPr>
          <w:rFonts w:hAnsi="宋体" w:eastAsia="宋体" w:cs="宋体"/>
          <w:color w:val="auto"/>
          <w:szCs w:val="24"/>
          <w:highlight w:val="none"/>
        </w:rPr>
      </w:pPr>
      <w:r>
        <w:rPr>
          <w:rFonts w:hint="eastAsia" w:hAnsi="宋体" w:eastAsia="宋体" w:cs="宋体"/>
          <w:color w:val="auto"/>
          <w:szCs w:val="24"/>
          <w:highlight w:val="none"/>
        </w:rPr>
        <w:tab/>
      </w:r>
    </w:p>
    <w:p w14:paraId="75A306E7">
      <w:pPr>
        <w:pStyle w:val="10"/>
        <w:tabs>
          <w:tab w:val="left" w:pos="2940"/>
        </w:tabs>
        <w:spacing w:line="360" w:lineRule="auto"/>
        <w:ind w:firstLine="2820"/>
        <w:rPr>
          <w:rFonts w:hAnsi="宋体" w:eastAsia="宋体" w:cs="宋体"/>
          <w:color w:val="auto"/>
          <w:szCs w:val="24"/>
          <w:highlight w:val="none"/>
        </w:rPr>
      </w:pPr>
      <w:r>
        <w:rPr>
          <w:rFonts w:hint="eastAsia" w:hAnsi="宋体" w:eastAsia="宋体" w:cs="宋体"/>
          <w:color w:val="auto"/>
          <w:szCs w:val="24"/>
          <w:highlight w:val="none"/>
        </w:rPr>
        <w:t>投标单位（盖公章）：</w:t>
      </w:r>
    </w:p>
    <w:p w14:paraId="266A431E">
      <w:pPr>
        <w:pStyle w:val="10"/>
        <w:spacing w:line="360" w:lineRule="auto"/>
        <w:rPr>
          <w:rFonts w:hAnsi="宋体" w:eastAsia="宋体" w:cs="宋体"/>
          <w:color w:val="auto"/>
          <w:szCs w:val="24"/>
          <w:highlight w:val="none"/>
        </w:rPr>
      </w:pPr>
      <w:r>
        <w:rPr>
          <w:rFonts w:hint="eastAsia" w:hAnsi="宋体" w:eastAsia="宋体" w:cs="宋体"/>
          <w:color w:val="auto"/>
          <w:szCs w:val="24"/>
          <w:highlight w:val="none"/>
        </w:rPr>
        <w:tab/>
      </w:r>
      <w:r>
        <w:rPr>
          <w:rFonts w:hint="eastAsia" w:hAnsi="宋体" w:eastAsia="宋体" w:cs="宋体"/>
          <w:color w:val="auto"/>
          <w:szCs w:val="24"/>
          <w:highlight w:val="none"/>
        </w:rPr>
        <w:tab/>
      </w:r>
      <w:r>
        <w:rPr>
          <w:rFonts w:hint="eastAsia" w:hAnsi="宋体" w:eastAsia="宋体" w:cs="宋体"/>
          <w:color w:val="auto"/>
          <w:szCs w:val="24"/>
          <w:highlight w:val="none"/>
        </w:rPr>
        <w:tab/>
      </w:r>
      <w:r>
        <w:rPr>
          <w:rFonts w:hint="eastAsia" w:hAnsi="宋体" w:eastAsia="宋体" w:cs="宋体"/>
          <w:color w:val="auto"/>
          <w:szCs w:val="24"/>
          <w:highlight w:val="none"/>
        </w:rPr>
        <w:tab/>
      </w:r>
      <w:r>
        <w:rPr>
          <w:rFonts w:hint="eastAsia" w:hAnsi="宋体" w:eastAsia="宋体" w:cs="宋体"/>
          <w:color w:val="auto"/>
          <w:szCs w:val="24"/>
          <w:highlight w:val="none"/>
        </w:rPr>
        <w:t>法定代表人或被授权人签字：</w:t>
      </w:r>
    </w:p>
    <w:p w14:paraId="33F032DC">
      <w:pPr>
        <w:pStyle w:val="10"/>
        <w:spacing w:line="360" w:lineRule="auto"/>
        <w:ind w:left="1700" w:firstLine="425"/>
        <w:rPr>
          <w:rFonts w:hAnsi="宋体" w:eastAsia="宋体" w:cs="宋体"/>
          <w:color w:val="auto"/>
          <w:szCs w:val="24"/>
          <w:highlight w:val="none"/>
        </w:rPr>
      </w:pPr>
    </w:p>
    <w:p w14:paraId="37BB780C">
      <w:pPr>
        <w:pStyle w:val="10"/>
        <w:spacing w:line="360" w:lineRule="auto"/>
        <w:ind w:left="4675" w:firstLine="425"/>
        <w:rPr>
          <w:rFonts w:hAnsi="宋体" w:eastAsia="宋体" w:cs="宋体"/>
          <w:color w:val="auto"/>
          <w:szCs w:val="24"/>
          <w:highlight w:val="none"/>
        </w:rPr>
      </w:pPr>
      <w:r>
        <w:rPr>
          <w:rFonts w:hint="eastAsia" w:hAnsi="宋体" w:eastAsia="宋体" w:cs="宋体"/>
          <w:color w:val="auto"/>
          <w:szCs w:val="24"/>
          <w:highlight w:val="none"/>
        </w:rPr>
        <w:t>年</w:t>
      </w:r>
      <w:r>
        <w:rPr>
          <w:rFonts w:hint="eastAsia" w:hAnsi="宋体" w:eastAsia="宋体" w:cs="宋体"/>
          <w:color w:val="auto"/>
          <w:szCs w:val="24"/>
          <w:highlight w:val="none"/>
        </w:rPr>
        <w:tab/>
      </w:r>
      <w:r>
        <w:rPr>
          <w:rFonts w:hint="eastAsia" w:hAnsi="宋体" w:eastAsia="宋体" w:cs="宋体"/>
          <w:color w:val="auto"/>
          <w:szCs w:val="24"/>
          <w:highlight w:val="none"/>
        </w:rPr>
        <w:t>月</w:t>
      </w:r>
      <w:r>
        <w:rPr>
          <w:rFonts w:hint="eastAsia" w:hAnsi="宋体" w:eastAsia="宋体" w:cs="宋体"/>
          <w:color w:val="auto"/>
          <w:szCs w:val="24"/>
          <w:highlight w:val="none"/>
        </w:rPr>
        <w:tab/>
      </w:r>
      <w:r>
        <w:rPr>
          <w:rFonts w:hint="eastAsia" w:hAnsi="宋体" w:eastAsia="宋体" w:cs="宋体"/>
          <w:color w:val="auto"/>
          <w:szCs w:val="24"/>
          <w:highlight w:val="none"/>
        </w:rPr>
        <w:t>日</w:t>
      </w:r>
    </w:p>
    <w:p w14:paraId="6DFE25E7">
      <w:pPr>
        <w:pStyle w:val="10"/>
        <w:spacing w:line="360" w:lineRule="auto"/>
        <w:ind w:firstLine="0"/>
        <w:rPr>
          <w:rFonts w:hAnsi="宋体" w:eastAsia="宋体" w:cs="宋体"/>
          <w:b/>
          <w:bCs/>
          <w:color w:val="auto"/>
          <w:szCs w:val="24"/>
          <w:highlight w:val="none"/>
        </w:rPr>
      </w:pPr>
    </w:p>
    <w:p w14:paraId="602ACD34">
      <w:pPr>
        <w:spacing w:line="588" w:lineRule="exact"/>
        <w:jc w:val="center"/>
        <w:rPr>
          <w:rFonts w:hAnsi="宋体" w:cs="宋体"/>
          <w:b/>
          <w:color w:val="auto"/>
          <w:spacing w:val="6"/>
          <w:sz w:val="24"/>
          <w:szCs w:val="24"/>
          <w:highlight w:val="none"/>
        </w:rPr>
      </w:pPr>
    </w:p>
    <w:p w14:paraId="0EF5CD73">
      <w:pPr>
        <w:pStyle w:val="10"/>
        <w:ind w:firstLine="0"/>
        <w:rPr>
          <w:rFonts w:hAnsi="宋体" w:eastAsia="宋体" w:cs="宋体"/>
          <w:b/>
          <w:color w:val="auto"/>
          <w:highlight w:val="none"/>
        </w:rPr>
      </w:pPr>
      <w:bookmarkStart w:id="36" w:name="_Toc510581590"/>
      <w:bookmarkStart w:id="37" w:name="_Toc3877586"/>
      <w:bookmarkStart w:id="38" w:name="_Toc510492187"/>
      <w:bookmarkStart w:id="39" w:name="_Toc511646987"/>
      <w:bookmarkStart w:id="40" w:name="_Toc510493321"/>
      <w:bookmarkStart w:id="41" w:name="_Toc446132972"/>
      <w:bookmarkStart w:id="42" w:name="_Toc511630749"/>
      <w:bookmarkStart w:id="43" w:name="_Toc510493766"/>
      <w:bookmarkStart w:id="44" w:name="_Toc510492434"/>
      <w:bookmarkStart w:id="45" w:name="_Toc511630986"/>
      <w:bookmarkStart w:id="46" w:name="_Toc510598364"/>
      <w:bookmarkStart w:id="47" w:name="_Toc510490464"/>
      <w:bookmarkStart w:id="48" w:name="_Toc510582180"/>
    </w:p>
    <w:p w14:paraId="09478820">
      <w:pPr>
        <w:pStyle w:val="10"/>
        <w:ind w:firstLine="0"/>
        <w:rPr>
          <w:rFonts w:hAnsi="宋体" w:eastAsia="宋体" w:cs="宋体"/>
          <w:color w:val="auto"/>
          <w:highlight w:val="none"/>
        </w:rPr>
      </w:pPr>
    </w:p>
    <w:p w14:paraId="734DCE68">
      <w:pPr>
        <w:pStyle w:val="10"/>
        <w:ind w:firstLine="0"/>
        <w:rPr>
          <w:rFonts w:hAnsi="宋体" w:eastAsia="宋体" w:cs="宋体"/>
          <w:color w:val="auto"/>
          <w:highlight w:val="none"/>
        </w:rPr>
      </w:pPr>
    </w:p>
    <w:p w14:paraId="7582311C">
      <w:pPr>
        <w:pStyle w:val="10"/>
        <w:ind w:firstLine="0"/>
        <w:rPr>
          <w:rFonts w:hAnsi="宋体" w:eastAsia="宋体" w:cs="宋体"/>
          <w:color w:val="auto"/>
          <w:highlight w:val="none"/>
        </w:rPr>
      </w:pPr>
    </w:p>
    <w:p w14:paraId="61061EB1">
      <w:pPr>
        <w:pStyle w:val="10"/>
        <w:ind w:firstLine="0"/>
        <w:rPr>
          <w:rFonts w:hAnsi="宋体" w:eastAsia="宋体" w:cs="宋体"/>
          <w:color w:val="auto"/>
          <w:highlight w:val="none"/>
        </w:rPr>
      </w:pPr>
    </w:p>
    <w:p w14:paraId="5E9C7B61">
      <w:pPr>
        <w:pStyle w:val="10"/>
        <w:ind w:firstLine="0"/>
        <w:rPr>
          <w:rFonts w:hAnsi="宋体" w:eastAsia="宋体" w:cs="宋体"/>
          <w:color w:val="auto"/>
          <w:highlight w:val="none"/>
        </w:rPr>
      </w:pPr>
    </w:p>
    <w:p w14:paraId="2AF4254D">
      <w:pPr>
        <w:pStyle w:val="10"/>
        <w:ind w:firstLine="0"/>
        <w:rPr>
          <w:rFonts w:hAnsi="宋体" w:eastAsia="宋体" w:cs="宋体"/>
          <w:color w:val="auto"/>
          <w:highlight w:val="none"/>
        </w:rPr>
      </w:pPr>
    </w:p>
    <w:p w14:paraId="64275926">
      <w:pPr>
        <w:pStyle w:val="10"/>
        <w:ind w:firstLine="0"/>
        <w:rPr>
          <w:rFonts w:hAnsi="宋体" w:eastAsia="宋体" w:cs="宋体"/>
          <w:color w:val="auto"/>
          <w:highlight w:val="none"/>
        </w:rPr>
      </w:pPr>
    </w:p>
    <w:p w14:paraId="3C01F988">
      <w:pPr>
        <w:pStyle w:val="10"/>
        <w:ind w:firstLine="0"/>
        <w:rPr>
          <w:rFonts w:hAnsi="宋体" w:eastAsia="宋体" w:cs="宋体"/>
          <w:color w:val="auto"/>
          <w:highlight w:val="none"/>
        </w:rPr>
      </w:pPr>
    </w:p>
    <w:p w14:paraId="64C2EC43">
      <w:pPr>
        <w:pStyle w:val="10"/>
        <w:ind w:firstLine="0"/>
        <w:rPr>
          <w:rFonts w:hAnsi="宋体" w:eastAsia="宋体" w:cs="宋体"/>
          <w:color w:val="auto"/>
          <w:highlight w:val="none"/>
        </w:rPr>
      </w:pPr>
    </w:p>
    <w:p w14:paraId="20FFB564">
      <w:pPr>
        <w:pStyle w:val="10"/>
        <w:ind w:firstLine="0"/>
        <w:rPr>
          <w:rFonts w:hAnsi="宋体" w:eastAsia="宋体" w:cs="宋体"/>
          <w:color w:val="auto"/>
          <w:highlight w:val="none"/>
        </w:rPr>
      </w:pPr>
    </w:p>
    <w:p w14:paraId="7B2EAFF0">
      <w:pPr>
        <w:pStyle w:val="10"/>
        <w:ind w:firstLine="0"/>
        <w:rPr>
          <w:rFonts w:hAnsi="宋体" w:eastAsia="宋体" w:cs="宋体"/>
          <w:color w:val="auto"/>
          <w:highlight w:val="none"/>
        </w:rPr>
      </w:pPr>
    </w:p>
    <w:p w14:paraId="5B27F712">
      <w:pPr>
        <w:pStyle w:val="10"/>
        <w:ind w:firstLine="0"/>
        <w:rPr>
          <w:rFonts w:hAnsi="宋体" w:eastAsia="宋体" w:cs="宋体"/>
          <w:color w:val="auto"/>
          <w:highlight w:val="none"/>
        </w:rPr>
      </w:pPr>
    </w:p>
    <w:p w14:paraId="7F417B0C">
      <w:pPr>
        <w:pStyle w:val="10"/>
        <w:ind w:firstLine="0"/>
        <w:rPr>
          <w:rFonts w:hAnsi="宋体" w:eastAsia="宋体" w:cs="宋体"/>
          <w:color w:val="auto"/>
          <w:highlight w:val="none"/>
        </w:rPr>
      </w:pPr>
    </w:p>
    <w:p w14:paraId="77C3DA58">
      <w:pPr>
        <w:pStyle w:val="10"/>
        <w:ind w:firstLine="0"/>
        <w:rPr>
          <w:rFonts w:hAnsi="宋体" w:eastAsia="宋体" w:cs="宋体"/>
          <w:color w:val="auto"/>
          <w:highlight w:val="none"/>
        </w:rPr>
      </w:pPr>
    </w:p>
    <w:p w14:paraId="5FE16100">
      <w:pPr>
        <w:pStyle w:val="10"/>
        <w:ind w:firstLine="0"/>
        <w:rPr>
          <w:rFonts w:hAnsi="宋体" w:eastAsia="宋体" w:cs="宋体"/>
          <w:b/>
          <w:color w:val="auto"/>
          <w:highlight w:val="none"/>
        </w:rPr>
      </w:pPr>
    </w:p>
    <w:p w14:paraId="51349AAF">
      <w:pPr>
        <w:pStyle w:val="10"/>
        <w:ind w:firstLine="0"/>
        <w:rPr>
          <w:rFonts w:hAnsi="宋体" w:eastAsia="宋体" w:cs="宋体"/>
          <w:b/>
          <w:color w:val="auto"/>
          <w:highlight w:val="none"/>
        </w:rPr>
      </w:pPr>
    </w:p>
    <w:p w14:paraId="45DA5B22">
      <w:pPr>
        <w:pStyle w:val="10"/>
        <w:ind w:firstLine="0"/>
        <w:rPr>
          <w:rFonts w:hAnsi="宋体" w:eastAsia="宋体" w:cs="宋体"/>
          <w:b/>
          <w:color w:val="auto"/>
          <w:highlight w:val="none"/>
        </w:rPr>
      </w:pPr>
    </w:p>
    <w:p w14:paraId="61A042E0">
      <w:pPr>
        <w:pStyle w:val="10"/>
        <w:ind w:firstLine="0"/>
        <w:rPr>
          <w:rFonts w:hAnsi="宋体" w:eastAsia="宋体" w:cs="宋体"/>
          <w:b/>
          <w:color w:val="auto"/>
          <w:highlight w:val="none"/>
        </w:rPr>
      </w:pPr>
      <w:r>
        <w:rPr>
          <w:rFonts w:hint="eastAsia" w:hAnsi="宋体" w:eastAsia="宋体" w:cs="宋体"/>
          <w:b/>
          <w:color w:val="auto"/>
          <w:highlight w:val="none"/>
        </w:rPr>
        <w:t>2）投标单位情况表</w:t>
      </w:r>
    </w:p>
    <w:p w14:paraId="21CA2732">
      <w:pPr>
        <w:pStyle w:val="10"/>
        <w:ind w:firstLine="0"/>
        <w:jc w:val="center"/>
        <w:rPr>
          <w:rFonts w:hAnsi="宋体" w:eastAsia="宋体" w:cs="宋体"/>
          <w:color w:val="auto"/>
          <w:highlight w:val="none"/>
        </w:rPr>
      </w:pPr>
      <w:r>
        <w:rPr>
          <w:rFonts w:hint="eastAsia" w:hAnsi="宋体" w:eastAsia="宋体" w:cs="宋体"/>
          <w:b/>
          <w:color w:val="auto"/>
          <w:highlight w:val="none"/>
        </w:rPr>
        <w:t>投标单位情况表</w:t>
      </w:r>
    </w:p>
    <w:p w14:paraId="5B09B2CA">
      <w:pPr>
        <w:pStyle w:val="10"/>
        <w:rPr>
          <w:rFonts w:hAnsi="宋体" w:eastAsia="宋体" w:cs="宋体"/>
          <w:color w:val="auto"/>
          <w:szCs w:val="24"/>
          <w:highlight w:val="none"/>
        </w:rPr>
      </w:pPr>
      <w:r>
        <w:rPr>
          <w:rFonts w:hint="eastAsia" w:hAnsi="宋体" w:eastAsia="宋体" w:cs="宋体"/>
          <w:color w:val="auto"/>
          <w:szCs w:val="24"/>
          <w:highlight w:val="none"/>
        </w:rPr>
        <w:t>单位名称（盖章）</w:t>
      </w:r>
    </w:p>
    <w:tbl>
      <w:tblPr>
        <w:tblStyle w:val="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23"/>
        <w:gridCol w:w="2331"/>
        <w:gridCol w:w="1458"/>
        <w:gridCol w:w="2917"/>
      </w:tblGrid>
      <w:tr w14:paraId="0FFB6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06" w:type="pct"/>
            <w:noWrap w:val="0"/>
            <w:tcMar>
              <w:top w:w="0" w:type="dxa"/>
              <w:left w:w="108" w:type="dxa"/>
              <w:bottom w:w="0" w:type="dxa"/>
              <w:right w:w="108" w:type="dxa"/>
            </w:tcMar>
            <w:vAlign w:val="top"/>
          </w:tcPr>
          <w:p w14:paraId="0D44B551">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法定代表人</w:t>
            </w:r>
          </w:p>
        </w:tc>
        <w:tc>
          <w:tcPr>
            <w:tcW w:w="1249" w:type="pct"/>
            <w:noWrap w:val="0"/>
            <w:tcMar>
              <w:top w:w="0" w:type="dxa"/>
              <w:left w:w="108" w:type="dxa"/>
              <w:bottom w:w="0" w:type="dxa"/>
              <w:right w:w="108" w:type="dxa"/>
            </w:tcMar>
            <w:vAlign w:val="top"/>
          </w:tcPr>
          <w:p w14:paraId="55A1FBE1">
            <w:pPr>
              <w:spacing w:line="360" w:lineRule="auto"/>
              <w:ind w:firstLine="720"/>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w:t>
            </w:r>
          </w:p>
        </w:tc>
        <w:tc>
          <w:tcPr>
            <w:tcW w:w="781" w:type="pct"/>
            <w:noWrap w:val="0"/>
            <w:tcMar>
              <w:top w:w="0" w:type="dxa"/>
              <w:left w:w="108" w:type="dxa"/>
              <w:bottom w:w="0" w:type="dxa"/>
              <w:right w:w="108" w:type="dxa"/>
            </w:tcMar>
            <w:vAlign w:val="top"/>
          </w:tcPr>
          <w:p w14:paraId="6F255F66">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成立日期</w:t>
            </w:r>
          </w:p>
        </w:tc>
        <w:tc>
          <w:tcPr>
            <w:tcW w:w="1562" w:type="pct"/>
            <w:noWrap w:val="0"/>
            <w:tcMar>
              <w:top w:w="0" w:type="dxa"/>
              <w:left w:w="108" w:type="dxa"/>
              <w:bottom w:w="0" w:type="dxa"/>
              <w:right w:w="108" w:type="dxa"/>
            </w:tcMar>
            <w:vAlign w:val="top"/>
          </w:tcPr>
          <w:p w14:paraId="08459045">
            <w:pPr>
              <w:spacing w:line="360" w:lineRule="auto"/>
              <w:ind w:firstLine="720"/>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w:t>
            </w:r>
          </w:p>
        </w:tc>
      </w:tr>
      <w:tr w14:paraId="0876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06" w:type="pct"/>
            <w:noWrap w:val="0"/>
            <w:tcMar>
              <w:top w:w="0" w:type="dxa"/>
              <w:left w:w="108" w:type="dxa"/>
              <w:bottom w:w="0" w:type="dxa"/>
              <w:right w:w="108" w:type="dxa"/>
            </w:tcMar>
            <w:vAlign w:val="top"/>
          </w:tcPr>
          <w:p w14:paraId="054658D1">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注册地址</w:t>
            </w:r>
          </w:p>
        </w:tc>
        <w:tc>
          <w:tcPr>
            <w:tcW w:w="1249" w:type="pct"/>
            <w:noWrap w:val="0"/>
            <w:tcMar>
              <w:top w:w="0" w:type="dxa"/>
              <w:left w:w="108" w:type="dxa"/>
              <w:bottom w:w="0" w:type="dxa"/>
              <w:right w:w="108" w:type="dxa"/>
            </w:tcMar>
            <w:vAlign w:val="top"/>
          </w:tcPr>
          <w:p w14:paraId="00542837">
            <w:pPr>
              <w:spacing w:line="360" w:lineRule="auto"/>
              <w:ind w:firstLine="720"/>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w:t>
            </w:r>
          </w:p>
        </w:tc>
        <w:tc>
          <w:tcPr>
            <w:tcW w:w="781" w:type="pct"/>
            <w:noWrap w:val="0"/>
            <w:tcMar>
              <w:top w:w="0" w:type="dxa"/>
              <w:left w:w="108" w:type="dxa"/>
              <w:bottom w:w="0" w:type="dxa"/>
              <w:right w:w="108" w:type="dxa"/>
            </w:tcMar>
            <w:vAlign w:val="top"/>
          </w:tcPr>
          <w:p w14:paraId="1CDE09E7">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注册资金</w:t>
            </w:r>
          </w:p>
        </w:tc>
        <w:tc>
          <w:tcPr>
            <w:tcW w:w="1562" w:type="pct"/>
            <w:noWrap w:val="0"/>
            <w:tcMar>
              <w:top w:w="0" w:type="dxa"/>
              <w:left w:w="108" w:type="dxa"/>
              <w:bottom w:w="0" w:type="dxa"/>
              <w:right w:w="108" w:type="dxa"/>
            </w:tcMar>
            <w:vAlign w:val="top"/>
          </w:tcPr>
          <w:p w14:paraId="7F4D5C6B">
            <w:pPr>
              <w:spacing w:line="360" w:lineRule="auto"/>
              <w:ind w:firstLine="720"/>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w:t>
            </w:r>
          </w:p>
        </w:tc>
      </w:tr>
      <w:tr w14:paraId="2AD87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06" w:type="pct"/>
            <w:noWrap w:val="0"/>
            <w:tcMar>
              <w:top w:w="0" w:type="dxa"/>
              <w:left w:w="108" w:type="dxa"/>
              <w:bottom w:w="0" w:type="dxa"/>
              <w:right w:w="108" w:type="dxa"/>
            </w:tcMar>
            <w:vAlign w:val="top"/>
          </w:tcPr>
          <w:p w14:paraId="6F332913">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经营范围</w:t>
            </w:r>
          </w:p>
        </w:tc>
        <w:tc>
          <w:tcPr>
            <w:tcW w:w="3593" w:type="pct"/>
            <w:gridSpan w:val="3"/>
            <w:noWrap w:val="0"/>
            <w:tcMar>
              <w:top w:w="0" w:type="dxa"/>
              <w:left w:w="108" w:type="dxa"/>
              <w:bottom w:w="0" w:type="dxa"/>
              <w:right w:w="108" w:type="dxa"/>
            </w:tcMar>
            <w:vAlign w:val="top"/>
          </w:tcPr>
          <w:p w14:paraId="0FBD10BD">
            <w:pPr>
              <w:spacing w:line="360" w:lineRule="auto"/>
              <w:ind w:firstLine="720"/>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w:t>
            </w:r>
          </w:p>
        </w:tc>
      </w:tr>
      <w:tr w14:paraId="1EFD5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06" w:type="pct"/>
            <w:noWrap w:val="0"/>
            <w:tcMar>
              <w:top w:w="0" w:type="dxa"/>
              <w:left w:w="108" w:type="dxa"/>
              <w:bottom w:w="0" w:type="dxa"/>
              <w:right w:w="108" w:type="dxa"/>
            </w:tcMar>
            <w:vAlign w:val="top"/>
          </w:tcPr>
          <w:p w14:paraId="22B373EC">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实现利润</w:t>
            </w:r>
          </w:p>
        </w:tc>
        <w:tc>
          <w:tcPr>
            <w:tcW w:w="1249" w:type="pct"/>
            <w:noWrap w:val="0"/>
            <w:tcMar>
              <w:top w:w="0" w:type="dxa"/>
              <w:left w:w="108" w:type="dxa"/>
              <w:bottom w:w="0" w:type="dxa"/>
              <w:right w:w="108" w:type="dxa"/>
            </w:tcMar>
            <w:vAlign w:val="top"/>
          </w:tcPr>
          <w:p w14:paraId="3DAF1DC3">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2024</w:t>
            </w:r>
            <w:r>
              <w:rPr>
                <w:rFonts w:hint="eastAsia" w:ascii="宋体" w:hAnsi="宋体" w:eastAsia="宋体" w:cs="Times New Roman"/>
                <w:bCs/>
                <w:color w:val="auto"/>
                <w:sz w:val="24"/>
                <w:highlight w:val="none"/>
              </w:rPr>
              <w:t>年</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万元</w:t>
            </w:r>
          </w:p>
        </w:tc>
        <w:tc>
          <w:tcPr>
            <w:tcW w:w="781" w:type="pct"/>
            <w:noWrap w:val="0"/>
            <w:tcMar>
              <w:top w:w="0" w:type="dxa"/>
              <w:left w:w="108" w:type="dxa"/>
              <w:bottom w:w="0" w:type="dxa"/>
              <w:right w:w="108" w:type="dxa"/>
            </w:tcMar>
            <w:vAlign w:val="top"/>
          </w:tcPr>
          <w:p w14:paraId="170A23BD">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员工总人数</w:t>
            </w:r>
          </w:p>
        </w:tc>
        <w:tc>
          <w:tcPr>
            <w:tcW w:w="1562" w:type="pct"/>
            <w:noWrap w:val="0"/>
            <w:tcMar>
              <w:top w:w="0" w:type="dxa"/>
              <w:left w:w="108" w:type="dxa"/>
              <w:bottom w:w="0" w:type="dxa"/>
              <w:right w:w="108" w:type="dxa"/>
            </w:tcMar>
            <w:vAlign w:val="top"/>
          </w:tcPr>
          <w:p w14:paraId="19E14CB5">
            <w:pPr>
              <w:spacing w:line="360" w:lineRule="auto"/>
              <w:ind w:firstLine="720"/>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w:t>
            </w:r>
          </w:p>
        </w:tc>
      </w:tr>
      <w:tr w14:paraId="15201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06" w:type="pct"/>
            <w:noWrap w:val="0"/>
            <w:tcMar>
              <w:top w:w="0" w:type="dxa"/>
              <w:left w:w="108" w:type="dxa"/>
              <w:bottom w:w="0" w:type="dxa"/>
              <w:right w:w="108" w:type="dxa"/>
            </w:tcMar>
            <w:vAlign w:val="top"/>
          </w:tcPr>
          <w:p w14:paraId="13290EE0">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资产总计</w:t>
            </w:r>
          </w:p>
        </w:tc>
        <w:tc>
          <w:tcPr>
            <w:tcW w:w="1249" w:type="pct"/>
            <w:noWrap w:val="0"/>
            <w:tcMar>
              <w:top w:w="0" w:type="dxa"/>
              <w:left w:w="108" w:type="dxa"/>
              <w:bottom w:w="0" w:type="dxa"/>
              <w:right w:w="108" w:type="dxa"/>
            </w:tcMar>
            <w:vAlign w:val="top"/>
          </w:tcPr>
          <w:p w14:paraId="2F6619E6">
            <w:pPr>
              <w:spacing w:line="360" w:lineRule="auto"/>
              <w:ind w:firstLine="720"/>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万元</w:t>
            </w:r>
          </w:p>
        </w:tc>
        <w:tc>
          <w:tcPr>
            <w:tcW w:w="781" w:type="pct"/>
            <w:noWrap w:val="0"/>
            <w:tcMar>
              <w:top w:w="0" w:type="dxa"/>
              <w:left w:w="108" w:type="dxa"/>
              <w:bottom w:w="0" w:type="dxa"/>
              <w:right w:w="108" w:type="dxa"/>
            </w:tcMar>
            <w:vAlign w:val="top"/>
          </w:tcPr>
          <w:p w14:paraId="613FF00F">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营业收入</w:t>
            </w:r>
          </w:p>
        </w:tc>
        <w:tc>
          <w:tcPr>
            <w:tcW w:w="1562" w:type="pct"/>
            <w:noWrap w:val="0"/>
            <w:tcMar>
              <w:top w:w="0" w:type="dxa"/>
              <w:left w:w="108" w:type="dxa"/>
              <w:bottom w:w="0" w:type="dxa"/>
              <w:right w:w="108" w:type="dxa"/>
            </w:tcMar>
            <w:vAlign w:val="top"/>
          </w:tcPr>
          <w:p w14:paraId="3EF2C129">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2024</w:t>
            </w:r>
            <w:r>
              <w:rPr>
                <w:rFonts w:hint="eastAsia" w:ascii="宋体" w:hAnsi="宋体" w:eastAsia="宋体" w:cs="Times New Roman"/>
                <w:bCs/>
                <w:color w:val="auto"/>
                <w:sz w:val="24"/>
                <w:highlight w:val="none"/>
              </w:rPr>
              <w:t>年</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万元</w:t>
            </w:r>
          </w:p>
        </w:tc>
      </w:tr>
      <w:tr w14:paraId="18D26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06" w:type="pct"/>
            <w:noWrap w:val="0"/>
            <w:tcMar>
              <w:top w:w="0" w:type="dxa"/>
              <w:left w:w="108" w:type="dxa"/>
              <w:bottom w:w="0" w:type="dxa"/>
              <w:right w:w="108" w:type="dxa"/>
            </w:tcMar>
            <w:vAlign w:val="top"/>
          </w:tcPr>
          <w:p w14:paraId="7465D24F">
            <w:pPr>
              <w:spacing w:line="360" w:lineRule="auto"/>
              <w:jc w:val="both"/>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单位简历及内设机构情况</w:t>
            </w:r>
          </w:p>
        </w:tc>
        <w:tc>
          <w:tcPr>
            <w:tcW w:w="3593" w:type="pct"/>
            <w:gridSpan w:val="3"/>
            <w:noWrap w:val="0"/>
            <w:tcMar>
              <w:top w:w="0" w:type="dxa"/>
              <w:left w:w="108" w:type="dxa"/>
              <w:bottom w:w="0" w:type="dxa"/>
              <w:right w:w="108" w:type="dxa"/>
            </w:tcMar>
            <w:vAlign w:val="top"/>
          </w:tcPr>
          <w:p w14:paraId="5B0B05A4">
            <w:pPr>
              <w:spacing w:line="360" w:lineRule="auto"/>
              <w:ind w:firstLine="720"/>
              <w:jc w:val="both"/>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 </w:t>
            </w:r>
          </w:p>
        </w:tc>
      </w:tr>
      <w:tr w14:paraId="74DE1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06" w:type="pct"/>
            <w:noWrap w:val="0"/>
            <w:tcMar>
              <w:top w:w="0" w:type="dxa"/>
              <w:left w:w="108" w:type="dxa"/>
              <w:bottom w:w="0" w:type="dxa"/>
              <w:right w:w="108" w:type="dxa"/>
            </w:tcMar>
            <w:vAlign w:val="top"/>
          </w:tcPr>
          <w:p w14:paraId="743F0DDC">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单位优势及特长</w:t>
            </w:r>
          </w:p>
        </w:tc>
        <w:tc>
          <w:tcPr>
            <w:tcW w:w="3593" w:type="pct"/>
            <w:gridSpan w:val="3"/>
            <w:noWrap w:val="0"/>
            <w:tcMar>
              <w:top w:w="0" w:type="dxa"/>
              <w:left w:w="108" w:type="dxa"/>
              <w:bottom w:w="0" w:type="dxa"/>
              <w:right w:w="108" w:type="dxa"/>
            </w:tcMar>
            <w:vAlign w:val="top"/>
          </w:tcPr>
          <w:p w14:paraId="6EE1605D">
            <w:pPr>
              <w:spacing w:line="360" w:lineRule="auto"/>
              <w:ind w:firstLine="720"/>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w:t>
            </w:r>
          </w:p>
        </w:tc>
      </w:tr>
      <w:tr w14:paraId="2D8B6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06" w:type="pct"/>
            <w:noWrap w:val="0"/>
            <w:tcMar>
              <w:top w:w="0" w:type="dxa"/>
              <w:left w:w="108" w:type="dxa"/>
              <w:bottom w:w="0" w:type="dxa"/>
              <w:right w:w="108" w:type="dxa"/>
            </w:tcMar>
            <w:vAlign w:val="top"/>
          </w:tcPr>
          <w:p w14:paraId="242CEC3A">
            <w:pPr>
              <w:spacing w:line="360" w:lineRule="auto"/>
              <w:jc w:val="both"/>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商业信誉和健全的财务会计制度介绍</w:t>
            </w:r>
          </w:p>
        </w:tc>
        <w:tc>
          <w:tcPr>
            <w:tcW w:w="3593" w:type="pct"/>
            <w:gridSpan w:val="3"/>
            <w:noWrap w:val="0"/>
            <w:tcMar>
              <w:top w:w="0" w:type="dxa"/>
              <w:left w:w="108" w:type="dxa"/>
              <w:bottom w:w="0" w:type="dxa"/>
              <w:right w:w="108" w:type="dxa"/>
            </w:tcMar>
            <w:vAlign w:val="top"/>
          </w:tcPr>
          <w:p w14:paraId="48715D04">
            <w:pPr>
              <w:spacing w:line="360" w:lineRule="auto"/>
              <w:ind w:firstLine="720"/>
              <w:jc w:val="both"/>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 </w:t>
            </w:r>
          </w:p>
        </w:tc>
      </w:tr>
      <w:tr w14:paraId="38EDE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06" w:type="pct"/>
            <w:noWrap w:val="0"/>
            <w:tcMar>
              <w:top w:w="0" w:type="dxa"/>
              <w:left w:w="108" w:type="dxa"/>
              <w:bottom w:w="0" w:type="dxa"/>
              <w:right w:w="108" w:type="dxa"/>
            </w:tcMar>
            <w:vAlign w:val="top"/>
          </w:tcPr>
          <w:p w14:paraId="54602935">
            <w:pPr>
              <w:spacing w:line="360" w:lineRule="auto"/>
              <w:jc w:val="both"/>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履行合同所必需的设备和专业技术能力情况</w:t>
            </w:r>
          </w:p>
        </w:tc>
        <w:tc>
          <w:tcPr>
            <w:tcW w:w="3593" w:type="pct"/>
            <w:gridSpan w:val="3"/>
            <w:noWrap w:val="0"/>
            <w:tcMar>
              <w:top w:w="0" w:type="dxa"/>
              <w:left w:w="108" w:type="dxa"/>
              <w:bottom w:w="0" w:type="dxa"/>
              <w:right w:w="108" w:type="dxa"/>
            </w:tcMar>
            <w:vAlign w:val="top"/>
          </w:tcPr>
          <w:p w14:paraId="761F267D">
            <w:pPr>
              <w:spacing w:line="360" w:lineRule="auto"/>
              <w:ind w:firstLine="720"/>
              <w:jc w:val="both"/>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 </w:t>
            </w:r>
          </w:p>
        </w:tc>
      </w:tr>
      <w:tr w14:paraId="4C7A3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06" w:type="pct"/>
            <w:noWrap w:val="0"/>
            <w:tcMar>
              <w:top w:w="0" w:type="dxa"/>
              <w:left w:w="108" w:type="dxa"/>
              <w:bottom w:w="0" w:type="dxa"/>
              <w:right w:w="108" w:type="dxa"/>
            </w:tcMar>
            <w:vAlign w:val="top"/>
          </w:tcPr>
          <w:p w14:paraId="1F063A39">
            <w:pPr>
              <w:spacing w:line="360" w:lineRule="auto"/>
              <w:jc w:val="both"/>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依法缴纳税收和社会保障资金情况</w:t>
            </w:r>
          </w:p>
        </w:tc>
        <w:tc>
          <w:tcPr>
            <w:tcW w:w="3593" w:type="pct"/>
            <w:gridSpan w:val="3"/>
            <w:noWrap w:val="0"/>
            <w:tcMar>
              <w:top w:w="0" w:type="dxa"/>
              <w:left w:w="108" w:type="dxa"/>
              <w:bottom w:w="0" w:type="dxa"/>
              <w:right w:w="108" w:type="dxa"/>
            </w:tcMar>
            <w:vAlign w:val="top"/>
          </w:tcPr>
          <w:p w14:paraId="7E9F3DDC">
            <w:pPr>
              <w:spacing w:line="360" w:lineRule="auto"/>
              <w:ind w:firstLine="720"/>
              <w:jc w:val="both"/>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 </w:t>
            </w:r>
          </w:p>
        </w:tc>
      </w:tr>
      <w:tr w14:paraId="17D91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06" w:type="pct"/>
            <w:noWrap w:val="0"/>
            <w:tcMar>
              <w:top w:w="0" w:type="dxa"/>
              <w:left w:w="108" w:type="dxa"/>
              <w:bottom w:w="0" w:type="dxa"/>
              <w:right w:w="108" w:type="dxa"/>
            </w:tcMar>
            <w:vAlign w:val="top"/>
          </w:tcPr>
          <w:p w14:paraId="644B07E4">
            <w:pPr>
              <w:spacing w:line="360" w:lineRule="auto"/>
              <w:jc w:val="both"/>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参加政府采购活动前三年内，在经营活动中有无重大违法记录</w:t>
            </w:r>
          </w:p>
        </w:tc>
        <w:tc>
          <w:tcPr>
            <w:tcW w:w="3593" w:type="pct"/>
            <w:gridSpan w:val="3"/>
            <w:noWrap w:val="0"/>
            <w:tcMar>
              <w:top w:w="0" w:type="dxa"/>
              <w:left w:w="108" w:type="dxa"/>
              <w:bottom w:w="0" w:type="dxa"/>
              <w:right w:w="108" w:type="dxa"/>
            </w:tcMar>
            <w:vAlign w:val="top"/>
          </w:tcPr>
          <w:p w14:paraId="6C91CF25">
            <w:pPr>
              <w:spacing w:line="360" w:lineRule="auto"/>
              <w:ind w:firstLine="720"/>
              <w:jc w:val="both"/>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lang w:eastAsia="zh-CN"/>
              </w:rPr>
              <w:t> </w:t>
            </w:r>
          </w:p>
        </w:tc>
      </w:tr>
      <w:tr w14:paraId="1594F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06" w:type="pct"/>
            <w:noWrap w:val="0"/>
            <w:tcMar>
              <w:top w:w="0" w:type="dxa"/>
              <w:left w:w="108" w:type="dxa"/>
              <w:bottom w:w="0" w:type="dxa"/>
              <w:right w:w="108" w:type="dxa"/>
            </w:tcMar>
            <w:vAlign w:val="top"/>
          </w:tcPr>
          <w:p w14:paraId="3470A851">
            <w:pPr>
              <w:spacing w:line="360" w:lineRule="auto"/>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其他需要说明的情况</w:t>
            </w:r>
          </w:p>
        </w:tc>
        <w:tc>
          <w:tcPr>
            <w:tcW w:w="3593" w:type="pct"/>
            <w:gridSpan w:val="3"/>
            <w:noWrap w:val="0"/>
            <w:tcMar>
              <w:top w:w="0" w:type="dxa"/>
              <w:left w:w="108" w:type="dxa"/>
              <w:bottom w:w="0" w:type="dxa"/>
              <w:right w:w="108" w:type="dxa"/>
            </w:tcMar>
            <w:vAlign w:val="top"/>
          </w:tcPr>
          <w:p w14:paraId="3416947D">
            <w:pPr>
              <w:spacing w:line="360" w:lineRule="auto"/>
              <w:ind w:firstLine="720"/>
              <w:jc w:val="both"/>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w:t>
            </w:r>
          </w:p>
        </w:tc>
      </w:tr>
    </w:tbl>
    <w:p w14:paraId="7F07FB0F">
      <w:pPr>
        <w:pStyle w:val="10"/>
        <w:spacing w:line="400" w:lineRule="exact"/>
        <w:ind w:firstLine="0"/>
        <w:rPr>
          <w:rFonts w:hAnsi="宋体" w:eastAsia="宋体" w:cs="宋体"/>
          <w:color w:val="auto"/>
          <w:szCs w:val="24"/>
          <w:highlight w:val="none"/>
        </w:rPr>
      </w:pPr>
    </w:p>
    <w:p w14:paraId="2348098E">
      <w:pPr>
        <w:spacing w:line="360" w:lineRule="auto"/>
        <w:rPr>
          <w:rFonts w:hAnsi="宋体" w:cs="宋体"/>
          <w:b/>
          <w:color w:val="auto"/>
          <w:sz w:val="24"/>
          <w:highlight w:val="none"/>
        </w:rPr>
      </w:pPr>
    </w:p>
    <w:p w14:paraId="1F20A566">
      <w:pPr>
        <w:spacing w:line="360" w:lineRule="auto"/>
        <w:rPr>
          <w:rFonts w:hAnsi="宋体" w:cs="宋体"/>
          <w:b/>
          <w:color w:val="auto"/>
          <w:sz w:val="24"/>
          <w:highlight w:val="none"/>
        </w:rPr>
      </w:pPr>
    </w:p>
    <w:p w14:paraId="0255D0E9">
      <w:pPr>
        <w:pStyle w:val="9"/>
        <w:rPr>
          <w:color w:val="auto"/>
          <w:highlight w:val="none"/>
        </w:rPr>
      </w:pPr>
    </w:p>
    <w:p w14:paraId="2EF5133A">
      <w:pPr>
        <w:spacing w:line="360" w:lineRule="auto"/>
        <w:rPr>
          <w:rFonts w:hAnsi="宋体" w:cs="宋体"/>
          <w:b/>
          <w:color w:val="auto"/>
          <w:sz w:val="24"/>
          <w:highlight w:val="none"/>
        </w:rPr>
      </w:pPr>
    </w:p>
    <w:p w14:paraId="3A67B698">
      <w:pPr>
        <w:pStyle w:val="5"/>
        <w:rPr>
          <w:rFonts w:hAnsi="宋体" w:cs="宋体"/>
          <w:b/>
          <w:color w:val="auto"/>
          <w:sz w:val="24"/>
          <w:highlight w:val="none"/>
        </w:rPr>
      </w:pPr>
    </w:p>
    <w:p w14:paraId="7593E31D">
      <w:pPr>
        <w:pStyle w:val="5"/>
        <w:rPr>
          <w:rFonts w:hAnsi="宋体" w:cs="宋体"/>
          <w:b/>
          <w:color w:val="auto"/>
          <w:sz w:val="24"/>
          <w:highlight w:val="none"/>
        </w:rPr>
      </w:pPr>
    </w:p>
    <w:p w14:paraId="35FC8D88">
      <w:pPr>
        <w:spacing w:line="360" w:lineRule="auto"/>
        <w:rPr>
          <w:rFonts w:hAnsi="宋体" w:cs="宋体"/>
          <w:b/>
          <w:color w:val="auto"/>
          <w:spacing w:val="6"/>
          <w:sz w:val="24"/>
          <w:highlight w:val="none"/>
        </w:rPr>
      </w:pPr>
      <w:r>
        <w:rPr>
          <w:rFonts w:hint="eastAsia" w:hAnsi="宋体" w:cs="宋体"/>
          <w:b/>
          <w:color w:val="auto"/>
          <w:sz w:val="24"/>
          <w:highlight w:val="none"/>
        </w:rPr>
        <w:t>3）中小企业声明函</w:t>
      </w:r>
    </w:p>
    <w:p w14:paraId="22C6ABDE">
      <w:pPr>
        <w:spacing w:line="360" w:lineRule="auto"/>
        <w:jc w:val="center"/>
        <w:rPr>
          <w:rFonts w:hAnsi="宋体"/>
          <w:b/>
          <w:bCs/>
          <w:color w:val="auto"/>
          <w:sz w:val="24"/>
          <w:highlight w:val="none"/>
        </w:rPr>
      </w:pPr>
      <w:bookmarkStart w:id="49" w:name="_Hlk112879382"/>
      <w:r>
        <w:rPr>
          <w:rFonts w:hint="eastAsia" w:hAnsi="宋体"/>
          <w:b/>
          <w:bCs/>
          <w:color w:val="auto"/>
          <w:sz w:val="24"/>
          <w:highlight w:val="none"/>
        </w:rPr>
        <w:t>中小企业声明函（工程、服务）</w:t>
      </w:r>
    </w:p>
    <w:p w14:paraId="7CD62F17">
      <w:pPr>
        <w:spacing w:line="360" w:lineRule="auto"/>
        <w:ind w:firstLine="720"/>
        <w:rPr>
          <w:rFonts w:hAnsi="宋体"/>
          <w:bCs/>
          <w:color w:val="auto"/>
          <w:sz w:val="24"/>
          <w:highlight w:val="none"/>
        </w:rPr>
      </w:pPr>
      <w:r>
        <w:rPr>
          <w:rFonts w:hint="eastAsia" w:hAnsi="宋体"/>
          <w:bCs/>
          <w:color w:val="auto"/>
          <w:sz w:val="24"/>
          <w:highlight w:val="none"/>
        </w:rPr>
        <w:t>本公司（联合体）郑重声明，根据《政府采购促进中小企业发展管理办法》（财库﹝</w:t>
      </w:r>
      <w:r>
        <w:rPr>
          <w:rFonts w:hAnsi="宋体"/>
          <w:bCs/>
          <w:color w:val="auto"/>
          <w:sz w:val="24"/>
          <w:highlight w:val="none"/>
        </w:rPr>
        <w:t>2020</w:t>
      </w:r>
      <w:r>
        <w:rPr>
          <w:rFonts w:hint="eastAsia" w:hAnsi="宋体"/>
          <w:bCs/>
          <w:color w:val="auto"/>
          <w:sz w:val="24"/>
          <w:highlight w:val="none"/>
        </w:rPr>
        <w:t>﹞</w:t>
      </w:r>
      <w:r>
        <w:rPr>
          <w:rFonts w:hAnsi="宋体"/>
          <w:bCs/>
          <w:color w:val="auto"/>
          <w:sz w:val="24"/>
          <w:highlight w:val="none"/>
        </w:rPr>
        <w:t xml:space="preserve">46 </w:t>
      </w:r>
      <w:r>
        <w:rPr>
          <w:rFonts w:hint="eastAsia" w:hAnsi="宋体"/>
          <w:bCs/>
          <w:color w:val="auto"/>
          <w:sz w:val="24"/>
          <w:highlight w:val="none"/>
        </w:rPr>
        <w:t>号）的规定，本公司（联合体）参加</w:t>
      </w:r>
      <w:r>
        <w:rPr>
          <w:rFonts w:hint="eastAsia" w:hAnsi="宋体"/>
          <w:bCs/>
          <w:color w:val="auto"/>
          <w:sz w:val="24"/>
          <w:highlight w:val="none"/>
          <w:u w:val="single"/>
        </w:rPr>
        <w:t>（单位名称）</w:t>
      </w:r>
      <w:r>
        <w:rPr>
          <w:rFonts w:hAnsi="宋体"/>
          <w:bCs/>
          <w:color w:val="auto"/>
          <w:sz w:val="24"/>
          <w:highlight w:val="none"/>
          <w:u w:val="single"/>
        </w:rPr>
        <w:t xml:space="preserve">                 </w:t>
      </w:r>
      <w:r>
        <w:rPr>
          <w:rFonts w:hint="eastAsia" w:hAnsi="宋体"/>
          <w:bCs/>
          <w:color w:val="auto"/>
          <w:sz w:val="24"/>
          <w:highlight w:val="none"/>
        </w:rPr>
        <w:t>的</w:t>
      </w:r>
      <w:r>
        <w:rPr>
          <w:rFonts w:hint="eastAsia" w:hAnsi="宋体"/>
          <w:bCs/>
          <w:color w:val="auto"/>
          <w:sz w:val="24"/>
          <w:highlight w:val="none"/>
          <w:u w:val="single"/>
        </w:rPr>
        <w:t>（项目名称）</w:t>
      </w:r>
      <w:r>
        <w:rPr>
          <w:rFonts w:hAnsi="宋体"/>
          <w:bCs/>
          <w:color w:val="auto"/>
          <w:sz w:val="24"/>
          <w:highlight w:val="none"/>
          <w:u w:val="single"/>
        </w:rPr>
        <w:t xml:space="preserve">             </w:t>
      </w:r>
      <w:r>
        <w:rPr>
          <w:rFonts w:hint="eastAsia" w:hAnsi="宋体"/>
          <w:bCs/>
          <w:color w:val="auto"/>
          <w:sz w:val="24"/>
          <w:highlight w:val="none"/>
        </w:rPr>
        <w:t>采购活动，工程的施工单位全部为符合政策要求的中小企业（或者：服务</w:t>
      </w:r>
      <w:r>
        <w:rPr>
          <w:rFonts w:hAnsi="宋体"/>
          <w:bCs/>
          <w:color w:val="auto"/>
          <w:sz w:val="24"/>
          <w:highlight w:val="none"/>
        </w:rPr>
        <w:t xml:space="preserve"> </w:t>
      </w:r>
      <w:r>
        <w:rPr>
          <w:rFonts w:hint="eastAsia" w:hAnsi="宋体"/>
          <w:bCs/>
          <w:color w:val="auto"/>
          <w:sz w:val="24"/>
          <w:highlight w:val="none"/>
        </w:rPr>
        <w:t>全部由符合政策要求的中小企业承接）。相关企业（含联合</w:t>
      </w:r>
      <w:r>
        <w:rPr>
          <w:rFonts w:hAnsi="宋体"/>
          <w:bCs/>
          <w:color w:val="auto"/>
          <w:sz w:val="24"/>
          <w:highlight w:val="none"/>
        </w:rPr>
        <w:t xml:space="preserve"> </w:t>
      </w:r>
      <w:r>
        <w:rPr>
          <w:rFonts w:hint="eastAsia" w:hAnsi="宋体"/>
          <w:bCs/>
          <w:color w:val="auto"/>
          <w:sz w:val="24"/>
          <w:highlight w:val="none"/>
        </w:rPr>
        <w:t>体中的中小企业、签订分包意向协议的中小企业）的具体情</w:t>
      </w:r>
      <w:r>
        <w:rPr>
          <w:rFonts w:hAnsi="宋体"/>
          <w:bCs/>
          <w:color w:val="auto"/>
          <w:sz w:val="24"/>
          <w:highlight w:val="none"/>
        </w:rPr>
        <w:t xml:space="preserve"> </w:t>
      </w:r>
      <w:r>
        <w:rPr>
          <w:rFonts w:hint="eastAsia" w:hAnsi="宋体"/>
          <w:bCs/>
          <w:color w:val="auto"/>
          <w:sz w:val="24"/>
          <w:highlight w:val="none"/>
        </w:rPr>
        <w:t>况如下：</w:t>
      </w:r>
    </w:p>
    <w:p w14:paraId="2A12B4F8">
      <w:pPr>
        <w:spacing w:line="360" w:lineRule="auto"/>
        <w:rPr>
          <w:rFonts w:hAnsi="宋体"/>
          <w:bCs/>
          <w:color w:val="auto"/>
          <w:sz w:val="24"/>
          <w:highlight w:val="none"/>
        </w:rPr>
      </w:pPr>
      <w:r>
        <w:rPr>
          <w:rFonts w:hAnsi="宋体"/>
          <w:bCs/>
          <w:color w:val="auto"/>
          <w:sz w:val="24"/>
          <w:highlight w:val="none"/>
        </w:rPr>
        <w:t xml:space="preserve"> 1. </w:t>
      </w:r>
      <w:r>
        <w:rPr>
          <w:rFonts w:hint="eastAsia" w:hAnsi="宋体"/>
          <w:bCs/>
          <w:color w:val="auto"/>
          <w:sz w:val="24"/>
          <w:highlight w:val="none"/>
          <w:u w:val="single"/>
        </w:rPr>
        <w:t>（标的名称）</w:t>
      </w:r>
      <w:r>
        <w:rPr>
          <w:rFonts w:hAnsi="宋体"/>
          <w:bCs/>
          <w:color w:val="auto"/>
          <w:sz w:val="24"/>
          <w:highlight w:val="none"/>
          <w:u w:val="single"/>
        </w:rPr>
        <w:t xml:space="preserve"> </w:t>
      </w:r>
      <w:r>
        <w:rPr>
          <w:rFonts w:hint="eastAsia" w:hAnsi="宋体"/>
          <w:bCs/>
          <w:color w:val="auto"/>
          <w:sz w:val="24"/>
          <w:highlight w:val="none"/>
        </w:rPr>
        <w:t>，属于</w:t>
      </w:r>
      <w:r>
        <w:rPr>
          <w:rFonts w:hAnsi="宋体"/>
          <w:bCs/>
          <w:color w:val="auto"/>
          <w:sz w:val="24"/>
          <w:highlight w:val="none"/>
          <w:u w:val="single"/>
        </w:rPr>
        <w:t xml:space="preserve">            </w:t>
      </w:r>
      <w:r>
        <w:rPr>
          <w:rFonts w:hint="eastAsia" w:hAnsi="宋体"/>
          <w:bCs/>
          <w:color w:val="auto"/>
          <w:sz w:val="24"/>
          <w:highlight w:val="none"/>
          <w:u w:val="single"/>
        </w:rPr>
        <w:t>（采购文件中明确的所属行业）</w:t>
      </w:r>
      <w:r>
        <w:rPr>
          <w:rFonts w:hint="eastAsia" w:hAnsi="宋体"/>
          <w:bCs/>
          <w:color w:val="auto"/>
          <w:sz w:val="24"/>
          <w:highlight w:val="none"/>
        </w:rPr>
        <w:t>；</w:t>
      </w:r>
      <w:r>
        <w:rPr>
          <w:rFonts w:hAnsi="宋体"/>
          <w:bCs/>
          <w:color w:val="auto"/>
          <w:sz w:val="24"/>
          <w:highlight w:val="none"/>
        </w:rPr>
        <w:t xml:space="preserve"> </w:t>
      </w:r>
      <w:r>
        <w:rPr>
          <w:rFonts w:hint="eastAsia" w:hAnsi="宋体"/>
          <w:bCs/>
          <w:color w:val="auto"/>
          <w:sz w:val="24"/>
          <w:highlight w:val="none"/>
        </w:rPr>
        <w:t>承建（承接）企业为</w:t>
      </w:r>
      <w:r>
        <w:rPr>
          <w:rFonts w:hint="eastAsia" w:hAnsi="宋体"/>
          <w:bCs/>
          <w:color w:val="auto"/>
          <w:sz w:val="24"/>
          <w:highlight w:val="none"/>
          <w:u w:val="single"/>
        </w:rPr>
        <w:t>（企业名称）</w:t>
      </w:r>
      <w:r>
        <w:rPr>
          <w:rFonts w:hint="eastAsia" w:hAnsi="宋体"/>
          <w:bCs/>
          <w:color w:val="auto"/>
          <w:sz w:val="24"/>
          <w:highlight w:val="none"/>
        </w:rPr>
        <w:t>，从业人员</w:t>
      </w:r>
      <w:r>
        <w:rPr>
          <w:rFonts w:hAnsi="宋体"/>
          <w:bCs/>
          <w:color w:val="auto"/>
          <w:sz w:val="24"/>
          <w:highlight w:val="none"/>
          <w:u w:val="single"/>
        </w:rPr>
        <w:t xml:space="preserve">    </w:t>
      </w:r>
      <w:r>
        <w:rPr>
          <w:rFonts w:hint="eastAsia" w:hAnsi="宋体"/>
          <w:bCs/>
          <w:color w:val="auto"/>
          <w:sz w:val="24"/>
          <w:highlight w:val="none"/>
        </w:rPr>
        <w:t>人，营业</w:t>
      </w:r>
      <w:r>
        <w:rPr>
          <w:rFonts w:hAnsi="宋体"/>
          <w:bCs/>
          <w:color w:val="auto"/>
          <w:sz w:val="24"/>
          <w:highlight w:val="none"/>
        </w:rPr>
        <w:t xml:space="preserve"> </w:t>
      </w:r>
      <w:r>
        <w:rPr>
          <w:rFonts w:hint="eastAsia" w:hAnsi="宋体"/>
          <w:bCs/>
          <w:color w:val="auto"/>
          <w:sz w:val="24"/>
          <w:highlight w:val="none"/>
        </w:rPr>
        <w:t>收入为</w:t>
      </w:r>
      <w:r>
        <w:rPr>
          <w:rFonts w:hAnsi="宋体"/>
          <w:bCs/>
          <w:color w:val="auto"/>
          <w:sz w:val="24"/>
          <w:highlight w:val="none"/>
          <w:u w:val="single"/>
        </w:rPr>
        <w:t xml:space="preserve">     </w:t>
      </w:r>
      <w:r>
        <w:rPr>
          <w:rFonts w:hAnsi="宋体"/>
          <w:bCs/>
          <w:color w:val="auto"/>
          <w:sz w:val="24"/>
          <w:highlight w:val="none"/>
        </w:rPr>
        <w:t xml:space="preserve"> </w:t>
      </w:r>
      <w:r>
        <w:rPr>
          <w:rFonts w:hint="eastAsia" w:hAnsi="宋体"/>
          <w:bCs/>
          <w:color w:val="auto"/>
          <w:sz w:val="24"/>
          <w:highlight w:val="none"/>
        </w:rPr>
        <w:t>万元，资产总额为</w:t>
      </w:r>
      <w:r>
        <w:rPr>
          <w:rFonts w:hAnsi="宋体"/>
          <w:bCs/>
          <w:color w:val="auto"/>
          <w:sz w:val="24"/>
          <w:highlight w:val="none"/>
        </w:rPr>
        <w:t xml:space="preserve"> </w:t>
      </w:r>
      <w:r>
        <w:rPr>
          <w:rFonts w:hAnsi="宋体"/>
          <w:bCs/>
          <w:color w:val="auto"/>
          <w:sz w:val="24"/>
          <w:highlight w:val="none"/>
          <w:u w:val="single"/>
        </w:rPr>
        <w:t xml:space="preserve">  </w:t>
      </w:r>
      <w:r>
        <w:rPr>
          <w:rFonts w:hint="eastAsia" w:hAnsi="宋体"/>
          <w:bCs/>
          <w:color w:val="auto"/>
          <w:sz w:val="24"/>
          <w:highlight w:val="none"/>
          <w:u w:val="single"/>
        </w:rPr>
        <w:t xml:space="preserve"> </w:t>
      </w:r>
      <w:r>
        <w:rPr>
          <w:rFonts w:hAnsi="宋体"/>
          <w:bCs/>
          <w:color w:val="auto"/>
          <w:sz w:val="24"/>
          <w:highlight w:val="none"/>
          <w:u w:val="single"/>
        </w:rPr>
        <w:t xml:space="preserve">  </w:t>
      </w:r>
      <w:r>
        <w:rPr>
          <w:rFonts w:hint="eastAsia" w:hAnsi="宋体"/>
          <w:bCs/>
          <w:color w:val="auto"/>
          <w:sz w:val="24"/>
          <w:highlight w:val="none"/>
        </w:rPr>
        <w:t>万元</w:t>
      </w:r>
      <w:r>
        <w:rPr>
          <w:rFonts w:hAnsi="宋体"/>
          <w:bCs/>
          <w:color w:val="auto"/>
          <w:sz w:val="24"/>
          <w:highlight w:val="none"/>
        </w:rPr>
        <w:t xml:space="preserve"> </w:t>
      </w:r>
      <w:r>
        <w:rPr>
          <w:rFonts w:hint="eastAsia" w:hAnsi="宋体"/>
          <w:bCs/>
          <w:color w:val="auto"/>
          <w:sz w:val="24"/>
          <w:highlight w:val="none"/>
        </w:rPr>
        <w:t>，属于</w:t>
      </w:r>
      <w:r>
        <w:rPr>
          <w:rFonts w:hAnsi="宋体"/>
          <w:bCs/>
          <w:color w:val="auto"/>
          <w:sz w:val="24"/>
          <w:highlight w:val="none"/>
          <w:u w:val="single"/>
        </w:rPr>
        <w:t xml:space="preserve">                 </w:t>
      </w:r>
      <w:r>
        <w:rPr>
          <w:rFonts w:hint="eastAsia" w:hAnsi="宋体"/>
          <w:bCs/>
          <w:color w:val="auto"/>
          <w:sz w:val="24"/>
          <w:highlight w:val="none"/>
          <w:u w:val="single"/>
        </w:rPr>
        <w:t>（中型企业、</w:t>
      </w:r>
      <w:r>
        <w:rPr>
          <w:rFonts w:hAnsi="宋体"/>
          <w:bCs/>
          <w:color w:val="auto"/>
          <w:sz w:val="24"/>
          <w:highlight w:val="none"/>
          <w:u w:val="single"/>
        </w:rPr>
        <w:t xml:space="preserve"> </w:t>
      </w:r>
      <w:r>
        <w:rPr>
          <w:rFonts w:hint="eastAsia" w:hAnsi="宋体"/>
          <w:bCs/>
          <w:color w:val="auto"/>
          <w:sz w:val="24"/>
          <w:highlight w:val="none"/>
          <w:u w:val="single"/>
        </w:rPr>
        <w:t>小型企业、微型企业）</w:t>
      </w:r>
      <w:r>
        <w:rPr>
          <w:rFonts w:hint="eastAsia" w:hAnsi="宋体"/>
          <w:bCs/>
          <w:color w:val="auto"/>
          <w:sz w:val="24"/>
          <w:highlight w:val="none"/>
        </w:rPr>
        <w:t>；</w:t>
      </w:r>
    </w:p>
    <w:p w14:paraId="3B790C8F">
      <w:pPr>
        <w:spacing w:line="360" w:lineRule="auto"/>
        <w:rPr>
          <w:rFonts w:hAnsi="宋体"/>
          <w:bCs/>
          <w:color w:val="auto"/>
          <w:sz w:val="24"/>
          <w:highlight w:val="none"/>
        </w:rPr>
      </w:pPr>
      <w:r>
        <w:rPr>
          <w:rFonts w:hint="eastAsia" w:hAnsi="宋体"/>
          <w:bCs/>
          <w:color w:val="auto"/>
          <w:sz w:val="24"/>
          <w:highlight w:val="none"/>
        </w:rPr>
        <w:t>以上企业，不属于大企业的分支机构，不存在控股股东</w:t>
      </w:r>
      <w:r>
        <w:rPr>
          <w:rFonts w:hAnsi="宋体"/>
          <w:bCs/>
          <w:color w:val="auto"/>
          <w:sz w:val="24"/>
          <w:highlight w:val="none"/>
        </w:rPr>
        <w:t xml:space="preserve"> </w:t>
      </w:r>
      <w:r>
        <w:rPr>
          <w:rFonts w:hint="eastAsia" w:hAnsi="宋体"/>
          <w:bCs/>
          <w:color w:val="auto"/>
          <w:sz w:val="24"/>
          <w:highlight w:val="none"/>
        </w:rPr>
        <w:t>为大企业的情形，也不存在与大企业的负责人为同一人的情</w:t>
      </w:r>
      <w:r>
        <w:rPr>
          <w:rFonts w:hAnsi="宋体"/>
          <w:bCs/>
          <w:color w:val="auto"/>
          <w:sz w:val="24"/>
          <w:highlight w:val="none"/>
        </w:rPr>
        <w:t xml:space="preserve"> </w:t>
      </w:r>
      <w:r>
        <w:rPr>
          <w:rFonts w:hint="eastAsia" w:hAnsi="宋体"/>
          <w:bCs/>
          <w:color w:val="auto"/>
          <w:sz w:val="24"/>
          <w:highlight w:val="none"/>
        </w:rPr>
        <w:t>形。</w:t>
      </w:r>
      <w:r>
        <w:rPr>
          <w:rFonts w:hAnsi="宋体"/>
          <w:bCs/>
          <w:color w:val="auto"/>
          <w:sz w:val="24"/>
          <w:highlight w:val="none"/>
        </w:rPr>
        <w:t xml:space="preserve"> </w:t>
      </w:r>
    </w:p>
    <w:p w14:paraId="41262036">
      <w:pPr>
        <w:spacing w:line="360" w:lineRule="auto"/>
        <w:rPr>
          <w:rFonts w:hAnsi="宋体"/>
          <w:bCs/>
          <w:color w:val="auto"/>
          <w:sz w:val="24"/>
          <w:highlight w:val="none"/>
        </w:rPr>
      </w:pPr>
      <w:r>
        <w:rPr>
          <w:rFonts w:hint="eastAsia" w:hAnsi="宋体"/>
          <w:bCs/>
          <w:color w:val="auto"/>
          <w:sz w:val="24"/>
          <w:highlight w:val="none"/>
        </w:rPr>
        <w:t>本企业对上述声明内容的真实性负责。如有虚假，将依</w:t>
      </w:r>
      <w:r>
        <w:rPr>
          <w:rFonts w:hAnsi="宋体"/>
          <w:bCs/>
          <w:color w:val="auto"/>
          <w:sz w:val="24"/>
          <w:highlight w:val="none"/>
        </w:rPr>
        <w:t xml:space="preserve"> </w:t>
      </w:r>
      <w:r>
        <w:rPr>
          <w:rFonts w:hint="eastAsia" w:hAnsi="宋体"/>
          <w:bCs/>
          <w:color w:val="auto"/>
          <w:sz w:val="24"/>
          <w:highlight w:val="none"/>
        </w:rPr>
        <w:t>法承担相应责任。</w:t>
      </w:r>
    </w:p>
    <w:p w14:paraId="773C2137">
      <w:pPr>
        <w:spacing w:line="360" w:lineRule="auto"/>
        <w:ind w:right="480"/>
        <w:rPr>
          <w:rFonts w:hAnsi="宋体"/>
          <w:bCs/>
          <w:color w:val="auto"/>
          <w:sz w:val="24"/>
          <w:highlight w:val="none"/>
        </w:rPr>
      </w:pPr>
      <w:r>
        <w:rPr>
          <w:rFonts w:hAnsi="宋体"/>
          <w:bCs/>
          <w:color w:val="auto"/>
          <w:sz w:val="24"/>
          <w:highlight w:val="none"/>
        </w:rPr>
        <w:t xml:space="preserve"> </w:t>
      </w:r>
      <w:r>
        <w:rPr>
          <w:rFonts w:hint="eastAsia" w:hAnsi="宋体"/>
          <w:bCs/>
          <w:color w:val="auto"/>
          <w:sz w:val="24"/>
          <w:highlight w:val="none"/>
        </w:rPr>
        <w:t>企业名称（盖章）：</w:t>
      </w:r>
      <w:r>
        <w:rPr>
          <w:rFonts w:hAnsi="宋体"/>
          <w:bCs/>
          <w:color w:val="auto"/>
          <w:sz w:val="24"/>
          <w:highlight w:val="none"/>
        </w:rPr>
        <w:t xml:space="preserve"> </w:t>
      </w:r>
    </w:p>
    <w:p w14:paraId="587291B2">
      <w:pPr>
        <w:spacing w:line="360" w:lineRule="auto"/>
        <w:ind w:right="480"/>
        <w:rPr>
          <w:rFonts w:hAnsi="宋体"/>
          <w:bCs/>
          <w:color w:val="auto"/>
          <w:sz w:val="24"/>
          <w:highlight w:val="none"/>
        </w:rPr>
      </w:pPr>
      <w:r>
        <w:rPr>
          <w:rFonts w:hint="eastAsia" w:hAnsi="宋体"/>
          <w:bCs/>
          <w:color w:val="auto"/>
          <w:sz w:val="24"/>
          <w:highlight w:val="none"/>
        </w:rPr>
        <w:t>日</w:t>
      </w:r>
      <w:r>
        <w:rPr>
          <w:rFonts w:hAnsi="宋体"/>
          <w:bCs/>
          <w:color w:val="auto"/>
          <w:sz w:val="24"/>
          <w:highlight w:val="none"/>
        </w:rPr>
        <w:t xml:space="preserve"> </w:t>
      </w:r>
      <w:r>
        <w:rPr>
          <w:rFonts w:hint="eastAsia" w:hAnsi="宋体"/>
          <w:bCs/>
          <w:color w:val="auto"/>
          <w:sz w:val="24"/>
          <w:highlight w:val="none"/>
        </w:rPr>
        <w:t>期：</w:t>
      </w:r>
      <w:bookmarkEnd w:id="49"/>
    </w:p>
    <w:p w14:paraId="5DB8E636">
      <w:pPr>
        <w:spacing w:line="360" w:lineRule="auto"/>
        <w:ind w:firstLine="480"/>
        <w:jc w:val="left"/>
        <w:rPr>
          <w:rFonts w:hAnsi="宋体" w:cs="宋体"/>
          <w:color w:val="auto"/>
          <w:sz w:val="24"/>
          <w:szCs w:val="24"/>
          <w:highlight w:val="none"/>
        </w:rPr>
      </w:pPr>
      <w:r>
        <w:rPr>
          <w:rFonts w:hint="eastAsia" w:hAnsi="宋体"/>
          <w:color w:val="auto"/>
          <w:sz w:val="24"/>
          <w:szCs w:val="24"/>
          <w:highlight w:val="none"/>
        </w:rPr>
        <w:t>注：1、</w:t>
      </w:r>
      <w:r>
        <w:rPr>
          <w:rFonts w:hint="eastAsia" w:hAnsi="宋体" w:cs="宋体"/>
          <w:color w:val="auto"/>
          <w:sz w:val="24"/>
          <w:szCs w:val="24"/>
          <w:highlight w:val="none"/>
          <w:lang w:val="zh-CN"/>
        </w:rPr>
        <w:t>从业人员、营业收入、资产总额填报上一年度数据，无上一年度数据的新成立企业可不填报。</w:t>
      </w:r>
    </w:p>
    <w:p w14:paraId="7A0C75FF">
      <w:pPr>
        <w:widowControl/>
        <w:spacing w:line="360" w:lineRule="auto"/>
        <w:ind w:left="105" w:firstLine="480"/>
        <w:jc w:val="left"/>
        <w:rPr>
          <w:rFonts w:hint="eastAsia" w:hAnsi="宋体"/>
          <w:color w:val="auto"/>
          <w:highlight w:val="none"/>
        </w:rPr>
      </w:pPr>
      <w:r>
        <w:rPr>
          <w:rFonts w:hint="eastAsia" w:hAnsi="宋体" w:cs="Calibri"/>
          <w:color w:val="auto"/>
          <w:sz w:val="24"/>
          <w:szCs w:val="24"/>
          <w:highlight w:val="none"/>
        </w:rPr>
        <w:t>2、</w:t>
      </w:r>
      <w:r>
        <w:rPr>
          <w:rFonts w:hAnsi="宋体" w:cs="Calibri"/>
          <w:color w:val="auto"/>
          <w:sz w:val="24"/>
          <w:szCs w:val="24"/>
          <w:highlight w:val="none"/>
        </w:rPr>
        <w:t>中小企业划分标准详见工信部联企业〔2011〕300号通知中的《中小企业划型标准规定》。</w:t>
      </w:r>
    </w:p>
    <w:p w14:paraId="066F68B2">
      <w:pPr>
        <w:spacing w:line="360" w:lineRule="auto"/>
        <w:ind w:firstLine="3360"/>
        <w:rPr>
          <w:rFonts w:hint="eastAsia" w:hAnsi="宋体" w:cs="宋体"/>
          <w:color w:val="auto"/>
          <w:sz w:val="24"/>
          <w:highlight w:val="none"/>
        </w:rPr>
      </w:pPr>
      <w:r>
        <w:rPr>
          <w:rFonts w:hint="eastAsia" w:hAnsi="宋体" w:cs="宋体"/>
          <w:color w:val="auto"/>
          <w:sz w:val="24"/>
          <w:szCs w:val="24"/>
          <w:highlight w:val="none"/>
        </w:rPr>
        <w:t xml:space="preserve">企业名称（盖章）： </w:t>
      </w:r>
    </w:p>
    <w:p w14:paraId="616B1A34">
      <w:pPr>
        <w:spacing w:line="360" w:lineRule="auto"/>
        <w:ind w:firstLine="3360"/>
        <w:rPr>
          <w:rFonts w:hint="eastAsia" w:hAnsi="宋体" w:cs="宋体"/>
          <w:color w:val="auto"/>
          <w:sz w:val="24"/>
          <w:highlight w:val="none"/>
        </w:rPr>
      </w:pPr>
      <w:r>
        <w:rPr>
          <w:rFonts w:hint="eastAsia" w:hAnsi="宋体" w:cs="宋体"/>
          <w:color w:val="auto"/>
          <w:sz w:val="24"/>
          <w:szCs w:val="24"/>
          <w:highlight w:val="none"/>
        </w:rPr>
        <w:t xml:space="preserve">日 期： </w:t>
      </w:r>
    </w:p>
    <w:p w14:paraId="3ED54609">
      <w:pPr>
        <w:pStyle w:val="22"/>
        <w:rPr>
          <w:rFonts w:ascii="宋体" w:hAnsi="宋体"/>
          <w:color w:val="auto"/>
          <w:sz w:val="24"/>
          <w:szCs w:val="24"/>
          <w:highlight w:val="none"/>
        </w:rPr>
      </w:pPr>
      <w:r>
        <w:rPr>
          <w:rFonts w:hint="eastAsia" w:ascii="宋体" w:hAnsi="宋体"/>
          <w:b/>
          <w:color w:val="auto"/>
          <w:sz w:val="24"/>
          <w:szCs w:val="24"/>
          <w:highlight w:val="none"/>
        </w:rPr>
        <w:t>备注：</w:t>
      </w: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从业人员、营业收入、资产总额填报上一年度数据，无上一年度数据的新成立企业可不填报。</w:t>
      </w:r>
    </w:p>
    <w:p w14:paraId="32518999">
      <w:pPr>
        <w:pStyle w:val="22"/>
        <w:ind w:firstLine="480"/>
        <w:rPr>
          <w:rFonts w:ascii="宋体" w:hAnsi="宋体"/>
          <w:b/>
          <w:color w:val="auto"/>
          <w:sz w:val="24"/>
          <w:szCs w:val="24"/>
          <w:highlight w:val="none"/>
        </w:rPr>
      </w:pPr>
      <w:r>
        <w:rPr>
          <w:rFonts w:ascii="宋体" w:hAnsi="宋体"/>
          <w:color w:val="auto"/>
          <w:sz w:val="24"/>
          <w:szCs w:val="24"/>
          <w:highlight w:val="none"/>
        </w:rPr>
        <w:t>2.</w:t>
      </w:r>
      <w:r>
        <w:rPr>
          <w:color w:val="auto"/>
          <w:sz w:val="24"/>
          <w:szCs w:val="24"/>
          <w:highlight w:val="none"/>
        </w:rPr>
        <w:t>在货物采购项目中，货物由中小企业制造，即货物由中小企业生产且使用该中小企业商号或者注册商标</w:t>
      </w:r>
      <w:r>
        <w:rPr>
          <w:rFonts w:hint="eastAsia" w:ascii="宋体" w:hAnsi="宋体"/>
          <w:b/>
          <w:color w:val="auto"/>
          <w:sz w:val="24"/>
          <w:szCs w:val="24"/>
          <w:highlight w:val="none"/>
        </w:rPr>
        <w:t>。</w:t>
      </w:r>
      <w:r>
        <w:rPr>
          <w:b/>
          <w:color w:val="auto"/>
          <w:sz w:val="24"/>
          <w:szCs w:val="24"/>
          <w:highlight w:val="none"/>
        </w:rPr>
        <w:t>供应商提供的货物既有中小企业制造货物，也有大型企业制造货物的，不享受</w:t>
      </w:r>
      <w:r>
        <w:rPr>
          <w:rFonts w:hint="eastAsia"/>
          <w:b/>
          <w:color w:val="auto"/>
          <w:sz w:val="24"/>
          <w:szCs w:val="24"/>
          <w:highlight w:val="none"/>
        </w:rPr>
        <w:t>相应</w:t>
      </w:r>
      <w:r>
        <w:rPr>
          <w:b/>
          <w:color w:val="auto"/>
          <w:sz w:val="24"/>
          <w:szCs w:val="24"/>
          <w:highlight w:val="none"/>
        </w:rPr>
        <w:t>扶持政策。</w:t>
      </w:r>
    </w:p>
    <w:p w14:paraId="383F1A44">
      <w:pPr>
        <w:pStyle w:val="22"/>
        <w:ind w:firstLine="48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《中小企业声明函》中所填的行业应与本采购标的对应的中小企业划分标准所属行业一致，不一致的不可享受相应政策优惠。</w:t>
      </w:r>
      <w:r>
        <w:rPr>
          <w:rFonts w:hint="eastAsia" w:ascii="宋体" w:hAnsi="宋体"/>
          <w:b/>
          <w:color w:val="auto"/>
          <w:sz w:val="24"/>
          <w:szCs w:val="24"/>
          <w:highlight w:val="none"/>
        </w:rPr>
        <w:t>本采购标的对应的中小企业划分标准所属行业，以采购文件第四章《招标书》规定为准。</w:t>
      </w:r>
    </w:p>
    <w:p w14:paraId="6C72267C">
      <w:pPr>
        <w:pStyle w:val="22"/>
        <w:ind w:firstLine="48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b/>
          <w:color w:val="auto"/>
          <w:sz w:val="24"/>
          <w:szCs w:val="24"/>
          <w:highlight w:val="none"/>
        </w:rPr>
        <w:t>如未对（中型企业、小型企业、微型企业）进行勾选，视同非小微企业，不可享受相应扶持政策</w:t>
      </w:r>
      <w:r>
        <w:rPr>
          <w:rFonts w:hint="eastAsia" w:ascii="宋体" w:hAnsi="宋体"/>
          <w:color w:val="auto"/>
          <w:sz w:val="24"/>
          <w:szCs w:val="24"/>
          <w:highlight w:val="none"/>
        </w:rPr>
        <w:t>。</w:t>
      </w:r>
    </w:p>
    <w:p w14:paraId="2127EE4B">
      <w:pPr>
        <w:pStyle w:val="22"/>
        <w:ind w:firstLine="480"/>
        <w:rPr>
          <w:rFonts w:hint="eastAsia"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中标单位为中小企业的，《中小企业声明函》将随中标结果同时公告。</w:t>
      </w:r>
    </w:p>
    <w:p w14:paraId="379EED83">
      <w:pPr>
        <w:pStyle w:val="15"/>
        <w:spacing w:before="0" w:beforeAutospacing="0" w:after="0" w:afterAutospacing="0" w:line="480" w:lineRule="atLeast"/>
        <w:rPr>
          <w:rFonts w:hint="eastAsia" w:cs="宋体"/>
          <w:b/>
          <w:color w:val="auto"/>
          <w:highlight w:val="none"/>
        </w:rPr>
      </w:pPr>
    </w:p>
    <w:p w14:paraId="596198FF">
      <w:pPr>
        <w:widowControl/>
        <w:spacing w:line="280" w:lineRule="exact"/>
        <w:rPr>
          <w:rFonts w:hint="eastAsia" w:hAnsi="宋体" w:cs="宋体"/>
          <w:b/>
          <w:color w:val="auto"/>
          <w:sz w:val="20"/>
          <w:highlight w:val="none"/>
        </w:rPr>
      </w:pPr>
    </w:p>
    <w:p w14:paraId="084D1D77">
      <w:pPr>
        <w:widowControl/>
        <w:spacing w:line="280" w:lineRule="exact"/>
        <w:rPr>
          <w:rFonts w:hint="eastAsia" w:hAnsi="宋体" w:cs="宋体"/>
          <w:b/>
          <w:color w:val="auto"/>
          <w:sz w:val="24"/>
          <w:szCs w:val="24"/>
          <w:highlight w:val="none"/>
        </w:rPr>
      </w:pPr>
      <w:r>
        <w:rPr>
          <w:rFonts w:hint="eastAsia" w:hAnsi="宋体" w:cs="宋体"/>
          <w:b/>
          <w:color w:val="auto"/>
          <w:sz w:val="24"/>
          <w:szCs w:val="24"/>
          <w:highlight w:val="none"/>
        </w:rPr>
        <w:t>附：中小企业划型标准规定</w:t>
      </w:r>
    </w:p>
    <w:p w14:paraId="030E19F5">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（一）农、林、牧、渔业。</w:t>
      </w:r>
      <w:r>
        <w:rPr>
          <w:rFonts w:hint="eastAsia" w:hAnsi="宋体" w:cs="宋体"/>
          <w:color w:val="auto"/>
          <w:sz w:val="24"/>
          <w:szCs w:val="24"/>
          <w:highlight w:val="none"/>
        </w:rPr>
        <w:t>营业收入20000万元以下的为中小微型企业。其中，营业收入500万元及以上的为中型企业，营业收入50万元及以上的为小型企业，营业收入50万元以下的为微型企业。</w:t>
      </w:r>
    </w:p>
    <w:p w14:paraId="26D6FBEE">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（二）工业。</w:t>
      </w:r>
      <w:r>
        <w:rPr>
          <w:rFonts w:hint="eastAsia" w:hAnsi="宋体" w:cs="宋体"/>
          <w:color w:val="auto"/>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F04691">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（三）建筑业。</w:t>
      </w:r>
      <w:r>
        <w:rPr>
          <w:rFonts w:hint="eastAsia" w:hAnsi="宋体" w:cs="宋体"/>
          <w:color w:val="auto"/>
          <w:sz w:val="24"/>
          <w:szCs w:val="24"/>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07E2982">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（四）批发业。</w:t>
      </w:r>
      <w:r>
        <w:rPr>
          <w:rFonts w:hint="eastAsia" w:hAnsi="宋体" w:cs="宋体"/>
          <w:color w:val="auto"/>
          <w:sz w:val="24"/>
          <w:szCs w:val="24"/>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0B8C2EC">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（五）零售业。</w:t>
      </w:r>
      <w:r>
        <w:rPr>
          <w:rFonts w:hint="eastAsia" w:hAnsi="宋体" w:cs="宋体"/>
          <w:color w:val="auto"/>
          <w:sz w:val="24"/>
          <w:szCs w:val="24"/>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D45E0A4">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（六）交通运输业。</w:t>
      </w:r>
      <w:r>
        <w:rPr>
          <w:rFonts w:hint="eastAsia" w:hAnsi="宋体" w:cs="宋体"/>
          <w:color w:val="auto"/>
          <w:sz w:val="24"/>
          <w:szCs w:val="24"/>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711834">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（七）仓储业。</w:t>
      </w:r>
      <w:r>
        <w:rPr>
          <w:rFonts w:hint="eastAsia" w:hAnsi="宋体" w:cs="宋体"/>
          <w:color w:val="auto"/>
          <w:sz w:val="24"/>
          <w:szCs w:val="24"/>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5619C9">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（八）邮政业。</w:t>
      </w:r>
      <w:r>
        <w:rPr>
          <w:rFonts w:hint="eastAsia" w:hAnsi="宋体" w:cs="宋体"/>
          <w:color w:val="auto"/>
          <w:sz w:val="24"/>
          <w:szCs w:val="24"/>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6E6C55C">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（九）住宿业。</w:t>
      </w:r>
      <w:r>
        <w:rPr>
          <w:rFonts w:hint="eastAsia" w:hAnsi="宋体" w:cs="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5738CD9">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（十）餐饮业。</w:t>
      </w:r>
      <w:r>
        <w:rPr>
          <w:rFonts w:hint="eastAsia" w:hAnsi="宋体" w:cs="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13E250">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（十一）信息传输业。</w:t>
      </w:r>
      <w:r>
        <w:rPr>
          <w:rFonts w:hint="eastAsia" w:hAnsi="宋体" w:cs="宋体"/>
          <w:color w:val="auto"/>
          <w:sz w:val="24"/>
          <w:szCs w:val="24"/>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798D53B">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（十二）软件和信息技术服务业。</w:t>
      </w:r>
      <w:r>
        <w:rPr>
          <w:rFonts w:hint="eastAsia" w:hAnsi="宋体" w:cs="宋体"/>
          <w:color w:val="auto"/>
          <w:sz w:val="24"/>
          <w:szCs w:val="24"/>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506CE86">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（十三）房地产开发经营。</w:t>
      </w:r>
      <w:r>
        <w:rPr>
          <w:rFonts w:hint="eastAsia" w:hAnsi="宋体" w:cs="宋体"/>
          <w:color w:val="auto"/>
          <w:sz w:val="24"/>
          <w:szCs w:val="24"/>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E99FE02">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（十四）物业管理。</w:t>
      </w:r>
      <w:r>
        <w:rPr>
          <w:rFonts w:hint="eastAsia" w:hAnsi="宋体" w:cs="宋体"/>
          <w:color w:val="auto"/>
          <w:sz w:val="24"/>
          <w:szCs w:val="24"/>
          <w:highlight w:val="none"/>
        </w:rPr>
        <w:t>从业人员1000人以下或营业收入5000万元以下的为中小微型企业。其中，从业人员</w:t>
      </w:r>
    </w:p>
    <w:p w14:paraId="0D628586">
      <w:pPr>
        <w:widowControl/>
        <w:spacing w:line="280" w:lineRule="exact"/>
        <w:rPr>
          <w:rFonts w:hAnsi="宋体" w:cs="宋体"/>
          <w:color w:val="auto"/>
          <w:sz w:val="24"/>
          <w:szCs w:val="24"/>
          <w:highlight w:val="none"/>
        </w:rPr>
      </w:pPr>
      <w:r>
        <w:rPr>
          <w:rFonts w:hint="eastAsia" w:hAnsi="宋体" w:cs="宋体"/>
          <w:color w:val="auto"/>
          <w:sz w:val="24"/>
          <w:szCs w:val="24"/>
          <w:highlight w:val="none"/>
        </w:rPr>
        <w:t>300人及以上，且营业收入1000万元及以上的为中型企业；从业人员100人及以上，且营业收入500万元及以上的为小型企业；从业人员100人以下或营业收入500万元以下的为微型企业。</w:t>
      </w:r>
    </w:p>
    <w:p w14:paraId="75F5E406">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（十五）租赁和商务服务业。</w:t>
      </w:r>
      <w:r>
        <w:rPr>
          <w:rFonts w:hint="eastAsia" w:hAnsi="宋体" w:cs="宋体"/>
          <w:color w:val="auto"/>
          <w:sz w:val="24"/>
          <w:szCs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0FAB5A1">
      <w:pPr>
        <w:widowControl/>
        <w:spacing w:line="280" w:lineRule="exact"/>
        <w:ind w:firstLine="482"/>
        <w:rPr>
          <w:rFonts w:hAnsi="宋体" w:cs="宋体"/>
          <w:color w:val="auto"/>
          <w:sz w:val="24"/>
          <w:szCs w:val="24"/>
          <w:highlight w:val="none"/>
        </w:rPr>
      </w:pPr>
      <w:r>
        <w:rPr>
          <w:rFonts w:hint="eastAsia" w:hAnsi="宋体" w:cs="宋体"/>
          <w:b/>
          <w:color w:val="auto"/>
          <w:sz w:val="24"/>
          <w:szCs w:val="24"/>
          <w:highlight w:val="none"/>
        </w:rPr>
        <w:t>（十六）其他未列明行业。</w:t>
      </w:r>
      <w:r>
        <w:rPr>
          <w:rFonts w:hint="eastAsia" w:hAnsi="宋体" w:cs="宋体"/>
          <w:color w:val="auto"/>
          <w:sz w:val="24"/>
          <w:szCs w:val="24"/>
          <w:highlight w:val="none"/>
        </w:rPr>
        <w:t>从业人员300人以下的为中小微型企业。其中，从业人员100人及以上的为中型企业；从业人员10人及以上的为小型企业；从业人员10人以下的为微型企业。</w:t>
      </w:r>
    </w:p>
    <w:p w14:paraId="37CCFB9E">
      <w:pPr>
        <w:pStyle w:val="15"/>
        <w:spacing w:before="0" w:beforeAutospacing="0" w:after="0" w:afterAutospacing="0" w:line="480" w:lineRule="atLeast"/>
        <w:rPr>
          <w:rFonts w:cs="宋体"/>
          <w:b/>
          <w:bCs/>
          <w:color w:val="auto"/>
          <w:szCs w:val="24"/>
          <w:highlight w:val="none"/>
        </w:rPr>
      </w:pPr>
      <w:r>
        <w:rPr>
          <w:rFonts w:hint="eastAsia" w:cs="宋体"/>
          <w:b/>
          <w:color w:val="auto"/>
          <w:highlight w:val="none"/>
        </w:rPr>
        <w:br w:type="page" w:clear="all"/>
      </w:r>
      <w:r>
        <w:rPr>
          <w:rFonts w:hint="eastAsia" w:cs="宋体"/>
          <w:b/>
          <w:color w:val="auto"/>
          <w:highlight w:val="none"/>
        </w:rPr>
        <w:t>4）</w:t>
      </w:r>
      <w:r>
        <w:rPr>
          <w:rFonts w:hint="eastAsia" w:cs="宋体"/>
          <w:b/>
          <w:bCs/>
          <w:color w:val="auto"/>
          <w:szCs w:val="24"/>
          <w:highlight w:val="none"/>
        </w:rPr>
        <w:t>残疾人福利性单位声明函</w:t>
      </w:r>
    </w:p>
    <w:p w14:paraId="2A142F87">
      <w:pPr>
        <w:pStyle w:val="15"/>
        <w:spacing w:before="0" w:beforeAutospacing="0" w:after="0" w:afterAutospacing="0" w:line="480" w:lineRule="atLeast"/>
        <w:jc w:val="center"/>
        <w:rPr>
          <w:rFonts w:cs="宋体"/>
          <w:b/>
          <w:bCs/>
          <w:color w:val="auto"/>
          <w:szCs w:val="24"/>
          <w:highlight w:val="none"/>
        </w:rPr>
      </w:pPr>
      <w:r>
        <w:rPr>
          <w:rFonts w:hint="eastAsia" w:cs="宋体"/>
          <w:b/>
          <w:bCs/>
          <w:color w:val="auto"/>
          <w:szCs w:val="24"/>
          <w:highlight w:val="none"/>
        </w:rPr>
        <w:t>残疾人福利性单位声明函</w:t>
      </w:r>
    </w:p>
    <w:p w14:paraId="38A38CC5">
      <w:pPr>
        <w:spacing w:line="580" w:lineRule="exact"/>
        <w:ind w:firstLine="480"/>
        <w:jc w:val="center"/>
        <w:rPr>
          <w:rFonts w:hAnsi="宋体"/>
          <w:color w:val="auto"/>
          <w:sz w:val="24"/>
          <w:szCs w:val="24"/>
          <w:highlight w:val="none"/>
        </w:rPr>
      </w:pPr>
    </w:p>
    <w:p w14:paraId="107C508B">
      <w:pPr>
        <w:spacing w:line="580" w:lineRule="exact"/>
        <w:ind w:firstLine="480"/>
        <w:rPr>
          <w:color w:val="auto"/>
          <w:sz w:val="24"/>
          <w:szCs w:val="24"/>
          <w:highlight w:val="none"/>
        </w:rPr>
      </w:pPr>
      <w:r>
        <w:rPr>
          <w:rFonts w:hAnsi="宋体"/>
          <w:color w:val="auto"/>
          <w:sz w:val="24"/>
          <w:szCs w:val="24"/>
          <w:highlight w:val="none"/>
        </w:rPr>
        <w:t>本单位郑重声明，根据《财政部、民政部、中国残疾人联合会关于促进残疾人就业政府采购政策的通知》（财库〔</w:t>
      </w:r>
      <w:r>
        <w:rPr>
          <w:color w:val="auto"/>
          <w:sz w:val="24"/>
          <w:szCs w:val="24"/>
          <w:highlight w:val="none"/>
        </w:rPr>
        <w:t>2017</w:t>
      </w:r>
      <w:r>
        <w:rPr>
          <w:rFonts w:hAnsi="宋体"/>
          <w:color w:val="auto"/>
          <w:sz w:val="24"/>
          <w:szCs w:val="24"/>
          <w:highlight w:val="none"/>
        </w:rPr>
        <w:t>〕</w:t>
      </w:r>
      <w:r>
        <w:rPr>
          <w:color w:val="auto"/>
          <w:sz w:val="24"/>
          <w:szCs w:val="24"/>
          <w:highlight w:val="none"/>
        </w:rPr>
        <w:t>141</w:t>
      </w:r>
      <w:r>
        <w:rPr>
          <w:rFonts w:hAnsi="宋体"/>
          <w:color w:val="auto"/>
          <w:sz w:val="24"/>
          <w:szCs w:val="24"/>
          <w:highlight w:val="none"/>
        </w:rPr>
        <w:t>号）的规定，本单位为符合条件的残疾人福利性单位，且本单位参加</w:t>
      </w:r>
      <w:r>
        <w:rPr>
          <w:color w:val="auto"/>
          <w:sz w:val="24"/>
          <w:szCs w:val="24"/>
          <w:highlight w:val="none"/>
        </w:rPr>
        <w:t>______</w:t>
      </w:r>
      <w:r>
        <w:rPr>
          <w:rFonts w:hAnsi="宋体"/>
          <w:color w:val="auto"/>
          <w:sz w:val="24"/>
          <w:szCs w:val="24"/>
          <w:highlight w:val="none"/>
        </w:rPr>
        <w:t>单位的</w:t>
      </w:r>
      <w:r>
        <w:rPr>
          <w:color w:val="auto"/>
          <w:sz w:val="24"/>
          <w:szCs w:val="24"/>
          <w:highlight w:val="none"/>
        </w:rPr>
        <w:t>______</w:t>
      </w:r>
      <w:r>
        <w:rPr>
          <w:rFonts w:hAnsi="宋体"/>
          <w:color w:val="auto"/>
          <w:sz w:val="24"/>
          <w:szCs w:val="24"/>
          <w:highlight w:val="none"/>
        </w:rPr>
        <w:t>项目采购活动提供本单位制造的货物（由本单位承担工程</w:t>
      </w:r>
      <w:r>
        <w:rPr>
          <w:color w:val="auto"/>
          <w:sz w:val="24"/>
          <w:szCs w:val="24"/>
          <w:highlight w:val="none"/>
        </w:rPr>
        <w:t>/</w:t>
      </w:r>
      <w:r>
        <w:rPr>
          <w:rFonts w:hAnsi="宋体"/>
          <w:color w:val="auto"/>
          <w:sz w:val="24"/>
          <w:szCs w:val="24"/>
          <w:highlight w:val="none"/>
        </w:rPr>
        <w:t>提供服务），或者提供其他残疾人福利性单位制造的货物（不包括使用非残疾人福利性单位注册商标的货物）。</w:t>
      </w:r>
    </w:p>
    <w:p w14:paraId="7F7FF515">
      <w:pPr>
        <w:spacing w:line="580" w:lineRule="exact"/>
        <w:ind w:firstLine="480"/>
        <w:rPr>
          <w:color w:val="auto"/>
          <w:sz w:val="24"/>
          <w:szCs w:val="24"/>
          <w:highlight w:val="none"/>
        </w:rPr>
      </w:pPr>
      <w:r>
        <w:rPr>
          <w:rFonts w:hAnsi="宋体"/>
          <w:color w:val="auto"/>
          <w:sz w:val="24"/>
          <w:szCs w:val="24"/>
          <w:highlight w:val="none"/>
        </w:rPr>
        <w:t>本单位对上述声明的真实性负责。如有虚假，将依法承担相应责任。</w:t>
      </w:r>
    </w:p>
    <w:p w14:paraId="7F410C69">
      <w:pPr>
        <w:widowControl/>
        <w:spacing w:before="75" w:after="75" w:line="435" w:lineRule="atLeast"/>
        <w:jc w:val="center"/>
        <w:rPr>
          <w:rFonts w:hAnsi="宋体" w:cs="sans-serif"/>
          <w:color w:val="auto"/>
          <w:sz w:val="24"/>
          <w:szCs w:val="24"/>
          <w:highlight w:val="none"/>
        </w:rPr>
      </w:pPr>
      <w:r>
        <w:rPr>
          <w:rFonts w:hint="eastAsia" w:hAnsi="宋体" w:cs="宋体"/>
          <w:color w:val="auto"/>
          <w:sz w:val="24"/>
          <w:szCs w:val="24"/>
          <w:highlight w:val="none"/>
        </w:rPr>
        <w:t xml:space="preserve">                          投标人签章：</w:t>
      </w:r>
      <w:r>
        <w:rPr>
          <w:rFonts w:hint="eastAsia" w:hAnsi="宋体" w:cs="宋体"/>
          <w:color w:val="auto"/>
          <w:sz w:val="24"/>
          <w:szCs w:val="24"/>
          <w:highlight w:val="none"/>
          <w:u w:val="single"/>
        </w:rPr>
        <w:t xml:space="preserve">         </w:t>
      </w:r>
    </w:p>
    <w:p w14:paraId="055E8336">
      <w:pPr>
        <w:widowControl/>
        <w:spacing w:before="75" w:after="75" w:line="435" w:lineRule="atLeast"/>
        <w:jc w:val="right"/>
        <w:rPr>
          <w:rFonts w:hAnsi="宋体" w:cs="宋体"/>
          <w:color w:val="auto"/>
          <w:sz w:val="24"/>
          <w:szCs w:val="24"/>
          <w:highlight w:val="none"/>
        </w:rPr>
      </w:pPr>
      <w:r>
        <w:rPr>
          <w:rFonts w:hint="eastAsia" w:hAnsi="宋体" w:cs="宋体"/>
          <w:color w:val="auto"/>
          <w:sz w:val="24"/>
          <w:szCs w:val="24"/>
          <w:highlight w:val="none"/>
        </w:rPr>
        <w:t>日     期：</w:t>
      </w:r>
      <w:r>
        <w:rPr>
          <w:rFonts w:hint="eastAsia" w:hAnsi="宋体" w:cs="宋体"/>
          <w:color w:val="auto"/>
          <w:sz w:val="24"/>
          <w:szCs w:val="24"/>
          <w:highlight w:val="none"/>
          <w:u w:val="single"/>
        </w:rPr>
        <w:t>    </w:t>
      </w:r>
      <w:r>
        <w:rPr>
          <w:rFonts w:hint="eastAsia" w:hAnsi="宋体" w:cs="宋体"/>
          <w:color w:val="auto"/>
          <w:sz w:val="24"/>
          <w:szCs w:val="24"/>
          <w:highlight w:val="none"/>
        </w:rPr>
        <w:t>年</w:t>
      </w:r>
      <w:r>
        <w:rPr>
          <w:rFonts w:hint="eastAsia" w:hAnsi="宋体" w:cs="宋体"/>
          <w:color w:val="auto"/>
          <w:sz w:val="24"/>
          <w:szCs w:val="24"/>
          <w:highlight w:val="none"/>
          <w:u w:val="single"/>
        </w:rPr>
        <w:t>   </w:t>
      </w:r>
      <w:r>
        <w:rPr>
          <w:rFonts w:hint="eastAsia" w:hAnsi="宋体" w:cs="宋体"/>
          <w:color w:val="auto"/>
          <w:sz w:val="24"/>
          <w:szCs w:val="24"/>
          <w:highlight w:val="none"/>
        </w:rPr>
        <w:t>月</w:t>
      </w:r>
      <w:r>
        <w:rPr>
          <w:rFonts w:hint="eastAsia" w:hAnsi="宋体" w:cs="宋体"/>
          <w:color w:val="auto"/>
          <w:sz w:val="24"/>
          <w:szCs w:val="24"/>
          <w:highlight w:val="none"/>
          <w:u w:val="single"/>
        </w:rPr>
        <w:t>   </w:t>
      </w:r>
      <w:r>
        <w:rPr>
          <w:rFonts w:hint="eastAsia" w:hAnsi="宋体" w:cs="宋体"/>
          <w:color w:val="auto"/>
          <w:sz w:val="24"/>
          <w:szCs w:val="24"/>
          <w:highlight w:val="none"/>
        </w:rPr>
        <w:t>日</w:t>
      </w:r>
      <w:bookmarkStart w:id="50" w:name="_Toc532444514"/>
      <w:bookmarkEnd w:id="50"/>
      <w:bookmarkStart w:id="51" w:name="_Toc532444352"/>
      <w:bookmarkEnd w:id="51"/>
      <w:bookmarkStart w:id="52" w:name="_Toc2583149"/>
      <w:bookmarkEnd w:id="52"/>
      <w:bookmarkStart w:id="53" w:name="_Toc532452121"/>
      <w:bookmarkEnd w:id="53"/>
    </w:p>
    <w:p w14:paraId="78BD7E4E">
      <w:pPr>
        <w:spacing w:line="360" w:lineRule="auto"/>
        <w:rPr>
          <w:rFonts w:hint="eastAsia" w:hAnsi="宋体" w:cs="宋体"/>
          <w:b/>
          <w:color w:val="auto"/>
          <w:sz w:val="24"/>
          <w:highlight w:val="none"/>
        </w:rPr>
      </w:pPr>
      <w:r>
        <w:rPr>
          <w:rFonts w:hAnsi="宋体" w:cs="宋体"/>
          <w:b/>
          <w:bCs/>
          <w:color w:val="auto"/>
          <w:spacing w:val="20"/>
          <w:highlight w:val="none"/>
        </w:rPr>
        <w:br w:type="page" w:clear="all"/>
      </w:r>
      <w:r>
        <w:rPr>
          <w:rFonts w:hint="eastAsia" w:hAnsi="宋体" w:cs="宋体"/>
          <w:b/>
          <w:color w:val="auto"/>
          <w:sz w:val="24"/>
          <w:highlight w:val="none"/>
        </w:rPr>
        <w:t>5）监狱企业声明函</w:t>
      </w:r>
    </w:p>
    <w:p w14:paraId="506C6CCE">
      <w:pPr>
        <w:spacing w:line="360" w:lineRule="auto"/>
        <w:rPr>
          <w:rFonts w:hAnsi="宋体" w:cs="宋体"/>
          <w:b/>
          <w:color w:val="auto"/>
          <w:sz w:val="24"/>
          <w:highlight w:val="none"/>
        </w:rPr>
      </w:pPr>
    </w:p>
    <w:p w14:paraId="58F78562">
      <w:pPr>
        <w:jc w:val="center"/>
        <w:rPr>
          <w:rFonts w:hint="eastAsia" w:hAnsi="宋体" w:cs="宋体"/>
          <w:b/>
          <w:color w:val="auto"/>
          <w:sz w:val="24"/>
          <w:szCs w:val="24"/>
          <w:highlight w:val="none"/>
        </w:rPr>
      </w:pPr>
      <w:r>
        <w:rPr>
          <w:rFonts w:hint="eastAsia" w:hAnsi="宋体" w:cs="宋体"/>
          <w:color w:val="auto"/>
          <w:sz w:val="24"/>
          <w:szCs w:val="24"/>
          <w:highlight w:val="none"/>
        </w:rPr>
        <w:t>监狱企业声明函</w:t>
      </w:r>
    </w:p>
    <w:p w14:paraId="38508660">
      <w:pPr>
        <w:widowControl/>
        <w:spacing w:before="75" w:after="75" w:line="435" w:lineRule="atLeast"/>
        <w:ind w:firstLine="480"/>
        <w:rPr>
          <w:rFonts w:hint="eastAsia" w:hAnsi="宋体" w:cs="宋体"/>
          <w:color w:val="auto"/>
          <w:sz w:val="24"/>
          <w:szCs w:val="24"/>
          <w:highlight w:val="none"/>
        </w:rPr>
      </w:pPr>
    </w:p>
    <w:p w14:paraId="379F69F6">
      <w:pPr>
        <w:widowControl/>
        <w:spacing w:before="75" w:after="75" w:line="435" w:lineRule="atLeast"/>
        <w:ind w:firstLine="480"/>
        <w:rPr>
          <w:rFonts w:hint="eastAsia" w:hAnsi="宋体" w:cs="宋体"/>
          <w:color w:val="auto"/>
          <w:sz w:val="24"/>
          <w:szCs w:val="24"/>
          <w:highlight w:val="none"/>
        </w:rPr>
      </w:pPr>
      <w:r>
        <w:rPr>
          <w:rFonts w:hint="eastAsia" w:hAnsi="宋体" w:cs="宋体"/>
          <w:color w:val="auto"/>
          <w:sz w:val="24"/>
          <w:szCs w:val="24"/>
          <w:highlight w:val="none"/>
        </w:rPr>
        <w:t>本企业（单位）郑重声明下列事项（按照实际情况勾选或填空）：</w:t>
      </w:r>
    </w:p>
    <w:p w14:paraId="6F2D43B8">
      <w:pPr>
        <w:widowControl/>
        <w:spacing w:before="75" w:after="75" w:line="435" w:lineRule="atLeast"/>
        <w:ind w:firstLine="480"/>
        <w:rPr>
          <w:rFonts w:hint="eastAsia" w:hAnsi="宋体" w:cs="宋体"/>
          <w:color w:val="auto"/>
          <w:sz w:val="24"/>
          <w:szCs w:val="24"/>
          <w:highlight w:val="none"/>
        </w:rPr>
      </w:pPr>
      <w:r>
        <w:rPr>
          <w:rFonts w:hint="eastAsia" w:hAnsi="宋体" w:cs="宋体"/>
          <w:color w:val="auto"/>
          <w:sz w:val="24"/>
          <w:szCs w:val="24"/>
          <w:highlight w:val="none"/>
        </w:rPr>
        <w:t>本企业（单位）为直接投标人提供本企业（单位）的货物。</w:t>
      </w:r>
    </w:p>
    <w:p w14:paraId="40E99C58">
      <w:pPr>
        <w:widowControl/>
        <w:spacing w:before="75" w:after="75" w:line="435" w:lineRule="atLeast"/>
        <w:ind w:firstLine="480"/>
        <w:rPr>
          <w:rFonts w:hint="eastAsia" w:hAnsi="宋体" w:cs="宋体"/>
          <w:color w:val="auto"/>
          <w:sz w:val="24"/>
          <w:szCs w:val="24"/>
          <w:highlight w:val="none"/>
        </w:rPr>
      </w:pPr>
      <w:r>
        <w:rPr>
          <w:rFonts w:hint="eastAsia" w:hAnsi="宋体" w:cs="宋体"/>
          <w:color w:val="auto"/>
          <w:sz w:val="24"/>
          <w:szCs w:val="24"/>
          <w:highlight w:val="none"/>
        </w:rPr>
        <w:t>（1）本企业（单位）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（请填写：是、不是）监狱企业。后附省级以上监狱管理局、戒毒管理局（含新疆生产建设兵团）出具的属于监狱企业的证明文件。</w:t>
      </w:r>
    </w:p>
    <w:p w14:paraId="18597933">
      <w:pPr>
        <w:widowControl/>
        <w:spacing w:before="75" w:after="75" w:line="435" w:lineRule="atLeast"/>
        <w:ind w:firstLine="480"/>
        <w:rPr>
          <w:rFonts w:hint="eastAsia" w:hAnsi="宋体" w:cs="宋体"/>
          <w:color w:val="auto"/>
          <w:sz w:val="24"/>
          <w:szCs w:val="24"/>
          <w:highlight w:val="none"/>
        </w:rPr>
      </w:pPr>
      <w:r>
        <w:rPr>
          <w:rFonts w:hint="eastAsia" w:hAnsi="宋体" w:cs="宋体"/>
          <w:color w:val="auto"/>
          <w:sz w:val="24"/>
          <w:szCs w:val="24"/>
          <w:highlight w:val="none"/>
        </w:rPr>
        <w:t>（2）本企业（单位）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（请填写：是、不是）为联合体一方，提供本企业（单位）的货物。本企业（单位）提供协议合同金额占到共同投标协议合同总金额的比例为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7C9BC360">
      <w:pPr>
        <w:widowControl/>
        <w:spacing w:before="75" w:after="75" w:line="435" w:lineRule="atLeast"/>
        <w:ind w:firstLine="480"/>
        <w:rPr>
          <w:rFonts w:hint="eastAsia" w:hAnsi="宋体" w:cs="宋体"/>
          <w:color w:val="auto"/>
          <w:sz w:val="24"/>
          <w:szCs w:val="24"/>
          <w:highlight w:val="none"/>
        </w:rPr>
      </w:pPr>
      <w:r>
        <w:rPr>
          <w:rFonts w:hint="eastAsia" w:hAnsi="宋体" w:cs="宋体"/>
          <w:color w:val="auto"/>
          <w:sz w:val="24"/>
          <w:szCs w:val="24"/>
          <w:highlight w:val="none"/>
        </w:rPr>
        <w:t>　　本企业（单位）对上述声明的真实性负责。如有虚假，将依法承担相应责任。</w:t>
      </w:r>
    </w:p>
    <w:p w14:paraId="53727FAA">
      <w:pPr>
        <w:widowControl/>
        <w:spacing w:before="75" w:after="75" w:line="435" w:lineRule="atLeast"/>
        <w:ind w:firstLine="480"/>
        <w:rPr>
          <w:rFonts w:hint="eastAsia" w:hAnsi="宋体" w:cs="宋体"/>
          <w:color w:val="auto"/>
          <w:sz w:val="24"/>
          <w:szCs w:val="24"/>
          <w:highlight w:val="none"/>
        </w:rPr>
      </w:pPr>
    </w:p>
    <w:p w14:paraId="24AD4CBB">
      <w:pPr>
        <w:widowControl/>
        <w:spacing w:before="75" w:after="75" w:line="435" w:lineRule="atLeast"/>
        <w:jc w:val="center"/>
        <w:rPr>
          <w:rFonts w:hint="eastAsia" w:hAnsi="宋体" w:cs="宋体"/>
          <w:color w:val="auto"/>
          <w:sz w:val="24"/>
          <w:szCs w:val="24"/>
          <w:highlight w:val="none"/>
        </w:rPr>
      </w:pPr>
      <w:r>
        <w:rPr>
          <w:rFonts w:hint="eastAsia" w:hAnsi="宋体" w:cs="宋体"/>
          <w:color w:val="auto"/>
          <w:sz w:val="24"/>
          <w:szCs w:val="24"/>
          <w:highlight w:val="none"/>
        </w:rPr>
        <w:t xml:space="preserve">                          投标人签章：</w:t>
      </w:r>
      <w:r>
        <w:rPr>
          <w:rFonts w:hint="eastAsia" w:hAnsi="宋体" w:cs="宋体"/>
          <w:color w:val="auto"/>
          <w:sz w:val="24"/>
          <w:szCs w:val="24"/>
          <w:highlight w:val="none"/>
          <w:u w:val="single"/>
        </w:rPr>
        <w:t xml:space="preserve">         </w:t>
      </w:r>
    </w:p>
    <w:p w14:paraId="015C866D">
      <w:pPr>
        <w:widowControl/>
        <w:spacing w:before="75" w:after="75" w:line="435" w:lineRule="atLeast"/>
        <w:jc w:val="right"/>
        <w:rPr>
          <w:rFonts w:hint="eastAsia" w:hAnsi="宋体" w:cs="宋体"/>
          <w:color w:val="auto"/>
          <w:sz w:val="24"/>
          <w:szCs w:val="24"/>
          <w:highlight w:val="none"/>
        </w:rPr>
      </w:pPr>
      <w:r>
        <w:rPr>
          <w:rFonts w:hint="eastAsia" w:hAnsi="宋体" w:cs="宋体"/>
          <w:color w:val="auto"/>
          <w:sz w:val="24"/>
          <w:szCs w:val="24"/>
          <w:highlight w:val="none"/>
        </w:rPr>
        <w:t>日     期：</w:t>
      </w:r>
      <w:r>
        <w:rPr>
          <w:rFonts w:hint="eastAsia" w:hAnsi="宋体" w:cs="宋体"/>
          <w:color w:val="auto"/>
          <w:sz w:val="24"/>
          <w:szCs w:val="24"/>
          <w:highlight w:val="none"/>
          <w:u w:val="single"/>
        </w:rPr>
        <w:t>    </w:t>
      </w:r>
      <w:r>
        <w:rPr>
          <w:rFonts w:hint="eastAsia" w:hAnsi="宋体" w:cs="宋体"/>
          <w:color w:val="auto"/>
          <w:sz w:val="24"/>
          <w:szCs w:val="24"/>
          <w:highlight w:val="none"/>
        </w:rPr>
        <w:t>年</w:t>
      </w:r>
      <w:r>
        <w:rPr>
          <w:rFonts w:hint="eastAsia" w:hAnsi="宋体" w:cs="宋体"/>
          <w:color w:val="auto"/>
          <w:sz w:val="24"/>
          <w:szCs w:val="24"/>
          <w:highlight w:val="none"/>
          <w:u w:val="single"/>
        </w:rPr>
        <w:t>   </w:t>
      </w:r>
      <w:r>
        <w:rPr>
          <w:rFonts w:hint="eastAsia" w:hAnsi="宋体" w:cs="宋体"/>
          <w:color w:val="auto"/>
          <w:sz w:val="24"/>
          <w:szCs w:val="24"/>
          <w:highlight w:val="none"/>
        </w:rPr>
        <w:t>月</w:t>
      </w:r>
      <w:r>
        <w:rPr>
          <w:rFonts w:hint="eastAsia" w:hAnsi="宋体" w:cs="宋体"/>
          <w:color w:val="auto"/>
          <w:sz w:val="24"/>
          <w:szCs w:val="24"/>
          <w:highlight w:val="none"/>
          <w:u w:val="single"/>
        </w:rPr>
        <w:t>   </w:t>
      </w:r>
      <w:r>
        <w:rPr>
          <w:rFonts w:hint="eastAsia" w:hAnsi="宋体" w:cs="宋体"/>
          <w:color w:val="auto"/>
          <w:sz w:val="24"/>
          <w:szCs w:val="24"/>
          <w:highlight w:val="none"/>
        </w:rPr>
        <w:t>日</w:t>
      </w:r>
    </w:p>
    <w:p w14:paraId="65B6898F">
      <w:pPr>
        <w:widowControl/>
        <w:spacing w:before="75" w:after="75" w:line="435" w:lineRule="atLeast"/>
        <w:rPr>
          <w:rFonts w:ascii="仿宋_GB2312" w:hAnsi="宋体" w:eastAsia="仿宋_GB2312"/>
          <w:color w:val="auto"/>
          <w:highlight w:val="none"/>
        </w:rPr>
      </w:pPr>
    </w:p>
    <w:p w14:paraId="2DD546B2">
      <w:pPr>
        <w:spacing w:line="360" w:lineRule="auto"/>
        <w:rPr>
          <w:rFonts w:hAnsi="宋体" w:cs="宋体"/>
          <w:b/>
          <w:color w:val="auto"/>
          <w:sz w:val="24"/>
          <w:highlight w:val="none"/>
        </w:rPr>
      </w:pPr>
    </w:p>
    <w:p w14:paraId="71DB4836">
      <w:pPr>
        <w:spacing w:line="360" w:lineRule="auto"/>
        <w:rPr>
          <w:rFonts w:hAnsi="宋体" w:cs="宋体"/>
          <w:b/>
          <w:color w:val="auto"/>
          <w:sz w:val="24"/>
          <w:highlight w:val="none"/>
        </w:rPr>
      </w:pPr>
    </w:p>
    <w:p w14:paraId="27F722E2">
      <w:pPr>
        <w:spacing w:line="360" w:lineRule="auto"/>
        <w:rPr>
          <w:rFonts w:hAnsi="宋体" w:cs="宋体"/>
          <w:b/>
          <w:color w:val="auto"/>
          <w:szCs w:val="21"/>
          <w:highlight w:val="none"/>
        </w:rPr>
      </w:pPr>
    </w:p>
    <w:p w14:paraId="33EA3652">
      <w:pPr>
        <w:tabs>
          <w:tab w:val="left" w:pos="720"/>
        </w:tabs>
        <w:spacing w:line="360" w:lineRule="auto"/>
        <w:ind w:right="18" w:firstLine="480"/>
        <w:jc w:val="center"/>
        <w:rPr>
          <w:rFonts w:hint="eastAsia" w:hAnsi="宋体" w:cs="宋体"/>
          <w:color w:val="auto"/>
          <w:sz w:val="24"/>
          <w:szCs w:val="24"/>
          <w:highlight w:val="none"/>
        </w:rPr>
      </w:pPr>
    </w:p>
    <w:p w14:paraId="1FCE3314">
      <w:pPr>
        <w:tabs>
          <w:tab w:val="left" w:pos="720"/>
        </w:tabs>
        <w:spacing w:line="360" w:lineRule="auto"/>
        <w:ind w:right="18" w:firstLine="480"/>
        <w:jc w:val="center"/>
        <w:rPr>
          <w:rFonts w:hint="eastAsia" w:hAnsi="宋体" w:cs="宋体"/>
          <w:color w:val="auto"/>
          <w:sz w:val="24"/>
          <w:szCs w:val="24"/>
          <w:highlight w:val="none"/>
        </w:rPr>
      </w:pPr>
    </w:p>
    <w:p w14:paraId="5E46BFAC">
      <w:pPr>
        <w:tabs>
          <w:tab w:val="left" w:pos="720"/>
        </w:tabs>
        <w:spacing w:line="360" w:lineRule="auto"/>
        <w:ind w:right="18" w:firstLine="480"/>
        <w:jc w:val="center"/>
        <w:rPr>
          <w:rFonts w:hint="eastAsia" w:hAnsi="宋体" w:cs="宋体"/>
          <w:color w:val="auto"/>
          <w:sz w:val="24"/>
          <w:szCs w:val="24"/>
          <w:highlight w:val="none"/>
        </w:rPr>
      </w:pPr>
    </w:p>
    <w:p w14:paraId="6E94B09C">
      <w:pPr>
        <w:tabs>
          <w:tab w:val="left" w:pos="720"/>
        </w:tabs>
        <w:spacing w:line="360" w:lineRule="auto"/>
        <w:ind w:right="18" w:firstLine="480"/>
        <w:jc w:val="center"/>
        <w:rPr>
          <w:rFonts w:hint="eastAsia" w:hAnsi="宋体" w:cs="宋体"/>
          <w:color w:val="auto"/>
          <w:sz w:val="24"/>
          <w:szCs w:val="24"/>
          <w:highlight w:val="none"/>
        </w:rPr>
      </w:pPr>
    </w:p>
    <w:p w14:paraId="0D6376CE">
      <w:pPr>
        <w:tabs>
          <w:tab w:val="left" w:pos="720"/>
        </w:tabs>
        <w:spacing w:line="360" w:lineRule="auto"/>
        <w:ind w:right="18" w:firstLine="480"/>
        <w:jc w:val="center"/>
        <w:rPr>
          <w:rFonts w:hint="eastAsia" w:hAnsi="宋体" w:cs="宋体"/>
          <w:color w:val="auto"/>
          <w:sz w:val="24"/>
          <w:szCs w:val="24"/>
          <w:highlight w:val="none"/>
        </w:rPr>
      </w:pPr>
    </w:p>
    <w:p w14:paraId="71B7D64B">
      <w:pPr>
        <w:tabs>
          <w:tab w:val="left" w:pos="720"/>
        </w:tabs>
        <w:spacing w:line="360" w:lineRule="auto"/>
        <w:ind w:right="18" w:firstLine="480"/>
        <w:jc w:val="center"/>
        <w:rPr>
          <w:rFonts w:hint="eastAsia" w:hAnsi="宋体" w:cs="宋体"/>
          <w:color w:val="auto"/>
          <w:sz w:val="24"/>
          <w:szCs w:val="24"/>
          <w:highlight w:val="none"/>
        </w:rPr>
      </w:pPr>
    </w:p>
    <w:p w14:paraId="1B9C9B1C">
      <w:pPr>
        <w:tabs>
          <w:tab w:val="left" w:pos="720"/>
        </w:tabs>
        <w:spacing w:line="360" w:lineRule="auto"/>
        <w:ind w:right="18" w:firstLine="480"/>
        <w:jc w:val="center"/>
        <w:rPr>
          <w:rFonts w:hint="eastAsia" w:hAnsi="宋体" w:cs="宋体"/>
          <w:color w:val="auto"/>
          <w:sz w:val="24"/>
          <w:szCs w:val="24"/>
          <w:highlight w:val="none"/>
        </w:rPr>
      </w:pPr>
    </w:p>
    <w:p w14:paraId="7524DACC">
      <w:pPr>
        <w:tabs>
          <w:tab w:val="left" w:pos="720"/>
        </w:tabs>
        <w:spacing w:line="360" w:lineRule="auto"/>
        <w:ind w:right="18" w:firstLine="480"/>
        <w:jc w:val="center"/>
        <w:rPr>
          <w:rFonts w:hint="eastAsia" w:hAnsi="宋体" w:cs="宋体"/>
          <w:color w:val="auto"/>
          <w:sz w:val="24"/>
          <w:szCs w:val="24"/>
          <w:highlight w:val="none"/>
        </w:rPr>
      </w:pPr>
    </w:p>
    <w:p w14:paraId="6FAE86A6">
      <w:pPr>
        <w:tabs>
          <w:tab w:val="left" w:pos="720"/>
        </w:tabs>
        <w:spacing w:line="360" w:lineRule="auto"/>
        <w:ind w:right="18" w:firstLine="480"/>
        <w:jc w:val="center"/>
        <w:rPr>
          <w:rFonts w:hint="eastAsia" w:hAnsi="宋体" w:cs="宋体"/>
          <w:color w:val="auto"/>
          <w:sz w:val="24"/>
          <w:szCs w:val="24"/>
          <w:highlight w:val="none"/>
        </w:rPr>
      </w:pPr>
    </w:p>
    <w:p w14:paraId="2EAF1AC1">
      <w:pPr>
        <w:tabs>
          <w:tab w:val="left" w:pos="720"/>
        </w:tabs>
        <w:spacing w:line="360" w:lineRule="auto"/>
        <w:ind w:right="18" w:firstLine="480"/>
        <w:jc w:val="center"/>
        <w:rPr>
          <w:rFonts w:hint="eastAsia" w:hAnsi="宋体" w:cs="宋体"/>
          <w:color w:val="auto"/>
          <w:sz w:val="24"/>
          <w:szCs w:val="24"/>
          <w:highlight w:val="none"/>
        </w:rPr>
      </w:pPr>
    </w:p>
    <w:p w14:paraId="460C4DE5">
      <w:pPr>
        <w:tabs>
          <w:tab w:val="left" w:pos="720"/>
        </w:tabs>
        <w:spacing w:line="360" w:lineRule="auto"/>
        <w:ind w:right="18"/>
        <w:jc w:val="left"/>
        <w:rPr>
          <w:rFonts w:hint="eastAsia" w:hAnsi="宋体" w:cs="宋体"/>
          <w:color w:val="auto"/>
          <w:sz w:val="24"/>
          <w:szCs w:val="24"/>
          <w:highlight w:val="none"/>
        </w:rPr>
      </w:pPr>
      <w:r>
        <w:rPr>
          <w:rFonts w:hint="eastAsia" w:hAnsi="宋体" w:cs="宋体"/>
          <w:b/>
          <w:color w:val="auto"/>
          <w:sz w:val="24"/>
          <w:highlight w:val="none"/>
        </w:rPr>
        <w:t>6）其他格式自拟</w:t>
      </w:r>
    </w:p>
    <w:p w14:paraId="55C93CBB">
      <w:pPr>
        <w:tabs>
          <w:tab w:val="left" w:pos="720"/>
        </w:tabs>
        <w:spacing w:line="360" w:lineRule="auto"/>
        <w:ind w:right="18" w:firstLine="480"/>
        <w:jc w:val="center"/>
        <w:rPr>
          <w:rFonts w:hint="eastAsia" w:hAnsi="宋体" w:cs="宋体"/>
          <w:color w:val="auto"/>
          <w:sz w:val="24"/>
          <w:szCs w:val="24"/>
          <w:highlight w:val="none"/>
        </w:rPr>
      </w:pPr>
    </w:p>
    <w:p w14:paraId="4B0FE322">
      <w:pPr>
        <w:tabs>
          <w:tab w:val="left" w:pos="720"/>
        </w:tabs>
        <w:spacing w:line="360" w:lineRule="auto"/>
        <w:ind w:right="18" w:firstLine="480"/>
        <w:jc w:val="center"/>
        <w:rPr>
          <w:rFonts w:hint="eastAsia" w:hAnsi="宋体" w:cs="宋体"/>
          <w:color w:val="auto"/>
          <w:sz w:val="24"/>
          <w:szCs w:val="24"/>
          <w:highlight w:val="none"/>
        </w:rPr>
      </w:pPr>
    </w:p>
    <w:p w14:paraId="536A86C6">
      <w:pPr>
        <w:tabs>
          <w:tab w:val="left" w:pos="720"/>
        </w:tabs>
        <w:spacing w:line="360" w:lineRule="auto"/>
        <w:ind w:right="18" w:firstLine="480"/>
        <w:jc w:val="center"/>
        <w:rPr>
          <w:rFonts w:hint="eastAsia" w:hAnsi="宋体" w:cs="宋体"/>
          <w:color w:val="auto"/>
          <w:sz w:val="24"/>
          <w:szCs w:val="24"/>
          <w:highlight w:val="none"/>
        </w:rPr>
      </w:pPr>
    </w:p>
    <w:p w14:paraId="7DC1F040">
      <w:pPr>
        <w:tabs>
          <w:tab w:val="left" w:pos="720"/>
        </w:tabs>
        <w:spacing w:line="360" w:lineRule="auto"/>
        <w:ind w:right="18" w:firstLine="480"/>
        <w:jc w:val="center"/>
        <w:rPr>
          <w:rFonts w:hint="eastAsia" w:hAnsi="宋体" w:cs="宋体"/>
          <w:color w:val="auto"/>
          <w:sz w:val="24"/>
          <w:szCs w:val="24"/>
          <w:highlight w:val="none"/>
        </w:rPr>
      </w:pPr>
    </w:p>
    <w:p w14:paraId="795B9298">
      <w:pPr>
        <w:tabs>
          <w:tab w:val="left" w:pos="720"/>
        </w:tabs>
        <w:spacing w:line="360" w:lineRule="auto"/>
        <w:ind w:right="18" w:firstLine="480"/>
        <w:jc w:val="center"/>
        <w:rPr>
          <w:rFonts w:hint="eastAsia" w:hAnsi="宋体" w:cs="宋体"/>
          <w:color w:val="auto"/>
          <w:sz w:val="24"/>
          <w:szCs w:val="24"/>
          <w:highlight w:val="none"/>
        </w:rPr>
      </w:pPr>
    </w:p>
    <w:p w14:paraId="56B54D59">
      <w:pPr>
        <w:tabs>
          <w:tab w:val="left" w:pos="720"/>
        </w:tabs>
        <w:spacing w:line="360" w:lineRule="auto"/>
        <w:ind w:right="18" w:firstLine="480"/>
        <w:jc w:val="center"/>
        <w:rPr>
          <w:rFonts w:hint="eastAsia" w:hAnsi="宋体" w:cs="宋体"/>
          <w:color w:val="auto"/>
          <w:sz w:val="24"/>
          <w:szCs w:val="24"/>
          <w:highlight w:val="none"/>
        </w:rPr>
      </w:pPr>
    </w:p>
    <w:p w14:paraId="1F3A0464">
      <w:pPr>
        <w:tabs>
          <w:tab w:val="left" w:pos="720"/>
        </w:tabs>
        <w:spacing w:line="360" w:lineRule="auto"/>
        <w:ind w:right="18" w:firstLine="480"/>
        <w:jc w:val="center"/>
        <w:rPr>
          <w:rFonts w:hint="eastAsia" w:hAnsi="宋体" w:cs="宋体"/>
          <w:color w:val="auto"/>
          <w:sz w:val="24"/>
          <w:szCs w:val="24"/>
          <w:highlight w:val="none"/>
        </w:rPr>
      </w:pPr>
    </w:p>
    <w:p w14:paraId="318CDCE3">
      <w:pPr>
        <w:tabs>
          <w:tab w:val="left" w:pos="720"/>
        </w:tabs>
        <w:spacing w:line="360" w:lineRule="auto"/>
        <w:ind w:right="18" w:firstLine="480"/>
        <w:jc w:val="center"/>
        <w:rPr>
          <w:rFonts w:hint="eastAsia" w:hAnsi="宋体" w:cs="宋体"/>
          <w:color w:val="auto"/>
          <w:sz w:val="24"/>
          <w:szCs w:val="24"/>
          <w:highlight w:val="none"/>
        </w:rPr>
      </w:pPr>
    </w:p>
    <w:p w14:paraId="4D24865B">
      <w:pPr>
        <w:tabs>
          <w:tab w:val="left" w:pos="720"/>
        </w:tabs>
        <w:spacing w:line="360" w:lineRule="auto"/>
        <w:ind w:right="18" w:firstLine="480"/>
        <w:jc w:val="center"/>
        <w:rPr>
          <w:rFonts w:hint="eastAsia" w:hAnsi="宋体" w:cs="宋体"/>
          <w:color w:val="auto"/>
          <w:sz w:val="24"/>
          <w:szCs w:val="24"/>
          <w:highlight w:val="none"/>
        </w:rPr>
      </w:pPr>
    </w:p>
    <w:p w14:paraId="4ABC6F97">
      <w:pPr>
        <w:tabs>
          <w:tab w:val="left" w:pos="720"/>
        </w:tabs>
        <w:spacing w:line="360" w:lineRule="auto"/>
        <w:ind w:right="18" w:firstLine="480"/>
        <w:jc w:val="center"/>
        <w:rPr>
          <w:rFonts w:hint="eastAsia" w:hAnsi="宋体" w:cs="宋体"/>
          <w:color w:val="auto"/>
          <w:sz w:val="24"/>
          <w:szCs w:val="24"/>
          <w:highlight w:val="none"/>
        </w:rPr>
      </w:pPr>
    </w:p>
    <w:p w14:paraId="26BF83EE">
      <w:pPr>
        <w:tabs>
          <w:tab w:val="left" w:pos="720"/>
        </w:tabs>
        <w:spacing w:line="360" w:lineRule="auto"/>
        <w:ind w:right="18" w:firstLine="480"/>
        <w:jc w:val="center"/>
        <w:rPr>
          <w:rFonts w:hint="eastAsia" w:hAnsi="宋体" w:cs="宋体"/>
          <w:color w:val="auto"/>
          <w:sz w:val="24"/>
          <w:szCs w:val="24"/>
          <w:highlight w:val="none"/>
        </w:rPr>
      </w:pPr>
    </w:p>
    <w:p w14:paraId="499B70E2">
      <w:pPr>
        <w:tabs>
          <w:tab w:val="left" w:pos="720"/>
        </w:tabs>
        <w:spacing w:line="360" w:lineRule="auto"/>
        <w:ind w:right="18" w:firstLine="480"/>
        <w:jc w:val="center"/>
        <w:rPr>
          <w:rFonts w:hint="eastAsia" w:hAnsi="宋体" w:cs="宋体"/>
          <w:color w:val="auto"/>
          <w:sz w:val="24"/>
          <w:szCs w:val="24"/>
          <w:highlight w:val="none"/>
        </w:rPr>
      </w:pPr>
    </w:p>
    <w:p w14:paraId="3E40DD11">
      <w:pPr>
        <w:tabs>
          <w:tab w:val="left" w:pos="720"/>
        </w:tabs>
        <w:spacing w:line="360" w:lineRule="auto"/>
        <w:ind w:right="18" w:firstLine="480"/>
        <w:jc w:val="center"/>
        <w:rPr>
          <w:rFonts w:hint="eastAsia" w:hAnsi="宋体" w:cs="宋体"/>
          <w:color w:val="auto"/>
          <w:sz w:val="24"/>
          <w:szCs w:val="24"/>
          <w:highlight w:val="none"/>
        </w:rPr>
      </w:pPr>
    </w:p>
    <w:p w14:paraId="204F257F">
      <w:pPr>
        <w:tabs>
          <w:tab w:val="left" w:pos="720"/>
        </w:tabs>
        <w:spacing w:line="360" w:lineRule="auto"/>
        <w:ind w:right="18" w:firstLine="480"/>
        <w:jc w:val="center"/>
        <w:rPr>
          <w:rFonts w:hint="eastAsia" w:hAnsi="宋体" w:cs="宋体"/>
          <w:color w:val="auto"/>
          <w:sz w:val="24"/>
          <w:szCs w:val="24"/>
          <w:highlight w:val="none"/>
        </w:rPr>
      </w:pPr>
    </w:p>
    <w:p w14:paraId="1616157D">
      <w:pPr>
        <w:tabs>
          <w:tab w:val="left" w:pos="720"/>
        </w:tabs>
        <w:spacing w:line="360" w:lineRule="auto"/>
        <w:ind w:right="18" w:firstLine="480"/>
        <w:jc w:val="center"/>
        <w:rPr>
          <w:rFonts w:hint="eastAsia" w:hAnsi="宋体" w:cs="宋体"/>
          <w:color w:val="auto"/>
          <w:sz w:val="24"/>
          <w:szCs w:val="24"/>
          <w:highlight w:val="none"/>
        </w:rPr>
      </w:pPr>
    </w:p>
    <w:p w14:paraId="446CE2A3">
      <w:pPr>
        <w:rPr>
          <w:rFonts w:hint="eastAsia"/>
          <w:color w:val="auto"/>
          <w:highlight w:val="none"/>
        </w:rPr>
      </w:pPr>
    </w:p>
    <w:p w14:paraId="51638C2A">
      <w:pPr>
        <w:tabs>
          <w:tab w:val="left" w:pos="720"/>
        </w:tabs>
        <w:spacing w:line="360" w:lineRule="auto"/>
        <w:ind w:right="18" w:firstLine="480"/>
        <w:jc w:val="center"/>
        <w:rPr>
          <w:rFonts w:hint="eastAsia" w:hAnsi="宋体" w:cs="宋体"/>
          <w:color w:val="auto"/>
          <w:sz w:val="24"/>
          <w:szCs w:val="24"/>
          <w:highlight w:val="none"/>
        </w:rPr>
      </w:pPr>
    </w:p>
    <w:p w14:paraId="673C4A46">
      <w:pPr>
        <w:tabs>
          <w:tab w:val="left" w:pos="720"/>
        </w:tabs>
        <w:spacing w:line="360" w:lineRule="auto"/>
        <w:ind w:right="18" w:firstLine="480"/>
        <w:jc w:val="center"/>
        <w:rPr>
          <w:rFonts w:hint="eastAsia" w:hAnsi="宋体" w:cs="宋体"/>
          <w:color w:val="auto"/>
          <w:sz w:val="24"/>
          <w:szCs w:val="24"/>
          <w:highlight w:val="none"/>
        </w:rPr>
      </w:pPr>
    </w:p>
    <w:p w14:paraId="02183A24">
      <w:pPr>
        <w:tabs>
          <w:tab w:val="left" w:pos="720"/>
        </w:tabs>
        <w:spacing w:line="360" w:lineRule="auto"/>
        <w:ind w:right="18" w:firstLine="480"/>
        <w:jc w:val="center"/>
        <w:rPr>
          <w:rFonts w:hint="eastAsia" w:hAnsi="宋体" w:cs="宋体"/>
          <w:color w:val="auto"/>
          <w:sz w:val="24"/>
          <w:szCs w:val="24"/>
          <w:highlight w:val="none"/>
        </w:rPr>
      </w:pPr>
    </w:p>
    <w:p w14:paraId="35A762C6">
      <w:pPr>
        <w:tabs>
          <w:tab w:val="left" w:pos="720"/>
        </w:tabs>
        <w:spacing w:line="360" w:lineRule="auto"/>
        <w:ind w:right="18" w:firstLine="480"/>
        <w:jc w:val="center"/>
        <w:rPr>
          <w:rFonts w:hint="eastAsia" w:hAnsi="宋体" w:cs="宋体"/>
          <w:color w:val="auto"/>
          <w:sz w:val="24"/>
          <w:szCs w:val="24"/>
          <w:highlight w:val="none"/>
        </w:rPr>
      </w:pPr>
    </w:p>
    <w:p w14:paraId="66166A68">
      <w:pPr>
        <w:tabs>
          <w:tab w:val="left" w:pos="720"/>
        </w:tabs>
        <w:spacing w:line="360" w:lineRule="auto"/>
        <w:ind w:right="18" w:firstLine="480"/>
        <w:jc w:val="center"/>
        <w:rPr>
          <w:rFonts w:hint="eastAsia" w:hAnsi="宋体" w:cs="宋体"/>
          <w:color w:val="auto"/>
          <w:sz w:val="24"/>
          <w:szCs w:val="24"/>
          <w:highlight w:val="none"/>
        </w:rPr>
      </w:pPr>
    </w:p>
    <w:p w14:paraId="75B105CB">
      <w:pPr>
        <w:tabs>
          <w:tab w:val="left" w:pos="720"/>
        </w:tabs>
        <w:spacing w:line="360" w:lineRule="auto"/>
        <w:ind w:right="18" w:firstLine="480"/>
        <w:jc w:val="center"/>
        <w:rPr>
          <w:rFonts w:hint="eastAsia" w:hAnsi="宋体" w:cs="宋体"/>
          <w:color w:val="auto"/>
          <w:sz w:val="24"/>
          <w:szCs w:val="24"/>
          <w:highlight w:val="none"/>
        </w:rPr>
      </w:pPr>
    </w:p>
    <w:p w14:paraId="2C301F93">
      <w:pPr>
        <w:tabs>
          <w:tab w:val="left" w:pos="720"/>
        </w:tabs>
        <w:spacing w:line="360" w:lineRule="auto"/>
        <w:ind w:right="18" w:firstLine="480"/>
        <w:jc w:val="center"/>
        <w:rPr>
          <w:rFonts w:hint="eastAsia" w:hAnsi="宋体" w:cs="宋体"/>
          <w:color w:val="auto"/>
          <w:sz w:val="24"/>
          <w:szCs w:val="24"/>
          <w:highlight w:val="none"/>
        </w:rPr>
      </w:pPr>
    </w:p>
    <w:p w14:paraId="13ACBBE0">
      <w:pPr>
        <w:tabs>
          <w:tab w:val="left" w:pos="720"/>
        </w:tabs>
        <w:spacing w:line="360" w:lineRule="auto"/>
        <w:ind w:right="18" w:firstLine="480"/>
        <w:jc w:val="center"/>
        <w:rPr>
          <w:rFonts w:hint="eastAsia" w:hAnsi="宋体" w:cs="宋体"/>
          <w:color w:val="auto"/>
          <w:sz w:val="24"/>
          <w:szCs w:val="24"/>
          <w:highlight w:val="none"/>
        </w:rPr>
      </w:pPr>
    </w:p>
    <w:p w14:paraId="1E0933B5">
      <w:pPr>
        <w:tabs>
          <w:tab w:val="left" w:pos="720"/>
        </w:tabs>
        <w:spacing w:line="360" w:lineRule="auto"/>
        <w:ind w:right="18" w:firstLine="480"/>
        <w:jc w:val="center"/>
        <w:rPr>
          <w:rFonts w:hint="eastAsia" w:hAnsi="宋体" w:cs="宋体"/>
          <w:color w:val="auto"/>
          <w:sz w:val="24"/>
          <w:szCs w:val="24"/>
          <w:highlight w:val="none"/>
        </w:rPr>
      </w:pPr>
    </w:p>
    <w:p w14:paraId="650607D9">
      <w:pPr>
        <w:tabs>
          <w:tab w:val="left" w:pos="720"/>
        </w:tabs>
        <w:spacing w:line="360" w:lineRule="auto"/>
        <w:ind w:right="18" w:firstLine="480"/>
        <w:jc w:val="center"/>
        <w:rPr>
          <w:rFonts w:hint="eastAsia" w:hAnsi="宋体" w:cs="宋体"/>
          <w:color w:val="auto"/>
          <w:sz w:val="24"/>
          <w:szCs w:val="24"/>
          <w:highlight w:val="none"/>
        </w:rPr>
      </w:pPr>
    </w:p>
    <w:p w14:paraId="5E3AEB9F">
      <w:pPr>
        <w:tabs>
          <w:tab w:val="left" w:pos="720"/>
        </w:tabs>
        <w:spacing w:line="360" w:lineRule="auto"/>
        <w:ind w:right="18" w:firstLine="480"/>
        <w:jc w:val="center"/>
        <w:rPr>
          <w:rFonts w:hint="eastAsia" w:hAnsi="宋体" w:cs="宋体"/>
          <w:color w:val="auto"/>
          <w:sz w:val="24"/>
          <w:szCs w:val="24"/>
          <w:highlight w:val="none"/>
        </w:rPr>
      </w:pPr>
    </w:p>
    <w:p w14:paraId="7C762E3F">
      <w:pPr>
        <w:tabs>
          <w:tab w:val="left" w:pos="720"/>
        </w:tabs>
        <w:spacing w:line="360" w:lineRule="auto"/>
        <w:ind w:right="18" w:firstLine="480"/>
        <w:jc w:val="center"/>
        <w:rPr>
          <w:rFonts w:hint="eastAsia" w:hAnsi="宋体" w:cs="宋体"/>
          <w:color w:val="auto"/>
          <w:sz w:val="24"/>
          <w:szCs w:val="24"/>
          <w:highlight w:val="none"/>
        </w:rPr>
      </w:pPr>
    </w:p>
    <w:p w14:paraId="60CC9128">
      <w:pPr>
        <w:tabs>
          <w:tab w:val="left" w:pos="720"/>
        </w:tabs>
        <w:spacing w:line="360" w:lineRule="auto"/>
        <w:ind w:right="18" w:firstLine="480"/>
        <w:jc w:val="center"/>
        <w:rPr>
          <w:rFonts w:hint="eastAsia" w:hAnsi="宋体" w:cs="宋体"/>
          <w:color w:val="auto"/>
          <w:sz w:val="24"/>
          <w:szCs w:val="24"/>
          <w:highlight w:val="none"/>
        </w:rPr>
      </w:pPr>
    </w:p>
    <w:p w14:paraId="7DB7BEA5">
      <w:pPr>
        <w:tabs>
          <w:tab w:val="left" w:pos="720"/>
        </w:tabs>
        <w:spacing w:line="360" w:lineRule="auto"/>
        <w:ind w:right="18"/>
        <w:jc w:val="center"/>
        <w:rPr>
          <w:rFonts w:hint="eastAsia" w:hAnsi="宋体" w:cs="宋体"/>
          <w:b/>
          <w:bCs/>
          <w:color w:val="auto"/>
          <w:sz w:val="24"/>
          <w:szCs w:val="24"/>
          <w:highlight w:val="none"/>
        </w:rPr>
      </w:pPr>
      <w:r>
        <w:rPr>
          <w:rFonts w:hint="eastAsia" w:hAnsi="宋体" w:cs="宋体"/>
          <w:b/>
          <w:bCs/>
          <w:color w:val="auto"/>
          <w:sz w:val="24"/>
          <w:szCs w:val="24"/>
          <w:highlight w:val="none"/>
        </w:rPr>
        <w:t>第四章招标书</w:t>
      </w:r>
    </w:p>
    <w:p w14:paraId="038165AF">
      <w:pPr>
        <w:tabs>
          <w:tab w:val="left" w:pos="720"/>
        </w:tabs>
        <w:spacing w:line="360" w:lineRule="auto"/>
        <w:ind w:right="18" w:firstLine="480"/>
        <w:jc w:val="left"/>
        <w:rPr>
          <w:rFonts w:hAnsi="宋体" w:cs="宋体"/>
          <w:color w:val="auto"/>
          <w:sz w:val="24"/>
          <w:szCs w:val="24"/>
          <w:highlight w:val="none"/>
        </w:rPr>
      </w:pPr>
      <w:r>
        <w:rPr>
          <w:rFonts w:hint="eastAsia" w:hAnsi="宋体" w:cs="宋体"/>
          <w:color w:val="auto"/>
          <w:sz w:val="24"/>
          <w:szCs w:val="24"/>
          <w:highlight w:val="none"/>
        </w:rPr>
        <w:t>受</w:t>
      </w:r>
      <w:r>
        <w:rPr>
          <w:rFonts w:hint="eastAsia" w:hAnsi="宋体" w:cs="宋体"/>
          <w:color w:val="auto"/>
          <w:sz w:val="24"/>
          <w:szCs w:val="24"/>
          <w:highlight w:val="none"/>
          <w:u w:val="single"/>
          <w:lang w:eastAsia="zh-CN"/>
        </w:rPr>
        <w:t>苏州市姑苏区住房保障和物业管理中心</w:t>
      </w:r>
      <w:r>
        <w:rPr>
          <w:rFonts w:hint="eastAsia" w:hAnsi="宋体" w:cs="宋体"/>
          <w:color w:val="auto"/>
          <w:sz w:val="24"/>
          <w:szCs w:val="24"/>
          <w:highlight w:val="none"/>
        </w:rPr>
        <w:t>的委托，</w:t>
      </w:r>
      <w:r>
        <w:rPr>
          <w:rFonts w:hint="eastAsia" w:hAnsi="宋体" w:cs="宋体"/>
          <w:color w:val="auto"/>
          <w:sz w:val="24"/>
          <w:szCs w:val="24"/>
          <w:highlight w:val="none"/>
          <w:u w:val="single"/>
          <w:lang w:eastAsia="zh-CN"/>
        </w:rPr>
        <w:t>苏州骏捷建设管理咨询有限公司</w:t>
      </w:r>
      <w:r>
        <w:rPr>
          <w:rFonts w:hint="eastAsia" w:hAnsi="宋体" w:cs="宋体"/>
          <w:color w:val="auto"/>
          <w:sz w:val="24"/>
          <w:szCs w:val="24"/>
          <w:highlight w:val="none"/>
        </w:rPr>
        <w:t>作为采购代理机构，为其拟采购的</w:t>
      </w:r>
      <w:r>
        <w:rPr>
          <w:rFonts w:hint="eastAsia" w:hAnsi="宋体" w:cs="宋体"/>
          <w:color w:val="auto"/>
          <w:sz w:val="24"/>
          <w:szCs w:val="24"/>
          <w:highlight w:val="none"/>
          <w:u w:val="single"/>
          <w:lang w:eastAsia="zh-CN"/>
        </w:rPr>
        <w:t>姑苏区老旧住区改造项目(2025年度第一批)白蚁防治服务</w:t>
      </w:r>
      <w:r>
        <w:rPr>
          <w:rFonts w:hint="eastAsia" w:hAnsi="宋体" w:cs="宋体"/>
          <w:color w:val="auto"/>
          <w:sz w:val="24"/>
          <w:szCs w:val="24"/>
          <w:highlight w:val="none"/>
          <w:lang w:val="zh-CN"/>
        </w:rPr>
        <w:t>进行</w:t>
      </w:r>
      <w:r>
        <w:rPr>
          <w:rFonts w:hint="eastAsia" w:hAnsi="宋体" w:cs="宋体"/>
          <w:color w:val="auto"/>
          <w:sz w:val="24"/>
          <w:szCs w:val="24"/>
          <w:highlight w:val="none"/>
        </w:rPr>
        <w:t>国内公开招标。</w:t>
      </w:r>
    </w:p>
    <w:p w14:paraId="4C454EEC">
      <w:pPr>
        <w:numPr>
          <w:ilvl w:val="0"/>
          <w:numId w:val="5"/>
        </w:numPr>
        <w:spacing w:line="360" w:lineRule="auto"/>
        <w:rPr>
          <w:rFonts w:hint="eastAsia" w:hAnsi="宋体" w:cs="宋体"/>
          <w:color w:val="auto"/>
          <w:sz w:val="24"/>
          <w:szCs w:val="24"/>
          <w:highlight w:val="none"/>
        </w:rPr>
      </w:pPr>
      <w:r>
        <w:rPr>
          <w:rFonts w:hint="eastAsia" w:hAnsi="宋体" w:cs="宋体"/>
          <w:color w:val="auto"/>
          <w:sz w:val="24"/>
          <w:szCs w:val="24"/>
          <w:highlight w:val="none"/>
        </w:rPr>
        <w:t>招标编号：</w:t>
      </w:r>
      <w:r>
        <w:rPr>
          <w:rFonts w:hint="eastAsia" w:hAnsi="宋体" w:cs="宋体"/>
          <w:color w:val="auto"/>
          <w:sz w:val="24"/>
          <w:szCs w:val="24"/>
          <w:highlight w:val="none"/>
          <w:lang w:eastAsia="zh-CN"/>
        </w:rPr>
        <w:t>JSZC-320508-SZJJ-G2025-0032</w:t>
      </w:r>
    </w:p>
    <w:p w14:paraId="22EBF38D">
      <w:pPr>
        <w:pStyle w:val="23"/>
        <w:rPr>
          <w:rFonts w:hint="eastAsia" w:ascii="宋体" w:hAnsi="宋体" w:eastAsia="宋体" w:cs="宋体"/>
          <w:color w:val="auto"/>
          <w:sz w:val="24"/>
          <w:szCs w:val="24"/>
          <w:highlight w:val="none"/>
          <w:lang w:val="en-US" w:eastAsia="zh-CN" w:bidi="ar-SA"/>
        </w:rPr>
      </w:pPr>
      <w:r>
        <w:rPr>
          <w:rFonts w:hint="eastAsia" w:hAnsi="宋体" w:eastAsia="宋体" w:cs="宋体"/>
          <w:color w:val="auto"/>
          <w:sz w:val="24"/>
          <w:highlight w:val="none"/>
        </w:rPr>
        <w:t>二、招标预算：</w:t>
      </w:r>
      <w:r>
        <w:rPr>
          <w:rFonts w:hint="eastAsia" w:ascii="宋体" w:hAnsi="宋体" w:eastAsia="宋体" w:cs="宋体"/>
          <w:color w:val="auto"/>
          <w:sz w:val="24"/>
          <w:szCs w:val="24"/>
          <w:highlight w:val="none"/>
          <w:lang w:val="en-US" w:eastAsia="zh-CN" w:bidi="ar-SA"/>
        </w:rPr>
        <w:t>1112300.00</w:t>
      </w:r>
      <w:r>
        <w:rPr>
          <w:rFonts w:hint="eastAsia" w:ascii="宋体" w:hAnsi="宋体" w:eastAsia="宋体" w:cs="宋体"/>
          <w:color w:val="auto"/>
          <w:sz w:val="24"/>
          <w:szCs w:val="24"/>
          <w:highlight w:val="none"/>
          <w:lang w:val="zh-CN" w:eastAsia="zh-CN" w:bidi="ar-SA"/>
        </w:rPr>
        <w:t>元（最高限价总价：</w:t>
      </w:r>
      <w:r>
        <w:rPr>
          <w:rFonts w:hint="eastAsia" w:ascii="宋体" w:hAnsi="宋体" w:eastAsia="宋体" w:cs="宋体"/>
          <w:color w:val="auto"/>
          <w:sz w:val="24"/>
          <w:szCs w:val="24"/>
          <w:highlight w:val="none"/>
          <w:lang w:val="en-US" w:eastAsia="zh-CN" w:bidi="ar-SA"/>
        </w:rPr>
        <w:t>1112300.00</w:t>
      </w:r>
      <w:r>
        <w:rPr>
          <w:rFonts w:hint="eastAsia" w:ascii="宋体" w:hAnsi="宋体" w:eastAsia="宋体" w:cs="宋体"/>
          <w:color w:val="auto"/>
          <w:sz w:val="24"/>
          <w:szCs w:val="24"/>
          <w:highlight w:val="none"/>
          <w:lang w:val="zh-CN" w:eastAsia="zh-CN" w:bidi="ar-SA"/>
        </w:rPr>
        <w:t>元，最高限价单价：</w:t>
      </w:r>
      <w:r>
        <w:rPr>
          <w:rFonts w:hint="eastAsia" w:ascii="宋体" w:hAnsi="宋体" w:eastAsia="宋体" w:cs="宋体"/>
          <w:color w:val="auto"/>
          <w:sz w:val="24"/>
          <w:szCs w:val="24"/>
          <w:highlight w:val="none"/>
          <w:lang w:val="en-US" w:eastAsia="zh-CN" w:bidi="ar-SA"/>
        </w:rPr>
        <w:t>6.6元/平方米</w:t>
      </w:r>
      <w:r>
        <w:rPr>
          <w:rFonts w:hint="eastAsia" w:ascii="宋体" w:hAnsi="宋体" w:eastAsia="宋体" w:cs="宋体"/>
          <w:color w:val="auto"/>
          <w:sz w:val="24"/>
          <w:szCs w:val="24"/>
          <w:highlight w:val="none"/>
          <w:lang w:val="zh-CN" w:eastAsia="zh-CN" w:bidi="ar-SA"/>
        </w:rPr>
        <w:t>）</w:t>
      </w:r>
    </w:p>
    <w:p w14:paraId="361960E1">
      <w:pPr>
        <w:spacing w:line="360" w:lineRule="auto"/>
        <w:rPr>
          <w:rFonts w:hint="eastAsia" w:hAnsi="宋体" w:cs="宋体"/>
          <w:color w:val="auto"/>
          <w:sz w:val="24"/>
          <w:szCs w:val="24"/>
          <w:highlight w:val="none"/>
        </w:rPr>
      </w:pPr>
      <w:r>
        <w:rPr>
          <w:rFonts w:hint="eastAsia" w:hAnsi="宋体" w:cs="宋体"/>
          <w:color w:val="auto"/>
          <w:sz w:val="24"/>
          <w:szCs w:val="24"/>
          <w:highlight w:val="none"/>
        </w:rPr>
        <w:t>三、项目名称：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hAnsi="宋体" w:cs="宋体"/>
          <w:color w:val="auto"/>
          <w:sz w:val="24"/>
          <w:szCs w:val="24"/>
          <w:highlight w:val="none"/>
          <w:lang w:eastAsia="zh-CN"/>
        </w:rPr>
        <w:t>姑苏区老旧住区改造项目(2025年度第一批)白蚁防治服务</w:t>
      </w:r>
    </w:p>
    <w:p w14:paraId="563FC9A7">
      <w:pPr>
        <w:widowControl/>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val="en-US" w:eastAsia="zh-CN"/>
        </w:rPr>
        <w:t>四、服务期限：</w:t>
      </w:r>
      <w:r>
        <w:rPr>
          <w:rFonts w:hint="eastAsia" w:hAnsi="宋体" w:cs="宋体"/>
          <w:color w:val="auto"/>
          <w:sz w:val="24"/>
          <w:szCs w:val="24"/>
          <w:highlight w:val="none"/>
          <w:lang w:eastAsia="zh-CN"/>
        </w:rPr>
        <w:t xml:space="preserve">合同签订之日起至完成全部本项目白蚁防治工作并通过甲方组织的履约验收止   </w:t>
      </w:r>
    </w:p>
    <w:p w14:paraId="67CD553E">
      <w:pPr>
        <w:spacing w:line="400" w:lineRule="exact"/>
        <w:outlineLvl w:val="0"/>
        <w:rPr>
          <w:rFonts w:ascii="宋体" w:hAnsi="宋体"/>
          <w:b/>
          <w:bCs w:val="0"/>
          <w:color w:val="auto"/>
          <w:sz w:val="24"/>
          <w:highlight w:val="none"/>
        </w:rPr>
      </w:pPr>
      <w:r>
        <w:rPr>
          <w:rFonts w:hint="eastAsia" w:ascii="宋体" w:hAnsi="宋体"/>
          <w:b/>
          <w:bCs w:val="0"/>
          <w:color w:val="auto"/>
          <w:sz w:val="24"/>
          <w:highlight w:val="none"/>
        </w:rPr>
        <w:t>五、</w:t>
      </w:r>
      <w:r>
        <w:rPr>
          <w:rFonts w:hint="eastAsia" w:hAnsi="宋体"/>
          <w:b/>
          <w:bCs w:val="0"/>
          <w:color w:val="auto"/>
          <w:sz w:val="24"/>
          <w:highlight w:val="none"/>
          <w:lang w:val="en-US" w:eastAsia="zh-CN"/>
        </w:rPr>
        <w:t>采购需求</w:t>
      </w:r>
      <w:r>
        <w:rPr>
          <w:rFonts w:hint="eastAsia" w:ascii="宋体" w:hAnsi="宋体"/>
          <w:b/>
          <w:bCs w:val="0"/>
          <w:color w:val="auto"/>
          <w:sz w:val="24"/>
          <w:highlight w:val="none"/>
        </w:rPr>
        <w:t>：</w:t>
      </w:r>
    </w:p>
    <w:p w14:paraId="21CD7446">
      <w:pPr>
        <w:widowControl/>
        <w:spacing w:line="36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项目概况</w:t>
      </w:r>
      <w:r>
        <w:rPr>
          <w:rFonts w:hint="eastAsia" w:ascii="宋体" w:hAnsi="宋体" w:eastAsia="宋体" w:cs="宋体"/>
          <w:color w:val="auto"/>
          <w:sz w:val="24"/>
          <w:szCs w:val="24"/>
          <w:highlight w:val="none"/>
          <w:lang w:val="en-US" w:eastAsia="zh-CN"/>
        </w:rPr>
        <w:t>：该项目拟对苏州市姑苏区阊门片区、山塘片区、桃花坞片区以及剩余其它片区内损坏类房屋实施综合改造整治，同时改造整治片区内基础配套。具体建设内容包括住区解危修缮、住区改造提升、管线综合整治、破损路面修复、生态环境修缮及附属设施完善等，同步增设快递柜、宣传广告牌等功能性设施。本项目对本次项目范围内的改造房屋按相关规定在改造过程中进行白蚁防治处理，主要对综合维修和风貌提升维修的屋面面积和翻新建筑按相关规定进行白蚁防治，防止改造后建筑出现白蚁危害的情况。</w:t>
      </w:r>
    </w:p>
    <w:p w14:paraId="17E0F7FE">
      <w:pPr>
        <w:widowControl/>
        <w:spacing w:line="360" w:lineRule="auto"/>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hAnsi="宋体" w:cs="宋体"/>
          <w:color w:val="auto"/>
          <w:sz w:val="24"/>
          <w:szCs w:val="24"/>
          <w:highlight w:val="none"/>
          <w:lang w:val="en-US" w:eastAsia="zh-CN"/>
        </w:rPr>
        <w:t>服务要求：</w:t>
      </w:r>
    </w:p>
    <w:p w14:paraId="64163998">
      <w:pPr>
        <w:tabs>
          <w:tab w:val="left" w:pos="0"/>
        </w:tabs>
        <w:spacing w:line="360" w:lineRule="auto"/>
        <w:ind w:firstLine="480"/>
        <w:rPr>
          <w:rFonts w:hint="eastAsia" w:ascii="宋体" w:hAnsi="宋体" w:cs="宋体"/>
          <w:color w:val="auto"/>
          <w:sz w:val="24"/>
          <w:szCs w:val="32"/>
          <w:highlight w:val="none"/>
          <w:lang w:val="en-US" w:eastAsia="zh-CN"/>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服务过程中，供应商</w:t>
      </w:r>
      <w:r>
        <w:rPr>
          <w:rFonts w:hint="eastAsia" w:ascii="宋体" w:hAnsi="宋体" w:cs="宋体"/>
          <w:color w:val="auto"/>
          <w:sz w:val="24"/>
          <w:szCs w:val="24"/>
          <w:highlight w:val="none"/>
          <w:lang w:eastAsia="zh-CN"/>
        </w:rPr>
        <w:t>应接受</w:t>
      </w:r>
      <w:r>
        <w:rPr>
          <w:rFonts w:hint="eastAsia" w:ascii="宋体" w:hAnsi="宋体" w:eastAsia="宋体" w:cs="宋体"/>
          <w:color w:val="auto"/>
          <w:sz w:val="24"/>
          <w:szCs w:val="24"/>
          <w:highlight w:val="none"/>
          <w:lang w:eastAsia="zh-CN"/>
        </w:rPr>
        <w:t>苏州市姑苏区</w:t>
      </w:r>
      <w:r>
        <w:rPr>
          <w:rFonts w:hint="eastAsia" w:ascii="宋体" w:hAnsi="宋体" w:cs="宋体"/>
          <w:color w:val="auto"/>
          <w:sz w:val="24"/>
          <w:szCs w:val="24"/>
          <w:highlight w:val="none"/>
          <w:lang w:val="en-US" w:eastAsia="zh-CN"/>
        </w:rPr>
        <w:t>住房保障和物业管理中心</w:t>
      </w:r>
      <w:r>
        <w:rPr>
          <w:rFonts w:hint="eastAsia" w:ascii="宋体" w:hAnsi="宋体" w:cs="宋体"/>
          <w:color w:val="auto"/>
          <w:sz w:val="24"/>
          <w:szCs w:val="24"/>
          <w:highlight w:val="none"/>
          <w:lang w:eastAsia="zh-CN"/>
        </w:rPr>
        <w:t>的监督检查，</w:t>
      </w:r>
      <w:r>
        <w:rPr>
          <w:rFonts w:hint="eastAsia" w:ascii="宋体" w:hAnsi="宋体" w:cs="宋体"/>
          <w:color w:val="auto"/>
          <w:sz w:val="24"/>
          <w:szCs w:val="24"/>
          <w:highlight w:val="none"/>
          <w:lang w:val="en-US" w:eastAsia="zh-CN"/>
        </w:rPr>
        <w:t>按照</w:t>
      </w:r>
      <w:r>
        <w:rPr>
          <w:rFonts w:hint="eastAsia" w:ascii="宋体" w:hAnsi="宋体" w:eastAsia="宋体" w:cs="宋体"/>
          <w:color w:val="auto"/>
          <w:sz w:val="24"/>
          <w:szCs w:val="24"/>
          <w:highlight w:val="none"/>
        </w:rPr>
        <w:t>合同约定、《房屋白蚁预防工程技术规程》（DB32/T 3694-2019）要求</w:t>
      </w:r>
      <w:r>
        <w:rPr>
          <w:rFonts w:hint="eastAsia" w:ascii="宋体" w:hAnsi="宋体" w:cs="宋体"/>
          <w:color w:val="auto"/>
          <w:sz w:val="24"/>
          <w:szCs w:val="24"/>
          <w:highlight w:val="none"/>
          <w:lang w:eastAsia="zh-CN"/>
        </w:rPr>
        <w:t>提供</w:t>
      </w:r>
      <w:r>
        <w:rPr>
          <w:rFonts w:hint="eastAsia" w:ascii="宋体" w:hAnsi="宋体" w:cs="宋体"/>
          <w:color w:val="auto"/>
          <w:sz w:val="24"/>
          <w:szCs w:val="24"/>
          <w:highlight w:val="none"/>
          <w:lang w:val="en-US" w:eastAsia="zh-CN"/>
        </w:rPr>
        <w:t>服务。</w:t>
      </w:r>
    </w:p>
    <w:p w14:paraId="5E7B652F">
      <w:pPr>
        <w:tabs>
          <w:tab w:val="left" w:pos="0"/>
        </w:tabs>
        <w:spacing w:line="360" w:lineRule="auto"/>
        <w:ind w:firstLine="480"/>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32"/>
          <w:highlight w:val="none"/>
          <w:lang w:val="en-US" w:eastAsia="zh-CN"/>
        </w:rPr>
        <w:t>3.2</w:t>
      </w:r>
      <w:r>
        <w:rPr>
          <w:rFonts w:hint="eastAsia" w:ascii="宋体" w:hAnsi="宋体" w:eastAsia="宋体" w:cs="宋体"/>
          <w:color w:val="auto"/>
          <w:sz w:val="24"/>
          <w:szCs w:val="24"/>
          <w:highlight w:val="none"/>
        </w:rPr>
        <w:t>项目要求提供</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名项目负责人和</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名工程技术人员的团队，配备</w:t>
      </w:r>
      <w:r>
        <w:rPr>
          <w:rFonts w:hint="eastAsia" w:hAnsi="宋体" w:cs="宋体"/>
          <w:color w:val="auto"/>
          <w:sz w:val="24"/>
          <w:szCs w:val="24"/>
          <w:highlight w:val="none"/>
          <w:lang w:val="en-US" w:eastAsia="zh-CN"/>
        </w:rPr>
        <w:t>必要的</w:t>
      </w:r>
      <w:r>
        <w:rPr>
          <w:rFonts w:hint="eastAsia" w:ascii="宋体" w:hAnsi="宋体" w:eastAsia="宋体" w:cs="宋体"/>
          <w:color w:val="auto"/>
          <w:sz w:val="24"/>
          <w:szCs w:val="24"/>
          <w:highlight w:val="none"/>
        </w:rPr>
        <w:t>白蚁防治专用设备</w:t>
      </w:r>
      <w:r>
        <w:rPr>
          <w:rFonts w:hint="eastAsia" w:hAnsi="宋体" w:cs="宋体"/>
          <w:color w:val="auto"/>
          <w:sz w:val="24"/>
          <w:szCs w:val="24"/>
          <w:highlight w:val="none"/>
          <w:lang w:eastAsia="zh-CN"/>
        </w:rPr>
        <w:t>设施</w:t>
      </w: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需提供相关承诺函</w:t>
      </w:r>
      <w:r>
        <w:rPr>
          <w:rFonts w:hint="eastAsia" w:ascii="宋体" w:hAnsi="宋体" w:cs="宋体"/>
          <w:b/>
          <w:bCs/>
          <w:color w:val="auto"/>
          <w:sz w:val="24"/>
          <w:szCs w:val="24"/>
          <w:highlight w:val="none"/>
          <w:lang w:eastAsia="zh-CN"/>
        </w:rPr>
        <w:t>）</w:t>
      </w:r>
    </w:p>
    <w:p w14:paraId="064CFEE4">
      <w:pPr>
        <w:tabs>
          <w:tab w:val="left" w:pos="0"/>
        </w:tabs>
        <w:spacing w:line="360" w:lineRule="auto"/>
        <w:ind w:firstLine="480"/>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3.3</w:t>
      </w:r>
      <w:r>
        <w:rPr>
          <w:rFonts w:hint="eastAsia" w:ascii="宋体" w:hAnsi="宋体" w:cs="宋体"/>
          <w:color w:val="auto"/>
          <w:sz w:val="24"/>
          <w:szCs w:val="24"/>
          <w:highlight w:val="none"/>
          <w:lang w:eastAsia="zh-CN"/>
        </w:rPr>
        <w:t>针对</w:t>
      </w:r>
      <w:r>
        <w:rPr>
          <w:rFonts w:hint="eastAsia" w:hAnsi="宋体" w:cs="宋体"/>
          <w:color w:val="auto"/>
          <w:sz w:val="24"/>
          <w:szCs w:val="24"/>
          <w:highlight w:val="none"/>
          <w:lang w:val="en-US" w:eastAsia="zh-CN"/>
        </w:rPr>
        <w:t>采购人</w:t>
      </w:r>
      <w:r>
        <w:rPr>
          <w:rFonts w:hint="eastAsia" w:hAnsi="宋体" w:cs="宋体"/>
          <w:color w:val="auto"/>
          <w:sz w:val="24"/>
          <w:szCs w:val="24"/>
          <w:highlight w:val="none"/>
          <w:lang w:eastAsia="zh-CN"/>
        </w:rPr>
        <w:t>提供的白蚁防治工作联系单</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供应商应在收到后</w:t>
      </w:r>
      <w:r>
        <w:rPr>
          <w:rFonts w:hint="eastAsia" w:hAnsi="宋体" w:cs="宋体"/>
          <w:color w:val="auto"/>
          <w:sz w:val="24"/>
          <w:szCs w:val="24"/>
          <w:highlight w:val="none"/>
          <w:lang w:eastAsia="zh-CN"/>
        </w:rPr>
        <w:t>一天内响应，三天</w:t>
      </w:r>
      <w:r>
        <w:rPr>
          <w:rFonts w:hint="eastAsia" w:ascii="宋体" w:hAnsi="宋体" w:eastAsia="宋体" w:cs="宋体"/>
          <w:color w:val="auto"/>
          <w:sz w:val="24"/>
          <w:szCs w:val="24"/>
          <w:highlight w:val="none"/>
        </w:rPr>
        <w:t>内</w:t>
      </w:r>
      <w:r>
        <w:rPr>
          <w:rFonts w:hint="eastAsia" w:hAnsi="宋体" w:cs="宋体"/>
          <w:color w:val="auto"/>
          <w:sz w:val="24"/>
          <w:szCs w:val="24"/>
          <w:highlight w:val="none"/>
          <w:lang w:eastAsia="zh-CN"/>
        </w:rPr>
        <w:t>完成白蚁防治工作</w:t>
      </w:r>
      <w:r>
        <w:rPr>
          <w:rFonts w:hint="eastAsia" w:ascii="宋体" w:hAnsi="宋体" w:cs="宋体"/>
          <w:color w:val="auto"/>
          <w:sz w:val="24"/>
          <w:szCs w:val="24"/>
          <w:highlight w:val="none"/>
          <w:lang w:eastAsia="zh-CN"/>
        </w:rPr>
        <w:t>；</w:t>
      </w:r>
    </w:p>
    <w:p w14:paraId="514A3B30">
      <w:pPr>
        <w:tabs>
          <w:tab w:val="left" w:pos="0"/>
        </w:tabs>
        <w:spacing w:line="360" w:lineRule="auto"/>
        <w:ind w:firstLine="480"/>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3.4</w:t>
      </w:r>
      <w:r>
        <w:rPr>
          <w:rFonts w:hint="eastAsia" w:ascii="宋体" w:hAnsi="宋体" w:eastAsia="宋体" w:cs="宋体"/>
          <w:color w:val="auto"/>
          <w:sz w:val="24"/>
          <w:szCs w:val="24"/>
          <w:highlight w:val="none"/>
        </w:rPr>
        <w:t>供应商应</w:t>
      </w:r>
      <w:r>
        <w:rPr>
          <w:rFonts w:hint="eastAsia" w:hAnsi="宋体" w:cs="宋体"/>
          <w:color w:val="auto"/>
          <w:sz w:val="24"/>
          <w:szCs w:val="24"/>
          <w:highlight w:val="none"/>
          <w:lang w:eastAsia="zh-CN"/>
        </w:rPr>
        <w:t>在合同签订后与</w:t>
      </w:r>
      <w:r>
        <w:rPr>
          <w:rFonts w:hint="eastAsia" w:hAnsi="宋体" w:cs="宋体"/>
          <w:color w:val="auto"/>
          <w:sz w:val="24"/>
          <w:szCs w:val="24"/>
          <w:highlight w:val="none"/>
          <w:lang w:val="en-US" w:eastAsia="zh-CN"/>
        </w:rPr>
        <w:t>采购人</w:t>
      </w:r>
      <w:r>
        <w:rPr>
          <w:rFonts w:hint="eastAsia" w:hAnsi="宋体" w:cs="宋体"/>
          <w:color w:val="auto"/>
          <w:sz w:val="24"/>
          <w:szCs w:val="24"/>
          <w:highlight w:val="none"/>
          <w:lang w:eastAsia="zh-CN"/>
        </w:rPr>
        <w:t>做好工作对接，</w:t>
      </w:r>
      <w:r>
        <w:rPr>
          <w:rFonts w:hint="eastAsia" w:ascii="宋体" w:hAnsi="宋体" w:eastAsia="宋体" w:cs="宋体"/>
          <w:color w:val="auto"/>
          <w:sz w:val="24"/>
          <w:szCs w:val="24"/>
          <w:highlight w:val="none"/>
        </w:rPr>
        <w:t>告知</w:t>
      </w:r>
      <w:r>
        <w:rPr>
          <w:rFonts w:hint="eastAsia" w:hAnsi="宋体" w:cs="宋体"/>
          <w:color w:val="auto"/>
          <w:sz w:val="24"/>
          <w:szCs w:val="24"/>
          <w:highlight w:val="none"/>
          <w:lang w:eastAsia="zh-CN"/>
        </w:rPr>
        <w:t>防治实施</w:t>
      </w:r>
      <w:r>
        <w:rPr>
          <w:rFonts w:hint="eastAsia" w:ascii="宋体" w:hAnsi="宋体" w:eastAsia="宋体" w:cs="宋体"/>
          <w:color w:val="auto"/>
          <w:sz w:val="24"/>
          <w:szCs w:val="24"/>
          <w:highlight w:val="none"/>
        </w:rPr>
        <w:t>节点</w:t>
      </w:r>
      <w:r>
        <w:rPr>
          <w:rFonts w:hint="eastAsia" w:hAnsi="宋体" w:cs="宋体"/>
          <w:color w:val="auto"/>
          <w:sz w:val="24"/>
          <w:szCs w:val="24"/>
          <w:highlight w:val="none"/>
          <w:lang w:eastAsia="zh-CN"/>
        </w:rPr>
        <w:t>。每周安排人员主动联系</w:t>
      </w:r>
      <w:r>
        <w:rPr>
          <w:rFonts w:hint="eastAsia"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，了解项目</w:t>
      </w:r>
      <w:r>
        <w:rPr>
          <w:rFonts w:hint="eastAsia" w:ascii="宋体" w:hAnsi="宋体" w:cs="宋体"/>
          <w:color w:val="auto"/>
          <w:sz w:val="24"/>
          <w:szCs w:val="24"/>
          <w:highlight w:val="none"/>
          <w:lang w:eastAsia="zh-CN"/>
        </w:rPr>
        <w:t>施工</w:t>
      </w:r>
      <w:r>
        <w:rPr>
          <w:rFonts w:hint="eastAsia" w:ascii="宋体" w:hAnsi="宋体" w:eastAsia="宋体" w:cs="宋体"/>
          <w:color w:val="auto"/>
          <w:sz w:val="24"/>
          <w:szCs w:val="24"/>
          <w:highlight w:val="none"/>
        </w:rPr>
        <w:t>进度</w:t>
      </w:r>
      <w:r>
        <w:rPr>
          <w:rFonts w:hint="eastAsia" w:hAnsi="宋体" w:cs="宋体"/>
          <w:color w:val="auto"/>
          <w:sz w:val="24"/>
          <w:szCs w:val="24"/>
          <w:highlight w:val="none"/>
          <w:lang w:eastAsia="zh-CN"/>
        </w:rPr>
        <w:t>主动做好白蚁防治工作计划，配合施工进展</w:t>
      </w:r>
      <w:r>
        <w:rPr>
          <w:rFonts w:hint="eastAsia" w:ascii="宋体" w:hAnsi="宋体" w:eastAsia="宋体" w:cs="宋体"/>
          <w:color w:val="auto"/>
          <w:sz w:val="24"/>
          <w:szCs w:val="24"/>
          <w:highlight w:val="none"/>
        </w:rPr>
        <w:t>等。</w:t>
      </w:r>
    </w:p>
    <w:p w14:paraId="3A45011D">
      <w:pPr>
        <w:tabs>
          <w:tab w:val="left" w:pos="0"/>
        </w:tabs>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rPr>
        <w:t>房屋白蚁预防</w:t>
      </w:r>
      <w:r>
        <w:rPr>
          <w:rFonts w:hint="eastAsia" w:hAnsi="宋体" w:cs="宋体"/>
          <w:color w:val="auto"/>
          <w:sz w:val="24"/>
          <w:szCs w:val="24"/>
          <w:highlight w:val="none"/>
          <w:lang w:eastAsia="zh-CN"/>
        </w:rPr>
        <w:t>工作实施</w:t>
      </w:r>
      <w:r>
        <w:rPr>
          <w:rFonts w:hint="eastAsia" w:ascii="宋体" w:hAnsi="宋体" w:eastAsia="宋体" w:cs="宋体"/>
          <w:color w:val="auto"/>
          <w:sz w:val="24"/>
          <w:szCs w:val="24"/>
          <w:highlight w:val="none"/>
        </w:rPr>
        <w:t>前，供应商</w:t>
      </w:r>
      <w:r>
        <w:rPr>
          <w:rFonts w:hint="eastAsia" w:ascii="宋体" w:hAnsi="宋体" w:cs="宋体"/>
          <w:color w:val="auto"/>
          <w:sz w:val="24"/>
          <w:szCs w:val="24"/>
          <w:highlight w:val="none"/>
          <w:lang w:val="en-US" w:eastAsia="zh-CN"/>
        </w:rPr>
        <w:t>应进行现场勘察，根据勘察结果</w:t>
      </w:r>
      <w:r>
        <w:rPr>
          <w:rFonts w:hint="eastAsia" w:ascii="宋体" w:hAnsi="宋体" w:eastAsia="宋体" w:cs="宋体"/>
          <w:color w:val="auto"/>
          <w:sz w:val="24"/>
          <w:szCs w:val="24"/>
          <w:highlight w:val="none"/>
        </w:rPr>
        <w:t>制定</w:t>
      </w:r>
      <w:r>
        <w:rPr>
          <w:rFonts w:hint="eastAsia" w:hAnsi="宋体" w:cs="宋体"/>
          <w:color w:val="auto"/>
          <w:sz w:val="24"/>
          <w:szCs w:val="24"/>
          <w:highlight w:val="none"/>
          <w:lang w:eastAsia="zh-CN"/>
        </w:rPr>
        <w:t>工作</w:t>
      </w:r>
      <w:r>
        <w:rPr>
          <w:rFonts w:hint="eastAsia" w:ascii="宋体" w:hAnsi="宋体" w:eastAsia="宋体" w:cs="宋体"/>
          <w:color w:val="auto"/>
          <w:sz w:val="24"/>
          <w:szCs w:val="24"/>
          <w:highlight w:val="none"/>
        </w:rPr>
        <w:t>方案，经</w:t>
      </w:r>
      <w:r>
        <w:rPr>
          <w:rFonts w:hint="eastAsia" w:hAnsi="宋体" w:cs="宋体"/>
          <w:color w:val="auto"/>
          <w:sz w:val="24"/>
          <w:szCs w:val="24"/>
          <w:highlight w:val="none"/>
          <w:lang w:val="en-US" w:eastAsia="zh-CN"/>
        </w:rPr>
        <w:t>采购人</w:t>
      </w:r>
      <w:r>
        <w:rPr>
          <w:rFonts w:hint="eastAsia" w:hAnsi="宋体" w:cs="宋体"/>
          <w:color w:val="auto"/>
          <w:sz w:val="24"/>
          <w:szCs w:val="24"/>
          <w:highlight w:val="none"/>
          <w:lang w:eastAsia="zh-CN"/>
        </w:rPr>
        <w:t>或</w:t>
      </w:r>
      <w:r>
        <w:rPr>
          <w:rFonts w:hint="eastAsia" w:hAnsi="宋体" w:cs="宋体"/>
          <w:color w:val="auto"/>
          <w:sz w:val="24"/>
          <w:szCs w:val="24"/>
          <w:highlight w:val="none"/>
          <w:lang w:val="en-US" w:eastAsia="zh-CN"/>
        </w:rPr>
        <w:t>采购人</w:t>
      </w:r>
      <w:r>
        <w:rPr>
          <w:rFonts w:hint="eastAsia" w:hAnsi="宋体" w:cs="宋体"/>
          <w:color w:val="auto"/>
          <w:sz w:val="24"/>
          <w:szCs w:val="24"/>
          <w:highlight w:val="none"/>
          <w:lang w:eastAsia="zh-CN"/>
        </w:rPr>
        <w:t>委托的监理工程师</w:t>
      </w:r>
      <w:r>
        <w:rPr>
          <w:rFonts w:hint="eastAsia" w:ascii="宋体" w:hAnsi="宋体" w:eastAsia="宋体" w:cs="宋体"/>
          <w:color w:val="auto"/>
          <w:sz w:val="24"/>
          <w:szCs w:val="24"/>
          <w:highlight w:val="none"/>
        </w:rPr>
        <w:t>审核后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严格依照</w:t>
      </w:r>
      <w:r>
        <w:rPr>
          <w:rFonts w:hint="eastAsia" w:hAnsi="宋体" w:cs="宋体"/>
          <w:color w:val="auto"/>
          <w:sz w:val="24"/>
          <w:szCs w:val="24"/>
          <w:highlight w:val="none"/>
          <w:lang w:eastAsia="zh-CN"/>
        </w:rPr>
        <w:t>工作</w:t>
      </w:r>
      <w:r>
        <w:rPr>
          <w:rFonts w:hint="eastAsia" w:ascii="宋体" w:hAnsi="宋体" w:eastAsia="宋体" w:cs="宋体"/>
          <w:color w:val="auto"/>
          <w:sz w:val="24"/>
          <w:szCs w:val="24"/>
          <w:highlight w:val="none"/>
        </w:rPr>
        <w:t>方案</w:t>
      </w:r>
      <w:r>
        <w:rPr>
          <w:rFonts w:hint="eastAsia" w:ascii="宋体" w:hAnsi="宋体" w:cs="宋体"/>
          <w:color w:val="auto"/>
          <w:sz w:val="24"/>
          <w:szCs w:val="24"/>
          <w:highlight w:val="none"/>
          <w:lang w:eastAsia="zh-CN"/>
        </w:rPr>
        <w:t>开展现场</w:t>
      </w:r>
      <w:r>
        <w:rPr>
          <w:rFonts w:hint="eastAsia" w:hAnsi="宋体" w:cs="宋体"/>
          <w:color w:val="auto"/>
          <w:sz w:val="24"/>
          <w:szCs w:val="24"/>
          <w:highlight w:val="none"/>
          <w:lang w:eastAsia="zh-CN"/>
        </w:rPr>
        <w:t>作业</w:t>
      </w:r>
      <w:r>
        <w:rPr>
          <w:rFonts w:hint="eastAsia" w:ascii="宋体" w:hAnsi="宋体" w:eastAsia="宋体" w:cs="宋体"/>
          <w:color w:val="auto"/>
          <w:sz w:val="24"/>
          <w:szCs w:val="24"/>
          <w:highlight w:val="none"/>
        </w:rPr>
        <w:t>；如</w:t>
      </w:r>
      <w:r>
        <w:rPr>
          <w:rFonts w:hint="eastAsia" w:hAnsi="宋体" w:cs="宋体"/>
          <w:color w:val="auto"/>
          <w:sz w:val="24"/>
          <w:szCs w:val="24"/>
          <w:highlight w:val="none"/>
          <w:lang w:eastAsia="zh-CN"/>
        </w:rPr>
        <w:t>作业</w:t>
      </w:r>
      <w:r>
        <w:rPr>
          <w:rFonts w:hint="eastAsia" w:ascii="宋体" w:hAnsi="宋体" w:eastAsia="宋体" w:cs="宋体"/>
          <w:color w:val="auto"/>
          <w:sz w:val="24"/>
          <w:szCs w:val="24"/>
          <w:highlight w:val="none"/>
        </w:rPr>
        <w:t>现场与</w:t>
      </w:r>
      <w:r>
        <w:rPr>
          <w:rFonts w:hint="eastAsia" w:hAnsi="宋体" w:cs="宋体"/>
          <w:color w:val="auto"/>
          <w:sz w:val="24"/>
          <w:szCs w:val="24"/>
          <w:highlight w:val="none"/>
          <w:lang w:eastAsia="zh-CN"/>
        </w:rPr>
        <w:t>工作</w:t>
      </w:r>
      <w:r>
        <w:rPr>
          <w:rFonts w:hint="eastAsia" w:ascii="宋体" w:hAnsi="宋体" w:eastAsia="宋体" w:cs="宋体"/>
          <w:color w:val="auto"/>
          <w:sz w:val="24"/>
          <w:szCs w:val="24"/>
          <w:highlight w:val="none"/>
        </w:rPr>
        <w:t>工方案不一致，应填写情况说明，</w:t>
      </w:r>
      <w:r>
        <w:rPr>
          <w:rFonts w:hint="eastAsia" w:ascii="宋体" w:hAnsi="宋体" w:cs="宋体"/>
          <w:color w:val="auto"/>
          <w:sz w:val="24"/>
          <w:szCs w:val="24"/>
          <w:highlight w:val="none"/>
          <w:lang w:val="en-US" w:eastAsia="zh-CN"/>
        </w:rPr>
        <w:t>经</w:t>
      </w:r>
      <w:r>
        <w:rPr>
          <w:rFonts w:hint="eastAsia" w:hAnsi="宋体" w:cs="宋体"/>
          <w:color w:val="auto"/>
          <w:sz w:val="24"/>
          <w:szCs w:val="24"/>
          <w:highlight w:val="none"/>
          <w:lang w:val="en-US" w:eastAsia="zh-CN"/>
        </w:rPr>
        <w:t>采购人</w:t>
      </w:r>
      <w:r>
        <w:rPr>
          <w:rFonts w:hint="eastAsia" w:hAnsi="宋体" w:cs="宋体"/>
          <w:color w:val="auto"/>
          <w:sz w:val="24"/>
          <w:szCs w:val="24"/>
          <w:highlight w:val="none"/>
          <w:lang w:eastAsia="zh-CN"/>
        </w:rPr>
        <w:t>或</w:t>
      </w:r>
      <w:r>
        <w:rPr>
          <w:rFonts w:hint="eastAsia" w:hAnsi="宋体" w:cs="宋体"/>
          <w:color w:val="auto"/>
          <w:sz w:val="24"/>
          <w:szCs w:val="24"/>
          <w:highlight w:val="none"/>
          <w:lang w:val="en-US" w:eastAsia="zh-CN"/>
        </w:rPr>
        <w:t>采购人</w:t>
      </w:r>
      <w:r>
        <w:rPr>
          <w:rFonts w:hint="eastAsia" w:hAnsi="宋体" w:cs="宋体"/>
          <w:color w:val="auto"/>
          <w:sz w:val="24"/>
          <w:szCs w:val="24"/>
          <w:highlight w:val="none"/>
          <w:lang w:eastAsia="zh-CN"/>
        </w:rPr>
        <w:t>委托的监理工程师</w:t>
      </w:r>
      <w:r>
        <w:rPr>
          <w:rFonts w:hint="eastAsia" w:ascii="宋体" w:hAnsi="宋体" w:eastAsia="宋体" w:cs="宋体"/>
          <w:color w:val="auto"/>
          <w:sz w:val="24"/>
          <w:szCs w:val="24"/>
          <w:highlight w:val="none"/>
        </w:rPr>
        <w:t>审核后，方可</w:t>
      </w:r>
      <w:r>
        <w:rPr>
          <w:rFonts w:hint="eastAsia" w:ascii="宋体" w:hAnsi="宋体" w:cs="宋体"/>
          <w:color w:val="auto"/>
          <w:sz w:val="24"/>
          <w:szCs w:val="24"/>
          <w:highlight w:val="none"/>
          <w:lang w:eastAsia="zh-CN"/>
        </w:rPr>
        <w:t>开展现场</w:t>
      </w:r>
      <w:r>
        <w:rPr>
          <w:rFonts w:hint="eastAsia" w:hAnsi="宋体" w:cs="宋体"/>
          <w:color w:val="auto"/>
          <w:sz w:val="24"/>
          <w:szCs w:val="24"/>
          <w:highlight w:val="none"/>
          <w:lang w:eastAsia="zh-CN"/>
        </w:rPr>
        <w:t>作业</w:t>
      </w:r>
      <w:r>
        <w:rPr>
          <w:rFonts w:hint="eastAsia" w:ascii="宋体" w:hAnsi="宋体" w:eastAsia="宋体" w:cs="宋体"/>
          <w:color w:val="auto"/>
          <w:sz w:val="24"/>
          <w:szCs w:val="24"/>
          <w:highlight w:val="none"/>
        </w:rPr>
        <w:t>。工程</w:t>
      </w:r>
      <w:r>
        <w:rPr>
          <w:rFonts w:hint="eastAsia" w:hAnsi="宋体" w:cs="宋体"/>
          <w:color w:val="auto"/>
          <w:sz w:val="24"/>
          <w:szCs w:val="24"/>
          <w:highlight w:val="none"/>
          <w:lang w:eastAsia="zh-CN"/>
        </w:rPr>
        <w:t>竣工验收</w:t>
      </w:r>
      <w:r>
        <w:rPr>
          <w:rFonts w:hint="eastAsia" w:ascii="宋体" w:hAnsi="宋体" w:eastAsia="宋体" w:cs="宋体"/>
          <w:color w:val="auto"/>
          <w:sz w:val="24"/>
          <w:szCs w:val="24"/>
          <w:highlight w:val="none"/>
        </w:rPr>
        <w:t>后，供应商应及时整理相关资料并进行自检，确认合格后于三个工作日内</w:t>
      </w:r>
      <w:r>
        <w:rPr>
          <w:rFonts w:hint="eastAsia" w:ascii="宋体" w:hAnsi="宋体" w:cs="宋体"/>
          <w:color w:val="auto"/>
          <w:sz w:val="24"/>
          <w:szCs w:val="24"/>
          <w:highlight w:val="none"/>
          <w:lang w:val="en-US" w:eastAsia="zh-CN"/>
        </w:rPr>
        <w:t>申请</w:t>
      </w:r>
      <w:r>
        <w:rPr>
          <w:rFonts w:hint="eastAsia" w:hAnsi="宋体" w:cs="宋体"/>
          <w:color w:val="auto"/>
          <w:sz w:val="24"/>
          <w:szCs w:val="24"/>
          <w:highlight w:val="none"/>
          <w:lang w:eastAsia="zh-CN"/>
        </w:rPr>
        <w:t>履约</w:t>
      </w:r>
      <w:r>
        <w:rPr>
          <w:rFonts w:hint="eastAsia" w:ascii="宋体" w:hAnsi="宋体" w:eastAsia="宋体" w:cs="宋体"/>
          <w:color w:val="auto"/>
          <w:sz w:val="24"/>
          <w:szCs w:val="24"/>
          <w:highlight w:val="none"/>
        </w:rPr>
        <w:t>验收。</w:t>
      </w:r>
      <w:r>
        <w:rPr>
          <w:rFonts w:hint="eastAsia" w:ascii="宋体" w:hAnsi="宋体" w:cs="宋体"/>
          <w:color w:val="auto"/>
          <w:sz w:val="24"/>
          <w:szCs w:val="24"/>
          <w:highlight w:val="none"/>
          <w:lang w:val="en-US" w:eastAsia="zh-CN"/>
        </w:rPr>
        <w:t xml:space="preserve">   </w:t>
      </w:r>
    </w:p>
    <w:p w14:paraId="4A9FE381">
      <w:pPr>
        <w:tabs>
          <w:tab w:val="left" w:pos="0"/>
        </w:tabs>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rPr>
        <w:t>房屋白蚁预防</w:t>
      </w:r>
      <w:r>
        <w:rPr>
          <w:rFonts w:hint="eastAsia" w:hAnsi="宋体" w:cs="宋体"/>
          <w:color w:val="auto"/>
          <w:sz w:val="24"/>
          <w:szCs w:val="24"/>
          <w:highlight w:val="none"/>
          <w:lang w:eastAsia="zh-CN"/>
        </w:rPr>
        <w:t>工作</w:t>
      </w:r>
      <w:r>
        <w:rPr>
          <w:rFonts w:hint="eastAsia" w:ascii="宋体" w:hAnsi="宋体" w:eastAsia="宋体" w:cs="宋体"/>
          <w:color w:val="auto"/>
          <w:sz w:val="24"/>
          <w:szCs w:val="24"/>
          <w:highlight w:val="none"/>
        </w:rPr>
        <w:t>应严格遵守施工现场有关安全生产规定，</w:t>
      </w:r>
      <w:r>
        <w:rPr>
          <w:rFonts w:hint="eastAsia" w:hAnsi="宋体" w:cs="宋体"/>
          <w:color w:val="auto"/>
          <w:sz w:val="24"/>
          <w:szCs w:val="24"/>
          <w:highlight w:val="none"/>
          <w:lang w:eastAsia="zh-CN"/>
        </w:rPr>
        <w:t>服从现场监理工程师统一管理</w:t>
      </w:r>
      <w:r>
        <w:rPr>
          <w:rFonts w:hint="eastAsia" w:ascii="宋体" w:hAnsi="宋体" w:eastAsia="宋体" w:cs="宋体"/>
          <w:color w:val="auto"/>
          <w:sz w:val="24"/>
          <w:szCs w:val="24"/>
          <w:highlight w:val="none"/>
        </w:rPr>
        <w:t>。药物使用完毕后，应按照有关规定，妥善处理废水、废渣和废容器及剩余的稀释药液。</w:t>
      </w:r>
    </w:p>
    <w:p w14:paraId="405AA8CB">
      <w:pPr>
        <w:tabs>
          <w:tab w:val="left" w:pos="0"/>
        </w:tabs>
        <w:spacing w:line="360" w:lineRule="auto"/>
        <w:ind w:firstLine="480"/>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3.7</w:t>
      </w:r>
      <w:r>
        <w:rPr>
          <w:rFonts w:hint="default" w:ascii="宋体" w:hAnsi="宋体" w:eastAsia="宋体" w:cs="宋体"/>
          <w:color w:val="auto"/>
          <w:sz w:val="24"/>
          <w:szCs w:val="24"/>
          <w:highlight w:val="none"/>
        </w:rPr>
        <w:t>供应商应提供项目服务过程中的影像资料，包括</w:t>
      </w:r>
      <w:r>
        <w:rPr>
          <w:rFonts w:hint="eastAsia" w:hAnsi="宋体" w:cs="宋体"/>
          <w:color w:val="auto"/>
          <w:sz w:val="24"/>
          <w:szCs w:val="24"/>
          <w:highlight w:val="none"/>
          <w:lang w:eastAsia="zh-CN"/>
        </w:rPr>
        <w:t>但不限于</w:t>
      </w:r>
      <w:r>
        <w:rPr>
          <w:rFonts w:hint="default" w:ascii="宋体" w:hAnsi="宋体" w:eastAsia="宋体" w:cs="宋体"/>
          <w:color w:val="auto"/>
          <w:sz w:val="24"/>
          <w:szCs w:val="24"/>
          <w:highlight w:val="none"/>
        </w:rPr>
        <w:t>：设置警戒标志、</w:t>
      </w:r>
      <w:r>
        <w:rPr>
          <w:rFonts w:hint="eastAsia" w:hAnsi="宋体" w:cs="宋体"/>
          <w:color w:val="auto"/>
          <w:sz w:val="24"/>
          <w:szCs w:val="24"/>
          <w:highlight w:val="none"/>
          <w:lang w:eastAsia="zh-CN"/>
        </w:rPr>
        <w:t>每处防治实施的照片等</w:t>
      </w:r>
      <w:r>
        <w:rPr>
          <w:rFonts w:hint="default" w:ascii="宋体" w:hAnsi="宋体" w:eastAsia="宋体" w:cs="宋体"/>
          <w:color w:val="auto"/>
          <w:sz w:val="24"/>
          <w:szCs w:val="24"/>
          <w:highlight w:val="none"/>
        </w:rPr>
        <w:t>，</w:t>
      </w:r>
      <w:r>
        <w:rPr>
          <w:rFonts w:hint="eastAsia" w:hAnsi="宋体" w:cs="宋体"/>
          <w:color w:val="auto"/>
          <w:sz w:val="24"/>
          <w:szCs w:val="24"/>
          <w:highlight w:val="none"/>
          <w:lang w:val="en-US" w:eastAsia="zh-CN"/>
        </w:rPr>
        <w:t>履约验收前以电子版形式提交给采购人</w:t>
      </w:r>
      <w:r>
        <w:rPr>
          <w:rFonts w:hint="default" w:ascii="宋体" w:hAnsi="宋体" w:eastAsia="宋体" w:cs="宋体"/>
          <w:color w:val="auto"/>
          <w:sz w:val="24"/>
          <w:szCs w:val="24"/>
          <w:highlight w:val="none"/>
        </w:rPr>
        <w:t>。</w:t>
      </w:r>
    </w:p>
    <w:p w14:paraId="65BC9016">
      <w:pPr>
        <w:tabs>
          <w:tab w:val="left" w:pos="0"/>
        </w:tabs>
        <w:spacing w:line="360" w:lineRule="auto"/>
        <w:ind w:firstLine="480"/>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3.8</w:t>
      </w:r>
      <w:r>
        <w:rPr>
          <w:rFonts w:hint="eastAsia" w:ascii="宋体" w:hAnsi="宋体" w:eastAsia="宋体" w:cs="宋体"/>
          <w:color w:val="auto"/>
          <w:sz w:val="24"/>
          <w:szCs w:val="24"/>
          <w:highlight w:val="none"/>
        </w:rPr>
        <w:t>供应商应</w:t>
      </w:r>
      <w:r>
        <w:rPr>
          <w:rFonts w:hint="eastAsia" w:ascii="宋体" w:hAnsi="宋体" w:cs="宋体"/>
          <w:color w:val="auto"/>
          <w:sz w:val="24"/>
          <w:szCs w:val="24"/>
          <w:highlight w:val="none"/>
          <w:lang w:val="en-US" w:eastAsia="zh-CN"/>
        </w:rPr>
        <w:t>每月形成工作报表，内容</w:t>
      </w:r>
      <w:r>
        <w:rPr>
          <w:rFonts w:hint="eastAsia" w:ascii="宋体" w:hAnsi="宋体" w:eastAsia="宋体" w:cs="宋体"/>
          <w:color w:val="auto"/>
          <w:sz w:val="24"/>
          <w:szCs w:val="24"/>
          <w:highlight w:val="none"/>
        </w:rPr>
        <w:t>包括：</w:t>
      </w:r>
      <w:r>
        <w:rPr>
          <w:rFonts w:hint="eastAsia" w:hAnsi="宋体" w:cs="宋体"/>
          <w:color w:val="auto"/>
          <w:sz w:val="24"/>
          <w:szCs w:val="24"/>
          <w:highlight w:val="none"/>
          <w:lang w:eastAsia="zh-CN"/>
        </w:rPr>
        <w:t>作业清单</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作业</w:t>
      </w:r>
      <w:r>
        <w:rPr>
          <w:rFonts w:hint="eastAsia" w:ascii="宋体" w:hAnsi="宋体" w:eastAsia="宋体" w:cs="宋体"/>
          <w:color w:val="auto"/>
          <w:sz w:val="24"/>
          <w:szCs w:val="24"/>
          <w:highlight w:val="none"/>
        </w:rPr>
        <w:t>面积、现场勘查</w:t>
      </w:r>
      <w:r>
        <w:rPr>
          <w:rFonts w:hint="eastAsia" w:hAnsi="宋体" w:cs="宋体"/>
          <w:color w:val="auto"/>
          <w:sz w:val="24"/>
          <w:szCs w:val="24"/>
          <w:highlight w:val="none"/>
          <w:lang w:eastAsia="zh-CN"/>
        </w:rPr>
        <w:t>及现场现场对接</w:t>
      </w:r>
      <w:r>
        <w:rPr>
          <w:rFonts w:hint="eastAsia" w:ascii="宋体" w:hAnsi="宋体" w:eastAsia="宋体" w:cs="宋体"/>
          <w:color w:val="auto"/>
          <w:sz w:val="24"/>
          <w:szCs w:val="24"/>
          <w:highlight w:val="none"/>
        </w:rPr>
        <w:t>情况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用药情况等</w:t>
      </w:r>
      <w:r>
        <w:rPr>
          <w:rFonts w:hint="eastAsia" w:ascii="宋体" w:hAnsi="宋体" w:eastAsia="宋体" w:cs="宋体"/>
          <w:color w:val="auto"/>
          <w:sz w:val="24"/>
          <w:szCs w:val="24"/>
          <w:highlight w:val="none"/>
        </w:rPr>
        <w:t>。</w:t>
      </w:r>
    </w:p>
    <w:p w14:paraId="4B26FA29">
      <w:pPr>
        <w:tabs>
          <w:tab w:val="left" w:pos="0"/>
        </w:tabs>
        <w:spacing w:line="360" w:lineRule="auto"/>
        <w:ind w:firstLine="480"/>
        <w:rPr>
          <w:rFonts w:hint="eastAsia" w:hAnsi="宋体" w:cs="宋体"/>
          <w:color w:val="auto"/>
          <w:sz w:val="24"/>
          <w:szCs w:val="24"/>
          <w:highlight w:val="none"/>
          <w:lang w:eastAsia="zh-CN"/>
        </w:rPr>
      </w:pP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rPr>
        <w:t>项目所需的</w:t>
      </w:r>
      <w:r>
        <w:rPr>
          <w:rFonts w:hint="eastAsia" w:hAnsi="宋体" w:cs="宋体"/>
          <w:color w:val="auto"/>
          <w:sz w:val="24"/>
          <w:szCs w:val="24"/>
          <w:highlight w:val="none"/>
          <w:lang w:eastAsia="zh-CN"/>
        </w:rPr>
        <w:t>工作</w:t>
      </w:r>
      <w:r>
        <w:rPr>
          <w:rFonts w:hint="eastAsia" w:ascii="宋体" w:hAnsi="宋体" w:eastAsia="宋体" w:cs="宋体"/>
          <w:color w:val="auto"/>
          <w:sz w:val="24"/>
          <w:szCs w:val="24"/>
          <w:highlight w:val="none"/>
        </w:rPr>
        <w:t>方案表、开工通知、</w:t>
      </w:r>
      <w:r>
        <w:rPr>
          <w:rFonts w:hint="eastAsia" w:hAnsi="宋体" w:cs="宋体"/>
          <w:color w:val="auto"/>
          <w:sz w:val="24"/>
          <w:szCs w:val="24"/>
          <w:highlight w:val="none"/>
          <w:lang w:eastAsia="zh-CN"/>
        </w:rPr>
        <w:t>作业</w:t>
      </w:r>
      <w:r>
        <w:rPr>
          <w:rFonts w:hint="eastAsia" w:ascii="宋体" w:hAnsi="宋体" w:eastAsia="宋体" w:cs="宋体"/>
          <w:color w:val="auto"/>
          <w:sz w:val="24"/>
          <w:szCs w:val="24"/>
          <w:highlight w:val="none"/>
        </w:rPr>
        <w:t>记录</w:t>
      </w:r>
      <w:r>
        <w:rPr>
          <w:rFonts w:hint="eastAsia" w:hAnsi="宋体" w:cs="宋体"/>
          <w:color w:val="auto"/>
          <w:sz w:val="24"/>
          <w:szCs w:val="24"/>
          <w:highlight w:val="none"/>
          <w:lang w:eastAsia="zh-CN"/>
        </w:rPr>
        <w:t>、白蚁防治履约总结报告由供应商提供。</w:t>
      </w:r>
    </w:p>
    <w:p w14:paraId="5FC4BD36">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、其他要求</w:t>
      </w:r>
    </w:p>
    <w:p w14:paraId="1201B74C">
      <w:pPr>
        <w:widowControl/>
        <w:spacing w:line="360" w:lineRule="auto"/>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投标单位必须按照《劳动法》及国家、省市、当地相关规定支付工资、国假加班费和交纳正常的社会保险等所有费用。</w:t>
      </w:r>
    </w:p>
    <w:p w14:paraId="6DB335D4">
      <w:pPr>
        <w:widowControl/>
        <w:spacing w:line="360" w:lineRule="auto"/>
        <w:ind w:firstLine="2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中标单位</w:t>
      </w:r>
      <w:r>
        <w:rPr>
          <w:rFonts w:hint="eastAsia" w:ascii="宋体" w:hAnsi="宋体" w:eastAsia="宋体" w:cs="宋体"/>
          <w:color w:val="auto"/>
          <w:sz w:val="24"/>
          <w:szCs w:val="24"/>
          <w:highlight w:val="none"/>
          <w:lang w:eastAsia="zh-CN"/>
        </w:rPr>
        <w:t>在项目服务期间应制定项目安全实施管理措施，并严格遵守安全管理要求，</w:t>
      </w:r>
      <w:r>
        <w:rPr>
          <w:rFonts w:hint="eastAsia" w:hAnsi="宋体" w:cs="宋体"/>
          <w:color w:val="auto"/>
          <w:sz w:val="24"/>
          <w:szCs w:val="24"/>
          <w:highlight w:val="none"/>
          <w:lang w:val="en-US" w:eastAsia="zh-CN"/>
        </w:rPr>
        <w:t>中标单位</w:t>
      </w:r>
      <w:r>
        <w:rPr>
          <w:rFonts w:hint="eastAsia" w:ascii="宋体" w:hAnsi="宋体" w:eastAsia="宋体" w:cs="宋体"/>
          <w:color w:val="auto"/>
          <w:sz w:val="24"/>
          <w:szCs w:val="24"/>
          <w:highlight w:val="none"/>
          <w:lang w:eastAsia="zh-CN"/>
        </w:rPr>
        <w:t>在项目服务过程中因管理不当、维护措施不当等因素或不按安全管理要求，造成人员安全或财产损失事故的，其责任均由</w:t>
      </w:r>
      <w:r>
        <w:rPr>
          <w:rFonts w:hint="eastAsia" w:hAnsi="宋体" w:cs="宋体"/>
          <w:color w:val="auto"/>
          <w:sz w:val="24"/>
          <w:szCs w:val="24"/>
          <w:highlight w:val="none"/>
          <w:lang w:val="en-US" w:eastAsia="zh-CN"/>
        </w:rPr>
        <w:t>中标单位</w:t>
      </w:r>
      <w:r>
        <w:rPr>
          <w:rFonts w:hint="eastAsia" w:ascii="宋体" w:hAnsi="宋体" w:eastAsia="宋体" w:cs="宋体"/>
          <w:color w:val="auto"/>
          <w:sz w:val="24"/>
          <w:szCs w:val="24"/>
          <w:highlight w:val="none"/>
          <w:lang w:eastAsia="zh-CN"/>
        </w:rPr>
        <w:t>自行承担，采购人不承担责任。与本项目有关的所有质量、安全问题均由</w:t>
      </w:r>
      <w:r>
        <w:rPr>
          <w:rFonts w:hint="eastAsia" w:hAnsi="宋体" w:cs="宋体"/>
          <w:color w:val="auto"/>
          <w:sz w:val="24"/>
          <w:szCs w:val="24"/>
          <w:highlight w:val="none"/>
          <w:lang w:val="en-US" w:eastAsia="zh-CN"/>
        </w:rPr>
        <w:t>中标单位</w:t>
      </w:r>
      <w:r>
        <w:rPr>
          <w:rFonts w:hint="eastAsia" w:ascii="宋体" w:hAnsi="宋体" w:eastAsia="宋体" w:cs="宋体"/>
          <w:color w:val="auto"/>
          <w:sz w:val="24"/>
          <w:szCs w:val="24"/>
          <w:highlight w:val="none"/>
          <w:lang w:eastAsia="zh-CN"/>
        </w:rPr>
        <w:t>终身负责，如因上述原因造成的一切后果均由</w:t>
      </w:r>
      <w:r>
        <w:rPr>
          <w:rFonts w:hint="eastAsia" w:hAnsi="宋体" w:cs="宋体"/>
          <w:color w:val="auto"/>
          <w:sz w:val="24"/>
          <w:szCs w:val="24"/>
          <w:highlight w:val="none"/>
          <w:lang w:val="en-US" w:eastAsia="zh-CN"/>
        </w:rPr>
        <w:t>中标单位</w:t>
      </w:r>
      <w:r>
        <w:rPr>
          <w:rFonts w:hint="eastAsia" w:ascii="宋体" w:hAnsi="宋体" w:eastAsia="宋体" w:cs="宋体"/>
          <w:color w:val="auto"/>
          <w:sz w:val="24"/>
          <w:szCs w:val="24"/>
          <w:highlight w:val="none"/>
          <w:lang w:eastAsia="zh-CN"/>
        </w:rPr>
        <w:t>自行承担，与他人无涉。</w:t>
      </w:r>
    </w:p>
    <w:p w14:paraId="318C6871">
      <w:pPr>
        <w:widowControl/>
        <w:spacing w:line="360" w:lineRule="auto"/>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投标单位所提供的服务内容应能够达到采购文件中的要求，并提供详细的服务方案和服务质量标准。</w:t>
      </w:r>
    </w:p>
    <w:p w14:paraId="6164D18B">
      <w:pPr>
        <w:widowControl/>
        <w:spacing w:line="360" w:lineRule="auto"/>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投标单位必须承诺采购文件中提出的全部要求，如果以其中某些条款不响应时，应在投标文件中逐条列出，未列出的视同响应。</w:t>
      </w:r>
    </w:p>
    <w:p w14:paraId="665D4F77">
      <w:pPr>
        <w:widowControl/>
        <w:spacing w:line="360" w:lineRule="auto"/>
        <w:ind w:firstLine="240"/>
        <w:rPr>
          <w:rFonts w:hint="eastAsia"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本项目报价包括完成本项工作所需的设备、人工（含人员保险费用）、协调费用、利润、税金、管理费、风险费、文件规定政策性费用等所有费用。除上述费用外，</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不承担其他相关费用及因乙方人员辞退、工伤事故等发生的全部经济补偿金和赔偿金。上述价格在合同实施期间不因市场变化因素而变动。除非因特殊原因并经甲乙双方协商同意，乙方不得再要求追加任何费用。</w:t>
      </w:r>
    </w:p>
    <w:p w14:paraId="570C91A3">
      <w:pPr>
        <w:pStyle w:val="24"/>
        <w:ind w:left="0" w:firstLine="0"/>
        <w:rPr>
          <w:rFonts w:hint="eastAsia" w:ascii="宋体" w:hAnsi="宋体" w:eastAsia="宋体" w:cs="宋体"/>
          <w:b/>
          <w:bCs/>
          <w:color w:val="auto"/>
          <w:szCs w:val="24"/>
          <w:highlight w:val="none"/>
        </w:rPr>
      </w:pPr>
      <w:r>
        <w:rPr>
          <w:rFonts w:hint="eastAsia" w:cs="宋体"/>
          <w:b/>
          <w:bCs/>
          <w:color w:val="auto"/>
          <w:szCs w:val="24"/>
          <w:highlight w:val="none"/>
          <w:lang w:val="en-US" w:eastAsia="zh-CN"/>
        </w:rPr>
        <w:t>七</w:t>
      </w:r>
      <w:r>
        <w:rPr>
          <w:rFonts w:hint="eastAsia" w:ascii="宋体" w:hAnsi="宋体" w:eastAsia="宋体" w:cs="宋体"/>
          <w:b/>
          <w:bCs/>
          <w:color w:val="auto"/>
          <w:szCs w:val="24"/>
          <w:highlight w:val="none"/>
        </w:rPr>
        <w:t>、综合说明：</w:t>
      </w:r>
    </w:p>
    <w:p w14:paraId="0E097FB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1、关于对参与供应商信用记录的政府采购要求：</w:t>
      </w:r>
    </w:p>
    <w:p w14:paraId="16ADF868">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代理机构会在接收投标文件截止时间后，政府采购当事人在政府采购活动中通过“苏州政府采购交易管理平台”可一键获取“信用中国”、“信用江苏”及中国政府采购网上的信用信息，并将查询结果递交评审小组。</w:t>
      </w:r>
    </w:p>
    <w:p w14:paraId="44FB8FE5">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评审小组在对供应商进行资格性审查时，应根据查询结果对供应商的不良信用记录逐项甄别确认。按照《中华人民共和国政府采购法》第二十二条规定，下列信用记录属于应依法拒绝供应商参加政府采购的失信信息：</w:t>
      </w:r>
    </w:p>
    <w:p w14:paraId="1F0D8635">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（一）政府采购严重违法记录，即供应商被全国各级财政部门列入“政府采购严重违法失信行为记录名单”，且在处罚有效期内的。</w:t>
      </w:r>
    </w:p>
    <w:p w14:paraId="24F5985E">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（二）财政部门与法院、工商、税务等部门联合惩戒的失信信息，包括：</w:t>
      </w:r>
    </w:p>
    <w:p w14:paraId="363FB648">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（1）被列入失信被执行人名单；</w:t>
      </w:r>
    </w:p>
    <w:p w14:paraId="2995117D">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（2）被列入重大税收违法案件当事人名单；</w:t>
      </w:r>
    </w:p>
    <w:p w14:paraId="2B1EE3CC">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（3）企业经营异常名录中被责令停产停业、暂扣或者吊销许可证或者执照，或者对经营活动中的违法行为处以较大数额罚款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根据各地区规定的数额标准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为准</w:t>
      </w:r>
      <w:r>
        <w:rPr>
          <w:rFonts w:hint="eastAsia" w:ascii="宋体" w:hAnsi="宋体" w:eastAsia="宋体" w:cs="宋体"/>
          <w:color w:val="auto"/>
          <w:sz w:val="24"/>
          <w:szCs w:val="24"/>
          <w:highlight w:val="none"/>
        </w:rPr>
        <w:t>的信用记录。处罚生效日至递交（响应）文件日未满三年的。</w:t>
      </w:r>
    </w:p>
    <w:p w14:paraId="4D6B54A5">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对存在失信信息的供应商，评审小组应填写《苏州市级政府采购供应商失信信息确认函》，由失信供应商应签名确认。同时，采购代理机构工作人员应根据评审小组确认的失信信息，登陆到相关来源网站页面进行复核并打印，作为证据留存。</w:t>
      </w:r>
    </w:p>
    <w:p w14:paraId="74CB9D3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单位必须保证全部投标资料的真实性，如有虚假或对招标文件所要求说明的情况故意隐瞒或虚报，视为不实质性响应招标文件，为无效投标。已中标的将取消中标资格，并按《中华人民共和国政府采购法》第七十七条“提供虚假材料谋取中标、中标”相关处理办法处理。</w:t>
      </w:r>
    </w:p>
    <w:p w14:paraId="55FC85E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4、合同付款：详见合同。</w:t>
      </w:r>
    </w:p>
    <w:p w14:paraId="196E60CD">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5、政府采购政策：</w:t>
      </w:r>
    </w:p>
    <w:p w14:paraId="11D18882">
      <w:pPr>
        <w:spacing w:line="360" w:lineRule="auto"/>
        <w:ind w:firstLine="482"/>
        <w:jc w:val="left"/>
        <w:rPr>
          <w:rFonts w:hAnsi="宋体"/>
          <w:color w:val="auto"/>
          <w:sz w:val="24"/>
          <w:highlight w:val="none"/>
        </w:rPr>
      </w:pPr>
      <w:r>
        <w:rPr>
          <w:rFonts w:hint="eastAsia" w:hAnsi="宋体"/>
          <w:b/>
          <w:bCs/>
          <w:color w:val="auto"/>
          <w:sz w:val="24"/>
          <w:highlight w:val="none"/>
        </w:rPr>
        <w:t>根据《政府采购促进中小企业发展管理办法》（财库〔2020〕46号）及《中小企业划型标准规定》（工信部联企业〔2011〕300号），本采购标的对应的中小企业划分标准所属行业为：</w:t>
      </w:r>
      <w:r>
        <w:rPr>
          <w:rFonts w:hint="eastAsia" w:hAnsi="宋体"/>
          <w:b/>
          <w:bCs/>
          <w:color w:val="auto"/>
          <w:sz w:val="24"/>
          <w:highlight w:val="none"/>
          <w:lang w:val="en-US" w:eastAsia="zh-CN"/>
        </w:rPr>
        <w:t>其他未列明行业</w:t>
      </w:r>
      <w:r>
        <w:rPr>
          <w:rFonts w:hint="eastAsia" w:hAnsi="宋体"/>
          <w:color w:val="auto"/>
          <w:sz w:val="24"/>
          <w:highlight w:val="none"/>
        </w:rPr>
        <w:t>。</w:t>
      </w:r>
    </w:p>
    <w:p w14:paraId="5078321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w:t>
      </w:r>
    </w:p>
    <w:p w14:paraId="50D85F06">
      <w:pPr>
        <w:widowControl/>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促进残疾人就业政府采购政策的通知》（财库〔2017〕141号）的相关规定，在政府采购活动中残疾人福利性单位视同小型、微型企业，享受预留份额、评审中价格扣除等促进中小企业发展的政府采购政策，残疾人福利性单位属于小型、微型企业的，不重复享受政策。符合条件的残疾人福利性单位，应提交《残疾人福利性单位声明函》，并对声明的真实性负责，未提交则不享受相关政策。</w:t>
      </w:r>
    </w:p>
    <w:p w14:paraId="64E7F19B">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p w14:paraId="6F694957">
      <w:pPr>
        <w:widowControl/>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政府采购支持监狱企业发展有关问题的通知》（财库〔2014〕68号）的相关规定在政府采购活动中，监狱企业视同小型、微型企业，享受预留份额、评审中价格扣除等促进中小企业发展的政府采购政策，监狱企业属于小型、微型企业的，不重复享受政策。监狱企业应当提供由省级以上监狱管理局、戒毒管理局（含新疆生产建设兵团）出具的属于监狱企业的证明文件。</w:t>
      </w:r>
    </w:p>
    <w:p w14:paraId="192FDCCE">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6、凡涉及招标文件的补充说明和修改，均以苏州市政府采购网发布的信息为准。</w:t>
      </w:r>
    </w:p>
    <w:p w14:paraId="18EB961E">
      <w:pPr>
        <w:widowControl/>
        <w:spacing w:line="360" w:lineRule="auto"/>
        <w:rPr>
          <w:rFonts w:hAnsi="宋体" w:cs="宋体"/>
          <w:b/>
          <w:color w:val="auto"/>
          <w:sz w:val="24"/>
          <w:szCs w:val="24"/>
          <w:highlight w:val="none"/>
        </w:rPr>
      </w:pPr>
      <w:r>
        <w:rPr>
          <w:rFonts w:hint="eastAsia" w:ascii="宋体" w:hAnsi="宋体" w:eastAsia="宋体" w:cs="宋体"/>
          <w:color w:val="auto"/>
          <w:sz w:val="24"/>
          <w:szCs w:val="24"/>
          <w:highlight w:val="none"/>
        </w:rPr>
        <w:br w:type="page" w:clear="all"/>
      </w:r>
      <w:r>
        <w:rPr>
          <w:rFonts w:hint="eastAsia" w:ascii="宋体" w:hAnsi="宋体" w:eastAsia="宋体" w:cs="宋体"/>
          <w:color w:val="auto"/>
          <w:sz w:val="24"/>
          <w:szCs w:val="24"/>
          <w:highlight w:val="none"/>
          <w:lang w:val="en-US" w:eastAsia="zh-CN"/>
        </w:rPr>
        <w:t xml:space="preserve">                     </w:t>
      </w:r>
      <w:r>
        <w:rPr>
          <w:rFonts w:hint="eastAsia" w:hAnsi="宋体" w:cs="宋体"/>
          <w:b/>
          <w:color w:val="auto"/>
          <w:sz w:val="24"/>
          <w:szCs w:val="24"/>
          <w:highlight w:val="none"/>
        </w:rPr>
        <w:t>第五章合同主要条款</w:t>
      </w:r>
    </w:p>
    <w:p w14:paraId="2A052E0C">
      <w:pPr>
        <w:spacing w:line="500" w:lineRule="atLeast"/>
        <w:ind w:right="960"/>
        <w:jc w:val="right"/>
        <w:rPr>
          <w:rFonts w:hint="eastAsia" w:hAnsi="宋体" w:cs="宋体"/>
          <w:color w:val="auto"/>
          <w:sz w:val="24"/>
          <w:szCs w:val="24"/>
          <w:highlight w:val="none"/>
        </w:rPr>
      </w:pPr>
      <w:r>
        <w:rPr>
          <w:rFonts w:hint="eastAsia" w:hAnsi="宋体"/>
          <w:color w:val="auto"/>
          <w:sz w:val="24"/>
          <w:szCs w:val="24"/>
          <w:highlight w:val="none"/>
        </w:rPr>
        <w:t xml:space="preserve">                </w:t>
      </w:r>
    </w:p>
    <w:p w14:paraId="38FDB4D0">
      <w:pPr>
        <w:pStyle w:val="4"/>
        <w:spacing w:line="360" w:lineRule="auto"/>
        <w:jc w:val="center"/>
        <w:rPr>
          <w:rFonts w:hAnsi="宋体" w:eastAsia="宋体" w:cs="宋体"/>
          <w:b/>
          <w:color w:val="auto"/>
          <w:sz w:val="21"/>
          <w:szCs w:val="21"/>
          <w:highlight w:val="none"/>
        </w:rPr>
      </w:pPr>
    </w:p>
    <w:p w14:paraId="111EAE66">
      <w:pPr>
        <w:spacing w:line="500" w:lineRule="atLeast"/>
        <w:ind w:right="960"/>
        <w:jc w:val="right"/>
        <w:rPr>
          <w:rFonts w:hint="eastAsia" w:hAnsi="宋体" w:cs="宋体"/>
          <w:color w:val="auto"/>
          <w:sz w:val="24"/>
          <w:szCs w:val="24"/>
          <w:highlight w:val="none"/>
        </w:rPr>
      </w:pPr>
      <w:r>
        <w:rPr>
          <w:rFonts w:hint="eastAsia" w:hAnsi="宋体"/>
          <w:color w:val="auto"/>
          <w:sz w:val="24"/>
          <w:szCs w:val="24"/>
          <w:highlight w:val="none"/>
        </w:rPr>
        <w:t xml:space="preserve">                        </w:t>
      </w:r>
      <w:r>
        <w:rPr>
          <w:rFonts w:hint="eastAsia" w:hAnsi="宋体" w:cs="宋体"/>
          <w:color w:val="auto"/>
          <w:sz w:val="24"/>
          <w:szCs w:val="24"/>
          <w:highlight w:val="none"/>
        </w:rPr>
        <w:t xml:space="preserve">               项目编号：</w:t>
      </w:r>
    </w:p>
    <w:p w14:paraId="451FEA17">
      <w:pPr>
        <w:widowControl/>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甲方（采购人）：苏州市姑苏区住房保障和物业管理中心</w:t>
      </w:r>
    </w:p>
    <w:p w14:paraId="533F1927">
      <w:pPr>
        <w:widowControl/>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p>
    <w:p w14:paraId="1262B342">
      <w:pPr>
        <w:widowControl/>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14:paraId="6D44821C">
      <w:pPr>
        <w:widowControl/>
        <w:spacing w:line="360" w:lineRule="auto"/>
        <w:ind w:firstLine="480"/>
        <w:rPr>
          <w:rFonts w:hint="eastAsia" w:ascii="宋体" w:hAnsi="宋体" w:eastAsia="宋体" w:cs="宋体"/>
          <w:color w:val="auto"/>
          <w:sz w:val="24"/>
          <w:szCs w:val="24"/>
          <w:highlight w:val="none"/>
        </w:rPr>
      </w:pPr>
    </w:p>
    <w:p w14:paraId="2B7AD57F">
      <w:pPr>
        <w:widowControl/>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乙方（供应商）： </w:t>
      </w:r>
    </w:p>
    <w:p w14:paraId="33385722">
      <w:pPr>
        <w:widowControl/>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p>
    <w:p w14:paraId="02647F93">
      <w:pPr>
        <w:widowControl/>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14:paraId="69EF014E">
      <w:pPr>
        <w:widowControl/>
        <w:spacing w:line="360" w:lineRule="auto"/>
        <w:ind w:firstLine="480"/>
        <w:rPr>
          <w:rFonts w:hint="eastAsia" w:ascii="宋体" w:hAnsi="宋体" w:eastAsia="宋体" w:cs="宋体"/>
          <w:color w:val="auto"/>
          <w:sz w:val="24"/>
          <w:szCs w:val="24"/>
          <w:highlight w:val="none"/>
        </w:rPr>
      </w:pPr>
    </w:p>
    <w:p w14:paraId="7E8B9FFE">
      <w:pPr>
        <w:widowControl/>
        <w:spacing w:line="360" w:lineRule="auto"/>
        <w:ind w:firstLine="48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根据招标文件及成交（中标）单位的投标文件和成交（中标）通知书，各方就此次成交(中标)的</w:t>
      </w:r>
      <w:r>
        <w:rPr>
          <w:rFonts w:hint="eastAsia" w:ascii="宋体" w:hAnsi="宋体" w:eastAsia="宋体" w:cs="宋体"/>
          <w:color w:val="auto"/>
          <w:sz w:val="24"/>
          <w:szCs w:val="24"/>
          <w:highlight w:val="none"/>
          <w:u w:val="single"/>
        </w:rPr>
        <w:t xml:space="preserve"> 姑苏区老旧住区改造项目(2025年度第一批)白蚁防治服务 </w:t>
      </w:r>
      <w:r>
        <w:rPr>
          <w:rFonts w:hint="eastAsia" w:ascii="宋体" w:hAnsi="宋体" w:eastAsia="宋体" w:cs="宋体"/>
          <w:color w:val="auto"/>
          <w:sz w:val="24"/>
          <w:szCs w:val="24"/>
          <w:highlight w:val="none"/>
        </w:rPr>
        <w:t>的采购事宜，签订本合同书。</w:t>
      </w:r>
    </w:p>
    <w:p w14:paraId="0C049B8C">
      <w:pPr>
        <w:tabs>
          <w:tab w:val="left" w:pos="432"/>
        </w:tabs>
        <w:spacing w:line="360" w:lineRule="auto"/>
        <w:ind w:left="432" w:hanging="432"/>
        <w:rPr>
          <w:rFonts w:hint="eastAsia" w:ascii="宋体" w:hAnsi="宋体" w:eastAsia="宋体" w:cs="宋体"/>
          <w:b/>
          <w:bCs/>
          <w:color w:val="auto"/>
          <w:spacing w:val="-1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0"/>
          <w:sz w:val="24"/>
          <w:szCs w:val="24"/>
          <w:highlight w:val="none"/>
          <w:lang w:val="zh-CN"/>
        </w:rPr>
        <w:t>一、合同内容</w:t>
      </w:r>
    </w:p>
    <w:p w14:paraId="7AE413E2">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1、项目名称：姑苏区老旧住区改造项目(2025年度第一批)白蚁防治服务。</w:t>
      </w:r>
    </w:p>
    <w:p w14:paraId="63C78D28">
      <w:pPr>
        <w:widowControl/>
        <w:spacing w:line="360" w:lineRule="auto"/>
        <w:ind w:firstLine="480"/>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rPr>
        <w:t>2、采购内容：</w:t>
      </w:r>
      <w:r>
        <w:rPr>
          <w:rFonts w:hint="eastAsia" w:ascii="宋体" w:hAnsi="宋体" w:eastAsia="宋体" w:cs="宋体"/>
          <w:color w:val="auto"/>
          <w:sz w:val="24"/>
          <w:szCs w:val="24"/>
          <w:highlight w:val="none"/>
          <w:lang w:val="en-US" w:eastAsia="zh-CN"/>
        </w:rPr>
        <w:t>该项目拟对苏州市姑苏区阊门片区、山塘片区、桃花坞片区以及剩余其它片区内损坏类房屋实施综合改造整治，同时改造整治片区内基础配套。具体建设内容包括住区解危修缮、住区改造提升、管线综合整治、破损路面修复、生态环境修缮及附属设施完善等，同步增设快递柜、宣传广告牌等功能性设施。</w:t>
      </w:r>
      <w:r>
        <w:rPr>
          <w:rFonts w:hint="eastAsia" w:hAnsi="宋体" w:cs="宋体"/>
          <w:color w:val="auto"/>
          <w:sz w:val="24"/>
          <w:szCs w:val="24"/>
          <w:highlight w:val="none"/>
          <w:lang w:val="en-US" w:eastAsia="zh-CN"/>
        </w:rPr>
        <w:t>本项目对本次项目范围内的改造房屋按相关规定在改造过程中进行白蚁防治处理，主要对综合维修和风貌提升维修的屋面面积和翻新建筑按相关规定进行白蚁防治，防止改造后建筑出现白蚁危害的情况。</w:t>
      </w:r>
    </w:p>
    <w:p w14:paraId="631EB3F4">
      <w:pPr>
        <w:widowControl/>
        <w:spacing w:line="360" w:lineRule="auto"/>
        <w:ind w:firstLine="480"/>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hAnsi="宋体" w:cs="宋体"/>
          <w:color w:val="auto"/>
          <w:sz w:val="24"/>
          <w:szCs w:val="24"/>
          <w:highlight w:val="none"/>
          <w:lang w:val="en-US" w:eastAsia="zh-CN"/>
        </w:rPr>
        <w:t>服务要求：</w:t>
      </w:r>
    </w:p>
    <w:p w14:paraId="699869EB">
      <w:pPr>
        <w:tabs>
          <w:tab w:val="left" w:pos="0"/>
        </w:tabs>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服务过程中，供应商</w:t>
      </w:r>
      <w:r>
        <w:rPr>
          <w:rFonts w:hint="eastAsia" w:ascii="宋体" w:hAnsi="宋体" w:cs="宋体"/>
          <w:color w:val="auto"/>
          <w:sz w:val="24"/>
          <w:szCs w:val="24"/>
          <w:highlight w:val="none"/>
          <w:lang w:eastAsia="zh-CN"/>
        </w:rPr>
        <w:t>应接受</w:t>
      </w:r>
      <w:r>
        <w:rPr>
          <w:rFonts w:hint="eastAsia" w:ascii="宋体" w:hAnsi="宋体" w:eastAsia="宋体" w:cs="宋体"/>
          <w:color w:val="auto"/>
          <w:sz w:val="24"/>
          <w:szCs w:val="24"/>
          <w:highlight w:val="none"/>
          <w:lang w:eastAsia="zh-CN"/>
        </w:rPr>
        <w:t>苏州市姑苏区</w:t>
      </w:r>
      <w:r>
        <w:rPr>
          <w:rFonts w:hint="eastAsia" w:ascii="宋体" w:hAnsi="宋体" w:cs="宋体"/>
          <w:color w:val="auto"/>
          <w:sz w:val="24"/>
          <w:szCs w:val="24"/>
          <w:highlight w:val="none"/>
          <w:lang w:val="en-US" w:eastAsia="zh-CN"/>
        </w:rPr>
        <w:t>住房保障和物业管理中心</w:t>
      </w:r>
      <w:r>
        <w:rPr>
          <w:rFonts w:hint="eastAsia" w:ascii="宋体" w:hAnsi="宋体" w:cs="宋体"/>
          <w:color w:val="auto"/>
          <w:sz w:val="24"/>
          <w:szCs w:val="24"/>
          <w:highlight w:val="none"/>
          <w:lang w:eastAsia="zh-CN"/>
        </w:rPr>
        <w:t>的监督检查，</w:t>
      </w:r>
      <w:r>
        <w:rPr>
          <w:rFonts w:hint="eastAsia" w:ascii="宋体" w:hAnsi="宋体" w:cs="宋体"/>
          <w:color w:val="auto"/>
          <w:sz w:val="24"/>
          <w:szCs w:val="24"/>
          <w:highlight w:val="none"/>
          <w:lang w:val="en-US" w:eastAsia="zh-CN"/>
        </w:rPr>
        <w:t>按照</w:t>
      </w:r>
      <w:r>
        <w:rPr>
          <w:rFonts w:hint="eastAsia" w:ascii="宋体" w:hAnsi="宋体" w:eastAsia="宋体" w:cs="宋体"/>
          <w:color w:val="auto"/>
          <w:sz w:val="24"/>
          <w:szCs w:val="24"/>
          <w:highlight w:val="none"/>
        </w:rPr>
        <w:t>合同约定、《房屋白蚁预防工程技术规程》（DB32/T 3694-2019）要求</w:t>
      </w:r>
      <w:r>
        <w:rPr>
          <w:rFonts w:hint="eastAsia" w:ascii="宋体" w:hAnsi="宋体" w:cs="宋体"/>
          <w:color w:val="auto"/>
          <w:sz w:val="24"/>
          <w:szCs w:val="24"/>
          <w:highlight w:val="none"/>
          <w:lang w:eastAsia="zh-CN"/>
        </w:rPr>
        <w:t>提供</w:t>
      </w:r>
      <w:r>
        <w:rPr>
          <w:rFonts w:hint="eastAsia" w:ascii="宋体" w:hAnsi="宋体" w:cs="宋体"/>
          <w:color w:val="auto"/>
          <w:sz w:val="24"/>
          <w:szCs w:val="24"/>
          <w:highlight w:val="none"/>
          <w:lang w:val="en-US" w:eastAsia="zh-CN"/>
        </w:rPr>
        <w:t>服务。</w:t>
      </w:r>
    </w:p>
    <w:p w14:paraId="63AB96A5">
      <w:pPr>
        <w:tabs>
          <w:tab w:val="left" w:pos="0"/>
        </w:tabs>
        <w:spacing w:line="360" w:lineRule="auto"/>
        <w:ind w:firstLine="480"/>
        <w:rPr>
          <w:rFonts w:hint="eastAsia" w:ascii="宋体" w:hAnsi="宋体" w:eastAsia="宋体" w:cs="宋体"/>
          <w:b/>
          <w:bCs/>
          <w:color w:val="auto"/>
          <w:sz w:val="24"/>
          <w:szCs w:val="24"/>
          <w:highlight w:val="none"/>
          <w:lang w:eastAsia="zh-CN"/>
        </w:rPr>
      </w:pP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rPr>
        <w:t>项目要求提供</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名项目负责人和</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名工程技术人员的团队，配备</w:t>
      </w:r>
      <w:r>
        <w:rPr>
          <w:rFonts w:hint="eastAsia" w:hAnsi="宋体" w:cs="宋体"/>
          <w:color w:val="auto"/>
          <w:sz w:val="24"/>
          <w:szCs w:val="24"/>
          <w:highlight w:val="none"/>
          <w:lang w:val="en-US" w:eastAsia="zh-CN"/>
        </w:rPr>
        <w:t>必要的</w:t>
      </w:r>
      <w:r>
        <w:rPr>
          <w:rFonts w:hint="eastAsia" w:ascii="宋体" w:hAnsi="宋体" w:eastAsia="宋体" w:cs="宋体"/>
          <w:color w:val="auto"/>
          <w:sz w:val="24"/>
          <w:szCs w:val="24"/>
          <w:highlight w:val="none"/>
        </w:rPr>
        <w:t>白蚁防治专用设备</w:t>
      </w:r>
      <w:r>
        <w:rPr>
          <w:rFonts w:hint="eastAsia" w:hAnsi="宋体" w:cs="宋体"/>
          <w:color w:val="auto"/>
          <w:sz w:val="24"/>
          <w:szCs w:val="24"/>
          <w:highlight w:val="none"/>
          <w:lang w:eastAsia="zh-CN"/>
        </w:rPr>
        <w:t>设施</w:t>
      </w: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按中标承诺配备，人员和设备清单附后</w:t>
      </w:r>
      <w:r>
        <w:rPr>
          <w:rFonts w:hint="eastAsia" w:ascii="宋体" w:hAnsi="宋体" w:cs="宋体"/>
          <w:b/>
          <w:bCs/>
          <w:color w:val="auto"/>
          <w:sz w:val="24"/>
          <w:szCs w:val="24"/>
          <w:highlight w:val="none"/>
          <w:lang w:eastAsia="zh-CN"/>
        </w:rPr>
        <w:t>）</w:t>
      </w:r>
    </w:p>
    <w:p w14:paraId="47F11F28">
      <w:pPr>
        <w:tabs>
          <w:tab w:val="left" w:pos="0"/>
        </w:tabs>
        <w:spacing w:line="360" w:lineRule="auto"/>
        <w:ind w:firstLine="480"/>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3.3</w:t>
      </w:r>
      <w:r>
        <w:rPr>
          <w:rFonts w:hint="eastAsia" w:ascii="宋体" w:hAnsi="宋体" w:cs="宋体"/>
          <w:color w:val="auto"/>
          <w:sz w:val="24"/>
          <w:szCs w:val="24"/>
          <w:highlight w:val="none"/>
          <w:lang w:eastAsia="zh-CN"/>
        </w:rPr>
        <w:t>针对</w:t>
      </w:r>
      <w:r>
        <w:rPr>
          <w:rFonts w:hint="eastAsia" w:hAnsi="宋体" w:cs="宋体"/>
          <w:color w:val="auto"/>
          <w:sz w:val="24"/>
          <w:szCs w:val="24"/>
          <w:highlight w:val="none"/>
          <w:lang w:eastAsia="zh-CN"/>
        </w:rPr>
        <w:t>甲方提供的白蚁防治工作联系单</w:t>
      </w:r>
      <w:r>
        <w:rPr>
          <w:rFonts w:hint="eastAsia" w:ascii="宋体" w:hAnsi="宋体" w:cs="宋体"/>
          <w:color w:val="auto"/>
          <w:sz w:val="24"/>
          <w:szCs w:val="24"/>
          <w:highlight w:val="none"/>
          <w:lang w:val="en-US" w:eastAsia="zh-CN"/>
        </w:rPr>
        <w:t>，</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应在收到后</w:t>
      </w:r>
      <w:r>
        <w:rPr>
          <w:rFonts w:hint="eastAsia" w:hAnsi="宋体" w:cs="宋体"/>
          <w:color w:val="auto"/>
          <w:sz w:val="24"/>
          <w:szCs w:val="24"/>
          <w:highlight w:val="none"/>
          <w:lang w:eastAsia="zh-CN"/>
        </w:rPr>
        <w:t>一天内响应，三天</w:t>
      </w:r>
      <w:r>
        <w:rPr>
          <w:rFonts w:hint="eastAsia" w:ascii="宋体" w:hAnsi="宋体" w:eastAsia="宋体" w:cs="宋体"/>
          <w:color w:val="auto"/>
          <w:sz w:val="24"/>
          <w:szCs w:val="24"/>
          <w:highlight w:val="none"/>
        </w:rPr>
        <w:t>内</w:t>
      </w:r>
      <w:r>
        <w:rPr>
          <w:rFonts w:hint="eastAsia" w:hAnsi="宋体" w:cs="宋体"/>
          <w:color w:val="auto"/>
          <w:sz w:val="24"/>
          <w:szCs w:val="24"/>
          <w:highlight w:val="none"/>
          <w:lang w:eastAsia="zh-CN"/>
        </w:rPr>
        <w:t>完成白蚁防治工作</w:t>
      </w:r>
      <w:r>
        <w:rPr>
          <w:rFonts w:hint="eastAsia" w:ascii="宋体" w:hAnsi="宋体" w:cs="宋体"/>
          <w:color w:val="auto"/>
          <w:sz w:val="24"/>
          <w:szCs w:val="24"/>
          <w:highlight w:val="none"/>
          <w:lang w:eastAsia="zh-CN"/>
        </w:rPr>
        <w:t>；</w:t>
      </w:r>
    </w:p>
    <w:p w14:paraId="18AA3386">
      <w:pPr>
        <w:tabs>
          <w:tab w:val="left" w:pos="0"/>
        </w:tabs>
        <w:spacing w:line="360" w:lineRule="auto"/>
        <w:ind w:firstLine="480"/>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3.4</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应</w:t>
      </w:r>
      <w:r>
        <w:rPr>
          <w:rFonts w:hint="eastAsia" w:hAnsi="宋体" w:cs="宋体"/>
          <w:color w:val="auto"/>
          <w:sz w:val="24"/>
          <w:szCs w:val="24"/>
          <w:highlight w:val="none"/>
          <w:lang w:eastAsia="zh-CN"/>
        </w:rPr>
        <w:t>在合同签订后与甲方做好工作对接，</w:t>
      </w:r>
      <w:r>
        <w:rPr>
          <w:rFonts w:hint="eastAsia" w:ascii="宋体" w:hAnsi="宋体" w:eastAsia="宋体" w:cs="宋体"/>
          <w:color w:val="auto"/>
          <w:sz w:val="24"/>
          <w:szCs w:val="24"/>
          <w:highlight w:val="none"/>
        </w:rPr>
        <w:t>告知</w:t>
      </w:r>
      <w:r>
        <w:rPr>
          <w:rFonts w:hint="eastAsia" w:ascii="宋体" w:hAnsi="宋体" w:cs="宋体"/>
          <w:color w:val="auto"/>
          <w:sz w:val="24"/>
          <w:szCs w:val="24"/>
          <w:highlight w:val="none"/>
          <w:lang w:eastAsia="zh-CN"/>
        </w:rPr>
        <w:t>预防</w:t>
      </w:r>
      <w:r>
        <w:rPr>
          <w:rFonts w:hint="eastAsia" w:ascii="宋体" w:hAnsi="宋体" w:eastAsia="宋体" w:cs="宋体"/>
          <w:color w:val="auto"/>
          <w:sz w:val="24"/>
          <w:szCs w:val="24"/>
          <w:highlight w:val="none"/>
        </w:rPr>
        <w:t>施工节点</w:t>
      </w:r>
      <w:r>
        <w:rPr>
          <w:rFonts w:hint="eastAsia" w:hAnsi="宋体" w:cs="宋体"/>
          <w:color w:val="auto"/>
          <w:sz w:val="24"/>
          <w:szCs w:val="24"/>
          <w:highlight w:val="none"/>
          <w:lang w:eastAsia="zh-CN"/>
        </w:rPr>
        <w:t>。每周安排人员主动联系甲方</w:t>
      </w:r>
      <w:r>
        <w:rPr>
          <w:rFonts w:hint="eastAsia" w:ascii="宋体" w:hAnsi="宋体" w:eastAsia="宋体" w:cs="宋体"/>
          <w:color w:val="auto"/>
          <w:sz w:val="24"/>
          <w:szCs w:val="24"/>
          <w:highlight w:val="none"/>
        </w:rPr>
        <w:t>，了解项目</w:t>
      </w:r>
      <w:r>
        <w:rPr>
          <w:rFonts w:hint="eastAsia" w:ascii="宋体" w:hAnsi="宋体" w:cs="宋体"/>
          <w:color w:val="auto"/>
          <w:sz w:val="24"/>
          <w:szCs w:val="24"/>
          <w:highlight w:val="none"/>
          <w:lang w:eastAsia="zh-CN"/>
        </w:rPr>
        <w:t>施工</w:t>
      </w:r>
      <w:r>
        <w:rPr>
          <w:rFonts w:hint="eastAsia" w:ascii="宋体" w:hAnsi="宋体" w:eastAsia="宋体" w:cs="宋体"/>
          <w:color w:val="auto"/>
          <w:sz w:val="24"/>
          <w:szCs w:val="24"/>
          <w:highlight w:val="none"/>
        </w:rPr>
        <w:t>进度</w:t>
      </w:r>
      <w:r>
        <w:rPr>
          <w:rFonts w:hint="eastAsia" w:hAnsi="宋体" w:cs="宋体"/>
          <w:color w:val="auto"/>
          <w:sz w:val="24"/>
          <w:szCs w:val="24"/>
          <w:highlight w:val="none"/>
          <w:lang w:eastAsia="zh-CN"/>
        </w:rPr>
        <w:t>主动做好白蚁防治工作计划，配合施工进展</w:t>
      </w:r>
      <w:r>
        <w:rPr>
          <w:rFonts w:hint="eastAsia" w:ascii="宋体" w:hAnsi="宋体" w:eastAsia="宋体" w:cs="宋体"/>
          <w:color w:val="auto"/>
          <w:sz w:val="24"/>
          <w:szCs w:val="24"/>
          <w:highlight w:val="none"/>
        </w:rPr>
        <w:t>等。</w:t>
      </w:r>
    </w:p>
    <w:p w14:paraId="277EB423">
      <w:pPr>
        <w:tabs>
          <w:tab w:val="left" w:pos="0"/>
        </w:tabs>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rPr>
        <w:t>房屋白蚁预防</w:t>
      </w:r>
      <w:r>
        <w:rPr>
          <w:rFonts w:hint="eastAsia" w:hAnsi="宋体" w:cs="宋体"/>
          <w:color w:val="auto"/>
          <w:sz w:val="24"/>
          <w:szCs w:val="24"/>
          <w:highlight w:val="none"/>
          <w:lang w:eastAsia="zh-CN"/>
        </w:rPr>
        <w:t>工作实施</w:t>
      </w:r>
      <w:r>
        <w:rPr>
          <w:rFonts w:hint="eastAsia" w:ascii="宋体" w:hAnsi="宋体" w:eastAsia="宋体" w:cs="宋体"/>
          <w:color w:val="auto"/>
          <w:sz w:val="24"/>
          <w:szCs w:val="24"/>
          <w:highlight w:val="none"/>
        </w:rPr>
        <w:t>前，</w:t>
      </w:r>
      <w:r>
        <w:rPr>
          <w:rFonts w:hint="eastAsia" w:hAnsi="宋体" w:cs="宋体"/>
          <w:color w:val="auto"/>
          <w:sz w:val="24"/>
          <w:szCs w:val="24"/>
          <w:highlight w:val="none"/>
          <w:lang w:eastAsia="zh-CN"/>
        </w:rPr>
        <w:t>乙方</w:t>
      </w:r>
      <w:r>
        <w:rPr>
          <w:rFonts w:hint="eastAsia" w:ascii="宋体" w:hAnsi="宋体" w:cs="宋体"/>
          <w:color w:val="auto"/>
          <w:sz w:val="24"/>
          <w:szCs w:val="24"/>
          <w:highlight w:val="none"/>
          <w:lang w:val="en-US" w:eastAsia="zh-CN"/>
        </w:rPr>
        <w:t>应进行现场勘察，根据勘察结果</w:t>
      </w:r>
      <w:r>
        <w:rPr>
          <w:rFonts w:hint="eastAsia" w:ascii="宋体" w:hAnsi="宋体" w:eastAsia="宋体" w:cs="宋体"/>
          <w:color w:val="auto"/>
          <w:sz w:val="24"/>
          <w:szCs w:val="24"/>
          <w:highlight w:val="none"/>
        </w:rPr>
        <w:t>制定</w:t>
      </w:r>
      <w:r>
        <w:rPr>
          <w:rFonts w:hint="eastAsia" w:hAnsi="宋体" w:cs="宋体"/>
          <w:color w:val="auto"/>
          <w:sz w:val="24"/>
          <w:szCs w:val="24"/>
          <w:highlight w:val="none"/>
          <w:lang w:eastAsia="zh-CN"/>
        </w:rPr>
        <w:t>工作</w:t>
      </w:r>
      <w:r>
        <w:rPr>
          <w:rFonts w:hint="eastAsia" w:ascii="宋体" w:hAnsi="宋体" w:eastAsia="宋体" w:cs="宋体"/>
          <w:color w:val="auto"/>
          <w:sz w:val="24"/>
          <w:szCs w:val="24"/>
          <w:highlight w:val="none"/>
        </w:rPr>
        <w:t>方案，经</w:t>
      </w:r>
      <w:r>
        <w:rPr>
          <w:rFonts w:hint="eastAsia" w:hAnsi="宋体" w:cs="宋体"/>
          <w:color w:val="auto"/>
          <w:sz w:val="24"/>
          <w:szCs w:val="24"/>
          <w:highlight w:val="none"/>
          <w:lang w:eastAsia="zh-CN"/>
        </w:rPr>
        <w:t>甲方或甲方委托的监理工程师</w:t>
      </w:r>
      <w:r>
        <w:rPr>
          <w:rFonts w:hint="eastAsia" w:ascii="宋体" w:hAnsi="宋体" w:eastAsia="宋体" w:cs="宋体"/>
          <w:color w:val="auto"/>
          <w:sz w:val="24"/>
          <w:szCs w:val="24"/>
          <w:highlight w:val="none"/>
        </w:rPr>
        <w:t>审核后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严格依照</w:t>
      </w:r>
      <w:r>
        <w:rPr>
          <w:rFonts w:hint="eastAsia" w:hAnsi="宋体" w:cs="宋体"/>
          <w:color w:val="auto"/>
          <w:sz w:val="24"/>
          <w:szCs w:val="24"/>
          <w:highlight w:val="none"/>
          <w:lang w:eastAsia="zh-CN"/>
        </w:rPr>
        <w:t>工作</w:t>
      </w:r>
      <w:r>
        <w:rPr>
          <w:rFonts w:hint="eastAsia" w:ascii="宋体" w:hAnsi="宋体" w:eastAsia="宋体" w:cs="宋体"/>
          <w:color w:val="auto"/>
          <w:sz w:val="24"/>
          <w:szCs w:val="24"/>
          <w:highlight w:val="none"/>
        </w:rPr>
        <w:t>方案</w:t>
      </w:r>
      <w:r>
        <w:rPr>
          <w:rFonts w:hint="eastAsia" w:ascii="宋体" w:hAnsi="宋体" w:cs="宋体"/>
          <w:color w:val="auto"/>
          <w:sz w:val="24"/>
          <w:szCs w:val="24"/>
          <w:highlight w:val="none"/>
          <w:lang w:eastAsia="zh-CN"/>
        </w:rPr>
        <w:t>开展现场</w:t>
      </w:r>
      <w:r>
        <w:rPr>
          <w:rFonts w:hint="eastAsia" w:hAnsi="宋体" w:cs="宋体"/>
          <w:color w:val="auto"/>
          <w:sz w:val="24"/>
          <w:szCs w:val="24"/>
          <w:highlight w:val="none"/>
          <w:lang w:eastAsia="zh-CN"/>
        </w:rPr>
        <w:t>作业</w:t>
      </w:r>
      <w:r>
        <w:rPr>
          <w:rFonts w:hint="eastAsia" w:ascii="宋体" w:hAnsi="宋体" w:eastAsia="宋体" w:cs="宋体"/>
          <w:color w:val="auto"/>
          <w:sz w:val="24"/>
          <w:szCs w:val="24"/>
          <w:highlight w:val="none"/>
        </w:rPr>
        <w:t>；如</w:t>
      </w:r>
      <w:r>
        <w:rPr>
          <w:rFonts w:hint="eastAsia" w:hAnsi="宋体" w:cs="宋体"/>
          <w:color w:val="auto"/>
          <w:sz w:val="24"/>
          <w:szCs w:val="24"/>
          <w:highlight w:val="none"/>
          <w:lang w:eastAsia="zh-CN"/>
        </w:rPr>
        <w:t>作业</w:t>
      </w:r>
      <w:r>
        <w:rPr>
          <w:rFonts w:hint="eastAsia" w:ascii="宋体" w:hAnsi="宋体" w:eastAsia="宋体" w:cs="宋体"/>
          <w:color w:val="auto"/>
          <w:sz w:val="24"/>
          <w:szCs w:val="24"/>
          <w:highlight w:val="none"/>
        </w:rPr>
        <w:t>现场与</w:t>
      </w:r>
      <w:r>
        <w:rPr>
          <w:rFonts w:hint="eastAsia" w:hAnsi="宋体" w:cs="宋体"/>
          <w:color w:val="auto"/>
          <w:sz w:val="24"/>
          <w:szCs w:val="24"/>
          <w:highlight w:val="none"/>
          <w:lang w:eastAsia="zh-CN"/>
        </w:rPr>
        <w:t>工作</w:t>
      </w:r>
      <w:r>
        <w:rPr>
          <w:rFonts w:hint="eastAsia" w:ascii="宋体" w:hAnsi="宋体" w:eastAsia="宋体" w:cs="宋体"/>
          <w:color w:val="auto"/>
          <w:sz w:val="24"/>
          <w:szCs w:val="24"/>
          <w:highlight w:val="none"/>
        </w:rPr>
        <w:t>工方案不一致，应填写情况说明，</w:t>
      </w:r>
      <w:r>
        <w:rPr>
          <w:rFonts w:hint="eastAsia" w:ascii="宋体" w:hAnsi="宋体" w:cs="宋体"/>
          <w:color w:val="auto"/>
          <w:sz w:val="24"/>
          <w:szCs w:val="24"/>
          <w:highlight w:val="none"/>
          <w:lang w:val="en-US" w:eastAsia="zh-CN"/>
        </w:rPr>
        <w:t>经</w:t>
      </w:r>
      <w:r>
        <w:rPr>
          <w:rFonts w:hint="eastAsia" w:hAnsi="宋体" w:cs="宋体"/>
          <w:color w:val="auto"/>
          <w:sz w:val="24"/>
          <w:szCs w:val="24"/>
          <w:highlight w:val="none"/>
          <w:lang w:eastAsia="zh-CN"/>
        </w:rPr>
        <w:t>甲方或甲方委托的监理工程师</w:t>
      </w:r>
      <w:r>
        <w:rPr>
          <w:rFonts w:hint="eastAsia" w:ascii="宋体" w:hAnsi="宋体" w:eastAsia="宋体" w:cs="宋体"/>
          <w:color w:val="auto"/>
          <w:sz w:val="24"/>
          <w:szCs w:val="24"/>
          <w:highlight w:val="none"/>
        </w:rPr>
        <w:t>审核后，方可</w:t>
      </w:r>
      <w:r>
        <w:rPr>
          <w:rFonts w:hint="eastAsia" w:ascii="宋体" w:hAnsi="宋体" w:cs="宋体"/>
          <w:color w:val="auto"/>
          <w:sz w:val="24"/>
          <w:szCs w:val="24"/>
          <w:highlight w:val="none"/>
          <w:lang w:eastAsia="zh-CN"/>
        </w:rPr>
        <w:t>开展现场</w:t>
      </w:r>
      <w:r>
        <w:rPr>
          <w:rFonts w:hint="eastAsia" w:hAnsi="宋体" w:cs="宋体"/>
          <w:color w:val="auto"/>
          <w:sz w:val="24"/>
          <w:szCs w:val="24"/>
          <w:highlight w:val="none"/>
          <w:lang w:eastAsia="zh-CN"/>
        </w:rPr>
        <w:t>作业</w:t>
      </w:r>
      <w:r>
        <w:rPr>
          <w:rFonts w:hint="eastAsia" w:ascii="宋体" w:hAnsi="宋体" w:eastAsia="宋体" w:cs="宋体"/>
          <w:color w:val="auto"/>
          <w:sz w:val="24"/>
          <w:szCs w:val="24"/>
          <w:highlight w:val="none"/>
        </w:rPr>
        <w:t>。工程</w:t>
      </w:r>
      <w:r>
        <w:rPr>
          <w:rFonts w:hint="eastAsia" w:hAnsi="宋体" w:cs="宋体"/>
          <w:color w:val="auto"/>
          <w:sz w:val="24"/>
          <w:szCs w:val="24"/>
          <w:highlight w:val="none"/>
          <w:lang w:eastAsia="zh-CN"/>
        </w:rPr>
        <w:t>竣工验收</w:t>
      </w:r>
      <w:r>
        <w:rPr>
          <w:rFonts w:hint="eastAsia" w:ascii="宋体" w:hAnsi="宋体" w:eastAsia="宋体" w:cs="宋体"/>
          <w:color w:val="auto"/>
          <w:sz w:val="24"/>
          <w:szCs w:val="24"/>
          <w:highlight w:val="none"/>
        </w:rPr>
        <w:t>后，供应商应及时整理相关资料并进行自检，确认合格后于三个工作日内</w:t>
      </w:r>
      <w:r>
        <w:rPr>
          <w:rFonts w:hint="eastAsia" w:ascii="宋体" w:hAnsi="宋体" w:cs="宋体"/>
          <w:color w:val="auto"/>
          <w:sz w:val="24"/>
          <w:szCs w:val="24"/>
          <w:highlight w:val="none"/>
          <w:lang w:val="en-US" w:eastAsia="zh-CN"/>
        </w:rPr>
        <w:t>申请</w:t>
      </w:r>
      <w:r>
        <w:rPr>
          <w:rFonts w:hint="eastAsia" w:hAnsi="宋体" w:cs="宋体"/>
          <w:color w:val="auto"/>
          <w:sz w:val="24"/>
          <w:szCs w:val="24"/>
          <w:highlight w:val="none"/>
          <w:lang w:eastAsia="zh-CN"/>
        </w:rPr>
        <w:t>履约</w:t>
      </w:r>
      <w:r>
        <w:rPr>
          <w:rFonts w:hint="eastAsia" w:ascii="宋体" w:hAnsi="宋体" w:eastAsia="宋体" w:cs="宋体"/>
          <w:color w:val="auto"/>
          <w:sz w:val="24"/>
          <w:szCs w:val="24"/>
          <w:highlight w:val="none"/>
        </w:rPr>
        <w:t>验收。</w:t>
      </w:r>
      <w:r>
        <w:rPr>
          <w:rFonts w:hint="eastAsia" w:ascii="宋体" w:hAnsi="宋体" w:cs="宋体"/>
          <w:color w:val="auto"/>
          <w:sz w:val="24"/>
          <w:szCs w:val="24"/>
          <w:highlight w:val="none"/>
          <w:lang w:val="en-US" w:eastAsia="zh-CN"/>
        </w:rPr>
        <w:t xml:space="preserve">   </w:t>
      </w:r>
    </w:p>
    <w:p w14:paraId="4B6D3A99">
      <w:pPr>
        <w:tabs>
          <w:tab w:val="left" w:pos="0"/>
        </w:tabs>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rPr>
        <w:t>房屋白蚁预防</w:t>
      </w:r>
      <w:r>
        <w:rPr>
          <w:rFonts w:hint="eastAsia" w:hAnsi="宋体" w:cs="宋体"/>
          <w:color w:val="auto"/>
          <w:sz w:val="24"/>
          <w:szCs w:val="24"/>
          <w:highlight w:val="none"/>
          <w:lang w:eastAsia="zh-CN"/>
        </w:rPr>
        <w:t>工作</w:t>
      </w:r>
      <w:r>
        <w:rPr>
          <w:rFonts w:hint="eastAsia" w:ascii="宋体" w:hAnsi="宋体" w:eastAsia="宋体" w:cs="宋体"/>
          <w:color w:val="auto"/>
          <w:sz w:val="24"/>
          <w:szCs w:val="24"/>
          <w:highlight w:val="none"/>
        </w:rPr>
        <w:t>应严格遵守施工现场有关安全生产规定，</w:t>
      </w:r>
      <w:r>
        <w:rPr>
          <w:rFonts w:hint="eastAsia" w:hAnsi="宋体" w:cs="宋体"/>
          <w:color w:val="auto"/>
          <w:sz w:val="24"/>
          <w:szCs w:val="24"/>
          <w:highlight w:val="none"/>
          <w:lang w:eastAsia="zh-CN"/>
        </w:rPr>
        <w:t>服从现场监理工程师统一管理</w:t>
      </w:r>
      <w:r>
        <w:rPr>
          <w:rFonts w:hint="eastAsia" w:ascii="宋体" w:hAnsi="宋体" w:eastAsia="宋体" w:cs="宋体"/>
          <w:color w:val="auto"/>
          <w:sz w:val="24"/>
          <w:szCs w:val="24"/>
          <w:highlight w:val="none"/>
        </w:rPr>
        <w:t>。药物使用完毕后，应按照有关规定，妥善处理废水、废渣和废容器及剩余的稀释药液。</w:t>
      </w:r>
    </w:p>
    <w:p w14:paraId="43B63EBD">
      <w:pPr>
        <w:tabs>
          <w:tab w:val="left" w:pos="0"/>
        </w:tabs>
        <w:spacing w:line="360" w:lineRule="auto"/>
        <w:ind w:firstLine="480"/>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3.7</w:t>
      </w:r>
      <w:r>
        <w:rPr>
          <w:rFonts w:hint="eastAsia" w:hAnsi="宋体" w:cs="宋体"/>
          <w:color w:val="auto"/>
          <w:sz w:val="24"/>
          <w:szCs w:val="24"/>
          <w:highlight w:val="none"/>
          <w:lang w:eastAsia="zh-CN"/>
        </w:rPr>
        <w:t>乙方</w:t>
      </w:r>
      <w:r>
        <w:rPr>
          <w:rFonts w:hint="default" w:ascii="宋体" w:hAnsi="宋体" w:eastAsia="宋体" w:cs="宋体"/>
          <w:color w:val="auto"/>
          <w:sz w:val="24"/>
          <w:szCs w:val="24"/>
          <w:highlight w:val="none"/>
        </w:rPr>
        <w:t>应提供项目服务过程中的影像资料，包括</w:t>
      </w:r>
      <w:r>
        <w:rPr>
          <w:rFonts w:hint="eastAsia" w:hAnsi="宋体" w:cs="宋体"/>
          <w:color w:val="auto"/>
          <w:sz w:val="24"/>
          <w:szCs w:val="24"/>
          <w:highlight w:val="none"/>
          <w:lang w:eastAsia="zh-CN"/>
        </w:rPr>
        <w:t>但不限于</w:t>
      </w:r>
      <w:r>
        <w:rPr>
          <w:rFonts w:hint="default" w:ascii="宋体" w:hAnsi="宋体" w:eastAsia="宋体" w:cs="宋体"/>
          <w:color w:val="auto"/>
          <w:sz w:val="24"/>
          <w:szCs w:val="24"/>
          <w:highlight w:val="none"/>
        </w:rPr>
        <w:t>：设置警戒标志、</w:t>
      </w:r>
      <w:r>
        <w:rPr>
          <w:rFonts w:hint="eastAsia" w:hAnsi="宋体" w:cs="宋体"/>
          <w:color w:val="auto"/>
          <w:sz w:val="24"/>
          <w:szCs w:val="24"/>
          <w:highlight w:val="none"/>
          <w:lang w:eastAsia="zh-CN"/>
        </w:rPr>
        <w:t>每处防治实施的照片等</w:t>
      </w:r>
      <w:r>
        <w:rPr>
          <w:rFonts w:hint="default" w:ascii="宋体" w:hAnsi="宋体" w:eastAsia="宋体" w:cs="宋体"/>
          <w:color w:val="auto"/>
          <w:sz w:val="24"/>
          <w:szCs w:val="24"/>
          <w:highlight w:val="none"/>
        </w:rPr>
        <w:t>，</w:t>
      </w:r>
      <w:r>
        <w:rPr>
          <w:rFonts w:hint="eastAsia" w:hAnsi="宋体" w:cs="宋体"/>
          <w:color w:val="auto"/>
          <w:sz w:val="24"/>
          <w:szCs w:val="24"/>
          <w:highlight w:val="none"/>
          <w:lang w:val="en-US" w:eastAsia="zh-CN"/>
        </w:rPr>
        <w:t>履约验收前以电子版形式提交给甲方</w:t>
      </w:r>
      <w:r>
        <w:rPr>
          <w:rFonts w:hint="default" w:ascii="宋体" w:hAnsi="宋体" w:eastAsia="宋体" w:cs="宋体"/>
          <w:color w:val="auto"/>
          <w:sz w:val="24"/>
          <w:szCs w:val="24"/>
          <w:highlight w:val="none"/>
        </w:rPr>
        <w:t>。</w:t>
      </w:r>
    </w:p>
    <w:p w14:paraId="1DB97C23">
      <w:pPr>
        <w:tabs>
          <w:tab w:val="left" w:pos="0"/>
        </w:tabs>
        <w:spacing w:line="360" w:lineRule="auto"/>
        <w:ind w:firstLine="480"/>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3.8</w:t>
      </w:r>
      <w:r>
        <w:rPr>
          <w:rFonts w:hint="eastAsia" w:hAnsi="宋体" w:cs="宋体"/>
          <w:color w:val="auto"/>
          <w:sz w:val="24"/>
          <w:szCs w:val="24"/>
          <w:highlight w:val="none"/>
          <w:lang w:eastAsia="zh-CN"/>
        </w:rPr>
        <w:t>乙方</w:t>
      </w:r>
      <w:r>
        <w:rPr>
          <w:rFonts w:hint="eastAsia" w:ascii="宋体" w:hAnsi="宋体" w:eastAsia="宋体" w:cs="宋体"/>
          <w:color w:val="auto"/>
          <w:sz w:val="24"/>
          <w:szCs w:val="24"/>
          <w:highlight w:val="none"/>
        </w:rPr>
        <w:t>应</w:t>
      </w:r>
      <w:r>
        <w:rPr>
          <w:rFonts w:hint="eastAsia" w:ascii="宋体" w:hAnsi="宋体" w:cs="宋体"/>
          <w:color w:val="auto"/>
          <w:sz w:val="24"/>
          <w:szCs w:val="24"/>
          <w:highlight w:val="none"/>
          <w:lang w:val="en-US" w:eastAsia="zh-CN"/>
        </w:rPr>
        <w:t>每月形成工作报表，内容</w:t>
      </w:r>
      <w:r>
        <w:rPr>
          <w:rFonts w:hint="eastAsia" w:ascii="宋体" w:hAnsi="宋体" w:eastAsia="宋体" w:cs="宋体"/>
          <w:color w:val="auto"/>
          <w:sz w:val="24"/>
          <w:szCs w:val="24"/>
          <w:highlight w:val="none"/>
        </w:rPr>
        <w:t>包括：</w:t>
      </w:r>
      <w:r>
        <w:rPr>
          <w:rFonts w:hint="eastAsia" w:hAnsi="宋体" w:cs="宋体"/>
          <w:color w:val="auto"/>
          <w:sz w:val="24"/>
          <w:szCs w:val="24"/>
          <w:highlight w:val="none"/>
          <w:lang w:eastAsia="zh-CN"/>
        </w:rPr>
        <w:t>作业清单</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作业</w:t>
      </w:r>
      <w:r>
        <w:rPr>
          <w:rFonts w:hint="eastAsia" w:ascii="宋体" w:hAnsi="宋体" w:eastAsia="宋体" w:cs="宋体"/>
          <w:color w:val="auto"/>
          <w:sz w:val="24"/>
          <w:szCs w:val="24"/>
          <w:highlight w:val="none"/>
        </w:rPr>
        <w:t>面积、现场勘查</w:t>
      </w:r>
      <w:r>
        <w:rPr>
          <w:rFonts w:hint="eastAsia" w:hAnsi="宋体" w:cs="宋体"/>
          <w:color w:val="auto"/>
          <w:sz w:val="24"/>
          <w:szCs w:val="24"/>
          <w:highlight w:val="none"/>
          <w:lang w:eastAsia="zh-CN"/>
        </w:rPr>
        <w:t>及现场现场对接</w:t>
      </w:r>
      <w:r>
        <w:rPr>
          <w:rFonts w:hint="eastAsia" w:ascii="宋体" w:hAnsi="宋体" w:eastAsia="宋体" w:cs="宋体"/>
          <w:color w:val="auto"/>
          <w:sz w:val="24"/>
          <w:szCs w:val="24"/>
          <w:highlight w:val="none"/>
        </w:rPr>
        <w:t>情况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用药情况等</w:t>
      </w:r>
      <w:r>
        <w:rPr>
          <w:rFonts w:hint="eastAsia" w:ascii="宋体" w:hAnsi="宋体" w:eastAsia="宋体" w:cs="宋体"/>
          <w:color w:val="auto"/>
          <w:sz w:val="24"/>
          <w:szCs w:val="24"/>
          <w:highlight w:val="none"/>
        </w:rPr>
        <w:t>。</w:t>
      </w:r>
    </w:p>
    <w:p w14:paraId="562E6879">
      <w:pPr>
        <w:tabs>
          <w:tab w:val="left" w:pos="0"/>
        </w:tabs>
        <w:spacing w:line="360" w:lineRule="auto"/>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rPr>
        <w:t>项目所需的</w:t>
      </w:r>
      <w:r>
        <w:rPr>
          <w:rFonts w:hint="eastAsia" w:hAnsi="宋体" w:cs="宋体"/>
          <w:color w:val="auto"/>
          <w:sz w:val="24"/>
          <w:szCs w:val="24"/>
          <w:highlight w:val="none"/>
          <w:lang w:eastAsia="zh-CN"/>
        </w:rPr>
        <w:t>工作</w:t>
      </w:r>
      <w:r>
        <w:rPr>
          <w:rFonts w:hint="eastAsia" w:ascii="宋体" w:hAnsi="宋体" w:eastAsia="宋体" w:cs="宋体"/>
          <w:color w:val="auto"/>
          <w:sz w:val="24"/>
          <w:szCs w:val="24"/>
          <w:highlight w:val="none"/>
        </w:rPr>
        <w:t>方案表、开工通知、</w:t>
      </w:r>
      <w:r>
        <w:rPr>
          <w:rFonts w:hint="eastAsia" w:hAnsi="宋体" w:cs="宋体"/>
          <w:color w:val="auto"/>
          <w:sz w:val="24"/>
          <w:szCs w:val="24"/>
          <w:highlight w:val="none"/>
          <w:lang w:eastAsia="zh-CN"/>
        </w:rPr>
        <w:t>作业</w:t>
      </w:r>
      <w:r>
        <w:rPr>
          <w:rFonts w:hint="eastAsia" w:ascii="宋体" w:hAnsi="宋体" w:eastAsia="宋体" w:cs="宋体"/>
          <w:color w:val="auto"/>
          <w:sz w:val="24"/>
          <w:szCs w:val="24"/>
          <w:highlight w:val="none"/>
        </w:rPr>
        <w:t>记录</w:t>
      </w:r>
      <w:r>
        <w:rPr>
          <w:rFonts w:hint="eastAsia" w:hAnsi="宋体" w:cs="宋体"/>
          <w:color w:val="auto"/>
          <w:sz w:val="24"/>
          <w:szCs w:val="24"/>
          <w:highlight w:val="none"/>
          <w:lang w:eastAsia="zh-CN"/>
        </w:rPr>
        <w:t>、白蚁防治履约总结报告由乙方提供。</w:t>
      </w:r>
    </w:p>
    <w:p w14:paraId="09DEDF8E">
      <w:pPr>
        <w:widowControl/>
        <w:spacing w:line="360" w:lineRule="auto"/>
        <w:ind w:firstLine="480"/>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、服务期限：</w:t>
      </w:r>
      <w:r>
        <w:rPr>
          <w:rFonts w:hint="eastAsia" w:hAnsi="宋体" w:cs="宋体"/>
          <w:color w:val="auto"/>
          <w:sz w:val="24"/>
          <w:szCs w:val="24"/>
          <w:highlight w:val="none"/>
          <w:lang w:eastAsia="zh-CN"/>
        </w:rPr>
        <w:t xml:space="preserve">合同签订之日起至完成全部本项目白蚁防治工作并通过甲方组织的履约验收止   </w:t>
      </w:r>
    </w:p>
    <w:p w14:paraId="14AC8FDB">
      <w:pPr>
        <w:spacing w:line="360" w:lineRule="auto"/>
        <w:ind w:firstLine="42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、服务地点：甲方指定地点。</w:t>
      </w:r>
    </w:p>
    <w:p w14:paraId="3240CF0E">
      <w:pPr>
        <w:spacing w:line="360" w:lineRule="auto"/>
        <w:ind w:firstLine="420"/>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、下列文件为本合同不可分割部分，其中的条款与要求为本合同执行的依据：</w:t>
      </w:r>
    </w:p>
    <w:p w14:paraId="65B405E2">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成交通知书；</w:t>
      </w:r>
    </w:p>
    <w:p w14:paraId="1DDD819E">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乙方的投标响应文件；</w:t>
      </w:r>
    </w:p>
    <w:p w14:paraId="2721D658">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乙方在采购响应过程中所作的其它承诺、声明、书面澄清等；</w:t>
      </w:r>
    </w:p>
    <w:p w14:paraId="326A28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 采购文件及其附件；</w:t>
      </w:r>
    </w:p>
    <w:p w14:paraId="4C338F18">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 合同附件。</w:t>
      </w:r>
    </w:p>
    <w:p w14:paraId="078A7421">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以上与本合同具有同等法律效力</w:t>
      </w:r>
    </w:p>
    <w:p w14:paraId="666EFB96">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二、</w:t>
      </w:r>
      <w:r>
        <w:rPr>
          <w:rFonts w:hint="eastAsia" w:ascii="宋体" w:hAnsi="宋体" w:eastAsia="宋体" w:cs="宋体"/>
          <w:b/>
          <w:color w:val="auto"/>
          <w:sz w:val="24"/>
          <w:szCs w:val="24"/>
          <w:highlight w:val="none"/>
        </w:rPr>
        <w:t>合同</w:t>
      </w:r>
      <w:r>
        <w:rPr>
          <w:rFonts w:hint="eastAsia" w:ascii="宋体" w:hAnsi="宋体" w:eastAsia="宋体" w:cs="宋体"/>
          <w:b/>
          <w:color w:val="auto"/>
          <w:sz w:val="24"/>
          <w:szCs w:val="24"/>
          <w:highlight w:val="none"/>
          <w:lang w:val="zh-CN"/>
        </w:rPr>
        <w:t>价格与支付：</w:t>
      </w:r>
    </w:p>
    <w:p w14:paraId="7C41652E">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1、合同价格按此次成交价格执行，合同总金额为人民币</w:t>
      </w:r>
      <w:r>
        <w:rPr>
          <w:rFonts w:hint="eastAsia" w:ascii="宋体" w:hAnsi="宋体" w:eastAsia="宋体" w:cs="宋体"/>
          <w:b/>
          <w:color w:val="auto"/>
          <w:sz w:val="24"/>
          <w:szCs w:val="24"/>
          <w:highlight w:val="none"/>
          <w:u w:val="single"/>
        </w:rPr>
        <w:t xml:space="preserve"> 大写      小写：（￥    ），</w:t>
      </w:r>
      <w:r>
        <w:rPr>
          <w:rFonts w:hint="eastAsia" w:hAnsi="宋体" w:cs="宋体"/>
          <w:b/>
          <w:color w:val="auto"/>
          <w:sz w:val="24"/>
          <w:szCs w:val="24"/>
          <w:highlight w:val="none"/>
          <w:u w:val="single"/>
          <w:lang w:eastAsia="zh-CN"/>
        </w:rPr>
        <w:t>中标服务单价：</w:t>
      </w:r>
      <w:r>
        <w:rPr>
          <w:rFonts w:hint="eastAsia" w:hAnsi="宋体" w:cs="宋体"/>
          <w:b/>
          <w:color w:val="auto"/>
          <w:sz w:val="24"/>
          <w:szCs w:val="24"/>
          <w:highlight w:val="none"/>
          <w:u w:val="single"/>
          <w:lang w:val="en-US" w:eastAsia="zh-CN"/>
        </w:rPr>
        <w:t xml:space="preserve">       元/平方米，</w:t>
      </w:r>
      <w:r>
        <w:rPr>
          <w:rFonts w:hint="eastAsia" w:hAnsi="宋体"/>
          <w:color w:val="auto"/>
          <w:sz w:val="24"/>
          <w:szCs w:val="24"/>
          <w:highlight w:val="none"/>
        </w:rPr>
        <w:t>报价包括但不限于完成本项工作所需的设备、人工（含人员保险费用）、协调费用、利润、税金、管理费、风险费、文件规定政策性费用等所有费用。</w:t>
      </w:r>
    </w:p>
    <w:p w14:paraId="1B5D69E1">
      <w:pPr>
        <w:spacing w:line="360" w:lineRule="auto"/>
        <w:ind w:firstLine="42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2、付款步骤：</w:t>
      </w:r>
      <w:r>
        <w:rPr>
          <w:rFonts w:hint="eastAsia" w:hAnsi="宋体" w:cs="宋体"/>
          <w:color w:val="auto"/>
          <w:sz w:val="24"/>
          <w:szCs w:val="24"/>
          <w:highlight w:val="none"/>
          <w:lang w:eastAsia="zh-CN"/>
        </w:rPr>
        <w:t>合同签订后甲方支付合同金额的</w:t>
      </w:r>
      <w:r>
        <w:rPr>
          <w:rFonts w:hint="eastAsia" w:hAnsi="宋体" w:cs="宋体"/>
          <w:color w:val="auto"/>
          <w:sz w:val="24"/>
          <w:szCs w:val="24"/>
          <w:highlight w:val="none"/>
          <w:lang w:val="en-US" w:eastAsia="zh-CN"/>
        </w:rPr>
        <w:t>30%作为预付款，2025年底不超过支付至实际已完成工作量对应货币量的80%（扣除预付款），余款待乙方完成本项目全部白蚁防治工作并通过甲方组织的履约验收后一次性支付。最终结算的白蚁防治费按实际完成防治建筑面积乘以中标单价进行结算，最终结算的防治服务费不得超过合同签约金额，若超出作为乙方让利，乙方应按甲方要求完成全部本项目白蚁防治工作。（如乙方不要求执行预付款支付的，甲方可不支付预付款，本合同白蚁服务费其他支付条款不受此影响）</w:t>
      </w:r>
    </w:p>
    <w:p w14:paraId="3C52DE3E">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合同款结算时，乙方需提供以下资料：</w:t>
      </w:r>
    </w:p>
    <w:p w14:paraId="77847B22">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（1）合格的发票；</w:t>
      </w:r>
    </w:p>
    <w:p w14:paraId="65995E9A">
      <w:pPr>
        <w:widowControl/>
        <w:spacing w:line="360" w:lineRule="auto"/>
        <w:ind w:firstLine="42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eastAsia="zh-CN"/>
        </w:rPr>
        <w:t>数字人民币</w:t>
      </w:r>
      <w:r>
        <w:rPr>
          <w:rFonts w:hint="eastAsia" w:hAnsi="宋体" w:cs="宋体"/>
          <w:color w:val="auto"/>
          <w:sz w:val="24"/>
          <w:szCs w:val="24"/>
          <w:highlight w:val="none"/>
          <w:lang w:val="en-US" w:eastAsia="zh-CN"/>
        </w:rPr>
        <w:t>ID</w:t>
      </w:r>
    </w:p>
    <w:p w14:paraId="0CF33DDC">
      <w:pPr>
        <w:widowControl/>
        <w:spacing w:line="360" w:lineRule="auto"/>
        <w:ind w:firstLine="420"/>
        <w:jc w:val="left"/>
        <w:rPr>
          <w:rFonts w:hint="default" w:hAnsi="宋体" w:cs="宋体"/>
          <w:color w:val="auto"/>
          <w:sz w:val="24"/>
          <w:szCs w:val="24"/>
          <w:highlight w:val="none"/>
          <w:lang w:val="en-US" w:eastAsia="zh-CN"/>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3</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其他</w:t>
      </w:r>
      <w:r>
        <w:rPr>
          <w:rFonts w:hint="eastAsia" w:hAnsi="宋体" w:cs="宋体"/>
          <w:color w:val="auto"/>
          <w:sz w:val="24"/>
          <w:szCs w:val="24"/>
          <w:highlight w:val="none"/>
          <w:lang w:eastAsia="zh-CN"/>
        </w:rPr>
        <w:t>：根据甲方要求提供</w:t>
      </w:r>
    </w:p>
    <w:p w14:paraId="707CDA5D">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甲方支付此项费用外不再承担其它任何费用（包括个人），服务人员的薪金、福利、休假日补贴等由乙方付给，与甲方无关。</w:t>
      </w:r>
    </w:p>
    <w:p w14:paraId="36F885C1">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3、根据现行税法对甲方征收的与本合同有关的一切税费均由甲方承担；根据现行税法对乙方征收的与本合同有关的一切税费均由乙方承担。</w:t>
      </w:r>
    </w:p>
    <w:p w14:paraId="037D7321">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4、付款方式：</w:t>
      </w:r>
      <w:r>
        <w:rPr>
          <w:rFonts w:hint="eastAsia" w:hAnsi="宋体" w:cs="宋体"/>
          <w:color w:val="auto"/>
          <w:sz w:val="24"/>
          <w:szCs w:val="24"/>
          <w:highlight w:val="none"/>
          <w:lang w:eastAsia="zh-CN"/>
        </w:rPr>
        <w:t>数字人民币转账支付</w:t>
      </w:r>
      <w:r>
        <w:rPr>
          <w:rFonts w:hint="eastAsia" w:ascii="宋体" w:hAnsi="宋体" w:eastAsia="宋体" w:cs="宋体"/>
          <w:color w:val="auto"/>
          <w:sz w:val="24"/>
          <w:szCs w:val="24"/>
          <w:highlight w:val="none"/>
        </w:rPr>
        <w:t>。</w:t>
      </w:r>
    </w:p>
    <w:p w14:paraId="0CCAF2BF">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5.乙方账户信息如下：</w:t>
      </w:r>
    </w:p>
    <w:p w14:paraId="66D75F06">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w:t>
      </w:r>
    </w:p>
    <w:p w14:paraId="509E153F">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14:paraId="10993EE8">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p w14:paraId="7C8A51DC">
      <w:pPr>
        <w:widowControl/>
        <w:spacing w:line="360" w:lineRule="auto"/>
        <w:ind w:firstLine="420"/>
        <w:jc w:val="left"/>
        <w:rPr>
          <w:rFonts w:hint="eastAsia"/>
          <w:color w:val="auto"/>
          <w:sz w:val="24"/>
          <w:szCs w:val="24"/>
          <w:highlight w:val="none"/>
        </w:rPr>
      </w:pPr>
      <w:r>
        <w:rPr>
          <w:rFonts w:hint="eastAsia" w:ascii="宋体" w:hAnsi="宋体" w:eastAsia="宋体" w:cs="宋体"/>
          <w:color w:val="auto"/>
          <w:sz w:val="24"/>
          <w:szCs w:val="24"/>
          <w:highlight w:val="none"/>
        </w:rPr>
        <w:t>数币账户：</w:t>
      </w:r>
    </w:p>
    <w:p w14:paraId="73C5CC95">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三、甲、乙方的责任义务</w:t>
      </w:r>
    </w:p>
    <w:p w14:paraId="29E60E7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（一）甲方责任义务：</w:t>
      </w:r>
    </w:p>
    <w:p w14:paraId="712271F9">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1、甲方根据采购文件中的采购服务内容及要求和乙方投标承诺的内容对乙方服务工作进行验收，如有特别要求的，应作具体约定。</w:t>
      </w:r>
    </w:p>
    <w:p w14:paraId="14BB8D85">
      <w:pPr>
        <w:pStyle w:val="9"/>
        <w:keepNext w:val="0"/>
        <w:keepLines w:val="0"/>
        <w:pageBreakBefore w:val="0"/>
        <w:widowControl/>
        <w:spacing w:line="560" w:lineRule="exact"/>
        <w:ind w:firstLine="420"/>
        <w:rPr>
          <w:rFonts w:hint="default" w:hAnsi="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bidi="ar-SA"/>
        </w:rPr>
        <w:t>甲方成立验收小组，负责采购项目履约验收具体工作。验收小组要求:根据采购项目特点和实际需要，甲方自行组织或邀请相关领域专业技术人员等作为验收小组成员参与验收，</w:t>
      </w:r>
      <w:r>
        <w:rPr>
          <w:rFonts w:hint="eastAsia" w:hAnsi="宋体" w:cs="宋体"/>
          <w:color w:val="auto"/>
          <w:sz w:val="24"/>
          <w:szCs w:val="24"/>
          <w:highlight w:val="none"/>
          <w:lang w:val="en-US" w:eastAsia="zh-CN" w:bidi="ar-SA"/>
        </w:rPr>
        <w:t>由甲方具体负责履约验收的科室人员担任验收小组组长</w:t>
      </w:r>
      <w:r>
        <w:rPr>
          <w:rFonts w:hint="eastAsia" w:ascii="宋体" w:hAnsi="宋体" w:eastAsia="宋体" w:cs="宋体"/>
          <w:color w:val="auto"/>
          <w:sz w:val="24"/>
          <w:szCs w:val="24"/>
          <w:highlight w:val="none"/>
          <w:lang w:val="en-US" w:eastAsia="zh-CN" w:bidi="ar-SA"/>
        </w:rPr>
        <w:t>。</w:t>
      </w:r>
      <w:r>
        <w:rPr>
          <w:rFonts w:hint="eastAsia" w:hAnsi="宋体" w:cs="宋体"/>
          <w:color w:val="auto"/>
          <w:sz w:val="24"/>
          <w:szCs w:val="24"/>
          <w:highlight w:val="none"/>
          <w:lang w:val="en-US" w:eastAsia="zh-CN" w:bidi="ar-SA"/>
        </w:rPr>
        <w:t>验收小组在收到履约验收申请后开始组织履约验收工作，在履约验收前5天向供应商发出履约验收通知单，告知履约验收时间和验收流程等。</w:t>
      </w:r>
      <w:r>
        <w:rPr>
          <w:rFonts w:hint="eastAsia" w:ascii="宋体" w:hAnsi="宋体" w:eastAsia="宋体" w:cs="宋体"/>
          <w:color w:val="auto"/>
          <w:sz w:val="24"/>
          <w:szCs w:val="24"/>
          <w:highlight w:val="none"/>
          <w:lang w:val="en-US" w:eastAsia="zh-CN" w:bidi="ar-SA"/>
        </w:rPr>
        <w:t>验收小组制定验收工作实施方案，按照方案开展验收，出具验收意见。验收意见应当客观真实反映政府采购合同履行情况。验收内容按照采购合同的约定，对采购需求的每一项技术、服务、安全指标的履约情况进</w:t>
      </w:r>
      <w:r>
        <w:rPr>
          <w:rFonts w:hint="eastAsia" w:hAnsi="宋体" w:cs="宋体"/>
          <w:color w:val="auto"/>
          <w:sz w:val="24"/>
          <w:szCs w:val="24"/>
          <w:highlight w:val="none"/>
          <w:lang w:val="en-US" w:eastAsia="zh-CN" w:bidi="ar-SA"/>
        </w:rPr>
        <w:t>行确认。</w:t>
      </w:r>
    </w:p>
    <w:p w14:paraId="61658245">
      <w:pPr>
        <w:pStyle w:val="9"/>
        <w:keepNext w:val="0"/>
        <w:keepLines w:val="0"/>
        <w:pageBreakBefore w:val="0"/>
        <w:widowControl/>
        <w:spacing w:line="560" w:lineRule="exact"/>
        <w:ind w:firstLine="420"/>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验收标准:按DB32/T 4494-2023白蚁区域综合治理项目效果评价到达合格。如验收不合格，甲方有权要求中标单位整改，中标单位多次整改不合格，甲方有权扣除相应的合同价款的5%。如履约验收合格，甲方按合同约定支付最终应付金额。</w:t>
      </w:r>
    </w:p>
    <w:p w14:paraId="0D2F475B">
      <w:pPr>
        <w:pStyle w:val="9"/>
        <w:keepNext w:val="0"/>
        <w:keepLines w:val="0"/>
        <w:pageBreakBefore w:val="0"/>
        <w:widowControl/>
        <w:spacing w:line="560" w:lineRule="exact"/>
        <w:ind w:firstLine="420"/>
        <w:rPr>
          <w:rFonts w:hint="eastAsia" w:hAnsi="宋体" w:cs="宋体"/>
          <w:color w:val="auto"/>
          <w:sz w:val="24"/>
          <w:szCs w:val="24"/>
          <w:highlight w:val="none"/>
          <w:lang w:val="en-US" w:eastAsia="zh-CN" w:bidi="ar-SA"/>
        </w:rPr>
      </w:pPr>
      <w:r>
        <w:rPr>
          <w:rFonts w:hint="eastAsia" w:hAnsi="宋体" w:cs="宋体"/>
          <w:color w:val="auto"/>
          <w:sz w:val="24"/>
          <w:szCs w:val="24"/>
          <w:highlight w:val="none"/>
          <w:lang w:val="en-US" w:eastAsia="zh-CN" w:bidi="ar-SA"/>
        </w:rPr>
        <w:t>3、法规政策规定由甲方承担的其他责任。</w:t>
      </w:r>
    </w:p>
    <w:p w14:paraId="1EDB275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（二）乙方责任：</w:t>
      </w:r>
    </w:p>
    <w:p w14:paraId="5ACEBA3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1、乙方及其专业人员不得利用开展业务之便，为自己（包括乙方和乙方人员自己）或者他人谋取不正当利益，不得向甲方或者其他相关当事人索要、收受或者变相索要、收受委托协议约定以外的酬金、财物等。</w:t>
      </w:r>
    </w:p>
    <w:p w14:paraId="67DE4A97">
      <w:pPr>
        <w:spacing w:line="360" w:lineRule="auto"/>
        <w:ind w:firstLine="420"/>
        <w:rPr>
          <w:rFonts w:hint="eastAsia" w:ascii="宋体" w:hAnsi="宋体" w:eastAsia="宋体" w:cs="宋体"/>
          <w:color w:val="auto"/>
          <w:sz w:val="24"/>
          <w:szCs w:val="24"/>
          <w:highlight w:val="none"/>
        </w:rPr>
      </w:pPr>
      <w:bookmarkStart w:id="54" w:name="bookmark250"/>
      <w:r>
        <w:rPr>
          <w:rFonts w:hint="eastAsia" w:ascii="宋体" w:hAnsi="宋体" w:eastAsia="宋体" w:cs="宋体"/>
          <w:color w:val="auto"/>
          <w:sz w:val="24"/>
          <w:szCs w:val="24"/>
          <w:highlight w:val="none"/>
        </w:rPr>
        <w:t>2</w:t>
      </w:r>
      <w:bookmarkEnd w:id="54"/>
      <w:r>
        <w:rPr>
          <w:rFonts w:hint="eastAsia" w:ascii="宋体" w:hAnsi="宋体" w:eastAsia="宋体" w:cs="宋体"/>
          <w:color w:val="auto"/>
          <w:sz w:val="24"/>
          <w:szCs w:val="24"/>
          <w:highlight w:val="none"/>
        </w:rPr>
        <w:t>、乙方及其专业人员提供服务时，应当保持公正的态度，以客观事实为依据，实事求是地进行分析和判断。</w:t>
      </w:r>
    </w:p>
    <w:p w14:paraId="79154E10">
      <w:pPr>
        <w:spacing w:line="360" w:lineRule="auto"/>
        <w:ind w:firstLine="420"/>
        <w:rPr>
          <w:rFonts w:hint="eastAsia" w:ascii="宋体" w:hAnsi="宋体" w:eastAsia="宋体" w:cs="宋体"/>
          <w:color w:val="auto"/>
          <w:sz w:val="24"/>
          <w:szCs w:val="24"/>
          <w:highlight w:val="none"/>
        </w:rPr>
      </w:pPr>
      <w:bookmarkStart w:id="55" w:name="bookmark251"/>
      <w:r>
        <w:rPr>
          <w:rFonts w:hint="eastAsia" w:ascii="宋体" w:hAnsi="宋体" w:eastAsia="宋体" w:cs="宋体"/>
          <w:color w:val="auto"/>
          <w:sz w:val="24"/>
          <w:szCs w:val="24"/>
          <w:highlight w:val="none"/>
        </w:rPr>
        <w:t>3</w:t>
      </w:r>
      <w:bookmarkEnd w:id="55"/>
      <w:r>
        <w:rPr>
          <w:rFonts w:hint="eastAsia" w:ascii="宋体" w:hAnsi="宋体" w:eastAsia="宋体" w:cs="宋体"/>
          <w:color w:val="auto"/>
          <w:sz w:val="24"/>
          <w:szCs w:val="24"/>
          <w:highlight w:val="none"/>
        </w:rPr>
        <w:t>、乙方及其专业人员提供服务时，应当与甲方进行必要沟通。</w:t>
      </w:r>
    </w:p>
    <w:p w14:paraId="71FF9101">
      <w:pPr>
        <w:spacing w:line="360" w:lineRule="auto"/>
        <w:ind w:firstLine="420"/>
        <w:rPr>
          <w:rFonts w:hint="eastAsia" w:ascii="宋体" w:hAnsi="宋体" w:eastAsia="宋体" w:cs="宋体"/>
          <w:color w:val="auto"/>
          <w:sz w:val="24"/>
          <w:szCs w:val="24"/>
          <w:highlight w:val="none"/>
        </w:rPr>
      </w:pPr>
      <w:bookmarkStart w:id="56" w:name="bookmark252"/>
      <w:r>
        <w:rPr>
          <w:rFonts w:hint="eastAsia" w:ascii="宋体" w:hAnsi="宋体" w:eastAsia="宋体" w:cs="宋体"/>
          <w:color w:val="auto"/>
          <w:sz w:val="24"/>
          <w:szCs w:val="24"/>
          <w:highlight w:val="none"/>
        </w:rPr>
        <w:t>4</w:t>
      </w:r>
      <w:bookmarkEnd w:id="56"/>
      <w:r>
        <w:rPr>
          <w:rFonts w:hint="eastAsia" w:ascii="宋体" w:hAnsi="宋体" w:eastAsia="宋体" w:cs="宋体"/>
          <w:color w:val="auto"/>
          <w:sz w:val="24"/>
          <w:szCs w:val="24"/>
          <w:highlight w:val="none"/>
        </w:rPr>
        <w:t>、乙方及其专业人员应当遵守保密原则，对服务过程中知悉的国家秘密、商业秘密和个人隐予以保密，不得在保密期限内向甲方以外的第三方提供保密信息，除非得到甲方的同意或者属于法律、行政法规允许的范围。</w:t>
      </w:r>
    </w:p>
    <w:p w14:paraId="455F5B5B">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5、乙方应为其员工提供劳动保障，缴纳社会保险，依法依规安排好休息休假。如其员工发生劳动争议，均由乙方处理和承担责任，与甲方无关。</w:t>
      </w:r>
    </w:p>
    <w:p w14:paraId="07A031E9">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6、未经甲方书面同意，乙方不得转让合同债权。</w:t>
      </w:r>
    </w:p>
    <w:p w14:paraId="33886B49">
      <w:pPr>
        <w:spacing w:line="360" w:lineRule="auto"/>
        <w:ind w:firstLine="5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（三）</w:t>
      </w:r>
      <w:r>
        <w:rPr>
          <w:rFonts w:hint="eastAsia" w:ascii="宋体" w:hAnsi="宋体" w:eastAsia="宋体" w:cs="宋体"/>
          <w:b/>
          <w:color w:val="auto"/>
          <w:sz w:val="24"/>
          <w:szCs w:val="24"/>
          <w:highlight w:val="none"/>
        </w:rPr>
        <w:t>违约责任</w:t>
      </w:r>
    </w:p>
    <w:p w14:paraId="29C2B12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1、甲方违约责任及违约金支付：</w:t>
      </w:r>
    </w:p>
    <w:p w14:paraId="4F76060C">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1.1在合同生效后，甲方无正当理由要求终止服务的，应向乙方偿付合同总价款的5%，作为违约金，违约金不足以补偿损失的，乙方有权要求甲方补足。</w:t>
      </w:r>
    </w:p>
    <w:p w14:paraId="7FAAEB23">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2、乙方违约责任及违约金支付：</w:t>
      </w:r>
    </w:p>
    <w:p w14:paraId="4224849D">
      <w:pPr>
        <w:keepNext w:val="0"/>
        <w:keepLines w:val="0"/>
        <w:pageBreakBefore w:val="0"/>
        <w:widowControl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因乙方原因，乙方不能提供服务的，或服务不合格，或乙方提供的服务不符合甲方或双方约定的，则甲方有权单方面解除本合同，且乙方应向甲方偿付合同总价款5%的违约金，甲方有权从未支付的合同价款中扣除违约金，违约金不足以补偿损失的甲方有权要求乙方补足。甲方单方面解除本合同后，乙方应10天内完成与甲方或甲方指定的第三方进行交接（包括但不限于工作、资料的交接，乙方派驻人员的撤场等）。逾期一天交接，乙方需按照合同总价款的1‰支付逾期交接违约金。</w:t>
      </w:r>
    </w:p>
    <w:p w14:paraId="4999C694">
      <w:pPr>
        <w:keepNext w:val="0"/>
        <w:keepLines w:val="0"/>
        <w:pageBreakBefore w:val="0"/>
        <w:widowControl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因乙方原因，根据采购文件要求乙方逾期完成采购需求的，应与甲方和采购管理部门协商，甲方仍需求的，乙方应按合同约定时间及时提供服务且按照合同总价款的每天万分之四支付逾期违约金，甲方有权从未支付的合同价款中扣除违约金，同时承担甲方因此遭致的损失费用。</w:t>
      </w:r>
    </w:p>
    <w:p w14:paraId="3D822E73">
      <w:pPr>
        <w:pStyle w:val="2"/>
        <w:keepNext w:val="0"/>
        <w:keepLines w:val="0"/>
        <w:pageBreakBefore w:val="0"/>
        <w:widowControl w:val="0"/>
        <w:spacing w:line="560" w:lineRule="exact"/>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2.3 乙方承诺及时响应甲方工作要求，因乙方响应不及时，逾期完成甲方需求，乙方支付违约金2000元/次，如因此导致现场施工工期延误，乙方支付违约金5000元/天，以上违约金从当期进度款中扣除。</w:t>
      </w:r>
    </w:p>
    <w:p w14:paraId="368C12BA">
      <w:pPr>
        <w:keepNext w:val="0"/>
        <w:keepLines w:val="0"/>
        <w:pageBreakBefore w:val="0"/>
        <w:widowControl w:val="0"/>
        <w:spacing w:line="5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3、本项目不接受联合投标，并不得转包。一经发现，甲方有权单方面解除合同，且乙方应向甲方偿付合同总价款5%的违约金。</w:t>
      </w:r>
    </w:p>
    <w:p w14:paraId="3B66F50B">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四、不可抗力</w:t>
      </w:r>
    </w:p>
    <w:p w14:paraId="3D580348">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1、因不可抗力（或甲、乙双方不能控制的原因）不能履行合同的，根据不可抗力的影响，部分或者全部免除责任。但合同一方迟延履行后发生不可抗力的，不能免除责任。</w:t>
      </w:r>
    </w:p>
    <w:p w14:paraId="01BCB69B">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2、合同一方因不可抗力不能履行合同的，应当及时通知对方，以减轻可能给对方造成的损失，并应当在合理期限内提供证明。</w:t>
      </w:r>
    </w:p>
    <w:p w14:paraId="2D0AAEFA">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五、合同的解除和转让：</w:t>
      </w:r>
    </w:p>
    <w:p w14:paraId="1DF9E5BE">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1、甲方和乙方协商一致，可以解除合同。</w:t>
      </w:r>
    </w:p>
    <w:p w14:paraId="7CE55D13">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2、有下列情形之一，合同一方可以解除合同：</w:t>
      </w:r>
    </w:p>
    <w:p w14:paraId="2E01ABE7">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（1）因不可抗力致使不能实现合同目的，未受不可抗力影响的一方有权解除合同；</w:t>
      </w:r>
    </w:p>
    <w:p w14:paraId="5483EFFF">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（2）因合同一方违约导致合同不能履行，另一方有权解除合同。</w:t>
      </w:r>
    </w:p>
    <w:p w14:paraId="08238259">
      <w:pPr>
        <w:widowControl/>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3、有权解除合同的一方，应当在违约事实或不可抗力发生之后三十天内书面通知对方提出解除合同，合同在书面通知到达对方时解除。</w:t>
      </w:r>
    </w:p>
    <w:p w14:paraId="6859DCDF">
      <w:pPr>
        <w:tabs>
          <w:tab w:val="left" w:pos="54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六、争议解决办法</w:t>
      </w:r>
    </w:p>
    <w:p w14:paraId="268689BC">
      <w:pPr>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因本合同或与本合同有关的一切事项发生争议，由双方友好协商解决。协商不成的，任何一方均选择</w:t>
      </w:r>
      <w:r>
        <w:rPr>
          <w:rFonts w:hint="eastAsia" w:ascii="宋体" w:hAnsi="宋体" w:eastAsia="宋体" w:cs="宋体"/>
          <w:color w:val="auto"/>
          <w:sz w:val="24"/>
          <w:szCs w:val="24"/>
          <w:highlight w:val="none"/>
          <w:u w:val="single"/>
        </w:rPr>
        <w:t xml:space="preserve">   方式二  </w:t>
      </w:r>
      <w:r>
        <w:rPr>
          <w:rFonts w:hint="eastAsia" w:ascii="宋体" w:hAnsi="宋体" w:eastAsia="宋体" w:cs="宋体"/>
          <w:color w:val="auto"/>
          <w:sz w:val="24"/>
          <w:szCs w:val="24"/>
          <w:highlight w:val="none"/>
        </w:rPr>
        <w:t>解决：</w:t>
      </w:r>
    </w:p>
    <w:p w14:paraId="26532475">
      <w:pPr>
        <w:spacing w:line="360" w:lineRule="auto"/>
        <w:ind w:firstLine="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方式一：双方达成仲裁协议，向约定的仲裁委员会申请仲裁，本合同约定的仲裁委员是</w:t>
      </w:r>
      <w:r>
        <w:rPr>
          <w:rFonts w:hint="eastAsia" w:ascii="宋体" w:hAnsi="宋体" w:eastAsia="宋体" w:cs="宋体"/>
          <w:color w:val="auto"/>
          <w:sz w:val="24"/>
          <w:szCs w:val="24"/>
          <w:highlight w:val="none"/>
          <w:u w:val="single"/>
        </w:rPr>
        <w:t xml:space="preserve"> 合同履行地仲裁机构 </w:t>
      </w:r>
      <w:r>
        <w:rPr>
          <w:rFonts w:hint="eastAsia" w:ascii="宋体" w:hAnsi="宋体" w:eastAsia="宋体" w:cs="宋体"/>
          <w:color w:val="auto"/>
          <w:sz w:val="24"/>
          <w:szCs w:val="24"/>
          <w:highlight w:val="none"/>
        </w:rPr>
        <w:t>；</w:t>
      </w:r>
    </w:p>
    <w:p w14:paraId="407B476D">
      <w:pPr>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方式二：向甲方所在地的人民法院起诉。</w:t>
      </w:r>
    </w:p>
    <w:p w14:paraId="12AE2577">
      <w:pPr>
        <w:tabs>
          <w:tab w:val="left" w:pos="54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七、合同生效及其他</w:t>
      </w:r>
    </w:p>
    <w:p w14:paraId="2DCC46E9">
      <w:pPr>
        <w:tabs>
          <w:tab w:val="left" w:pos="540"/>
        </w:tabs>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1、本合同经双方法定（授权）代表人签字（或盖章）并盖单位公章（合同章）后生效。</w:t>
      </w:r>
    </w:p>
    <w:p w14:paraId="0FC20E07">
      <w:pPr>
        <w:tabs>
          <w:tab w:val="left" w:pos="540"/>
        </w:tabs>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2、合同在执行过程中出现的未尽事宜，双方在不违背本合同和采购文件的原则下协商解决，协商结果以书面形式盖章记录在案，作为本合同的附件，与本合同具有同等效力。</w:t>
      </w:r>
    </w:p>
    <w:p w14:paraId="7A53DB61">
      <w:pPr>
        <w:tabs>
          <w:tab w:val="left" w:pos="54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八、未尽事宜</w:t>
      </w:r>
    </w:p>
    <w:p w14:paraId="27A06F4D">
      <w:pPr>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未尽事宜应按照《中华人民共和国民法典》等相关法律法规之规定解释。</w:t>
      </w:r>
    </w:p>
    <w:p w14:paraId="7680928A">
      <w:pPr>
        <w:tabs>
          <w:tab w:val="left" w:pos="54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九、附则</w:t>
      </w:r>
    </w:p>
    <w:p w14:paraId="5E24F6D5">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伍</w:t>
      </w:r>
      <w:r>
        <w:rPr>
          <w:rFonts w:hint="eastAsia" w:ascii="宋体" w:hAnsi="宋体" w:eastAsia="宋体" w:cs="宋体"/>
          <w:color w:val="auto"/>
          <w:sz w:val="24"/>
          <w:szCs w:val="24"/>
          <w:highlight w:val="none"/>
        </w:rPr>
        <w:t>份，甲、乙方各执</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份，代理机构壹份。</w:t>
      </w:r>
    </w:p>
    <w:p w14:paraId="26C5EAAB">
      <w:pPr>
        <w:pStyle w:val="25"/>
        <w:ind w:firstLine="420"/>
        <w:rPr>
          <w:rFonts w:ascii="宋体" w:hAnsi="宋体" w:eastAsia="宋体" w:cs="宋体"/>
          <w:color w:val="auto"/>
          <w:sz w:val="24"/>
          <w:szCs w:val="24"/>
          <w:highlight w:val="none"/>
        </w:rPr>
      </w:pPr>
    </w:p>
    <w:p w14:paraId="27C1D8AA">
      <w:pPr>
        <w:spacing w:line="360" w:lineRule="auto"/>
        <w:ind w:firstLine="480"/>
        <w:rPr>
          <w:rFonts w:hint="eastAsia" w:ascii="宋体" w:hAnsi="宋体" w:eastAsia="宋体" w:cs="宋体"/>
          <w:color w:val="auto"/>
          <w:sz w:val="24"/>
          <w:szCs w:val="24"/>
          <w:highlight w:val="none"/>
        </w:rPr>
      </w:pPr>
    </w:p>
    <w:p w14:paraId="22896B6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1EF291B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         法定代表人或授权代表签字（或盖章）：</w:t>
      </w:r>
    </w:p>
    <w:p w14:paraId="47462E85">
      <w:pPr>
        <w:spacing w:line="360" w:lineRule="auto"/>
        <w:ind w:firstLine="480"/>
        <w:rPr>
          <w:rFonts w:hint="eastAsia" w:ascii="宋体" w:hAnsi="宋体" w:eastAsia="宋体" w:cs="宋体"/>
          <w:color w:val="auto"/>
          <w:sz w:val="24"/>
          <w:szCs w:val="24"/>
          <w:highlight w:val="none"/>
        </w:rPr>
      </w:pPr>
    </w:p>
    <w:p w14:paraId="5D34A37E">
      <w:pPr>
        <w:spacing w:line="360" w:lineRule="auto"/>
        <w:ind w:firstLine="480"/>
        <w:rPr>
          <w:rFonts w:hint="eastAsia" w:ascii="宋体" w:hAnsi="宋体" w:eastAsia="宋体" w:cs="宋体"/>
          <w:color w:val="auto"/>
          <w:sz w:val="24"/>
          <w:szCs w:val="24"/>
          <w:highlight w:val="none"/>
        </w:rPr>
      </w:pPr>
    </w:p>
    <w:p w14:paraId="5AFD77B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p>
    <w:p w14:paraId="119310D9">
      <w:pPr>
        <w:rPr>
          <w:rFonts w:hint="eastAsia" w:hAnsi="宋体" w:cs="宋体"/>
          <w:b/>
          <w:color w:val="auto"/>
          <w:sz w:val="24"/>
          <w:szCs w:val="24"/>
          <w:highlight w:val="none"/>
        </w:rPr>
        <w:sectPr>
          <w:headerReference r:id="rId3" w:type="default"/>
          <w:footerReference r:id="rId4" w:type="default"/>
          <w:pgSz w:w="11906" w:h="16838"/>
          <w:pgMar w:top="1440" w:right="992" w:bottom="936" w:left="1797" w:header="851" w:footer="992" w:gutter="0"/>
          <w:cols w:space="1701" w:num="1"/>
          <w:docGrid w:linePitch="360" w:charSpace="0"/>
        </w:sectPr>
      </w:pPr>
      <w:r>
        <w:rPr>
          <w:rFonts w:ascii="宋体" w:hAnsi="宋体"/>
          <w:b/>
          <w:color w:val="auto"/>
          <w:szCs w:val="21"/>
          <w:highlight w:val="none"/>
        </w:rPr>
        <w:br w:type="page" w:clear="all"/>
      </w:r>
    </w:p>
    <w:p w14:paraId="0E420592">
      <w:pPr>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第六章评标方法、评分标准</w:t>
      </w:r>
    </w:p>
    <w:p w14:paraId="10F3BDA5">
      <w:pPr>
        <w:spacing w:line="360" w:lineRule="auto"/>
        <w:ind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一、评审方法</w:t>
      </w:r>
    </w:p>
    <w:p w14:paraId="512F0D9B">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本次采用综合评分法，即在响应文件满足</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全部实质性要求且按评审因素的量化指标评审得分最高的供应商为</w:t>
      </w:r>
      <w:r>
        <w:rPr>
          <w:rFonts w:hint="eastAsia" w:hAnsi="宋体" w:cs="宋体"/>
          <w:color w:val="auto"/>
          <w:sz w:val="24"/>
          <w:highlight w:val="none"/>
          <w:lang w:val="en-US" w:eastAsia="zh-CN"/>
        </w:rPr>
        <w:t>中标（</w:t>
      </w:r>
      <w:r>
        <w:rPr>
          <w:rFonts w:hint="eastAsia" w:ascii="宋体" w:hAnsi="宋体" w:eastAsia="宋体" w:cs="宋体"/>
          <w:color w:val="auto"/>
          <w:sz w:val="24"/>
          <w:highlight w:val="none"/>
        </w:rPr>
        <w:t>成交</w:t>
      </w:r>
      <w:r>
        <w:rPr>
          <w:rFonts w:hint="eastAsia" w:hAnsi="宋体" w:cs="宋体"/>
          <w:color w:val="auto"/>
          <w:sz w:val="24"/>
          <w:highlight w:val="none"/>
          <w:lang w:val="en-US" w:eastAsia="zh-CN"/>
        </w:rPr>
        <w:t>）</w:t>
      </w:r>
      <w:r>
        <w:rPr>
          <w:rFonts w:hint="eastAsia" w:ascii="宋体" w:hAnsi="宋体" w:eastAsia="宋体" w:cs="宋体"/>
          <w:color w:val="auto"/>
          <w:sz w:val="24"/>
          <w:highlight w:val="none"/>
        </w:rPr>
        <w:t>候选供应商。</w:t>
      </w:r>
    </w:p>
    <w:p w14:paraId="0FF9EE8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小组各成员审查每份响应文件是否实质响应了采购文件的要求，未实质性响应的响应文件将被拒绝，也不进行评审。</w:t>
      </w:r>
    </w:p>
    <w:p w14:paraId="5D49AE9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小组各成员独立对每个进入打分程序的响应文件以打分的形式进行评审和评价。对评委的评分进行统计汇总时算术平均计算得分（计算结果均四舍五入保留两位小数）。</w:t>
      </w:r>
    </w:p>
    <w:p w14:paraId="1CD0571C">
      <w:pPr>
        <w:spacing w:line="360" w:lineRule="auto"/>
        <w:ind w:firstLine="480"/>
        <w:rPr>
          <w:rFonts w:hint="eastAsia" w:ascii="宋体" w:hAnsi="宋体" w:eastAsia="宋体" w:cs="宋体"/>
          <w:color w:val="auto"/>
          <w:sz w:val="24"/>
          <w:highlight w:val="none"/>
        </w:rPr>
      </w:pPr>
      <w:r>
        <w:rPr>
          <w:rFonts w:hint="eastAsia"/>
          <w:color w:val="auto"/>
          <w:sz w:val="24"/>
          <w:szCs w:val="24"/>
          <w:highlight w:val="none"/>
        </w:rPr>
        <w:t>4</w:t>
      </w:r>
      <w:r>
        <w:rPr>
          <w:rFonts w:hint="eastAsia"/>
          <w:color w:val="auto"/>
          <w:sz w:val="24"/>
          <w:szCs w:val="24"/>
          <w:highlight w:val="none"/>
          <w:lang w:val="en-US" w:eastAsia="zh-CN"/>
        </w:rPr>
        <w:t>、</w:t>
      </w:r>
      <w:r>
        <w:rPr>
          <w:rFonts w:hint="eastAsia"/>
          <w:color w:val="auto"/>
          <w:sz w:val="24"/>
          <w:szCs w:val="24"/>
          <w:highlight w:val="none"/>
        </w:rPr>
        <w:t>如出</w:t>
      </w:r>
      <w:r>
        <w:rPr>
          <w:rFonts w:hint="eastAsia" w:ascii="宋体" w:hAnsi="宋体" w:eastAsia="宋体" w:cs="宋体"/>
          <w:color w:val="auto"/>
          <w:sz w:val="24"/>
          <w:highlight w:val="none"/>
        </w:rPr>
        <w:t>现评审总得分最高的供应商有两个或两个以上的，以响应报价较低者优先作为</w:t>
      </w:r>
      <w:r>
        <w:rPr>
          <w:rFonts w:hint="eastAsia" w:hAnsi="宋体" w:cs="宋体"/>
          <w:color w:val="auto"/>
          <w:sz w:val="24"/>
          <w:highlight w:val="none"/>
          <w:lang w:val="en-US" w:eastAsia="zh-CN"/>
        </w:rPr>
        <w:t>中标（</w:t>
      </w:r>
      <w:r>
        <w:rPr>
          <w:rFonts w:hint="eastAsia" w:ascii="宋体" w:hAnsi="宋体" w:eastAsia="宋体" w:cs="宋体"/>
          <w:color w:val="auto"/>
          <w:sz w:val="24"/>
          <w:highlight w:val="none"/>
        </w:rPr>
        <w:t>成交</w:t>
      </w:r>
      <w:r>
        <w:rPr>
          <w:rFonts w:hint="eastAsia" w:hAnsi="宋体" w:cs="宋体"/>
          <w:color w:val="auto"/>
          <w:sz w:val="24"/>
          <w:highlight w:val="none"/>
          <w:lang w:val="en-US" w:eastAsia="zh-CN"/>
        </w:rPr>
        <w:t>）</w:t>
      </w:r>
      <w:r>
        <w:rPr>
          <w:rFonts w:hint="eastAsia" w:ascii="宋体" w:hAnsi="宋体" w:eastAsia="宋体" w:cs="宋体"/>
          <w:color w:val="auto"/>
          <w:sz w:val="24"/>
          <w:highlight w:val="none"/>
        </w:rPr>
        <w:t>供应商的，如果响应报价也相同的，则由采购人组织以抽签方式确定。</w:t>
      </w:r>
    </w:p>
    <w:p w14:paraId="6A8D3582">
      <w:pPr>
        <w:spacing w:line="360" w:lineRule="auto"/>
        <w:ind w:firstLine="422"/>
        <w:rPr>
          <w:rFonts w:hint="eastAsia" w:ascii="宋体" w:hAnsi="宋体" w:eastAsia="宋体" w:cs="宋体"/>
          <w:b/>
          <w:bCs/>
          <w:color w:val="auto"/>
          <w:sz w:val="24"/>
          <w:szCs w:val="24"/>
          <w:highlight w:val="none"/>
          <w:lang w:val="zh-CN" w:bidi="ar"/>
        </w:rPr>
      </w:pPr>
      <w:r>
        <w:rPr>
          <w:rFonts w:hint="eastAsia" w:ascii="宋体" w:hAnsi="宋体" w:eastAsia="宋体" w:cs="宋体"/>
          <w:b/>
          <w:bCs/>
          <w:color w:val="auto"/>
          <w:sz w:val="24"/>
          <w:szCs w:val="24"/>
          <w:highlight w:val="none"/>
          <w:lang w:val="zh-CN" w:bidi="ar"/>
        </w:rPr>
        <w:t>二、评分标准：</w:t>
      </w:r>
    </w:p>
    <w:p w14:paraId="3FE28D91">
      <w:pPr>
        <w:spacing w:line="360" w:lineRule="auto"/>
        <w:ind w:firstLine="422"/>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（一）价格分：（满分10分）</w:t>
      </w:r>
    </w:p>
    <w:p w14:paraId="187776E0">
      <w:pPr>
        <w:spacing w:line="360" w:lineRule="auto"/>
        <w:ind w:firstLine="420"/>
        <w:rPr>
          <w:rFonts w:hint="default" w:ascii="宋体" w:hAnsi="宋体" w:eastAsia="宋体" w:cs="宋体"/>
          <w:color w:val="auto"/>
          <w:sz w:val="24"/>
          <w:szCs w:val="24"/>
          <w:highlight w:val="none"/>
          <w:lang w:val="zh-CN" w:bidi="ar"/>
        </w:rPr>
      </w:pPr>
      <w:r>
        <w:rPr>
          <w:rFonts w:hint="eastAsia" w:ascii="宋体" w:hAnsi="宋体" w:eastAsia="宋体" w:cs="宋体"/>
          <w:color w:val="auto"/>
          <w:sz w:val="24"/>
          <w:szCs w:val="24"/>
          <w:highlight w:val="none"/>
          <w:lang w:val="zh-CN" w:bidi="ar"/>
        </w:rPr>
        <w:t>1、</w:t>
      </w:r>
      <w:r>
        <w:rPr>
          <w:rFonts w:hint="eastAsia" w:hAnsi="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val="zh-CN" w:bidi="ar"/>
        </w:rPr>
        <w:t>报价不超过最高单价限价的，为有效</w:t>
      </w:r>
      <w:r>
        <w:rPr>
          <w:rFonts w:hint="eastAsia" w:hAnsi="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val="zh-CN" w:bidi="ar"/>
        </w:rPr>
        <w:t>报价。超出此范围的</w:t>
      </w:r>
      <w:r>
        <w:rPr>
          <w:rFonts w:hint="eastAsia" w:hAnsi="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val="zh-CN" w:bidi="ar"/>
        </w:rPr>
        <w:t>报价为无效报价。无效报价的</w:t>
      </w:r>
      <w:r>
        <w:rPr>
          <w:rFonts w:hint="eastAsia" w:hAnsi="宋体" w:cs="宋体"/>
          <w:color w:val="auto"/>
          <w:sz w:val="24"/>
          <w:szCs w:val="24"/>
          <w:highlight w:val="none"/>
          <w:lang w:val="en-US" w:eastAsia="zh-CN" w:bidi="ar"/>
        </w:rPr>
        <w:t>采购</w:t>
      </w:r>
      <w:r>
        <w:rPr>
          <w:rFonts w:hint="eastAsia" w:ascii="宋体" w:hAnsi="宋体" w:eastAsia="宋体" w:cs="宋体"/>
          <w:color w:val="auto"/>
          <w:sz w:val="24"/>
          <w:szCs w:val="24"/>
          <w:highlight w:val="none"/>
          <w:lang w:val="zh-CN" w:bidi="ar"/>
        </w:rPr>
        <w:t>文件不进行评审，也不得成交。</w:t>
      </w:r>
    </w:p>
    <w:p w14:paraId="1ABB2E03">
      <w:pPr>
        <w:spacing w:line="360" w:lineRule="auto"/>
        <w:ind w:firstLine="420"/>
        <w:rPr>
          <w:rFonts w:hint="default" w:ascii="宋体" w:hAnsi="宋体" w:eastAsia="宋体" w:cs="宋体"/>
          <w:color w:val="auto"/>
          <w:sz w:val="24"/>
          <w:szCs w:val="24"/>
          <w:highlight w:val="none"/>
          <w:lang w:val="zh-CN" w:bidi="ar"/>
        </w:rPr>
      </w:pPr>
      <w:r>
        <w:rPr>
          <w:rFonts w:hint="eastAsia" w:ascii="宋体" w:hAnsi="宋体" w:eastAsia="宋体" w:cs="宋体"/>
          <w:color w:val="auto"/>
          <w:sz w:val="24"/>
          <w:szCs w:val="24"/>
          <w:highlight w:val="none"/>
          <w:lang w:val="zh-CN" w:bidi="ar"/>
        </w:rPr>
        <w:t>2、价格得分计算方法：根据各响应单位通过符合性审查的有效</w:t>
      </w:r>
      <w:r>
        <w:rPr>
          <w:rFonts w:hint="eastAsia" w:hAnsi="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val="zh-CN" w:bidi="ar"/>
        </w:rPr>
        <w:t>报价中的最低价作为评审基准价。（本项目专门面向中小企业采购，不再执行价格评审优惠的扶持政策。）</w:t>
      </w:r>
    </w:p>
    <w:p w14:paraId="123F1519">
      <w:pPr>
        <w:spacing w:line="360" w:lineRule="auto"/>
        <w:ind w:firstLine="420"/>
        <w:rPr>
          <w:rFonts w:hint="default" w:ascii="宋体" w:hAnsi="宋体" w:eastAsia="宋体" w:cs="宋体"/>
          <w:color w:val="auto"/>
          <w:sz w:val="24"/>
          <w:szCs w:val="24"/>
          <w:highlight w:val="none"/>
          <w:lang w:val="zh-CN" w:bidi="ar"/>
        </w:rPr>
      </w:pPr>
      <w:r>
        <w:rPr>
          <w:rFonts w:hint="eastAsia" w:ascii="宋体" w:hAnsi="宋体" w:eastAsia="宋体" w:cs="宋体"/>
          <w:color w:val="auto"/>
          <w:sz w:val="24"/>
          <w:szCs w:val="24"/>
          <w:highlight w:val="none"/>
          <w:lang w:val="zh-CN" w:bidi="ar"/>
        </w:rPr>
        <w:t>3、其他响应单位的价格分按照下列公式计算（计算结果四舍五入保留两位小数）</w:t>
      </w:r>
    </w:p>
    <w:p w14:paraId="449E9B30">
      <w:pPr>
        <w:spacing w:line="360" w:lineRule="auto"/>
        <w:ind w:firstLine="420"/>
        <w:rPr>
          <w:rFonts w:hint="default" w:ascii="宋体" w:hAnsi="宋体" w:eastAsia="宋体" w:cs="宋体"/>
          <w:color w:val="auto"/>
          <w:sz w:val="24"/>
          <w:szCs w:val="24"/>
          <w:highlight w:val="none"/>
          <w:lang w:val="zh-CN" w:bidi="ar"/>
        </w:rPr>
      </w:pPr>
      <w:r>
        <w:rPr>
          <w:rFonts w:hint="eastAsia" w:ascii="宋体" w:hAnsi="宋体" w:eastAsia="宋体" w:cs="宋体"/>
          <w:color w:val="auto"/>
          <w:sz w:val="24"/>
          <w:szCs w:val="24"/>
          <w:highlight w:val="none"/>
          <w:lang w:val="zh-CN" w:bidi="ar"/>
        </w:rPr>
        <w:t>报价得分=(评审基准价／</w:t>
      </w:r>
      <w:r>
        <w:rPr>
          <w:rFonts w:hint="eastAsia" w:hAnsi="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val="zh-CN" w:bidi="ar"/>
        </w:rPr>
        <w:t>报价)×1</w:t>
      </w:r>
      <w:r>
        <w:rPr>
          <w:rFonts w:hint="eastAsia" w:ascii="宋体" w:hAnsi="宋体" w:eastAsia="宋体" w:cs="宋体"/>
          <w:color w:val="auto"/>
          <w:sz w:val="24"/>
          <w:szCs w:val="24"/>
          <w:highlight w:val="none"/>
          <w:lang w:val="en-US" w:eastAsia="zh-CN" w:bidi="ar"/>
        </w:rPr>
        <w:t>0</w:t>
      </w:r>
      <w:r>
        <w:rPr>
          <w:rFonts w:hint="eastAsia" w:ascii="宋体" w:hAnsi="宋体" w:eastAsia="宋体" w:cs="宋体"/>
          <w:color w:val="auto"/>
          <w:sz w:val="24"/>
          <w:szCs w:val="24"/>
          <w:highlight w:val="none"/>
          <w:lang w:val="zh-CN" w:bidi="ar"/>
        </w:rPr>
        <w:t>%×100。</w:t>
      </w:r>
    </w:p>
    <w:p w14:paraId="7FDEBB9B">
      <w:pPr>
        <w:widowControl/>
        <w:spacing w:line="360" w:lineRule="auto"/>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cs="宋体"/>
          <w:b/>
          <w:color w:val="auto"/>
          <w:sz w:val="24"/>
          <w:szCs w:val="24"/>
          <w:highlight w:val="none"/>
          <w:lang w:val="en-US" w:eastAsia="zh-CN"/>
        </w:rPr>
        <w:t>实施</w:t>
      </w:r>
      <w:r>
        <w:rPr>
          <w:rFonts w:hint="eastAsia" w:ascii="宋体" w:hAnsi="宋体" w:eastAsia="宋体" w:cs="宋体"/>
          <w:b/>
          <w:color w:val="auto"/>
          <w:sz w:val="24"/>
          <w:szCs w:val="24"/>
          <w:highlight w:val="none"/>
        </w:rPr>
        <w:t>方案比较：（</w:t>
      </w:r>
      <w:r>
        <w:rPr>
          <w:rFonts w:hint="eastAsia" w:hAnsi="宋体" w:cs="宋体"/>
          <w:b/>
          <w:color w:val="auto"/>
          <w:sz w:val="24"/>
          <w:szCs w:val="24"/>
          <w:highlight w:val="none"/>
          <w:lang w:val="en-US" w:eastAsia="zh-CN"/>
        </w:rPr>
        <w:t>40</w:t>
      </w:r>
      <w:r>
        <w:rPr>
          <w:rFonts w:hint="eastAsia" w:ascii="宋体" w:hAnsi="宋体" w:eastAsia="宋体" w:cs="宋体"/>
          <w:b/>
          <w:color w:val="auto"/>
          <w:sz w:val="24"/>
          <w:szCs w:val="24"/>
          <w:highlight w:val="none"/>
        </w:rPr>
        <w:t>分）</w:t>
      </w:r>
    </w:p>
    <w:p w14:paraId="00A74378">
      <w:pPr>
        <w:spacing w:line="360" w:lineRule="auto"/>
        <w:ind w:firstLine="48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、预防方案评审（</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6DE6B260">
      <w:pPr>
        <w:spacing w:line="360" w:lineRule="auto"/>
        <w:ind w:firstLine="48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房屋白蚁预防方案</w:t>
      </w:r>
      <w:r>
        <w:rPr>
          <w:rFonts w:hint="eastAsia" w:ascii="宋体" w:hAnsi="宋体" w:cs="宋体"/>
          <w:color w:val="auto"/>
          <w:sz w:val="24"/>
          <w:szCs w:val="24"/>
          <w:highlight w:val="none"/>
          <w:lang w:val="en-US" w:eastAsia="zh-CN"/>
        </w:rPr>
        <w:t>包括但不限于预防工作目标、工作重点、工作思路等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内容科学、合理、操作性强，能较好地匹配项目实际情况的得</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分；方案内容片面，操作性较为一般与项目实际情况匹配为一般的得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分；方案内容不科学合理，存在较大纰漏，操作性弱的得</w:t>
      </w:r>
      <w:r>
        <w:rPr>
          <w:rFonts w:hint="eastAsia" w:ascii="宋体" w:hAnsi="宋体" w:cs="宋体"/>
          <w:color w:val="auto"/>
          <w:sz w:val="24"/>
          <w:szCs w:val="24"/>
          <w:highlight w:val="none"/>
          <w:lang w:val="en-US" w:eastAsia="zh-CN"/>
        </w:rPr>
        <w:t>2分</w:t>
      </w:r>
      <w:r>
        <w:rPr>
          <w:rFonts w:hint="eastAsia" w:ascii="宋体" w:hAnsi="宋体" w:eastAsia="宋体" w:cs="宋体"/>
          <w:color w:val="auto"/>
          <w:sz w:val="24"/>
          <w:szCs w:val="24"/>
          <w:highlight w:val="none"/>
        </w:rPr>
        <w:t>；未提供不得分。</w:t>
      </w:r>
    </w:p>
    <w:p w14:paraId="13631AD7">
      <w:pPr>
        <w:spacing w:line="360" w:lineRule="auto"/>
        <w:ind w:firstLine="48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施工</w:t>
      </w:r>
      <w:r>
        <w:rPr>
          <w:rFonts w:hint="eastAsia" w:ascii="宋体" w:hAnsi="宋体" w:eastAsia="宋体" w:cs="宋体"/>
          <w:color w:val="auto"/>
          <w:sz w:val="24"/>
          <w:szCs w:val="24"/>
          <w:highlight w:val="none"/>
        </w:rPr>
        <w:t>工作计划和</w:t>
      </w:r>
      <w:r>
        <w:rPr>
          <w:rFonts w:hint="eastAsia" w:ascii="宋体" w:hAnsi="宋体" w:cs="宋体"/>
          <w:color w:val="auto"/>
          <w:sz w:val="24"/>
          <w:szCs w:val="24"/>
          <w:highlight w:val="none"/>
          <w:lang w:val="en-US" w:eastAsia="zh-CN"/>
        </w:rPr>
        <w:t>质量</w:t>
      </w:r>
      <w:r>
        <w:rPr>
          <w:rFonts w:hint="eastAsia" w:ascii="宋体" w:hAnsi="宋体" w:eastAsia="宋体" w:cs="宋体"/>
          <w:color w:val="auto"/>
          <w:sz w:val="24"/>
          <w:szCs w:val="24"/>
          <w:highlight w:val="none"/>
        </w:rPr>
        <w:t>保证措施评审（</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40CE780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房屋白蚁预防</w:t>
      </w:r>
      <w:r>
        <w:rPr>
          <w:rFonts w:hint="eastAsia" w:ascii="宋体" w:hAnsi="宋体" w:cs="宋体"/>
          <w:color w:val="auto"/>
          <w:sz w:val="24"/>
          <w:szCs w:val="24"/>
          <w:highlight w:val="none"/>
          <w:lang w:val="en-US" w:eastAsia="zh-CN"/>
        </w:rPr>
        <w:t>施工</w:t>
      </w:r>
      <w:r>
        <w:rPr>
          <w:rFonts w:hint="eastAsia" w:ascii="宋体" w:hAnsi="宋体" w:eastAsia="宋体" w:cs="宋体"/>
          <w:color w:val="auto"/>
          <w:sz w:val="24"/>
          <w:szCs w:val="24"/>
          <w:highlight w:val="none"/>
        </w:rPr>
        <w:t>工作计划和</w:t>
      </w:r>
      <w:r>
        <w:rPr>
          <w:rFonts w:hint="eastAsia" w:ascii="宋体" w:hAnsi="宋体" w:cs="宋体"/>
          <w:color w:val="auto"/>
          <w:sz w:val="24"/>
          <w:szCs w:val="24"/>
          <w:highlight w:val="none"/>
          <w:lang w:val="en-US" w:eastAsia="zh-CN"/>
        </w:rPr>
        <w:t>质量</w:t>
      </w:r>
      <w:r>
        <w:rPr>
          <w:rFonts w:hint="eastAsia" w:ascii="宋体" w:hAnsi="宋体" w:eastAsia="宋体" w:cs="宋体"/>
          <w:color w:val="auto"/>
          <w:sz w:val="24"/>
          <w:szCs w:val="24"/>
          <w:highlight w:val="none"/>
        </w:rPr>
        <w:t>保证措施方案内容周密，操作性强的得</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分；方案内容片面，操作性较为一般的得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分；方案内容不够科学合理，存在较大纰漏，操作性弱的得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分；未提供不得分。</w:t>
      </w:r>
    </w:p>
    <w:p w14:paraId="1B4CCB37">
      <w:pPr>
        <w:numPr>
          <w:ilvl w:val="0"/>
          <w:numId w:val="0"/>
        </w:numPr>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3、施工组织协调方案（10分）</w:t>
      </w:r>
    </w:p>
    <w:p w14:paraId="2BE298EF">
      <w:pPr>
        <w:spacing w:line="360" w:lineRule="auto"/>
        <w:ind w:firstLine="480"/>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针对本项目施工组织协调方案包括但不限于施工组织成员的协调、工作程序的衔接等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rPr>
        <w:t>内容科学、合理、操作性强，能较好地匹配项目实际情况的得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分；方案内容片面，操作性较为一般与项目实际情况匹配为一般的得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分；方案内容不科学合理，存在较大纰漏，操作性弱的得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分；未提供不得分。</w:t>
      </w:r>
    </w:p>
    <w:p w14:paraId="36ABC18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安全保障</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10分</w:t>
      </w:r>
      <w:r>
        <w:rPr>
          <w:rFonts w:hint="eastAsia" w:ascii="宋体" w:hAnsi="宋体" w:eastAsia="宋体" w:cs="宋体"/>
          <w:color w:val="auto"/>
          <w:sz w:val="24"/>
          <w:szCs w:val="24"/>
          <w:highlight w:val="none"/>
        </w:rPr>
        <w:t>）</w:t>
      </w:r>
    </w:p>
    <w:p w14:paraId="4EF444BA">
      <w:pPr>
        <w:spacing w:line="360" w:lineRule="auto"/>
        <w:ind w:firstLine="48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根据响应单位提供的安全保障</w:t>
      </w:r>
      <w:r>
        <w:rPr>
          <w:rFonts w:hint="eastAsia" w:ascii="宋体" w:hAnsi="宋体" w:eastAsia="宋体" w:cs="宋体"/>
          <w:color w:val="auto"/>
          <w:sz w:val="24"/>
          <w:szCs w:val="24"/>
          <w:highlight w:val="none"/>
          <w:lang w:val="en-US" w:eastAsia="zh-CN"/>
        </w:rPr>
        <w:t>方案包括但不限于</w:t>
      </w:r>
      <w:r>
        <w:rPr>
          <w:rFonts w:hint="eastAsia" w:ascii="宋体" w:hAnsi="宋体" w:eastAsia="宋体" w:cs="宋体"/>
          <w:color w:val="auto"/>
          <w:sz w:val="24"/>
          <w:szCs w:val="24"/>
          <w:highlight w:val="none"/>
        </w:rPr>
        <w:t>安全生产制度</w:t>
      </w:r>
      <w:r>
        <w:rPr>
          <w:rFonts w:hint="eastAsia" w:ascii="宋体" w:hAnsi="宋体" w:eastAsia="宋体" w:cs="宋体"/>
          <w:color w:val="auto"/>
          <w:sz w:val="24"/>
          <w:szCs w:val="24"/>
          <w:highlight w:val="none"/>
          <w:lang w:val="en-US" w:eastAsia="zh-CN"/>
        </w:rPr>
        <w:t>等进行评审</w:t>
      </w:r>
      <w:r>
        <w:rPr>
          <w:rFonts w:hint="eastAsia" w:ascii="宋体" w:hAnsi="宋体" w:eastAsia="宋体" w:cs="宋体"/>
          <w:color w:val="auto"/>
          <w:sz w:val="24"/>
          <w:szCs w:val="24"/>
          <w:highlight w:val="none"/>
        </w:rPr>
        <w:t>，方案内容完整，合理，能够控制风险、保障安全生产，可操作性强的得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分；方案内容</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完整，较合理，操作性较强的得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分；方案简单，操作性一般的得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分；未提供不得分。 </w:t>
      </w:r>
    </w:p>
    <w:p w14:paraId="617E824C">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三</w:t>
      </w:r>
      <w:r>
        <w:rPr>
          <w:rFonts w:hint="eastAsia" w:ascii="宋体" w:hAnsi="宋体" w:eastAsia="宋体" w:cs="宋体"/>
          <w:b/>
          <w:color w:val="auto"/>
          <w:sz w:val="24"/>
          <w:szCs w:val="24"/>
          <w:highlight w:val="none"/>
        </w:rPr>
        <w:t>）内部管理制度</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进退场交接及档案资料管理方案</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分）</w:t>
      </w:r>
    </w:p>
    <w:p w14:paraId="2F3C7A9E">
      <w:pPr>
        <w:spacing w:line="360" w:lineRule="auto"/>
        <w:ind w:firstLine="480"/>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、内部管理制度（</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5568DD8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根据响应单位为本项目建立运行管理制度和操作规程的情况综合比较打分，方案内容详尽、科学合理，可操作性强的得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分；方案内容完整，较合理，操作性较强的得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分；方案简单，操作性一般的得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分；未提供不得分。</w:t>
      </w:r>
    </w:p>
    <w:p w14:paraId="36CAD1F0">
      <w:pPr>
        <w:spacing w:line="360" w:lineRule="auto"/>
        <w:ind w:firstLine="48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进</w:t>
      </w:r>
      <w:r>
        <w:rPr>
          <w:rFonts w:hint="eastAsia" w:ascii="宋体" w:hAnsi="宋体" w:eastAsia="宋体" w:cs="宋体"/>
          <w:color w:val="auto"/>
          <w:sz w:val="24"/>
          <w:szCs w:val="24"/>
          <w:highlight w:val="none"/>
          <w:lang w:val="en-US" w:eastAsia="zh-CN"/>
        </w:rPr>
        <w:t>退场交接方案（</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49203DD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根据响应单位提供的</w:t>
      </w:r>
      <w:r>
        <w:rPr>
          <w:rFonts w:hint="eastAsia" w:ascii="宋体" w:hAnsi="宋体" w:cs="宋体"/>
          <w:color w:val="auto"/>
          <w:sz w:val="24"/>
          <w:szCs w:val="24"/>
          <w:highlight w:val="none"/>
          <w:lang w:val="en-US" w:eastAsia="zh-CN"/>
        </w:rPr>
        <w:t>进</w:t>
      </w:r>
      <w:r>
        <w:rPr>
          <w:rFonts w:hint="eastAsia" w:ascii="宋体" w:hAnsi="宋体" w:eastAsia="宋体" w:cs="宋体"/>
          <w:color w:val="auto"/>
          <w:sz w:val="24"/>
          <w:szCs w:val="24"/>
          <w:highlight w:val="none"/>
          <w:lang w:val="en-US" w:eastAsia="zh-CN"/>
        </w:rPr>
        <w:t>退场交接方案</w:t>
      </w:r>
      <w:r>
        <w:rPr>
          <w:rFonts w:hint="eastAsia" w:ascii="宋体" w:hAnsi="宋体" w:eastAsia="宋体" w:cs="宋体"/>
          <w:color w:val="auto"/>
          <w:sz w:val="24"/>
          <w:szCs w:val="24"/>
          <w:highlight w:val="none"/>
        </w:rPr>
        <w:t>比较,包含</w:t>
      </w:r>
      <w:r>
        <w:rPr>
          <w:rFonts w:hint="eastAsia" w:ascii="宋体" w:hAnsi="宋体" w:cs="宋体"/>
          <w:color w:val="auto"/>
          <w:sz w:val="24"/>
          <w:szCs w:val="24"/>
          <w:highlight w:val="none"/>
          <w:lang w:val="en-US" w:eastAsia="zh-CN"/>
        </w:rPr>
        <w:t>进场前与采购单位的交接工作及准备工作、</w:t>
      </w:r>
      <w:r>
        <w:rPr>
          <w:rFonts w:hint="eastAsia" w:ascii="宋体" w:hAnsi="宋体" w:eastAsia="宋体" w:cs="宋体"/>
          <w:color w:val="auto"/>
          <w:sz w:val="24"/>
          <w:szCs w:val="24"/>
          <w:highlight w:val="none"/>
        </w:rPr>
        <w:t>服务过程中的影像资料</w:t>
      </w:r>
      <w:r>
        <w:rPr>
          <w:rFonts w:hint="eastAsia" w:ascii="宋体" w:hAnsi="宋体" w:eastAsia="宋体" w:cs="宋体"/>
          <w:color w:val="auto"/>
          <w:sz w:val="24"/>
          <w:szCs w:val="24"/>
          <w:highlight w:val="none"/>
          <w:lang w:val="en-US" w:eastAsia="zh-CN"/>
        </w:rPr>
        <w:t>交接、定期</w:t>
      </w:r>
      <w:r>
        <w:rPr>
          <w:rFonts w:hint="eastAsia" w:ascii="宋体" w:hAnsi="宋体" w:eastAsia="宋体" w:cs="宋体"/>
          <w:color w:val="auto"/>
          <w:sz w:val="24"/>
          <w:szCs w:val="24"/>
          <w:highlight w:val="none"/>
        </w:rPr>
        <w:t>形成相应的统计表</w:t>
      </w:r>
      <w:r>
        <w:rPr>
          <w:rFonts w:hint="eastAsia" w:ascii="宋体" w:hAnsi="宋体" w:eastAsia="宋体" w:cs="宋体"/>
          <w:color w:val="auto"/>
          <w:sz w:val="24"/>
          <w:szCs w:val="24"/>
          <w:highlight w:val="none"/>
          <w:lang w:val="en-US" w:eastAsia="zh-CN"/>
        </w:rPr>
        <w:t>交接、施工过程所产生的重要数据的交接等</w:t>
      </w:r>
      <w:r>
        <w:rPr>
          <w:rFonts w:hint="eastAsia" w:ascii="宋体" w:hAnsi="宋体" w:eastAsia="宋体" w:cs="宋体"/>
          <w:color w:val="auto"/>
          <w:sz w:val="24"/>
          <w:szCs w:val="24"/>
          <w:highlight w:val="none"/>
        </w:rPr>
        <w:t>。方案内容详尽、科学合理，可操作性强的得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分；方案内容完整，较合理，操作性较强的得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分；方案简单，操作性一般的得1分；未提供不得分。</w:t>
      </w:r>
    </w:p>
    <w:p w14:paraId="34459CFA">
      <w:pPr>
        <w:numPr>
          <w:ilvl w:val="0"/>
          <w:numId w:val="0"/>
        </w:numPr>
        <w:spacing w:line="360" w:lineRule="auto"/>
        <w:ind w:left="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、档案资料管理方案（6分）</w:t>
      </w:r>
    </w:p>
    <w:p w14:paraId="6D385EE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根据响应单位提供的</w:t>
      </w:r>
      <w:r>
        <w:rPr>
          <w:rFonts w:hint="eastAsia" w:ascii="宋体" w:hAnsi="宋体" w:eastAsia="宋体" w:cs="宋体"/>
          <w:color w:val="auto"/>
          <w:sz w:val="24"/>
          <w:szCs w:val="24"/>
          <w:highlight w:val="none"/>
          <w:lang w:val="en-US" w:eastAsia="zh-CN"/>
        </w:rPr>
        <w:t>档案资料管理方案</w:t>
      </w:r>
      <w:r>
        <w:rPr>
          <w:rFonts w:hint="eastAsia" w:ascii="宋体" w:hAnsi="宋体" w:eastAsia="宋体" w:cs="宋体"/>
          <w:color w:val="auto"/>
          <w:sz w:val="24"/>
          <w:szCs w:val="24"/>
          <w:highlight w:val="none"/>
        </w:rPr>
        <w:t>比较,包含服务过程中的影像资料</w:t>
      </w:r>
      <w:r>
        <w:rPr>
          <w:rFonts w:hint="eastAsia" w:ascii="宋体" w:hAnsi="宋体" w:eastAsia="宋体" w:cs="宋体"/>
          <w:color w:val="auto"/>
          <w:sz w:val="24"/>
          <w:szCs w:val="24"/>
          <w:highlight w:val="none"/>
          <w:lang w:val="en-US" w:eastAsia="zh-CN"/>
        </w:rPr>
        <w:t>保存、定期</w:t>
      </w:r>
      <w:r>
        <w:rPr>
          <w:rFonts w:hint="eastAsia" w:ascii="宋体" w:hAnsi="宋体" w:eastAsia="宋体" w:cs="宋体"/>
          <w:color w:val="auto"/>
          <w:sz w:val="24"/>
          <w:szCs w:val="24"/>
          <w:highlight w:val="none"/>
        </w:rPr>
        <w:t>形成相应的统计表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施工过程所产生的重要数据等的保存管理</w:t>
      </w:r>
      <w:r>
        <w:rPr>
          <w:rFonts w:hint="eastAsia" w:ascii="宋体" w:hAnsi="宋体" w:eastAsia="宋体" w:cs="宋体"/>
          <w:color w:val="auto"/>
          <w:sz w:val="24"/>
          <w:szCs w:val="24"/>
          <w:highlight w:val="none"/>
        </w:rPr>
        <w:t>。方案内容详尽、科学合理，可操作性强的得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分；方案内容完整，较合理，操作性较强的得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分；方案简单，操作性一般的得1分；未提供不得分。</w:t>
      </w:r>
    </w:p>
    <w:p w14:paraId="0324247B">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应急性保障</w:t>
      </w:r>
      <w:r>
        <w:rPr>
          <w:rFonts w:hint="eastAsia" w:ascii="宋体" w:hAnsi="宋体" w:cs="宋体"/>
          <w:b/>
          <w:bCs/>
          <w:color w:val="auto"/>
          <w:sz w:val="24"/>
          <w:szCs w:val="24"/>
          <w:highlight w:val="none"/>
          <w:lang w:val="en-US" w:eastAsia="zh-CN"/>
        </w:rPr>
        <w:t>及售后服务方案（</w:t>
      </w:r>
      <w:r>
        <w:rPr>
          <w:rFonts w:hint="eastAsia" w:hAnsi="宋体" w:cs="宋体"/>
          <w:b/>
          <w:bCs/>
          <w:color w:val="auto"/>
          <w:sz w:val="24"/>
          <w:szCs w:val="24"/>
          <w:highlight w:val="none"/>
          <w:lang w:val="en-US" w:eastAsia="zh-CN"/>
        </w:rPr>
        <w:t>6</w:t>
      </w:r>
      <w:r>
        <w:rPr>
          <w:rFonts w:hint="eastAsia" w:ascii="宋体" w:hAnsi="宋体" w:cs="宋体"/>
          <w:b/>
          <w:bCs/>
          <w:color w:val="auto"/>
          <w:sz w:val="24"/>
          <w:szCs w:val="24"/>
          <w:highlight w:val="none"/>
          <w:lang w:val="en-US" w:eastAsia="zh-CN"/>
        </w:rPr>
        <w:t>分）</w:t>
      </w:r>
    </w:p>
    <w:p w14:paraId="54124BC5">
      <w:pPr>
        <w:spacing w:line="360" w:lineRule="auto"/>
        <w:ind w:firstLine="480"/>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应急性保障方案</w:t>
      </w:r>
      <w:r>
        <w:rPr>
          <w:rFonts w:hint="eastAsia" w:hAnsi="宋体" w:cs="宋体"/>
          <w:color w:val="auto"/>
          <w:sz w:val="24"/>
          <w:szCs w:val="24"/>
          <w:highlight w:val="none"/>
          <w:lang w:val="en-US" w:eastAsia="zh-CN"/>
        </w:rPr>
        <w:t>及</w:t>
      </w:r>
      <w:r>
        <w:rPr>
          <w:rFonts w:hint="eastAsia" w:ascii="宋体" w:hAnsi="宋体" w:cs="宋体"/>
          <w:color w:val="auto"/>
          <w:sz w:val="24"/>
          <w:szCs w:val="24"/>
          <w:highlight w:val="none"/>
          <w:lang w:val="en-US" w:eastAsia="zh-CN"/>
        </w:rPr>
        <w:t>售后服务方案</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09118F9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根据响应单位提供的应急性保障</w:t>
      </w:r>
      <w:r>
        <w:rPr>
          <w:rFonts w:hint="eastAsia" w:hAnsi="宋体" w:cs="宋体"/>
          <w:color w:val="auto"/>
          <w:sz w:val="24"/>
          <w:szCs w:val="24"/>
          <w:highlight w:val="none"/>
          <w:lang w:val="en-US" w:eastAsia="zh-CN"/>
        </w:rPr>
        <w:t>及</w:t>
      </w:r>
      <w:r>
        <w:rPr>
          <w:rFonts w:hint="eastAsia" w:ascii="宋体" w:hAnsi="宋体" w:cs="宋体"/>
          <w:color w:val="auto"/>
          <w:sz w:val="24"/>
          <w:szCs w:val="24"/>
          <w:highlight w:val="none"/>
          <w:lang w:val="en-US" w:eastAsia="zh-CN"/>
        </w:rPr>
        <w:t>售后服务方案</w:t>
      </w:r>
      <w:r>
        <w:rPr>
          <w:rFonts w:hint="eastAsia" w:ascii="宋体" w:hAnsi="宋体" w:eastAsia="宋体" w:cs="宋体"/>
          <w:color w:val="auto"/>
          <w:sz w:val="24"/>
          <w:szCs w:val="24"/>
          <w:highlight w:val="none"/>
        </w:rPr>
        <w:t>方案比较,包含可能发生的应急风险分析及各项应对措施，应急事件处理流程等</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售后</w:t>
      </w:r>
      <w:r>
        <w:rPr>
          <w:rFonts w:hint="eastAsia" w:ascii="宋体" w:hAnsi="宋体" w:cs="宋体"/>
          <w:color w:val="auto"/>
          <w:sz w:val="24"/>
          <w:szCs w:val="24"/>
          <w:highlight w:val="none"/>
          <w:lang w:val="en-US" w:eastAsia="zh-CN"/>
        </w:rPr>
        <w:t>不限于</w:t>
      </w:r>
      <w:r>
        <w:rPr>
          <w:rFonts w:hint="eastAsia" w:ascii="宋体" w:hAnsi="宋体" w:eastAsia="宋体" w:cs="宋体"/>
          <w:color w:val="auto"/>
          <w:sz w:val="24"/>
          <w:szCs w:val="24"/>
          <w:highlight w:val="none"/>
          <w:lang w:val="en-US" w:eastAsia="zh-CN"/>
        </w:rPr>
        <w:t>后期保障</w:t>
      </w:r>
      <w:r>
        <w:rPr>
          <w:rFonts w:hint="eastAsia" w:ascii="宋体" w:hAnsi="宋体" w:eastAsia="宋体" w:cs="宋体"/>
          <w:color w:val="auto"/>
          <w:sz w:val="24"/>
          <w:szCs w:val="24"/>
          <w:highlight w:val="none"/>
        </w:rPr>
        <w:t>承诺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售后服务响应时间</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。方案内容详尽、科学合理，可操作性强的得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分；方案内容完整，较合理，操作性较强的得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分；方案简单，操作性一般的得</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分；未提供不得分。</w:t>
      </w:r>
    </w:p>
    <w:p w14:paraId="00B3BA48">
      <w:pPr>
        <w:spacing w:line="360" w:lineRule="auto"/>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val="en-US" w:eastAsia="zh-CN"/>
        </w:rPr>
        <w:t>五</w:t>
      </w:r>
      <w:r>
        <w:rPr>
          <w:rFonts w:hint="eastAsia" w:ascii="宋体" w:hAnsi="宋体" w:eastAsia="宋体" w:cs="宋体"/>
          <w:b/>
          <w:color w:val="auto"/>
          <w:sz w:val="24"/>
          <w:szCs w:val="24"/>
          <w:highlight w:val="none"/>
        </w:rPr>
        <w:t>）拟投入本项目</w:t>
      </w:r>
      <w:r>
        <w:rPr>
          <w:rFonts w:hint="eastAsia" w:ascii="宋体" w:hAnsi="宋体" w:cs="宋体"/>
          <w:b/>
          <w:color w:val="auto"/>
          <w:sz w:val="24"/>
          <w:szCs w:val="24"/>
          <w:highlight w:val="none"/>
          <w:lang w:val="en-US" w:eastAsia="zh-CN"/>
        </w:rPr>
        <w:t>人员</w:t>
      </w: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val="en-US" w:eastAsia="zh-CN"/>
        </w:rPr>
        <w:t>16</w:t>
      </w:r>
      <w:r>
        <w:rPr>
          <w:rFonts w:hint="eastAsia" w:ascii="宋体" w:hAnsi="宋体" w:eastAsia="宋体" w:cs="宋体"/>
          <w:b/>
          <w:color w:val="auto"/>
          <w:sz w:val="24"/>
          <w:szCs w:val="24"/>
          <w:highlight w:val="none"/>
        </w:rPr>
        <w:t>分）</w:t>
      </w:r>
    </w:p>
    <w:p w14:paraId="421CD786">
      <w:pPr>
        <w:spacing w:line="360" w:lineRule="auto"/>
        <w:ind w:firstLine="48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1、投入的</w:t>
      </w:r>
      <w:r>
        <w:rPr>
          <w:rFonts w:hint="eastAsia" w:hAnsi="宋体" w:cs="宋体"/>
          <w:color w:val="auto"/>
          <w:sz w:val="24"/>
          <w:szCs w:val="24"/>
          <w:highlight w:val="none"/>
          <w:lang w:val="en-US" w:eastAsia="zh-CN"/>
        </w:rPr>
        <w:t>本</w:t>
      </w:r>
      <w:r>
        <w:rPr>
          <w:rFonts w:hint="eastAsia" w:ascii="宋体" w:hAnsi="宋体" w:eastAsia="宋体" w:cs="宋体"/>
          <w:color w:val="auto"/>
          <w:sz w:val="24"/>
          <w:szCs w:val="24"/>
          <w:highlight w:val="none"/>
        </w:rPr>
        <w:t>项目负责人具有白蚁防治工高级及以上或有害生物防制员高级技能证书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每提供一个</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分；本项最高得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10B933B4">
      <w:pPr>
        <w:spacing w:line="360" w:lineRule="auto"/>
        <w:ind w:firstLine="48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2、投入该项目的带队</w:t>
      </w:r>
      <w:r>
        <w:rPr>
          <w:rFonts w:hint="eastAsia" w:hAnsi="宋体" w:cs="宋体"/>
          <w:color w:val="auto"/>
          <w:sz w:val="24"/>
          <w:szCs w:val="24"/>
          <w:highlight w:val="none"/>
          <w:lang w:val="en-US" w:eastAsia="zh-CN"/>
        </w:rPr>
        <w:t>的</w:t>
      </w:r>
      <w:r>
        <w:rPr>
          <w:rFonts w:hint="eastAsia" w:ascii="宋体" w:hAnsi="宋体" w:eastAsia="宋体" w:cs="宋体"/>
          <w:color w:val="auto"/>
          <w:sz w:val="24"/>
          <w:szCs w:val="24"/>
          <w:highlight w:val="none"/>
        </w:rPr>
        <w:t>技术人员</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rPr>
        <w:t>白蚁防治工高级及以上或有害生物防制员高级技能证书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每提供一个</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分；本项最高得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35AF8B84">
      <w:pPr>
        <w:spacing w:line="360" w:lineRule="auto"/>
        <w:ind w:firstLine="482"/>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注：以上</w:t>
      </w:r>
      <w:r>
        <w:rPr>
          <w:rFonts w:hint="eastAsia" w:ascii="宋体" w:hAnsi="宋体" w:cs="宋体"/>
          <w:b/>
          <w:bCs/>
          <w:color w:val="auto"/>
          <w:sz w:val="24"/>
          <w:szCs w:val="24"/>
          <w:highlight w:val="none"/>
          <w:lang w:val="en-US" w:eastAsia="zh-CN"/>
        </w:rPr>
        <w:t>1、2项</w:t>
      </w:r>
      <w:r>
        <w:rPr>
          <w:rFonts w:hint="eastAsia" w:ascii="宋体" w:hAnsi="宋体" w:eastAsia="宋体" w:cs="宋体"/>
          <w:b/>
          <w:bCs/>
          <w:color w:val="auto"/>
          <w:sz w:val="24"/>
          <w:szCs w:val="24"/>
          <w:highlight w:val="none"/>
        </w:rPr>
        <w:t>人员要求提供响应截止时间前响应单位为其缴纳任意一个月的社保证明和相关证书或网上发文完整截图复印件或扫描件，未提供不得分。</w:t>
      </w:r>
    </w:p>
    <w:p w14:paraId="04DC28CD">
      <w:pPr>
        <w:spacing w:line="360" w:lineRule="auto"/>
        <w:rPr>
          <w:rFonts w:hint="default"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val="en-US" w:eastAsia="zh-CN"/>
        </w:rPr>
        <w:t>六</w:t>
      </w:r>
      <w:r>
        <w:rPr>
          <w:rFonts w:hint="eastAsia" w:ascii="宋体" w:hAnsi="宋体" w:eastAsia="宋体" w:cs="宋体"/>
          <w:b/>
          <w:color w:val="auto"/>
          <w:sz w:val="24"/>
          <w:szCs w:val="24"/>
          <w:highlight w:val="none"/>
        </w:rPr>
        <w:t>）供应商业绩比较：（</w:t>
      </w:r>
      <w:r>
        <w:rPr>
          <w:rFonts w:hint="eastAsia" w:ascii="宋体" w:hAnsi="宋体" w:cs="宋体"/>
          <w:b/>
          <w:color w:val="auto"/>
          <w:sz w:val="24"/>
          <w:szCs w:val="24"/>
          <w:highlight w:val="none"/>
          <w:lang w:val="en-US" w:eastAsia="zh-CN"/>
        </w:rPr>
        <w:t>10</w:t>
      </w:r>
      <w:r>
        <w:rPr>
          <w:rFonts w:hint="eastAsia" w:ascii="宋体" w:hAnsi="宋体" w:eastAsia="宋体" w:cs="宋体"/>
          <w:b/>
          <w:color w:val="auto"/>
          <w:sz w:val="24"/>
          <w:szCs w:val="24"/>
          <w:highlight w:val="none"/>
        </w:rPr>
        <w:t>分）</w:t>
      </w:r>
    </w:p>
    <w:p w14:paraId="0BB68EDA">
      <w:pPr>
        <w:spacing w:line="360" w:lineRule="auto"/>
        <w:ind w:firstLine="480"/>
        <w:rPr>
          <w:rFonts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rPr>
        <w:t>响应单位提供自202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年1月1日起至今</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以合同签订时间为准</w:t>
      </w: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完成过的</w:t>
      </w:r>
      <w:r>
        <w:rPr>
          <w:rFonts w:hint="eastAsia" w:hAnsi="宋体" w:cs="宋体"/>
          <w:color w:val="auto"/>
          <w:sz w:val="24"/>
          <w:szCs w:val="24"/>
          <w:highlight w:val="none"/>
          <w:lang w:val="en-US" w:eastAsia="zh-CN"/>
        </w:rPr>
        <w:t>类似相</w:t>
      </w:r>
      <w:r>
        <w:rPr>
          <w:rFonts w:hint="eastAsia" w:ascii="宋体" w:hAnsi="宋体" w:eastAsia="宋体" w:cs="宋体"/>
          <w:color w:val="auto"/>
          <w:sz w:val="24"/>
          <w:szCs w:val="24"/>
          <w:highlight w:val="none"/>
        </w:rPr>
        <w:t>关业绩，每提供一份相应</w:t>
      </w:r>
      <w:r>
        <w:rPr>
          <w:rFonts w:hint="eastAsia" w:ascii="宋体" w:hAnsi="宋体" w:cs="宋体"/>
          <w:color w:val="auto"/>
          <w:sz w:val="24"/>
          <w:szCs w:val="24"/>
          <w:highlight w:val="none"/>
          <w:lang w:val="en-US" w:eastAsia="zh-CN"/>
        </w:rPr>
        <w:t>加盖公章的</w:t>
      </w:r>
      <w:r>
        <w:rPr>
          <w:rFonts w:hint="eastAsia" w:ascii="宋体" w:hAnsi="宋体" w:eastAsia="宋体" w:cs="宋体"/>
          <w:color w:val="auto"/>
          <w:sz w:val="24"/>
          <w:szCs w:val="24"/>
          <w:highlight w:val="none"/>
        </w:rPr>
        <w:t>合同扫描件</w:t>
      </w:r>
      <w:r>
        <w:rPr>
          <w:rFonts w:hint="eastAsia" w:ascii="宋体" w:hAnsi="宋体" w:cs="宋体"/>
          <w:color w:val="auto"/>
          <w:sz w:val="24"/>
          <w:szCs w:val="24"/>
          <w:highlight w:val="none"/>
          <w:lang w:val="en-US" w:eastAsia="zh-CN"/>
        </w:rPr>
        <w:t>或复印件</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分，最高1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未提供不得分。</w:t>
      </w:r>
    </w:p>
    <w:p w14:paraId="5BF4B6F1">
      <w:pPr>
        <w:rPr>
          <w:color w:val="auto"/>
          <w:sz w:val="24"/>
          <w:szCs w:val="24"/>
          <w:highlight w:val="none"/>
        </w:rPr>
      </w:pPr>
    </w:p>
    <w:p w14:paraId="282A642D">
      <w:pPr>
        <w:spacing w:line="360" w:lineRule="auto"/>
        <w:ind w:firstLine="420"/>
        <w:rPr>
          <w:rFonts w:hint="eastAsia" w:ascii="宋体" w:hAnsi="宋体" w:eastAsia="宋体" w:cs="宋体"/>
          <w:color w:val="auto"/>
          <w:sz w:val="24"/>
          <w:szCs w:val="24"/>
          <w:highlight w:val="none"/>
          <w:lang w:val="zh-CN" w:bidi="ar"/>
        </w:rPr>
      </w:pPr>
      <w:r>
        <w:rPr>
          <w:rFonts w:hint="eastAsia" w:hAnsi="宋体" w:cs="宋体"/>
          <w:color w:val="auto"/>
          <w:sz w:val="24"/>
          <w:szCs w:val="24"/>
          <w:highlight w:val="none"/>
          <w:lang w:val="zh-CN" w:bidi="ar"/>
        </w:rPr>
        <w:t>注：</w:t>
      </w:r>
      <w:r>
        <w:rPr>
          <w:rFonts w:hint="eastAsia"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zh-CN" w:bidi="ar"/>
        </w:rPr>
        <w:t>、针对评分标准中评分的每一条，</w:t>
      </w:r>
      <w:r>
        <w:rPr>
          <w:rFonts w:hint="eastAsia" w:ascii="宋体" w:hAnsi="宋体" w:eastAsia="宋体" w:cs="宋体"/>
          <w:color w:val="auto"/>
          <w:sz w:val="24"/>
          <w:szCs w:val="24"/>
          <w:highlight w:val="none"/>
          <w:lang w:bidi="ar"/>
        </w:rPr>
        <w:t>响应单位</w:t>
      </w:r>
      <w:r>
        <w:rPr>
          <w:rFonts w:hint="eastAsia" w:ascii="宋体" w:hAnsi="宋体" w:eastAsia="宋体" w:cs="宋体"/>
          <w:color w:val="auto"/>
          <w:sz w:val="24"/>
          <w:szCs w:val="24"/>
          <w:highlight w:val="none"/>
          <w:lang w:val="zh-CN" w:bidi="ar"/>
        </w:rPr>
        <w:t>均应提供相关资料并作出相应说明供评委评判，不提供相关资料的视为不具备该项得分的条件，资料须编好目录及页码并利于评委评审、查阅。</w:t>
      </w:r>
    </w:p>
    <w:p w14:paraId="79D50C5D">
      <w:pPr>
        <w:numPr>
          <w:ilvl w:val="0"/>
          <w:numId w:val="0"/>
        </w:numPr>
        <w:spacing w:line="360" w:lineRule="auto"/>
        <w:jc w:val="both"/>
        <w:rPr>
          <w:rFonts w:hint="eastAsia" w:hAnsi="宋体" w:eastAsia="宋体" w:cs="宋体"/>
          <w:color w:val="auto"/>
          <w:sz w:val="24"/>
          <w:szCs w:val="24"/>
          <w:highlight w:val="none"/>
          <w:lang w:eastAsia="zh-CN"/>
        </w:rPr>
        <w:sectPr>
          <w:pgSz w:w="11906" w:h="16838"/>
          <w:pgMar w:top="1440" w:right="992" w:bottom="936" w:left="1797" w:header="851" w:footer="992" w:gutter="0"/>
          <w:cols w:space="1701" w:num="1"/>
          <w:docGrid w:linePitch="360" w:charSpace="0"/>
        </w:sectPr>
      </w:pPr>
      <w:r>
        <w:rPr>
          <w:rFonts w:hint="eastAsia" w:ascii="宋体" w:hAnsi="宋体" w:eastAsia="宋体" w:cs="宋体"/>
          <w:color w:val="auto"/>
          <w:sz w:val="24"/>
          <w:szCs w:val="24"/>
          <w:highlight w:val="none"/>
          <w:lang w:bidi="ar"/>
        </w:rPr>
        <w:t>响应单位</w:t>
      </w:r>
      <w:r>
        <w:rPr>
          <w:rFonts w:hint="eastAsia" w:ascii="宋体" w:hAnsi="宋体" w:eastAsia="宋体" w:cs="宋体"/>
          <w:color w:val="auto"/>
          <w:sz w:val="24"/>
          <w:szCs w:val="24"/>
          <w:highlight w:val="none"/>
          <w:lang w:val="zh-CN" w:bidi="ar"/>
        </w:rPr>
        <w:t>必须保证全部投标资料的真实性，如有虚假或对招标文件所要求说明的情况故意隐瞒或虚报，将按《中华人民共和国政府采购法》第七十七条“提供虚假材料谋取中标、</w:t>
      </w:r>
      <w:r>
        <w:rPr>
          <w:rFonts w:hint="eastAsia" w:hAnsi="宋体" w:cs="宋体"/>
          <w:color w:val="auto"/>
          <w:sz w:val="24"/>
          <w:szCs w:val="24"/>
          <w:highlight w:val="none"/>
        </w:rPr>
        <w:t>（全文完</w:t>
      </w:r>
      <w:r>
        <w:rPr>
          <w:rFonts w:hint="eastAsia" w:hAnsi="宋体" w:cs="宋体"/>
          <w:color w:val="auto"/>
          <w:sz w:val="24"/>
          <w:szCs w:val="24"/>
          <w:highlight w:val="none"/>
          <w:lang w:eastAsia="zh-CN"/>
        </w:rPr>
        <w:t>）</w:t>
      </w:r>
    </w:p>
    <w:p w14:paraId="0F5820BA">
      <w:pPr>
        <w:spacing w:line="360" w:lineRule="auto"/>
        <w:jc w:val="both"/>
        <w:rPr>
          <w:rFonts w:hint="eastAsia" w:hAnsi="宋体" w:eastAsia="宋体" w:cs="宋体"/>
          <w:color w:val="auto"/>
          <w:sz w:val="24"/>
          <w:szCs w:val="24"/>
          <w:highlight w:val="none"/>
          <w:lang w:eastAsia="zh-CN"/>
        </w:rPr>
      </w:pPr>
    </w:p>
    <w:p w14:paraId="3AEB98B7">
      <w:bookmarkStart w:id="57" w:name="_GoBack"/>
      <w:bookmarkEnd w:id="57"/>
    </w:p>
    <w:sectPr>
      <w:pgSz w:w="16838" w:h="11906" w:orient="landscape"/>
      <w:pgMar w:top="1797" w:right="1440" w:bottom="992" w:left="936"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ans-serif">
    <w:altName w:val="ksdb"/>
    <w:panose1 w:val="020B0503020202020204"/>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华文新魏">
    <w:altName w:val="Impact"/>
    <w:panose1 w:val="02010800040101010101"/>
    <w:charset w:val="00"/>
    <w:family w:val="auto"/>
    <w:pitch w:val="default"/>
    <w:sig w:usb0="00000000" w:usb1="00000000" w:usb2="00000000" w:usb3="00000000" w:csb0="00000000" w:csb1="00000000"/>
  </w:font>
  <w:font w:name="华文中宋">
    <w:altName w:val="宋体"/>
    <w:panose1 w:val="02010600040101010101"/>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ksdb">
    <w:panose1 w:val="02000500000000000000"/>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2EF3D">
    <w:pPr>
      <w:pStyle w:val="22"/>
      <w:framePr w:wrap="around" w:vAnchor="text" w:hAnchor="margin" w:xAlign="center" w:y="1"/>
      <w:pBdr>
        <w:top w:val="none" w:color="000000" w:sz="0" w:space="0"/>
        <w:left w:val="none" w:color="000000" w:sz="0" w:space="0"/>
        <w:bottom w:val="none" w:color="000000" w:sz="0" w:space="0"/>
        <w:right w:val="none" w:color="000000" w:sz="0" w:space="0"/>
        <w:between w:val="none" w:color="000000" w:sz="0" w:space="0"/>
      </w:pBdr>
      <w:spacing w:after="0"/>
    </w:pPr>
    <w:r>
      <w:rPr>
        <w:rStyle w:val="27"/>
      </w:rPr>
      <w:fldChar w:fldCharType="begin"/>
    </w:r>
    <w:r>
      <w:rPr>
        <w:rStyle w:val="27"/>
      </w:rPr>
      <w:instrText xml:space="preserve"> PAGE </w:instrText>
    </w:r>
    <w:r>
      <w:rPr>
        <w:rStyle w:val="27"/>
      </w:rPr>
      <w:fldChar w:fldCharType="separate"/>
    </w:r>
    <w:r>
      <w:rPr>
        <w:rStyle w:val="27"/>
      </w:rPr>
      <w:t>- 1 -</w:t>
    </w:r>
    <w:r>
      <w:rPr>
        <w:rStyle w:val="27"/>
      </w:rPr>
      <w:fldChar w:fldCharType="end"/>
    </w:r>
  </w:p>
  <w:p w14:paraId="2CE1D3E2">
    <w:pPr>
      <w:pStyle w:val="22"/>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txbx>
                      <w:txbxContent>
                        <w:p w14:paraId="46EE2220">
                          <w:pPr>
                            <w:pStyle w:val="22"/>
                            <w:tabs>
                              <w:tab w:val="clear" w:pos="4153"/>
                              <w:tab w:val="clear" w:pos="8306"/>
                            </w:tabs>
                          </w:pPr>
                          <w:r>
                            <w:fldChar w:fldCharType="begin"/>
                          </w:r>
                          <w:r>
                            <w:instrText xml:space="preserve"> PAGE  \* MERGEFORMAT </w:instrText>
                          </w:r>
                          <w:r>
                            <w:fldChar w:fldCharType="separate"/>
                          </w:r>
                          <w:r>
                            <w:t>69</w:t>
                          </w:r>
                          <w:r>
                            <w:fldChar w:fldCharType="end"/>
                          </w:r>
                        </w:p>
                        <w:p w14:paraId="6ACB44F8"/>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0lY7tAAAAAFAQAADwAAAAAAAAABACAA&#10;AAAiAAAAZHJzL2Rvd25yZXYueG1sUEsBAhQAFAAAAAgAh07iQAg2Mu3cAQAAsAMAAA4AAAAAAAAA&#10;AQAgAAAAHwEAAGRycy9lMm9Eb2MueG1sUEsFBgAAAAAGAAYAWQEAAG0FAAAAAA==&#10;">
              <v:fill on="f" focussize="0,0"/>
              <v:stroke on="f" weight="0.5pt"/>
              <v:imagedata o:title=""/>
              <o:lock v:ext="edit" aspectratio="f"/>
              <v:textbox inset="0mm,0mm,0mm,0mm" style="mso-fit-shape-to-text:t;">
                <w:txbxContent>
                  <w:p w14:paraId="46EE2220">
                    <w:pPr>
                      <w:pStyle w:val="22"/>
                      <w:tabs>
                        <w:tab w:val="clear" w:pos="4153"/>
                        <w:tab w:val="clear" w:pos="8306"/>
                      </w:tabs>
                    </w:pPr>
                    <w:r>
                      <w:fldChar w:fldCharType="begin"/>
                    </w:r>
                    <w:r>
                      <w:instrText xml:space="preserve"> PAGE  \* MERGEFORMAT </w:instrText>
                    </w:r>
                    <w:r>
                      <w:fldChar w:fldCharType="separate"/>
                    </w:r>
                    <w:r>
                      <w:t>69</w:t>
                    </w:r>
                    <w:r>
                      <w:fldChar w:fldCharType="end"/>
                    </w:r>
                  </w:p>
                  <w:p w14:paraId="6ACB44F8"/>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6D37A">
    <w:pPr>
      <w:pStyle w:val="26"/>
      <w:tabs>
        <w:tab w:val="left" w:pos="180"/>
        <w:tab w:val="right" w:pos="8640"/>
      </w:tabs>
      <w:ind w:right="-541"/>
      <w:jc w:val="both"/>
      <w:rPr>
        <w:rFonts w:hint="eastAsia" w:ascii="华文新魏" w:hAnsi="华文中宋" w:eastAsia="宋体"/>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2"/>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pStyle w:val="8"/>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59ADCABA"/>
    <w:multiLevelType w:val="multilevel"/>
    <w:tmpl w:val="59ADCABA"/>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5E0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7"/>
    <w:qFormat/>
    <w:uiPriority w:val="0"/>
    <w:pPr>
      <w:widowControl w:val="0"/>
      <w:jc w:val="both"/>
    </w:pPr>
    <w:rPr>
      <w:rFonts w:hint="default" w:ascii="宋体" w:hAnsi="Calibri" w:eastAsia="宋体" w:cs="Times New Roman"/>
      <w:sz w:val="3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1"/>
    <w:qFormat/>
    <w:uiPriority w:val="99"/>
    <w:pPr>
      <w:spacing w:line="360" w:lineRule="auto"/>
      <w:ind w:firstLine="425"/>
    </w:pPr>
    <w:rPr>
      <w:sz w:val="20"/>
    </w:rPr>
  </w:style>
  <w:style w:type="paragraph" w:styleId="4">
    <w:name w:val="Plain Text"/>
    <w:basedOn w:val="1"/>
    <w:qFormat/>
    <w:uiPriority w:val="99"/>
    <w:rPr>
      <w:rFonts w:ascii="宋体" w:hAnsi="Courier New"/>
      <w:sz w:val="20"/>
      <w:szCs w:val="21"/>
    </w:rPr>
  </w:style>
  <w:style w:type="paragraph" w:styleId="5">
    <w:name w:val="Body Text First Indent 2"/>
    <w:basedOn w:val="3"/>
    <w:unhideWhenUsed/>
    <w:qFormat/>
    <w:uiPriority w:val="0"/>
    <w:pPr>
      <w:ind w:firstLine="420"/>
    </w:pPr>
  </w:style>
  <w:style w:type="paragraph" w:customStyle="1" w:styleId="8">
    <w:name w:val="标题 41"/>
    <w:basedOn w:val="1"/>
    <w:next w:val="1"/>
    <w:qFormat/>
    <w:uiPriority w:val="9"/>
    <w:pPr>
      <w:keepNext/>
      <w:keepLines/>
      <w:numPr>
        <w:ilvl w:val="3"/>
        <w:numId w:val="1"/>
      </w:numPr>
      <w:spacing w:before="120" w:after="120"/>
      <w:outlineLvl w:val="3"/>
    </w:pPr>
    <w:rPr>
      <w:rFonts w:ascii="宋体" w:hAnsi="Cambria"/>
      <w:b/>
      <w:bCs/>
      <w:szCs w:val="28"/>
    </w:rPr>
  </w:style>
  <w:style w:type="paragraph" w:customStyle="1" w:styleId="9">
    <w:name w:val="段"/>
    <w:next w:val="1"/>
    <w:qFormat/>
    <w:uiPriority w:val="0"/>
    <w:pPr>
      <w:ind w:firstLine="200"/>
      <w:jc w:val="both"/>
    </w:pPr>
    <w:rPr>
      <w:rFonts w:hint="default" w:ascii="宋体" w:hAnsi="Calibri" w:eastAsia="宋体" w:cs="Times New Roman"/>
      <w:sz w:val="21"/>
      <w:lang w:val="en-US" w:eastAsia="zh-CN" w:bidi="ar-SA"/>
    </w:rPr>
  </w:style>
  <w:style w:type="paragraph" w:customStyle="1" w:styleId="10">
    <w:name w:val="正文缩进1"/>
    <w:basedOn w:val="1"/>
    <w:next w:val="1"/>
    <w:qFormat/>
    <w:uiPriority w:val="0"/>
    <w:pPr>
      <w:ind w:firstLine="420"/>
      <w:jc w:val="left"/>
    </w:pPr>
    <w:rPr>
      <w:rFonts w:hAnsi="Times New Roman" w:eastAsia="楷体_GB2312"/>
      <w:sz w:val="24"/>
    </w:rPr>
  </w:style>
  <w:style w:type="paragraph" w:customStyle="1" w:styleId="11">
    <w:name w:val="纯文本3"/>
    <w:basedOn w:val="1"/>
    <w:qFormat/>
    <w:uiPriority w:val="0"/>
    <w:rPr>
      <w:rFonts w:hint="eastAsia" w:hAnsi="Courier New" w:eastAsia="楷体_GB2312"/>
      <w:sz w:val="28"/>
    </w:rPr>
  </w:style>
  <w:style w:type="character" w:customStyle="1" w:styleId="12">
    <w:name w:val="超链接1"/>
    <w:basedOn w:val="13"/>
    <w:link w:val="1"/>
    <w:qFormat/>
    <w:uiPriority w:val="0"/>
    <w:rPr>
      <w:rFonts w:hint="default" w:ascii="宋体" w:hAnsi="Calibri" w:eastAsia="宋体" w:cs="Times New Roman"/>
      <w:sz w:val="34"/>
      <w:lang w:val="en-US" w:eastAsia="zh-CN" w:bidi="ar-SA"/>
    </w:rPr>
  </w:style>
  <w:style w:type="character" w:customStyle="1" w:styleId="13">
    <w:name w:val="默认段落字体1"/>
    <w:link w:val="1"/>
    <w:semiHidden/>
    <w:qFormat/>
    <w:uiPriority w:val="0"/>
  </w:style>
  <w:style w:type="paragraph" w:customStyle="1" w:styleId="14">
    <w:name w:val="纯文本12"/>
    <w:basedOn w:val="1"/>
    <w:qFormat/>
    <w:uiPriority w:val="0"/>
    <w:rPr>
      <w:rFonts w:hAnsi="Courier New" w:eastAsia="楷体_GB2312"/>
      <w:sz w:val="28"/>
    </w:rPr>
  </w:style>
  <w:style w:type="paragraph" w:customStyle="1" w:styleId="15">
    <w:name w:val="普通(网站)1"/>
    <w:basedOn w:val="1"/>
    <w:qFormat/>
    <w:uiPriority w:val="0"/>
    <w:pPr>
      <w:widowControl/>
      <w:spacing w:before="100" w:beforeAutospacing="1" w:after="100" w:afterAutospacing="1"/>
      <w:jc w:val="left"/>
    </w:pPr>
    <w:rPr>
      <w:rFonts w:hAnsi="宋体"/>
      <w:color w:val="000000"/>
      <w:sz w:val="24"/>
    </w:rPr>
  </w:style>
  <w:style w:type="character" w:customStyle="1" w:styleId="16">
    <w:name w:val="要点1"/>
    <w:link w:val="1"/>
    <w:qFormat/>
    <w:uiPriority w:val="0"/>
    <w:rPr>
      <w:b/>
    </w:rPr>
  </w:style>
  <w:style w:type="paragraph" w:customStyle="1" w:styleId="17">
    <w:name w:val="纯文本1"/>
    <w:basedOn w:val="1"/>
    <w:qFormat/>
    <w:uiPriority w:val="0"/>
    <w:rPr>
      <w:rFonts w:hAnsi="Courier New" w:eastAsia="楷体_GB2312"/>
      <w:sz w:val="28"/>
    </w:rPr>
  </w:style>
  <w:style w:type="paragraph" w:customStyle="1" w:styleId="18">
    <w:name w:val="纯文本111"/>
    <w:basedOn w:val="1"/>
    <w:qFormat/>
    <w:uiPriority w:val="0"/>
    <w:rPr>
      <w:rFonts w:hAnsi="Courier New"/>
    </w:rPr>
  </w:style>
  <w:style w:type="paragraph" w:customStyle="1" w:styleId="19">
    <w:name w:val="Plain Text2"/>
    <w:qFormat/>
    <w:uiPriority w:val="0"/>
    <w:rPr>
      <w:rFonts w:hint="default" w:ascii="宋体" w:hAnsi="Courier New" w:eastAsia="楷体_GB2312" w:cs="Times New Roman"/>
      <w:sz w:val="26"/>
      <w:lang w:val="en-US" w:eastAsia="zh-CN" w:bidi="ar-SA"/>
    </w:rPr>
  </w:style>
  <w:style w:type="paragraph" w:customStyle="1" w:styleId="20">
    <w:name w:val="纯文本4"/>
    <w:basedOn w:val="1"/>
    <w:qFormat/>
    <w:uiPriority w:val="0"/>
    <w:rPr>
      <w:rFonts w:ascii="宋体" w:hAnsi="Courier New" w:eastAsia="楷体_GB2312" w:cs="Times New Roman"/>
      <w:sz w:val="26"/>
      <w:szCs w:val="20"/>
    </w:rPr>
  </w:style>
  <w:style w:type="paragraph" w:customStyle="1" w:styleId="21">
    <w:name w:val="批注框文本1"/>
    <w:basedOn w:val="1"/>
    <w:qFormat/>
    <w:uiPriority w:val="0"/>
    <w:rPr>
      <w:rFonts w:ascii="Times New Roman" w:hAnsi="Times New Roman"/>
      <w:sz w:val="18"/>
    </w:rPr>
  </w:style>
  <w:style w:type="paragraph" w:customStyle="1" w:styleId="22">
    <w:name w:val="页脚1"/>
    <w:basedOn w:val="1"/>
    <w:qFormat/>
    <w:uiPriority w:val="0"/>
    <w:pPr>
      <w:tabs>
        <w:tab w:val="center" w:pos="4153"/>
        <w:tab w:val="right" w:pos="8306"/>
      </w:tabs>
      <w:jc w:val="left"/>
    </w:pPr>
    <w:rPr>
      <w:rFonts w:ascii="Times New Roman" w:hAnsi="Times New Roman"/>
      <w:sz w:val="18"/>
    </w:rPr>
  </w:style>
  <w:style w:type="paragraph" w:customStyle="1" w:styleId="23">
    <w:name w:val="正文文本1"/>
    <w:basedOn w:val="1"/>
    <w:next w:val="1"/>
    <w:qFormat/>
    <w:uiPriority w:val="0"/>
    <w:pPr>
      <w:spacing w:after="120"/>
    </w:pPr>
    <w:rPr>
      <w:rFonts w:ascii="Tahoma" w:hAnsi="Tahoma" w:eastAsia="Times New Roman" w:cs="Times New Roman"/>
      <w:szCs w:val="24"/>
    </w:rPr>
  </w:style>
  <w:style w:type="paragraph" w:customStyle="1" w:styleId="24">
    <w:name w:val="正文文本缩进 31"/>
    <w:basedOn w:val="1"/>
    <w:qFormat/>
    <w:uiPriority w:val="0"/>
    <w:pPr>
      <w:spacing w:line="440" w:lineRule="exact"/>
      <w:ind w:left="720"/>
    </w:pPr>
    <w:rPr>
      <w:rFonts w:hAnsi="宋体"/>
      <w:sz w:val="24"/>
    </w:rPr>
  </w:style>
  <w:style w:type="paragraph" w:customStyle="1" w:styleId="25">
    <w:name w:val="正文文本缩进1"/>
    <w:basedOn w:val="1"/>
    <w:qFormat/>
    <w:uiPriority w:val="0"/>
    <w:pPr>
      <w:spacing w:line="360" w:lineRule="auto"/>
      <w:ind w:firstLine="425"/>
    </w:pPr>
    <w:rPr>
      <w:rFonts w:cs="Times New Roman"/>
      <w:sz w:val="24"/>
    </w:rPr>
  </w:style>
  <w:style w:type="paragraph" w:customStyle="1" w:styleId="26">
    <w:name w:val="页眉1"/>
    <w:basedOn w:val="1"/>
    <w:qFormat/>
    <w:uiPriority w:val="0"/>
    <w:pPr>
      <w:pBdr>
        <w:bottom w:val="none" w:color="000000" w:sz="0" w:space="1"/>
      </w:pBdr>
      <w:tabs>
        <w:tab w:val="center" w:pos="4153"/>
        <w:tab w:val="right" w:pos="8306"/>
      </w:tabs>
      <w:jc w:val="center"/>
    </w:pPr>
    <w:rPr>
      <w:rFonts w:ascii="Times New Roman" w:hAnsi="Times New Roman" w:eastAsia="楷体_GB2312"/>
      <w:sz w:val="18"/>
    </w:rPr>
  </w:style>
  <w:style w:type="character" w:customStyle="1" w:styleId="27">
    <w:name w:val="页码1"/>
    <w:link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2025-09-26T08:28:20Z</dcterms:created>
  <dc:creator>asus</dc:creator>
  <cp:lastModifiedBy>WPS_1657525492</cp:lastModifiedBy>
  <dcterms:modified xsi:type="dcterms:W3CDTF">2025-09-26T08:28:37Z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eyJoZGlkIjoiMGM5MDcwYzEzMjNkY2ZmNGVmMTk4YjgzOTZjNmI0ODkiLCJ1c2VySWQiOiIxMzkxNzQxNjQ1In0=</vt:lpwstr>
  </property>
  <property fmtid="{D5CDD505-2E9C-101B-9397-08002B2CF9AE}" pid="4" name="ICV">
    <vt:lpwstr>9E0D5C458D1B4A15AAB8ECD1E9E827C4_12</vt:lpwstr>
  </property>
</Properties>
</file>