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6EDB">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罗湖区中医院病媒生物防制服务项目</w:t>
      </w:r>
    </w:p>
    <w:p w14:paraId="0802F3E3">
      <w:pPr>
        <w:jc w:val="center"/>
        <w:rPr>
          <w:rFonts w:hint="eastAsia" w:ascii="宋体" w:hAnsi="宋体" w:eastAsia="宋体" w:cs="宋体"/>
          <w:sz w:val="26"/>
          <w:szCs w:val="26"/>
          <w:lang w:val="en-US" w:eastAsia="zh-CN"/>
        </w:rPr>
      </w:pPr>
      <w:r>
        <w:rPr>
          <w:rFonts w:hint="eastAsia" w:ascii="宋体" w:hAnsi="宋体" w:eastAsia="宋体" w:cs="宋体"/>
          <w:b/>
          <w:bCs/>
          <w:sz w:val="30"/>
          <w:szCs w:val="30"/>
          <w:lang w:val="en-US" w:eastAsia="zh-CN"/>
        </w:rPr>
        <w:t>需求书</w:t>
      </w:r>
    </w:p>
    <w:p w14:paraId="7A986ABB">
      <w:pPr>
        <w:numPr>
          <w:ilvl w:val="0"/>
          <w:numId w:val="1"/>
        </w:numPr>
        <w:jc w:val="both"/>
        <w:rPr>
          <w:rFonts w:hint="eastAsia" w:ascii="宋体" w:hAnsi="宋体" w:eastAsia="宋体" w:cs="宋体"/>
          <w:b/>
          <w:bCs/>
          <w:sz w:val="26"/>
          <w:szCs w:val="26"/>
          <w:lang w:val="en-US" w:eastAsia="zh-CN"/>
        </w:rPr>
      </w:pPr>
      <w:r>
        <w:rPr>
          <w:rFonts w:hint="eastAsia" w:ascii="宋体" w:hAnsi="宋体" w:eastAsia="宋体" w:cs="宋体"/>
          <w:b/>
          <w:bCs/>
          <w:sz w:val="26"/>
          <w:szCs w:val="26"/>
          <w:lang w:val="en-US" w:eastAsia="zh-CN"/>
        </w:rPr>
        <w:t>项目基本情况</w:t>
      </w:r>
    </w:p>
    <w:p w14:paraId="35AF8149">
      <w:pPr>
        <w:numPr>
          <w:ilvl w:val="0"/>
          <w:numId w:val="0"/>
        </w:numPr>
        <w:ind w:firstLine="261" w:firstLineChars="100"/>
        <w:jc w:val="both"/>
        <w:rPr>
          <w:rFonts w:hint="eastAsia" w:ascii="宋体" w:hAnsi="宋体" w:eastAsia="宋体" w:cs="宋体"/>
          <w:b/>
          <w:bCs/>
          <w:sz w:val="26"/>
          <w:szCs w:val="26"/>
          <w:lang w:val="en-US" w:eastAsia="zh-CN"/>
        </w:rPr>
      </w:pPr>
      <w:r>
        <w:rPr>
          <w:rFonts w:hint="eastAsia" w:ascii="宋体" w:hAnsi="宋体" w:eastAsia="宋体" w:cs="宋体"/>
          <w:b/>
          <w:bCs/>
          <w:sz w:val="26"/>
          <w:szCs w:val="26"/>
          <w:lang w:val="en-US" w:eastAsia="zh-CN"/>
        </w:rPr>
        <w:t>1.1  项目概况</w:t>
      </w:r>
    </w:p>
    <w:p w14:paraId="6DF5C2FA">
      <w:pPr>
        <w:numPr>
          <w:ilvl w:val="0"/>
          <w:numId w:val="0"/>
        </w:numPr>
        <w:ind w:left="260" w:leftChars="0"/>
        <w:jc w:val="both"/>
        <w:rPr>
          <w:rFonts w:hint="eastAsia" w:ascii="宋体" w:hAnsi="宋体" w:eastAsia="宋体" w:cs="宋体"/>
          <w:b w:val="0"/>
          <w:bCs w:val="0"/>
          <w:sz w:val="26"/>
          <w:szCs w:val="26"/>
          <w:lang w:val="en-US" w:eastAsia="zh-CN"/>
        </w:rPr>
      </w:pPr>
      <w:r>
        <w:rPr>
          <w:rFonts w:hint="eastAsia" w:ascii="宋体" w:hAnsi="宋体" w:eastAsia="宋体" w:cs="宋体"/>
          <w:b w:val="0"/>
          <w:bCs w:val="0"/>
          <w:sz w:val="26"/>
          <w:szCs w:val="26"/>
          <w:lang w:val="en-US" w:eastAsia="zh-CN"/>
        </w:rPr>
        <w:t>1.1.1项目名称：罗湖区中医院2025年病媒生物防治服务项目</w:t>
      </w:r>
    </w:p>
    <w:p w14:paraId="40D58F6A">
      <w:pPr>
        <w:numPr>
          <w:ilvl w:val="0"/>
          <w:numId w:val="0"/>
        </w:numPr>
        <w:ind w:left="260" w:leftChars="0"/>
        <w:jc w:val="both"/>
        <w:rPr>
          <w:rFonts w:hint="eastAsia" w:ascii="宋体" w:hAnsi="宋体" w:eastAsia="宋体" w:cs="宋体"/>
          <w:b w:val="0"/>
          <w:bCs w:val="0"/>
          <w:sz w:val="26"/>
          <w:szCs w:val="26"/>
          <w:lang w:val="en-US" w:eastAsia="zh-CN"/>
        </w:rPr>
      </w:pPr>
      <w:r>
        <w:rPr>
          <w:rFonts w:hint="eastAsia" w:ascii="宋体" w:hAnsi="宋体" w:eastAsia="宋体" w:cs="宋体"/>
          <w:b w:val="0"/>
          <w:bCs w:val="0"/>
          <w:sz w:val="26"/>
          <w:szCs w:val="26"/>
          <w:lang w:val="en-US" w:eastAsia="zh-CN"/>
        </w:rPr>
        <w:t>1.1.2项目概况：</w:t>
      </w:r>
    </w:p>
    <w:p w14:paraId="4E72DDF6">
      <w:pPr>
        <w:numPr>
          <w:ilvl w:val="0"/>
          <w:numId w:val="0"/>
        </w:numPr>
        <w:ind w:left="260" w:leftChars="0"/>
        <w:jc w:val="both"/>
        <w:rPr>
          <w:rFonts w:hint="eastAsia" w:ascii="宋体" w:hAnsi="宋体" w:eastAsia="宋体" w:cs="宋体"/>
          <w:b w:val="0"/>
          <w:bCs w:val="0"/>
          <w:sz w:val="26"/>
          <w:szCs w:val="26"/>
          <w:lang w:val="en-US" w:eastAsia="zh-CN"/>
        </w:rPr>
      </w:pPr>
      <w:r>
        <w:rPr>
          <w:rFonts w:hint="eastAsia" w:ascii="宋体" w:hAnsi="宋体" w:eastAsia="宋体" w:cs="宋体"/>
          <w:b w:val="0"/>
          <w:bCs w:val="0"/>
          <w:sz w:val="26"/>
          <w:szCs w:val="26"/>
          <w:lang w:val="en-US" w:eastAsia="zh-CN"/>
        </w:rPr>
        <w:t xml:space="preserve">      罗湖中医院所属</w:t>
      </w:r>
      <w:r>
        <w:rPr>
          <w:rFonts w:hint="eastAsia" w:ascii="宋体" w:hAnsi="宋体" w:eastAsia="宋体" w:cs="宋体"/>
          <w:b/>
          <w:bCs/>
          <w:sz w:val="26"/>
          <w:szCs w:val="26"/>
          <w:u w:val="single"/>
          <w:lang w:val="en-US" w:eastAsia="zh-CN"/>
        </w:rPr>
        <w:t xml:space="preserve"> 门诊楼、急诊住院楼、康复分院 </w:t>
      </w:r>
      <w:r>
        <w:rPr>
          <w:rFonts w:hint="eastAsia" w:ascii="宋体" w:hAnsi="宋体" w:eastAsia="宋体" w:cs="宋体"/>
          <w:b w:val="0"/>
          <w:bCs w:val="0"/>
          <w:sz w:val="26"/>
          <w:szCs w:val="26"/>
          <w:u w:val="none"/>
          <w:lang w:val="en-US" w:eastAsia="zh-CN"/>
        </w:rPr>
        <w:t>红线范围内</w:t>
      </w:r>
      <w:r>
        <w:rPr>
          <w:rFonts w:hint="eastAsia" w:ascii="宋体" w:hAnsi="宋体" w:eastAsia="宋体" w:cs="宋体"/>
          <w:b w:val="0"/>
          <w:bCs w:val="0"/>
          <w:sz w:val="26"/>
          <w:szCs w:val="26"/>
          <w:lang w:val="en-US" w:eastAsia="zh-CN"/>
        </w:rPr>
        <w:t>病媒生物防治服务工作，消杀面积约80000平方米，包含公共区域、办公区域、停车场、绿化带、垃圾房等区域；控制病媒生物老鼠、苍蝇、蟑螂、蚊子密度；每月病媒生物防治服务不少于4次。</w:t>
      </w:r>
    </w:p>
    <w:p w14:paraId="4D5D79C9">
      <w:pPr>
        <w:numPr>
          <w:ilvl w:val="0"/>
          <w:numId w:val="0"/>
        </w:numPr>
        <w:ind w:left="260" w:leftChars="0"/>
        <w:jc w:val="both"/>
        <w:rPr>
          <w:rFonts w:hint="eastAsia" w:ascii="宋体" w:hAnsi="宋体" w:eastAsia="宋体" w:cs="宋体"/>
          <w:sz w:val="26"/>
          <w:szCs w:val="26"/>
          <w:lang w:val="en-US" w:eastAsia="zh-CN"/>
        </w:rPr>
      </w:pPr>
      <w:r>
        <w:rPr>
          <w:rFonts w:hint="eastAsia" w:ascii="宋体" w:hAnsi="宋体" w:eastAsia="宋体" w:cs="宋体"/>
          <w:b w:val="0"/>
          <w:bCs w:val="0"/>
          <w:sz w:val="26"/>
          <w:szCs w:val="26"/>
          <w:lang w:val="en-US" w:eastAsia="zh-CN"/>
        </w:rPr>
        <w:t>1.1.3项目性质：</w:t>
      </w:r>
      <w:r>
        <w:rPr>
          <w:rFonts w:hint="eastAsia" w:ascii="宋体" w:hAnsi="宋体" w:eastAsia="宋体" w:cs="宋体"/>
          <w:sz w:val="26"/>
          <w:szCs w:val="26"/>
          <w:lang w:val="en-US" w:eastAsia="zh-CN"/>
        </w:rPr>
        <w:t>服务类</w:t>
      </w:r>
    </w:p>
    <w:p w14:paraId="2E339B7C">
      <w:pPr>
        <w:spacing w:line="276" w:lineRule="auto"/>
        <w:ind w:firstLine="520" w:firstLineChars="200"/>
        <w:rPr>
          <w:rFonts w:hint="eastAsia" w:ascii="宋体" w:hAnsi="宋体" w:eastAsia="宋体" w:cs="宋体"/>
          <w:b w:val="0"/>
          <w:bCs w:val="0"/>
          <w:sz w:val="26"/>
          <w:szCs w:val="26"/>
          <w:lang w:val="en-US" w:eastAsia="zh-CN"/>
        </w:rPr>
      </w:pPr>
      <w:r>
        <w:rPr>
          <w:rFonts w:hint="eastAsia" w:ascii="宋体" w:hAnsi="宋体" w:eastAsia="宋体" w:cs="宋体"/>
          <w:b w:val="0"/>
          <w:bCs w:val="0"/>
          <w:sz w:val="26"/>
          <w:szCs w:val="26"/>
          <w:lang w:val="en-US" w:eastAsia="zh-CN"/>
        </w:rPr>
        <w:t>1.1.4项目预算：控制价为人民币75000元。</w:t>
      </w:r>
    </w:p>
    <w:p w14:paraId="67C48A45">
      <w:pPr>
        <w:numPr>
          <w:ilvl w:val="0"/>
          <w:numId w:val="0"/>
        </w:numPr>
        <w:ind w:left="260" w:leftChars="0"/>
        <w:jc w:val="both"/>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1.1.5项目服务期限：自合同签订之日起一年。</w:t>
      </w:r>
    </w:p>
    <w:p w14:paraId="4FECA358">
      <w:pPr>
        <w:numPr>
          <w:ilvl w:val="0"/>
          <w:numId w:val="0"/>
        </w:numPr>
        <w:ind w:left="260" w:leftChars="0" w:firstLine="520" w:firstLineChars="200"/>
        <w:jc w:val="both"/>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本项目为长期服务项目，第一年为本次招标的中标服务期限，合同期限可以延长，但最长不超过三年。</w:t>
      </w:r>
    </w:p>
    <w:p w14:paraId="0036616A">
      <w:pPr>
        <w:numPr>
          <w:ilvl w:val="0"/>
          <w:numId w:val="0"/>
        </w:numPr>
        <w:ind w:left="260" w:leftChars="0"/>
        <w:jc w:val="both"/>
        <w:rPr>
          <w:rFonts w:hint="eastAsia" w:ascii="宋体" w:hAnsi="宋体" w:eastAsia="宋体" w:cs="宋体"/>
          <w:b/>
          <w:bCs/>
          <w:sz w:val="26"/>
          <w:szCs w:val="26"/>
          <w:lang w:val="en-US" w:eastAsia="zh-CN"/>
        </w:rPr>
      </w:pPr>
      <w:r>
        <w:rPr>
          <w:rFonts w:hint="eastAsia" w:ascii="宋体" w:hAnsi="宋体" w:eastAsia="宋体" w:cs="宋体"/>
          <w:b/>
          <w:bCs/>
          <w:sz w:val="26"/>
          <w:szCs w:val="26"/>
          <w:lang w:val="en-US" w:eastAsia="zh-CN"/>
        </w:rPr>
        <w:t>1.2  投标人投标文件编制要求：</w:t>
      </w:r>
    </w:p>
    <w:p w14:paraId="0FEC0D64">
      <w:pPr>
        <w:numPr>
          <w:ilvl w:val="0"/>
          <w:numId w:val="0"/>
        </w:numPr>
        <w:ind w:left="260" w:leftChars="0"/>
        <w:jc w:val="both"/>
        <w:rPr>
          <w:rFonts w:hint="eastAsia" w:ascii="宋体" w:hAnsi="宋体" w:eastAsia="宋体" w:cs="宋体"/>
          <w:color w:val="FF0000"/>
          <w:sz w:val="26"/>
          <w:szCs w:val="26"/>
          <w:lang w:val="en-US" w:eastAsia="zh-CN"/>
        </w:rPr>
      </w:pPr>
      <w:r>
        <w:rPr>
          <w:rFonts w:hint="eastAsia" w:ascii="宋体" w:hAnsi="宋体" w:eastAsia="宋体" w:cs="宋体"/>
          <w:sz w:val="26"/>
          <w:szCs w:val="26"/>
          <w:lang w:val="en-US" w:eastAsia="zh-CN"/>
        </w:rPr>
        <w:t xml:space="preserve">  </w:t>
      </w:r>
      <w:r>
        <w:rPr>
          <w:rFonts w:hint="eastAsia" w:ascii="宋体" w:hAnsi="宋体" w:eastAsia="宋体" w:cs="宋体"/>
          <w:color w:val="FF0000"/>
          <w:sz w:val="26"/>
          <w:szCs w:val="26"/>
          <w:lang w:val="en-US" w:eastAsia="zh-CN"/>
        </w:rPr>
        <w:t xml:space="preserve"> 投标文件要求：扫描电子版上传采购系统内。</w:t>
      </w:r>
    </w:p>
    <w:p w14:paraId="24D7A701">
      <w:pPr>
        <w:numPr>
          <w:ilvl w:val="0"/>
          <w:numId w:val="0"/>
        </w:numPr>
        <w:ind w:firstLine="261" w:firstLineChars="100"/>
        <w:jc w:val="both"/>
        <w:rPr>
          <w:rFonts w:hint="eastAsia" w:ascii="宋体" w:hAnsi="宋体" w:eastAsia="宋体" w:cs="宋体"/>
          <w:b/>
          <w:bCs/>
          <w:color w:val="auto"/>
          <w:sz w:val="26"/>
          <w:szCs w:val="26"/>
          <w:lang w:val="en-US" w:eastAsia="zh-CN"/>
        </w:rPr>
      </w:pPr>
      <w:r>
        <w:rPr>
          <w:rFonts w:hint="eastAsia" w:ascii="宋体" w:hAnsi="宋体" w:eastAsia="宋体" w:cs="宋体"/>
          <w:b/>
          <w:bCs/>
          <w:color w:val="auto"/>
          <w:sz w:val="26"/>
          <w:szCs w:val="26"/>
          <w:lang w:val="en-US" w:eastAsia="zh-CN"/>
        </w:rPr>
        <w:t>1.3  定标法：</w:t>
      </w:r>
    </w:p>
    <w:p w14:paraId="6C1D3A98">
      <w:pPr>
        <w:numPr>
          <w:ilvl w:val="0"/>
          <w:numId w:val="0"/>
        </w:numPr>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 xml:space="preserve">     采用综合评分法，最高分者中标。</w:t>
      </w:r>
    </w:p>
    <w:p w14:paraId="2568D6D4">
      <w:pPr>
        <w:numPr>
          <w:ilvl w:val="0"/>
          <w:numId w:val="0"/>
        </w:numPr>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 xml:space="preserve">     投标文件纸质要求：</w:t>
      </w:r>
      <w:r>
        <w:rPr>
          <w:rFonts w:hint="eastAsia" w:ascii="宋体" w:hAnsi="宋体" w:eastAsia="宋体" w:cs="宋体"/>
          <w:color w:val="FF0000"/>
          <w:sz w:val="26"/>
          <w:szCs w:val="26"/>
          <w:lang w:val="en-US" w:eastAsia="zh-CN"/>
        </w:rPr>
        <w:t>上传电子版采购系统内后，再提供一正一副共两本（投标文件首页应注明正本、副本字样）投标文件到罗湖区莲塘仙桐路16号罗湖区中医院门诊6楼（吴工），必须密封加盖公章投递。正、副本的内容必须保持一致，如果发生正本、副本内容冲突的情况，投标文件一切内容以正本为准。上传电子版与纸质版投标文件必须一致，如不一致，以纸质版正本投标文件为准。(纸质版投标文件截止递交时间为2025年9月25日10</w:t>
      </w:r>
      <w:bookmarkStart w:id="0" w:name="_GoBack"/>
      <w:bookmarkEnd w:id="0"/>
      <w:r>
        <w:rPr>
          <w:rFonts w:hint="eastAsia" w:ascii="宋体" w:hAnsi="宋体" w:eastAsia="宋体" w:cs="宋体"/>
          <w:color w:val="FF0000"/>
          <w:sz w:val="26"/>
          <w:szCs w:val="26"/>
          <w:lang w:val="en-US" w:eastAsia="zh-CN"/>
        </w:rPr>
        <w:t>点前)</w:t>
      </w:r>
    </w:p>
    <w:p w14:paraId="27BEAB9A">
      <w:pPr>
        <w:numPr>
          <w:ilvl w:val="0"/>
          <w:numId w:val="0"/>
        </w:numPr>
        <w:jc w:val="both"/>
        <w:rPr>
          <w:rFonts w:hint="eastAsia" w:ascii="宋体" w:hAnsi="宋体" w:eastAsia="宋体" w:cs="宋体"/>
          <w:b/>
          <w:bCs/>
          <w:color w:val="auto"/>
          <w:sz w:val="26"/>
          <w:szCs w:val="26"/>
          <w:lang w:val="en-US" w:eastAsia="zh-CN"/>
        </w:rPr>
      </w:pPr>
      <w:r>
        <w:rPr>
          <w:rFonts w:hint="eastAsia" w:ascii="宋体" w:hAnsi="宋体" w:eastAsia="宋体" w:cs="宋体"/>
          <w:b/>
          <w:bCs/>
          <w:color w:val="auto"/>
          <w:sz w:val="26"/>
          <w:szCs w:val="26"/>
          <w:lang w:val="en-US" w:eastAsia="zh-CN"/>
        </w:rPr>
        <w:t>1.4  质疑及答疑</w:t>
      </w:r>
    </w:p>
    <w:p w14:paraId="45631DF7">
      <w:pPr>
        <w:numPr>
          <w:ilvl w:val="0"/>
          <w:numId w:val="0"/>
        </w:numPr>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1.4.1 潜在投标人对于本项目本文件有疑问的，应当在投标截止时间1日前提出，否则视同全部接受。</w:t>
      </w:r>
    </w:p>
    <w:p w14:paraId="3F8E6B80">
      <w:pPr>
        <w:numPr>
          <w:ilvl w:val="0"/>
          <w:numId w:val="0"/>
        </w:numPr>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1.4.2 投标人自行到现场了解，因未到现场了解情况造成的成本计算错误，投标人自行承担。具体可联系罗湖区中医院吴工0755-25160866转2579/18826248854。</w:t>
      </w:r>
    </w:p>
    <w:p w14:paraId="1A685955">
      <w:pPr>
        <w:numPr>
          <w:ilvl w:val="0"/>
          <w:numId w:val="0"/>
        </w:numPr>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1.4.3 本采购文件由罗湖中医院后勤支援部解析，具体可联系吴工0755-25160866转2579。</w:t>
      </w:r>
    </w:p>
    <w:p w14:paraId="65180409">
      <w:pPr>
        <w:numPr>
          <w:ilvl w:val="0"/>
          <w:numId w:val="0"/>
        </w:numPr>
        <w:jc w:val="both"/>
        <w:rPr>
          <w:rFonts w:hint="eastAsia" w:ascii="宋体" w:hAnsi="宋体" w:eastAsia="宋体" w:cs="宋体"/>
          <w:color w:val="auto"/>
          <w:sz w:val="26"/>
          <w:szCs w:val="26"/>
          <w:lang w:val="en-US" w:eastAsia="zh-CN"/>
        </w:rPr>
      </w:pPr>
    </w:p>
    <w:p w14:paraId="743C3F36">
      <w:pPr>
        <w:numPr>
          <w:ilvl w:val="0"/>
          <w:numId w:val="1"/>
        </w:numPr>
        <w:jc w:val="both"/>
        <w:rPr>
          <w:rFonts w:hint="eastAsia" w:ascii="宋体" w:hAnsi="宋体" w:eastAsia="宋体" w:cs="宋体"/>
          <w:b/>
          <w:bCs/>
          <w:sz w:val="26"/>
          <w:szCs w:val="26"/>
          <w:lang w:val="en-US" w:eastAsia="zh-CN"/>
        </w:rPr>
      </w:pPr>
      <w:r>
        <w:rPr>
          <w:rFonts w:hint="eastAsia" w:ascii="宋体" w:hAnsi="宋体" w:eastAsia="宋体" w:cs="宋体"/>
          <w:b/>
          <w:bCs/>
          <w:sz w:val="26"/>
          <w:szCs w:val="26"/>
          <w:lang w:val="en-US" w:eastAsia="zh-CN"/>
        </w:rPr>
        <w:t>投标人资格及相关要求：</w:t>
      </w:r>
    </w:p>
    <w:p w14:paraId="6F1E73B9">
      <w:pPr>
        <w:numPr>
          <w:ilvl w:val="0"/>
          <w:numId w:val="0"/>
        </w:numPr>
        <w:ind w:left="260" w:leftChars="0"/>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2.1 符合《中华人民共和国政府采购法》第二十二条规定条件（提供《政府采购投标承诺函》）；</w:t>
      </w:r>
    </w:p>
    <w:p w14:paraId="357EBD84">
      <w:pPr>
        <w:numPr>
          <w:ilvl w:val="0"/>
          <w:numId w:val="0"/>
        </w:numPr>
        <w:ind w:left="260" w:leftChars="0"/>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2.2 具有独立法人资格或具有独立承担民事责任的能力的其它组织，具有相关经营范围（提供营业执照或事业单位法人证等法人证明扫描件，原件备查）；</w:t>
      </w:r>
    </w:p>
    <w:p w14:paraId="314A41FF">
      <w:pPr>
        <w:numPr>
          <w:ilvl w:val="0"/>
          <w:numId w:val="0"/>
        </w:numPr>
        <w:ind w:left="260" w:leftChars="0"/>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2.3 投标截止时间前，未被列入失信被执行人、重大税收违法案件当事人名单、政府采购严重违法失信行为记录名单。通过“信用中国”、“中国政府采购网”以及“深圳市政府采购监管网”为供应商信用信息的查询渠道，相关查询截图证据与采购文件一并保存；</w:t>
      </w:r>
    </w:p>
    <w:p w14:paraId="0FABC82F">
      <w:pPr>
        <w:numPr>
          <w:ilvl w:val="0"/>
          <w:numId w:val="0"/>
        </w:numPr>
        <w:ind w:left="260" w:leftChars="0"/>
        <w:jc w:val="both"/>
        <w:rPr>
          <w:rFonts w:hint="default"/>
          <w:lang w:val="en-US" w:eastAsia="zh-CN"/>
        </w:rPr>
      </w:pPr>
      <w:r>
        <w:rPr>
          <w:rFonts w:hint="eastAsia" w:ascii="宋体" w:hAnsi="宋体" w:eastAsia="宋体" w:cs="宋体"/>
          <w:color w:val="auto"/>
          <w:sz w:val="26"/>
          <w:szCs w:val="26"/>
          <w:lang w:val="en-US" w:eastAsia="zh-CN"/>
        </w:rPr>
        <w:t>2.4 投标供应商必须先行注册为深圳市政府采购供应商（注册为深圳市政府采购供应商才可对本项目进行响应投标，投标文件中无需提供证明材料）；</w:t>
      </w:r>
    </w:p>
    <w:p w14:paraId="1669CBE4">
      <w:pPr>
        <w:pStyle w:val="2"/>
        <w:rPr>
          <w:rFonts w:hint="default" w:ascii="宋体" w:hAnsi="宋体" w:eastAsia="宋体" w:cs="宋体"/>
          <w:color w:val="auto"/>
          <w:kern w:val="2"/>
          <w:sz w:val="26"/>
          <w:szCs w:val="26"/>
          <w:lang w:val="en-US" w:eastAsia="zh-CN" w:bidi="ar-SA"/>
        </w:rPr>
      </w:pPr>
      <w:r>
        <w:rPr>
          <w:rFonts w:hint="eastAsia" w:ascii="宋体" w:hAnsi="宋体" w:eastAsia="宋体" w:cs="宋体"/>
          <w:color w:val="auto"/>
          <w:kern w:val="2"/>
          <w:sz w:val="26"/>
          <w:szCs w:val="26"/>
          <w:lang w:val="en-US" w:eastAsia="zh-CN" w:bidi="ar-SA"/>
        </w:rPr>
        <w:t xml:space="preserve">  2.5 企业消杀资质（具有副省级城市或以上有害生物防治（制）相关行业协会颁发的有害生物防制（治）服务能力证书，提供有效期内的相关证书，提供扫描件或官方截图，原件备查）。</w:t>
      </w:r>
    </w:p>
    <w:p w14:paraId="37EA40B2">
      <w:pPr>
        <w:numPr>
          <w:ilvl w:val="0"/>
          <w:numId w:val="0"/>
        </w:numPr>
        <w:ind w:left="260" w:leftChars="0"/>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2.6 项目人员证书（</w:t>
      </w:r>
      <w:r>
        <w:rPr>
          <w:rFonts w:hint="eastAsia" w:ascii="宋体" w:hAnsi="宋体" w:eastAsia="宋体" w:cs="宋体"/>
          <w:color w:val="auto"/>
          <w:kern w:val="2"/>
          <w:sz w:val="26"/>
          <w:szCs w:val="26"/>
          <w:lang w:val="en-US" w:eastAsia="zh-CN" w:bidi="ar-SA"/>
        </w:rPr>
        <w:t>具有三级（高级工）有害生物防治（制）员职业资格或职业技能等级证书或人社部门颁发的病媒生物防治相关的职业技能培训结业证书（提供证书扫描件或技能人才评价书全国联网查询截图（</w:t>
      </w:r>
      <w:r>
        <w:rPr>
          <w:rFonts w:hint="eastAsia" w:ascii="宋体" w:hAnsi="宋体" w:eastAsia="宋体" w:cs="宋体"/>
          <w:color w:val="auto"/>
          <w:kern w:val="2"/>
          <w:sz w:val="26"/>
          <w:szCs w:val="26"/>
          <w:lang w:val="en-US" w:eastAsia="zh-CN" w:bidi="ar-SA"/>
        </w:rPr>
        <w:fldChar w:fldCharType="begin"/>
      </w:r>
      <w:r>
        <w:rPr>
          <w:rFonts w:hint="eastAsia" w:ascii="宋体" w:hAnsi="宋体" w:eastAsia="宋体" w:cs="宋体"/>
          <w:color w:val="auto"/>
          <w:kern w:val="2"/>
          <w:sz w:val="26"/>
          <w:szCs w:val="26"/>
          <w:lang w:val="en-US" w:eastAsia="zh-CN" w:bidi="ar-SA"/>
        </w:rPr>
        <w:instrText xml:space="preserve"> HYPERLINK "http://zscx.osta.org.cn/" </w:instrText>
      </w:r>
      <w:r>
        <w:rPr>
          <w:rFonts w:hint="eastAsia" w:ascii="宋体" w:hAnsi="宋体" w:eastAsia="宋体" w:cs="宋体"/>
          <w:color w:val="auto"/>
          <w:kern w:val="2"/>
          <w:sz w:val="26"/>
          <w:szCs w:val="26"/>
          <w:lang w:val="en-US" w:eastAsia="zh-CN" w:bidi="ar-SA"/>
        </w:rPr>
        <w:fldChar w:fldCharType="separate"/>
      </w:r>
      <w:r>
        <w:rPr>
          <w:rFonts w:hint="eastAsia" w:ascii="宋体" w:hAnsi="宋体" w:eastAsia="宋体" w:cs="宋体"/>
          <w:color w:val="auto"/>
          <w:kern w:val="2"/>
          <w:sz w:val="26"/>
          <w:szCs w:val="26"/>
          <w:lang w:val="en-US" w:eastAsia="zh-CN" w:bidi="ar-SA"/>
        </w:rPr>
        <w:t>http://zscx.osta.org.cn/</w:t>
      </w:r>
      <w:r>
        <w:rPr>
          <w:rFonts w:hint="eastAsia" w:ascii="宋体" w:hAnsi="宋体" w:eastAsia="宋体" w:cs="宋体"/>
          <w:color w:val="auto"/>
          <w:kern w:val="2"/>
          <w:sz w:val="26"/>
          <w:szCs w:val="26"/>
          <w:lang w:val="en-US" w:eastAsia="zh-CN" w:bidi="ar-SA"/>
        </w:rPr>
        <w:fldChar w:fldCharType="end"/>
      </w:r>
      <w:r>
        <w:rPr>
          <w:rFonts w:hint="eastAsia" w:ascii="宋体" w:hAnsi="宋体" w:eastAsia="宋体" w:cs="宋体"/>
          <w:color w:val="auto"/>
          <w:kern w:val="2"/>
          <w:sz w:val="26"/>
          <w:szCs w:val="26"/>
          <w:lang w:val="en-US" w:eastAsia="zh-CN" w:bidi="ar-SA"/>
        </w:rPr>
        <w:t>）开标之日在职人员前3个月为其缴交的社保（五险）证明扫描件，如开标日上一个月的社保材料因社保部门原因暂时无法取得，则可以往前顺延一个月，如投标人为新成立企业且成立时间不足三个月须提供加盖公章的情况说明或者其它证明材料。）；</w:t>
      </w:r>
    </w:p>
    <w:p w14:paraId="7C0F92EA">
      <w:pPr>
        <w:numPr>
          <w:ilvl w:val="0"/>
          <w:numId w:val="0"/>
        </w:numPr>
        <w:ind w:left="260" w:leftChars="0"/>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2.7 不接受联合体投标，不允许分包；</w:t>
      </w:r>
    </w:p>
    <w:p w14:paraId="43CB86EA">
      <w:pPr>
        <w:numPr>
          <w:ilvl w:val="0"/>
          <w:numId w:val="0"/>
        </w:numPr>
        <w:ind w:left="260" w:leftChars="0" w:firstLine="520" w:firstLineChars="200"/>
        <w:jc w:val="both"/>
        <w:rPr>
          <w:rFonts w:hint="eastAsia" w:ascii="宋体" w:hAnsi="宋体" w:eastAsia="宋体" w:cs="宋体"/>
          <w:color w:val="auto"/>
          <w:sz w:val="26"/>
          <w:szCs w:val="26"/>
          <w:lang w:val="en-US" w:eastAsia="zh-CN"/>
        </w:rPr>
      </w:pPr>
      <w:r>
        <w:rPr>
          <w:rFonts w:hint="eastAsia" w:ascii="宋体" w:hAnsi="宋体" w:eastAsia="宋体" w:cs="宋体"/>
          <w:color w:val="auto"/>
          <w:sz w:val="26"/>
          <w:szCs w:val="26"/>
          <w:lang w:val="en-US"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3E2E1BC">
      <w:pPr>
        <w:numPr>
          <w:ilvl w:val="0"/>
          <w:numId w:val="0"/>
        </w:numPr>
        <w:jc w:val="both"/>
        <w:rPr>
          <w:rFonts w:hint="eastAsia" w:ascii="宋体" w:hAnsi="宋体" w:eastAsia="宋体" w:cs="宋体"/>
          <w:color w:val="auto"/>
          <w:sz w:val="26"/>
          <w:szCs w:val="26"/>
          <w:lang w:val="en-US" w:eastAsia="zh-CN"/>
        </w:rPr>
      </w:pPr>
    </w:p>
    <w:p w14:paraId="42814DF0">
      <w:pPr>
        <w:numPr>
          <w:ilvl w:val="0"/>
          <w:numId w:val="1"/>
        </w:numPr>
        <w:ind w:left="0" w:leftChars="0" w:firstLine="0" w:firstLineChars="0"/>
        <w:jc w:val="both"/>
        <w:rPr>
          <w:rFonts w:hint="eastAsia" w:ascii="宋体" w:hAnsi="宋体" w:eastAsia="宋体" w:cs="宋体"/>
          <w:b/>
          <w:bCs/>
          <w:color w:val="auto"/>
          <w:sz w:val="26"/>
          <w:szCs w:val="26"/>
          <w:lang w:val="en-US" w:eastAsia="zh-CN"/>
        </w:rPr>
      </w:pPr>
      <w:r>
        <w:rPr>
          <w:rFonts w:hint="eastAsia" w:ascii="宋体" w:hAnsi="宋体" w:eastAsia="宋体" w:cs="宋体"/>
          <w:b/>
          <w:bCs/>
          <w:color w:val="auto"/>
          <w:sz w:val="26"/>
          <w:szCs w:val="26"/>
          <w:lang w:val="en-US" w:eastAsia="zh-CN"/>
        </w:rPr>
        <w:t>投标人必须提交的资料</w:t>
      </w:r>
    </w:p>
    <w:p w14:paraId="103A15D3">
      <w:pPr>
        <w:pStyle w:val="2"/>
        <w:spacing w:after="0" w:line="276" w:lineRule="auto"/>
        <w:rPr>
          <w:rFonts w:hint="eastAsia" w:ascii="宋体" w:hAnsi="宋体" w:eastAsia="宋体" w:cs="宋体"/>
          <w:sz w:val="26"/>
          <w:szCs w:val="26"/>
        </w:rPr>
      </w:pPr>
      <w:r>
        <w:rPr>
          <w:rFonts w:hint="eastAsia" w:ascii="宋体" w:hAnsi="宋体" w:eastAsia="宋体" w:cs="宋体"/>
          <w:sz w:val="26"/>
          <w:szCs w:val="26"/>
        </w:rPr>
        <w:t>按以下顺序排放投标文件并扫描电子版上传(PDF版本)：</w:t>
      </w:r>
      <w:r>
        <w:rPr>
          <w:rFonts w:hint="eastAsia" w:ascii="宋体" w:hAnsi="宋体" w:eastAsia="宋体" w:cs="宋体"/>
          <w:sz w:val="26"/>
          <w:szCs w:val="26"/>
        </w:rPr>
        <w:br w:type="textWrapping"/>
      </w:r>
      <w:r>
        <w:rPr>
          <w:rFonts w:hint="eastAsia" w:ascii="宋体" w:hAnsi="宋体" w:eastAsia="宋体" w:cs="宋体"/>
          <w:sz w:val="26"/>
          <w:szCs w:val="26"/>
          <w:lang w:val="en-US" w:eastAsia="zh-CN"/>
        </w:rPr>
        <w:t>3.</w:t>
      </w:r>
      <w:r>
        <w:rPr>
          <w:rFonts w:hint="eastAsia" w:ascii="宋体" w:hAnsi="宋体" w:eastAsia="宋体" w:cs="宋体"/>
          <w:sz w:val="26"/>
          <w:szCs w:val="26"/>
        </w:rPr>
        <w:t>1</w:t>
      </w:r>
      <w:r>
        <w:rPr>
          <w:rFonts w:hint="eastAsia" w:ascii="宋体" w:hAnsi="宋体" w:eastAsia="宋体" w:cs="宋体"/>
          <w:sz w:val="26"/>
          <w:szCs w:val="26"/>
          <w:lang w:val="en-US" w:eastAsia="zh-CN"/>
        </w:rPr>
        <w:t xml:space="preserve"> </w:t>
      </w:r>
      <w:r>
        <w:rPr>
          <w:rFonts w:hint="eastAsia" w:ascii="宋体" w:hAnsi="宋体" w:eastAsia="宋体" w:cs="宋体"/>
          <w:sz w:val="26"/>
          <w:szCs w:val="26"/>
        </w:rPr>
        <w:t>投标文件目录；</w:t>
      </w:r>
      <w:r>
        <w:rPr>
          <w:rFonts w:hint="eastAsia" w:ascii="宋体" w:hAnsi="宋体" w:eastAsia="宋体" w:cs="宋体"/>
          <w:sz w:val="26"/>
          <w:szCs w:val="26"/>
        </w:rPr>
        <w:br w:type="textWrapping"/>
      </w:r>
      <w:r>
        <w:rPr>
          <w:rFonts w:hint="eastAsia" w:ascii="宋体" w:hAnsi="宋体" w:eastAsia="宋体" w:cs="宋体"/>
          <w:sz w:val="26"/>
          <w:szCs w:val="26"/>
          <w:lang w:val="en-US" w:eastAsia="zh-CN"/>
        </w:rPr>
        <w:t>3.</w:t>
      </w:r>
      <w:r>
        <w:rPr>
          <w:rFonts w:hint="eastAsia" w:ascii="宋体" w:hAnsi="宋体" w:eastAsia="宋体" w:cs="宋体"/>
          <w:sz w:val="26"/>
          <w:szCs w:val="26"/>
        </w:rPr>
        <w:t>2</w:t>
      </w:r>
      <w:r>
        <w:rPr>
          <w:rFonts w:hint="eastAsia" w:ascii="宋体" w:hAnsi="宋体" w:eastAsia="宋体" w:cs="宋体"/>
          <w:sz w:val="26"/>
          <w:szCs w:val="26"/>
          <w:lang w:val="en-US" w:eastAsia="zh-CN"/>
        </w:rPr>
        <w:t xml:space="preserve"> </w:t>
      </w:r>
      <w:r>
        <w:rPr>
          <w:rFonts w:hint="eastAsia" w:ascii="宋体" w:hAnsi="宋体" w:eastAsia="宋体" w:cs="宋体"/>
          <w:sz w:val="26"/>
          <w:szCs w:val="26"/>
        </w:rPr>
        <w:t xml:space="preserve">经年检合格且有效的营业执照及经营范围截图； </w:t>
      </w:r>
    </w:p>
    <w:p w14:paraId="59FBEDD3">
      <w:pPr>
        <w:pStyle w:val="2"/>
        <w:numPr>
          <w:ilvl w:val="0"/>
          <w:numId w:val="0"/>
        </w:numPr>
        <w:spacing w:after="0" w:line="276" w:lineRule="auto"/>
        <w:rPr>
          <w:rFonts w:hint="eastAsia" w:ascii="宋体" w:hAnsi="宋体" w:eastAsia="宋体" w:cs="宋体"/>
          <w:sz w:val="26"/>
          <w:szCs w:val="26"/>
        </w:rPr>
      </w:pPr>
      <w:r>
        <w:rPr>
          <w:rFonts w:hint="eastAsia" w:ascii="宋体" w:hAnsi="宋体" w:eastAsia="宋体" w:cs="宋体"/>
          <w:sz w:val="26"/>
          <w:szCs w:val="26"/>
          <w:lang w:val="en-US" w:eastAsia="zh-CN"/>
        </w:rPr>
        <w:t xml:space="preserve">3.3 </w:t>
      </w:r>
      <w:r>
        <w:rPr>
          <w:rFonts w:hint="eastAsia" w:ascii="宋体" w:hAnsi="宋体" w:eastAsia="宋体" w:cs="宋体"/>
          <w:sz w:val="26"/>
          <w:szCs w:val="26"/>
        </w:rPr>
        <w:t>法人授权书或授权代表证明书；</w:t>
      </w:r>
    </w:p>
    <w:p w14:paraId="3C75116C">
      <w:pPr>
        <w:pStyle w:val="2"/>
        <w:numPr>
          <w:ilvl w:val="0"/>
          <w:numId w:val="0"/>
        </w:numPr>
        <w:spacing w:after="0" w:line="276" w:lineRule="auto"/>
        <w:rPr>
          <w:rFonts w:hint="eastAsia" w:ascii="宋体" w:hAnsi="宋体" w:eastAsia="宋体" w:cs="宋体"/>
          <w:sz w:val="26"/>
          <w:szCs w:val="26"/>
        </w:rPr>
      </w:pPr>
      <w:r>
        <w:rPr>
          <w:rFonts w:hint="eastAsia" w:ascii="宋体" w:hAnsi="宋体" w:eastAsia="宋体" w:cs="宋体"/>
          <w:sz w:val="26"/>
          <w:szCs w:val="26"/>
          <w:lang w:val="en-US" w:eastAsia="zh-CN"/>
        </w:rPr>
        <w:t xml:space="preserve">3.4 </w:t>
      </w:r>
      <w:r>
        <w:rPr>
          <w:rFonts w:hint="eastAsia" w:ascii="宋体" w:hAnsi="宋体" w:eastAsia="宋体" w:cs="宋体"/>
          <w:sz w:val="26"/>
          <w:szCs w:val="26"/>
        </w:rPr>
        <w:t>项目报价书；</w:t>
      </w:r>
    </w:p>
    <w:p w14:paraId="468FA532">
      <w:pPr>
        <w:pStyle w:val="2"/>
        <w:spacing w:after="0" w:line="276" w:lineRule="auto"/>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3.5 资格证明文件</w:t>
      </w:r>
      <w:r>
        <w:rPr>
          <w:rFonts w:hint="eastAsia" w:ascii="宋体" w:hAnsi="宋体" w:eastAsia="宋体" w:cs="宋体"/>
          <w:sz w:val="26"/>
          <w:szCs w:val="26"/>
        </w:rPr>
        <w:t>；</w:t>
      </w:r>
    </w:p>
    <w:p w14:paraId="5B032340">
      <w:pPr>
        <w:pStyle w:val="2"/>
        <w:spacing w:after="0" w:line="276" w:lineRule="auto"/>
        <w:rPr>
          <w:rFonts w:hint="eastAsia" w:ascii="宋体" w:hAnsi="宋体" w:eastAsia="宋体" w:cs="宋体"/>
          <w:sz w:val="26"/>
          <w:szCs w:val="26"/>
          <w:lang w:val="en-US" w:eastAsia="zh-CN"/>
        </w:rPr>
      </w:pPr>
      <w:r>
        <w:rPr>
          <w:rFonts w:hint="eastAsia" w:ascii="宋体" w:hAnsi="宋体" w:eastAsia="宋体" w:cs="宋体"/>
          <w:sz w:val="26"/>
          <w:szCs w:val="26"/>
          <w:lang w:val="en-US" w:eastAsia="zh-CN"/>
        </w:rPr>
        <w:t xml:space="preserve">3.6 </w:t>
      </w:r>
      <w:r>
        <w:rPr>
          <w:rFonts w:hint="eastAsia" w:ascii="宋体" w:hAnsi="宋体" w:eastAsia="宋体" w:cs="宋体"/>
          <w:sz w:val="26"/>
          <w:szCs w:val="26"/>
        </w:rPr>
        <w:t>同类业绩</w:t>
      </w:r>
    </w:p>
    <w:p w14:paraId="4F2389A7">
      <w:pPr>
        <w:pStyle w:val="2"/>
        <w:spacing w:after="0" w:line="276" w:lineRule="auto"/>
        <w:rPr>
          <w:rFonts w:hint="eastAsia" w:ascii="宋体" w:hAnsi="宋体" w:eastAsia="宋体" w:cs="宋体"/>
          <w:sz w:val="26"/>
          <w:szCs w:val="26"/>
        </w:rPr>
      </w:pPr>
      <w:r>
        <w:rPr>
          <w:rFonts w:hint="eastAsia" w:ascii="宋体" w:hAnsi="宋体" w:eastAsia="宋体" w:cs="宋体"/>
          <w:sz w:val="26"/>
          <w:szCs w:val="26"/>
          <w:lang w:val="en-US" w:eastAsia="zh-CN"/>
        </w:rPr>
        <w:t xml:space="preserve">3.7 </w:t>
      </w:r>
      <w:r>
        <w:rPr>
          <w:rFonts w:hint="eastAsia" w:ascii="宋体" w:hAnsi="宋体" w:eastAsia="宋体" w:cs="宋体"/>
          <w:sz w:val="26"/>
          <w:szCs w:val="26"/>
        </w:rPr>
        <w:t>投标承诺书；</w:t>
      </w:r>
    </w:p>
    <w:p w14:paraId="1C8B1E0F">
      <w:pPr>
        <w:pStyle w:val="2"/>
        <w:spacing w:after="0" w:line="276" w:lineRule="auto"/>
        <w:rPr>
          <w:rFonts w:hint="eastAsia" w:ascii="宋体" w:hAnsi="宋体" w:eastAsia="宋体" w:cs="宋体"/>
          <w:sz w:val="26"/>
          <w:szCs w:val="26"/>
          <w:shd w:val="clear" w:color="auto" w:fill="FFFFFF"/>
        </w:rPr>
      </w:pPr>
      <w:r>
        <w:rPr>
          <w:rFonts w:hint="eastAsia" w:ascii="宋体" w:hAnsi="宋体" w:eastAsia="宋体" w:cs="宋体"/>
          <w:sz w:val="26"/>
          <w:szCs w:val="26"/>
          <w:lang w:val="en-US" w:eastAsia="zh-CN"/>
        </w:rPr>
        <w:t>3.</w:t>
      </w:r>
      <w:r>
        <w:rPr>
          <w:rFonts w:hint="eastAsia" w:ascii="宋体" w:hAnsi="宋体" w:eastAsia="宋体" w:cs="宋体"/>
          <w:sz w:val="26"/>
          <w:szCs w:val="26"/>
          <w:shd w:val="clear" w:color="auto" w:fill="FFFFFF"/>
          <w:lang w:val="en-US" w:eastAsia="zh-CN"/>
        </w:rPr>
        <w:t xml:space="preserve">8 </w:t>
      </w:r>
      <w:r>
        <w:rPr>
          <w:rFonts w:hint="eastAsia" w:ascii="宋体" w:hAnsi="宋体" w:eastAsia="宋体" w:cs="宋体"/>
          <w:sz w:val="26"/>
          <w:szCs w:val="26"/>
          <w:shd w:val="clear" w:color="auto" w:fill="FFFFFF"/>
        </w:rPr>
        <w:t>项目施工方案；</w:t>
      </w:r>
    </w:p>
    <w:p w14:paraId="2AE1DD11">
      <w:pPr>
        <w:pStyle w:val="2"/>
        <w:spacing w:after="0" w:line="276" w:lineRule="auto"/>
        <w:rPr>
          <w:rFonts w:hint="eastAsia" w:ascii="宋体" w:hAnsi="宋体" w:eastAsia="宋体" w:cs="宋体"/>
          <w:b/>
          <w:color w:val="000000"/>
          <w:sz w:val="26"/>
          <w:szCs w:val="26"/>
        </w:rPr>
      </w:pPr>
      <w:r>
        <w:rPr>
          <w:rFonts w:hint="eastAsia" w:ascii="宋体" w:hAnsi="宋体" w:eastAsia="宋体" w:cs="宋体"/>
          <w:sz w:val="26"/>
          <w:szCs w:val="26"/>
          <w:lang w:val="en-US" w:eastAsia="zh-CN"/>
        </w:rPr>
        <w:t>3.9 廉洁承诺宣言</w:t>
      </w:r>
      <w:r>
        <w:rPr>
          <w:rFonts w:hint="eastAsia" w:ascii="宋体" w:hAnsi="宋体" w:eastAsia="宋体" w:cs="宋体"/>
          <w:color w:val="000000"/>
          <w:sz w:val="26"/>
          <w:szCs w:val="26"/>
        </w:rPr>
        <w:t>；</w:t>
      </w:r>
    </w:p>
    <w:p w14:paraId="27D8130C">
      <w:pPr>
        <w:pStyle w:val="2"/>
        <w:spacing w:after="0" w:line="276" w:lineRule="auto"/>
        <w:ind w:firstLine="522" w:firstLineChars="200"/>
        <w:rPr>
          <w:rFonts w:hint="eastAsia" w:ascii="宋体" w:hAnsi="宋体" w:eastAsia="宋体" w:cs="宋体"/>
          <w:sz w:val="26"/>
          <w:szCs w:val="26"/>
        </w:rPr>
      </w:pPr>
      <w:r>
        <w:rPr>
          <w:rFonts w:hint="eastAsia" w:ascii="宋体" w:hAnsi="宋体" w:eastAsia="宋体" w:cs="宋体"/>
          <w:b/>
          <w:color w:val="000000"/>
          <w:sz w:val="26"/>
          <w:szCs w:val="26"/>
        </w:rPr>
        <w:t>上述资料应该是最新、有效、清晰的；扫描件应与原件一致，所有资料均要加盖投标人公章（如未盖公章或印章不清晰视作不符合评分项要求）。</w:t>
      </w:r>
      <w:r>
        <w:rPr>
          <w:rFonts w:hint="eastAsia" w:ascii="宋体" w:hAnsi="宋体" w:eastAsia="宋体" w:cs="宋体"/>
          <w:b/>
          <w:color w:val="FF0000"/>
          <w:sz w:val="26"/>
          <w:szCs w:val="26"/>
        </w:rPr>
        <w:t>投标供应商上传“报名附件”必须是上述所有资料，否则审核不通过，视为废标文件。</w:t>
      </w:r>
    </w:p>
    <w:p w14:paraId="7A49CF90">
      <w:pPr>
        <w:numPr>
          <w:ilvl w:val="0"/>
          <w:numId w:val="0"/>
        </w:numPr>
        <w:ind w:leftChars="0"/>
        <w:jc w:val="both"/>
        <w:rPr>
          <w:rFonts w:hint="eastAsia" w:ascii="宋体" w:hAnsi="宋体" w:eastAsia="宋体" w:cs="宋体"/>
          <w:color w:val="auto"/>
          <w:sz w:val="26"/>
          <w:szCs w:val="26"/>
          <w:lang w:val="en-US" w:eastAsia="zh-CN"/>
        </w:rPr>
      </w:pPr>
    </w:p>
    <w:p w14:paraId="28F7D7E8">
      <w:pPr>
        <w:numPr>
          <w:ilvl w:val="0"/>
          <w:numId w:val="0"/>
        </w:numPr>
        <w:ind w:leftChars="0"/>
        <w:jc w:val="both"/>
        <w:rPr>
          <w:rFonts w:hint="eastAsia" w:ascii="宋体" w:hAnsi="宋体" w:eastAsia="宋体" w:cs="宋体"/>
          <w:b/>
          <w:bCs/>
          <w:color w:val="auto"/>
          <w:sz w:val="26"/>
          <w:szCs w:val="26"/>
          <w:lang w:val="en-US" w:eastAsia="zh-CN"/>
        </w:rPr>
      </w:pPr>
      <w:r>
        <w:rPr>
          <w:rFonts w:hint="eastAsia" w:ascii="宋体" w:hAnsi="宋体" w:eastAsia="宋体" w:cs="宋体"/>
          <w:b/>
          <w:bCs/>
          <w:color w:val="auto"/>
          <w:sz w:val="26"/>
          <w:szCs w:val="26"/>
          <w:lang w:val="en-US" w:eastAsia="zh-CN"/>
        </w:rPr>
        <w:t>四、投标承诺书</w:t>
      </w:r>
    </w:p>
    <w:p w14:paraId="1E580CD0">
      <w:pPr>
        <w:autoSpaceDE w:val="0"/>
        <w:autoSpaceDN w:val="0"/>
        <w:adjustRightInd w:val="0"/>
        <w:spacing w:line="360" w:lineRule="auto"/>
        <w:jc w:val="center"/>
        <w:rPr>
          <w:rFonts w:ascii="宋体" w:hAnsi="宋体"/>
          <w:b/>
          <w:color w:val="000000"/>
          <w:sz w:val="28"/>
          <w:szCs w:val="28"/>
        </w:rPr>
      </w:pPr>
      <w:r>
        <w:rPr>
          <w:rFonts w:hint="eastAsia" w:ascii="宋体" w:hAnsi="宋体"/>
          <w:b/>
          <w:color w:val="000000"/>
          <w:sz w:val="28"/>
          <w:szCs w:val="28"/>
        </w:rPr>
        <w:t>投标</w:t>
      </w:r>
      <w:r>
        <w:rPr>
          <w:rFonts w:ascii="宋体" w:hAnsi="宋体"/>
          <w:b/>
          <w:color w:val="000000"/>
          <w:sz w:val="28"/>
          <w:szCs w:val="28"/>
        </w:rPr>
        <w:t>承诺书</w:t>
      </w:r>
    </w:p>
    <w:p w14:paraId="42DC5455">
      <w:pPr>
        <w:autoSpaceDE w:val="0"/>
        <w:autoSpaceDN w:val="0"/>
        <w:adjustRightInd w:val="0"/>
        <w:spacing w:line="360" w:lineRule="auto"/>
        <w:rPr>
          <w:rFonts w:ascii="宋体" w:hAnsi="宋体"/>
          <w:color w:val="000000"/>
          <w:szCs w:val="21"/>
        </w:rPr>
      </w:pPr>
      <w:r>
        <w:rPr>
          <w:rFonts w:hint="eastAsia" w:ascii="宋体" w:hAnsi="宋体"/>
          <w:color w:val="000000"/>
          <w:szCs w:val="21"/>
        </w:rPr>
        <w:t>致</w:t>
      </w:r>
      <w:r>
        <w:rPr>
          <w:rFonts w:hint="eastAsia" w:ascii="宋体" w:hAnsi="宋体"/>
          <w:b/>
          <w:color w:val="000000"/>
          <w:szCs w:val="21"/>
          <w:u w:val="single"/>
        </w:rPr>
        <w:t>深圳市罗湖区</w:t>
      </w:r>
      <w:r>
        <w:rPr>
          <w:rFonts w:ascii="宋体" w:hAnsi="宋体"/>
          <w:b/>
          <w:color w:val="000000"/>
          <w:szCs w:val="21"/>
          <w:u w:val="single"/>
        </w:rPr>
        <w:t>中</w:t>
      </w:r>
      <w:r>
        <w:rPr>
          <w:rFonts w:hint="eastAsia" w:ascii="宋体" w:hAnsi="宋体"/>
          <w:b/>
          <w:color w:val="000000"/>
          <w:szCs w:val="21"/>
          <w:u w:val="single"/>
        </w:rPr>
        <w:t>医院</w:t>
      </w:r>
      <w:r>
        <w:rPr>
          <w:rFonts w:hint="eastAsia" w:ascii="宋体" w:hAnsi="宋体"/>
          <w:color w:val="000000"/>
          <w:szCs w:val="21"/>
        </w:rPr>
        <w:t>：</w:t>
      </w:r>
    </w:p>
    <w:p w14:paraId="40F8B665">
      <w:pPr>
        <w:spacing w:after="156" w:afterLines="50"/>
        <w:ind w:firstLine="420" w:firstLineChars="200"/>
        <w:rPr>
          <w:rFonts w:ascii="宋体" w:hAnsi="宋体"/>
          <w:color w:val="000000"/>
          <w:szCs w:val="21"/>
        </w:rPr>
      </w:pPr>
      <w:r>
        <w:rPr>
          <w:rFonts w:hint="eastAsia" w:ascii="宋体" w:hAnsi="宋体"/>
          <w:color w:val="000000"/>
          <w:szCs w:val="21"/>
        </w:rPr>
        <w:t>根据贵方“</w:t>
      </w:r>
      <w:r>
        <w:rPr>
          <w:rFonts w:ascii="宋体" w:hAnsi="宋体"/>
          <w:color w:val="000000"/>
          <w:szCs w:val="21"/>
          <w:u w:val="single"/>
        </w:rPr>
        <w:t>    </w:t>
      </w:r>
      <w:r>
        <w:rPr>
          <w:rFonts w:hint="eastAsia" w:ascii="宋体" w:hAnsi="宋体"/>
          <w:color w:val="000000"/>
          <w:szCs w:val="21"/>
        </w:rPr>
        <w:t>”的采购公告，正式授权</w:t>
      </w:r>
      <w:r>
        <w:rPr>
          <w:rFonts w:ascii="宋体" w:hAnsi="宋体"/>
          <w:color w:val="000000"/>
          <w:szCs w:val="21"/>
          <w:u w:val="single"/>
        </w:rPr>
        <w:t>   </w:t>
      </w:r>
      <w:r>
        <w:rPr>
          <w:rFonts w:hint="eastAsia" w:ascii="宋体" w:hAnsi="宋体"/>
          <w:color w:val="000000"/>
          <w:szCs w:val="21"/>
        </w:rPr>
        <w:t>（姓名）代表投标人参加该项目的投标活动。我方已详细审查全部采购文件和有关附件，据此我方郑重声明以下诸点，并对之负相应的法律责任。兹宣布同意如下：</w:t>
      </w:r>
    </w:p>
    <w:p w14:paraId="559839D6">
      <w:pPr>
        <w:spacing w:after="156" w:afterLines="50"/>
        <w:ind w:firstLine="420" w:firstLineChars="200"/>
        <w:rPr>
          <w:rFonts w:ascii="宋体" w:hAnsi="宋体"/>
          <w:color w:val="000000"/>
          <w:szCs w:val="21"/>
        </w:rPr>
      </w:pPr>
      <w:r>
        <w:rPr>
          <w:rFonts w:hint="eastAsia" w:ascii="宋体" w:hAnsi="宋体"/>
          <w:color w:val="000000"/>
          <w:szCs w:val="21"/>
        </w:rPr>
        <w:t>1、根据已收到贵方的项目编号为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的项目的采购需求书，遵照有关规定，我单位经考察现场和研究上述采购需求书的所有条例后，我方完全认可贵方提供的上述文件，并愿以分项报价清单要求承包上述项目并修补其任何缺陷。</w:t>
      </w:r>
    </w:p>
    <w:p w14:paraId="03CF659B">
      <w:pPr>
        <w:spacing w:after="156" w:afterLines="50"/>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、我方根据采购文件的规定，严格履行合同的责任和义务</w:t>
      </w:r>
      <w:r>
        <w:rPr>
          <w:rFonts w:ascii="宋体" w:hAnsi="宋体"/>
          <w:color w:val="000000"/>
          <w:szCs w:val="21"/>
        </w:rPr>
        <w:t>,</w:t>
      </w:r>
      <w:r>
        <w:rPr>
          <w:rFonts w:hint="eastAsia" w:ascii="宋体" w:hAnsi="宋体"/>
          <w:color w:val="000000"/>
          <w:szCs w:val="21"/>
        </w:rPr>
        <w:t>并保证于买方要求的内容提供服务。</w:t>
      </w:r>
    </w:p>
    <w:p w14:paraId="17AAC509">
      <w:pPr>
        <w:spacing w:after="156" w:afterLines="50"/>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、我方已详细审核全部采购文件，我方知道必须放弃提出含糊不清或误解的问题的权利。</w:t>
      </w:r>
    </w:p>
    <w:p w14:paraId="7DB0463A">
      <w:pPr>
        <w:spacing w:after="156" w:afterLines="50"/>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、我方同意从报价前须知附表中规定的采购日期起遵循本投标书，并在投标有效期之内均具有约束力。</w:t>
      </w:r>
    </w:p>
    <w:p w14:paraId="0A544EF9">
      <w:pPr>
        <w:spacing w:after="156" w:afterLines="50"/>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、我方同意所递交的应答文件在规定的应答有效期内有效，在此期间内我方的应答有可能成交，我方将受此约束。</w:t>
      </w:r>
    </w:p>
    <w:p w14:paraId="779C2338">
      <w:pPr>
        <w:spacing w:after="156" w:afterLines="50"/>
        <w:ind w:firstLine="420" w:firstLineChars="200"/>
        <w:rPr>
          <w:rFonts w:ascii="宋体" w:hAnsi="宋体"/>
          <w:color w:val="000000"/>
          <w:szCs w:val="21"/>
        </w:rPr>
      </w:pPr>
      <w:r>
        <w:rPr>
          <w:rFonts w:ascii="宋体" w:hAnsi="宋体"/>
          <w:color w:val="000000"/>
          <w:szCs w:val="21"/>
        </w:rPr>
        <w:t>6</w:t>
      </w:r>
      <w:r>
        <w:rPr>
          <w:rFonts w:hint="eastAsia" w:ascii="宋体" w:hAnsi="宋体"/>
          <w:color w:val="000000"/>
          <w:szCs w:val="21"/>
        </w:rPr>
        <w:t>、我方同意向贵方提供贵方可能另外要求的与其投标有关的任何证据或资料。</w:t>
      </w:r>
    </w:p>
    <w:p w14:paraId="7B075B0E">
      <w:pPr>
        <w:spacing w:after="156" w:afterLines="50"/>
        <w:ind w:firstLine="420" w:firstLineChars="200"/>
        <w:rPr>
          <w:rFonts w:ascii="宋体" w:hAnsi="宋体"/>
          <w:color w:val="000000"/>
          <w:szCs w:val="21"/>
        </w:rPr>
      </w:pPr>
      <w:r>
        <w:rPr>
          <w:rFonts w:ascii="宋体" w:hAnsi="宋体"/>
          <w:color w:val="000000"/>
          <w:szCs w:val="21"/>
        </w:rPr>
        <w:t>7</w:t>
      </w:r>
      <w:r>
        <w:rPr>
          <w:rFonts w:hint="eastAsia" w:ascii="宋体" w:hAnsi="宋体"/>
          <w:color w:val="000000"/>
          <w:szCs w:val="21"/>
        </w:rPr>
        <w:t>、我方保证，至采购公告发布之日止，不存在被列入失信被执行人、重大税收违法案件当事人名单、政府采购严重违法失信行为记录名单及其他不符合《中华人民共和国政府采购法》第二十二条规定条件的情况。</w:t>
      </w:r>
    </w:p>
    <w:p w14:paraId="49B7EA05">
      <w:pPr>
        <w:spacing w:after="156" w:afterLines="50"/>
        <w:ind w:firstLine="420" w:firstLineChars="200"/>
        <w:rPr>
          <w:rFonts w:ascii="宋体" w:hAnsi="宋体"/>
          <w:color w:val="000000"/>
          <w:szCs w:val="21"/>
        </w:rPr>
      </w:pPr>
      <w:r>
        <w:rPr>
          <w:rFonts w:ascii="宋体" w:hAnsi="宋体"/>
          <w:color w:val="000000"/>
          <w:szCs w:val="21"/>
        </w:rPr>
        <w:t>8</w:t>
      </w:r>
      <w:r>
        <w:rPr>
          <w:rFonts w:hint="eastAsia" w:ascii="宋体" w:hAnsi="宋体"/>
          <w:color w:val="000000"/>
          <w:szCs w:val="21"/>
        </w:rPr>
        <w:t>、在本项目应答过程中，不弄虚作假，不隐瞒真实情况，不围标串标，不恶意质疑投诉。我方已清楚，如违反上述要求，贵方有权废除我方的应答资格。</w:t>
      </w:r>
    </w:p>
    <w:p w14:paraId="1D3AEEA2">
      <w:pPr>
        <w:wordWrap w:val="0"/>
        <w:spacing w:after="156" w:afterLines="50"/>
        <w:jc w:val="both"/>
        <w:rPr>
          <w:rFonts w:hint="eastAsia" w:ascii="宋体" w:hAnsi="宋体"/>
          <w:color w:val="000000"/>
          <w:szCs w:val="21"/>
        </w:rPr>
      </w:pPr>
      <w:r>
        <w:rPr>
          <w:rFonts w:hint="eastAsia" w:ascii="宋体" w:hAnsi="宋体"/>
          <w:color w:val="000000"/>
          <w:szCs w:val="21"/>
        </w:rPr>
        <w:t xml:space="preserve">             </w:t>
      </w:r>
    </w:p>
    <w:p w14:paraId="3D8AA9A3">
      <w:pPr>
        <w:wordWrap w:val="0"/>
        <w:spacing w:after="156" w:afterLines="50"/>
        <w:jc w:val="center"/>
        <w:rPr>
          <w:rFonts w:hint="eastAsia" w:ascii="宋体" w:hAnsi="宋体"/>
          <w:color w:val="000000"/>
          <w:szCs w:val="21"/>
        </w:rPr>
      </w:pP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投标单位：（公章） </w:t>
      </w:r>
      <w:r>
        <w:rPr>
          <w:rFonts w:ascii="宋体" w:hAnsi="宋体"/>
          <w:color w:val="000000"/>
          <w:szCs w:val="21"/>
        </w:rPr>
        <w:t xml:space="preserve"> </w:t>
      </w:r>
    </w:p>
    <w:p w14:paraId="4F406B3A">
      <w:pPr>
        <w:pStyle w:val="2"/>
        <w:spacing w:after="0" w:line="276" w:lineRule="auto"/>
        <w:ind w:right="420" w:firstLine="6300" w:firstLineChars="3000"/>
        <w:rPr>
          <w:rFonts w:hint="default"/>
          <w:color w:val="000000"/>
          <w:szCs w:val="21"/>
        </w:rPr>
      </w:pPr>
      <w:r>
        <w:rPr>
          <w:rFonts w:ascii="宋体" w:hAnsi="宋体"/>
          <w:color w:val="000000"/>
          <w:szCs w:val="21"/>
        </w:rPr>
        <w:t>日期：</w:t>
      </w:r>
      <w:r>
        <w:rPr>
          <w:rFonts w:ascii="仿宋_GB2312" w:hAnsi="宋体" w:eastAsia="仿宋_GB2312"/>
          <w:color w:val="000000"/>
          <w:szCs w:val="21"/>
        </w:rPr>
        <w:t> </w:t>
      </w:r>
    </w:p>
    <w:p w14:paraId="1931CF3B">
      <w:pPr>
        <w:numPr>
          <w:ilvl w:val="0"/>
          <w:numId w:val="0"/>
        </w:numPr>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2E275DB1">
      <w:pPr>
        <w:numPr>
          <w:ilvl w:val="0"/>
          <w:numId w:val="0"/>
        </w:numPr>
        <w:ind w:leftChars="0"/>
        <w:jc w:val="both"/>
        <w:rPr>
          <w:rFonts w:hint="eastAsia" w:ascii="宋体" w:hAnsi="宋体" w:eastAsia="宋体" w:cs="宋体"/>
          <w:color w:val="auto"/>
          <w:sz w:val="24"/>
          <w:szCs w:val="24"/>
          <w:lang w:val="en-US" w:eastAsia="zh-CN"/>
        </w:rPr>
      </w:pPr>
    </w:p>
    <w:p w14:paraId="5CD46BDB">
      <w:pPr>
        <w:numPr>
          <w:ilvl w:val="0"/>
          <w:numId w:val="0"/>
        </w:numPr>
        <w:ind w:leftChars="0"/>
        <w:jc w:val="both"/>
        <w:rPr>
          <w:rFonts w:hint="eastAsia" w:ascii="宋体" w:hAnsi="宋体" w:eastAsia="宋体" w:cs="宋体"/>
          <w:b/>
          <w:bCs/>
          <w:color w:val="auto"/>
          <w:sz w:val="26"/>
          <w:szCs w:val="26"/>
          <w:lang w:val="en-US" w:eastAsia="zh-CN"/>
        </w:rPr>
      </w:pPr>
      <w:r>
        <w:rPr>
          <w:rFonts w:hint="eastAsia" w:ascii="宋体" w:hAnsi="宋体" w:eastAsia="宋体" w:cs="宋体"/>
          <w:b/>
          <w:bCs/>
          <w:color w:val="auto"/>
          <w:sz w:val="26"/>
          <w:szCs w:val="26"/>
          <w:lang w:val="en-US" w:eastAsia="zh-CN"/>
        </w:rPr>
        <w:t>五、评分表</w:t>
      </w:r>
    </w:p>
    <w:p w14:paraId="40B62454">
      <w:pPr>
        <w:numPr>
          <w:ilvl w:val="0"/>
          <w:numId w:val="0"/>
        </w:numPr>
        <w:jc w:val="both"/>
        <w:rPr>
          <w:rFonts w:hint="default" w:ascii="宋体" w:hAnsi="宋体" w:eastAsia="宋体" w:cs="宋体"/>
          <w:color w:val="auto"/>
          <w:sz w:val="26"/>
          <w:szCs w:val="26"/>
          <w:lang w:val="en-US" w:eastAsia="zh-CN"/>
        </w:rPr>
      </w:pPr>
      <w:r>
        <w:rPr>
          <w:rFonts w:hint="default" w:ascii="宋体" w:hAnsi="宋体" w:eastAsia="宋体" w:cs="宋体"/>
          <w:color w:val="auto"/>
          <w:sz w:val="26"/>
          <w:szCs w:val="26"/>
          <w:lang w:val="en-US" w:eastAsia="zh-CN"/>
        </w:rPr>
        <w:t>评标方法：综合评分法</w:t>
      </w:r>
    </w:p>
    <w:p w14:paraId="4655A30A">
      <w:pPr>
        <w:numPr>
          <w:ilvl w:val="0"/>
          <w:numId w:val="0"/>
        </w:numPr>
        <w:jc w:val="both"/>
        <w:rPr>
          <w:rFonts w:hint="default" w:ascii="宋体" w:hAnsi="宋体" w:eastAsia="宋体" w:cs="宋体"/>
          <w:color w:val="auto"/>
          <w:sz w:val="26"/>
          <w:szCs w:val="26"/>
          <w:lang w:val="en-US" w:eastAsia="zh-CN"/>
        </w:rPr>
      </w:pPr>
      <w:r>
        <w:rPr>
          <w:rFonts w:hint="default" w:ascii="宋体" w:hAnsi="宋体" w:eastAsia="宋体" w:cs="宋体"/>
          <w:color w:val="auto"/>
          <w:sz w:val="26"/>
          <w:szCs w:val="26"/>
          <w:lang w:val="en-US" w:eastAsia="zh-CN"/>
        </w:rPr>
        <w:t>评标方法说明：</w:t>
      </w:r>
    </w:p>
    <w:p w14:paraId="487C12C5">
      <w:pPr>
        <w:numPr>
          <w:ilvl w:val="0"/>
          <w:numId w:val="0"/>
        </w:numPr>
        <w:jc w:val="both"/>
        <w:rPr>
          <w:rFonts w:hint="default" w:ascii="宋体" w:hAnsi="宋体" w:eastAsia="宋体" w:cs="宋体"/>
          <w:color w:val="auto"/>
          <w:sz w:val="26"/>
          <w:szCs w:val="26"/>
          <w:lang w:val="en-US" w:eastAsia="zh-CN"/>
        </w:rPr>
      </w:pPr>
      <w:r>
        <w:rPr>
          <w:rFonts w:hint="default" w:ascii="宋体" w:hAnsi="宋体" w:eastAsia="宋体" w:cs="宋体"/>
          <w:color w:val="auto"/>
          <w:sz w:val="26"/>
          <w:szCs w:val="26"/>
          <w:lang w:val="en-US" w:eastAsia="zh-CN"/>
        </w:rPr>
        <w:t>综合评分法中的价格分统一采用低价优先法计算,即满足采购文件要求且投标价格最低的投标报价为评标基准价,其价格分为满分。其他投标人的价格分统一按照下列公式计算：投标报价得分=(评标基准价/投标报价)×权重</w:t>
      </w:r>
    </w:p>
    <w:tbl>
      <w:tblPr>
        <w:tblStyle w:val="4"/>
        <w:tblW w:w="102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40"/>
        <w:gridCol w:w="440"/>
        <w:gridCol w:w="1840"/>
        <w:gridCol w:w="650"/>
        <w:gridCol w:w="636"/>
        <w:gridCol w:w="267"/>
        <w:gridCol w:w="6025"/>
      </w:tblGrid>
      <w:tr w14:paraId="0A3713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53" w:hRule="atLeast"/>
          <w:jc w:val="center"/>
        </w:trPr>
        <w:tc>
          <w:tcPr>
            <w:tcW w:w="44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AB12A44">
            <w:pPr>
              <w:wordWrap w:val="0"/>
              <w:jc w:val="center"/>
              <w:rPr>
                <w:rFonts w:ascii="宋体" w:hAnsi="宋体" w:cs="宋体"/>
                <w:b/>
                <w:bCs/>
                <w:sz w:val="24"/>
              </w:rPr>
            </w:pPr>
            <w:r>
              <w:rPr>
                <w:b/>
                <w:bCs/>
              </w:rPr>
              <w:t>序号</w:t>
            </w:r>
          </w:p>
        </w:tc>
        <w:tc>
          <w:tcPr>
            <w:tcW w:w="2930"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237D4054">
            <w:pPr>
              <w:wordWrap w:val="0"/>
              <w:jc w:val="center"/>
              <w:rPr>
                <w:rFonts w:ascii="宋体" w:hAnsi="宋体" w:cs="宋体"/>
                <w:b/>
                <w:bCs/>
                <w:sz w:val="24"/>
              </w:rPr>
            </w:pPr>
            <w:r>
              <w:rPr>
                <w:b/>
                <w:bCs/>
              </w:rPr>
              <w:t>评分项</w:t>
            </w:r>
          </w:p>
        </w:tc>
        <w:tc>
          <w:tcPr>
            <w:tcW w:w="692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4C44B105">
            <w:pPr>
              <w:wordWrap w:val="0"/>
              <w:jc w:val="center"/>
              <w:rPr>
                <w:rFonts w:ascii="宋体" w:hAnsi="宋体" w:cs="宋体"/>
                <w:b/>
                <w:bCs/>
                <w:sz w:val="24"/>
              </w:rPr>
            </w:pPr>
            <w:r>
              <w:rPr>
                <w:b/>
                <w:bCs/>
              </w:rPr>
              <w:t>权重</w:t>
            </w:r>
          </w:p>
        </w:tc>
      </w:tr>
      <w:tr w14:paraId="2DD50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5" w:hRule="atLeast"/>
          <w:jc w:val="center"/>
        </w:trPr>
        <w:tc>
          <w:tcPr>
            <w:tcW w:w="440" w:type="dxa"/>
            <w:vMerge w:val="restart"/>
            <w:tcBorders>
              <w:top w:val="single" w:color="000000" w:sz="8" w:space="0"/>
              <w:left w:val="single" w:color="000000" w:sz="8" w:space="0"/>
              <w:bottom w:val="single" w:color="000000" w:sz="8" w:space="0"/>
              <w:right w:val="single" w:color="000000" w:sz="8" w:space="0"/>
            </w:tcBorders>
          </w:tcPr>
          <w:p w14:paraId="2C2758EC">
            <w:pPr>
              <w:wordWrap w:val="0"/>
              <w:jc w:val="center"/>
              <w:rPr>
                <w:rFonts w:ascii="宋体" w:hAnsi="宋体" w:cs="宋体"/>
                <w:b/>
                <w:bCs/>
                <w:color w:val="0000FF"/>
                <w:sz w:val="24"/>
              </w:rPr>
            </w:pPr>
            <w:r>
              <w:rPr>
                <w:b/>
                <w:bCs/>
                <w:color w:val="0000FF"/>
              </w:rPr>
              <w:t>1</w:t>
            </w:r>
          </w:p>
        </w:tc>
        <w:tc>
          <w:tcPr>
            <w:tcW w:w="2930" w:type="dxa"/>
            <w:gridSpan w:val="3"/>
            <w:tcBorders>
              <w:top w:val="single" w:color="000000" w:sz="8" w:space="0"/>
              <w:left w:val="single" w:color="000000" w:sz="8" w:space="0"/>
              <w:bottom w:val="single" w:color="000000" w:sz="8" w:space="0"/>
              <w:right w:val="single" w:color="000000" w:sz="8" w:space="0"/>
            </w:tcBorders>
          </w:tcPr>
          <w:p w14:paraId="1CC9FDC7">
            <w:pPr>
              <w:wordWrap w:val="0"/>
              <w:jc w:val="center"/>
              <w:rPr>
                <w:rFonts w:ascii="宋体" w:hAnsi="宋体" w:cs="宋体"/>
                <w:b/>
                <w:bCs/>
                <w:color w:val="0000FF"/>
                <w:sz w:val="24"/>
              </w:rPr>
            </w:pPr>
            <w:r>
              <w:rPr>
                <w:b/>
                <w:bCs/>
                <w:color w:val="0000FF"/>
              </w:rPr>
              <w:t>价格</w:t>
            </w:r>
          </w:p>
        </w:tc>
        <w:tc>
          <w:tcPr>
            <w:tcW w:w="6928" w:type="dxa"/>
            <w:gridSpan w:val="3"/>
            <w:tcBorders>
              <w:top w:val="single" w:color="000000" w:sz="8" w:space="0"/>
              <w:left w:val="single" w:color="000000" w:sz="8" w:space="0"/>
              <w:bottom w:val="single" w:color="000000" w:sz="8" w:space="0"/>
              <w:right w:val="single" w:color="000000" w:sz="8" w:space="0"/>
            </w:tcBorders>
          </w:tcPr>
          <w:p w14:paraId="202086B5">
            <w:pPr>
              <w:wordWrap w:val="0"/>
              <w:jc w:val="center"/>
              <w:rPr>
                <w:rFonts w:hint="default" w:ascii="宋体" w:hAnsi="宋体" w:eastAsia="宋体" w:cs="宋体"/>
                <w:b/>
                <w:bCs/>
                <w:color w:val="0000FF"/>
                <w:sz w:val="24"/>
                <w:lang w:val="en-US" w:eastAsia="zh-CN"/>
              </w:rPr>
            </w:pPr>
            <w:r>
              <w:rPr>
                <w:rFonts w:hint="eastAsia"/>
                <w:b/>
                <w:bCs/>
                <w:color w:val="0000FF"/>
                <w:highlight w:val="yellow"/>
                <w:lang w:val="en-US" w:eastAsia="zh-CN"/>
              </w:rPr>
              <w:t>10</w:t>
            </w:r>
          </w:p>
        </w:tc>
      </w:tr>
      <w:tr w14:paraId="4B42D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5"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00F0B1E4">
            <w:pPr>
              <w:rPr>
                <w:rFonts w:ascii="宋体" w:hAnsi="宋体" w:cs="宋体"/>
                <w:b/>
                <w:bCs/>
                <w:color w:val="0000FF"/>
                <w:sz w:val="24"/>
              </w:rPr>
            </w:pPr>
          </w:p>
        </w:tc>
        <w:tc>
          <w:tcPr>
            <w:tcW w:w="9858" w:type="dxa"/>
            <w:gridSpan w:val="6"/>
            <w:tcBorders>
              <w:top w:val="single" w:color="000000" w:sz="8" w:space="0"/>
              <w:left w:val="single" w:color="000000" w:sz="8" w:space="0"/>
              <w:bottom w:val="single" w:color="000000" w:sz="8" w:space="0"/>
              <w:right w:val="single" w:color="000000" w:sz="8" w:space="0"/>
            </w:tcBorders>
          </w:tcPr>
          <w:p w14:paraId="0CC0BF75">
            <w:pPr>
              <w:wordWrap w:val="0"/>
              <w:rPr>
                <w:rFonts w:ascii="宋体" w:hAnsi="宋体" w:cs="宋体"/>
                <w:szCs w:val="21"/>
              </w:rPr>
            </w:pPr>
          </w:p>
        </w:tc>
      </w:tr>
      <w:tr w14:paraId="09190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5" w:hRule="atLeast"/>
          <w:jc w:val="center"/>
        </w:trPr>
        <w:tc>
          <w:tcPr>
            <w:tcW w:w="440" w:type="dxa"/>
            <w:vMerge w:val="restart"/>
            <w:tcBorders>
              <w:top w:val="single" w:color="000000" w:sz="8" w:space="0"/>
              <w:left w:val="single" w:color="000000" w:sz="8" w:space="0"/>
              <w:bottom w:val="single" w:color="000000" w:sz="8" w:space="0"/>
              <w:right w:val="single" w:color="000000" w:sz="8" w:space="0"/>
            </w:tcBorders>
          </w:tcPr>
          <w:p w14:paraId="7073DA1F">
            <w:pPr>
              <w:wordWrap w:val="0"/>
              <w:jc w:val="center"/>
              <w:rPr>
                <w:rFonts w:ascii="宋体" w:hAnsi="宋体" w:cs="宋体"/>
                <w:b/>
                <w:bCs/>
                <w:color w:val="0000FF"/>
                <w:sz w:val="24"/>
              </w:rPr>
            </w:pPr>
            <w:r>
              <w:rPr>
                <w:b/>
                <w:bCs/>
                <w:color w:val="0000FF"/>
              </w:rPr>
              <w:t>2</w:t>
            </w:r>
          </w:p>
        </w:tc>
        <w:tc>
          <w:tcPr>
            <w:tcW w:w="2930" w:type="dxa"/>
            <w:gridSpan w:val="3"/>
            <w:tcBorders>
              <w:top w:val="single" w:color="000000" w:sz="8" w:space="0"/>
              <w:left w:val="single" w:color="000000" w:sz="8" w:space="0"/>
              <w:bottom w:val="single" w:color="000000" w:sz="8" w:space="0"/>
              <w:right w:val="single" w:color="000000" w:sz="8" w:space="0"/>
            </w:tcBorders>
          </w:tcPr>
          <w:p w14:paraId="08E216CC">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6928" w:type="dxa"/>
            <w:gridSpan w:val="3"/>
            <w:tcBorders>
              <w:top w:val="single" w:color="000000" w:sz="8" w:space="0"/>
              <w:left w:val="single" w:color="000000" w:sz="8" w:space="0"/>
              <w:bottom w:val="single" w:color="000000" w:sz="8" w:space="0"/>
              <w:right w:val="single" w:color="000000" w:sz="8" w:space="0"/>
            </w:tcBorders>
          </w:tcPr>
          <w:p w14:paraId="7B24885F">
            <w:pPr>
              <w:wordWrap w:val="0"/>
              <w:jc w:val="center"/>
              <w:rPr>
                <w:rFonts w:hint="default" w:ascii="宋体" w:hAnsi="宋体" w:eastAsia="宋体" w:cs="宋体"/>
                <w:b/>
                <w:bCs/>
                <w:color w:val="0000FF"/>
                <w:sz w:val="24"/>
                <w:lang w:val="en-US" w:eastAsia="zh-CN"/>
              </w:rPr>
            </w:pPr>
            <w:r>
              <w:rPr>
                <w:rFonts w:hint="eastAsia"/>
                <w:b/>
                <w:bCs/>
                <w:color w:val="0000FF"/>
                <w:highlight w:val="yellow"/>
                <w:lang w:val="en-US" w:eastAsia="zh-CN"/>
              </w:rPr>
              <w:t>60</w:t>
            </w:r>
          </w:p>
        </w:tc>
      </w:tr>
      <w:tr w14:paraId="4F6BA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5"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327DE6E0">
            <w:pPr>
              <w:rPr>
                <w:rFonts w:ascii="宋体" w:hAnsi="宋体" w:cs="宋体"/>
                <w:b/>
                <w:bCs/>
                <w:color w:val="0000FF"/>
                <w:sz w:val="24"/>
              </w:rPr>
            </w:pPr>
          </w:p>
        </w:tc>
        <w:tc>
          <w:tcPr>
            <w:tcW w:w="9858" w:type="dxa"/>
            <w:gridSpan w:val="6"/>
            <w:tcBorders>
              <w:top w:val="single" w:color="000000" w:sz="8" w:space="0"/>
              <w:left w:val="single" w:color="000000" w:sz="8" w:space="0"/>
              <w:bottom w:val="single" w:color="000000" w:sz="8" w:space="0"/>
              <w:right w:val="single" w:color="000000" w:sz="8" w:space="0"/>
            </w:tcBorders>
          </w:tcPr>
          <w:p w14:paraId="228C30A4">
            <w:pPr>
              <w:wordWrap w:val="0"/>
              <w:rPr>
                <w:rFonts w:ascii="宋体" w:hAnsi="宋体" w:cs="宋体"/>
                <w:szCs w:val="21"/>
              </w:rPr>
            </w:pPr>
          </w:p>
        </w:tc>
      </w:tr>
      <w:tr w14:paraId="5E191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5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EAB9E7A">
            <w:pPr>
              <w:rPr>
                <w:rFonts w:ascii="宋体" w:hAnsi="宋体" w:cs="宋体"/>
                <w:b/>
                <w:bCs/>
                <w:color w:val="0000FF"/>
                <w:sz w:val="24"/>
              </w:rPr>
            </w:pPr>
          </w:p>
        </w:tc>
        <w:tc>
          <w:tcPr>
            <w:tcW w:w="44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4026CE2">
            <w:pPr>
              <w:wordWrap w:val="0"/>
              <w:jc w:val="center"/>
              <w:rPr>
                <w:rFonts w:ascii="宋体" w:hAnsi="宋体" w:cs="宋体"/>
                <w:szCs w:val="21"/>
              </w:rPr>
            </w:pPr>
            <w:r>
              <w:rPr>
                <w:szCs w:val="21"/>
              </w:rPr>
              <w:t>序号</w:t>
            </w:r>
          </w:p>
        </w:tc>
        <w:tc>
          <w:tcPr>
            <w:tcW w:w="184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A526EAF">
            <w:pPr>
              <w:wordWrap w:val="0"/>
              <w:jc w:val="center"/>
              <w:rPr>
                <w:rFonts w:ascii="宋体" w:hAnsi="宋体" w:cs="宋体"/>
                <w:szCs w:val="21"/>
              </w:rPr>
            </w:pPr>
            <w:r>
              <w:rPr>
                <w:szCs w:val="21"/>
              </w:rPr>
              <w:t>评分因素</w:t>
            </w:r>
          </w:p>
        </w:tc>
        <w:tc>
          <w:tcPr>
            <w:tcW w:w="65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7258EC4">
            <w:pPr>
              <w:wordWrap w:val="0"/>
              <w:jc w:val="center"/>
              <w:rPr>
                <w:rFonts w:ascii="宋体" w:hAnsi="宋体" w:cs="宋体"/>
                <w:szCs w:val="21"/>
              </w:rPr>
            </w:pPr>
            <w:r>
              <w:rPr>
                <w:szCs w:val="21"/>
              </w:rPr>
              <w:t>权重</w:t>
            </w:r>
          </w:p>
        </w:tc>
        <w:tc>
          <w:tcPr>
            <w:tcW w:w="903"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080A00AA">
            <w:pPr>
              <w:wordWrap w:val="0"/>
              <w:jc w:val="center"/>
              <w:rPr>
                <w:rFonts w:hint="eastAsia"/>
                <w:szCs w:val="21"/>
                <w:lang w:val="en-US" w:eastAsia="zh-CN"/>
              </w:rPr>
            </w:pPr>
            <w:r>
              <w:rPr>
                <w:rFonts w:hint="eastAsia"/>
                <w:szCs w:val="21"/>
                <w:lang w:val="en-US" w:eastAsia="zh-CN"/>
              </w:rPr>
              <w:t>评分</w:t>
            </w:r>
          </w:p>
          <w:p w14:paraId="0083A2E2">
            <w:pPr>
              <w:wordWrap w:val="0"/>
              <w:jc w:val="center"/>
              <w:rPr>
                <w:rFonts w:hint="default" w:eastAsiaTheme="minorEastAsia"/>
                <w:szCs w:val="21"/>
                <w:lang w:val="en-US" w:eastAsia="zh-CN"/>
              </w:rPr>
            </w:pPr>
            <w:r>
              <w:rPr>
                <w:rFonts w:hint="eastAsia"/>
                <w:szCs w:val="21"/>
                <w:lang w:val="en-US" w:eastAsia="zh-CN"/>
              </w:rPr>
              <w:t>方式</w:t>
            </w:r>
          </w:p>
        </w:tc>
        <w:tc>
          <w:tcPr>
            <w:tcW w:w="602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4E834CD">
            <w:pPr>
              <w:wordWrap w:val="0"/>
              <w:jc w:val="center"/>
              <w:rPr>
                <w:rFonts w:ascii="宋体" w:hAnsi="宋体" w:cs="宋体"/>
                <w:szCs w:val="21"/>
              </w:rPr>
            </w:pPr>
            <w:r>
              <w:rPr>
                <w:szCs w:val="21"/>
              </w:rPr>
              <w:t>评分准则</w:t>
            </w:r>
          </w:p>
        </w:tc>
      </w:tr>
      <w:tr w14:paraId="4AD708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15"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682FA850">
            <w:pPr>
              <w:rPr>
                <w:rFonts w:ascii="宋体" w:hAnsi="宋体" w:cs="宋体"/>
                <w:b/>
                <w:bCs/>
                <w:color w:val="0000FF"/>
                <w:sz w:val="24"/>
              </w:rPr>
            </w:pPr>
          </w:p>
        </w:tc>
        <w:tc>
          <w:tcPr>
            <w:tcW w:w="440" w:type="dxa"/>
            <w:tcBorders>
              <w:top w:val="single" w:color="000000" w:sz="8" w:space="0"/>
              <w:left w:val="single" w:color="000000" w:sz="8" w:space="0"/>
              <w:bottom w:val="single" w:color="000000" w:sz="8" w:space="0"/>
              <w:right w:val="single" w:color="000000" w:sz="8" w:space="0"/>
            </w:tcBorders>
            <w:vAlign w:val="center"/>
          </w:tcPr>
          <w:p w14:paraId="15304667">
            <w:pPr>
              <w:wordWrap w:val="0"/>
              <w:jc w:val="center"/>
              <w:rPr>
                <w:rFonts w:ascii="宋体" w:hAnsi="宋体" w:cs="宋体"/>
                <w:szCs w:val="21"/>
              </w:rPr>
            </w:pPr>
            <w:r>
              <w:rPr>
                <w:rFonts w:hint="eastAsia" w:ascii="宋体" w:hAnsi="宋体" w:cs="宋体"/>
                <w:szCs w:val="21"/>
              </w:rPr>
              <w:t>1</w:t>
            </w:r>
          </w:p>
        </w:tc>
        <w:tc>
          <w:tcPr>
            <w:tcW w:w="1840" w:type="dxa"/>
            <w:tcBorders>
              <w:top w:val="single" w:color="000000" w:sz="8" w:space="0"/>
              <w:left w:val="single" w:color="000000" w:sz="8" w:space="0"/>
              <w:bottom w:val="single" w:color="000000" w:sz="8" w:space="0"/>
              <w:right w:val="single" w:color="000000" w:sz="8" w:space="0"/>
            </w:tcBorders>
            <w:vAlign w:val="center"/>
          </w:tcPr>
          <w:p w14:paraId="7FDE592F">
            <w:pPr>
              <w:wordWrap w:val="0"/>
              <w:jc w:val="center"/>
              <w:rPr>
                <w:rFonts w:ascii="宋体" w:hAnsi="宋体" w:cs="宋体"/>
                <w:szCs w:val="21"/>
              </w:rPr>
            </w:pPr>
            <w:r>
              <w:rPr>
                <w:rFonts w:hint="eastAsia"/>
                <w:color w:val="000000"/>
                <w:kern w:val="0"/>
              </w:rPr>
              <w:t>项目实施方案</w:t>
            </w:r>
          </w:p>
        </w:tc>
        <w:tc>
          <w:tcPr>
            <w:tcW w:w="650" w:type="dxa"/>
            <w:tcBorders>
              <w:top w:val="single" w:color="000000" w:sz="8" w:space="0"/>
              <w:left w:val="single" w:color="000000" w:sz="8" w:space="0"/>
              <w:bottom w:val="single" w:color="000000" w:sz="8" w:space="0"/>
              <w:right w:val="single" w:color="000000" w:sz="8" w:space="0"/>
            </w:tcBorders>
            <w:vAlign w:val="center"/>
          </w:tcPr>
          <w:p w14:paraId="0CC91EDA">
            <w:pPr>
              <w:widowControl/>
              <w:jc w:val="center"/>
              <w:rPr>
                <w:rFonts w:hint="default" w:ascii="宋体" w:hAnsi="宋体" w:cs="宋体"/>
                <w:szCs w:val="21"/>
                <w:lang w:val="en-US" w:eastAsia="zh-CN"/>
              </w:rPr>
            </w:pPr>
            <w:r>
              <w:rPr>
                <w:rFonts w:hint="eastAsia" w:ascii="宋体" w:hAnsi="宋体" w:cs="宋体"/>
                <w:szCs w:val="21"/>
                <w:lang w:val="en-US" w:eastAsia="zh-CN"/>
              </w:rPr>
              <w:t>25</w:t>
            </w:r>
          </w:p>
        </w:tc>
        <w:tc>
          <w:tcPr>
            <w:tcW w:w="903" w:type="dxa"/>
            <w:gridSpan w:val="2"/>
            <w:tcBorders>
              <w:top w:val="single" w:color="000000" w:sz="8" w:space="0"/>
              <w:left w:val="single" w:color="000000" w:sz="8" w:space="0"/>
              <w:bottom w:val="single" w:color="000000" w:sz="8" w:space="0"/>
              <w:right w:val="single" w:color="000000" w:sz="8" w:space="0"/>
            </w:tcBorders>
            <w:vAlign w:val="center"/>
          </w:tcPr>
          <w:p w14:paraId="3E073B0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专家</w:t>
            </w:r>
          </w:p>
          <w:p w14:paraId="5DEBD729">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打分</w:t>
            </w:r>
          </w:p>
        </w:tc>
        <w:tc>
          <w:tcPr>
            <w:tcW w:w="6025" w:type="dxa"/>
            <w:tcBorders>
              <w:top w:val="single" w:color="000000" w:sz="8" w:space="0"/>
              <w:left w:val="single" w:color="000000" w:sz="8" w:space="0"/>
              <w:bottom w:val="single" w:color="000000" w:sz="8" w:space="0"/>
              <w:right w:val="single" w:color="000000" w:sz="8" w:space="0"/>
            </w:tcBorders>
          </w:tcPr>
          <w:p w14:paraId="0ECDCAA7">
            <w:pPr>
              <w:widowControl/>
              <w:numPr>
                <w:ilvl w:val="0"/>
                <w:numId w:val="2"/>
              </w:numPr>
              <w:jc w:val="left"/>
              <w:rPr>
                <w:rFonts w:hint="eastAsia" w:ascii="仿宋" w:hAnsi="仿宋" w:eastAsia="仿宋" w:cs="仿宋"/>
                <w:kern w:val="0"/>
                <w:szCs w:val="21"/>
              </w:rPr>
            </w:pPr>
            <w:r>
              <w:rPr>
                <w:rFonts w:hint="eastAsia" w:ascii="仿宋" w:hAnsi="仿宋" w:eastAsia="仿宋" w:cs="仿宋"/>
                <w:kern w:val="0"/>
                <w:szCs w:val="21"/>
              </w:rPr>
              <w:t>评分内容：结合项目实际情况，考察业务服务重难点的预见和处理办法等，包括但不限于:</w:t>
            </w:r>
          </w:p>
          <w:p w14:paraId="39971142">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rPr>
              <w:t>①项目整体实施计划</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可得5分。</w:t>
            </w:r>
          </w:p>
          <w:p w14:paraId="2AD26507">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rPr>
              <w:t>②</w:t>
            </w:r>
            <w:r>
              <w:rPr>
                <w:rFonts w:hint="eastAsia" w:ascii="仿宋" w:hAnsi="仿宋" w:eastAsia="仿宋" w:cs="仿宋"/>
                <w:kern w:val="0"/>
                <w:szCs w:val="21"/>
                <w:lang w:val="en-US" w:eastAsia="zh-CN"/>
              </w:rPr>
              <w:t>施工</w:t>
            </w:r>
            <w:r>
              <w:rPr>
                <w:rFonts w:hint="eastAsia" w:ascii="仿宋" w:hAnsi="仿宋" w:eastAsia="仿宋" w:cs="仿宋"/>
                <w:kern w:val="0"/>
                <w:szCs w:val="21"/>
              </w:rPr>
              <w:t>方案</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可得5分。</w:t>
            </w:r>
          </w:p>
          <w:p w14:paraId="1F6C6B7B">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rPr>
              <w:t>③安全生产情况</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可得5分。</w:t>
            </w:r>
          </w:p>
          <w:p w14:paraId="05369368">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rPr>
              <w:t>④应急预案</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可得5分。</w:t>
            </w:r>
          </w:p>
          <w:p w14:paraId="2E490C2B">
            <w:pPr>
              <w:widowControl/>
              <w:numPr>
                <w:ilvl w:val="0"/>
                <w:numId w:val="2"/>
              </w:numPr>
              <w:jc w:val="left"/>
              <w:rPr>
                <w:rFonts w:hint="eastAsia" w:ascii="仿宋" w:hAnsi="仿宋" w:eastAsia="仿宋" w:cs="仿宋"/>
                <w:kern w:val="0"/>
                <w:szCs w:val="21"/>
              </w:rPr>
            </w:pPr>
            <w:r>
              <w:rPr>
                <w:rFonts w:hint="eastAsia" w:ascii="仿宋" w:hAnsi="仿宋" w:eastAsia="仿宋" w:cs="仿宋"/>
                <w:kern w:val="0"/>
                <w:szCs w:val="21"/>
              </w:rPr>
              <w:t>评分</w:t>
            </w:r>
            <w:r>
              <w:rPr>
                <w:rFonts w:hint="eastAsia" w:ascii="仿宋" w:hAnsi="仿宋" w:eastAsia="仿宋" w:cs="仿宋"/>
                <w:kern w:val="0"/>
                <w:szCs w:val="21"/>
                <w:lang w:val="en-US" w:eastAsia="zh-CN"/>
              </w:rPr>
              <w:t>标准</w:t>
            </w:r>
            <w:r>
              <w:rPr>
                <w:rFonts w:hint="eastAsia" w:ascii="仿宋" w:hAnsi="仿宋" w:eastAsia="仿宋" w:cs="仿宋"/>
                <w:kern w:val="0"/>
                <w:szCs w:val="21"/>
              </w:rPr>
              <w:t>：</w:t>
            </w:r>
          </w:p>
          <w:p w14:paraId="2098E946">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1.提供以上4项内容得20分，未提供或缺项不得分。</w:t>
            </w:r>
          </w:p>
          <w:p w14:paraId="05675D74">
            <w:pPr>
              <w:widowControl/>
              <w:jc w:val="left"/>
              <w:rPr>
                <w:rFonts w:hint="eastAsia" w:ascii="仿宋" w:hAnsi="仿宋" w:eastAsia="仿宋" w:cs="仿宋"/>
                <w:kern w:val="0"/>
                <w:szCs w:val="21"/>
              </w:rPr>
            </w:pPr>
            <w:r>
              <w:rPr>
                <w:rFonts w:hint="eastAsia" w:ascii="仿宋" w:hAnsi="仿宋" w:eastAsia="仿宋" w:cs="仿宋"/>
                <w:kern w:val="0"/>
                <w:szCs w:val="21"/>
              </w:rPr>
              <w:t>2.在此基础上，专家根据各供应商的具体响应内容按照量化的评审因素指标进一步评审：</w:t>
            </w:r>
          </w:p>
          <w:p w14:paraId="376A1892">
            <w:pPr>
              <w:widowControl/>
              <w:jc w:val="left"/>
              <w:rPr>
                <w:rFonts w:hint="eastAsia" w:ascii="仿宋" w:hAnsi="仿宋" w:eastAsia="仿宋" w:cs="仿宋"/>
                <w:kern w:val="0"/>
                <w:szCs w:val="21"/>
              </w:rPr>
            </w:pPr>
            <w:r>
              <w:rPr>
                <w:rFonts w:hint="eastAsia" w:ascii="仿宋" w:hAnsi="仿宋" w:eastAsia="仿宋" w:cs="仿宋"/>
                <w:kern w:val="0"/>
                <w:szCs w:val="21"/>
              </w:rPr>
              <w:t>(1)内容全面:</w:t>
            </w:r>
          </w:p>
          <w:p w14:paraId="09ABBB25">
            <w:pPr>
              <w:widowControl/>
              <w:jc w:val="left"/>
              <w:rPr>
                <w:rFonts w:hint="eastAsia" w:ascii="仿宋" w:hAnsi="仿宋" w:eastAsia="仿宋" w:cs="仿宋"/>
                <w:kern w:val="0"/>
                <w:szCs w:val="21"/>
              </w:rPr>
            </w:pPr>
            <w:r>
              <w:rPr>
                <w:rFonts w:hint="eastAsia" w:ascii="仿宋" w:hAnsi="仿宋" w:eastAsia="仿宋" w:cs="仿宋"/>
                <w:kern w:val="0"/>
                <w:szCs w:val="21"/>
              </w:rPr>
              <w:t>(2)内容具体;</w:t>
            </w:r>
          </w:p>
          <w:p w14:paraId="6BAA19FF">
            <w:pPr>
              <w:widowControl/>
              <w:jc w:val="left"/>
              <w:rPr>
                <w:rFonts w:hint="eastAsia" w:ascii="仿宋" w:hAnsi="仿宋" w:eastAsia="仿宋" w:cs="仿宋"/>
                <w:kern w:val="0"/>
                <w:szCs w:val="21"/>
              </w:rPr>
            </w:pPr>
            <w:r>
              <w:rPr>
                <w:rFonts w:hint="eastAsia" w:ascii="仿宋" w:hAnsi="仿宋" w:eastAsia="仿宋" w:cs="仿宋"/>
                <w:kern w:val="0"/>
                <w:szCs w:val="21"/>
              </w:rPr>
              <w:t>(3)内容针对性强:</w:t>
            </w:r>
          </w:p>
          <w:p w14:paraId="2FF5AFF1">
            <w:pPr>
              <w:widowControl/>
              <w:jc w:val="left"/>
              <w:rPr>
                <w:rFonts w:hint="eastAsia" w:ascii="仿宋" w:hAnsi="仿宋" w:eastAsia="仿宋" w:cs="仿宋"/>
                <w:kern w:val="0"/>
                <w:szCs w:val="21"/>
              </w:rPr>
            </w:pPr>
            <w:r>
              <w:rPr>
                <w:rFonts w:hint="eastAsia" w:ascii="仿宋" w:hAnsi="仿宋" w:eastAsia="仿宋" w:cs="仿宋"/>
                <w:kern w:val="0"/>
                <w:szCs w:val="21"/>
              </w:rPr>
              <w:t>(4)内容科学合理:</w:t>
            </w:r>
          </w:p>
          <w:p w14:paraId="22851654">
            <w:pPr>
              <w:widowControl/>
              <w:jc w:val="left"/>
              <w:rPr>
                <w:rFonts w:hint="eastAsia" w:ascii="仿宋" w:hAnsi="仿宋" w:eastAsia="仿宋" w:cs="仿宋"/>
                <w:kern w:val="0"/>
                <w:szCs w:val="21"/>
              </w:rPr>
            </w:pPr>
            <w:r>
              <w:rPr>
                <w:rFonts w:hint="eastAsia" w:ascii="仿宋" w:hAnsi="仿宋" w:eastAsia="仿宋" w:cs="仿宋"/>
                <w:kern w:val="0"/>
                <w:szCs w:val="21"/>
              </w:rPr>
              <w:t>(5)内容可操作性强。</w:t>
            </w:r>
          </w:p>
          <w:p w14:paraId="7F27751D">
            <w:pPr>
              <w:widowControl/>
              <w:jc w:val="left"/>
              <w:rPr>
                <w:rFonts w:hint="eastAsia" w:ascii="仿宋" w:hAnsi="仿宋" w:eastAsia="仿宋" w:cs="仿宋"/>
                <w:kern w:val="0"/>
                <w:szCs w:val="21"/>
              </w:rPr>
            </w:pPr>
            <w:r>
              <w:rPr>
                <w:rFonts w:hint="eastAsia" w:ascii="仿宋" w:hAnsi="仿宋" w:eastAsia="仿宋" w:cs="仿宋"/>
                <w:kern w:val="0"/>
                <w:szCs w:val="21"/>
              </w:rPr>
              <w:t>满足以上5项要求的评价为优，加</w:t>
            </w:r>
            <w:r>
              <w:rPr>
                <w:rFonts w:hint="eastAsia" w:ascii="仿宋" w:hAnsi="仿宋" w:eastAsia="仿宋" w:cs="仿宋"/>
                <w:kern w:val="0"/>
                <w:szCs w:val="21"/>
                <w:lang w:val="en-US" w:eastAsia="zh-CN"/>
              </w:rPr>
              <w:t>5</w:t>
            </w:r>
            <w:r>
              <w:rPr>
                <w:rFonts w:hint="eastAsia" w:ascii="仿宋" w:hAnsi="仿宋" w:eastAsia="仿宋" w:cs="仿宋"/>
                <w:kern w:val="0"/>
                <w:szCs w:val="21"/>
              </w:rPr>
              <w:t>分;满足以上4项要求的评价为良，加</w:t>
            </w:r>
            <w:r>
              <w:rPr>
                <w:rFonts w:hint="eastAsia" w:ascii="仿宋" w:hAnsi="仿宋" w:eastAsia="仿宋" w:cs="仿宋"/>
                <w:kern w:val="0"/>
                <w:szCs w:val="21"/>
                <w:lang w:val="en-US" w:eastAsia="zh-CN"/>
              </w:rPr>
              <w:t>3</w:t>
            </w:r>
            <w:r>
              <w:rPr>
                <w:rFonts w:hint="eastAsia" w:ascii="仿宋" w:hAnsi="仿宋" w:eastAsia="仿宋" w:cs="仿宋"/>
                <w:kern w:val="0"/>
                <w:szCs w:val="21"/>
              </w:rPr>
              <w:t>分:满足以上3项要求的评价为中，加</w:t>
            </w:r>
            <w:r>
              <w:rPr>
                <w:rFonts w:hint="eastAsia" w:ascii="仿宋" w:hAnsi="仿宋" w:eastAsia="仿宋" w:cs="仿宋"/>
                <w:kern w:val="0"/>
                <w:szCs w:val="21"/>
                <w:lang w:val="en-US" w:eastAsia="zh-CN"/>
              </w:rPr>
              <w:t>1</w:t>
            </w:r>
            <w:r>
              <w:rPr>
                <w:rFonts w:hint="eastAsia" w:ascii="仿宋" w:hAnsi="仿宋" w:eastAsia="仿宋" w:cs="仿宋"/>
                <w:kern w:val="0"/>
                <w:szCs w:val="21"/>
              </w:rPr>
              <w:t>分:其他情况的评价为差，不加分。</w:t>
            </w:r>
          </w:p>
          <w:p w14:paraId="5991CC4F">
            <w:pPr>
              <w:widowControl/>
              <w:ind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仿宋" w:hAnsi="仿宋" w:eastAsia="仿宋" w:cs="仿宋"/>
                <w:kern w:val="0"/>
                <w:szCs w:val="21"/>
              </w:rPr>
              <w:t xml:space="preserve">以上两项累计得分，最高得 </w:t>
            </w:r>
            <w:r>
              <w:rPr>
                <w:rFonts w:hint="eastAsia" w:ascii="仿宋" w:hAnsi="仿宋" w:eastAsia="仿宋" w:cs="仿宋"/>
                <w:kern w:val="0"/>
                <w:szCs w:val="21"/>
                <w:lang w:val="en-US" w:eastAsia="zh-CN"/>
              </w:rPr>
              <w:t>30</w:t>
            </w:r>
            <w:r>
              <w:rPr>
                <w:rFonts w:hint="eastAsia" w:ascii="仿宋" w:hAnsi="仿宋" w:eastAsia="仿宋" w:cs="仿宋"/>
                <w:kern w:val="0"/>
                <w:szCs w:val="21"/>
              </w:rPr>
              <w:t>分。</w:t>
            </w:r>
          </w:p>
        </w:tc>
      </w:tr>
      <w:tr w14:paraId="465D9E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817"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3B0D7DE0">
            <w:pPr>
              <w:rPr>
                <w:rFonts w:ascii="宋体" w:hAnsi="宋体" w:cs="宋体"/>
                <w:b/>
                <w:bCs/>
                <w:color w:val="0000FF"/>
                <w:sz w:val="24"/>
              </w:rPr>
            </w:pPr>
          </w:p>
        </w:tc>
        <w:tc>
          <w:tcPr>
            <w:tcW w:w="440" w:type="dxa"/>
            <w:tcBorders>
              <w:top w:val="single" w:color="000000" w:sz="8" w:space="0"/>
              <w:left w:val="single" w:color="000000" w:sz="8" w:space="0"/>
              <w:bottom w:val="single" w:color="000000" w:sz="8" w:space="0"/>
              <w:right w:val="single" w:color="000000" w:sz="8" w:space="0"/>
            </w:tcBorders>
            <w:vAlign w:val="center"/>
          </w:tcPr>
          <w:p w14:paraId="49E2B86C">
            <w:pPr>
              <w:wordWrap w:val="0"/>
              <w:jc w:val="center"/>
              <w:rPr>
                <w:rFonts w:hint="eastAsia" w:ascii="宋体" w:hAnsi="宋体" w:cs="宋体" w:eastAsiaTheme="minorEastAsia"/>
                <w:szCs w:val="21"/>
                <w:lang w:val="en-US" w:eastAsia="zh-CN"/>
              </w:rPr>
            </w:pPr>
            <w:r>
              <w:rPr>
                <w:rFonts w:hint="eastAsia" w:ascii="宋体" w:hAnsi="宋体" w:cs="宋体"/>
                <w:szCs w:val="21"/>
                <w:lang w:val="en-US" w:eastAsia="zh-CN"/>
              </w:rPr>
              <w:t>2</w:t>
            </w:r>
          </w:p>
        </w:tc>
        <w:tc>
          <w:tcPr>
            <w:tcW w:w="1840" w:type="dxa"/>
            <w:tcBorders>
              <w:top w:val="single" w:color="000000" w:sz="8" w:space="0"/>
              <w:left w:val="single" w:color="000000" w:sz="8" w:space="0"/>
              <w:bottom w:val="single" w:color="000000" w:sz="8" w:space="0"/>
              <w:right w:val="single" w:color="000000" w:sz="8" w:space="0"/>
            </w:tcBorders>
            <w:vAlign w:val="center"/>
          </w:tcPr>
          <w:p w14:paraId="3E2E9CA7">
            <w:pPr>
              <w:wordWrap w:val="0"/>
              <w:jc w:val="center"/>
              <w:rPr>
                <w:rFonts w:hint="eastAsia"/>
                <w:color w:val="000000"/>
                <w:kern w:val="0"/>
              </w:rPr>
            </w:pPr>
            <w:r>
              <w:rPr>
                <w:rFonts w:hint="eastAsia"/>
                <w:color w:val="000000"/>
                <w:kern w:val="0"/>
              </w:rPr>
              <w:t>质量保障措施及方案</w:t>
            </w:r>
          </w:p>
        </w:tc>
        <w:tc>
          <w:tcPr>
            <w:tcW w:w="650" w:type="dxa"/>
            <w:tcBorders>
              <w:top w:val="single" w:color="000000" w:sz="8" w:space="0"/>
              <w:left w:val="single" w:color="000000" w:sz="8" w:space="0"/>
              <w:bottom w:val="single" w:color="000000" w:sz="8" w:space="0"/>
              <w:right w:val="single" w:color="000000" w:sz="8" w:space="0"/>
            </w:tcBorders>
            <w:vAlign w:val="center"/>
          </w:tcPr>
          <w:p w14:paraId="132876B8">
            <w:pPr>
              <w:widowControl/>
              <w:jc w:val="center"/>
              <w:rPr>
                <w:rFonts w:hint="default" w:ascii="宋体" w:hAnsi="宋体" w:cs="宋体"/>
                <w:szCs w:val="21"/>
                <w:lang w:val="en-US" w:eastAsia="zh-CN"/>
              </w:rPr>
            </w:pPr>
            <w:r>
              <w:rPr>
                <w:rFonts w:hint="eastAsia" w:ascii="宋体" w:hAnsi="宋体" w:cs="宋体"/>
                <w:szCs w:val="21"/>
                <w:lang w:val="en-US" w:eastAsia="zh-CN"/>
              </w:rPr>
              <w:t>14</w:t>
            </w:r>
          </w:p>
        </w:tc>
        <w:tc>
          <w:tcPr>
            <w:tcW w:w="903" w:type="dxa"/>
            <w:gridSpan w:val="2"/>
            <w:tcBorders>
              <w:top w:val="single" w:color="000000" w:sz="8" w:space="0"/>
              <w:left w:val="single" w:color="000000" w:sz="8" w:space="0"/>
              <w:bottom w:val="single" w:color="000000" w:sz="8" w:space="0"/>
              <w:right w:val="single" w:color="000000" w:sz="8" w:space="0"/>
            </w:tcBorders>
            <w:vAlign w:val="center"/>
          </w:tcPr>
          <w:p w14:paraId="2C42E1E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专家</w:t>
            </w:r>
          </w:p>
          <w:p w14:paraId="4AE9502A">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打分</w:t>
            </w:r>
          </w:p>
        </w:tc>
        <w:tc>
          <w:tcPr>
            <w:tcW w:w="6025" w:type="dxa"/>
            <w:tcBorders>
              <w:top w:val="single" w:color="000000" w:sz="8" w:space="0"/>
              <w:left w:val="single" w:color="000000" w:sz="8" w:space="0"/>
              <w:bottom w:val="single" w:color="000000" w:sz="8" w:space="0"/>
              <w:right w:val="single" w:color="000000" w:sz="8" w:space="0"/>
            </w:tcBorders>
          </w:tcPr>
          <w:p w14:paraId="3215DB4F">
            <w:pPr>
              <w:widowControl/>
              <w:jc w:val="left"/>
              <w:rPr>
                <w:rFonts w:hint="eastAsia" w:ascii="仿宋" w:hAnsi="仿宋" w:eastAsia="仿宋" w:cs="仿宋"/>
                <w:kern w:val="0"/>
                <w:szCs w:val="21"/>
              </w:rPr>
            </w:pPr>
            <w:r>
              <w:rPr>
                <w:rFonts w:hint="eastAsia" w:ascii="仿宋" w:hAnsi="仿宋" w:eastAsia="仿宋" w:cs="仿宋"/>
                <w:kern w:val="0"/>
                <w:szCs w:val="21"/>
              </w:rPr>
              <w:t>（一） 评分内容：</w:t>
            </w:r>
          </w:p>
          <w:p w14:paraId="262DFAA1">
            <w:pPr>
              <w:widowControl/>
              <w:jc w:val="left"/>
              <w:rPr>
                <w:rFonts w:hint="eastAsia" w:ascii="仿宋" w:hAnsi="仿宋" w:eastAsia="仿宋" w:cs="仿宋"/>
                <w:kern w:val="0"/>
                <w:szCs w:val="21"/>
              </w:rPr>
            </w:pPr>
            <w:r>
              <w:rPr>
                <w:rFonts w:hint="eastAsia" w:ascii="仿宋" w:hAnsi="仿宋" w:eastAsia="仿宋" w:cs="仿宋"/>
                <w:kern w:val="0"/>
                <w:szCs w:val="21"/>
              </w:rPr>
              <w:t>结合项目实际情况，考察业务服务重难点的预见和处理办法等，包括但不限于:</w:t>
            </w:r>
          </w:p>
          <w:p w14:paraId="0FD8A899">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rPr>
              <w:t>①质量保障措施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可得3分。</w:t>
            </w:r>
          </w:p>
          <w:p w14:paraId="1F2AE79F">
            <w:pPr>
              <w:widowControl/>
              <w:jc w:val="left"/>
              <w:rPr>
                <w:rFonts w:hint="eastAsia" w:ascii="仿宋" w:hAnsi="仿宋" w:eastAsia="仿宋" w:cs="仿宋"/>
                <w:kern w:val="0"/>
                <w:szCs w:val="21"/>
              </w:rPr>
            </w:pPr>
            <w:r>
              <w:rPr>
                <w:rFonts w:hint="eastAsia" w:ascii="仿宋" w:hAnsi="仿宋" w:eastAsia="仿宋" w:cs="仿宋"/>
                <w:kern w:val="0"/>
                <w:szCs w:val="21"/>
              </w:rPr>
              <w:t>②安全保障措施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可得3分。</w:t>
            </w:r>
          </w:p>
          <w:p w14:paraId="033451B7">
            <w:pPr>
              <w:widowControl/>
              <w:jc w:val="left"/>
              <w:rPr>
                <w:rFonts w:hint="eastAsia" w:ascii="仿宋" w:hAnsi="仿宋" w:eastAsia="仿宋" w:cs="仿宋"/>
                <w:kern w:val="0"/>
                <w:szCs w:val="21"/>
              </w:rPr>
            </w:pPr>
            <w:r>
              <w:rPr>
                <w:rFonts w:hint="eastAsia" w:ascii="仿宋" w:hAnsi="仿宋" w:eastAsia="仿宋" w:cs="仿宋"/>
                <w:kern w:val="0"/>
                <w:szCs w:val="21"/>
              </w:rPr>
              <w:t>③环保保障措施</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可得3分。</w:t>
            </w:r>
          </w:p>
          <w:p w14:paraId="7A36487A">
            <w:pPr>
              <w:widowControl/>
              <w:numPr>
                <w:ilvl w:val="0"/>
                <w:numId w:val="0"/>
              </w:numPr>
              <w:jc w:val="left"/>
              <w:rPr>
                <w:rFonts w:hint="eastAsia" w:ascii="仿宋" w:hAnsi="仿宋" w:eastAsia="仿宋" w:cs="仿宋"/>
                <w:kern w:val="0"/>
                <w:szCs w:val="21"/>
              </w:rPr>
            </w:pP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二</w:t>
            </w:r>
            <w:r>
              <w:rPr>
                <w:rFonts w:hint="eastAsia" w:ascii="仿宋" w:hAnsi="仿宋" w:eastAsia="仿宋" w:cs="仿宋"/>
                <w:kern w:val="0"/>
                <w:szCs w:val="21"/>
                <w:lang w:eastAsia="zh-CN"/>
              </w:rPr>
              <w:t>）</w:t>
            </w:r>
            <w:r>
              <w:rPr>
                <w:rFonts w:hint="eastAsia" w:ascii="仿宋" w:hAnsi="仿宋" w:eastAsia="仿宋" w:cs="仿宋"/>
                <w:kern w:val="0"/>
                <w:szCs w:val="21"/>
              </w:rPr>
              <w:t>评分</w:t>
            </w:r>
            <w:r>
              <w:rPr>
                <w:rFonts w:hint="eastAsia" w:ascii="仿宋" w:hAnsi="仿宋" w:eastAsia="仿宋" w:cs="仿宋"/>
                <w:kern w:val="0"/>
                <w:szCs w:val="21"/>
                <w:lang w:val="en-US" w:eastAsia="zh-CN"/>
              </w:rPr>
              <w:t>标准</w:t>
            </w:r>
            <w:r>
              <w:rPr>
                <w:rFonts w:hint="eastAsia" w:ascii="仿宋" w:hAnsi="仿宋" w:eastAsia="仿宋" w:cs="仿宋"/>
                <w:kern w:val="0"/>
                <w:szCs w:val="21"/>
              </w:rPr>
              <w:t>：</w:t>
            </w:r>
          </w:p>
          <w:p w14:paraId="52E531E2">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1.提供以上3项内容得9分，未提供或缺项不得分。</w:t>
            </w:r>
          </w:p>
          <w:p w14:paraId="45120658">
            <w:pPr>
              <w:widowControl/>
              <w:jc w:val="left"/>
              <w:rPr>
                <w:rFonts w:hint="eastAsia" w:ascii="仿宋" w:hAnsi="仿宋" w:eastAsia="仿宋" w:cs="仿宋"/>
                <w:kern w:val="0"/>
                <w:szCs w:val="21"/>
              </w:rPr>
            </w:pPr>
            <w:r>
              <w:rPr>
                <w:rFonts w:hint="eastAsia" w:ascii="仿宋" w:hAnsi="仿宋" w:eastAsia="仿宋" w:cs="仿宋"/>
                <w:kern w:val="0"/>
                <w:szCs w:val="21"/>
              </w:rPr>
              <w:t>2.在此基础上，专家根据各供应商的具体响应内容按照量化的评审因素指标进一步评审：</w:t>
            </w:r>
          </w:p>
          <w:p w14:paraId="3B33F4DD">
            <w:pPr>
              <w:widowControl/>
              <w:jc w:val="left"/>
              <w:rPr>
                <w:rFonts w:hint="eastAsia" w:ascii="仿宋" w:hAnsi="仿宋" w:eastAsia="仿宋" w:cs="仿宋"/>
                <w:kern w:val="0"/>
                <w:szCs w:val="21"/>
              </w:rPr>
            </w:pPr>
            <w:r>
              <w:rPr>
                <w:rFonts w:hint="eastAsia" w:ascii="仿宋" w:hAnsi="仿宋" w:eastAsia="仿宋" w:cs="仿宋"/>
                <w:kern w:val="0"/>
                <w:szCs w:val="21"/>
              </w:rPr>
              <w:t>(1)内容全面:</w:t>
            </w:r>
          </w:p>
          <w:p w14:paraId="6121642F">
            <w:pPr>
              <w:widowControl/>
              <w:jc w:val="left"/>
              <w:rPr>
                <w:rFonts w:hint="eastAsia" w:ascii="仿宋" w:hAnsi="仿宋" w:eastAsia="仿宋" w:cs="仿宋"/>
                <w:kern w:val="0"/>
                <w:szCs w:val="21"/>
              </w:rPr>
            </w:pPr>
            <w:r>
              <w:rPr>
                <w:rFonts w:hint="eastAsia" w:ascii="仿宋" w:hAnsi="仿宋" w:eastAsia="仿宋" w:cs="仿宋"/>
                <w:kern w:val="0"/>
                <w:szCs w:val="21"/>
              </w:rPr>
              <w:t>(2)内容具体;</w:t>
            </w:r>
          </w:p>
          <w:p w14:paraId="7CDE05A6">
            <w:pPr>
              <w:widowControl/>
              <w:jc w:val="left"/>
              <w:rPr>
                <w:rFonts w:hint="eastAsia" w:ascii="仿宋" w:hAnsi="仿宋" w:eastAsia="仿宋" w:cs="仿宋"/>
                <w:kern w:val="0"/>
                <w:szCs w:val="21"/>
              </w:rPr>
            </w:pPr>
            <w:r>
              <w:rPr>
                <w:rFonts w:hint="eastAsia" w:ascii="仿宋" w:hAnsi="仿宋" w:eastAsia="仿宋" w:cs="仿宋"/>
                <w:kern w:val="0"/>
                <w:szCs w:val="21"/>
              </w:rPr>
              <w:t>(3)内容针对性强:</w:t>
            </w:r>
          </w:p>
          <w:p w14:paraId="7F84088E">
            <w:pPr>
              <w:widowControl/>
              <w:jc w:val="left"/>
              <w:rPr>
                <w:rFonts w:hint="eastAsia" w:ascii="仿宋" w:hAnsi="仿宋" w:eastAsia="仿宋" w:cs="仿宋"/>
                <w:kern w:val="0"/>
                <w:szCs w:val="21"/>
              </w:rPr>
            </w:pPr>
            <w:r>
              <w:rPr>
                <w:rFonts w:hint="eastAsia" w:ascii="仿宋" w:hAnsi="仿宋" w:eastAsia="仿宋" w:cs="仿宋"/>
                <w:kern w:val="0"/>
                <w:szCs w:val="21"/>
              </w:rPr>
              <w:t>(4)内容科学合理:</w:t>
            </w:r>
          </w:p>
          <w:p w14:paraId="3A552510">
            <w:pPr>
              <w:widowControl/>
              <w:jc w:val="left"/>
              <w:rPr>
                <w:rFonts w:hint="eastAsia" w:ascii="仿宋" w:hAnsi="仿宋" w:eastAsia="仿宋" w:cs="仿宋"/>
                <w:kern w:val="0"/>
                <w:szCs w:val="21"/>
              </w:rPr>
            </w:pPr>
            <w:r>
              <w:rPr>
                <w:rFonts w:hint="eastAsia" w:ascii="仿宋" w:hAnsi="仿宋" w:eastAsia="仿宋" w:cs="仿宋"/>
                <w:kern w:val="0"/>
                <w:szCs w:val="21"/>
              </w:rPr>
              <w:t>(5)内容可操作性强。</w:t>
            </w:r>
          </w:p>
          <w:p w14:paraId="46A4FD95">
            <w:pPr>
              <w:widowControl/>
              <w:jc w:val="left"/>
              <w:rPr>
                <w:rFonts w:hint="eastAsia" w:ascii="仿宋" w:hAnsi="仿宋" w:eastAsia="仿宋" w:cs="仿宋"/>
                <w:kern w:val="0"/>
                <w:szCs w:val="21"/>
              </w:rPr>
            </w:pPr>
            <w:r>
              <w:rPr>
                <w:rFonts w:hint="eastAsia" w:ascii="仿宋" w:hAnsi="仿宋" w:eastAsia="仿宋" w:cs="仿宋"/>
                <w:kern w:val="0"/>
                <w:szCs w:val="21"/>
              </w:rPr>
              <w:t>满足以上5项要求的评价为优，加</w:t>
            </w:r>
            <w:r>
              <w:rPr>
                <w:rFonts w:hint="eastAsia" w:ascii="仿宋" w:hAnsi="仿宋" w:eastAsia="仿宋" w:cs="仿宋"/>
                <w:kern w:val="0"/>
                <w:szCs w:val="21"/>
                <w:lang w:val="en-US" w:eastAsia="zh-CN"/>
              </w:rPr>
              <w:t>5</w:t>
            </w:r>
            <w:r>
              <w:rPr>
                <w:rFonts w:hint="eastAsia" w:ascii="仿宋" w:hAnsi="仿宋" w:eastAsia="仿宋" w:cs="仿宋"/>
                <w:kern w:val="0"/>
                <w:szCs w:val="21"/>
              </w:rPr>
              <w:t>分;满足以上4项要求的评价为良，加</w:t>
            </w:r>
            <w:r>
              <w:rPr>
                <w:rFonts w:hint="eastAsia" w:ascii="仿宋" w:hAnsi="仿宋" w:eastAsia="仿宋" w:cs="仿宋"/>
                <w:kern w:val="0"/>
                <w:szCs w:val="21"/>
                <w:lang w:val="en-US" w:eastAsia="zh-CN"/>
              </w:rPr>
              <w:t>3</w:t>
            </w:r>
            <w:r>
              <w:rPr>
                <w:rFonts w:hint="eastAsia" w:ascii="仿宋" w:hAnsi="仿宋" w:eastAsia="仿宋" w:cs="仿宋"/>
                <w:kern w:val="0"/>
                <w:szCs w:val="21"/>
              </w:rPr>
              <w:t>分:满足以上3项要求的评价为中，加</w:t>
            </w:r>
            <w:r>
              <w:rPr>
                <w:rFonts w:hint="eastAsia" w:ascii="仿宋" w:hAnsi="仿宋" w:eastAsia="仿宋" w:cs="仿宋"/>
                <w:kern w:val="0"/>
                <w:szCs w:val="21"/>
                <w:lang w:val="en-US" w:eastAsia="zh-CN"/>
              </w:rPr>
              <w:t>1</w:t>
            </w:r>
            <w:r>
              <w:rPr>
                <w:rFonts w:hint="eastAsia" w:ascii="仿宋" w:hAnsi="仿宋" w:eastAsia="仿宋" w:cs="仿宋"/>
                <w:kern w:val="0"/>
                <w:szCs w:val="21"/>
              </w:rPr>
              <w:t>分:其他情况的评价为差，不加分。</w:t>
            </w:r>
          </w:p>
          <w:p w14:paraId="72692844">
            <w:pPr>
              <w:widowControl/>
              <w:ind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仿宋" w:hAnsi="仿宋" w:eastAsia="仿宋" w:cs="仿宋"/>
                <w:kern w:val="0"/>
                <w:szCs w:val="21"/>
              </w:rPr>
              <w:t xml:space="preserve">以上两项累计得分，最高得 </w:t>
            </w:r>
            <w:r>
              <w:rPr>
                <w:rFonts w:hint="eastAsia" w:ascii="仿宋" w:hAnsi="仿宋" w:eastAsia="仿宋" w:cs="仿宋"/>
                <w:kern w:val="0"/>
                <w:szCs w:val="21"/>
                <w:lang w:val="en-US" w:eastAsia="zh-CN"/>
              </w:rPr>
              <w:t>15</w:t>
            </w:r>
            <w:r>
              <w:rPr>
                <w:rFonts w:hint="eastAsia" w:ascii="仿宋" w:hAnsi="仿宋" w:eastAsia="仿宋" w:cs="仿宋"/>
                <w:kern w:val="0"/>
                <w:szCs w:val="21"/>
              </w:rPr>
              <w:t>分。</w:t>
            </w:r>
          </w:p>
        </w:tc>
      </w:tr>
      <w:tr w14:paraId="271C3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5"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6CFFFACB">
            <w:pPr>
              <w:rPr>
                <w:rFonts w:ascii="宋体" w:hAnsi="宋体" w:cs="宋体"/>
                <w:b/>
                <w:bCs/>
                <w:color w:val="0000FF"/>
                <w:sz w:val="24"/>
              </w:rPr>
            </w:pPr>
          </w:p>
        </w:tc>
        <w:tc>
          <w:tcPr>
            <w:tcW w:w="440" w:type="dxa"/>
            <w:tcBorders>
              <w:top w:val="single" w:color="000000" w:sz="8" w:space="0"/>
              <w:left w:val="single" w:color="000000" w:sz="8" w:space="0"/>
              <w:bottom w:val="single" w:color="000000" w:sz="8" w:space="0"/>
              <w:right w:val="single" w:color="000000" w:sz="8" w:space="0"/>
            </w:tcBorders>
            <w:vAlign w:val="center"/>
          </w:tcPr>
          <w:p w14:paraId="618668DA">
            <w:pPr>
              <w:wordWrap w:val="0"/>
              <w:jc w:val="center"/>
              <w:rPr>
                <w:rFonts w:hint="eastAsia" w:ascii="宋体" w:hAnsi="宋体" w:cs="宋体" w:eastAsiaTheme="minorEastAsia"/>
                <w:szCs w:val="21"/>
                <w:lang w:eastAsia="zh-CN"/>
              </w:rPr>
            </w:pPr>
            <w:r>
              <w:rPr>
                <w:rFonts w:hint="eastAsia" w:ascii="宋体" w:hAnsi="宋体" w:cs="宋体"/>
                <w:szCs w:val="21"/>
                <w:lang w:val="en-US" w:eastAsia="zh-CN"/>
              </w:rPr>
              <w:t>3</w:t>
            </w:r>
          </w:p>
        </w:tc>
        <w:tc>
          <w:tcPr>
            <w:tcW w:w="1840" w:type="dxa"/>
            <w:tcBorders>
              <w:top w:val="single" w:color="000000" w:sz="8" w:space="0"/>
              <w:left w:val="single" w:color="000000" w:sz="8" w:space="0"/>
              <w:bottom w:val="single" w:color="000000" w:sz="8" w:space="0"/>
              <w:right w:val="single" w:color="000000" w:sz="8" w:space="0"/>
            </w:tcBorders>
            <w:vAlign w:val="center"/>
          </w:tcPr>
          <w:p w14:paraId="281F2BEA">
            <w:pPr>
              <w:wordWrap w:val="0"/>
              <w:jc w:val="center"/>
              <w:rPr>
                <w:rFonts w:ascii="宋体" w:hAnsi="宋体" w:cs="宋体"/>
                <w:szCs w:val="21"/>
              </w:rPr>
            </w:pPr>
            <w:r>
              <w:rPr>
                <w:rFonts w:hint="eastAsia"/>
                <w:color w:val="000000"/>
                <w:kern w:val="0"/>
              </w:rPr>
              <w:t>项目重点难点分析、应对措施及相关的合理化建议</w:t>
            </w:r>
          </w:p>
        </w:tc>
        <w:tc>
          <w:tcPr>
            <w:tcW w:w="650" w:type="dxa"/>
            <w:tcBorders>
              <w:top w:val="single" w:color="000000" w:sz="8" w:space="0"/>
              <w:left w:val="single" w:color="000000" w:sz="8" w:space="0"/>
              <w:bottom w:val="single" w:color="000000" w:sz="8" w:space="0"/>
              <w:right w:val="single" w:color="000000" w:sz="8" w:space="0"/>
            </w:tcBorders>
            <w:vAlign w:val="center"/>
          </w:tcPr>
          <w:p w14:paraId="6BEC25AF">
            <w:pPr>
              <w:widowControl/>
              <w:jc w:val="center"/>
              <w:rPr>
                <w:rFonts w:hint="default" w:ascii="宋体" w:hAnsi="宋体" w:cs="宋体"/>
                <w:szCs w:val="21"/>
                <w:lang w:val="en-US" w:eastAsia="zh-CN"/>
              </w:rPr>
            </w:pPr>
            <w:r>
              <w:rPr>
                <w:rFonts w:hint="eastAsia" w:ascii="宋体" w:hAnsi="宋体" w:cs="宋体"/>
                <w:szCs w:val="21"/>
                <w:highlight w:val="none"/>
                <w:lang w:val="en-US" w:eastAsia="zh-CN"/>
              </w:rPr>
              <w:t>15</w:t>
            </w:r>
          </w:p>
        </w:tc>
        <w:tc>
          <w:tcPr>
            <w:tcW w:w="903" w:type="dxa"/>
            <w:gridSpan w:val="2"/>
            <w:tcBorders>
              <w:top w:val="single" w:color="000000" w:sz="8" w:space="0"/>
              <w:left w:val="single" w:color="000000" w:sz="8" w:space="0"/>
              <w:bottom w:val="single" w:color="000000" w:sz="8" w:space="0"/>
              <w:right w:val="single" w:color="000000" w:sz="8" w:space="0"/>
            </w:tcBorders>
            <w:vAlign w:val="center"/>
          </w:tcPr>
          <w:p w14:paraId="21A13E8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专家</w:t>
            </w:r>
          </w:p>
          <w:p w14:paraId="0F318735">
            <w:pPr>
              <w:widowControl/>
              <w:jc w:val="center"/>
              <w:rPr>
                <w:rFonts w:hint="eastAsia" w:asciiTheme="minorEastAsia" w:hAnsiTheme="minorEastAsia" w:eastAsiaTheme="minorEastAsia" w:cstheme="minorEastAsia"/>
                <w:b/>
                <w:bCs/>
                <w:color w:val="FF0000"/>
                <w:kern w:val="2"/>
                <w:sz w:val="21"/>
                <w:szCs w:val="21"/>
                <w:lang w:val="en-US" w:eastAsia="zh-CN" w:bidi="ar-SA"/>
              </w:rPr>
            </w:pPr>
            <w:r>
              <w:rPr>
                <w:rFonts w:hint="eastAsia" w:ascii="仿宋" w:hAnsi="仿宋" w:eastAsia="仿宋" w:cs="仿宋"/>
                <w:kern w:val="0"/>
                <w:szCs w:val="21"/>
                <w:lang w:val="en-US" w:eastAsia="zh-CN"/>
              </w:rPr>
              <w:t>打分</w:t>
            </w:r>
          </w:p>
        </w:tc>
        <w:tc>
          <w:tcPr>
            <w:tcW w:w="6025" w:type="dxa"/>
            <w:tcBorders>
              <w:top w:val="single" w:color="000000" w:sz="8" w:space="0"/>
              <w:left w:val="single" w:color="000000" w:sz="8" w:space="0"/>
              <w:bottom w:val="single" w:color="000000" w:sz="8" w:space="0"/>
              <w:right w:val="single" w:color="000000" w:sz="8" w:space="0"/>
            </w:tcBorders>
          </w:tcPr>
          <w:p w14:paraId="4E9D7D8F">
            <w:pPr>
              <w:widowControl/>
              <w:jc w:val="left"/>
              <w:rPr>
                <w:rFonts w:hint="eastAsia" w:ascii="仿宋" w:hAnsi="仿宋" w:eastAsia="仿宋" w:cs="仿宋"/>
                <w:kern w:val="0"/>
                <w:szCs w:val="21"/>
              </w:rPr>
            </w:pPr>
            <w:r>
              <w:rPr>
                <w:rFonts w:hint="eastAsia" w:ascii="仿宋" w:hAnsi="仿宋" w:eastAsia="仿宋" w:cs="仿宋"/>
                <w:kern w:val="0"/>
                <w:szCs w:val="21"/>
              </w:rPr>
              <w:t>（一）评分内容：结合项目实际情况，考察业务服务重难点的预见和处理办法等，包括但不限于:</w:t>
            </w:r>
          </w:p>
          <w:p w14:paraId="2E5B6F51">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rPr>
              <w:t>①项目重点、难点的分析</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可得5分。</w:t>
            </w:r>
          </w:p>
          <w:p w14:paraId="1A01FBBC">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rPr>
              <w:t>②项目重点、难点的应对措施及合理化建议</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可得5分。</w:t>
            </w:r>
          </w:p>
          <w:p w14:paraId="0A068924">
            <w:pPr>
              <w:widowControl/>
              <w:numPr>
                <w:ilvl w:val="0"/>
                <w:numId w:val="0"/>
              </w:numPr>
              <w:jc w:val="left"/>
              <w:rPr>
                <w:rFonts w:hint="eastAsia" w:ascii="仿宋" w:hAnsi="仿宋" w:eastAsia="仿宋" w:cs="仿宋"/>
                <w:kern w:val="0"/>
                <w:szCs w:val="21"/>
              </w:rPr>
            </w:pP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二</w:t>
            </w:r>
            <w:r>
              <w:rPr>
                <w:rFonts w:hint="eastAsia" w:ascii="仿宋" w:hAnsi="仿宋" w:eastAsia="仿宋" w:cs="仿宋"/>
                <w:kern w:val="0"/>
                <w:szCs w:val="21"/>
                <w:lang w:eastAsia="zh-CN"/>
              </w:rPr>
              <w:t>）</w:t>
            </w:r>
            <w:r>
              <w:rPr>
                <w:rFonts w:hint="eastAsia" w:ascii="仿宋" w:hAnsi="仿宋" w:eastAsia="仿宋" w:cs="仿宋"/>
                <w:kern w:val="0"/>
                <w:szCs w:val="21"/>
              </w:rPr>
              <w:t>评分</w:t>
            </w:r>
            <w:r>
              <w:rPr>
                <w:rFonts w:hint="eastAsia" w:ascii="仿宋" w:hAnsi="仿宋" w:eastAsia="仿宋" w:cs="仿宋"/>
                <w:kern w:val="0"/>
                <w:szCs w:val="21"/>
                <w:lang w:val="en-US" w:eastAsia="zh-CN"/>
              </w:rPr>
              <w:t>标准</w:t>
            </w:r>
            <w:r>
              <w:rPr>
                <w:rFonts w:hint="eastAsia" w:ascii="仿宋" w:hAnsi="仿宋" w:eastAsia="仿宋" w:cs="仿宋"/>
                <w:kern w:val="0"/>
                <w:szCs w:val="21"/>
              </w:rPr>
              <w:t>：</w:t>
            </w:r>
          </w:p>
          <w:p w14:paraId="6DDC8642">
            <w:pPr>
              <w:widowControl/>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1.提供以上2项内容得10分，未提供或缺项不得分。</w:t>
            </w:r>
          </w:p>
          <w:p w14:paraId="4E2C1AA3">
            <w:pPr>
              <w:widowControl/>
              <w:jc w:val="left"/>
              <w:rPr>
                <w:rFonts w:hint="eastAsia" w:ascii="仿宋" w:hAnsi="仿宋" w:eastAsia="仿宋" w:cs="仿宋"/>
                <w:kern w:val="0"/>
                <w:szCs w:val="21"/>
              </w:rPr>
            </w:pPr>
            <w:r>
              <w:rPr>
                <w:rFonts w:hint="eastAsia" w:ascii="仿宋" w:hAnsi="仿宋" w:eastAsia="仿宋" w:cs="仿宋"/>
                <w:kern w:val="0"/>
                <w:szCs w:val="21"/>
              </w:rPr>
              <w:t>2.在此基础上，专家根据各供应商的具体响应内容按照量化的评审因素指标进一步评审：</w:t>
            </w:r>
          </w:p>
          <w:p w14:paraId="1C59AEB3">
            <w:pPr>
              <w:widowControl/>
              <w:jc w:val="left"/>
              <w:rPr>
                <w:rFonts w:hint="eastAsia" w:ascii="仿宋" w:hAnsi="仿宋" w:eastAsia="仿宋" w:cs="仿宋"/>
                <w:kern w:val="0"/>
                <w:szCs w:val="21"/>
              </w:rPr>
            </w:pPr>
            <w:r>
              <w:rPr>
                <w:rFonts w:hint="eastAsia" w:ascii="仿宋" w:hAnsi="仿宋" w:eastAsia="仿宋" w:cs="仿宋"/>
                <w:kern w:val="0"/>
                <w:szCs w:val="21"/>
              </w:rPr>
              <w:t>(1)内容全面:</w:t>
            </w:r>
          </w:p>
          <w:p w14:paraId="109B2240">
            <w:pPr>
              <w:widowControl/>
              <w:jc w:val="left"/>
              <w:rPr>
                <w:rFonts w:hint="eastAsia" w:ascii="仿宋" w:hAnsi="仿宋" w:eastAsia="仿宋" w:cs="仿宋"/>
                <w:kern w:val="0"/>
                <w:szCs w:val="21"/>
              </w:rPr>
            </w:pPr>
            <w:r>
              <w:rPr>
                <w:rFonts w:hint="eastAsia" w:ascii="仿宋" w:hAnsi="仿宋" w:eastAsia="仿宋" w:cs="仿宋"/>
                <w:kern w:val="0"/>
                <w:szCs w:val="21"/>
              </w:rPr>
              <w:t>(2)内容具体;</w:t>
            </w:r>
          </w:p>
          <w:p w14:paraId="0864551C">
            <w:pPr>
              <w:widowControl/>
              <w:jc w:val="left"/>
              <w:rPr>
                <w:rFonts w:hint="eastAsia" w:ascii="仿宋" w:hAnsi="仿宋" w:eastAsia="仿宋" w:cs="仿宋"/>
                <w:kern w:val="0"/>
                <w:szCs w:val="21"/>
              </w:rPr>
            </w:pPr>
            <w:r>
              <w:rPr>
                <w:rFonts w:hint="eastAsia" w:ascii="仿宋" w:hAnsi="仿宋" w:eastAsia="仿宋" w:cs="仿宋"/>
                <w:kern w:val="0"/>
                <w:szCs w:val="21"/>
              </w:rPr>
              <w:t>(3)内容针对性强:</w:t>
            </w:r>
          </w:p>
          <w:p w14:paraId="063D431B">
            <w:pPr>
              <w:widowControl/>
              <w:jc w:val="left"/>
              <w:rPr>
                <w:rFonts w:hint="eastAsia" w:ascii="仿宋" w:hAnsi="仿宋" w:eastAsia="仿宋" w:cs="仿宋"/>
                <w:kern w:val="0"/>
                <w:szCs w:val="21"/>
              </w:rPr>
            </w:pPr>
            <w:r>
              <w:rPr>
                <w:rFonts w:hint="eastAsia" w:ascii="仿宋" w:hAnsi="仿宋" w:eastAsia="仿宋" w:cs="仿宋"/>
                <w:kern w:val="0"/>
                <w:szCs w:val="21"/>
              </w:rPr>
              <w:t>(4)内容科学合理:</w:t>
            </w:r>
          </w:p>
          <w:p w14:paraId="63F99AE7">
            <w:pPr>
              <w:widowControl/>
              <w:jc w:val="left"/>
              <w:rPr>
                <w:rFonts w:hint="eastAsia" w:ascii="仿宋" w:hAnsi="仿宋" w:eastAsia="仿宋" w:cs="仿宋"/>
                <w:kern w:val="0"/>
                <w:szCs w:val="21"/>
              </w:rPr>
            </w:pPr>
            <w:r>
              <w:rPr>
                <w:rFonts w:hint="eastAsia" w:ascii="仿宋" w:hAnsi="仿宋" w:eastAsia="仿宋" w:cs="仿宋"/>
                <w:kern w:val="0"/>
                <w:szCs w:val="21"/>
              </w:rPr>
              <w:t>(5)内容可操作性强。</w:t>
            </w:r>
          </w:p>
          <w:p w14:paraId="2C5888D9">
            <w:pPr>
              <w:widowControl/>
              <w:jc w:val="left"/>
              <w:rPr>
                <w:rFonts w:hint="eastAsia" w:ascii="仿宋" w:hAnsi="仿宋" w:eastAsia="仿宋" w:cs="仿宋"/>
                <w:kern w:val="0"/>
                <w:szCs w:val="21"/>
              </w:rPr>
            </w:pPr>
            <w:r>
              <w:rPr>
                <w:rFonts w:hint="eastAsia" w:ascii="仿宋" w:hAnsi="仿宋" w:eastAsia="仿宋" w:cs="仿宋"/>
                <w:kern w:val="0"/>
                <w:szCs w:val="21"/>
              </w:rPr>
              <w:t>满足以上5项要求的评价为优，加</w:t>
            </w:r>
            <w:r>
              <w:rPr>
                <w:rFonts w:hint="eastAsia" w:ascii="仿宋" w:hAnsi="仿宋" w:eastAsia="仿宋" w:cs="仿宋"/>
                <w:kern w:val="0"/>
                <w:szCs w:val="21"/>
                <w:lang w:val="en-US" w:eastAsia="zh-CN"/>
              </w:rPr>
              <w:t>5</w:t>
            </w:r>
            <w:r>
              <w:rPr>
                <w:rFonts w:hint="eastAsia" w:ascii="仿宋" w:hAnsi="仿宋" w:eastAsia="仿宋" w:cs="仿宋"/>
                <w:kern w:val="0"/>
                <w:szCs w:val="21"/>
              </w:rPr>
              <w:t>分;满足以上4项要求的评价为良，加</w:t>
            </w:r>
            <w:r>
              <w:rPr>
                <w:rFonts w:hint="eastAsia" w:ascii="仿宋" w:hAnsi="仿宋" w:eastAsia="仿宋" w:cs="仿宋"/>
                <w:kern w:val="0"/>
                <w:szCs w:val="21"/>
                <w:lang w:val="en-US" w:eastAsia="zh-CN"/>
              </w:rPr>
              <w:t>3</w:t>
            </w:r>
            <w:r>
              <w:rPr>
                <w:rFonts w:hint="eastAsia" w:ascii="仿宋" w:hAnsi="仿宋" w:eastAsia="仿宋" w:cs="仿宋"/>
                <w:kern w:val="0"/>
                <w:szCs w:val="21"/>
              </w:rPr>
              <w:t>分:满足以上3项要求的评价为中，加</w:t>
            </w:r>
            <w:r>
              <w:rPr>
                <w:rFonts w:hint="eastAsia" w:ascii="仿宋" w:hAnsi="仿宋" w:eastAsia="仿宋" w:cs="仿宋"/>
                <w:kern w:val="0"/>
                <w:szCs w:val="21"/>
                <w:lang w:val="en-US" w:eastAsia="zh-CN"/>
              </w:rPr>
              <w:t>1</w:t>
            </w:r>
            <w:r>
              <w:rPr>
                <w:rFonts w:hint="eastAsia" w:ascii="仿宋" w:hAnsi="仿宋" w:eastAsia="仿宋" w:cs="仿宋"/>
                <w:kern w:val="0"/>
                <w:szCs w:val="21"/>
              </w:rPr>
              <w:t>分:其他情况的评价为差，不加分。</w:t>
            </w:r>
          </w:p>
          <w:p w14:paraId="65848B39">
            <w:pPr>
              <w:widowControl/>
              <w:ind w:firstLine="420" w:firstLineChars="200"/>
              <w:jc w:val="left"/>
              <w:rPr>
                <w:rFonts w:hint="eastAsia" w:asciiTheme="minorEastAsia" w:hAnsiTheme="minorEastAsia" w:eastAsiaTheme="minorEastAsia" w:cstheme="minorEastAsia"/>
                <w:b/>
                <w:bCs/>
                <w:color w:val="FF0000"/>
                <w:kern w:val="2"/>
                <w:sz w:val="21"/>
                <w:szCs w:val="21"/>
                <w:lang w:val="en-US" w:eastAsia="zh-CN" w:bidi="ar-SA"/>
              </w:rPr>
            </w:pPr>
            <w:r>
              <w:rPr>
                <w:rFonts w:hint="eastAsia" w:ascii="仿宋" w:hAnsi="仿宋" w:eastAsia="仿宋" w:cs="仿宋"/>
                <w:kern w:val="0"/>
                <w:szCs w:val="21"/>
              </w:rPr>
              <w:t xml:space="preserve">以上两项累计得分，最高得 </w:t>
            </w:r>
            <w:r>
              <w:rPr>
                <w:rFonts w:hint="eastAsia" w:ascii="仿宋" w:hAnsi="仿宋" w:eastAsia="仿宋" w:cs="仿宋"/>
                <w:kern w:val="0"/>
                <w:szCs w:val="21"/>
                <w:lang w:val="en-US" w:eastAsia="zh-CN"/>
              </w:rPr>
              <w:t>15</w:t>
            </w:r>
            <w:r>
              <w:rPr>
                <w:rFonts w:hint="eastAsia" w:ascii="仿宋" w:hAnsi="仿宋" w:eastAsia="仿宋" w:cs="仿宋"/>
                <w:kern w:val="0"/>
                <w:szCs w:val="21"/>
              </w:rPr>
              <w:t>分。</w:t>
            </w:r>
          </w:p>
        </w:tc>
      </w:tr>
      <w:tr w14:paraId="2E62D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32"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0AB8D3EA">
            <w:pPr>
              <w:rPr>
                <w:rFonts w:ascii="宋体" w:hAnsi="宋体" w:cs="宋体"/>
                <w:b/>
                <w:bCs/>
                <w:color w:val="0000FF"/>
                <w:sz w:val="24"/>
              </w:rPr>
            </w:pPr>
          </w:p>
        </w:tc>
        <w:tc>
          <w:tcPr>
            <w:tcW w:w="440" w:type="dxa"/>
            <w:tcBorders>
              <w:top w:val="single" w:color="000000" w:sz="8" w:space="0"/>
              <w:left w:val="single" w:color="000000" w:sz="8" w:space="0"/>
              <w:right w:val="single" w:color="000000" w:sz="8" w:space="0"/>
            </w:tcBorders>
            <w:vAlign w:val="center"/>
          </w:tcPr>
          <w:p w14:paraId="4FF1DBD5">
            <w:pPr>
              <w:wordWrap w:val="0"/>
              <w:jc w:val="center"/>
              <w:rPr>
                <w:rFonts w:hint="eastAsia" w:ascii="宋体" w:hAnsi="宋体" w:cs="宋体" w:eastAsiaTheme="minorEastAsia"/>
                <w:szCs w:val="21"/>
                <w:lang w:eastAsia="zh-CN"/>
              </w:rPr>
            </w:pPr>
            <w:r>
              <w:rPr>
                <w:rFonts w:hint="eastAsia" w:ascii="宋体" w:hAnsi="宋体" w:cs="宋体"/>
                <w:szCs w:val="21"/>
                <w:lang w:val="en-US" w:eastAsia="zh-CN"/>
              </w:rPr>
              <w:t>4</w:t>
            </w:r>
          </w:p>
        </w:tc>
        <w:tc>
          <w:tcPr>
            <w:tcW w:w="1840" w:type="dxa"/>
            <w:tcBorders>
              <w:top w:val="single" w:color="000000" w:sz="8" w:space="0"/>
              <w:left w:val="single" w:color="000000" w:sz="8" w:space="0"/>
              <w:right w:val="single" w:color="000000" w:sz="8" w:space="0"/>
            </w:tcBorders>
            <w:vAlign w:val="center"/>
          </w:tcPr>
          <w:p w14:paraId="6FC30BAA">
            <w:pPr>
              <w:wordWrap w:val="0"/>
              <w:jc w:val="center"/>
              <w:rPr>
                <w:rFonts w:hint="eastAsia"/>
                <w:color w:val="000000"/>
                <w:kern w:val="0"/>
              </w:rPr>
            </w:pPr>
            <w:r>
              <w:rPr>
                <w:rFonts w:hint="eastAsia"/>
                <w:color w:val="000000"/>
                <w:kern w:val="0"/>
              </w:rPr>
              <w:t>项目完成（服务</w:t>
            </w:r>
          </w:p>
          <w:p w14:paraId="37CAE593">
            <w:pPr>
              <w:wordWrap w:val="0"/>
              <w:jc w:val="center"/>
              <w:rPr>
                <w:rFonts w:hint="eastAsia"/>
                <w:color w:val="000000"/>
                <w:kern w:val="0"/>
              </w:rPr>
            </w:pPr>
            <w:r>
              <w:rPr>
                <w:rFonts w:hint="eastAsia"/>
                <w:color w:val="000000"/>
                <w:kern w:val="0"/>
              </w:rPr>
              <w:t>期满）后的服务</w:t>
            </w:r>
          </w:p>
          <w:p w14:paraId="4C83CDED">
            <w:pPr>
              <w:wordWrap w:val="0"/>
              <w:jc w:val="center"/>
              <w:rPr>
                <w:rFonts w:ascii="宋体" w:hAnsi="宋体" w:cs="宋体"/>
                <w:szCs w:val="21"/>
              </w:rPr>
            </w:pPr>
            <w:r>
              <w:rPr>
                <w:rFonts w:hint="eastAsia"/>
                <w:color w:val="000000"/>
                <w:kern w:val="0"/>
              </w:rPr>
              <w:t>承诺</w:t>
            </w:r>
          </w:p>
        </w:tc>
        <w:tc>
          <w:tcPr>
            <w:tcW w:w="650" w:type="dxa"/>
            <w:tcBorders>
              <w:top w:val="single" w:color="000000" w:sz="8" w:space="0"/>
              <w:left w:val="single" w:color="000000" w:sz="8" w:space="0"/>
              <w:right w:val="single" w:color="000000" w:sz="8" w:space="0"/>
            </w:tcBorders>
            <w:vAlign w:val="center"/>
          </w:tcPr>
          <w:p w14:paraId="56B297F1">
            <w:pPr>
              <w:widowControl/>
              <w:jc w:val="center"/>
              <w:rPr>
                <w:rFonts w:hint="default" w:ascii="宋体" w:hAnsi="宋体" w:cs="宋体"/>
                <w:szCs w:val="21"/>
                <w:lang w:val="en-US" w:eastAsia="zh-CN"/>
              </w:rPr>
            </w:pPr>
            <w:r>
              <w:rPr>
                <w:rFonts w:hint="eastAsia" w:ascii="宋体" w:hAnsi="宋体" w:cs="宋体"/>
                <w:szCs w:val="21"/>
                <w:lang w:val="en-US" w:eastAsia="zh-CN"/>
              </w:rPr>
              <w:t>4</w:t>
            </w:r>
          </w:p>
        </w:tc>
        <w:tc>
          <w:tcPr>
            <w:tcW w:w="903" w:type="dxa"/>
            <w:gridSpan w:val="2"/>
            <w:tcBorders>
              <w:top w:val="single" w:color="000000" w:sz="8" w:space="0"/>
              <w:left w:val="single" w:color="000000" w:sz="8" w:space="0"/>
              <w:bottom w:val="single" w:color="000000" w:sz="8" w:space="0"/>
              <w:right w:val="single" w:color="000000" w:sz="8" w:space="0"/>
            </w:tcBorders>
            <w:vAlign w:val="center"/>
          </w:tcPr>
          <w:p w14:paraId="7B90785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专家</w:t>
            </w:r>
          </w:p>
          <w:p w14:paraId="362601B1">
            <w:pPr>
              <w:widowControl/>
              <w:jc w:val="center"/>
              <w:rPr>
                <w:rFonts w:hint="default" w:ascii="宋体" w:hAnsi="宋体"/>
                <w:kern w:val="0"/>
                <w:szCs w:val="21"/>
                <w:lang w:val="en-US" w:eastAsia="zh-CN"/>
              </w:rPr>
            </w:pPr>
            <w:r>
              <w:rPr>
                <w:rFonts w:hint="eastAsia" w:ascii="仿宋" w:hAnsi="仿宋" w:eastAsia="仿宋" w:cs="仿宋"/>
                <w:kern w:val="0"/>
                <w:szCs w:val="21"/>
                <w:lang w:val="en-US" w:eastAsia="zh-CN"/>
              </w:rPr>
              <w:t>打分</w:t>
            </w:r>
          </w:p>
        </w:tc>
        <w:tc>
          <w:tcPr>
            <w:tcW w:w="6025" w:type="dxa"/>
            <w:tcBorders>
              <w:top w:val="single" w:color="000000" w:sz="8" w:space="0"/>
              <w:left w:val="single" w:color="000000" w:sz="8" w:space="0"/>
              <w:bottom w:val="single" w:color="000000" w:sz="8" w:space="0"/>
              <w:right w:val="single" w:color="000000" w:sz="8" w:space="0"/>
            </w:tcBorders>
            <w:vAlign w:val="top"/>
          </w:tcPr>
          <w:p w14:paraId="0835C71F">
            <w:pPr>
              <w:snapToGrid w:val="0"/>
              <w:rPr>
                <w:rFonts w:hint="eastAsia" w:ascii="仿宋" w:hAnsi="仿宋" w:eastAsia="仿宋" w:cs="仿宋"/>
                <w:szCs w:val="21"/>
              </w:rPr>
            </w:pPr>
            <w:r>
              <w:rPr>
                <w:rFonts w:hint="eastAsia" w:ascii="仿宋" w:hAnsi="仿宋" w:eastAsia="仿宋" w:cs="仿宋"/>
                <w:szCs w:val="21"/>
              </w:rPr>
              <w:t xml:space="preserve">（一）评分内容： </w:t>
            </w:r>
          </w:p>
          <w:p w14:paraId="130DD0AD">
            <w:pPr>
              <w:snapToGrid w:val="0"/>
              <w:rPr>
                <w:rFonts w:hint="eastAsia" w:ascii="仿宋" w:hAnsi="仿宋" w:eastAsia="仿宋" w:cs="仿宋"/>
                <w:szCs w:val="21"/>
              </w:rPr>
            </w:pPr>
            <w:r>
              <w:rPr>
                <w:rFonts w:hint="eastAsia" w:ascii="仿宋" w:hAnsi="仿宋" w:eastAsia="仿宋" w:cs="仿宋"/>
                <w:szCs w:val="21"/>
              </w:rPr>
              <w:t xml:space="preserve">投标人承诺以下全部四项的得 </w:t>
            </w:r>
            <w:r>
              <w:rPr>
                <w:rFonts w:hint="eastAsia" w:ascii="仿宋" w:hAnsi="仿宋" w:eastAsia="仿宋" w:cs="仿宋"/>
                <w:szCs w:val="21"/>
                <w:lang w:val="en-US" w:eastAsia="zh-CN"/>
              </w:rPr>
              <w:t>4</w:t>
            </w:r>
            <w:r>
              <w:rPr>
                <w:rFonts w:hint="eastAsia" w:ascii="仿宋" w:hAnsi="仿宋" w:eastAsia="仿宋" w:cs="仿宋"/>
                <w:szCs w:val="21"/>
              </w:rPr>
              <w:t xml:space="preserve"> 分，否则不得分。 </w:t>
            </w:r>
          </w:p>
          <w:p w14:paraId="2AD32424">
            <w:pPr>
              <w:snapToGrid w:val="0"/>
              <w:rPr>
                <w:rFonts w:hint="eastAsia" w:ascii="仿宋" w:hAnsi="仿宋" w:eastAsia="仿宋" w:cs="仿宋"/>
                <w:szCs w:val="21"/>
              </w:rPr>
            </w:pPr>
            <w:r>
              <w:rPr>
                <w:rFonts w:hint="eastAsia" w:ascii="仿宋" w:hAnsi="仿宋" w:eastAsia="仿宋" w:cs="仿宋"/>
                <w:szCs w:val="21"/>
              </w:rPr>
              <w:t xml:space="preserve">1.项目完成后服务人员信息与联系方式。 </w:t>
            </w:r>
          </w:p>
          <w:p w14:paraId="562F6E70">
            <w:pPr>
              <w:snapToGrid w:val="0"/>
              <w:rPr>
                <w:rFonts w:hint="eastAsia" w:ascii="仿宋" w:hAnsi="仿宋" w:eastAsia="仿宋" w:cs="仿宋"/>
                <w:szCs w:val="21"/>
              </w:rPr>
            </w:pPr>
            <w:r>
              <w:rPr>
                <w:rFonts w:hint="eastAsia" w:ascii="仿宋" w:hAnsi="仿宋" w:eastAsia="仿宋" w:cs="仿宋"/>
                <w:szCs w:val="21"/>
              </w:rPr>
              <w:t xml:space="preserve">2.项目完成后服务时限。 </w:t>
            </w:r>
          </w:p>
          <w:p w14:paraId="18E23508">
            <w:pPr>
              <w:snapToGrid w:val="0"/>
              <w:rPr>
                <w:rFonts w:hint="eastAsia" w:ascii="仿宋" w:hAnsi="仿宋" w:eastAsia="仿宋" w:cs="仿宋"/>
                <w:szCs w:val="21"/>
              </w:rPr>
            </w:pPr>
            <w:r>
              <w:rPr>
                <w:rFonts w:hint="eastAsia" w:ascii="仿宋" w:hAnsi="仿宋" w:eastAsia="仿宋" w:cs="仿宋"/>
                <w:szCs w:val="21"/>
              </w:rPr>
              <w:t xml:space="preserve">3.项目完成后服务内容与响应时间。 </w:t>
            </w:r>
          </w:p>
          <w:p w14:paraId="4BD964C7">
            <w:pPr>
              <w:snapToGrid w:val="0"/>
              <w:rPr>
                <w:rFonts w:hint="eastAsia" w:ascii="仿宋" w:hAnsi="仿宋" w:eastAsia="仿宋" w:cs="仿宋"/>
                <w:szCs w:val="21"/>
              </w:rPr>
            </w:pPr>
            <w:r>
              <w:rPr>
                <w:rFonts w:hint="eastAsia" w:ascii="仿宋" w:hAnsi="仿宋" w:eastAsia="仿宋" w:cs="仿宋"/>
                <w:szCs w:val="21"/>
              </w:rPr>
              <w:t xml:space="preserve">4.项目服务期满后配合移交。 </w:t>
            </w:r>
          </w:p>
          <w:p w14:paraId="61233592">
            <w:pPr>
              <w:snapToGrid w:val="0"/>
              <w:rPr>
                <w:rFonts w:hint="eastAsia" w:ascii="仿宋" w:hAnsi="仿宋" w:eastAsia="仿宋" w:cs="仿宋"/>
                <w:szCs w:val="21"/>
              </w:rPr>
            </w:pPr>
            <w:r>
              <w:rPr>
                <w:rFonts w:hint="eastAsia" w:ascii="仿宋" w:hAnsi="仿宋" w:eastAsia="仿宋" w:cs="仿宋"/>
                <w:szCs w:val="21"/>
              </w:rPr>
              <w:t>（二）评分</w:t>
            </w:r>
            <w:r>
              <w:rPr>
                <w:rFonts w:hint="eastAsia" w:ascii="仿宋" w:hAnsi="仿宋" w:eastAsia="仿宋" w:cs="仿宋"/>
                <w:szCs w:val="21"/>
                <w:lang w:val="en-US" w:eastAsia="zh-CN"/>
              </w:rPr>
              <w:t>标准</w:t>
            </w:r>
            <w:r>
              <w:rPr>
                <w:rFonts w:hint="eastAsia" w:ascii="仿宋" w:hAnsi="仿宋" w:eastAsia="仿宋" w:cs="仿宋"/>
                <w:szCs w:val="21"/>
              </w:rPr>
              <w:t xml:space="preserve">： </w:t>
            </w:r>
          </w:p>
          <w:p w14:paraId="585E2C2F">
            <w:pPr>
              <w:wordWrap w:val="0"/>
              <w:rPr>
                <w:rFonts w:hint="eastAsia" w:ascii="宋体" w:hAnsi="宋体"/>
                <w:kern w:val="0"/>
                <w:szCs w:val="21"/>
                <w:lang w:val="en-US" w:eastAsia="zh-CN"/>
              </w:rPr>
            </w:pPr>
            <w:r>
              <w:rPr>
                <w:rFonts w:hint="eastAsia" w:ascii="仿宋" w:hAnsi="仿宋" w:eastAsia="仿宋" w:cs="仿宋"/>
                <w:szCs w:val="21"/>
              </w:rPr>
              <w:t xml:space="preserve">提供服务承诺（格式自定）；未提供承诺或承诺内容不满足要求不得分。 </w:t>
            </w:r>
          </w:p>
        </w:tc>
      </w:tr>
      <w:tr w14:paraId="74A33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79" w:hRule="atLeast"/>
          <w:jc w:val="center"/>
        </w:trPr>
        <w:tc>
          <w:tcPr>
            <w:tcW w:w="440" w:type="dxa"/>
            <w:tcBorders>
              <w:top w:val="single" w:color="000000" w:sz="8" w:space="0"/>
              <w:left w:val="single" w:color="000000" w:sz="8" w:space="0"/>
              <w:bottom w:val="single" w:color="000000" w:sz="8" w:space="0"/>
              <w:right w:val="single" w:color="000000" w:sz="8" w:space="0"/>
            </w:tcBorders>
            <w:vAlign w:val="center"/>
          </w:tcPr>
          <w:p w14:paraId="0068A2F1">
            <w:pPr>
              <w:rPr>
                <w:rFonts w:ascii="宋体" w:hAnsi="宋体" w:cs="宋体"/>
                <w:b/>
                <w:bCs/>
                <w:color w:val="0000FF"/>
                <w:sz w:val="24"/>
              </w:rPr>
            </w:pPr>
          </w:p>
        </w:tc>
        <w:tc>
          <w:tcPr>
            <w:tcW w:w="440" w:type="dxa"/>
            <w:tcBorders>
              <w:top w:val="single" w:color="000000" w:sz="8" w:space="0"/>
              <w:left w:val="single" w:color="000000" w:sz="8" w:space="0"/>
              <w:right w:val="single" w:color="000000" w:sz="8" w:space="0"/>
            </w:tcBorders>
            <w:vAlign w:val="center"/>
          </w:tcPr>
          <w:p w14:paraId="63A84DA2">
            <w:pPr>
              <w:wordWrap w:val="0"/>
              <w:jc w:val="center"/>
              <w:rPr>
                <w:rFonts w:hint="default" w:ascii="宋体" w:hAnsi="宋体" w:cs="宋体"/>
                <w:szCs w:val="21"/>
                <w:lang w:val="en-US" w:eastAsia="zh-CN"/>
              </w:rPr>
            </w:pPr>
            <w:r>
              <w:rPr>
                <w:rFonts w:hint="eastAsia" w:ascii="宋体" w:hAnsi="宋体" w:cs="宋体"/>
                <w:szCs w:val="21"/>
                <w:lang w:val="en-US" w:eastAsia="zh-CN"/>
              </w:rPr>
              <w:t>5</w:t>
            </w:r>
          </w:p>
        </w:tc>
        <w:tc>
          <w:tcPr>
            <w:tcW w:w="1840" w:type="dxa"/>
            <w:tcBorders>
              <w:top w:val="single" w:color="000000" w:sz="8" w:space="0"/>
              <w:left w:val="single" w:color="000000" w:sz="8" w:space="0"/>
              <w:right w:val="single" w:color="000000" w:sz="8" w:space="0"/>
            </w:tcBorders>
            <w:vAlign w:val="center"/>
          </w:tcPr>
          <w:p w14:paraId="0D02CAB9">
            <w:pPr>
              <w:wordWrap w:val="0"/>
              <w:jc w:val="center"/>
              <w:rPr>
                <w:rFonts w:hint="eastAsia"/>
                <w:color w:val="000000"/>
                <w:kern w:val="0"/>
              </w:rPr>
            </w:pPr>
            <w:r>
              <w:rPr>
                <w:rFonts w:hint="eastAsia"/>
                <w:color w:val="000000"/>
                <w:kern w:val="0"/>
              </w:rPr>
              <w:t>违约承诺</w:t>
            </w:r>
          </w:p>
        </w:tc>
        <w:tc>
          <w:tcPr>
            <w:tcW w:w="650" w:type="dxa"/>
            <w:tcBorders>
              <w:top w:val="single" w:color="000000" w:sz="8" w:space="0"/>
              <w:left w:val="single" w:color="000000" w:sz="8" w:space="0"/>
              <w:right w:val="single" w:color="000000" w:sz="8" w:space="0"/>
            </w:tcBorders>
            <w:vAlign w:val="center"/>
          </w:tcPr>
          <w:p w14:paraId="0713D090">
            <w:pPr>
              <w:widowControl/>
              <w:jc w:val="center"/>
              <w:rPr>
                <w:rFonts w:hint="default" w:ascii="宋体" w:hAnsi="宋体" w:cs="宋体"/>
                <w:szCs w:val="21"/>
                <w:lang w:val="en-US" w:eastAsia="zh-CN"/>
              </w:rPr>
            </w:pPr>
            <w:r>
              <w:rPr>
                <w:rFonts w:hint="eastAsia" w:ascii="宋体" w:hAnsi="宋体" w:cs="宋体"/>
                <w:szCs w:val="21"/>
                <w:lang w:val="en-US" w:eastAsia="zh-CN"/>
              </w:rPr>
              <w:t>2</w:t>
            </w:r>
          </w:p>
        </w:tc>
        <w:tc>
          <w:tcPr>
            <w:tcW w:w="903" w:type="dxa"/>
            <w:gridSpan w:val="2"/>
            <w:tcBorders>
              <w:top w:val="single" w:color="000000" w:sz="8" w:space="0"/>
              <w:left w:val="single" w:color="000000" w:sz="8" w:space="0"/>
              <w:bottom w:val="single" w:color="000000" w:sz="8" w:space="0"/>
              <w:right w:val="single" w:color="000000" w:sz="8" w:space="0"/>
            </w:tcBorders>
            <w:vAlign w:val="center"/>
          </w:tcPr>
          <w:p w14:paraId="4EB2199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专家</w:t>
            </w:r>
          </w:p>
          <w:p w14:paraId="78A4AE88">
            <w:pPr>
              <w:widowControl/>
              <w:jc w:val="center"/>
              <w:rPr>
                <w:rFonts w:hint="eastAsia" w:ascii="宋体" w:hAnsi="宋体"/>
                <w:kern w:val="0"/>
                <w:szCs w:val="21"/>
                <w:lang w:val="en-US" w:eastAsia="zh-CN"/>
              </w:rPr>
            </w:pPr>
            <w:r>
              <w:rPr>
                <w:rFonts w:hint="eastAsia" w:ascii="仿宋" w:hAnsi="仿宋" w:eastAsia="仿宋" w:cs="仿宋"/>
                <w:kern w:val="0"/>
                <w:szCs w:val="21"/>
                <w:lang w:val="en-US" w:eastAsia="zh-CN"/>
              </w:rPr>
              <w:t>打分</w:t>
            </w:r>
          </w:p>
        </w:tc>
        <w:tc>
          <w:tcPr>
            <w:tcW w:w="6025" w:type="dxa"/>
            <w:tcBorders>
              <w:top w:val="single" w:color="000000" w:sz="8" w:space="0"/>
              <w:left w:val="single" w:color="000000" w:sz="8" w:space="0"/>
              <w:bottom w:val="single" w:color="000000" w:sz="8" w:space="0"/>
              <w:right w:val="single" w:color="000000" w:sz="8" w:space="0"/>
            </w:tcBorders>
            <w:vAlign w:val="top"/>
          </w:tcPr>
          <w:p w14:paraId="40814962">
            <w:pPr>
              <w:snapToGrid w:val="0"/>
              <w:rPr>
                <w:rFonts w:hint="eastAsia" w:ascii="仿宋" w:hAnsi="仿宋" w:eastAsia="仿宋" w:cs="仿宋"/>
                <w:szCs w:val="21"/>
              </w:rPr>
            </w:pPr>
            <w:r>
              <w:rPr>
                <w:rFonts w:hint="eastAsia" w:ascii="仿宋" w:hAnsi="仿宋" w:eastAsia="仿宋" w:cs="仿宋"/>
                <w:szCs w:val="21"/>
              </w:rPr>
              <w:t xml:space="preserve">（一）评分内容： </w:t>
            </w:r>
          </w:p>
          <w:p w14:paraId="5B30B170">
            <w:pPr>
              <w:snapToGrid w:val="0"/>
              <w:rPr>
                <w:rFonts w:hint="eastAsia" w:ascii="仿宋" w:hAnsi="仿宋" w:eastAsia="仿宋" w:cs="仿宋"/>
                <w:szCs w:val="21"/>
              </w:rPr>
            </w:pPr>
            <w:r>
              <w:rPr>
                <w:rFonts w:hint="eastAsia" w:ascii="仿宋" w:hAnsi="仿宋" w:eastAsia="仿宋" w:cs="仿宋"/>
                <w:szCs w:val="21"/>
              </w:rPr>
              <w:t xml:space="preserve">针对有害生物防治服务质量不合格、安全事故、环保事故及工作失误提供相应违约责任承诺及违约经济赔偿承诺。 </w:t>
            </w:r>
          </w:p>
          <w:p w14:paraId="397C58BD">
            <w:pPr>
              <w:snapToGrid w:val="0"/>
              <w:rPr>
                <w:rFonts w:hint="eastAsia" w:ascii="仿宋" w:hAnsi="仿宋" w:eastAsia="仿宋" w:cs="仿宋"/>
                <w:szCs w:val="21"/>
              </w:rPr>
            </w:pPr>
            <w:r>
              <w:rPr>
                <w:rFonts w:hint="eastAsia" w:ascii="仿宋" w:hAnsi="仿宋" w:eastAsia="仿宋" w:cs="仿宋"/>
                <w:szCs w:val="21"/>
              </w:rPr>
              <w:t>（二）评分</w:t>
            </w:r>
            <w:r>
              <w:rPr>
                <w:rFonts w:hint="eastAsia" w:ascii="仿宋" w:hAnsi="仿宋" w:eastAsia="仿宋" w:cs="仿宋"/>
                <w:szCs w:val="21"/>
                <w:lang w:val="en-US" w:eastAsia="zh-CN"/>
              </w:rPr>
              <w:t>标准</w:t>
            </w:r>
            <w:r>
              <w:rPr>
                <w:rFonts w:hint="eastAsia" w:ascii="仿宋" w:hAnsi="仿宋" w:eastAsia="仿宋" w:cs="仿宋"/>
                <w:szCs w:val="21"/>
              </w:rPr>
              <w:t xml:space="preserve">： </w:t>
            </w:r>
          </w:p>
          <w:p w14:paraId="224D5DCA">
            <w:pPr>
              <w:snapToGrid w:val="0"/>
              <w:rPr>
                <w:rFonts w:hint="eastAsia" w:ascii="仿宋" w:hAnsi="仿宋" w:eastAsia="仿宋" w:cs="仿宋"/>
                <w:szCs w:val="21"/>
              </w:rPr>
            </w:pPr>
            <w:r>
              <w:rPr>
                <w:rFonts w:hint="eastAsia" w:ascii="仿宋" w:hAnsi="仿宋" w:eastAsia="仿宋" w:cs="仿宋"/>
                <w:szCs w:val="21"/>
              </w:rPr>
              <w:t xml:space="preserve">提供违约承诺（格式自定）得 2 分，未提供承诺或承诺内容不满足要求不得分。 </w:t>
            </w:r>
          </w:p>
        </w:tc>
      </w:tr>
      <w:tr w14:paraId="046D76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5" w:hRule="atLeast"/>
          <w:jc w:val="center"/>
        </w:trPr>
        <w:tc>
          <w:tcPr>
            <w:tcW w:w="440" w:type="dxa"/>
            <w:vMerge w:val="restart"/>
            <w:tcBorders>
              <w:top w:val="single" w:color="000000" w:sz="8" w:space="0"/>
              <w:left w:val="single" w:color="000000" w:sz="8" w:space="0"/>
              <w:bottom w:val="single" w:color="000000" w:sz="8" w:space="0"/>
              <w:right w:val="single" w:color="000000" w:sz="8" w:space="0"/>
            </w:tcBorders>
          </w:tcPr>
          <w:p w14:paraId="74125EE2">
            <w:pPr>
              <w:wordWrap w:val="0"/>
              <w:jc w:val="center"/>
              <w:rPr>
                <w:rFonts w:ascii="宋体" w:hAnsi="宋体" w:cs="宋体"/>
                <w:b/>
                <w:bCs/>
                <w:color w:val="0000FF"/>
                <w:sz w:val="24"/>
              </w:rPr>
            </w:pPr>
            <w:r>
              <w:rPr>
                <w:b/>
                <w:bCs/>
                <w:color w:val="0000FF"/>
              </w:rPr>
              <w:t>3</w:t>
            </w:r>
          </w:p>
        </w:tc>
        <w:tc>
          <w:tcPr>
            <w:tcW w:w="2930" w:type="dxa"/>
            <w:gridSpan w:val="3"/>
            <w:tcBorders>
              <w:top w:val="single" w:color="000000" w:sz="8" w:space="0"/>
              <w:left w:val="single" w:color="000000" w:sz="8" w:space="0"/>
              <w:bottom w:val="single" w:color="000000" w:sz="8" w:space="0"/>
              <w:right w:val="single" w:color="000000" w:sz="8" w:space="0"/>
            </w:tcBorders>
            <w:vAlign w:val="center"/>
          </w:tcPr>
          <w:p w14:paraId="4637B920">
            <w:pPr>
              <w:wordWrap w:val="0"/>
              <w:jc w:val="center"/>
              <w:rPr>
                <w:rFonts w:hint="default" w:ascii="宋体" w:hAnsi="宋体" w:cs="宋体" w:eastAsiaTheme="minorEastAsia"/>
                <w:b/>
                <w:bCs/>
                <w:color w:val="0000FF"/>
                <w:sz w:val="24"/>
                <w:lang w:val="en-US" w:eastAsia="zh-CN"/>
              </w:rPr>
            </w:pPr>
            <w:r>
              <w:rPr>
                <w:rFonts w:hint="eastAsia" w:ascii="宋体" w:hAnsi="宋体" w:cs="宋体"/>
                <w:b/>
                <w:bCs/>
                <w:color w:val="0000FF"/>
                <w:sz w:val="24"/>
                <w:lang w:val="en-US" w:eastAsia="zh-CN"/>
              </w:rPr>
              <w:t>商务部分</w:t>
            </w:r>
          </w:p>
        </w:tc>
        <w:tc>
          <w:tcPr>
            <w:tcW w:w="903" w:type="dxa"/>
            <w:gridSpan w:val="2"/>
            <w:tcBorders>
              <w:top w:val="single" w:color="000000" w:sz="8" w:space="0"/>
              <w:left w:val="single" w:color="000000" w:sz="8" w:space="0"/>
              <w:bottom w:val="single" w:color="000000" w:sz="8" w:space="0"/>
              <w:right w:val="single" w:color="000000" w:sz="8" w:space="0"/>
            </w:tcBorders>
            <w:vAlign w:val="center"/>
          </w:tcPr>
          <w:p w14:paraId="5A1B05CB">
            <w:pPr>
              <w:widowControl/>
              <w:ind w:firstLine="422" w:firstLineChars="200"/>
              <w:jc w:val="center"/>
              <w:rPr>
                <w:rFonts w:hint="eastAsia"/>
                <w:b/>
                <w:bCs/>
                <w:color w:val="0000FF"/>
                <w:highlight w:val="yellow"/>
                <w:lang w:val="en-US" w:eastAsia="zh-CN"/>
              </w:rPr>
            </w:pPr>
          </w:p>
        </w:tc>
        <w:tc>
          <w:tcPr>
            <w:tcW w:w="6025" w:type="dxa"/>
            <w:tcBorders>
              <w:top w:val="single" w:color="000000" w:sz="8" w:space="0"/>
              <w:left w:val="single" w:color="000000" w:sz="8" w:space="0"/>
              <w:bottom w:val="single" w:color="000000" w:sz="8" w:space="0"/>
              <w:right w:val="single" w:color="000000" w:sz="8" w:space="0"/>
            </w:tcBorders>
          </w:tcPr>
          <w:p w14:paraId="753D5E61">
            <w:pPr>
              <w:widowControl/>
              <w:ind w:firstLine="422" w:firstLineChars="200"/>
              <w:jc w:val="left"/>
              <w:rPr>
                <w:rFonts w:hint="default" w:asciiTheme="minorEastAsia" w:hAnsiTheme="minorEastAsia" w:eastAsiaTheme="minorEastAsia" w:cstheme="minorEastAsia"/>
                <w:b w:val="0"/>
                <w:bCs w:val="0"/>
                <w:kern w:val="2"/>
                <w:sz w:val="21"/>
                <w:szCs w:val="21"/>
                <w:lang w:val="en-US" w:eastAsia="zh-CN" w:bidi="ar-SA"/>
              </w:rPr>
            </w:pPr>
            <w:r>
              <w:rPr>
                <w:rFonts w:hint="eastAsia"/>
                <w:b/>
                <w:bCs/>
                <w:color w:val="0000FF"/>
                <w:highlight w:val="yellow"/>
                <w:lang w:val="en-US" w:eastAsia="zh-CN"/>
              </w:rPr>
              <w:t>30</w:t>
            </w:r>
          </w:p>
        </w:tc>
      </w:tr>
      <w:tr w14:paraId="329F6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5"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1AF51F6B">
            <w:pPr>
              <w:rPr>
                <w:rFonts w:ascii="宋体" w:hAnsi="宋体" w:cs="宋体"/>
                <w:b/>
                <w:bCs/>
                <w:color w:val="0000FF"/>
                <w:sz w:val="24"/>
              </w:rPr>
            </w:pPr>
          </w:p>
        </w:tc>
        <w:tc>
          <w:tcPr>
            <w:tcW w:w="3566" w:type="dxa"/>
            <w:gridSpan w:val="4"/>
            <w:tcBorders>
              <w:top w:val="single" w:color="000000" w:sz="8" w:space="0"/>
              <w:left w:val="single" w:color="000000" w:sz="8" w:space="0"/>
              <w:bottom w:val="single" w:color="000000" w:sz="8" w:space="0"/>
              <w:right w:val="single" w:color="000000" w:sz="8" w:space="0"/>
            </w:tcBorders>
            <w:vAlign w:val="center"/>
          </w:tcPr>
          <w:p w14:paraId="1112982A">
            <w:pPr>
              <w:widowControl/>
              <w:ind w:firstLine="420" w:firstLineChars="200"/>
              <w:jc w:val="center"/>
              <w:rPr>
                <w:rFonts w:hint="eastAsia" w:asciiTheme="minorEastAsia" w:hAnsiTheme="minorEastAsia" w:eastAsiaTheme="minorEastAsia" w:cstheme="minorEastAsia"/>
                <w:b w:val="0"/>
                <w:bCs w:val="0"/>
                <w:kern w:val="2"/>
                <w:sz w:val="21"/>
                <w:szCs w:val="21"/>
                <w:lang w:val="en-US" w:eastAsia="zh-CN" w:bidi="ar-SA"/>
              </w:rPr>
            </w:pPr>
          </w:p>
        </w:tc>
        <w:tc>
          <w:tcPr>
            <w:tcW w:w="6292" w:type="dxa"/>
            <w:gridSpan w:val="2"/>
            <w:tcBorders>
              <w:top w:val="single" w:color="000000" w:sz="8" w:space="0"/>
              <w:left w:val="single" w:color="000000" w:sz="8" w:space="0"/>
              <w:bottom w:val="single" w:color="000000" w:sz="8" w:space="0"/>
              <w:right w:val="single" w:color="000000" w:sz="8" w:space="0"/>
            </w:tcBorders>
          </w:tcPr>
          <w:p w14:paraId="5243E59E">
            <w:pPr>
              <w:widowControl/>
              <w:ind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p>
        </w:tc>
      </w:tr>
      <w:tr w14:paraId="2B984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5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1AA6C00">
            <w:pPr>
              <w:rPr>
                <w:rFonts w:ascii="宋体" w:hAnsi="宋体" w:cs="宋体"/>
                <w:b/>
                <w:bCs/>
                <w:color w:val="0000FF"/>
                <w:sz w:val="24"/>
              </w:rPr>
            </w:pPr>
          </w:p>
        </w:tc>
        <w:tc>
          <w:tcPr>
            <w:tcW w:w="44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ADCCE96">
            <w:pPr>
              <w:wordWrap w:val="0"/>
              <w:jc w:val="center"/>
              <w:rPr>
                <w:rFonts w:ascii="宋体" w:hAnsi="宋体" w:cs="宋体"/>
                <w:szCs w:val="21"/>
              </w:rPr>
            </w:pPr>
            <w:r>
              <w:rPr>
                <w:szCs w:val="21"/>
              </w:rPr>
              <w:t>序号</w:t>
            </w:r>
          </w:p>
        </w:tc>
        <w:tc>
          <w:tcPr>
            <w:tcW w:w="184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E057E3B">
            <w:pPr>
              <w:wordWrap w:val="0"/>
              <w:jc w:val="center"/>
              <w:rPr>
                <w:rFonts w:ascii="宋体" w:hAnsi="宋体" w:cs="宋体"/>
                <w:szCs w:val="21"/>
              </w:rPr>
            </w:pPr>
            <w:r>
              <w:rPr>
                <w:szCs w:val="21"/>
              </w:rPr>
              <w:t>评分因素</w:t>
            </w:r>
          </w:p>
        </w:tc>
        <w:tc>
          <w:tcPr>
            <w:tcW w:w="65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8BBDFE">
            <w:pPr>
              <w:wordWrap w:val="0"/>
              <w:jc w:val="center"/>
              <w:rPr>
                <w:rFonts w:ascii="宋体" w:hAnsi="宋体" w:cs="宋体"/>
                <w:szCs w:val="21"/>
              </w:rPr>
            </w:pPr>
            <w:r>
              <w:rPr>
                <w:szCs w:val="21"/>
              </w:rPr>
              <w:t>权重</w:t>
            </w:r>
          </w:p>
        </w:tc>
        <w:tc>
          <w:tcPr>
            <w:tcW w:w="903"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3ED2871A">
            <w:pPr>
              <w:widowControl/>
              <w:jc w:val="center"/>
              <w:rPr>
                <w:rFonts w:hint="eastAsia" w:asciiTheme="minorEastAsia" w:hAnsiTheme="minorEastAsia" w:cstheme="minorEastAsia"/>
                <w:b w:val="0"/>
                <w:bCs w:val="0"/>
                <w:kern w:val="2"/>
                <w:sz w:val="21"/>
                <w:szCs w:val="21"/>
                <w:lang w:val="en-US" w:eastAsia="zh-CN" w:bidi="ar-SA"/>
              </w:rPr>
            </w:pPr>
            <w:r>
              <w:rPr>
                <w:rFonts w:hint="eastAsia" w:asciiTheme="minorEastAsia" w:hAnsiTheme="minorEastAsia" w:cstheme="minorEastAsia"/>
                <w:b w:val="0"/>
                <w:bCs w:val="0"/>
                <w:kern w:val="2"/>
                <w:sz w:val="21"/>
                <w:szCs w:val="21"/>
                <w:lang w:val="en-US" w:eastAsia="zh-CN" w:bidi="ar-SA"/>
              </w:rPr>
              <w:t>评分</w:t>
            </w:r>
          </w:p>
          <w:p w14:paraId="560301D8">
            <w:pPr>
              <w:widowControl/>
              <w:jc w:val="center"/>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cstheme="minorEastAsia"/>
                <w:b w:val="0"/>
                <w:bCs w:val="0"/>
                <w:kern w:val="2"/>
                <w:sz w:val="21"/>
                <w:szCs w:val="21"/>
                <w:lang w:val="en-US" w:eastAsia="zh-CN" w:bidi="ar-SA"/>
              </w:rPr>
              <w:t>方式</w:t>
            </w:r>
          </w:p>
        </w:tc>
        <w:tc>
          <w:tcPr>
            <w:tcW w:w="602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3F9D7EE">
            <w:pPr>
              <w:widowControl/>
              <w:ind w:firstLine="420" w:firstLineChars="200"/>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评分准则</w:t>
            </w:r>
          </w:p>
        </w:tc>
      </w:tr>
      <w:tr w14:paraId="635CB0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437"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54B14A9D">
            <w:pPr>
              <w:rPr>
                <w:rFonts w:ascii="宋体" w:hAnsi="宋体" w:cs="宋体"/>
                <w:b/>
                <w:bCs/>
                <w:color w:val="0000FF"/>
                <w:sz w:val="24"/>
              </w:rPr>
            </w:pPr>
          </w:p>
        </w:tc>
        <w:tc>
          <w:tcPr>
            <w:tcW w:w="440" w:type="dxa"/>
            <w:tcBorders>
              <w:top w:val="single" w:color="000000" w:sz="8" w:space="0"/>
              <w:left w:val="single" w:color="000000" w:sz="8" w:space="0"/>
              <w:bottom w:val="single" w:color="000000" w:sz="8" w:space="0"/>
              <w:right w:val="single" w:color="000000" w:sz="8" w:space="0"/>
            </w:tcBorders>
            <w:vAlign w:val="center"/>
          </w:tcPr>
          <w:p w14:paraId="079AA00A">
            <w:pPr>
              <w:wordWrap w:val="0"/>
              <w:jc w:val="center"/>
              <w:rPr>
                <w:rFonts w:ascii="宋体" w:hAnsi="宋体" w:cs="宋体"/>
                <w:szCs w:val="21"/>
              </w:rPr>
            </w:pPr>
            <w:r>
              <w:rPr>
                <w:rFonts w:hint="eastAsia" w:ascii="宋体" w:hAnsi="宋体" w:cs="宋体"/>
                <w:szCs w:val="21"/>
              </w:rPr>
              <w:t>1</w:t>
            </w:r>
          </w:p>
        </w:tc>
        <w:tc>
          <w:tcPr>
            <w:tcW w:w="1840" w:type="dxa"/>
            <w:tcBorders>
              <w:top w:val="single" w:color="000000" w:sz="8" w:space="0"/>
              <w:left w:val="single" w:color="000000" w:sz="8" w:space="0"/>
              <w:bottom w:val="single" w:color="000000" w:sz="8" w:space="0"/>
              <w:right w:val="single" w:color="000000" w:sz="8" w:space="0"/>
            </w:tcBorders>
            <w:vAlign w:val="center"/>
          </w:tcPr>
          <w:p w14:paraId="4555F7BF">
            <w:pPr>
              <w:wordWrap w:val="0"/>
              <w:jc w:val="center"/>
              <w:rPr>
                <w:rFonts w:ascii="宋体" w:hAnsi="宋体"/>
              </w:rPr>
            </w:pPr>
            <w:r>
              <w:rPr>
                <w:rFonts w:hint="eastAsia" w:ascii="宋体" w:hAnsi="宋体" w:cs="宋体"/>
                <w:szCs w:val="21"/>
              </w:rPr>
              <w:t>同类项目业绩</w:t>
            </w:r>
          </w:p>
          <w:p w14:paraId="61FEA6E7">
            <w:pPr>
              <w:widowControl/>
              <w:jc w:val="center"/>
              <w:rPr>
                <w:rFonts w:ascii="宋体" w:hAnsi="宋体" w:cs="宋体"/>
                <w:szCs w:val="21"/>
              </w:rPr>
            </w:pPr>
          </w:p>
        </w:tc>
        <w:tc>
          <w:tcPr>
            <w:tcW w:w="650" w:type="dxa"/>
            <w:tcBorders>
              <w:top w:val="single" w:color="000000" w:sz="8" w:space="0"/>
              <w:left w:val="single" w:color="000000" w:sz="8" w:space="0"/>
              <w:bottom w:val="single" w:color="000000" w:sz="8" w:space="0"/>
              <w:right w:val="single" w:color="000000" w:sz="8" w:space="0"/>
            </w:tcBorders>
            <w:vAlign w:val="center"/>
          </w:tcPr>
          <w:p w14:paraId="4D2FF88C">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903" w:type="dxa"/>
            <w:gridSpan w:val="2"/>
            <w:tcBorders>
              <w:top w:val="single" w:color="000000" w:sz="8" w:space="0"/>
              <w:left w:val="single" w:color="000000" w:sz="8" w:space="0"/>
              <w:bottom w:val="single" w:color="000000" w:sz="8" w:space="0"/>
              <w:right w:val="single" w:color="000000" w:sz="8" w:space="0"/>
            </w:tcBorders>
            <w:vAlign w:val="center"/>
          </w:tcPr>
          <w:p w14:paraId="2C238C2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专家</w:t>
            </w:r>
          </w:p>
          <w:p w14:paraId="06D73141">
            <w:pPr>
              <w:widowControl/>
              <w:jc w:val="center"/>
              <w:rPr>
                <w:rFonts w:hint="default" w:asciiTheme="minorEastAsia" w:hAnsiTheme="minorEastAsia" w:eastAsiaTheme="minorEastAsia" w:cstheme="minorEastAsia"/>
                <w:b/>
                <w:bCs/>
                <w:color w:val="FF0000"/>
                <w:kern w:val="2"/>
                <w:sz w:val="21"/>
                <w:szCs w:val="21"/>
                <w:lang w:val="en-US" w:eastAsia="zh-CN" w:bidi="ar-SA"/>
              </w:rPr>
            </w:pPr>
            <w:r>
              <w:rPr>
                <w:rFonts w:hint="eastAsia" w:ascii="仿宋" w:hAnsi="仿宋" w:eastAsia="仿宋" w:cs="仿宋"/>
                <w:kern w:val="0"/>
                <w:szCs w:val="21"/>
                <w:lang w:val="en-US" w:eastAsia="zh-CN"/>
              </w:rPr>
              <w:t>打分</w:t>
            </w:r>
          </w:p>
        </w:tc>
        <w:tc>
          <w:tcPr>
            <w:tcW w:w="6025" w:type="dxa"/>
            <w:tcBorders>
              <w:top w:val="single" w:color="000000" w:sz="8" w:space="0"/>
              <w:left w:val="single" w:color="000000" w:sz="8" w:space="0"/>
              <w:bottom w:val="single" w:color="000000" w:sz="8" w:space="0"/>
              <w:right w:val="single" w:color="000000" w:sz="8" w:space="0"/>
            </w:tcBorders>
            <w:vAlign w:val="top"/>
          </w:tcPr>
          <w:p w14:paraId="35F4750E">
            <w:pPr>
              <w:snapToGrid w:val="0"/>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一</w:t>
            </w:r>
            <w:r>
              <w:rPr>
                <w:rFonts w:hint="eastAsia" w:ascii="仿宋" w:hAnsi="仿宋" w:eastAsia="仿宋" w:cs="仿宋"/>
                <w:szCs w:val="21"/>
                <w:lang w:eastAsia="zh-CN"/>
              </w:rPr>
              <w:t>）</w:t>
            </w:r>
            <w:r>
              <w:rPr>
                <w:rFonts w:hint="eastAsia" w:ascii="仿宋" w:hAnsi="仿宋" w:eastAsia="仿宋" w:cs="仿宋"/>
                <w:szCs w:val="21"/>
              </w:rPr>
              <w:t>投标人提供自20</w:t>
            </w:r>
            <w:r>
              <w:rPr>
                <w:rFonts w:hint="eastAsia" w:ascii="仿宋" w:hAnsi="仿宋" w:eastAsia="仿宋" w:cs="仿宋"/>
                <w:szCs w:val="21"/>
                <w:lang w:val="en-US" w:eastAsia="zh-CN"/>
              </w:rPr>
              <w:t>22</w:t>
            </w:r>
            <w:r>
              <w:rPr>
                <w:rFonts w:hint="eastAsia" w:ascii="仿宋" w:hAnsi="仿宋" w:eastAsia="仿宋" w:cs="仿宋"/>
                <w:szCs w:val="21"/>
              </w:rPr>
              <w:t>年1月至投标截止日（以合同签订时间为准）承担过的：</w:t>
            </w:r>
          </w:p>
          <w:p w14:paraId="003599D6">
            <w:pPr>
              <w:snapToGrid w:val="0"/>
              <w:rPr>
                <w:rFonts w:hint="default" w:ascii="仿宋" w:hAnsi="仿宋" w:eastAsia="仿宋" w:cs="仿宋"/>
                <w:szCs w:val="21"/>
                <w:lang w:val="en-US" w:eastAsia="zh-CN"/>
              </w:rPr>
            </w:pPr>
            <w:r>
              <w:rPr>
                <w:rFonts w:hint="eastAsia" w:ascii="仿宋" w:hAnsi="仿宋" w:eastAsia="仿宋" w:cs="仿宋"/>
                <w:szCs w:val="21"/>
              </w:rPr>
              <w:t>行政/事业单位的类似病媒生物防制（除“四害”）或白蚁防治服务项目</w:t>
            </w:r>
            <w:r>
              <w:rPr>
                <w:rFonts w:hint="eastAsia" w:ascii="仿宋" w:hAnsi="仿宋" w:eastAsia="仿宋" w:cs="仿宋"/>
                <w:szCs w:val="21"/>
                <w:lang w:eastAsia="zh-CN"/>
              </w:rPr>
              <w:t>的</w:t>
            </w:r>
            <w:r>
              <w:rPr>
                <w:rFonts w:hint="eastAsia" w:ascii="仿宋" w:hAnsi="仿宋" w:eastAsia="仿宋" w:cs="仿宋"/>
                <w:szCs w:val="21"/>
                <w:lang w:val="en-US" w:eastAsia="zh-CN"/>
              </w:rPr>
              <w:t>业绩。每提供一个分10分，最高得20分。</w:t>
            </w:r>
          </w:p>
          <w:p w14:paraId="0E1F0497">
            <w:pPr>
              <w:snapToGrid w:val="0"/>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二</w:t>
            </w:r>
            <w:r>
              <w:rPr>
                <w:rFonts w:hint="eastAsia" w:ascii="仿宋" w:hAnsi="仿宋" w:eastAsia="仿宋" w:cs="仿宋"/>
                <w:szCs w:val="21"/>
                <w:lang w:eastAsia="zh-CN"/>
              </w:rPr>
              <w:t>）</w:t>
            </w:r>
            <w:r>
              <w:rPr>
                <w:rFonts w:hint="eastAsia" w:ascii="仿宋" w:hAnsi="仿宋" w:eastAsia="仿宋" w:cs="仿宋"/>
                <w:szCs w:val="21"/>
              </w:rPr>
              <w:t>证明文件：</w:t>
            </w:r>
          </w:p>
          <w:p w14:paraId="1171CF5E">
            <w:pPr>
              <w:snapToGrid w:val="0"/>
              <w:rPr>
                <w:rFonts w:hint="eastAsia" w:ascii="仿宋" w:hAnsi="仿宋" w:eastAsia="仿宋" w:cs="仿宋"/>
                <w:szCs w:val="21"/>
              </w:rPr>
            </w:pPr>
            <w:r>
              <w:rPr>
                <w:rFonts w:hint="eastAsia" w:ascii="仿宋" w:hAnsi="仿宋" w:eastAsia="仿宋" w:cs="仿宋"/>
                <w:szCs w:val="21"/>
              </w:rPr>
              <w:t>1、提供合同关键页证明材料扫描件，原件备查。</w:t>
            </w:r>
          </w:p>
          <w:p w14:paraId="07283B63">
            <w:pPr>
              <w:snapToGrid w:val="0"/>
              <w:rPr>
                <w:rFonts w:hint="eastAsia" w:ascii="仿宋" w:hAnsi="仿宋" w:eastAsia="仿宋" w:cs="仿宋"/>
                <w:szCs w:val="21"/>
              </w:rPr>
            </w:pPr>
            <w:r>
              <w:rPr>
                <w:rFonts w:hint="eastAsia" w:ascii="仿宋" w:hAnsi="仿宋" w:eastAsia="仿宋" w:cs="仿宋"/>
                <w:szCs w:val="21"/>
              </w:rPr>
              <w:t>2、若合同甲方（采购方）有名称变更的，投标人还需出具说明函（格式自拟）。</w:t>
            </w:r>
          </w:p>
          <w:p w14:paraId="46465630">
            <w:pPr>
              <w:snapToGrid w:val="0"/>
              <w:rPr>
                <w:rFonts w:hint="eastAsia" w:asciiTheme="minorEastAsia" w:hAnsiTheme="minorEastAsia" w:eastAsiaTheme="minorEastAsia" w:cstheme="minorEastAsia"/>
                <w:b/>
                <w:bCs/>
                <w:color w:val="FF0000"/>
                <w:kern w:val="2"/>
                <w:sz w:val="21"/>
                <w:szCs w:val="21"/>
                <w:lang w:val="en-US" w:eastAsia="zh-CN" w:bidi="ar-SA"/>
              </w:rPr>
            </w:pPr>
            <w:r>
              <w:rPr>
                <w:rFonts w:hint="eastAsia" w:ascii="仿宋" w:hAnsi="仿宋" w:eastAsia="仿宋" w:cs="仿宋"/>
                <w:szCs w:val="21"/>
              </w:rPr>
              <w:t>3、如未按要求提供证明材料，或所提供的证明材料未能体现上述评分内容的，视为该证明材料无效。</w:t>
            </w:r>
          </w:p>
        </w:tc>
      </w:tr>
      <w:tr w14:paraId="4E16E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14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283BB582">
            <w:pPr>
              <w:rPr>
                <w:rFonts w:ascii="宋体" w:hAnsi="宋体" w:cs="宋体"/>
                <w:b/>
                <w:bCs/>
                <w:color w:val="0000FF"/>
                <w:sz w:val="24"/>
              </w:rPr>
            </w:pPr>
          </w:p>
        </w:tc>
        <w:tc>
          <w:tcPr>
            <w:tcW w:w="440" w:type="dxa"/>
            <w:tcBorders>
              <w:top w:val="single" w:color="000000" w:sz="8" w:space="0"/>
              <w:left w:val="single" w:color="000000" w:sz="8" w:space="0"/>
              <w:bottom w:val="single" w:color="000000" w:sz="8" w:space="0"/>
              <w:right w:val="single" w:color="000000" w:sz="8" w:space="0"/>
            </w:tcBorders>
            <w:vAlign w:val="center"/>
          </w:tcPr>
          <w:p w14:paraId="175F68B7">
            <w:pPr>
              <w:wordWrap w:val="0"/>
              <w:jc w:val="center"/>
              <w:rPr>
                <w:rFonts w:ascii="宋体" w:hAnsi="宋体" w:cs="宋体"/>
                <w:szCs w:val="21"/>
              </w:rPr>
            </w:pPr>
            <w:r>
              <w:rPr>
                <w:rFonts w:hint="eastAsia" w:ascii="宋体" w:hAnsi="宋体" w:cs="宋体"/>
                <w:szCs w:val="21"/>
              </w:rPr>
              <w:t>2</w:t>
            </w:r>
          </w:p>
        </w:tc>
        <w:tc>
          <w:tcPr>
            <w:tcW w:w="1840" w:type="dxa"/>
            <w:tcBorders>
              <w:top w:val="single" w:color="000000" w:sz="8" w:space="0"/>
              <w:left w:val="single" w:color="000000" w:sz="8" w:space="0"/>
              <w:bottom w:val="single" w:color="000000" w:sz="8" w:space="0"/>
              <w:right w:val="single" w:color="000000" w:sz="8" w:space="0"/>
            </w:tcBorders>
            <w:vAlign w:val="center"/>
          </w:tcPr>
          <w:p w14:paraId="5D95890D">
            <w:pPr>
              <w:wordWrap w:val="0"/>
              <w:jc w:val="center"/>
              <w:rPr>
                <w:rFonts w:ascii="宋体" w:hAnsi="宋体" w:cs="宋体"/>
                <w:szCs w:val="21"/>
              </w:rPr>
            </w:pPr>
            <w:r>
              <w:rPr>
                <w:rFonts w:hint="eastAsia" w:ascii="宋体" w:hAnsi="宋体" w:cs="宋体"/>
                <w:kern w:val="0"/>
                <w:szCs w:val="21"/>
              </w:rPr>
              <w:t>服务便利性</w:t>
            </w:r>
          </w:p>
        </w:tc>
        <w:tc>
          <w:tcPr>
            <w:tcW w:w="650" w:type="dxa"/>
            <w:tcBorders>
              <w:top w:val="single" w:color="000000" w:sz="8" w:space="0"/>
              <w:left w:val="single" w:color="000000" w:sz="8" w:space="0"/>
              <w:bottom w:val="single" w:color="000000" w:sz="8" w:space="0"/>
              <w:right w:val="single" w:color="000000" w:sz="8" w:space="0"/>
            </w:tcBorders>
            <w:vAlign w:val="center"/>
          </w:tcPr>
          <w:p w14:paraId="547C2A28">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903" w:type="dxa"/>
            <w:gridSpan w:val="2"/>
            <w:tcBorders>
              <w:top w:val="single" w:color="000000" w:sz="8" w:space="0"/>
              <w:left w:val="single" w:color="000000" w:sz="8" w:space="0"/>
              <w:bottom w:val="single" w:color="000000" w:sz="8" w:space="0"/>
              <w:right w:val="single" w:color="000000" w:sz="8" w:space="0"/>
            </w:tcBorders>
            <w:vAlign w:val="center"/>
          </w:tcPr>
          <w:p w14:paraId="03A958A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专家</w:t>
            </w:r>
          </w:p>
          <w:p w14:paraId="53EB2B4B">
            <w:pPr>
              <w:widowControl/>
              <w:jc w:val="center"/>
              <w:rPr>
                <w:rFonts w:hint="eastAsia" w:asciiTheme="minorEastAsia" w:hAnsiTheme="minorEastAsia" w:eastAsiaTheme="minorEastAsia" w:cstheme="minorEastAsia"/>
                <w:b/>
                <w:bCs/>
                <w:color w:val="FF0000"/>
                <w:kern w:val="2"/>
                <w:sz w:val="21"/>
                <w:szCs w:val="21"/>
                <w:lang w:val="en-US" w:eastAsia="zh-CN" w:bidi="ar-SA"/>
              </w:rPr>
            </w:pPr>
            <w:r>
              <w:rPr>
                <w:rFonts w:hint="eastAsia" w:ascii="仿宋" w:hAnsi="仿宋" w:eastAsia="仿宋" w:cs="仿宋"/>
                <w:kern w:val="0"/>
                <w:szCs w:val="21"/>
                <w:lang w:val="en-US" w:eastAsia="zh-CN"/>
              </w:rPr>
              <w:t>打分</w:t>
            </w:r>
          </w:p>
        </w:tc>
        <w:tc>
          <w:tcPr>
            <w:tcW w:w="6025" w:type="dxa"/>
            <w:tcBorders>
              <w:top w:val="single" w:color="000000" w:sz="8" w:space="0"/>
              <w:left w:val="single" w:color="000000" w:sz="8" w:space="0"/>
              <w:bottom w:val="single" w:color="000000" w:sz="8" w:space="0"/>
              <w:right w:val="single" w:color="000000" w:sz="8" w:space="0"/>
            </w:tcBorders>
            <w:vAlign w:val="top"/>
          </w:tcPr>
          <w:p w14:paraId="774C2F6C">
            <w:pPr>
              <w:snapToGrid w:val="0"/>
              <w:rPr>
                <w:rFonts w:hint="eastAsia" w:ascii="仿宋" w:hAnsi="仿宋" w:eastAsia="仿宋" w:cs="仿宋"/>
                <w:szCs w:val="21"/>
                <w:lang w:val="zh-CN" w:eastAsia="zh-CN"/>
              </w:rPr>
            </w:pPr>
            <w:r>
              <w:rPr>
                <w:rFonts w:hint="eastAsia" w:ascii="仿宋" w:hAnsi="仿宋" w:eastAsia="仿宋" w:cs="仿宋"/>
                <w:szCs w:val="21"/>
                <w:lang w:val="zh-CN" w:eastAsia="zh-CN"/>
              </w:rPr>
              <w:t>（一）</w:t>
            </w:r>
            <w:r>
              <w:rPr>
                <w:rFonts w:hint="eastAsia" w:ascii="仿宋" w:hAnsi="仿宋" w:eastAsia="仿宋" w:cs="仿宋"/>
                <w:szCs w:val="21"/>
                <w:lang w:val="en-US" w:eastAsia="zh-CN"/>
              </w:rPr>
              <w:t>评审标准</w:t>
            </w:r>
            <w:r>
              <w:rPr>
                <w:rFonts w:hint="eastAsia" w:ascii="仿宋" w:hAnsi="仿宋" w:eastAsia="仿宋" w:cs="仿宋"/>
                <w:szCs w:val="21"/>
                <w:lang w:val="zh-CN" w:eastAsia="zh-CN"/>
              </w:rPr>
              <w:t>：</w:t>
            </w:r>
          </w:p>
          <w:p w14:paraId="3E6410DD">
            <w:pPr>
              <w:snapToGrid w:val="0"/>
              <w:rPr>
                <w:rFonts w:hint="eastAsia" w:ascii="仿宋" w:hAnsi="仿宋" w:eastAsia="仿宋" w:cs="仿宋"/>
                <w:szCs w:val="21"/>
                <w:lang w:val="en-US" w:eastAsia="zh-CN"/>
              </w:rPr>
            </w:pPr>
            <w:r>
              <w:rPr>
                <w:rFonts w:hint="eastAsia" w:ascii="仿宋" w:hAnsi="仿宋" w:eastAsia="仿宋" w:cs="仿宋"/>
                <w:szCs w:val="21"/>
              </w:rPr>
              <w:t>①深</w:t>
            </w:r>
            <w:r>
              <w:rPr>
                <w:rFonts w:hint="eastAsia" w:ascii="仿宋" w:hAnsi="仿宋" w:eastAsia="仿宋" w:cs="仿宋"/>
                <w:szCs w:val="21"/>
                <w:lang w:val="en-US" w:eastAsia="zh-CN"/>
              </w:rPr>
              <w:t>圳供应商得5分；</w:t>
            </w:r>
          </w:p>
          <w:p w14:paraId="108F5F27">
            <w:pPr>
              <w:snapToGrid w:val="0"/>
              <w:rPr>
                <w:rFonts w:hint="eastAsia" w:ascii="仿宋" w:hAnsi="仿宋" w:eastAsia="仿宋" w:cs="仿宋"/>
                <w:szCs w:val="21"/>
              </w:rPr>
            </w:pPr>
            <w:r>
              <w:rPr>
                <w:rFonts w:hint="eastAsia" w:ascii="仿宋" w:hAnsi="仿宋" w:eastAsia="仿宋" w:cs="仿宋"/>
                <w:szCs w:val="21"/>
                <w:lang w:val="en-US" w:eastAsia="zh-CN"/>
              </w:rPr>
              <w:t>②非深圳供应商投标，但其在深圳注册有子公司或分公司或售后机构</w:t>
            </w:r>
            <w:r>
              <w:rPr>
                <w:rFonts w:hint="eastAsia" w:ascii="仿宋" w:hAnsi="仿宋" w:eastAsia="仿宋" w:cs="仿宋"/>
                <w:szCs w:val="21"/>
              </w:rPr>
              <w:t>圳供应商的，得</w:t>
            </w:r>
            <w:r>
              <w:rPr>
                <w:rFonts w:hint="eastAsia" w:ascii="仿宋" w:hAnsi="仿宋" w:eastAsia="仿宋" w:cs="仿宋"/>
                <w:szCs w:val="21"/>
                <w:lang w:val="en-US" w:eastAsia="zh-CN"/>
              </w:rPr>
              <w:t>5</w:t>
            </w:r>
            <w:r>
              <w:rPr>
                <w:rFonts w:hint="eastAsia" w:ascii="仿宋" w:hAnsi="仿宋" w:eastAsia="仿宋" w:cs="仿宋"/>
                <w:szCs w:val="21"/>
              </w:rPr>
              <w:t>分；</w:t>
            </w:r>
          </w:p>
          <w:p w14:paraId="2090DFDD">
            <w:pPr>
              <w:snapToGrid w:val="0"/>
              <w:rPr>
                <w:rFonts w:hint="eastAsia" w:ascii="仿宋" w:hAnsi="仿宋" w:eastAsia="仿宋" w:cs="仿宋"/>
                <w:szCs w:val="21"/>
              </w:rPr>
            </w:pPr>
            <w:r>
              <w:rPr>
                <w:rFonts w:hint="eastAsia" w:ascii="仿宋" w:hAnsi="仿宋" w:eastAsia="仿宋" w:cs="仿宋"/>
                <w:szCs w:val="21"/>
              </w:rPr>
              <w:t>③外地供应商承诺中标后设立本地经营（服务）网点的，得</w:t>
            </w:r>
            <w:r>
              <w:rPr>
                <w:rFonts w:hint="eastAsia" w:ascii="仿宋" w:hAnsi="仿宋" w:eastAsia="仿宋" w:cs="仿宋"/>
                <w:szCs w:val="21"/>
                <w:lang w:val="en-US" w:eastAsia="zh-CN"/>
              </w:rPr>
              <w:t>3</w:t>
            </w:r>
            <w:r>
              <w:rPr>
                <w:rFonts w:hint="eastAsia" w:ascii="仿宋" w:hAnsi="仿宋" w:eastAsia="仿宋" w:cs="仿宋"/>
                <w:szCs w:val="21"/>
              </w:rPr>
              <w:t>分。</w:t>
            </w:r>
          </w:p>
          <w:p w14:paraId="5A402934">
            <w:pPr>
              <w:snapToGrid w:val="0"/>
              <w:rPr>
                <w:rFonts w:hint="eastAsia" w:ascii="仿宋" w:hAnsi="仿宋" w:eastAsia="仿宋" w:cs="仿宋"/>
                <w:szCs w:val="21"/>
              </w:rPr>
            </w:pPr>
            <w:r>
              <w:rPr>
                <w:rFonts w:hint="eastAsia" w:ascii="仿宋" w:hAnsi="仿宋" w:eastAsia="仿宋" w:cs="仿宋"/>
                <w:szCs w:val="21"/>
                <w:lang w:val="zh-CN" w:eastAsia="zh-CN"/>
              </w:rPr>
              <w:t>（二）</w:t>
            </w:r>
            <w:r>
              <w:rPr>
                <w:rFonts w:hint="eastAsia" w:ascii="仿宋" w:hAnsi="仿宋" w:eastAsia="仿宋" w:cs="仿宋"/>
                <w:szCs w:val="21"/>
              </w:rPr>
              <w:t>证明材料：</w:t>
            </w:r>
          </w:p>
          <w:p w14:paraId="155ECF90">
            <w:pPr>
              <w:snapToGrid w:val="0"/>
              <w:rPr>
                <w:rFonts w:hint="eastAsia" w:ascii="仿宋" w:hAnsi="仿宋" w:eastAsia="仿宋" w:cs="仿宋"/>
                <w:szCs w:val="21"/>
              </w:rPr>
            </w:pPr>
            <w:r>
              <w:rPr>
                <w:rFonts w:hint="eastAsia" w:ascii="仿宋" w:hAnsi="仿宋" w:eastAsia="仿宋" w:cs="仿宋"/>
                <w:szCs w:val="21"/>
              </w:rPr>
              <w:t>①深圳供应商要求提供营业执照扫描件，原件备查；</w:t>
            </w:r>
          </w:p>
          <w:p w14:paraId="390E361F">
            <w:pPr>
              <w:snapToGrid w:val="0"/>
              <w:rPr>
                <w:rFonts w:hint="eastAsia" w:ascii="仿宋" w:hAnsi="仿宋" w:eastAsia="仿宋" w:cs="仿宋"/>
                <w:szCs w:val="21"/>
              </w:rPr>
            </w:pPr>
            <w:r>
              <w:rPr>
                <w:rFonts w:hint="eastAsia" w:ascii="仿宋" w:hAnsi="仿宋" w:eastAsia="仿宋" w:cs="仿宋"/>
                <w:szCs w:val="21"/>
              </w:rPr>
              <w:t>②分公司要求提供营业执照扫描件，原件备查；子公司要求同时提供营业执照及母子公司股权关系证明资料（均要求扫描件，原件备查）；售后机构必须同时提供售后服务合作合同（或售后服务合作协议）及售后机构营业执照证明文件。</w:t>
            </w:r>
          </w:p>
          <w:p w14:paraId="139EC402">
            <w:pPr>
              <w:snapToGrid w:val="0"/>
              <w:rPr>
                <w:rFonts w:hint="eastAsia" w:ascii="仿宋" w:hAnsi="仿宋" w:eastAsia="仿宋" w:cs="仿宋"/>
                <w:szCs w:val="21"/>
              </w:rPr>
            </w:pPr>
            <w:r>
              <w:rPr>
                <w:rFonts w:hint="eastAsia" w:ascii="仿宋" w:hAnsi="仿宋" w:eastAsia="仿宋" w:cs="仿宋"/>
                <w:szCs w:val="21"/>
              </w:rPr>
              <w:t>③外地供应商提供承诺函（格式自拟）证明文件。</w:t>
            </w:r>
          </w:p>
          <w:p w14:paraId="6DAEFAB9">
            <w:pPr>
              <w:snapToGrid w:val="0"/>
              <w:rPr>
                <w:rFonts w:hint="eastAsia" w:asciiTheme="minorEastAsia" w:hAnsiTheme="minorEastAsia" w:eastAsiaTheme="minorEastAsia" w:cstheme="minorEastAsia"/>
                <w:b/>
                <w:bCs/>
                <w:color w:val="FF0000"/>
                <w:kern w:val="2"/>
                <w:sz w:val="21"/>
                <w:szCs w:val="21"/>
                <w:lang w:val="en-US" w:eastAsia="zh-CN" w:bidi="ar-SA"/>
              </w:rPr>
            </w:pPr>
            <w:r>
              <w:rPr>
                <w:rFonts w:hint="eastAsia" w:ascii="仿宋" w:hAnsi="仿宋" w:eastAsia="仿宋" w:cs="仿宋"/>
                <w:szCs w:val="21"/>
              </w:rPr>
              <w:t>备注：评分中出现无证明资料或证明文件未放投标文件正文（信息公开部分）或专家无法凭所提供资料判断是否得分的情况，一律作不得分处理。</w:t>
            </w:r>
          </w:p>
        </w:tc>
      </w:tr>
      <w:tr w14:paraId="306EF5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713B2756">
            <w:pPr>
              <w:rPr>
                <w:rFonts w:ascii="宋体" w:hAnsi="宋体" w:cs="宋体"/>
                <w:b/>
                <w:bCs/>
                <w:color w:val="0000FF"/>
                <w:sz w:val="24"/>
              </w:rPr>
            </w:pPr>
          </w:p>
        </w:tc>
        <w:tc>
          <w:tcPr>
            <w:tcW w:w="440" w:type="dxa"/>
            <w:tcBorders>
              <w:top w:val="single" w:color="000000" w:sz="8" w:space="0"/>
              <w:left w:val="single" w:color="000000" w:sz="8" w:space="0"/>
              <w:bottom w:val="single" w:color="000000" w:sz="8" w:space="0"/>
              <w:right w:val="single" w:color="000000" w:sz="8" w:space="0"/>
            </w:tcBorders>
            <w:vAlign w:val="center"/>
          </w:tcPr>
          <w:p w14:paraId="54AEB9B2">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3</w:t>
            </w:r>
          </w:p>
        </w:tc>
        <w:tc>
          <w:tcPr>
            <w:tcW w:w="1840" w:type="dxa"/>
            <w:tcBorders>
              <w:top w:val="single" w:color="000000" w:sz="8" w:space="0"/>
              <w:left w:val="single" w:color="000000" w:sz="8" w:space="0"/>
              <w:bottom w:val="single" w:color="000000" w:sz="8" w:space="0"/>
              <w:right w:val="single" w:color="000000" w:sz="8" w:space="0"/>
            </w:tcBorders>
            <w:vAlign w:val="center"/>
          </w:tcPr>
          <w:p w14:paraId="0B5C8502">
            <w:pPr>
              <w:wordWrap w:val="0"/>
              <w:jc w:val="center"/>
              <w:rPr>
                <w:szCs w:val="21"/>
              </w:rPr>
            </w:pPr>
            <w:r>
              <w:rPr>
                <w:szCs w:val="21"/>
              </w:rPr>
              <w:t>诚信情况</w:t>
            </w:r>
          </w:p>
          <w:p w14:paraId="3C6ABE6A">
            <w:pPr>
              <w:wordWrap w:val="0"/>
              <w:jc w:val="center"/>
              <w:rPr>
                <w:rFonts w:ascii="宋体" w:hAnsi="宋体" w:cs="宋体"/>
                <w:szCs w:val="21"/>
              </w:rPr>
            </w:pPr>
          </w:p>
        </w:tc>
        <w:tc>
          <w:tcPr>
            <w:tcW w:w="650" w:type="dxa"/>
            <w:tcBorders>
              <w:top w:val="single" w:color="000000" w:sz="8" w:space="0"/>
              <w:left w:val="single" w:color="000000" w:sz="8" w:space="0"/>
              <w:bottom w:val="single" w:color="000000" w:sz="8" w:space="0"/>
              <w:right w:val="single" w:color="000000" w:sz="8" w:space="0"/>
            </w:tcBorders>
            <w:vAlign w:val="center"/>
          </w:tcPr>
          <w:p w14:paraId="4D55859D">
            <w:pPr>
              <w:widowControl/>
              <w:wordWrap w:val="0"/>
              <w:jc w:val="center"/>
              <w:textAlignment w:val="top"/>
              <w:rPr>
                <w:rFonts w:hint="eastAsia" w:ascii="宋体" w:hAnsi="宋体" w:eastAsia="宋体" w:cs="宋体"/>
                <w:szCs w:val="21"/>
                <w:lang w:val="en-US" w:eastAsia="zh-CN"/>
              </w:rPr>
            </w:pPr>
            <w:r>
              <w:rPr>
                <w:rFonts w:hint="eastAsia"/>
                <w:lang w:val="en-US" w:eastAsia="zh-CN"/>
              </w:rPr>
              <w:t>5</w:t>
            </w:r>
          </w:p>
        </w:tc>
        <w:tc>
          <w:tcPr>
            <w:tcW w:w="903" w:type="dxa"/>
            <w:gridSpan w:val="2"/>
            <w:tcBorders>
              <w:top w:val="single" w:color="000000" w:sz="8" w:space="0"/>
              <w:left w:val="single" w:color="000000" w:sz="8" w:space="0"/>
              <w:bottom w:val="single" w:color="000000" w:sz="8" w:space="0"/>
              <w:right w:val="single" w:color="000000" w:sz="8" w:space="0"/>
            </w:tcBorders>
            <w:vAlign w:val="center"/>
          </w:tcPr>
          <w:p w14:paraId="3095EAB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专家</w:t>
            </w:r>
          </w:p>
          <w:p w14:paraId="6AACA08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打分</w:t>
            </w:r>
          </w:p>
        </w:tc>
        <w:tc>
          <w:tcPr>
            <w:tcW w:w="6025" w:type="dxa"/>
            <w:tcBorders>
              <w:top w:val="single" w:color="000000" w:sz="8" w:space="0"/>
              <w:left w:val="single" w:color="000000" w:sz="8" w:space="0"/>
              <w:bottom w:val="single" w:color="000000" w:sz="8" w:space="0"/>
              <w:right w:val="single" w:color="000000" w:sz="8" w:space="0"/>
            </w:tcBorders>
            <w:vAlign w:val="top"/>
          </w:tcPr>
          <w:p w14:paraId="34AE8C1C">
            <w:pPr>
              <w:snapToGrid w:val="0"/>
              <w:rPr>
                <w:rFonts w:hint="eastAsia" w:ascii="仿宋" w:hAnsi="仿宋" w:eastAsia="仿宋" w:cs="仿宋"/>
                <w:szCs w:val="21"/>
              </w:rPr>
            </w:pPr>
            <w:r>
              <w:rPr>
                <w:rFonts w:hint="eastAsia" w:ascii="仿宋" w:hAnsi="仿宋" w:eastAsia="仿宋" w:cs="仿宋"/>
                <w:szCs w:val="21"/>
              </w:rPr>
              <w:t>投标人存在《深圳市财政局政府采购供应商信用信息管理办法》（深财规〔2023〕3号）列明的一般行政处罚信息、一般违法失信记录信息的，本项不得分，不存在上述情形的本项得</w:t>
            </w:r>
            <w:r>
              <w:rPr>
                <w:rFonts w:hint="eastAsia" w:ascii="仿宋" w:hAnsi="仿宋" w:eastAsia="仿宋" w:cs="仿宋"/>
                <w:szCs w:val="21"/>
                <w:lang w:val="en-US" w:eastAsia="zh-CN"/>
              </w:rPr>
              <w:t>5</w:t>
            </w:r>
            <w:r>
              <w:rPr>
                <w:rFonts w:hint="eastAsia" w:ascii="仿宋" w:hAnsi="仿宋" w:eastAsia="仿宋" w:cs="仿宋"/>
                <w:szCs w:val="21"/>
              </w:rPr>
              <w:t>分。投标人无需提供任何证明材料，评标过程中由工作人员向评审委员会提供有关供应商诚信查询结果。</w:t>
            </w:r>
          </w:p>
          <w:p w14:paraId="42FD6E22">
            <w:pPr>
              <w:snapToGrid w:val="0"/>
              <w:rPr>
                <w:rFonts w:ascii="宋体" w:hAnsi="宋体" w:cs="宋体"/>
                <w:szCs w:val="21"/>
              </w:rPr>
            </w:pPr>
            <w:r>
              <w:rPr>
                <w:rFonts w:hint="eastAsia" w:ascii="仿宋" w:hAnsi="仿宋" w:eastAsia="仿宋" w:cs="仿宋"/>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1283A0CC">
      <w:pPr>
        <w:rPr>
          <w:rFonts w:ascii="Times New Roman" w:hAnsi="Times New Roman"/>
          <w:szCs w:val="24"/>
        </w:rPr>
      </w:pPr>
      <w:r>
        <w:rPr>
          <w:rFonts w:ascii="Times New Roman" w:hAnsi="Times New Roman"/>
          <w:szCs w:val="24"/>
        </w:rPr>
        <w:t>备注：</w:t>
      </w:r>
    </w:p>
    <w:p w14:paraId="7227F783">
      <w:pPr>
        <w:rPr>
          <w:rFonts w:ascii="Times New Roman" w:hAnsi="Times New Roman"/>
          <w:szCs w:val="24"/>
        </w:rPr>
      </w:pPr>
      <w:r>
        <w:rPr>
          <w:rFonts w:ascii="Times New Roman" w:hAnsi="Times New Roman"/>
          <w:szCs w:val="24"/>
        </w:rPr>
        <w:t>1.价格、技术、商务部分累加分为100分。</w:t>
      </w:r>
    </w:p>
    <w:p w14:paraId="765804B3">
      <w:pPr>
        <w:rPr>
          <w:rFonts w:hint="default" w:ascii="宋体" w:hAnsi="宋体" w:eastAsia="宋体" w:cs="宋体"/>
          <w:color w:val="auto"/>
          <w:sz w:val="24"/>
          <w:szCs w:val="24"/>
          <w:lang w:val="en-US" w:eastAsia="zh-CN"/>
        </w:rPr>
      </w:pPr>
      <w:r>
        <w:rPr>
          <w:rFonts w:ascii="Times New Roman" w:hAnsi="Times New Roman"/>
          <w:szCs w:val="24"/>
        </w:rPr>
        <w:t>2.各投标人得分精确到小数点后两位。</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DA58E"/>
    <w:multiLevelType w:val="singleLevel"/>
    <w:tmpl w:val="B35DA58E"/>
    <w:lvl w:ilvl="0" w:tentative="0">
      <w:start w:val="1"/>
      <w:numFmt w:val="chineseCounting"/>
      <w:suff w:val="nothing"/>
      <w:lvlText w:val="%1、"/>
      <w:lvlJc w:val="left"/>
      <w:rPr>
        <w:rFonts w:hint="eastAsia"/>
      </w:rPr>
    </w:lvl>
  </w:abstractNum>
  <w:abstractNum w:abstractNumId="1">
    <w:nsid w:val="7DEB637E"/>
    <w:multiLevelType w:val="singleLevel"/>
    <w:tmpl w:val="7DEB637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7705B"/>
    <w:rsid w:val="151D3F43"/>
    <w:rsid w:val="16DD7E7C"/>
    <w:rsid w:val="22096834"/>
    <w:rsid w:val="24A37128"/>
    <w:rsid w:val="284C7CC8"/>
    <w:rsid w:val="2E404FC4"/>
    <w:rsid w:val="315471D8"/>
    <w:rsid w:val="57905554"/>
    <w:rsid w:val="636808CC"/>
    <w:rsid w:val="65B04973"/>
    <w:rsid w:val="65D17656"/>
    <w:rsid w:val="717E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hint="eastAsia"/>
    </w:rPr>
  </w:style>
  <w:style w:type="paragraph" w:styleId="3">
    <w:name w:val="Body Text 2"/>
    <w:basedOn w:val="1"/>
    <w:qFormat/>
    <w:uiPriority w:val="0"/>
    <w:pPr>
      <w:spacing w:line="360" w:lineRule="auto"/>
    </w:pPr>
    <w:rPr>
      <w:sz w:val="2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4306</Words>
  <Characters>4637</Characters>
  <Lines>0</Lines>
  <Paragraphs>0</Paragraphs>
  <TotalTime>7</TotalTime>
  <ScaleCrop>false</ScaleCrop>
  <LinksUpToDate>false</LinksUpToDate>
  <CharactersWithSpaces>4785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2025-08-23T08:24:00Z</dcterms:created>
  <dc:creator>Administrator</dc:creator>
  <cp:lastModifiedBy>吴明杰</cp:lastModifiedBy>
  <dcterms:modified xsi:type="dcterms:W3CDTF">2025-09-22T01:55:21Z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eyJoZGlkIjoiZWMwYmM0OWNmYWFhODZjMTE5ODMwNmE3MTZlMGIxMGUiLCJ1c2VySWQiOiI1MzM5NDY3MjkifQ==</vt:lpwstr>
  </property>
  <property fmtid="{D5CDD505-2E9C-101B-9397-08002B2CF9AE}" pid="4" name="ICV">
    <vt:lpwstr>5F2056BC04A74EC081E6E9A5B9307D0B_13</vt:lpwstr>
  </property>
</Properties>
</file>