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440103-2025-04874</w:t>
      </w:r>
    </w:p>
    <w:p>
      <w:pPr>
        <w:pStyle w:val="null3"/>
        <w:jc w:val="center"/>
        <w:outlineLvl w:val="3"/>
      </w:pPr>
      <w:r>
        <w:rPr>
          <w:sz w:val="24"/>
          <w:b/>
        </w:rPr>
        <w:t>采购项目编号：</w:t>
      </w:r>
      <w:r>
        <w:rPr>
          <w:sz w:val="24"/>
          <w:b/>
        </w:rPr>
        <w:t>CLF25KF02ZC62-1</w:t>
      </w:r>
    </w:p>
    <w:p>
      <w:pPr>
        <w:pStyle w:val="null3"/>
        <w:jc w:val="center"/>
        <w:outlineLvl w:val="3"/>
      </w:pPr>
      <w:r>
        <w:rPr>
          <w:sz w:val="24"/>
          <w:b/>
        </w:rPr>
        <w:t>项目名称：</w:t>
      </w:r>
      <w:r>
        <w:rPr>
          <w:sz w:val="24"/>
          <w:b/>
        </w:rPr>
        <w:t>荔湾区蚊媒控制应急消杀服务</w:t>
      </w:r>
    </w:p>
    <w:p>
      <w:pPr>
        <w:pStyle w:val="null3"/>
        <w:jc w:val="center"/>
        <w:outlineLvl w:val="3"/>
      </w:pPr>
      <w:r>
        <w:rPr>
          <w:sz w:val="24"/>
          <w:b/>
        </w:rPr>
        <w:t>采购人：</w:t>
      </w:r>
      <w:r>
        <w:rPr>
          <w:sz w:val="24"/>
          <w:b/>
        </w:rPr>
        <w:t>广州市荔湾区卫生健康局</w:t>
      </w:r>
    </w:p>
    <w:p>
      <w:pPr>
        <w:pStyle w:val="null3"/>
        <w:jc w:val="center"/>
        <w:outlineLvl w:val="3"/>
      </w:pPr>
      <w:r>
        <w:rPr>
          <w:sz w:val="24"/>
          <w:b/>
        </w:rPr>
        <w:t>采购代理机构：</w:t>
      </w:r>
      <w:r>
        <w:rPr>
          <w:sz w:val="24"/>
          <w:b/>
        </w:rPr>
        <w:t>采联国际招标采购集团有限公司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采联国际招标采购集团有限公司</w:t>
      </w:r>
      <w:r>
        <w:rPr/>
        <w:t>受</w:t>
      </w:r>
      <w:r>
        <w:rPr/>
        <w:t>广州市荔湾区卫生健康局</w:t>
      </w:r>
      <w:r>
        <w:rPr/>
        <w:t>的委托，采用</w:t>
      </w:r>
      <w:r>
        <w:rPr/>
        <w:t>竞争性磋商</w:t>
      </w:r>
      <w:r>
        <w:rPr/>
        <w:t>方式组织采购</w:t>
      </w:r>
      <w:r>
        <w:rPr/>
        <w:t>荔湾区蚊媒控制应急消杀服务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荔湾区蚊媒控制应急消杀服务</w:t>
      </w:r>
    </w:p>
    <w:p>
      <w:pPr>
        <w:pStyle w:val="null3"/>
        <w:ind w:firstLine="480"/>
      </w:pPr>
      <w:r>
        <w:rPr/>
        <w:t>采购计划编号：</w:t>
      </w:r>
      <w:r>
        <w:rPr/>
        <w:t>440103-2025-04874</w:t>
      </w:r>
    </w:p>
    <w:p>
      <w:pPr>
        <w:pStyle w:val="null3"/>
        <w:ind w:firstLine="480"/>
      </w:pPr>
      <w:r>
        <w:rPr/>
        <w:t>采购项目编号：</w:t>
      </w:r>
      <w:r>
        <w:rPr/>
        <w:t>CLF25KF02ZC62-1</w:t>
      </w:r>
    </w:p>
    <w:p>
      <w:pPr>
        <w:pStyle w:val="null3"/>
        <w:ind w:firstLine="480"/>
      </w:pPr>
      <w:r>
        <w:rPr/>
        <w:t>采购方式：</w:t>
      </w:r>
      <w:r>
        <w:rPr/>
        <w:t>竞争性磋商</w:t>
      </w:r>
    </w:p>
    <w:p>
      <w:pPr>
        <w:pStyle w:val="null3"/>
        <w:ind w:firstLine="480"/>
      </w:pPr>
      <w:r>
        <w:rPr/>
        <w:t>预算金额：</w:t>
      </w:r>
      <w:r>
        <w:rPr/>
        <w:t>3,300,000.00</w:t>
      </w:r>
      <w:r>
        <w:rPr/>
        <w:t>元</w:t>
      </w:r>
    </w:p>
    <w:p>
      <w:pPr>
        <w:pStyle w:val="null3"/>
        <w:outlineLvl w:val="3"/>
      </w:pPr>
      <w:r>
        <w:rPr>
          <w:sz w:val="24"/>
          <w:b/>
        </w:rPr>
        <w:t>2.项目内容及需求情况（采购项目技术规格、参数及要求）</w:t>
      </w:r>
    </w:p>
    <w:p>
      <w:pPr>
        <w:pStyle w:val="null3"/>
      </w:pPr>
      <w:r>
        <w:rPr/>
        <w:t>采购包1(荔湾区蚊媒控制应急消杀服务（海龙街、金花街、龙津街、白鹤洞街、花地街、桥中街、站前街、沙面街）):</w:t>
      </w:r>
    </w:p>
    <w:p>
      <w:pPr>
        <w:pStyle w:val="null3"/>
      </w:pPr>
      <w:r>
        <w:rPr/>
        <w:t>采购包预算金额：1,100,000.00元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其他城镇公共卫生服务</w:t>
            </w:r>
          </w:p>
        </w:tc>
        <w:tc>
          <w:tcPr>
            <w:tcW w:type="dxa" w:w="2052"/>
          </w:tcPr>
          <w:p>
            <w:pPr>
              <w:pStyle w:val="null3"/>
            </w:pPr>
            <w:r>
              <w:rPr/>
              <w:t>荔湾区蚊媒控制应急消杀服务（海龙街、金花街、龙津街、白鹤洞街、花地街、桥中街、站前街、沙面街）</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合同履行期限：服务期限为自合同签订生效日起一年。若服务金额达到预算金额合同自动终止。</w:t>
      </w:r>
    </w:p>
    <w:p>
      <w:pPr>
        <w:pStyle w:val="null3"/>
      </w:pPr>
      <w:r>
        <w:rPr/>
        <w:t>采购包2(荔湾区蚊媒控制应急消杀服务（中南街、东漖街、东沙街、岭南街、昌华街、多宝街、南源街）):</w:t>
      </w:r>
    </w:p>
    <w:p>
      <w:pPr>
        <w:pStyle w:val="null3"/>
      </w:pPr>
      <w:r>
        <w:rPr/>
        <w:t>采购包预算金额：1,100,000.00元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其他城镇公共卫生服务</w:t>
            </w:r>
          </w:p>
        </w:tc>
        <w:tc>
          <w:tcPr>
            <w:tcW w:type="dxa" w:w="2052"/>
          </w:tcPr>
          <w:p>
            <w:pPr>
              <w:pStyle w:val="null3"/>
            </w:pPr>
            <w:r>
              <w:rPr/>
              <w:t>荔湾区蚊媒控制应急消杀服务（中南街、东漖街、东沙街、岭南街、昌华街、多宝街、南源街）</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合同履行期限：服务期限为自合同签订生效日起一年。若服务金额达到预算金额合同自动终止。</w:t>
      </w:r>
    </w:p>
    <w:p>
      <w:pPr>
        <w:pStyle w:val="null3"/>
      </w:pPr>
      <w:r>
        <w:rPr/>
        <w:t>采购包3(荔湾区蚊媒控制应急消杀服务（茶滘街、逢源街、石围塘街、冲口街、西村街、华林街、彩虹街）):</w:t>
      </w:r>
    </w:p>
    <w:p>
      <w:pPr>
        <w:pStyle w:val="null3"/>
      </w:pPr>
      <w:r>
        <w:rPr/>
        <w:t>采购包预算金额：1,100,000.00元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其他城镇公共卫生服务</w:t>
            </w:r>
          </w:p>
        </w:tc>
        <w:tc>
          <w:tcPr>
            <w:tcW w:type="dxa" w:w="2052"/>
          </w:tcPr>
          <w:p>
            <w:pPr>
              <w:pStyle w:val="null3"/>
            </w:pPr>
            <w:r>
              <w:rPr/>
              <w:t>荔湾区蚊媒控制应急消杀服务（茶滘街、逢源街、石围塘街、冲口街、西村街、华林街、彩虹街）</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合同履行期限：服务期限为自合同签订生效日起一年。若服务金额达到预算金额合同自动终止。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具有独立承担民事责任的能力：供应商为依法在市场监督管理部门或行业主管部门登记成立的企业、机构。供应商为企业法人，提供企业法人营业执照复印件；供应商为会计师事务所、律师事务所等社会中介机构，提供执业许可证复印件；供应商为公益二类或从事生产经营活动的事业单位，提供事业单位法人证书复印件；供应商为社会组织（不含由财政拨款保障的群团组织），提供社会组织的登记证书或法人登记证书复印件；供应商为农村集体经济组织，提供农村集体经济组织登记证书复印件；供应商为基层群众性自治组织，提供基层群众性自治组织特别法人统一社会信用代码证书复印件；供应商为自然人，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2）有依法缴纳税收和社会保障资金的良好记录：有依法缴纳税收和社会保障资金的良好记录：提供《响应供应商资格声明函》（具体格式可参照《第二章 采购需求》附件3）；</w:t>
      </w:r>
    </w:p>
    <w:p>
      <w:pPr>
        <w:pStyle w:val="null3"/>
      </w:pPr>
      <w:r>
        <w:rPr/>
        <w:t>3）具有良好的商业信誉和健全的财务会计制度：具有良好的商业信誉和健全的财务会计制度：提供《响应供应商资格声明函》（具体格式可参照《第二章 采购需求》附件3）；</w:t>
      </w:r>
    </w:p>
    <w:p>
      <w:pPr>
        <w:pStyle w:val="null3"/>
      </w:pPr>
      <w:r>
        <w:rPr/>
        <w:t>4）履行合同所必需的设备和专业技术能力：履行合同所必需的设备和专业技术能力：提供《响应供应商资格声明函》（具体格式可参照《第二章 采购需求》附件3）；</w:t>
      </w:r>
    </w:p>
    <w:p>
      <w:pPr>
        <w:pStyle w:val="null3"/>
      </w:pPr>
      <w:r>
        <w:rPr/>
        <w:t>5）参加采购活动前3年内，在经营活动中没有重大违法记录：参加采购活动前3年内，在经营活动中没有重大违法记录：提供《响应供应商资格声明函》（具体格式可参照《第二章 采购需求》附件3）。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采购包1（荔湾区蚊媒控制应急消杀服务（海龙街、金花街、龙津街、白鹤洞街、花地街、桥中街、站前街、沙面街））：</w:t>
      </w:r>
      <w:r>
        <w:rPr/>
        <w:t>本项目包组1专门面向中小企业采购，供应商应为中小微企业、监狱企业、残疾人福利性单位。（提供《中小企业声明函》（具体格式详见采购公告附件）或属于监狱企业的证明材料或《残疾人福利性单位声明函》）</w:t>
      </w:r>
    </w:p>
    <w:p>
      <w:pPr>
        <w:pStyle w:val="null3"/>
        <w:jc w:val="left"/>
      </w:pPr>
      <w:r>
        <w:rPr/>
        <w:t>采购包2（荔湾区蚊媒控制应急消杀服务（中南街、东漖街、东沙街、岭南街、昌华街、多宝街、南源街））：</w:t>
      </w:r>
      <w:r>
        <w:rPr/>
        <w:t>本项目包组2专门面向中小企业采购，供应商应为中小微企业、监狱企业、残疾人福利性单位。（提供《中小企业声明函》（具体格式详见采购公告附件）或属于监狱企业的证明材料或《残疾人福利性单位声明函》）</w:t>
      </w:r>
    </w:p>
    <w:p>
      <w:pPr>
        <w:pStyle w:val="null3"/>
        <w:jc w:val="left"/>
      </w:pPr>
      <w:r>
        <w:rPr/>
        <w:t>采购包3（荔湾区蚊媒控制应急消杀服务（茶滘街、逢源街、石围塘街、冲口街、西村街、华林街、彩虹街））：</w:t>
      </w:r>
      <w:r>
        <w:rPr/>
        <w:t>本项目包组3专门面向中小企业采购，供应商应为中小微企业、监狱企业、残疾人福利性单位。（提供《中小企业声明函》（具体格式详见采购公告附件）或属于监狱企业的证明材料或《残疾人福利性单位声明函》）</w:t>
      </w:r>
    </w:p>
    <w:p>
      <w:pPr>
        <w:pStyle w:val="null3"/>
        <w:outlineLvl w:val="3"/>
      </w:pPr>
      <w:r>
        <w:rPr>
          <w:sz w:val="24"/>
          <w:b/>
        </w:rPr>
        <w:t>3.本项目特定的资格要求：</w:t>
      </w:r>
    </w:p>
    <w:p>
      <w:pPr>
        <w:pStyle w:val="null3"/>
      </w:pPr>
      <w:r>
        <w:rPr/>
        <w:t>采购包1（荔湾区蚊媒控制应急消杀服务（海龙街、金花街、龙津街、白鹤洞街、花地街、桥中街、站前街、沙面街））：</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在上述网站查询结果均显示没有相关失信记录，视为不存在上述失信记录；如在上述网站查询到相关失信记录，但实际相关失信记录已失效的，供应商需提供相关证明资料，否则视为供应商存在失信记录。供应商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2)单位负责人为同一人或者存在直接控股、管理关系的不同供应商，不得参加同一合同项下的政府采购活动。为本项目提供整体设计、规范编制或者项目管理、 监理、 检测等服务的供应商，不得再参与本项目投标（响应）。提供《响应供应商资格声明函》（具体格式可参照《第二章 采购需求》附件3）。</w:t>
      </w:r>
    </w:p>
    <w:p>
      <w:pPr>
        <w:pStyle w:val="null3"/>
      </w:pPr>
      <w:r>
        <w:rPr/>
        <w:t>3)本项目不接受联合体响应。</w:t>
      </w:r>
    </w:p>
    <w:p>
      <w:pPr>
        <w:pStyle w:val="null3"/>
      </w:pPr>
      <w:r>
        <w:rPr/>
        <w:t>4)本项目除了要求具备《中华人民共和国政府采购法》第二十二条外，还应具备《政府购买服务管理办法》第六条、《国务院办公厅关于政府向社会力量购买服务的指导意见》第三点第（二）项规定的条件，具体证明材料均以上述《中华人民共和国政府采购法》第二十二条约定的为准。</w:t>
      </w:r>
    </w:p>
    <w:p>
      <w:pPr>
        <w:pStyle w:val="null3"/>
      </w:pPr>
      <w:r>
        <w:rPr/>
        <w:t>采购包2（荔湾区蚊媒控制应急消杀服务（中南街、东漖街、东沙街、岭南街、昌华街、多宝街、南源街））：</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在上述网站查询结果均显示没有相关失信记录，视为不存在上述失信记录；如在上述网站查询到相关失信记录，但实际相关失信记录已失效的，供应商需提供相关证明资料，否则视为供应商存在失信记录。供应商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2)单位负责人为同一人或者存在直接控股、管理关系的不同供应商，不得参加同一合同项下的政府采购活动。为本项目提供整体设计、规范编制或者项目管理、 监理、 检测等服务的供应商，不得再参与本项目投标（响应）。提供《响应供应商资格声明函》（具体格式可参照《第二章 采购需求》附件3）。</w:t>
      </w:r>
    </w:p>
    <w:p>
      <w:pPr>
        <w:pStyle w:val="null3"/>
      </w:pPr>
      <w:r>
        <w:rPr/>
        <w:t>3)本项目不接受联合体响应。</w:t>
      </w:r>
    </w:p>
    <w:p>
      <w:pPr>
        <w:pStyle w:val="null3"/>
      </w:pPr>
      <w:r>
        <w:rPr/>
        <w:t>4)本项目除了要求具备《中华人民共和国政府采购法》第二十二条外，还应具备《政府购买服务管理办法》第六条、《国务院办公厅关于政府向社会力量购买服务的指导意见》第三点第（二）项规定的条件，具体证明材料均以上述《中华人民共和国政府采购法》第二十二条约定的为准。</w:t>
      </w:r>
    </w:p>
    <w:p>
      <w:pPr>
        <w:pStyle w:val="null3"/>
      </w:pPr>
      <w:r>
        <w:rPr/>
        <w:t>采购包3（荔湾区蚊媒控制应急消杀服务（茶滘街、逢源街、石围塘街、冲口街、西村街、华林街、彩虹街））：</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在上述网站查询结果均显示没有相关失信记录，视为不存在上述失信记录；如在上述网站查询到相关失信记录，但实际相关失信记录已失效的，供应商需提供相关证明资料，否则视为供应商存在失信记录。供应商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2)单位负责人为同一人或者存在直接控股、管理关系的不同供应商，不得参加同一合同项下的政府采购活动。为本项目提供整体设计、规范编制或者项目管理、 监理、 检测等服务的供应商，不得再参与本项目投标（响应）。提供《响应供应商资格声明函》（具体格式可参照《第二章 采购需求》附件3）。</w:t>
      </w:r>
    </w:p>
    <w:p>
      <w:pPr>
        <w:pStyle w:val="null3"/>
      </w:pPr>
      <w:r>
        <w:rPr/>
        <w:t>3)本项目不接受联合体响应。</w:t>
      </w:r>
    </w:p>
    <w:p>
      <w:pPr>
        <w:pStyle w:val="null3"/>
      </w:pPr>
      <w:r>
        <w:rPr/>
        <w:t>4)本项目除了要求具备《中华人民共和国政府采购法》第二十二条外，还应具备《政府购买服务管理办法》第六条、《国务院办公厅关于政府向社会力量购买服务的指导意见》第三点第（二）项规定的条件，具体证明材料均以上述《中华人民共和国政府采购法》第二十二条约定的为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采购代理机构网站（www.chinapsp.cn）</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广州市荔湾区卫生健康局</w:t>
      </w:r>
    </w:p>
    <w:p>
      <w:pPr>
        <w:pStyle w:val="null3"/>
        <w:ind w:firstLine="480"/>
      </w:pPr>
      <w:r>
        <w:rPr/>
        <w:t>地址：</w:t>
      </w:r>
      <w:r>
        <w:rPr/>
        <w:t>广州市荔湾区芳村大道塞坝路3号侧座</w:t>
      </w:r>
    </w:p>
    <w:p>
      <w:pPr>
        <w:pStyle w:val="null3"/>
        <w:ind w:firstLine="480"/>
      </w:pPr>
      <w:r>
        <w:rPr/>
        <w:t>联系方式：</w:t>
      </w:r>
      <w:r>
        <w:rPr/>
        <w:t>020-81894445</w:t>
      </w:r>
    </w:p>
    <w:p>
      <w:pPr>
        <w:pStyle w:val="null3"/>
        <w:outlineLvl w:val="3"/>
      </w:pPr>
      <w:r>
        <w:rPr>
          <w:sz w:val="24"/>
          <w:b/>
        </w:rPr>
        <w:t>2.采购代理机构信息</w:t>
      </w:r>
    </w:p>
    <w:p>
      <w:pPr>
        <w:pStyle w:val="null3"/>
        <w:ind w:firstLine="480"/>
      </w:pPr>
      <w:r>
        <w:rPr/>
        <w:t>名称：</w:t>
      </w:r>
      <w:r>
        <w:rPr/>
        <w:t>采联国际招标采购集团有限公司</w:t>
      </w:r>
    </w:p>
    <w:p>
      <w:pPr>
        <w:pStyle w:val="null3"/>
        <w:ind w:firstLine="480"/>
      </w:pPr>
      <w:r>
        <w:rPr/>
        <w:t xml:space="preserve"> 地址：</w:t>
      </w:r>
      <w:r>
        <w:rPr/>
        <w:t>广东省广州市越秀区环市东路472号粤海大厦7、23楼</w:t>
      </w:r>
    </w:p>
    <w:p>
      <w:pPr>
        <w:pStyle w:val="null3"/>
        <w:ind w:firstLine="480"/>
      </w:pPr>
      <w:r>
        <w:rPr/>
        <w:t xml:space="preserve"> 联系方式：</w:t>
      </w:r>
      <w:r>
        <w:rPr/>
        <w:t>020-87651688-346</w:t>
      </w:r>
    </w:p>
    <w:p>
      <w:pPr>
        <w:pStyle w:val="null3"/>
        <w:outlineLvl w:val="3"/>
      </w:pPr>
      <w:r>
        <w:rPr>
          <w:sz w:val="24"/>
          <w:b/>
        </w:rPr>
        <w:t xml:space="preserve"> 3.项目联系方式</w:t>
      </w:r>
    </w:p>
    <w:p>
      <w:pPr>
        <w:pStyle w:val="null3"/>
        <w:ind w:firstLine="480"/>
      </w:pPr>
      <w:r>
        <w:rPr/>
        <w:t xml:space="preserve"> 项目联系人：</w:t>
      </w:r>
      <w:r>
        <w:rPr/>
        <w:t>司女士</w:t>
      </w:r>
    </w:p>
    <w:p>
      <w:pPr>
        <w:pStyle w:val="null3"/>
        <w:ind w:firstLine="480"/>
      </w:pPr>
      <w:r>
        <w:rPr/>
        <w:t xml:space="preserve"> 电话：</w:t>
      </w:r>
      <w:r>
        <w:rPr/>
        <w:t>020-87651688-346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采联国际招标采购集团有限公司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w:t>
      </w:r>
      <w:r>
        <w:rPr>
          <w:sz w:val="24"/>
          <w:b/>
        </w:rPr>
        <w:t>有关说明</w:t>
      </w:r>
    </w:p>
    <w:p>
      <w:pPr>
        <w:pStyle w:val="null3"/>
        <w:ind w:right="45"/>
        <w:jc w:val="both"/>
      </w:pPr>
      <w:r>
        <w:rPr>
          <w:sz w:val="24"/>
        </w:rPr>
        <w:t>（一）</w:t>
      </w:r>
      <w:r>
        <w:rPr>
          <w:sz w:val="24"/>
        </w:rPr>
        <w:t>响应供应商须对本项目以采购包为单位的采购标的进行整体投标，任何只对以采购包为单位的采购标的其中一部分内容、数量进行的投标都被视为无效投标。</w:t>
      </w:r>
    </w:p>
    <w:p>
      <w:pPr>
        <w:pStyle w:val="null3"/>
        <w:ind w:right="45"/>
        <w:jc w:val="both"/>
      </w:pPr>
      <w:r>
        <w:rPr>
          <w:sz w:val="24"/>
        </w:rPr>
        <w:t>（二）</w:t>
      </w:r>
      <w:r>
        <w:rPr>
          <w:sz w:val="24"/>
        </w:rPr>
        <w:t>打</w:t>
      </w:r>
      <w:r>
        <w:rPr>
          <w:sz w:val="24"/>
        </w:rPr>
        <w:t>“★”号条款为实质性条款，若有任何一条负偏离或不满足则导致投标无效。</w:t>
      </w:r>
    </w:p>
    <w:p>
      <w:pPr>
        <w:pStyle w:val="null3"/>
        <w:ind w:right="45"/>
        <w:jc w:val="both"/>
      </w:pPr>
      <w:r>
        <w:rPr>
          <w:sz w:val="24"/>
        </w:rPr>
        <w:t>（三）</w:t>
      </w:r>
      <w:r>
        <w:rPr>
          <w:sz w:val="24"/>
        </w:rPr>
        <w:t>本项目项目属性：服务类。</w:t>
      </w:r>
    </w:p>
    <w:p>
      <w:pPr>
        <w:pStyle w:val="null3"/>
        <w:ind w:right="45"/>
        <w:jc w:val="both"/>
      </w:pPr>
      <w:r>
        <w:rPr>
          <w:sz w:val="24"/>
        </w:rPr>
        <w:t>（四）</w:t>
      </w:r>
      <w:r>
        <w:rPr>
          <w:sz w:val="24"/>
        </w:rPr>
        <w:t>采购项目一览表</w:t>
      </w:r>
    </w:p>
    <w:tbl>
      <w:tblPr>
        <w:tblW w:w="0" w:type="auto"/>
        <w:tblBorders>
          <w:top w:val="none" w:color="000000" w:sz="4"/>
          <w:left w:val="none" w:color="000000" w:sz="4"/>
          <w:bottom w:val="none" w:color="000000" w:sz="4"/>
          <w:right w:val="none" w:color="000000" w:sz="4"/>
          <w:insideH w:val="none"/>
          <w:insideV w:val="none"/>
        </w:tblBorders>
      </w:tblPr>
      <w:tblGrid>
        <w:gridCol w:w="972"/>
        <w:gridCol w:w="2912"/>
        <w:gridCol w:w="894"/>
        <w:gridCol w:w="1862"/>
        <w:gridCol w:w="1666"/>
      </w:tblGrid>
      <w:tr>
        <w:tc>
          <w:tcPr>
            <w:tcW w:type="dxa" w:w="972"/>
            <w:tcBorders>
              <w:top w:val="single" w:color="000000" w:sz="8"/>
              <w:left w:val="single" w:color="000000" w:sz="8"/>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包组号</w:t>
            </w:r>
          </w:p>
        </w:tc>
        <w:tc>
          <w:tcPr>
            <w:tcW w:type="dxa" w:w="2912"/>
            <w:tcBorders>
              <w:top w:val="single" w:color="000000" w:sz="8"/>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采购标的</w:t>
            </w:r>
          </w:p>
        </w:tc>
        <w:tc>
          <w:tcPr>
            <w:tcW w:type="dxa" w:w="894"/>
            <w:tcBorders>
              <w:top w:val="single" w:color="000000" w:sz="8"/>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数量</w:t>
            </w:r>
          </w:p>
        </w:tc>
        <w:tc>
          <w:tcPr>
            <w:tcW w:type="dxa" w:w="1862"/>
            <w:tcBorders>
              <w:top w:val="single" w:color="000000" w:sz="8"/>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每支队伍单天消杀服务费单价最高限价</w:t>
            </w:r>
          </w:p>
          <w:p>
            <w:pPr>
              <w:pStyle w:val="null3"/>
              <w:jc w:val="center"/>
            </w:pPr>
            <w:r>
              <w:rPr>
                <w:sz w:val="24"/>
                <w:b/>
              </w:rPr>
              <w:t>（人民币）</w:t>
            </w:r>
          </w:p>
        </w:tc>
        <w:tc>
          <w:tcPr>
            <w:tcW w:type="dxa" w:w="1666"/>
            <w:tcBorders>
              <w:top w:val="single" w:color="000000" w:sz="8"/>
              <w:left w:val="single" w:color="000000" w:sz="4"/>
              <w:bottom w:val="single" w:color="000000" w:sz="4"/>
              <w:right w:val="single" w:color="000000" w:sz="8"/>
            </w:tcBorders>
            <w:shd w:fill="EEECE1"/>
            <w:tcMar>
              <w:top w:type="dxa" w:w="0"/>
              <w:left w:type="dxa" w:w="105"/>
              <w:bottom w:type="dxa" w:w="0"/>
              <w:right w:type="dxa" w:w="105"/>
            </w:tcMar>
            <w:vAlign w:val="top"/>
          </w:tcPr>
          <w:p>
            <w:pPr>
              <w:pStyle w:val="null3"/>
              <w:jc w:val="center"/>
            </w:pPr>
            <w:r>
              <w:rPr>
                <w:sz w:val="24"/>
                <w:b/>
              </w:rPr>
              <w:t>采购预算</w:t>
            </w:r>
          </w:p>
          <w:p>
            <w:pPr>
              <w:pStyle w:val="null3"/>
              <w:jc w:val="center"/>
            </w:pPr>
            <w:r>
              <w:rPr>
                <w:sz w:val="24"/>
                <w:b/>
              </w:rPr>
              <w:t>（人民币</w:t>
            </w:r>
            <w:r>
              <w:rPr>
                <w:sz w:val="24"/>
                <w:b/>
              </w:rPr>
              <w:t xml:space="preserve">  </w:t>
            </w:r>
            <w:r>
              <w:rPr>
                <w:sz w:val="24"/>
                <w:b/>
              </w:rPr>
              <w:t>元）</w:t>
            </w:r>
          </w:p>
        </w:tc>
      </w:tr>
      <w:tr>
        <w:tc>
          <w:tcPr>
            <w:tcW w:type="dxa" w:w="97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rPr>
              <w:t>包组一</w:t>
            </w:r>
          </w:p>
        </w:tc>
        <w:tc>
          <w:tcPr>
            <w:tcW w:type="dxa" w:w="2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荔湾区蚊媒控制应急消杀服务（海龙街、金花街、龙津街、白鹤洞街、花地街、桥中街、站前街、沙面街）</w:t>
            </w:r>
          </w:p>
        </w:tc>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18,000.00元/支/天</w:t>
            </w:r>
          </w:p>
        </w:tc>
        <w:tc>
          <w:tcPr>
            <w:tcW w:type="dxa" w:w="166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4"/>
              </w:rPr>
              <w:t>1,</w:t>
            </w:r>
            <w:r>
              <w:rPr>
                <w:sz w:val="24"/>
              </w:rPr>
              <w:t>1</w:t>
            </w:r>
            <w:r>
              <w:rPr>
                <w:sz w:val="24"/>
              </w:rPr>
              <w:t>00,000.00</w:t>
            </w:r>
          </w:p>
        </w:tc>
      </w:tr>
      <w:tr>
        <w:tc>
          <w:tcPr>
            <w:tcW w:type="dxa" w:w="97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rPr>
              <w:t>包组二</w:t>
            </w:r>
          </w:p>
        </w:tc>
        <w:tc>
          <w:tcPr>
            <w:tcW w:type="dxa" w:w="2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荔湾区蚊媒控制应急消杀服务（中南街、东漖街、东沙街、岭南街、昌华街、多宝街、南源街）</w:t>
            </w:r>
          </w:p>
        </w:tc>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18,000.00元/支/天</w:t>
            </w:r>
          </w:p>
        </w:tc>
        <w:tc>
          <w:tcPr>
            <w:tcW w:type="dxa" w:w="166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4"/>
              </w:rPr>
              <w:t>1,</w:t>
            </w:r>
            <w:r>
              <w:rPr>
                <w:sz w:val="24"/>
              </w:rPr>
              <w:t>1</w:t>
            </w:r>
            <w:r>
              <w:rPr>
                <w:sz w:val="24"/>
              </w:rPr>
              <w:t>00,000.00</w:t>
            </w:r>
          </w:p>
        </w:tc>
      </w:tr>
      <w:tr>
        <w:tc>
          <w:tcPr>
            <w:tcW w:type="dxa" w:w="972"/>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4"/>
              </w:rPr>
              <w:t>包组三</w:t>
            </w:r>
          </w:p>
        </w:tc>
        <w:tc>
          <w:tcPr>
            <w:tcW w:type="dxa" w:w="291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4"/>
              </w:rPr>
              <w:t>荔湾区蚊媒控制应急消杀服务（茶滘街、逢源街、石围塘街、冲口街、西村街、华林街、彩虹街）</w:t>
            </w:r>
          </w:p>
        </w:tc>
        <w:tc>
          <w:tcPr>
            <w:tcW w:type="dxa" w:w="89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86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pPr>
            <w:r>
              <w:rPr>
                <w:sz w:val="24"/>
              </w:rPr>
              <w:t>18,000.00元/支/天</w:t>
            </w:r>
          </w:p>
        </w:tc>
        <w:tc>
          <w:tcPr>
            <w:tcW w:type="dxa" w:w="1666"/>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sz w:val="24"/>
              </w:rPr>
              <w:t>1,</w:t>
            </w:r>
            <w:r>
              <w:rPr>
                <w:sz w:val="24"/>
              </w:rPr>
              <w:t>1</w:t>
            </w:r>
            <w:r>
              <w:rPr>
                <w:sz w:val="24"/>
              </w:rPr>
              <w:t>00,000.00</w:t>
            </w:r>
          </w:p>
        </w:tc>
      </w:tr>
    </w:tbl>
    <w:p>
      <w:pPr>
        <w:pStyle w:val="null3"/>
        <w:jc w:val="both"/>
      </w:pPr>
      <w:r>
        <w:rPr>
          <w:sz w:val="24"/>
          <w:b/>
        </w:rPr>
        <w:t>二、项目背景及概括</w:t>
      </w:r>
    </w:p>
    <w:p>
      <w:pPr>
        <w:pStyle w:val="null3"/>
        <w:jc w:val="both"/>
      </w:pPr>
      <w:r>
        <w:rPr>
          <w:sz w:val="24"/>
          <w:b/>
        </w:rPr>
        <w:t>（一）项目背景</w:t>
      </w:r>
    </w:p>
    <w:p>
      <w:pPr>
        <w:pStyle w:val="null3"/>
        <w:jc w:val="both"/>
      </w:pPr>
      <w:r>
        <w:rPr>
          <w:sz w:val="24"/>
        </w:rPr>
        <w:t>1、考虑到目前广州市荔湾区及周边地区陆续出现登革热、基孔肯雅热病例，疫情态势不容乐观，为进一步加强两热疫情防控工作，保障人民群众身体健康，根据《广州市登革热防控工作方案》（穗府办函[2015]42号）和《广州市政府常务会议》（穗府14届161次[2015]14号）“建立一支灭蚊应急控制专业队伍，配齐设施设备，作为指导和参与以灭蚊为重点的爱国卫生运动主要力量”指示，现紧需一批具备资质、软硬件实力较强应急消杀服务团队，作为广州市荔湾区两热应急消杀储备力量，负责</w:t>
      </w:r>
      <w:r>
        <w:rPr>
          <w:sz w:val="24"/>
        </w:rPr>
        <w:t>荔湾区蚊媒高风险点以及两热疫点</w:t>
      </w:r>
      <w:r>
        <w:rPr>
          <w:sz w:val="24"/>
        </w:rPr>
        <w:t>消杀及孳生地巡查清理。</w:t>
      </w:r>
    </w:p>
    <w:p>
      <w:pPr>
        <w:pStyle w:val="null3"/>
        <w:jc w:val="both"/>
      </w:pPr>
      <w:r>
        <w:rPr>
          <w:sz w:val="24"/>
        </w:rPr>
        <w:t>2、预算金额：项目总预算人民币330.00万元，每个包组采购1支服务队伍，每支队伍单天消杀服务费最高限价为人民币18,000.00元/支/天，实际结算金额与当次服务质量考核结果挂钩。</w:t>
      </w:r>
    </w:p>
    <w:p>
      <w:pPr>
        <w:pStyle w:val="null3"/>
        <w:jc w:val="both"/>
      </w:pPr>
      <w:r>
        <w:rPr>
          <w:sz w:val="24"/>
        </w:rPr>
        <w:t>3、消杀业务量根据荔湾区疫情变化而变化，消杀次数可能发生改变，采购人不承担未能达到采购文件中预计的消杀次数而给供应商带来的任何损失，供应商在报价时应充分考虑到由此带来的各项风险并无条件承诺自行承担此风险。</w:t>
      </w:r>
    </w:p>
    <w:p>
      <w:pPr>
        <w:pStyle w:val="null3"/>
        <w:jc w:val="both"/>
      </w:pPr>
      <w:r>
        <w:rPr>
          <w:sz w:val="24"/>
        </w:rPr>
        <w:t>4、当疫情形势严峻，负责区域队伍不足以应付其负责区域的蚊媒应急控制服务时，采购人可根据疫情情况统一调动其他区域的队伍去该区域支援。</w:t>
      </w:r>
    </w:p>
    <w:p>
      <w:pPr>
        <w:pStyle w:val="null3"/>
        <w:jc w:val="both"/>
      </w:pPr>
      <w:r>
        <w:rPr>
          <w:sz w:val="24"/>
        </w:rPr>
        <w:t>5、服务期限为自合同签订生效日起一年。若服务金额达到预算金额合同自动终止。</w:t>
      </w:r>
    </w:p>
    <w:p>
      <w:pPr>
        <w:pStyle w:val="null3"/>
        <w:jc w:val="both"/>
      </w:pPr>
      <w:r>
        <w:rPr>
          <w:sz w:val="24"/>
          <w:b/>
        </w:rPr>
        <w:t>（二）</w:t>
      </w:r>
      <w:r>
        <w:rPr>
          <w:sz w:val="24"/>
          <w:b/>
        </w:rPr>
        <w:t>服务范围：</w:t>
      </w:r>
      <w:r>
        <w:rPr>
          <w:sz w:val="24"/>
        </w:rPr>
        <w:t>广州市荔湾区部分街道（包组</w:t>
      </w:r>
      <w:r>
        <w:rPr>
          <w:sz w:val="24"/>
        </w:rPr>
        <w:t>1：</w:t>
      </w:r>
      <w:r>
        <w:rPr>
          <w:sz w:val="24"/>
        </w:rPr>
        <w:t>海龙街、金花街、龙津街、白鹤洞街、花地街、桥中街、站前街、沙面街</w:t>
      </w:r>
      <w:r>
        <w:rPr>
          <w:sz w:val="24"/>
        </w:rPr>
        <w:t>；包组</w:t>
      </w:r>
      <w:r>
        <w:rPr>
          <w:sz w:val="24"/>
        </w:rPr>
        <w:t>2：</w:t>
      </w:r>
      <w:r>
        <w:rPr>
          <w:sz w:val="24"/>
        </w:rPr>
        <w:t>中南街、东漖街、东沙街、岭南街、昌华街、多宝街、南源街</w:t>
      </w:r>
      <w:r>
        <w:rPr>
          <w:sz w:val="24"/>
        </w:rPr>
        <w:t>；包组</w:t>
      </w:r>
      <w:r>
        <w:rPr>
          <w:sz w:val="24"/>
        </w:rPr>
        <w:t>3：</w:t>
      </w:r>
      <w:r>
        <w:rPr>
          <w:sz w:val="24"/>
        </w:rPr>
        <w:t>茶滘街、逢源街、石围塘街、冲口街、西村街、华林街、彩虹街</w:t>
      </w:r>
      <w:r>
        <w:rPr>
          <w:sz w:val="24"/>
        </w:rPr>
        <w:t>）</w:t>
      </w:r>
      <w:r>
        <w:rPr>
          <w:sz w:val="24"/>
        </w:rPr>
        <w:t>蚊媒控制应急消杀</w:t>
      </w:r>
      <w:r>
        <w:rPr>
          <w:sz w:val="24"/>
        </w:rPr>
        <w:t>及孳生地巡查清理。</w:t>
      </w:r>
    </w:p>
    <w:p>
      <w:pPr>
        <w:pStyle w:val="null3"/>
        <w:jc w:val="both"/>
      </w:pPr>
      <w:r>
        <w:rPr>
          <w:sz w:val="24"/>
          <w:b/>
        </w:rPr>
        <w:t>（三）服务要求：</w:t>
      </w:r>
      <w:r>
        <w:rPr>
          <w:sz w:val="24"/>
        </w:rPr>
        <w:t>按照本项目采购文件</w:t>
      </w:r>
      <w:r>
        <w:rPr>
          <w:sz w:val="24"/>
        </w:rPr>
        <w:t>“第二章 采购需求”中的采购要求为采购人提供服务。</w:t>
      </w:r>
    </w:p>
    <w:p>
      <w:pPr>
        <w:pStyle w:val="null3"/>
        <w:jc w:val="both"/>
      </w:pPr>
      <w:r>
        <w:rPr>
          <w:sz w:val="24"/>
          <w:b/>
        </w:rPr>
        <w:t>（四）服务时间（履行期限）：</w:t>
      </w:r>
      <w:r>
        <w:rPr>
          <w:sz w:val="24"/>
        </w:rPr>
        <w:t>自合同签订生效日起一年。若服务金额达到预算金额合同自动终止。</w:t>
      </w:r>
    </w:p>
    <w:p>
      <w:pPr>
        <w:pStyle w:val="null3"/>
        <w:jc w:val="both"/>
      </w:pPr>
      <w:r>
        <w:rPr>
          <w:sz w:val="24"/>
          <w:b/>
        </w:rPr>
        <w:t>（五）服务标准：</w:t>
      </w:r>
      <w:r>
        <w:rPr>
          <w:sz w:val="24"/>
        </w:rPr>
        <w:t>提供的服务须满足采购需求的要求、响应文件中的相关承诺及合同约定要求。</w:t>
      </w:r>
    </w:p>
    <w:p>
      <w:pPr>
        <w:pStyle w:val="null3"/>
        <w:ind w:right="45"/>
        <w:jc w:val="both"/>
      </w:pPr>
      <w:r>
        <w:rPr>
          <w:sz w:val="24"/>
          <w:b/>
        </w:rPr>
        <w:t>三、项目内容（适用于所有包组）</w:t>
      </w:r>
    </w:p>
    <w:p>
      <w:pPr>
        <w:pStyle w:val="null3"/>
        <w:jc w:val="both"/>
      </w:pPr>
      <w:r>
        <w:rPr>
          <w:sz w:val="24"/>
        </w:rPr>
        <w:t>（一）</w:t>
      </w:r>
      <w:r>
        <w:rPr>
          <w:sz w:val="24"/>
          <w:b/>
        </w:rPr>
        <w:t>工作职责</w:t>
      </w:r>
    </w:p>
    <w:p>
      <w:pPr>
        <w:pStyle w:val="null3"/>
        <w:jc w:val="both"/>
      </w:pPr>
      <w:r>
        <w:rPr>
          <w:sz w:val="24"/>
        </w:rPr>
        <w:t>1.</w:t>
      </w:r>
      <w:r>
        <w:rPr>
          <w:sz w:val="24"/>
        </w:rPr>
        <w:t>按《登革热防控方案（</w:t>
      </w:r>
      <w:r>
        <w:rPr>
          <w:sz w:val="24"/>
        </w:rPr>
        <w:t>2025年版）》《广东省疾病预防控制局关于印发广东省基孔肯雅热本地疫情处置工作技术指引（2025年第一版）》《广州市公共卫生委员会办公室关于印发〈分级分类加强基孔肯雅热等蚊媒传染病疫情防控工作方案（第二版）〉的通知》等要求，迅速开展灭蚊作业，按要求将蚊媒密度控制在安全水平。</w:t>
      </w:r>
    </w:p>
    <w:p>
      <w:pPr>
        <w:pStyle w:val="null3"/>
        <w:jc w:val="both"/>
      </w:pPr>
      <w:r>
        <w:rPr>
          <w:sz w:val="24"/>
        </w:rPr>
        <w:t>2.</w:t>
      </w:r>
      <w:r>
        <w:rPr>
          <w:sz w:val="24"/>
        </w:rPr>
        <w:t>负责广州市荔湾区辖区范围内两热疫点核心区的蚊媒应急处置，按采购人要求对辖区蚊媒密度监测指数高和重点难点区域组织支援队伍开展清理孳生地和消杀工作。</w:t>
      </w:r>
    </w:p>
    <w:p>
      <w:pPr>
        <w:pStyle w:val="null3"/>
        <w:jc w:val="both"/>
      </w:pPr>
      <w:r>
        <w:rPr>
          <w:sz w:val="24"/>
        </w:rPr>
        <w:t>3.</w:t>
      </w:r>
      <w:r>
        <w:rPr>
          <w:sz w:val="24"/>
        </w:rPr>
        <w:t>负责疫点周边公共外环境病媒生物孳生地的调查与清理、处置前的现场勘察，无法处理的作登记并及时向采购人书面报告。</w:t>
      </w:r>
    </w:p>
    <w:p>
      <w:pPr>
        <w:pStyle w:val="null3"/>
        <w:jc w:val="both"/>
      </w:pPr>
      <w:r>
        <w:rPr>
          <w:sz w:val="24"/>
        </w:rPr>
        <w:t>4.</w:t>
      </w:r>
      <w:r>
        <w:rPr>
          <w:sz w:val="24"/>
        </w:rPr>
        <w:t>上岗服务人员要严格遵守灭蚊消杀技术操作规程，文明作业，并填写蚊媒控制应急消杀工作量记录表（详见本章附件</w:t>
      </w:r>
      <w:r>
        <w:rPr>
          <w:sz w:val="24"/>
        </w:rPr>
        <w:t>2）作为当次服务的依据。</w:t>
      </w:r>
    </w:p>
    <w:p>
      <w:pPr>
        <w:pStyle w:val="null3"/>
        <w:jc w:val="both"/>
      </w:pPr>
      <w:r>
        <w:rPr>
          <w:sz w:val="24"/>
        </w:rPr>
        <w:t>5.</w:t>
      </w:r>
      <w:r>
        <w:rPr>
          <w:sz w:val="24"/>
        </w:rPr>
        <w:t>有责任建议和指导采购人进行防蚊清积水和做好日常蚊虫防制的巩固工作。</w:t>
      </w:r>
    </w:p>
    <w:p>
      <w:pPr>
        <w:pStyle w:val="null3"/>
        <w:jc w:val="both"/>
      </w:pPr>
      <w:r>
        <w:rPr>
          <w:sz w:val="24"/>
        </w:rPr>
        <w:t>6.</w:t>
      </w:r>
      <w:r>
        <w:rPr>
          <w:sz w:val="24"/>
        </w:rPr>
        <w:t>注意药物效果及使用安全，投（施）药时需防护的部分，应向采购人提出，并采取有效的防护措施。</w:t>
      </w:r>
    </w:p>
    <w:p>
      <w:pPr>
        <w:pStyle w:val="null3"/>
        <w:jc w:val="both"/>
      </w:pPr>
      <w:r>
        <w:rPr>
          <w:sz w:val="24"/>
        </w:rPr>
        <w:t>7.</w:t>
      </w:r>
      <w:r>
        <w:rPr>
          <w:sz w:val="24"/>
        </w:rPr>
        <w:t>结合当前两热防控的形势制定出如下消杀使用的药物（见下表），严禁使用明文禁用药物。（此表仅为参考药物，在本项目服务期内，消杀使用的药物按采购人意见为准）。</w:t>
      </w:r>
    </w:p>
    <w:tbl>
      <w:tblPr>
        <w:tblW w:w="0" w:type="auto"/>
        <w:tblBorders>
          <w:top w:val="none" w:color="000000" w:sz="4"/>
          <w:left w:val="none" w:color="000000" w:sz="4"/>
          <w:bottom w:val="none" w:color="000000" w:sz="4"/>
          <w:right w:val="none" w:color="000000" w:sz="4"/>
          <w:insideH w:val="none"/>
          <w:insideV w:val="none"/>
        </w:tblBorders>
      </w:tblPr>
      <w:tblGrid>
        <w:gridCol w:w="1465"/>
        <w:gridCol w:w="2039"/>
        <w:gridCol w:w="1148"/>
        <w:gridCol w:w="1163"/>
        <w:gridCol w:w="1193"/>
        <w:gridCol w:w="1299"/>
      </w:tblGrid>
      <w:tr>
        <w:tc>
          <w:tcPr>
            <w:tcW w:type="dxa" w:w="14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药物品名</w:t>
            </w:r>
          </w:p>
        </w:tc>
        <w:tc>
          <w:tcPr>
            <w:tcW w:type="dxa" w:w="20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有效成</w:t>
            </w:r>
            <w:r>
              <w:rPr>
                <w:sz w:val="24"/>
                <w:b/>
              </w:rPr>
              <w:t>分</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剂型</w:t>
            </w:r>
          </w:p>
        </w:tc>
        <w:tc>
          <w:tcPr>
            <w:tcW w:type="dxa" w:w="1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防治对象</w:t>
            </w:r>
          </w:p>
        </w:tc>
        <w:tc>
          <w:tcPr>
            <w:tcW w:type="dxa" w:w="1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使用区域</w:t>
            </w:r>
          </w:p>
        </w:tc>
        <w:tc>
          <w:tcPr>
            <w:tcW w:type="dxa" w:w="1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使用方法</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烯丙</w:t>
            </w:r>
            <w:r>
              <w:rPr>
                <w:sz w:val="24"/>
              </w:rPr>
              <w:t>•氯菊</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氯菊酯与烯丙菊酯混配，总含量</w:t>
            </w:r>
            <w:r>
              <w:rPr>
                <w:sz w:val="24"/>
              </w:rPr>
              <w:t>≥10%</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乳油剂</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成虫</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室内、室外</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空间超低喷洒</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苯氰</w:t>
            </w:r>
            <w:r>
              <w:rPr>
                <w:sz w:val="24"/>
              </w:rPr>
              <w:t>.残杀威</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右旋苯醚氰菊酯与残杀威混配，总含量</w:t>
            </w:r>
            <w:r>
              <w:rPr>
                <w:sz w:val="24"/>
              </w:rPr>
              <w:t>≥10%</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乳油剂</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成虫</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室内、室外</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空间超低喷洒</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残杀威</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残杀威含量</w:t>
            </w:r>
            <w:r>
              <w:rPr>
                <w:sz w:val="24"/>
              </w:rPr>
              <w:t>≥4%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乳油或微乳剂</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成虫</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室内、室外</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滞留喷洒</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高效氯氰菊酯</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高效氯氰菊酯</w:t>
            </w:r>
            <w:r>
              <w:rPr>
                <w:sz w:val="24"/>
              </w:rPr>
              <w:t>≥5%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悬浮剂</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成虫</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室内、室外</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滞留喷洒</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杀虫热雾剂</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氯氰菊酯与残杀威混配，总含量</w:t>
            </w:r>
            <w:r>
              <w:rPr>
                <w:sz w:val="24"/>
              </w:rPr>
              <w:t>≥2.5%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热雾剂</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成虫</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密闭空间和下水道</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直接使用</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杀虫热雾剂</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胺菊酯与氯氰菊酯混配，总含量</w:t>
            </w:r>
            <w:r>
              <w:rPr>
                <w:sz w:val="24"/>
              </w:rPr>
              <w:t>≥2.0%</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热雾剂</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成虫</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密闭空间和下水道</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直接使用</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杀虫颗粒剂</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5%倍硫磷颗粒剂</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颗粒剂</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幼虫</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孳生地处理</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投放</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杀虫粉剂</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吡虫啉含量</w:t>
            </w:r>
            <w:r>
              <w:rPr>
                <w:sz w:val="24"/>
              </w:rPr>
              <w:t>≥2%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粉剂</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幼虫</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孳生地处理</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投放</w:t>
            </w:r>
          </w:p>
        </w:tc>
      </w:tr>
    </w:tbl>
    <w:p>
      <w:pPr>
        <w:pStyle w:val="null3"/>
        <w:jc w:val="both"/>
      </w:pPr>
      <w:r>
        <w:rPr>
          <w:sz w:val="24"/>
        </w:rPr>
        <w:t>8.供应商须明确药物供应渠道、使用及保管规范、配备的药物的具体情况及相关药物的安全保证措施。</w:t>
      </w:r>
    </w:p>
    <w:p>
      <w:pPr>
        <w:pStyle w:val="null3"/>
        <w:jc w:val="both"/>
      </w:pPr>
      <w:r>
        <w:rPr>
          <w:sz w:val="24"/>
          <w:b/>
        </w:rPr>
        <w:t>（二）工作管理</w:t>
      </w:r>
    </w:p>
    <w:p>
      <w:pPr>
        <w:pStyle w:val="null3"/>
        <w:jc w:val="both"/>
      </w:pPr>
      <w:r>
        <w:rPr>
          <w:sz w:val="24"/>
          <w:b/>
        </w:rPr>
        <w:t>1.人员管理</w:t>
      </w:r>
    </w:p>
    <w:p>
      <w:pPr>
        <w:pStyle w:val="null3"/>
        <w:jc w:val="both"/>
      </w:pPr>
      <w:r>
        <w:rPr>
          <w:sz w:val="24"/>
        </w:rPr>
        <w:t>（</w:t>
      </w:r>
      <w:r>
        <w:rPr>
          <w:sz w:val="24"/>
        </w:rPr>
        <w:t>1）供应商指定一名工作人员为本项目现场负责人，该负责人须持有有害生物防制员中级工（或四级）或以上</w:t>
      </w:r>
      <w:r>
        <w:rPr>
          <w:sz w:val="24"/>
        </w:rPr>
        <w:t>资格证书（或职业技能等级证书）</w:t>
      </w:r>
      <w:r>
        <w:rPr>
          <w:sz w:val="24"/>
        </w:rPr>
        <w:t>。现场负责人在行动期间要与采购人协商沟通好工作，合理分配安排队伍人员，未经采购人同意不得离开消杀工作范围。</w:t>
      </w:r>
    </w:p>
    <w:p>
      <w:pPr>
        <w:pStyle w:val="null3"/>
        <w:ind w:firstLine="420"/>
        <w:jc w:val="both"/>
      </w:pPr>
      <w:r>
        <w:rPr>
          <w:sz w:val="24"/>
        </w:rPr>
        <w:t>项目负责人主要职责：</w:t>
      </w:r>
    </w:p>
    <w:p>
      <w:pPr>
        <w:pStyle w:val="null3"/>
        <w:ind w:firstLine="420"/>
        <w:jc w:val="both"/>
      </w:pPr>
      <w:r>
        <w:rPr>
          <w:sz w:val="24"/>
        </w:rPr>
        <w:t>①勘察拟处理区域的环境情况（如病家位置、病家环境、病家小区环境、核心区环境等），提前制定符合环境、疫情和采购人要求的处理方案（附带有灭蚊范围和灭蚊重点建议图）并依照执行，做好各环节质量控制工作；</w:t>
      </w:r>
    </w:p>
    <w:p>
      <w:pPr>
        <w:pStyle w:val="null3"/>
        <w:ind w:firstLine="420"/>
        <w:jc w:val="both"/>
      </w:pPr>
      <w:r>
        <w:rPr>
          <w:sz w:val="24"/>
        </w:rPr>
        <w:t>②配合采购人安排开展质控考核评估工作；</w:t>
      </w:r>
    </w:p>
    <w:p>
      <w:pPr>
        <w:pStyle w:val="null3"/>
        <w:ind w:firstLine="420"/>
        <w:jc w:val="both"/>
      </w:pPr>
      <w:r>
        <w:rPr>
          <w:sz w:val="24"/>
        </w:rPr>
        <w:t>③每次服务后，填写符合要求的消杀工作量记录表（详见本章附表1），将处置过程中的人员安排、器械用药、处理面积、发现问题和建议等形成书面报告交付给所属街道及采购人督办。</w:t>
      </w:r>
    </w:p>
    <w:p>
      <w:pPr>
        <w:pStyle w:val="null3"/>
        <w:ind w:firstLine="420"/>
        <w:jc w:val="both"/>
      </w:pPr>
      <w:r>
        <w:rPr>
          <w:sz w:val="24"/>
        </w:rPr>
        <w:t>④供应商不得随意变更现场负责人，如必须变更，须书面向采购人提出申请，经同意后方可变更，且合同期内只能变更一次（项目负责人怀孕、生病等不可抗力原因除外）。</w:t>
      </w:r>
    </w:p>
    <w:p>
      <w:pPr>
        <w:pStyle w:val="null3"/>
        <w:ind w:firstLine="420"/>
        <w:jc w:val="both"/>
      </w:pPr>
      <w:r>
        <w:rPr>
          <w:sz w:val="24"/>
        </w:rPr>
        <w:t>(2)</w:t>
      </w:r>
      <w:r>
        <w:rPr>
          <w:sz w:val="24"/>
        </w:rPr>
        <w:t>参与本项目的常备工作人员：每支队伍</w:t>
      </w:r>
      <w:r>
        <w:rPr>
          <w:sz w:val="24"/>
        </w:rPr>
        <w:t>12人（不含现场负责人），工作过程中要穿着统一工作制服，参与消杀的工作人员需持有有害生物防制员证书或</w:t>
      </w:r>
      <w:r>
        <w:rPr>
          <w:sz w:val="24"/>
        </w:rPr>
        <w:t>卫生有害生物防制协会颁发的合格培训证书</w:t>
      </w:r>
      <w:r>
        <w:rPr>
          <w:sz w:val="24"/>
        </w:rPr>
        <w:t>。根据疫情情况，必要时能提供五支共</w:t>
      </w:r>
      <w:r>
        <w:rPr>
          <w:sz w:val="24"/>
        </w:rPr>
        <w:t>60人（不含现场负责人，包含所需药物、器械）队伍。</w:t>
      </w:r>
    </w:p>
    <w:p>
      <w:pPr>
        <w:pStyle w:val="null3"/>
        <w:ind w:firstLine="420"/>
        <w:jc w:val="both"/>
      </w:pPr>
      <w:r>
        <w:rPr>
          <w:sz w:val="24"/>
        </w:rPr>
        <w:t>（3）供应商应按照《中华人民共和国劳动法》的相关规定发放工资，应按照《中华人民共和国社会保险法》和《住房公积金管理条例》的相关规定，支付国家规定必须购买的社会保险费用和缴存住房公积金。</w:t>
      </w:r>
    </w:p>
    <w:p>
      <w:pPr>
        <w:pStyle w:val="null3"/>
        <w:ind w:firstLine="420"/>
        <w:jc w:val="both"/>
      </w:pPr>
      <w:r>
        <w:rPr>
          <w:sz w:val="24"/>
        </w:rPr>
        <w:t>（4）供应商必须确保工作人员的工作规范，如工作过程中出现职业伤害、工伤、经济赔偿、民事纠纷、刑事责任等，由供应商全部负责。</w:t>
      </w:r>
    </w:p>
    <w:p>
      <w:pPr>
        <w:pStyle w:val="null3"/>
        <w:ind w:firstLine="420"/>
        <w:jc w:val="both"/>
      </w:pPr>
      <w:r>
        <w:rPr>
          <w:sz w:val="24"/>
        </w:rPr>
        <w:t>(5)</w:t>
      </w:r>
      <w:r>
        <w:rPr>
          <w:sz w:val="24"/>
        </w:rPr>
        <w:t>供应商须配备相应的项目服务组织架构和完善的管理制度。</w:t>
      </w:r>
    </w:p>
    <w:p>
      <w:pPr>
        <w:pStyle w:val="null3"/>
        <w:jc w:val="both"/>
      </w:pPr>
      <w:r>
        <w:rPr>
          <w:sz w:val="24"/>
          <w:b/>
        </w:rPr>
        <w:t>2.业务管理</w:t>
      </w:r>
    </w:p>
    <w:p>
      <w:pPr>
        <w:pStyle w:val="null3"/>
        <w:jc w:val="both"/>
      </w:pPr>
      <w:r>
        <w:rPr>
          <w:sz w:val="24"/>
        </w:rPr>
        <w:t>(1)</w:t>
      </w:r>
      <w:r>
        <w:rPr>
          <w:sz w:val="24"/>
        </w:rPr>
        <w:t>供应商自行负责消杀队伍的办公场所和员工培训，并应保证各项业务工作顺利实施。</w:t>
      </w:r>
    </w:p>
    <w:p>
      <w:pPr>
        <w:pStyle w:val="null3"/>
        <w:jc w:val="both"/>
      </w:pPr>
      <w:r>
        <w:rPr>
          <w:sz w:val="24"/>
        </w:rPr>
        <w:t>(2)</w:t>
      </w:r>
      <w:r>
        <w:rPr>
          <w:sz w:val="24"/>
        </w:rPr>
        <w:t>采购人安排专人指导消杀队伍，合理安排工作，每次消杀要记录消杀队伍的人员情况和药械的使用情况，并组织安排质控考核评估工作。</w:t>
      </w:r>
    </w:p>
    <w:p>
      <w:pPr>
        <w:pStyle w:val="null3"/>
        <w:jc w:val="both"/>
      </w:pPr>
      <w:r>
        <w:rPr>
          <w:sz w:val="24"/>
        </w:rPr>
        <w:t>(3)</w:t>
      </w:r>
      <w:r>
        <w:rPr>
          <w:sz w:val="24"/>
        </w:rPr>
        <w:t>由采购人组织安排供应商在疫点核心区内进行应急消杀（以实际工作量为准），每次行动根据采购人实际情况安排，每支队伍需标准配置</w:t>
      </w:r>
      <w:r>
        <w:rPr>
          <w:sz w:val="24"/>
        </w:rPr>
        <w:t>12名消杀人员、6台专业超低容量喷雾机（含药物）及2台常量喷雾机（含药物），工作时间为每天7小时。采购人可要求供应商同时派出最多5支消杀队伍。</w:t>
      </w:r>
    </w:p>
    <w:p>
      <w:pPr>
        <w:pStyle w:val="null3"/>
        <w:jc w:val="both"/>
      </w:pPr>
      <w:r>
        <w:rPr>
          <w:sz w:val="24"/>
          <w:b/>
        </w:rPr>
        <w:t>3.药械管理</w:t>
      </w:r>
    </w:p>
    <w:p>
      <w:pPr>
        <w:pStyle w:val="null3"/>
        <w:jc w:val="both"/>
      </w:pPr>
      <w:r>
        <w:rPr>
          <w:sz w:val="24"/>
        </w:rPr>
        <w:t>（</w:t>
      </w:r>
      <w:r>
        <w:rPr>
          <w:sz w:val="24"/>
        </w:rPr>
        <w:t>1）消杀器械装备</w:t>
      </w:r>
    </w:p>
    <w:p>
      <w:pPr>
        <w:pStyle w:val="null3"/>
        <w:jc w:val="both"/>
      </w:pPr>
      <w:r>
        <w:rPr>
          <w:sz w:val="24"/>
        </w:rPr>
        <w:t>供应商须为本项目配备工作器械，包括</w:t>
      </w:r>
      <w:r>
        <w:rPr>
          <w:sz w:val="24"/>
        </w:rPr>
        <w:t>30台背负式超低容量喷雾机、10台常量喷雾机、5台热（冷）烟雾机，其他器械根据实际情况配备。</w:t>
      </w:r>
    </w:p>
    <w:p>
      <w:pPr>
        <w:pStyle w:val="null3"/>
        <w:jc w:val="both"/>
      </w:pPr>
      <w:r>
        <w:rPr>
          <w:sz w:val="24"/>
        </w:rPr>
        <w:t>（</w:t>
      </w:r>
      <w:r>
        <w:rPr>
          <w:sz w:val="24"/>
        </w:rPr>
        <w:t>2）消杀药物管理</w:t>
      </w:r>
    </w:p>
    <w:p>
      <w:pPr>
        <w:pStyle w:val="null3"/>
        <w:ind w:firstLine="480"/>
        <w:jc w:val="both"/>
      </w:pPr>
      <w:r>
        <w:rPr>
          <w:sz w:val="24"/>
        </w:rPr>
        <w:t>①供应商按采购人的要求负责现场蚊媒应急消杀所需药物，灭蚊药物种类根据采购人推荐情况自行采购，采购费用已包含在本次报价中。供应商每个疫点投入药物的品牌和数量须得到采购人认可。每次消杀作业后，供应商都要按照采购人要求做好详细消杀记录（包括处置面积、药物种类和数量、出动人员和人数等），并在完成消杀作业后1天内向采购人提交消杀记录、工作图片等资料。</w:t>
      </w:r>
    </w:p>
    <w:p>
      <w:pPr>
        <w:pStyle w:val="null3"/>
        <w:ind w:firstLine="480"/>
        <w:jc w:val="both"/>
      </w:pPr>
      <w:r>
        <w:rPr>
          <w:sz w:val="24"/>
        </w:rPr>
        <w:t>②供应商采购的每种药物必须有真实有效的卫生类农药登记证（备案在有效期内）、农药生产许可证书（备案在有效期内）和企业标准。</w:t>
      </w:r>
    </w:p>
    <w:p>
      <w:pPr>
        <w:pStyle w:val="null3"/>
        <w:ind w:firstLine="480"/>
        <w:jc w:val="both"/>
      </w:pPr>
      <w:r>
        <w:rPr>
          <w:sz w:val="24"/>
        </w:rPr>
        <w:t>③供应商必须注重科学合理用药，不能使用假药、过期药、国家禁用的药物。使用的药物和器械必须符合《病媒生物控制药物器械安全使用准则》，达到“环保、低毒、高效、安全”的要求。</w:t>
      </w:r>
    </w:p>
    <w:p>
      <w:pPr>
        <w:pStyle w:val="null3"/>
        <w:jc w:val="both"/>
      </w:pPr>
      <w:r>
        <w:rPr>
          <w:sz w:val="24"/>
          <w:b/>
        </w:rPr>
        <w:t>（三）项目服务原则和要求</w:t>
      </w:r>
    </w:p>
    <w:p>
      <w:pPr>
        <w:pStyle w:val="null3"/>
        <w:ind w:left="420"/>
        <w:jc w:val="both"/>
      </w:pPr>
      <w:r>
        <w:rPr>
          <w:sz w:val="24"/>
        </w:rPr>
        <w:t>1.</w:t>
      </w:r>
      <w:r>
        <w:rPr>
          <w:sz w:val="24"/>
        </w:rPr>
        <w:t>疫情应急响应：采购人提前半天通知的前提下，供应人需按照要求及时响应。</w:t>
      </w:r>
    </w:p>
    <w:p>
      <w:pPr>
        <w:pStyle w:val="null3"/>
        <w:ind w:left="420"/>
        <w:jc w:val="both"/>
      </w:pPr>
      <w:r>
        <w:rPr>
          <w:sz w:val="24"/>
        </w:rPr>
        <w:t>2.</w:t>
      </w:r>
      <w:r>
        <w:rPr>
          <w:sz w:val="24"/>
        </w:rPr>
        <w:t>供应商必须配备相应的项目服务组织架构和完善的管理措施。</w:t>
      </w:r>
    </w:p>
    <w:p>
      <w:pPr>
        <w:pStyle w:val="null3"/>
        <w:ind w:left="420"/>
        <w:jc w:val="both"/>
      </w:pPr>
      <w:r>
        <w:rPr>
          <w:sz w:val="24"/>
        </w:rPr>
        <w:t>3.</w:t>
      </w:r>
      <w:r>
        <w:rPr>
          <w:sz w:val="24"/>
        </w:rPr>
        <w:t>供应商的服务方案计划应切实可行。</w:t>
      </w:r>
    </w:p>
    <w:p>
      <w:pPr>
        <w:pStyle w:val="null3"/>
        <w:jc w:val="both"/>
      </w:pPr>
      <w:r>
        <w:rPr>
          <w:sz w:val="24"/>
          <w:b/>
        </w:rPr>
        <w:t>（四）服务质量考核及处罚</w:t>
      </w:r>
    </w:p>
    <w:p>
      <w:pPr>
        <w:pStyle w:val="null3"/>
        <w:jc w:val="both"/>
      </w:pPr>
      <w:r>
        <w:rPr>
          <w:sz w:val="24"/>
        </w:rPr>
        <w:t>1.</w:t>
      </w:r>
      <w:r>
        <w:rPr>
          <w:sz w:val="24"/>
        </w:rPr>
        <w:t>供应商每次消杀要记录消杀队伍的人员情况和药械的使用情况。相关街道工作人员将对供应商每次行动中到场时间、到场人数、药械品类和数量、工作情况等项目进行扣分评价，总分</w:t>
      </w:r>
      <w:r>
        <w:rPr>
          <w:sz w:val="24"/>
        </w:rPr>
        <w:t>100分，扣完为止，评分作为服务费结算的参考依据（评分规则详见本章附件2）。</w:t>
      </w:r>
    </w:p>
    <w:p>
      <w:pPr>
        <w:pStyle w:val="null3"/>
        <w:jc w:val="both"/>
      </w:pPr>
      <w:r>
        <w:rPr>
          <w:sz w:val="24"/>
        </w:rPr>
        <w:t>2.</w:t>
      </w:r>
      <w:r>
        <w:rPr>
          <w:sz w:val="24"/>
        </w:rPr>
        <w:t>如供应商累计两次无法达到采购人提供病媒生物防制的服务要求或累计两次参加病媒生物防制的服务评分＜</w:t>
      </w:r>
      <w:r>
        <w:rPr>
          <w:sz w:val="24"/>
        </w:rPr>
        <w:t>60分，采购人有权终止合同。</w:t>
      </w:r>
    </w:p>
    <w:p>
      <w:pPr>
        <w:pStyle w:val="null3"/>
        <w:jc w:val="both"/>
      </w:pPr>
      <w:r>
        <w:rPr>
          <w:sz w:val="24"/>
        </w:rPr>
        <w:t>3.</w:t>
      </w:r>
      <w:r>
        <w:rPr>
          <w:sz w:val="24"/>
        </w:rPr>
        <w:t>供应商在病媒生物防制工作任务的限期和区域内，因供应商原因导致病媒生物密度未降至低风险及以下水平，供应商须在收到采购人通知后</w:t>
      </w:r>
      <w:r>
        <w:rPr>
          <w:sz w:val="24"/>
        </w:rPr>
        <w:t>3日内按要求重新开展病媒生物防制工作直至病媒生物密度降至低风险及以下水平（重新开展工作的费用由供应商自行承担），否则只支付该次消杀费用的50%；供应商在病媒生物防制工作任务的限期和区域内，累计达三次因供应商原因导致病媒生物密度未降至低风险及以下水平，采购人有权终止合同。</w:t>
      </w:r>
    </w:p>
    <w:p>
      <w:pPr>
        <w:pStyle w:val="null3"/>
        <w:jc w:val="both"/>
      </w:pPr>
      <w:r>
        <w:rPr>
          <w:sz w:val="24"/>
          <w:b/>
        </w:rPr>
        <w:t>四、报价要求</w:t>
      </w:r>
    </w:p>
    <w:p>
      <w:pPr>
        <w:pStyle w:val="null3"/>
        <w:jc w:val="both"/>
      </w:pPr>
      <w:r>
        <w:rPr>
          <w:sz w:val="24"/>
          <w:b/>
        </w:rPr>
        <w:t>（一）本项目投标报价采用单价报价，每支队伍单天消杀服务费单价最高限价：</w:t>
      </w:r>
      <w:r>
        <w:rPr>
          <w:sz w:val="24"/>
          <w:b/>
        </w:rPr>
        <w:t>18000.00元/天，</w:t>
      </w:r>
      <w:r>
        <w:rPr>
          <w:sz w:val="24"/>
          <w:b/>
        </w:rPr>
        <w:t>响应供应商需参照本项目《第二章</w:t>
      </w:r>
      <w:r>
        <w:rPr>
          <w:sz w:val="24"/>
          <w:b/>
        </w:rPr>
        <w:t>采购需求》附件</w:t>
      </w:r>
      <w:r>
        <w:rPr>
          <w:sz w:val="24"/>
          <w:b/>
        </w:rPr>
        <w:t>4提供的《磋商报价表》对各包组的</w:t>
      </w:r>
      <w:r>
        <w:rPr>
          <w:sz w:val="24"/>
          <w:b/>
        </w:rPr>
        <w:t>每支队伍单天消杀服务费单价</w:t>
      </w:r>
      <w:r>
        <w:rPr>
          <w:sz w:val="24"/>
          <w:b/>
        </w:rPr>
        <w:t>进行报价，</w:t>
      </w:r>
      <w:r>
        <w:rPr>
          <w:sz w:val="24"/>
          <w:b/>
        </w:rPr>
        <w:t>凡超过单价最高限价的投标报价，视为无效投标。最后报价时也需要参照《第二章</w:t>
      </w:r>
      <w:r>
        <w:rPr>
          <w:sz w:val="24"/>
          <w:b/>
        </w:rPr>
        <w:t>采购需求》附件</w:t>
      </w:r>
      <w:r>
        <w:rPr>
          <w:sz w:val="24"/>
          <w:b/>
        </w:rPr>
        <w:t>4</w:t>
      </w:r>
      <w:r>
        <w:rPr>
          <w:sz w:val="24"/>
          <w:b/>
        </w:rPr>
        <w:t>提供的《磋商报价表》格式报价。（如与磋商文件其他地方或智慧云平台客户端自动生成的要求不一致，以此处要求为准。）</w:t>
      </w:r>
    </w:p>
    <w:p>
      <w:pPr>
        <w:pStyle w:val="null3"/>
        <w:jc w:val="both"/>
      </w:pPr>
      <w:r>
        <w:rPr>
          <w:sz w:val="24"/>
        </w:rPr>
        <w:t>（二）供应商报价必须包括项目人员费用、机具折旧、防控用药、运输、保险、房租、物耗、管理费用、各项税费及合同实施过程中不可预见费用等。</w:t>
      </w:r>
    </w:p>
    <w:p>
      <w:pPr>
        <w:pStyle w:val="null3"/>
        <w:jc w:val="both"/>
      </w:pPr>
      <w:r>
        <w:rPr>
          <w:sz w:val="24"/>
        </w:rPr>
        <w:t>（三）消杀业务量根据广州市荔湾区疫情变化而变化，消杀次数可能发生改变的，采购人不承担未能达到采购招标文件中预计的消杀次数而给供应商投标人带来的任何损失，投标人在报价时应充分考虑到由此带来的各项风险并无条件承诺自行承担此风险。</w:t>
      </w:r>
    </w:p>
    <w:p>
      <w:pPr>
        <w:pStyle w:val="null3"/>
        <w:jc w:val="both"/>
      </w:pPr>
      <w:r>
        <w:rPr>
          <w:sz w:val="24"/>
          <w:b/>
        </w:rPr>
        <w:t>五、其他</w:t>
      </w:r>
    </w:p>
    <w:p>
      <w:pPr>
        <w:pStyle w:val="null3"/>
        <w:jc w:val="both"/>
      </w:pPr>
      <w:r>
        <w:rPr>
          <w:sz w:val="24"/>
        </w:rPr>
        <w:t>★（一）目前承担荔湾区病媒生物监测任务的供应商不得参与本项目。</w:t>
      </w:r>
      <w:r>
        <w:rPr>
          <w:sz w:val="24"/>
          <w:b/>
        </w:rPr>
        <w:t>（提供承诺函，格式自拟并加盖响应供应商公章）</w:t>
      </w:r>
    </w:p>
    <w:p>
      <w:pPr>
        <w:pStyle w:val="null3"/>
        <w:jc w:val="both"/>
      </w:pPr>
      <w:r>
        <w:rPr>
          <w:sz w:val="24"/>
        </w:rPr>
        <w:t>★（二）与其他疫情有关的应急消毒消杀，采购人根据实际工作需要，安排中标供应商参与消毒消杀的，中标供应商不得拒绝。</w:t>
      </w:r>
      <w:r>
        <w:rPr>
          <w:sz w:val="24"/>
          <w:b/>
        </w:rPr>
        <w:t>（提供承诺函，格式自拟并加盖响应供应商公章）</w:t>
      </w:r>
    </w:p>
    <w:p>
      <w:pPr>
        <w:pStyle w:val="null3"/>
        <w:jc w:val="both"/>
      </w:pPr>
      <w:r>
        <w:rPr>
          <w:sz w:val="24"/>
          <w:b/>
        </w:rPr>
        <w:t>六、附件</w:t>
      </w:r>
    </w:p>
    <w:p>
      <w:pPr>
        <w:pStyle w:val="null3"/>
        <w:jc w:val="both"/>
      </w:pPr>
      <w:r>
        <w:rPr>
          <w:sz w:val="24"/>
          <w:b/>
        </w:rPr>
        <w:t>附件</w:t>
      </w:r>
      <w:r>
        <w:rPr>
          <w:sz w:val="24"/>
          <w:b/>
        </w:rPr>
        <w:t xml:space="preserve">1 </w:t>
      </w:r>
      <w:r>
        <w:rPr>
          <w:sz w:val="24"/>
          <w:b/>
        </w:rPr>
        <w:t>蚊媒控制应急消杀</w:t>
      </w:r>
      <w:r>
        <w:rPr>
          <w:sz w:val="24"/>
          <w:b/>
        </w:rPr>
        <w:t>工作量记录表</w:t>
      </w:r>
    </w:p>
    <w:p>
      <w:pPr>
        <w:pStyle w:val="null3"/>
        <w:jc w:val="both"/>
      </w:pPr>
      <w:r>
        <w:rPr>
          <w:sz w:val="24"/>
        </w:rPr>
        <w:t>客户名称</w:t>
      </w:r>
      <w:r>
        <w:rPr>
          <w:sz w:val="24"/>
        </w:rPr>
        <w:t>:               服务日期:                 起止时间:</w:t>
      </w:r>
    </w:p>
    <w:p>
      <w:pPr>
        <w:pStyle w:val="null3"/>
        <w:jc w:val="both"/>
      </w:pPr>
      <w:r>
        <w:rPr>
          <w:sz w:val="24"/>
        </w:rPr>
        <w:t>气象情况（天气、风力、温度）：</w:t>
      </w:r>
      <w:r>
        <w:rPr>
          <w:sz w:val="24"/>
        </w:rPr>
        <w:t xml:space="preserve">                     </w:t>
      </w:r>
      <w:r>
        <w:rPr>
          <w:sz w:val="24"/>
        </w:rPr>
        <w:t>作业人员</w:t>
      </w:r>
      <w:r>
        <w:rPr>
          <w:sz w:val="24"/>
        </w:rPr>
        <w:t>:</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933"/>
        <w:gridCol w:w="1268"/>
        <w:gridCol w:w="933"/>
        <w:gridCol w:w="947"/>
        <w:gridCol w:w="1087"/>
        <w:gridCol w:w="877"/>
        <w:gridCol w:w="1017"/>
        <w:gridCol w:w="1170"/>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防治对象</w:t>
            </w:r>
          </w:p>
        </w:tc>
        <w:tc>
          <w:tcPr>
            <w:tcW w:type="dxa" w:w="1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药物名称</w:t>
            </w:r>
          </w:p>
          <w:p>
            <w:pPr>
              <w:pStyle w:val="null3"/>
              <w:jc w:val="both"/>
            </w:pPr>
            <w:r>
              <w:rPr>
                <w:sz w:val="24"/>
              </w:rPr>
              <w:t>（附农药登记证号）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剂型</w:t>
            </w:r>
          </w:p>
        </w:tc>
        <w:tc>
          <w:tcPr>
            <w:tcW w:type="dxa" w:w="9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原药使用量</w:t>
            </w:r>
          </w:p>
        </w:tc>
        <w:tc>
          <w:tcPr>
            <w:tcW w:type="dxa" w:w="10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使用浓度</w:t>
            </w:r>
          </w:p>
          <w:p>
            <w:pPr>
              <w:pStyle w:val="null3"/>
              <w:jc w:val="both"/>
            </w:pPr>
            <w:r>
              <w:rPr>
                <w:sz w:val="24"/>
              </w:rPr>
              <w:t>（稀释倍数）</w:t>
            </w:r>
          </w:p>
        </w:tc>
        <w:tc>
          <w:tcPr>
            <w:tcW w:type="dxa" w:w="8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稀释溶剂</w:t>
            </w:r>
          </w:p>
        </w:tc>
        <w:tc>
          <w:tcPr>
            <w:tcW w:type="dxa" w:w="10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处置区域及面积</w:t>
            </w:r>
          </w:p>
        </w:tc>
        <w:tc>
          <w:tcPr>
            <w:tcW w:type="dxa" w:w="1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施药器械</w:t>
            </w:r>
            <w:r>
              <w:rPr>
                <w:sz w:val="24"/>
              </w:rPr>
              <w:t>/施药方式</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both"/>
      </w:pPr>
      <w:r>
        <w:rPr>
          <w:sz w:val="24"/>
          <w:b/>
        </w:rPr>
        <w:t>附件</w:t>
      </w:r>
      <w:r>
        <w:rPr>
          <w:sz w:val="24"/>
          <w:b/>
        </w:rPr>
        <w:t>2：</w:t>
      </w:r>
      <w:r>
        <w:rPr>
          <w:sz w:val="24"/>
          <w:b/>
        </w:rPr>
        <w:t>蚊媒控制应急</w:t>
      </w:r>
      <w:r>
        <w:rPr>
          <w:sz w:val="24"/>
          <w:b/>
        </w:rPr>
        <w:t>消杀工作评价表</w:t>
      </w:r>
    </w:p>
    <w:p>
      <w:pPr>
        <w:pStyle w:val="null3"/>
        <w:jc w:val="both"/>
      </w:pPr>
      <w:r>
        <w:rPr>
          <w:sz w:val="24"/>
        </w:rPr>
        <w:t>PCO公司名称：             疫点位置：    服务日期：</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4308"/>
        <w:gridCol w:w="3133"/>
        <w:gridCol w:w="837"/>
      </w:tblGrid>
      <w:tr>
        <w:tc>
          <w:tcPr>
            <w:tcW w:type="dxa" w:w="4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扣分标准</w:t>
            </w:r>
          </w:p>
        </w:tc>
        <w:tc>
          <w:tcPr>
            <w:tcW w:type="dxa" w:w="3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扣分内容</w:t>
            </w:r>
          </w:p>
        </w:tc>
        <w:tc>
          <w:tcPr>
            <w:tcW w:type="dxa" w:w="8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w:t>
            </w:r>
          </w:p>
        </w:tc>
      </w:tr>
      <w:tr>
        <w:tc>
          <w:tcPr>
            <w:tcW w:type="dxa" w:w="4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一、迟到或早退（</w:t>
            </w:r>
            <w:r>
              <w:rPr>
                <w:sz w:val="24"/>
              </w:rPr>
              <w:t>5分）</w:t>
            </w:r>
          </w:p>
        </w:tc>
        <w:tc>
          <w:tcPr>
            <w:tcW w:type="dxa" w:w="3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每人每半小时扣</w:t>
            </w:r>
            <w:r>
              <w:rPr>
                <w:sz w:val="24"/>
              </w:rPr>
              <w:t>1 分。</w:t>
            </w:r>
          </w:p>
          <w:p>
            <w:pPr>
              <w:pStyle w:val="null3"/>
              <w:jc w:val="both"/>
            </w:pPr>
            <w:r>
              <w:rPr>
                <w:sz w:val="24"/>
              </w:rPr>
              <w:t>采购人通知到达时间：</w:t>
            </w:r>
          </w:p>
          <w:p>
            <w:pPr>
              <w:pStyle w:val="null3"/>
              <w:jc w:val="both"/>
            </w:pPr>
            <w:r>
              <w:rPr>
                <w:sz w:val="24"/>
              </w:rPr>
              <w:t>供应商到达时间：</w:t>
            </w:r>
          </w:p>
          <w:p>
            <w:pPr>
              <w:pStyle w:val="null3"/>
              <w:jc w:val="both"/>
            </w:pPr>
            <w:r>
              <w:rPr>
                <w:sz w:val="24"/>
              </w:rPr>
              <w:t>服务结束时间：</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二、参与服务工作人员人数与采购人要求不符的（</w:t>
            </w:r>
            <w:r>
              <w:rPr>
                <w:sz w:val="24"/>
              </w:rPr>
              <w:t>5分）</w:t>
            </w:r>
          </w:p>
        </w:tc>
        <w:tc>
          <w:tcPr>
            <w:tcW w:type="dxa" w:w="3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每少一人扣</w:t>
            </w:r>
            <w:r>
              <w:rPr>
                <w:sz w:val="24"/>
              </w:rPr>
              <w:t>5分。</w:t>
            </w:r>
          </w:p>
          <w:p>
            <w:pPr>
              <w:pStyle w:val="null3"/>
              <w:jc w:val="left"/>
            </w:pPr>
            <w:r>
              <w:rPr>
                <w:sz w:val="24"/>
              </w:rPr>
              <w:t>消杀人数：人</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三、工作人员未穿着统一工作制服、工作过程中未佩戴口罩等防护用具的（</w:t>
            </w:r>
            <w:r>
              <w:rPr>
                <w:sz w:val="24"/>
              </w:rPr>
              <w:t>1.</w:t>
            </w:r>
            <w:r>
              <w:rPr>
                <w:sz w:val="24"/>
              </w:rPr>
              <w:t>配制药物时是否穿戴好个人防护用品；</w:t>
            </w:r>
            <w:r>
              <w:rPr>
                <w:sz w:val="24"/>
              </w:rPr>
              <w:t>2.作业过程中发生漏液，是否立即停止作业，脱掉被药物污染的衣物，用流动清水冲洗皮肤15分钟以</w:t>
            </w:r>
            <w:r>
              <w:rPr>
                <w:sz w:val="24"/>
              </w:rPr>
              <w:t>上；</w:t>
            </w:r>
            <w:r>
              <w:rPr>
                <w:sz w:val="24"/>
              </w:rPr>
              <w:t>3.</w:t>
            </w:r>
            <w:r>
              <w:rPr>
                <w:sz w:val="24"/>
              </w:rPr>
              <w:t>作业期间是否存在摘口罩、手套等行为，是否有抽</w:t>
            </w:r>
            <w:r>
              <w:rPr>
                <w:sz w:val="24"/>
              </w:rPr>
              <w:t>烟、</w:t>
            </w:r>
            <w:r>
              <w:rPr>
                <w:sz w:val="24"/>
              </w:rPr>
              <w:t>进食饮水等行为</w:t>
            </w:r>
            <w:r>
              <w:rPr>
                <w:sz w:val="24"/>
              </w:rPr>
              <w:t>）（</w:t>
            </w:r>
            <w:r>
              <w:rPr>
                <w:sz w:val="24"/>
              </w:rPr>
              <w:t>10分）。</w:t>
            </w:r>
          </w:p>
        </w:tc>
        <w:tc>
          <w:tcPr>
            <w:tcW w:type="dxa" w:w="3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出现上述任一情况扣</w:t>
            </w:r>
            <w:r>
              <w:rPr>
                <w:sz w:val="24"/>
              </w:rPr>
              <w:t>10分</w:t>
            </w:r>
          </w:p>
          <w:p>
            <w:pPr>
              <w:pStyle w:val="null3"/>
              <w:jc w:val="left"/>
            </w:p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四、不按照施（投）药技术规范使用药物、不根据甲方指导意见使用药物（</w:t>
            </w:r>
            <w:r>
              <w:rPr>
                <w:sz w:val="24"/>
              </w:rPr>
              <w:t>1.</w:t>
            </w:r>
            <w:r>
              <w:rPr>
                <w:sz w:val="24"/>
              </w:rPr>
              <w:t>药物是否为合格卫生杀</w:t>
            </w:r>
            <w:r>
              <w:rPr>
                <w:sz w:val="24"/>
              </w:rPr>
              <w:t>虫剂</w:t>
            </w:r>
            <w:r>
              <w:rPr>
                <w:sz w:val="24"/>
              </w:rPr>
              <w:t>；</w:t>
            </w:r>
            <w:r>
              <w:rPr>
                <w:sz w:val="24"/>
              </w:rPr>
              <w:t>2.</w:t>
            </w:r>
            <w:r>
              <w:rPr>
                <w:sz w:val="24"/>
              </w:rPr>
              <w:t>药物是否过期</w:t>
            </w:r>
            <w:r>
              <w:rPr>
                <w:sz w:val="24"/>
              </w:rPr>
              <w:t>；</w:t>
            </w:r>
            <w:r>
              <w:rPr>
                <w:sz w:val="24"/>
              </w:rPr>
              <w:t>3.</w:t>
            </w:r>
            <w:r>
              <w:rPr>
                <w:sz w:val="24"/>
              </w:rPr>
              <w:t>.</w:t>
            </w:r>
            <w:r>
              <w:rPr>
                <w:sz w:val="24"/>
              </w:rPr>
              <w:t>浓度配比是否按照要求；</w:t>
            </w:r>
            <w:r>
              <w:rPr>
                <w:sz w:val="24"/>
              </w:rPr>
              <w:t>4.药物和器械是否匹配；喷雾器型号是否满足要</w:t>
            </w:r>
            <w:r>
              <w:rPr>
                <w:sz w:val="24"/>
              </w:rPr>
              <w:t>求；</w:t>
            </w:r>
            <w:r>
              <w:rPr>
                <w:sz w:val="24"/>
              </w:rPr>
              <w:t>5.</w:t>
            </w:r>
            <w:r>
              <w:rPr>
                <w:sz w:val="24"/>
              </w:rPr>
              <w:t>器械是否正常规范使用；</w:t>
            </w:r>
            <w:r>
              <w:rPr>
                <w:sz w:val="24"/>
              </w:rPr>
              <w:t>）（</w:t>
            </w:r>
            <w:r>
              <w:rPr>
                <w:sz w:val="24"/>
              </w:rPr>
              <w:t>20分）。</w:t>
            </w:r>
          </w:p>
        </w:tc>
        <w:tc>
          <w:tcPr>
            <w:tcW w:type="dxa" w:w="3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出现上述任一情况扣</w:t>
            </w:r>
            <w:r>
              <w:rPr>
                <w:sz w:val="24"/>
              </w:rPr>
              <w:t>20分</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五、未经采购人允许变更现场负责人（</w:t>
            </w:r>
            <w:r>
              <w:rPr>
                <w:sz w:val="24"/>
              </w:rPr>
              <w:t>10分）</w:t>
            </w:r>
          </w:p>
        </w:tc>
        <w:tc>
          <w:tcPr>
            <w:tcW w:type="dxa" w:w="3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违反上述情况扣</w:t>
            </w:r>
            <w:r>
              <w:rPr>
                <w:sz w:val="24"/>
              </w:rPr>
              <w:t>10分</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六、未按时按要求制定处理方案，未按确定的处理方案内容开展工作（</w:t>
            </w:r>
            <w:r>
              <w:rPr>
                <w:sz w:val="24"/>
              </w:rPr>
              <w:t>10分）</w:t>
            </w:r>
          </w:p>
        </w:tc>
        <w:tc>
          <w:tcPr>
            <w:tcW w:type="dxa" w:w="3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违反上述情况扣</w:t>
            </w:r>
            <w:r>
              <w:rPr>
                <w:sz w:val="24"/>
              </w:rPr>
              <w:t>10分</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七、供应商处理方案不根据实际情况制定、使用违禁药物以及其它弄虚作假等情况（</w:t>
            </w:r>
            <w:r>
              <w:rPr>
                <w:sz w:val="24"/>
              </w:rPr>
              <w:t>10分）</w:t>
            </w:r>
          </w:p>
        </w:tc>
        <w:tc>
          <w:tcPr>
            <w:tcW w:type="dxa" w:w="3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违反上述情况扣</w:t>
            </w:r>
            <w:r>
              <w:rPr>
                <w:sz w:val="24"/>
              </w:rPr>
              <w:t>10分</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八、检查发现未处理、未登记的积水或孳生地（</w:t>
            </w:r>
            <w:r>
              <w:rPr>
                <w:sz w:val="24"/>
              </w:rPr>
              <w:t>10分）</w:t>
            </w:r>
          </w:p>
        </w:tc>
        <w:tc>
          <w:tcPr>
            <w:tcW w:type="dxa" w:w="3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发现一处扣</w:t>
            </w:r>
            <w:r>
              <w:rPr>
                <w:sz w:val="24"/>
              </w:rPr>
              <w:t>5分</w:t>
            </w:r>
          </w:p>
          <w:p>
            <w:pPr>
              <w:pStyle w:val="null3"/>
              <w:jc w:val="left"/>
            </w:pPr>
            <w:r>
              <w:rPr>
                <w:sz w:val="24"/>
              </w:rPr>
              <w:t>未登记的积水或孳生地：</w:t>
            </w:r>
            <w:r>
              <w:rPr>
                <w:sz w:val="24"/>
              </w:rPr>
              <w:t>处</w:t>
            </w:r>
          </w:p>
          <w:p>
            <w:pPr>
              <w:pStyle w:val="null3"/>
              <w:jc w:val="left"/>
            </w:pPr>
            <w:r>
              <w:rPr>
                <w:sz w:val="24"/>
              </w:rPr>
              <w:t>未处理的积水或孳生地：</w:t>
            </w:r>
            <w:r>
              <w:rPr>
                <w:sz w:val="24"/>
              </w:rPr>
              <w:t>处</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九、工作人员消极怠工，不服从工作安排，存在不良工作态度（</w:t>
            </w:r>
            <w:r>
              <w:rPr>
                <w:sz w:val="24"/>
              </w:rPr>
              <w:t>10分）</w:t>
            </w:r>
          </w:p>
        </w:tc>
        <w:tc>
          <w:tcPr>
            <w:tcW w:type="dxa" w:w="3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违反上述情况扣</w:t>
            </w:r>
            <w:r>
              <w:rPr>
                <w:sz w:val="24"/>
              </w:rPr>
              <w:t>10分</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十、未按要求完成服务任务（</w:t>
            </w:r>
            <w:r>
              <w:rPr>
                <w:sz w:val="24"/>
              </w:rPr>
              <w:t>10分）</w:t>
            </w:r>
          </w:p>
        </w:tc>
        <w:tc>
          <w:tcPr>
            <w:tcW w:type="dxa" w:w="3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是</w:t>
            </w:r>
            <w:r>
              <w:rPr>
                <w:sz w:val="24"/>
              </w:rPr>
              <w:t>/否按要求完成服务任务</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评分</w:t>
            </w:r>
          </w:p>
        </w:tc>
        <w:tc>
          <w:tcPr>
            <w:tcW w:type="dxa" w:w="39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rPr>
        <w:t>注：</w:t>
      </w:r>
    </w:p>
    <w:p>
      <w:pPr>
        <w:pStyle w:val="null3"/>
        <w:jc w:val="both"/>
      </w:pPr>
      <w:r>
        <w:rPr>
          <w:sz w:val="24"/>
        </w:rPr>
        <w:t>1、需采购人或其指定机构、所属消杀街道、供应商三方签名确认。</w:t>
      </w:r>
    </w:p>
    <w:p>
      <w:pPr>
        <w:pStyle w:val="null3"/>
        <w:jc w:val="both"/>
      </w:pPr>
      <w:r>
        <w:rPr>
          <w:sz w:val="24"/>
        </w:rPr>
        <w:t>2、此表满分100，评分=100-扣分总数，评分作为支付服务费用的依据。</w:t>
      </w:r>
    </w:p>
    <w:p>
      <w:pPr>
        <w:pStyle w:val="null3"/>
        <w:jc w:val="both"/>
      </w:pPr>
      <w:r>
        <w:rPr>
          <w:sz w:val="24"/>
        </w:rPr>
        <w:t>3、80分或以上作为合格分，未达到合格分的，每扣10分，则扣除当次服务费的10%。（若80分</w:t>
      </w:r>
      <w:r>
        <w:rPr>
          <w:sz w:val="24"/>
        </w:rPr>
        <w:t>＞</w:t>
      </w:r>
      <w:r>
        <w:rPr>
          <w:sz w:val="24"/>
        </w:rPr>
        <w:t>当次得分</w:t>
      </w:r>
      <w:r>
        <w:rPr>
          <w:sz w:val="24"/>
        </w:rPr>
        <w:t>≥70分，则服务费扣除当次的10%，若70分</w:t>
      </w:r>
      <w:r>
        <w:rPr>
          <w:sz w:val="24"/>
        </w:rPr>
        <w:t>＞</w:t>
      </w:r>
      <w:r>
        <w:rPr>
          <w:sz w:val="24"/>
        </w:rPr>
        <w:t>当次得分</w:t>
      </w:r>
      <w:r>
        <w:rPr>
          <w:sz w:val="24"/>
        </w:rPr>
        <w:t>≥60分，则扣除当次服务费20%，以此类推）。</w:t>
      </w:r>
    </w:p>
    <w:p>
      <w:pPr>
        <w:pStyle w:val="null3"/>
        <w:jc w:val="both"/>
      </w:pPr>
      <w:r>
        <w:rPr>
          <w:sz w:val="24"/>
          <w:b/>
        </w:rPr>
        <w:t>七、其他要求</w:t>
      </w:r>
    </w:p>
    <w:p>
      <w:pPr>
        <w:pStyle w:val="null3"/>
        <w:jc w:val="both"/>
      </w:pPr>
      <w:r>
        <w:rPr>
          <w:sz w:val="24"/>
        </w:rPr>
        <w:t>（一）供应商对本项目需有清晰理解与分析。在项目背景方面，应充分考虑当前项目实施的重要意义。对于项目服务内容，要精准剖析存在的主要问题，如过往出现的服务质量不稳定（包括成果差异、响应迟缓等）、资源调配不合理（资源短缺或闲置）以及沟通协调不畅（信息传递问题）等情况，并结合以往经验给出切实可行、操作性强的应对措施，以保障项目顺利推进并达成预期效果。</w:t>
      </w:r>
    </w:p>
    <w:p>
      <w:pPr>
        <w:pStyle w:val="null3"/>
        <w:jc w:val="both"/>
      </w:pPr>
      <w:r>
        <w:rPr>
          <w:sz w:val="24"/>
        </w:rPr>
        <w:t>（二）供应商提供完善的项目服务方案，其中应包括针对项目服务内容的科学工作方法；清晰合理的技术路线，能够有效针对服务区内疫情相关蚊媒生物特性开展工作；规范的服务流程，确保各个环节紧密衔接、高效运行；详细的项目进度计划，以保障服务按时有序推进。同时，供应商需根据服务区中疫情相关蚊媒生物种类的生物学特征进行现场控制，例如充分考虑其繁殖周期、栖息环境等因素，运用专业知识和技术手段，制定切实可行的现场控制措施，有效降低蚊媒生物传播风险，保障服务区的公共卫生安全。</w:t>
      </w:r>
    </w:p>
    <w:p>
      <w:pPr>
        <w:pStyle w:val="null3"/>
        <w:jc w:val="both"/>
      </w:pPr>
      <w:r>
        <w:rPr>
          <w:sz w:val="24"/>
        </w:rPr>
        <w:t>（三）供应商提供详细的技术方案，需包含对服务区内各种类型环境，如老城区</w:t>
      </w:r>
      <w:r>
        <w:rPr>
          <w:sz w:val="24"/>
        </w:rPr>
        <w:t>[如建筑老旧、人口密集、基础设施相对薄弱等方面]、城中村[如房屋布局杂乱、卫生条件参差不齐等]、城乡结合部[如流动人口多、管理难度大、环境复杂多样等] 等的外环境特征进行全面深入分析。并基于此分析，提出针对本项目的系统控制方法，该方法应具有针对性、科学性和可操作性，能够切实有效地应对不同环境下的各类问题，实现对服务区的全面、精准、高效管控，以提升整体服务质量和效果。</w:t>
      </w:r>
    </w:p>
    <w:p>
      <w:pPr>
        <w:pStyle w:val="null3"/>
        <w:jc w:val="both"/>
      </w:pPr>
      <w:r>
        <w:rPr>
          <w:sz w:val="24"/>
        </w:rPr>
        <w:t>（四）供应商提供完备的应急管理方案，该方案应涵盖人力与物力的处置能力方面，具体明确在面对各类紧急情况时可调配的专业人员数量、资质及专业技能情况，以及相应的物资储备种类、数量和调配效率等。同时需包含详细的疫情应急处置预案，预案要针对疫情不同发展阶段和可能出现的场景制定全面、细致且具有可操作性的应对策略，包括但不限于疫情监测、防控措施实施、人员隔离安排等内容。此外，还应具备高效的疫情应急响应机制，明确从疫情信息接收到启动应急处置的时间节点、各环节的响应流程以及相关责任人的职责，确保在疫情发生时能够迅速、有效地做出反应，最大程度降低疫情对项目实施和服务区域的影响，保障公共卫生安全和项目的顺利运行。</w:t>
      </w:r>
    </w:p>
    <w:p>
      <w:pPr>
        <w:pStyle w:val="null3"/>
        <w:jc w:val="both"/>
      </w:pPr>
      <w:r>
        <w:rPr>
          <w:sz w:val="24"/>
        </w:rPr>
        <w:t>（五）供应商详细阐述药物供应使用情况及安全保证措施。具体包括明确可靠的药物供应渠道，需说明供应商的资质、合作稳定性以及药物来源的可靠性；规范的药物使用及保管规范，涵盖药物的正确使用方法、剂量控制、使用人员培训要求以及安全妥善的保管条件、存储设施和管理制度等；准确说明配备的药物情况，如药物种类、功效、适用范围、针对的病媒生物类型等；同时提供全面的安全保证措施，包括药物对人体健康和环境的风险评估及应对策略、质量监控机制、安全防护设备的配备等，以确保药物的有效供应、合理使用和安全性，保障病媒生物控制应急消杀服务的顺利开展及服务区域的公共卫生安全。</w:t>
      </w:r>
    </w:p>
    <w:p>
      <w:pPr>
        <w:pStyle w:val="null3"/>
        <w:jc w:val="both"/>
      </w:pPr>
      <w:r>
        <w:rPr>
          <w:sz w:val="24"/>
        </w:rPr>
        <w:t>（六）供应商针对服务区域提供全面且深入的其他建议。需对服务区域内的人流量（如高峰低谷时段分布、流动规律等）、居民生活习惯（如日常作息、垃圾处理方式、户外活动偏好等）、建筑物（如建筑类型、布局、老旧程度等）、植被（如种类、分布、养护情况等）、公共设施（如种类、数量、位置及使用频率等）等特征进行详细分析。在此基础上，结合专业知识和以往经验，提出有利于控制服务区域疫情的建议方案。该方案应涵盖防控措施的优化、资源的合理配置、居民宣传教育的有效方式等方面，以切实提升区域疫情防控的科学性、针对性和有效性，保障服务区域内居民的健康和安全。</w:t>
      </w:r>
    </w:p>
    <w:p>
      <w:pPr>
        <w:pStyle w:val="null3"/>
      </w:pPr>
      <w:r>
        <w:rPr/>
        <w:t xml:space="preserve"> </w:t>
      </w:r>
    </w:p>
    <w:p>
      <w:pPr>
        <w:pStyle w:val="null3"/>
        <w:jc w:val="both"/>
      </w:pPr>
      <w:r>
        <w:rPr>
          <w:sz w:val="32"/>
        </w:rPr>
        <w:t>附件</w:t>
      </w:r>
      <w:r>
        <w:rPr>
          <w:sz w:val="32"/>
        </w:rPr>
        <w:t>3：《响应供应商资格声明函》参考格式</w:t>
      </w:r>
    </w:p>
    <w:p>
      <w:pPr>
        <w:pStyle w:val="null3"/>
        <w:jc w:val="center"/>
      </w:pPr>
      <w:r>
        <w:rPr>
          <w:sz w:val="32"/>
        </w:rPr>
        <w:t>响应供应商资格声明函</w:t>
      </w:r>
    </w:p>
    <w:p>
      <w:pPr>
        <w:pStyle w:val="null3"/>
        <w:jc w:val="both"/>
      </w:pPr>
      <w:r>
        <w:rPr>
          <w:sz w:val="24"/>
          <w:b/>
        </w:rPr>
        <w:t>采联国际招标采购集团有限公司：</w:t>
      </w:r>
    </w:p>
    <w:p>
      <w:pPr>
        <w:pStyle w:val="null3"/>
        <w:ind w:firstLine="484"/>
        <w:jc w:val="both"/>
      </w:pPr>
      <w:r>
        <w:rPr>
          <w:sz w:val="24"/>
        </w:rPr>
        <w:t>关于贵公司发布</w:t>
      </w:r>
      <w:r>
        <w:rPr>
          <w:sz w:val="24"/>
          <w:u w:val="single"/>
        </w:rPr>
        <w:t>荔湾区蚊媒控制应急消杀服务</w:t>
      </w:r>
      <w:r>
        <w:rPr>
          <w:sz w:val="24"/>
        </w:rPr>
        <w:t>（项目编号：</w:t>
      </w:r>
      <w:r>
        <w:rPr>
          <w:sz w:val="24"/>
        </w:rPr>
        <w:t>CLF25KF02ZC62-1）的磋商公告，本单位愿意参加磋商，并声明：</w:t>
      </w:r>
    </w:p>
    <w:p>
      <w:pPr>
        <w:pStyle w:val="null3"/>
        <w:ind w:firstLine="420"/>
        <w:jc w:val="both"/>
      </w:pPr>
      <w:r>
        <w:rPr>
          <w:sz w:val="24"/>
        </w:rPr>
        <w:t>一、</w:t>
      </w:r>
      <w:r>
        <w:rPr>
          <w:sz w:val="24"/>
        </w:rPr>
        <w:t>本单位具备以下条件：</w:t>
      </w:r>
    </w:p>
    <w:p>
      <w:pPr>
        <w:pStyle w:val="null3"/>
        <w:ind w:firstLine="420"/>
        <w:jc w:val="both"/>
      </w:pPr>
      <w:r>
        <w:rPr>
          <w:sz w:val="24"/>
        </w:rPr>
        <w:t>（一）</w:t>
      </w:r>
      <w:r>
        <w:rPr>
          <w:sz w:val="24"/>
        </w:rPr>
        <w:t>具有良好的商业信誉和健全的财务会计制度；</w:t>
      </w:r>
    </w:p>
    <w:p>
      <w:pPr>
        <w:pStyle w:val="null3"/>
        <w:ind w:firstLine="420"/>
        <w:jc w:val="both"/>
      </w:pPr>
      <w:r>
        <w:rPr>
          <w:sz w:val="24"/>
        </w:rPr>
        <w:t>（二）</w:t>
      </w:r>
      <w:r>
        <w:rPr>
          <w:sz w:val="24"/>
        </w:rPr>
        <w:t>有依法缴纳税收和社会保障资金的良好记录；</w:t>
      </w:r>
    </w:p>
    <w:p>
      <w:pPr>
        <w:pStyle w:val="null3"/>
        <w:ind w:firstLine="420"/>
        <w:jc w:val="both"/>
      </w:pPr>
      <w:r>
        <w:rPr>
          <w:sz w:val="24"/>
        </w:rPr>
        <w:t>（三）</w:t>
      </w:r>
      <w:r>
        <w:rPr>
          <w:sz w:val="24"/>
        </w:rPr>
        <w:t>具有履行合同所必需的设备和专业技术能力；</w:t>
      </w:r>
    </w:p>
    <w:p>
      <w:pPr>
        <w:pStyle w:val="null3"/>
        <w:ind w:firstLine="420"/>
        <w:jc w:val="both"/>
      </w:pPr>
      <w:r>
        <w:rPr>
          <w:sz w:val="24"/>
        </w:rPr>
        <w:t>（四）</w:t>
      </w:r>
      <w:r>
        <w:rPr>
          <w:sz w:val="24"/>
        </w:rPr>
        <w:t>不属于公益一类事业单位或使用事业编制且由财政拨款保障的群团组织；</w:t>
      </w:r>
    </w:p>
    <w:p>
      <w:pPr>
        <w:pStyle w:val="null3"/>
        <w:ind w:firstLine="420"/>
        <w:jc w:val="both"/>
      </w:pPr>
      <w:r>
        <w:rPr>
          <w:sz w:val="24"/>
        </w:rPr>
        <w:t>（五）</w:t>
      </w:r>
      <w:r>
        <w:rPr>
          <w:sz w:val="24"/>
        </w:rPr>
        <w:t>本</w:t>
      </w:r>
      <w:r>
        <w:rPr>
          <w:sz w:val="24"/>
        </w:rPr>
        <w:t>单位</w:t>
      </w:r>
      <w:r>
        <w:rPr>
          <w:sz w:val="24"/>
        </w:rPr>
        <w:t>（如前三年内有名称变更的，含变更前名称）参加政府采购活动前三年内，在经营活动中没有重大违法记录（</w:t>
      </w:r>
      <w:r>
        <w:rPr>
          <w:sz w:val="24"/>
        </w:rPr>
        <w:t>重大违法记录，是指供应商因违法经营受到刑事处罚或者责令停产停业、吊销许可证或者执照、较大数额罚款等行政处罚。（根据财库〔</w:t>
      </w:r>
      <w:r>
        <w:rPr>
          <w:sz w:val="24"/>
        </w:rPr>
        <w:t>2022〕3号文，“较大数额罚款”认定为200万元以上的罚款，法律、行政法规以及国务院有关部门明确规定相关领域“较大数额罚款”标准高于200万元的，从其规定</w:t>
      </w:r>
      <w:r>
        <w:rPr>
          <w:sz w:val="24"/>
        </w:rPr>
        <w:t>））；</w:t>
      </w:r>
    </w:p>
    <w:p>
      <w:pPr>
        <w:pStyle w:val="null3"/>
        <w:ind w:firstLine="420"/>
        <w:jc w:val="both"/>
      </w:pPr>
      <w:r>
        <w:rPr>
          <w:sz w:val="24"/>
        </w:rPr>
        <w:t>（六）</w:t>
      </w:r>
      <w:r>
        <w:rPr>
          <w:sz w:val="24"/>
        </w:rPr>
        <w:t>法律、行政法规规定的其他条件；</w:t>
      </w:r>
    </w:p>
    <w:p>
      <w:pPr>
        <w:pStyle w:val="null3"/>
        <w:ind w:firstLine="420"/>
        <w:jc w:val="both"/>
      </w:pPr>
      <w:r>
        <w:rPr>
          <w:sz w:val="24"/>
        </w:rPr>
        <w:t>二、</w:t>
      </w:r>
      <w:r>
        <w:rPr>
          <w:sz w:val="24"/>
        </w:rPr>
        <w:t>具备</w:t>
      </w:r>
      <w:r>
        <w:rPr>
          <w:sz w:val="24"/>
        </w:rPr>
        <w:t>《政府购买服务管理办法》第六条、</w:t>
      </w:r>
      <w:r>
        <w:rPr>
          <w:sz w:val="24"/>
        </w:rPr>
        <w:t>关于政府向社会力量购买服务的指导意见（国办发〔</w:t>
      </w:r>
      <w:r>
        <w:rPr>
          <w:sz w:val="24"/>
        </w:rPr>
        <w:t>2013〕96号）第三点第（二）</w:t>
      </w:r>
      <w:r>
        <w:rPr>
          <w:sz w:val="24"/>
        </w:rPr>
        <w:t>项规定的条件。</w:t>
      </w:r>
    </w:p>
    <w:p>
      <w:pPr>
        <w:pStyle w:val="null3"/>
        <w:ind w:firstLine="420"/>
        <w:jc w:val="both"/>
      </w:pPr>
      <w:r>
        <w:rPr>
          <w:sz w:val="24"/>
        </w:rPr>
        <w:t>三、</w:t>
      </w:r>
      <w:r>
        <w:rPr>
          <w:sz w:val="24"/>
        </w:rPr>
        <w:t>本单位没有为采购项目提供整体设计、规范编制或者项目管理、监理、检测等服务。</w:t>
      </w:r>
    </w:p>
    <w:p>
      <w:pPr>
        <w:pStyle w:val="null3"/>
        <w:ind w:firstLine="420"/>
        <w:jc w:val="both"/>
      </w:pPr>
      <w:r>
        <w:rPr>
          <w:sz w:val="24"/>
        </w:rPr>
        <w:t>四、</w:t>
      </w:r>
      <w:r>
        <w:rPr>
          <w:sz w:val="24"/>
        </w:rPr>
        <w:t>我方承诺如与本项目同一合同项下其他供应商的单位负责人为同一人或者存在直接控股、管理关系的情形，同意按响应无效处理。</w:t>
      </w:r>
    </w:p>
    <w:p>
      <w:pPr>
        <w:pStyle w:val="null3"/>
        <w:ind w:firstLine="484"/>
        <w:jc w:val="both"/>
      </w:pPr>
      <w:r>
        <w:rPr>
          <w:sz w:val="24"/>
        </w:rPr>
        <w:t>本单位承诺在本次竞争性磋商采购活动中，如有违法、违规、弄虚作假行为，所造成的损失、不良后果及法律责任，一律由我单位承担。</w:t>
      </w:r>
    </w:p>
    <w:p>
      <w:pPr>
        <w:pStyle w:val="null3"/>
        <w:ind w:firstLine="420"/>
        <w:jc w:val="both"/>
      </w:pPr>
      <w:r>
        <w:rPr>
          <w:sz w:val="24"/>
        </w:rPr>
        <w:t>特此声明！</w:t>
      </w:r>
    </w:p>
    <w:p>
      <w:pPr>
        <w:pStyle w:val="null3"/>
        <w:ind w:firstLine="420"/>
        <w:jc w:val="both"/>
      </w:pPr>
      <w:r>
        <w:rPr>
          <w:sz w:val="24"/>
          <w:b/>
        </w:rPr>
        <w:t>说明：</w:t>
      </w:r>
    </w:p>
    <w:p>
      <w:pPr>
        <w:pStyle w:val="null3"/>
        <w:jc w:val="both"/>
      </w:pPr>
      <w:r>
        <w:rPr>
          <w:sz w:val="24"/>
        </w:rPr>
        <w:t>1.本声明函必须提供且内容不得擅自删改。</w:t>
      </w:r>
    </w:p>
    <w:p>
      <w:pPr>
        <w:pStyle w:val="null3"/>
        <w:jc w:val="both"/>
      </w:pPr>
      <w:r>
        <w:rPr>
          <w:sz w:val="24"/>
        </w:rPr>
        <w:t>2.本声明函如有虚假或与事实不符的，作</w:t>
      </w:r>
      <w:r>
        <w:rPr>
          <w:sz w:val="24"/>
          <w:b/>
        </w:rPr>
        <w:t>无效投标</w:t>
      </w:r>
      <w:r>
        <w:rPr>
          <w:sz w:val="24"/>
        </w:rPr>
        <w:t>处理。</w:t>
      </w:r>
    </w:p>
    <w:p>
      <w:pPr>
        <w:pStyle w:val="null3"/>
        <w:ind w:firstLine="420"/>
        <w:jc w:val="both"/>
      </w:pPr>
      <w:r>
        <w:rPr>
          <w:sz w:val="24"/>
          <w:b/>
        </w:rPr>
        <w:t>响应供应商名称（单位盖公章）：</w:t>
      </w:r>
      <w:r>
        <w:rPr>
          <w:sz w:val="21"/>
          <w:b/>
          <w:u w:val="single"/>
        </w:rPr>
        <w:t xml:space="preserve">                    </w:t>
      </w:r>
      <w:r>
        <w:rPr>
          <w:sz w:val="21"/>
          <w:b/>
        </w:rPr>
        <w:t xml:space="preserve"> </w:t>
      </w:r>
    </w:p>
    <w:p>
      <w:pPr>
        <w:pStyle w:val="null3"/>
        <w:ind w:firstLine="420"/>
        <w:jc w:val="both"/>
      </w:pPr>
      <w:r>
        <w:rPr>
          <w:sz w:val="24"/>
          <w:b/>
        </w:rPr>
        <w:t>日期：</w:t>
      </w:r>
      <w:r>
        <w:rPr>
          <w:sz w:val="21"/>
          <w:b/>
          <w:u w:val="single"/>
        </w:rPr>
        <w:t xml:space="preserve">                        </w:t>
      </w:r>
    </w:p>
    <w:p>
      <w:pPr>
        <w:pStyle w:val="null3"/>
        <w:jc w:val="both"/>
      </w:pPr>
      <w:r>
        <w:rPr/>
        <w:t xml:space="preserve"> </w:t>
      </w:r>
    </w:p>
    <w:p>
      <w:pPr>
        <w:pStyle w:val="null3"/>
        <w:jc w:val="both"/>
      </w:pPr>
      <w:r>
        <w:rPr>
          <w:sz w:val="32"/>
          <w:color w:val="000000"/>
        </w:rPr>
        <w:t>附件</w:t>
      </w:r>
      <w:r>
        <w:rPr>
          <w:sz w:val="32"/>
          <w:color w:val="000000"/>
        </w:rPr>
        <w:t>4</w:t>
      </w:r>
      <w:r>
        <w:rPr>
          <w:sz w:val="32"/>
          <w:color w:val="000000"/>
        </w:rPr>
        <w:t>：</w:t>
      </w:r>
      <w:r>
        <w:rPr>
          <w:sz w:val="32"/>
          <w:color w:val="000000"/>
        </w:rPr>
        <w:t>《</w:t>
      </w:r>
      <w:r>
        <w:rPr>
          <w:sz w:val="32"/>
          <w:color w:val="000000"/>
        </w:rPr>
        <w:t>磋商报价表</w:t>
      </w:r>
      <w:r>
        <w:rPr>
          <w:sz w:val="32"/>
          <w:color w:val="000000"/>
        </w:rPr>
        <w:t>》</w:t>
      </w:r>
      <w:r>
        <w:rPr>
          <w:sz w:val="32"/>
          <w:color w:val="000000"/>
        </w:rPr>
        <w:t>格式</w:t>
      </w:r>
    </w:p>
    <w:p>
      <w:pPr>
        <w:pStyle w:val="null3"/>
        <w:jc w:val="center"/>
      </w:pPr>
      <w:r>
        <w:rPr>
          <w:sz w:val="32"/>
        </w:rPr>
        <w:t>磋商报价表</w:t>
      </w:r>
      <w:r>
        <w:rPr>
          <w:sz w:val="32"/>
        </w:rPr>
        <w:t>（</w:t>
      </w:r>
      <w:r>
        <w:rPr>
          <w:sz w:val="32"/>
        </w:rPr>
        <w:t>包组</w:t>
      </w:r>
      <w:r>
        <w:rPr>
          <w:sz w:val="32"/>
        </w:rPr>
        <w:t>1</w:t>
      </w:r>
      <w:r>
        <w:rPr>
          <w:sz w:val="32"/>
        </w:rPr>
        <w:t>）</w:t>
      </w:r>
    </w:p>
    <w:p>
      <w:pPr>
        <w:pStyle w:val="null3"/>
        <w:jc w:val="both"/>
      </w:pPr>
      <w:r>
        <w:rPr>
          <w:sz w:val="24"/>
        </w:rPr>
        <w:t>项目名称：荔湾区蚊媒控制应急消杀服务</w:t>
      </w:r>
    </w:p>
    <w:tbl>
      <w:tblPr>
        <w:tblW w:w="0" w:type="auto"/>
        <w:tblBorders>
          <w:top w:val="none" w:color="000000" w:sz="4"/>
          <w:left w:val="none" w:color="000000" w:sz="4"/>
          <w:bottom w:val="none" w:color="000000" w:sz="4"/>
          <w:right w:val="none" w:color="000000" w:sz="4"/>
          <w:insideH w:val="none"/>
          <w:insideV w:val="none"/>
        </w:tblBorders>
      </w:tblPr>
      <w:tblGrid>
        <w:gridCol w:w="1826"/>
        <w:gridCol w:w="719"/>
        <w:gridCol w:w="2575"/>
        <w:gridCol w:w="3183"/>
      </w:tblGrid>
      <w:tr>
        <w:tc>
          <w:tcPr>
            <w:tcW w:type="dxa" w:w="1826"/>
            <w:tcBorders>
              <w:top w:val="single" w:color="000000" w:sz="8"/>
              <w:left w:val="single" w:color="000000" w:sz="8"/>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4"/>
                <w:b/>
              </w:rPr>
              <w:t>服务内容</w:t>
            </w:r>
          </w:p>
        </w:tc>
        <w:tc>
          <w:tcPr>
            <w:tcW w:type="dxa" w:w="719"/>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4"/>
                <w:b/>
              </w:rPr>
              <w:t>数量</w:t>
            </w:r>
          </w:p>
        </w:tc>
        <w:tc>
          <w:tcPr>
            <w:tcW w:type="dxa" w:w="2575"/>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4"/>
                <w:b/>
              </w:rPr>
              <w:t>每支队伍单天消杀服务费单价最高限价</w:t>
            </w:r>
          </w:p>
          <w:p>
            <w:pPr>
              <w:pStyle w:val="null3"/>
              <w:jc w:val="center"/>
            </w:pPr>
            <w:r>
              <w:rPr>
                <w:sz w:val="24"/>
                <w:b/>
              </w:rPr>
              <w:t>（人民币</w:t>
            </w:r>
            <w:r>
              <w:rPr>
                <w:sz w:val="24"/>
                <w:b/>
              </w:rPr>
              <w:t>元</w:t>
            </w:r>
            <w:r>
              <w:rPr>
                <w:sz w:val="24"/>
                <w:b/>
              </w:rPr>
              <w:t>/</w:t>
            </w:r>
            <w:r>
              <w:rPr>
                <w:sz w:val="24"/>
                <w:b/>
              </w:rPr>
              <w:t>支</w:t>
            </w:r>
            <w:r>
              <w:rPr>
                <w:sz w:val="24"/>
                <w:b/>
              </w:rPr>
              <w:t>/</w:t>
            </w:r>
            <w:r>
              <w:rPr>
                <w:sz w:val="24"/>
                <w:b/>
              </w:rPr>
              <w:t>天</w:t>
            </w:r>
            <w:r>
              <w:rPr>
                <w:sz w:val="24"/>
                <w:b/>
              </w:rPr>
              <w:t>）</w:t>
            </w:r>
          </w:p>
        </w:tc>
        <w:tc>
          <w:tcPr>
            <w:tcW w:type="dxa" w:w="3183"/>
            <w:tcBorders>
              <w:top w:val="single" w:color="000000" w:sz="8"/>
              <w:left w:val="single" w:color="000000" w:sz="4"/>
              <w:bottom w:val="double" w:color="000000" w:sz="4"/>
              <w:right w:val="single" w:color="000000" w:sz="8"/>
            </w:tcBorders>
            <w:shd w:fill="EEECE1"/>
            <w:tcMar>
              <w:top w:type="dxa" w:w="0"/>
              <w:left w:type="dxa" w:w="105"/>
              <w:bottom w:type="dxa" w:w="0"/>
              <w:right w:type="dxa" w:w="105"/>
            </w:tcMar>
            <w:vAlign w:val="top"/>
          </w:tcPr>
          <w:p>
            <w:pPr>
              <w:pStyle w:val="null3"/>
              <w:jc w:val="center"/>
            </w:pPr>
            <w:r>
              <w:rPr>
                <w:sz w:val="24"/>
                <w:b/>
              </w:rPr>
              <w:t>每支队伍单天消杀服务费</w:t>
            </w:r>
          </w:p>
          <w:p>
            <w:pPr>
              <w:pStyle w:val="null3"/>
              <w:jc w:val="center"/>
            </w:pPr>
            <w:r>
              <w:rPr>
                <w:sz w:val="24"/>
                <w:b/>
              </w:rPr>
              <w:t>单价报价</w:t>
            </w:r>
          </w:p>
          <w:p>
            <w:pPr>
              <w:pStyle w:val="null3"/>
              <w:jc w:val="center"/>
            </w:pPr>
            <w:r>
              <w:rPr>
                <w:sz w:val="24"/>
                <w:b/>
              </w:rPr>
              <w:t>（人民币</w:t>
            </w:r>
            <w:r>
              <w:rPr>
                <w:sz w:val="24"/>
                <w:b/>
              </w:rPr>
              <w:t>元</w:t>
            </w:r>
            <w:r>
              <w:rPr>
                <w:sz w:val="24"/>
                <w:b/>
              </w:rPr>
              <w:t>/人/年）</w:t>
            </w:r>
          </w:p>
        </w:tc>
      </w:tr>
      <w:tr>
        <w:tc>
          <w:tcPr>
            <w:tcW w:type="dxa" w:w="1826"/>
            <w:tcBorders>
              <w:top w:val="doub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4"/>
              </w:rPr>
              <w:t>荔湾区蚊媒控制应急消杀服务（海龙街、金花街、龙津街、白鹤洞街、花地街、桥中街、站前街、沙面街）</w:t>
            </w:r>
            <w:r>
              <w:rPr>
                <w:sz w:val="21"/>
              </w:rPr>
              <w:t xml:space="preserve"> </w:t>
            </w:r>
          </w:p>
        </w:tc>
        <w:tc>
          <w:tcPr>
            <w:tcW w:type="dxa" w:w="719"/>
            <w:tcBorders>
              <w:top w:val="doub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4"/>
              </w:rPr>
              <w:t>1</w:t>
            </w:r>
            <w:r>
              <w:rPr>
                <w:sz w:val="24"/>
              </w:rPr>
              <w:t>项</w:t>
            </w:r>
          </w:p>
        </w:tc>
        <w:tc>
          <w:tcPr>
            <w:tcW w:type="dxa" w:w="2575"/>
            <w:tcBorders>
              <w:top w:val="doub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18,000.00</w:t>
            </w:r>
          </w:p>
        </w:tc>
        <w:tc>
          <w:tcPr>
            <w:tcW w:type="dxa" w:w="3183"/>
            <w:tcBorders>
              <w:top w:val="doub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4"/>
              </w:rPr>
              <w:t>小写：</w:t>
            </w:r>
            <w:r>
              <w:rPr>
                <w:sz w:val="24"/>
                <w:u w:val="single"/>
              </w:rPr>
              <w:t>RMB</w:t>
            </w:r>
            <w:r>
              <w:rPr>
                <w:sz w:val="21"/>
                <w:u w:val="single"/>
              </w:rPr>
              <w:t xml:space="preserve">    </w:t>
            </w:r>
            <w:r>
              <w:rPr>
                <w:sz w:val="21"/>
                <w:u w:val="single"/>
              </w:rPr>
              <w:t xml:space="preserve"> </w:t>
            </w:r>
            <w:r>
              <w:rPr>
                <w:sz w:val="21"/>
                <w:u w:val="single"/>
              </w:rPr>
              <w:t xml:space="preserve">    </w:t>
            </w:r>
          </w:p>
          <w:p>
            <w:pPr>
              <w:pStyle w:val="null3"/>
              <w:jc w:val="both"/>
            </w:pPr>
            <w:r>
              <w:rPr>
                <w:sz w:val="24"/>
              </w:rPr>
              <w:t>大写：</w:t>
            </w:r>
            <w:r>
              <w:rPr>
                <w:sz w:val="21"/>
                <w:u w:val="single"/>
              </w:rPr>
              <w:t xml:space="preserve"> </w:t>
            </w:r>
            <w:r>
              <w:rPr>
                <w:sz w:val="21"/>
                <w:u w:val="single"/>
              </w:rPr>
              <w:t xml:space="preserve">           </w:t>
            </w:r>
          </w:p>
        </w:tc>
      </w:tr>
    </w:tbl>
    <w:p>
      <w:pPr>
        <w:pStyle w:val="null3"/>
        <w:jc w:val="both"/>
      </w:pPr>
      <w:r>
        <w:rPr>
          <w:sz w:val="24"/>
          <w:b/>
        </w:rPr>
        <w:t>响应供应商</w:t>
      </w:r>
      <w:r>
        <w:rPr>
          <w:sz w:val="24"/>
          <w:b/>
        </w:rPr>
        <w:t>名称（</w:t>
      </w:r>
      <w:r>
        <w:rPr>
          <w:sz w:val="24"/>
          <w:b/>
        </w:rPr>
        <w:t>单位盖</w:t>
      </w:r>
      <w:r>
        <w:rPr>
          <w:sz w:val="24"/>
          <w:b/>
        </w:rPr>
        <w:t>公章）：</w:t>
      </w:r>
      <w:r>
        <w:rPr>
          <w:sz w:val="21"/>
          <w:b/>
          <w:u w:val="single"/>
        </w:rPr>
        <w:t xml:space="preserve"> </w:t>
      </w:r>
      <w:r>
        <w:rPr>
          <w:sz w:val="21"/>
          <w:b/>
          <w:u w:val="single"/>
        </w:rPr>
        <w:t xml:space="preserve">                                       </w:t>
      </w:r>
    </w:p>
    <w:p>
      <w:pPr>
        <w:pStyle w:val="null3"/>
        <w:jc w:val="both"/>
      </w:pPr>
      <w:r>
        <w:rPr>
          <w:sz w:val="24"/>
          <w:b/>
        </w:rPr>
        <w:t>法定代表人或</w:t>
      </w:r>
      <w:r>
        <w:rPr>
          <w:sz w:val="24"/>
          <w:b/>
        </w:rPr>
        <w:t>投标人授权代表（签名或盖个人名章）：</w:t>
      </w:r>
      <w:r>
        <w:rPr>
          <w:sz w:val="21"/>
          <w:b/>
          <w:u w:val="single"/>
        </w:rPr>
        <w:t xml:space="preserve"> </w:t>
      </w:r>
      <w:r>
        <w:rPr>
          <w:sz w:val="21"/>
          <w:b/>
          <w:u w:val="single"/>
        </w:rPr>
        <w:t xml:space="preserve">                                       </w:t>
      </w:r>
      <w:r>
        <w:rPr>
          <w:sz w:val="21"/>
          <w:b/>
        </w:rPr>
        <w:t xml:space="preserve"> </w:t>
      </w:r>
    </w:p>
    <w:p>
      <w:pPr>
        <w:pStyle w:val="null3"/>
        <w:jc w:val="both"/>
      </w:pPr>
      <w:r>
        <w:rPr>
          <w:sz w:val="24"/>
          <w:b/>
        </w:rPr>
        <w:t>日期：</w:t>
      </w:r>
      <w:r>
        <w:rPr>
          <w:sz w:val="21"/>
          <w:b/>
          <w:u w:val="single"/>
        </w:rPr>
        <w:t xml:space="preserve"> </w:t>
      </w:r>
      <w:r>
        <w:rPr>
          <w:sz w:val="21"/>
          <w:b/>
          <w:u w:val="single"/>
        </w:rPr>
        <w:t xml:space="preserve">                                    </w:t>
      </w:r>
    </w:p>
    <w:p>
      <w:pPr>
        <w:pStyle w:val="null3"/>
        <w:jc w:val="both"/>
      </w:pPr>
      <w:r>
        <w:rPr>
          <w:sz w:val="24"/>
          <w:b/>
        </w:rPr>
        <w:t>说明：</w:t>
      </w:r>
    </w:p>
    <w:p>
      <w:pPr>
        <w:pStyle w:val="null3"/>
        <w:ind w:left="285"/>
        <w:jc w:val="both"/>
      </w:pPr>
      <w:r>
        <w:rPr>
          <w:sz w:val="24"/>
          <w:b/>
        </w:rPr>
        <w:t>1.</w:t>
      </w:r>
      <w:r>
        <w:rPr>
          <w:sz w:val="24"/>
          <w:b/>
        </w:rPr>
        <w:t>以最后报价时各响应供应商提交的《磋商报价表》中的</w:t>
      </w:r>
      <w:r>
        <w:rPr>
          <w:sz w:val="24"/>
          <w:b/>
        </w:rPr>
        <w:t>“每支队伍单天消杀服务费单价报价”进行评审。</w:t>
      </w:r>
    </w:p>
    <w:p>
      <w:pPr>
        <w:pStyle w:val="null3"/>
        <w:ind w:left="285"/>
        <w:jc w:val="both"/>
      </w:pPr>
      <w:r>
        <w:rPr>
          <w:sz w:val="24"/>
          <w:b/>
        </w:rPr>
        <w:t>2.</w:t>
      </w:r>
      <w:r>
        <w:rPr>
          <w:sz w:val="24"/>
          <w:b/>
        </w:rPr>
        <w:t>响应供应商对本</w:t>
      </w:r>
      <w:r>
        <w:rPr>
          <w:sz w:val="24"/>
          <w:b/>
        </w:rPr>
        <w:t>包组</w:t>
      </w:r>
      <w:r>
        <w:rPr>
          <w:sz w:val="24"/>
          <w:b/>
        </w:rPr>
        <w:t>的每支队伍单天消杀服务费单价报价不得超过</w:t>
      </w:r>
      <w:r>
        <w:rPr>
          <w:sz w:val="24"/>
          <w:b/>
        </w:rPr>
        <w:t>每支队伍单天消杀服务费单价最高限价</w:t>
      </w:r>
      <w:r>
        <w:rPr>
          <w:sz w:val="24"/>
          <w:b/>
        </w:rPr>
        <w:t>，否则将导致响应无效。</w:t>
      </w:r>
    </w:p>
    <w:p>
      <w:pPr>
        <w:pStyle w:val="null3"/>
        <w:ind w:left="285"/>
        <w:jc w:val="both"/>
      </w:pPr>
      <w:r>
        <w:rPr>
          <w:sz w:val="24"/>
          <w:b/>
        </w:rPr>
        <w:t>3.各响应供应商可自行保留一份《磋商报价表》，以便磋商报价时参考用。</w:t>
      </w:r>
    </w:p>
    <w:p>
      <w:pPr>
        <w:pStyle w:val="null3"/>
        <w:ind w:left="285"/>
        <w:jc w:val="both"/>
      </w:pPr>
      <w:r>
        <w:rPr>
          <w:sz w:val="24"/>
        </w:rPr>
        <w:t>4.</w:t>
      </w:r>
      <w:r>
        <w:rPr>
          <w:sz w:val="24"/>
        </w:rPr>
        <w:t>中文大写金额用汉字，如壹、贰、叁、肆、伍、陆、柒、捌、玖、拾、佰、仟、万、亿、元、角、分、零、整（正）等。</w:t>
      </w:r>
    </w:p>
    <w:p>
      <w:pPr>
        <w:pStyle w:val="null3"/>
        <w:ind w:left="285"/>
        <w:jc w:val="both"/>
      </w:pPr>
      <w:r>
        <w:rPr>
          <w:sz w:val="21"/>
        </w:rPr>
        <w:t>5.</w:t>
      </w:r>
      <w:r>
        <w:rPr>
          <w:sz w:val="24"/>
        </w:rPr>
        <w:t>除磋商文件另有规定外，响应文件内不得含有任何对本报价进行价格折扣的说明或资料，否则为无效响应。</w:t>
      </w:r>
    </w:p>
    <w:p>
      <w:pPr>
        <w:pStyle w:val="null3"/>
        <w:ind w:left="285"/>
        <w:jc w:val="both"/>
      </w:pPr>
      <w:r>
        <w:rPr>
          <w:sz w:val="21"/>
        </w:rPr>
        <w:t>6.</w:t>
      </w:r>
      <w:r>
        <w:rPr>
          <w:sz w:val="24"/>
        </w:rPr>
        <w:t>单价报价</w:t>
      </w:r>
      <w:r>
        <w:rPr>
          <w:sz w:val="24"/>
        </w:rPr>
        <w:t>的小数点后保留</w:t>
      </w:r>
      <w:r>
        <w:rPr>
          <w:sz w:val="24"/>
        </w:rPr>
        <w:t>2</w:t>
      </w:r>
      <w:r>
        <w:rPr>
          <w:sz w:val="24"/>
        </w:rPr>
        <w:t>位有效数。</w:t>
      </w:r>
    </w:p>
    <w:p>
      <w:pPr>
        <w:pStyle w:val="null3"/>
        <w:jc w:val="both"/>
      </w:pPr>
      <w:r>
        <w:rPr/>
        <w:t xml:space="preserve"> </w:t>
      </w:r>
    </w:p>
    <w:p>
      <w:pPr>
        <w:pStyle w:val="null3"/>
      </w:pPr>
      <w:r>
        <w:rPr>
          <w:sz w:val="32"/>
        </w:rPr>
        <w:t>磋商报价表</w:t>
      </w:r>
      <w:r>
        <w:rPr>
          <w:sz w:val="32"/>
        </w:rPr>
        <w:t>（</w:t>
      </w:r>
      <w:r>
        <w:rPr>
          <w:sz w:val="32"/>
        </w:rPr>
        <w:t>包组</w:t>
      </w:r>
      <w:r>
        <w:rPr>
          <w:sz w:val="32"/>
        </w:rPr>
        <w:t>2</w:t>
      </w:r>
      <w:r>
        <w:rPr>
          <w:sz w:val="32"/>
        </w:rPr>
        <w:t>）</w:t>
      </w:r>
    </w:p>
    <w:p>
      <w:pPr>
        <w:pStyle w:val="null3"/>
        <w:jc w:val="both"/>
      </w:pPr>
      <w:r>
        <w:rPr>
          <w:sz w:val="24"/>
        </w:rPr>
        <w:t>项目名称：荔湾区蚊媒控制应急消杀服务</w:t>
      </w:r>
    </w:p>
    <w:tbl>
      <w:tblPr>
        <w:tblW w:w="0" w:type="auto"/>
        <w:tblBorders>
          <w:top w:val="none" w:color="000000" w:sz="4"/>
          <w:left w:val="none" w:color="000000" w:sz="4"/>
          <w:bottom w:val="none" w:color="000000" w:sz="4"/>
          <w:right w:val="none" w:color="000000" w:sz="4"/>
          <w:insideH w:val="none"/>
          <w:insideV w:val="none"/>
        </w:tblBorders>
      </w:tblPr>
      <w:tblGrid>
        <w:gridCol w:w="1826"/>
        <w:gridCol w:w="719"/>
        <w:gridCol w:w="2575"/>
        <w:gridCol w:w="3183"/>
      </w:tblGrid>
      <w:tr>
        <w:tc>
          <w:tcPr>
            <w:tcW w:type="dxa" w:w="1826"/>
            <w:tcBorders>
              <w:top w:val="single" w:color="000000" w:sz="8"/>
              <w:left w:val="single" w:color="000000" w:sz="8"/>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4"/>
                <w:b/>
              </w:rPr>
              <w:t>服务内容</w:t>
            </w:r>
          </w:p>
        </w:tc>
        <w:tc>
          <w:tcPr>
            <w:tcW w:type="dxa" w:w="719"/>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4"/>
                <w:b/>
              </w:rPr>
              <w:t>数量</w:t>
            </w:r>
          </w:p>
        </w:tc>
        <w:tc>
          <w:tcPr>
            <w:tcW w:type="dxa" w:w="2575"/>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4"/>
                <w:b/>
              </w:rPr>
              <w:t>每支队伍单天消杀服务费单价最高限价</w:t>
            </w:r>
          </w:p>
          <w:p>
            <w:pPr>
              <w:pStyle w:val="null3"/>
              <w:jc w:val="center"/>
            </w:pPr>
            <w:r>
              <w:rPr>
                <w:sz w:val="24"/>
                <w:b/>
              </w:rPr>
              <w:t>（人民币</w:t>
            </w:r>
            <w:r>
              <w:rPr>
                <w:sz w:val="24"/>
                <w:b/>
              </w:rPr>
              <w:t>元</w:t>
            </w:r>
            <w:r>
              <w:rPr>
                <w:sz w:val="24"/>
                <w:b/>
              </w:rPr>
              <w:t>/</w:t>
            </w:r>
            <w:r>
              <w:rPr>
                <w:sz w:val="24"/>
                <w:b/>
              </w:rPr>
              <w:t>支</w:t>
            </w:r>
            <w:r>
              <w:rPr>
                <w:sz w:val="24"/>
                <w:b/>
              </w:rPr>
              <w:t>/</w:t>
            </w:r>
            <w:r>
              <w:rPr>
                <w:sz w:val="24"/>
                <w:b/>
              </w:rPr>
              <w:t>天</w:t>
            </w:r>
            <w:r>
              <w:rPr>
                <w:sz w:val="24"/>
                <w:b/>
              </w:rPr>
              <w:t>）</w:t>
            </w:r>
          </w:p>
        </w:tc>
        <w:tc>
          <w:tcPr>
            <w:tcW w:type="dxa" w:w="3183"/>
            <w:tcBorders>
              <w:top w:val="single" w:color="000000" w:sz="8"/>
              <w:left w:val="single" w:color="000000" w:sz="4"/>
              <w:bottom w:val="double" w:color="000000" w:sz="4"/>
              <w:right w:val="single" w:color="000000" w:sz="8"/>
            </w:tcBorders>
            <w:shd w:fill="EEECE1"/>
            <w:tcMar>
              <w:top w:type="dxa" w:w="0"/>
              <w:left w:type="dxa" w:w="105"/>
              <w:bottom w:type="dxa" w:w="0"/>
              <w:right w:type="dxa" w:w="105"/>
            </w:tcMar>
            <w:vAlign w:val="top"/>
          </w:tcPr>
          <w:p>
            <w:pPr>
              <w:pStyle w:val="null3"/>
              <w:jc w:val="center"/>
            </w:pPr>
            <w:r>
              <w:rPr>
                <w:sz w:val="24"/>
                <w:b/>
              </w:rPr>
              <w:t>每支队伍单天消杀服务费</w:t>
            </w:r>
          </w:p>
          <w:p>
            <w:pPr>
              <w:pStyle w:val="null3"/>
              <w:jc w:val="center"/>
            </w:pPr>
            <w:r>
              <w:rPr>
                <w:sz w:val="24"/>
                <w:b/>
              </w:rPr>
              <w:t>单价报价</w:t>
            </w:r>
          </w:p>
          <w:p>
            <w:pPr>
              <w:pStyle w:val="null3"/>
              <w:jc w:val="center"/>
            </w:pPr>
            <w:r>
              <w:rPr>
                <w:sz w:val="24"/>
                <w:b/>
              </w:rPr>
              <w:t>（人民币</w:t>
            </w:r>
            <w:r>
              <w:rPr>
                <w:sz w:val="24"/>
                <w:b/>
              </w:rPr>
              <w:t>元</w:t>
            </w:r>
            <w:r>
              <w:rPr>
                <w:sz w:val="24"/>
                <w:b/>
              </w:rPr>
              <w:t>/人/年）</w:t>
            </w:r>
          </w:p>
        </w:tc>
      </w:tr>
      <w:tr>
        <w:tc>
          <w:tcPr>
            <w:tcW w:type="dxa" w:w="1826"/>
            <w:tcBorders>
              <w:top w:val="doub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4"/>
              </w:rPr>
              <w:t>荔湾区蚊媒控制应急消杀服务（中南街、东漖街、东沙街、岭南街、昌华街、多宝街、南源街）</w:t>
            </w:r>
            <w:r>
              <w:rPr>
                <w:sz w:val="21"/>
              </w:rPr>
              <w:t xml:space="preserve"> </w:t>
            </w:r>
          </w:p>
        </w:tc>
        <w:tc>
          <w:tcPr>
            <w:tcW w:type="dxa" w:w="719"/>
            <w:tcBorders>
              <w:top w:val="doub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4"/>
              </w:rPr>
              <w:t>1</w:t>
            </w:r>
            <w:r>
              <w:rPr>
                <w:sz w:val="24"/>
              </w:rPr>
              <w:t>项</w:t>
            </w:r>
          </w:p>
        </w:tc>
        <w:tc>
          <w:tcPr>
            <w:tcW w:type="dxa" w:w="2575"/>
            <w:tcBorders>
              <w:top w:val="doub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18,000.00</w:t>
            </w:r>
          </w:p>
        </w:tc>
        <w:tc>
          <w:tcPr>
            <w:tcW w:type="dxa" w:w="3183"/>
            <w:tcBorders>
              <w:top w:val="doub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4"/>
              </w:rPr>
              <w:t>小写：</w:t>
            </w:r>
            <w:r>
              <w:rPr>
                <w:sz w:val="24"/>
                <w:u w:val="single"/>
              </w:rPr>
              <w:t>RMB</w:t>
            </w:r>
            <w:r>
              <w:rPr>
                <w:sz w:val="21"/>
                <w:u w:val="single"/>
              </w:rPr>
              <w:t xml:space="preserve">    </w:t>
            </w:r>
            <w:r>
              <w:rPr>
                <w:sz w:val="21"/>
                <w:u w:val="single"/>
              </w:rPr>
              <w:t xml:space="preserve"> </w:t>
            </w:r>
            <w:r>
              <w:rPr>
                <w:sz w:val="21"/>
                <w:u w:val="single"/>
              </w:rPr>
              <w:t xml:space="preserve">    </w:t>
            </w:r>
          </w:p>
          <w:p>
            <w:pPr>
              <w:pStyle w:val="null3"/>
              <w:jc w:val="both"/>
            </w:pPr>
            <w:r>
              <w:rPr>
                <w:sz w:val="24"/>
              </w:rPr>
              <w:t>大写：</w:t>
            </w:r>
            <w:r>
              <w:rPr>
                <w:sz w:val="21"/>
                <w:u w:val="single"/>
              </w:rPr>
              <w:t xml:space="preserve"> </w:t>
            </w:r>
            <w:r>
              <w:rPr>
                <w:sz w:val="21"/>
                <w:u w:val="single"/>
              </w:rPr>
              <w:t xml:space="preserve">           </w:t>
            </w:r>
          </w:p>
        </w:tc>
      </w:tr>
    </w:tbl>
    <w:p>
      <w:pPr>
        <w:pStyle w:val="null3"/>
        <w:jc w:val="both"/>
      </w:pPr>
      <w:r>
        <w:rPr>
          <w:sz w:val="24"/>
          <w:b/>
        </w:rPr>
        <w:t>响应供应商</w:t>
      </w:r>
      <w:r>
        <w:rPr>
          <w:sz w:val="24"/>
          <w:b/>
        </w:rPr>
        <w:t>名称（</w:t>
      </w:r>
      <w:r>
        <w:rPr>
          <w:sz w:val="24"/>
          <w:b/>
        </w:rPr>
        <w:t>单位盖</w:t>
      </w:r>
      <w:r>
        <w:rPr>
          <w:sz w:val="24"/>
          <w:b/>
        </w:rPr>
        <w:t>公章）：</w:t>
      </w:r>
      <w:r>
        <w:rPr>
          <w:sz w:val="21"/>
          <w:b/>
          <w:u w:val="single"/>
        </w:rPr>
        <w:t xml:space="preserve"> </w:t>
      </w:r>
      <w:r>
        <w:rPr>
          <w:sz w:val="21"/>
          <w:b/>
          <w:u w:val="single"/>
        </w:rPr>
        <w:t xml:space="preserve">                                       </w:t>
      </w:r>
    </w:p>
    <w:p>
      <w:pPr>
        <w:pStyle w:val="null3"/>
        <w:jc w:val="both"/>
      </w:pPr>
      <w:r>
        <w:rPr>
          <w:sz w:val="24"/>
          <w:b/>
        </w:rPr>
        <w:t>法定代表人或</w:t>
      </w:r>
      <w:r>
        <w:rPr>
          <w:sz w:val="24"/>
          <w:b/>
        </w:rPr>
        <w:t>投标人授权代表（签名或盖个人名章）：</w:t>
      </w:r>
      <w:r>
        <w:rPr>
          <w:sz w:val="21"/>
          <w:b/>
          <w:u w:val="single"/>
        </w:rPr>
        <w:t xml:space="preserve"> </w:t>
      </w:r>
      <w:r>
        <w:rPr>
          <w:sz w:val="21"/>
          <w:b/>
          <w:u w:val="single"/>
        </w:rPr>
        <w:t xml:space="preserve">                                       </w:t>
      </w:r>
      <w:r>
        <w:rPr>
          <w:sz w:val="21"/>
          <w:b/>
        </w:rPr>
        <w:t xml:space="preserve"> </w:t>
      </w:r>
    </w:p>
    <w:p>
      <w:pPr>
        <w:pStyle w:val="null3"/>
        <w:jc w:val="both"/>
      </w:pPr>
      <w:r>
        <w:rPr>
          <w:sz w:val="24"/>
          <w:b/>
        </w:rPr>
        <w:t>日期：</w:t>
      </w:r>
      <w:r>
        <w:rPr>
          <w:sz w:val="21"/>
          <w:b/>
          <w:u w:val="single"/>
        </w:rPr>
        <w:t xml:space="preserve"> </w:t>
      </w:r>
      <w:r>
        <w:rPr>
          <w:sz w:val="21"/>
          <w:b/>
          <w:u w:val="single"/>
        </w:rPr>
        <w:t xml:space="preserve">                                    </w:t>
      </w:r>
    </w:p>
    <w:p>
      <w:pPr>
        <w:pStyle w:val="null3"/>
        <w:jc w:val="both"/>
      </w:pPr>
      <w:r>
        <w:rPr>
          <w:sz w:val="24"/>
          <w:b/>
        </w:rPr>
        <w:t>说明：</w:t>
      </w:r>
    </w:p>
    <w:p>
      <w:pPr>
        <w:pStyle w:val="null3"/>
        <w:ind w:left="285"/>
        <w:jc w:val="both"/>
      </w:pPr>
      <w:r>
        <w:rPr>
          <w:sz w:val="24"/>
          <w:b/>
        </w:rPr>
        <w:t>1.</w:t>
      </w:r>
      <w:r>
        <w:rPr>
          <w:sz w:val="24"/>
          <w:b/>
        </w:rPr>
        <w:t>以最后报价时各响应供应商提交的《磋商报价表》中的</w:t>
      </w:r>
      <w:r>
        <w:rPr>
          <w:sz w:val="24"/>
          <w:b/>
        </w:rPr>
        <w:t>“每支队伍单天消杀服务费单价报价”进行评审。</w:t>
      </w:r>
    </w:p>
    <w:p>
      <w:pPr>
        <w:pStyle w:val="null3"/>
        <w:ind w:left="285"/>
        <w:jc w:val="both"/>
      </w:pPr>
      <w:r>
        <w:rPr>
          <w:sz w:val="24"/>
          <w:b/>
        </w:rPr>
        <w:t>2.</w:t>
      </w:r>
      <w:r>
        <w:rPr>
          <w:sz w:val="24"/>
          <w:b/>
        </w:rPr>
        <w:t>响应供应商对本</w:t>
      </w:r>
      <w:r>
        <w:rPr>
          <w:sz w:val="24"/>
          <w:b/>
        </w:rPr>
        <w:t>包组</w:t>
      </w:r>
      <w:r>
        <w:rPr>
          <w:sz w:val="24"/>
          <w:b/>
        </w:rPr>
        <w:t>的每支队伍单天消杀服务费单价报价不得超过</w:t>
      </w:r>
      <w:r>
        <w:rPr>
          <w:sz w:val="24"/>
          <w:b/>
        </w:rPr>
        <w:t>每支队伍单天消杀服务费单价最高限价</w:t>
      </w:r>
      <w:r>
        <w:rPr>
          <w:sz w:val="24"/>
          <w:b/>
        </w:rPr>
        <w:t>，否则将导致响应无效。</w:t>
      </w:r>
    </w:p>
    <w:p>
      <w:pPr>
        <w:pStyle w:val="null3"/>
        <w:ind w:left="285"/>
        <w:jc w:val="both"/>
      </w:pPr>
      <w:r>
        <w:rPr>
          <w:sz w:val="24"/>
          <w:b/>
        </w:rPr>
        <w:t>3.各响应供应商可自行保留一份《磋商报价表》，以便磋商报价时参考用。</w:t>
      </w:r>
    </w:p>
    <w:p>
      <w:pPr>
        <w:pStyle w:val="null3"/>
        <w:ind w:left="285"/>
        <w:jc w:val="both"/>
      </w:pPr>
      <w:r>
        <w:rPr>
          <w:sz w:val="24"/>
        </w:rPr>
        <w:t>4.</w:t>
      </w:r>
      <w:r>
        <w:rPr>
          <w:sz w:val="24"/>
        </w:rPr>
        <w:t>中文大写金额用汉字，如壹、贰、叁、肆、伍、陆、柒、捌、玖、拾、佰、仟、万、亿、元、角、分、零、整（正）等。</w:t>
      </w:r>
    </w:p>
    <w:p>
      <w:pPr>
        <w:pStyle w:val="null3"/>
        <w:ind w:left="285"/>
        <w:jc w:val="both"/>
      </w:pPr>
      <w:r>
        <w:rPr>
          <w:sz w:val="21"/>
        </w:rPr>
        <w:t>5.</w:t>
      </w:r>
      <w:r>
        <w:rPr>
          <w:sz w:val="24"/>
        </w:rPr>
        <w:t>除磋商文件另有规定外，响应文件内不得含有任何对本报价进行价格折扣的说明或资料，否则为无效响应。</w:t>
      </w:r>
    </w:p>
    <w:p>
      <w:pPr>
        <w:pStyle w:val="null3"/>
        <w:jc w:val="both"/>
      </w:pPr>
      <w:r>
        <w:rPr>
          <w:sz w:val="21"/>
        </w:rPr>
        <w:t>6.</w:t>
      </w:r>
      <w:r>
        <w:rPr>
          <w:sz w:val="24"/>
        </w:rPr>
        <w:t>单价报价</w:t>
      </w:r>
      <w:r>
        <w:rPr>
          <w:sz w:val="24"/>
        </w:rPr>
        <w:t>的小数点后保留</w:t>
      </w:r>
      <w:r>
        <w:rPr>
          <w:sz w:val="24"/>
        </w:rPr>
        <w:t>2</w:t>
      </w:r>
      <w:r>
        <w:rPr>
          <w:sz w:val="24"/>
        </w:rPr>
        <w:t>位有效数。</w:t>
      </w:r>
    </w:p>
    <w:p>
      <w:pPr>
        <w:pStyle w:val="null3"/>
        <w:jc w:val="both"/>
      </w:pPr>
      <w:r>
        <w:rPr/>
        <w:t xml:space="preserve"> </w:t>
      </w:r>
    </w:p>
    <w:p>
      <w:pPr>
        <w:pStyle w:val="null3"/>
        <w:jc w:val="center"/>
      </w:pPr>
      <w:r>
        <w:rPr>
          <w:sz w:val="32"/>
        </w:rPr>
        <w:t>磋商报价表</w:t>
      </w:r>
      <w:r>
        <w:rPr>
          <w:sz w:val="32"/>
        </w:rPr>
        <w:t>（</w:t>
      </w:r>
      <w:r>
        <w:rPr>
          <w:sz w:val="32"/>
        </w:rPr>
        <w:t>包组</w:t>
      </w:r>
      <w:r>
        <w:rPr>
          <w:sz w:val="32"/>
        </w:rPr>
        <w:t>3</w:t>
      </w:r>
      <w:r>
        <w:rPr>
          <w:sz w:val="32"/>
        </w:rPr>
        <w:t>）</w:t>
      </w:r>
    </w:p>
    <w:p>
      <w:pPr>
        <w:pStyle w:val="null3"/>
        <w:jc w:val="both"/>
      </w:pPr>
      <w:r>
        <w:rPr>
          <w:sz w:val="24"/>
        </w:rPr>
        <w:t>项目名称：荔湾区蚊媒控制应急消杀服务</w:t>
      </w:r>
    </w:p>
    <w:tbl>
      <w:tblPr>
        <w:tblW w:w="0" w:type="auto"/>
        <w:tblBorders>
          <w:top w:val="none" w:color="000000" w:sz="4"/>
          <w:left w:val="none" w:color="000000" w:sz="4"/>
          <w:bottom w:val="none" w:color="000000" w:sz="4"/>
          <w:right w:val="none" w:color="000000" w:sz="4"/>
          <w:insideH w:val="none"/>
          <w:insideV w:val="none"/>
        </w:tblBorders>
      </w:tblPr>
      <w:tblGrid>
        <w:gridCol w:w="1826"/>
        <w:gridCol w:w="719"/>
        <w:gridCol w:w="2575"/>
        <w:gridCol w:w="3183"/>
      </w:tblGrid>
      <w:tr>
        <w:tc>
          <w:tcPr>
            <w:tcW w:type="dxa" w:w="1826"/>
            <w:tcBorders>
              <w:top w:val="single" w:color="000000" w:sz="8"/>
              <w:left w:val="single" w:color="000000" w:sz="8"/>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4"/>
                <w:b/>
              </w:rPr>
              <w:t>服务内容</w:t>
            </w:r>
          </w:p>
        </w:tc>
        <w:tc>
          <w:tcPr>
            <w:tcW w:type="dxa" w:w="719"/>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4"/>
                <w:b/>
              </w:rPr>
              <w:t>数量</w:t>
            </w:r>
          </w:p>
        </w:tc>
        <w:tc>
          <w:tcPr>
            <w:tcW w:type="dxa" w:w="2575"/>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4"/>
                <w:b/>
              </w:rPr>
              <w:t>每支队伍单天消杀服务费单价最高限价</w:t>
            </w:r>
          </w:p>
          <w:p>
            <w:pPr>
              <w:pStyle w:val="null3"/>
              <w:jc w:val="center"/>
            </w:pPr>
            <w:r>
              <w:rPr>
                <w:sz w:val="24"/>
                <w:b/>
              </w:rPr>
              <w:t>（人民币</w:t>
            </w:r>
            <w:r>
              <w:rPr>
                <w:sz w:val="24"/>
                <w:b/>
              </w:rPr>
              <w:t>元</w:t>
            </w:r>
            <w:r>
              <w:rPr>
                <w:sz w:val="24"/>
                <w:b/>
              </w:rPr>
              <w:t>/</w:t>
            </w:r>
            <w:r>
              <w:rPr>
                <w:sz w:val="24"/>
                <w:b/>
              </w:rPr>
              <w:t>支</w:t>
            </w:r>
            <w:r>
              <w:rPr>
                <w:sz w:val="24"/>
                <w:b/>
              </w:rPr>
              <w:t>/</w:t>
            </w:r>
            <w:r>
              <w:rPr>
                <w:sz w:val="24"/>
                <w:b/>
              </w:rPr>
              <w:t>天</w:t>
            </w:r>
            <w:r>
              <w:rPr>
                <w:sz w:val="24"/>
                <w:b/>
              </w:rPr>
              <w:t>）</w:t>
            </w:r>
          </w:p>
        </w:tc>
        <w:tc>
          <w:tcPr>
            <w:tcW w:type="dxa" w:w="3183"/>
            <w:tcBorders>
              <w:top w:val="single" w:color="000000" w:sz="8"/>
              <w:left w:val="single" w:color="000000" w:sz="4"/>
              <w:bottom w:val="double" w:color="000000" w:sz="4"/>
              <w:right w:val="single" w:color="000000" w:sz="8"/>
            </w:tcBorders>
            <w:shd w:fill="EEECE1"/>
            <w:tcMar>
              <w:top w:type="dxa" w:w="0"/>
              <w:left w:type="dxa" w:w="105"/>
              <w:bottom w:type="dxa" w:w="0"/>
              <w:right w:type="dxa" w:w="105"/>
            </w:tcMar>
            <w:vAlign w:val="top"/>
          </w:tcPr>
          <w:p>
            <w:pPr>
              <w:pStyle w:val="null3"/>
              <w:jc w:val="center"/>
            </w:pPr>
            <w:r>
              <w:rPr>
                <w:sz w:val="24"/>
                <w:b/>
              </w:rPr>
              <w:t>每支队伍单天消杀服务费</w:t>
            </w:r>
          </w:p>
          <w:p>
            <w:pPr>
              <w:pStyle w:val="null3"/>
              <w:jc w:val="center"/>
            </w:pPr>
            <w:r>
              <w:rPr>
                <w:sz w:val="24"/>
                <w:b/>
              </w:rPr>
              <w:t>单价报价</w:t>
            </w:r>
          </w:p>
          <w:p>
            <w:pPr>
              <w:pStyle w:val="null3"/>
              <w:jc w:val="center"/>
            </w:pPr>
            <w:r>
              <w:rPr>
                <w:sz w:val="24"/>
                <w:b/>
              </w:rPr>
              <w:t>（人民币</w:t>
            </w:r>
            <w:r>
              <w:rPr>
                <w:sz w:val="24"/>
                <w:b/>
              </w:rPr>
              <w:t>元</w:t>
            </w:r>
            <w:r>
              <w:rPr>
                <w:sz w:val="24"/>
                <w:b/>
              </w:rPr>
              <w:t>/人/年）</w:t>
            </w:r>
          </w:p>
        </w:tc>
      </w:tr>
      <w:tr>
        <w:tc>
          <w:tcPr>
            <w:tcW w:type="dxa" w:w="1826"/>
            <w:tcBorders>
              <w:top w:val="doub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4"/>
              </w:rPr>
              <w:t>荔湾区蚊媒控制应急消杀服务（茶滘街、逢源街、石围塘街、冲口街、西村街、华林街、彩虹街）</w:t>
            </w:r>
          </w:p>
        </w:tc>
        <w:tc>
          <w:tcPr>
            <w:tcW w:type="dxa" w:w="719"/>
            <w:tcBorders>
              <w:top w:val="doub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4"/>
              </w:rPr>
              <w:t>1</w:t>
            </w:r>
            <w:r>
              <w:rPr>
                <w:sz w:val="24"/>
              </w:rPr>
              <w:t>项</w:t>
            </w:r>
          </w:p>
        </w:tc>
        <w:tc>
          <w:tcPr>
            <w:tcW w:type="dxa" w:w="2575"/>
            <w:tcBorders>
              <w:top w:val="doub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18,000.00</w:t>
            </w:r>
          </w:p>
        </w:tc>
        <w:tc>
          <w:tcPr>
            <w:tcW w:type="dxa" w:w="3183"/>
            <w:tcBorders>
              <w:top w:val="doub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4"/>
              </w:rPr>
              <w:t>小写：</w:t>
            </w:r>
            <w:r>
              <w:rPr>
                <w:sz w:val="24"/>
                <w:u w:val="single"/>
              </w:rPr>
              <w:t>RMB</w:t>
            </w:r>
            <w:r>
              <w:rPr>
                <w:sz w:val="21"/>
                <w:u w:val="single"/>
              </w:rPr>
              <w:t xml:space="preserve">    </w:t>
            </w:r>
            <w:r>
              <w:rPr>
                <w:sz w:val="21"/>
                <w:u w:val="single"/>
              </w:rPr>
              <w:t xml:space="preserve"> </w:t>
            </w:r>
            <w:r>
              <w:rPr>
                <w:sz w:val="21"/>
                <w:u w:val="single"/>
              </w:rPr>
              <w:t xml:space="preserve">    </w:t>
            </w:r>
          </w:p>
          <w:p>
            <w:pPr>
              <w:pStyle w:val="null3"/>
              <w:jc w:val="both"/>
            </w:pPr>
            <w:r>
              <w:rPr>
                <w:sz w:val="24"/>
              </w:rPr>
              <w:t>大写：</w:t>
            </w:r>
            <w:r>
              <w:rPr>
                <w:sz w:val="21"/>
                <w:u w:val="single"/>
              </w:rPr>
              <w:t xml:space="preserve"> </w:t>
            </w:r>
            <w:r>
              <w:rPr>
                <w:sz w:val="21"/>
                <w:u w:val="single"/>
              </w:rPr>
              <w:t xml:space="preserve">           </w:t>
            </w:r>
          </w:p>
        </w:tc>
      </w:tr>
    </w:tbl>
    <w:p>
      <w:pPr>
        <w:pStyle w:val="null3"/>
        <w:jc w:val="both"/>
      </w:pPr>
      <w:r>
        <w:rPr>
          <w:sz w:val="24"/>
          <w:b/>
        </w:rPr>
        <w:t>响应供应商</w:t>
      </w:r>
      <w:r>
        <w:rPr>
          <w:sz w:val="24"/>
          <w:b/>
        </w:rPr>
        <w:t>名称（</w:t>
      </w:r>
      <w:r>
        <w:rPr>
          <w:sz w:val="24"/>
          <w:b/>
        </w:rPr>
        <w:t>单位盖</w:t>
      </w:r>
      <w:r>
        <w:rPr>
          <w:sz w:val="24"/>
          <w:b/>
        </w:rPr>
        <w:t>公章）：</w:t>
      </w:r>
      <w:r>
        <w:rPr>
          <w:sz w:val="21"/>
          <w:b/>
          <w:u w:val="single"/>
        </w:rPr>
        <w:t xml:space="preserve"> </w:t>
      </w:r>
      <w:r>
        <w:rPr>
          <w:sz w:val="21"/>
          <w:b/>
          <w:u w:val="single"/>
        </w:rPr>
        <w:t xml:space="preserve">                                       </w:t>
      </w:r>
    </w:p>
    <w:p>
      <w:pPr>
        <w:pStyle w:val="null3"/>
        <w:jc w:val="both"/>
      </w:pPr>
      <w:r>
        <w:rPr>
          <w:sz w:val="24"/>
          <w:b/>
        </w:rPr>
        <w:t>法定代表人或</w:t>
      </w:r>
      <w:r>
        <w:rPr>
          <w:sz w:val="24"/>
          <w:b/>
        </w:rPr>
        <w:t>投标人授权代表（签名或盖个人名章）：</w:t>
      </w:r>
      <w:r>
        <w:rPr>
          <w:sz w:val="21"/>
          <w:b/>
          <w:u w:val="single"/>
        </w:rPr>
        <w:t xml:space="preserve"> </w:t>
      </w:r>
      <w:r>
        <w:rPr>
          <w:sz w:val="21"/>
          <w:b/>
          <w:u w:val="single"/>
        </w:rPr>
        <w:t xml:space="preserve">                                       </w:t>
      </w:r>
      <w:r>
        <w:rPr>
          <w:sz w:val="21"/>
          <w:b/>
        </w:rPr>
        <w:t xml:space="preserve"> </w:t>
      </w:r>
    </w:p>
    <w:p>
      <w:pPr>
        <w:pStyle w:val="null3"/>
        <w:jc w:val="both"/>
      </w:pPr>
      <w:r>
        <w:rPr>
          <w:sz w:val="24"/>
          <w:b/>
        </w:rPr>
        <w:t>日期：</w:t>
      </w:r>
      <w:r>
        <w:rPr>
          <w:sz w:val="21"/>
          <w:b/>
          <w:u w:val="single"/>
        </w:rPr>
        <w:t xml:space="preserve"> </w:t>
      </w:r>
      <w:r>
        <w:rPr>
          <w:sz w:val="21"/>
          <w:b/>
          <w:u w:val="single"/>
        </w:rPr>
        <w:t xml:space="preserve">                                    </w:t>
      </w:r>
    </w:p>
    <w:p>
      <w:pPr>
        <w:pStyle w:val="null3"/>
        <w:jc w:val="both"/>
      </w:pPr>
      <w:r>
        <w:rPr>
          <w:sz w:val="24"/>
          <w:b/>
        </w:rPr>
        <w:t>说明：</w:t>
      </w:r>
    </w:p>
    <w:p>
      <w:pPr>
        <w:pStyle w:val="null3"/>
        <w:ind w:left="285"/>
        <w:jc w:val="both"/>
      </w:pPr>
      <w:r>
        <w:rPr>
          <w:sz w:val="24"/>
          <w:b/>
        </w:rPr>
        <w:t>1.</w:t>
      </w:r>
      <w:r>
        <w:rPr>
          <w:sz w:val="24"/>
          <w:b/>
        </w:rPr>
        <w:t>以最后报价时各响应供应商提交的《磋商报价表》中的</w:t>
      </w:r>
      <w:r>
        <w:rPr>
          <w:sz w:val="24"/>
          <w:b/>
        </w:rPr>
        <w:t>“每支队伍单天消杀服务费单价报价”进行评审。</w:t>
      </w:r>
    </w:p>
    <w:p>
      <w:pPr>
        <w:pStyle w:val="null3"/>
        <w:ind w:left="285"/>
        <w:jc w:val="both"/>
      </w:pPr>
      <w:r>
        <w:rPr>
          <w:sz w:val="24"/>
          <w:b/>
        </w:rPr>
        <w:t>2.</w:t>
      </w:r>
      <w:r>
        <w:rPr>
          <w:sz w:val="24"/>
          <w:b/>
        </w:rPr>
        <w:t>响应供应商对本</w:t>
      </w:r>
      <w:r>
        <w:rPr>
          <w:sz w:val="24"/>
          <w:b/>
        </w:rPr>
        <w:t>包组</w:t>
      </w:r>
      <w:r>
        <w:rPr>
          <w:sz w:val="24"/>
          <w:b/>
        </w:rPr>
        <w:t>的每支队伍单天消杀服务费单价报价不得超过</w:t>
      </w:r>
      <w:r>
        <w:rPr>
          <w:sz w:val="24"/>
          <w:b/>
        </w:rPr>
        <w:t>每支队伍单天消杀服务费单价最高限价</w:t>
      </w:r>
      <w:r>
        <w:rPr>
          <w:sz w:val="24"/>
          <w:b/>
        </w:rPr>
        <w:t>，否则将导致响应无效。</w:t>
      </w:r>
    </w:p>
    <w:p>
      <w:pPr>
        <w:pStyle w:val="null3"/>
        <w:ind w:left="285"/>
        <w:jc w:val="both"/>
      </w:pPr>
      <w:r>
        <w:rPr>
          <w:sz w:val="24"/>
          <w:b/>
        </w:rPr>
        <w:t>3.各响应供应商可自行保留一份《磋商报价表》，以便磋商报价时参考用。</w:t>
      </w:r>
    </w:p>
    <w:p>
      <w:pPr>
        <w:pStyle w:val="null3"/>
        <w:ind w:left="285"/>
        <w:jc w:val="both"/>
      </w:pPr>
      <w:r>
        <w:rPr>
          <w:sz w:val="24"/>
        </w:rPr>
        <w:t>4.</w:t>
      </w:r>
      <w:r>
        <w:rPr>
          <w:sz w:val="24"/>
        </w:rPr>
        <w:t>中文大写金额用汉字，如壹、贰、叁、肆、伍、陆、柒、捌、玖、拾、佰、仟、万、亿、元、角、分、零、整（正）等。</w:t>
      </w:r>
    </w:p>
    <w:p>
      <w:pPr>
        <w:pStyle w:val="null3"/>
        <w:ind w:left="285"/>
        <w:jc w:val="both"/>
      </w:pPr>
      <w:r>
        <w:rPr>
          <w:sz w:val="21"/>
        </w:rPr>
        <w:t>5.</w:t>
      </w:r>
      <w:r>
        <w:rPr>
          <w:sz w:val="24"/>
        </w:rPr>
        <w:t>除磋商文件另有规定外，响应文件内不得含有任何对本报价进行价格折扣的说明或资料，否则为无效响应。</w:t>
      </w:r>
    </w:p>
    <w:p>
      <w:pPr>
        <w:pStyle w:val="null3"/>
        <w:jc w:val="both"/>
      </w:pPr>
      <w:r>
        <w:rPr>
          <w:sz w:val="21"/>
        </w:rPr>
        <w:t>6.</w:t>
      </w:r>
      <w:r>
        <w:rPr>
          <w:sz w:val="24"/>
        </w:rPr>
        <w:t>单价报价</w:t>
      </w:r>
      <w:r>
        <w:rPr>
          <w:sz w:val="24"/>
        </w:rPr>
        <w:t>的小数点后保留</w:t>
      </w:r>
      <w:r>
        <w:rPr>
          <w:sz w:val="24"/>
        </w:rPr>
        <w:t>2</w:t>
      </w:r>
      <w:r>
        <w:rPr>
          <w:sz w:val="24"/>
        </w:rPr>
        <w:t>位有效数。</w:t>
      </w:r>
    </w:p>
    <w:p>
      <w:pPr>
        <w:pStyle w:val="null3"/>
      </w:pPr>
      <w:r>
        <w:rPr/>
        <w:t xml:space="preserve"> </w:t>
      </w:r>
    </w:p>
    <w:p>
      <w:pPr>
        <w:pStyle w:val="null3"/>
      </w:pPr>
      <w:r>
        <w:rPr/>
        <w:t>采购包1（荔湾区蚊媒控制应急消杀服务（海龙街、金花街、龙津街、白鹤洞街、花地街、桥中街、站前街、沙面街））</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服务期限为自合同签订生效日起一年。若服务金额达到预算金额合同自动终止。</w:t>
            </w:r>
          </w:p>
        </w:tc>
      </w:tr>
      <w:tr>
        <w:tc>
          <w:tcPr>
            <w:tcW w:type="dxa" w:w="4153"/>
          </w:tcPr>
          <w:p>
            <w:pPr>
              <w:pStyle w:val="null3"/>
            </w:pPr>
            <w:r>
              <w:rPr/>
              <w:t>标的提供的地点</w:t>
            </w:r>
          </w:p>
        </w:tc>
        <w:tc>
          <w:tcPr>
            <w:tcW w:type="dxa" w:w="4153"/>
          </w:tcPr>
          <w:p>
            <w:pPr>
              <w:pStyle w:val="null3"/>
            </w:pPr>
            <w:r>
              <w:rPr/>
              <w:t>广州市荔湾区采购人指定地点</w:t>
            </w:r>
          </w:p>
        </w:tc>
      </w:tr>
      <w:tr>
        <w:tc>
          <w:tcPr>
            <w:tcW w:type="dxa" w:w="4153"/>
          </w:tcPr>
          <w:p>
            <w:pPr>
              <w:pStyle w:val="null3"/>
            </w:pPr>
            <w:r>
              <w:rPr/>
              <w:t>付款方式</w:t>
            </w:r>
          </w:p>
        </w:tc>
        <w:tc>
          <w:tcPr>
            <w:tcW w:type="dxa" w:w="4153"/>
          </w:tcPr>
          <w:p>
            <w:pPr>
              <w:pStyle w:val="null3"/>
            </w:pPr>
            <w:r>
              <w:rPr/>
              <w:t>1期：支付比例30%,成交人与采购人签订完合同后，且采购人收到成交人提供等额发票等凭证资料后5个工作日内向成交人支付采购预算的30%作为预付款；后续结算支付按照每季度结算一次进行支付，实际结算金额为应结算金额扣减预付款。如该次应结算金额小于预付款的，预付款抵扣后，下一次结算节点扣减剩余预付款后予以支付。</w:t>
            </w:r>
          </w:p>
          <w:p>
            <w:pPr>
              <w:pStyle w:val="null3"/>
            </w:pPr>
            <w:r>
              <w:rPr/>
              <w:t>2期：支付比例70%,服务费每季度结算一次，成交人在每个季度首月的15号前向采购人提交上一季度《蚊媒控制应急消杀工作量记录表》《蚊媒控制应急消杀工作评价表》和有效发票申请结算，经采购人确认后，在5个工作日内结付上季度的服务费。 （备注：以上涉及支付的期限，因采购人使用的是财政资金，财政支付执行机构原因导致支付不及时的，采购人不承担违约责任。） （1）每次按合同支付款项前，成交供应商应向采购人提供与支付金额相符的有效发票，且收款方、出具发票方、合同乙方均必须与成交供应商名称一致； （2）付款方式：采用支票、银行汇票、电汇三种形式。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1期：成交人每次服务完成后当日，由所属街道填写《蚊媒控制应急消杀工作量记录表》《蚊媒控制应急消杀工作评价表》确认本次工作效果。 每季度结算时，成交人在规定时间（即下一季度首月的15号前）提供当期所有的《蚊媒控制应急消杀工作量记录表》《蚊媒控制应急消杀工作评价表》等相关材料作为当期验收依据。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荔湾区蚊媒控制应急消杀服务（海龙街、金花街、龙津街、白鹤洞街、花地街、桥中街、站前街、沙面街）</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1,100,000.00</w:t>
            </w:r>
          </w:p>
        </w:tc>
        <w:tc>
          <w:tcPr>
            <w:tcW w:type="dxa" w:w="933"/>
          </w:tcPr>
          <w:p>
            <w:pPr>
              <w:pStyle w:val="null3"/>
              <w:jc w:val="right"/>
            </w:pPr>
            <w:r>
              <w:rPr/>
              <w:t>1,100,000.00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荔湾区蚊媒控制应急消杀服务（海龙街、金花街、龙津街、白鹤洞街、花地街、桥中街、站前街、沙面街）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具体要求详见第二章采购需求的全部内容。</w:t>
            </w:r>
          </w:p>
        </w:tc>
      </w:tr>
      <w:tr>
        <w:tc>
          <w:tcPr>
            <w:tcW w:type="dxa" w:w="2076"/>
          </w:tcPr>
          <w:p/>
        </w:tc>
        <w:tc>
          <w:tcPr>
            <w:tcW w:type="dxa" w:w="415"/>
          </w:tcPr>
          <w:p>
            <w:pPr>
              <w:pStyle w:val="null3"/>
            </w:pPr>
            <w:r>
              <w:rPr/>
              <w:t>2</w:t>
            </w:r>
          </w:p>
        </w:tc>
        <w:tc>
          <w:tcPr>
            <w:tcW w:type="dxa" w:w="5814"/>
          </w:tcPr>
          <w:p>
            <w:pPr>
              <w:pStyle w:val="null3"/>
              <w:jc w:val="both"/>
            </w:pPr>
            <w:r>
              <w:rPr>
                <w:sz w:val="24"/>
              </w:rPr>
              <w:t>其他要求</w:t>
            </w:r>
          </w:p>
          <w:p>
            <w:pPr>
              <w:pStyle w:val="null3"/>
              <w:jc w:val="both"/>
            </w:pPr>
            <w:r>
              <w:rPr>
                <w:sz w:val="24"/>
              </w:rPr>
              <w:t>（</w:t>
            </w:r>
            <w:r>
              <w:rPr>
                <w:sz w:val="24"/>
              </w:rPr>
              <w:t>1）成交供应商应当建立本次采购项目的台账，依照有关规定或合同约定记录保存并向采购人提供项目实施相关重要资料信息。</w:t>
            </w:r>
          </w:p>
          <w:p>
            <w:pPr>
              <w:pStyle w:val="null3"/>
              <w:jc w:val="both"/>
            </w:pPr>
            <w:r>
              <w:rPr>
                <w:sz w:val="24"/>
              </w:rPr>
              <w:t>（</w:t>
            </w:r>
            <w:r>
              <w:rPr>
                <w:sz w:val="24"/>
              </w:rPr>
              <w:t>2）成交供应商应当严格遵守相关财务规定，规范管理和使用本次政府购买服务项目资金。</w:t>
            </w:r>
          </w:p>
          <w:p>
            <w:pPr>
              <w:pStyle w:val="null3"/>
              <w:jc w:val="both"/>
            </w:pPr>
            <w:r>
              <w:rPr>
                <w:sz w:val="24"/>
              </w:rPr>
              <w:t>（</w:t>
            </w:r>
            <w:r>
              <w:rPr>
                <w:sz w:val="24"/>
              </w:rPr>
              <w:t>3）成交供应商应当积极配合相关部门对资金使用情况进行监督检查与绩效评价。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采购包2（荔湾区蚊媒控制应急消杀服务（中南街、东漖街、东沙街、岭南街、昌华街、多宝街、南源街））</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服务期限为自合同签订生效日起一年。若服务金额达到预算金额合同自动终止。</w:t>
            </w:r>
          </w:p>
        </w:tc>
      </w:tr>
      <w:tr>
        <w:tc>
          <w:tcPr>
            <w:tcW w:type="dxa" w:w="4153"/>
          </w:tcPr>
          <w:p>
            <w:pPr>
              <w:pStyle w:val="null3"/>
            </w:pPr>
            <w:r>
              <w:rPr/>
              <w:t>标的提供的地点</w:t>
            </w:r>
          </w:p>
        </w:tc>
        <w:tc>
          <w:tcPr>
            <w:tcW w:type="dxa" w:w="4153"/>
          </w:tcPr>
          <w:p>
            <w:pPr>
              <w:pStyle w:val="null3"/>
            </w:pPr>
            <w:r>
              <w:rPr/>
              <w:t>广州市荔湾区采购人指定地点</w:t>
            </w:r>
          </w:p>
        </w:tc>
      </w:tr>
      <w:tr>
        <w:tc>
          <w:tcPr>
            <w:tcW w:type="dxa" w:w="4153"/>
          </w:tcPr>
          <w:p>
            <w:pPr>
              <w:pStyle w:val="null3"/>
            </w:pPr>
            <w:r>
              <w:rPr/>
              <w:t>付款方式</w:t>
            </w:r>
          </w:p>
        </w:tc>
        <w:tc>
          <w:tcPr>
            <w:tcW w:type="dxa" w:w="4153"/>
          </w:tcPr>
          <w:p>
            <w:pPr>
              <w:pStyle w:val="null3"/>
            </w:pPr>
            <w:r>
              <w:rPr/>
              <w:t>1期：支付比例30%,成交人与采购人签订完合同后，且采购人收到成交人提供等额发票等凭证资料后5个工作日内向成交人支付采购预算的30%作为预付款；后续结算支付按照每季度结算一次进行支付，实际结算金额为应结算金额扣减预付款。如该次应结算金额小于预付款的，预付款抵扣后，下一次结算节点扣减剩余预付款后予以支付。</w:t>
            </w:r>
          </w:p>
          <w:p>
            <w:pPr>
              <w:pStyle w:val="null3"/>
            </w:pPr>
            <w:r>
              <w:rPr/>
              <w:t>2期：支付比例70%,服务费每季度结算一次，成交人在每个季度首月的15号前向采购人提交上一季度《蚊媒控制应急消杀工作量记录表》《蚊媒控制应急消杀工作评价表》和有效发票申请结算，经采购人确认后，在5个工作日内结付上季度的服务费。 （备注：以上涉及支付的期限，因采购人使用的是财政资金，财政支付执行机构原因导致支付不及时的，采购人不承担违约责任。） （1）每次按合同支付款项前，成交供应商应向采购人提供与支付金额相符的有效发票，且收款方、出具发票方、合同乙方均必须与成交供应商名称一致； （2）付款方式：采用支票、银行汇票、电汇三种形式。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1期：成交人每次服务完成后当日，由所属街道填写《蚊媒控制应急消杀工作量记录表》《蚊媒控制应急消杀工作评价表》确认本次工作效果。 每季度结算时，成交人在规定时间（即下一季度首月的15号前）提供当期所有的《蚊媒控制应急消杀工作量记录表》《蚊媒控制应急消杀工作评价表》等相关材料作为当期验收依据。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荔湾区蚊媒控制应急消杀服务（中南街、东漖街、东沙街、岭南街、昌华街、多宝街、南源街）</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1,100,000.00</w:t>
            </w:r>
          </w:p>
        </w:tc>
        <w:tc>
          <w:tcPr>
            <w:tcW w:type="dxa" w:w="933"/>
          </w:tcPr>
          <w:p>
            <w:pPr>
              <w:pStyle w:val="null3"/>
              <w:jc w:val="right"/>
            </w:pPr>
            <w:r>
              <w:rPr/>
              <w:t>1,100,000.00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荔湾区蚊媒控制应急消杀服务（中南街、东漖街、东沙街、岭南街、昌华街、多宝街、南源街）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具体要求详见第二章采购需求的全部内容。</w:t>
            </w:r>
          </w:p>
        </w:tc>
      </w:tr>
      <w:tr>
        <w:tc>
          <w:tcPr>
            <w:tcW w:type="dxa" w:w="2076"/>
          </w:tcPr>
          <w:p/>
        </w:tc>
        <w:tc>
          <w:tcPr>
            <w:tcW w:type="dxa" w:w="415"/>
          </w:tcPr>
          <w:p>
            <w:pPr>
              <w:pStyle w:val="null3"/>
            </w:pPr>
            <w:r>
              <w:rPr/>
              <w:t>2</w:t>
            </w:r>
          </w:p>
        </w:tc>
        <w:tc>
          <w:tcPr>
            <w:tcW w:type="dxa" w:w="5814"/>
          </w:tcPr>
          <w:p>
            <w:pPr>
              <w:pStyle w:val="null3"/>
              <w:jc w:val="both"/>
            </w:pPr>
            <w:r>
              <w:rPr>
                <w:sz w:val="24"/>
              </w:rPr>
              <w:t>其他要求</w:t>
            </w:r>
          </w:p>
          <w:p>
            <w:pPr>
              <w:pStyle w:val="null3"/>
              <w:jc w:val="both"/>
            </w:pPr>
            <w:r>
              <w:rPr>
                <w:sz w:val="24"/>
              </w:rPr>
              <w:t>（</w:t>
            </w:r>
            <w:r>
              <w:rPr>
                <w:sz w:val="24"/>
              </w:rPr>
              <w:t>1）成交供应商应当建立本次采购项目的台账，依照有关规定或合同约定记录保存并向采购人提供项目实施相关重要资料信息。</w:t>
            </w:r>
          </w:p>
          <w:p>
            <w:pPr>
              <w:pStyle w:val="null3"/>
              <w:jc w:val="both"/>
            </w:pPr>
            <w:r>
              <w:rPr>
                <w:sz w:val="24"/>
              </w:rPr>
              <w:t>（</w:t>
            </w:r>
            <w:r>
              <w:rPr>
                <w:sz w:val="24"/>
              </w:rPr>
              <w:t>2）成交供应商应当严格遵守相关财务规定，规范管理和使用本次政府购买服务项目资金。</w:t>
            </w:r>
          </w:p>
          <w:p>
            <w:pPr>
              <w:pStyle w:val="null3"/>
              <w:jc w:val="both"/>
            </w:pPr>
            <w:r>
              <w:rPr>
                <w:sz w:val="24"/>
              </w:rPr>
              <w:t>（</w:t>
            </w:r>
            <w:r>
              <w:rPr>
                <w:sz w:val="24"/>
              </w:rPr>
              <w:t>3）成交供应商应当积极配合相关部门对资金使用情况进行监督检查与绩效评价。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采购包3（荔湾区蚊媒控制应急消杀服务（茶滘街、逢源街、石围塘街、冲口街、西村街、华林街、彩虹街））</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服务期限为自合同签订生效日起一年。若服务金额达到预算金额合同自动终止。</w:t>
            </w:r>
          </w:p>
        </w:tc>
      </w:tr>
      <w:tr>
        <w:tc>
          <w:tcPr>
            <w:tcW w:type="dxa" w:w="4153"/>
          </w:tcPr>
          <w:p>
            <w:pPr>
              <w:pStyle w:val="null3"/>
            </w:pPr>
            <w:r>
              <w:rPr/>
              <w:t>标的提供的地点</w:t>
            </w:r>
          </w:p>
        </w:tc>
        <w:tc>
          <w:tcPr>
            <w:tcW w:type="dxa" w:w="4153"/>
          </w:tcPr>
          <w:p>
            <w:pPr>
              <w:pStyle w:val="null3"/>
            </w:pPr>
            <w:r>
              <w:rPr/>
              <w:t>广州市荔湾区采购人指定地点</w:t>
            </w:r>
          </w:p>
        </w:tc>
      </w:tr>
      <w:tr>
        <w:tc>
          <w:tcPr>
            <w:tcW w:type="dxa" w:w="4153"/>
          </w:tcPr>
          <w:p>
            <w:pPr>
              <w:pStyle w:val="null3"/>
            </w:pPr>
            <w:r>
              <w:rPr/>
              <w:t>付款方式</w:t>
            </w:r>
          </w:p>
        </w:tc>
        <w:tc>
          <w:tcPr>
            <w:tcW w:type="dxa" w:w="4153"/>
          </w:tcPr>
          <w:p>
            <w:pPr>
              <w:pStyle w:val="null3"/>
            </w:pPr>
            <w:r>
              <w:rPr/>
              <w:t>1期：支付比例30%,成交人与采购人签订完合同后，且采购人收到成交人提供等额发票等凭证资料后5个工作日内向成交人支付采购预算的30%作为预付款；后续结算支付按照每季度结算一次进行支付，实际结算金额为应结算金额扣减预付款。如该次应结算金额小于预付款的，预付款抵扣后，下一次结算节点扣减剩余预付款后予以支付。</w:t>
            </w:r>
          </w:p>
          <w:p>
            <w:pPr>
              <w:pStyle w:val="null3"/>
            </w:pPr>
            <w:r>
              <w:rPr/>
              <w:t>2期：支付比例70%,服务费每季度结算一次，成交人在每个季度首月的15号前向采购人提交上一季度《蚊媒控制应急消杀工作量记录表》《蚊媒控制应急消杀工作评价表》和有效发票申请结算，经采购人确认后，在5个工作日内结付上季度的服务费。 （备注：以上涉及支付的期限，因采购人使用的是财政资金，财政支付执行机构原因导致支付不及时的，采购人不承担违约责任。） （1）每次按合同支付款项前，成交供应商应向采购人提供与支付金额相符的有效发票，且收款方、出具发票方、合同乙方均必须与成交供应商名称一致； （2）付款方式：采用支票、银行汇票、电汇三种形式。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1期：成交人每次服务完成后当日，由所属街道填写《蚊媒控制应急消杀工作量记录表》《蚊媒控制应急消杀工作评价表》确认本次工作效果。 每季度结算时，成交人在规定时间（即下一季度首月的15号前）提供当期所有的《蚊媒控制应急消杀工作量记录表》《蚊媒控制应急消杀工作评价表》等相关材料作为当期验收依据。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荔湾区蚊媒控制应急消杀服务（茶滘街、逢源街、石围塘街、冲口街、西村街、华林街、彩虹街）</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1,100,000.00</w:t>
            </w:r>
          </w:p>
        </w:tc>
        <w:tc>
          <w:tcPr>
            <w:tcW w:type="dxa" w:w="933"/>
          </w:tcPr>
          <w:p>
            <w:pPr>
              <w:pStyle w:val="null3"/>
              <w:jc w:val="right"/>
            </w:pPr>
            <w:r>
              <w:rPr/>
              <w:t>1,100,000.00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荔湾区蚊媒控制应急消杀服务（茶滘街、逢源街、石围塘街、冲口街、西村街、华林街、彩虹街）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具体要求详见第二章采购需求的全部内容。</w:t>
            </w:r>
          </w:p>
        </w:tc>
      </w:tr>
      <w:tr>
        <w:tc>
          <w:tcPr>
            <w:tcW w:type="dxa" w:w="2076"/>
          </w:tcPr>
          <w:p/>
        </w:tc>
        <w:tc>
          <w:tcPr>
            <w:tcW w:type="dxa" w:w="415"/>
          </w:tcPr>
          <w:p>
            <w:pPr>
              <w:pStyle w:val="null3"/>
            </w:pPr>
            <w:r>
              <w:rPr/>
              <w:t>2</w:t>
            </w:r>
          </w:p>
        </w:tc>
        <w:tc>
          <w:tcPr>
            <w:tcW w:type="dxa" w:w="5814"/>
          </w:tcPr>
          <w:p>
            <w:pPr>
              <w:pStyle w:val="null3"/>
              <w:jc w:val="both"/>
            </w:pPr>
            <w:r>
              <w:rPr>
                <w:sz w:val="24"/>
              </w:rPr>
              <w:t>其他要求</w:t>
            </w:r>
          </w:p>
          <w:p>
            <w:pPr>
              <w:pStyle w:val="null3"/>
              <w:jc w:val="both"/>
            </w:pPr>
            <w:r>
              <w:rPr>
                <w:sz w:val="24"/>
              </w:rPr>
              <w:t>（</w:t>
            </w:r>
            <w:r>
              <w:rPr>
                <w:sz w:val="24"/>
              </w:rPr>
              <w:t>1）成交供应商应当建立本次采购项目的台账，依照有关规定或合同约定记录保存并向采购人提供项目实施相关重要资料信息。</w:t>
            </w:r>
          </w:p>
          <w:p>
            <w:pPr>
              <w:pStyle w:val="null3"/>
              <w:jc w:val="both"/>
            </w:pPr>
            <w:r>
              <w:rPr>
                <w:sz w:val="24"/>
              </w:rPr>
              <w:t>（</w:t>
            </w:r>
            <w:r>
              <w:rPr>
                <w:sz w:val="24"/>
              </w:rPr>
              <w:t>2）成交供应商应当严格遵守相关财务规定，规范管理和使用本次政府购买服务项目资金。</w:t>
            </w:r>
          </w:p>
          <w:p>
            <w:pPr>
              <w:pStyle w:val="null3"/>
              <w:jc w:val="both"/>
            </w:pPr>
            <w:r>
              <w:rPr>
                <w:sz w:val="24"/>
              </w:rPr>
              <w:t>（</w:t>
            </w:r>
            <w:r>
              <w:rPr>
                <w:sz w:val="24"/>
              </w:rPr>
              <w:t>3）成交供应商应当积极配合相关部门对资金使用情况进行监督检查与绩效评价。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1.采购代理机构：本项目是指采联国际招标采购集团有限公司，负责整个采购活动的组织，依法负责编制和发布磋商文件，对磋商文件拥有最终的解释权，不以任何身份出任磋商小组成员。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广州市荔湾区卫生健康局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采购包1：单价</w:t>
            </w:r>
          </w:p>
          <w:p>
            <w:pPr>
              <w:pStyle w:val="null3"/>
            </w:pPr>
            <w:r>
              <w:rPr/>
              <w:t>采购包2：单价</w:t>
            </w:r>
          </w:p>
          <w:p>
            <w:pPr>
              <w:pStyle w:val="null3"/>
            </w:pPr>
            <w:r>
              <w:rPr/>
              <w:t>采购包3：单价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兼投不兼中：1、本项目评审顺序按照包组的自然顺序进行独立评审； 2、推荐综合得分排名第一的响应供应商为第一成交候选人，排名第二的响应供应商为第二成交候选人，排名第三的响应供应商为第三成交候选人。 3、同时对多包组响应的响应供应商，如响应供应商在前面包组已被推荐为第一成交候选人，则评审委员会在评审后面包组时，已经作为第一成交候选人的不再作为其他包组的有效响应供应商； 4、如果出现某包组的第一成交候选人或成交人放弃成交资格或被取消成交资格的，认定成交无效，仅在该包组内按照评审报告推荐的成交候选人排名顺延确定成交人或该包组重新开展采购活动，以此类推；   若该包组顺延的成交候选人已成为其他包组的第一成交候选人或成交人，则其顺延的成交候选人不被确定为本包组的成交人，确定该包组其后的成交候选人为成交人或该包组重新开展采购活动，以此类推；若该包组内所有成交候选人都已成为了其他包组的第一成交候选人或成交人，则该包组重新开展采购活动。   【举例：某项目4个包组，A公司为包组1的成交人、B公司为包组1的第二成交候选人、C公司为包组1第三成交候选人，B公司为包组2的成交人，C公司不是其他包组的成交人。如包组1成交人A公司放弃成交资格或被取消成交资格，认定成交无效，则B公司不被确定为包组1的成交人，确定C公司为包组1的成交人。】 5、如某包组中的有效响应供应商数量不足法定3家，则该包组采购失败。</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采购机构代理服务收费标准：差额定率累进法收费：以各包组采购预算作为采购代理服务费的计算基数。按照下述规定的“服务类”费率标准80%计费。 货物类计算基数对应的费率标准： 100万元以下 1.5%；100～500万元 1.1%；500～1000万元 0.8%；1000～5000万元 0.5%；5000万元～1亿元 0.25%；1～5亿元 0.05%；5～10亿元 0.035%；10～50亿元 0.008%；50～100亿元 0.006%；100亿以上 0.004%。 服务类计算基数对应的费率标准：100万元以下 1.5%；100～500万元 0.8%；500～1000万元 0.45%；1000～5000万元 0.25%；5000万元～1亿元 0.1%；1～5亿元 0.05%；5～10亿元 0.035%；10～50亿元 0.008%；50～100亿元 0.006%；100亿以上 0.004%。 例如：某货物采购成交金额/采购预算为人民币850万元，计算采购代理服务收费额如下： 100万元×1.5%=1.5万元 （500-100）万元×1.1%=4.4万元 （850-500）万元×0.8%=2.8万元 合计收费=1.5+4.4+2.8=8.7万元</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其他，一、其他，本项目（采购包）属于专门面向中小企业采购的项目，对小型、微型企业、监狱企业或残疾人福利性单位不给予价格扣除。 二、分包：不允许； 三、转包：成交供应商不得将政府采购合同转包。 四、供应商向本采购文件中所述的采购代理机构咨询的有关本采购项目事项，一切以法律法规的规定和采购代理机构书面答复为准，其他一切形式均为个人意见，不代表采购代理机构的意见。 五、综合信用得分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六、履约评价 采购人负责对成交人的履约行为进行评价。采购人在合同备案后可通过广东政府采购智慧云平台-诚信管理-评价管理进行评价。评价结果会影响供应商的综合信用得分。</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采购代理机构网站（www.chinapsp.cn）</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采购代理机构网站（www.chinapsp.cn）</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司女士</w:t>
      </w:r>
    </w:p>
    <w:p>
      <w:pPr>
        <w:pStyle w:val="null3"/>
        <w:ind w:firstLine="480"/>
      </w:pPr>
      <w:r>
        <w:rPr/>
        <w:t>电话：</w:t>
      </w:r>
      <w:r>
        <w:rPr/>
        <w:t>020-87651688-346</w:t>
      </w:r>
    </w:p>
    <w:p>
      <w:pPr>
        <w:pStyle w:val="null3"/>
        <w:ind w:firstLine="480"/>
      </w:pPr>
      <w:r>
        <w:rPr/>
        <w:t>传真：</w:t>
      </w:r>
      <w:r>
        <w:rPr/>
        <w:t>/</w:t>
      </w:r>
    </w:p>
    <w:p>
      <w:pPr>
        <w:pStyle w:val="null3"/>
        <w:ind w:firstLine="480"/>
      </w:pPr>
      <w:r>
        <w:rPr/>
        <w:t>邮箱：</w:t>
      </w:r>
      <w:r>
        <w:rPr/>
        <w:t>strategycenter@chinapsp.cn（提交时请备注XX项目询问函/质疑函，并提前跟我司工作人员联系）</w:t>
      </w:r>
    </w:p>
    <w:p>
      <w:pPr>
        <w:pStyle w:val="null3"/>
        <w:ind w:firstLine="480"/>
      </w:pPr>
      <w:r>
        <w:rPr/>
        <w:t>地址：</w:t>
      </w:r>
      <w:r>
        <w:rPr/>
        <w:t>广州市环市东路472号粤海大厦23楼（如采用邮寄形式提交，请提前跟我司工作人员联系，并同步将邮寄底单发送至我司邮箱）</w:t>
      </w:r>
    </w:p>
    <w:p>
      <w:pPr>
        <w:pStyle w:val="null3"/>
        <w:ind w:firstLine="480"/>
      </w:pPr>
      <w:r>
        <w:rPr/>
        <w:t>邮编：</w:t>
      </w:r>
      <w:r>
        <w:rPr/>
        <w:t>510062</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政府采购监督管理机构名称：广州市荔湾区财政局综合科</w:t>
      </w:r>
    </w:p>
    <w:p>
      <w:pPr>
        <w:pStyle w:val="null3"/>
      </w:pPr>
      <w:r>
        <w:rPr/>
        <w:t>地 址：广州市荔湾区华贵路81号</w:t>
      </w:r>
    </w:p>
    <w:p>
      <w:pPr>
        <w:pStyle w:val="null3"/>
      </w:pPr>
      <w:r>
        <w:rPr/>
        <w:t>电 话：020-81264660、020-81264709</w:t>
      </w:r>
    </w:p>
    <w:p>
      <w:pPr>
        <w:pStyle w:val="null3"/>
      </w:pPr>
      <w:r>
        <w:rPr/>
        <w:t>邮 编：510145</w:t>
      </w:r>
    </w:p>
    <w:p>
      <w:pPr>
        <w:pStyle w:val="null3"/>
      </w:pPr>
      <w:r>
        <w:rPr/>
        <w:t>传 真：020-81264660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荔湾区蚊媒控制应急消杀服务（海龙街、金花街、龙津街、白鹤洞街、花地街、桥中街、站前街、沙面街）)：综合评分法,是指响应文件满足磋商文件全部实质性要求，且按照评审因素的量化指标评审得分最高的投标人为成交候选人的评标方法。（最低报价不是成交的唯一依据。）</w:t>
      </w:r>
    </w:p>
    <w:p>
      <w:pPr>
        <w:pStyle w:val="null3"/>
      </w:pPr>
      <w:r>
        <w:rPr/>
        <w:t>采购包2(荔湾区蚊媒控制应急消杀服务（中南街、东漖街、东沙街、岭南街、昌华街、多宝街、南源街）)：综合评分法,是指响应文件满足磋商文件全部实质性要求，且按照评审因素的量化指标评审得分最高的投标人为成交候选人的评标方法。（最低报价不是成交的唯一依据。）</w:t>
      </w:r>
    </w:p>
    <w:p>
      <w:pPr>
        <w:pStyle w:val="null3"/>
      </w:pPr>
      <w:r>
        <w:rPr/>
        <w:t>采购包3(荔湾区蚊媒控制应急消杀服务（茶滘街、逢源街、石围塘街、冲口街、西村街、华林街、彩虹街）)：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采联国际招标采购集团有限公司</w:t>
      </w:r>
      <w:r>
        <w:rPr/>
        <w:t>统一对外发布。</w:t>
      </w:r>
    </w:p>
    <w:p>
      <w:pPr>
        <w:pStyle w:val="null3"/>
        <w:ind w:firstLine="480"/>
      </w:pPr>
      <w:r>
        <w:rPr/>
        <w:t>（2）对</w:t>
      </w:r>
      <w:r>
        <w:rPr/>
        <w:t>采联国际招标采购集团有限公司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采购包1（荔湾区蚊媒控制应急消杀服务（海龙街、金花街、龙津街、白鹤洞街、花地街、桥中街、站前街、沙面街））：</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采购包2（荔湾区蚊媒控制应急消杀服务（中南街、东漖街、东沙街、岭南街、昌华街、多宝街、南源街））：</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采购包3（荔湾区蚊媒控制应急消杀服务（茶滘街、逢源街、石围塘街、冲口街、西村街、华林街、彩虹街））：</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采购包1（荔湾区蚊媒控制应急消杀服务（海龙街、金花街、龙津街、白鹤洞街、花地街、桥中街、站前街、沙面街））：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供应商为依法在市场监督管理部门或行业主管部门登记成立的企业、机构。供应商为企业法人，提供企业法人营业执照复印件；供应商为会计师事务所、律师事务所等社会中介机构，提供执业许可证复印件；供应商为公益二类或从事生产经营活动的事业单位，提供事业单位法人证书复印件；供应商为社会组织（不含由财政拨款保障的群团组织），提供社会组织的登记证书或法人登记证书复印件；供应商为农村集体经济组织，提供农村集体经济组织登记证书复印件；供应商为基层群众性自治组织，提供基层群众性自治组织特别法人统一社会信用代码证书复印件；供应商为自然人，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有依法缴纳税收和社会保障资金的良好记录：提供《响应供应商资格声明函》（具体格式可参照《第二章 采购需求》附件3）；</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具有良好的商业信誉和健全的财务会计制度：提供《响应供应商资格声明函》（具体格式可参照《第二章 采购需求》附件3）；</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履行合同所必需的设备和专业技术能力：提供《响应供应商资格声明函》（具体格式可参照《第二章 采购需求》附件3）；</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参加采购活动前3年内，在经营活动中没有重大违法记录：提供《响应供应商资格声明函》（具体格式可参照《第二章 采购需求》附件3）。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在上述网站查询结果均显示没有相关失信记录，视为不存在上述失信记录；如在上述网站查询到相关失信记录，但实际相关失信记录已失效的，供应商需提供相关证明资料，否则视为供应商存在失信记录。供应商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 监理、 检测等服务的供应商，不得再参与本项目投标（响应）。提供《响应供应商资格声明函》（具体格式可参照《第二章 采购需求》附件3）。</w:t>
            </w:r>
          </w:p>
        </w:tc>
      </w:tr>
      <w:tr>
        <w:tc>
          <w:tcPr>
            <w:tcW w:type="dxa" w:w="890"/>
          </w:tcPr>
          <w:p>
            <w:pPr>
              <w:pStyle w:val="null3"/>
            </w:pPr>
            <w:r>
              <w:rPr/>
              <w:t>8</w:t>
            </w:r>
          </w:p>
        </w:tc>
        <w:tc>
          <w:tcPr>
            <w:tcW w:type="dxa" w:w="3178"/>
          </w:tcPr>
          <w:p>
            <w:pPr>
              <w:pStyle w:val="null3"/>
            </w:pPr>
            <w:r>
              <w:rPr/>
              <w:t>本项目特定资质要求1</w:t>
            </w:r>
          </w:p>
        </w:tc>
        <w:tc>
          <w:tcPr>
            <w:tcW w:type="dxa" w:w="4238"/>
          </w:tcPr>
          <w:p>
            <w:pPr>
              <w:pStyle w:val="null3"/>
            </w:pPr>
            <w:r>
              <w:rPr/>
              <w:t>本项目不接受联合体响应。</w:t>
            </w:r>
          </w:p>
        </w:tc>
      </w:tr>
      <w:tr>
        <w:tc>
          <w:tcPr>
            <w:tcW w:type="dxa" w:w="890"/>
          </w:tcPr>
          <w:p>
            <w:pPr>
              <w:pStyle w:val="null3"/>
            </w:pPr>
            <w:r>
              <w:rPr/>
              <w:t>9</w:t>
            </w:r>
          </w:p>
        </w:tc>
        <w:tc>
          <w:tcPr>
            <w:tcW w:type="dxa" w:w="3178"/>
          </w:tcPr>
          <w:p>
            <w:pPr>
              <w:pStyle w:val="null3"/>
            </w:pPr>
            <w:r>
              <w:rPr/>
              <w:t>本项目特定资质要求2</w:t>
            </w:r>
          </w:p>
        </w:tc>
        <w:tc>
          <w:tcPr>
            <w:tcW w:type="dxa" w:w="4238"/>
          </w:tcPr>
          <w:p>
            <w:pPr>
              <w:pStyle w:val="null3"/>
            </w:pPr>
            <w:r>
              <w:rPr/>
              <w:t>本项目除了要求具备《中华人民共和国政府采购法》第二十二条外，还应具备《政府购买服务管理办法》第六条、《国务院办公厅关于政府向社会力量购买服务的指导意见》第三点第（二）项规定的条件，具体证明材料均以上述《中华人民共和国政府采购法》第二十二条约定的为准。</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包组1专门面向中小企业采购，供应商应为中小微企业、监狱企业、残疾人福利性单位。（提供《中小企业声明函》（具体格式详见采购公告附件）或属于监狱企业的证明材料或《残疾人福利性单位声明函》）</w:t>
            </w:r>
          </w:p>
        </w:tc>
      </w:tr>
    </w:tbl>
    <w:p>
      <w:pPr>
        <w:pStyle w:val="null3"/>
      </w:pPr>
      <w:r>
        <w:rPr/>
        <w:t>采购包2（荔湾区蚊媒控制应急消杀服务（中南街、东漖街、东沙街、岭南街、昌华街、多宝街、南源街））：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供应商为依法在市场监督管理部门或行业主管部门登记成立的企业、机构。供应商为企业法人，提供企业法人营业执照复印件；供应商为会计师事务所、律师事务所等社会中介机构，提供执业许可证复印件；供应商为公益二类或从事生产经营活动的事业单位，提供事业单位法人证书复印件；供应商为社会组织（不含由财政拨款保障的群团组织），提供社会组织的登记证书或法人登记证书复印件；供应商为农村集体经济组织，提供农村集体经济组织登记证书复印件；供应商为基层群众性自治组织，提供基层群众性自治组织特别法人统一社会信用代码证书复印件；供应商为自然人，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有依法缴纳税收和社会保障资金的良好记录：提供《响应供应商资格声明函》（具体格式可参照《第二章 采购需求》附件3）；</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具有良好的商业信誉和健全的财务会计制度：提供《响应供应商资格声明函》（具体格式可参照《第二章 采购需求》附件3）；</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履行合同所必需的设备和专业技术能力：提供《响应供应商资格声明函》（具体格式可参照《第二章 采购需求》附件3）；</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参加采购活动前3年内，在经营活动中没有重大违法记录：提供《响应供应商资格声明函》（具体格式可参照《第二章 采购需求》附件3）。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在上述网站查询结果均显示没有相关失信记录，视为不存在上述失信记录；如在上述网站查询到相关失信记录，但实际相关失信记录已失效的，供应商需提供相关证明资料，否则视为供应商存在失信记录。供应商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 监理、 检测等服务的供应商，不得再参与本项目投标（响应）。提供《响应供应商资格声明函》（具体格式可参照《第二章 采购需求》附件3）。</w:t>
            </w:r>
          </w:p>
        </w:tc>
      </w:tr>
      <w:tr>
        <w:tc>
          <w:tcPr>
            <w:tcW w:type="dxa" w:w="890"/>
          </w:tcPr>
          <w:p>
            <w:pPr>
              <w:pStyle w:val="null3"/>
            </w:pPr>
            <w:r>
              <w:rPr/>
              <w:t>8</w:t>
            </w:r>
          </w:p>
        </w:tc>
        <w:tc>
          <w:tcPr>
            <w:tcW w:type="dxa" w:w="3178"/>
          </w:tcPr>
          <w:p>
            <w:pPr>
              <w:pStyle w:val="null3"/>
            </w:pPr>
            <w:r>
              <w:rPr/>
              <w:t>本项目特定资质要求1</w:t>
            </w:r>
          </w:p>
        </w:tc>
        <w:tc>
          <w:tcPr>
            <w:tcW w:type="dxa" w:w="4238"/>
          </w:tcPr>
          <w:p>
            <w:pPr>
              <w:pStyle w:val="null3"/>
            </w:pPr>
            <w:r>
              <w:rPr/>
              <w:t>本项目不接受联合体响应。</w:t>
            </w:r>
          </w:p>
        </w:tc>
      </w:tr>
      <w:tr>
        <w:tc>
          <w:tcPr>
            <w:tcW w:type="dxa" w:w="890"/>
          </w:tcPr>
          <w:p>
            <w:pPr>
              <w:pStyle w:val="null3"/>
            </w:pPr>
            <w:r>
              <w:rPr/>
              <w:t>9</w:t>
            </w:r>
          </w:p>
        </w:tc>
        <w:tc>
          <w:tcPr>
            <w:tcW w:type="dxa" w:w="3178"/>
          </w:tcPr>
          <w:p>
            <w:pPr>
              <w:pStyle w:val="null3"/>
            </w:pPr>
            <w:r>
              <w:rPr/>
              <w:t>本项目特定资质要求2</w:t>
            </w:r>
          </w:p>
        </w:tc>
        <w:tc>
          <w:tcPr>
            <w:tcW w:type="dxa" w:w="4238"/>
          </w:tcPr>
          <w:p>
            <w:pPr>
              <w:pStyle w:val="null3"/>
            </w:pPr>
            <w:r>
              <w:rPr/>
              <w:t>本项目除了要求具备《中华人民共和国政府采购法》第二十二条外，还应具备《政府购买服务管理办法》第六条、《国务院办公厅关于政府向社会力量购买服务的指导意见》第三点第（二）项规定的条件，具体证明材料均以上述《中华人民共和国政府采购法》第二十二条约定的为准。</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包组2专门面向中小企业采购，供应商应为中小微企业、监狱企业、残疾人福利性单位。（提供《中小企业声明函》（具体格式详见采购公告附件）或属于监狱企业的证明材料或《残疾人福利性单位声明函》）</w:t>
            </w:r>
          </w:p>
        </w:tc>
      </w:tr>
    </w:tbl>
    <w:p>
      <w:pPr>
        <w:pStyle w:val="null3"/>
      </w:pPr>
      <w:r>
        <w:rPr/>
        <w:t>采购包3（荔湾区蚊媒控制应急消杀服务（茶滘街、逢源街、石围塘街、冲口街、西村街、华林街、彩虹街））：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供应商为依法在市场监督管理部门或行业主管部门登记成立的企业、机构。供应商为企业法人，提供企业法人营业执照复印件；供应商为会计师事务所、律师事务所等社会中介机构，提供执业许可证复印件；供应商为公益二类或从事生产经营活动的事业单位，提供事业单位法人证书复印件；供应商为社会组织（不含由财政拨款保障的群团组织），提供社会组织的登记证书或法人登记证书复印件；供应商为农村集体经济组织，提供农村集体经济组织登记证书复印件；供应商为基层群众性自治组织，提供基层群众性自治组织特别法人统一社会信用代码证书复印件；供应商为自然人，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有依法缴纳税收和社会保障资金的良好记录：提供《响应供应商资格声明函》（具体格式可参照《第二章 采购需求》附件3）；</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具有良好的商业信誉和健全的财务会计制度：提供《响应供应商资格声明函》（具体格式可参照《第二章 采购需求》附件3）；</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履行合同所必需的设备和专业技术能力：提供《响应供应商资格声明函》（具体格式可参照《第二章 采购需求》附件3）；</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参加采购活动前3年内，在经营活动中没有重大违法记录：提供《响应供应商资格声明函》（具体格式可参照《第二章 采购需求》附件3）。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在上述网站查询结果均显示没有相关失信记录，视为不存在上述失信记录；如在上述网站查询到相关失信记录，但实际相关失信记录已失效的，供应商需提供相关证明资料，否则视为供应商存在失信记录。供应商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 监理、 检测等服务的供应商，不得再参与本项目投标（响应）。提供《响应供应商资格声明函》（具体格式可参照《第二章 采购需求》附件3）。</w:t>
            </w:r>
          </w:p>
        </w:tc>
      </w:tr>
      <w:tr>
        <w:tc>
          <w:tcPr>
            <w:tcW w:type="dxa" w:w="890"/>
          </w:tcPr>
          <w:p>
            <w:pPr>
              <w:pStyle w:val="null3"/>
            </w:pPr>
            <w:r>
              <w:rPr/>
              <w:t>8</w:t>
            </w:r>
          </w:p>
        </w:tc>
        <w:tc>
          <w:tcPr>
            <w:tcW w:type="dxa" w:w="3178"/>
          </w:tcPr>
          <w:p>
            <w:pPr>
              <w:pStyle w:val="null3"/>
            </w:pPr>
            <w:r>
              <w:rPr/>
              <w:t>本项目特定资质要求1</w:t>
            </w:r>
          </w:p>
        </w:tc>
        <w:tc>
          <w:tcPr>
            <w:tcW w:type="dxa" w:w="4238"/>
          </w:tcPr>
          <w:p>
            <w:pPr>
              <w:pStyle w:val="null3"/>
            </w:pPr>
            <w:r>
              <w:rPr/>
              <w:t>本项目不接受联合体响应。</w:t>
            </w:r>
          </w:p>
        </w:tc>
      </w:tr>
      <w:tr>
        <w:tc>
          <w:tcPr>
            <w:tcW w:type="dxa" w:w="890"/>
          </w:tcPr>
          <w:p>
            <w:pPr>
              <w:pStyle w:val="null3"/>
            </w:pPr>
            <w:r>
              <w:rPr/>
              <w:t>9</w:t>
            </w:r>
          </w:p>
        </w:tc>
        <w:tc>
          <w:tcPr>
            <w:tcW w:type="dxa" w:w="3178"/>
          </w:tcPr>
          <w:p>
            <w:pPr>
              <w:pStyle w:val="null3"/>
            </w:pPr>
            <w:r>
              <w:rPr/>
              <w:t>本项目特定资质要求2</w:t>
            </w:r>
          </w:p>
        </w:tc>
        <w:tc>
          <w:tcPr>
            <w:tcW w:type="dxa" w:w="4238"/>
          </w:tcPr>
          <w:p>
            <w:pPr>
              <w:pStyle w:val="null3"/>
            </w:pPr>
            <w:r>
              <w:rPr/>
              <w:t>本项目除了要求具备《中华人民共和国政府采购法》第二十二条外，还应具备《政府购买服务管理办法》第六条、《国务院办公厅关于政府向社会力量购买服务的指导意见》第三点第（二）项规定的条件，具体证明材料均以上述《中华人民共和国政府采购法》第二十二条约定的为准。</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包组3专门面向中小企业采购，供应商应为中小微企业、监狱企业、残疾人福利性单位。（提供《中小企业声明函》（具体格式详见采购公告附件）或属于监狱企业的证明材料或《残疾人福利性单位声明函》）</w:t>
            </w:r>
          </w:p>
        </w:tc>
      </w:tr>
    </w:tbl>
    <w:p>
      <w:pPr>
        <w:pStyle w:val="null3"/>
        <w:ind w:firstLine="480"/>
      </w:pPr>
      <w:r>
        <w:rPr/>
        <w:t>表二符合性审查表：</w:t>
      </w:r>
    </w:p>
    <w:p>
      <w:pPr>
        <w:pStyle w:val="null3"/>
      </w:pPr>
      <w:r>
        <w:rPr/>
        <w:t>采购包1（荔湾区蚊媒控制应急消杀服务（海龙街、金花街、龙津街、白鹤洞街、花地街、桥中街、站前街、沙面街））：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按照磋商文件规定要求签署、盖章且响应文件有法定代表人签字或盖个人名章（或签字人有法定代表人有效授权书）的</w:t>
            </w:r>
          </w:p>
        </w:tc>
        <w:tc>
          <w:tcPr>
            <w:tcW w:type="dxa" w:w="4238"/>
          </w:tcPr>
          <w:p>
            <w:pPr>
              <w:pStyle w:val="null3"/>
            </w:pPr>
            <w:r>
              <w:rPr/>
              <w:t>按照磋商文件规定要求签署、盖章且响应文件有法定代表人签字或盖个人名章（或签字人有法定代表人有效授权书）的；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响应承诺函已提交并符合磋商文件要求的，且投标有效期不少于磋商文件中载明的投标有效期；</w:t>
            </w:r>
          </w:p>
        </w:tc>
        <w:tc>
          <w:tcPr>
            <w:tcW w:type="dxa" w:w="4238"/>
          </w:tcPr>
          <w:p>
            <w:pPr>
              <w:pStyle w:val="null3"/>
            </w:pPr>
            <w:r>
              <w:rPr/>
              <w:t>响应承诺函已提交并符合磋商文件要求的，且投标有效期不少于磋商文件中载明的投标有效期；</w:t>
            </w:r>
          </w:p>
        </w:tc>
      </w:tr>
      <w:tr>
        <w:tc>
          <w:tcPr>
            <w:tcW w:type="dxa" w:w="890"/>
          </w:tcPr>
          <w:p>
            <w:pPr>
              <w:pStyle w:val="null3"/>
            </w:pPr>
            <w:r>
              <w:rPr/>
              <w:t>3</w:t>
            </w:r>
          </w:p>
        </w:tc>
        <w:tc>
          <w:tcPr>
            <w:tcW w:type="dxa" w:w="3178"/>
          </w:tcPr>
          <w:p>
            <w:pPr>
              <w:pStyle w:val="null3"/>
            </w:pPr>
            <w:r>
              <w:rPr/>
              <w:t>磋商报价要求</w:t>
            </w:r>
          </w:p>
        </w:tc>
        <w:tc>
          <w:tcPr>
            <w:tcW w:type="dxa" w:w="4238"/>
          </w:tcPr>
          <w:p>
            <w:pPr>
              <w:pStyle w:val="null3"/>
            </w:pPr>
            <w:r>
              <w:rPr/>
              <w:t>磋商报价按照磋商文件要求进行报价，没有删除品种、缺项、漏项（数量不符合将被视为漏项）的；</w:t>
            </w:r>
          </w:p>
        </w:tc>
      </w:tr>
      <w:tr>
        <w:tc>
          <w:tcPr>
            <w:tcW w:type="dxa" w:w="890"/>
          </w:tcPr>
          <w:p>
            <w:pPr>
              <w:pStyle w:val="null3"/>
            </w:pPr>
            <w:r>
              <w:rPr/>
              <w:t>4</w:t>
            </w:r>
          </w:p>
        </w:tc>
        <w:tc>
          <w:tcPr>
            <w:tcW w:type="dxa" w:w="3178"/>
          </w:tcPr>
          <w:p>
            <w:pPr>
              <w:pStyle w:val="null3"/>
            </w:pPr>
            <w:r>
              <w:rPr/>
              <w:t>磋商报价要求</w:t>
            </w:r>
          </w:p>
        </w:tc>
        <w:tc>
          <w:tcPr>
            <w:tcW w:type="dxa" w:w="4238"/>
          </w:tcPr>
          <w:p>
            <w:pPr>
              <w:pStyle w:val="null3"/>
            </w:pPr>
            <w:r>
              <w:rPr/>
              <w:t>最后磋商单价投标报价未超过对应采购内容单价最高限价的；</w:t>
            </w:r>
          </w:p>
        </w:tc>
      </w:tr>
      <w:tr>
        <w:tc>
          <w:tcPr>
            <w:tcW w:type="dxa" w:w="890"/>
          </w:tcPr>
          <w:p>
            <w:pPr>
              <w:pStyle w:val="null3"/>
            </w:pPr>
            <w:r>
              <w:rPr/>
              <w:t>5</w:t>
            </w:r>
          </w:p>
        </w:tc>
        <w:tc>
          <w:tcPr>
            <w:tcW w:type="dxa" w:w="3178"/>
          </w:tcPr>
          <w:p>
            <w:pPr>
              <w:pStyle w:val="null3"/>
            </w:pPr>
            <w:r>
              <w:rPr/>
              <w:t>磋商报价要求</w:t>
            </w:r>
          </w:p>
        </w:tc>
        <w:tc>
          <w:tcPr>
            <w:tcW w:type="dxa" w:w="4238"/>
          </w:tcPr>
          <w:p>
            <w:pPr>
              <w:pStyle w:val="null3"/>
            </w:pPr>
            <w:r>
              <w:rPr/>
              <w:t>响应文件未出现选择性报价或有附加条件报价的情形；</w:t>
            </w:r>
          </w:p>
        </w:tc>
      </w:tr>
      <w:tr>
        <w:tc>
          <w:tcPr>
            <w:tcW w:type="dxa" w:w="890"/>
          </w:tcPr>
          <w:p>
            <w:pPr>
              <w:pStyle w:val="null3"/>
            </w:pPr>
            <w:r>
              <w:rPr/>
              <w:t>6</w:t>
            </w:r>
          </w:p>
        </w:tc>
        <w:tc>
          <w:tcPr>
            <w:tcW w:type="dxa" w:w="3178"/>
          </w:tcPr>
          <w:p>
            <w:pPr>
              <w:pStyle w:val="null3"/>
            </w:pPr>
            <w:r>
              <w:rPr/>
              <w:t>响应文件完全满足磋商文件的实质性条款（即标注★号条款）无负偏离的</w:t>
            </w:r>
          </w:p>
        </w:tc>
        <w:tc>
          <w:tcPr>
            <w:tcW w:type="dxa" w:w="4238"/>
          </w:tcPr>
          <w:p>
            <w:pPr>
              <w:pStyle w:val="null3"/>
            </w:pPr>
            <w:r>
              <w:rPr/>
              <w:t>响应文件完全满足磋商文件的实质性条款（即标注★号条款）无负偏离的；</w:t>
            </w:r>
          </w:p>
        </w:tc>
      </w:tr>
      <w:tr>
        <w:tc>
          <w:tcPr>
            <w:tcW w:type="dxa" w:w="890"/>
          </w:tcPr>
          <w:p>
            <w:pPr>
              <w:pStyle w:val="null3"/>
            </w:pPr>
            <w:r>
              <w:rPr/>
              <w:t>7</w:t>
            </w:r>
          </w:p>
        </w:tc>
        <w:tc>
          <w:tcPr>
            <w:tcW w:type="dxa" w:w="3178"/>
          </w:tcPr>
          <w:p>
            <w:pPr>
              <w:pStyle w:val="null3"/>
            </w:pPr>
            <w:r>
              <w:rPr/>
              <w:t>响应文件没有磋商文件中规定的其它无效投标条款的</w:t>
            </w:r>
          </w:p>
        </w:tc>
        <w:tc>
          <w:tcPr>
            <w:tcW w:type="dxa" w:w="4238"/>
          </w:tcPr>
          <w:p>
            <w:pPr>
              <w:pStyle w:val="null3"/>
            </w:pPr>
            <w:r>
              <w:rPr/>
              <w:t>响应文件没有磋商文件中规定的其它无效投标条款的；</w:t>
            </w:r>
          </w:p>
        </w:tc>
      </w:tr>
      <w:tr>
        <w:tc>
          <w:tcPr>
            <w:tcW w:type="dxa" w:w="890"/>
          </w:tcPr>
          <w:p>
            <w:pPr>
              <w:pStyle w:val="null3"/>
            </w:pPr>
            <w:r>
              <w:rPr/>
              <w:t>8</w:t>
            </w:r>
          </w:p>
        </w:tc>
        <w:tc>
          <w:tcPr>
            <w:tcW w:type="dxa" w:w="3178"/>
          </w:tcPr>
          <w:p>
            <w:pPr>
              <w:pStyle w:val="null3"/>
            </w:pPr>
            <w:r>
              <w:rPr/>
              <w:t>兼投不兼中要求</w:t>
            </w:r>
          </w:p>
        </w:tc>
        <w:tc>
          <w:tcPr>
            <w:tcW w:type="dxa" w:w="4238"/>
          </w:tcPr>
          <w:p>
            <w:pPr>
              <w:pStyle w:val="null3"/>
            </w:pPr>
            <w:r>
              <w:rPr/>
              <w:t>同时对多包组响应的供应商，没有在前面包组被推荐为第一成交候选人的；</w:t>
            </w:r>
          </w:p>
        </w:tc>
      </w:tr>
      <w:tr>
        <w:tc>
          <w:tcPr>
            <w:tcW w:type="dxa" w:w="890"/>
          </w:tcPr>
          <w:p>
            <w:pPr>
              <w:pStyle w:val="null3"/>
            </w:pPr>
            <w:r>
              <w:rPr/>
              <w:t>9</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pPr>
      <w:r>
        <w:rPr/>
        <w:t>采购包2（荔湾区蚊媒控制应急消杀服务（中南街、东漖街、东沙街、岭南街、昌华街、多宝街、南源街））：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按照磋商文件规定要求签署、盖章且响应文件有法定代表人签字或盖个人名章（或签字人有法定代表人有效授权书）的</w:t>
            </w:r>
          </w:p>
        </w:tc>
        <w:tc>
          <w:tcPr>
            <w:tcW w:type="dxa" w:w="4238"/>
          </w:tcPr>
          <w:p>
            <w:pPr>
              <w:pStyle w:val="null3"/>
            </w:pPr>
            <w:r>
              <w:rPr/>
              <w:t>按照磋商文件规定要求签署、盖章且响应文件有法定代表人签字或盖个人名章（或签字人有法定代表人有效授权书）的；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响应承诺函已提交并符合磋商文件要求的，且投标有效期不少于磋商文件中载明的投标有效期；</w:t>
            </w:r>
          </w:p>
        </w:tc>
        <w:tc>
          <w:tcPr>
            <w:tcW w:type="dxa" w:w="4238"/>
          </w:tcPr>
          <w:p>
            <w:pPr>
              <w:pStyle w:val="null3"/>
            </w:pPr>
            <w:r>
              <w:rPr/>
              <w:t>响应承诺函已提交并符合磋商文件要求的，且投标有效期不少于磋商文件中载明的投标有效期；</w:t>
            </w:r>
          </w:p>
        </w:tc>
      </w:tr>
      <w:tr>
        <w:tc>
          <w:tcPr>
            <w:tcW w:type="dxa" w:w="890"/>
          </w:tcPr>
          <w:p>
            <w:pPr>
              <w:pStyle w:val="null3"/>
            </w:pPr>
            <w:r>
              <w:rPr/>
              <w:t>3</w:t>
            </w:r>
          </w:p>
        </w:tc>
        <w:tc>
          <w:tcPr>
            <w:tcW w:type="dxa" w:w="3178"/>
          </w:tcPr>
          <w:p>
            <w:pPr>
              <w:pStyle w:val="null3"/>
            </w:pPr>
            <w:r>
              <w:rPr/>
              <w:t>磋商报价要求</w:t>
            </w:r>
          </w:p>
        </w:tc>
        <w:tc>
          <w:tcPr>
            <w:tcW w:type="dxa" w:w="4238"/>
          </w:tcPr>
          <w:p>
            <w:pPr>
              <w:pStyle w:val="null3"/>
            </w:pPr>
            <w:r>
              <w:rPr/>
              <w:t>磋商报价按照磋商文件要求进行报价，没有删除品种、缺项、漏项（数量不符合将被视为漏项）的；</w:t>
            </w:r>
          </w:p>
        </w:tc>
      </w:tr>
      <w:tr>
        <w:tc>
          <w:tcPr>
            <w:tcW w:type="dxa" w:w="890"/>
          </w:tcPr>
          <w:p>
            <w:pPr>
              <w:pStyle w:val="null3"/>
            </w:pPr>
            <w:r>
              <w:rPr/>
              <w:t>4</w:t>
            </w:r>
          </w:p>
        </w:tc>
        <w:tc>
          <w:tcPr>
            <w:tcW w:type="dxa" w:w="3178"/>
          </w:tcPr>
          <w:p>
            <w:pPr>
              <w:pStyle w:val="null3"/>
            </w:pPr>
            <w:r>
              <w:rPr/>
              <w:t>磋商报价要求</w:t>
            </w:r>
          </w:p>
        </w:tc>
        <w:tc>
          <w:tcPr>
            <w:tcW w:type="dxa" w:w="4238"/>
          </w:tcPr>
          <w:p>
            <w:pPr>
              <w:pStyle w:val="null3"/>
            </w:pPr>
            <w:r>
              <w:rPr/>
              <w:t>最后磋商单价投标报价未超过对应采购内容单价最高限价的；</w:t>
            </w:r>
          </w:p>
        </w:tc>
      </w:tr>
      <w:tr>
        <w:tc>
          <w:tcPr>
            <w:tcW w:type="dxa" w:w="890"/>
          </w:tcPr>
          <w:p>
            <w:pPr>
              <w:pStyle w:val="null3"/>
            </w:pPr>
            <w:r>
              <w:rPr/>
              <w:t>5</w:t>
            </w:r>
          </w:p>
        </w:tc>
        <w:tc>
          <w:tcPr>
            <w:tcW w:type="dxa" w:w="3178"/>
          </w:tcPr>
          <w:p>
            <w:pPr>
              <w:pStyle w:val="null3"/>
            </w:pPr>
            <w:r>
              <w:rPr/>
              <w:t>磋商报价要求</w:t>
            </w:r>
          </w:p>
        </w:tc>
        <w:tc>
          <w:tcPr>
            <w:tcW w:type="dxa" w:w="4238"/>
          </w:tcPr>
          <w:p>
            <w:pPr>
              <w:pStyle w:val="null3"/>
            </w:pPr>
            <w:r>
              <w:rPr/>
              <w:t>响应文件未出现选择性报价或有附加条件报价的情形；</w:t>
            </w:r>
          </w:p>
        </w:tc>
      </w:tr>
      <w:tr>
        <w:tc>
          <w:tcPr>
            <w:tcW w:type="dxa" w:w="890"/>
          </w:tcPr>
          <w:p>
            <w:pPr>
              <w:pStyle w:val="null3"/>
            </w:pPr>
            <w:r>
              <w:rPr/>
              <w:t>6</w:t>
            </w:r>
          </w:p>
        </w:tc>
        <w:tc>
          <w:tcPr>
            <w:tcW w:type="dxa" w:w="3178"/>
          </w:tcPr>
          <w:p>
            <w:pPr>
              <w:pStyle w:val="null3"/>
            </w:pPr>
            <w:r>
              <w:rPr/>
              <w:t>响应文件完全满足磋商文件的实质性条款（即标注★号条款）无负偏离的</w:t>
            </w:r>
          </w:p>
        </w:tc>
        <w:tc>
          <w:tcPr>
            <w:tcW w:type="dxa" w:w="4238"/>
          </w:tcPr>
          <w:p>
            <w:pPr>
              <w:pStyle w:val="null3"/>
            </w:pPr>
            <w:r>
              <w:rPr/>
              <w:t>响应文件完全满足磋商文件的实质性条款（即标注★号条款）无负偏离的；</w:t>
            </w:r>
          </w:p>
        </w:tc>
      </w:tr>
      <w:tr>
        <w:tc>
          <w:tcPr>
            <w:tcW w:type="dxa" w:w="890"/>
          </w:tcPr>
          <w:p>
            <w:pPr>
              <w:pStyle w:val="null3"/>
            </w:pPr>
            <w:r>
              <w:rPr/>
              <w:t>7</w:t>
            </w:r>
          </w:p>
        </w:tc>
        <w:tc>
          <w:tcPr>
            <w:tcW w:type="dxa" w:w="3178"/>
          </w:tcPr>
          <w:p>
            <w:pPr>
              <w:pStyle w:val="null3"/>
            </w:pPr>
            <w:r>
              <w:rPr/>
              <w:t>响应文件没有磋商文件中规定的其它无效投标条款的</w:t>
            </w:r>
          </w:p>
        </w:tc>
        <w:tc>
          <w:tcPr>
            <w:tcW w:type="dxa" w:w="4238"/>
          </w:tcPr>
          <w:p>
            <w:pPr>
              <w:pStyle w:val="null3"/>
            </w:pPr>
            <w:r>
              <w:rPr/>
              <w:t>响应文件没有磋商文件中规定的其它无效投标条款的；</w:t>
            </w:r>
          </w:p>
        </w:tc>
      </w:tr>
      <w:tr>
        <w:tc>
          <w:tcPr>
            <w:tcW w:type="dxa" w:w="890"/>
          </w:tcPr>
          <w:p>
            <w:pPr>
              <w:pStyle w:val="null3"/>
            </w:pPr>
            <w:r>
              <w:rPr/>
              <w:t>8</w:t>
            </w:r>
          </w:p>
        </w:tc>
        <w:tc>
          <w:tcPr>
            <w:tcW w:type="dxa" w:w="3178"/>
          </w:tcPr>
          <w:p>
            <w:pPr>
              <w:pStyle w:val="null3"/>
            </w:pPr>
            <w:r>
              <w:rPr/>
              <w:t>兼投不兼中要求</w:t>
            </w:r>
          </w:p>
        </w:tc>
        <w:tc>
          <w:tcPr>
            <w:tcW w:type="dxa" w:w="4238"/>
          </w:tcPr>
          <w:p>
            <w:pPr>
              <w:pStyle w:val="null3"/>
            </w:pPr>
            <w:r>
              <w:rPr/>
              <w:t>同时对多包组响应的供应商，没有在前面包组被推荐为第一成交候选人的；</w:t>
            </w:r>
          </w:p>
        </w:tc>
      </w:tr>
      <w:tr>
        <w:tc>
          <w:tcPr>
            <w:tcW w:type="dxa" w:w="890"/>
          </w:tcPr>
          <w:p>
            <w:pPr>
              <w:pStyle w:val="null3"/>
            </w:pPr>
            <w:r>
              <w:rPr/>
              <w:t>9</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pPr>
      <w:r>
        <w:rPr/>
        <w:t>采购包3（荔湾区蚊媒控制应急消杀服务（茶滘街、逢源街、石围塘街、冲口街、西村街、华林街、彩虹街））：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按照磋商文件规定要求签署、盖章且响应文件有法定代表人签字或盖个人名章（或签字人有法定代表人有效授权书）的</w:t>
            </w:r>
          </w:p>
        </w:tc>
        <w:tc>
          <w:tcPr>
            <w:tcW w:type="dxa" w:w="4238"/>
          </w:tcPr>
          <w:p>
            <w:pPr>
              <w:pStyle w:val="null3"/>
            </w:pPr>
            <w:r>
              <w:rPr/>
              <w:t>按照磋商文件规定要求签署、盖章且响应文件有法定代表人签字或盖个人名章（或签字人有法定代表人有效授权书）的；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响应承诺函已提交并符合磋商文件要求的，且投标有效期不少于磋商文件中载明的投标有效期；</w:t>
            </w:r>
          </w:p>
        </w:tc>
        <w:tc>
          <w:tcPr>
            <w:tcW w:type="dxa" w:w="4238"/>
          </w:tcPr>
          <w:p>
            <w:pPr>
              <w:pStyle w:val="null3"/>
            </w:pPr>
            <w:r>
              <w:rPr/>
              <w:t>响应承诺函已提交并符合磋商文件要求的，且投标有效期不少于磋商文件中载明的投标有效期；</w:t>
            </w:r>
          </w:p>
        </w:tc>
      </w:tr>
      <w:tr>
        <w:tc>
          <w:tcPr>
            <w:tcW w:type="dxa" w:w="890"/>
          </w:tcPr>
          <w:p>
            <w:pPr>
              <w:pStyle w:val="null3"/>
            </w:pPr>
            <w:r>
              <w:rPr/>
              <w:t>3</w:t>
            </w:r>
          </w:p>
        </w:tc>
        <w:tc>
          <w:tcPr>
            <w:tcW w:type="dxa" w:w="3178"/>
          </w:tcPr>
          <w:p>
            <w:pPr>
              <w:pStyle w:val="null3"/>
            </w:pPr>
            <w:r>
              <w:rPr/>
              <w:t>磋商报价要求</w:t>
            </w:r>
          </w:p>
        </w:tc>
        <w:tc>
          <w:tcPr>
            <w:tcW w:type="dxa" w:w="4238"/>
          </w:tcPr>
          <w:p>
            <w:pPr>
              <w:pStyle w:val="null3"/>
            </w:pPr>
            <w:r>
              <w:rPr/>
              <w:t>磋商报价按照磋商文件要求进行报价，没有删除品种、缺项、漏项（数量不符合将被视为漏项）的；</w:t>
            </w:r>
          </w:p>
        </w:tc>
      </w:tr>
      <w:tr>
        <w:tc>
          <w:tcPr>
            <w:tcW w:type="dxa" w:w="890"/>
          </w:tcPr>
          <w:p>
            <w:pPr>
              <w:pStyle w:val="null3"/>
            </w:pPr>
            <w:r>
              <w:rPr/>
              <w:t>4</w:t>
            </w:r>
          </w:p>
        </w:tc>
        <w:tc>
          <w:tcPr>
            <w:tcW w:type="dxa" w:w="3178"/>
          </w:tcPr>
          <w:p>
            <w:pPr>
              <w:pStyle w:val="null3"/>
            </w:pPr>
            <w:r>
              <w:rPr/>
              <w:t>磋商报价要求</w:t>
            </w:r>
          </w:p>
        </w:tc>
        <w:tc>
          <w:tcPr>
            <w:tcW w:type="dxa" w:w="4238"/>
          </w:tcPr>
          <w:p>
            <w:pPr>
              <w:pStyle w:val="null3"/>
            </w:pPr>
            <w:r>
              <w:rPr/>
              <w:t>最后磋商单价投标报价未超过对应采购内容单价最高限价的；</w:t>
            </w:r>
          </w:p>
        </w:tc>
      </w:tr>
      <w:tr>
        <w:tc>
          <w:tcPr>
            <w:tcW w:type="dxa" w:w="890"/>
          </w:tcPr>
          <w:p>
            <w:pPr>
              <w:pStyle w:val="null3"/>
            </w:pPr>
            <w:r>
              <w:rPr/>
              <w:t>5</w:t>
            </w:r>
          </w:p>
        </w:tc>
        <w:tc>
          <w:tcPr>
            <w:tcW w:type="dxa" w:w="3178"/>
          </w:tcPr>
          <w:p>
            <w:pPr>
              <w:pStyle w:val="null3"/>
            </w:pPr>
            <w:r>
              <w:rPr/>
              <w:t>磋商报价要求</w:t>
            </w:r>
          </w:p>
        </w:tc>
        <w:tc>
          <w:tcPr>
            <w:tcW w:type="dxa" w:w="4238"/>
          </w:tcPr>
          <w:p>
            <w:pPr>
              <w:pStyle w:val="null3"/>
            </w:pPr>
            <w:r>
              <w:rPr/>
              <w:t>响应文件未出现选择性报价或有附加条件报价的情形；</w:t>
            </w:r>
          </w:p>
        </w:tc>
      </w:tr>
      <w:tr>
        <w:tc>
          <w:tcPr>
            <w:tcW w:type="dxa" w:w="890"/>
          </w:tcPr>
          <w:p>
            <w:pPr>
              <w:pStyle w:val="null3"/>
            </w:pPr>
            <w:r>
              <w:rPr/>
              <w:t>6</w:t>
            </w:r>
          </w:p>
        </w:tc>
        <w:tc>
          <w:tcPr>
            <w:tcW w:type="dxa" w:w="3178"/>
          </w:tcPr>
          <w:p>
            <w:pPr>
              <w:pStyle w:val="null3"/>
            </w:pPr>
            <w:r>
              <w:rPr/>
              <w:t>响应文件完全满足磋商文件的实质性条款（即标注★号条款）无负偏离的</w:t>
            </w:r>
          </w:p>
        </w:tc>
        <w:tc>
          <w:tcPr>
            <w:tcW w:type="dxa" w:w="4238"/>
          </w:tcPr>
          <w:p>
            <w:pPr>
              <w:pStyle w:val="null3"/>
            </w:pPr>
            <w:r>
              <w:rPr/>
              <w:t>响应文件完全满足磋商文件的实质性条款（即标注★号条款）无负偏离的；</w:t>
            </w:r>
          </w:p>
        </w:tc>
      </w:tr>
      <w:tr>
        <w:tc>
          <w:tcPr>
            <w:tcW w:type="dxa" w:w="890"/>
          </w:tcPr>
          <w:p>
            <w:pPr>
              <w:pStyle w:val="null3"/>
            </w:pPr>
            <w:r>
              <w:rPr/>
              <w:t>7</w:t>
            </w:r>
          </w:p>
        </w:tc>
        <w:tc>
          <w:tcPr>
            <w:tcW w:type="dxa" w:w="3178"/>
          </w:tcPr>
          <w:p>
            <w:pPr>
              <w:pStyle w:val="null3"/>
            </w:pPr>
            <w:r>
              <w:rPr/>
              <w:t>响应文件没有磋商文件中规定的其它无效投标条款的</w:t>
            </w:r>
          </w:p>
        </w:tc>
        <w:tc>
          <w:tcPr>
            <w:tcW w:type="dxa" w:w="4238"/>
          </w:tcPr>
          <w:p>
            <w:pPr>
              <w:pStyle w:val="null3"/>
            </w:pPr>
            <w:r>
              <w:rPr/>
              <w:t>响应文件没有磋商文件中规定的其它无效投标条款的；</w:t>
            </w:r>
          </w:p>
        </w:tc>
      </w:tr>
      <w:tr>
        <w:tc>
          <w:tcPr>
            <w:tcW w:type="dxa" w:w="890"/>
          </w:tcPr>
          <w:p>
            <w:pPr>
              <w:pStyle w:val="null3"/>
            </w:pPr>
            <w:r>
              <w:rPr/>
              <w:t>8</w:t>
            </w:r>
          </w:p>
        </w:tc>
        <w:tc>
          <w:tcPr>
            <w:tcW w:type="dxa" w:w="3178"/>
          </w:tcPr>
          <w:p>
            <w:pPr>
              <w:pStyle w:val="null3"/>
            </w:pPr>
            <w:r>
              <w:rPr/>
              <w:t>兼投不兼中要求</w:t>
            </w:r>
          </w:p>
        </w:tc>
        <w:tc>
          <w:tcPr>
            <w:tcW w:type="dxa" w:w="4238"/>
          </w:tcPr>
          <w:p>
            <w:pPr>
              <w:pStyle w:val="null3"/>
            </w:pPr>
            <w:r>
              <w:rPr/>
              <w:t>同时对多包组响应的供应商，没有在前面包组被推荐为第一成交候选人的；</w:t>
            </w:r>
          </w:p>
        </w:tc>
      </w:tr>
      <w:tr>
        <w:tc>
          <w:tcPr>
            <w:tcW w:type="dxa" w:w="890"/>
          </w:tcPr>
          <w:p>
            <w:pPr>
              <w:pStyle w:val="null3"/>
            </w:pPr>
            <w:r>
              <w:rPr/>
              <w:t>9</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采购包1(荔湾区蚊媒控制应急消杀服务（海龙街、金花街、龙津街、白鹤洞街、花地街、桥中街、站前街、沙面街）):</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技术部分57.0分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对项目的理解、重点难点分析1 (3.0分)</w:t>
            </w:r>
          </w:p>
        </w:tc>
        <w:tc>
          <w:tcPr>
            <w:tcW w:type="dxa" w:w="5076"/>
          </w:tcPr>
          <w:p>
            <w:pPr>
              <w:pStyle w:val="null3"/>
              <w:jc w:val="left"/>
            </w:pPr>
            <w:r>
              <w:rPr/>
              <w:t>根据供应商提供的项目的理解、重点难点分析进行评审：分析包含①本项目背景分析、②对本项目服务内容存在的主要问题分析、③结合以往经验提出操作性强的应对措施的，得3分；未提供或提供的项目的理解、重点难点分析未包含上述任意一点的，此小项不得分，以及下一评审项“对项目的理解、重点难点分析2”均不得分。</w:t>
            </w:r>
          </w:p>
        </w:tc>
      </w:tr>
      <w:tr>
        <w:tc>
          <w:tcPr>
            <w:tcW w:type="dxa" w:w="922"/>
            <w:gridSpan w:val="2"/>
            <w:vMerge/>
          </w:tcPr>
          <w:p/>
        </w:tc>
        <w:tc>
          <w:tcPr>
            <w:tcW w:type="dxa" w:w="2307"/>
          </w:tcPr>
          <w:p>
            <w:pPr>
              <w:pStyle w:val="null3"/>
              <w:jc w:val="left"/>
            </w:pPr>
            <w:r>
              <w:rPr/>
              <w:t>对项目的理解、重点难点分析2 (7.0分)</w:t>
            </w:r>
          </w:p>
        </w:tc>
        <w:tc>
          <w:tcPr>
            <w:tcW w:type="dxa" w:w="5076"/>
          </w:tcPr>
          <w:p>
            <w:pPr>
              <w:pStyle w:val="null3"/>
              <w:jc w:val="left"/>
            </w:pPr>
            <w:r>
              <w:rPr/>
              <w:t>对于满足上一评审要求“对项目的理解、重点难点分析1”的对项目的理解、重点难点分析进行评审： （1）供应商提供的分析结合项目背景分析深刻痛彻，提出的问题针对性强，对应的应对措施科学性、可行性强，完全满足且优于采购需求的，得7分； （2）供应商提供的分析结合项目背景分析比较深刻痛彻，提出的问题针对性较强，对应的应对措施科学性、可行性较强，完全满足采购需求的，得5分； （3）供应商提供的分析结合项目背景分析浅显，提出的问题针对性一般，对应的应对措施科学性、可行性一般，部分满足采购需求的，得3分； （4）其他情况的，不得分。</w:t>
            </w:r>
          </w:p>
        </w:tc>
      </w:tr>
      <w:tr>
        <w:tc>
          <w:tcPr>
            <w:tcW w:type="dxa" w:w="922"/>
            <w:gridSpan w:val="2"/>
            <w:vMerge/>
          </w:tcPr>
          <w:p/>
        </w:tc>
        <w:tc>
          <w:tcPr>
            <w:tcW w:type="dxa" w:w="2307"/>
          </w:tcPr>
          <w:p>
            <w:pPr>
              <w:pStyle w:val="null3"/>
              <w:jc w:val="left"/>
            </w:pPr>
            <w:r>
              <w:rPr/>
              <w:t>项目服务方案1 (3.0分)</w:t>
            </w:r>
          </w:p>
        </w:tc>
        <w:tc>
          <w:tcPr>
            <w:tcW w:type="dxa" w:w="5076"/>
          </w:tcPr>
          <w:p>
            <w:pPr>
              <w:pStyle w:val="null3"/>
              <w:jc w:val="left"/>
            </w:pPr>
            <w:r>
              <w:rPr/>
              <w:t>根据供应商提供的项目服务方案进行评审，方案包含①对项目服务内容开展的工作方法、②技术路线、③服务流程、④项目进度计划、⑤根据服务区中疫情相关蚊媒生物种类的生物学特征进行现场控制的计划的，得3分；未提供或提供的服务方案未包含上述任意一点的，此小项不得分，以及下一评审项“项目服务方案2”均不得分。</w:t>
            </w:r>
          </w:p>
        </w:tc>
      </w:tr>
      <w:tr>
        <w:tc>
          <w:tcPr>
            <w:tcW w:type="dxa" w:w="922"/>
            <w:gridSpan w:val="2"/>
            <w:vMerge/>
          </w:tcPr>
          <w:p/>
        </w:tc>
        <w:tc>
          <w:tcPr>
            <w:tcW w:type="dxa" w:w="2307"/>
          </w:tcPr>
          <w:p>
            <w:pPr>
              <w:pStyle w:val="null3"/>
              <w:jc w:val="left"/>
            </w:pPr>
            <w:r>
              <w:rPr/>
              <w:t>项目服务方案2 (7.0分)</w:t>
            </w:r>
          </w:p>
        </w:tc>
        <w:tc>
          <w:tcPr>
            <w:tcW w:type="dxa" w:w="5076"/>
          </w:tcPr>
          <w:p>
            <w:pPr>
              <w:pStyle w:val="null3"/>
              <w:jc w:val="left"/>
            </w:pPr>
            <w:r>
              <w:rPr/>
              <w:t>对于满足上一评审要求“项目服务方案1”的项目服务方案进行评审： （1）供应商提供的项目服务方案提出的工作办法全面详细、可行性强，技术路线设计严谨，服务流程清晰高效，进度计划动态可控，能完全满足且优于采购需求的，得7分； （2）供应商提供的项目服务方案提出的工作办法比较详细、可行性较强，技术路线设计较严谨，服务流程比较清晰高效，进度计划较可控，完全满足采购需求的，得5分； （3）供应商提供的项目服务方案提出的工作办法片面、可行性一般，技术路线设计不够严谨，服务流程比较模糊，进度计划不太可控，部分满足采购需求的，得3分； （4）其他情况的，不得分。</w:t>
            </w:r>
          </w:p>
        </w:tc>
      </w:tr>
      <w:tr>
        <w:tc>
          <w:tcPr>
            <w:tcW w:type="dxa" w:w="922"/>
            <w:gridSpan w:val="2"/>
            <w:vMerge/>
          </w:tcPr>
          <w:p/>
        </w:tc>
        <w:tc>
          <w:tcPr>
            <w:tcW w:type="dxa" w:w="2307"/>
          </w:tcPr>
          <w:p>
            <w:pPr>
              <w:pStyle w:val="null3"/>
              <w:jc w:val="left"/>
            </w:pPr>
            <w:r>
              <w:rPr/>
              <w:t>技术方案1 (3.0分)</w:t>
            </w:r>
          </w:p>
        </w:tc>
        <w:tc>
          <w:tcPr>
            <w:tcW w:type="dxa" w:w="5076"/>
          </w:tcPr>
          <w:p>
            <w:pPr>
              <w:pStyle w:val="null3"/>
              <w:jc w:val="left"/>
            </w:pPr>
            <w:r>
              <w:rPr/>
              <w:t>根据供应商提供的技术方案进行评审，方案包括①对服务区内各种类型环境如老城区、城中村、城乡结合部等的外环境特征的分析；②本项目的系统控制方法的，得3分；未提供或提供的技术方案未包含上述任意一点的，此小项不得分，以及下一评审项“技术方案2”均不得分。</w:t>
            </w:r>
          </w:p>
        </w:tc>
      </w:tr>
      <w:tr>
        <w:tc>
          <w:tcPr>
            <w:tcW w:type="dxa" w:w="922"/>
            <w:gridSpan w:val="2"/>
            <w:vMerge/>
          </w:tcPr>
          <w:p/>
        </w:tc>
        <w:tc>
          <w:tcPr>
            <w:tcW w:type="dxa" w:w="2307"/>
          </w:tcPr>
          <w:p>
            <w:pPr>
              <w:pStyle w:val="null3"/>
              <w:jc w:val="left"/>
            </w:pPr>
            <w:r>
              <w:rPr/>
              <w:t>技术方案2 (7.0分)</w:t>
            </w:r>
          </w:p>
        </w:tc>
        <w:tc>
          <w:tcPr>
            <w:tcW w:type="dxa" w:w="5076"/>
          </w:tcPr>
          <w:p>
            <w:pPr>
              <w:pStyle w:val="null3"/>
              <w:jc w:val="left"/>
            </w:pPr>
            <w:r>
              <w:rPr/>
              <w:t>对于满足上一评审要求“技术方案1”的技术方案进行评审： （1）供应商提供的技术方案能针对服务区内多元化环境特征（如老城区、城中村、城乡结合部等）开展详细全面的差异化外环境分析，提出的系统控制方法针对性、可行性强，能完全满足且优于采购需求的，得7分； （2）供应商提供的技术方案能针对服务区内多元化环境特征（如老城区、城中村、城乡结合部等）开展比较详细全面的差异化外环境分析，提出的系统控制方法针对性、可行性较强，能完全满足采购需求的，得5分； （3）供应商提供的技术方案能针对服务区内多元化环境特征（如老城区、城中村、城乡结合部等）开展基础的分析，但不能实现差异化分析，提出的系统控制方法针对性、可行性一般，能部分满足采购需求的，得3分； （4）其他情况的，不得分。</w:t>
            </w:r>
          </w:p>
        </w:tc>
      </w:tr>
      <w:tr>
        <w:tc>
          <w:tcPr>
            <w:tcW w:type="dxa" w:w="922"/>
            <w:gridSpan w:val="2"/>
            <w:vMerge/>
          </w:tcPr>
          <w:p/>
        </w:tc>
        <w:tc>
          <w:tcPr>
            <w:tcW w:type="dxa" w:w="2307"/>
          </w:tcPr>
          <w:p>
            <w:pPr>
              <w:pStyle w:val="null3"/>
              <w:jc w:val="left"/>
            </w:pPr>
            <w:r>
              <w:rPr/>
              <w:t>突发事件应急措施1 (3.0分)</w:t>
            </w:r>
          </w:p>
        </w:tc>
        <w:tc>
          <w:tcPr>
            <w:tcW w:type="dxa" w:w="5076"/>
          </w:tcPr>
          <w:p>
            <w:pPr>
              <w:pStyle w:val="null3"/>
              <w:jc w:val="left"/>
            </w:pPr>
            <w:r>
              <w:rPr/>
              <w:t>根据供应商提供的应急管理方案进行评审，方案包括①人力、物力处置能力、②疫情应急处置预案、③疫情应急响应的，得3分；未提供或提供的应急管理方案未包含上述任意一点的，此小项不得分，以及下一评审项“突发事件应急措施2”均不得分。</w:t>
            </w:r>
          </w:p>
        </w:tc>
      </w:tr>
      <w:tr>
        <w:tc>
          <w:tcPr>
            <w:tcW w:type="dxa" w:w="922"/>
            <w:gridSpan w:val="2"/>
            <w:vMerge/>
          </w:tcPr>
          <w:p/>
        </w:tc>
        <w:tc>
          <w:tcPr>
            <w:tcW w:type="dxa" w:w="2307"/>
          </w:tcPr>
          <w:p>
            <w:pPr>
              <w:pStyle w:val="null3"/>
              <w:jc w:val="left"/>
            </w:pPr>
            <w:r>
              <w:rPr/>
              <w:t>突发事件应急措施2 (7.0分)</w:t>
            </w:r>
          </w:p>
        </w:tc>
        <w:tc>
          <w:tcPr>
            <w:tcW w:type="dxa" w:w="5076"/>
          </w:tcPr>
          <w:p>
            <w:pPr>
              <w:pStyle w:val="null3"/>
              <w:jc w:val="left"/>
            </w:pPr>
            <w:r>
              <w:rPr/>
              <w:t>对于满足上一评审要求“突发事件应急措施1”的突发事件应急措施进行评审： （1）供应商提供的应急管理方案物资调配高效，应急处置预案完善、流程清晰，应急响应相关措施到位、能有效控制疫情扩散，能完全满足且优于采购需求的，得7分； （2）供应商提供的应急管理方案物资调配比较高效，应急处置预案比较完善、流程比较清晰，应急响应相关措施比较到位、能控制疫情扩散，完全满足采购需求的，得5分； （3）供应商提供的应急管理方案物资调配不够高效，应急处置预案不够完善、流程模糊，应急响应相关措施不够到位、勉强控制疫情扩散，部分满足采购需求的，得3分； （4）其他情况的，不得分。</w:t>
            </w:r>
          </w:p>
        </w:tc>
      </w:tr>
      <w:tr>
        <w:tc>
          <w:tcPr>
            <w:tcW w:type="dxa" w:w="922"/>
            <w:gridSpan w:val="2"/>
            <w:vMerge/>
          </w:tcPr>
          <w:p/>
        </w:tc>
        <w:tc>
          <w:tcPr>
            <w:tcW w:type="dxa" w:w="2307"/>
          </w:tcPr>
          <w:p>
            <w:pPr>
              <w:pStyle w:val="null3"/>
              <w:jc w:val="left"/>
            </w:pPr>
            <w:r>
              <w:rPr/>
              <w:t>药物供应使用情况及安全保证措施1 (3.0分)</w:t>
            </w:r>
          </w:p>
        </w:tc>
        <w:tc>
          <w:tcPr>
            <w:tcW w:type="dxa" w:w="5076"/>
          </w:tcPr>
          <w:p>
            <w:pPr>
              <w:pStyle w:val="null3"/>
              <w:jc w:val="left"/>
            </w:pPr>
            <w:r>
              <w:rPr/>
              <w:t>根据供应商提供的药物供应使用情况及安全保证措施进行评审，包括①药物供应渠道、②使用及保管规范、③配备的药物情况及安全保证措施的，得3分；未提供或提供的药物供应使用情况及安全保证措施未上述任意一点的，此小项不得分，以及下一评审项“药物供应使用情况及安全保证措施2”均不得分。</w:t>
            </w:r>
          </w:p>
        </w:tc>
      </w:tr>
      <w:tr>
        <w:tc>
          <w:tcPr>
            <w:tcW w:type="dxa" w:w="922"/>
            <w:gridSpan w:val="2"/>
            <w:vMerge/>
          </w:tcPr>
          <w:p/>
        </w:tc>
        <w:tc>
          <w:tcPr>
            <w:tcW w:type="dxa" w:w="2307"/>
          </w:tcPr>
          <w:p>
            <w:pPr>
              <w:pStyle w:val="null3"/>
              <w:jc w:val="left"/>
            </w:pPr>
            <w:r>
              <w:rPr/>
              <w:t>药物供应使用情况及安全保证措施2 (7.0分)</w:t>
            </w:r>
          </w:p>
        </w:tc>
        <w:tc>
          <w:tcPr>
            <w:tcW w:type="dxa" w:w="5076"/>
          </w:tcPr>
          <w:p>
            <w:pPr>
              <w:pStyle w:val="null3"/>
              <w:jc w:val="left"/>
            </w:pPr>
            <w:r>
              <w:rPr/>
              <w:t>对于满足上一评审要求“药物供应使用情况及安全保证措施1”的药物供应使用情况及安全保证措施进行评审： （1）供应商提供的药物供应使用情况及安全保证措施中药物供应渠道资质审核严格、采购流程规范、能确保药品来源可靠，依照药品特性科学储存、效期管理严格、使用流程规范，药物配备齐全、安全措施到位、能有效保障用药安全，能完全满足且优于采购需求的，得7分； （2）供应商提供的药物供应使用情况及安全保证措施中药物供应渠道资质审核比较严格、采购流程比较规范、药品来源比较可靠，药品储存比较科学、效期管理比较严格、使用流程比较规范，药物配备比较齐全、安全措施比较到位、能保障用药安全，完全满足采购需求的，得5分； （3）供应商提供的药物供应使用情况及安全保证措施中药物供应渠道资质审核不够严格、采购流程比较模糊、药品来源不够可靠，药品储存不够科学、效期管理松散、使用流程不够规范，药物配备不够齐全、安全措施不够到位、能保障用药安全，能部分满足采购需求的，得3分； （4）其他情况的，不得分。</w:t>
            </w:r>
          </w:p>
        </w:tc>
      </w:tr>
      <w:tr>
        <w:tc>
          <w:tcPr>
            <w:tcW w:type="dxa" w:w="922"/>
            <w:gridSpan w:val="2"/>
            <w:vMerge/>
          </w:tcPr>
          <w:p/>
        </w:tc>
        <w:tc>
          <w:tcPr>
            <w:tcW w:type="dxa" w:w="2307"/>
          </w:tcPr>
          <w:p>
            <w:pPr>
              <w:pStyle w:val="null3"/>
              <w:jc w:val="left"/>
            </w:pPr>
            <w:r>
              <w:rPr/>
              <w:t>针对服务区域的可行性建议1 (2.0分)</w:t>
            </w:r>
          </w:p>
        </w:tc>
        <w:tc>
          <w:tcPr>
            <w:tcW w:type="dxa" w:w="5076"/>
          </w:tcPr>
          <w:p>
            <w:pPr>
              <w:pStyle w:val="null3"/>
              <w:jc w:val="left"/>
            </w:pPr>
            <w:r>
              <w:rPr/>
              <w:t>根据供应商提供的针对服务区域的其他建议进行评审，包含①人流量、居民生活习惯、建筑物、植被、公共设施等特征的分析、②有利于控制本区域疫情的建议方案的，得2分；未提供或提供的针对服务区域的其他建议未包含上述任意一点的，此小项不得分，以及下一评审项“针对服务区域的可行性建议2”均不得分。</w:t>
            </w:r>
          </w:p>
        </w:tc>
      </w:tr>
      <w:tr>
        <w:tc>
          <w:tcPr>
            <w:tcW w:type="dxa" w:w="922"/>
            <w:gridSpan w:val="2"/>
            <w:vMerge/>
          </w:tcPr>
          <w:p/>
        </w:tc>
        <w:tc>
          <w:tcPr>
            <w:tcW w:type="dxa" w:w="2307"/>
          </w:tcPr>
          <w:p>
            <w:pPr>
              <w:pStyle w:val="null3"/>
              <w:jc w:val="left"/>
            </w:pPr>
            <w:r>
              <w:rPr/>
              <w:t>针对服务区域的可行性建议2 (5.0分)</w:t>
            </w:r>
          </w:p>
        </w:tc>
        <w:tc>
          <w:tcPr>
            <w:tcW w:type="dxa" w:w="5076"/>
          </w:tcPr>
          <w:p>
            <w:pPr>
              <w:pStyle w:val="null3"/>
              <w:jc w:val="left"/>
            </w:pPr>
            <w:r>
              <w:rPr/>
              <w:t>对于满足上一评审要求“针对服务区域的可行性建议1”的针对服务区域的可行性建议进行评审： （1）供应商针对服务区域的提供的可行性建议中分析的相关数据清晰、考虑全面、能识别关键风险点，并能提出措施明确、可行性强的建议，完全满足且优于采购需求的，得5分； （2）供应商针对服务区域的提供的可行性建议中分析的相关数据比较清晰、考虑比较全面、能识别部分关键风险点，并能提出措施比较明确、可行性较强的建议，完全满足采购需求的，得3分； （3）供应商针对服务区域的提供的可行性建议中分析的相关数据比较含糊、考虑比较片面、不能识别关键风险点，提出的建议措施比较模糊、可行性一般，部分满足采购需求的，得1分； （4）其他情况的，不得分。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拟投入本项目的现场负责人 (3.0分)</w:t>
            </w:r>
          </w:p>
        </w:tc>
        <w:tc>
          <w:tcPr>
            <w:tcW w:type="dxa" w:w="5076"/>
          </w:tcPr>
          <w:p>
            <w:pPr>
              <w:pStyle w:val="null3"/>
              <w:jc w:val="left"/>
            </w:pPr>
            <w:r>
              <w:rPr/>
              <w:t>为了满足项目实际需要，拟投入本项目的现场负责人要求如下： （1）具备有害生物防制员中级工（或四级）资格证书（或职业技能等级证书）的，得1.5分； （2）具备有害生物防制高级工（或三级）资格证书（或职业技能等级证书）的，得3分； 注：需同时提供现场负责人的有害生物防制员资格证书（或职业技能等级证书）复印件、人员身份证复印件、政府部门出具的2025年3月至今任意1个月现场负责人在本单位缴纳社保的证明材料。证明材料不齐全不得分，不提供不得分。</w:t>
            </w:r>
          </w:p>
        </w:tc>
      </w:tr>
      <w:tr>
        <w:tc>
          <w:tcPr>
            <w:tcW w:type="dxa" w:w="922"/>
            <w:gridSpan w:val="2"/>
            <w:vMerge/>
          </w:tcPr>
          <w:p/>
        </w:tc>
        <w:tc>
          <w:tcPr>
            <w:tcW w:type="dxa" w:w="2307"/>
          </w:tcPr>
          <w:p>
            <w:pPr>
              <w:pStyle w:val="null3"/>
              <w:jc w:val="left"/>
            </w:pPr>
            <w:r>
              <w:rPr/>
              <w:t>拟投入本项目的服务团队 (18.0分)</w:t>
            </w:r>
          </w:p>
        </w:tc>
        <w:tc>
          <w:tcPr>
            <w:tcW w:type="dxa" w:w="5076"/>
          </w:tcPr>
          <w:p>
            <w:pPr>
              <w:pStyle w:val="null3"/>
              <w:jc w:val="left"/>
            </w:pPr>
            <w:r>
              <w:rPr/>
              <w:t>（1）供应商提供的一支12人（不含现场负责人）消杀队伍中，每位成员都具有有害生物防制员初级工（或五级）或以上资格证或卫生有害生物防制协会颁发的合格培训证书的，本小项得3.6分。 （2）在第一点的基础上，每多提供一名具有有害生物防制员初级工（或五级）或以上资格证或卫生有害生物防制协会颁发的合格培训证书的成员，得0.3分，本小项最高累计得14.4分。 本评审项最高累计得18分。 注：需同时提供有害生物防制员初级（或五级）或以上资格证或卫生有害生物防制协会颁发的合格培训证书复印件、人员身份证扫描件作为1名有效人员证明材料。证明材料不齐全不得分，不提供不得分。</w:t>
            </w:r>
          </w:p>
        </w:tc>
      </w:tr>
      <w:tr>
        <w:tc>
          <w:tcPr>
            <w:tcW w:type="dxa" w:w="922"/>
            <w:gridSpan w:val="2"/>
            <w:vMerge/>
          </w:tcPr>
          <w:p/>
        </w:tc>
        <w:tc>
          <w:tcPr>
            <w:tcW w:type="dxa" w:w="2307"/>
          </w:tcPr>
          <w:p>
            <w:pPr>
              <w:pStyle w:val="null3"/>
              <w:jc w:val="left"/>
            </w:pPr>
            <w:r>
              <w:rPr/>
              <w:t>业绩情况 (5.0分)</w:t>
            </w:r>
          </w:p>
        </w:tc>
        <w:tc>
          <w:tcPr>
            <w:tcW w:type="dxa" w:w="5076"/>
          </w:tcPr>
          <w:p>
            <w:pPr>
              <w:pStyle w:val="null3"/>
              <w:jc w:val="left"/>
            </w:pPr>
            <w:r>
              <w:rPr/>
              <w:t>根据响应供应商2023年1月1日至今（以合同签订时间为准）具备同类项目（指蚊媒消杀）业绩，每提供1份得1分，本项最高累计得5分。 注：须提供合同关键页（含签订合同双方的单位名称、合同项目名称、服务内容、签订合同双方的落款盖章、签订日期的关键页），未按要求提供或提供的证明材料不符合要求的不予计分。同一合同甲方单位多个项目仅按一个业绩计算。</w:t>
            </w:r>
          </w:p>
        </w:tc>
      </w:tr>
      <w:tr>
        <w:tc>
          <w:tcPr>
            <w:tcW w:type="dxa" w:w="922"/>
            <w:gridSpan w:val="2"/>
            <w:vMerge/>
          </w:tcPr>
          <w:p/>
        </w:tc>
        <w:tc>
          <w:tcPr>
            <w:tcW w:type="dxa" w:w="2307"/>
          </w:tcPr>
          <w:p>
            <w:pPr>
              <w:pStyle w:val="null3"/>
              <w:jc w:val="left"/>
            </w:pPr>
            <w:r>
              <w:rPr/>
              <w:t>客户评价 (2.0分)</w:t>
            </w:r>
          </w:p>
        </w:tc>
        <w:tc>
          <w:tcPr>
            <w:tcW w:type="dxa" w:w="5076"/>
          </w:tcPr>
          <w:p>
            <w:pPr>
              <w:pStyle w:val="null3"/>
              <w:jc w:val="left"/>
            </w:pPr>
            <w:r>
              <w:rPr/>
              <w:t>符合“业绩情况”评审要求的业绩中，供应商有获得客户对其服务质量评价，且评价内容须包括满意或优或90分以上等类似的正面满意度评价的，每提供一份得0.5分，最高累计得2分。 注：须提供加盖客户（甲方）单位公章或业务管理部门章等内设机构章的满意度评价证明材料复印件并加盖供应商公章。同一甲方单位同一个合同项下多个评价材料仅按一个评价计算。</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采购包2(荔湾区蚊媒控制应急消杀服务（中南街、东漖街、东沙街、岭南街、昌华街、多宝街、南源街）):</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技术部分57.0分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对项目的理解、重点难点分析1 (3.0分)</w:t>
            </w:r>
          </w:p>
        </w:tc>
        <w:tc>
          <w:tcPr>
            <w:tcW w:type="dxa" w:w="5076"/>
          </w:tcPr>
          <w:p>
            <w:pPr>
              <w:pStyle w:val="null3"/>
              <w:jc w:val="left"/>
            </w:pPr>
            <w:r>
              <w:rPr/>
              <w:t>根据供应商提供的项目的理解、重点难点分析进行评审：分析包含①本项目背景分析、②对本项目服务内容存在的主要问题分析、③结合以往经验提出操作性强的应对措施的，得3分；未提供或提供的项目的理解、重点难点分析未包含上述任意一点的，此小项不得分，以及下一评审项“对项目的理解、重点难点分析2”均不得分。</w:t>
            </w:r>
          </w:p>
        </w:tc>
      </w:tr>
      <w:tr>
        <w:tc>
          <w:tcPr>
            <w:tcW w:type="dxa" w:w="922"/>
            <w:gridSpan w:val="2"/>
            <w:vMerge/>
          </w:tcPr>
          <w:p/>
        </w:tc>
        <w:tc>
          <w:tcPr>
            <w:tcW w:type="dxa" w:w="2307"/>
          </w:tcPr>
          <w:p>
            <w:pPr>
              <w:pStyle w:val="null3"/>
              <w:jc w:val="left"/>
            </w:pPr>
            <w:r>
              <w:rPr/>
              <w:t>对项目的理解、重点难点分析2 (7.0分)</w:t>
            </w:r>
          </w:p>
        </w:tc>
        <w:tc>
          <w:tcPr>
            <w:tcW w:type="dxa" w:w="5076"/>
          </w:tcPr>
          <w:p>
            <w:pPr>
              <w:pStyle w:val="null3"/>
              <w:jc w:val="left"/>
            </w:pPr>
            <w:r>
              <w:rPr/>
              <w:t>对于满足上一评审要求“对项目的理解、重点难点分析1”的对项目的理解、重点难点分析进行评审： （1）供应商提供的分析结合项目背景分析深刻痛彻，提出的问题针对性强，对应的应对措施科学性、可行性强，完全满足且优于采购需求的，得7分； （2）供应商提供的分析结合项目背景分析比较深刻痛彻，提出的问题针对性较强，对应的应对措施科学性、可行性较强，完全满足采购需求的，得5分； （3）供应商提供的分析结合项目背景分析浅显，提出的问题针对性一般，对应的应对措施科学性、可行性一般，部分满足采购需求的，得3分； （4）其他情况的，不得分。</w:t>
            </w:r>
          </w:p>
        </w:tc>
      </w:tr>
      <w:tr>
        <w:tc>
          <w:tcPr>
            <w:tcW w:type="dxa" w:w="922"/>
            <w:gridSpan w:val="2"/>
            <w:vMerge/>
          </w:tcPr>
          <w:p/>
        </w:tc>
        <w:tc>
          <w:tcPr>
            <w:tcW w:type="dxa" w:w="2307"/>
          </w:tcPr>
          <w:p>
            <w:pPr>
              <w:pStyle w:val="null3"/>
              <w:jc w:val="left"/>
            </w:pPr>
            <w:r>
              <w:rPr/>
              <w:t>项目服务方案1 (3.0分)</w:t>
            </w:r>
          </w:p>
        </w:tc>
        <w:tc>
          <w:tcPr>
            <w:tcW w:type="dxa" w:w="5076"/>
          </w:tcPr>
          <w:p>
            <w:pPr>
              <w:pStyle w:val="null3"/>
              <w:jc w:val="left"/>
            </w:pPr>
            <w:r>
              <w:rPr/>
              <w:t>根据供应商提供的项目服务方案进行评审，方案包含①对项目服务内容开展的工作方法、②技术路线、③服务流程、④项目进度计划、⑤根据服务区中疫情相关蚊媒生物种类的生物学特征进行现场控制的计划的，得3分；未提供或提供的服务方案未包含上述任意一点的，此小项不得分，以及下一评审项“项目服务方案2”均不得分。</w:t>
            </w:r>
          </w:p>
        </w:tc>
      </w:tr>
      <w:tr>
        <w:tc>
          <w:tcPr>
            <w:tcW w:type="dxa" w:w="922"/>
            <w:gridSpan w:val="2"/>
            <w:vMerge/>
          </w:tcPr>
          <w:p/>
        </w:tc>
        <w:tc>
          <w:tcPr>
            <w:tcW w:type="dxa" w:w="2307"/>
          </w:tcPr>
          <w:p>
            <w:pPr>
              <w:pStyle w:val="null3"/>
              <w:jc w:val="left"/>
            </w:pPr>
            <w:r>
              <w:rPr/>
              <w:t>项目服务方案2 (7.0分)</w:t>
            </w:r>
          </w:p>
        </w:tc>
        <w:tc>
          <w:tcPr>
            <w:tcW w:type="dxa" w:w="5076"/>
          </w:tcPr>
          <w:p>
            <w:pPr>
              <w:pStyle w:val="null3"/>
              <w:jc w:val="left"/>
            </w:pPr>
            <w:r>
              <w:rPr/>
              <w:t>对于满足上一评审要求“项目服务方案1”的项目服务方案进行评审： （1）供应商提供的项目服务方案提出的工作办法全面详细、可行性强，技术路线设计严谨，服务流程清晰高效，进度计划动态可控，能完全满足且优于采购需求的，得7分； （2）供应商提供的项目服务方案提出的工作办法比较详细、可行性较强，技术路线设计较严谨，服务流程比较清晰高效，进度计划较可控，完全满足采购需求的，得5分； （3）供应商提供的项目服务方案提出的工作办法片面、可行性一般，技术路线设计不够严谨，服务流程比较模糊，进度计划不太可控，部分满足采购需求的，得3分； （4）其他情况的，不得分。</w:t>
            </w:r>
          </w:p>
        </w:tc>
      </w:tr>
      <w:tr>
        <w:tc>
          <w:tcPr>
            <w:tcW w:type="dxa" w:w="922"/>
            <w:gridSpan w:val="2"/>
            <w:vMerge/>
          </w:tcPr>
          <w:p/>
        </w:tc>
        <w:tc>
          <w:tcPr>
            <w:tcW w:type="dxa" w:w="2307"/>
          </w:tcPr>
          <w:p>
            <w:pPr>
              <w:pStyle w:val="null3"/>
              <w:jc w:val="left"/>
            </w:pPr>
            <w:r>
              <w:rPr/>
              <w:t>技术方案1 (3.0分)</w:t>
            </w:r>
          </w:p>
        </w:tc>
        <w:tc>
          <w:tcPr>
            <w:tcW w:type="dxa" w:w="5076"/>
          </w:tcPr>
          <w:p>
            <w:pPr>
              <w:pStyle w:val="null3"/>
              <w:jc w:val="left"/>
            </w:pPr>
            <w:r>
              <w:rPr/>
              <w:t>根据供应商提供的技术方案进行评审，方案包括①对服务区内各种类型环境如老城区、城中村、城乡结合部等的外环境特征的分析；②本项目的系统控制方法的，得3分；未提供或提供的技术方案未包含上述任意一点的，此小项不得分，以及下一评审项“技术方案2”均不得分。</w:t>
            </w:r>
          </w:p>
        </w:tc>
      </w:tr>
      <w:tr>
        <w:tc>
          <w:tcPr>
            <w:tcW w:type="dxa" w:w="922"/>
            <w:gridSpan w:val="2"/>
            <w:vMerge/>
          </w:tcPr>
          <w:p/>
        </w:tc>
        <w:tc>
          <w:tcPr>
            <w:tcW w:type="dxa" w:w="2307"/>
          </w:tcPr>
          <w:p>
            <w:pPr>
              <w:pStyle w:val="null3"/>
              <w:jc w:val="left"/>
            </w:pPr>
            <w:r>
              <w:rPr/>
              <w:t>技术方案2 (7.0分)</w:t>
            </w:r>
          </w:p>
        </w:tc>
        <w:tc>
          <w:tcPr>
            <w:tcW w:type="dxa" w:w="5076"/>
          </w:tcPr>
          <w:p>
            <w:pPr>
              <w:pStyle w:val="null3"/>
              <w:jc w:val="left"/>
            </w:pPr>
            <w:r>
              <w:rPr/>
              <w:t>对于满足上一评审要求“技术方案1”的技术方案进行评审： （1）供应商提供的技术方案能针对服务区内多元化环境特征（如老城区、城中村、城乡结合部等）开展详细全面的差异化外环境分析，提出的系统控制方法针对性、可行性强，能完全满足且优于采购需求的，得7分； （2）供应商提供的技术方案能针对服务区内多元化环境特征（如老城区、城中村、城乡结合部等）开展比较详细全面的差异化外环境分析，提出的系统控制方法针对性、可行性较强，能完全满足采购需求的，得5分； （3）供应商提供的技术方案能针对服务区内多元化环境特征（如老城区、城中村、城乡结合部等）开展基础的分析，但不能实现差异化分析，提出的系统控制方法针对性、可行性一般，能部分满足采购需求的，得3分； （4）其他情况的，不得分。</w:t>
            </w:r>
          </w:p>
        </w:tc>
      </w:tr>
      <w:tr>
        <w:tc>
          <w:tcPr>
            <w:tcW w:type="dxa" w:w="922"/>
            <w:gridSpan w:val="2"/>
            <w:vMerge/>
          </w:tcPr>
          <w:p/>
        </w:tc>
        <w:tc>
          <w:tcPr>
            <w:tcW w:type="dxa" w:w="2307"/>
          </w:tcPr>
          <w:p>
            <w:pPr>
              <w:pStyle w:val="null3"/>
              <w:jc w:val="left"/>
            </w:pPr>
            <w:r>
              <w:rPr/>
              <w:t>突发事件应急措施1 (3.0分)</w:t>
            </w:r>
          </w:p>
        </w:tc>
        <w:tc>
          <w:tcPr>
            <w:tcW w:type="dxa" w:w="5076"/>
          </w:tcPr>
          <w:p>
            <w:pPr>
              <w:pStyle w:val="null3"/>
              <w:jc w:val="left"/>
            </w:pPr>
            <w:r>
              <w:rPr/>
              <w:t>根据供应商提供的应急管理方案进行评审，方案包括①人力、物力处置能力、②疫情应急处置预案、③疫情应急响应的，得3分；未提供或提供的应急管理方案未包含上述任意一点的，此小项不得分，以及下一评审项“突发事件应急措施2”均不得分。</w:t>
            </w:r>
          </w:p>
        </w:tc>
      </w:tr>
      <w:tr>
        <w:tc>
          <w:tcPr>
            <w:tcW w:type="dxa" w:w="922"/>
            <w:gridSpan w:val="2"/>
            <w:vMerge/>
          </w:tcPr>
          <w:p/>
        </w:tc>
        <w:tc>
          <w:tcPr>
            <w:tcW w:type="dxa" w:w="2307"/>
          </w:tcPr>
          <w:p>
            <w:pPr>
              <w:pStyle w:val="null3"/>
              <w:jc w:val="left"/>
            </w:pPr>
            <w:r>
              <w:rPr/>
              <w:t>突发事件应急措施2 (7.0分)</w:t>
            </w:r>
          </w:p>
        </w:tc>
        <w:tc>
          <w:tcPr>
            <w:tcW w:type="dxa" w:w="5076"/>
          </w:tcPr>
          <w:p>
            <w:pPr>
              <w:pStyle w:val="null3"/>
              <w:jc w:val="left"/>
            </w:pPr>
            <w:r>
              <w:rPr/>
              <w:t>对于满足上一评审要求“突发事件应急措施1”的突发事件应急措施进行评审： （1）供应商提供的应急管理方案物资调配高效，应急处置预案完善、流程清晰，应急响应相关措施到位、能有效控制疫情扩散，能完全满足且优于采购需求的，得7分； （2）供应商提供的应急管理方案物资调配比较高效，应急处置预案比较完善、流程比较清晰，应急响应相关措施比较到位、能控制疫情扩散，完全满足采购需求的，得5分； （3）供应商提供的应急管理方案物资调配不够高效，应急处置预案不够完善、流程模糊，应急响应相关措施不够到位、勉强控制疫情扩散，部分满足采购需求的，得3分； （4）其他情况的，不得分。</w:t>
            </w:r>
          </w:p>
        </w:tc>
      </w:tr>
      <w:tr>
        <w:tc>
          <w:tcPr>
            <w:tcW w:type="dxa" w:w="922"/>
            <w:gridSpan w:val="2"/>
            <w:vMerge/>
          </w:tcPr>
          <w:p/>
        </w:tc>
        <w:tc>
          <w:tcPr>
            <w:tcW w:type="dxa" w:w="2307"/>
          </w:tcPr>
          <w:p>
            <w:pPr>
              <w:pStyle w:val="null3"/>
              <w:jc w:val="left"/>
            </w:pPr>
            <w:r>
              <w:rPr/>
              <w:t>药物供应使用情况及安全保证措施1 (3.0分)</w:t>
            </w:r>
          </w:p>
        </w:tc>
        <w:tc>
          <w:tcPr>
            <w:tcW w:type="dxa" w:w="5076"/>
          </w:tcPr>
          <w:p>
            <w:pPr>
              <w:pStyle w:val="null3"/>
              <w:jc w:val="left"/>
            </w:pPr>
            <w:r>
              <w:rPr/>
              <w:t>根据供应商提供的药物供应使用情况及安全保证措施进行评审，包括①药物供应渠道、②使用及保管规范、③配备的药物情况及安全保证措施的，得3分；未提供或提供的药物供应使用情况及安全保证措施未上述任意一点的，此小项不得分，以及下一评审项“药物供应使用情况及安全保证措施2”均不得分。</w:t>
            </w:r>
          </w:p>
        </w:tc>
      </w:tr>
      <w:tr>
        <w:tc>
          <w:tcPr>
            <w:tcW w:type="dxa" w:w="922"/>
            <w:gridSpan w:val="2"/>
            <w:vMerge/>
          </w:tcPr>
          <w:p/>
        </w:tc>
        <w:tc>
          <w:tcPr>
            <w:tcW w:type="dxa" w:w="2307"/>
          </w:tcPr>
          <w:p>
            <w:pPr>
              <w:pStyle w:val="null3"/>
              <w:jc w:val="left"/>
            </w:pPr>
            <w:r>
              <w:rPr/>
              <w:t>药物供应使用情况及安全保证措施2 (7.0分)</w:t>
            </w:r>
          </w:p>
        </w:tc>
        <w:tc>
          <w:tcPr>
            <w:tcW w:type="dxa" w:w="5076"/>
          </w:tcPr>
          <w:p>
            <w:pPr>
              <w:pStyle w:val="null3"/>
              <w:jc w:val="left"/>
            </w:pPr>
            <w:r>
              <w:rPr/>
              <w:t>对于满足上一评审要求“药物供应使用情况及安全保证措施1”的药物供应使用情况及安全保证措施进行评审： （1）供应商提供的药物供应使用情况及安全保证措施中药物供应渠道资质审核严格、采购流程规范、能确保药品来源可靠，依照药品特性科学储存、效期管理严格、使用流程规范，药物配备齐全、安全措施到位、能有效保障用药安全，能完全满足且优于采购需求的，得7分； （2）供应商提供的药物供应使用情况及安全保证措施中药物供应渠道资质审核比较严格、采购流程比较规范、药品来源比较可靠，药品储存比较科学、效期管理比较严格、使用流程比较规范，药物配备比较齐全、安全措施比较到位、能保障用药安全，完全满足采购需求的，得5分； （3）供应商提供的药物供应使用情况及安全保证措施中药物供应渠道资质审核不够严格、采购流程比较模糊、药品来源不够可靠，药品储存不够科学、效期管理松散、使用流程不够规范，药物配备不够齐全、安全措施不够到位、能保障用药安全，能部分满足采购需求的，得3分； （4）其他情况的，不得分。</w:t>
            </w:r>
          </w:p>
        </w:tc>
      </w:tr>
      <w:tr>
        <w:tc>
          <w:tcPr>
            <w:tcW w:type="dxa" w:w="922"/>
            <w:gridSpan w:val="2"/>
            <w:vMerge/>
          </w:tcPr>
          <w:p/>
        </w:tc>
        <w:tc>
          <w:tcPr>
            <w:tcW w:type="dxa" w:w="2307"/>
          </w:tcPr>
          <w:p>
            <w:pPr>
              <w:pStyle w:val="null3"/>
              <w:jc w:val="left"/>
            </w:pPr>
            <w:r>
              <w:rPr/>
              <w:t>针对服务区域的可行性建议1 (2.0分)</w:t>
            </w:r>
          </w:p>
        </w:tc>
        <w:tc>
          <w:tcPr>
            <w:tcW w:type="dxa" w:w="5076"/>
          </w:tcPr>
          <w:p>
            <w:pPr>
              <w:pStyle w:val="null3"/>
              <w:jc w:val="left"/>
            </w:pPr>
            <w:r>
              <w:rPr/>
              <w:t>根据供应商提供的针对服务区域的其他建议进行评审，包含①人流量、居民生活习惯、建筑物、植被、公共设施等特征的分析、②有利于控制本区域疫情的建议方案的，得2分；未提供或提供的针对服务区域的其他建议未包含上述任意一点的，此小项不得分，以及下一评审项“针对服务区域的可行性建议2”均不得分。</w:t>
            </w:r>
          </w:p>
        </w:tc>
      </w:tr>
      <w:tr>
        <w:tc>
          <w:tcPr>
            <w:tcW w:type="dxa" w:w="922"/>
            <w:gridSpan w:val="2"/>
            <w:vMerge/>
          </w:tcPr>
          <w:p/>
        </w:tc>
        <w:tc>
          <w:tcPr>
            <w:tcW w:type="dxa" w:w="2307"/>
          </w:tcPr>
          <w:p>
            <w:pPr>
              <w:pStyle w:val="null3"/>
              <w:jc w:val="left"/>
            </w:pPr>
            <w:r>
              <w:rPr/>
              <w:t>针对服务区域的可行性建议2 (5.0分)</w:t>
            </w:r>
          </w:p>
        </w:tc>
        <w:tc>
          <w:tcPr>
            <w:tcW w:type="dxa" w:w="5076"/>
          </w:tcPr>
          <w:p>
            <w:pPr>
              <w:pStyle w:val="null3"/>
              <w:jc w:val="left"/>
            </w:pPr>
            <w:r>
              <w:rPr/>
              <w:t>对于满足上一评审要求“针对服务区域的可行性建议1”的针对服务区域的可行性建议进行评审： （1）供应商针对服务区域的提供的可行性建议中分析的相关数据清晰、考虑全面、能识别关键风险点，并能提出措施明确、可行性强的建议，完全满足且优于采购需求的，得5分； （2）供应商针对服务区域的提供的可行性建议中分析的相关数据比较清晰、考虑比较全面、能识别部分关键风险点，并能提出措施比较明确、可行性较强的建议，完全满足采购需求的，得3分； （3）供应商针对服务区域的提供的可行性建议中分析的相关数据比较含糊、考虑比较片面、不能识别关键风险点，提出的建议措施比较模糊、可行性一般，部分满足采购需求的，得1分； （4）其他情况的，不得分。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拟投入本项目的现场负责人 (3.0分)</w:t>
            </w:r>
          </w:p>
        </w:tc>
        <w:tc>
          <w:tcPr>
            <w:tcW w:type="dxa" w:w="5076"/>
          </w:tcPr>
          <w:p>
            <w:pPr>
              <w:pStyle w:val="null3"/>
              <w:jc w:val="left"/>
            </w:pPr>
            <w:r>
              <w:rPr/>
              <w:t>为了满足项目实际需要，拟投入本项目的现场负责人要求如下： （1）具备有害生物防制员中级工（或四级）资格证书（或职业技能等级证书）的，得1.5分； （2）具备有害生物防制高级工（或三级）资格证书（或职业技能等级证书）的，得3分； 注：需同时提供现场负责人的有害生物防制员资格证书（或职业技能等级证书）复印件、人员身份证复印件、政府部门出具的2025年3月至今任意1个月现场负责人在本单位缴纳社保的证明材料。证明材料不齐全不得分，不提供不得分。</w:t>
            </w:r>
          </w:p>
        </w:tc>
      </w:tr>
      <w:tr>
        <w:tc>
          <w:tcPr>
            <w:tcW w:type="dxa" w:w="922"/>
            <w:gridSpan w:val="2"/>
            <w:vMerge/>
          </w:tcPr>
          <w:p/>
        </w:tc>
        <w:tc>
          <w:tcPr>
            <w:tcW w:type="dxa" w:w="2307"/>
          </w:tcPr>
          <w:p>
            <w:pPr>
              <w:pStyle w:val="null3"/>
              <w:jc w:val="left"/>
            </w:pPr>
            <w:r>
              <w:rPr/>
              <w:t>拟投入本项目的服务团队 (18.0分)</w:t>
            </w:r>
          </w:p>
        </w:tc>
        <w:tc>
          <w:tcPr>
            <w:tcW w:type="dxa" w:w="5076"/>
          </w:tcPr>
          <w:p>
            <w:pPr>
              <w:pStyle w:val="null3"/>
              <w:jc w:val="left"/>
            </w:pPr>
            <w:r>
              <w:rPr/>
              <w:t>（1）供应商提供的一支12人（不含现场负责人）消杀队伍中，每位成员都具有有害生物防制员初级工（或五级）或以上资格证或卫生有害生物防制协会颁发的合格培训证书的，本小项得3.6分。 （2）在第一点的基础上，每多提供一名具有有害生物防制员初级工（或五级）或以上资格证或卫生有害生物防制协会颁发的合格培训证书的成员，得0.3分，本小项最高累计得14.4分。 本评审项最高累计得18分。 注：需同时提供有害生物防制员初级（或五级）或以上资格证或卫生有害生物防制协会颁发的合格培训证书复印件、人员身份证扫描件作为1名有效人员证明材料。证明材料不齐全不得分，不提供不得分。</w:t>
            </w:r>
          </w:p>
        </w:tc>
      </w:tr>
      <w:tr>
        <w:tc>
          <w:tcPr>
            <w:tcW w:type="dxa" w:w="922"/>
            <w:gridSpan w:val="2"/>
            <w:vMerge/>
          </w:tcPr>
          <w:p/>
        </w:tc>
        <w:tc>
          <w:tcPr>
            <w:tcW w:type="dxa" w:w="2307"/>
          </w:tcPr>
          <w:p>
            <w:pPr>
              <w:pStyle w:val="null3"/>
              <w:jc w:val="left"/>
            </w:pPr>
            <w:r>
              <w:rPr/>
              <w:t>业绩情况 (5.0分)</w:t>
            </w:r>
          </w:p>
        </w:tc>
        <w:tc>
          <w:tcPr>
            <w:tcW w:type="dxa" w:w="5076"/>
          </w:tcPr>
          <w:p>
            <w:pPr>
              <w:pStyle w:val="null3"/>
              <w:jc w:val="left"/>
            </w:pPr>
            <w:r>
              <w:rPr/>
              <w:t>根据响应供应商2023年1月1日至今（以合同签订时间为准）具备同类项目（指蚊媒消杀）业绩，每提供1份得1分，本项最高累计得5分。 注：须提供合同关键页（含签订合同双方的单位名称、合同项目名称、服务内容、签订合同双方的落款盖章、签订日期的关键页），未按要求提供或提供的证明材料不符合要求的不予计分。同一合同甲方单位多个项目仅按一个业绩计算。</w:t>
            </w:r>
          </w:p>
        </w:tc>
      </w:tr>
      <w:tr>
        <w:tc>
          <w:tcPr>
            <w:tcW w:type="dxa" w:w="922"/>
            <w:gridSpan w:val="2"/>
            <w:vMerge/>
          </w:tcPr>
          <w:p/>
        </w:tc>
        <w:tc>
          <w:tcPr>
            <w:tcW w:type="dxa" w:w="2307"/>
          </w:tcPr>
          <w:p>
            <w:pPr>
              <w:pStyle w:val="null3"/>
              <w:jc w:val="left"/>
            </w:pPr>
            <w:r>
              <w:rPr/>
              <w:t>客户评价 (2.0分)</w:t>
            </w:r>
          </w:p>
        </w:tc>
        <w:tc>
          <w:tcPr>
            <w:tcW w:type="dxa" w:w="5076"/>
          </w:tcPr>
          <w:p>
            <w:pPr>
              <w:pStyle w:val="null3"/>
              <w:jc w:val="left"/>
            </w:pPr>
            <w:r>
              <w:rPr/>
              <w:t>符合“业绩情况”评审要求的业绩中，供应商有获得客户对其服务质量评价，且评价内容须包括满意或优或90分以上等类似的正面满意度评价的，每提供一份得0.5分，最高累计得2分。 注：须提供加盖客户（甲方）单位公章或业务管理部门章等内设机构章的满意度评价证明材料复印件并加盖供应商公章。同一甲方单位同一个合同项下多个评价材料仅按一个评价计算。</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采购包3(荔湾区蚊媒控制应急消杀服务（茶滘街、逢源街、石围塘街、冲口街、西村街、华林街、彩虹街）):</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技术部分57.0分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对项目的理解、重点难点分析1 (3.0分)</w:t>
            </w:r>
          </w:p>
        </w:tc>
        <w:tc>
          <w:tcPr>
            <w:tcW w:type="dxa" w:w="5076"/>
          </w:tcPr>
          <w:p>
            <w:pPr>
              <w:pStyle w:val="null3"/>
              <w:jc w:val="left"/>
            </w:pPr>
            <w:r>
              <w:rPr/>
              <w:t>根据供应商提供的项目的理解、重点难点分析进行评审：分析包含①本项目背景分析、②对本项目服务内容存在的主要问题分析、③结合以往经验提出操作性强的应对措施的，得3分；未提供或提供的项目的理解、重点难点分析未包含上述任意一点的，此小项不得分，以及下一评审项“对项目的理解、重点难点分析2”均不得分。</w:t>
            </w:r>
          </w:p>
        </w:tc>
      </w:tr>
      <w:tr>
        <w:tc>
          <w:tcPr>
            <w:tcW w:type="dxa" w:w="922"/>
            <w:gridSpan w:val="2"/>
            <w:vMerge/>
          </w:tcPr>
          <w:p/>
        </w:tc>
        <w:tc>
          <w:tcPr>
            <w:tcW w:type="dxa" w:w="2307"/>
          </w:tcPr>
          <w:p>
            <w:pPr>
              <w:pStyle w:val="null3"/>
              <w:jc w:val="left"/>
            </w:pPr>
            <w:r>
              <w:rPr/>
              <w:t>对项目的理解、重点难点分析2 (7.0分)</w:t>
            </w:r>
          </w:p>
        </w:tc>
        <w:tc>
          <w:tcPr>
            <w:tcW w:type="dxa" w:w="5076"/>
          </w:tcPr>
          <w:p>
            <w:pPr>
              <w:pStyle w:val="null3"/>
              <w:jc w:val="left"/>
            </w:pPr>
            <w:r>
              <w:rPr/>
              <w:t>对于满足上一评审要求“对项目的理解、重点难点分析1”的对项目的理解、重点难点分析进行评审： （1）供应商提供的分析结合项目背景分析深刻痛彻，提出的问题针对性强，对应的应对措施科学性、可行性强，完全满足且优于采购需求的，得7分； （2）供应商提供的分析结合项目背景分析比较深刻痛彻，提出的问题针对性较强，对应的应对措施科学性、可行性较强，完全满足采购需求的，得5分； （3）供应商提供的分析结合项目背景分析浅显，提出的问题针对性一般，对应的应对措施科学性、可行性一般，部分满足采购需求的，得3分； （4）其他情况的，不得分。</w:t>
            </w:r>
          </w:p>
        </w:tc>
      </w:tr>
      <w:tr>
        <w:tc>
          <w:tcPr>
            <w:tcW w:type="dxa" w:w="922"/>
            <w:gridSpan w:val="2"/>
            <w:vMerge/>
          </w:tcPr>
          <w:p/>
        </w:tc>
        <w:tc>
          <w:tcPr>
            <w:tcW w:type="dxa" w:w="2307"/>
          </w:tcPr>
          <w:p>
            <w:pPr>
              <w:pStyle w:val="null3"/>
              <w:jc w:val="left"/>
            </w:pPr>
            <w:r>
              <w:rPr/>
              <w:t>项目服务方案1 (3.0分)</w:t>
            </w:r>
          </w:p>
        </w:tc>
        <w:tc>
          <w:tcPr>
            <w:tcW w:type="dxa" w:w="5076"/>
          </w:tcPr>
          <w:p>
            <w:pPr>
              <w:pStyle w:val="null3"/>
              <w:jc w:val="left"/>
            </w:pPr>
            <w:r>
              <w:rPr/>
              <w:t>根据供应商提供的项目服务方案进行评审，方案包含①对项目服务内容开展的工作方法、②技术路线、③服务流程、④项目进度计划、⑤根据服务区中疫情相关蚊媒生物种类的生物学特征进行现场控制的计划的，得3分；未提供或提供的服务方案未包含上述任意一点的，此小项不得分，以及下一评审项“项目服务方案2”均不得分。</w:t>
            </w:r>
          </w:p>
        </w:tc>
      </w:tr>
      <w:tr>
        <w:tc>
          <w:tcPr>
            <w:tcW w:type="dxa" w:w="922"/>
            <w:gridSpan w:val="2"/>
            <w:vMerge/>
          </w:tcPr>
          <w:p/>
        </w:tc>
        <w:tc>
          <w:tcPr>
            <w:tcW w:type="dxa" w:w="2307"/>
          </w:tcPr>
          <w:p>
            <w:pPr>
              <w:pStyle w:val="null3"/>
              <w:jc w:val="left"/>
            </w:pPr>
            <w:r>
              <w:rPr/>
              <w:t>项目服务方案2 (7.0分)</w:t>
            </w:r>
          </w:p>
        </w:tc>
        <w:tc>
          <w:tcPr>
            <w:tcW w:type="dxa" w:w="5076"/>
          </w:tcPr>
          <w:p>
            <w:pPr>
              <w:pStyle w:val="null3"/>
              <w:jc w:val="left"/>
            </w:pPr>
            <w:r>
              <w:rPr/>
              <w:t>对于满足上一评审要求“项目服务方案1”的项目服务方案进行评审： （1）供应商提供的项目服务方案提出的工作办法全面详细、可行性强，技术路线设计严谨，服务流程清晰高效，进度计划动态可控，能完全满足且优于采购需求的，得7分； （2）供应商提供的项目服务方案提出的工作办法比较详细、可行性较强，技术路线设计较严谨，服务流程比较清晰高效，进度计划较可控，完全满足采购需求的，得5分； （3）供应商提供的项目服务方案提出的工作办法片面、可行性一般，技术路线设计不够严谨，服务流程比较模糊，进度计划不太可控，部分满足采购需求的，得3分； （4）其他情况的，不得分。</w:t>
            </w:r>
          </w:p>
        </w:tc>
      </w:tr>
      <w:tr>
        <w:tc>
          <w:tcPr>
            <w:tcW w:type="dxa" w:w="922"/>
            <w:gridSpan w:val="2"/>
            <w:vMerge/>
          </w:tcPr>
          <w:p/>
        </w:tc>
        <w:tc>
          <w:tcPr>
            <w:tcW w:type="dxa" w:w="2307"/>
          </w:tcPr>
          <w:p>
            <w:pPr>
              <w:pStyle w:val="null3"/>
              <w:jc w:val="left"/>
            </w:pPr>
            <w:r>
              <w:rPr/>
              <w:t>技术方案1 (3.0分)</w:t>
            </w:r>
          </w:p>
        </w:tc>
        <w:tc>
          <w:tcPr>
            <w:tcW w:type="dxa" w:w="5076"/>
          </w:tcPr>
          <w:p>
            <w:pPr>
              <w:pStyle w:val="null3"/>
              <w:jc w:val="left"/>
            </w:pPr>
            <w:r>
              <w:rPr/>
              <w:t>根据供应商提供的技术方案进行评审，方案包括①对服务区内各种类型环境如老城区、城中村、城乡结合部等的外环境特征的分析；②本项目的系统控制方法的，得3分；未提供或提供的技术方案未包含上述任意一点的，此小项不得分，以及下一评审项“技术方案2”均不得分。</w:t>
            </w:r>
          </w:p>
        </w:tc>
      </w:tr>
      <w:tr>
        <w:tc>
          <w:tcPr>
            <w:tcW w:type="dxa" w:w="922"/>
            <w:gridSpan w:val="2"/>
            <w:vMerge/>
          </w:tcPr>
          <w:p/>
        </w:tc>
        <w:tc>
          <w:tcPr>
            <w:tcW w:type="dxa" w:w="2307"/>
          </w:tcPr>
          <w:p>
            <w:pPr>
              <w:pStyle w:val="null3"/>
              <w:jc w:val="left"/>
            </w:pPr>
            <w:r>
              <w:rPr/>
              <w:t>技术方案2 (7.0分)</w:t>
            </w:r>
          </w:p>
        </w:tc>
        <w:tc>
          <w:tcPr>
            <w:tcW w:type="dxa" w:w="5076"/>
          </w:tcPr>
          <w:p>
            <w:pPr>
              <w:pStyle w:val="null3"/>
              <w:jc w:val="left"/>
            </w:pPr>
            <w:r>
              <w:rPr/>
              <w:t>对于满足上一评审要求“技术方案1”的技术方案进行评审： （1）供应商提供的技术方案能针对服务区内多元化环境特征（如老城区、城中村、城乡结合部等）开展详细全面的差异化外环境分析，提出的系统控制方法针对性、可行性强，能完全满足且优于采购需求的，得7分； （2）供应商提供的技术方案能针对服务区内多元化环境特征（如老城区、城中村、城乡结合部等）开展比较详细全面的差异化外环境分析，提出的系统控制方法针对性、可行性较强，能完全满足采购需求的，得5分； （3）供应商提供的技术方案能针对服务区内多元化环境特征（如老城区、城中村、城乡结合部等）开展基础的分析，但不能实现差异化分析，提出的系统控制方法针对性、可行性一般，能部分满足采购需求的，得3分； （4）其他情况的，不得分。</w:t>
            </w:r>
          </w:p>
        </w:tc>
      </w:tr>
      <w:tr>
        <w:tc>
          <w:tcPr>
            <w:tcW w:type="dxa" w:w="922"/>
            <w:gridSpan w:val="2"/>
            <w:vMerge/>
          </w:tcPr>
          <w:p/>
        </w:tc>
        <w:tc>
          <w:tcPr>
            <w:tcW w:type="dxa" w:w="2307"/>
          </w:tcPr>
          <w:p>
            <w:pPr>
              <w:pStyle w:val="null3"/>
              <w:jc w:val="left"/>
            </w:pPr>
            <w:r>
              <w:rPr/>
              <w:t>突发事件应急措施1 (3.0分)</w:t>
            </w:r>
          </w:p>
        </w:tc>
        <w:tc>
          <w:tcPr>
            <w:tcW w:type="dxa" w:w="5076"/>
          </w:tcPr>
          <w:p>
            <w:pPr>
              <w:pStyle w:val="null3"/>
              <w:jc w:val="left"/>
            </w:pPr>
            <w:r>
              <w:rPr/>
              <w:t>根据供应商提供的应急管理方案进行评审，方案包括①人力、物力处置能力、②疫情应急处置预案、③疫情应急响应的，得3分；未提供或提供的应急管理方案未包含上述任意一点的，此小项不得分，以及下一评审项“突发事件应急措施2”均不得分。</w:t>
            </w:r>
          </w:p>
        </w:tc>
      </w:tr>
      <w:tr>
        <w:tc>
          <w:tcPr>
            <w:tcW w:type="dxa" w:w="922"/>
            <w:gridSpan w:val="2"/>
            <w:vMerge/>
          </w:tcPr>
          <w:p/>
        </w:tc>
        <w:tc>
          <w:tcPr>
            <w:tcW w:type="dxa" w:w="2307"/>
          </w:tcPr>
          <w:p>
            <w:pPr>
              <w:pStyle w:val="null3"/>
              <w:jc w:val="left"/>
            </w:pPr>
            <w:r>
              <w:rPr/>
              <w:t>突发事件应急措施2 (7.0分)</w:t>
            </w:r>
          </w:p>
        </w:tc>
        <w:tc>
          <w:tcPr>
            <w:tcW w:type="dxa" w:w="5076"/>
          </w:tcPr>
          <w:p>
            <w:pPr>
              <w:pStyle w:val="null3"/>
              <w:jc w:val="left"/>
            </w:pPr>
            <w:r>
              <w:rPr/>
              <w:t>对于满足上一评审要求“突发事件应急措施1”的突发事件应急措施进行评审： （1）供应商提供的应急管理方案物资调配高效，应急处置预案完善、流程清晰，应急响应相关措施到位、能有效控制疫情扩散，能完全满足且优于采购需求的，得7分； （2）供应商提供的应急管理方案物资调配比较高效，应急处置预案比较完善、流程比较清晰，应急响应相关措施比较到位、能控制疫情扩散，完全满足采购需求的，得5分； （3）供应商提供的应急管理方案物资调配不够高效，应急处置预案不够完善、流程模糊，应急响应相关措施不够到位、勉强控制疫情扩散，部分满足采购需求的，得3分； （4）其他情况的，不得分。</w:t>
            </w:r>
          </w:p>
        </w:tc>
      </w:tr>
      <w:tr>
        <w:tc>
          <w:tcPr>
            <w:tcW w:type="dxa" w:w="922"/>
            <w:gridSpan w:val="2"/>
            <w:vMerge/>
          </w:tcPr>
          <w:p/>
        </w:tc>
        <w:tc>
          <w:tcPr>
            <w:tcW w:type="dxa" w:w="2307"/>
          </w:tcPr>
          <w:p>
            <w:pPr>
              <w:pStyle w:val="null3"/>
              <w:jc w:val="left"/>
            </w:pPr>
            <w:r>
              <w:rPr/>
              <w:t>药物供应使用情况及安全保证措施1 (3.0分)</w:t>
            </w:r>
          </w:p>
        </w:tc>
        <w:tc>
          <w:tcPr>
            <w:tcW w:type="dxa" w:w="5076"/>
          </w:tcPr>
          <w:p>
            <w:pPr>
              <w:pStyle w:val="null3"/>
              <w:jc w:val="left"/>
            </w:pPr>
            <w:r>
              <w:rPr/>
              <w:t>根据供应商提供的药物供应使用情况及安全保证措施进行评审，包括①药物供应渠道、②使用及保管规范、③配备的药物情况及安全保证措施的，得3分；未提供或提供的药物供应使用情况及安全保证措施未上述任意一点的，此小项不得分，以及下一评审项“药物供应使用情况及安全保证措施2”均不得分。</w:t>
            </w:r>
          </w:p>
        </w:tc>
      </w:tr>
      <w:tr>
        <w:tc>
          <w:tcPr>
            <w:tcW w:type="dxa" w:w="922"/>
            <w:gridSpan w:val="2"/>
            <w:vMerge/>
          </w:tcPr>
          <w:p/>
        </w:tc>
        <w:tc>
          <w:tcPr>
            <w:tcW w:type="dxa" w:w="2307"/>
          </w:tcPr>
          <w:p>
            <w:pPr>
              <w:pStyle w:val="null3"/>
              <w:jc w:val="left"/>
            </w:pPr>
            <w:r>
              <w:rPr/>
              <w:t>药物供应使用情况及安全保证措施2 (7.0分)</w:t>
            </w:r>
          </w:p>
        </w:tc>
        <w:tc>
          <w:tcPr>
            <w:tcW w:type="dxa" w:w="5076"/>
          </w:tcPr>
          <w:p>
            <w:pPr>
              <w:pStyle w:val="null3"/>
              <w:jc w:val="left"/>
            </w:pPr>
            <w:r>
              <w:rPr/>
              <w:t>对于满足上一评审要求“药物供应使用情况及安全保证措施1”的药物供应使用情况及安全保证措施进行评审： （1）供应商提供的药物供应使用情况及安全保证措施中药物供应渠道资质审核严格、采购流程规范、能确保药品来源可靠，依照药品特性科学储存、效期管理严格、使用流程规范，药物配备齐全、安全措施到位、能有效保障用药安全，能完全满足且优于采购需求的，得7分； （2）供应商提供的药物供应使用情况及安全保证措施中药物供应渠道资质审核比较严格、采购流程比较规范、药品来源比较可靠，药品储存比较科学、效期管理比较严格、使用流程比较规范，药物配备比较齐全、安全措施比较到位、能保障用药安全，完全满足采购需求的，得5分； （3）供应商提供的药物供应使用情况及安全保证措施中药物供应渠道资质审核不够严格、采购流程比较模糊、药品来源不够可靠，药品储存不够科学、效期管理松散、使用流程不够规范，药物配备不够齐全、安全措施不够到位、能保障用药安全，能部分满足采购需求的，得3分； （4）其他情况的，不得分。</w:t>
            </w:r>
          </w:p>
        </w:tc>
      </w:tr>
      <w:tr>
        <w:tc>
          <w:tcPr>
            <w:tcW w:type="dxa" w:w="922"/>
            <w:gridSpan w:val="2"/>
            <w:vMerge/>
          </w:tcPr>
          <w:p/>
        </w:tc>
        <w:tc>
          <w:tcPr>
            <w:tcW w:type="dxa" w:w="2307"/>
          </w:tcPr>
          <w:p>
            <w:pPr>
              <w:pStyle w:val="null3"/>
              <w:jc w:val="left"/>
            </w:pPr>
            <w:r>
              <w:rPr/>
              <w:t>针对服务区域的可行性建议1 (2.0分)</w:t>
            </w:r>
          </w:p>
        </w:tc>
        <w:tc>
          <w:tcPr>
            <w:tcW w:type="dxa" w:w="5076"/>
          </w:tcPr>
          <w:p>
            <w:pPr>
              <w:pStyle w:val="null3"/>
              <w:jc w:val="left"/>
            </w:pPr>
            <w:r>
              <w:rPr/>
              <w:t>根据供应商提供的针对服务区域的其他建议进行评审，包含①人流量、居民生活习惯、建筑物、植被、公共设施等特征的分析、②有利于控制本区域疫情的建议方案的，得2分；未提供或提供的针对服务区域的其他建议未包含上述任意一点的，此小项不得分，以及下一评审项“针对服务区域的可行性建议2”均不得分。</w:t>
            </w:r>
          </w:p>
        </w:tc>
      </w:tr>
      <w:tr>
        <w:tc>
          <w:tcPr>
            <w:tcW w:type="dxa" w:w="922"/>
            <w:gridSpan w:val="2"/>
            <w:vMerge/>
          </w:tcPr>
          <w:p/>
        </w:tc>
        <w:tc>
          <w:tcPr>
            <w:tcW w:type="dxa" w:w="2307"/>
          </w:tcPr>
          <w:p>
            <w:pPr>
              <w:pStyle w:val="null3"/>
              <w:jc w:val="left"/>
            </w:pPr>
            <w:r>
              <w:rPr/>
              <w:t>针对服务区域的可行性建议2 (5.0分)</w:t>
            </w:r>
          </w:p>
        </w:tc>
        <w:tc>
          <w:tcPr>
            <w:tcW w:type="dxa" w:w="5076"/>
          </w:tcPr>
          <w:p>
            <w:pPr>
              <w:pStyle w:val="null3"/>
              <w:jc w:val="left"/>
            </w:pPr>
            <w:r>
              <w:rPr/>
              <w:t>对于满足上一评审要求“针对服务区域的可行性建议1”的针对服务区域的可行性建议进行评审： （1）供应商针对服务区域的提供的可行性建议中分析的相关数据清晰、考虑全面、能识别关键风险点，并能提出措施明确、可行性强的建议，完全满足且优于采购需求的，得5分； （2）供应商针对服务区域的提供的可行性建议中分析的相关数据比较清晰、考虑比较全面、能识别部分关键风险点，并能提出措施比较明确、可行性较强的建议，完全满足采购需求的，得3分； （3）供应商针对服务区域的提供的可行性建议中分析的相关数据比较含糊、考虑比较片面、不能识别关键风险点，提出的建议措施比较模糊、可行性一般，部分满足采购需求的，得1分； （4）其他情况的，不得分。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拟投入本项目的现场负责人 (3.0分)</w:t>
            </w:r>
          </w:p>
        </w:tc>
        <w:tc>
          <w:tcPr>
            <w:tcW w:type="dxa" w:w="5076"/>
          </w:tcPr>
          <w:p>
            <w:pPr>
              <w:pStyle w:val="null3"/>
              <w:jc w:val="left"/>
            </w:pPr>
            <w:r>
              <w:rPr/>
              <w:t>为了满足项目实际需要，拟投入本项目的现场负责人要求如下： （1）具备有害生物防制员中级工（或四级）资格证书（或职业技能等级证书）的，得1.5分； （2）具备有害生物防制高级工（或三级）资格证书（或职业技能等级证书）的，得3分； 注：需同时提供现场负责人的有害生物防制员资格证书（或职业技能等级证书）复印件、人员身份证复印件、政府部门出具的2025年3月至今任意1个月现场负责人在本单位缴纳社保的证明材料。证明材料不齐全不得分，不提供不得分。</w:t>
            </w:r>
          </w:p>
        </w:tc>
      </w:tr>
      <w:tr>
        <w:tc>
          <w:tcPr>
            <w:tcW w:type="dxa" w:w="922"/>
            <w:gridSpan w:val="2"/>
            <w:vMerge/>
          </w:tcPr>
          <w:p/>
        </w:tc>
        <w:tc>
          <w:tcPr>
            <w:tcW w:type="dxa" w:w="2307"/>
          </w:tcPr>
          <w:p>
            <w:pPr>
              <w:pStyle w:val="null3"/>
              <w:jc w:val="left"/>
            </w:pPr>
            <w:r>
              <w:rPr/>
              <w:t>拟投入本项目的服务团队 (18.0分)</w:t>
            </w:r>
          </w:p>
        </w:tc>
        <w:tc>
          <w:tcPr>
            <w:tcW w:type="dxa" w:w="5076"/>
          </w:tcPr>
          <w:p>
            <w:pPr>
              <w:pStyle w:val="null3"/>
              <w:jc w:val="left"/>
            </w:pPr>
            <w:r>
              <w:rPr/>
              <w:t>（1）供应商提供的一支12人（不含现场负责人）消杀队伍中，每位成员都具有有害生物防制员初级工（或五级）或以上资格证或卫生有害生物防制协会颁发的合格培训证书的，本小项得3.6分。 （2）在第一点的基础上，每多提供一名具有有害生物防制员初级工（或五级）或以上资格证或卫生有害生物防制协会颁发的合格培训证书的成员，得0.3分，本小项最高累计得14.4分。 本评审项最高累计得18分。 注：需同时提供有害生物防制员初级（或五级）或以上资格证或卫生有害生物防制协会颁发的合格培训证书复印件、人员身份证扫描件作为1名有效人员证明材料。证明材料不齐全不得分，不提供不得分。</w:t>
            </w:r>
          </w:p>
        </w:tc>
      </w:tr>
      <w:tr>
        <w:tc>
          <w:tcPr>
            <w:tcW w:type="dxa" w:w="922"/>
            <w:gridSpan w:val="2"/>
            <w:vMerge/>
          </w:tcPr>
          <w:p/>
        </w:tc>
        <w:tc>
          <w:tcPr>
            <w:tcW w:type="dxa" w:w="2307"/>
          </w:tcPr>
          <w:p>
            <w:pPr>
              <w:pStyle w:val="null3"/>
              <w:jc w:val="left"/>
            </w:pPr>
            <w:r>
              <w:rPr/>
              <w:t>业绩情况 (5.0分)</w:t>
            </w:r>
          </w:p>
        </w:tc>
        <w:tc>
          <w:tcPr>
            <w:tcW w:type="dxa" w:w="5076"/>
          </w:tcPr>
          <w:p>
            <w:pPr>
              <w:pStyle w:val="null3"/>
              <w:jc w:val="left"/>
            </w:pPr>
            <w:r>
              <w:rPr/>
              <w:t>根据响应供应商2023年1月1日至今（以合同签订时间为准）具备同类项目（指蚊媒消杀）业绩，每提供1份得1分，本项最高累计得5分。 注：须提供合同关键页（含签订合同双方的单位名称、合同项目名称、服务内容、签订合同双方的落款盖章、签订日期的关键页），未按要求提供或提供的证明材料不符合要求的不予计分。同一合同甲方单位多个项目仅按一个业绩计算。</w:t>
            </w:r>
          </w:p>
        </w:tc>
      </w:tr>
      <w:tr>
        <w:tc>
          <w:tcPr>
            <w:tcW w:type="dxa" w:w="922"/>
            <w:gridSpan w:val="2"/>
            <w:vMerge/>
          </w:tcPr>
          <w:p/>
        </w:tc>
        <w:tc>
          <w:tcPr>
            <w:tcW w:type="dxa" w:w="2307"/>
          </w:tcPr>
          <w:p>
            <w:pPr>
              <w:pStyle w:val="null3"/>
              <w:jc w:val="left"/>
            </w:pPr>
            <w:r>
              <w:rPr/>
              <w:t>客户评价 (2.0分)</w:t>
            </w:r>
          </w:p>
        </w:tc>
        <w:tc>
          <w:tcPr>
            <w:tcW w:type="dxa" w:w="5076"/>
          </w:tcPr>
          <w:p>
            <w:pPr>
              <w:pStyle w:val="null3"/>
              <w:jc w:val="left"/>
            </w:pPr>
            <w:r>
              <w:rPr/>
              <w:t>符合“业绩情况”评审要求的业绩中，供应商有获得客户对其服务质量评价，且评价内容须包括满意或优或90分以上等类似的正面满意度评价的，每提供一份得0.5分，最高累计得2分。 注：须提供加盖客户（甲方）单位公章或业务管理部门章等内设机构章的满意度评价证明材料复印件并加盖供应商公章。同一甲方单位同一个合同项下多个评价材料仅按一个评价计算。</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采购包2：</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采购包3：</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spacing w:before="0" w:after="0"/>
        <w:ind w:left="0" w:right="0"/>
        <w:jc w:val="center"/>
      </w:pPr>
      <w:r>
        <w:rPr/>
        <w:t xml:space="preserve"> </w:t>
      </w:r>
    </w:p>
    <w:p>
      <w:pPr>
        <w:pStyle w:val="null3"/>
      </w:pPr>
      <w:r>
        <w:rPr>
          <w:sz w:val="44"/>
        </w:rPr>
        <w:t>广东省政府采购</w:t>
      </w:r>
    </w:p>
    <w:p>
      <w:pPr>
        <w:pStyle w:val="null3"/>
        <w:jc w:val="center"/>
      </w:pPr>
      <w:r>
        <w:rPr>
          <w:sz w:val="44"/>
        </w:rPr>
        <w:t>合</w:t>
      </w:r>
      <w:r>
        <w:rPr>
          <w:sz w:val="44"/>
        </w:rPr>
        <w:t>同</w:t>
      </w:r>
      <w:r>
        <w:rPr>
          <w:sz w:val="44"/>
        </w:rPr>
        <w:t>书</w:t>
      </w:r>
    </w:p>
    <w:p>
      <w:pPr>
        <w:pStyle w:val="null3"/>
        <w:jc w:val="both"/>
      </w:pPr>
      <w:r>
        <w:rPr>
          <w:sz w:val="24"/>
          <w:b/>
        </w:rPr>
        <w:t>采购计划编号</w:t>
      </w:r>
      <w:r>
        <w:rPr>
          <w:sz w:val="24"/>
        </w:rPr>
        <w:t>：</w:t>
      </w:r>
      <w:r>
        <w:rPr>
          <w:sz w:val="21"/>
          <w:u w:val="single"/>
        </w:rPr>
        <w:t xml:space="preserve">                                   </w:t>
      </w:r>
    </w:p>
    <w:p>
      <w:pPr>
        <w:pStyle w:val="null3"/>
        <w:jc w:val="both"/>
      </w:pPr>
      <w:r>
        <w:rPr>
          <w:sz w:val="24"/>
          <w:b/>
        </w:rPr>
        <w:t>项目编号</w:t>
      </w:r>
      <w:r>
        <w:rPr>
          <w:sz w:val="24"/>
        </w:rPr>
        <w:t>：</w:t>
      </w:r>
      <w:r>
        <w:rPr>
          <w:sz w:val="21"/>
          <w:u w:val="single"/>
        </w:rPr>
        <w:t xml:space="preserve">                                       </w:t>
      </w:r>
    </w:p>
    <w:p>
      <w:pPr>
        <w:pStyle w:val="null3"/>
        <w:jc w:val="both"/>
      </w:pPr>
      <w:r>
        <w:rPr>
          <w:sz w:val="24"/>
          <w:b/>
        </w:rPr>
        <w:t>项目名称</w:t>
      </w:r>
      <w:r>
        <w:rPr>
          <w:sz w:val="24"/>
        </w:rPr>
        <w:t>：</w:t>
      </w:r>
      <w:r>
        <w:rPr>
          <w:sz w:val="21"/>
          <w:u w:val="single"/>
        </w:rPr>
        <w:t xml:space="preserve">                                       </w:t>
      </w:r>
    </w:p>
    <w:p>
      <w:pPr>
        <w:pStyle w:val="null3"/>
        <w:jc w:val="both"/>
      </w:pPr>
      <w:r>
        <w:rPr/>
        <w:t xml:space="preserve"> </w:t>
      </w:r>
    </w:p>
    <w:p>
      <w:pPr>
        <w:pStyle w:val="null3"/>
        <w:jc w:val="both"/>
      </w:pPr>
      <w:r>
        <w:rPr>
          <w:sz w:val="24"/>
          <w:b/>
        </w:rPr>
        <w:t>甲</w:t>
      </w:r>
      <w:r>
        <w:rPr>
          <w:sz w:val="24"/>
          <w:b/>
        </w:rPr>
        <w:t xml:space="preserve">    </w:t>
      </w:r>
      <w:r>
        <w:rPr>
          <w:sz w:val="24"/>
          <w:b/>
        </w:rPr>
        <w:t>方</w:t>
      </w:r>
      <w:r>
        <w:rPr>
          <w:sz w:val="24"/>
        </w:rPr>
        <w:t>（采购人）</w:t>
      </w:r>
      <w:r>
        <w:rPr>
          <w:sz w:val="24"/>
          <w:b/>
        </w:rPr>
        <w:t>：</w:t>
      </w:r>
    </w:p>
    <w:p>
      <w:pPr>
        <w:pStyle w:val="null3"/>
        <w:jc w:val="both"/>
      </w:pPr>
      <w:r>
        <w:rPr>
          <w:sz w:val="24"/>
        </w:rPr>
        <w:t>电</w:t>
      </w:r>
      <w:r>
        <w:rPr>
          <w:sz w:val="24"/>
        </w:rPr>
        <w:t xml:space="preserve">    </w:t>
      </w:r>
      <w:r>
        <w:rPr>
          <w:sz w:val="24"/>
        </w:rPr>
        <w:t>话：</w:t>
      </w:r>
      <w:r>
        <w:rPr>
          <w:sz w:val="24"/>
        </w:rPr>
        <w:t xml:space="preserve">              </w:t>
      </w:r>
      <w:r>
        <w:rPr>
          <w:sz w:val="24"/>
        </w:rPr>
        <w:t>传</w:t>
      </w:r>
      <w:r>
        <w:rPr>
          <w:sz w:val="24"/>
        </w:rPr>
        <w:t xml:space="preserve">  </w:t>
      </w:r>
      <w:r>
        <w:rPr>
          <w:sz w:val="24"/>
        </w:rPr>
        <w:t>真：</w:t>
      </w:r>
      <w:r>
        <w:rPr>
          <w:sz w:val="24"/>
        </w:rPr>
        <w:t xml:space="preserve">           </w:t>
      </w:r>
      <w:r>
        <w:rPr>
          <w:sz w:val="24"/>
        </w:rPr>
        <w:t>住</w:t>
      </w:r>
      <w:r>
        <w:rPr>
          <w:sz w:val="24"/>
        </w:rPr>
        <w:t xml:space="preserve">  </w:t>
      </w:r>
      <w:r>
        <w:rPr>
          <w:sz w:val="24"/>
        </w:rPr>
        <w:t>所：</w:t>
      </w:r>
    </w:p>
    <w:p>
      <w:pPr>
        <w:pStyle w:val="null3"/>
        <w:jc w:val="both"/>
      </w:pPr>
      <w:r>
        <w:rPr>
          <w:sz w:val="24"/>
          <w:b/>
        </w:rPr>
        <w:t>乙</w:t>
      </w:r>
      <w:r>
        <w:rPr>
          <w:sz w:val="24"/>
          <w:b/>
        </w:rPr>
        <w:t xml:space="preserve">    </w:t>
      </w:r>
      <w:r>
        <w:rPr>
          <w:sz w:val="24"/>
          <w:b/>
        </w:rPr>
        <w:t>方</w:t>
      </w:r>
      <w:r>
        <w:rPr>
          <w:sz w:val="24"/>
        </w:rPr>
        <w:t>（成交供应商）</w:t>
      </w:r>
      <w:r>
        <w:rPr>
          <w:sz w:val="24"/>
          <w:b/>
        </w:rPr>
        <w:t>：</w:t>
      </w:r>
      <w:r>
        <w:br/>
      </w:r>
      <w:r>
        <w:rPr>
          <w:sz w:val="24"/>
        </w:rPr>
        <w:t>电</w:t>
      </w:r>
      <w:r>
        <w:rPr>
          <w:sz w:val="24"/>
        </w:rPr>
        <w:t xml:space="preserve">    </w:t>
      </w:r>
      <w:r>
        <w:rPr>
          <w:sz w:val="24"/>
        </w:rPr>
        <w:t>话：</w:t>
      </w:r>
      <w:r>
        <w:rPr>
          <w:sz w:val="24"/>
        </w:rPr>
        <w:t xml:space="preserve">                </w:t>
      </w:r>
      <w:r>
        <w:rPr>
          <w:sz w:val="24"/>
        </w:rPr>
        <w:t>传</w:t>
      </w:r>
      <w:r>
        <w:rPr>
          <w:sz w:val="24"/>
        </w:rPr>
        <w:t xml:space="preserve">  </w:t>
      </w:r>
      <w:r>
        <w:rPr>
          <w:sz w:val="24"/>
        </w:rPr>
        <w:t>真：</w:t>
      </w:r>
      <w:r>
        <w:rPr>
          <w:sz w:val="24"/>
        </w:rPr>
        <w:t xml:space="preserve">           </w:t>
      </w:r>
      <w:r>
        <w:rPr>
          <w:sz w:val="24"/>
        </w:rPr>
        <w:t>住</w:t>
      </w:r>
      <w:r>
        <w:rPr>
          <w:sz w:val="24"/>
        </w:rPr>
        <w:t xml:space="preserve">  </w:t>
      </w:r>
      <w:r>
        <w:rPr>
          <w:sz w:val="24"/>
        </w:rPr>
        <w:t>所：</w:t>
      </w:r>
      <w:r>
        <w:rPr>
          <w:sz w:val="24"/>
        </w:rPr>
        <w:t xml:space="preserve">   </w:t>
      </w:r>
    </w:p>
    <w:p>
      <w:pPr>
        <w:pStyle w:val="null3"/>
        <w:jc w:val="both"/>
      </w:pPr>
      <w:r>
        <w:rPr>
          <w:sz w:val="21"/>
        </w:rPr>
        <w:t xml:space="preserve"> </w:t>
      </w:r>
    </w:p>
    <w:p>
      <w:pPr>
        <w:pStyle w:val="null3"/>
        <w:ind w:firstLine="560"/>
      </w:pPr>
      <w:r>
        <w:rPr>
          <w:sz w:val="28"/>
        </w:rPr>
        <w:t>根据荔湾区蚊媒控制应急消杀服务（包组</w:t>
      </w:r>
      <w:r>
        <w:rPr>
          <w:sz w:val="28"/>
        </w:rPr>
        <w:t>-</w:t>
      </w:r>
      <w:r>
        <w:rPr>
          <w:sz w:val="28"/>
        </w:rPr>
        <w:t>）的竞争性磋商结果，按照《中华人民共和国政府采购法》、《中华人民共和国政府采购法实施条例》、《中华人民共和国民法典》的相关规定，经双方协商，本着平等互利和诚实信用的原则，一致同意签订本合同如下。</w:t>
      </w:r>
    </w:p>
    <w:p>
      <w:pPr>
        <w:pStyle w:val="null3"/>
        <w:ind w:firstLine="560"/>
        <w:jc w:val="left"/>
      </w:pPr>
      <w:r>
        <w:rPr>
          <w:sz w:val="28"/>
        </w:rPr>
        <w:t>一、服务预算金额</w:t>
      </w:r>
      <w:r>
        <w:rPr>
          <w:sz w:val="28"/>
        </w:rPr>
        <w:t>1100000.00元，每支队伍费用：</w:t>
      </w:r>
      <w:r>
        <w:rPr>
          <w:sz w:val="28"/>
          <w:u w:val="single"/>
        </w:rPr>
        <w:t>18000.00</w:t>
      </w:r>
      <w:r>
        <w:rPr>
          <w:sz w:val="28"/>
        </w:rPr>
        <w:t xml:space="preserve"> </w:t>
      </w:r>
      <w:r>
        <w:rPr>
          <w:sz w:val="28"/>
        </w:rPr>
        <w:t>元</w:t>
      </w:r>
      <w:r>
        <w:rPr>
          <w:sz w:val="28"/>
        </w:rPr>
        <w:t>/天，应急队伍出动服务1天（满7小时）为1次（不足7小时按实际工时比例折算），</w:t>
      </w:r>
      <w:r>
        <w:rPr>
          <w:sz w:val="28"/>
        </w:rPr>
        <w:t>按实际发生工作量次数结算。甲方不承担因政策调整导致本项目未能达到招标文件中预计的预算金额而给乙方带来的任何损失，乙方需无条件承诺自行承担此风险。</w:t>
      </w:r>
    </w:p>
    <w:p>
      <w:pPr>
        <w:pStyle w:val="null3"/>
        <w:ind w:firstLine="480"/>
      </w:pPr>
      <w:r>
        <w:rPr>
          <w:sz w:val="28"/>
        </w:rPr>
        <w:t>二、服务期：服务期限为自合同签订生效日起一年。若服务金额达到预算金额合同自动终止。</w:t>
      </w:r>
    </w:p>
    <w:p>
      <w:pPr>
        <w:pStyle w:val="null3"/>
        <w:ind w:firstLine="480"/>
      </w:pPr>
      <w:r>
        <w:rPr>
          <w:sz w:val="28"/>
        </w:rPr>
        <w:t>三、服务地点：广州市荔湾区辖区内海龙街、白鹤洞街、花地街、昌华街、西村街、多宝街、站前街、沙面街。当疫情形势严峻，负责区域队伍不足以应付其负责区域的蚊媒应急控制服务时，甲方可根据疫情情况统一调动其他区域的队伍去其他区域支援。</w:t>
      </w:r>
    </w:p>
    <w:p>
      <w:pPr>
        <w:pStyle w:val="null3"/>
        <w:ind w:firstLine="480"/>
      </w:pPr>
      <w:r>
        <w:rPr>
          <w:sz w:val="28"/>
          <w:b/>
        </w:rPr>
        <w:t>四、工作职责</w:t>
      </w:r>
    </w:p>
    <w:p>
      <w:pPr>
        <w:pStyle w:val="null3"/>
        <w:ind w:firstLine="480"/>
      </w:pPr>
      <w:r>
        <w:rPr>
          <w:sz w:val="28"/>
        </w:rPr>
        <w:t>1、甲方职责：</w:t>
      </w:r>
    </w:p>
    <w:p>
      <w:pPr>
        <w:pStyle w:val="null3"/>
        <w:ind w:firstLine="560"/>
        <w:jc w:val="both"/>
      </w:pPr>
      <w:r>
        <w:rPr>
          <w:sz w:val="28"/>
        </w:rPr>
        <w:t>在合同执行期间应配合乙方的工作，每次行动前应派人与乙方做好前期协调工作，并在蚊媒控制应急消杀工作量记录表签名验收。</w:t>
      </w:r>
    </w:p>
    <w:p>
      <w:pPr>
        <w:pStyle w:val="null3"/>
        <w:ind w:firstLine="560"/>
        <w:jc w:val="both"/>
      </w:pPr>
      <w:r>
        <w:rPr>
          <w:sz w:val="28"/>
        </w:rPr>
        <w:t>2、乙方职责：</w:t>
      </w:r>
    </w:p>
    <w:p>
      <w:pPr>
        <w:pStyle w:val="null3"/>
        <w:ind w:firstLine="480"/>
        <w:jc w:val="both"/>
      </w:pPr>
      <w:r>
        <w:rPr>
          <w:sz w:val="28"/>
        </w:rPr>
        <w:t>1、</w:t>
      </w:r>
      <w:r>
        <w:rPr>
          <w:sz w:val="28"/>
        </w:rPr>
        <w:t>按《登革热防控方案（</w:t>
      </w:r>
      <w:r>
        <w:rPr>
          <w:sz w:val="28"/>
        </w:rPr>
        <w:t>2025年版）》《广东省疾病预防控制局关于印发广东省基孔肯雅热本地疫情处置工作技术指引（2025年第</w:t>
      </w:r>
      <w:r>
        <w:rPr>
          <w:sz w:val="28"/>
        </w:rPr>
        <w:t>一</w:t>
      </w:r>
      <w:r>
        <w:rPr>
          <w:sz w:val="28"/>
        </w:rPr>
        <w:t>版）》《广州市公共卫生委员会办公室关于印发〈分级分类加强基孔肯雅热等蚊媒传染病疫情防控工作方案（第二版）〉的通知》等要求，迅速开展灭蚊作业，按要求将蚊媒密度控制在安全水平。</w:t>
      </w:r>
    </w:p>
    <w:p>
      <w:pPr>
        <w:pStyle w:val="null3"/>
        <w:ind w:firstLine="480"/>
        <w:jc w:val="both"/>
      </w:pPr>
      <w:r>
        <w:rPr>
          <w:sz w:val="28"/>
        </w:rPr>
        <w:t>2、负责</w:t>
      </w:r>
      <w:r>
        <w:rPr>
          <w:sz w:val="28"/>
        </w:rPr>
        <w:t>广州市</w:t>
      </w:r>
      <w:r>
        <w:rPr>
          <w:sz w:val="28"/>
        </w:rPr>
        <w:t>荔湾区辖区范围内两热疫点核心区的蚊媒应急处置，按</w:t>
      </w:r>
      <w:r>
        <w:rPr>
          <w:sz w:val="28"/>
        </w:rPr>
        <w:t>甲方</w:t>
      </w:r>
      <w:r>
        <w:rPr>
          <w:sz w:val="28"/>
        </w:rPr>
        <w:t>要求对辖区蚊媒密度监测指数高和重点难点区域组织支援队伍开展清理孳生地和消杀工作。</w:t>
      </w:r>
    </w:p>
    <w:p>
      <w:pPr>
        <w:pStyle w:val="null3"/>
        <w:ind w:firstLine="480"/>
        <w:jc w:val="both"/>
      </w:pPr>
      <w:r>
        <w:rPr>
          <w:sz w:val="28"/>
        </w:rPr>
        <w:t>3、负责疫点周边公共外环境病媒生物孳生地的调查与清理、处置前的现场勘察，无法处理的作登记并及时向</w:t>
      </w:r>
      <w:r>
        <w:rPr>
          <w:sz w:val="28"/>
        </w:rPr>
        <w:t>甲方</w:t>
      </w:r>
      <w:r>
        <w:rPr>
          <w:sz w:val="28"/>
        </w:rPr>
        <w:t>书面报告。</w:t>
      </w:r>
    </w:p>
    <w:p>
      <w:pPr>
        <w:pStyle w:val="null3"/>
        <w:ind w:firstLine="480"/>
        <w:jc w:val="both"/>
      </w:pPr>
      <w:r>
        <w:rPr>
          <w:sz w:val="28"/>
        </w:rPr>
        <w:t>4、上岗服务人员要严格遵守灭蚊消杀技术操作规程，文明作业，并填写</w:t>
      </w:r>
      <w:r>
        <w:rPr>
          <w:sz w:val="28"/>
        </w:rPr>
        <w:t>蚊媒控制应急消杀工作量记录表</w:t>
      </w:r>
      <w:r>
        <w:rPr>
          <w:sz w:val="28"/>
        </w:rPr>
        <w:t>作为当次服务的依据。</w:t>
      </w:r>
    </w:p>
    <w:p>
      <w:pPr>
        <w:pStyle w:val="null3"/>
        <w:ind w:firstLine="480"/>
        <w:jc w:val="both"/>
      </w:pPr>
      <w:r>
        <w:rPr>
          <w:sz w:val="28"/>
        </w:rPr>
        <w:t>5、有责任建议和指导</w:t>
      </w:r>
      <w:r>
        <w:rPr>
          <w:sz w:val="28"/>
        </w:rPr>
        <w:t>甲方</w:t>
      </w:r>
      <w:r>
        <w:rPr>
          <w:sz w:val="28"/>
        </w:rPr>
        <w:t>进行防蚊清积水和做好日常蚊虫防制的巩固工作。</w:t>
      </w:r>
    </w:p>
    <w:p>
      <w:pPr>
        <w:pStyle w:val="null3"/>
        <w:ind w:firstLine="480"/>
        <w:jc w:val="both"/>
      </w:pPr>
      <w:r>
        <w:rPr>
          <w:sz w:val="28"/>
        </w:rPr>
        <w:t>6、注意药物效果及使用安全，投（施）药时需防护的部分，应向</w:t>
      </w:r>
      <w:r>
        <w:rPr>
          <w:sz w:val="28"/>
        </w:rPr>
        <w:t>甲方</w:t>
      </w:r>
      <w:r>
        <w:rPr>
          <w:sz w:val="28"/>
        </w:rPr>
        <w:t>提出，并采取有效的防护措施。</w:t>
      </w:r>
    </w:p>
    <w:p>
      <w:pPr>
        <w:pStyle w:val="null3"/>
        <w:ind w:firstLine="480"/>
        <w:jc w:val="both"/>
      </w:pPr>
      <w:r>
        <w:rPr>
          <w:sz w:val="28"/>
        </w:rPr>
        <w:t>7、结合当前两热防控的形势制定出如下消杀使用的药物（见下表），严禁使用明文禁用药物，乙方采购使用的药物不符合国家规定的，甲方有权拒付服务费用并追究违约责任。（此表仅为参考药物，在本项目服务期内，消杀使用的药物按采购人意见为准）。</w:t>
      </w:r>
    </w:p>
    <w:tbl>
      <w:tblPr>
        <w:tblW w:w="0" w:type="auto"/>
        <w:tblBorders>
          <w:top w:val="none" w:color="000000" w:sz="4"/>
          <w:left w:val="none" w:color="000000" w:sz="4"/>
          <w:bottom w:val="none" w:color="000000" w:sz="4"/>
          <w:right w:val="none" w:color="000000" w:sz="4"/>
          <w:insideH w:val="none"/>
          <w:insideV w:val="none"/>
        </w:tblBorders>
      </w:tblPr>
      <w:tblGrid>
        <w:gridCol w:w="1382"/>
        <w:gridCol w:w="1909"/>
        <w:gridCol w:w="1083"/>
        <w:gridCol w:w="1311"/>
        <w:gridCol w:w="1296"/>
        <w:gridCol w:w="1325"/>
      </w:tblGrid>
      <w:tr>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药物品名</w:t>
            </w:r>
          </w:p>
        </w:tc>
        <w:tc>
          <w:tcPr>
            <w:tcW w:type="dxa" w:w="19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有效成</w:t>
            </w:r>
            <w:r>
              <w:rPr>
                <w:sz w:val="28"/>
              </w:rPr>
              <w:t>分</w:t>
            </w:r>
          </w:p>
        </w:tc>
        <w:tc>
          <w:tcPr>
            <w:tcW w:type="dxa" w:w="1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剂型</w:t>
            </w:r>
          </w:p>
        </w:tc>
        <w:tc>
          <w:tcPr>
            <w:tcW w:type="dxa" w:w="1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防治对象</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使用区域</w:t>
            </w:r>
          </w:p>
        </w:tc>
        <w:tc>
          <w:tcPr>
            <w:tcW w:type="dxa" w:w="1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使用方法</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烯丙</w:t>
            </w:r>
            <w:r>
              <w:rPr>
                <w:sz w:val="28"/>
              </w:rPr>
              <w:t>•氯菊</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氯菊酯与烯丙菊酯混配，总含量</w:t>
            </w:r>
            <w:r>
              <w:rPr>
                <w:sz w:val="28"/>
              </w:rPr>
              <w:t>≥10%</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乳油剂</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成虫</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室内、室外</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空间超低喷洒</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苯氰</w:t>
            </w:r>
            <w:r>
              <w:rPr>
                <w:sz w:val="28"/>
              </w:rPr>
              <w:t>.残杀威</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右旋苯醚氰菊酯与残杀威混配，总含量</w:t>
            </w:r>
            <w:r>
              <w:rPr>
                <w:sz w:val="28"/>
              </w:rPr>
              <w:t>≥10%</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乳油剂</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成虫</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室内、室外</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空间超低喷洒</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残杀威</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残杀威含量</w:t>
            </w:r>
            <w:r>
              <w:rPr>
                <w:sz w:val="28"/>
              </w:rPr>
              <w:t>≥4%</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乳油或微乳剂</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成虫</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室内、室外</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滞留喷洒</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高效氯氰菊酯</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高效氯氰菊酯</w:t>
            </w:r>
            <w:r>
              <w:rPr>
                <w:sz w:val="28"/>
              </w:rPr>
              <w:t>≥5%</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悬浮剂</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成虫</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室内、室外</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滞留喷洒</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杀虫热雾剂</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氯氰菊酯与残杀威混配，总含量</w:t>
            </w:r>
            <w:r>
              <w:rPr>
                <w:sz w:val="28"/>
              </w:rPr>
              <w:t>≥2.5%</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热雾剂</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成虫</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密闭空间和下水道</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直接使用</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杀虫热雾剂</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胺菊酯与氯氰菊酯混配，总含量</w:t>
            </w:r>
            <w:r>
              <w:rPr>
                <w:sz w:val="28"/>
              </w:rPr>
              <w:t>≥2.0%</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热雾剂</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成虫</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密闭空间和下水道</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直接使用</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杀虫颗粒剂</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5%倍硫磷颗粒剂</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颗粒剂</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幼虫</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孳生地处理</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投放</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杀虫粉剂</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吡虫啉含量</w:t>
            </w:r>
            <w:r>
              <w:rPr>
                <w:sz w:val="28"/>
              </w:rPr>
              <w:t>≥2%</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粉剂</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幼虫</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孳生地处理</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投放</w:t>
            </w:r>
          </w:p>
        </w:tc>
      </w:tr>
    </w:tbl>
    <w:p>
      <w:pPr>
        <w:pStyle w:val="null3"/>
        <w:ind w:firstLine="480"/>
        <w:jc w:val="both"/>
      </w:pPr>
      <w:r>
        <w:rPr>
          <w:sz w:val="28"/>
        </w:rPr>
        <w:t>8、</w:t>
      </w:r>
      <w:r>
        <w:rPr>
          <w:sz w:val="28"/>
        </w:rPr>
        <w:t>乙方</w:t>
      </w:r>
      <w:r>
        <w:rPr>
          <w:sz w:val="28"/>
        </w:rPr>
        <w:t>须明确药物供应渠道、使用及保管规范、配备的药物的具体情况及相关药物的安全保证措施。</w:t>
      </w:r>
    </w:p>
    <w:p>
      <w:pPr>
        <w:pStyle w:val="null3"/>
        <w:ind w:firstLine="562"/>
        <w:jc w:val="both"/>
      </w:pPr>
      <w:r>
        <w:rPr>
          <w:sz w:val="28"/>
          <w:b/>
        </w:rPr>
        <w:t>五、工作管理</w:t>
      </w:r>
    </w:p>
    <w:p>
      <w:pPr>
        <w:pStyle w:val="null3"/>
        <w:ind w:firstLine="560"/>
        <w:jc w:val="both"/>
      </w:pPr>
      <w:r>
        <w:rPr>
          <w:sz w:val="28"/>
        </w:rPr>
        <w:t>1、人员管理</w:t>
      </w:r>
    </w:p>
    <w:p>
      <w:pPr>
        <w:pStyle w:val="null3"/>
        <w:ind w:firstLine="560"/>
        <w:jc w:val="both"/>
      </w:pPr>
      <w:r>
        <w:rPr>
          <w:sz w:val="28"/>
        </w:rPr>
        <w:t>（</w:t>
      </w:r>
      <w:r>
        <w:rPr>
          <w:sz w:val="28"/>
        </w:rPr>
        <w:t>1）乙方指定一名工作人员为本项目现场负责人，该负责人须持有有害生物防制员中级或以上证书。现场负责人在行动期间要与甲方协商沟通好工作，合理分配安排队伍人员，未经甲方同意不得离开消杀工作范围。</w:t>
      </w:r>
    </w:p>
    <w:p>
      <w:pPr>
        <w:pStyle w:val="null3"/>
        <w:ind w:firstLine="560"/>
        <w:jc w:val="both"/>
      </w:pPr>
      <w:r>
        <w:rPr>
          <w:sz w:val="28"/>
        </w:rPr>
        <w:t>项目负责人主要职责：</w:t>
      </w:r>
    </w:p>
    <w:p>
      <w:pPr>
        <w:pStyle w:val="null3"/>
        <w:ind w:firstLine="560"/>
        <w:jc w:val="both"/>
      </w:pPr>
      <w:r>
        <w:rPr>
          <w:sz w:val="28"/>
        </w:rPr>
        <w:t>1）勘察拟处理区域的环境情况（如病家位置、病家环境、病家小区环境、核心区环境等），提前制定符合环境、疫情和甲方要求的处理方案（附带有灭蚊范围和重点的灭蚊重点建议图）并依照执行，做好各环节质量控制工作；</w:t>
      </w:r>
    </w:p>
    <w:p>
      <w:pPr>
        <w:pStyle w:val="null3"/>
        <w:ind w:firstLine="560"/>
        <w:jc w:val="both"/>
      </w:pPr>
      <w:r>
        <w:rPr>
          <w:sz w:val="28"/>
        </w:rPr>
        <w:t>2）配合甲方安排开展质控考核评估工作；</w:t>
      </w:r>
    </w:p>
    <w:p>
      <w:pPr>
        <w:pStyle w:val="null3"/>
        <w:ind w:firstLine="560"/>
        <w:jc w:val="both"/>
      </w:pPr>
      <w:r>
        <w:rPr>
          <w:sz w:val="28"/>
        </w:rPr>
        <w:t>3）每次服务后，填写符合要求的消杀记录表，将处置过程中的人员安排、器械用药、处理面积、发现问题和建议等形成书面报告交付给所属街道及甲方督办。</w:t>
      </w:r>
    </w:p>
    <w:p>
      <w:pPr>
        <w:pStyle w:val="null3"/>
        <w:ind w:firstLine="560"/>
        <w:jc w:val="both"/>
      </w:pPr>
      <w:r>
        <w:rPr>
          <w:sz w:val="28"/>
        </w:rPr>
        <w:t>4）乙方不得随意变更现场负责人，如必须变更，须书面向甲方提出申请，经同意后方可变更，且合同期内只能变更一次（项目负责人怀孕、生病等不可抗力原因除外），变更后的负责人须有同等级或更高资质证书，并经甲方书面认可。</w:t>
      </w:r>
    </w:p>
    <w:p>
      <w:pPr>
        <w:pStyle w:val="null3"/>
        <w:ind w:firstLine="560"/>
        <w:jc w:val="both"/>
      </w:pPr>
      <w:r>
        <w:rPr>
          <w:sz w:val="28"/>
        </w:rPr>
        <w:t>（</w:t>
      </w:r>
      <w:r>
        <w:rPr>
          <w:sz w:val="28"/>
        </w:rPr>
        <w:t>2）参与本项目常备工作人员每支队伍12人（不含现场负责人），工作过程中要穿着统一工作制服，参与消杀工作人员需持有有害生物防制员证书或经培训合格。根据两热疫情情况，必要时能提供两支12人（不含现场负责人，含药械）队伍。</w:t>
      </w:r>
    </w:p>
    <w:p>
      <w:pPr>
        <w:pStyle w:val="null3"/>
        <w:ind w:firstLine="560"/>
        <w:jc w:val="both"/>
      </w:pPr>
      <w:r>
        <w:rPr>
          <w:sz w:val="28"/>
        </w:rPr>
        <w:t>（</w:t>
      </w:r>
      <w:r>
        <w:rPr>
          <w:sz w:val="28"/>
        </w:rPr>
        <w:t>3）乙方应按照《中华人民共和国劳动法》的相关规定发放工资，应按照《中华人民共和国社会保险法》和《住房公积金管理条例》的相关规定，支付国家规定必须购买的社会保险费用和缴存住房公积金。</w:t>
      </w:r>
    </w:p>
    <w:p>
      <w:pPr>
        <w:pStyle w:val="null3"/>
        <w:ind w:firstLine="560"/>
        <w:jc w:val="both"/>
      </w:pPr>
      <w:r>
        <w:rPr>
          <w:sz w:val="28"/>
        </w:rPr>
        <w:t>（</w:t>
      </w:r>
      <w:r>
        <w:rPr>
          <w:sz w:val="28"/>
        </w:rPr>
        <w:t>4）乙方必须确保工作人员的工作规范，如工作过程中出现职业伤害、工伤、经济赔偿、民事纠纷、刑事责任等，由乙方全部负责。</w:t>
      </w:r>
    </w:p>
    <w:p>
      <w:pPr>
        <w:pStyle w:val="null3"/>
        <w:ind w:firstLine="560"/>
        <w:jc w:val="both"/>
      </w:pPr>
      <w:r>
        <w:rPr>
          <w:sz w:val="28"/>
        </w:rPr>
        <w:t>（</w:t>
      </w:r>
      <w:r>
        <w:rPr>
          <w:sz w:val="28"/>
        </w:rPr>
        <w:t>5）乙方须配备相应的项目服务组织架构和完善的管理制度。</w:t>
      </w:r>
    </w:p>
    <w:p>
      <w:pPr>
        <w:pStyle w:val="null3"/>
        <w:ind w:firstLine="560"/>
        <w:jc w:val="both"/>
      </w:pPr>
      <w:r>
        <w:rPr>
          <w:sz w:val="28"/>
        </w:rPr>
        <w:t>2、业务管理</w:t>
      </w:r>
    </w:p>
    <w:p>
      <w:pPr>
        <w:pStyle w:val="null3"/>
        <w:ind w:firstLine="560"/>
        <w:jc w:val="both"/>
      </w:pPr>
      <w:r>
        <w:rPr>
          <w:sz w:val="28"/>
        </w:rPr>
        <w:t>（</w:t>
      </w:r>
      <w:r>
        <w:rPr>
          <w:sz w:val="28"/>
        </w:rPr>
        <w:t>1）乙方自行负责消杀队伍的办公场所和员工培训，并应保证各项业务工作顺利实施。</w:t>
      </w:r>
    </w:p>
    <w:p>
      <w:pPr>
        <w:pStyle w:val="null3"/>
        <w:ind w:firstLine="560"/>
        <w:jc w:val="both"/>
      </w:pPr>
      <w:r>
        <w:rPr>
          <w:sz w:val="28"/>
        </w:rPr>
        <w:t>（</w:t>
      </w:r>
      <w:r>
        <w:rPr>
          <w:sz w:val="28"/>
        </w:rPr>
        <w:t>2）甲方安排专人指导消杀队伍，合理安排工作，每次消杀要记录消杀队伍的人员情况和药械的使用情况，并组织安排质控考核评估工作。</w:t>
      </w:r>
    </w:p>
    <w:p>
      <w:pPr>
        <w:pStyle w:val="null3"/>
        <w:ind w:firstLine="560"/>
        <w:jc w:val="both"/>
      </w:pPr>
      <w:r>
        <w:rPr>
          <w:sz w:val="28"/>
        </w:rPr>
        <w:t>（</w:t>
      </w:r>
      <w:r>
        <w:rPr>
          <w:sz w:val="28"/>
        </w:rPr>
        <w:t>3）由甲方组织安排乙方在疫点核心区内进行应急消杀（以实际工作量为准），每次行动根据甲方实际情况安排，每支队伍需标准配置12名消杀人员，6台专业超低容量喷雾机（含药物），工作时间为每天7小时。甲方可要求乙方同时派出最多</w:t>
      </w:r>
      <w:r>
        <w:rPr>
          <w:sz w:val="28"/>
        </w:rPr>
        <w:t>5</w:t>
      </w:r>
      <w:r>
        <w:rPr>
          <w:sz w:val="28"/>
        </w:rPr>
        <w:t>支消杀队伍。</w:t>
      </w:r>
    </w:p>
    <w:p>
      <w:pPr>
        <w:pStyle w:val="null3"/>
        <w:ind w:firstLine="560"/>
        <w:jc w:val="both"/>
      </w:pPr>
      <w:r>
        <w:rPr>
          <w:sz w:val="28"/>
        </w:rPr>
        <w:t>3、药械管理</w:t>
      </w:r>
    </w:p>
    <w:p>
      <w:pPr>
        <w:pStyle w:val="null3"/>
        <w:ind w:firstLine="560"/>
        <w:jc w:val="both"/>
      </w:pPr>
      <w:r>
        <w:rPr>
          <w:sz w:val="28"/>
        </w:rPr>
        <w:t>（</w:t>
      </w:r>
      <w:r>
        <w:rPr>
          <w:sz w:val="28"/>
        </w:rPr>
        <w:t>1）消杀器械装备</w:t>
      </w:r>
    </w:p>
    <w:p>
      <w:pPr>
        <w:pStyle w:val="null3"/>
        <w:ind w:firstLine="560"/>
        <w:jc w:val="both"/>
      </w:pPr>
      <w:r>
        <w:rPr>
          <w:sz w:val="28"/>
        </w:rPr>
        <w:t>乙方须为本项目配备工作器械，包括</w:t>
      </w:r>
      <w:r>
        <w:rPr>
          <w:sz w:val="28"/>
        </w:rPr>
        <w:t>30</w:t>
      </w:r>
      <w:r>
        <w:rPr>
          <w:sz w:val="28"/>
        </w:rPr>
        <w:t>台背负式超低容量喷雾机、</w:t>
      </w:r>
      <w:r>
        <w:rPr>
          <w:sz w:val="28"/>
        </w:rPr>
        <w:t>10</w:t>
      </w:r>
      <w:r>
        <w:rPr>
          <w:sz w:val="28"/>
        </w:rPr>
        <w:t>台常量喷雾机、</w:t>
      </w:r>
      <w:r>
        <w:rPr>
          <w:sz w:val="28"/>
        </w:rPr>
        <w:t>5</w:t>
      </w:r>
      <w:r>
        <w:rPr>
          <w:sz w:val="28"/>
        </w:rPr>
        <w:t>台热（冷）烟雾机，其他器械根据实际情况配备。</w:t>
      </w:r>
    </w:p>
    <w:p>
      <w:pPr>
        <w:pStyle w:val="null3"/>
        <w:ind w:firstLine="560"/>
        <w:jc w:val="both"/>
      </w:pPr>
      <w:r>
        <w:rPr>
          <w:sz w:val="28"/>
        </w:rPr>
        <w:t>（</w:t>
      </w:r>
      <w:r>
        <w:rPr>
          <w:sz w:val="28"/>
        </w:rPr>
        <w:t>2）消杀药物管理</w:t>
      </w:r>
    </w:p>
    <w:p>
      <w:pPr>
        <w:pStyle w:val="null3"/>
        <w:ind w:firstLine="560"/>
        <w:jc w:val="both"/>
      </w:pPr>
      <w:r>
        <w:rPr>
          <w:sz w:val="28"/>
        </w:rPr>
        <w:t>1）乙方按甲方的要求负责现场蚊媒应急消杀所需药物，灭蚊药物种类根据甲方推荐情况自行采购，乙方每个疫点投入药物的品牌和数量须得到甲方认可。每次消杀作业后，乙方都要按照甲方要求做好详细施工记录（包括处置面积、药物种类和数量、出动人员和人数等），并在完成消杀作业后1天内向甲方提交施工记录、工作图片等资料。</w:t>
      </w:r>
    </w:p>
    <w:p>
      <w:pPr>
        <w:pStyle w:val="null3"/>
        <w:ind w:firstLine="560"/>
        <w:jc w:val="both"/>
      </w:pPr>
      <w:r>
        <w:rPr>
          <w:sz w:val="28"/>
        </w:rPr>
        <w:t>2）乙方采购的每种药物必须有真实有效的卫生类农药登记证（备案在有效期内）、农药生产许可证书（备案在有效期内）和企业标准。</w:t>
      </w:r>
    </w:p>
    <w:p>
      <w:pPr>
        <w:pStyle w:val="null3"/>
        <w:ind w:firstLine="560"/>
        <w:jc w:val="both"/>
      </w:pPr>
      <w:r>
        <w:rPr>
          <w:sz w:val="28"/>
        </w:rPr>
        <w:t>3）乙方必须注重科学合理用药，不能使用假药、过期药、国家禁用的药物。使用的药物和器械必须符合《病媒生物控制药物器械安全使用准则》，达到“环保、低毒、高效、安全”的要求。</w:t>
      </w:r>
    </w:p>
    <w:p>
      <w:pPr>
        <w:pStyle w:val="null3"/>
        <w:ind w:firstLine="562"/>
        <w:jc w:val="both"/>
      </w:pPr>
      <w:r>
        <w:rPr>
          <w:sz w:val="28"/>
          <w:b/>
        </w:rPr>
        <w:t>六、项目服务要求</w:t>
      </w:r>
    </w:p>
    <w:p>
      <w:pPr>
        <w:pStyle w:val="null3"/>
        <w:ind w:firstLine="560"/>
        <w:jc w:val="both"/>
      </w:pPr>
      <w:r>
        <w:rPr>
          <w:sz w:val="28"/>
        </w:rPr>
        <w:t>1、疫情应急响应：乙方必须建立24小时应急机制，接到甲方通知后2小时内抵达指定地点。</w:t>
      </w:r>
    </w:p>
    <w:p>
      <w:pPr>
        <w:pStyle w:val="null3"/>
        <w:ind w:firstLine="560"/>
        <w:jc w:val="both"/>
      </w:pPr>
      <w:r>
        <w:rPr>
          <w:sz w:val="28"/>
        </w:rPr>
        <w:t>2、乙方必须配备相应的项目服务组织架构和完善的管理措施。</w:t>
      </w:r>
    </w:p>
    <w:p>
      <w:pPr>
        <w:pStyle w:val="null3"/>
        <w:ind w:firstLine="560"/>
        <w:jc w:val="both"/>
      </w:pPr>
      <w:r>
        <w:rPr>
          <w:sz w:val="28"/>
        </w:rPr>
        <w:t>3、乙方的服务方案计划应切实可行。</w:t>
      </w:r>
    </w:p>
    <w:p>
      <w:pPr>
        <w:pStyle w:val="null3"/>
        <w:ind w:firstLine="562"/>
        <w:jc w:val="both"/>
      </w:pPr>
      <w:r>
        <w:rPr>
          <w:sz w:val="28"/>
          <w:b/>
        </w:rPr>
        <w:t>七、服务质量考核及处罚</w:t>
      </w:r>
    </w:p>
    <w:p>
      <w:pPr>
        <w:pStyle w:val="null3"/>
        <w:ind w:firstLine="560"/>
        <w:jc w:val="both"/>
      </w:pPr>
      <w:r>
        <w:rPr>
          <w:sz w:val="28"/>
        </w:rPr>
        <w:t>1、乙方每次消杀要记录消杀队伍的人员情况和药械的使用情况。相关街道工作人员将对乙方每次行动中到场时间、到场人数、药械品类和数量、工作情况等项目进行扣分评价，总分100分，扣完为止，评分作为分派任务及服务费结算的参考依据。</w:t>
      </w:r>
    </w:p>
    <w:p>
      <w:pPr>
        <w:pStyle w:val="null3"/>
        <w:ind w:firstLine="560"/>
        <w:jc w:val="both"/>
      </w:pPr>
      <w:r>
        <w:rPr>
          <w:sz w:val="28"/>
        </w:rPr>
        <w:t>2、如乙方累计两次无法达到甲方提供病媒生物防制的服务要求或累计两次参加病媒生物防制的服务评分都＜60分，甲方有权终止合同。</w:t>
      </w:r>
    </w:p>
    <w:p>
      <w:pPr>
        <w:pStyle w:val="null3"/>
        <w:ind w:firstLine="560"/>
        <w:jc w:val="both"/>
      </w:pPr>
      <w:r>
        <w:rPr>
          <w:sz w:val="28"/>
        </w:rPr>
        <w:t>3、乙方在病媒生物防制工作任务的限期和区域内，因乙方原因导致病媒生物密度未降至低风险及以下水平，乙方须在收到甲方通知后3日内按要求免费重新开展病媒生物防制工作直至病媒生物密度降至低风险及以下水平，否则只支付该次消杀费用的50%；乙方在病媒生物防制工作任务的限期和区域内，累计达三次因乙方原因导致病媒生物密度未降至低风险及以下水平，甲方有权终止合同。</w:t>
      </w:r>
    </w:p>
    <w:p>
      <w:pPr>
        <w:pStyle w:val="null3"/>
        <w:ind w:firstLine="560"/>
        <w:jc w:val="both"/>
      </w:pPr>
      <w:r>
        <w:rPr>
          <w:sz w:val="28"/>
        </w:rPr>
        <w:t>4、如因乙方或乙方聘请的员工泄露疫情或相关工作信息，造成社会不良后果，一经查实，甲方有权追究相应法律责任并有权终止合同。</w:t>
      </w:r>
    </w:p>
    <w:p>
      <w:pPr>
        <w:pStyle w:val="null3"/>
        <w:ind w:firstLine="560"/>
        <w:jc w:val="both"/>
      </w:pPr>
      <w:r>
        <w:rPr>
          <w:sz w:val="28"/>
        </w:rPr>
        <w:t>5、在合同期内，发生综合治理、安全生产事故给甲方造成重大负面影响的，甲方有权终止合同。</w:t>
      </w:r>
    </w:p>
    <w:p>
      <w:pPr>
        <w:pStyle w:val="null3"/>
        <w:ind w:firstLine="560"/>
        <w:jc w:val="both"/>
      </w:pPr>
      <w:r>
        <w:rPr>
          <w:sz w:val="28"/>
        </w:rPr>
        <w:t>6、在合同期内，如出现乙方使用不符合规定的药物或不当投（施）药造成不良后果，甲方有权追究相应法律责任并有权终止合同，乙方承担由此产生的风险并赔偿由此导致的损失。本项目预算使用完毕或服务期满，本项目合同结束，乙方必须无条件配合结束本项目。</w:t>
      </w:r>
    </w:p>
    <w:p>
      <w:pPr>
        <w:pStyle w:val="null3"/>
        <w:ind w:firstLine="562"/>
        <w:jc w:val="both"/>
      </w:pPr>
      <w:r>
        <w:rPr>
          <w:sz w:val="28"/>
          <w:b/>
        </w:rPr>
        <w:t>八、验收要求</w:t>
      </w:r>
    </w:p>
    <w:p>
      <w:pPr>
        <w:pStyle w:val="null3"/>
        <w:ind w:firstLine="560"/>
        <w:jc w:val="both"/>
      </w:pPr>
      <w:r>
        <w:rPr>
          <w:sz w:val="28"/>
        </w:rPr>
        <w:t>乙方工作完成后，由所属街道填写《蚊媒控制工作量记录表》、《蚊媒控制工作评价表》确认工作效果。</w:t>
      </w:r>
    </w:p>
    <w:p>
      <w:pPr>
        <w:pStyle w:val="null3"/>
        <w:ind w:firstLine="562"/>
        <w:jc w:val="both"/>
      </w:pPr>
      <w:r>
        <w:rPr>
          <w:sz w:val="28"/>
          <w:b/>
        </w:rPr>
        <w:t>九、付款方式</w:t>
      </w:r>
    </w:p>
    <w:p>
      <w:pPr>
        <w:pStyle w:val="null3"/>
        <w:ind w:firstLine="560"/>
        <w:jc w:val="both"/>
      </w:pPr>
      <w:r>
        <w:rPr>
          <w:sz w:val="28"/>
        </w:rPr>
        <w:t>1、乙方与甲方签订完合同后，且甲方收到乙方提供等额发票凭证资料后5个工作日内向乙方支付合同总金额的30%作为预付款；后续结算支付按照每季度结算一次进行支付，实际结算金额为应结算金额扣减预付款。如该次应结算金额小于预付款的，待下一次结算节点予以支付。</w:t>
      </w:r>
    </w:p>
    <w:p>
      <w:pPr>
        <w:pStyle w:val="null3"/>
        <w:ind w:firstLine="560"/>
        <w:jc w:val="both"/>
      </w:pPr>
      <w:r>
        <w:rPr>
          <w:sz w:val="28"/>
        </w:rPr>
        <w:t>2、服务费一般每季度结算一次，乙方在每个季度首月的15号前向甲方提交上一季度《蚊媒控制应急消杀工作量记录表》《蚊媒控制应急消杀工作评价表》和有效发票申请结算，经甲方确认后，在5个工作日内结付上季度的服务费。</w:t>
      </w:r>
    </w:p>
    <w:p>
      <w:pPr>
        <w:pStyle w:val="null3"/>
        <w:ind w:firstLine="560"/>
        <w:jc w:val="both"/>
      </w:pPr>
      <w:r>
        <w:rPr>
          <w:sz w:val="28"/>
        </w:rPr>
        <w:t>3、</w:t>
      </w:r>
      <w:r>
        <w:rPr>
          <w:sz w:val="28"/>
        </w:rPr>
        <w:t>因甲方使用的是财政资金，</w:t>
      </w:r>
      <w:r>
        <w:rPr>
          <w:sz w:val="28"/>
        </w:rPr>
        <w:t>财政支付执行机构原因导致支付不及时的，甲方不承担违约责任</w:t>
      </w:r>
      <w:r>
        <w:rPr>
          <w:sz w:val="28"/>
        </w:rPr>
        <w:t>。</w:t>
      </w:r>
    </w:p>
    <w:p>
      <w:pPr>
        <w:pStyle w:val="null3"/>
        <w:ind w:firstLine="562"/>
        <w:jc w:val="both"/>
      </w:pPr>
      <w:r>
        <w:rPr>
          <w:sz w:val="28"/>
          <w:b/>
        </w:rPr>
        <w:t>十、违约责任与赔偿损失</w:t>
      </w:r>
    </w:p>
    <w:p>
      <w:pPr>
        <w:pStyle w:val="null3"/>
        <w:ind w:firstLine="560"/>
        <w:jc w:val="both"/>
      </w:pPr>
      <w:r>
        <w:rPr>
          <w:sz w:val="28"/>
        </w:rPr>
        <w:t>1、乙方提供的服务不符合采购文件、投标文件或本合同规定的，甲方有权拒收，并且乙方须向甲方支付本合同总价5%的违约金。</w:t>
      </w:r>
    </w:p>
    <w:p>
      <w:pPr>
        <w:pStyle w:val="null3"/>
        <w:ind w:firstLine="560"/>
        <w:jc w:val="both"/>
      </w:pPr>
      <w:r>
        <w:rPr>
          <w:sz w:val="28"/>
        </w:rPr>
        <w:t>2、乙方未能按本合同规定的交货时间提供服务，从逾期之日起每日按本合同总价 3‰的数额向甲方支付违约金；逾期半个月以上的，甲方有权终止合同，由此造成的甲方经济损失由乙方承担。</w:t>
      </w:r>
    </w:p>
    <w:p>
      <w:pPr>
        <w:pStyle w:val="null3"/>
        <w:ind w:firstLine="560"/>
        <w:jc w:val="both"/>
      </w:pPr>
      <w:r>
        <w:rPr>
          <w:sz w:val="28"/>
        </w:rPr>
        <w:t>3、甲方无正当理由拒绝接受服务，到期拒付服务款项的，甲方向乙方偿付本合同总价的 5%的违约金。甲方逾期付款，则每日按本合同总价的 3‰向乙方偿付违约金。</w:t>
      </w:r>
    </w:p>
    <w:p>
      <w:pPr>
        <w:pStyle w:val="null3"/>
        <w:ind w:firstLine="560"/>
        <w:jc w:val="both"/>
      </w:pPr>
      <w:r>
        <w:rPr>
          <w:sz w:val="28"/>
        </w:rPr>
        <w:t>4、其它违约责任按《中华人民共和国民法典》处理。</w:t>
      </w:r>
    </w:p>
    <w:p>
      <w:pPr>
        <w:pStyle w:val="null3"/>
        <w:ind w:firstLine="562"/>
        <w:jc w:val="both"/>
      </w:pPr>
      <w:r>
        <w:rPr>
          <w:sz w:val="28"/>
          <w:b/>
        </w:rPr>
        <w:t>十一、争端的解决</w:t>
      </w:r>
    </w:p>
    <w:p>
      <w:pPr>
        <w:pStyle w:val="null3"/>
        <w:ind w:firstLine="560"/>
        <w:jc w:val="both"/>
      </w:pPr>
      <w:r>
        <w:rPr>
          <w:sz w:val="28"/>
        </w:rPr>
        <w:t>合同执行过程中发生的任何争议，如双方不能通过友好协商解决，按相关法律法规处理。</w:t>
      </w:r>
    </w:p>
    <w:p>
      <w:pPr>
        <w:pStyle w:val="null3"/>
        <w:ind w:firstLine="562"/>
        <w:jc w:val="both"/>
      </w:pPr>
      <w:r>
        <w:rPr>
          <w:sz w:val="28"/>
          <w:b/>
        </w:rPr>
        <w:t>十二、不可抗力</w:t>
      </w:r>
    </w:p>
    <w:p>
      <w:pPr>
        <w:pStyle w:val="null3"/>
        <w:ind w:firstLine="560"/>
        <w:jc w:val="both"/>
      </w:pPr>
      <w:r>
        <w:rPr>
          <w:sz w:val="28"/>
        </w:rPr>
        <w:t>任何一方由于不可抗力原因不能履行合同时，应在不可抗力事件结束后</w:t>
      </w:r>
      <w:r>
        <w:rPr>
          <w:sz w:val="28"/>
        </w:rPr>
        <w:t>1 日内向对方通报，以减轻可能给对方造成的损失，在取得有关机构的不可抗力证明或双方谅解确认后，允许延期履行或修订合同，并根据情况可部分或全部免于承担违约责任。</w:t>
      </w:r>
    </w:p>
    <w:p>
      <w:pPr>
        <w:pStyle w:val="null3"/>
        <w:ind w:firstLine="562"/>
        <w:jc w:val="both"/>
      </w:pPr>
      <w:r>
        <w:rPr>
          <w:sz w:val="28"/>
          <w:b/>
        </w:rPr>
        <w:t>十三、税费</w:t>
      </w:r>
    </w:p>
    <w:p>
      <w:pPr>
        <w:pStyle w:val="null3"/>
        <w:ind w:firstLine="560"/>
        <w:jc w:val="both"/>
      </w:pPr>
      <w:r>
        <w:rPr>
          <w:sz w:val="28"/>
        </w:rPr>
        <w:t>在中国境内、外发生的与本合同执行有关的一切税费均由乙方负担。</w:t>
      </w:r>
    </w:p>
    <w:p>
      <w:pPr>
        <w:pStyle w:val="null3"/>
        <w:ind w:firstLine="562"/>
        <w:jc w:val="both"/>
      </w:pPr>
      <w:r>
        <w:rPr>
          <w:sz w:val="28"/>
          <w:b/>
        </w:rPr>
        <w:t>十四、其它</w:t>
      </w:r>
    </w:p>
    <w:p>
      <w:pPr>
        <w:pStyle w:val="null3"/>
        <w:ind w:firstLine="560"/>
        <w:jc w:val="both"/>
      </w:pPr>
      <w:r>
        <w:rPr>
          <w:sz w:val="28"/>
        </w:rPr>
        <w:t>1、本合同所有附件、采购文件、投标文件、中标通知书均为合同的有效组成部分，与本合同具有同等法律效力。</w:t>
      </w:r>
    </w:p>
    <w:p>
      <w:pPr>
        <w:pStyle w:val="null3"/>
        <w:ind w:firstLine="560"/>
        <w:jc w:val="both"/>
      </w:pPr>
      <w:r>
        <w:rPr>
          <w:sz w:val="28"/>
        </w:rPr>
        <w:t>2、在执行本合同的过程中，所有经双方签署确认的文件（包括会议纪要、补充协议、往来信函）即成为本合同的有效组成部分。</w:t>
      </w:r>
    </w:p>
    <w:p>
      <w:pPr>
        <w:pStyle w:val="null3"/>
        <w:ind w:firstLine="560"/>
        <w:jc w:val="both"/>
      </w:pPr>
      <w:r>
        <w:rPr>
          <w:sz w:val="28"/>
        </w:rPr>
        <w:t>3、如一方地址、电话、传真号码有变更，应在变更当日内书面通知对方，否则，应承担相应责任。</w:t>
      </w:r>
    </w:p>
    <w:p>
      <w:pPr>
        <w:pStyle w:val="null3"/>
        <w:ind w:firstLine="560"/>
        <w:jc w:val="both"/>
      </w:pPr>
      <w:r>
        <w:rPr>
          <w:sz w:val="28"/>
        </w:rPr>
        <w:t>4、除甲方事先书面同意外，乙方不得部分或全部转让其应履行的合同项下的义务。</w:t>
      </w:r>
    </w:p>
    <w:p>
      <w:pPr>
        <w:pStyle w:val="null3"/>
        <w:ind w:firstLine="562"/>
        <w:jc w:val="both"/>
      </w:pPr>
      <w:r>
        <w:rPr>
          <w:sz w:val="28"/>
          <w:b/>
        </w:rPr>
        <w:t>十五、合同生效</w:t>
      </w:r>
    </w:p>
    <w:p>
      <w:pPr>
        <w:pStyle w:val="null3"/>
        <w:ind w:firstLine="560"/>
        <w:jc w:val="both"/>
      </w:pPr>
      <w:r>
        <w:rPr>
          <w:sz w:val="28"/>
        </w:rPr>
        <w:t>1、本合同在甲乙双方法定代表人或其授权代表签字和单位盖章后生效。</w:t>
      </w:r>
    </w:p>
    <w:p>
      <w:pPr>
        <w:pStyle w:val="null3"/>
        <w:ind w:firstLine="560"/>
        <w:jc w:val="both"/>
      </w:pPr>
      <w:r>
        <w:rPr>
          <w:sz w:val="28"/>
        </w:rPr>
        <w:t>2、合同一式五份，其中甲方三份，乙方一份，采购代理机构一份，均具有同等法律效力。</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签定日期：</w:t>
            </w:r>
            <w:r>
              <w:rPr>
                <w:sz w:val="28"/>
              </w:rPr>
              <w:t xml:space="preserve">    </w:t>
            </w:r>
            <w:r>
              <w:rPr>
                <w:sz w:val="28"/>
              </w:rPr>
              <w:t>年</w:t>
            </w:r>
            <w:r>
              <w:rPr>
                <w:sz w:val="28"/>
              </w:rPr>
              <w:t xml:space="preserve">    </w:t>
            </w:r>
            <w:r>
              <w:rPr>
                <w:sz w:val="28"/>
              </w:rPr>
              <w:t>月</w:t>
            </w:r>
            <w:r>
              <w:rPr>
                <w:sz w:val="28"/>
              </w:rPr>
              <w:t xml:space="preserve">   </w:t>
            </w:r>
            <w:r>
              <w:rPr>
                <w:sz w:val="28"/>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签定日期：</w:t>
            </w:r>
            <w:r>
              <w:rPr>
                <w:sz w:val="28"/>
              </w:rPr>
              <w:t xml:space="preserve">  </w:t>
            </w:r>
            <w:r>
              <w:rPr>
                <w:sz w:val="28"/>
              </w:rPr>
              <w:t>年</w:t>
            </w:r>
            <w:r>
              <w:rPr>
                <w:sz w:val="28"/>
              </w:rPr>
              <w:t xml:space="preserve">     </w:t>
            </w:r>
            <w:r>
              <w:rPr>
                <w:sz w:val="28"/>
              </w:rPr>
              <w:t>月</w:t>
            </w:r>
            <w:r>
              <w:rPr>
                <w:sz w:val="28"/>
              </w:rPr>
              <w:t xml:space="preserve">     </w:t>
            </w:r>
            <w:r>
              <w:rPr>
                <w:sz w:val="28"/>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银行</w:t>
            </w:r>
            <w:r>
              <w:rPr>
                <w:sz w:val="28"/>
              </w:rPr>
              <w:t>账</w:t>
            </w:r>
            <w:r>
              <w:rPr>
                <w:sz w:val="28"/>
              </w:rPr>
              <w:t>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开户行：</w:t>
            </w:r>
          </w:p>
        </w:tc>
      </w:tr>
    </w:tbl>
    <w:p>
      <w:pPr>
        <w:pStyle w:val="null3"/>
      </w:pPr>
      <w:r>
        <w:rPr>
          <w:sz w:val="28"/>
          <w:b/>
        </w:rPr>
        <w:t>附件</w:t>
      </w:r>
      <w:r>
        <w:rPr>
          <w:sz w:val="28"/>
          <w:b/>
        </w:rPr>
        <w:t>1 蚊媒控制应急消杀工作量记录表</w:t>
      </w:r>
    </w:p>
    <w:p>
      <w:pPr>
        <w:pStyle w:val="null3"/>
      </w:pPr>
      <w:r>
        <w:rPr>
          <w:sz w:val="24"/>
        </w:rPr>
        <w:t>客户名称</w:t>
      </w:r>
      <w:r>
        <w:rPr>
          <w:sz w:val="24"/>
        </w:rPr>
        <w:t xml:space="preserve">:               </w:t>
      </w:r>
      <w:r>
        <w:rPr>
          <w:sz w:val="24"/>
        </w:rPr>
        <w:t>服务日期</w:t>
      </w:r>
      <w:r>
        <w:rPr>
          <w:sz w:val="24"/>
        </w:rPr>
        <w:t xml:space="preserve">:                 </w:t>
      </w:r>
      <w:r>
        <w:rPr>
          <w:sz w:val="24"/>
        </w:rPr>
        <w:t>起止时间</w:t>
      </w:r>
      <w:r>
        <w:rPr>
          <w:sz w:val="24"/>
        </w:rPr>
        <w:t>:</w:t>
      </w:r>
    </w:p>
    <w:p>
      <w:pPr>
        <w:pStyle w:val="null3"/>
      </w:pPr>
      <w:r>
        <w:rPr>
          <w:sz w:val="24"/>
        </w:rPr>
        <w:t>气象情况（天气、风力、温度）：</w:t>
      </w:r>
      <w:r>
        <w:rPr>
          <w:sz w:val="24"/>
        </w:rPr>
        <w:t xml:space="preserve">                     </w:t>
      </w:r>
      <w:r>
        <w:rPr>
          <w:sz w:val="24"/>
        </w:rPr>
        <w:t>作业人员</w:t>
      </w:r>
      <w:r>
        <w:rPr>
          <w:sz w:val="24"/>
        </w:rPr>
        <w:t>:</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904"/>
        <w:gridCol w:w="1311"/>
        <w:gridCol w:w="950"/>
        <w:gridCol w:w="965"/>
        <w:gridCol w:w="1085"/>
        <w:gridCol w:w="889"/>
        <w:gridCol w:w="1025"/>
        <w:gridCol w:w="1176"/>
      </w:tblGrid>
      <w:tr>
        <w:tc>
          <w:tcPr>
            <w:tcW w:type="dxa" w:w="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防治对象</w:t>
            </w:r>
          </w:p>
        </w:tc>
        <w:tc>
          <w:tcPr>
            <w:tcW w:type="dxa" w:w="1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药物名称</w:t>
            </w:r>
          </w:p>
          <w:p>
            <w:pPr>
              <w:pStyle w:val="null3"/>
            </w:pPr>
            <w:r>
              <w:rPr>
                <w:sz w:val="24"/>
              </w:rPr>
              <w:t>（附农药登记证号）</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剂型</w:t>
            </w:r>
          </w:p>
        </w:tc>
        <w:tc>
          <w:tcPr>
            <w:tcW w:type="dxa" w:w="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原药使用量</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使用浓度</w:t>
            </w:r>
          </w:p>
          <w:p>
            <w:pPr>
              <w:pStyle w:val="null3"/>
            </w:pPr>
            <w:r>
              <w:rPr>
                <w:sz w:val="24"/>
              </w:rPr>
              <w:t>（稀释倍数）</w:t>
            </w:r>
          </w:p>
        </w:tc>
        <w:tc>
          <w:tcPr>
            <w:tcW w:type="dxa" w:w="8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稀释溶剂</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处置区域及面积</w:t>
            </w:r>
          </w:p>
        </w:tc>
        <w:tc>
          <w:tcPr>
            <w:tcW w:type="dxa" w:w="1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施药器械</w:t>
            </w:r>
            <w:r>
              <w:rPr>
                <w:sz w:val="24"/>
              </w:rPr>
              <w:t>/</w:t>
            </w:r>
            <w:r>
              <w:rPr>
                <w:sz w:val="24"/>
              </w:rPr>
              <w:t>施药方式</w:t>
            </w: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8"/>
          <w:b/>
        </w:rPr>
        <w:t>注：此表格一式两份，双方各一份。</w:t>
      </w:r>
    </w:p>
    <w:p>
      <w:pPr>
        <w:pStyle w:val="null3"/>
      </w:pPr>
      <w:r>
        <w:rPr>
          <w:sz w:val="28"/>
          <w:b/>
        </w:rPr>
        <w:t>附件</w:t>
      </w:r>
      <w:r>
        <w:rPr>
          <w:sz w:val="28"/>
          <w:b/>
        </w:rPr>
        <w:t>2  蚊媒控制应急消杀工作评价表</w:t>
      </w:r>
    </w:p>
    <w:p>
      <w:pPr>
        <w:pStyle w:val="null3"/>
      </w:pPr>
      <w:r>
        <w:rPr>
          <w:sz w:val="28"/>
        </w:rPr>
        <w:t>PCO公司名称：             疫点位置：        服务日期：</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4319"/>
        <w:gridCol w:w="3134"/>
        <w:gridCol w:w="837"/>
      </w:tblGrid>
      <w:tr>
        <w:tc>
          <w:tcPr>
            <w:tcW w:type="dxa" w:w="4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扣分标准</w:t>
            </w:r>
          </w:p>
        </w:tc>
        <w:tc>
          <w:tcPr>
            <w:tcW w:type="dxa" w:w="3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扣分内容</w:t>
            </w:r>
          </w:p>
        </w:tc>
        <w:tc>
          <w:tcPr>
            <w:tcW w:type="dxa" w:w="8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w:t>
            </w:r>
          </w:p>
        </w:tc>
      </w:tr>
      <w:tr>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一、迟到或早退（</w:t>
            </w:r>
            <w:r>
              <w:rPr>
                <w:sz w:val="24"/>
              </w:rPr>
              <w:t>5分）</w:t>
            </w:r>
          </w:p>
        </w:tc>
        <w:tc>
          <w:tcPr>
            <w:tcW w:type="dxa" w:w="3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每人每半小时扣</w:t>
            </w:r>
            <w:r>
              <w:rPr>
                <w:sz w:val="24"/>
              </w:rPr>
              <w:t>1 分。</w:t>
            </w:r>
          </w:p>
          <w:p>
            <w:pPr>
              <w:pStyle w:val="null3"/>
              <w:jc w:val="both"/>
            </w:pPr>
            <w:r>
              <w:rPr>
                <w:sz w:val="24"/>
              </w:rPr>
              <w:t>采购人通知到达时间：</w:t>
            </w:r>
          </w:p>
          <w:p>
            <w:pPr>
              <w:pStyle w:val="null3"/>
              <w:ind w:firstLine="480"/>
              <w:jc w:val="both"/>
            </w:pPr>
            <w:r>
              <w:rPr>
                <w:sz w:val="24"/>
              </w:rPr>
              <w:t>供应商到达时间：</w:t>
            </w:r>
          </w:p>
          <w:p>
            <w:pPr>
              <w:pStyle w:val="null3"/>
              <w:ind w:firstLine="720"/>
              <w:jc w:val="both"/>
            </w:pPr>
            <w:r>
              <w:rPr>
                <w:sz w:val="24"/>
              </w:rPr>
              <w:t>服务结束时间：</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二、参与服务工作人员人数与采购人要求不符的（</w:t>
            </w:r>
            <w:r>
              <w:rPr>
                <w:sz w:val="24"/>
              </w:rPr>
              <w:t>5分）</w:t>
            </w:r>
          </w:p>
        </w:tc>
        <w:tc>
          <w:tcPr>
            <w:tcW w:type="dxa" w:w="3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每少一人扣</w:t>
            </w:r>
            <w:r>
              <w:rPr>
                <w:sz w:val="24"/>
              </w:rPr>
              <w:t>5分。</w:t>
            </w:r>
          </w:p>
          <w:p>
            <w:pPr>
              <w:pStyle w:val="null3"/>
              <w:jc w:val="both"/>
            </w:pPr>
            <w:r>
              <w:rPr>
                <w:sz w:val="24"/>
              </w:rPr>
              <w:t>消杀人数：人</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三、工作人员未穿着统一工作制服、工作过程中未佩戴口罩等防护用具的（</w:t>
            </w:r>
            <w:r>
              <w:rPr>
                <w:sz w:val="24"/>
              </w:rPr>
              <w:t>1.</w:t>
            </w:r>
            <w:r>
              <w:rPr>
                <w:sz w:val="24"/>
              </w:rPr>
              <w:t>配制药物</w:t>
            </w:r>
            <w:r>
              <w:rPr>
                <w:sz w:val="24"/>
              </w:rPr>
              <w:t>时是否穿戴好个人防护用品；</w:t>
            </w:r>
            <w:r>
              <w:rPr>
                <w:sz w:val="24"/>
              </w:rPr>
              <w:t>2.作业过程中发生漏液，是否立即停止作业，脱掉被药物污染的衣物，用流动清水冲洗皮肤15分钟以</w:t>
            </w:r>
            <w:r>
              <w:rPr>
                <w:sz w:val="24"/>
              </w:rPr>
              <w:t>上；</w:t>
            </w:r>
            <w:r>
              <w:rPr>
                <w:sz w:val="24"/>
              </w:rPr>
              <w:t>3.</w:t>
            </w:r>
            <w:r>
              <w:rPr>
                <w:sz w:val="24"/>
              </w:rPr>
              <w:t>作业期间是否存在摘口罩、手套等行为，是否有抽</w:t>
            </w:r>
            <w:r>
              <w:rPr>
                <w:sz w:val="24"/>
              </w:rPr>
              <w:t>烟、</w:t>
            </w:r>
            <w:r>
              <w:rPr>
                <w:sz w:val="24"/>
              </w:rPr>
              <w:t>进食饮水等行为</w:t>
            </w:r>
            <w:r>
              <w:rPr>
                <w:sz w:val="24"/>
              </w:rPr>
              <w:t>）（</w:t>
            </w:r>
            <w:r>
              <w:rPr>
                <w:sz w:val="24"/>
              </w:rPr>
              <w:t>10分）。</w:t>
            </w:r>
          </w:p>
        </w:tc>
        <w:tc>
          <w:tcPr>
            <w:tcW w:type="dxa" w:w="3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出现上述任一情况扣</w:t>
            </w:r>
            <w:r>
              <w:rPr>
                <w:sz w:val="24"/>
              </w:rPr>
              <w:t>10分</w:t>
            </w:r>
          </w:p>
          <w:p>
            <w:pPr>
              <w:pStyle w:val="null3"/>
              <w:jc w:val="both"/>
            </w:p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四、不按照施（投）药技术规范使用药物、不根据甲方指导意见使用药物（</w:t>
            </w:r>
            <w:r>
              <w:rPr>
                <w:sz w:val="24"/>
              </w:rPr>
              <w:t>1.</w:t>
            </w:r>
            <w:r>
              <w:rPr>
                <w:sz w:val="24"/>
              </w:rPr>
              <w:t>药物是否为合格卫生杀</w:t>
            </w:r>
            <w:r>
              <w:rPr>
                <w:sz w:val="24"/>
              </w:rPr>
              <w:t>虫剂</w:t>
            </w:r>
            <w:r>
              <w:rPr>
                <w:sz w:val="24"/>
              </w:rPr>
              <w:t>；</w:t>
            </w:r>
            <w:r>
              <w:rPr>
                <w:sz w:val="24"/>
              </w:rPr>
              <w:t>2.</w:t>
            </w:r>
            <w:r>
              <w:rPr>
                <w:sz w:val="24"/>
              </w:rPr>
              <w:t>药物是否过期</w:t>
            </w:r>
            <w:r>
              <w:rPr>
                <w:sz w:val="24"/>
              </w:rPr>
              <w:t>；</w:t>
            </w:r>
            <w:r>
              <w:rPr>
                <w:sz w:val="24"/>
              </w:rPr>
              <w:t>3.</w:t>
            </w:r>
            <w:r>
              <w:rPr>
                <w:sz w:val="24"/>
              </w:rPr>
              <w:t>.</w:t>
            </w:r>
            <w:r>
              <w:rPr>
                <w:sz w:val="24"/>
              </w:rPr>
              <w:t>浓度配比是否按照要求；</w:t>
            </w:r>
            <w:r>
              <w:rPr>
                <w:sz w:val="24"/>
              </w:rPr>
              <w:t>4.药物和器械是否匹配</w:t>
            </w:r>
            <w:r>
              <w:rPr>
                <w:sz w:val="24"/>
              </w:rPr>
              <w:t>；喷雾器型号是否满足要</w:t>
            </w:r>
            <w:r>
              <w:rPr>
                <w:sz w:val="24"/>
              </w:rPr>
              <w:t>求；</w:t>
            </w:r>
            <w:r>
              <w:rPr>
                <w:sz w:val="24"/>
              </w:rPr>
              <w:t>5.</w:t>
            </w:r>
            <w:r>
              <w:rPr>
                <w:sz w:val="24"/>
              </w:rPr>
              <w:t>器械是否正常规范使用；</w:t>
            </w:r>
            <w:r>
              <w:rPr>
                <w:sz w:val="24"/>
              </w:rPr>
              <w:t>）（</w:t>
            </w:r>
            <w:r>
              <w:rPr>
                <w:sz w:val="24"/>
              </w:rPr>
              <w:t>20分）。</w:t>
            </w:r>
          </w:p>
        </w:tc>
        <w:tc>
          <w:tcPr>
            <w:tcW w:type="dxa" w:w="3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出现上述任一情况扣</w:t>
            </w:r>
            <w:r>
              <w:rPr>
                <w:sz w:val="24"/>
              </w:rPr>
              <w:t>20分</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五、未经采购人允许变更现场负责人（</w:t>
            </w:r>
            <w:r>
              <w:rPr>
                <w:sz w:val="24"/>
              </w:rPr>
              <w:t>10分）</w:t>
            </w:r>
          </w:p>
        </w:tc>
        <w:tc>
          <w:tcPr>
            <w:tcW w:type="dxa" w:w="3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违反上述情况扣</w:t>
            </w:r>
            <w:r>
              <w:rPr>
                <w:sz w:val="24"/>
              </w:rPr>
              <w:t>10分</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六、未按时按要求制定处理方案，未按确定的处理方案内容开展工作（</w:t>
            </w:r>
            <w:r>
              <w:rPr>
                <w:sz w:val="24"/>
              </w:rPr>
              <w:t>10分）</w:t>
            </w:r>
          </w:p>
        </w:tc>
        <w:tc>
          <w:tcPr>
            <w:tcW w:type="dxa" w:w="3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违反上述情况扣</w:t>
            </w:r>
            <w:r>
              <w:rPr>
                <w:sz w:val="24"/>
              </w:rPr>
              <w:t>10分</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七、供应商处理方案不根据实际情况制定、使用违禁药物以及其它弄虚作假等情况（</w:t>
            </w:r>
            <w:r>
              <w:rPr>
                <w:sz w:val="24"/>
              </w:rPr>
              <w:t>10分）</w:t>
            </w:r>
          </w:p>
        </w:tc>
        <w:tc>
          <w:tcPr>
            <w:tcW w:type="dxa" w:w="3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违反上述情况扣</w:t>
            </w:r>
            <w:r>
              <w:rPr>
                <w:sz w:val="24"/>
              </w:rPr>
              <w:t>10分</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八、检查发现未处理、未登记的积水或孳生地（</w:t>
            </w:r>
            <w:r>
              <w:rPr>
                <w:sz w:val="24"/>
              </w:rPr>
              <w:t>10分）</w:t>
            </w:r>
          </w:p>
        </w:tc>
        <w:tc>
          <w:tcPr>
            <w:tcW w:type="dxa" w:w="3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发现一处扣</w:t>
            </w:r>
            <w:r>
              <w:rPr>
                <w:sz w:val="24"/>
              </w:rPr>
              <w:t>5分</w:t>
            </w:r>
          </w:p>
          <w:p>
            <w:pPr>
              <w:pStyle w:val="null3"/>
              <w:jc w:val="both"/>
            </w:pPr>
            <w:r>
              <w:rPr>
                <w:sz w:val="24"/>
              </w:rPr>
              <w:t>未登记的积水或孳生地：</w:t>
            </w:r>
            <w:r>
              <w:rPr>
                <w:sz w:val="24"/>
              </w:rPr>
              <w:t>处</w:t>
            </w:r>
          </w:p>
          <w:p>
            <w:pPr>
              <w:pStyle w:val="null3"/>
              <w:jc w:val="both"/>
            </w:pPr>
            <w:r>
              <w:rPr>
                <w:sz w:val="24"/>
              </w:rPr>
              <w:t>未处理的积水或孳生地：</w:t>
            </w:r>
            <w:r>
              <w:rPr>
                <w:sz w:val="24"/>
              </w:rPr>
              <w:t>处</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九、工作人员消极怠工，不服从工作安排，存在不良工作态度（</w:t>
            </w:r>
            <w:r>
              <w:rPr>
                <w:sz w:val="24"/>
              </w:rPr>
              <w:t>10分）</w:t>
            </w:r>
          </w:p>
        </w:tc>
        <w:tc>
          <w:tcPr>
            <w:tcW w:type="dxa" w:w="3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违反上述情况扣</w:t>
            </w:r>
            <w:r>
              <w:rPr>
                <w:sz w:val="24"/>
              </w:rPr>
              <w:t>10分</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十、未按要求完成服务任务（</w:t>
            </w:r>
            <w:r>
              <w:rPr>
                <w:sz w:val="24"/>
              </w:rPr>
              <w:t>10分）</w:t>
            </w:r>
          </w:p>
        </w:tc>
        <w:tc>
          <w:tcPr>
            <w:tcW w:type="dxa" w:w="3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w:t>
            </w:r>
            <w:r>
              <w:rPr>
                <w:sz w:val="24"/>
              </w:rPr>
              <w:t>/否按要求完成服务任务</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评分</w:t>
            </w:r>
          </w:p>
        </w:tc>
        <w:tc>
          <w:tcPr>
            <w:tcW w:type="dxa" w:w="397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4"/>
        </w:rPr>
        <w:t>注：</w:t>
      </w:r>
    </w:p>
    <w:p>
      <w:pPr>
        <w:pStyle w:val="null3"/>
      </w:pPr>
      <w:r>
        <w:rPr>
          <w:sz w:val="24"/>
        </w:rPr>
        <w:t>1</w:t>
      </w:r>
      <w:r>
        <w:rPr>
          <w:sz w:val="24"/>
        </w:rPr>
        <w:t>、需采购人或其指定机构、所属消杀街道、供应商三方签名确认。</w:t>
      </w:r>
    </w:p>
    <w:p>
      <w:pPr>
        <w:pStyle w:val="null3"/>
      </w:pPr>
      <w:r>
        <w:rPr>
          <w:sz w:val="24"/>
        </w:rPr>
        <w:t>2</w:t>
      </w:r>
      <w:r>
        <w:rPr>
          <w:sz w:val="24"/>
        </w:rPr>
        <w:t>、此表满分</w:t>
      </w:r>
      <w:r>
        <w:rPr>
          <w:sz w:val="24"/>
        </w:rPr>
        <w:t>100</w:t>
      </w:r>
      <w:r>
        <w:rPr>
          <w:sz w:val="24"/>
        </w:rPr>
        <w:t>，评分</w:t>
      </w:r>
      <w:r>
        <w:rPr>
          <w:sz w:val="24"/>
        </w:rPr>
        <w:t>=100-</w:t>
      </w:r>
      <w:r>
        <w:rPr>
          <w:sz w:val="24"/>
        </w:rPr>
        <w:t>扣分总数，评分作为支付服务费用的依据。</w:t>
      </w:r>
    </w:p>
    <w:p>
      <w:pPr>
        <w:pStyle w:val="null3"/>
      </w:pPr>
      <w:r>
        <w:rPr>
          <w:sz w:val="24"/>
        </w:rPr>
        <w:t>3</w:t>
      </w:r>
      <w:r>
        <w:rPr>
          <w:sz w:val="24"/>
        </w:rPr>
        <w:t>、</w:t>
      </w:r>
      <w:r>
        <w:rPr>
          <w:sz w:val="24"/>
        </w:rPr>
        <w:t>80</w:t>
      </w:r>
      <w:r>
        <w:rPr>
          <w:sz w:val="24"/>
        </w:rPr>
        <w:t>分或以上作为合格分，未达到合格分的，每扣</w:t>
      </w:r>
      <w:r>
        <w:rPr>
          <w:sz w:val="24"/>
        </w:rPr>
        <w:t>10</w:t>
      </w:r>
      <w:r>
        <w:rPr>
          <w:sz w:val="24"/>
        </w:rPr>
        <w:t>分，则扣除当次服务费的</w:t>
      </w:r>
      <w:r>
        <w:rPr>
          <w:sz w:val="24"/>
        </w:rPr>
        <w:t>10%</w:t>
      </w:r>
      <w:r>
        <w:rPr>
          <w:sz w:val="24"/>
        </w:rPr>
        <w:t>。（若</w:t>
      </w:r>
      <w:r>
        <w:rPr>
          <w:sz w:val="24"/>
        </w:rPr>
        <w:t>80</w:t>
      </w:r>
      <w:r>
        <w:rPr>
          <w:sz w:val="24"/>
        </w:rPr>
        <w:t>分＞当次得分≥</w:t>
      </w:r>
      <w:r>
        <w:rPr>
          <w:sz w:val="24"/>
        </w:rPr>
        <w:t>70</w:t>
      </w:r>
      <w:r>
        <w:rPr>
          <w:sz w:val="24"/>
        </w:rPr>
        <w:t>分，则服务费扣除当次的</w:t>
      </w:r>
      <w:r>
        <w:rPr>
          <w:sz w:val="24"/>
        </w:rPr>
        <w:t>10%</w:t>
      </w:r>
      <w:r>
        <w:rPr>
          <w:sz w:val="24"/>
        </w:rPr>
        <w:t>，若</w:t>
      </w:r>
      <w:r>
        <w:rPr>
          <w:sz w:val="24"/>
        </w:rPr>
        <w:t>70</w:t>
      </w:r>
      <w:r>
        <w:rPr>
          <w:sz w:val="24"/>
        </w:rPr>
        <w:t>分＞当次得分≥</w:t>
      </w:r>
      <w:r>
        <w:rPr>
          <w:sz w:val="24"/>
        </w:rPr>
        <w:t>60</w:t>
      </w:r>
      <w:r>
        <w:rPr>
          <w:sz w:val="24"/>
        </w:rPr>
        <w:t>分，则扣除当次服务费</w:t>
      </w:r>
      <w:r>
        <w:rPr>
          <w:sz w:val="24"/>
        </w:rPr>
        <w:t>20%</w:t>
      </w:r>
      <w:r>
        <w:rPr>
          <w:sz w:val="24"/>
        </w:rPr>
        <w:t>，以此类推）。</w:t>
      </w:r>
    </w:p>
    <w:p>
      <w:pPr>
        <w:pStyle w:val="null3"/>
        <w:ind w:firstLine="420"/>
        <w:jc w:val="both"/>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440103-2025-04874</w:t>
      </w:r>
    </w:p>
    <w:p>
      <w:pPr>
        <w:pStyle w:val="null3"/>
        <w:jc w:val="center"/>
        <w:outlineLvl w:val="3"/>
      </w:pPr>
      <w:r>
        <w:rPr>
          <w:sz w:val="24"/>
          <w:b/>
        </w:rPr>
        <w:t>采购项目编号：</w:t>
      </w:r>
      <w:r>
        <w:rPr>
          <w:sz w:val="24"/>
          <w:b/>
        </w:rPr>
        <w:t>CLF25KF02ZC62-1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采联国际招标采购集团有限公司</w:t>
      </w:r>
    </w:p>
    <w:p>
      <w:pPr>
        <w:pStyle w:val="null3"/>
        <w:ind w:firstLine="480"/>
      </w:pPr>
      <w:r>
        <w:rPr/>
        <w:t xml:space="preserve"> 你方组织的</w:t>
      </w:r>
      <w:r>
        <w:rPr>
          <w:u w:val="single"/>
        </w:rPr>
        <w:t>“</w:t>
      </w:r>
      <w:r>
        <w:rPr>
          <w:u w:val="single"/>
        </w:rPr>
        <w:t>荔湾区蚊媒控制应急消杀服务</w:t>
      </w:r>
      <w:r>
        <w:rPr>
          <w:u w:val="single"/>
        </w:rPr>
        <w:t>”</w:t>
      </w:r>
      <w:r>
        <w:rPr/>
        <w:t>项目的竞争性磋商[采购项目编号为：</w:t>
      </w:r>
      <w:r>
        <w:rPr>
          <w:u w:val="single"/>
        </w:rPr>
        <w:t>CLF25KF02ZC62-1</w:t>
      </w:r>
      <w:r>
        <w:rPr/>
        <w:t>]，我方愿参与响应。</w:t>
      </w:r>
    </w:p>
    <w:p>
      <w:pPr>
        <w:pStyle w:val="null3"/>
        <w:ind w:firstLine="480"/>
      </w:pPr>
      <w:r>
        <w:rPr/>
        <w:t>我方确认收到贵方提供的</w:t>
      </w:r>
      <w:r>
        <w:rPr>
          <w:u w:val="single"/>
        </w:rPr>
        <w:t>“</w:t>
      </w:r>
      <w:r>
        <w:rPr>
          <w:u w:val="single"/>
        </w:rPr>
        <w:t>荔湾区蚊媒控制应急消杀服务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采联国际招标采购集团有限公司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荔湾区蚊媒控制应急消杀服务</w:t>
      </w:r>
      <w:r>
        <w:rPr/>
        <w:t>”项目采购[采购项目编号为</w:t>
      </w:r>
      <w:r>
        <w:rPr/>
        <w:t>CLF25KF02ZC62-1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广州市荔湾区卫生健康局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采联国际招标采购集团有限公司</w:t>
      </w:r>
    </w:p>
    <w:p>
      <w:pPr>
        <w:pStyle w:val="null3"/>
        <w:ind w:firstLine="480"/>
      </w:pPr>
      <w:r>
        <w:rPr/>
        <w:t>我单位参加贵公司组织的</w:t>
      </w:r>
      <w:r>
        <w:rPr/>
        <w:t>荔湾区蚊媒控制应急消杀服务</w:t>
      </w:r>
      <w:r>
        <w:rPr/>
        <w:t>（采购项目编号：</w:t>
      </w:r>
      <w:r>
        <w:rPr/>
        <w:t>CLF25KF02ZC62-1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