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441302-2025-05139</w:t>
      </w:r>
    </w:p>
    <w:p>
      <w:pPr>
        <w:pStyle w:val="null3"/>
        <w:jc w:val="center"/>
        <w:outlineLvl w:val="3"/>
      </w:pPr>
      <w:r>
        <w:rPr>
          <w:sz w:val="24"/>
          <w:b/>
        </w:rPr>
        <w:t>采购项目编号：</w:t>
      </w:r>
      <w:r>
        <w:rPr>
          <w:sz w:val="24"/>
          <w:b/>
        </w:rPr>
        <w:t>YC25HZ00021</w:t>
      </w:r>
    </w:p>
    <w:p>
      <w:pPr>
        <w:pStyle w:val="null3"/>
        <w:jc w:val="center"/>
        <w:outlineLvl w:val="3"/>
      </w:pPr>
      <w:r>
        <w:rPr>
          <w:sz w:val="24"/>
          <w:b/>
        </w:rPr>
        <w:t>项目名称：</w:t>
      </w:r>
      <w:r>
        <w:rPr>
          <w:sz w:val="24"/>
          <w:b/>
        </w:rPr>
        <w:t>河南岸街道办事处2025年9月-2028年9月除四害消杀项目</w:t>
      </w:r>
    </w:p>
    <w:p>
      <w:pPr>
        <w:pStyle w:val="null3"/>
        <w:jc w:val="center"/>
        <w:outlineLvl w:val="3"/>
      </w:pPr>
      <w:r>
        <w:rPr>
          <w:sz w:val="24"/>
          <w:b/>
        </w:rPr>
        <w:t>采购人：</w:t>
      </w:r>
      <w:r>
        <w:rPr>
          <w:sz w:val="24"/>
          <w:b/>
        </w:rPr>
        <w:t>惠州市惠城区人民政府河南岸街道办事处</w:t>
      </w:r>
    </w:p>
    <w:p>
      <w:pPr>
        <w:pStyle w:val="null3"/>
        <w:jc w:val="center"/>
        <w:outlineLvl w:val="3"/>
      </w:pPr>
      <w:r>
        <w:rPr>
          <w:sz w:val="24"/>
          <w:b/>
        </w:rPr>
        <w:t>采购代理机构：</w:t>
      </w:r>
      <w:r>
        <w:rPr>
          <w:sz w:val="24"/>
          <w:b/>
        </w:rPr>
        <w:t>惠州市易采工程项目管理有限公司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惠州市易采工程项目管理有限公司</w:t>
      </w:r>
      <w:r>
        <w:rPr/>
        <w:t>受</w:t>
      </w:r>
      <w:r>
        <w:rPr/>
        <w:t>惠州市惠城区人民政府河南岸街道办事处</w:t>
      </w:r>
      <w:r>
        <w:rPr/>
        <w:t>的委托，采用</w:t>
      </w:r>
      <w:r>
        <w:rPr/>
        <w:t>竞争性磋商</w:t>
      </w:r>
      <w:r>
        <w:rPr/>
        <w:t>方式组织采购</w:t>
      </w:r>
      <w:r>
        <w:rPr/>
        <w:t>河南岸街道办事处2025年9月-2028年9月除四害消杀项目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河南岸街道办事处2025年9月-2028年9月除四害消杀项目</w:t>
      </w:r>
    </w:p>
    <w:p>
      <w:pPr>
        <w:pStyle w:val="null3"/>
        <w:ind w:firstLine="480"/>
      </w:pPr>
      <w:r>
        <w:rPr/>
        <w:t>采购计划编号：</w:t>
      </w:r>
      <w:r>
        <w:rPr/>
        <w:t>441302-2025-05139</w:t>
      </w:r>
    </w:p>
    <w:p>
      <w:pPr>
        <w:pStyle w:val="null3"/>
        <w:ind w:firstLine="480"/>
      </w:pPr>
      <w:r>
        <w:rPr/>
        <w:t>采购项目编号：</w:t>
      </w:r>
      <w:r>
        <w:rPr/>
        <w:t>YC25HZ00021</w:t>
      </w:r>
    </w:p>
    <w:p>
      <w:pPr>
        <w:pStyle w:val="null3"/>
        <w:ind w:firstLine="480"/>
      </w:pPr>
      <w:r>
        <w:rPr/>
        <w:t>采购方式：</w:t>
      </w:r>
      <w:r>
        <w:rPr/>
        <w:t>竞争性磋商</w:t>
      </w:r>
    </w:p>
    <w:p>
      <w:pPr>
        <w:pStyle w:val="null3"/>
        <w:ind w:firstLine="480"/>
      </w:pPr>
      <w:r>
        <w:rPr/>
        <w:t>预算金额：</w:t>
      </w:r>
      <w:r>
        <w:rPr/>
        <w:t>1,400,000.00</w:t>
      </w:r>
      <w:r>
        <w:rPr/>
        <w:t>元</w:t>
      </w:r>
    </w:p>
    <w:p>
      <w:pPr>
        <w:pStyle w:val="null3"/>
        <w:outlineLvl w:val="3"/>
      </w:pPr>
      <w:r>
        <w:rPr>
          <w:sz w:val="24"/>
          <w:b/>
        </w:rPr>
        <w:t>2.项目内容及需求情况（采购项目技术规格、参数及要求）</w:t>
      </w:r>
    </w:p>
    <w:p>
      <w:pPr>
        <w:pStyle w:val="null3"/>
      </w:pPr>
      <w:r>
        <w:rPr/>
        <w:t>采购包1(河南岸街道办事处2025年9月-2028年9月除四害消杀项目):</w:t>
      </w:r>
    </w:p>
    <w:p>
      <w:pPr>
        <w:pStyle w:val="null3"/>
      </w:pPr>
      <w:r>
        <w:rPr/>
        <w:t>采购包预算金额：1,400,000.00元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其他生态环境治理服务</w:t>
            </w:r>
          </w:p>
        </w:tc>
        <w:tc>
          <w:tcPr>
            <w:tcW w:type="dxa" w:w="2136"/>
          </w:tcPr>
          <w:p>
            <w:pPr>
              <w:pStyle w:val="null3"/>
            </w:pPr>
            <w:r>
              <w:rPr/>
              <w:t>河南岸街道办事处2025年9月-2028年9月除四害消杀项目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合同履行期限：签定合同之日起3年。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1）具有独立承担民事责任的能力：在中华人民共和国境内注册的法人或其他组织或自然人，投标（投标）时提交有效的 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政府采购供应商资格信用承诺函（格式详见招标公告附件）。</w:t>
      </w:r>
    </w:p>
    <w:p>
      <w:pPr>
        <w:pStyle w:val="null3"/>
      </w:pPr>
      <w:r>
        <w:rPr/>
        <w:t>3）具有良好的商业信誉和健全的财务会计制度：供应商必须具有良好的商业信誉和健全的财务会计制度（提供2024年度财务状况报告或基本开户行出具的资信证明）或政府采购供应商资格信用承诺函（格式详见招标公告附件）。</w:t>
      </w:r>
    </w:p>
    <w:p>
      <w:pPr>
        <w:pStyle w:val="null3"/>
      </w:pPr>
      <w:r>
        <w:rPr/>
        <w:t>4）履行合同所必需的设备和专业技术能力：按投标（响应）文件格式填报设备及专业技术能力情况或提供承诺函，格式自拟。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 罚款等行政处罚。（较大数额罚款按照发出行政处罚决定书部门所在省级政府，或实行垂直领导的国务院有关行政主管部门制 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采购包1（河南岸街道办事处2025年9月-2028年9月除四害消杀项目）：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采购包1（河南岸街道办事处2025年9月-2028年9月除四害消杀项目）：</w:t>
      </w:r>
    </w:p>
    <w:p>
      <w:pPr>
        <w:pStyle w:val="null3"/>
      </w:pPr>
      <w:r>
        <w:rPr/>
        <w:t>1)供应商未被列入“信用中国”网站(www.creditchina.gov.cn) 以下任何记录名单之一：①失信被执行人；②重大税收违法失信主体。同时，不处于中国政府采购网(www.ccgp.gov.cn)“政府采购严重违法失信行为信息记录”中的禁止参加政府采购活动期间。（以采购代理机构于投标（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惠州市惠城区人民政府河南岸街道办事处</w:t>
      </w:r>
    </w:p>
    <w:p>
      <w:pPr>
        <w:pStyle w:val="null3"/>
        <w:ind w:firstLine="480"/>
      </w:pPr>
      <w:r>
        <w:rPr/>
        <w:t>地址：</w:t>
      </w:r>
      <w:r>
        <w:rPr/>
        <w:t>惠州市惠城区河南岸新岸路32号</w:t>
      </w:r>
    </w:p>
    <w:p>
      <w:pPr>
        <w:pStyle w:val="null3"/>
        <w:ind w:firstLine="480"/>
      </w:pPr>
      <w:r>
        <w:rPr/>
        <w:t>联系方式：</w:t>
      </w:r>
      <w:r>
        <w:rPr/>
        <w:t>13413172221</w:t>
      </w:r>
    </w:p>
    <w:p>
      <w:pPr>
        <w:pStyle w:val="null3"/>
        <w:outlineLvl w:val="3"/>
      </w:pPr>
      <w:r>
        <w:rPr>
          <w:sz w:val="24"/>
          <w:b/>
        </w:rPr>
        <w:t>2.采购代理机构信息</w:t>
      </w:r>
    </w:p>
    <w:p>
      <w:pPr>
        <w:pStyle w:val="null3"/>
        <w:ind w:firstLine="480"/>
      </w:pPr>
      <w:r>
        <w:rPr/>
        <w:t>名称：</w:t>
      </w:r>
      <w:r>
        <w:rPr/>
        <w:t>惠州市易采工程项目管理有限公司</w:t>
      </w:r>
    </w:p>
    <w:p>
      <w:pPr>
        <w:pStyle w:val="null3"/>
        <w:ind w:firstLine="480"/>
      </w:pPr>
      <w:r>
        <w:rPr/>
        <w:t xml:space="preserve"> 地址：</w:t>
      </w:r>
      <w:r>
        <w:rPr/>
        <w:t>惠州市陈江街道办事处曙光大道210号汽车客运站8层01号房（仅限办公）</w:t>
      </w:r>
    </w:p>
    <w:p>
      <w:pPr>
        <w:pStyle w:val="null3"/>
        <w:ind w:firstLine="480"/>
      </w:pPr>
      <w:r>
        <w:rPr/>
        <w:t xml:space="preserve"> 联系方式：</w:t>
      </w:r>
      <w:r>
        <w:rPr/>
        <w:t>0752-2236685</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0752-2236685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惠州市易采工程项目管理有限公司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对河南岸街道辖区内开展蚊、蝇、鼠、蟑四害病媒生物防制消杀工作，项目包括辖区范围内的小区、公共区域、公共场所及每年</w:t>
      </w:r>
      <w:r>
        <w:rPr>
          <w:sz w:val="24"/>
          <w:b/>
        </w:rPr>
        <w:t>15次的爱国卫生运动消杀活动。</w:t>
      </w:r>
    </w:p>
    <w:p>
      <w:pPr>
        <w:pStyle w:val="null3"/>
      </w:pPr>
      <w:r>
        <w:rPr/>
        <w:t>采购包1（河南岸街道办事处2025年9月-2028年9月除四害消杀项目）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签定合同之日起3年</w:t>
            </w:r>
          </w:p>
        </w:tc>
      </w:tr>
      <w:tr>
        <w:tc>
          <w:tcPr>
            <w:tcW w:type="dxa" w:w="4153"/>
          </w:tcPr>
          <w:p>
            <w:pPr>
              <w:pStyle w:val="null3"/>
            </w:pPr>
            <w:r>
              <w:rPr/>
              <w:t>标的提供的地点</w:t>
            </w:r>
          </w:p>
        </w:tc>
        <w:tc>
          <w:tcPr>
            <w:tcW w:type="dxa" w:w="4153"/>
          </w:tcPr>
          <w:p>
            <w:pPr>
              <w:pStyle w:val="null3"/>
            </w:pPr>
            <w:r>
              <w:rPr/>
              <w:t>惠州市惠城区河南岸街道辖区内</w:t>
            </w:r>
          </w:p>
        </w:tc>
      </w:tr>
      <w:tr>
        <w:tc>
          <w:tcPr>
            <w:tcW w:type="dxa" w:w="4153"/>
          </w:tcPr>
          <w:p>
            <w:pPr>
              <w:pStyle w:val="null3"/>
            </w:pPr>
            <w:r>
              <w:rPr/>
              <w:t>付款方式</w:t>
            </w:r>
          </w:p>
        </w:tc>
        <w:tc>
          <w:tcPr>
            <w:tcW w:type="dxa" w:w="4153"/>
          </w:tcPr>
          <w:p>
            <w:pPr>
              <w:pStyle w:val="null3"/>
            </w:pPr>
            <w:r>
              <w:rPr/>
              <w:t>1期：支付比例100%,1.支付比例100%。服务费用按月支付。如果病媒防制未达到验收标准和要求，不予付款。 2、成交供应商须在每月5日前提供相应票据、验收资料、实际完成的工作量给采购人，采购人经财政审批后支付成交供应商上个月的服务费，如成交供应商违反合同有关规定被罚款，则采购人按扣除罚款后余额支付成交供应商。 3.采购人不承担因财政资金不能及时到位给成交供应商造成的任何损失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1期：（1）成交供应商应根据项目服务内容要求，按照采购人的项目验收考核要求，对服务工作完成情况进行验收考核。 （2）投诉要求：对于同一个消杀点位当月存在两次以上投诉时，将按照每个点位给予当月服务费总额百分之三的扣款</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要求:（1）按总价报价的报价方式报价。投标人报价包括完成本项目规定的工作所承担的全部费用、利润、税金、政策性文件规定及合同包含内的所有风险、责任等各项应有费用,费用不管是否在投标人报价书中单列,均视为投标总价中己包括该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其他生态环境治理服务</w:t>
            </w:r>
          </w:p>
        </w:tc>
        <w:tc>
          <w:tcPr>
            <w:tcW w:type="dxa" w:w="933"/>
          </w:tcPr>
          <w:p>
            <w:pPr>
              <w:pStyle w:val="null3"/>
              <w:jc w:val="left"/>
            </w:pPr>
            <w:r>
              <w:rPr/>
              <w:t>河南岸街道办事处2025年9月-2028年9月除四害消杀项目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1,400,000.00</w:t>
            </w:r>
          </w:p>
        </w:tc>
        <w:tc>
          <w:tcPr>
            <w:tcW w:type="dxa" w:w="933"/>
          </w:tcPr>
          <w:p>
            <w:pPr>
              <w:pStyle w:val="null3"/>
              <w:jc w:val="right"/>
            </w:pPr>
            <w:r>
              <w:rPr/>
              <w:t>1,400,000.00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河南岸街道办事处2025年9月-2028年9月除四害消杀项目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w:t>
            </w:r>
            <w:r>
              <w:rPr>
                <w:sz w:val="24"/>
                <w:b/>
              </w:rPr>
              <w:t>消杀服务工作内容要求</w:t>
            </w:r>
          </w:p>
          <w:tbl>
            <w:tblPr>
              <w:tblBorders>
                <w:top w:val="none" w:color="000000" w:sz="4"/>
                <w:left w:val="none" w:color="000000" w:sz="4"/>
                <w:bottom w:val="none" w:color="000000" w:sz="4"/>
                <w:right w:val="none" w:color="000000" w:sz="4"/>
                <w:insideH w:val="none"/>
                <w:insideV w:val="none"/>
              </w:tblBorders>
            </w:tblPr>
            <w:tblGrid>
              <w:gridCol w:w="432"/>
              <w:gridCol w:w="749"/>
              <w:gridCol w:w="821"/>
              <w:gridCol w:w="3545"/>
            </w:tblGrid>
            <w:tr>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工作内容</w:t>
                  </w:r>
                </w:p>
              </w:tc>
              <w:tc>
                <w:tcPr>
                  <w:tcW w:type="dxa" w:w="3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操作规范和要求</w:t>
                  </w:r>
                </w:p>
                <w:p>
                  <w:pPr>
                    <w:pStyle w:val="null3"/>
                    <w:jc w:val="center"/>
                  </w:pP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灭鼠</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、公共外环境统一全面投药灭鼠</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定期开展灭鼠工作</w:t>
                  </w:r>
                  <w:r>
                    <w:rPr>
                      <w:sz w:val="24"/>
                    </w:rPr>
                    <w:t>,</w:t>
                  </w:r>
                  <w:r>
                    <w:rPr>
                      <w:sz w:val="24"/>
                    </w:rPr>
                    <w:t>每月</w:t>
                  </w:r>
                  <w:r>
                    <w:rPr>
                      <w:sz w:val="24"/>
                    </w:rPr>
                    <w:t>二</w:t>
                  </w:r>
                  <w:r>
                    <w:rPr>
                      <w:sz w:val="24"/>
                    </w:rPr>
                    <w:t>轮</w:t>
                  </w:r>
                  <w:r>
                    <w:rPr>
                      <w:sz w:val="24"/>
                    </w:rPr>
                    <w:t>,(</w:t>
                  </w:r>
                  <w:r>
                    <w:rPr>
                      <w:sz w:val="24"/>
                    </w:rPr>
                    <w:t>包括投药、补药、清鼠迹、检查等工作</w:t>
                  </w:r>
                  <w:r>
                    <w:rPr>
                      <w:sz w:val="24"/>
                    </w:rPr>
                    <w:t>),</w:t>
                  </w:r>
                  <w:r>
                    <w:rPr>
                      <w:sz w:val="24"/>
                    </w:rPr>
                    <w:t>物药必须使用合法灭鼠药物</w:t>
                  </w:r>
                  <w:r>
                    <w:rPr>
                      <w:sz w:val="24"/>
                    </w:rPr>
                    <w:t>,</w:t>
                  </w:r>
                  <w:r>
                    <w:rPr>
                      <w:sz w:val="24"/>
                    </w:rPr>
                    <w:t>新鲜毒鼠谷、适口性好</w:t>
                  </w:r>
                  <w:r>
                    <w:rPr>
                      <w:sz w:val="24"/>
                    </w:rPr>
                    <w:t>,</w:t>
                  </w:r>
                  <w:r>
                    <w:rPr>
                      <w:sz w:val="24"/>
                    </w:rPr>
                    <w:t>投放点合理、落实</w:t>
                  </w:r>
                  <w:r>
                    <w:rPr>
                      <w:sz w:val="24"/>
                    </w:rPr>
                    <w:t>“</w:t>
                  </w:r>
                  <w:r>
                    <w:rPr>
                      <w:sz w:val="24"/>
                    </w:rPr>
                    <w:t>三饱和</w:t>
                  </w:r>
                  <w:r>
                    <w:rPr>
                      <w:sz w:val="24"/>
                    </w:rPr>
                    <w:t>”</w:t>
                  </w:r>
                  <w:r>
                    <w:rPr>
                      <w:sz w:val="24"/>
                    </w:rPr>
                    <w:t>求开展投药要求。每轮投药周期不超过</w:t>
                  </w:r>
                  <w:r>
                    <w:rPr>
                      <w:sz w:val="24"/>
                    </w:rPr>
                    <w:t>10</w:t>
                  </w:r>
                  <w:r>
                    <w:rPr>
                      <w:sz w:val="24"/>
                    </w:rPr>
                    <w:t>天。</w:t>
                  </w:r>
                </w:p>
              </w:tc>
            </w:tr>
            <w:tr>
              <w:tc>
                <w:tcPr>
                  <w:tcW w:type="dxa" w:w="432"/>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、日常跟踪公共外环境灭鼠效果</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定期检查</w:t>
                  </w:r>
                  <w:r>
                    <w:rPr>
                      <w:sz w:val="24"/>
                    </w:rPr>
                    <w:t>,</w:t>
                  </w:r>
                  <w:r>
                    <w:rPr>
                      <w:sz w:val="24"/>
                    </w:rPr>
                    <w:t>发现鼠迹及时投放和补充足量药物</w:t>
                  </w:r>
                  <w:r>
                    <w:rPr>
                      <w:sz w:val="24"/>
                    </w:rPr>
                    <w:t>,</w:t>
                  </w:r>
                  <w:r>
                    <w:rPr>
                      <w:sz w:val="24"/>
                    </w:rPr>
                    <w:t>及时跟进。</w:t>
                  </w:r>
                </w:p>
              </w:tc>
            </w:tr>
            <w:tr>
              <w:tc>
                <w:tcPr>
                  <w:tcW w:type="dxa" w:w="432"/>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、开展鼠情监测</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每月中标方考证投药成效。由采购方每月进行鼠密度监测，中标方需给予配合。</w:t>
                  </w: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灭蚊</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、热烟雾灭成蚊</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用热烟雾机、烟雾剂对下水道、小区绿化丛林、公共地下车库、排水暗渠等进行烟薰杀灭成蚊</w:t>
                  </w:r>
                  <w:r>
                    <w:rPr>
                      <w:sz w:val="24"/>
                    </w:rPr>
                    <w:t>(</w:t>
                  </w:r>
                  <w:r>
                    <w:rPr>
                      <w:sz w:val="24"/>
                    </w:rPr>
                    <w:t>同时蟑螂</w:t>
                  </w:r>
                  <w:r>
                    <w:rPr>
                      <w:sz w:val="24"/>
                    </w:rPr>
                    <w:t>)</w:t>
                  </w:r>
                  <w:r>
                    <w:rPr>
                      <w:sz w:val="24"/>
                    </w:rPr>
                    <w:t>。要求</w:t>
                  </w:r>
                  <w:r>
                    <w:rPr>
                      <w:sz w:val="24"/>
                    </w:rPr>
                    <w:t>:</w:t>
                  </w:r>
                  <w:r>
                    <w:rPr>
                      <w:sz w:val="24"/>
                    </w:rPr>
                    <w:t>行动前须告知辖区街道、居委会等相关人员</w:t>
                  </w:r>
                  <w:r>
                    <w:rPr>
                      <w:sz w:val="24"/>
                    </w:rPr>
                    <w:t>,</w:t>
                  </w:r>
                  <w:r>
                    <w:rPr>
                      <w:sz w:val="24"/>
                    </w:rPr>
                    <w:t>至少分</w:t>
                  </w:r>
                  <w:r>
                    <w:rPr>
                      <w:sz w:val="24"/>
                    </w:rPr>
                    <w:t>2</w:t>
                  </w:r>
                  <w:r>
                    <w:rPr>
                      <w:sz w:val="24"/>
                    </w:rPr>
                    <w:t>个小组同时进行</w:t>
                  </w:r>
                  <w:r>
                    <w:rPr>
                      <w:sz w:val="24"/>
                    </w:rPr>
                    <w:t>,</w:t>
                  </w:r>
                  <w:r>
                    <w:rPr>
                      <w:sz w:val="24"/>
                    </w:rPr>
                    <w:t>每小组负责</w:t>
                  </w:r>
                  <w:r>
                    <w:rPr>
                      <w:sz w:val="24"/>
                    </w:rPr>
                    <w:t>1</w:t>
                  </w:r>
                  <w:r>
                    <w:rPr>
                      <w:sz w:val="24"/>
                    </w:rPr>
                    <w:t>台烟雾机</w:t>
                  </w:r>
                  <w:r>
                    <w:rPr>
                      <w:sz w:val="24"/>
                    </w:rPr>
                    <w:t>,3</w:t>
                  </w:r>
                  <w:r>
                    <w:rPr>
                      <w:sz w:val="24"/>
                    </w:rPr>
                    <w:t>名消杀员</w:t>
                  </w:r>
                  <w:r>
                    <w:rPr>
                      <w:sz w:val="24"/>
                    </w:rPr>
                    <w:t>(</w:t>
                  </w:r>
                  <w:r>
                    <w:rPr>
                      <w:sz w:val="24"/>
                    </w:rPr>
                    <w:t>其中</w:t>
                  </w:r>
                  <w:r>
                    <w:rPr>
                      <w:sz w:val="24"/>
                    </w:rPr>
                    <w:t>2</w:t>
                  </w:r>
                  <w:r>
                    <w:rPr>
                      <w:sz w:val="24"/>
                    </w:rPr>
                    <w:t>人负责消杀操作</w:t>
                  </w:r>
                  <w:r>
                    <w:rPr>
                      <w:sz w:val="24"/>
                    </w:rPr>
                    <w:t>,</w:t>
                  </w:r>
                  <w:r>
                    <w:rPr>
                      <w:sz w:val="24"/>
                    </w:rPr>
                    <w:t>另</w:t>
                  </w:r>
                  <w:r>
                    <w:rPr>
                      <w:sz w:val="24"/>
                    </w:rPr>
                    <w:t>1</w:t>
                  </w:r>
                  <w:r>
                    <w:rPr>
                      <w:sz w:val="24"/>
                    </w:rPr>
                    <w:t>人负责消杀登记、见证人签名和后勤工作</w:t>
                  </w:r>
                  <w:r>
                    <w:rPr>
                      <w:sz w:val="24"/>
                    </w:rPr>
                    <w:t>)</w:t>
                  </w:r>
                  <w:r>
                    <w:rPr>
                      <w:sz w:val="24"/>
                    </w:rPr>
                    <w:t>，计划每月</w:t>
                  </w:r>
                  <w:r>
                    <w:rPr>
                      <w:sz w:val="24"/>
                    </w:rPr>
                    <w:t>3</w:t>
                  </w:r>
                  <w:r>
                    <w:rPr>
                      <w:sz w:val="24"/>
                    </w:rPr>
                    <w:t>次。</w:t>
                  </w:r>
                </w:p>
              </w:tc>
            </w:tr>
            <w:tr>
              <w:tc>
                <w:tcPr>
                  <w:tcW w:type="dxa" w:w="432"/>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、药物滞留喷洒灭成蚊</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用背负式机动、电动喷雾机或大中型园林喷雾机对无物业住宅小区的绿化带进行药物滞留喷洒灭成蚊。要求：每次至少出动</w:t>
                  </w:r>
                  <w:r>
                    <w:rPr>
                      <w:sz w:val="24"/>
                    </w:rPr>
                    <w:t>3</w:t>
                  </w:r>
                  <w:r>
                    <w:rPr>
                      <w:sz w:val="24"/>
                    </w:rPr>
                    <w:t>台喷雾机同时进行</w:t>
                  </w:r>
                  <w:r>
                    <w:rPr>
                      <w:sz w:val="24"/>
                    </w:rPr>
                    <w:t>,</w:t>
                  </w:r>
                  <w:r>
                    <w:rPr>
                      <w:sz w:val="24"/>
                    </w:rPr>
                    <w:t>另安排</w:t>
                  </w:r>
                  <w:r>
                    <w:rPr>
                      <w:sz w:val="24"/>
                    </w:rPr>
                    <w:t>1-2</w:t>
                  </w:r>
                  <w:r>
                    <w:rPr>
                      <w:sz w:val="24"/>
                    </w:rPr>
                    <w:t>人负责后勤保障工作。</w:t>
                  </w:r>
                </w:p>
              </w:tc>
            </w:tr>
            <w:tr>
              <w:tc>
                <w:tcPr>
                  <w:tcW w:type="dxa" w:w="432"/>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、释缓剂控制蚊幼虫</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用卫生杀虫剂充分浸泡过的软木塞或灭蚊幼颗粒剂</w:t>
                  </w:r>
                  <w:r>
                    <w:rPr>
                      <w:sz w:val="24"/>
                    </w:rPr>
                    <w:t>(</w:t>
                  </w:r>
                  <w:r>
                    <w:rPr>
                      <w:sz w:val="24"/>
                    </w:rPr>
                    <w:t>缓释剂</w:t>
                  </w:r>
                  <w:r>
                    <w:rPr>
                      <w:sz w:val="24"/>
                    </w:rPr>
                    <w:t>),</w:t>
                  </w:r>
                  <w:r>
                    <w:rPr>
                      <w:sz w:val="24"/>
                    </w:rPr>
                    <w:t>投放于下水道进水口等蚊虫孳生地</w:t>
                  </w:r>
                  <w:r>
                    <w:rPr>
                      <w:sz w:val="24"/>
                    </w:rPr>
                    <w:t>,</w:t>
                  </w:r>
                  <w:r>
                    <w:rPr>
                      <w:sz w:val="24"/>
                    </w:rPr>
                    <w:t>防止蚊幼虫孳生。要求</w:t>
                  </w:r>
                  <w:r>
                    <w:rPr>
                      <w:sz w:val="24"/>
                    </w:rPr>
                    <w:t>:</w:t>
                  </w:r>
                  <w:r>
                    <w:rPr>
                      <w:sz w:val="24"/>
                    </w:rPr>
                    <w:t>倍硫磷缓释木塞或者吊包完全放入积水中，每</w:t>
                  </w:r>
                  <w:r>
                    <w:rPr>
                      <w:sz w:val="24"/>
                    </w:rPr>
                    <w:t>2</w:t>
                  </w:r>
                  <w:r>
                    <w:rPr>
                      <w:sz w:val="24"/>
                    </w:rPr>
                    <w:t>个月统一更换</w:t>
                  </w:r>
                  <w:r>
                    <w:rPr>
                      <w:sz w:val="24"/>
                    </w:rPr>
                    <w:t>1</w:t>
                  </w:r>
                  <w:r>
                    <w:rPr>
                      <w:sz w:val="24"/>
                    </w:rPr>
                    <w:t>次。</w:t>
                  </w:r>
                </w:p>
              </w:tc>
            </w:tr>
            <w:tr>
              <w:tc>
                <w:tcPr>
                  <w:tcW w:type="dxa" w:w="432"/>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r>
                    <w:rPr>
                      <w:sz w:val="24"/>
                    </w:rPr>
                    <w:t>、大中型水体防控</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每月一次对承包范围内的大中型水体如死水塘、污水涌等</w:t>
                  </w:r>
                  <w:r>
                    <w:rPr>
                      <w:sz w:val="24"/>
                    </w:rPr>
                    <w:t>)</w:t>
                  </w:r>
                  <w:r>
                    <w:rPr>
                      <w:sz w:val="24"/>
                    </w:rPr>
                    <w:t>进行定期跟踪检查，如发现蚊幼虫孳生</w:t>
                  </w:r>
                  <w:r>
                    <w:rPr>
                      <w:sz w:val="24"/>
                    </w:rPr>
                    <w:t>,</w:t>
                  </w:r>
                  <w:r>
                    <w:rPr>
                      <w:sz w:val="24"/>
                    </w:rPr>
                    <w:t>立即投药</w:t>
                  </w:r>
                  <w:r>
                    <w:rPr>
                      <w:sz w:val="24"/>
                    </w:rPr>
                    <w:t>(</w:t>
                  </w:r>
                  <w:r>
                    <w:rPr>
                      <w:sz w:val="24"/>
                    </w:rPr>
                    <w:t>生物制剂</w:t>
                  </w:r>
                  <w:r>
                    <w:rPr>
                      <w:sz w:val="24"/>
                    </w:rPr>
                    <w:t>)</w:t>
                  </w:r>
                  <w:r>
                    <w:rPr>
                      <w:sz w:val="24"/>
                    </w:rPr>
                    <w:t>处理。</w:t>
                  </w:r>
                </w:p>
              </w:tc>
            </w:tr>
            <w:tr>
              <w:tc>
                <w:tcPr>
                  <w:tcW w:type="dxa" w:w="432"/>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r>
                    <w:rPr>
                      <w:sz w:val="24"/>
                    </w:rPr>
                    <w:t>、各类小积水处理</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每月对承包范围的公共外环境各类积水进行检查处理，对不能清理的蚊虫孳生地采取投放生物制剂处理。</w:t>
                  </w:r>
                </w:p>
                <w:p>
                  <w:pPr>
                    <w:pStyle w:val="null3"/>
                    <w:jc w:val="both"/>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灭蝇</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蝇类孳生地检查处理</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每月检查处理蝇类孳生地</w:t>
                  </w:r>
                  <w:r>
                    <w:rPr>
                      <w:sz w:val="24"/>
                    </w:rPr>
                    <w:t>,</w:t>
                  </w:r>
                  <w:r>
                    <w:rPr>
                      <w:sz w:val="24"/>
                    </w:rPr>
                    <w:t>对不能清理的蝇类孳生地</w:t>
                  </w:r>
                  <w:r>
                    <w:rPr>
                      <w:sz w:val="24"/>
                    </w:rPr>
                    <w:t>,</w:t>
                  </w:r>
                  <w:r>
                    <w:rPr>
                      <w:sz w:val="24"/>
                    </w:rPr>
                    <w:t>进行投药防制。</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灭蟑</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下水道、排水暗渠灭蟑螂</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每月一次对下水道、阴沟暗渠等进行烟雾灭蟑。</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工作登记</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对消杀工作情况进行登记</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设置专用的防制服务记录单</w:t>
                  </w:r>
                  <w:r>
                    <w:rPr>
                      <w:sz w:val="24"/>
                    </w:rPr>
                    <w:t>,</w:t>
                  </w:r>
                  <w:r>
                    <w:rPr>
                      <w:sz w:val="24"/>
                    </w:rPr>
                    <w:t>对每次开展防制服务工作情况</w:t>
                  </w:r>
                  <w:r>
                    <w:rPr>
                      <w:sz w:val="24"/>
                    </w:rPr>
                    <w:t>(</w:t>
                  </w:r>
                  <w:r>
                    <w:rPr>
                      <w:sz w:val="24"/>
                    </w:rPr>
                    <w:t>含日期、地点、消杀内容、消杀人员姓名</w:t>
                  </w:r>
                  <w:r>
                    <w:rPr>
                      <w:sz w:val="24"/>
                    </w:rPr>
                    <w:t>,</w:t>
                  </w:r>
                  <w:r>
                    <w:rPr>
                      <w:sz w:val="24"/>
                    </w:rPr>
                    <w:t>以及使用药物的名称进行登记</w:t>
                  </w:r>
                  <w:r>
                    <w:rPr>
                      <w:sz w:val="24"/>
                    </w:rPr>
                    <w:t>)</w:t>
                  </w:r>
                  <w:r>
                    <w:rPr>
                      <w:sz w:val="24"/>
                    </w:rPr>
                    <w:t>进行详细记录。每次服务均要有接受服务的单位陪同</w:t>
                  </w:r>
                  <w:r>
                    <w:rPr>
                      <w:sz w:val="24"/>
                    </w:rPr>
                    <w:t>/</w:t>
                  </w:r>
                  <w:r>
                    <w:rPr>
                      <w:sz w:val="24"/>
                    </w:rPr>
                    <w:t>见证人签名确认。</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投诉处理</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及时处理群众有关反映和投诉</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认真听取街道、居委会和群众的意见和建议</w:t>
                  </w:r>
                  <w:r>
                    <w:rPr>
                      <w:sz w:val="24"/>
                    </w:rPr>
                    <w:t>,</w:t>
                  </w:r>
                  <w:r>
                    <w:rPr>
                      <w:sz w:val="24"/>
                    </w:rPr>
                    <w:t>不断改进工作</w:t>
                  </w:r>
                  <w:r>
                    <w:rPr>
                      <w:sz w:val="24"/>
                    </w:rPr>
                    <w:t>,</w:t>
                  </w:r>
                  <w:r>
                    <w:rPr>
                      <w:sz w:val="24"/>
                    </w:rPr>
                    <w:t>提高服务质量。对中标方的有关病媒生物方面的反映、投诉</w:t>
                  </w:r>
                  <w:r>
                    <w:rPr>
                      <w:sz w:val="24"/>
                    </w:rPr>
                    <w:t>,</w:t>
                  </w:r>
                  <w:r>
                    <w:rPr>
                      <w:sz w:val="24"/>
                    </w:rPr>
                    <w:t>在接到后迅速进行核实和处理</w:t>
                  </w:r>
                  <w:r>
                    <w:rPr>
                      <w:sz w:val="24"/>
                    </w:rPr>
                    <w:t>,</w:t>
                  </w:r>
                  <w:r>
                    <w:rPr>
                      <w:sz w:val="24"/>
                    </w:rPr>
                    <w:t>于</w:t>
                  </w:r>
                  <w:r>
                    <w:rPr>
                      <w:sz w:val="24"/>
                    </w:rPr>
                    <w:t>2</w:t>
                  </w:r>
                  <w:r>
                    <w:rPr>
                      <w:sz w:val="24"/>
                    </w:rPr>
                    <w:t>个工作日内向</w:t>
                  </w:r>
                  <w:r>
                    <w:rPr>
                      <w:sz w:val="24"/>
                    </w:rPr>
                    <w:t>采购人</w:t>
                  </w:r>
                  <w:r>
                    <w:rPr>
                      <w:sz w:val="24"/>
                    </w:rPr>
                    <w:t>回复处理情况。</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资料汇编</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编制病媒生物防制资料系统</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负责编制专业、规范的病媒生物防制资料，包括本底调查、消杀方案、年计划和总结、日常防制记录等资料。</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配合检查</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配合</w:t>
                  </w:r>
                  <w:r>
                    <w:rPr>
                      <w:sz w:val="24"/>
                    </w:rPr>
                    <w:t>采购人</w:t>
                  </w:r>
                  <w:r>
                    <w:rPr>
                      <w:sz w:val="24"/>
                    </w:rPr>
                    <w:t>开展服务质量考评检查。</w:t>
                  </w:r>
                </w:p>
              </w:tc>
              <w:tc>
                <w:tcPr>
                  <w:tcW w:type="dxa" w:w="3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采购人</w:t>
                  </w:r>
                  <w:r>
                    <w:rPr>
                      <w:sz w:val="24"/>
                    </w:rPr>
                    <w:t>组织的日常检查</w:t>
                  </w:r>
                  <w:r>
                    <w:rPr>
                      <w:sz w:val="24"/>
                    </w:rPr>
                    <w:t>,</w:t>
                  </w:r>
                  <w:r>
                    <w:rPr>
                      <w:sz w:val="24"/>
                    </w:rPr>
                    <w:t>中标方要按合同要求派人及时跟进处理</w:t>
                  </w:r>
                  <w:r>
                    <w:rPr>
                      <w:sz w:val="24"/>
                    </w:rPr>
                    <w:t>并服从</w:t>
                  </w:r>
                  <w:r>
                    <w:rPr>
                      <w:sz w:val="24"/>
                    </w:rPr>
                    <w:t>开展的监管考评日程安排</w:t>
                  </w:r>
                  <w:r>
                    <w:rPr>
                      <w:sz w:val="24"/>
                    </w:rPr>
                    <w:t>,</w:t>
                  </w:r>
                  <w:r>
                    <w:rPr>
                      <w:sz w:val="24"/>
                    </w:rPr>
                    <w:t>协助开展质量考评工作。</w:t>
                  </w:r>
                </w:p>
              </w:tc>
            </w:tr>
          </w:tbl>
          <w:p>
            <w:pPr>
              <w:pStyle w:val="null3"/>
            </w:pPr>
            <w:r>
              <w:rPr/>
              <w:t xml:space="preserve"> </w:t>
            </w:r>
          </w:p>
          <w:p>
            <w:pPr>
              <w:pStyle w:val="null3"/>
              <w:jc w:val="left"/>
            </w:pPr>
            <w:r>
              <w:rPr>
                <w:sz w:val="24"/>
                <w:b/>
              </w:rPr>
              <w:t>二、</w:t>
            </w:r>
            <w:r>
              <w:rPr>
                <w:sz w:val="24"/>
                <w:b/>
              </w:rPr>
              <w:t>消杀服务药物要求</w:t>
            </w:r>
          </w:p>
          <w:tbl>
            <w:tblPr>
              <w:tblBorders>
                <w:top w:val="none" w:color="000000" w:sz="4"/>
                <w:left w:val="none" w:color="000000" w:sz="4"/>
                <w:bottom w:val="none" w:color="000000" w:sz="4"/>
                <w:right w:val="none" w:color="000000" w:sz="4"/>
                <w:insideH w:val="none"/>
                <w:insideV w:val="none"/>
              </w:tblBorders>
            </w:tblPr>
            <w:tblGrid>
              <w:gridCol w:w="537"/>
              <w:gridCol w:w="2236"/>
              <w:gridCol w:w="1386"/>
              <w:gridCol w:w="1386"/>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药物名称</w:t>
                  </w:r>
                </w:p>
              </w:tc>
              <w:tc>
                <w:tcPr>
                  <w:tcW w:type="dxa" w:w="1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有效成份含量</w:t>
                  </w:r>
                </w:p>
              </w:tc>
              <w:tc>
                <w:tcPr>
                  <w:tcW w:type="dxa" w:w="1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溴鼠灵毒饵</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有效成份：</w:t>
                  </w:r>
                  <w:r>
                    <w:rPr>
                      <w:sz w:val="24"/>
                    </w:rPr>
                    <w:t>溴鼠灵</w:t>
                  </w:r>
                  <w:r>
                    <w:rPr>
                      <w:sz w:val="24"/>
                    </w:rPr>
                    <w:t>≥</w:t>
                  </w:r>
                  <w:r>
                    <w:rPr>
                      <w:sz w:val="24"/>
                    </w:rPr>
                    <w:t>0.005%</w:t>
                  </w:r>
                </w:p>
                <w:p>
                  <w:pPr>
                    <w:pStyle w:val="null3"/>
                    <w:jc w:val="center"/>
                  </w:pPr>
                  <w:r>
                    <w:rPr>
                      <w:sz w:val="24"/>
                    </w:rPr>
                    <w:t>剂型：饵剂或毒饵</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新鲜稻谷</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用途：灭鼠类，周期轮换使用</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溴敌隆毒饵</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有效成分及含量：</w:t>
                  </w:r>
                  <w:r>
                    <w:rPr>
                      <w:sz w:val="24"/>
                    </w:rPr>
                    <w:t>溴敌隆</w:t>
                  </w:r>
                  <w:r>
                    <w:rPr>
                      <w:sz w:val="24"/>
                    </w:rPr>
                    <w:t>≥0.005%</w:t>
                  </w:r>
                  <w:r>
                    <w:rPr>
                      <w:sz w:val="24"/>
                    </w:rPr>
                    <w:t>，</w:t>
                  </w:r>
                </w:p>
                <w:p>
                  <w:pPr>
                    <w:pStyle w:val="null3"/>
                    <w:jc w:val="center"/>
                  </w:pPr>
                  <w:r>
                    <w:rPr>
                      <w:sz w:val="24"/>
                    </w:rPr>
                    <w:t>剂型：饵剂或毒饵</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新鲜稻谷</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用途：灭鼠类，周期轮换使用</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苏云金杆菌</w:t>
                  </w:r>
                  <w:r>
                    <w:rPr>
                      <w:sz w:val="24"/>
                    </w:rPr>
                    <w:t>(</w:t>
                  </w:r>
                  <w:r>
                    <w:rPr>
                      <w:sz w:val="24"/>
                    </w:rPr>
                    <w:t>以色列亚种</w:t>
                  </w:r>
                  <w:r>
                    <w:rPr>
                      <w:sz w:val="24"/>
                    </w:rPr>
                    <w:t>)</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有效成分及含量：苏云金杆菌（以色列亚种）</w:t>
                  </w:r>
                  <w:r>
                    <w:rPr>
                      <w:sz w:val="24"/>
                    </w:rPr>
                    <w:t>≥400ITU/</w:t>
                  </w:r>
                  <w:r>
                    <w:rPr>
                      <w:sz w:val="24"/>
                    </w:rPr>
                    <w:t>微升</w:t>
                  </w:r>
                </w:p>
                <w:p>
                  <w:pPr>
                    <w:pStyle w:val="null3"/>
                    <w:jc w:val="center"/>
                  </w:pPr>
                  <w:r>
                    <w:rPr>
                      <w:sz w:val="24"/>
                    </w:rPr>
                    <w:t>剂型：悬浮剂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用途：生物灭蚊幼虫</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杀虫颗粒剂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有效成分及含量：</w:t>
                  </w:r>
                  <w:r>
                    <w:rPr>
                      <w:sz w:val="24"/>
                    </w:rPr>
                    <w:t>甲基嘧啶磷</w:t>
                  </w:r>
                  <w:r>
                    <w:rPr>
                      <w:sz w:val="24"/>
                    </w:rPr>
                    <w:t>，总含量</w:t>
                  </w:r>
                  <w:r>
                    <w:rPr>
                      <w:sz w:val="24"/>
                    </w:rPr>
                    <w:t>≥0.5%</w:t>
                  </w:r>
                  <w:r>
                    <w:rPr>
                      <w:sz w:val="24"/>
                    </w:rPr>
                    <w:t>，</w:t>
                  </w:r>
                </w:p>
                <w:p>
                  <w:pPr>
                    <w:pStyle w:val="null3"/>
                    <w:jc w:val="center"/>
                  </w:pPr>
                  <w:r>
                    <w:rPr>
                      <w:sz w:val="24"/>
                    </w:rPr>
                    <w:t>剂型：颗粒剂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用途：化学灭蚊、蝇幼虫</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残杀威</w:t>
                  </w:r>
                  <w:r>
                    <w:rPr>
                      <w:sz w:val="24"/>
                    </w:rPr>
                    <w:t>.氯氰菊酯杀虫热雾剂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有效成分及含量：</w:t>
                  </w:r>
                  <w:r>
                    <w:rPr>
                      <w:sz w:val="24"/>
                      <w:color w:val="000000"/>
                    </w:rPr>
                    <w:t>氯氰菊酯与残杀威</w:t>
                  </w:r>
                  <w:r>
                    <w:rPr>
                      <w:sz w:val="24"/>
                    </w:rPr>
                    <w:t>类混配制剂，总有效成份含量</w:t>
                  </w:r>
                  <w:r>
                    <w:rPr>
                      <w:sz w:val="24"/>
                    </w:rPr>
                    <w:t>≥2</w:t>
                  </w:r>
                  <w:r>
                    <w:rPr>
                      <w:sz w:val="24"/>
                    </w:rPr>
                    <w:t>.5</w:t>
                  </w:r>
                  <w:r>
                    <w:rPr>
                      <w:sz w:val="24"/>
                    </w:rPr>
                    <w:t>%</w:t>
                  </w:r>
                </w:p>
                <w:p>
                  <w:pPr>
                    <w:pStyle w:val="null3"/>
                    <w:jc w:val="center"/>
                  </w:pPr>
                  <w:r>
                    <w:rPr>
                      <w:sz w:val="24"/>
                    </w:rPr>
                    <w:t>剂型：热雾剂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用途：热雾熏杀灭蚊、蜚蠊</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杀虫热雾剂</w:t>
                  </w:r>
                </w:p>
                <w:p>
                  <w:pPr>
                    <w:pStyle w:val="null3"/>
                    <w:jc w:val="center"/>
                  </w:pPr>
                  <w:r>
                    <w:rPr>
                      <w:sz w:val="24"/>
                    </w:rPr>
                    <w:t>（大光明）</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有效成分及含量</w:t>
                  </w:r>
                  <w:r>
                    <w:rPr>
                      <w:sz w:val="24"/>
                    </w:rPr>
                    <w:t>：</w:t>
                  </w:r>
                  <w:r>
                    <w:rPr>
                      <w:sz w:val="24"/>
                      <w:color w:val="000000"/>
                    </w:rPr>
                    <w:t>胺菊酯与氯氰菊酯</w:t>
                  </w:r>
                  <w:r>
                    <w:rPr>
                      <w:sz w:val="24"/>
                    </w:rPr>
                    <w:t>类混配制剂总有效成份含量</w:t>
                  </w:r>
                  <w:r>
                    <w:rPr>
                      <w:sz w:val="24"/>
                    </w:rPr>
                    <w:t>≥2</w:t>
                  </w:r>
                  <w:r>
                    <w:rPr>
                      <w:sz w:val="24"/>
                    </w:rPr>
                    <w:t>.5</w:t>
                  </w:r>
                  <w:r>
                    <w:rPr>
                      <w:sz w:val="24"/>
                    </w:rPr>
                    <w:t>%</w:t>
                  </w:r>
                </w:p>
                <w:p>
                  <w:pPr>
                    <w:pStyle w:val="null3"/>
                    <w:jc w:val="center"/>
                  </w:pPr>
                  <w:r>
                    <w:rPr>
                      <w:sz w:val="24"/>
                    </w:rPr>
                    <w:t>剂型：热雾剂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用途：热雾熏杀灭蚊、蜚蠊</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杀蟑饵剂</w:t>
                  </w:r>
                </w:p>
                <w:p>
                  <w:pPr>
                    <w:pStyle w:val="null3"/>
                    <w:jc w:val="center"/>
                  </w:p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有效成分及含量：蟑螂病毒</w:t>
                  </w:r>
                  <w:r>
                    <w:rPr>
                      <w:sz w:val="24"/>
                    </w:rPr>
                    <w:t>≥6000PIB/</w:t>
                  </w:r>
                  <w:r>
                    <w:rPr>
                      <w:sz w:val="24"/>
                    </w:rPr>
                    <w:t>克</w:t>
                  </w:r>
                </w:p>
                <w:p>
                  <w:pPr>
                    <w:pStyle w:val="null3"/>
                    <w:jc w:val="center"/>
                  </w:pPr>
                  <w:r>
                    <w:rPr>
                      <w:sz w:val="24"/>
                    </w:rPr>
                    <w:t>剂型：饵剂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用途：生物灭蟑</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残杀威</w:t>
                  </w:r>
                  <w:r>
                    <w:rPr>
                      <w:sz w:val="24"/>
                    </w:rPr>
                    <w:t>·氯氟醚菊酯悬浮剂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有效成分及含量：</w:t>
                  </w:r>
                  <w:r>
                    <w:rPr>
                      <w:sz w:val="24"/>
                      <w:color w:val="000000"/>
                    </w:rPr>
                    <w:t>氯氟醚菊酯与残杀威</w:t>
                  </w:r>
                  <w:r>
                    <w:rPr>
                      <w:sz w:val="24"/>
                    </w:rPr>
                    <w:t>混配制剂，总有效成份含量</w:t>
                  </w:r>
                  <w:r>
                    <w:rPr>
                      <w:sz w:val="24"/>
                    </w:rPr>
                    <w:t>≥</w:t>
                  </w:r>
                  <w:r>
                    <w:rPr>
                      <w:sz w:val="24"/>
                    </w:rPr>
                    <w:t>13</w:t>
                  </w:r>
                  <w:r>
                    <w:rPr>
                      <w:sz w:val="24"/>
                    </w:rPr>
                    <w:t>%</w:t>
                  </w:r>
                </w:p>
                <w:p>
                  <w:pPr>
                    <w:pStyle w:val="null3"/>
                    <w:jc w:val="center"/>
                  </w:pPr>
                  <w:r>
                    <w:rPr>
                      <w:sz w:val="24"/>
                    </w:rPr>
                    <w:t>剂型：</w:t>
                  </w:r>
                  <w:r>
                    <w:rPr>
                      <w:sz w:val="24"/>
                    </w:rPr>
                    <w:t>悬浮</w:t>
                  </w:r>
                  <w:r>
                    <w:rPr>
                      <w:sz w:val="24"/>
                    </w:rPr>
                    <w:t>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用途：室内外灭蚊、蝇、蟑</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苯氰残杀威乳油（百利普芬）</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有效成分及含量：</w:t>
                  </w:r>
                  <w:r>
                    <w:rPr>
                      <w:sz w:val="24"/>
                      <w:color w:val="000000"/>
                    </w:rPr>
                    <w:t>残杀威与右旋苯醚氰菊酯</w:t>
                  </w:r>
                  <w:r>
                    <w:rPr>
                      <w:sz w:val="24"/>
                    </w:rPr>
                    <w:t>混配制剂，总有效成份含量</w:t>
                  </w:r>
                  <w:r>
                    <w:rPr>
                      <w:sz w:val="24"/>
                    </w:rPr>
                    <w:t>≥</w:t>
                  </w:r>
                  <w:r>
                    <w:rPr>
                      <w:sz w:val="24"/>
                    </w:rPr>
                    <w:t>10</w:t>
                  </w:r>
                  <w:r>
                    <w:rPr>
                      <w:sz w:val="24"/>
                    </w:rPr>
                    <w:t>%</w:t>
                  </w:r>
                </w:p>
                <w:p>
                  <w:pPr>
                    <w:pStyle w:val="null3"/>
                    <w:jc w:val="center"/>
                  </w:pPr>
                  <w:r>
                    <w:rPr>
                      <w:sz w:val="24"/>
                    </w:rPr>
                    <w:t>剂型：乳油</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用途：室外灭成蚊、成蝇、蟑螂轮换使用</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p>
                  <w:pPr>
                    <w:pStyle w:val="null3"/>
                    <w:jc w:val="center"/>
                  </w:pPr>
                </w:p>
              </w:tc>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氯菊酯</w:t>
                  </w:r>
                  <w:r>
                    <w:rPr>
                      <w:sz w:val="24"/>
                    </w:rPr>
                    <w:t>.氯氰菊酯杀虫微乳剂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有效成分及含量：</w:t>
                  </w:r>
                  <w:r>
                    <w:rPr>
                      <w:sz w:val="24"/>
                      <w:color w:val="000000"/>
                    </w:rPr>
                    <w:t>氯氰菊酯与氯菊酯</w:t>
                  </w:r>
                  <w:r>
                    <w:rPr>
                      <w:sz w:val="24"/>
                    </w:rPr>
                    <w:t>混配制剂</w:t>
                  </w:r>
                  <w:r>
                    <w:rPr>
                      <w:sz w:val="24"/>
                    </w:rPr>
                    <w:t>≥</w:t>
                  </w:r>
                  <w:r>
                    <w:rPr>
                      <w:sz w:val="24"/>
                    </w:rPr>
                    <w:t>6</w:t>
                  </w:r>
                  <w:r>
                    <w:rPr>
                      <w:sz w:val="24"/>
                    </w:rPr>
                    <w:t>%</w:t>
                  </w:r>
                </w:p>
                <w:p>
                  <w:pPr>
                    <w:pStyle w:val="null3"/>
                    <w:jc w:val="center"/>
                  </w:pPr>
                  <w:r>
                    <w:rPr>
                      <w:sz w:val="24"/>
                    </w:rPr>
                    <w:t>剂型：</w:t>
                  </w:r>
                  <w:r>
                    <w:rPr>
                      <w:sz w:val="24"/>
                    </w:rPr>
                    <w:t>微乳剂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用途：室外灭成蚊、成蝇、蟑螂轮换使用</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1</w:t>
                  </w:r>
                </w:p>
              </w:tc>
              <w:tc>
                <w:tcPr>
                  <w:tcW w:type="dxa" w:w="22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残杀威</w:t>
                  </w:r>
                  <w:r>
                    <w:rPr>
                      <w:sz w:val="24"/>
                    </w:rPr>
                    <w:t>微乳</w:t>
                  </w:r>
                  <w:r>
                    <w:rPr>
                      <w:sz w:val="24"/>
                    </w:rPr>
                    <w:t>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有效成分及含量：</w:t>
                  </w:r>
                  <w:r>
                    <w:rPr>
                      <w:sz w:val="24"/>
                      <w:color w:val="000000"/>
                    </w:rPr>
                    <w:t>残杀威，</w:t>
                  </w:r>
                  <w:r>
                    <w:rPr>
                      <w:sz w:val="24"/>
                    </w:rPr>
                    <w:t>总有效成份含量</w:t>
                  </w:r>
                  <w:r>
                    <w:rPr>
                      <w:sz w:val="24"/>
                    </w:rPr>
                    <w:t>≥</w:t>
                  </w:r>
                  <w:r>
                    <w:rPr>
                      <w:sz w:val="24"/>
                    </w:rPr>
                    <w:t>10</w:t>
                  </w:r>
                  <w:r>
                    <w:rPr>
                      <w:sz w:val="24"/>
                    </w:rPr>
                    <w:t>%</w:t>
                  </w:r>
                </w:p>
                <w:p>
                  <w:pPr>
                    <w:pStyle w:val="null3"/>
                    <w:jc w:val="center"/>
                  </w:pPr>
                  <w:r>
                    <w:rPr>
                      <w:sz w:val="24"/>
                    </w:rPr>
                    <w:t>剂型：</w:t>
                  </w:r>
                  <w:r>
                    <w:rPr>
                      <w:sz w:val="24"/>
                    </w:rPr>
                    <w:t>微乳</w:t>
                  </w:r>
                  <w:r>
                    <w:rPr>
                      <w:sz w:val="24"/>
                    </w:rPr>
                    <w:t>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7"/>
                  <w:vMerge/>
                  <w:tcBorders>
                    <w:top w:val="none" w:color="000000" w:sz="4"/>
                    <w:left w:val="single" w:color="000000" w:sz="4"/>
                    <w:bottom w:val="single" w:color="000000" w:sz="4"/>
                    <w:right w:val="single" w:color="000000" w:sz="4"/>
                  </w:tcBorders>
                </w:tcPr>
                <w:p/>
              </w:tc>
              <w:tc>
                <w:tcPr>
                  <w:tcW w:type="dxa" w:w="2236"/>
                  <w:vMerge/>
                  <w:tcBorders>
                    <w:top w:val="none" w:color="000000" w:sz="4"/>
                    <w:left w:val="single" w:color="000000" w:sz="4"/>
                    <w:bottom w:val="single" w:color="000000" w:sz="4"/>
                    <w:right w:val="single" w:color="000000" w:sz="4"/>
                  </w:tcBorders>
                </w:tcP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用途：室外超低灭成蚊、成蝇、蟑螂等</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both"/>
            </w:pPr>
            <w:r>
              <w:rPr>
                <w:sz w:val="24"/>
                <w:b/>
              </w:rPr>
              <w:t>备注：</w:t>
            </w:r>
          </w:p>
          <w:p>
            <w:pPr>
              <w:pStyle w:val="null3"/>
              <w:jc w:val="both"/>
            </w:pPr>
            <w:r>
              <w:rPr>
                <w:sz w:val="24"/>
                <w:b/>
              </w:rPr>
              <w:t>供应商须在应答文件中提供的第</w:t>
            </w:r>
            <w:r>
              <w:rPr>
                <w:sz w:val="24"/>
                <w:b/>
              </w:rPr>
              <w:t>1-1</w:t>
            </w:r>
            <w:r>
              <w:rPr>
                <w:sz w:val="24"/>
                <w:b/>
              </w:rPr>
              <w:t>1</w:t>
            </w:r>
            <w:r>
              <w:rPr>
                <w:sz w:val="24"/>
                <w:b/>
              </w:rPr>
              <w:t>种药物加盖农药登记证持有人公章的</w:t>
            </w:r>
            <w:r>
              <w:rPr>
                <w:sz w:val="24"/>
                <w:b/>
              </w:rPr>
              <w:t>“</w:t>
            </w:r>
            <w:r>
              <w:rPr>
                <w:sz w:val="24"/>
                <w:b/>
              </w:rPr>
              <w:t>三证</w:t>
            </w:r>
            <w:r>
              <w:rPr>
                <w:sz w:val="24"/>
                <w:b/>
              </w:rPr>
              <w:t>”:</w:t>
            </w:r>
          </w:p>
          <w:p>
            <w:pPr>
              <w:pStyle w:val="null3"/>
              <w:jc w:val="both"/>
            </w:pPr>
            <w:r>
              <w:rPr>
                <w:sz w:val="24"/>
                <w:b/>
              </w:rPr>
              <w:t>a.</w:t>
            </w:r>
            <w:r>
              <w:rPr>
                <w:sz w:val="24"/>
                <w:b/>
              </w:rPr>
              <w:t>农业部颁发的农药登记证复印件；</w:t>
            </w:r>
          </w:p>
          <w:p>
            <w:pPr>
              <w:pStyle w:val="null3"/>
              <w:jc w:val="both"/>
            </w:pPr>
            <w:r>
              <w:rPr>
                <w:sz w:val="24"/>
                <w:b/>
              </w:rPr>
              <w:t>b.</w:t>
            </w:r>
            <w:r>
              <w:rPr>
                <w:sz w:val="24"/>
                <w:b/>
              </w:rPr>
              <w:t>省级农业主管部门颁发的农药登记证持有人或委托加工企业农药生产许可证（生产范围包含所投产品剂型）复印件；</w:t>
            </w:r>
          </w:p>
          <w:p>
            <w:pPr>
              <w:pStyle w:val="null3"/>
              <w:jc w:val="both"/>
            </w:pPr>
            <w:r>
              <w:rPr>
                <w:sz w:val="24"/>
                <w:b/>
              </w:rPr>
              <w:t>c.</w:t>
            </w:r>
            <w:r>
              <w:rPr>
                <w:sz w:val="24"/>
                <w:b/>
              </w:rPr>
              <w:t>企业标准信息公共服务平台备案的企业标准封面复印件。</w:t>
            </w:r>
          </w:p>
          <w:p>
            <w:pPr>
              <w:pStyle w:val="null3"/>
              <w:jc w:val="both"/>
            </w:pPr>
            <w:r>
              <w:rPr>
                <w:sz w:val="24"/>
                <w:b/>
              </w:rPr>
              <w:t>三</w:t>
            </w:r>
            <w:r>
              <w:rPr>
                <w:sz w:val="24"/>
                <w:b/>
              </w:rPr>
              <w:t>、</w:t>
            </w:r>
            <w:r>
              <w:rPr>
                <w:sz w:val="24"/>
                <w:b/>
              </w:rPr>
              <w:t>服务所需设备、工具清单要求</w:t>
            </w:r>
          </w:p>
          <w:p>
            <w:pPr>
              <w:pStyle w:val="null3"/>
              <w:ind w:firstLine="480"/>
              <w:jc w:val="both"/>
            </w:pPr>
            <w:r>
              <w:rPr>
                <w:sz w:val="24"/>
              </w:rPr>
              <w:t>本项目最低限度必须具备的作业设备及工具见下表，数量由成交供应商根据作业量按实际需要配置，必须满足质量要求。下表中未列出的设备及工具，由成交供应商根据实际需要自行购置。</w:t>
            </w:r>
          </w:p>
          <w:tbl>
            <w:tblPr>
              <w:tblInd w:type="dxa" w:w="120"/>
              <w:tblBorders>
                <w:top w:val="none" w:color="000000" w:sz="4"/>
                <w:left w:val="none" w:color="000000" w:sz="4"/>
                <w:bottom w:val="none" w:color="000000" w:sz="4"/>
                <w:right w:val="none" w:color="000000" w:sz="4"/>
                <w:insideH w:val="none"/>
                <w:insideV w:val="none"/>
              </w:tblBorders>
            </w:tblPr>
            <w:tblGrid>
              <w:gridCol w:w="455"/>
              <w:gridCol w:w="1497"/>
              <w:gridCol w:w="1802"/>
              <w:gridCol w:w="751"/>
              <w:gridCol w:w="1091"/>
            </w:tblGrid>
            <w:tr>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设备设施及工具名称</w:t>
                  </w:r>
                </w:p>
              </w:tc>
              <w:tc>
                <w:tcPr>
                  <w:tcW w:type="dxa" w:w="1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技术参数最低要求</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工作用车（轻型货车）</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自用车辆所有手续、证件齐全</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辆</w:t>
                  </w:r>
                </w:p>
              </w:tc>
              <w:tc>
                <w:tcPr>
                  <w:tcW w:type="dxa" w:w="10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、提供所需车辆的行驶证（含车辆照片页及检验记录页）及车辆照片。</w:t>
                  </w:r>
                </w:p>
                <w:p>
                  <w:pPr>
                    <w:pStyle w:val="null3"/>
                    <w:jc w:val="both"/>
                  </w:pPr>
                  <w:r>
                    <w:rPr>
                      <w:sz w:val="24"/>
                    </w:rPr>
                    <w:t>2</w:t>
                  </w:r>
                  <w:r>
                    <w:rPr>
                      <w:sz w:val="24"/>
                    </w:rPr>
                    <w:t>、提供所需工具购置发票或租赁合同关键页扫描件。</w:t>
                  </w:r>
                </w:p>
                <w:p>
                  <w:pPr>
                    <w:pStyle w:val="null3"/>
                    <w:jc w:val="both"/>
                  </w:pPr>
                  <w:r>
                    <w:rPr>
                      <w:sz w:val="24"/>
                    </w:rPr>
                    <w:t>3</w:t>
                  </w:r>
                  <w:r>
                    <w:rPr>
                      <w:sz w:val="24"/>
                    </w:rPr>
                    <w:t>、所提供的车辆、工具需是供应商自有或租赁设备。</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背负式超低容量喷雾机</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额定功率：</w:t>
                  </w:r>
                  <w:r>
                    <w:rPr>
                      <w:sz w:val="24"/>
                    </w:rPr>
                    <w:t>500W</w:t>
                  </w:r>
                </w:p>
                <w:p>
                  <w:pPr>
                    <w:pStyle w:val="null3"/>
                    <w:jc w:val="center"/>
                  </w:pPr>
                  <w:r>
                    <w:rPr>
                      <w:sz w:val="24"/>
                    </w:rPr>
                    <w:t>药箱容量：</w:t>
                  </w:r>
                  <w:r>
                    <w:rPr>
                      <w:sz w:val="24"/>
                    </w:rPr>
                    <w:t>≥6.0L</w:t>
                  </w:r>
                </w:p>
                <w:p>
                  <w:pPr>
                    <w:pStyle w:val="null3"/>
                    <w:jc w:val="center"/>
                  </w:pPr>
                  <w:r>
                    <w:rPr>
                      <w:sz w:val="24"/>
                    </w:rPr>
                    <w:t>雾滴大小：</w:t>
                  </w:r>
                  <w:r>
                    <w:rPr>
                      <w:sz w:val="24"/>
                    </w:rPr>
                    <w:t>0-50um</w:t>
                  </w:r>
                  <w:r>
                    <w:rPr>
                      <w:sz w:val="24"/>
                    </w:rPr>
                    <w:t>可调</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r>
                    <w:rPr>
                      <w:sz w:val="24"/>
                    </w:rPr>
                    <w:t>台</w:t>
                  </w:r>
                </w:p>
              </w:tc>
              <w:tc>
                <w:tcPr>
                  <w:tcW w:type="dxa" w:w="1091"/>
                  <w:vMerge/>
                  <w:tcBorders>
                    <w:top w:val="none" w:color="000000" w:sz="4"/>
                    <w:left w:val="none" w:color="000000" w:sz="4"/>
                    <w:bottom w:val="none" w:color="000000" w:sz="4"/>
                    <w:right w:val="single" w:color="000000" w:sz="4"/>
                  </w:tcBorders>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热烟雾机</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燃油：汽油</w:t>
                  </w:r>
                </w:p>
                <w:p>
                  <w:pPr>
                    <w:pStyle w:val="null3"/>
                    <w:jc w:val="center"/>
                  </w:pPr>
                  <w:r>
                    <w:rPr>
                      <w:sz w:val="24"/>
                    </w:rPr>
                    <w:t>药箱容量：</w:t>
                  </w:r>
                  <w:r>
                    <w:rPr>
                      <w:sz w:val="24"/>
                    </w:rPr>
                    <w:t>≥</w:t>
                  </w:r>
                  <w:r>
                    <w:rPr>
                      <w:sz w:val="24"/>
                    </w:rPr>
                    <w:t>5</w:t>
                  </w:r>
                  <w:r>
                    <w:rPr>
                      <w:sz w:val="24"/>
                    </w:rPr>
                    <w:t>.0L</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r>
                    <w:rPr>
                      <w:sz w:val="24"/>
                    </w:rPr>
                    <w:t>台</w:t>
                  </w:r>
                </w:p>
              </w:tc>
              <w:tc>
                <w:tcPr>
                  <w:tcW w:type="dxa" w:w="1091"/>
                  <w:vMerge/>
                  <w:tcBorders>
                    <w:top w:val="none" w:color="000000" w:sz="4"/>
                    <w:left w:val="none" w:color="000000" w:sz="4"/>
                    <w:bottom w:val="none" w:color="000000" w:sz="4"/>
                    <w:right w:val="single" w:color="000000" w:sz="4"/>
                  </w:tcBorders>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背负式电动喷雾机</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额定功率：</w:t>
                  </w:r>
                  <w:r>
                    <w:rPr>
                      <w:sz w:val="24"/>
                    </w:rPr>
                    <w:t>240W</w:t>
                  </w:r>
                </w:p>
                <w:p>
                  <w:pPr>
                    <w:pStyle w:val="null3"/>
                    <w:jc w:val="center"/>
                  </w:pPr>
                  <w:r>
                    <w:rPr>
                      <w:sz w:val="24"/>
                    </w:rPr>
                    <w:t>喷雾量：</w:t>
                  </w:r>
                  <w:r>
                    <w:rPr>
                      <w:sz w:val="24"/>
                    </w:rPr>
                    <w:t>25-350ML/MIN</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台</w:t>
                  </w:r>
                </w:p>
              </w:tc>
              <w:tc>
                <w:tcPr>
                  <w:tcW w:type="dxa" w:w="1091"/>
                  <w:vMerge/>
                  <w:tcBorders>
                    <w:top w:val="none" w:color="000000" w:sz="4"/>
                    <w:left w:val="none" w:color="000000" w:sz="4"/>
                    <w:bottom w:val="none" w:color="000000" w:sz="4"/>
                    <w:right w:val="single" w:color="000000" w:sz="4"/>
                  </w:tcBorders>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手推</w:t>
                  </w:r>
                  <w:r>
                    <w:rPr>
                      <w:sz w:val="24"/>
                    </w:rPr>
                    <w:t>式喷雾机</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工作压力：</w:t>
                  </w:r>
                  <w:r>
                    <w:rPr>
                      <w:sz w:val="24"/>
                    </w:rPr>
                    <w:t>1</w:t>
                  </w:r>
                  <w:r>
                    <w:rPr>
                      <w:sz w:val="24"/>
                    </w:rPr>
                    <w:t>-</w:t>
                  </w:r>
                  <w:r>
                    <w:rPr>
                      <w:sz w:val="24"/>
                    </w:rPr>
                    <w:t>3MPa</w:t>
                  </w:r>
                </w:p>
                <w:p>
                  <w:pPr>
                    <w:pStyle w:val="null3"/>
                    <w:jc w:val="center"/>
                  </w:pPr>
                  <w:r>
                    <w:rPr>
                      <w:sz w:val="24"/>
                    </w:rPr>
                    <w:t>药箱容量：</w:t>
                  </w:r>
                  <w:r>
                    <w:rPr>
                      <w:sz w:val="24"/>
                    </w:rPr>
                    <w:t>≥1</w:t>
                  </w:r>
                  <w:r>
                    <w:rPr>
                      <w:sz w:val="24"/>
                    </w:rPr>
                    <w:t>6</w:t>
                  </w:r>
                  <w:r>
                    <w:rPr>
                      <w:sz w:val="24"/>
                    </w:rPr>
                    <w:t>0</w:t>
                  </w:r>
                  <w:r>
                    <w:rPr>
                      <w:sz w:val="24"/>
                    </w:rPr>
                    <w:t>L</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台</w:t>
                  </w:r>
                </w:p>
              </w:tc>
              <w:tc>
                <w:tcPr>
                  <w:tcW w:type="dxa" w:w="1091"/>
                  <w:vMerge/>
                  <w:tcBorders>
                    <w:top w:val="none" w:color="000000" w:sz="4"/>
                    <w:left w:val="none" w:color="000000" w:sz="4"/>
                    <w:bottom w:val="none" w:color="000000" w:sz="4"/>
                    <w:right w:val="single" w:color="000000" w:sz="4"/>
                  </w:tcBorders>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巡检工作用车（小型客车）</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对施工地点巡检专用，自用车辆所有手续、证件齐全</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辆</w:t>
                  </w:r>
                </w:p>
              </w:tc>
              <w:tc>
                <w:tcPr>
                  <w:tcW w:type="dxa" w:w="1091"/>
                  <w:vMerge/>
                  <w:tcBorders>
                    <w:top w:val="none" w:color="000000" w:sz="4"/>
                    <w:left w:val="none" w:color="000000" w:sz="4"/>
                    <w:bottom w:val="none" w:color="000000" w:sz="4"/>
                    <w:right w:val="single" w:color="000000" w:sz="4"/>
                  </w:tcBorders>
                </w:tcPr>
                <w:p/>
              </w:tc>
            </w:tr>
          </w:tbl>
          <w:p>
            <w:pPr>
              <w:pStyle w:val="null3"/>
              <w:jc w:val="both"/>
            </w:pPr>
            <w:r>
              <w:rPr>
                <w:sz w:val="24"/>
                <w:b/>
              </w:rPr>
              <w:t>四</w:t>
            </w:r>
            <w:r>
              <w:rPr>
                <w:sz w:val="24"/>
                <w:b/>
              </w:rPr>
              <w:t>、本项目服务因素的需求</w:t>
            </w:r>
          </w:p>
          <w:p>
            <w:pPr>
              <w:pStyle w:val="null3"/>
              <w:jc w:val="both"/>
            </w:pPr>
            <w:r>
              <w:rPr>
                <w:sz w:val="24"/>
              </w:rPr>
              <w:t>1</w:t>
            </w:r>
            <w:r>
              <w:rPr>
                <w:sz w:val="24"/>
              </w:rPr>
              <w:t>、服务场所响应服务的需求</w:t>
            </w:r>
          </w:p>
          <w:p>
            <w:pPr>
              <w:pStyle w:val="null3"/>
              <w:ind w:firstLine="480"/>
              <w:jc w:val="both"/>
            </w:pPr>
            <w:r>
              <w:rPr>
                <w:sz w:val="24"/>
              </w:rPr>
              <w:t>供应商需提供自有或租赁的固定场所作为服务场所并为本项目派出人员提供服务，如果供应商由于自身原因在该项目投标期间未能设置服务场所来投标响应服务场所的需求，可以在其磋商响应文件中承诺在中标后的签订合同环节按采购人要求服务场所的服务需求完成设置服务场所，并需在承诺中明确提供</w:t>
            </w:r>
            <w:r>
              <w:rPr>
                <w:sz w:val="24"/>
              </w:rPr>
              <w:t>服务场所的方式：提供自有的固定场所作为服务场所并为本项目派出人员提供服务或提供租赁的固定场所作为服务场所并为本项目派出人员提供服务。</w:t>
            </w:r>
          </w:p>
          <w:p>
            <w:pPr>
              <w:pStyle w:val="null3"/>
              <w:jc w:val="both"/>
            </w:pPr>
            <w:r>
              <w:rPr>
                <w:sz w:val="24"/>
              </w:rPr>
              <w:t>2</w:t>
            </w:r>
            <w:r>
              <w:rPr>
                <w:sz w:val="24"/>
              </w:rPr>
              <w:t>、服务团队的需求</w:t>
            </w:r>
          </w:p>
          <w:p>
            <w:pPr>
              <w:pStyle w:val="null3"/>
              <w:ind w:firstLine="480"/>
              <w:jc w:val="both"/>
            </w:pPr>
            <w:r>
              <w:rPr>
                <w:sz w:val="24"/>
              </w:rPr>
              <w:t>供应商需要安排服务团队的人员数量</w:t>
            </w:r>
            <w:r>
              <w:rPr>
                <w:sz w:val="24"/>
              </w:rPr>
              <w:t>共</w:t>
            </w:r>
            <w:r>
              <w:rPr>
                <w:sz w:val="24"/>
              </w:rPr>
              <w:t>1</w:t>
            </w:r>
            <w:r>
              <w:rPr>
                <w:sz w:val="24"/>
              </w:rPr>
              <w:t>2</w:t>
            </w:r>
            <w:r>
              <w:rPr>
                <w:sz w:val="24"/>
              </w:rPr>
              <w:t>名</w:t>
            </w:r>
            <w:r>
              <w:rPr>
                <w:sz w:val="24"/>
              </w:rPr>
              <w:t>，具体如</w:t>
            </w:r>
            <w:r>
              <w:rPr>
                <w:sz w:val="24"/>
              </w:rPr>
              <w:t>下：</w:t>
            </w:r>
          </w:p>
          <w:p>
            <w:pPr>
              <w:pStyle w:val="null3"/>
              <w:jc w:val="both"/>
            </w:pPr>
            <w:r>
              <w:rPr>
                <w:sz w:val="24"/>
              </w:rPr>
              <w:t xml:space="preserve">        </w:t>
            </w:r>
            <w:r>
              <w:rPr>
                <w:sz w:val="24"/>
              </w:rPr>
              <w:t>（</w:t>
            </w:r>
            <w:r>
              <w:rPr>
                <w:sz w:val="24"/>
              </w:rPr>
              <w:t>1</w:t>
            </w:r>
            <w:r>
              <w:rPr>
                <w:sz w:val="24"/>
              </w:rPr>
              <w:t>）项目负责人</w:t>
            </w:r>
          </w:p>
          <w:p>
            <w:pPr>
              <w:pStyle w:val="null3"/>
              <w:ind w:firstLine="360"/>
              <w:jc w:val="left"/>
            </w:pPr>
            <w:r>
              <w:rPr>
                <w:sz w:val="24"/>
              </w:rPr>
              <w:t>①</w:t>
            </w:r>
            <w:r>
              <w:rPr>
                <w:sz w:val="24"/>
              </w:rPr>
              <w:t>项目负责人具有《有害生物防制员资格证》</w:t>
            </w:r>
            <w:r>
              <w:rPr>
                <w:sz w:val="24"/>
              </w:rPr>
              <w:t>三级</w:t>
            </w:r>
            <w:r>
              <w:rPr>
                <w:sz w:val="24"/>
              </w:rPr>
              <w:t>/</w:t>
            </w:r>
            <w:r>
              <w:rPr>
                <w:sz w:val="24"/>
              </w:rPr>
              <w:t>高级</w:t>
            </w:r>
            <w:r>
              <w:rPr>
                <w:sz w:val="24"/>
              </w:rPr>
              <w:t>（或以上）</w:t>
            </w:r>
            <w:r>
              <w:rPr>
                <w:sz w:val="24"/>
              </w:rPr>
              <w:t>的职业资格证书。</w:t>
            </w:r>
          </w:p>
          <w:p>
            <w:pPr>
              <w:pStyle w:val="null3"/>
              <w:ind w:firstLine="360"/>
              <w:jc w:val="left"/>
            </w:pPr>
            <w:r>
              <w:rPr>
                <w:sz w:val="24"/>
              </w:rPr>
              <w:t>②小组长</w:t>
            </w:r>
            <w:r>
              <w:rPr>
                <w:sz w:val="24"/>
              </w:rPr>
              <w:t>2</w:t>
            </w:r>
            <w:r>
              <w:rPr>
                <w:sz w:val="24"/>
              </w:rPr>
              <w:t>人，</w:t>
            </w:r>
            <w:r>
              <w:rPr>
                <w:sz w:val="24"/>
              </w:rPr>
              <w:t>具有《有害生物防制员资格证》</w:t>
            </w:r>
            <w:r>
              <w:rPr>
                <w:sz w:val="24"/>
              </w:rPr>
              <w:t>四级</w:t>
            </w:r>
            <w:r>
              <w:rPr>
                <w:sz w:val="24"/>
              </w:rPr>
              <w:t>/</w:t>
            </w:r>
            <w:r>
              <w:rPr>
                <w:sz w:val="24"/>
              </w:rPr>
              <w:t>中级（或以上）</w:t>
            </w:r>
            <w:r>
              <w:rPr>
                <w:sz w:val="24"/>
              </w:rPr>
              <w:t>的职业资格证书</w:t>
            </w:r>
            <w:r>
              <w:rPr>
                <w:sz w:val="24"/>
              </w:rPr>
              <w:t xml:space="preserve">  </w:t>
            </w:r>
            <w:r>
              <w:rPr>
                <w:sz w:val="24"/>
              </w:rPr>
              <w:t>。</w:t>
            </w:r>
          </w:p>
          <w:p>
            <w:pPr>
              <w:pStyle w:val="null3"/>
              <w:ind w:firstLine="360"/>
              <w:jc w:val="left"/>
            </w:pPr>
            <w:r>
              <w:rPr>
                <w:sz w:val="24"/>
              </w:rPr>
              <w:t>（</w:t>
            </w:r>
            <w:r>
              <w:rPr>
                <w:sz w:val="24"/>
              </w:rPr>
              <w:t>2</w:t>
            </w:r>
            <w:r>
              <w:rPr>
                <w:sz w:val="24"/>
              </w:rPr>
              <w:t>）拟派出人员</w:t>
            </w:r>
          </w:p>
          <w:p>
            <w:pPr>
              <w:pStyle w:val="null3"/>
              <w:ind w:firstLine="360"/>
              <w:jc w:val="left"/>
            </w:pPr>
            <w:r>
              <w:rPr>
                <w:sz w:val="24"/>
              </w:rPr>
              <w:t>供应商需拟派项目实施人员</w:t>
            </w:r>
            <w:r>
              <w:rPr>
                <w:sz w:val="24"/>
              </w:rPr>
              <w:t>9</w:t>
            </w:r>
            <w:r>
              <w:rPr>
                <w:sz w:val="24"/>
              </w:rPr>
              <w:t>人。现有</w:t>
            </w:r>
            <w:r>
              <w:rPr>
                <w:sz w:val="24"/>
              </w:rPr>
              <w:t>9</w:t>
            </w:r>
            <w:r>
              <w:rPr>
                <w:sz w:val="24"/>
              </w:rPr>
              <w:t>人</w:t>
            </w:r>
            <w:r>
              <w:rPr>
                <w:sz w:val="24"/>
              </w:rPr>
              <w:t>需</w:t>
            </w:r>
            <w:r>
              <w:rPr>
                <w:sz w:val="24"/>
              </w:rPr>
              <w:t>持有培训上岗证书。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1.采购代理机构：本项目是指惠州市易采工程项目管理有限公司，负责整个采购活动的组织，依法负责编制和发布磋商文件，对磋商文件拥有最终的解释权，不以任何身份出任磋商小组成员。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惠州市惠城区人民政府河南岸街道办事处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2家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招标代理服务收费管理暂行办法》(计价格〔2002〕1980号)和《国家发展改革委关于降低部分建设项目收费标准规范收费行为等有关问题的通知》（发改价格〔2011〕534号）的规定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惠州市易采工程项目管理有限公司</w:t>
      </w:r>
      <w:r>
        <w:rPr/>
        <w:t>代收。具体操作要求详见</w:t>
      </w:r>
      <w:r>
        <w:rPr/>
        <w:t>惠州市易采工程项目管理有限公司</w:t>
      </w:r>
      <w:r>
        <w:rPr/>
        <w:t>有关指引，递交事宜请自行咨询</w:t>
      </w:r>
      <w:r>
        <w:rPr/>
        <w:t>惠州市易采工程项目管理有限公司</w:t>
      </w:r>
      <w:r>
        <w:rPr/>
        <w:t>；请各供应商在响应文件递交截止时间前按须知前附表规定的金额递交至</w:t>
      </w:r>
      <w:r>
        <w:rPr/>
        <w:t>惠州市易采工程项目管理有限公司</w:t>
      </w:r>
      <w:r>
        <w:rPr/>
        <w:t>，到账情况以开启时</w:t>
      </w:r>
      <w:r>
        <w:rPr/>
        <w:t>惠州市易采工程项目管理有限公司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13168639726</w:t>
      </w:r>
    </w:p>
    <w:p>
      <w:pPr>
        <w:pStyle w:val="null3"/>
        <w:ind w:firstLine="480"/>
      </w:pPr>
      <w:r>
        <w:rPr/>
        <w:t>传真：</w:t>
      </w:r>
      <w:r>
        <w:rPr/>
        <w:t>/</w:t>
      </w:r>
    </w:p>
    <w:p>
      <w:pPr>
        <w:pStyle w:val="null3"/>
        <w:ind w:firstLine="480"/>
      </w:pPr>
      <w:r>
        <w:rPr/>
        <w:t>邮箱：</w:t>
      </w:r>
      <w:r>
        <w:rPr/>
        <w:t>chensy1369@163.com</w:t>
      </w:r>
    </w:p>
    <w:p>
      <w:pPr>
        <w:pStyle w:val="null3"/>
        <w:ind w:firstLine="480"/>
      </w:pPr>
      <w:r>
        <w:rPr/>
        <w:t>地址：</w:t>
      </w:r>
      <w:r>
        <w:rPr/>
        <w:t>惠州市陈江街道办事处曙光大道210号汽车客运站8层01号房（仅限办公）</w:t>
      </w:r>
    </w:p>
    <w:p>
      <w:pPr>
        <w:pStyle w:val="null3"/>
        <w:ind w:firstLine="480"/>
      </w:pPr>
      <w:r>
        <w:rPr/>
        <w:t>邮编：</w:t>
      </w:r>
      <w:r>
        <w:rPr/>
        <w:t>516001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政府采购监督管理机构名称：惠州市惠城区政府采购事务中心</w:t>
      </w:r>
    </w:p>
    <w:p>
      <w:pPr>
        <w:pStyle w:val="null3"/>
      </w:pPr>
      <w:r>
        <w:rPr/>
        <w:t>地 址：惠州市惠城区龙丰上排新联路5号</w:t>
      </w:r>
    </w:p>
    <w:p>
      <w:pPr>
        <w:pStyle w:val="null3"/>
      </w:pPr>
      <w:r>
        <w:rPr/>
        <w:t>电 话：0752-7809708</w:t>
      </w:r>
    </w:p>
    <w:p>
      <w:pPr>
        <w:pStyle w:val="null3"/>
      </w:pPr>
      <w:r>
        <w:rPr/>
        <w:t>邮 编：516000</w:t>
      </w:r>
    </w:p>
    <w:p>
      <w:pPr>
        <w:pStyle w:val="null3"/>
      </w:pPr>
      <w:r>
        <w:rPr/>
        <w:t>传 真：0752-7809707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河南岸街道办事处2025年9月-2028年9月除四害消杀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惠州市易采工程项目管理有限公司</w:t>
      </w:r>
      <w:r>
        <w:rPr/>
        <w:t>统一对外发布。</w:t>
      </w:r>
    </w:p>
    <w:p>
      <w:pPr>
        <w:pStyle w:val="null3"/>
        <w:ind w:firstLine="480"/>
      </w:pPr>
      <w:r>
        <w:rPr/>
        <w:t>（2）对</w:t>
      </w:r>
      <w:r>
        <w:rPr/>
        <w:t>惠州市易采工程项目管理有限公司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采购包1（河南岸街道办事处2025年9月-2028年9月除四害消杀项目）：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采购包1（河南岸街道办事处2025年9月-2028年9月除四害消杀项目）：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在中华人民共和国境内注册的法人或其他组织或自然人，投标（投标）时提交有效的 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提供投标截止日前6个月内任意1个月依法缴纳税收和社会保障资金的相关材料。如依法免税或不需要缴纳社会保障资金的，提供相应证明材料或政府采购供应商资格信用承诺函（格式详见招标公告附件）。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供应商必须具有良好的商业信誉和健全的财务会计制度（提供2024年度财务状况报告或基本开户行出具的资信证明）或政府采购供应商资格信用承诺函（格式详见招标公告附件）。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 罚款等行政处罚。（较大数额罚款按照发出行政处罚决定书部门所在省级政府，或实行垂直领导的国务院有关行政主管部门制 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 以下任何记录名单之一：①失信被执行人；②重大税收违法失信主体。同时，不处于中国政府采购网(www.ccgp.gov.cn)“政府采购严重违法失信行为信息记录”中的禁止参加政府采购活动期间。（以采购代理机构于投标（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采购包1（河南岸街道办事处2025年9月-2028年9月除四害消杀项目）：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响应文件的签署及盖章</w:t>
            </w:r>
          </w:p>
        </w:tc>
        <w:tc>
          <w:tcPr>
            <w:tcW w:type="dxa" w:w="4238"/>
          </w:tcPr>
          <w:p>
            <w:pPr>
              <w:pStyle w:val="null3"/>
            </w:pPr>
            <w:r>
              <w:rPr/>
              <w:t>响应文件按磋商文件中规定要求签署、盖章。</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投标（响应）报价未超过磋商文件中规定的预算金额或者最高限价。</w:t>
            </w:r>
          </w:p>
        </w:tc>
      </w:tr>
      <w:tr>
        <w:tc>
          <w:tcPr>
            <w:tcW w:type="dxa" w:w="890"/>
          </w:tcPr>
          <w:p>
            <w:pPr>
              <w:pStyle w:val="null3"/>
            </w:pPr>
            <w:r>
              <w:rPr/>
              <w:t>3</w:t>
            </w:r>
          </w:p>
        </w:tc>
        <w:tc>
          <w:tcPr>
            <w:tcW w:type="dxa" w:w="3178"/>
          </w:tcPr>
          <w:p>
            <w:pPr>
              <w:pStyle w:val="null3"/>
            </w:pPr>
            <w:r>
              <w:rPr/>
              <w:t>不含附加条件</w:t>
            </w:r>
          </w:p>
        </w:tc>
        <w:tc>
          <w:tcPr>
            <w:tcW w:type="dxa" w:w="4238"/>
          </w:tcPr>
          <w:p>
            <w:pPr>
              <w:pStyle w:val="null3"/>
            </w:pPr>
            <w:r>
              <w:rPr/>
              <w:t>响应文件未含有采购人不能接受的附加条件。</w:t>
            </w:r>
          </w:p>
        </w:tc>
      </w:tr>
      <w:tr>
        <w:tc>
          <w:tcPr>
            <w:tcW w:type="dxa" w:w="890"/>
          </w:tcPr>
          <w:p>
            <w:pPr>
              <w:pStyle w:val="null3"/>
            </w:pPr>
            <w:r>
              <w:rPr/>
              <w:t>4</w:t>
            </w:r>
          </w:p>
        </w:tc>
        <w:tc>
          <w:tcPr>
            <w:tcW w:type="dxa" w:w="3178"/>
          </w:tcPr>
          <w:p>
            <w:pPr>
              <w:pStyle w:val="null3"/>
            </w:pPr>
            <w:r>
              <w:rPr/>
              <w:t>没有其他无效情形</w:t>
            </w:r>
          </w:p>
        </w:tc>
        <w:tc>
          <w:tcPr>
            <w:tcW w:type="dxa" w:w="4238"/>
          </w:tcPr>
          <w:p>
            <w:pPr>
              <w:pStyle w:val="null3"/>
            </w:pPr>
            <w:r>
              <w:rPr/>
              <w:t>不具有法律、法规和磋商文件规定的其他无效情形。</w:t>
            </w:r>
          </w:p>
        </w:tc>
      </w:tr>
      <w:tr>
        <w:tc>
          <w:tcPr>
            <w:tcW w:type="dxa" w:w="890"/>
          </w:tcPr>
          <w:p>
            <w:pPr>
              <w:pStyle w:val="null3"/>
            </w:pPr>
            <w:r>
              <w:rPr/>
              <w:t>5</w:t>
            </w:r>
          </w:p>
        </w:tc>
        <w:tc>
          <w:tcPr>
            <w:tcW w:type="dxa" w:w="3178"/>
          </w:tcPr>
          <w:p>
            <w:pPr>
              <w:pStyle w:val="null3"/>
            </w:pPr>
            <w:r>
              <w:rPr/>
              <w:t>磋商文件带“★”号条款无产生负偏离</w:t>
            </w:r>
          </w:p>
        </w:tc>
        <w:tc>
          <w:tcPr>
            <w:tcW w:type="dxa" w:w="4238"/>
          </w:tcPr>
          <w:p>
            <w:pPr>
              <w:pStyle w:val="null3"/>
            </w:pPr>
            <w:r>
              <w:rPr/>
              <w:t>响应文件对磋商文件的实质性技术与商务的条款（即标注“★”号条款）无产生负偏离。</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河南岸街道办事处2025年9月-2028年9月除四害消杀项目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技术部分53.0分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(13.0分)</w:t>
            </w:r>
          </w:p>
        </w:tc>
        <w:tc>
          <w:tcPr>
            <w:tcW w:type="dxa" w:w="5076"/>
          </w:tcPr>
          <w:p>
            <w:pPr>
              <w:pStyle w:val="null3"/>
              <w:jc w:val="left"/>
            </w:pPr>
            <w:r>
              <w:rPr/>
              <w:t>根据供应商提供的实施方案，包括但不限于病媒生物防制和除四害消杀、日常管理组织、员工技术培训计划、提高病媒生物防制和除四害消杀水平的设想、各种规章制度等内容进行评审： 1.实施方案完善、合理，针对性、可行性强，完全能满足项目服务要求的，得13分； 2.实施方案较完整、合理，针对性、可行性较强，满足项目服务要求的得9分； 3.实施方案基本完整、合理，有一定针对性、可行性，基本满足项目服务要求的，得5分。 4.实施方案不完整、合理差，针对性、可行性较差，部分满足项目服务要求的，得1分。 5.无提供实施方案或其他情况不得分。</w:t>
            </w:r>
          </w:p>
        </w:tc>
      </w:tr>
      <w:tr>
        <w:tc>
          <w:tcPr>
            <w:tcW w:type="dxa" w:w="922"/>
            <w:gridSpan w:val="2"/>
            <w:vMerge/>
          </w:tcPr>
          <w:p/>
        </w:tc>
        <w:tc>
          <w:tcPr>
            <w:tcW w:type="dxa" w:w="2307"/>
          </w:tcPr>
          <w:p>
            <w:pPr>
              <w:pStyle w:val="null3"/>
              <w:jc w:val="left"/>
            </w:pPr>
            <w:r>
              <w:rPr/>
              <w:t>对项目实施区域及项目内容的熟悉程度 (10.0分)</w:t>
            </w:r>
          </w:p>
        </w:tc>
        <w:tc>
          <w:tcPr>
            <w:tcW w:type="dxa" w:w="5076"/>
          </w:tcPr>
          <w:p>
            <w:pPr>
              <w:pStyle w:val="null3"/>
              <w:jc w:val="left"/>
            </w:pPr>
            <w:r>
              <w:rPr/>
              <w:t>1.供应商熟悉了解本次采购项目实施区域环境现状，对本项目服务内容熟悉，非常了解本项目服务重点，能详细说明辖区内的工作难点、重点，完全贴合项目需求，得10分； 2.供应商对本次采购项目实施区域环境现状较为清楚，对本项目服务内容熟悉，了解本项目服务重点，能概述辖区内的工作难点、重点 ，基本贴合项目需求，得6分； 3.供应商对本次采购项目实施区域环境现状了解欠缺，对本项目服务内容不够熟悉，对本项目服务重点不够了解，不能说明辖区内的工作难点、重点，部分贴合项目需求，得3分； 4.供应商对本次采购项目实施区域环境现状不了解，对本项目服务内容不熟悉，对本项目服务重点不了解，不能说明辖区内的工作难点、重点，未能贴合项目需求，得1分； 5.无提供或其他情况，不得分。</w:t>
            </w:r>
          </w:p>
        </w:tc>
      </w:tr>
      <w:tr>
        <w:tc>
          <w:tcPr>
            <w:tcW w:type="dxa" w:w="922"/>
            <w:gridSpan w:val="2"/>
            <w:vMerge/>
          </w:tcPr>
          <w:p/>
        </w:tc>
        <w:tc>
          <w:tcPr>
            <w:tcW w:type="dxa" w:w="2307"/>
          </w:tcPr>
          <w:p>
            <w:pPr>
              <w:pStyle w:val="null3"/>
              <w:jc w:val="left"/>
            </w:pPr>
            <w:r>
              <w:rPr/>
              <w:t>项目质量保证措施 (10.0分)</w:t>
            </w:r>
          </w:p>
        </w:tc>
        <w:tc>
          <w:tcPr>
            <w:tcW w:type="dxa" w:w="5076"/>
          </w:tcPr>
          <w:p>
            <w:pPr>
              <w:pStyle w:val="null3"/>
              <w:jc w:val="left"/>
            </w:pPr>
            <w:r>
              <w:rPr/>
              <w:t>项目质量保证措施包括但不限于服务质量标准保证措施、质量承诺保证等： 1.项目质量保证措施方案详细完整，能提出具有针对性的质量措施目标、质量保障措施科学合理，可行性强，有明确的质量承诺，完全贴合项目需求，得10分； 2.项目质量保证措施方案较完整，有质量目标明确、质量保障措施合理，具备可行性，有质量承诺，基本贴合项目需求，得5分； 3.项目质量保证措施方案不完整，有质量目标、质量保障措施，质量承诺，合理性及可行性差，部分贴合项目需求得1分； 4.不提供或其他情况不得分。</w:t>
            </w:r>
          </w:p>
        </w:tc>
      </w:tr>
      <w:tr>
        <w:tc>
          <w:tcPr>
            <w:tcW w:type="dxa" w:w="922"/>
            <w:gridSpan w:val="2"/>
            <w:vMerge/>
          </w:tcPr>
          <w:p/>
        </w:tc>
        <w:tc>
          <w:tcPr>
            <w:tcW w:type="dxa" w:w="2307"/>
          </w:tcPr>
          <w:p>
            <w:pPr>
              <w:pStyle w:val="null3"/>
              <w:jc w:val="left"/>
            </w:pPr>
            <w:r>
              <w:rPr/>
              <w:t>突发事件应急措施处理方案 (10.0分)</w:t>
            </w:r>
          </w:p>
        </w:tc>
        <w:tc>
          <w:tcPr>
            <w:tcW w:type="dxa" w:w="5076"/>
          </w:tcPr>
          <w:p>
            <w:pPr>
              <w:pStyle w:val="null3"/>
              <w:jc w:val="left"/>
            </w:pPr>
            <w:r>
              <w:rPr/>
              <w:t>1.供应商有高度警惕，具有充沛的人力、物力处置能力，有完整和科学的疫情应急处置预案，疫情应急响应迅速，完全满足项目需求，得10分； 2.供应商的人力、物力处置能力适中，有合理的疫情应急处置预案，疫情应急响应速度一般，基本满足项目需求，得5分； 3.供应商的人力、物力处置能力较弱，疫情应急预案欠缺，疫情应急响应速度较慢，不能满足项目需求，得1分； 4.不提供或其他情况不得分。</w:t>
            </w:r>
          </w:p>
        </w:tc>
      </w:tr>
      <w:tr>
        <w:tc>
          <w:tcPr>
            <w:tcW w:type="dxa" w:w="922"/>
            <w:gridSpan w:val="2"/>
            <w:vMerge/>
          </w:tcPr>
          <w:p/>
        </w:tc>
        <w:tc>
          <w:tcPr>
            <w:tcW w:type="dxa" w:w="2307"/>
          </w:tcPr>
          <w:p>
            <w:pPr>
              <w:pStyle w:val="null3"/>
              <w:jc w:val="left"/>
            </w:pPr>
            <w:r>
              <w:rPr/>
              <w:t>拟投入的药物情况 (10.0分)</w:t>
            </w:r>
          </w:p>
        </w:tc>
        <w:tc>
          <w:tcPr>
            <w:tcW w:type="dxa" w:w="5076"/>
          </w:tcPr>
          <w:p>
            <w:pPr>
              <w:pStyle w:val="null3"/>
              <w:jc w:val="left"/>
            </w:pPr>
            <w:r>
              <w:rPr/>
              <w:t>对拟投入的药物情况进行评审： 1.药物安全性高，药物配置品类的科学合理，对投入药物的管理科学合理、具有可行性，完全贴合项目需求，得10分； 2.药物安全性较高，药物配置品类较科学合理，对投入药物的管理较科学合理、较具有可行性，基本贴合项目需求，得6分； 3.药物安全性一般，药物配置品类基本科学合理，对投入药物的管理不够科学合理、可行性一般，部分贴合项目需求，得3分； 4.药物安全性较差，药物配置品类不科学合理，对投入药物的管理不科学合理、可行性差，未能贴合项目需求，得1分；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供应商自2020年1月1日（以合同签订时间为准）具有同类项目业绩，每提供一个业绩得2分，最高得10分。 【备注：需要同时提供合同（或协议）的关键页（含签订合同（或协议）双方的单位名称、合同（或协议）项目名称、签订合同（或协议）双方的落款盖章、签订日期）复印件，合同关键页内容须完整清晰，不清晰或未按要求提供不得分。】</w:t>
            </w:r>
          </w:p>
        </w:tc>
      </w:tr>
      <w:tr>
        <w:tc>
          <w:tcPr>
            <w:tcW w:type="dxa" w:w="922"/>
            <w:gridSpan w:val="2"/>
            <w:vMerge/>
          </w:tcPr>
          <w:p/>
        </w:tc>
        <w:tc>
          <w:tcPr>
            <w:tcW w:type="dxa" w:w="2307"/>
          </w:tcPr>
          <w:p>
            <w:pPr>
              <w:pStyle w:val="null3"/>
              <w:jc w:val="left"/>
            </w:pPr>
            <w:r>
              <w:rPr/>
              <w:t>拟投入的服务团队情况 (8.0分)</w:t>
            </w:r>
          </w:p>
        </w:tc>
        <w:tc>
          <w:tcPr>
            <w:tcW w:type="dxa" w:w="5076"/>
          </w:tcPr>
          <w:p>
            <w:pPr>
              <w:pStyle w:val="null3"/>
              <w:jc w:val="left"/>
            </w:pPr>
            <w:r>
              <w:rPr/>
              <w:t>供应商拟投入本项目团队人员具有如下证书： 1.项目负责人具有有害生物防制员三级/高级（或以上）技能职称，得2分； 2.团队人员具有有害生物防制员四级/中级（或以上）技能职称，每提供一人得2分，本小项最高得6分。 【备注：上述可累计得分， 本项最高得8分。 须提供①人力资源和社会保障部门颁发的职业资格证书复印件，同一人不重复得分②供应商为其缴纳的开标前6个月内任意1个月的社保证明复印件，加盖供应商公章，无提供或证明材料不清晰导致无法辨认的不得分。】</w:t>
            </w:r>
          </w:p>
        </w:tc>
      </w:tr>
      <w:tr>
        <w:tc>
          <w:tcPr>
            <w:tcW w:type="dxa" w:w="922"/>
            <w:gridSpan w:val="2"/>
            <w:vMerge/>
          </w:tcPr>
          <w:p/>
        </w:tc>
        <w:tc>
          <w:tcPr>
            <w:tcW w:type="dxa" w:w="2307"/>
          </w:tcPr>
          <w:p>
            <w:pPr>
              <w:pStyle w:val="null3"/>
              <w:jc w:val="left"/>
            </w:pPr>
            <w:r>
              <w:rPr/>
              <w:t>拟投入本项目的车辆、设备情况 (13.0分)</w:t>
            </w:r>
          </w:p>
        </w:tc>
        <w:tc>
          <w:tcPr>
            <w:tcW w:type="dxa" w:w="5076"/>
          </w:tcPr>
          <w:p>
            <w:pPr>
              <w:pStyle w:val="null3"/>
              <w:jc w:val="left"/>
            </w:pPr>
            <w:r>
              <w:rPr/>
              <w:t>投标人拟投入本项目的车辆、设备情况: 1.投标人提供服务车辆：一辆轻型普通货车、一辆小型客车作为本项目工作用车，每提供一辆得1分，本小项最高得2分。无提供不得分。须提供车辆行驶证（含车辆照片页及检验记录页）、车辆照片。证照信息须一致，不清晰或未按要求提供不得分。 2.背负式超低容量喷雾器5台及以上得3分，4台得2分，3台得1分。 3.热烟雾机4台及以上得3分，3台得2分，2台得1分。 4.背负式电动喷雾机10台及以上得4分，8台得3分，6台得2分。 5.手推式喷雾机2台及以上得1分。 注：上述2-5须提供自有设备购买发票（租赁的设施、设备需提供租赁合同及发票），未提供或提供不全或证明材料不清晰评委无法辨认，则不得分。</w:t>
            </w:r>
          </w:p>
        </w:tc>
      </w:tr>
      <w:tr>
        <w:tc>
          <w:tcPr>
            <w:tcW w:type="dxa" w:w="922"/>
            <w:gridSpan w:val="2"/>
            <w:vMerge/>
          </w:tcPr>
          <w:p/>
        </w:tc>
        <w:tc>
          <w:tcPr>
            <w:tcW w:type="dxa" w:w="2307"/>
          </w:tcPr>
          <w:p>
            <w:pPr>
              <w:pStyle w:val="null3"/>
              <w:jc w:val="left"/>
            </w:pPr>
            <w:r>
              <w:rPr/>
              <w:t>采购需求响应情况 (6.0分)</w:t>
            </w:r>
          </w:p>
        </w:tc>
        <w:tc>
          <w:tcPr>
            <w:tcW w:type="dxa" w:w="5076"/>
          </w:tcPr>
          <w:p>
            <w:pPr>
              <w:pStyle w:val="null3"/>
              <w:jc w:val="left"/>
            </w:pPr>
            <w:r>
              <w:rPr/>
              <w:t>1.完全满足并有优于采购需求的，得6分； 2.完全满足采购需求的，得4分； 3.采购需求响应有负偏离的，得2分。 注：提供采购需求响应表，格式自拟。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441302-2025-05139</w:t>
      </w:r>
    </w:p>
    <w:p>
      <w:pPr>
        <w:pStyle w:val="null3"/>
        <w:jc w:val="center"/>
        <w:outlineLvl w:val="3"/>
      </w:pPr>
      <w:r>
        <w:rPr>
          <w:sz w:val="24"/>
          <w:b/>
        </w:rPr>
        <w:t>采购项目编号：</w:t>
      </w:r>
      <w:r>
        <w:rPr>
          <w:sz w:val="24"/>
          <w:b/>
        </w:rPr>
        <w:t>YC25HZ00021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惠州市易采工程项目管理有限公司</w:t>
      </w:r>
    </w:p>
    <w:p>
      <w:pPr>
        <w:pStyle w:val="null3"/>
        <w:ind w:firstLine="480"/>
      </w:pPr>
      <w:r>
        <w:rPr/>
        <w:t xml:space="preserve"> 你方组织的</w:t>
      </w:r>
      <w:r>
        <w:rPr>
          <w:u w:val="single"/>
        </w:rPr>
        <w:t>“</w:t>
      </w:r>
      <w:r>
        <w:rPr>
          <w:u w:val="single"/>
        </w:rPr>
        <w:t>河南岸街道办事处2025年9月-2028年9月除四害消杀项目</w:t>
      </w:r>
      <w:r>
        <w:rPr>
          <w:u w:val="single"/>
        </w:rPr>
        <w:t>”</w:t>
      </w:r>
      <w:r>
        <w:rPr/>
        <w:t>项目的竞争性磋商[采购项目编号为：</w:t>
      </w:r>
      <w:r>
        <w:rPr>
          <w:u w:val="single"/>
        </w:rPr>
        <w:t>YC25HZ00021</w:t>
      </w:r>
      <w:r>
        <w:rPr/>
        <w:t>]，我方愿参与响应。</w:t>
      </w:r>
    </w:p>
    <w:p>
      <w:pPr>
        <w:pStyle w:val="null3"/>
        <w:ind w:firstLine="480"/>
      </w:pPr>
      <w:r>
        <w:rPr/>
        <w:t>我方确认收到贵方提供的</w:t>
      </w:r>
      <w:r>
        <w:rPr>
          <w:u w:val="single"/>
        </w:rPr>
        <w:t>“</w:t>
      </w:r>
      <w:r>
        <w:rPr>
          <w:u w:val="single"/>
        </w:rPr>
        <w:t>河南岸街道办事处2025年9月-2028年9月除四害消杀项目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惠州市易采工程项目管理有限公司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河南岸街道办事处2025年9月-2028年9月除四害消杀项目</w:t>
      </w:r>
      <w:r>
        <w:rPr/>
        <w:t>”项目采购[采购项目编号为</w:t>
      </w:r>
      <w:r>
        <w:rPr/>
        <w:t>YC25HZ00021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惠州市惠城区人民政府河南岸街道办事处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惠州市易采工程项目管理有限公司</w:t>
      </w:r>
    </w:p>
    <w:p>
      <w:pPr>
        <w:pStyle w:val="null3"/>
        <w:ind w:firstLine="480"/>
      </w:pPr>
      <w:r>
        <w:rPr/>
        <w:t>我单位参加贵公司组织的</w:t>
      </w:r>
      <w:r>
        <w:rPr/>
        <w:t>河南岸街道办事处2025年9月-2028年9月除四害消杀项目</w:t>
      </w:r>
      <w:r>
        <w:rPr/>
        <w:t>（采购项目编号：</w:t>
      </w:r>
      <w:r>
        <w:rPr/>
        <w:t>YC25HZ00021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惠州市易采工程项目管理有限公司</w:t>
      </w:r>
    </w:p>
    <w:p>
      <w:pPr>
        <w:pStyle w:val="null3"/>
        <w:ind w:firstLine="480"/>
      </w:pPr>
      <w:r>
        <w:rPr/>
        <w:t>我单位已登记并准备参与“</w:t>
      </w:r>
      <w:r>
        <w:rPr/>
        <w:t>河南岸街道办事处2025年9月-2028年9月除四害消杀项目</w:t>
      </w:r>
      <w:r>
        <w:rPr/>
        <w:t>”项目（采购项目编号：</w:t>
      </w:r>
      <w:r>
        <w:rPr/>
        <w:t>YC25HZ00021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