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441521-2025-02321</w:t>
      </w:r>
    </w:p>
    <w:p>
      <w:pPr>
        <w:pStyle w:val="null3"/>
        <w:jc w:val="center"/>
        <w:outlineLvl w:val="3"/>
      </w:pPr>
      <w:r>
        <w:rPr>
          <w:sz w:val="24"/>
          <w:b/>
        </w:rPr>
        <w:t>采购项目编号：</w:t>
      </w:r>
      <w:r>
        <w:rPr>
          <w:sz w:val="24"/>
          <w:b/>
        </w:rPr>
        <w:t>GDHYCG20250827</w:t>
      </w:r>
    </w:p>
    <w:p>
      <w:pPr>
        <w:pStyle w:val="null3"/>
        <w:jc w:val="center"/>
        <w:outlineLvl w:val="3"/>
      </w:pPr>
      <w:r>
        <w:rPr>
          <w:sz w:val="24"/>
          <w:b/>
        </w:rPr>
        <w:t>项目名称：</w:t>
      </w:r>
      <w:r>
        <w:rPr>
          <w:sz w:val="24"/>
          <w:b/>
        </w:rPr>
        <w:t>海丰县2025年林业有害生物防治项目</w:t>
      </w:r>
    </w:p>
    <w:p>
      <w:pPr>
        <w:pStyle w:val="null3"/>
        <w:jc w:val="center"/>
        <w:outlineLvl w:val="3"/>
      </w:pPr>
      <w:r>
        <w:rPr>
          <w:sz w:val="24"/>
          <w:b/>
        </w:rPr>
        <w:t>采购人：</w:t>
      </w:r>
      <w:r>
        <w:rPr>
          <w:sz w:val="24"/>
          <w:b/>
        </w:rPr>
        <w:t>海丰县林业局</w:t>
      </w:r>
    </w:p>
    <w:p>
      <w:pPr>
        <w:pStyle w:val="null3"/>
        <w:jc w:val="center"/>
        <w:outlineLvl w:val="3"/>
      </w:pPr>
      <w:r>
        <w:rPr>
          <w:sz w:val="24"/>
          <w:b/>
        </w:rPr>
        <w:t>采购代理机构：</w:t>
      </w:r>
      <w:r>
        <w:rPr>
          <w:sz w:val="24"/>
          <w:b/>
        </w:rPr>
        <w:t>广东弘业建设项目管理有限公司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广东弘业建设项目管理有限公司</w:t>
      </w:r>
      <w:r>
        <w:rPr/>
        <w:t>受</w:t>
      </w:r>
      <w:r>
        <w:rPr/>
        <w:t>海丰县林业局</w:t>
      </w:r>
      <w:r>
        <w:rPr/>
        <w:t>的委托，采用</w:t>
      </w:r>
      <w:r>
        <w:rPr/>
        <w:t>竞争性磋商</w:t>
      </w:r>
      <w:r>
        <w:rPr/>
        <w:t>方式组织采购</w:t>
      </w:r>
      <w:r>
        <w:rPr/>
        <w:t>海丰县2025年林业有害生物防治项目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海丰县2025年林业有害生物防治项目</w:t>
      </w:r>
    </w:p>
    <w:p>
      <w:pPr>
        <w:pStyle w:val="null3"/>
        <w:ind w:firstLine="480"/>
      </w:pPr>
      <w:r>
        <w:rPr/>
        <w:t>采购计划编号：</w:t>
      </w:r>
      <w:r>
        <w:rPr/>
        <w:t>441521-2025-02321</w:t>
      </w:r>
    </w:p>
    <w:p>
      <w:pPr>
        <w:pStyle w:val="null3"/>
        <w:ind w:firstLine="480"/>
      </w:pPr>
      <w:r>
        <w:rPr/>
        <w:t>采购项目编号：</w:t>
      </w:r>
      <w:r>
        <w:rPr/>
        <w:t>GDHYCG20250827</w:t>
      </w:r>
    </w:p>
    <w:p>
      <w:pPr>
        <w:pStyle w:val="null3"/>
        <w:ind w:firstLine="480"/>
      </w:pPr>
      <w:r>
        <w:rPr/>
        <w:t>采购方式：</w:t>
      </w:r>
      <w:r>
        <w:rPr/>
        <w:t>竞争性磋商</w:t>
      </w:r>
    </w:p>
    <w:p>
      <w:pPr>
        <w:pStyle w:val="null3"/>
        <w:ind w:firstLine="480"/>
      </w:pPr>
      <w:r>
        <w:rPr/>
        <w:t>预算金额：</w:t>
      </w:r>
      <w:r>
        <w:rPr/>
        <w:t>1,153,624.88</w:t>
      </w:r>
      <w:r>
        <w:rPr/>
        <w:t>元</w:t>
      </w:r>
    </w:p>
    <w:p>
      <w:pPr>
        <w:pStyle w:val="null3"/>
        <w:outlineLvl w:val="3"/>
      </w:pPr>
      <w:r>
        <w:rPr>
          <w:sz w:val="24"/>
          <w:b/>
        </w:rPr>
        <w:t>2.项目内容及需求情况（采购项目技术规格、参数及要求）</w:t>
      </w:r>
    </w:p>
    <w:p>
      <w:pPr>
        <w:pStyle w:val="null3"/>
      </w:pPr>
      <w:r>
        <w:rPr/>
        <w:t>采购包1(海丰县2025年林业有害生物防治项目):</w:t>
      </w:r>
    </w:p>
    <w:p>
      <w:pPr>
        <w:pStyle w:val="null3"/>
      </w:pPr>
      <w:r>
        <w:rPr/>
        <w:t>采购包预算金额：1,153,624.88元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海丰县2025年林业有害生物防治项目</w:t>
            </w:r>
          </w:p>
        </w:tc>
        <w:tc>
          <w:tcPr>
            <w:tcW w:type="dxa" w:w="1187"/>
          </w:tcPr>
          <w:p>
            <w:pPr>
              <w:pStyle w:val="null3"/>
            </w:pPr>
            <w:r>
              <w:rPr/>
              <w:t>1(宗)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合同履行期限：6个月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w:t>
      </w:r>
    </w:p>
    <w:p>
      <w:pPr>
        <w:pStyle w:val="null3"/>
      </w:pPr>
      <w:r>
        <w:rPr/>
        <w:t>2）有依法缴纳税收和社会保障资金的良好记录：提供2025年任意1个月依法缴纳税收和社会保障资金的相关材料。如依法免税或不需要缴纳社会保障资金的，提供相应证明材料或政府采购供应商信用承诺函。</w:t>
      </w:r>
    </w:p>
    <w:p>
      <w:pPr>
        <w:pStyle w:val="null3"/>
      </w:pPr>
      <w:r>
        <w:rPr/>
        <w:t>3）具有良好的商业信誉和健全的财务会计制度：供应商必须具有良好的商业信誉和健全的财务会计制度 。（提供2024年度财务状况报告或财务报表或基本开户行出具的资信证明或政府采购供应商信用承诺函。）</w:t>
      </w:r>
    </w:p>
    <w:p>
      <w:pPr>
        <w:pStyle w:val="null3"/>
      </w:pPr>
      <w:r>
        <w:rPr/>
        <w:t>4）履行合同所必需的设备和专业技术能力：供应商必须具备设备及专业技术能力。（按投标（响应）文件格式填报设备及专业技术能力情况或政府采购供应商信用承诺函。）</w:t>
      </w:r>
    </w:p>
    <w:p>
      <w:pPr>
        <w:pStyle w:val="null3"/>
      </w:pPr>
      <w:r>
        <w:rPr/>
        <w:t>5）参加采购活动前3年内，在经营活动中没有重大违法记录：重大违法记录，是指供应商因违法经营受到刑事处罚或者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元以上的罚款，法律、行政法规以及国务院有关部门明确规定相关领域“较大数额罚款”标准高于200万元的，从其规定）。（提供相应证明材料或政府采购供应商信用承诺函）</w:t>
      </w:r>
    </w:p>
    <w:p>
      <w:pPr>
        <w:pStyle w:val="null3"/>
        <w:outlineLvl w:val="3"/>
      </w:pPr>
      <w:r>
        <w:rPr>
          <w:sz w:val="24"/>
          <w:b/>
        </w:rPr>
        <w:t>2.落实政府采购政策需满足的资格要求：</w:t>
      </w:r>
    </w:p>
    <w:p>
      <w:pPr>
        <w:pStyle w:val="null3"/>
        <w:jc w:val="left"/>
      </w:pPr>
      <w:r>
        <w:rPr/>
        <w:t>采购包1（海丰县2025年林业有害生物防治项目）：</w:t>
      </w:r>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p>
      <w:pPr>
        <w:pStyle w:val="null3"/>
        <w:outlineLvl w:val="3"/>
      </w:pPr>
      <w:r>
        <w:rPr>
          <w:sz w:val="24"/>
          <w:b/>
        </w:rPr>
        <w:t>3.本项目特定的资格要求：</w:t>
      </w:r>
    </w:p>
    <w:p>
      <w:pPr>
        <w:pStyle w:val="null3"/>
      </w:pPr>
      <w:r>
        <w:rPr/>
        <w:t>采购包1（海丰县2025年林业有害生物防治项目）：</w:t>
      </w:r>
    </w:p>
    <w:p>
      <w:pPr>
        <w:pStyle w:val="null3"/>
      </w:pPr>
      <w:r>
        <w:rPr/>
        <w:t>1)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p>
      <w:pPr>
        <w:pStyle w:val="null3"/>
      </w:pPr>
      <w:r>
        <w:rPr/>
        <w:t>2)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提供相应证明材料或政府采购供应商信用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海丰县林业局</w:t>
      </w:r>
    </w:p>
    <w:p>
      <w:pPr>
        <w:pStyle w:val="null3"/>
        <w:ind w:firstLine="480"/>
      </w:pPr>
      <w:r>
        <w:rPr/>
        <w:t>地址：</w:t>
      </w:r>
      <w:r>
        <w:rPr/>
        <w:t>海丰县城云岭路</w:t>
      </w:r>
    </w:p>
    <w:p>
      <w:pPr>
        <w:pStyle w:val="null3"/>
        <w:ind w:firstLine="480"/>
      </w:pPr>
      <w:r>
        <w:rPr/>
        <w:t>联系方式：</w:t>
      </w:r>
      <w:r>
        <w:rPr/>
        <w:t>13719522928</w:t>
      </w:r>
    </w:p>
    <w:p>
      <w:pPr>
        <w:pStyle w:val="null3"/>
        <w:outlineLvl w:val="3"/>
      </w:pPr>
      <w:r>
        <w:rPr>
          <w:sz w:val="24"/>
          <w:b/>
        </w:rPr>
        <w:t>2.采购代理机构信息</w:t>
      </w:r>
    </w:p>
    <w:p>
      <w:pPr>
        <w:pStyle w:val="null3"/>
        <w:ind w:firstLine="480"/>
      </w:pPr>
      <w:r>
        <w:rPr/>
        <w:t>名称：</w:t>
      </w:r>
      <w:r>
        <w:rPr/>
        <w:t>广东弘业建设项目管理有限公司</w:t>
      </w:r>
    </w:p>
    <w:p>
      <w:pPr>
        <w:pStyle w:val="null3"/>
        <w:ind w:firstLine="480"/>
      </w:pPr>
      <w:r>
        <w:rPr/>
        <w:t xml:space="preserve"> 地址：</w:t>
      </w:r>
      <w:r>
        <w:rPr/>
        <w:t>广东省汕尾市海丰县海城镇海银公路西侧叠翠名城B座505-1号</w:t>
      </w:r>
    </w:p>
    <w:p>
      <w:pPr>
        <w:pStyle w:val="null3"/>
        <w:ind w:firstLine="480"/>
      </w:pPr>
      <w:r>
        <w:rPr/>
        <w:t xml:space="preserve"> 联系方式：</w:t>
      </w:r>
      <w:r>
        <w:rPr/>
        <w:t>0660-6999948</w:t>
      </w:r>
    </w:p>
    <w:p>
      <w:pPr>
        <w:pStyle w:val="null3"/>
        <w:outlineLvl w:val="3"/>
      </w:pPr>
      <w:r>
        <w:rPr>
          <w:sz w:val="24"/>
          <w:b/>
        </w:rPr>
        <w:t xml:space="preserve"> 3.项目联系方式</w:t>
      </w:r>
    </w:p>
    <w:p>
      <w:pPr>
        <w:pStyle w:val="null3"/>
        <w:ind w:firstLine="480"/>
      </w:pPr>
      <w:r>
        <w:rPr/>
        <w:t xml:space="preserve"> 项目联系人：</w:t>
      </w:r>
      <w:r>
        <w:rPr/>
        <w:t>周工</w:t>
      </w:r>
    </w:p>
    <w:p>
      <w:pPr>
        <w:pStyle w:val="null3"/>
        <w:ind w:firstLine="480"/>
      </w:pPr>
      <w:r>
        <w:rPr/>
        <w:t xml:space="preserve"> 电话：</w:t>
      </w:r>
      <w:r>
        <w:rPr/>
        <w:t>0660-6999948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广东弘业建设项目管理有限公司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全面贯彻落实科学发展观，紧紧围绕加快转型升级，建设幸福广东的</w:t>
      </w:r>
      <w:r>
        <w:rPr>
          <w:sz w:val="21"/>
          <w:color w:val="000000"/>
        </w:rPr>
        <w:t>核心任务，以保护森林资源和生态安全、促进现代林业发展为目标，加强</w:t>
      </w:r>
      <w:r>
        <w:rPr>
          <w:sz w:val="21"/>
          <w:color w:val="000000"/>
        </w:rPr>
        <w:t>组织领导，以绿美广东生态建设为中心，以林长制为引领，紧紧围绕森林</w:t>
      </w:r>
      <w:r>
        <w:rPr>
          <w:sz w:val="21"/>
          <w:color w:val="000000"/>
        </w:rPr>
        <w:t>质量精准提升和林分优化林相提升，统筹生态修复和灾害治理，打赢松材</w:t>
      </w:r>
      <w:r>
        <w:rPr>
          <w:sz w:val="21"/>
          <w:color w:val="000000"/>
        </w:rPr>
        <w:t>线虫病疫情防控五年攻坚战，坚决遏制松材线虫病、薇甘菊和红火蚁的严</w:t>
      </w:r>
      <w:r>
        <w:rPr>
          <w:sz w:val="21"/>
          <w:color w:val="000000"/>
        </w:rPr>
        <w:t>重为害与扩散蔓延，切实实现</w:t>
      </w:r>
      <w:r>
        <w:rPr>
          <w:sz w:val="21"/>
          <w:color w:val="000000"/>
        </w:rPr>
        <w:t>“青山常在 ”，为维护全县生态安全，为绿 美广东生态建设开好局起好步奉献防治检疫力量。按照“即发现、即报告、即除治、即验收”的及时原则，对各辖区的薇甘菊和松材线虫实施科学防治，有效及时防止薇甘菊和松材线虫病的扩散蔓延。</w:t>
      </w:r>
    </w:p>
    <w:p>
      <w:pPr>
        <w:pStyle w:val="null3"/>
        <w:ind w:firstLine="420"/>
        <w:jc w:val="both"/>
      </w:pPr>
      <w:r>
        <w:rPr>
          <w:sz w:val="21"/>
          <w:color w:val="000000"/>
        </w:rPr>
        <w:t>1.1按照“ 即发现、即报告、即除治、即验收 ”的及时原则，对各辖 区的薇甘菊和松材线虫实施科学防治，有效及时防止薇甘菊和松材线虫病 的扩散蔓延。</w:t>
      </w:r>
    </w:p>
    <w:p>
      <w:pPr>
        <w:pStyle w:val="null3"/>
        <w:ind w:firstLine="420"/>
        <w:jc w:val="both"/>
      </w:pPr>
      <w:r>
        <w:rPr>
          <w:sz w:val="21"/>
          <w:color w:val="000000"/>
        </w:rPr>
        <w:t>1.2坚持全面除治，彻底的原则，根据薇甘菊、松材线虫病和红火蚁 的分布范围、发生特点、防治技术水平等，集中对重点防治区实施高强度 除治，做到除治一块，成效一块，有效减轻灾情。</w:t>
      </w:r>
    </w:p>
    <w:p>
      <w:pPr>
        <w:pStyle w:val="null3"/>
        <w:ind w:firstLine="420"/>
        <w:jc w:val="both"/>
      </w:pPr>
      <w:r>
        <w:rPr>
          <w:sz w:val="21"/>
          <w:color w:val="000000"/>
        </w:rPr>
        <w:t>1.3坚持科学防治，就地处置原则，积极依靠科技进步，大力推广无 公害防治措施。结合林业重点生态工程的建设，不断加强植物检疫和林木 抚育，多措施防控。</w:t>
      </w:r>
    </w:p>
    <w:p>
      <w:pPr>
        <w:pStyle w:val="null3"/>
        <w:ind w:firstLine="420"/>
        <w:jc w:val="both"/>
      </w:pPr>
      <w:r>
        <w:rPr>
          <w:sz w:val="21"/>
          <w:color w:val="000000"/>
        </w:rPr>
        <w:t>1.4坚持预防为主，防治并举，持续防治原则，积极宣传普及松材线 虫病、薇甘菊和红火蚁的防治知识，提高公众防控意识，有效控制疫情传</w:t>
      </w:r>
    </w:p>
    <w:p>
      <w:pPr>
        <w:pStyle w:val="null3"/>
        <w:jc w:val="both"/>
      </w:pPr>
      <w:r>
        <w:rPr>
          <w:sz w:val="21"/>
          <w:color w:val="000000"/>
        </w:rPr>
        <w:t>播和蔓延。</w:t>
      </w:r>
    </w:p>
    <w:p>
      <w:pPr>
        <w:pStyle w:val="null3"/>
        <w:ind w:firstLine="420"/>
        <w:jc w:val="both"/>
      </w:pPr>
      <w:r>
        <w:rPr>
          <w:sz w:val="21"/>
          <w:color w:val="000000"/>
        </w:rPr>
        <w:t>1.5科学性与可操作性结合的原则，以实际调查数据为基础，根据实 际需要和投资水平，使用科学的方法，使用设计符合实际，可操作性强。</w:t>
      </w:r>
    </w:p>
    <w:p>
      <w:pPr>
        <w:pStyle w:val="null3"/>
        <w:spacing w:after="120"/>
        <w:ind w:left="420" w:firstLine="442"/>
        <w:jc w:val="both"/>
      </w:pPr>
      <w:r>
        <w:rPr>
          <w:sz w:val="22"/>
          <w:b/>
          <w:color w:val="000000"/>
        </w:rPr>
        <w:t>2.海丰县2025 年林业有害生物防治项目作业设计分为薇甘菊防治、松材线虫病防治和红火蚁重点区域监测防治三个部分。</w:t>
      </w:r>
    </w:p>
    <w:p>
      <w:pPr>
        <w:pStyle w:val="null3"/>
        <w:spacing w:after="120"/>
        <w:ind w:left="420" w:firstLine="442"/>
        <w:jc w:val="both"/>
      </w:pPr>
      <w:r>
        <w:rPr>
          <w:sz w:val="22"/>
          <w:b/>
          <w:color w:val="000000"/>
        </w:rPr>
        <w:t>2.1薇甘菊防治部分：分布主要在梅陇镇、青年水库、城东镇、公平 镇、黄羌镇、陶河镇、赤坑镇和大湖镇等交通道路两侧的荒山、荒地、 田 园等，面积共计3000 亩，防治措施是化学防治和人工割除等。</w:t>
      </w:r>
    </w:p>
    <w:p>
      <w:pPr>
        <w:pStyle w:val="null3"/>
        <w:spacing w:after="120"/>
        <w:ind w:left="420" w:firstLine="442"/>
        <w:jc w:val="both"/>
      </w:pPr>
      <w:r>
        <w:rPr>
          <w:sz w:val="22"/>
          <w:b/>
          <w:color w:val="000000"/>
        </w:rPr>
        <w:t>2.2松材线虫病防治部分：主要分布在梅陇镇、青年水库、海城镇、 公平镇、黄羌镇、平东镇和可塘镇等周边松林，面积共计30000 亩，其中 重点防治区 6296 亩，高度预防区 13509 亩，监测预防区 10195 亩。防治 任务包括全面疫情监测、病死树清理和设置诱捕器综合防治。</w:t>
      </w:r>
    </w:p>
    <w:p>
      <w:pPr>
        <w:pStyle w:val="null3"/>
        <w:spacing w:after="120"/>
        <w:ind w:left="420" w:firstLine="442"/>
        <w:jc w:val="both"/>
      </w:pPr>
      <w:r>
        <w:rPr>
          <w:sz w:val="22"/>
          <w:b/>
          <w:color w:val="000000"/>
        </w:rPr>
        <w:t>2.3红火蚁重点区域监测防治部分：分为调查监测和防治两部分，主要分布于海城镇、附城镇和青年水库等林地范围的村庄、道路、果园、荒坡地和其他经济林地周边实施调查监测并及时采用毒饵诱杀法进行两次 防治。实施防治面积3000 亩，具体实施防治区域位置面积以现场调查发 生点位置为准。</w:t>
      </w:r>
    </w:p>
    <w:p>
      <w:pPr>
        <w:pStyle w:val="null3"/>
      </w:pPr>
      <w:r>
        <w:rPr/>
        <w:t>采购包1（海丰县2025年林业有害生物防治项目）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6个月；</w:t>
            </w:r>
          </w:p>
        </w:tc>
      </w:tr>
      <w:tr>
        <w:tc>
          <w:tcPr>
            <w:tcW w:type="dxa" w:w="4153"/>
          </w:tcPr>
          <w:p>
            <w:pPr>
              <w:pStyle w:val="null3"/>
            </w:pPr>
            <w:r>
              <w:rPr/>
              <w:t>标的提供的地点</w:t>
            </w:r>
          </w:p>
        </w:tc>
        <w:tc>
          <w:tcPr>
            <w:tcW w:type="dxa" w:w="4153"/>
          </w:tcPr>
          <w:p>
            <w:pPr>
              <w:pStyle w:val="null3"/>
            </w:pPr>
            <w:r>
              <w:rPr/>
              <w:t>海丰县</w:t>
            </w:r>
          </w:p>
        </w:tc>
      </w:tr>
      <w:tr>
        <w:tc>
          <w:tcPr>
            <w:tcW w:type="dxa" w:w="4153"/>
          </w:tcPr>
          <w:p>
            <w:pPr>
              <w:pStyle w:val="null3"/>
            </w:pPr>
            <w:r>
              <w:rPr/>
              <w:t>付款方式</w:t>
            </w:r>
          </w:p>
        </w:tc>
        <w:tc>
          <w:tcPr>
            <w:tcW w:type="dxa" w:w="4153"/>
          </w:tcPr>
          <w:p>
            <w:pPr>
              <w:pStyle w:val="null3"/>
            </w:pPr>
            <w:r>
              <w:rPr/>
              <w:t>1期：支付比例15%,成交供应商签订合同后的 7 个工作日，采购人向成交供应商支付合同总金额的15%。</w:t>
            </w:r>
          </w:p>
          <w:p>
            <w:pPr>
              <w:pStyle w:val="null3"/>
            </w:pPr>
            <w:r>
              <w:rPr/>
              <w:t>2期：支付比例65%,工程量完成85%经监理单位确认后，采购人向成交供应商支付合同总金额的65%；付款时间最终以财政拨付的时间为准。</w:t>
            </w:r>
          </w:p>
          <w:p>
            <w:pPr>
              <w:pStyle w:val="null3"/>
            </w:pPr>
            <w:r>
              <w:rPr/>
              <w:t>3期：支付比例20%,工程竣工，经采购人和监理单位验收合格、工程结算完毕后，付清工程款， 付款时，成交供应商应提前向采购人提供相应金额的正式发票。采购人收到成交供应商递交的正式发票后按照政府采购支付流程办理付款申请，付款时间最终以财政拨付的时间为准。 注： 本项目款项以人民币转账方式支付。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1期：(1)验收方式:采购人对成交供应商在施工期间的各项作业随时检查验收，发现问题，要及时纠正，直至项目合格为止方可予以验收。 (2)验收程序:成交供应商应按照项目相关设计文件和有关合同对项目完成情况进行自查。按项目作业设计文件经采购人验收合格，工程具备竣工验收条件的，应及时编制工程竣工验收报告，报请上级林业行政主管部门检查验收。 (3)验收内容:①薇甘菊防治：总面积3000 亩；②松材线虫病防治：30000 亩；清理病死树 2350 株；设置诱捕器 200 套；清理宽 1.6 米人工简 便道路长度 18125 米；③红火蚁重点区域监测防治：面积3000 亩。 (4)验收标准:严格按采购人提供的作业设计、预算审核报告书的要求进行施工，按照设计文件、国家有关技术标准、法律法规、规范和合同规定施工，验收标准按国家规范标准达到合格。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预算金额1153624.88元，其中税前绿色施工安全防护措施费为62056.16元，供应商的报价（每次）报价不得高于最高限价且绿色施工安全防护措施费（税前）不得低于为62056.16元，否则视为无效报价。供应商应按采购文件中列出的项目填报综合单价和合价。计价格式中列明的所有需要填报的单价和合价，供应商均应填报，未填报的单价和合价，视为此项费用已包含在采购文件中列出的项目其他单价或合价中，任何与此有关的工程价款，采购人将不予支付。 （2）报价一律以人民币报价，最终报价被视为供应商的最后报价或中标价，成交供应商的最终投标总价为签订合同价格。在合同有效期内，合同价不受市场价格变化的影响。 （3）报价应以采购人提供的资料和说明、所涉及的规范、标准以及采购文件为依据编制。</w:t>
            </w:r>
          </w:p>
        </w:tc>
      </w:tr>
      <w:tr>
        <w:tc>
          <w:tcPr>
            <w:tcW w:type="dxa" w:w="2076"/>
          </w:tcPr>
          <w:p/>
        </w:tc>
        <w:tc>
          <w:tcPr>
            <w:tcW w:type="dxa" w:w="2076"/>
          </w:tcPr>
          <w:p>
            <w:pPr>
              <w:pStyle w:val="null3"/>
              <w:jc w:val="center"/>
            </w:pPr>
            <w:r>
              <w:rPr/>
              <w:t>2</w:t>
            </w:r>
          </w:p>
        </w:tc>
        <w:tc>
          <w:tcPr>
            <w:tcW w:type="dxa" w:w="2076"/>
          </w:tcPr>
          <w:p>
            <w:pPr>
              <w:pStyle w:val="null3"/>
              <w:jc w:val="left"/>
            </w:pPr>
            <w:r>
              <w:rPr/>
              <w:t>承包范围要求</w:t>
            </w:r>
          </w:p>
        </w:tc>
        <w:tc>
          <w:tcPr>
            <w:tcW w:type="dxa" w:w="2076"/>
          </w:tcPr>
          <w:p>
            <w:pPr>
              <w:pStyle w:val="null3"/>
              <w:jc w:val="left"/>
            </w:pPr>
            <w:r>
              <w:rPr/>
              <w:t>（1）范围包括工程量清单、作业设计所包含的全部工程内容。包人工、材料、机械、工期、质量、安全、文明施工，施工临时用水、用电、通讯设施、验收，包本项目实施中可能出现其它未知因素而产生的费用和相关服务的方式进行总包干。 （2）以采购人提供的《海丰县2025年林业有害生物防治项目预算审核书》所列内容为依据，结算时不作调整。</w:t>
            </w:r>
          </w:p>
        </w:tc>
      </w:tr>
      <w:tr>
        <w:tc>
          <w:tcPr>
            <w:tcW w:type="dxa" w:w="2076"/>
          </w:tcPr>
          <w:p/>
        </w:tc>
        <w:tc>
          <w:tcPr>
            <w:tcW w:type="dxa" w:w="2076"/>
          </w:tcPr>
          <w:p>
            <w:pPr>
              <w:pStyle w:val="null3"/>
              <w:jc w:val="center"/>
            </w:pPr>
            <w:r>
              <w:rPr/>
              <w:t>3</w:t>
            </w:r>
          </w:p>
        </w:tc>
        <w:tc>
          <w:tcPr>
            <w:tcW w:type="dxa" w:w="2076"/>
          </w:tcPr>
          <w:p>
            <w:pPr>
              <w:pStyle w:val="null3"/>
              <w:jc w:val="left"/>
            </w:pPr>
            <w:r>
              <w:rPr/>
              <w:t>工期要求</w:t>
            </w:r>
          </w:p>
        </w:tc>
        <w:tc>
          <w:tcPr>
            <w:tcW w:type="dxa" w:w="2076"/>
          </w:tcPr>
          <w:p>
            <w:pPr>
              <w:pStyle w:val="null3"/>
              <w:jc w:val="left"/>
            </w:pPr>
            <w:r>
              <w:rPr/>
              <w:t xml:space="preserve"> 6个月。因采购人原因及不可抗力的原因造成的工期延误，在得到双方认可的，工期相应顺延，双方办理同意顺延工期手续。注：不可抗力的约定：执行国家有关规定。</w:t>
            </w:r>
          </w:p>
        </w:tc>
      </w:tr>
      <w:tr>
        <w:tc>
          <w:tcPr>
            <w:tcW w:type="dxa" w:w="2076"/>
          </w:tcPr>
          <w:p/>
        </w:tc>
        <w:tc>
          <w:tcPr>
            <w:tcW w:type="dxa" w:w="2076"/>
          </w:tcPr>
          <w:p>
            <w:pPr>
              <w:pStyle w:val="null3"/>
              <w:jc w:val="center"/>
            </w:pPr>
            <w:r>
              <w:rPr/>
              <w:t>4</w:t>
            </w:r>
          </w:p>
        </w:tc>
        <w:tc>
          <w:tcPr>
            <w:tcW w:type="dxa" w:w="2076"/>
          </w:tcPr>
          <w:p>
            <w:pPr>
              <w:pStyle w:val="null3"/>
              <w:jc w:val="left"/>
            </w:pPr>
            <w:r>
              <w:rPr/>
              <w:t>质量要求</w:t>
            </w:r>
          </w:p>
        </w:tc>
        <w:tc>
          <w:tcPr>
            <w:tcW w:type="dxa" w:w="2076"/>
          </w:tcPr>
          <w:p>
            <w:pPr>
              <w:pStyle w:val="null3"/>
              <w:jc w:val="left"/>
            </w:pPr>
            <w:r>
              <w:rPr/>
              <w:t>（1）严格执行防治技术规程，落实各项防治措施，确保防治进度和防治质量。 （2）成交供应商在实施如果不符合要求和有关规定，采购人要求停工和返工时，成交供应商必须立即执行，并承担由此产生的各种费用，工期不予顺延。 （3）防治维护责任：属于维护范围的项目，成交供应商应在接到采购人通知后的1天内派人维护；发生紧急抢修的，成交供应商在接到通知后，应立即赶赴现场进行维护。</w:t>
            </w:r>
          </w:p>
        </w:tc>
      </w:tr>
      <w:tr>
        <w:tc>
          <w:tcPr>
            <w:tcW w:type="dxa" w:w="2076"/>
          </w:tcPr>
          <w:p/>
        </w:tc>
        <w:tc>
          <w:tcPr>
            <w:tcW w:type="dxa" w:w="2076"/>
          </w:tcPr>
          <w:p>
            <w:pPr>
              <w:pStyle w:val="null3"/>
              <w:jc w:val="center"/>
            </w:pPr>
            <w:r>
              <w:rPr/>
              <w:t>5</w:t>
            </w:r>
          </w:p>
        </w:tc>
        <w:tc>
          <w:tcPr>
            <w:tcW w:type="dxa" w:w="2076"/>
          </w:tcPr>
          <w:p>
            <w:pPr>
              <w:pStyle w:val="null3"/>
              <w:jc w:val="left"/>
            </w:pPr>
            <w:r>
              <w:rPr/>
              <w:t>安全文明施工要求</w:t>
            </w:r>
          </w:p>
        </w:tc>
        <w:tc>
          <w:tcPr>
            <w:tcW w:type="dxa" w:w="2076"/>
          </w:tcPr>
          <w:p>
            <w:pPr>
              <w:pStyle w:val="null3"/>
              <w:jc w:val="left"/>
            </w:pPr>
            <w:r>
              <w:rPr/>
              <w:t>按照国家、省、市有关安全文明施工法律法规和强制性标准规定要求执行。</w:t>
            </w:r>
          </w:p>
        </w:tc>
      </w:tr>
      <w:tr>
        <w:tc>
          <w:tcPr>
            <w:tcW w:type="dxa" w:w="2076"/>
          </w:tcPr>
          <w:p/>
        </w:tc>
        <w:tc>
          <w:tcPr>
            <w:tcW w:type="dxa" w:w="2076"/>
          </w:tcPr>
          <w:p>
            <w:pPr>
              <w:pStyle w:val="null3"/>
              <w:jc w:val="center"/>
            </w:pPr>
            <w:r>
              <w:rPr/>
              <w:t>6</w:t>
            </w:r>
          </w:p>
        </w:tc>
        <w:tc>
          <w:tcPr>
            <w:tcW w:type="dxa" w:w="2076"/>
          </w:tcPr>
          <w:p>
            <w:pPr>
              <w:pStyle w:val="null3"/>
              <w:jc w:val="left"/>
            </w:pPr>
            <w:r>
              <w:rPr/>
              <w:t>合同要求</w:t>
            </w:r>
          </w:p>
        </w:tc>
        <w:tc>
          <w:tcPr>
            <w:tcW w:type="dxa" w:w="2076"/>
          </w:tcPr>
          <w:p>
            <w:pPr>
              <w:pStyle w:val="null3"/>
              <w:jc w:val="left"/>
            </w:pPr>
            <w:r>
              <w:rPr/>
              <w:t>采购人与中标、成交供应商自中标通知书发出之日起十日内，按采购文件要求和成交供应商响应文件承诺签订政府采购合同，但不得超出磋商文件和成交供应商响应文件的范围、也不得再行订立背离合同实质性内容的其他协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海丰县2025年林业有害生物防治项目</w:t>
            </w:r>
          </w:p>
        </w:tc>
        <w:tc>
          <w:tcPr>
            <w:tcW w:type="dxa" w:w="933"/>
          </w:tcPr>
          <w:p>
            <w:pPr>
              <w:pStyle w:val="null3"/>
              <w:jc w:val="left"/>
            </w:pPr>
            <w:r>
              <w:rPr/>
              <w:t>宗</w:t>
            </w:r>
          </w:p>
        </w:tc>
        <w:tc>
          <w:tcPr>
            <w:tcW w:type="dxa" w:w="933"/>
          </w:tcPr>
          <w:p>
            <w:pPr>
              <w:pStyle w:val="null3"/>
              <w:jc w:val="right"/>
            </w:pPr>
            <w:r>
              <w:rPr/>
              <w:t>1.00</w:t>
            </w:r>
          </w:p>
        </w:tc>
        <w:tc>
          <w:tcPr>
            <w:tcW w:type="dxa" w:w="933"/>
          </w:tcPr>
          <w:p>
            <w:pPr>
              <w:pStyle w:val="null3"/>
              <w:jc w:val="right"/>
            </w:pPr>
            <w:r>
              <w:rPr/>
              <w:t>1,153,624.88</w:t>
            </w:r>
          </w:p>
        </w:tc>
        <w:tc>
          <w:tcPr>
            <w:tcW w:type="dxa" w:w="933"/>
          </w:tcPr>
          <w:p>
            <w:pPr>
              <w:pStyle w:val="null3"/>
              <w:jc w:val="right"/>
            </w:pPr>
            <w:r>
              <w:rPr/>
              <w:t>1,153,624.88</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海丰县2025年林业有害生物防治项目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numPr>
                <w:ilvl w:val="0"/>
                <w:numId w:val="1"/>
              </w:numPr>
              <w:jc w:val="both"/>
            </w:pPr>
            <w:r>
              <w:rPr>
                <w:sz w:val="22"/>
                <w:color w:val="000000"/>
              </w:rPr>
              <w:t>1.工作依据</w:t>
            </w:r>
          </w:p>
          <w:p>
            <w:pPr>
              <w:pStyle w:val="null3"/>
              <w:numPr>
                <w:ilvl w:val="0"/>
                <w:numId w:val="1"/>
              </w:numPr>
              <w:jc w:val="both"/>
            </w:pPr>
            <w:r>
              <w:rPr>
                <w:sz w:val="22"/>
                <w:color w:val="000000"/>
              </w:rPr>
              <w:t>广东省人民政府办公厅关于进一步加强林业有害生物防治工作的通知（粤府办明电【</w:t>
            </w:r>
            <w:r>
              <w:rPr>
                <w:sz w:val="22"/>
                <w:color w:val="000000"/>
              </w:rPr>
              <w:t>2015】166号）；</w:t>
            </w:r>
          </w:p>
          <w:p>
            <w:pPr>
              <w:pStyle w:val="null3"/>
              <w:numPr>
                <w:ilvl w:val="0"/>
                <w:numId w:val="1"/>
              </w:numPr>
              <w:jc w:val="both"/>
            </w:pPr>
            <w:r>
              <w:rPr>
                <w:sz w:val="22"/>
                <w:color w:val="000000"/>
              </w:rPr>
              <w:t>国家林业和草原局《松材线虫病防治技术方案》林生发〔</w:t>
            </w:r>
            <w:r>
              <w:rPr>
                <w:sz w:val="22"/>
                <w:color w:val="000000"/>
              </w:rPr>
              <w:t>2018〕110号；</w:t>
            </w:r>
          </w:p>
          <w:p>
            <w:pPr>
              <w:pStyle w:val="null3"/>
              <w:numPr>
                <w:ilvl w:val="0"/>
                <w:numId w:val="1"/>
              </w:numPr>
              <w:jc w:val="both"/>
            </w:pPr>
            <w:r>
              <w:rPr>
                <w:sz w:val="22"/>
                <w:color w:val="000000"/>
              </w:rPr>
              <w:t>《广东省森林病虫害防治实施办法》；</w:t>
            </w:r>
          </w:p>
          <w:p>
            <w:pPr>
              <w:pStyle w:val="null3"/>
              <w:numPr>
                <w:ilvl w:val="0"/>
                <w:numId w:val="1"/>
              </w:numPr>
              <w:jc w:val="both"/>
            </w:pPr>
            <w:r>
              <w:rPr>
                <w:sz w:val="22"/>
                <w:color w:val="000000"/>
              </w:rPr>
              <w:t>松材线虫病检疫技术（林业行业技术标准</w:t>
            </w:r>
            <w:r>
              <w:rPr>
                <w:sz w:val="22"/>
                <w:color w:val="000000"/>
              </w:rPr>
              <w:t>LY/T1123-93）；</w:t>
            </w:r>
          </w:p>
          <w:p>
            <w:pPr>
              <w:pStyle w:val="null3"/>
              <w:numPr>
                <w:ilvl w:val="0"/>
                <w:numId w:val="1"/>
              </w:numPr>
              <w:jc w:val="both"/>
            </w:pPr>
            <w:r>
              <w:rPr>
                <w:sz w:val="22"/>
                <w:color w:val="000000"/>
              </w:rPr>
              <w:t>薇甘菊防治技术规程（</w:t>
            </w:r>
            <w:r>
              <w:rPr>
                <w:sz w:val="22"/>
                <w:color w:val="000000"/>
              </w:rPr>
              <w:t>NY/T2422-2015）；</w:t>
            </w:r>
          </w:p>
          <w:p>
            <w:pPr>
              <w:pStyle w:val="null3"/>
              <w:numPr>
                <w:ilvl w:val="0"/>
                <w:numId w:val="1"/>
              </w:numPr>
              <w:jc w:val="both"/>
            </w:pPr>
            <w:r>
              <w:rPr>
                <w:sz w:val="22"/>
                <w:color w:val="000000"/>
              </w:rPr>
              <w:t>薇甘菊检疫鉴定方法（</w:t>
            </w:r>
            <w:r>
              <w:rPr>
                <w:sz w:val="22"/>
                <w:color w:val="000000"/>
              </w:rPr>
              <w:t>GB/T28109-2011）；</w:t>
            </w:r>
          </w:p>
          <w:p>
            <w:pPr>
              <w:pStyle w:val="null3"/>
              <w:numPr>
                <w:ilvl w:val="0"/>
                <w:numId w:val="1"/>
              </w:numPr>
              <w:jc w:val="both"/>
            </w:pPr>
            <w:r>
              <w:rPr>
                <w:sz w:val="22"/>
                <w:color w:val="000000"/>
              </w:rPr>
              <w:t>林业有害生物发生及成灾标准（</w:t>
            </w:r>
            <w:r>
              <w:rPr>
                <w:sz w:val="22"/>
                <w:color w:val="000000"/>
              </w:rPr>
              <w:t>LY/T1681-2006）；</w:t>
            </w:r>
          </w:p>
          <w:p>
            <w:pPr>
              <w:pStyle w:val="null3"/>
              <w:numPr>
                <w:ilvl w:val="0"/>
                <w:numId w:val="1"/>
              </w:numPr>
              <w:jc w:val="both"/>
            </w:pPr>
            <w:r>
              <w:rPr>
                <w:sz w:val="22"/>
                <w:color w:val="000000"/>
              </w:rPr>
              <w:t>《红火蚁疫情监测规程》（</w:t>
            </w:r>
            <w:r>
              <w:rPr>
                <w:sz w:val="22"/>
                <w:color w:val="000000"/>
              </w:rPr>
              <w:t>GB/T 23626—2009）；</w:t>
            </w:r>
          </w:p>
          <w:p>
            <w:pPr>
              <w:pStyle w:val="null3"/>
              <w:numPr>
                <w:ilvl w:val="0"/>
                <w:numId w:val="1"/>
              </w:numPr>
              <w:jc w:val="both"/>
            </w:pPr>
            <w:r>
              <w:rPr>
                <w:sz w:val="22"/>
                <w:color w:val="000000"/>
              </w:rPr>
              <w:t>《广东省农业厅红火蚁发生点、监测区范围划定和管理办法》粤农〔</w:t>
            </w:r>
            <w:r>
              <w:rPr>
                <w:sz w:val="22"/>
                <w:color w:val="000000"/>
              </w:rPr>
              <w:t>2013〕25号；</w:t>
            </w:r>
          </w:p>
          <w:p>
            <w:pPr>
              <w:pStyle w:val="null3"/>
              <w:numPr>
                <w:ilvl w:val="0"/>
                <w:numId w:val="1"/>
              </w:numPr>
              <w:jc w:val="both"/>
            </w:pPr>
            <w:r>
              <w:rPr>
                <w:sz w:val="22"/>
                <w:color w:val="000000"/>
              </w:rPr>
              <w:t>《红火蚁化学防控技术规程》（</w:t>
            </w:r>
            <w:r>
              <w:rPr>
                <w:sz w:val="22"/>
                <w:color w:val="000000"/>
              </w:rPr>
              <w:t>NY/T 2415一2013）；</w:t>
            </w:r>
          </w:p>
        </w:tc>
      </w:tr>
      <w:tr>
        <w:tc>
          <w:tcPr>
            <w:tcW w:type="dxa" w:w="2076"/>
          </w:tcPr>
          <w:p/>
        </w:tc>
        <w:tc>
          <w:tcPr>
            <w:tcW w:type="dxa" w:w="415"/>
          </w:tcPr>
          <w:p>
            <w:pPr>
              <w:pStyle w:val="null3"/>
            </w:pPr>
            <w:r>
              <w:rPr/>
              <w:t>2</w:t>
            </w:r>
          </w:p>
        </w:tc>
        <w:tc>
          <w:tcPr>
            <w:tcW w:type="dxa" w:w="5814"/>
          </w:tcPr>
          <w:p>
            <w:pPr>
              <w:pStyle w:val="null3"/>
              <w:jc w:val="both"/>
            </w:pPr>
            <w:r>
              <w:rPr>
                <w:sz w:val="22"/>
                <w:b/>
                <w:color w:val="000000"/>
              </w:rPr>
              <w:t>2.项目内容</w:t>
            </w:r>
          </w:p>
          <w:p>
            <w:pPr>
              <w:pStyle w:val="null3"/>
              <w:ind w:firstLine="220"/>
              <w:jc w:val="both"/>
            </w:pPr>
            <w:r>
              <w:rPr>
                <w:sz w:val="22"/>
                <w:color w:val="000000"/>
              </w:rPr>
              <w:t>2.1薇甘菊防治部分</w:t>
            </w:r>
          </w:p>
          <w:p>
            <w:pPr>
              <w:pStyle w:val="null3"/>
              <w:ind w:firstLine="220"/>
              <w:jc w:val="both"/>
            </w:pPr>
            <w:r>
              <w:rPr>
                <w:sz w:val="22"/>
                <w:color w:val="000000"/>
              </w:rPr>
              <w:t>²主要分布在梅陇镇、青年水库、城东镇、公平镇、黄羌镇、陶河镇、 赤坑镇和大湖镇等交通道路两侧和 荒山、荒地、 田园等，分为旧发区轻 度发生危害程度面积 1910 亩，中度发生危害程度面积 1090 亩，总面积3000 亩。</w:t>
            </w:r>
          </w:p>
          <w:p>
            <w:pPr>
              <w:pStyle w:val="null3"/>
              <w:ind w:firstLine="220"/>
              <w:jc w:val="both"/>
            </w:pPr>
            <w:r>
              <w:rPr>
                <w:sz w:val="22"/>
                <w:color w:val="000000"/>
              </w:rPr>
              <w:t>2.2松材线虫病预防和防治部分</w:t>
            </w:r>
          </w:p>
          <w:p>
            <w:pPr>
              <w:pStyle w:val="null3"/>
              <w:ind w:firstLine="440"/>
              <w:jc w:val="both"/>
            </w:pPr>
            <w:r>
              <w:rPr>
                <w:sz w:val="22"/>
                <w:color w:val="000000"/>
              </w:rPr>
              <w:t>主要分布在梅陇镇、青年水库、海城镇、红花地水库、公平镇、黄羌</w:t>
            </w:r>
            <w:r>
              <w:rPr>
                <w:sz w:val="22"/>
                <w:color w:val="000000"/>
              </w:rPr>
              <w:t>镇、平东镇和可塘镇等周边松林，面积共计</w:t>
            </w:r>
            <w:r>
              <w:rPr>
                <w:sz w:val="22"/>
                <w:color w:val="000000"/>
              </w:rPr>
              <w:t>30000 亩，其中重点防治区6296 亩，高度预防区 13509 亩，监测预防区 10195 亩。防治任务包括疫情监测 30000 亩；清理病死树 2350 株；设置诱捕器 200 套；清理宽 1.6 米人工简 便道路长度 18125 米。</w:t>
            </w:r>
          </w:p>
          <w:p>
            <w:pPr>
              <w:pStyle w:val="null3"/>
              <w:ind w:firstLine="220"/>
              <w:jc w:val="both"/>
            </w:pPr>
            <w:r>
              <w:rPr>
                <w:sz w:val="22"/>
                <w:color w:val="000000"/>
              </w:rPr>
              <w:t>2.3红火蚁重点区域监测防治部分</w:t>
            </w:r>
          </w:p>
          <w:p>
            <w:pPr>
              <w:pStyle w:val="null3"/>
              <w:ind w:firstLine="440"/>
              <w:jc w:val="both"/>
            </w:pPr>
            <w:r>
              <w:rPr>
                <w:sz w:val="22"/>
                <w:color w:val="000000"/>
              </w:rPr>
              <w:t>主要分布于海城镇、附城镇和青年水库等林地的村庄、道路、果园、</w:t>
            </w:r>
            <w:r>
              <w:rPr>
                <w:sz w:val="22"/>
                <w:color w:val="000000"/>
              </w:rPr>
              <w:t>荒坡地和其他经济林地周边，防治面积</w:t>
            </w:r>
            <w:r>
              <w:rPr>
                <w:sz w:val="22"/>
                <w:color w:val="000000"/>
              </w:rPr>
              <w:t>3000 亩。主要工作是于防治范围 内调查监测和进行化学防治两次，并绘制发生点监测防治范围图面积并标 注有效蚁巢发生点位置。</w:t>
            </w:r>
          </w:p>
        </w:tc>
      </w:tr>
      <w:tr>
        <w:tc>
          <w:tcPr>
            <w:tcW w:type="dxa" w:w="2076"/>
          </w:tcPr>
          <w:p/>
        </w:tc>
        <w:tc>
          <w:tcPr>
            <w:tcW w:type="dxa" w:w="415"/>
          </w:tcPr>
          <w:p>
            <w:pPr>
              <w:pStyle w:val="null3"/>
            </w:pPr>
            <w:r>
              <w:rPr/>
              <w:t>3</w:t>
            </w:r>
          </w:p>
        </w:tc>
        <w:tc>
          <w:tcPr>
            <w:tcW w:type="dxa" w:w="5814"/>
          </w:tcPr>
          <w:p>
            <w:pPr>
              <w:pStyle w:val="null3"/>
              <w:jc w:val="both"/>
            </w:pPr>
            <w:r>
              <w:rPr>
                <w:sz w:val="22"/>
                <w:b/>
                <w:color w:val="000000"/>
              </w:rPr>
              <w:t>3.工程量</w:t>
            </w:r>
          </w:p>
          <w:p>
            <w:pPr>
              <w:pStyle w:val="null3"/>
              <w:ind w:firstLine="211"/>
              <w:jc w:val="both"/>
            </w:pPr>
            <w:r>
              <w:rPr>
                <w:sz w:val="21"/>
                <w:b/>
                <w:color w:val="000000"/>
              </w:rPr>
              <w:t>3.1</w:t>
            </w:r>
            <w:r>
              <w:rPr>
                <w:sz w:val="21"/>
                <w:b/>
                <w:color w:val="000000"/>
              </w:rPr>
              <w:t>薇甘菊化学防治：</w:t>
            </w:r>
            <w:r>
              <w:rPr>
                <w:sz w:val="21"/>
                <w:color w:val="000000"/>
              </w:rPr>
              <w:t>防治面积</w:t>
            </w:r>
            <w:r>
              <w:rPr>
                <w:sz w:val="21"/>
                <w:color w:val="000000"/>
              </w:rPr>
              <w:t>3000 亩。化学防治使用药剂（按紫薇清计算）需要 261.8L ，兑水 396330L。</w:t>
            </w:r>
          </w:p>
          <w:p>
            <w:pPr>
              <w:pStyle w:val="null3"/>
              <w:ind w:firstLine="211"/>
              <w:jc w:val="both"/>
            </w:pPr>
            <w:r>
              <w:rPr>
                <w:sz w:val="21"/>
                <w:b/>
                <w:color w:val="000000"/>
              </w:rPr>
              <w:t>3.2松材线虫病防治：</w:t>
            </w:r>
            <w:r>
              <w:rPr>
                <w:sz w:val="21"/>
                <w:color w:val="000000"/>
              </w:rPr>
              <w:t>防治面积</w:t>
            </w:r>
            <w:r>
              <w:rPr>
                <w:sz w:val="21"/>
                <w:color w:val="000000"/>
              </w:rPr>
              <w:t>30000 亩。需用ZM-60  型松褐天牛诱捕器 200 套及松 褐天牛引诱剂APF-I 持久型 1200 小包（引诱剂每小包约60g，每个月更换1 次引诱剂和收集松楬天牛成虫 2 次）。</w:t>
            </w:r>
          </w:p>
          <w:p>
            <w:pPr>
              <w:pStyle w:val="null3"/>
              <w:spacing w:before="150" w:after="150"/>
              <w:ind w:firstLine="211"/>
              <w:jc w:val="both"/>
            </w:pPr>
            <w:r>
              <w:rPr>
                <w:sz w:val="21"/>
                <w:b/>
                <w:color w:val="000000"/>
              </w:rPr>
              <w:t>3.3红火蚁防治：</w:t>
            </w:r>
            <w:r>
              <w:rPr>
                <w:sz w:val="21"/>
                <w:color w:val="000000"/>
              </w:rPr>
              <w:t>防治面积</w:t>
            </w:r>
            <w:r>
              <w:rPr>
                <w:sz w:val="21"/>
                <w:color w:val="000000"/>
              </w:rPr>
              <w:t>3000 亩，按要求进行调查监测并 采取毒饵诱杀法在防治区进行两次防治工作。使用药剂0.05%茚虫威饵剂 使用量按撒施毒饵面积（总实施面积 20%计算）估算，实施两次约需 150kg； 需工作运输车辆（人货车）50 台班；聘请专业调查防治人员 5 人，时间6 个月。</w:t>
            </w:r>
          </w:p>
          <w:tbl>
            <w:tblPr>
              <w:tblBorders>
                <w:top w:val="none" w:color="000000" w:sz="4"/>
                <w:left w:val="none" w:color="000000" w:sz="4"/>
                <w:bottom w:val="none" w:color="000000" w:sz="4"/>
                <w:right w:val="none" w:color="000000" w:sz="4"/>
                <w:insideH w:val="none"/>
                <w:insideV w:val="none"/>
              </w:tblBorders>
            </w:tblPr>
            <w:tblGrid>
              <w:gridCol w:w="270"/>
              <w:gridCol w:w="594"/>
              <w:gridCol w:w="495"/>
              <w:gridCol w:w="531"/>
              <w:gridCol w:w="631"/>
              <w:gridCol w:w="612"/>
              <w:gridCol w:w="576"/>
              <w:gridCol w:w="730"/>
              <w:gridCol w:w="576"/>
              <w:gridCol w:w="549"/>
            </w:tblGrid>
            <w:tr>
              <w:tc>
                <w:tcPr>
                  <w:tcW w:type="dxa" w:w="27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5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w:t>
                  </w:r>
                </w:p>
              </w:tc>
              <w:tc>
                <w:tcPr>
                  <w:tcW w:type="dxa" w:w="4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面积（亩）</w:t>
                  </w:r>
                </w:p>
              </w:tc>
              <w:tc>
                <w:tcPr>
                  <w:tcW w:type="dxa" w:w="11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薇甘菊防治</w:t>
                  </w:r>
                </w:p>
                <w:p>
                  <w:pPr>
                    <w:pStyle w:val="null3"/>
                    <w:jc w:val="center"/>
                  </w:pPr>
                  <w:r>
                    <w:rPr>
                      <w:sz w:val="24"/>
                      <w:b/>
                      <w:color w:val="000000"/>
                    </w:rPr>
                    <w:t>药剂（</w:t>
                  </w:r>
                  <w:r>
                    <w:rPr>
                      <w:sz w:val="24"/>
                      <w:b/>
                      <w:color w:val="000000"/>
                    </w:rPr>
                    <w:t>L</w:t>
                  </w:r>
                  <w:r>
                    <w:rPr>
                      <w:sz w:val="24"/>
                      <w:b/>
                      <w:color w:val="000000"/>
                    </w:rPr>
                    <w:t>）</w:t>
                  </w:r>
                </w:p>
              </w:tc>
              <w:tc>
                <w:tcPr>
                  <w:tcW w:type="dxa" w:w="118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松材线虫病防治</w:t>
                  </w:r>
                </w:p>
                <w:p>
                  <w:pPr>
                    <w:pStyle w:val="null3"/>
                    <w:jc w:val="center"/>
                  </w:pPr>
                  <w:r>
                    <w:rPr>
                      <w:sz w:val="24"/>
                      <w:b/>
                      <w:color w:val="000000"/>
                    </w:rPr>
                    <w:t>诱捕器</w:t>
                  </w:r>
                </w:p>
              </w:tc>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红火蚁</w:t>
                  </w:r>
                </w:p>
                <w:p>
                  <w:pPr>
                    <w:pStyle w:val="null3"/>
                    <w:jc w:val="center"/>
                  </w:pPr>
                  <w:r>
                    <w:rPr>
                      <w:sz w:val="24"/>
                      <w:b/>
                      <w:color w:val="000000"/>
                    </w:rPr>
                    <w:t>防治</w:t>
                  </w:r>
                </w:p>
              </w:tc>
              <w:tc>
                <w:tcPr>
                  <w:tcW w:type="dxa" w:w="5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工作</w:t>
                  </w:r>
                </w:p>
                <w:p>
                  <w:pPr>
                    <w:pStyle w:val="null3"/>
                    <w:jc w:val="center"/>
                  </w:pPr>
                  <w:r>
                    <w:rPr>
                      <w:sz w:val="24"/>
                      <w:b/>
                      <w:color w:val="000000"/>
                    </w:rPr>
                    <w:t>车辆</w:t>
                  </w:r>
                </w:p>
                <w:p>
                  <w:pPr>
                    <w:pStyle w:val="null3"/>
                    <w:jc w:val="center"/>
                  </w:pPr>
                  <w:r>
                    <w:rPr>
                      <w:sz w:val="21"/>
                      <w:b/>
                      <w:color w:val="000000"/>
                    </w:rPr>
                    <w:t>（台班）</w:t>
                  </w:r>
                </w:p>
              </w:tc>
              <w:tc>
                <w:tcPr>
                  <w:tcW w:type="dxa" w:w="5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270"/>
                  <w:vMerge/>
                  <w:tcBorders>
                    <w:top w:val="single" w:color="000000" w:sz="4"/>
                    <w:left w:val="single" w:color="000000" w:sz="4"/>
                    <w:bottom w:val="single" w:color="000000" w:sz="4"/>
                    <w:right w:val="single" w:color="000000" w:sz="4"/>
                  </w:tcBorders>
                </w:tcPr>
                <w:p/>
              </w:tc>
              <w:tc>
                <w:tcPr>
                  <w:tcW w:type="dxa" w:w="594"/>
                  <w:vMerge/>
                  <w:tcBorders>
                    <w:top w:val="single" w:color="000000" w:sz="4"/>
                    <w:left w:val="single" w:color="000000" w:sz="4"/>
                    <w:bottom w:val="single" w:color="000000" w:sz="4"/>
                    <w:right w:val="single" w:color="000000" w:sz="4"/>
                  </w:tcBorders>
                </w:tcPr>
                <w:p/>
              </w:tc>
              <w:tc>
                <w:tcPr>
                  <w:tcW w:type="dxa" w:w="495"/>
                  <w:vMerge/>
                  <w:tcBorders>
                    <w:top w:val="single" w:color="000000" w:sz="4"/>
                    <w:left w:val="single" w:color="000000" w:sz="4"/>
                    <w:bottom w:val="single" w:color="000000" w:sz="4"/>
                    <w:right w:val="single" w:color="000000" w:sz="4"/>
                  </w:tcBorders>
                </w:tcP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紫薇清</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兑水</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ZM-60 型诱捕器（套）</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APF-I型引诱剂（包）</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0.</w:t>
                  </w:r>
                  <w:r>
                    <w:rPr>
                      <w:sz w:val="24"/>
                      <w:b/>
                      <w:color w:val="000000"/>
                    </w:rPr>
                    <w:t>05</w:t>
                  </w:r>
                  <w:r>
                    <w:rPr>
                      <w:sz w:val="24"/>
                      <w:b/>
                      <w:color w:val="000000"/>
                    </w:rPr>
                    <w:t>%茚虫威饵剂（</w:t>
                  </w:r>
                  <w:r>
                    <w:rPr>
                      <w:sz w:val="24"/>
                      <w:b/>
                      <w:color w:val="000000"/>
                    </w:rPr>
                    <w:t>kg</w:t>
                  </w:r>
                  <w:r>
                    <w:rPr>
                      <w:sz w:val="24"/>
                      <w:b/>
                      <w:color w:val="000000"/>
                    </w:rPr>
                    <w:t>）</w:t>
                  </w:r>
                </w:p>
              </w:tc>
              <w:tc>
                <w:tcPr>
                  <w:tcW w:type="dxa" w:w="576"/>
                  <w:vMerge/>
                  <w:tcBorders>
                    <w:top w:val="single" w:color="000000" w:sz="4"/>
                    <w:left w:val="single" w:color="000000" w:sz="4"/>
                    <w:bottom w:val="single" w:color="000000" w:sz="4"/>
                    <w:right w:val="single" w:color="000000" w:sz="4"/>
                  </w:tcBorders>
                </w:tcPr>
                <w:p/>
              </w:tc>
              <w:tc>
                <w:tcPr>
                  <w:tcW w:type="dxa" w:w="549"/>
                  <w:vMerge/>
                  <w:tcBorders>
                    <w:top w:val="singl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薇甘菊</w:t>
                  </w:r>
                </w:p>
                <w:p>
                  <w:pPr>
                    <w:pStyle w:val="null3"/>
                    <w:jc w:val="center"/>
                  </w:pPr>
                  <w:r>
                    <w:rPr>
                      <w:sz w:val="24"/>
                      <w:b/>
                      <w:color w:val="000000"/>
                    </w:rPr>
                    <w:t>防治</w:t>
                  </w:r>
                </w:p>
                <w:p>
                  <w:pPr>
                    <w:pStyle w:val="null3"/>
                    <w:jc w:val="center"/>
                  </w:pPr>
                  <w:r>
                    <w:rPr>
                      <w:sz w:val="24"/>
                      <w:b/>
                      <w:color w:val="000000"/>
                    </w:rPr>
                    <w:t>部分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261.8</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396330</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松材线虫病防治部分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200</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1200</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红火蚁监测防治部分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150</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120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合计</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31000</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240</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360000</w:t>
                  </w:r>
                </w:p>
              </w:tc>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100</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600</w:t>
                  </w:r>
                </w:p>
              </w:tc>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400</w:t>
                  </w: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120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spacing w:before="150" w:after="150"/>
              <w:ind w:firstLine="221"/>
              <w:jc w:val="both"/>
            </w:pPr>
            <w:r>
              <w:rPr>
                <w:sz w:val="22"/>
                <w:b/>
                <w:color w:val="000000"/>
              </w:rPr>
              <w:t>4.项目防治、监测技术措施要求</w:t>
            </w:r>
          </w:p>
          <w:p>
            <w:pPr>
              <w:pStyle w:val="null3"/>
              <w:ind w:firstLine="422"/>
              <w:jc w:val="both"/>
            </w:pPr>
            <w:r>
              <w:rPr>
                <w:sz w:val="21"/>
                <w:b/>
                <w:color w:val="000000"/>
              </w:rPr>
              <w:t>4.1薇甘菊防治部分</w:t>
            </w:r>
            <w:r>
              <w:rPr>
                <w:sz w:val="21"/>
                <w:color w:val="000000"/>
              </w:rPr>
              <w:t>对成片发生的薇甘菊，采取化学防治措施结合人工割除进行控制。化学防治的药剂选择主要是内吸性除草剂，要求选用安全、低毒和对环境污染小的药物。</w:t>
            </w:r>
          </w:p>
          <w:p>
            <w:pPr>
              <w:pStyle w:val="null3"/>
              <w:ind w:firstLine="630"/>
              <w:jc w:val="both"/>
            </w:pPr>
            <w:r>
              <w:rPr>
                <w:sz w:val="21"/>
                <w:color w:val="000000"/>
              </w:rPr>
              <w:t>（</w:t>
            </w:r>
            <w:r>
              <w:rPr>
                <w:sz w:val="21"/>
                <w:color w:val="000000"/>
              </w:rPr>
              <w:t>1）化学防治喷施方法</w:t>
            </w:r>
          </w:p>
          <w:p>
            <w:pPr>
              <w:pStyle w:val="null3"/>
              <w:ind w:firstLine="630"/>
              <w:jc w:val="both"/>
            </w:pPr>
            <w:r>
              <w:rPr>
                <w:sz w:val="21"/>
                <w:color w:val="000000"/>
              </w:rPr>
              <w:t>采用机动高压喷雾机结合手动喷雾器进行防治。在薇甘菊生长季节，做好安全防护措施后，按说明书配好药物，于晴天施工喷药，注意按照推荐浓度使用，被薇甘菊浓密覆盖的树木，用喷枪从覆盖层由内向外均匀喷洒在薇甘菊上，避免直接喷施在树木等其他植物的叶子上，以免出现药害。要求雾点细、均匀，喷至薇甘菊茎叶完全湿透，见叶片有药液滴落为佳，按施工图位置喷施到位（如施工图与薇甘菊实际生长位置有偏差时，以实际为准），喷淋十五天后检查喷淋结果，如发现有错漏，及时补喷，直到全部完成。在零星不适宜化学防治的地方（如果树等），运用人工割除方法进行清除。使防治区的薇甘菊覆盖率</w:t>
            </w:r>
            <w:r>
              <w:rPr>
                <w:sz w:val="21"/>
                <w:color w:val="000000"/>
              </w:rPr>
              <w:t>≦5%。</w:t>
            </w:r>
          </w:p>
          <w:p>
            <w:pPr>
              <w:pStyle w:val="null3"/>
              <w:ind w:firstLine="630"/>
              <w:jc w:val="both"/>
            </w:pPr>
            <w:r>
              <w:rPr>
                <w:sz w:val="21"/>
                <w:color w:val="000000"/>
              </w:rPr>
              <w:t>（</w:t>
            </w:r>
            <w:r>
              <w:rPr>
                <w:sz w:val="21"/>
                <w:color w:val="000000"/>
              </w:rPr>
              <w:t>2）化学药剂选择</w:t>
            </w:r>
          </w:p>
          <w:p>
            <w:pPr>
              <w:pStyle w:val="null3"/>
              <w:ind w:firstLine="420"/>
              <w:jc w:val="both"/>
            </w:pPr>
            <w:r>
              <w:rPr>
                <w:sz w:val="21"/>
                <w:color w:val="000000"/>
              </w:rPr>
              <w:t>根据近几年薇甘菊除治经验和方法，推荐药剂使用主要是紫薇清（</w:t>
            </w:r>
            <w:r>
              <w:rPr>
                <w:sz w:val="21"/>
                <w:color w:val="000000"/>
              </w:rPr>
              <w:t>24%滴酸·二氯吡水剂）和41%草甘膦。本项目药剂使用主要是紫薇清（24%滴酸·二氯吡水剂），草甘膦为备.选药剂。</w:t>
            </w:r>
          </w:p>
          <w:p>
            <w:pPr>
              <w:pStyle w:val="null3"/>
              <w:numPr>
                <w:ilvl w:val="0"/>
                <w:numId w:val="1"/>
              </w:numPr>
              <w:jc w:val="both"/>
            </w:pPr>
            <w:r>
              <w:rPr>
                <w:sz w:val="21"/>
                <w:color w:val="000000"/>
              </w:rPr>
              <w:t>紫薇清（</w:t>
            </w:r>
            <w:r>
              <w:rPr>
                <w:sz w:val="21"/>
                <w:color w:val="000000"/>
              </w:rPr>
              <w:t>24%滴酸·二氯吡水剂）使用技术方法：紫薇清（24%滴酸·二氯吡水剂）是一种植物激素类除草剂，喷施后易通过薇甘菊根、茎、叶吸收传导，内吸性、选择性较强，不杀灭禾本科杂草，对人、畜、水生生物、鸟类等无安全隐患，药剂成本较低，持续控制效果较好，可用于林地、荒地、水源地、果园、道路沿线等地薇甘菊防除。每亩紫薇清（24%滴酸·二氯吡水剂）用量80-120ml，兑水120-180L,斜坡地、薇甘菊覆盖度高的地域可适当加大喷药量，雨水多季节，地表比较湿的林地不要喷药，以免造成药害，要等2-3天地表比较干的时候再进行喷施。</w:t>
            </w:r>
          </w:p>
          <w:p>
            <w:pPr>
              <w:pStyle w:val="null3"/>
              <w:numPr>
                <w:ilvl w:val="0"/>
                <w:numId w:val="1"/>
              </w:numPr>
              <w:jc w:val="both"/>
            </w:pPr>
            <w:r>
              <w:rPr>
                <w:sz w:val="21"/>
                <w:color w:val="000000"/>
              </w:rPr>
              <w:t>41%草甘膦：草甘膦虽为灭生性除草剂，但在土壤中容易被吸附失去活性，对土壤的影响较小，对其它动物的毒性低，使用较安全，而且见效快，防治成本低。用水稀释至100-200倍,每亩用药750-1500ml，兑水150L喷施。</w:t>
            </w:r>
          </w:p>
          <w:p>
            <w:pPr>
              <w:pStyle w:val="null3"/>
              <w:ind w:firstLine="420"/>
              <w:jc w:val="both"/>
            </w:pPr>
            <w:r>
              <w:rPr>
                <w:sz w:val="21"/>
                <w:color w:val="000000"/>
              </w:rPr>
              <w:t>（</w:t>
            </w:r>
            <w:r>
              <w:rPr>
                <w:sz w:val="21"/>
                <w:color w:val="000000"/>
              </w:rPr>
              <w:t>3</w:t>
            </w:r>
            <w:r>
              <w:rPr>
                <w:sz w:val="21"/>
                <w:color w:val="000000"/>
              </w:rPr>
              <w:t>）</w:t>
            </w:r>
            <w:r>
              <w:rPr>
                <w:sz w:val="21"/>
                <w:color w:val="000000"/>
              </w:rPr>
              <w:t>喷雾器械选择，推荐使用背负式机动喷雾器。背负式机动喷雾器喷施药剂较细较均匀，喷施效果较好。</w:t>
            </w:r>
          </w:p>
          <w:p>
            <w:pPr>
              <w:pStyle w:val="null3"/>
              <w:jc w:val="both"/>
            </w:pPr>
            <w:r>
              <w:rPr>
                <w:sz w:val="21"/>
                <w:color w:val="000000"/>
              </w:rPr>
              <w:t>（</w:t>
            </w:r>
            <w:r>
              <w:rPr>
                <w:sz w:val="21"/>
                <w:color w:val="000000"/>
              </w:rPr>
              <w:t>4）人工割除</w:t>
            </w:r>
          </w:p>
          <w:p>
            <w:pPr>
              <w:pStyle w:val="null3"/>
              <w:ind w:firstLine="420"/>
              <w:jc w:val="both"/>
            </w:pPr>
            <w:r>
              <w:rPr>
                <w:sz w:val="21"/>
                <w:color w:val="000000"/>
              </w:rPr>
              <w:t>在零星发生或不适宜使用药剂防治的地块（如：果园、果树等），在薇甘菊</w:t>
            </w:r>
            <w:r>
              <w:rPr>
                <w:sz w:val="21"/>
                <w:color w:val="000000"/>
              </w:rPr>
              <w:t>营养生长期，在夏季至种子成熟前（</w:t>
            </w:r>
            <w:r>
              <w:rPr>
                <w:sz w:val="21"/>
                <w:color w:val="000000"/>
              </w:rPr>
              <w:t>一般为</w:t>
            </w:r>
            <w:r>
              <w:rPr>
                <w:sz w:val="21"/>
                <w:color w:val="000000"/>
              </w:rPr>
              <w:t>4～9月），采用镰刀等工具将攀援生长的薇甘菊藤蔓割除，要求在离地面0.2m处割断为宜，最好挖出根部，集中销毁。</w:t>
            </w:r>
          </w:p>
        </w:tc>
      </w:tr>
      <w:tr>
        <w:tc>
          <w:tcPr>
            <w:tcW w:type="dxa" w:w="2076"/>
          </w:tcPr>
          <w:p/>
        </w:tc>
        <w:tc>
          <w:tcPr>
            <w:tcW w:type="dxa" w:w="415"/>
          </w:tcPr>
          <w:p>
            <w:pPr>
              <w:pStyle w:val="null3"/>
            </w:pPr>
            <w:r>
              <w:rPr/>
              <w:t>5</w:t>
            </w:r>
          </w:p>
        </w:tc>
        <w:tc>
          <w:tcPr>
            <w:tcW w:type="dxa" w:w="5814"/>
          </w:tcPr>
          <w:p>
            <w:pPr>
              <w:pStyle w:val="null3"/>
              <w:ind w:firstLine="422"/>
              <w:jc w:val="both"/>
            </w:pPr>
            <w:r>
              <w:rPr>
                <w:sz w:val="21"/>
                <w:b/>
                <w:color w:val="000000"/>
              </w:rPr>
              <w:t>4.2松材线虫病防治部分</w:t>
            </w:r>
          </w:p>
          <w:p>
            <w:pPr>
              <w:pStyle w:val="null3"/>
              <w:ind w:firstLine="420"/>
              <w:jc w:val="both"/>
            </w:pPr>
            <w:r>
              <w:rPr>
                <w:sz w:val="21"/>
                <w:color w:val="000000"/>
              </w:rPr>
              <w:t>（</w:t>
            </w:r>
            <w:r>
              <w:rPr>
                <w:sz w:val="21"/>
                <w:color w:val="000000"/>
              </w:rPr>
              <w:t>1）全面疫情监测</w:t>
            </w:r>
          </w:p>
          <w:p>
            <w:pPr>
              <w:pStyle w:val="null3"/>
              <w:ind w:firstLine="420"/>
              <w:jc w:val="both"/>
            </w:pPr>
            <w:r>
              <w:rPr>
                <w:sz w:val="21"/>
                <w:color w:val="000000"/>
              </w:rPr>
              <w:t>做好疫情的监测工作是项目区松材线虫病综合治理的基础，为项目区各项技术措施的实施提供决策依据。为此，根据项目区的分布图和道路情况设计疫情监测踏查路线，指定专人每月</w:t>
            </w:r>
            <w:r>
              <w:rPr>
                <w:sz w:val="21"/>
                <w:color w:val="000000"/>
              </w:rPr>
              <w:t>1次的人工踏查方式对整个项目区松材线虫病的发生情况进行调查，以小班为单位统计病死树数量，并计算病死树率，监测时间为7-12月，共6个月。</w:t>
            </w:r>
          </w:p>
          <w:p>
            <w:pPr>
              <w:pStyle w:val="null3"/>
              <w:ind w:firstLine="420"/>
              <w:jc w:val="both"/>
            </w:pPr>
            <w:r>
              <w:rPr>
                <w:sz w:val="21"/>
                <w:color w:val="000000"/>
              </w:rPr>
              <w:t>通过调查，系统掌握项目区内各小班的病死树数量，以月为单位统计新发生病死树数量，统计数据和样品检测结果反馈给工程部及时安排施工队做好枯死木清理和除害处理。</w:t>
            </w:r>
          </w:p>
          <w:p>
            <w:pPr>
              <w:pStyle w:val="null3"/>
              <w:ind w:firstLine="420"/>
              <w:jc w:val="both"/>
            </w:pPr>
            <w:r>
              <w:rPr>
                <w:sz w:val="21"/>
                <w:color w:val="000000"/>
              </w:rPr>
              <w:t>（</w:t>
            </w:r>
            <w:r>
              <w:rPr>
                <w:sz w:val="21"/>
                <w:color w:val="000000"/>
              </w:rPr>
              <w:t>2）全面清理病死树</w:t>
            </w:r>
          </w:p>
          <w:p>
            <w:pPr>
              <w:pStyle w:val="null3"/>
              <w:ind w:firstLine="420"/>
              <w:jc w:val="both"/>
            </w:pPr>
            <w:r>
              <w:rPr>
                <w:sz w:val="21"/>
                <w:color w:val="000000"/>
              </w:rPr>
              <w:t>清除松材线虫病死树（包括疑似病死树等），是减轻松材线虫病危害，防治疫情传播扩散的关键环节之一。根据调查到的各个小班病死树数量，对病枯死松树进行全面的清除，降低初始阶段疫源数量，为后续防治工作打下基础。组织施工队伍，确认病死树位置后依据实际地形清理宽约</w:t>
            </w:r>
            <w:r>
              <w:rPr>
                <w:sz w:val="21"/>
                <w:color w:val="000000"/>
              </w:rPr>
              <w:t>1.6米的人工简易道路，用于方便人工行走和搬运疫木用途。对清理的枯死树（包括病死树、疑似病死树等）进行就地立刻销毁处理，在交通方便的地方采取集中焚烧或粉碎（削片）等措施，在山高路陡、人迹罕至、道路不通等的地方则采取熏蒸消毒对疫木进行处理。</w:t>
            </w:r>
          </w:p>
          <w:p>
            <w:pPr>
              <w:pStyle w:val="null3"/>
              <w:jc w:val="both"/>
            </w:pPr>
            <w:r>
              <w:rPr>
                <w:sz w:val="21"/>
                <w:b/>
                <w:color w:val="000000"/>
              </w:rPr>
              <w:t>　套袋消杀</w:t>
            </w:r>
            <w:r>
              <w:rPr>
                <w:sz w:val="21"/>
                <w:color w:val="000000"/>
              </w:rPr>
              <w:t>：是将树枝等装入熏蒸袋（薄膜袋）（树枝处理方式同上），投入磷化铝药片或其他消杀药物进行套袋消杀处理，注意药片投入安全操作方法和检查消杀袋的密闭性，用警示标识贴在套袋消杀上显眼位置，并在枯死树周边挂设诱捕器，密闭时间</w:t>
            </w:r>
            <w:r>
              <w:rPr>
                <w:sz w:val="21"/>
                <w:color w:val="000000"/>
              </w:rPr>
              <w:t>10~15天。</w:t>
            </w:r>
          </w:p>
          <w:p>
            <w:pPr>
              <w:pStyle w:val="null3"/>
              <w:jc w:val="both"/>
            </w:pPr>
            <w:r>
              <w:rPr>
                <w:sz w:val="21"/>
                <w:b/>
              </w:rPr>
              <w:t xml:space="preserve"> </w:t>
            </w:r>
            <w:r>
              <w:rPr>
                <w:sz w:val="21"/>
              </w:rPr>
              <w:t xml:space="preserve">                                                </w:t>
            </w:r>
          </w:p>
          <w:p>
            <w:pPr>
              <w:pStyle w:val="null3"/>
              <w:jc w:val="both"/>
            </w:pPr>
            <w:r>
              <w:rPr>
                <w:sz w:val="21"/>
                <w:color w:val="000000"/>
              </w:rPr>
              <w:t>（</w:t>
            </w:r>
            <w:r>
              <w:rPr>
                <w:sz w:val="21"/>
                <w:color w:val="000000"/>
              </w:rPr>
              <w:t>3）设置诱捕器</w:t>
            </w:r>
          </w:p>
          <w:p>
            <w:pPr>
              <w:pStyle w:val="null3"/>
              <w:ind w:firstLine="420"/>
              <w:jc w:val="both"/>
            </w:pPr>
            <w:r>
              <w:rPr>
                <w:sz w:val="21"/>
                <w:color w:val="000000"/>
              </w:rPr>
              <w:t>在松楬天牛成虫羽化期通过布设诱捕器诱杀，可以在一定程度上降低松楬天牛种群密度。于重点防治区小班及周边，在山脊或通风良好的地方设置</w:t>
            </w:r>
            <w:r>
              <w:rPr>
                <w:sz w:val="21"/>
                <w:color w:val="000000"/>
              </w:rPr>
              <w:t>50套诱捕器。拟使用国家和省林业有害生物防治主管部门推广使用的ZM-60 型诱捕器和APF-I持久型引诱剂。部分诱捕器固定挂设一个地方，部分移动挂设提高诱捕效率。本项目挂设诱捕器管护时间为6个月，挂设后每个月定时更换松楬天牛引诱剂1次，每隔15天左右收集松楬天牛成虫1次，并做好记录。</w:t>
            </w:r>
          </w:p>
        </w:tc>
      </w:tr>
      <w:tr>
        <w:tc>
          <w:tcPr>
            <w:tcW w:type="dxa" w:w="2076"/>
          </w:tcPr>
          <w:p/>
        </w:tc>
        <w:tc>
          <w:tcPr>
            <w:tcW w:type="dxa" w:w="415"/>
          </w:tcPr>
          <w:p>
            <w:pPr>
              <w:pStyle w:val="null3"/>
            </w:pPr>
            <w:r>
              <w:rPr/>
              <w:t>6</w:t>
            </w:r>
          </w:p>
        </w:tc>
        <w:tc>
          <w:tcPr>
            <w:tcW w:type="dxa" w:w="5814"/>
          </w:tcPr>
          <w:p>
            <w:pPr>
              <w:pStyle w:val="null3"/>
              <w:ind w:firstLine="422"/>
              <w:jc w:val="both"/>
            </w:pPr>
            <w:r>
              <w:rPr>
                <w:sz w:val="21"/>
                <w:b/>
                <w:color w:val="000000"/>
              </w:rPr>
              <w:t>4.3红火蚁重点区域监测防治部分</w:t>
            </w:r>
          </w:p>
          <w:p>
            <w:pPr>
              <w:pStyle w:val="null3"/>
              <w:numPr>
                <w:ilvl w:val="0"/>
                <w:numId w:val="1"/>
              </w:numPr>
              <w:jc w:val="both"/>
            </w:pPr>
            <w:r>
              <w:rPr>
                <w:sz w:val="21"/>
                <w:color w:val="000000"/>
              </w:rPr>
              <w:t>（1）调查监测</w:t>
            </w:r>
          </w:p>
          <w:p>
            <w:pPr>
              <w:pStyle w:val="null3"/>
              <w:ind w:firstLine="420"/>
              <w:jc w:val="both"/>
            </w:pPr>
            <w:r>
              <w:rPr>
                <w:sz w:val="21"/>
                <w:color w:val="000000"/>
              </w:rPr>
              <w:t>于海城镇、附城镇和青年水库等林地的村庄、道路、果园、荒坡地和</w:t>
            </w:r>
            <w:r>
              <w:rPr>
                <w:sz w:val="21"/>
                <w:color w:val="000000"/>
              </w:rPr>
              <w:t>其他经济林地周边，调查红火蚁发生点面积，按统计数据结果反馈给工程</w:t>
            </w:r>
            <w:r>
              <w:rPr>
                <w:sz w:val="21"/>
                <w:color w:val="000000"/>
              </w:rPr>
              <w:t>部及时安排人员做好红火蚁防治处理和疫情监测工作。按访问调查、实地</w:t>
            </w:r>
            <w:r>
              <w:rPr>
                <w:sz w:val="21"/>
                <w:color w:val="000000"/>
              </w:rPr>
              <w:t>调查和诱饵诱集方法记录红火蚁动态，标定蚁巢位置并采取毒饵诱杀法进</w:t>
            </w:r>
            <w:r>
              <w:rPr>
                <w:sz w:val="21"/>
                <w:color w:val="000000"/>
              </w:rPr>
              <w:t>行两次化学防治。</w:t>
            </w:r>
          </w:p>
          <w:p>
            <w:pPr>
              <w:pStyle w:val="null3"/>
              <w:numPr>
                <w:ilvl w:val="1"/>
                <w:numId w:val="2"/>
              </w:numPr>
            </w:pPr>
            <w:r>
              <w:rPr>
                <w:sz w:val="21"/>
                <w:color w:val="000000"/>
              </w:rPr>
              <w:t>①</w:t>
            </w:r>
            <w:r>
              <w:rPr>
                <w:sz w:val="21"/>
                <w:color w:val="000000"/>
              </w:rPr>
              <w:t>访问调查</w:t>
            </w:r>
          </w:p>
          <w:p>
            <w:pPr>
              <w:pStyle w:val="null3"/>
              <w:ind w:firstLine="420"/>
              <w:jc w:val="both"/>
            </w:pPr>
            <w:r>
              <w:rPr>
                <w:sz w:val="21"/>
                <w:color w:val="000000"/>
              </w:rPr>
              <w:t>向当地居民或者经常在该区域劳作的人员询问是否有被蚂蚁叮咬后</w:t>
            </w:r>
            <w:r>
              <w:rPr>
                <w:sz w:val="21"/>
                <w:color w:val="000000"/>
              </w:rPr>
              <w:t>出现脓包等红火蚁为害症状，或者是否看见隆起高于地面呈金字塔状的蚂</w:t>
            </w:r>
            <w:r>
              <w:rPr>
                <w:sz w:val="21"/>
                <w:color w:val="000000"/>
              </w:rPr>
              <w:t>蚁丘等问题。每个社区或行政村随机询问调查</w:t>
            </w:r>
            <w:r>
              <w:rPr>
                <w:sz w:val="21"/>
                <w:color w:val="000000"/>
              </w:rPr>
              <w:t xml:space="preserve"> 10 人以上，发现有可疑情 况的，则进一步进行实地调查。</w:t>
            </w:r>
          </w:p>
          <w:p>
            <w:pPr>
              <w:pStyle w:val="null3"/>
              <w:numPr>
                <w:ilvl w:val="1"/>
                <w:numId w:val="2"/>
              </w:numPr>
            </w:pPr>
            <w:r>
              <w:rPr>
                <w:sz w:val="21"/>
                <w:color w:val="000000"/>
              </w:rPr>
              <w:t>②</w:t>
            </w:r>
            <w:r>
              <w:rPr>
                <w:sz w:val="21"/>
                <w:color w:val="000000"/>
              </w:rPr>
              <w:t>实地调查</w:t>
            </w:r>
          </w:p>
          <w:p>
            <w:pPr>
              <w:pStyle w:val="null3"/>
              <w:ind w:firstLine="420"/>
              <w:jc w:val="both"/>
            </w:pPr>
            <w:r>
              <w:rPr>
                <w:sz w:val="21"/>
                <w:color w:val="000000"/>
              </w:rPr>
              <w:t>采用</w:t>
            </w:r>
            <w:r>
              <w:rPr>
                <w:sz w:val="21"/>
                <w:color w:val="000000"/>
              </w:rPr>
              <w:t>“步行目视法”。以行政村为单位选定调查区域，每个行政村调 查地块不少于 5 个，步行观察附近有无可疑蚁丘、成堆蚂蚁等现象。发现 可疑蚁丘须仔细检查，测量蚁丘长、宽、高（以地面为基准），采集蚂蚁 标本，并用可疑蚁丘标识物插于其旁，标定位置并记录。</w:t>
            </w:r>
          </w:p>
          <w:p>
            <w:pPr>
              <w:pStyle w:val="null3"/>
              <w:numPr>
                <w:ilvl w:val="1"/>
                <w:numId w:val="2"/>
              </w:numPr>
            </w:pPr>
            <w:r>
              <w:rPr>
                <w:sz w:val="21"/>
                <w:color w:val="000000"/>
              </w:rPr>
              <w:t>③</w:t>
            </w:r>
            <w:r>
              <w:rPr>
                <w:sz w:val="21"/>
                <w:color w:val="000000"/>
              </w:rPr>
              <w:t>诱饵诱集法</w:t>
            </w:r>
          </w:p>
          <w:p>
            <w:pPr>
              <w:pStyle w:val="null3"/>
              <w:ind w:firstLine="420"/>
              <w:jc w:val="both"/>
            </w:pPr>
            <w:r>
              <w:rPr>
                <w:sz w:val="21"/>
                <w:color w:val="000000"/>
              </w:rPr>
              <w:t>对高风险区的重点地区，采取诱饵诱集法进一步调查监测。诱饵诱集</w:t>
            </w:r>
            <w:r>
              <w:rPr>
                <w:sz w:val="21"/>
                <w:color w:val="000000"/>
              </w:rPr>
              <w:t>法中经常使用的诱饵包括火腿肠（片）、花生油或玉米油、午餐肉、糖浆或鱼罐头等高油脂性食物放进专用的监测瓶中。监测瓶投放采用方格式，</w:t>
            </w:r>
            <w:r>
              <w:rPr>
                <w:sz w:val="21"/>
                <w:color w:val="000000"/>
              </w:rPr>
              <w:t>放置时优先考虑放在红火蚁喜欢活动的生境点，保持两诱饵间距</w:t>
            </w:r>
            <w:r>
              <w:rPr>
                <w:sz w:val="21"/>
                <w:color w:val="000000"/>
              </w:rPr>
              <w:t xml:space="preserve"> 10 米， 并利用标示旗标定诱饵位置。根据调查面积大小调整诱饵数量。诱集时间 应在无雨天的 8 时至 17 时红火蚁活动较密集的时段，一般放置后30-40 分 钟左右收回，收集蚂蚁，进行鉴定和计数，用放大镜观察，必要时采集标 本放入采集瓶，同时结合周围蚁丘填写调查记录。</w:t>
            </w:r>
          </w:p>
          <w:p>
            <w:pPr>
              <w:pStyle w:val="null3"/>
              <w:numPr>
                <w:ilvl w:val="1"/>
                <w:numId w:val="2"/>
              </w:numPr>
            </w:pPr>
            <w:r>
              <w:rPr>
                <w:sz w:val="21"/>
                <w:color w:val="000000"/>
              </w:rPr>
              <w:t>④</w:t>
            </w:r>
            <w:r>
              <w:rPr>
                <w:sz w:val="21"/>
                <w:color w:val="000000"/>
              </w:rPr>
              <w:t>发生范围和分级标准</w:t>
            </w:r>
          </w:p>
          <w:p>
            <w:pPr>
              <w:pStyle w:val="null3"/>
              <w:ind w:firstLine="420"/>
              <w:jc w:val="both"/>
            </w:pPr>
            <w:r>
              <w:rPr>
                <w:sz w:val="21"/>
                <w:color w:val="000000"/>
              </w:rPr>
              <w:t>发生点面积计算：红火蚁有效蚁巢外缘</w:t>
            </w:r>
            <w:r>
              <w:rPr>
                <w:sz w:val="21"/>
                <w:color w:val="000000"/>
              </w:rPr>
              <w:t xml:space="preserve"> 10 米范围划定为一个发生点， 两个发生点有效蚁巢外缘距离在40 米以内，视为同一个发生点，发生点 红火蚁有效蚁巢外缘 500 米范围为发生点监测区，发生点范围按红火蚁有 效蚁巢外缘 100 米范围划定为发生点面积，并在 1/10000 卫星图上编制发 生点监测防治区范围图并标注有效蚁巢发生点位置。</w:t>
            </w:r>
          </w:p>
          <w:p>
            <w:pPr>
              <w:pStyle w:val="null3"/>
              <w:ind w:left="420"/>
              <w:jc w:val="both"/>
            </w:pPr>
            <w:r>
              <w:rPr>
                <w:sz w:val="21"/>
                <w:color w:val="000000"/>
              </w:rPr>
              <w:t>分级标准：在红火蚁发生区域随机选择</w:t>
            </w:r>
            <w:r>
              <w:rPr>
                <w:sz w:val="21"/>
                <w:color w:val="000000"/>
              </w:rPr>
              <w:t>3 个以上 500 ㎡大小的区域，</w:t>
            </w:r>
          </w:p>
          <w:p>
            <w:pPr>
              <w:pStyle w:val="null3"/>
              <w:ind w:left="420"/>
              <w:jc w:val="both"/>
            </w:pPr>
            <w:r>
              <w:rPr>
                <w:sz w:val="21"/>
                <w:color w:val="000000"/>
              </w:rPr>
              <w:t>记录活蚁巢数量，以单位面积的活蚁巢数量作为分级标准，分为以下</w:t>
            </w:r>
            <w:r>
              <w:rPr>
                <w:sz w:val="21"/>
                <w:color w:val="000000"/>
              </w:rPr>
              <w:t xml:space="preserve"> 5 级： 一级：轻度，平均每 100 ㎡活动蚁巢数为 0~0.1 个；</w:t>
            </w:r>
          </w:p>
          <w:p>
            <w:pPr>
              <w:pStyle w:val="null3"/>
              <w:ind w:left="420"/>
              <w:jc w:val="both"/>
            </w:pPr>
            <w:r>
              <w:rPr>
                <w:sz w:val="21"/>
                <w:color w:val="000000"/>
              </w:rPr>
              <w:t>二级：中度，平均每</w:t>
            </w:r>
            <w:r>
              <w:rPr>
                <w:sz w:val="21"/>
                <w:color w:val="000000"/>
              </w:rPr>
              <w:t xml:space="preserve"> 100 ㎡活动蚁巢数为 0.11~0.5 个；</w:t>
            </w:r>
          </w:p>
          <w:p>
            <w:pPr>
              <w:pStyle w:val="null3"/>
              <w:ind w:left="420"/>
              <w:jc w:val="both"/>
            </w:pPr>
            <w:r>
              <w:rPr>
                <w:sz w:val="21"/>
                <w:color w:val="000000"/>
              </w:rPr>
              <w:t>三级：中偏重，平均每</w:t>
            </w:r>
            <w:r>
              <w:rPr>
                <w:sz w:val="21"/>
                <w:color w:val="000000"/>
              </w:rPr>
              <w:t xml:space="preserve"> 100 ㎡活动蚁巢数为 0.51~ 1.0 个；</w:t>
            </w:r>
          </w:p>
          <w:p>
            <w:pPr>
              <w:pStyle w:val="null3"/>
              <w:ind w:left="420"/>
              <w:jc w:val="both"/>
            </w:pPr>
            <w:r>
              <w:rPr>
                <w:sz w:val="21"/>
                <w:color w:val="000000"/>
              </w:rPr>
              <w:t>四级：重度，平均每</w:t>
            </w:r>
            <w:r>
              <w:rPr>
                <w:sz w:val="21"/>
                <w:color w:val="000000"/>
              </w:rPr>
              <w:t xml:space="preserve"> 100 ㎡活动蚁巢数为 1.1~ 10 个；</w:t>
            </w:r>
          </w:p>
          <w:p>
            <w:pPr>
              <w:pStyle w:val="null3"/>
              <w:ind w:left="420"/>
              <w:jc w:val="both"/>
            </w:pPr>
            <w:r>
              <w:rPr>
                <w:sz w:val="21"/>
                <w:color w:val="000000"/>
              </w:rPr>
              <w:t>五级：严重，平均每</w:t>
            </w:r>
            <w:r>
              <w:rPr>
                <w:sz w:val="21"/>
                <w:color w:val="000000"/>
              </w:rPr>
              <w:t xml:space="preserve"> 100 ㎡活动蚁巢数大于 10 个。</w:t>
            </w:r>
          </w:p>
        </w:tc>
      </w:tr>
      <w:tr>
        <w:tc>
          <w:tcPr>
            <w:tcW w:type="dxa" w:w="2076"/>
          </w:tcPr>
          <w:p/>
        </w:tc>
        <w:tc>
          <w:tcPr>
            <w:tcW w:type="dxa" w:w="415"/>
          </w:tcPr>
          <w:p>
            <w:pPr>
              <w:pStyle w:val="null3"/>
            </w:pPr>
            <w:r>
              <w:rPr/>
              <w:t>7</w:t>
            </w:r>
          </w:p>
        </w:tc>
        <w:tc>
          <w:tcPr>
            <w:tcW w:type="dxa" w:w="5814"/>
          </w:tcPr>
          <w:p>
            <w:pPr>
              <w:pStyle w:val="null3"/>
              <w:numPr>
                <w:ilvl w:val="0"/>
                <w:numId w:val="2"/>
              </w:numPr>
              <w:jc w:val="both"/>
            </w:pPr>
            <w:r>
              <w:rPr>
                <w:sz w:val="21"/>
                <w:color w:val="000000"/>
              </w:rPr>
              <w:t>（2）防治技术</w:t>
            </w:r>
          </w:p>
          <w:p>
            <w:pPr>
              <w:pStyle w:val="null3"/>
              <w:ind w:firstLine="420"/>
              <w:jc w:val="both"/>
            </w:pPr>
            <w:r>
              <w:rPr>
                <w:sz w:val="21"/>
                <w:color w:val="000000"/>
              </w:rPr>
              <w:t>主要采用点面结合、诱杀为主，防治方法主要有毒饵诱杀法、药液灌巢法和粉剂灭巢法。本项目化学防治措施主要采用</w:t>
            </w:r>
            <w:r>
              <w:rPr>
                <w:sz w:val="21"/>
                <w:color w:val="000000"/>
              </w:rPr>
              <w:t>0.05%茚虫威饵剂诱杀法，分两次实施。</w:t>
            </w:r>
          </w:p>
          <w:p>
            <w:pPr>
              <w:pStyle w:val="null3"/>
              <w:numPr>
                <w:ilvl w:val="1"/>
                <w:numId w:val="2"/>
              </w:numPr>
            </w:pPr>
            <w:r>
              <w:rPr>
                <w:sz w:val="21"/>
                <w:color w:val="000000"/>
              </w:rPr>
              <w:t>①</w:t>
            </w:r>
            <w:r>
              <w:rPr>
                <w:sz w:val="21"/>
                <w:color w:val="000000"/>
              </w:rPr>
              <w:t>点施毒饵</w:t>
            </w:r>
          </w:p>
          <w:p>
            <w:pPr>
              <w:pStyle w:val="null3"/>
              <w:ind w:firstLine="420"/>
              <w:jc w:val="both"/>
            </w:pPr>
            <w:r>
              <w:rPr>
                <w:sz w:val="21"/>
                <w:color w:val="000000"/>
              </w:rPr>
              <w:t>红火蚁发生程度在二级及以下的发生区，可使用点施毒饵法防治单个蚁巢。采用</w:t>
            </w:r>
            <w:r>
              <w:rPr>
                <w:sz w:val="21"/>
                <w:color w:val="000000"/>
              </w:rPr>
              <w:t>0.05%茚虫威饵剂环状或点状投放于蚁巢外围 30cm～60cm处，对所有可见的活蚁巢进行防治。根据活蚁巢大小和毒饵制剂商品使用说明确定毒饵用量，每个蚁巢制剂用量20-25g。</w:t>
            </w:r>
          </w:p>
          <w:p>
            <w:pPr>
              <w:pStyle w:val="null3"/>
              <w:numPr>
                <w:ilvl w:val="1"/>
                <w:numId w:val="2"/>
              </w:numPr>
            </w:pPr>
            <w:r>
              <w:rPr>
                <w:sz w:val="21"/>
                <w:color w:val="000000"/>
              </w:rPr>
              <w:t>②</w:t>
            </w:r>
            <w:r>
              <w:rPr>
                <w:sz w:val="21"/>
                <w:color w:val="000000"/>
              </w:rPr>
              <w:t>撒施毒饵</w:t>
            </w:r>
          </w:p>
          <w:p>
            <w:pPr>
              <w:pStyle w:val="null3"/>
              <w:spacing w:after="120"/>
              <w:ind w:firstLine="420"/>
              <w:jc w:val="both"/>
            </w:pPr>
            <w:r>
              <w:rPr>
                <w:sz w:val="21"/>
                <w:color w:val="000000"/>
              </w:rPr>
              <w:t>对蚁巢密度较大、分布普遍但很难发现活蚁巢的发生区，采取普遍撒施</w:t>
            </w:r>
            <w:r>
              <w:rPr>
                <w:sz w:val="21"/>
                <w:color w:val="000000"/>
              </w:rPr>
              <w:t>0.05%茚虫威饵剂进行防治。处理较小面积区域时可直接用手(穿戴塑胶或橡皮手套)撒播，处理较大面积区域时可用手摇式撤播器撒施。撒施毒饵剂时要覆盖所有发生区的所有地点。毒饵剂的用量根据活蚁巢密度和毒饵剂商品使用说明确定，每公顷面积最低用量是防治单个活蚁巢使用商品标签推荐用量中间值的100倍。</w:t>
            </w:r>
          </w:p>
          <w:p>
            <w:pPr>
              <w:pStyle w:val="null3"/>
              <w:numPr>
                <w:ilvl w:val="1"/>
                <w:numId w:val="2"/>
              </w:numPr>
            </w:pPr>
            <w:r>
              <w:rPr>
                <w:sz w:val="21"/>
                <w:color w:val="000000"/>
              </w:rPr>
              <w:t>③</w:t>
            </w:r>
            <w:r>
              <w:rPr>
                <w:sz w:val="21"/>
                <w:color w:val="000000"/>
              </w:rPr>
              <w:t>综合施用</w:t>
            </w:r>
          </w:p>
          <w:p>
            <w:pPr>
              <w:pStyle w:val="null3"/>
              <w:ind w:firstLine="420"/>
              <w:jc w:val="both"/>
            </w:pPr>
            <w:r>
              <w:rPr>
                <w:sz w:val="21"/>
                <w:color w:val="000000"/>
              </w:rPr>
              <w:t>在红火蚁严重发生的区域，活蚁巢密度大、分布普遍时可采用点施毒饵和撒施毒饵相结合的综合施用法，并适当加大毒饵用量。</w:t>
            </w:r>
          </w:p>
          <w:p>
            <w:pPr>
              <w:pStyle w:val="null3"/>
              <w:numPr>
                <w:ilvl w:val="1"/>
                <w:numId w:val="2"/>
              </w:numPr>
            </w:pPr>
            <w:r>
              <w:rPr>
                <w:sz w:val="21"/>
                <w:color w:val="000000"/>
              </w:rPr>
              <w:t>④</w:t>
            </w:r>
            <w:r>
              <w:rPr>
                <w:sz w:val="21"/>
                <w:color w:val="000000"/>
              </w:rPr>
              <w:t>补施毒饵</w:t>
            </w:r>
          </w:p>
          <w:p>
            <w:pPr>
              <w:pStyle w:val="null3"/>
              <w:spacing w:after="120"/>
              <w:ind w:firstLine="420"/>
              <w:jc w:val="both"/>
            </w:pPr>
            <w:r>
              <w:rPr>
                <w:sz w:val="21"/>
                <w:color w:val="000000"/>
              </w:rPr>
              <w:t>根据防控效果，在使用毒饵防控红火蚁</w:t>
            </w:r>
            <w:r>
              <w:rPr>
                <w:sz w:val="21"/>
                <w:color w:val="000000"/>
              </w:rPr>
              <w:t>2周后 ，对已实施防治地点再次按相同办法继续施用毒饵进行防治。</w:t>
            </w:r>
          </w:p>
          <w:p>
            <w:pPr>
              <w:pStyle w:val="null3"/>
              <w:numPr>
                <w:ilvl w:val="1"/>
                <w:numId w:val="2"/>
              </w:numPr>
            </w:pPr>
            <w:r>
              <w:rPr>
                <w:sz w:val="21"/>
                <w:color w:val="000000"/>
              </w:rPr>
              <w:t>⑤</w:t>
            </w:r>
            <w:r>
              <w:rPr>
                <w:sz w:val="21"/>
                <w:color w:val="000000"/>
              </w:rPr>
              <w:t>实施时间选择</w:t>
            </w:r>
          </w:p>
          <w:p>
            <w:pPr>
              <w:pStyle w:val="null3"/>
              <w:spacing w:after="120"/>
              <w:ind w:firstLine="420"/>
              <w:jc w:val="both"/>
            </w:pPr>
            <w:r>
              <w:rPr>
                <w:sz w:val="21"/>
                <w:color w:val="000000"/>
              </w:rPr>
              <w:t>使用化学药剂防治时一般选择晴天进行，地面应比较干燥，在使用毒饵剂后</w:t>
            </w:r>
            <w:r>
              <w:rPr>
                <w:sz w:val="21"/>
                <w:color w:val="000000"/>
              </w:rPr>
              <w:t>6小时内无降雨，并且尽量在红火蚁活动觅食时间施用。</w:t>
            </w:r>
          </w:p>
        </w:tc>
      </w:tr>
      <w:tr>
        <w:tc>
          <w:tcPr>
            <w:tcW w:type="dxa" w:w="2076"/>
          </w:tcPr>
          <w:p/>
        </w:tc>
        <w:tc>
          <w:tcPr>
            <w:tcW w:type="dxa" w:w="415"/>
          </w:tcPr>
          <w:p>
            <w:pPr>
              <w:pStyle w:val="null3"/>
            </w:pPr>
            <w:r>
              <w:rPr/>
              <w:t>8</w:t>
            </w:r>
          </w:p>
        </w:tc>
        <w:tc>
          <w:tcPr>
            <w:tcW w:type="dxa" w:w="5814"/>
          </w:tcPr>
          <w:p>
            <w:pPr>
              <w:pStyle w:val="null3"/>
              <w:spacing w:after="120"/>
              <w:ind w:left="420" w:firstLine="420"/>
              <w:jc w:val="both"/>
            </w:pPr>
            <w:r>
              <w:rPr>
                <w:sz w:val="21"/>
                <w:b/>
                <w:color w:val="000000"/>
              </w:rPr>
              <w:t>5.作业主要事项</w:t>
            </w:r>
          </w:p>
          <w:p>
            <w:pPr>
              <w:pStyle w:val="null3"/>
              <w:spacing w:after="120"/>
              <w:ind w:left="420" w:firstLine="420"/>
              <w:jc w:val="both"/>
            </w:pPr>
            <w:r>
              <w:rPr>
                <w:sz w:val="21"/>
                <w:color w:val="000000"/>
              </w:rPr>
              <w:t>5.1施工安全事项</w:t>
            </w:r>
          </w:p>
          <w:p>
            <w:pPr>
              <w:pStyle w:val="null3"/>
              <w:spacing w:after="120"/>
              <w:ind w:left="420" w:firstLine="420"/>
              <w:jc w:val="both"/>
            </w:pPr>
            <w:r>
              <w:rPr>
                <w:sz w:val="21"/>
                <w:color w:val="000000"/>
              </w:rPr>
              <w:t>（</w:t>
            </w:r>
            <w:r>
              <w:rPr>
                <w:sz w:val="21"/>
                <w:color w:val="000000"/>
              </w:rPr>
              <w:t>1）施工中必须坚持“安全第一，预防为主 ”的方针，严格贯彻执 行各项安全组织措施和技术措施，切实做到安全施工的同时确保生命安 全。</w:t>
            </w:r>
          </w:p>
          <w:p>
            <w:pPr>
              <w:pStyle w:val="null3"/>
              <w:spacing w:after="120"/>
              <w:ind w:left="420" w:firstLine="420"/>
              <w:jc w:val="both"/>
            </w:pPr>
            <w:r>
              <w:rPr>
                <w:sz w:val="21"/>
                <w:color w:val="000000"/>
              </w:rPr>
              <w:t>（</w:t>
            </w:r>
            <w:r>
              <w:rPr>
                <w:sz w:val="21"/>
                <w:color w:val="000000"/>
              </w:rPr>
              <w:t>2）加强全员的安全教育，做到思想上重视，操作时严格执行施工 操作规程。</w:t>
            </w:r>
          </w:p>
          <w:p>
            <w:pPr>
              <w:pStyle w:val="null3"/>
              <w:spacing w:after="120"/>
              <w:ind w:left="420" w:firstLine="420"/>
              <w:jc w:val="both"/>
            </w:pPr>
            <w:r>
              <w:rPr>
                <w:sz w:val="21"/>
                <w:color w:val="000000"/>
              </w:rPr>
              <w:t>（</w:t>
            </w:r>
            <w:r>
              <w:rPr>
                <w:sz w:val="21"/>
                <w:color w:val="000000"/>
              </w:rPr>
              <w:t>3）作业人员配备通讯工具、安全带、指南针、医药箱等物资，以 备受伤或发生意外时能及时得到救助。</w:t>
            </w:r>
          </w:p>
          <w:p>
            <w:pPr>
              <w:pStyle w:val="null3"/>
              <w:spacing w:after="120"/>
              <w:ind w:left="420" w:firstLine="420"/>
              <w:jc w:val="both"/>
            </w:pPr>
            <w:r>
              <w:rPr>
                <w:sz w:val="21"/>
                <w:color w:val="000000"/>
              </w:rPr>
              <w:t>（</w:t>
            </w:r>
            <w:r>
              <w:rPr>
                <w:sz w:val="21"/>
                <w:color w:val="000000"/>
              </w:rPr>
              <w:t>4）后勤部必须对施工器械和药物进行登记管理，实行专人专用。</w:t>
            </w:r>
          </w:p>
          <w:p>
            <w:pPr>
              <w:pStyle w:val="null3"/>
              <w:spacing w:after="120"/>
              <w:ind w:left="420" w:firstLine="420"/>
              <w:jc w:val="both"/>
            </w:pPr>
            <w:r>
              <w:rPr>
                <w:sz w:val="21"/>
                <w:color w:val="000000"/>
              </w:rPr>
              <w:t>（</w:t>
            </w:r>
            <w:r>
              <w:rPr>
                <w:sz w:val="21"/>
                <w:color w:val="000000"/>
              </w:rPr>
              <w:t>5）喷洒农药前要做好防护措施，戴口罩、手套、穿长袖和长裤。 先检查喷洒装置，各个接头都要安装结实，不能有渗漏；</w:t>
            </w:r>
          </w:p>
          <w:p>
            <w:pPr>
              <w:pStyle w:val="null3"/>
              <w:spacing w:after="120"/>
              <w:ind w:left="420" w:firstLine="420"/>
              <w:jc w:val="both"/>
            </w:pPr>
            <w:r>
              <w:rPr>
                <w:sz w:val="21"/>
                <w:color w:val="000000"/>
              </w:rPr>
              <w:t>（</w:t>
            </w:r>
            <w:r>
              <w:rPr>
                <w:sz w:val="21"/>
                <w:color w:val="000000"/>
              </w:rPr>
              <w:t>6）药剂配置，认真阅读药剂的说明书，配置方法，配药禁忌，配 药时注意操作，勿溅出来，切勿随意添加其他药物；</w:t>
            </w:r>
          </w:p>
          <w:p>
            <w:pPr>
              <w:pStyle w:val="null3"/>
              <w:spacing w:after="120"/>
              <w:ind w:left="420" w:firstLine="420"/>
              <w:jc w:val="both"/>
            </w:pPr>
            <w:r>
              <w:rPr>
                <w:sz w:val="21"/>
                <w:color w:val="000000"/>
              </w:rPr>
              <w:t>（</w:t>
            </w:r>
            <w:r>
              <w:rPr>
                <w:sz w:val="21"/>
                <w:color w:val="000000"/>
              </w:rPr>
              <w:t>7）作业时，应该选择顺风方向作业，尤其是用机动喷雾机喷施药 剂时，应禁止逆风喷施，而应在上风进行顺风喷施作业；</w:t>
            </w:r>
          </w:p>
          <w:p>
            <w:pPr>
              <w:pStyle w:val="null3"/>
              <w:spacing w:after="120"/>
              <w:ind w:left="420" w:firstLine="420"/>
              <w:jc w:val="both"/>
            </w:pPr>
            <w:r>
              <w:rPr>
                <w:sz w:val="21"/>
                <w:color w:val="000000"/>
              </w:rPr>
              <w:t>（</w:t>
            </w:r>
            <w:r>
              <w:rPr>
                <w:sz w:val="21"/>
                <w:color w:val="000000"/>
              </w:rPr>
              <w:t>8）发现头痛、恶心、呕吐等中毒情况，应立即停止作业，及时前 往医院求医诊治；</w:t>
            </w:r>
          </w:p>
          <w:p>
            <w:pPr>
              <w:pStyle w:val="null3"/>
              <w:spacing w:after="120"/>
              <w:ind w:left="420" w:firstLine="420"/>
              <w:jc w:val="both"/>
            </w:pPr>
            <w:r>
              <w:rPr>
                <w:sz w:val="21"/>
                <w:color w:val="000000"/>
              </w:rPr>
              <w:t>（</w:t>
            </w:r>
            <w:r>
              <w:rPr>
                <w:sz w:val="21"/>
                <w:color w:val="000000"/>
              </w:rPr>
              <w:t>9）加强设备的检查、保养、维修，确保设备的正常安全运转。</w:t>
            </w:r>
          </w:p>
          <w:p>
            <w:pPr>
              <w:pStyle w:val="null3"/>
              <w:spacing w:after="120"/>
              <w:ind w:left="420" w:firstLine="420"/>
              <w:jc w:val="both"/>
            </w:pPr>
            <w:r>
              <w:rPr>
                <w:sz w:val="21"/>
                <w:color w:val="000000"/>
              </w:rPr>
              <w:t>（</w:t>
            </w:r>
            <w:r>
              <w:rPr>
                <w:sz w:val="21"/>
                <w:color w:val="000000"/>
              </w:rPr>
              <w:t>10）操作人员要做好防护防工作，避免被红火蚁蛰伤或农药中毒， 一旦被红火蚁叮咬，立即用肥皂涂抹；有过敏反应者（发烧、起红疹）应 马上就医。</w:t>
            </w:r>
          </w:p>
          <w:p>
            <w:pPr>
              <w:pStyle w:val="null3"/>
              <w:spacing w:after="120"/>
              <w:ind w:left="420" w:firstLine="420"/>
              <w:jc w:val="both"/>
            </w:pPr>
            <w:r>
              <w:rPr>
                <w:sz w:val="21"/>
                <w:color w:val="000000"/>
              </w:rPr>
              <w:t>（</w:t>
            </w:r>
            <w:r>
              <w:rPr>
                <w:sz w:val="21"/>
                <w:color w:val="000000"/>
              </w:rPr>
              <w:t>11）调查监测人员应熟练掌握红火蚁调查监测方法和调查注意事项， 熟悉红火蚁形态特征、蚁丘特征和生活习性。</w:t>
            </w:r>
          </w:p>
          <w:p>
            <w:pPr>
              <w:pStyle w:val="null3"/>
              <w:spacing w:after="120"/>
              <w:ind w:left="420" w:firstLine="420"/>
              <w:jc w:val="both"/>
            </w:pPr>
            <w:r>
              <w:rPr>
                <w:sz w:val="21"/>
                <w:color w:val="000000"/>
              </w:rPr>
              <w:t>（</w:t>
            </w:r>
            <w:r>
              <w:rPr>
                <w:sz w:val="21"/>
                <w:color w:val="000000"/>
              </w:rPr>
              <w:t>12）在水源保护区、水产养殖区、养蜂区、养蚕区等使用农药防治 时要注意选择药剂种类，防止对有益生物的杀伤和环境污染。</w:t>
            </w:r>
          </w:p>
          <w:p>
            <w:pPr>
              <w:pStyle w:val="null3"/>
              <w:spacing w:after="120"/>
              <w:ind w:left="420" w:firstLine="420"/>
              <w:jc w:val="both"/>
            </w:pPr>
            <w:r>
              <w:rPr>
                <w:sz w:val="21"/>
                <w:color w:val="000000"/>
              </w:rPr>
              <w:t>（</w:t>
            </w:r>
            <w:r>
              <w:rPr>
                <w:sz w:val="21"/>
                <w:color w:val="000000"/>
              </w:rPr>
              <w:t>13）对进场人员进行经常性的法律、法规教育，防止施工扰民及治 安、刑事案件发生。</w:t>
            </w:r>
          </w:p>
          <w:p>
            <w:pPr>
              <w:pStyle w:val="null3"/>
              <w:spacing w:after="120"/>
              <w:ind w:left="420" w:firstLine="420"/>
              <w:jc w:val="both"/>
            </w:pPr>
            <w:r>
              <w:rPr>
                <w:sz w:val="21"/>
                <w:color w:val="000000"/>
              </w:rPr>
              <w:t>5.2应急处理措施</w:t>
            </w:r>
          </w:p>
          <w:p>
            <w:pPr>
              <w:pStyle w:val="null3"/>
              <w:spacing w:after="120"/>
              <w:ind w:left="420" w:firstLine="420"/>
              <w:jc w:val="both"/>
            </w:pPr>
            <w:r>
              <w:rPr>
                <w:sz w:val="21"/>
                <w:color w:val="000000"/>
              </w:rPr>
              <w:t>为了防止施工现场发生安全事故，应完善应急工作机制，一旦发生事</w:t>
            </w:r>
            <w:r>
              <w:rPr>
                <w:sz w:val="21"/>
                <w:color w:val="000000"/>
              </w:rPr>
              <w:t>故，迅速有序地开展事故的应急救援工作，抢救伤员，减少事故损失。</w:t>
            </w:r>
          </w:p>
          <w:p>
            <w:pPr>
              <w:pStyle w:val="null3"/>
              <w:spacing w:after="120"/>
              <w:ind w:left="420" w:firstLine="420"/>
              <w:jc w:val="both"/>
            </w:pPr>
            <w:r>
              <w:rPr>
                <w:sz w:val="21"/>
                <w:color w:val="000000"/>
              </w:rPr>
              <w:t>（</w:t>
            </w:r>
            <w:r>
              <w:rPr>
                <w:sz w:val="21"/>
                <w:color w:val="000000"/>
              </w:rPr>
              <w:t>1）在施工作业中发生事故时，如事故较严重的先拨打 120 报警， 根据伤者受伤部位立即组织抢救，促使伤者快速脱离危险环境，送往医院 救治，并保护现场。查看事故现场周围有无其它危险源存在，并马上通知 施工负责人。</w:t>
            </w:r>
          </w:p>
          <w:p>
            <w:pPr>
              <w:pStyle w:val="null3"/>
              <w:spacing w:after="120"/>
              <w:ind w:left="420" w:firstLine="420"/>
              <w:jc w:val="both"/>
            </w:pPr>
            <w:r>
              <w:rPr>
                <w:sz w:val="21"/>
                <w:color w:val="000000"/>
              </w:rPr>
              <w:t>（</w:t>
            </w:r>
            <w:r>
              <w:rPr>
                <w:sz w:val="21"/>
                <w:color w:val="000000"/>
              </w:rPr>
              <w:t>2）如发生人员昏迷、伤及内脏、骨折及大量失血，立即打 120 急救，并说明伤情。为取得最佳抢救效果，还可根据伤情送往专科医院。急 救车未到前，现场采取止血措施。注意搬运时的保护，对昏迷、可能伤及 脊椎、内脏或伤情不详者一律用担架或平板，禁止用搂、抱、背等方式运 输伤员。</w:t>
            </w:r>
          </w:p>
          <w:p>
            <w:pPr>
              <w:pStyle w:val="null3"/>
              <w:spacing w:after="120"/>
              <w:ind w:left="420" w:firstLine="420"/>
              <w:jc w:val="both"/>
            </w:pPr>
            <w:r>
              <w:rPr>
                <w:sz w:val="21"/>
                <w:color w:val="000000"/>
              </w:rPr>
              <w:t>（</w:t>
            </w:r>
            <w:r>
              <w:rPr>
                <w:sz w:val="21"/>
                <w:color w:val="000000"/>
              </w:rPr>
              <w:t>3）如果是触电事故的应在安全的情况下查看现场，发现触电电线 的迅速争取帮触电者脱离电源，并在现场附近安全的地方就地抢救，病人 有意识后再送往附近医院抢救。</w:t>
            </w:r>
          </w:p>
          <w:p>
            <w:pPr>
              <w:pStyle w:val="null3"/>
              <w:spacing w:after="120"/>
              <w:ind w:left="420" w:firstLine="420"/>
              <w:jc w:val="both"/>
            </w:pPr>
            <w:r>
              <w:rPr>
                <w:sz w:val="21"/>
                <w:color w:val="000000"/>
              </w:rPr>
              <w:t>（</w:t>
            </w:r>
            <w:r>
              <w:rPr>
                <w:sz w:val="21"/>
                <w:color w:val="000000"/>
              </w:rPr>
              <w:t>4）一般性伤情就地做好受伤处的包扎，送往医院检查，防止破伤风。</w:t>
            </w:r>
          </w:p>
          <w:p>
            <w:pPr>
              <w:pStyle w:val="null3"/>
              <w:spacing w:after="120"/>
              <w:ind w:left="420" w:firstLine="420"/>
              <w:jc w:val="both"/>
            </w:pPr>
            <w:r>
              <w:rPr>
                <w:sz w:val="21"/>
                <w:color w:val="000000"/>
              </w:rPr>
              <w:t>（</w:t>
            </w:r>
            <w:r>
              <w:rPr>
                <w:sz w:val="21"/>
                <w:color w:val="000000"/>
              </w:rPr>
              <w:t>5）遭遇森林火灾时用湿毛巾或衣服捂住口鼻迅速躲避。要密切注 意风向变化，根据大火蔓延方向判断逃生方向是否正确。逃生时应尽可能 逆风向，切不可顺风向。如被大火围困在半山腰，要快速向山下跑，切忌 往山上跑，因为通常火势向上蔓延的速度较快，在撤离到安全的地方及时 拨打 110 报警。</w:t>
            </w:r>
          </w:p>
          <w:p>
            <w:pPr>
              <w:pStyle w:val="null3"/>
              <w:spacing w:after="120"/>
              <w:ind w:left="420" w:firstLine="420"/>
              <w:jc w:val="both"/>
            </w:pPr>
            <w:r>
              <w:rPr>
                <w:sz w:val="21"/>
                <w:color w:val="000000"/>
              </w:rPr>
              <w:t>（</w:t>
            </w:r>
            <w:r>
              <w:rPr>
                <w:sz w:val="21"/>
                <w:color w:val="000000"/>
              </w:rPr>
              <w:t>6）在喷施农药时如中毒的，可先用手指、筷子等刺激其舌根部的 方法催吐，或让中毒者大量饮用温开水并反复自行催吐，以减少毒素的吸 收，并马上拨打 120 报警，还要带上农药的包装以备医生及时准确的救治。</w:t>
            </w:r>
          </w:p>
        </w:tc>
      </w:tr>
      <w:tr>
        <w:tc>
          <w:tcPr>
            <w:tcW w:type="dxa" w:w="2076"/>
          </w:tcPr>
          <w:p/>
        </w:tc>
        <w:tc>
          <w:tcPr>
            <w:tcW w:type="dxa" w:w="415"/>
          </w:tcPr>
          <w:p>
            <w:pPr>
              <w:pStyle w:val="null3"/>
            </w:pPr>
            <w:r>
              <w:rPr/>
              <w:t>9</w:t>
            </w:r>
          </w:p>
        </w:tc>
        <w:tc>
          <w:tcPr>
            <w:tcW w:type="dxa" w:w="5814"/>
          </w:tcPr>
          <w:p>
            <w:pPr>
              <w:pStyle w:val="null3"/>
              <w:spacing w:after="120"/>
              <w:jc w:val="both"/>
            </w:pPr>
            <w:r>
              <w:rPr>
                <w:sz w:val="21"/>
                <w:color w:val="000000"/>
              </w:rPr>
              <w:t>6.其他要求：认真执行作业注意事项，其他未尽事项按现行国家、地方有关规范、规程执行。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1.采购代理机构：本项目是指广东弘业建设项目管理有限公司，负责整个采购活动的组织，依法负责编制和发布磋商文件，对磋商文件拥有最终的解释权，不以任何身份出任磋商小组成员。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海丰县林业局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 收款人：广东弘业建设项目管理有限公司 开户行：广东海丰农村商业银行股份有限公司龙津支行 帐 号：000413475065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/，纸质投标文件正本1份，副本2份只需中标单位在领取中标通知书时递交给代理机构。</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广东弘业建设项目管理有限公司</w:t>
      </w:r>
      <w:r>
        <w:rPr/>
        <w:t>代收。具体操作要求详见</w:t>
      </w:r>
      <w:r>
        <w:rPr/>
        <w:t>广东弘业建设项目管理有限公司</w:t>
      </w:r>
      <w:r>
        <w:rPr/>
        <w:t>有关指引，递交事宜请自行咨询</w:t>
      </w:r>
      <w:r>
        <w:rPr/>
        <w:t>广东弘业建设项目管理有限公司</w:t>
      </w:r>
      <w:r>
        <w:rPr/>
        <w:t>；请各供应商在响应文件递交截止时间前按须知前附表规定的金额递交至</w:t>
      </w:r>
      <w:r>
        <w:rPr/>
        <w:t>广东弘业建设项目管理有限公司</w:t>
      </w:r>
      <w:r>
        <w:rPr/>
        <w:t>，到账情况以开启时</w:t>
      </w:r>
      <w:r>
        <w:rPr/>
        <w:t>广东弘业建设项目管理有限公司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周工</w:t>
      </w:r>
    </w:p>
    <w:p>
      <w:pPr>
        <w:pStyle w:val="null3"/>
        <w:ind w:firstLine="480"/>
      </w:pPr>
      <w:r>
        <w:rPr/>
        <w:t>电话：</w:t>
      </w:r>
      <w:r>
        <w:rPr/>
        <w:t>0660-6999948</w:t>
      </w:r>
    </w:p>
    <w:p>
      <w:pPr>
        <w:pStyle w:val="null3"/>
        <w:ind w:firstLine="480"/>
      </w:pPr>
      <w:r>
        <w:rPr/>
        <w:t>传真：</w:t>
      </w:r>
      <w:r>
        <w:rPr/>
        <w:t>0660-6999948</w:t>
      </w:r>
    </w:p>
    <w:p>
      <w:pPr>
        <w:pStyle w:val="null3"/>
        <w:ind w:firstLine="480"/>
      </w:pPr>
      <w:r>
        <w:rPr/>
        <w:t>邮箱：</w:t>
      </w:r>
      <w:r>
        <w:rPr/>
        <w:t>HYGS99948@163.com</w:t>
      </w:r>
    </w:p>
    <w:p>
      <w:pPr>
        <w:pStyle w:val="null3"/>
        <w:ind w:firstLine="480"/>
      </w:pPr>
      <w:r>
        <w:rPr/>
        <w:t>地址：</w:t>
      </w:r>
      <w:r>
        <w:rPr/>
        <w:t>海丰县海城镇海银公路西侧叠翠名城B座505-1号</w:t>
      </w:r>
    </w:p>
    <w:p>
      <w:pPr>
        <w:pStyle w:val="null3"/>
        <w:ind w:firstLine="480"/>
      </w:pPr>
      <w:r>
        <w:rPr/>
        <w:t>邮编：</w:t>
      </w:r>
      <w:r>
        <w:rPr/>
        <w:t>516400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海丰县2025年林业有害生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广东弘业建设项目管理有限公司</w:t>
      </w:r>
      <w:r>
        <w:rPr/>
        <w:t>统一对外发布。</w:t>
      </w:r>
    </w:p>
    <w:p>
      <w:pPr>
        <w:pStyle w:val="null3"/>
        <w:ind w:firstLine="480"/>
      </w:pPr>
      <w:r>
        <w:rPr/>
        <w:t>（2）对</w:t>
      </w:r>
      <w:r>
        <w:rPr/>
        <w:t>广东弘业建设项目管理有限公司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采购包1（海丰县2025年林业有害生物防治项目）：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采购包1（海丰县2025年林业有害生物防治项目）：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提供2025年任意1个月依法缴纳税收和社会保障资金的相关材料。如依法免税或不需要缴纳社会保障资金的，提供相应证明材料或政府采购供应商信用承诺函。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 。（提供2024年度财务状况报告或财务报表或基本开户行出具的资信证明或政府采购供应商信用承诺函。）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供应商必须具备设备及专业技术能力。（按投标（响应）文件格式填报设备及专业技术能力情况或政府采购供应商信用承诺函。）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 责令停产停业、吊销许可证或者执照、较大数额罚款等行政处罚。（根据财库〔2022〕3号文，“较大数额罚款”认定为200万 元以上的罚款，法律、行政法规以及国务院有关部门明确规定相关领域“较大数额罚款”标准高于200万元的，从其规定）。（提供相应证明材料或政府采购供应商信用承诺函）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根据《财政部关于在政府采购活动中查询及使用信用记录有关问题的通知》，在投标截止时间前将通过“中国政府采购网”（www.ccgp.gov.cn）渠道查询政府采购严重违法失信行为记录名单；通过“信用中国”网站（www.creditchina.gov.cn）渠道查询相关主体信用记录，对列入失信被执行人、重大税收违法案件当事人名单、及其他不符合《中华人民共和国政府采购法》第二十二条规定条件的供应商，拒绝其参与政府采购活动。（供应商提供查询信息截图，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为本项目提供整体设计、规范编制或者项目管理、监理、检测等服务的供应商，不得同时参加本采购项目（或采购包）投标（响应）。（提供相应证明材料或政府采购供应商信用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本项目整体专门面向中小型企业。供应商须为符合本项目采购标的对应行业划分标准的中小企业（监狱企业、残疾人福利单位视同小型、微型企业）。注：中小企业以供应商 填写的《中小企业声明函》（见响应文件格式与要求）为判定标准，残疾人福利性单位以供应商填写的《残疾人福利性单位声明函》（见响应文件格式与要求）为判定标准，监狱企业须供应商提供由省级以上监狱管理局、戒毒管理局（含新疆生产建设兵团）出具的属于监狱企业的证明文件，否则不予认定。同时落实《财政部 发展改革委 生态环境部 市场监管总局关于调整优化节能产品、环境标志产品政府采购执行机制的通知》（财库〔2019〕9 号）、《国家乡村振兴局关于运用政府采购政策支持乡村产业振兴的通知》财库〔2021〕19号文件相关政策等。</w:t>
            </w:r>
          </w:p>
        </w:tc>
      </w:tr>
    </w:tbl>
    <w:p>
      <w:pPr>
        <w:pStyle w:val="null3"/>
        <w:ind w:firstLine="480"/>
      </w:pPr>
      <w:r>
        <w:rPr/>
        <w:t>表二符合性审查表：</w:t>
      </w:r>
    </w:p>
    <w:p>
      <w:pPr>
        <w:pStyle w:val="null3"/>
      </w:pPr>
      <w:r>
        <w:rPr/>
        <w:t>采购包1（海丰县2025年林业有害生物防治项目）：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投标文件完整，并按要求签署、盖章；</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报价未超过本项目采购预算的；</w:t>
            </w:r>
          </w:p>
        </w:tc>
      </w:tr>
      <w:tr>
        <w:tc>
          <w:tcPr>
            <w:tcW w:type="dxa" w:w="890"/>
          </w:tcPr>
          <w:p>
            <w:pPr>
              <w:pStyle w:val="null3"/>
            </w:pPr>
            <w:r>
              <w:rPr/>
              <w:t>5</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采购包1(海丰县2025年林业有害生物防治项目):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项目实施组织方案 (15.0分)</w:t>
            </w:r>
          </w:p>
        </w:tc>
        <w:tc>
          <w:tcPr>
            <w:tcW w:type="dxa" w:w="5076"/>
          </w:tcPr>
          <w:p>
            <w:pPr>
              <w:pStyle w:val="null3"/>
              <w:jc w:val="left"/>
            </w:pPr>
            <w:r>
              <w:rPr/>
              <w:t>根据供应商提供的组织实施方案（包括但不限于以下内容： ①防治组织实施方案；②进度计划安排；进行评审： 1、方案详细具体，完全围绕本项目采购需求内容进行制定，可行性强 得15分； 2、方案较详细具体，能联系到本项目采购需求内进行制定，可行性较强 得11分； 3、方案不够具体，与本项目采购需求内关联度不高，可行性一般，得7分； 4、方案简单，与本项目采购需求内容无关联性，缺乏可行性，差得3分。 5、未提供方案不得分。</w:t>
            </w:r>
          </w:p>
        </w:tc>
      </w:tr>
      <w:tr>
        <w:tc>
          <w:tcPr>
            <w:tcW w:type="dxa" w:w="922"/>
            <w:gridSpan w:val="2"/>
            <w:vMerge/>
          </w:tcPr>
          <w:p/>
        </w:tc>
        <w:tc>
          <w:tcPr>
            <w:tcW w:type="dxa" w:w="2307"/>
          </w:tcPr>
          <w:p>
            <w:pPr>
              <w:pStyle w:val="null3"/>
              <w:jc w:val="left"/>
            </w:pPr>
            <w:r>
              <w:rPr/>
              <w:t>项目保证措施 (15.0分)</w:t>
            </w:r>
          </w:p>
        </w:tc>
        <w:tc>
          <w:tcPr>
            <w:tcW w:type="dxa" w:w="5076"/>
          </w:tcPr>
          <w:p>
            <w:pPr>
              <w:pStyle w:val="null3"/>
              <w:jc w:val="left"/>
            </w:pPr>
            <w:r>
              <w:rPr/>
              <w:t>根据供应商提供的项目保证措施（包括但不限于以下内容① 技术保障措施；②管理保障措施； ③质量保证措施等）进行评审： 1、措施详尽，科学可行，完全围绕本项目采购需求内容且能有效确保项目顺利实施，得15分； 2、 措施较详尽，较科学可行，能联系到本项目采购需求内容，能确保项目实施，，得11分； 3、措施不够具体，科学可行性一般，与本项目采购需求内容关联度不高，能勉强确保项目实施，得7分； 4、措施片面、有缺失，与本项目采购需求内容无关联性，不能确保项目实施，得3分。 5、未提供相关措施的不得分。</w:t>
            </w:r>
          </w:p>
        </w:tc>
      </w:tr>
      <w:tr>
        <w:tc>
          <w:tcPr>
            <w:tcW w:type="dxa" w:w="922"/>
            <w:gridSpan w:val="2"/>
            <w:vMerge/>
          </w:tcPr>
          <w:p/>
        </w:tc>
        <w:tc>
          <w:tcPr>
            <w:tcW w:type="dxa" w:w="2307"/>
          </w:tcPr>
          <w:p>
            <w:pPr>
              <w:pStyle w:val="null3"/>
              <w:jc w:val="left"/>
            </w:pPr>
            <w:r>
              <w:rPr/>
              <w:t>安全防护制度和应急处理措施 (10.0分)</w:t>
            </w:r>
          </w:p>
        </w:tc>
        <w:tc>
          <w:tcPr>
            <w:tcW w:type="dxa" w:w="5076"/>
          </w:tcPr>
          <w:p>
            <w:pPr>
              <w:pStyle w:val="null3"/>
              <w:jc w:val="left"/>
            </w:pPr>
            <w:r>
              <w:rPr/>
              <w:t>根据供应商提供的安全防护制度和应急处理措施进行评审： 1、制度及措施详尽，科学可行，完全围绕本项目采购需求内容且能有效确保项目顺利实施，得10分； 2、制度及措施较详尽，较科学可行，能联系到本项目采购需求内容，能确保项目实施，得7分； 3、制度及措施不够具体，科学可行性一般，与本项目采购需求内容关联度不高，能勉强确保项目实施，得4分； 4、制度及措施片面、有缺失，与本项目采购需求内容无关联性，不能确保项目实施，得1分。 5、未提供相关制度和措施的不得分。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企业专业性、项目业绩 (15.0分)</w:t>
            </w:r>
          </w:p>
        </w:tc>
        <w:tc>
          <w:tcPr>
            <w:tcW w:type="dxa" w:w="5076"/>
          </w:tcPr>
          <w:p>
            <w:pPr>
              <w:pStyle w:val="null3"/>
              <w:jc w:val="left"/>
            </w:pPr>
            <w:r>
              <w:rPr/>
              <w:t>企业专业性、项目业绩： 1.响应供应商：具有有效期内的《林业有害生物防治组织》资质证书丙级或以上资质的得5分； 2.完成过的同类项目业绩：提供1个得5分，本小项最高得 10分 。 注：需提供项目业绩的中标通知书、合同和竣工验收表复印件作为证明文件，少提供或未提供不得分。</w:t>
            </w:r>
          </w:p>
        </w:tc>
      </w:tr>
      <w:tr>
        <w:tc>
          <w:tcPr>
            <w:tcW w:type="dxa" w:w="922"/>
            <w:gridSpan w:val="2"/>
            <w:vMerge/>
          </w:tcPr>
          <w:p/>
        </w:tc>
        <w:tc>
          <w:tcPr>
            <w:tcW w:type="dxa" w:w="2307"/>
          </w:tcPr>
          <w:p>
            <w:pPr>
              <w:pStyle w:val="null3"/>
              <w:jc w:val="left"/>
            </w:pPr>
            <w:r>
              <w:rPr/>
              <w:t>项目管理团队 (10.0分)</w:t>
            </w:r>
          </w:p>
        </w:tc>
        <w:tc>
          <w:tcPr>
            <w:tcW w:type="dxa" w:w="5076"/>
          </w:tcPr>
          <w:p>
            <w:pPr>
              <w:pStyle w:val="null3"/>
              <w:jc w:val="left"/>
            </w:pPr>
            <w:r>
              <w:rPr/>
              <w:t>拟以投入本项目的负责人和技术负责人：本项最高得10分。 （1）项目负责人： ①具有林业工程师中级职称或以上上或广东省林业乡土专家证书 得5分； ②具有林业助理工程师证书 得3分； ③具有林业相关专业证书 得1分； （2）项目技术负责人： ①具有林业工程师中级职称或以上或广东省林业乡土专家证书得5分； ②具有林业助理工程师证书 得3分； ③具有林业相关专业证书 得1分； 注：本项目的负责人和技术负责人各提供1名，上述要求须提供人员二代身份证、职称证书和在本供应商购买近6个月任意1个月的社保证明复印件材料并加盖公章 (如是退休返聘人员，则提供退休证明及聘用合同) ，否则不得分。</w:t>
            </w:r>
          </w:p>
        </w:tc>
      </w:tr>
      <w:tr>
        <w:tc>
          <w:tcPr>
            <w:tcW w:type="dxa" w:w="922"/>
            <w:gridSpan w:val="2"/>
            <w:vMerge/>
          </w:tcPr>
          <w:p/>
        </w:tc>
        <w:tc>
          <w:tcPr>
            <w:tcW w:type="dxa" w:w="2307"/>
          </w:tcPr>
          <w:p>
            <w:pPr>
              <w:pStyle w:val="null3"/>
              <w:jc w:val="left"/>
            </w:pPr>
            <w:r>
              <w:rPr/>
              <w:t>拟以投入本项目的其他专业人 员 (15.0分)</w:t>
            </w:r>
          </w:p>
        </w:tc>
        <w:tc>
          <w:tcPr>
            <w:tcW w:type="dxa" w:w="5076"/>
          </w:tcPr>
          <w:p>
            <w:pPr>
              <w:pStyle w:val="null3"/>
              <w:jc w:val="left"/>
            </w:pPr>
            <w:r>
              <w:rPr/>
              <w:t>拟以投入本项目的其他专业人员专业情况:本项最高得15分。 1.除项目负责人和技术负责人外，具有《森林病虫防治员5级》证书或以上或《林业有害生物防治》专业技能培训证书 ，每提供一个人得3分。 注：上述要求须提供人员二代身份证、证书、和在本供应商购买近6个月任意1个月的社保证明复印件材料并加盖公章，否则不得分。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441521-2025-02321</w:t>
      </w:r>
    </w:p>
    <w:p>
      <w:pPr>
        <w:pStyle w:val="null3"/>
        <w:jc w:val="center"/>
        <w:outlineLvl w:val="3"/>
      </w:pPr>
      <w:r>
        <w:rPr>
          <w:sz w:val="24"/>
          <w:b/>
        </w:rPr>
        <w:t>采购项目编号：</w:t>
      </w:r>
      <w:r>
        <w:rPr>
          <w:sz w:val="24"/>
          <w:b/>
        </w:rPr>
        <w:t>GDHYCG20250827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广东弘业建设项目管理有限公司</w:t>
      </w:r>
    </w:p>
    <w:p>
      <w:pPr>
        <w:pStyle w:val="null3"/>
        <w:ind w:firstLine="480"/>
      </w:pPr>
      <w:r>
        <w:rPr/>
        <w:t xml:space="preserve"> 你方组织的</w:t>
      </w:r>
      <w:r>
        <w:rPr>
          <w:u w:val="single"/>
        </w:rPr>
        <w:t>“</w:t>
      </w:r>
      <w:r>
        <w:rPr>
          <w:u w:val="single"/>
        </w:rPr>
        <w:t>海丰县2025年林业有害生物防治项目</w:t>
      </w:r>
      <w:r>
        <w:rPr>
          <w:u w:val="single"/>
        </w:rPr>
        <w:t>”</w:t>
      </w:r>
      <w:r>
        <w:rPr/>
        <w:t>项目的竞争性磋商[采购项目编号为：</w:t>
      </w:r>
      <w:r>
        <w:rPr>
          <w:u w:val="single"/>
        </w:rPr>
        <w:t>GDHYCG20250827</w:t>
      </w:r>
      <w:r>
        <w:rPr/>
        <w:t>]，我方愿参与响应。</w:t>
      </w:r>
    </w:p>
    <w:p>
      <w:pPr>
        <w:pStyle w:val="null3"/>
        <w:ind w:firstLine="480"/>
      </w:pPr>
      <w:r>
        <w:rPr/>
        <w:t>我方确认收到贵方提供的</w:t>
      </w:r>
      <w:r>
        <w:rPr>
          <w:u w:val="single"/>
        </w:rPr>
        <w:t>“</w:t>
      </w:r>
      <w:r>
        <w:rPr>
          <w:u w:val="single"/>
        </w:rPr>
        <w:t>海丰县2025年林业有害生物防治项目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广东弘业建设项目管理有限公司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海丰县2025年林业有害生物防治项目</w:t>
      </w:r>
      <w:r>
        <w:rPr/>
        <w:t>”项目采购[采购项目编号为</w:t>
      </w:r>
      <w:r>
        <w:rPr/>
        <w:t>GDHYCG20250827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广东弘业建设项目管理有限公司</w:t>
      </w:r>
    </w:p>
    <w:p>
      <w:pPr>
        <w:pStyle w:val="null3"/>
        <w:ind w:firstLine="480"/>
      </w:pPr>
      <w:r>
        <w:rPr/>
        <w:t>我单位参加贵公司组织的</w:t>
      </w:r>
      <w:r>
        <w:rPr/>
        <w:t>海丰县2025年林业有害生物防治项目</w:t>
      </w:r>
      <w:r>
        <w:rPr/>
        <w:t>（采购项目编号：</w:t>
      </w:r>
      <w:r>
        <w:rPr/>
        <w:t>GDHYCG20250827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广东弘业建设项目管理有限公司</w:t>
      </w:r>
    </w:p>
    <w:p>
      <w:pPr>
        <w:pStyle w:val="null3"/>
        <w:ind w:firstLine="480"/>
      </w:pPr>
      <w:r>
        <w:rPr/>
        <w:t>我单位已登记并准备参与“</w:t>
      </w:r>
      <w:r>
        <w:rPr/>
        <w:t>海丰县2025年林业有害生物防治项目</w:t>
      </w:r>
      <w:r>
        <w:rPr/>
        <w:t>”项目（采购项目编号：</w:t>
      </w:r>
      <w:r>
        <w:rPr/>
        <w:t>GDHYCG20250827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