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C2D1D">
      <w:pPr>
        <w:spacing w:line="360" w:lineRule="auto"/>
        <w:jc w:val="center"/>
        <w:rPr>
          <w:rFonts w:ascii="仿宋" w:hAnsi="仿宋" w:eastAsia="仿宋" w:cs="仿宋"/>
          <w:b/>
          <w:color w:val="auto"/>
          <w:spacing w:val="80"/>
          <w:sz w:val="22"/>
          <w:szCs w:val="24"/>
          <w:highlight w:val="none"/>
        </w:rPr>
      </w:pPr>
      <w:r>
        <w:rPr>
          <w:rFonts w:hint="eastAsia" w:ascii="仿宋" w:hAnsi="仿宋" w:eastAsia="仿宋" w:cs="仿宋"/>
          <w:color w:val="auto"/>
          <w:sz w:val="22"/>
          <w:highlight w:val="none"/>
        </w:rPr>
        <mc:AlternateContent>
          <mc:Choice Requires="wps">
            <w:drawing>
              <wp:anchor distT="0" distB="0" distL="114300" distR="114300" simplePos="0" relativeHeight="251661312" behindDoc="0" locked="0" layoutInCell="1" hidden="1" allowOverlap="1">
                <wp:simplePos x="0" y="0"/>
                <wp:positionH relativeFrom="column">
                  <wp:posOffset>-847090</wp:posOffset>
                </wp:positionH>
                <wp:positionV relativeFrom="paragraph">
                  <wp:posOffset>-787400</wp:posOffset>
                </wp:positionV>
                <wp:extent cx="63500" cy="63500"/>
                <wp:effectExtent l="0" t="0" r="0" b="0"/>
                <wp:wrapNone/>
                <wp:docPr id="1" name="KGD_Gobal1" descr="lskY7P30+39SSS2ze3CC/DY7LrxXe9D+i61G56WCr0Ssrs1gfUiXwhTiNlqg7UbQtz21TIHkejWdD4s9RBqYy0h+PmGZcW4YeP/sa6/aAFrksp9jS9ddYbQx3NJX3VZstwwdmIPlz3AY0vAY20mEko43CQwsyFpgeYm07vmpDI7L4/p32yZ+K4aHlX8jjETGG3AGcVhBVLrfeCE14tFTxNUy+1lluqOxgv2+KoCGDCt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kfJqjAZ5bLvkwR4/o83rplDU5D54LCj/eDe44qkoVNg/NaGDP0cUERjdd74v/fHAdo7rCM25BNeof+A8ywNdecul4gkntVgQMOwbXO1IjOmMQ4QG4rXkeC8Bk48ExpqGIbx9OXJ51XBxxSO+24OSgJ+EtbDh+lJ7rWwf9fXE/nFUNjCOjx84Ra5AitQEX7KLRc2cEvG40dfuHDtzbSrIwZlLG1nZLsLcRuKp2Fm06VXTY56pLk0Owwu26isBqzvCPmN7UN3e+IR2xHXvlKOq3Rl2lyCcQXD3FLf2xodDn4OZyV773gYpwV6iPuL+WvmCRve5owA3FeRDMundO9tIuKK778NKtNszfEBGjj3NZWw+CAE/E+KMqIj9hw5JuboU"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a:solidFill>
                            <a:srgbClr val="000000"/>
                          </a:solidFill>
                          <a:miter lim="0"/>
                        </a:ln>
                      </wps:spPr>
                      <wps:txbx>
                        <w:txbxContent>
                          <w:p w14:paraId="200179CF"/>
                        </w:txbxContent>
                      </wps:txbx>
                      <wps:bodyPr upright="1"/>
                    </wps:wsp>
                  </a:graphicData>
                </a:graphic>
              </wp:anchor>
            </w:drawing>
          </mc:Choice>
          <mc:Fallback>
            <w:pict>
              <v:rect id="KGD_Gobal1" o:spid="_x0000_s1026" o:spt="1" alt="lskY7P30+39SSS2ze3CC/DY7LrxXe9D+i61G56WCr0Ssrs1gfUiXwhTiNlqg7UbQtz21TIHkejWdD4s9RBqYy0h+PmGZcW4YeP/sa6/aAFrksp9jS9ddYbQx3NJX3VZstwwdmIPlz3AY0vAY20mEko43CQwsyFpgeYm07vmpDI7L4/p32yZ+K4aHlX8jjETGG3AGcVhBVLrfeCE14tFTxNUy+1lluqOxgv2+KoCGDCt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kfJqjAZ5bLvkwR4/o83rplDU5D54LCj/eDe44qkoVNg/NaGDP0cUERjdd74v/fHAdo7rCM25BNeof+A8ywNdecul4gkntVgQMOwbXO1IjOmMQ4QG4rXkeC8Bk48ExpqGIbx9OXJ51XBxxSO+24OSgJ+EtbDh+lJ7rWwf9fXE/nFUNjCOjx84Ra5AitQEX7KLRc2cEvG40dfuHDtzbSrIwZlLG1nZLsLcRuKp2Fm06VXTY56pLk0Owwu26isBqzvCPmN7UN3e+IR2xHXvlKOq3Rl2lyCcQXD3FLf2xodDn4OZyV773gYpwV6iPuL+WvmCRve5owA3FeRDMundO9tIuKK778NKtNszfEBGjj3NZWw+CAE/E+KMqIj9hw5JuboU" style="position:absolute;left:0pt;margin-left:-66.7pt;margin-top:-62pt;height:5pt;width:5pt;visibility:hidden;z-index:251661312;mso-width-relative:page;mso-height-relative:page;" fillcolor="#FFFFFF" filled="t" stroked="t" coordsize="21600,21600" o:gfxdata="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">
                <v:fill on="t" focussize="0,0"/>
                <v:stroke color="#000000" miterlimit="0" joinstyle="miter"/>
                <v:imagedata o:title=""/>
                <o:lock v:ext="edit" aspectratio="f"/>
                <v:textbox>
                  <w:txbxContent>
                    <w:p w14:paraId="200179CF"/>
                  </w:txbxContent>
                </v:textbox>
              </v:rect>
            </w:pict>
          </mc:Fallback>
        </mc:AlternateContent>
      </w:r>
    </w:p>
    <w:p w14:paraId="51FA635E">
      <w:pPr>
        <w:spacing w:before="156" w:beforeLines="50" w:line="360" w:lineRule="auto"/>
        <w:jc w:val="center"/>
        <w:rPr>
          <w:rFonts w:hint="eastAsia" w:ascii="仿宋" w:hAnsi="仿宋" w:eastAsia="仿宋" w:cs="仿宋"/>
          <w:b/>
          <w:color w:val="auto"/>
          <w:sz w:val="40"/>
          <w:szCs w:val="44"/>
          <w:highlight w:val="none"/>
          <w:lang w:eastAsia="zh-CN"/>
        </w:rPr>
      </w:pPr>
      <w:r>
        <w:rPr>
          <w:rFonts w:hint="eastAsia" w:ascii="仿宋" w:hAnsi="仿宋" w:eastAsia="仿宋" w:cs="仿宋"/>
          <w:b/>
          <w:color w:val="auto"/>
          <w:sz w:val="40"/>
          <w:szCs w:val="44"/>
          <w:highlight w:val="none"/>
          <w:lang w:eastAsia="zh-CN"/>
        </w:rPr>
        <w:t>陇川县2025年水库及堤防白蚁等害堤动物防治项目</w:t>
      </w:r>
    </w:p>
    <w:p w14:paraId="55AF20CC">
      <w:pPr>
        <w:pStyle w:val="52"/>
        <w:rPr>
          <w:rFonts w:ascii="仿宋" w:hAnsi="仿宋" w:eastAsia="仿宋" w:cs="仿宋"/>
          <w:b/>
          <w:color w:val="auto"/>
          <w:sz w:val="40"/>
          <w:szCs w:val="44"/>
          <w:highlight w:val="none"/>
        </w:rPr>
      </w:pPr>
    </w:p>
    <w:p w14:paraId="4536C61B">
      <w:pPr>
        <w:pStyle w:val="52"/>
        <w:rPr>
          <w:rFonts w:ascii="仿宋" w:hAnsi="仿宋" w:eastAsia="仿宋" w:cs="仿宋"/>
          <w:b/>
          <w:color w:val="auto"/>
          <w:sz w:val="40"/>
          <w:szCs w:val="44"/>
          <w:highlight w:val="none"/>
        </w:rPr>
      </w:pPr>
    </w:p>
    <w:p w14:paraId="6CADA7EB">
      <w:pPr>
        <w:spacing w:before="156" w:beforeLines="50" w:after="156" w:afterLines="50" w:line="360" w:lineRule="auto"/>
        <w:jc w:val="center"/>
        <w:rPr>
          <w:rFonts w:hint="eastAsia" w:ascii="仿宋" w:hAnsi="仿宋" w:eastAsia="仿宋" w:cs="仿宋"/>
          <w:b/>
          <w:color w:val="auto"/>
          <w:sz w:val="72"/>
          <w:szCs w:val="84"/>
          <w:highlight w:val="none"/>
        </w:rPr>
      </w:pPr>
    </w:p>
    <w:p w14:paraId="4DC2FD20">
      <w:pPr>
        <w:spacing w:before="156" w:beforeLines="50" w:after="156" w:afterLines="50" w:line="360" w:lineRule="auto"/>
        <w:jc w:val="center"/>
        <w:rPr>
          <w:rFonts w:hint="eastAsia" w:ascii="仿宋" w:hAnsi="仿宋" w:eastAsia="仿宋" w:cs="仿宋"/>
          <w:b/>
          <w:color w:val="auto"/>
          <w:sz w:val="72"/>
          <w:szCs w:val="84"/>
          <w:highlight w:val="none"/>
        </w:rPr>
      </w:pPr>
    </w:p>
    <w:p w14:paraId="18FA01C2">
      <w:pPr>
        <w:spacing w:before="156" w:beforeLines="50" w:after="156" w:afterLines="50" w:line="360" w:lineRule="auto"/>
        <w:jc w:val="center"/>
        <w:rPr>
          <w:rFonts w:ascii="仿宋" w:hAnsi="仿宋" w:eastAsia="仿宋" w:cs="仿宋"/>
          <w:color w:val="auto"/>
          <w:sz w:val="72"/>
          <w:szCs w:val="84"/>
          <w:highlight w:val="none"/>
        </w:rPr>
      </w:pPr>
      <w:r>
        <w:rPr>
          <w:rFonts w:hint="eastAsia" w:ascii="仿宋" w:hAnsi="仿宋" w:eastAsia="仿宋" w:cs="仿宋"/>
          <w:b/>
          <w:color w:val="auto"/>
          <w:sz w:val="72"/>
          <w:szCs w:val="84"/>
          <w:highlight w:val="none"/>
        </w:rPr>
        <w:t>竞争性磋商文件</w:t>
      </w:r>
    </w:p>
    <w:p w14:paraId="170C6037">
      <w:pPr>
        <w:pStyle w:val="13"/>
        <w:spacing w:line="360" w:lineRule="auto"/>
        <w:jc w:val="center"/>
        <w:rPr>
          <w:rFonts w:hint="eastAsia" w:ascii="仿宋" w:hAnsi="仿宋" w:eastAsia="仿宋" w:cs="仿宋"/>
          <w:b/>
          <w:color w:val="auto"/>
          <w:highlight w:val="none"/>
          <w:lang w:eastAsia="zh-CN"/>
        </w:rPr>
      </w:pPr>
      <w:r>
        <w:rPr>
          <w:rFonts w:hint="eastAsia" w:ascii="仿宋" w:hAnsi="仿宋" w:eastAsia="仿宋" w:cs="仿宋"/>
          <w:b/>
          <w:bCs w:val="0"/>
          <w:color w:val="auto"/>
          <w:szCs w:val="28"/>
          <w:highlight w:val="none"/>
        </w:rPr>
        <w:t>项目编号：</w:t>
      </w:r>
      <w:r>
        <w:rPr>
          <w:rFonts w:hint="eastAsia" w:ascii="仿宋" w:hAnsi="仿宋" w:eastAsia="仿宋" w:cs="仿宋"/>
          <w:b/>
          <w:bCs w:val="0"/>
          <w:color w:val="auto"/>
          <w:szCs w:val="28"/>
          <w:highlight w:val="none"/>
          <w:lang w:val="en-US" w:eastAsia="zh-CN"/>
        </w:rPr>
        <w:t xml:space="preserve"> </w:t>
      </w:r>
      <w:r>
        <w:rPr>
          <w:rFonts w:hint="eastAsia" w:ascii="仿宋" w:hAnsi="仿宋" w:eastAsia="仿宋" w:cs="仿宋"/>
          <w:color w:val="auto"/>
          <w:szCs w:val="24"/>
          <w:highlight w:val="none"/>
          <w:lang w:eastAsia="zh-CN"/>
        </w:rPr>
        <w:t>DHZC2025-C3-00670-DHSH-0025</w:t>
      </w:r>
    </w:p>
    <w:p w14:paraId="180C1017">
      <w:pPr>
        <w:spacing w:line="360" w:lineRule="auto"/>
        <w:rPr>
          <w:rFonts w:ascii="仿宋" w:hAnsi="仿宋" w:eastAsia="仿宋" w:cs="仿宋"/>
          <w:b/>
          <w:color w:val="auto"/>
          <w:sz w:val="24"/>
          <w:highlight w:val="none"/>
        </w:rPr>
      </w:pPr>
    </w:p>
    <w:p w14:paraId="16739738">
      <w:pPr>
        <w:spacing w:line="360" w:lineRule="auto"/>
        <w:rPr>
          <w:rFonts w:ascii="仿宋" w:hAnsi="仿宋" w:eastAsia="仿宋" w:cs="仿宋"/>
          <w:b/>
          <w:color w:val="auto"/>
          <w:sz w:val="24"/>
          <w:highlight w:val="none"/>
        </w:rPr>
      </w:pPr>
    </w:p>
    <w:p w14:paraId="3EB20171">
      <w:pPr>
        <w:pStyle w:val="10"/>
        <w:spacing w:line="360" w:lineRule="auto"/>
        <w:rPr>
          <w:rFonts w:ascii="仿宋" w:hAnsi="仿宋" w:eastAsia="仿宋" w:cs="仿宋"/>
          <w:b/>
          <w:color w:val="auto"/>
          <w:highlight w:val="none"/>
        </w:rPr>
      </w:pPr>
    </w:p>
    <w:p w14:paraId="739179BA">
      <w:pPr>
        <w:spacing w:line="360" w:lineRule="auto"/>
        <w:rPr>
          <w:rFonts w:ascii="仿宋" w:hAnsi="仿宋" w:eastAsia="仿宋" w:cs="仿宋"/>
          <w:b/>
          <w:color w:val="auto"/>
          <w:sz w:val="24"/>
          <w:highlight w:val="none"/>
        </w:rPr>
      </w:pPr>
    </w:p>
    <w:p w14:paraId="5D600D9A">
      <w:pPr>
        <w:pStyle w:val="10"/>
        <w:spacing w:line="360" w:lineRule="auto"/>
        <w:rPr>
          <w:rFonts w:ascii="仿宋" w:hAnsi="仿宋" w:eastAsia="仿宋" w:cs="仿宋"/>
          <w:b/>
          <w:color w:val="auto"/>
          <w:highlight w:val="none"/>
        </w:rPr>
      </w:pPr>
    </w:p>
    <w:p w14:paraId="4F25FB25">
      <w:pPr>
        <w:spacing w:line="360" w:lineRule="auto"/>
        <w:rPr>
          <w:rFonts w:ascii="仿宋" w:hAnsi="仿宋" w:eastAsia="仿宋" w:cs="仿宋"/>
          <w:b/>
          <w:color w:val="auto"/>
          <w:sz w:val="24"/>
          <w:highlight w:val="none"/>
        </w:rPr>
      </w:pPr>
    </w:p>
    <w:p w14:paraId="588160BD">
      <w:pPr>
        <w:pStyle w:val="10"/>
        <w:spacing w:line="360" w:lineRule="auto"/>
        <w:rPr>
          <w:rFonts w:ascii="仿宋" w:hAnsi="仿宋" w:eastAsia="仿宋" w:cs="仿宋"/>
          <w:color w:val="auto"/>
          <w:highlight w:val="none"/>
        </w:rPr>
      </w:pPr>
    </w:p>
    <w:p w14:paraId="68681CC1">
      <w:pPr>
        <w:spacing w:line="360" w:lineRule="auto"/>
        <w:rPr>
          <w:rFonts w:ascii="仿宋" w:hAnsi="仿宋" w:eastAsia="仿宋" w:cs="仿宋"/>
          <w:b/>
          <w:color w:val="auto"/>
          <w:sz w:val="24"/>
          <w:highlight w:val="none"/>
        </w:rPr>
      </w:pPr>
    </w:p>
    <w:p w14:paraId="44D2DA5C">
      <w:pPr>
        <w:spacing w:line="360" w:lineRule="auto"/>
        <w:ind w:firstLine="1124" w:firstLineChars="400"/>
        <w:rPr>
          <w:rFonts w:hint="eastAsia" w:ascii="仿宋" w:hAnsi="仿宋" w:eastAsia="仿宋" w:cs="仿宋"/>
          <w:b/>
          <w:color w:val="auto"/>
          <w:sz w:val="28"/>
          <w:szCs w:val="32"/>
          <w:highlight w:val="none"/>
          <w:lang w:eastAsia="zh-CN"/>
        </w:rPr>
      </w:pPr>
      <w:r>
        <w:rPr>
          <w:rFonts w:hint="eastAsia" w:ascii="仿宋" w:hAnsi="仿宋" w:eastAsia="仿宋" w:cs="仿宋"/>
          <w:b/>
          <w:color w:val="auto"/>
          <w:sz w:val="28"/>
          <w:szCs w:val="32"/>
          <w:highlight w:val="none"/>
        </w:rPr>
        <w:t>采 购 人：</w:t>
      </w:r>
      <w:r>
        <w:rPr>
          <w:rFonts w:hint="eastAsia" w:ascii="仿宋" w:hAnsi="仿宋" w:eastAsia="仿宋" w:cs="仿宋"/>
          <w:b/>
          <w:color w:val="auto"/>
          <w:sz w:val="28"/>
          <w:szCs w:val="32"/>
          <w:highlight w:val="none"/>
          <w:lang w:eastAsia="zh-CN"/>
        </w:rPr>
        <w:t>陇川县水利局</w:t>
      </w:r>
    </w:p>
    <w:p w14:paraId="376C5A99">
      <w:pPr>
        <w:spacing w:line="360" w:lineRule="auto"/>
        <w:ind w:firstLine="1124" w:firstLineChars="400"/>
        <w:rPr>
          <w:rFonts w:ascii="仿宋" w:hAnsi="仿宋" w:eastAsia="仿宋" w:cs="仿宋"/>
          <w:b/>
          <w:color w:val="auto"/>
          <w:sz w:val="28"/>
          <w:szCs w:val="32"/>
          <w:highlight w:val="none"/>
        </w:rPr>
      </w:pPr>
      <w:r>
        <w:rPr>
          <w:rFonts w:hint="eastAsia" w:ascii="仿宋" w:hAnsi="仿宋" w:eastAsia="仿宋" w:cs="仿宋"/>
          <w:b/>
          <w:color w:val="auto"/>
          <w:sz w:val="28"/>
          <w:szCs w:val="32"/>
          <w:highlight w:val="none"/>
        </w:rPr>
        <w:t>代理机构：德宏杉和工程咨询有限公司</w:t>
      </w:r>
    </w:p>
    <w:p w14:paraId="0CFCD347">
      <w:pPr>
        <w:spacing w:line="360" w:lineRule="auto"/>
        <w:ind w:firstLine="1124" w:firstLineChars="400"/>
        <w:rPr>
          <w:rFonts w:ascii="仿宋" w:hAnsi="仿宋" w:eastAsia="仿宋" w:cs="仿宋"/>
          <w:color w:val="auto"/>
          <w:sz w:val="28"/>
          <w:szCs w:val="32"/>
          <w:highlight w:val="none"/>
        </w:rPr>
      </w:pPr>
      <w:r>
        <w:rPr>
          <w:rFonts w:hint="eastAsia" w:ascii="仿宋" w:hAnsi="仿宋" w:eastAsia="仿宋" w:cs="仿宋"/>
          <w:b/>
          <w:color w:val="auto"/>
          <w:sz w:val="28"/>
          <w:szCs w:val="32"/>
          <w:highlight w:val="none"/>
        </w:rPr>
        <w:t>日    期：二〇二</w:t>
      </w:r>
      <w:r>
        <w:rPr>
          <w:rFonts w:hint="eastAsia" w:ascii="仿宋" w:hAnsi="仿宋" w:eastAsia="仿宋" w:cs="仿宋"/>
          <w:b/>
          <w:color w:val="auto"/>
          <w:sz w:val="28"/>
          <w:szCs w:val="32"/>
          <w:highlight w:val="none"/>
          <w:lang w:val="en-US" w:eastAsia="zh-CN"/>
        </w:rPr>
        <w:t>五</w:t>
      </w:r>
      <w:r>
        <w:rPr>
          <w:rFonts w:hint="eastAsia" w:ascii="仿宋" w:hAnsi="仿宋" w:eastAsia="仿宋" w:cs="仿宋"/>
          <w:b/>
          <w:color w:val="auto"/>
          <w:sz w:val="28"/>
          <w:szCs w:val="32"/>
          <w:highlight w:val="none"/>
        </w:rPr>
        <w:t>年</w:t>
      </w:r>
      <w:r>
        <w:rPr>
          <w:rFonts w:hint="eastAsia" w:ascii="仿宋" w:hAnsi="仿宋" w:eastAsia="仿宋" w:cs="仿宋"/>
          <w:b/>
          <w:color w:val="auto"/>
          <w:sz w:val="28"/>
          <w:szCs w:val="32"/>
          <w:highlight w:val="none"/>
          <w:lang w:val="en-US" w:eastAsia="zh-CN"/>
        </w:rPr>
        <w:t>八</w:t>
      </w:r>
      <w:r>
        <w:rPr>
          <w:rFonts w:hint="eastAsia" w:ascii="仿宋" w:hAnsi="仿宋" w:eastAsia="仿宋" w:cs="仿宋"/>
          <w:b/>
          <w:color w:val="auto"/>
          <w:sz w:val="28"/>
          <w:szCs w:val="32"/>
          <w:highlight w:val="none"/>
        </w:rPr>
        <w:t>月</w:t>
      </w:r>
    </w:p>
    <w:p w14:paraId="1FFED067">
      <w:pPr>
        <w:spacing w:line="360" w:lineRule="auto"/>
        <w:jc w:val="center"/>
        <w:rPr>
          <w:rFonts w:ascii="仿宋" w:hAnsi="仿宋" w:eastAsia="仿宋" w:cs="仿宋"/>
          <w:b/>
          <w:color w:val="auto"/>
          <w:sz w:val="40"/>
          <w:highlight w:val="none"/>
        </w:rPr>
        <w:sectPr>
          <w:headerReference r:id="rId4" w:type="first"/>
          <w:headerReference r:id="rId3" w:type="default"/>
          <w:footerReference r:id="rId5" w:type="even"/>
          <w:pgSz w:w="11906" w:h="16838"/>
          <w:pgMar w:top="1417" w:right="1417" w:bottom="1417" w:left="1417" w:header="851" w:footer="851" w:gutter="0"/>
          <w:pgNumType w:start="0"/>
          <w:cols w:space="708" w:num="1"/>
          <w:titlePg/>
          <w:docGrid w:type="lines" w:linePitch="312" w:charSpace="0"/>
        </w:sectPr>
      </w:pPr>
    </w:p>
    <w:p w14:paraId="36C01E82">
      <w:pPr>
        <w:spacing w:line="360" w:lineRule="auto"/>
        <w:jc w:val="center"/>
        <w:rPr>
          <w:rFonts w:ascii="仿宋" w:hAnsi="仿宋" w:eastAsia="仿宋" w:cs="仿宋"/>
          <w:b/>
          <w:color w:val="auto"/>
          <w:sz w:val="40"/>
          <w:highlight w:val="none"/>
        </w:rPr>
      </w:pPr>
      <w:r>
        <w:rPr>
          <w:rFonts w:hint="eastAsia" w:ascii="仿宋" w:hAnsi="仿宋" w:eastAsia="仿宋" w:cs="仿宋"/>
          <w:b/>
          <w:color w:val="auto"/>
          <w:sz w:val="40"/>
          <w:highlight w:val="none"/>
        </w:rPr>
        <w:t>目  录</w:t>
      </w:r>
    </w:p>
    <w:p w14:paraId="280F5739">
      <w:pPr>
        <w:pStyle w:val="22"/>
        <w:spacing w:line="360" w:lineRule="auto"/>
        <w:rPr>
          <w:rFonts w:ascii="仿宋" w:hAnsi="仿宋" w:eastAsia="仿宋" w:cs="仿宋"/>
          <w:color w:val="auto"/>
          <w:sz w:val="16"/>
          <w:szCs w:val="20"/>
          <w:highlight w:val="none"/>
        </w:rPr>
      </w:pPr>
    </w:p>
    <w:p w14:paraId="3B9260E3">
      <w:pPr>
        <w:pStyle w:val="25"/>
        <w:tabs>
          <w:tab w:val="right" w:leader="dot" w:pos="8414"/>
        </w:tabs>
        <w:rPr>
          <w:highlight w:val="none"/>
        </w:rPr>
      </w:pPr>
      <w:r>
        <w:rPr>
          <w:rFonts w:hint="eastAsia" w:ascii="仿宋" w:hAnsi="仿宋" w:eastAsia="仿宋" w:cs="仿宋"/>
          <w:b w:val="0"/>
          <w:color w:val="auto"/>
          <w:sz w:val="40"/>
          <w:szCs w:val="44"/>
          <w:highlight w:val="none"/>
        </w:rPr>
        <w:fldChar w:fldCharType="begin"/>
      </w:r>
      <w:r>
        <w:rPr>
          <w:rFonts w:hint="eastAsia" w:ascii="仿宋" w:hAnsi="仿宋" w:eastAsia="仿宋" w:cs="仿宋"/>
          <w:b w:val="0"/>
          <w:color w:val="auto"/>
          <w:sz w:val="40"/>
          <w:szCs w:val="44"/>
          <w:highlight w:val="none"/>
        </w:rPr>
        <w:instrText xml:space="preserve"> TOC \o "1-3" </w:instrText>
      </w:r>
      <w:r>
        <w:rPr>
          <w:rFonts w:hint="eastAsia" w:ascii="仿宋" w:hAnsi="仿宋" w:eastAsia="仿宋" w:cs="仿宋"/>
          <w:b w:val="0"/>
          <w:color w:val="auto"/>
          <w:sz w:val="40"/>
          <w:szCs w:val="44"/>
          <w:highlight w:val="none"/>
        </w:rPr>
        <w:fldChar w:fldCharType="separate"/>
      </w:r>
      <w:r>
        <w:rPr>
          <w:rFonts w:hint="eastAsia" w:ascii="仿宋" w:hAnsi="仿宋" w:eastAsia="仿宋" w:cs="仿宋"/>
          <w:color w:val="auto"/>
          <w:highlight w:val="none"/>
        </w:rPr>
        <w:t>第一章 竞争性磋商公告</w:t>
      </w:r>
      <w:r>
        <w:rPr>
          <w:highlight w:val="none"/>
        </w:rPr>
        <w:tab/>
      </w:r>
      <w:r>
        <w:rPr>
          <w:highlight w:val="none"/>
        </w:rPr>
        <w:fldChar w:fldCharType="begin"/>
      </w:r>
      <w:r>
        <w:rPr>
          <w:highlight w:val="none"/>
        </w:rPr>
        <w:instrText xml:space="preserve"> PAGEREF _Toc16500 \h </w:instrText>
      </w:r>
      <w:r>
        <w:rPr>
          <w:highlight w:val="none"/>
        </w:rPr>
        <w:fldChar w:fldCharType="separate"/>
      </w:r>
      <w:r>
        <w:rPr>
          <w:highlight w:val="none"/>
        </w:rPr>
        <w:t>1</w:t>
      </w:r>
      <w:r>
        <w:rPr>
          <w:highlight w:val="none"/>
        </w:rPr>
        <w:fldChar w:fldCharType="end"/>
      </w:r>
    </w:p>
    <w:p w14:paraId="4FA8DC11">
      <w:pPr>
        <w:pStyle w:val="25"/>
        <w:tabs>
          <w:tab w:val="right" w:leader="dot" w:pos="8414"/>
        </w:tabs>
        <w:rPr>
          <w:highlight w:val="none"/>
        </w:rPr>
      </w:pPr>
      <w:r>
        <w:rPr>
          <w:rFonts w:hint="eastAsia" w:ascii="仿宋" w:hAnsi="仿宋" w:eastAsia="仿宋" w:cs="仿宋"/>
          <w:color w:val="auto"/>
          <w:highlight w:val="none"/>
        </w:rPr>
        <w:t>第二章 供应商须知</w:t>
      </w:r>
      <w:r>
        <w:rPr>
          <w:highlight w:val="none"/>
        </w:rPr>
        <w:tab/>
      </w:r>
      <w:r>
        <w:rPr>
          <w:highlight w:val="none"/>
        </w:rPr>
        <w:fldChar w:fldCharType="begin"/>
      </w:r>
      <w:r>
        <w:rPr>
          <w:highlight w:val="none"/>
        </w:rPr>
        <w:instrText xml:space="preserve"> PAGEREF _Toc9476 \h </w:instrText>
      </w:r>
      <w:r>
        <w:rPr>
          <w:highlight w:val="none"/>
        </w:rPr>
        <w:fldChar w:fldCharType="separate"/>
      </w:r>
      <w:r>
        <w:rPr>
          <w:highlight w:val="none"/>
        </w:rPr>
        <w:t>6</w:t>
      </w:r>
      <w:r>
        <w:rPr>
          <w:highlight w:val="none"/>
        </w:rPr>
        <w:fldChar w:fldCharType="end"/>
      </w:r>
    </w:p>
    <w:p w14:paraId="24EC729F">
      <w:pPr>
        <w:pStyle w:val="25"/>
        <w:tabs>
          <w:tab w:val="right" w:leader="dot" w:pos="8414"/>
        </w:tabs>
        <w:rPr>
          <w:rFonts w:hint="eastAsia" w:ascii="仿宋" w:hAnsi="仿宋" w:eastAsia="仿宋" w:cs="仿宋"/>
          <w:color w:val="auto"/>
          <w:highlight w:val="none"/>
        </w:rPr>
      </w:pPr>
      <w:r>
        <w:rPr>
          <w:rFonts w:hint="eastAsia" w:ascii="仿宋" w:hAnsi="仿宋" w:eastAsia="仿宋" w:cs="仿宋"/>
          <w:color w:val="auto"/>
          <w:szCs w:val="44"/>
          <w:highlight w:val="none"/>
        </w:rPr>
        <w:t>第</w:t>
      </w:r>
      <w:r>
        <w:rPr>
          <w:rFonts w:hint="eastAsia" w:ascii="仿宋" w:hAnsi="仿宋" w:eastAsia="仿宋" w:cs="仿宋"/>
          <w:color w:val="auto"/>
          <w:highlight w:val="none"/>
        </w:rPr>
        <w:t>三章 合同文本样式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_Toc13679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p>
    <w:p w14:paraId="31719284">
      <w:pPr>
        <w:pStyle w:val="25"/>
        <w:tabs>
          <w:tab w:val="right" w:leader="dot" w:pos="8414"/>
        </w:tabs>
        <w:rPr>
          <w:rFonts w:hint="eastAsia" w:ascii="仿宋" w:hAnsi="仿宋" w:eastAsia="仿宋" w:cs="仿宋"/>
          <w:color w:val="auto"/>
          <w:highlight w:val="none"/>
        </w:rPr>
      </w:pPr>
      <w:r>
        <w:rPr>
          <w:rFonts w:hint="eastAsia" w:ascii="仿宋" w:hAnsi="仿宋" w:eastAsia="仿宋" w:cs="仿宋"/>
          <w:color w:val="auto"/>
          <w:highlight w:val="none"/>
        </w:rPr>
        <w:t>第四章  响应文件格式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_Toc32557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p>
    <w:p w14:paraId="73819BC4">
      <w:pPr>
        <w:pStyle w:val="25"/>
        <w:tabs>
          <w:tab w:val="right" w:leader="dot" w:pos="8414"/>
        </w:tabs>
        <w:rPr>
          <w:rFonts w:hint="eastAsia" w:ascii="仿宋" w:hAnsi="仿宋" w:eastAsia="仿宋" w:cs="仿宋"/>
          <w:color w:val="auto"/>
          <w:highlight w:val="none"/>
        </w:rPr>
      </w:pPr>
      <w:r>
        <w:rPr>
          <w:rFonts w:hint="eastAsia" w:ascii="仿宋" w:hAnsi="仿宋" w:eastAsia="仿宋" w:cs="仿宋"/>
          <w:color w:val="auto"/>
          <w:highlight w:val="none"/>
        </w:rPr>
        <w:t>第五章 采购内容及具体要求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_Toc6004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74</w:t>
      </w:r>
      <w:r>
        <w:rPr>
          <w:rFonts w:hint="eastAsia" w:ascii="仿宋" w:hAnsi="仿宋" w:eastAsia="仿宋" w:cs="仿宋"/>
          <w:color w:val="auto"/>
          <w:highlight w:val="none"/>
        </w:rPr>
        <w:fldChar w:fldCharType="end"/>
      </w:r>
    </w:p>
    <w:p w14:paraId="3810B091">
      <w:pPr>
        <w:pStyle w:val="25"/>
        <w:tabs>
          <w:tab w:val="right" w:leader="dot" w:pos="8414"/>
        </w:tabs>
        <w:rPr>
          <w:highlight w:val="none"/>
        </w:rPr>
      </w:pPr>
      <w:r>
        <w:rPr>
          <w:rFonts w:hint="eastAsia" w:ascii="仿宋" w:hAnsi="仿宋" w:eastAsia="仿宋" w:cs="仿宋"/>
          <w:color w:val="auto"/>
          <w:highlight w:val="none"/>
        </w:rPr>
        <w:t>第六章 评审办法</w:t>
      </w:r>
      <w:r>
        <w:rPr>
          <w:highlight w:val="none"/>
        </w:rPr>
        <w:tab/>
      </w:r>
      <w:r>
        <w:rPr>
          <w:highlight w:val="none"/>
        </w:rPr>
        <w:fldChar w:fldCharType="begin"/>
      </w:r>
      <w:r>
        <w:rPr>
          <w:highlight w:val="none"/>
        </w:rPr>
        <w:instrText xml:space="preserve"> PAGEREF _Toc14996 \h </w:instrText>
      </w:r>
      <w:r>
        <w:rPr>
          <w:highlight w:val="none"/>
        </w:rPr>
        <w:fldChar w:fldCharType="separate"/>
      </w:r>
      <w:r>
        <w:rPr>
          <w:highlight w:val="none"/>
        </w:rPr>
        <w:t>75</w:t>
      </w:r>
      <w:r>
        <w:rPr>
          <w:highlight w:val="none"/>
        </w:rPr>
        <w:fldChar w:fldCharType="end"/>
      </w:r>
    </w:p>
    <w:p w14:paraId="127D4F91">
      <w:pPr>
        <w:pStyle w:val="29"/>
        <w:tabs>
          <w:tab w:val="right" w:leader="dot" w:pos="9628"/>
        </w:tabs>
        <w:spacing w:line="360" w:lineRule="auto"/>
        <w:rPr>
          <w:rFonts w:ascii="仿宋" w:hAnsi="仿宋" w:eastAsia="仿宋" w:cs="仿宋"/>
          <w:color w:val="auto"/>
          <w:sz w:val="24"/>
          <w:szCs w:val="28"/>
          <w:highlight w:val="none"/>
        </w:rPr>
        <w:sectPr>
          <w:pgSz w:w="11906" w:h="16838"/>
          <w:pgMar w:top="1780" w:right="1746" w:bottom="1780" w:left="1746" w:header="851" w:footer="851" w:gutter="0"/>
          <w:pgNumType w:start="0"/>
          <w:cols w:space="708" w:num="1"/>
          <w:titlePg/>
          <w:docGrid w:type="lines" w:linePitch="312" w:charSpace="0"/>
        </w:sectPr>
      </w:pPr>
      <w:r>
        <w:rPr>
          <w:rFonts w:hint="eastAsia" w:ascii="仿宋" w:hAnsi="仿宋" w:eastAsia="仿宋" w:cs="仿宋"/>
          <w:color w:val="auto"/>
          <w:szCs w:val="44"/>
          <w:highlight w:val="none"/>
        </w:rPr>
        <w:fldChar w:fldCharType="end"/>
      </w:r>
    </w:p>
    <w:p w14:paraId="69057F25">
      <w:pPr>
        <w:pStyle w:val="2"/>
        <w:tabs>
          <w:tab w:val="left" w:pos="840"/>
          <w:tab w:val="center" w:pos="4620"/>
        </w:tabs>
        <w:spacing w:before="312" w:beforeLines="100" w:after="312" w:afterLines="100" w:line="360" w:lineRule="auto"/>
        <w:jc w:val="both"/>
        <w:rPr>
          <w:rFonts w:ascii="仿宋" w:hAnsi="仿宋" w:eastAsia="仿宋" w:cs="仿宋"/>
          <w:color w:val="auto"/>
          <w:sz w:val="40"/>
          <w:highlight w:val="none"/>
        </w:rPr>
      </w:pPr>
      <w:bookmarkStart w:id="0" w:name="_Toc122530369"/>
      <w:bookmarkStart w:id="1" w:name="_Toc10491"/>
      <w:bookmarkStart w:id="2" w:name="_Toc459036342"/>
      <w:bookmarkStart w:id="3" w:name="_Toc122530372"/>
    </w:p>
    <w:p w14:paraId="6B102109">
      <w:pPr>
        <w:rPr>
          <w:color w:val="auto"/>
          <w:highlight w:val="none"/>
        </w:rPr>
      </w:pPr>
    </w:p>
    <w:p w14:paraId="078CA39E">
      <w:pPr>
        <w:pStyle w:val="13"/>
        <w:rPr>
          <w:color w:val="auto"/>
          <w:highlight w:val="none"/>
        </w:rPr>
      </w:pPr>
    </w:p>
    <w:p w14:paraId="298D558B">
      <w:pPr>
        <w:pStyle w:val="13"/>
        <w:rPr>
          <w:color w:val="auto"/>
          <w:highlight w:val="none"/>
        </w:rPr>
      </w:pPr>
    </w:p>
    <w:p w14:paraId="7E801DD9">
      <w:pPr>
        <w:pStyle w:val="13"/>
        <w:rPr>
          <w:color w:val="auto"/>
          <w:highlight w:val="none"/>
        </w:rPr>
      </w:pPr>
    </w:p>
    <w:p w14:paraId="34C6FB7F">
      <w:pPr>
        <w:pStyle w:val="13"/>
        <w:rPr>
          <w:color w:val="auto"/>
          <w:highlight w:val="none"/>
        </w:rPr>
      </w:pPr>
    </w:p>
    <w:p w14:paraId="41F3AD7C">
      <w:pPr>
        <w:pStyle w:val="13"/>
        <w:rPr>
          <w:color w:val="auto"/>
          <w:highlight w:val="none"/>
        </w:rPr>
      </w:pPr>
    </w:p>
    <w:p w14:paraId="2C461C32">
      <w:pPr>
        <w:pStyle w:val="2"/>
        <w:numPr>
          <w:ilvl w:val="0"/>
          <w:numId w:val="2"/>
        </w:numPr>
        <w:tabs>
          <w:tab w:val="left" w:pos="840"/>
          <w:tab w:val="center" w:pos="4620"/>
        </w:tabs>
        <w:spacing w:before="312" w:beforeLines="100" w:after="312" w:afterLines="100" w:line="360" w:lineRule="auto"/>
        <w:rPr>
          <w:rFonts w:ascii="仿宋" w:hAnsi="仿宋" w:eastAsia="仿宋" w:cs="仿宋"/>
          <w:color w:val="auto"/>
          <w:sz w:val="40"/>
          <w:highlight w:val="none"/>
        </w:rPr>
      </w:pPr>
      <w:r>
        <w:rPr>
          <w:rFonts w:hint="eastAsia" w:ascii="仿宋" w:hAnsi="仿宋" w:eastAsia="仿宋" w:cs="仿宋"/>
          <w:color w:val="auto"/>
          <w:sz w:val="40"/>
          <w:highlight w:val="none"/>
        </w:rPr>
        <w:t xml:space="preserve"> </w:t>
      </w:r>
      <w:bookmarkStart w:id="4" w:name="_Toc16500"/>
      <w:r>
        <w:rPr>
          <w:rFonts w:hint="eastAsia" w:ascii="仿宋" w:hAnsi="仿宋" w:eastAsia="仿宋" w:cs="仿宋"/>
          <w:color w:val="auto"/>
          <w:sz w:val="40"/>
          <w:highlight w:val="none"/>
        </w:rPr>
        <w:t>竞争性</w:t>
      </w:r>
      <w:bookmarkEnd w:id="0"/>
      <w:r>
        <w:rPr>
          <w:rFonts w:hint="eastAsia" w:ascii="仿宋" w:hAnsi="仿宋" w:eastAsia="仿宋" w:cs="仿宋"/>
          <w:color w:val="auto"/>
          <w:sz w:val="40"/>
          <w:highlight w:val="none"/>
        </w:rPr>
        <w:t>磋商公告</w:t>
      </w:r>
      <w:bookmarkEnd w:id="4"/>
    </w:p>
    <w:p w14:paraId="09E2B7B5">
      <w:pPr>
        <w:pStyle w:val="2"/>
        <w:tabs>
          <w:tab w:val="left" w:pos="0"/>
        </w:tabs>
        <w:autoSpaceDE w:val="0"/>
        <w:autoSpaceDN w:val="0"/>
        <w:adjustRightInd w:val="0"/>
        <w:spacing w:before="0" w:after="0" w:line="360" w:lineRule="auto"/>
        <w:rPr>
          <w:rFonts w:ascii="仿宋" w:hAnsi="仿宋" w:eastAsia="仿宋" w:cs="仿宋"/>
          <w:color w:val="auto"/>
          <w:highlight w:val="none"/>
        </w:rPr>
        <w:sectPr>
          <w:footerReference r:id="rId7" w:type="first"/>
          <w:footerReference r:id="rId6" w:type="default"/>
          <w:pgSz w:w="11906" w:h="16838"/>
          <w:pgMar w:top="1837" w:right="1746" w:bottom="1837" w:left="1746" w:header="851" w:footer="992" w:gutter="0"/>
          <w:pgNumType w:fmt="decimal" w:start="1"/>
          <w:cols w:space="720" w:num="1"/>
          <w:titlePg/>
          <w:docGrid w:type="lines" w:linePitch="312" w:charSpace="0"/>
        </w:sectPr>
      </w:pPr>
      <w:bookmarkStart w:id="5" w:name="_Toc35393797"/>
      <w:bookmarkStart w:id="6" w:name="_Toc28359011"/>
      <w:bookmarkStart w:id="7" w:name="_Toc122530370"/>
    </w:p>
    <w:p w14:paraId="294462F7">
      <w:pPr>
        <w:pStyle w:val="2"/>
        <w:tabs>
          <w:tab w:val="left" w:pos="0"/>
        </w:tabs>
        <w:autoSpaceDE w:val="0"/>
        <w:autoSpaceDN w:val="0"/>
        <w:adjustRightInd w:val="0"/>
        <w:spacing w:before="0" w:after="0" w:line="360" w:lineRule="auto"/>
        <w:rPr>
          <w:rFonts w:hint="eastAsia" w:ascii="仿宋" w:hAnsi="仿宋" w:eastAsia="仿宋" w:cs="仿宋"/>
          <w:color w:val="auto"/>
          <w:sz w:val="32"/>
          <w:szCs w:val="20"/>
          <w:highlight w:val="none"/>
          <w:lang w:eastAsia="zh-CN"/>
        </w:rPr>
      </w:pPr>
      <w:bookmarkStart w:id="8" w:name="_Toc7130"/>
      <w:bookmarkStart w:id="9" w:name="_Toc29714"/>
      <w:r>
        <w:rPr>
          <w:rFonts w:hint="eastAsia" w:ascii="仿宋" w:hAnsi="仿宋" w:eastAsia="仿宋" w:cs="仿宋"/>
          <w:color w:val="auto"/>
          <w:sz w:val="32"/>
          <w:szCs w:val="20"/>
          <w:highlight w:val="none"/>
          <w:lang w:eastAsia="zh-CN"/>
        </w:rPr>
        <w:t>陇川县2025年水库及堤防白蚁等害堤动物防治项目</w:t>
      </w:r>
    </w:p>
    <w:p w14:paraId="31131F4C">
      <w:pPr>
        <w:pStyle w:val="2"/>
        <w:tabs>
          <w:tab w:val="left" w:pos="0"/>
        </w:tabs>
        <w:autoSpaceDE w:val="0"/>
        <w:autoSpaceDN w:val="0"/>
        <w:adjustRightInd w:val="0"/>
        <w:spacing w:before="0" w:after="0" w:line="360" w:lineRule="auto"/>
        <w:rPr>
          <w:rFonts w:ascii="仿宋" w:hAnsi="仿宋" w:eastAsia="仿宋" w:cs="仿宋"/>
          <w:color w:val="auto"/>
          <w:highlight w:val="none"/>
        </w:rPr>
      </w:pPr>
      <w:bookmarkStart w:id="10" w:name="_Toc3917"/>
      <w:r>
        <w:rPr>
          <w:rFonts w:hint="eastAsia" w:ascii="仿宋" w:hAnsi="仿宋" w:eastAsia="仿宋" w:cs="仿宋"/>
          <w:color w:val="auto"/>
          <w:highlight w:val="none"/>
        </w:rPr>
        <w:t>竞争性磋商公告</w:t>
      </w:r>
      <w:bookmarkEnd w:id="5"/>
      <w:bookmarkEnd w:id="6"/>
      <w:bookmarkEnd w:id="8"/>
      <w:bookmarkEnd w:id="9"/>
      <w:bookmarkEnd w:id="10"/>
    </w:p>
    <w:p w14:paraId="3875BA3D">
      <w:pPr>
        <w:adjustRightInd w:val="0"/>
        <w:snapToGrid w:val="0"/>
        <w:spacing w:line="360" w:lineRule="auto"/>
        <w:ind w:firstLine="480" w:firstLineChars="200"/>
        <w:rPr>
          <w:rFonts w:ascii="仿宋" w:hAnsi="仿宋" w:eastAsia="仿宋" w:cs="仿宋"/>
          <w:color w:val="auto"/>
          <w:sz w:val="24"/>
          <w:szCs w:val="24"/>
          <w:highlight w:val="none"/>
        </w:rPr>
      </w:pPr>
    </w:p>
    <w:p w14:paraId="51D2CEC4">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4129CC41">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陇川县2025年水库及堤防白蚁等害堤动物防治项目</w:t>
      </w:r>
      <w:r>
        <w:rPr>
          <w:rFonts w:hint="eastAsia" w:ascii="仿宋" w:hAnsi="仿宋" w:eastAsia="仿宋" w:cs="仿宋"/>
          <w:color w:val="auto"/>
          <w:sz w:val="24"/>
          <w:szCs w:val="24"/>
          <w:highlight w:val="none"/>
        </w:rPr>
        <w:t>的潜在供应商应到</w:t>
      </w:r>
      <w:r>
        <w:rPr>
          <w:rFonts w:hint="eastAsia" w:ascii="仿宋" w:hAnsi="仿宋" w:eastAsia="仿宋" w:cs="仿宋"/>
          <w:color w:val="auto"/>
          <w:sz w:val="24"/>
          <w:szCs w:val="24"/>
          <w:highlight w:val="none"/>
          <w:u w:val="single"/>
        </w:rPr>
        <w:t>政府采购云平台（https://www.zcygov.cn/）</w:t>
      </w:r>
      <w:r>
        <w:rPr>
          <w:rFonts w:hint="eastAsia" w:ascii="仿宋" w:hAnsi="仿宋" w:eastAsia="仿宋" w:cs="仿宋"/>
          <w:color w:val="auto"/>
          <w:sz w:val="24"/>
          <w:szCs w:val="24"/>
          <w:highlight w:val="none"/>
        </w:rPr>
        <w:t>获取竞争性磋商文件，此为获取竞争性磋商文件的唯一途径，并于</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15</w:t>
      </w:r>
      <w:r>
        <w:rPr>
          <w:rFonts w:hint="eastAsia" w:ascii="仿宋" w:hAnsi="仿宋" w:eastAsia="仿宋" w:cs="仿宋"/>
          <w:color w:val="auto"/>
          <w:sz w:val="24"/>
          <w:szCs w:val="24"/>
          <w:highlight w:val="none"/>
          <w:u w:val="single"/>
          <w:lang w:eastAsia="zh-CN"/>
        </w:rPr>
        <w:t>时00分</w:t>
      </w:r>
      <w:r>
        <w:rPr>
          <w:rFonts w:hint="eastAsia" w:ascii="仿宋" w:hAnsi="仿宋" w:eastAsia="仿宋" w:cs="仿宋"/>
          <w:bCs/>
          <w:color w:val="auto"/>
          <w:sz w:val="24"/>
          <w:szCs w:val="24"/>
          <w:highlight w:val="none"/>
        </w:rPr>
        <w:t>（北京时间）前提交响应文件</w:t>
      </w:r>
      <w:r>
        <w:rPr>
          <w:rFonts w:hint="eastAsia" w:ascii="仿宋" w:hAnsi="仿宋" w:eastAsia="仿宋" w:cs="仿宋"/>
          <w:color w:val="auto"/>
          <w:sz w:val="24"/>
          <w:szCs w:val="24"/>
          <w:highlight w:val="none"/>
        </w:rPr>
        <w:t>。</w:t>
      </w:r>
    </w:p>
    <w:p w14:paraId="5765C87F">
      <w:pPr>
        <w:adjustRightInd w:val="0"/>
        <w:snapToGrid w:val="0"/>
        <w:spacing w:line="360" w:lineRule="auto"/>
        <w:ind w:firstLine="480" w:firstLineChars="200"/>
        <w:rPr>
          <w:rFonts w:ascii="仿宋" w:hAnsi="仿宋" w:eastAsia="仿宋" w:cs="仿宋"/>
          <w:color w:val="auto"/>
          <w:sz w:val="24"/>
          <w:szCs w:val="24"/>
          <w:highlight w:val="none"/>
        </w:rPr>
      </w:pPr>
    </w:p>
    <w:p w14:paraId="281893CF">
      <w:pPr>
        <w:pStyle w:val="3"/>
        <w:adjustRightInd w:val="0"/>
        <w:snapToGrid w:val="0"/>
        <w:spacing w:line="360" w:lineRule="auto"/>
        <w:ind w:firstLine="482" w:firstLineChars="200"/>
        <w:jc w:val="left"/>
        <w:rPr>
          <w:rFonts w:ascii="仿宋" w:hAnsi="仿宋" w:eastAsia="仿宋" w:cs="仿宋"/>
          <w:color w:val="auto"/>
          <w:sz w:val="24"/>
          <w:szCs w:val="24"/>
          <w:highlight w:val="none"/>
        </w:rPr>
      </w:pPr>
      <w:bookmarkStart w:id="11" w:name="_Toc28359089"/>
      <w:bookmarkStart w:id="12" w:name="_Toc3063"/>
      <w:bookmarkStart w:id="13" w:name="_Toc35393629"/>
      <w:bookmarkStart w:id="14" w:name="_Toc992"/>
      <w:bookmarkStart w:id="15" w:name="_Toc35393798"/>
      <w:bookmarkStart w:id="16" w:name="_Toc28359012"/>
      <w:bookmarkStart w:id="17" w:name="_Toc8403"/>
      <w:r>
        <w:rPr>
          <w:rFonts w:hint="eastAsia" w:ascii="仿宋" w:hAnsi="仿宋" w:eastAsia="仿宋" w:cs="仿宋"/>
          <w:color w:val="auto"/>
          <w:sz w:val="24"/>
          <w:szCs w:val="24"/>
          <w:highlight w:val="none"/>
        </w:rPr>
        <w:t>一、项目基本情况</w:t>
      </w:r>
      <w:bookmarkEnd w:id="11"/>
      <w:bookmarkEnd w:id="12"/>
      <w:bookmarkEnd w:id="13"/>
      <w:bookmarkEnd w:id="14"/>
      <w:bookmarkEnd w:id="15"/>
      <w:bookmarkEnd w:id="16"/>
      <w:bookmarkEnd w:id="17"/>
    </w:p>
    <w:p w14:paraId="054832C7">
      <w:pPr>
        <w:adjustRightInd w:val="0"/>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1.1项目编号：</w:t>
      </w:r>
      <w:r>
        <w:rPr>
          <w:rFonts w:hint="eastAsia" w:ascii="仿宋" w:hAnsi="仿宋" w:eastAsia="仿宋" w:cs="仿宋"/>
          <w:color w:val="auto"/>
          <w:sz w:val="24"/>
          <w:szCs w:val="24"/>
          <w:highlight w:val="none"/>
          <w:lang w:eastAsia="zh-CN"/>
        </w:rPr>
        <w:t>DHZC2025-C3-00670-DHSH-0025</w:t>
      </w:r>
    </w:p>
    <w:p w14:paraId="097085EA">
      <w:pPr>
        <w:adjustRightInd w:val="0"/>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1.2项目名称：</w:t>
      </w:r>
      <w:r>
        <w:rPr>
          <w:rFonts w:hint="eastAsia" w:ascii="仿宋" w:hAnsi="仿宋" w:eastAsia="仿宋" w:cs="仿宋"/>
          <w:color w:val="auto"/>
          <w:sz w:val="24"/>
          <w:szCs w:val="24"/>
          <w:highlight w:val="none"/>
          <w:lang w:eastAsia="zh-CN"/>
        </w:rPr>
        <w:t>陇川县2025年水库及堤防白蚁等害堤动物防治项目</w:t>
      </w:r>
    </w:p>
    <w:p w14:paraId="5CC05B9F">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1.3采购方式：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 xml:space="preserve">竞争性磋商    </w:t>
      </w:r>
    </w:p>
    <w:p w14:paraId="6936F77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1.4预算金额：</w:t>
      </w:r>
      <w:r>
        <w:rPr>
          <w:rFonts w:hint="eastAsia" w:ascii="仿宋" w:hAnsi="仿宋" w:eastAsia="仿宋" w:cs="仿宋"/>
          <w:color w:val="auto"/>
          <w:sz w:val="24"/>
          <w:szCs w:val="24"/>
          <w:highlight w:val="none"/>
          <w:lang w:val="en-US" w:eastAsia="zh-CN"/>
        </w:rPr>
        <w:t>85</w:t>
      </w:r>
      <w:r>
        <w:rPr>
          <w:rFonts w:hint="eastAsia" w:ascii="仿宋" w:hAnsi="仿宋" w:eastAsia="仿宋" w:cs="仿宋"/>
          <w:color w:val="auto"/>
          <w:sz w:val="24"/>
          <w:szCs w:val="24"/>
          <w:highlight w:val="none"/>
          <w:lang w:eastAsia="zh-CN"/>
        </w:rPr>
        <w:t>万元</w:t>
      </w:r>
      <w:r>
        <w:rPr>
          <w:rFonts w:hint="eastAsia" w:ascii="仿宋" w:hAnsi="仿宋" w:eastAsia="仿宋" w:cs="仿宋"/>
          <w:color w:val="auto"/>
          <w:sz w:val="24"/>
          <w:szCs w:val="24"/>
          <w:highlight w:val="none"/>
        </w:rPr>
        <w:t>。</w:t>
      </w:r>
    </w:p>
    <w:p w14:paraId="4A0B7A7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1.5磋商限价：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849982.00</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rPr>
        <w:t>。</w:t>
      </w:r>
    </w:p>
    <w:p w14:paraId="33FDCAA3">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1.6采购需求：对陇川县28座水库的32个坝与南宛河87.254km的堤防进行白蚁等害堤动物防治，防治的主要措施有：对白蚁进行蚁巢开挖回填（人工挖巢）、钻孔灌药、投放诱杀包及喷洒药物；对红火蚁进行扒巢药杀。（具体实施内容最终以服务需求清单和招标人委托内容为准）                             </w:t>
      </w:r>
      <w:r>
        <w:rPr>
          <w:rFonts w:hint="eastAsia" w:ascii="仿宋" w:hAnsi="仿宋" w:eastAsia="仿宋" w:cs="仿宋"/>
          <w:color w:val="auto"/>
          <w:sz w:val="24"/>
          <w:szCs w:val="24"/>
          <w:highlight w:val="none"/>
        </w:rPr>
        <w:t xml:space="preserve">              </w:t>
      </w:r>
    </w:p>
    <w:p w14:paraId="0FC3D1C1">
      <w:pPr>
        <w:adjustRightInd w:val="0"/>
        <w:snapToGrid w:val="0"/>
        <w:spacing w:line="360" w:lineRule="auto"/>
        <w:ind w:firstLine="480" w:firstLineChars="200"/>
        <w:rPr>
          <w:color w:val="auto"/>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highlight w:val="none"/>
          <w:lang w:val="en-US" w:eastAsia="zh-CN"/>
        </w:rPr>
        <w:t>合同履约期限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2个月</w:t>
      </w:r>
      <w:r>
        <w:rPr>
          <w:rFonts w:hint="eastAsia" w:ascii="仿宋" w:hAnsi="仿宋" w:eastAsia="仿宋" w:cs="仿宋"/>
          <w:color w:val="auto"/>
          <w:sz w:val="24"/>
          <w:highlight w:val="none"/>
        </w:rPr>
        <w:t>。</w:t>
      </w:r>
    </w:p>
    <w:p w14:paraId="4BBE35F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1.8本项目不接受联合体。</w:t>
      </w:r>
    </w:p>
    <w:p w14:paraId="50000761">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1.9质量要求：</w:t>
      </w:r>
      <w:r>
        <w:rPr>
          <w:rFonts w:hint="eastAsia" w:ascii="仿宋" w:hAnsi="仿宋" w:eastAsia="仿宋" w:cs="仿宋"/>
          <w:color w:val="auto"/>
          <w:sz w:val="24"/>
          <w:szCs w:val="24"/>
          <w:highlight w:val="none"/>
          <w:lang w:val="en-US" w:eastAsia="zh-CN"/>
        </w:rPr>
        <w:t>（1）白蚁防治质量达到《水利工程白蚁防治技术规程》（SL/T 836—2024）及《水利工程白蚁防治技术规范》（T∕CHES-44-2020）的要求，同时符合国家现行有关标准的规定。（2）红火蚁防治质量达到</w:t>
      </w:r>
      <w:r>
        <w:rPr>
          <w:rFonts w:hint="eastAsia" w:ascii="仿宋" w:hAnsi="仿宋" w:eastAsia="仿宋" w:cs="仿宋"/>
          <w:color w:val="auto"/>
          <w:sz w:val="24"/>
          <w:szCs w:val="24"/>
          <w:highlight w:val="none"/>
        </w:rPr>
        <w:t>《红火蚁检疫规程》GB/T 23634-2009</w:t>
      </w:r>
      <w:r>
        <w:rPr>
          <w:rFonts w:hint="eastAsia" w:ascii="仿宋" w:hAnsi="仿宋" w:eastAsia="仿宋" w:cs="仿宋"/>
          <w:color w:val="auto"/>
          <w:sz w:val="24"/>
          <w:szCs w:val="24"/>
          <w:highlight w:val="none"/>
          <w:lang w:val="en-US" w:eastAsia="zh-CN"/>
        </w:rPr>
        <w:t>及《红火蚁专业化防控实施规程》（NY/T3541-2020）的要求，同时符合国家现行有关标准的规定。（3）项目通过验收后，质保期2年。质保期内跟踪服务，每年10—11月复查一次，复查结果需形成书面报告，质保期内若发现白蚁、红火蚁的，由中标单位自行承担及时清除。</w:t>
      </w:r>
    </w:p>
    <w:p w14:paraId="23CC422D">
      <w:pPr>
        <w:pStyle w:val="3"/>
        <w:adjustRightInd w:val="0"/>
        <w:snapToGrid w:val="0"/>
        <w:spacing w:line="360" w:lineRule="auto"/>
        <w:ind w:firstLine="482" w:firstLineChars="200"/>
        <w:jc w:val="left"/>
        <w:rPr>
          <w:rFonts w:ascii="仿宋" w:hAnsi="仿宋" w:eastAsia="仿宋" w:cs="仿宋"/>
          <w:color w:val="auto"/>
          <w:sz w:val="24"/>
          <w:szCs w:val="24"/>
          <w:highlight w:val="none"/>
        </w:rPr>
      </w:pPr>
      <w:bookmarkStart w:id="18" w:name="_Toc6272"/>
      <w:bookmarkStart w:id="19" w:name="_Toc35393630"/>
      <w:bookmarkStart w:id="20" w:name="_Toc5220"/>
      <w:bookmarkStart w:id="21" w:name="_Toc22977"/>
      <w:bookmarkStart w:id="22" w:name="_Toc28359013"/>
      <w:bookmarkStart w:id="23" w:name="_Toc35393799"/>
      <w:bookmarkStart w:id="24" w:name="_Toc28359090"/>
      <w:r>
        <w:rPr>
          <w:rFonts w:hint="eastAsia" w:ascii="仿宋" w:hAnsi="仿宋" w:eastAsia="仿宋" w:cs="仿宋"/>
          <w:color w:val="auto"/>
          <w:sz w:val="24"/>
          <w:szCs w:val="24"/>
          <w:highlight w:val="none"/>
        </w:rPr>
        <w:t>二、申请人的资格要求：</w:t>
      </w:r>
      <w:bookmarkEnd w:id="18"/>
      <w:bookmarkEnd w:id="19"/>
      <w:bookmarkEnd w:id="20"/>
      <w:bookmarkEnd w:id="21"/>
      <w:bookmarkEnd w:id="22"/>
      <w:bookmarkEnd w:id="23"/>
      <w:bookmarkEnd w:id="24"/>
    </w:p>
    <w:p w14:paraId="4B678410">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1.符合《中华人民共和国政府采购法》第二十二条的规定： </w:t>
      </w:r>
    </w:p>
    <w:p w14:paraId="6C33D638">
      <w:pPr>
        <w:adjustRightInd w:val="0"/>
        <w:snapToGrid w:val="0"/>
        <w:spacing w:line="360" w:lineRule="auto"/>
        <w:ind w:firstLine="480" w:firstLineChars="200"/>
        <w:rPr>
          <w:rFonts w:ascii="仿宋" w:hAnsi="仿宋" w:eastAsia="仿宋" w:cs="仿宋"/>
          <w:color w:val="auto"/>
          <w:sz w:val="24"/>
          <w:szCs w:val="24"/>
          <w:highlight w:val="none"/>
        </w:rPr>
      </w:pPr>
      <w:bookmarkStart w:id="25" w:name="_Toc28359091"/>
      <w:bookmarkStart w:id="26" w:name="_Toc28359014"/>
      <w:r>
        <w:rPr>
          <w:rFonts w:hint="eastAsia" w:ascii="仿宋" w:hAnsi="仿宋" w:eastAsia="仿宋" w:cs="仿宋"/>
          <w:color w:val="auto"/>
          <w:sz w:val="24"/>
          <w:szCs w:val="24"/>
          <w:highlight w:val="none"/>
        </w:rPr>
        <w:t>2.落实政府采购政策需满足的资格要求：</w:t>
      </w:r>
    </w:p>
    <w:p w14:paraId="42141F4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2.1本项目是否专门面向中小企业：本项目不属于专门面向中小企业预留份额的项目，对符合《政府采购促进中小企业发展暂行办法》(财库</w:t>
      </w:r>
      <w:r>
        <w:rPr>
          <w:rFonts w:hint="eastAsia" w:ascii="仿宋" w:hAnsi="仿宋" w:eastAsia="仿宋" w:cs="仿宋"/>
          <w:color w:val="auto"/>
          <w:sz w:val="24"/>
          <w:szCs w:val="24"/>
          <w:highlight w:val="none"/>
          <w:lang w:eastAsia="zh-CN"/>
        </w:rPr>
        <w:t>〔2020〕46号</w:t>
      </w:r>
      <w:r>
        <w:rPr>
          <w:rFonts w:hint="eastAsia" w:ascii="仿宋" w:hAnsi="仿宋" w:eastAsia="仿宋" w:cs="仿宋"/>
          <w:color w:val="auto"/>
          <w:sz w:val="24"/>
          <w:szCs w:val="24"/>
          <w:highlight w:val="none"/>
        </w:rPr>
        <w:t>)、云南省财政厅关于贯彻《财政部关于进一步加大政府采购支持中小企业力度的通知》的通知（云财采〔2022〕9号）、《工业和信息化部、国家统计局、国家发展和改革委员会、财政部关于印发中小企业划型标准规定的通知（工信部联企业</w:t>
      </w:r>
      <w:r>
        <w:rPr>
          <w:rFonts w:hint="eastAsia" w:ascii="仿宋" w:hAnsi="仿宋" w:eastAsia="仿宋" w:cs="仿宋"/>
          <w:color w:val="auto"/>
          <w:sz w:val="24"/>
          <w:szCs w:val="24"/>
          <w:highlight w:val="none"/>
          <w:lang w:eastAsia="zh-CN"/>
        </w:rPr>
        <w:t>〔2011〕</w:t>
      </w:r>
      <w:r>
        <w:rPr>
          <w:rFonts w:hint="eastAsia" w:ascii="仿宋" w:hAnsi="仿宋" w:eastAsia="仿宋" w:cs="仿宋"/>
          <w:color w:val="auto"/>
          <w:sz w:val="24"/>
          <w:szCs w:val="24"/>
          <w:highlight w:val="none"/>
        </w:rPr>
        <w:t>300 号）、《关于政府采购支持监狱企业发展有关问题的通知》(财库〔2014〕68号)、《关于促进残疾人就业政府采购政策的通知》(财库〔2017〕141号)和环境标志产品及节能产品相关规定的供应商，按《中华人民共和国政府采购法实施条例》第六条的规定，采用“价格评审优惠”的方式落实。</w:t>
      </w:r>
    </w:p>
    <w:p w14:paraId="6BCFB21E">
      <w:pPr>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bookmarkStart w:id="27" w:name="_Toc25501"/>
      <w:bookmarkStart w:id="28" w:name="_Toc28090"/>
      <w:bookmarkStart w:id="29" w:name="_Toc35393800"/>
      <w:bookmarkStart w:id="30" w:name="_Toc35393631"/>
      <w:r>
        <w:rPr>
          <w:rFonts w:hint="eastAsia" w:ascii="仿宋" w:hAnsi="仿宋" w:eastAsia="仿宋" w:cs="仿宋"/>
          <w:color w:val="auto"/>
          <w:sz w:val="24"/>
          <w:szCs w:val="24"/>
          <w:highlight w:val="none"/>
          <w:lang w:val="en-US" w:eastAsia="zh-CN"/>
        </w:rPr>
        <w:t>3.本项目的特定资格要求：无</w:t>
      </w:r>
    </w:p>
    <w:p w14:paraId="46323D18">
      <w:pPr>
        <w:pStyle w:val="3"/>
        <w:adjustRightInd w:val="0"/>
        <w:snapToGrid w:val="0"/>
        <w:spacing w:line="360" w:lineRule="auto"/>
        <w:ind w:firstLine="482" w:firstLineChars="200"/>
        <w:jc w:val="left"/>
        <w:rPr>
          <w:rFonts w:ascii="仿宋" w:hAnsi="仿宋" w:eastAsia="仿宋" w:cs="仿宋"/>
          <w:color w:val="auto"/>
          <w:sz w:val="24"/>
          <w:szCs w:val="24"/>
          <w:highlight w:val="none"/>
        </w:rPr>
      </w:pPr>
      <w:bookmarkStart w:id="31" w:name="_Toc30918"/>
      <w:r>
        <w:rPr>
          <w:rFonts w:hint="eastAsia" w:ascii="仿宋" w:hAnsi="仿宋" w:eastAsia="仿宋" w:cs="仿宋"/>
          <w:color w:val="auto"/>
          <w:sz w:val="24"/>
          <w:szCs w:val="24"/>
          <w:highlight w:val="none"/>
        </w:rPr>
        <w:t>三、获取采购文件</w:t>
      </w:r>
      <w:bookmarkEnd w:id="25"/>
      <w:bookmarkEnd w:id="26"/>
      <w:bookmarkEnd w:id="27"/>
      <w:bookmarkEnd w:id="28"/>
      <w:bookmarkEnd w:id="29"/>
      <w:bookmarkEnd w:id="30"/>
      <w:bookmarkEnd w:id="31"/>
    </w:p>
    <w:p w14:paraId="30B037C8">
      <w:pPr>
        <w:adjustRightInd w:val="0"/>
        <w:snapToGrid w:val="0"/>
        <w:spacing w:line="360" w:lineRule="auto"/>
        <w:ind w:firstLine="480" w:firstLineChars="200"/>
        <w:rPr>
          <w:rFonts w:ascii="仿宋" w:hAnsi="仿宋" w:eastAsia="仿宋" w:cs="仿宋"/>
          <w:color w:val="auto"/>
          <w:sz w:val="24"/>
          <w:szCs w:val="24"/>
          <w:highlight w:val="none"/>
        </w:rPr>
      </w:pPr>
      <w:bookmarkStart w:id="32" w:name="_Toc35393801"/>
      <w:bookmarkStart w:id="33" w:name="_Toc28359015"/>
      <w:bookmarkStart w:id="34" w:name="_Toc35393632"/>
      <w:bookmarkStart w:id="35" w:name="_Toc28359092"/>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截止，（北京时间，法定节假日除外）</w:t>
      </w:r>
    </w:p>
    <w:p w14:paraId="2DD7110B">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地点：政府采购云平台线上获取（https://www.zcygov.cn/）。</w:t>
      </w:r>
    </w:p>
    <w:p w14:paraId="6C869A03">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方式：1.凡有意参加投标者，须在政府采购云平台办理数字证书（CA），并在政采云绑定数字证书（CA）后线上获取采购文件</w:t>
      </w:r>
      <w:r>
        <w:rPr>
          <w:rFonts w:hint="eastAsia" w:ascii="仿宋" w:hAnsi="仿宋" w:eastAsia="仿宋" w:cs="仿宋"/>
          <w:color w:val="auto"/>
          <w:sz w:val="24"/>
          <w:szCs w:val="24"/>
          <w:highlight w:val="none"/>
          <w:lang w:eastAsia="zh-CN"/>
        </w:rPr>
        <w:t>及其他</w:t>
      </w:r>
      <w:r>
        <w:rPr>
          <w:rFonts w:hint="eastAsia" w:ascii="仿宋" w:hAnsi="仿宋" w:eastAsia="仿宋" w:cs="仿宋"/>
          <w:color w:val="auto"/>
          <w:sz w:val="24"/>
          <w:szCs w:val="24"/>
          <w:highlight w:val="none"/>
        </w:rPr>
        <w:t>采购资料。</w:t>
      </w:r>
    </w:p>
    <w:p w14:paraId="34CC4349">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CA申领链接：</w:t>
      </w:r>
      <w:r>
        <w:rPr>
          <w:color w:val="auto"/>
          <w:highlight w:val="none"/>
        </w:rPr>
        <w:fldChar w:fldCharType="begin"/>
      </w:r>
      <w:r>
        <w:rPr>
          <w:color w:val="auto"/>
          <w:highlight w:val="none"/>
        </w:rPr>
        <w:instrText xml:space="preserve"> HYPERLINK "https://middle.zcygov.cn/ca/apply/list?_app_=zcy.sys，CA申领后需登陆政采云平台完成数字证书（CA）绑定才可以使用，数字证书（CA）详见其办理流程。" </w:instrText>
      </w:r>
      <w:r>
        <w:rPr>
          <w:color w:val="auto"/>
          <w:highlight w:val="none"/>
        </w:rPr>
        <w:fldChar w:fldCharType="separate"/>
      </w:r>
      <w:r>
        <w:rPr>
          <w:rFonts w:hint="eastAsia" w:ascii="仿宋" w:hAnsi="仿宋" w:eastAsia="仿宋" w:cs="仿宋"/>
          <w:color w:val="auto"/>
          <w:sz w:val="24"/>
          <w:szCs w:val="24"/>
          <w:highlight w:val="none"/>
        </w:rPr>
        <w:t>https://middle.zcygov.cn/ca/apply/list?_app_=zcy.sys，CA申领后需</w:t>
      </w:r>
      <w:r>
        <w:rPr>
          <w:rFonts w:hint="eastAsia" w:ascii="仿宋" w:hAnsi="仿宋" w:eastAsia="仿宋" w:cs="仿宋"/>
          <w:color w:val="auto"/>
          <w:sz w:val="24"/>
          <w:szCs w:val="24"/>
          <w:highlight w:val="none"/>
          <w:lang w:eastAsia="zh-CN"/>
        </w:rPr>
        <w:t>登录</w:t>
      </w:r>
      <w:r>
        <w:rPr>
          <w:rFonts w:hint="eastAsia" w:ascii="仿宋" w:hAnsi="仿宋" w:eastAsia="仿宋" w:cs="仿宋"/>
          <w:color w:val="auto"/>
          <w:sz w:val="24"/>
          <w:szCs w:val="24"/>
          <w:highlight w:val="none"/>
        </w:rPr>
        <w:t>政府采购云平台完成数字证书（CA）绑定才可以使用，数字证书（CA）详见其办理流程。</w:t>
      </w:r>
      <w:r>
        <w:rPr>
          <w:rFonts w:hint="eastAsia" w:ascii="仿宋" w:hAnsi="仿宋" w:eastAsia="仿宋" w:cs="仿宋"/>
          <w:color w:val="auto"/>
          <w:sz w:val="24"/>
          <w:szCs w:val="24"/>
          <w:highlight w:val="none"/>
        </w:rPr>
        <w:fldChar w:fldCharType="end"/>
      </w:r>
    </w:p>
    <w:p w14:paraId="29A2606E">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注：供应商如之前已在云南 CA 在线数字证书办理网进行过注册并办理过企业数字证书（</w:t>
      </w:r>
      <w:r>
        <w:rPr>
          <w:rFonts w:ascii="仿宋" w:hAnsi="仿宋" w:eastAsia="仿宋" w:cs="仿宋"/>
          <w:color w:val="auto"/>
          <w:sz w:val="24"/>
          <w:szCs w:val="24"/>
          <w:highlight w:val="none"/>
        </w:rPr>
        <w:t>CA</w:t>
      </w:r>
      <w:r>
        <w:rPr>
          <w:rFonts w:hint="eastAsia" w:ascii="仿宋" w:hAnsi="仿宋" w:eastAsia="仿宋" w:cs="仿宋"/>
          <w:color w:val="auto"/>
          <w:sz w:val="24"/>
          <w:szCs w:val="24"/>
          <w:highlight w:val="none"/>
        </w:rPr>
        <w:t>）的，直接绑定即可，无需重复办理（</w:t>
      </w:r>
      <w:r>
        <w:rPr>
          <w:rFonts w:ascii="仿宋" w:hAnsi="仿宋" w:eastAsia="仿宋" w:cs="仿宋"/>
          <w:color w:val="auto"/>
          <w:sz w:val="24"/>
          <w:szCs w:val="24"/>
          <w:highlight w:val="none"/>
        </w:rPr>
        <w:t>2022</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 xml:space="preserve">日前在云南省公共资源交易平台办理过云南 </w:t>
      </w:r>
      <w:r>
        <w:rPr>
          <w:rFonts w:ascii="仿宋" w:hAnsi="仿宋" w:eastAsia="仿宋" w:cs="仿宋"/>
          <w:color w:val="auto"/>
          <w:sz w:val="24"/>
          <w:szCs w:val="24"/>
          <w:highlight w:val="none"/>
        </w:rPr>
        <w:t xml:space="preserve">CA </w:t>
      </w:r>
      <w:r>
        <w:rPr>
          <w:rFonts w:hint="eastAsia" w:ascii="仿宋" w:hAnsi="仿宋" w:eastAsia="仿宋" w:cs="仿宋"/>
          <w:color w:val="auto"/>
          <w:sz w:val="24"/>
          <w:szCs w:val="24"/>
          <w:highlight w:val="none"/>
        </w:rPr>
        <w:t xml:space="preserve">证书的需到原办理点进行升级后方可使用）。外省供应商在政府采购云平台办理的其他 </w:t>
      </w:r>
      <w:r>
        <w:rPr>
          <w:rFonts w:ascii="仿宋" w:hAnsi="仿宋" w:eastAsia="仿宋" w:cs="仿宋"/>
          <w:color w:val="auto"/>
          <w:sz w:val="24"/>
          <w:szCs w:val="24"/>
          <w:highlight w:val="none"/>
        </w:rPr>
        <w:t xml:space="preserve">CA </w:t>
      </w:r>
      <w:r>
        <w:rPr>
          <w:rFonts w:hint="eastAsia" w:ascii="仿宋" w:hAnsi="仿宋" w:eastAsia="仿宋" w:cs="仿宋"/>
          <w:color w:val="auto"/>
          <w:sz w:val="24"/>
          <w:szCs w:val="24"/>
          <w:highlight w:val="none"/>
        </w:rPr>
        <w:t xml:space="preserve">可直接使用，无需重复办理。 </w:t>
      </w:r>
    </w:p>
    <w:p w14:paraId="27BE9AD5">
      <w:pPr>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售价（元）：0元/份。</w:t>
      </w:r>
    </w:p>
    <w:p w14:paraId="1289B2A9">
      <w:pPr>
        <w:pStyle w:val="3"/>
        <w:adjustRightInd w:val="0"/>
        <w:snapToGrid w:val="0"/>
        <w:spacing w:line="360" w:lineRule="auto"/>
        <w:ind w:firstLine="482" w:firstLineChars="200"/>
        <w:jc w:val="left"/>
        <w:rPr>
          <w:rFonts w:ascii="仿宋" w:hAnsi="仿宋" w:eastAsia="仿宋" w:cs="仿宋"/>
          <w:color w:val="auto"/>
          <w:sz w:val="24"/>
          <w:szCs w:val="24"/>
          <w:highlight w:val="none"/>
        </w:rPr>
      </w:pPr>
      <w:bookmarkStart w:id="36" w:name="_Toc23047"/>
      <w:bookmarkStart w:id="37" w:name="_Toc8470"/>
      <w:bookmarkStart w:id="38" w:name="_Toc18287"/>
      <w:r>
        <w:rPr>
          <w:rFonts w:hint="eastAsia" w:ascii="仿宋" w:hAnsi="仿宋" w:eastAsia="仿宋" w:cs="仿宋"/>
          <w:color w:val="auto"/>
          <w:sz w:val="24"/>
          <w:szCs w:val="24"/>
          <w:highlight w:val="none"/>
        </w:rPr>
        <w:t>四、响应文件提交</w:t>
      </w:r>
      <w:bookmarkEnd w:id="32"/>
      <w:bookmarkEnd w:id="33"/>
      <w:bookmarkEnd w:id="34"/>
      <w:bookmarkEnd w:id="35"/>
      <w:bookmarkEnd w:id="36"/>
      <w:bookmarkEnd w:id="37"/>
      <w:bookmarkEnd w:id="38"/>
    </w:p>
    <w:p w14:paraId="521F3993">
      <w:pPr>
        <w:adjustRightInd w:val="0"/>
        <w:snapToGrid w:val="0"/>
        <w:spacing w:line="360" w:lineRule="auto"/>
        <w:ind w:left="239" w:leftChars="114" w:firstLine="240" w:firstLineChars="100"/>
        <w:rPr>
          <w:rFonts w:ascii="仿宋" w:hAnsi="仿宋" w:eastAsia="仿宋" w:cs="仿宋"/>
          <w:color w:val="auto"/>
          <w:sz w:val="24"/>
          <w:szCs w:val="24"/>
          <w:highlight w:val="none"/>
        </w:rPr>
      </w:pPr>
      <w:bookmarkStart w:id="39" w:name="_Toc28359093"/>
      <w:bookmarkStart w:id="40" w:name="_Toc35393633"/>
      <w:bookmarkStart w:id="41" w:name="_Toc28359016"/>
      <w:bookmarkStart w:id="42" w:name="_Toc35393802"/>
      <w:r>
        <w:rPr>
          <w:rFonts w:hint="eastAsia" w:ascii="仿宋" w:hAnsi="仿宋" w:eastAsia="仿宋" w:cs="仿宋"/>
          <w:color w:val="auto"/>
          <w:sz w:val="24"/>
          <w:szCs w:val="24"/>
          <w:highlight w:val="none"/>
        </w:rPr>
        <w:t>4.1磋商响应文件递交的截止时间（磋商截止时间，下同）为：</w:t>
      </w:r>
      <w:r>
        <w:rPr>
          <w:rFonts w:hint="eastAsia" w:ascii="仿宋" w:hAnsi="仿宋" w:eastAsia="仿宋" w:cs="仿宋"/>
          <w:b/>
          <w:bCs/>
          <w:color w:val="auto"/>
          <w:sz w:val="24"/>
          <w:szCs w:val="24"/>
          <w:highlight w:val="none"/>
          <w:u w:val="single"/>
          <w:lang w:eastAsia="zh-CN"/>
        </w:rPr>
        <w:t>202</w:t>
      </w:r>
      <w:r>
        <w:rPr>
          <w:rFonts w:hint="eastAsia" w:ascii="仿宋" w:hAnsi="仿宋" w:eastAsia="仿宋" w:cs="仿宋"/>
          <w:b/>
          <w:bCs/>
          <w:color w:val="auto"/>
          <w:sz w:val="24"/>
          <w:szCs w:val="24"/>
          <w:highlight w:val="none"/>
          <w:u w:val="single"/>
          <w:lang w:val="en-US" w:eastAsia="zh-CN"/>
        </w:rPr>
        <w:t>5</w:t>
      </w:r>
      <w:r>
        <w:rPr>
          <w:rFonts w:hint="eastAsia" w:ascii="仿宋" w:hAnsi="仿宋" w:eastAsia="仿宋" w:cs="仿宋"/>
          <w:b/>
          <w:bCs/>
          <w:color w:val="auto"/>
          <w:sz w:val="24"/>
          <w:szCs w:val="24"/>
          <w:highlight w:val="none"/>
          <w:u w:val="single"/>
          <w:lang w:eastAsia="zh-CN"/>
        </w:rPr>
        <w:t>年</w:t>
      </w:r>
      <w:r>
        <w:rPr>
          <w:rFonts w:hint="eastAsia" w:ascii="仿宋" w:hAnsi="仿宋" w:eastAsia="仿宋" w:cs="仿宋"/>
          <w:b/>
          <w:bCs/>
          <w:color w:val="auto"/>
          <w:sz w:val="24"/>
          <w:szCs w:val="24"/>
          <w:highlight w:val="none"/>
          <w:u w:val="single"/>
          <w:lang w:val="en-US" w:eastAsia="zh-CN"/>
        </w:rPr>
        <w:t>09</w:t>
      </w:r>
      <w:r>
        <w:rPr>
          <w:rFonts w:hint="eastAsia" w:ascii="仿宋" w:hAnsi="仿宋" w:eastAsia="仿宋" w:cs="仿宋"/>
          <w:b/>
          <w:bCs/>
          <w:color w:val="auto"/>
          <w:sz w:val="24"/>
          <w:szCs w:val="24"/>
          <w:highlight w:val="none"/>
          <w:u w:val="single"/>
          <w:lang w:eastAsia="zh-CN"/>
        </w:rPr>
        <w:t>月</w:t>
      </w:r>
      <w:r>
        <w:rPr>
          <w:rFonts w:hint="eastAsia" w:ascii="仿宋" w:hAnsi="仿宋" w:eastAsia="仿宋" w:cs="仿宋"/>
          <w:b/>
          <w:bCs/>
          <w:color w:val="auto"/>
          <w:sz w:val="24"/>
          <w:szCs w:val="24"/>
          <w:highlight w:val="none"/>
          <w:u w:val="single"/>
          <w:lang w:val="en-US" w:eastAsia="zh-CN"/>
        </w:rPr>
        <w:t>11</w:t>
      </w:r>
      <w:r>
        <w:rPr>
          <w:rFonts w:hint="eastAsia" w:ascii="仿宋" w:hAnsi="仿宋" w:eastAsia="仿宋" w:cs="仿宋"/>
          <w:b/>
          <w:bCs/>
          <w:color w:val="auto"/>
          <w:sz w:val="24"/>
          <w:szCs w:val="24"/>
          <w:highlight w:val="none"/>
          <w:u w:val="single"/>
          <w:lang w:eastAsia="zh-CN"/>
        </w:rPr>
        <w:t>日</w:t>
      </w:r>
      <w:r>
        <w:rPr>
          <w:rFonts w:hint="eastAsia" w:ascii="仿宋" w:hAnsi="仿宋" w:eastAsia="仿宋" w:cs="仿宋"/>
          <w:b/>
          <w:bCs/>
          <w:color w:val="auto"/>
          <w:sz w:val="24"/>
          <w:szCs w:val="24"/>
          <w:highlight w:val="none"/>
          <w:u w:val="single"/>
          <w:lang w:val="en-US" w:eastAsia="zh-CN"/>
        </w:rPr>
        <w:t>15</w:t>
      </w:r>
      <w:r>
        <w:rPr>
          <w:rFonts w:hint="eastAsia" w:ascii="仿宋" w:hAnsi="仿宋" w:eastAsia="仿宋" w:cs="仿宋"/>
          <w:b/>
          <w:bCs/>
          <w:color w:val="auto"/>
          <w:sz w:val="24"/>
          <w:szCs w:val="24"/>
          <w:highlight w:val="none"/>
          <w:u w:val="single"/>
          <w:lang w:eastAsia="zh-CN"/>
        </w:rPr>
        <w:t>时00分</w:t>
      </w:r>
      <w:r>
        <w:rPr>
          <w:rFonts w:hint="eastAsia" w:ascii="仿宋" w:hAnsi="仿宋" w:eastAsia="仿宋" w:cs="仿宋"/>
          <w:color w:val="auto"/>
          <w:sz w:val="24"/>
          <w:szCs w:val="24"/>
          <w:highlight w:val="none"/>
        </w:rPr>
        <w:t>。</w:t>
      </w:r>
    </w:p>
    <w:p w14:paraId="40DEB0E8">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4.2文件递交：</w:t>
      </w:r>
    </w:p>
    <w:p w14:paraId="6F81379E">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响应）文件递交的截止时间（投标截止时间，下同）前，需在网上完成递交投标（响应）文件操作;具体要求：登录“政采云”平台（https://www.zcygov.cn），供应商须在投标截止时间前完成投标（响应）文件的电子签章、加密及上传，投标截止时间前未完成投标（响应）文件上传的，视为撤回投标（响应）文件，投标（响应）文件无效。</w:t>
      </w:r>
    </w:p>
    <w:p w14:paraId="3543664B">
      <w:pPr>
        <w:pStyle w:val="3"/>
        <w:adjustRightInd w:val="0"/>
        <w:snapToGrid w:val="0"/>
        <w:spacing w:line="360" w:lineRule="auto"/>
        <w:ind w:firstLine="482" w:firstLineChars="200"/>
        <w:jc w:val="left"/>
        <w:rPr>
          <w:rFonts w:ascii="仿宋" w:hAnsi="仿宋" w:eastAsia="仿宋" w:cs="仿宋"/>
          <w:color w:val="auto"/>
          <w:sz w:val="24"/>
          <w:szCs w:val="24"/>
          <w:highlight w:val="none"/>
        </w:rPr>
      </w:pPr>
      <w:bookmarkStart w:id="43" w:name="_Toc28472"/>
      <w:bookmarkStart w:id="44" w:name="_Toc25853"/>
      <w:bookmarkStart w:id="45" w:name="_Toc17245"/>
      <w:r>
        <w:rPr>
          <w:rFonts w:hint="eastAsia" w:ascii="仿宋" w:hAnsi="仿宋" w:eastAsia="仿宋" w:cs="仿宋"/>
          <w:color w:val="auto"/>
          <w:sz w:val="24"/>
          <w:szCs w:val="24"/>
          <w:highlight w:val="none"/>
        </w:rPr>
        <w:t>五、开启</w:t>
      </w:r>
      <w:bookmarkEnd w:id="39"/>
      <w:bookmarkEnd w:id="40"/>
      <w:bookmarkEnd w:id="41"/>
      <w:bookmarkEnd w:id="42"/>
      <w:bookmarkEnd w:id="43"/>
      <w:bookmarkEnd w:id="44"/>
      <w:bookmarkEnd w:id="45"/>
    </w:p>
    <w:p w14:paraId="37B7081A">
      <w:pPr>
        <w:adjustRightInd w:val="0"/>
        <w:snapToGrid w:val="0"/>
        <w:spacing w:line="360" w:lineRule="auto"/>
        <w:ind w:firstLine="480" w:firstLineChars="200"/>
        <w:rPr>
          <w:rFonts w:ascii="仿宋" w:hAnsi="仿宋" w:eastAsia="仿宋" w:cs="仿宋"/>
          <w:color w:val="auto"/>
          <w:sz w:val="24"/>
          <w:szCs w:val="24"/>
          <w:highlight w:val="none"/>
        </w:rPr>
      </w:pPr>
      <w:bookmarkStart w:id="46" w:name="_Toc28359094"/>
      <w:bookmarkStart w:id="47" w:name="_Toc28359017"/>
      <w:bookmarkStart w:id="48" w:name="_Toc35393803"/>
      <w:bookmarkStart w:id="49" w:name="_Toc35393634"/>
      <w:r>
        <w:rPr>
          <w:rFonts w:hint="eastAsia" w:ascii="仿宋" w:hAnsi="仿宋" w:eastAsia="仿宋" w:cs="仿宋"/>
          <w:color w:val="auto"/>
          <w:sz w:val="24"/>
          <w:szCs w:val="24"/>
          <w:highlight w:val="none"/>
        </w:rPr>
        <w:t>开标时间：同磋商响应文件递交的截止时间。</w:t>
      </w:r>
    </w:p>
    <w:p w14:paraId="7657CC13">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开标地点：政府采购云平台（http：//www.zcygov.cn）及云南省德宏州陇川县章凤镇卫国南路勐宛山水116-3号德宏杉和工程咨询有限公司-开标室。</w:t>
      </w:r>
    </w:p>
    <w:p w14:paraId="1D5BC5AC">
      <w:pPr>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注：投标人登录政府采购云平台（http：//www.zcygov.cn）无需到现场开标，开标结束前请勿退出系统。</w:t>
      </w:r>
    </w:p>
    <w:p w14:paraId="201439FD">
      <w:pPr>
        <w:pStyle w:val="3"/>
        <w:adjustRightInd w:val="0"/>
        <w:snapToGrid w:val="0"/>
        <w:spacing w:line="360" w:lineRule="auto"/>
        <w:ind w:firstLine="482" w:firstLineChars="200"/>
        <w:jc w:val="left"/>
        <w:rPr>
          <w:rFonts w:ascii="仿宋" w:hAnsi="仿宋" w:eastAsia="仿宋" w:cs="仿宋"/>
          <w:color w:val="auto"/>
          <w:sz w:val="24"/>
          <w:szCs w:val="24"/>
          <w:highlight w:val="none"/>
        </w:rPr>
      </w:pPr>
      <w:bookmarkStart w:id="50" w:name="_Toc22828"/>
      <w:bookmarkStart w:id="51" w:name="_Toc30756"/>
      <w:bookmarkStart w:id="52" w:name="_Toc14269"/>
      <w:r>
        <w:rPr>
          <w:rFonts w:hint="eastAsia" w:ascii="仿宋" w:hAnsi="仿宋" w:eastAsia="仿宋" w:cs="仿宋"/>
          <w:color w:val="auto"/>
          <w:sz w:val="24"/>
          <w:szCs w:val="24"/>
          <w:highlight w:val="none"/>
        </w:rPr>
        <w:t>六、公告期限</w:t>
      </w:r>
      <w:bookmarkEnd w:id="46"/>
      <w:bookmarkEnd w:id="47"/>
      <w:bookmarkEnd w:id="48"/>
      <w:bookmarkEnd w:id="49"/>
      <w:bookmarkEnd w:id="50"/>
      <w:bookmarkEnd w:id="51"/>
      <w:bookmarkEnd w:id="52"/>
    </w:p>
    <w:p w14:paraId="03727F3B">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自本公告发布之日起5个工作日。</w:t>
      </w:r>
    </w:p>
    <w:p w14:paraId="599CA2F2">
      <w:pPr>
        <w:pStyle w:val="3"/>
        <w:adjustRightInd w:val="0"/>
        <w:snapToGrid w:val="0"/>
        <w:spacing w:line="360" w:lineRule="auto"/>
        <w:ind w:firstLine="482" w:firstLineChars="200"/>
        <w:jc w:val="left"/>
        <w:rPr>
          <w:rFonts w:ascii="仿宋" w:hAnsi="仿宋" w:eastAsia="仿宋" w:cs="仿宋"/>
          <w:color w:val="auto"/>
          <w:sz w:val="24"/>
          <w:szCs w:val="24"/>
          <w:highlight w:val="none"/>
        </w:rPr>
      </w:pPr>
      <w:bookmarkStart w:id="53" w:name="_Toc24149"/>
      <w:bookmarkStart w:id="54" w:name="_Toc27901"/>
      <w:bookmarkStart w:id="55" w:name="_Toc35393635"/>
      <w:bookmarkStart w:id="56" w:name="_Toc21741"/>
      <w:bookmarkStart w:id="57" w:name="_Toc35393804"/>
      <w:r>
        <w:rPr>
          <w:rFonts w:hint="eastAsia" w:ascii="仿宋" w:hAnsi="仿宋" w:eastAsia="仿宋" w:cs="仿宋"/>
          <w:color w:val="auto"/>
          <w:sz w:val="24"/>
          <w:szCs w:val="24"/>
          <w:highlight w:val="none"/>
        </w:rPr>
        <w:t>七、其他补充事宜</w:t>
      </w:r>
      <w:bookmarkEnd w:id="53"/>
      <w:bookmarkEnd w:id="54"/>
      <w:bookmarkEnd w:id="55"/>
      <w:bookmarkEnd w:id="56"/>
      <w:bookmarkEnd w:id="57"/>
    </w:p>
    <w:p w14:paraId="35FC4D4B">
      <w:pPr>
        <w:wordWrap w:val="0"/>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7.1本公告同时在云南省政府采购网（http://www.ccgp-yunnan.gov.cn/index.html）及政府采购云平台（http：//www.zcygov.cn）上发布，我公司及采购人对其他网站或媒体转载的公告及公告内容不承担任何责任。</w:t>
      </w:r>
    </w:p>
    <w:p w14:paraId="325811CE">
      <w:pPr>
        <w:wordWrap w:val="0"/>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相关费用：不论磋商的结果如何，供应商自行承担其参加本次采购活动编制响应文件与递交响应文件所涉及的一切费用。招标代理服务费依据《云南省建设工程招标代理服务收费指导意见（试行）》，以每个项目的中标价为计费基数收取。由中标人在收到中标通知书时一次性向招标代理机构支付。</w:t>
      </w:r>
    </w:p>
    <w:p w14:paraId="2E61B181">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7.3需落实的政府采购政策：</w:t>
      </w:r>
    </w:p>
    <w:p w14:paraId="15467A38">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(1)本项目是否适用小微企业政策：是。</w:t>
      </w:r>
    </w:p>
    <w:p w14:paraId="628948AF">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(2)本项目是否适用监狱企业政策：是。</w:t>
      </w:r>
    </w:p>
    <w:p w14:paraId="5CFE3186">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(3)本项目是否适用残疾人福利性单位政策：是。</w:t>
      </w:r>
    </w:p>
    <w:p w14:paraId="797CEFF8">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(4)本项目是否适用节能产品、环境标志产品政策：否。</w:t>
      </w:r>
    </w:p>
    <w:p w14:paraId="4CC16424">
      <w:pPr>
        <w:tabs>
          <w:tab w:val="center" w:pos="4153"/>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(5)本项目是否适用脱贫攻坚政策：否。</w:t>
      </w:r>
    </w:p>
    <w:p w14:paraId="5B0F7D14">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7.4本项目采购标的对应所属行业为：</w:t>
      </w:r>
      <w:r>
        <w:rPr>
          <w:rFonts w:hint="eastAsia" w:ascii="仿宋" w:hAnsi="仿宋" w:eastAsia="仿宋" w:cs="仿宋"/>
          <w:color w:val="auto"/>
          <w:sz w:val="24"/>
          <w:szCs w:val="24"/>
          <w:highlight w:val="none"/>
          <w:u w:val="single"/>
          <w:lang w:val="en-US" w:eastAsia="zh-CN"/>
        </w:rPr>
        <w:t>水利、环境和公共设施管理业</w:t>
      </w:r>
      <w:r>
        <w:rPr>
          <w:rFonts w:hint="eastAsia" w:ascii="仿宋" w:hAnsi="仿宋" w:eastAsia="仿宋" w:cs="仿宋"/>
          <w:color w:val="auto"/>
          <w:sz w:val="24"/>
          <w:szCs w:val="24"/>
          <w:highlight w:val="none"/>
        </w:rPr>
        <w:t>，按照《关于印发中小企业划型标准规定的通知》（工信部联企业〔2011〕300号）确定。</w:t>
      </w:r>
    </w:p>
    <w:p w14:paraId="221BF016">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7.5开标方式：线上开标。</w:t>
      </w:r>
    </w:p>
    <w:p w14:paraId="545384DE">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7.6电子开标及投标（响应）文件解密</w:t>
      </w:r>
    </w:p>
    <w:p w14:paraId="1A4264F9">
      <w:pPr>
        <w:numPr>
          <w:ilvl w:val="0"/>
          <w:numId w:val="3"/>
        </w:num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若供应商熟悉“政采云”相关投标程序，不到现场参加投标的，应提前在自有场地配置有音视频通话（带摄像头及话筒的电脑）功能的相应设备及稳定网络环境，并按“政采云”开标大厅中的提示完成采购活动。 （二）到现场参与投标的供应商，建议于响应文件提交截止时间前携带编制投标（响应）文件时的加密数字证书（CA）、具有摄像头及话筒的笔记本电脑至采购代理机构开标地点参与投标。（三）采购人宣布开启电子投标（响应）文件后，供应商登陆“政采云”开标大厅，使用供应商编制投标（响应）文件时的加密数字证书对投标（响应）文件进行解密。</w:t>
      </w:r>
    </w:p>
    <w:p w14:paraId="23CB04CB">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7.7供应商须缴纳磋商保证金：本项目不收取保证金。</w:t>
      </w:r>
    </w:p>
    <w:p w14:paraId="0EAD9A0E">
      <w:pPr>
        <w:pStyle w:val="83"/>
        <w:ind w:left="0" w:leftChars="0"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7.8</w:t>
      </w:r>
      <w:r>
        <w:rPr>
          <w:rFonts w:hint="eastAsia" w:ascii="仿宋" w:hAnsi="仿宋" w:eastAsia="仿宋" w:cs="仿宋"/>
          <w:color w:val="auto"/>
          <w:szCs w:val="24"/>
          <w:highlight w:val="none"/>
          <w:lang w:val="zh-CN"/>
        </w:rPr>
        <w:t>监督：行业监督部门及联系电话：</w:t>
      </w:r>
      <w:r>
        <w:rPr>
          <w:rFonts w:ascii="仿宋" w:hAnsi="仿宋" w:eastAsia="仿宋" w:cs="仿宋"/>
          <w:color w:val="auto"/>
          <w:szCs w:val="24"/>
          <w:highlight w:val="none"/>
        </w:rPr>
        <w:t>陇川县</w:t>
      </w:r>
      <w:r>
        <w:rPr>
          <w:rFonts w:hint="eastAsia" w:ascii="仿宋" w:hAnsi="仿宋" w:eastAsia="仿宋" w:cs="仿宋"/>
          <w:color w:val="auto"/>
          <w:szCs w:val="24"/>
          <w:highlight w:val="none"/>
        </w:rPr>
        <w:t>财政局</w:t>
      </w:r>
      <w:r>
        <w:rPr>
          <w:rFonts w:ascii="仿宋" w:hAnsi="仿宋" w:eastAsia="仿宋" w:cs="仿宋"/>
          <w:color w:val="auto"/>
          <w:szCs w:val="24"/>
          <w:highlight w:val="none"/>
        </w:rPr>
        <w:t xml:space="preserve"> 0692-7172965</w:t>
      </w:r>
      <w:r>
        <w:rPr>
          <w:rFonts w:hint="eastAsia" w:ascii="仿宋" w:hAnsi="仿宋" w:eastAsia="仿宋" w:cs="仿宋"/>
          <w:color w:val="auto"/>
          <w:szCs w:val="24"/>
          <w:highlight w:val="none"/>
          <w:lang w:val="zh-CN"/>
        </w:rPr>
        <w:t>，纪检监督电话：0692-12388。</w:t>
      </w:r>
    </w:p>
    <w:p w14:paraId="17220574">
      <w:pPr>
        <w:pStyle w:val="3"/>
        <w:adjustRightInd w:val="0"/>
        <w:snapToGrid w:val="0"/>
        <w:spacing w:line="360" w:lineRule="auto"/>
        <w:ind w:firstLine="482" w:firstLineChars="200"/>
        <w:jc w:val="left"/>
        <w:rPr>
          <w:rFonts w:ascii="仿宋" w:hAnsi="仿宋" w:eastAsia="仿宋" w:cs="仿宋"/>
          <w:color w:val="auto"/>
          <w:sz w:val="24"/>
          <w:szCs w:val="24"/>
          <w:highlight w:val="none"/>
        </w:rPr>
      </w:pPr>
      <w:bookmarkStart w:id="58" w:name="_Toc30086"/>
      <w:bookmarkStart w:id="59" w:name="_Toc9060"/>
      <w:bookmarkStart w:id="60" w:name="_Toc35393805"/>
      <w:bookmarkStart w:id="61" w:name="_Toc28359095"/>
      <w:bookmarkStart w:id="62" w:name="_Toc35393636"/>
      <w:bookmarkStart w:id="63" w:name="_Toc1770"/>
      <w:bookmarkStart w:id="64" w:name="_Toc28359018"/>
      <w:r>
        <w:rPr>
          <w:rFonts w:hint="eastAsia" w:ascii="仿宋" w:hAnsi="仿宋" w:eastAsia="仿宋" w:cs="仿宋"/>
          <w:color w:val="auto"/>
          <w:sz w:val="24"/>
          <w:szCs w:val="24"/>
          <w:highlight w:val="none"/>
        </w:rPr>
        <w:t>八、凡对本次采购提出询问，请按以下方式联系。</w:t>
      </w:r>
      <w:bookmarkEnd w:id="58"/>
      <w:bookmarkEnd w:id="59"/>
      <w:bookmarkEnd w:id="60"/>
      <w:bookmarkEnd w:id="61"/>
      <w:bookmarkEnd w:id="62"/>
      <w:bookmarkEnd w:id="63"/>
      <w:bookmarkEnd w:id="64"/>
    </w:p>
    <w:p w14:paraId="78A66AC5">
      <w:pPr>
        <w:pageBreakBefore w:val="0"/>
        <w:kinsoku/>
        <w:overflowPunct/>
        <w:bidi w:val="0"/>
        <w:spacing w:line="360" w:lineRule="auto"/>
        <w:ind w:firstLine="480" w:firstLineChars="200"/>
        <w:textAlignment w:val="auto"/>
        <w:rPr>
          <w:rFonts w:hint="default" w:ascii="仿宋" w:hAnsi="仿宋" w:eastAsia="仿宋" w:cs="仿宋"/>
          <w:color w:val="auto"/>
          <w:sz w:val="24"/>
          <w:szCs w:val="24"/>
          <w:highlight w:val="none"/>
          <w:lang w:val="en-US" w:eastAsia="zh-CN"/>
        </w:rPr>
      </w:pPr>
      <w:bookmarkStart w:id="65" w:name="_Toc28359021"/>
      <w:bookmarkStart w:id="66" w:name="_Toc35393639"/>
      <w:bookmarkStart w:id="67" w:name="_Toc28359098"/>
      <w:bookmarkStart w:id="68" w:name="_Toc35393808"/>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陇川县水利局</w:t>
      </w:r>
    </w:p>
    <w:p w14:paraId="50794F3F">
      <w:pPr>
        <w:pageBreakBefore w:val="0"/>
        <w:kinsoku/>
        <w:overflowPunct/>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陇川县章凤镇利民路4号</w:t>
      </w:r>
    </w:p>
    <w:p w14:paraId="0F1CEE9C">
      <w:pPr>
        <w:pageBreakBefore w:val="0"/>
        <w:kinsoku/>
        <w:overflowPunct/>
        <w:bidi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杨永亮</w:t>
      </w:r>
    </w:p>
    <w:p w14:paraId="5E6C2648">
      <w:pPr>
        <w:pStyle w:val="3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sz w:val="24"/>
          <w:szCs w:val="24"/>
          <w:highlight w:val="none"/>
          <w:lang w:val="en-US" w:eastAsia="zh-CN"/>
        </w:rPr>
        <w:t>0692-3024235</w:t>
      </w:r>
    </w:p>
    <w:p w14:paraId="3D0BF947">
      <w:pPr>
        <w:pStyle w:val="55"/>
        <w:adjustRightInd w:val="0"/>
        <w:snapToGrid w:val="0"/>
        <w:ind w:firstLine="480" w:firstLineChars="200"/>
        <w:rPr>
          <w:rFonts w:ascii="仿宋" w:hAnsi="仿宋" w:eastAsia="仿宋" w:cs="仿宋"/>
          <w:color w:val="auto"/>
          <w:szCs w:val="24"/>
          <w:highlight w:val="none"/>
        </w:rPr>
      </w:pPr>
    </w:p>
    <w:p w14:paraId="53770121">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招标代理机构：德宏杉和工程咨询有限公司</w:t>
      </w:r>
    </w:p>
    <w:p w14:paraId="2C4CAB2E">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址：云南省德宏州陇川县章凤镇卫国南路勐宛山水116-3号</w:t>
      </w:r>
    </w:p>
    <w:p w14:paraId="739306CE">
      <w:pPr>
        <w:adjustRightInd w:val="0"/>
        <w:snapToGrid w:val="0"/>
        <w:spacing w:line="360" w:lineRule="auto"/>
        <w:ind w:left="479" w:leftChars="228"/>
        <w:rPr>
          <w:rFonts w:hint="default"/>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周舟</w:t>
      </w:r>
    </w:p>
    <w:p w14:paraId="54410093">
      <w:pPr>
        <w:adjustRightInd w:val="0"/>
        <w:snapToGrid w:val="0"/>
        <w:spacing w:line="360" w:lineRule="auto"/>
        <w:ind w:left="479" w:leftChars="228"/>
        <w:rPr>
          <w:rFonts w:hint="eastAsia"/>
          <w:highlight w:val="none"/>
        </w:rPr>
      </w:pPr>
      <w:r>
        <w:rPr>
          <w:rFonts w:hint="eastAsia" w:ascii="仿宋" w:hAnsi="仿宋" w:eastAsia="仿宋" w:cs="仿宋"/>
          <w:color w:val="auto"/>
          <w:sz w:val="24"/>
          <w:szCs w:val="24"/>
          <w:highlight w:val="none"/>
        </w:rPr>
        <w:t xml:space="preserve">联系电话：0692-2990423 </w:t>
      </w:r>
      <w:r>
        <w:rPr>
          <w:rFonts w:hint="eastAsia" w:ascii="仿宋" w:hAnsi="仿宋" w:eastAsia="仿宋" w:cs="仿宋"/>
          <w:color w:val="auto"/>
          <w:sz w:val="24"/>
          <w:szCs w:val="24"/>
          <w:highlight w:val="none"/>
          <w:lang w:val="en-US" w:eastAsia="zh-CN"/>
        </w:rPr>
        <w:t xml:space="preserve"> 13908827135</w:t>
      </w:r>
    </w:p>
    <w:p w14:paraId="0F5ACC70">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6B3C440B">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w:t>
      </w:r>
      <w:bookmarkEnd w:id="65"/>
      <w:bookmarkEnd w:id="66"/>
      <w:bookmarkEnd w:id="67"/>
      <w:bookmarkEnd w:id="68"/>
    </w:p>
    <w:p w14:paraId="006ACDF0">
      <w:pPr>
        <w:adjustRightInd w:val="0"/>
        <w:snapToGrid w:val="0"/>
        <w:spacing w:line="360" w:lineRule="auto"/>
        <w:ind w:left="479" w:leftChars="228"/>
        <w:rPr>
          <w:rFonts w:hint="default"/>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周舟</w:t>
      </w:r>
    </w:p>
    <w:p w14:paraId="31805A4C">
      <w:pPr>
        <w:adjustRightInd w:val="0"/>
        <w:snapToGrid w:val="0"/>
        <w:spacing w:line="360" w:lineRule="auto"/>
        <w:ind w:left="479" w:leftChars="228"/>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联系电话：0692-2990423 </w:t>
      </w:r>
      <w:r>
        <w:rPr>
          <w:rFonts w:hint="eastAsia" w:ascii="仿宋" w:hAnsi="仿宋" w:eastAsia="仿宋" w:cs="仿宋"/>
          <w:color w:val="auto"/>
          <w:sz w:val="24"/>
          <w:szCs w:val="24"/>
          <w:highlight w:val="none"/>
          <w:lang w:val="en-US" w:eastAsia="zh-CN"/>
        </w:rPr>
        <w:t xml:space="preserve"> 13908827135</w:t>
      </w:r>
    </w:p>
    <w:p w14:paraId="7D177535">
      <w:pPr>
        <w:adjustRightInd w:val="0"/>
        <w:snapToGrid w:val="0"/>
        <w:spacing w:line="360" w:lineRule="auto"/>
        <w:ind w:firstLine="480" w:firstLineChars="200"/>
        <w:rPr>
          <w:rFonts w:ascii="仿宋" w:hAnsi="仿宋" w:eastAsia="仿宋" w:cs="仿宋"/>
          <w:color w:val="auto"/>
          <w:sz w:val="24"/>
          <w:szCs w:val="24"/>
          <w:highlight w:val="none"/>
        </w:rPr>
      </w:pPr>
    </w:p>
    <w:p w14:paraId="043F1217">
      <w:pPr>
        <w:ind w:firstLine="480" w:firstLineChars="200"/>
        <w:rPr>
          <w:rFonts w:ascii="仿宋" w:hAnsi="仿宋" w:eastAsia="仿宋" w:cs="仿宋"/>
          <w:color w:val="auto"/>
          <w:sz w:val="24"/>
          <w:szCs w:val="24"/>
          <w:highlight w:val="none"/>
        </w:rPr>
      </w:pPr>
    </w:p>
    <w:p w14:paraId="4C2E5AD0">
      <w:pPr>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日</w:t>
      </w:r>
    </w:p>
    <w:p w14:paraId="3697B64C">
      <w:pPr>
        <w:rPr>
          <w:color w:val="auto"/>
          <w:highlight w:val="none"/>
        </w:rPr>
      </w:pPr>
      <w:r>
        <w:rPr>
          <w:rFonts w:hint="eastAsia" w:ascii="仿宋" w:hAnsi="仿宋" w:eastAsia="仿宋" w:cs="仿宋"/>
          <w:color w:val="auto"/>
          <w:sz w:val="24"/>
          <w:szCs w:val="24"/>
          <w:highlight w:val="none"/>
        </w:rPr>
        <w:br w:type="page"/>
      </w:r>
    </w:p>
    <w:p w14:paraId="2C5A2360">
      <w:pPr>
        <w:pStyle w:val="2"/>
        <w:keepNext w:val="0"/>
        <w:keepLines w:val="0"/>
        <w:numPr>
          <w:ilvl w:val="0"/>
          <w:numId w:val="2"/>
        </w:numPr>
        <w:tabs>
          <w:tab w:val="left" w:pos="840"/>
          <w:tab w:val="center" w:pos="4620"/>
        </w:tabs>
        <w:spacing w:before="318" w:beforeLines="100" w:after="318" w:afterLines="100" w:line="360" w:lineRule="auto"/>
        <w:rPr>
          <w:rFonts w:ascii="仿宋" w:hAnsi="仿宋" w:eastAsia="仿宋" w:cs="仿宋"/>
          <w:color w:val="auto"/>
          <w:sz w:val="40"/>
          <w:highlight w:val="none"/>
        </w:rPr>
      </w:pPr>
      <w:r>
        <w:rPr>
          <w:rFonts w:hint="eastAsia" w:ascii="仿宋" w:hAnsi="仿宋" w:eastAsia="仿宋" w:cs="仿宋"/>
          <w:color w:val="auto"/>
          <w:sz w:val="40"/>
          <w:highlight w:val="none"/>
        </w:rPr>
        <w:t xml:space="preserve"> </w:t>
      </w:r>
      <w:bookmarkStart w:id="69" w:name="_Toc9476"/>
      <w:r>
        <w:rPr>
          <w:rFonts w:hint="eastAsia" w:ascii="仿宋" w:hAnsi="仿宋" w:eastAsia="仿宋" w:cs="仿宋"/>
          <w:color w:val="auto"/>
          <w:sz w:val="40"/>
          <w:highlight w:val="none"/>
        </w:rPr>
        <w:t>供应商须知</w:t>
      </w:r>
      <w:bookmarkEnd w:id="7"/>
      <w:bookmarkEnd w:id="69"/>
    </w:p>
    <w:p w14:paraId="4B875731">
      <w:pPr>
        <w:spacing w:line="360" w:lineRule="auto"/>
        <w:ind w:firstLine="510"/>
        <w:jc w:val="center"/>
        <w:rPr>
          <w:rFonts w:ascii="仿宋" w:hAnsi="仿宋" w:eastAsia="仿宋" w:cs="仿宋"/>
          <w:b/>
          <w:bCs/>
          <w:color w:val="auto"/>
          <w:spacing w:val="14"/>
          <w:sz w:val="28"/>
          <w:szCs w:val="30"/>
          <w:highlight w:val="none"/>
        </w:rPr>
      </w:pPr>
      <w:r>
        <w:rPr>
          <w:rFonts w:hint="eastAsia" w:ascii="仿宋" w:hAnsi="仿宋" w:eastAsia="仿宋" w:cs="仿宋"/>
          <w:b/>
          <w:bCs/>
          <w:color w:val="auto"/>
          <w:spacing w:val="14"/>
          <w:sz w:val="24"/>
          <w:szCs w:val="28"/>
          <w:highlight w:val="none"/>
        </w:rPr>
        <w:t>供应商须知前附表</w:t>
      </w:r>
    </w:p>
    <w:tbl>
      <w:tblPr>
        <w:tblStyle w:val="39"/>
        <w:tblW w:w="10235" w:type="dxa"/>
        <w:jc w:val="center"/>
        <w:tblLayout w:type="fixed"/>
        <w:tblCellMar>
          <w:top w:w="0" w:type="dxa"/>
          <w:left w:w="0" w:type="dxa"/>
          <w:bottom w:w="0" w:type="dxa"/>
          <w:right w:w="0" w:type="dxa"/>
        </w:tblCellMar>
      </w:tblPr>
      <w:tblGrid>
        <w:gridCol w:w="1010"/>
        <w:gridCol w:w="1802"/>
        <w:gridCol w:w="7423"/>
      </w:tblGrid>
      <w:tr w14:paraId="60164EC3">
        <w:trPr>
          <w:trHeight w:val="445" w:hRule="atLeast"/>
          <w:tblHeader/>
          <w:jc w:val="center"/>
        </w:trPr>
        <w:tc>
          <w:tcPr>
            <w:tcW w:w="1010" w:type="dxa"/>
            <w:tcBorders>
              <w:top w:val="single" w:color="auto" w:sz="4" w:space="0"/>
              <w:left w:val="single" w:color="auto" w:sz="4" w:space="0"/>
              <w:bottom w:val="single" w:color="auto" w:sz="4" w:space="0"/>
              <w:right w:val="single" w:color="auto" w:sz="4" w:space="0"/>
            </w:tcBorders>
            <w:vAlign w:val="center"/>
          </w:tcPr>
          <w:p w14:paraId="6B42D686">
            <w:pPr>
              <w:autoSpaceDE w:val="0"/>
              <w:autoSpaceDN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1802" w:type="dxa"/>
            <w:tcBorders>
              <w:top w:val="single" w:color="auto" w:sz="4" w:space="0"/>
              <w:left w:val="single" w:color="auto" w:sz="4" w:space="0"/>
              <w:bottom w:val="single" w:color="auto" w:sz="4" w:space="0"/>
              <w:right w:val="single" w:color="auto" w:sz="4" w:space="0"/>
            </w:tcBorders>
            <w:vAlign w:val="center"/>
          </w:tcPr>
          <w:p w14:paraId="6C4D5C72">
            <w:pPr>
              <w:autoSpaceDE w:val="0"/>
              <w:autoSpaceDN w:val="0"/>
              <w:ind w:left="4" w:leftChars="-7" w:hanging="19" w:hangingChars="8"/>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7423" w:type="dxa"/>
            <w:tcBorders>
              <w:top w:val="single" w:color="auto" w:sz="4" w:space="0"/>
              <w:left w:val="single" w:color="auto" w:sz="4" w:space="0"/>
              <w:bottom w:val="single" w:color="auto" w:sz="4" w:space="0"/>
              <w:right w:val="single" w:color="auto" w:sz="4" w:space="0"/>
            </w:tcBorders>
            <w:vAlign w:val="center"/>
          </w:tcPr>
          <w:p w14:paraId="25032B8A">
            <w:pPr>
              <w:autoSpaceDE w:val="0"/>
              <w:autoSpaceDN w:val="0"/>
              <w:ind w:left="4" w:leftChars="-7" w:hanging="19" w:hangingChars="8"/>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  列  内  容</w:t>
            </w:r>
          </w:p>
        </w:tc>
      </w:tr>
      <w:tr w14:paraId="50D01712">
        <w:tblPrEx>
          <w:tblCellMar>
            <w:top w:w="0" w:type="dxa"/>
            <w:left w:w="0" w:type="dxa"/>
            <w:bottom w:w="0" w:type="dxa"/>
            <w:right w:w="0" w:type="dxa"/>
          </w:tblCellMar>
        </w:tblPrEx>
        <w:trPr>
          <w:trHeight w:val="538" w:hRule="exact"/>
          <w:jc w:val="center"/>
        </w:trPr>
        <w:tc>
          <w:tcPr>
            <w:tcW w:w="1010" w:type="dxa"/>
            <w:tcBorders>
              <w:top w:val="single" w:color="auto" w:sz="4" w:space="0"/>
              <w:left w:val="single" w:color="auto" w:sz="4" w:space="0"/>
              <w:bottom w:val="single" w:color="auto" w:sz="4" w:space="0"/>
              <w:right w:val="single" w:color="auto" w:sz="4" w:space="0"/>
            </w:tcBorders>
            <w:vAlign w:val="center"/>
          </w:tcPr>
          <w:p w14:paraId="59E52AA2">
            <w:pPr>
              <w:autoSpaceDE w:val="0"/>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02" w:type="dxa"/>
            <w:tcBorders>
              <w:top w:val="single" w:color="auto" w:sz="4" w:space="0"/>
              <w:left w:val="single" w:color="auto" w:sz="4" w:space="0"/>
              <w:bottom w:val="single" w:color="auto" w:sz="4" w:space="0"/>
              <w:right w:val="single" w:color="auto" w:sz="4" w:space="0"/>
            </w:tcBorders>
            <w:vAlign w:val="center"/>
          </w:tcPr>
          <w:p w14:paraId="17FB533A">
            <w:pPr>
              <w:pStyle w:val="10"/>
              <w:autoSpaceDE w:val="0"/>
              <w:autoSpaceDN w:val="0"/>
              <w:spacing w:before="0"/>
              <w:ind w:firstLine="120" w:firstLineChars="50"/>
              <w:jc w:val="center"/>
              <w:rPr>
                <w:rFonts w:ascii="仿宋" w:hAnsi="仿宋" w:eastAsia="仿宋" w:cs="仿宋"/>
                <w:color w:val="auto"/>
                <w:highlight w:val="none"/>
              </w:rPr>
            </w:pPr>
            <w:r>
              <w:rPr>
                <w:rFonts w:hint="eastAsia" w:ascii="仿宋" w:hAnsi="仿宋" w:eastAsia="仿宋" w:cs="仿宋"/>
                <w:color w:val="auto"/>
                <w:highlight w:val="none"/>
              </w:rPr>
              <w:t>采购人</w:t>
            </w:r>
          </w:p>
        </w:tc>
        <w:tc>
          <w:tcPr>
            <w:tcW w:w="7423" w:type="dxa"/>
            <w:tcBorders>
              <w:top w:val="single" w:color="auto" w:sz="4" w:space="0"/>
              <w:left w:val="single" w:color="auto" w:sz="4" w:space="0"/>
              <w:bottom w:val="single" w:color="auto" w:sz="4" w:space="0"/>
              <w:right w:val="single" w:color="auto" w:sz="4" w:space="0"/>
            </w:tcBorders>
            <w:vAlign w:val="center"/>
          </w:tcPr>
          <w:p w14:paraId="6B8BCFE7">
            <w:pPr>
              <w:ind w:left="216" w:leftChars="103"/>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陇川县水利局</w:t>
            </w:r>
          </w:p>
        </w:tc>
      </w:tr>
      <w:tr w14:paraId="01D7B42D">
        <w:tblPrEx>
          <w:tblCellMar>
            <w:top w:w="0" w:type="dxa"/>
            <w:left w:w="0" w:type="dxa"/>
            <w:bottom w:w="0" w:type="dxa"/>
            <w:right w:w="0" w:type="dxa"/>
          </w:tblCellMar>
        </w:tblPrEx>
        <w:trPr>
          <w:trHeight w:val="510" w:hRule="exac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2258911">
            <w:pPr>
              <w:autoSpaceDE w:val="0"/>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02" w:type="dxa"/>
            <w:tcBorders>
              <w:top w:val="single" w:color="auto" w:sz="4" w:space="0"/>
              <w:left w:val="single" w:color="auto" w:sz="4" w:space="0"/>
              <w:bottom w:val="single" w:color="auto" w:sz="4" w:space="0"/>
              <w:right w:val="single" w:color="auto" w:sz="4" w:space="0"/>
            </w:tcBorders>
            <w:vAlign w:val="center"/>
          </w:tcPr>
          <w:p w14:paraId="1B4F0AF2">
            <w:pPr>
              <w:pStyle w:val="10"/>
              <w:autoSpaceDE w:val="0"/>
              <w:autoSpaceDN w:val="0"/>
              <w:spacing w:before="0"/>
              <w:ind w:firstLine="120" w:firstLineChars="50"/>
              <w:jc w:val="center"/>
              <w:rPr>
                <w:rFonts w:ascii="仿宋" w:hAnsi="仿宋" w:eastAsia="仿宋" w:cs="仿宋"/>
                <w:color w:val="auto"/>
                <w:highlight w:val="none"/>
              </w:rPr>
            </w:pPr>
            <w:r>
              <w:rPr>
                <w:rFonts w:hint="eastAsia" w:ascii="仿宋" w:hAnsi="仿宋" w:eastAsia="仿宋" w:cs="仿宋"/>
                <w:color w:val="auto"/>
                <w:highlight w:val="none"/>
              </w:rPr>
              <w:t>采购代理机构</w:t>
            </w:r>
          </w:p>
        </w:tc>
        <w:tc>
          <w:tcPr>
            <w:tcW w:w="7423" w:type="dxa"/>
            <w:tcBorders>
              <w:top w:val="single" w:color="auto" w:sz="4" w:space="0"/>
              <w:left w:val="single" w:color="auto" w:sz="4" w:space="0"/>
              <w:bottom w:val="single" w:color="auto" w:sz="4" w:space="0"/>
              <w:right w:val="single" w:color="auto" w:sz="4" w:space="0"/>
            </w:tcBorders>
            <w:vAlign w:val="center"/>
          </w:tcPr>
          <w:p w14:paraId="115B1231">
            <w:pPr>
              <w:ind w:left="216" w:leftChars="10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德宏杉和工程咨询有限公司</w:t>
            </w:r>
          </w:p>
        </w:tc>
      </w:tr>
      <w:tr w14:paraId="1699E038">
        <w:tblPrEx>
          <w:tblCellMar>
            <w:top w:w="0" w:type="dxa"/>
            <w:left w:w="0" w:type="dxa"/>
            <w:bottom w:w="0" w:type="dxa"/>
            <w:right w:w="0" w:type="dxa"/>
          </w:tblCellMar>
        </w:tblPrEx>
        <w:trPr>
          <w:trHeight w:val="608" w:hRule="exac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54109D2">
            <w:pPr>
              <w:autoSpaceDE w:val="0"/>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02" w:type="dxa"/>
            <w:tcBorders>
              <w:top w:val="single" w:color="auto" w:sz="4" w:space="0"/>
              <w:left w:val="single" w:color="auto" w:sz="4" w:space="0"/>
              <w:bottom w:val="single" w:color="auto" w:sz="4" w:space="0"/>
              <w:right w:val="single" w:color="auto" w:sz="4" w:space="0"/>
            </w:tcBorders>
            <w:vAlign w:val="center"/>
          </w:tcPr>
          <w:p w14:paraId="67AD9EB5">
            <w:pPr>
              <w:pStyle w:val="10"/>
              <w:autoSpaceDE w:val="0"/>
              <w:autoSpaceDN w:val="0"/>
              <w:spacing w:before="0"/>
              <w:ind w:firstLine="12" w:firstLineChars="5"/>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7423" w:type="dxa"/>
            <w:tcBorders>
              <w:top w:val="single" w:color="auto" w:sz="4" w:space="0"/>
              <w:left w:val="single" w:color="auto" w:sz="4" w:space="0"/>
              <w:bottom w:val="single" w:color="auto" w:sz="4" w:space="0"/>
              <w:right w:val="single" w:color="auto" w:sz="4" w:space="0"/>
            </w:tcBorders>
            <w:vAlign w:val="center"/>
          </w:tcPr>
          <w:p w14:paraId="6182E0B0">
            <w:pPr>
              <w:ind w:left="216" w:leftChars="103"/>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陇川县2025年水库及堤防白蚁等害堤动物防治项目</w:t>
            </w:r>
          </w:p>
        </w:tc>
      </w:tr>
      <w:tr w14:paraId="41BD8C04">
        <w:tblPrEx>
          <w:tblCellMar>
            <w:top w:w="0" w:type="dxa"/>
            <w:left w:w="0" w:type="dxa"/>
            <w:bottom w:w="0" w:type="dxa"/>
            <w:right w:w="0" w:type="dxa"/>
          </w:tblCellMar>
        </w:tblPrEx>
        <w:trPr>
          <w:trHeight w:val="510" w:hRule="exact"/>
          <w:jc w:val="center"/>
        </w:trPr>
        <w:tc>
          <w:tcPr>
            <w:tcW w:w="1010" w:type="dxa"/>
            <w:tcBorders>
              <w:top w:val="single" w:color="auto" w:sz="4" w:space="0"/>
              <w:left w:val="single" w:color="auto" w:sz="4" w:space="0"/>
              <w:bottom w:val="single" w:color="auto" w:sz="4" w:space="0"/>
              <w:right w:val="single" w:color="auto" w:sz="4" w:space="0"/>
            </w:tcBorders>
            <w:vAlign w:val="center"/>
          </w:tcPr>
          <w:p w14:paraId="2A6C37C9">
            <w:pPr>
              <w:autoSpaceDE w:val="0"/>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02" w:type="dxa"/>
            <w:tcBorders>
              <w:top w:val="single" w:color="auto" w:sz="4" w:space="0"/>
              <w:left w:val="single" w:color="auto" w:sz="4" w:space="0"/>
              <w:bottom w:val="single" w:color="auto" w:sz="4" w:space="0"/>
              <w:right w:val="single" w:color="auto" w:sz="4" w:space="0"/>
            </w:tcBorders>
            <w:vAlign w:val="center"/>
          </w:tcPr>
          <w:p w14:paraId="10EB3146">
            <w:pPr>
              <w:pStyle w:val="10"/>
              <w:autoSpaceDE w:val="0"/>
              <w:autoSpaceDN w:val="0"/>
              <w:spacing w:before="0"/>
              <w:ind w:firstLine="120" w:firstLineChars="50"/>
              <w:jc w:val="center"/>
              <w:rPr>
                <w:rFonts w:ascii="仿宋" w:hAnsi="仿宋" w:eastAsia="仿宋" w:cs="仿宋"/>
                <w:color w:val="auto"/>
                <w:highlight w:val="none"/>
              </w:rPr>
            </w:pPr>
            <w:r>
              <w:rPr>
                <w:rFonts w:hint="eastAsia" w:ascii="仿宋" w:hAnsi="仿宋" w:eastAsia="仿宋" w:cs="仿宋"/>
                <w:color w:val="auto"/>
                <w:highlight w:val="none"/>
              </w:rPr>
              <w:t>项目编号</w:t>
            </w:r>
          </w:p>
        </w:tc>
        <w:tc>
          <w:tcPr>
            <w:tcW w:w="7423" w:type="dxa"/>
            <w:tcBorders>
              <w:top w:val="single" w:color="auto" w:sz="4" w:space="0"/>
              <w:left w:val="single" w:color="auto" w:sz="4" w:space="0"/>
              <w:bottom w:val="single" w:color="auto" w:sz="4" w:space="0"/>
              <w:right w:val="single" w:color="auto" w:sz="4" w:space="0"/>
            </w:tcBorders>
            <w:vAlign w:val="center"/>
          </w:tcPr>
          <w:p w14:paraId="1F23A125">
            <w:pPr>
              <w:ind w:left="216" w:leftChars="103"/>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DHZC2025-C3-00670-DHSH-0025</w:t>
            </w:r>
          </w:p>
        </w:tc>
      </w:tr>
      <w:tr w14:paraId="03CF1A32">
        <w:tblPrEx>
          <w:tblCellMar>
            <w:top w:w="0" w:type="dxa"/>
            <w:left w:w="0" w:type="dxa"/>
            <w:bottom w:w="0" w:type="dxa"/>
            <w:right w:w="0" w:type="dxa"/>
          </w:tblCellMar>
        </w:tblPrEx>
        <w:trPr>
          <w:trHeight w:val="695" w:hRule="exac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FD8CFD1">
            <w:pPr>
              <w:autoSpaceDE w:val="0"/>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02" w:type="dxa"/>
            <w:tcBorders>
              <w:top w:val="single" w:color="auto" w:sz="4" w:space="0"/>
              <w:left w:val="single" w:color="auto" w:sz="4" w:space="0"/>
              <w:bottom w:val="single" w:color="auto" w:sz="4" w:space="0"/>
              <w:right w:val="single" w:color="auto" w:sz="4" w:space="0"/>
            </w:tcBorders>
            <w:vAlign w:val="center"/>
          </w:tcPr>
          <w:p w14:paraId="33302984">
            <w:pPr>
              <w:pStyle w:val="10"/>
              <w:autoSpaceDE w:val="0"/>
              <w:autoSpaceDN w:val="0"/>
              <w:spacing w:before="0"/>
              <w:ind w:firstLine="120" w:firstLineChars="50"/>
              <w:jc w:val="center"/>
              <w:rPr>
                <w:rFonts w:ascii="仿宋" w:hAnsi="仿宋" w:eastAsia="仿宋" w:cs="仿宋"/>
                <w:color w:val="auto"/>
                <w:highlight w:val="none"/>
              </w:rPr>
            </w:pPr>
            <w:r>
              <w:rPr>
                <w:rFonts w:hint="eastAsia" w:ascii="仿宋" w:hAnsi="仿宋" w:eastAsia="仿宋" w:cs="仿宋"/>
                <w:color w:val="auto"/>
                <w:highlight w:val="none"/>
              </w:rPr>
              <w:t>建设规模</w:t>
            </w:r>
          </w:p>
        </w:tc>
        <w:tc>
          <w:tcPr>
            <w:tcW w:w="7423" w:type="dxa"/>
            <w:tcBorders>
              <w:top w:val="single" w:color="auto" w:sz="4" w:space="0"/>
              <w:left w:val="single" w:color="auto" w:sz="4" w:space="0"/>
              <w:bottom w:val="single" w:color="auto" w:sz="4" w:space="0"/>
              <w:right w:val="single" w:color="auto" w:sz="4" w:space="0"/>
            </w:tcBorders>
            <w:vAlign w:val="center"/>
          </w:tcPr>
          <w:p w14:paraId="605C69CC">
            <w:pPr>
              <w:ind w:left="216" w:leftChars="103"/>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对陇川县28座水库的32个坝与南宛河87.254km的堤防进行白蚁等害堤动物防治。</w:t>
            </w:r>
          </w:p>
        </w:tc>
      </w:tr>
      <w:tr w14:paraId="7AF0DCC5">
        <w:tblPrEx>
          <w:tblCellMar>
            <w:top w:w="0" w:type="dxa"/>
            <w:left w:w="0" w:type="dxa"/>
            <w:bottom w:w="0" w:type="dxa"/>
            <w:right w:w="0" w:type="dxa"/>
          </w:tblCellMar>
        </w:tblPrEx>
        <w:trPr>
          <w:trHeight w:val="59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5EAA05B">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02" w:type="dxa"/>
            <w:tcBorders>
              <w:top w:val="single" w:color="auto" w:sz="4" w:space="0"/>
              <w:left w:val="single" w:color="auto" w:sz="4" w:space="0"/>
              <w:bottom w:val="single" w:color="auto" w:sz="4" w:space="0"/>
              <w:right w:val="single" w:color="auto" w:sz="4" w:space="0"/>
            </w:tcBorders>
            <w:vAlign w:val="center"/>
          </w:tcPr>
          <w:p w14:paraId="11743C16">
            <w:pPr>
              <w:pStyle w:val="10"/>
              <w:autoSpaceDE w:val="0"/>
              <w:autoSpaceDN w:val="0"/>
              <w:spacing w:before="0" w:line="360" w:lineRule="auto"/>
              <w:ind w:firstLine="120" w:firstLineChars="50"/>
              <w:jc w:val="center"/>
              <w:rPr>
                <w:rFonts w:ascii="仿宋" w:hAnsi="仿宋" w:eastAsia="仿宋" w:cs="仿宋"/>
                <w:color w:val="auto"/>
                <w:highlight w:val="none"/>
              </w:rPr>
            </w:pPr>
            <w:r>
              <w:rPr>
                <w:rFonts w:hint="eastAsia" w:ascii="仿宋" w:hAnsi="仿宋" w:eastAsia="仿宋" w:cs="仿宋"/>
                <w:color w:val="auto"/>
                <w:highlight w:val="none"/>
              </w:rPr>
              <w:t>磋商限价</w:t>
            </w:r>
          </w:p>
        </w:tc>
        <w:tc>
          <w:tcPr>
            <w:tcW w:w="7423" w:type="dxa"/>
            <w:tcBorders>
              <w:top w:val="single" w:color="auto" w:sz="4" w:space="0"/>
              <w:left w:val="single" w:color="auto" w:sz="4" w:space="0"/>
              <w:bottom w:val="single" w:color="auto" w:sz="4" w:space="0"/>
              <w:right w:val="single" w:color="auto" w:sz="4" w:space="0"/>
            </w:tcBorders>
            <w:vAlign w:val="center"/>
          </w:tcPr>
          <w:p w14:paraId="29529FF3">
            <w:pPr>
              <w:adjustRightInd w:val="0"/>
              <w:snapToGrid w:val="0"/>
              <w:spacing w:line="24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￥849982.00元</w:t>
            </w:r>
          </w:p>
        </w:tc>
      </w:tr>
      <w:tr w14:paraId="67C6F823">
        <w:tblPrEx>
          <w:tblCellMar>
            <w:top w:w="0" w:type="dxa"/>
            <w:left w:w="0" w:type="dxa"/>
            <w:bottom w:w="0" w:type="dxa"/>
            <w:right w:w="0"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EE50727">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02" w:type="dxa"/>
            <w:tcBorders>
              <w:top w:val="single" w:color="auto" w:sz="4" w:space="0"/>
              <w:left w:val="single" w:color="auto" w:sz="4" w:space="0"/>
              <w:bottom w:val="single" w:color="auto" w:sz="4" w:space="0"/>
              <w:right w:val="single" w:color="auto" w:sz="4" w:space="0"/>
            </w:tcBorders>
            <w:vAlign w:val="center"/>
          </w:tcPr>
          <w:p w14:paraId="6DC16B25">
            <w:pPr>
              <w:autoSpaceDE w:val="0"/>
              <w:autoSpaceDN w:val="0"/>
              <w:spacing w:line="360" w:lineRule="auto"/>
              <w:ind w:left="4" w:leftChars="2" w:firstLine="7" w:firstLineChars="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7423" w:type="dxa"/>
            <w:tcBorders>
              <w:top w:val="single" w:color="auto" w:sz="4" w:space="0"/>
              <w:left w:val="single" w:color="auto" w:sz="4" w:space="0"/>
              <w:bottom w:val="single" w:color="auto" w:sz="4" w:space="0"/>
              <w:right w:val="single" w:color="auto" w:sz="4" w:space="0"/>
            </w:tcBorders>
            <w:vAlign w:val="center"/>
          </w:tcPr>
          <w:p w14:paraId="51C3D6FB">
            <w:pPr>
              <w:keepNext w:val="0"/>
              <w:keepLines w:val="0"/>
              <w:pageBreakBefore w:val="0"/>
              <w:widowControl w:val="0"/>
              <w:kinsoku/>
              <w:wordWrap/>
              <w:overflowPunct/>
              <w:topLinePunct w:val="0"/>
              <w:autoSpaceDE/>
              <w:autoSpaceDN/>
              <w:bidi w:val="0"/>
              <w:adjustRightInd/>
              <w:snapToGrid/>
              <w:spacing w:line="360" w:lineRule="auto"/>
              <w:ind w:left="216" w:leftChars="103"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对陇川县28座水库的32个坝与南宛河87.254km的堤防进行白蚁等害堤动物防治，防治的主要措施有：对白蚁进行蚁巢开挖回填（人工挖巢）、钻孔灌药、投放诱杀包及喷洒药物；对红火蚁进行扒巢药杀。（具体实施内容最终以服务需求清单和招标人委托内容为准）。</w:t>
            </w:r>
            <w:r>
              <w:rPr>
                <w:rFonts w:hint="eastAsia" w:ascii="仿宋" w:hAnsi="仿宋" w:eastAsia="仿宋" w:cs="仿宋"/>
                <w:color w:val="auto"/>
                <w:sz w:val="24"/>
                <w:szCs w:val="24"/>
                <w:highlight w:val="none"/>
                <w:lang w:val="en-US" w:eastAsia="zh-CN"/>
              </w:rPr>
              <w:t>详见第五章采购内容及具体要求。</w:t>
            </w:r>
          </w:p>
        </w:tc>
      </w:tr>
      <w:tr w14:paraId="5A56ED2F">
        <w:tblPrEx>
          <w:tblCellMar>
            <w:top w:w="0" w:type="dxa"/>
            <w:left w:w="0" w:type="dxa"/>
            <w:bottom w:w="0" w:type="dxa"/>
            <w:right w:w="0" w:type="dxa"/>
          </w:tblCellMar>
        </w:tblPrEx>
        <w:trPr>
          <w:trHeight w:val="561"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286EAB2">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802" w:type="dxa"/>
            <w:tcBorders>
              <w:top w:val="single" w:color="auto" w:sz="4" w:space="0"/>
              <w:left w:val="single" w:color="auto" w:sz="4" w:space="0"/>
              <w:bottom w:val="single" w:color="auto" w:sz="4" w:space="0"/>
              <w:right w:val="single" w:color="auto" w:sz="4" w:space="0"/>
            </w:tcBorders>
            <w:vAlign w:val="center"/>
          </w:tcPr>
          <w:p w14:paraId="6574131D">
            <w:pPr>
              <w:autoSpaceDE w:val="0"/>
              <w:autoSpaceDN w:val="0"/>
              <w:adjustRightInd w:val="0"/>
              <w:snapToGrid w:val="0"/>
              <w:spacing w:line="276" w:lineRule="auto"/>
              <w:ind w:left="216" w:leftChars="103" w:firstLine="240" w:firstLine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质量要求</w:t>
            </w:r>
          </w:p>
        </w:tc>
        <w:tc>
          <w:tcPr>
            <w:tcW w:w="7423" w:type="dxa"/>
            <w:tcBorders>
              <w:top w:val="single" w:color="auto" w:sz="4" w:space="0"/>
              <w:left w:val="single" w:color="auto" w:sz="4" w:space="0"/>
              <w:bottom w:val="single" w:color="auto" w:sz="4" w:space="0"/>
              <w:right w:val="single" w:color="auto" w:sz="4" w:space="0"/>
            </w:tcBorders>
            <w:vAlign w:val="center"/>
          </w:tcPr>
          <w:p w14:paraId="2CC2958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（1）白蚁防治质量达到《水利工程白蚁防治技术规程》（SL/T 836—2024）及《水利工程白蚁防治技术规范》（T∕CHES-44-2020）的要求，同时符合国家现行有关标准的规定。（2）红火蚁防治质量达到</w:t>
            </w:r>
            <w:r>
              <w:rPr>
                <w:rFonts w:hint="eastAsia" w:ascii="仿宋" w:hAnsi="仿宋" w:eastAsia="仿宋" w:cs="仿宋"/>
                <w:color w:val="auto"/>
                <w:sz w:val="24"/>
                <w:szCs w:val="24"/>
                <w:highlight w:val="none"/>
              </w:rPr>
              <w:t>《红火蚁检疫规程》GB/T 23634-2009</w:t>
            </w:r>
            <w:r>
              <w:rPr>
                <w:rFonts w:hint="eastAsia" w:ascii="仿宋" w:hAnsi="仿宋" w:eastAsia="仿宋" w:cs="仿宋"/>
                <w:color w:val="auto"/>
                <w:sz w:val="24"/>
                <w:szCs w:val="24"/>
                <w:highlight w:val="none"/>
                <w:lang w:val="en-US" w:eastAsia="zh-CN"/>
              </w:rPr>
              <w:t>及《红火蚁专业化防控实施规程》（NY/T3541-2020）的要求，同时符合国家现行有关标准的规定。（3）项目通过验收后，质保期2年。质保期内跟踪服务，每年10—11月复查一次，复查结果需形成书面报告，质保期内若发现白蚁、红火蚁的，由中标单位自行承担及时清除。</w:t>
            </w:r>
          </w:p>
        </w:tc>
      </w:tr>
      <w:tr w14:paraId="3DC86022">
        <w:tblPrEx>
          <w:tblCellMar>
            <w:top w:w="0" w:type="dxa"/>
            <w:left w:w="0" w:type="dxa"/>
            <w:bottom w:w="0" w:type="dxa"/>
            <w:right w:w="0" w:type="dxa"/>
          </w:tblCellMar>
        </w:tblPrEx>
        <w:trPr>
          <w:trHeight w:val="417" w:hRule="atLeast"/>
          <w:jc w:val="center"/>
        </w:trPr>
        <w:tc>
          <w:tcPr>
            <w:tcW w:w="1010" w:type="dxa"/>
            <w:tcBorders>
              <w:top w:val="single" w:color="auto" w:sz="4" w:space="0"/>
              <w:left w:val="single" w:color="auto" w:sz="4" w:space="0"/>
              <w:right w:val="single" w:color="auto" w:sz="4" w:space="0"/>
            </w:tcBorders>
            <w:vAlign w:val="center"/>
          </w:tcPr>
          <w:p w14:paraId="284F431D">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1802" w:type="dxa"/>
            <w:tcBorders>
              <w:top w:val="single" w:color="auto" w:sz="4" w:space="0"/>
              <w:left w:val="single" w:color="auto" w:sz="4" w:space="0"/>
              <w:right w:val="single" w:color="auto" w:sz="4" w:space="0"/>
            </w:tcBorders>
            <w:vAlign w:val="center"/>
          </w:tcPr>
          <w:p w14:paraId="211F7F56">
            <w:pPr>
              <w:autoSpaceDE w:val="0"/>
              <w:autoSpaceDN w:val="0"/>
              <w:adjustRightInd w:val="0"/>
              <w:snapToGrid w:val="0"/>
              <w:spacing w:line="276" w:lineRule="auto"/>
              <w:ind w:left="4" w:leftChars="2" w:firstLine="120" w:firstLineChar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项目实施地点</w:t>
            </w:r>
          </w:p>
        </w:tc>
        <w:tc>
          <w:tcPr>
            <w:tcW w:w="7423" w:type="dxa"/>
            <w:tcBorders>
              <w:top w:val="single" w:color="auto" w:sz="4" w:space="0"/>
              <w:left w:val="single" w:color="auto" w:sz="4" w:space="0"/>
              <w:bottom w:val="single" w:color="auto" w:sz="4" w:space="0"/>
              <w:right w:val="single" w:color="auto" w:sz="4" w:space="0"/>
            </w:tcBorders>
            <w:vAlign w:val="center"/>
          </w:tcPr>
          <w:p w14:paraId="6D70B816">
            <w:pPr>
              <w:adjustRightInd w:val="0"/>
              <w:snapToGrid w:val="0"/>
              <w:spacing w:line="24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陇川县</w:t>
            </w:r>
          </w:p>
        </w:tc>
      </w:tr>
      <w:tr w14:paraId="16FB6D17">
        <w:tblPrEx>
          <w:tblCellMar>
            <w:top w:w="0" w:type="dxa"/>
            <w:left w:w="0" w:type="dxa"/>
            <w:bottom w:w="0" w:type="dxa"/>
            <w:right w:w="0" w:type="dxa"/>
          </w:tblCellMar>
        </w:tblPrEx>
        <w:trPr>
          <w:trHeight w:val="516"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0B00670">
            <w:pPr>
              <w:autoSpaceDE w:val="0"/>
              <w:autoSpaceDN w:val="0"/>
              <w:adjustRightInd w:val="0"/>
              <w:snapToGrid w:val="0"/>
              <w:spacing w:line="276" w:lineRule="auto"/>
              <w:ind w:left="4" w:leftChars="2" w:firstLine="120" w:firstLineChar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1.10</w:t>
            </w:r>
          </w:p>
        </w:tc>
        <w:tc>
          <w:tcPr>
            <w:tcW w:w="1802" w:type="dxa"/>
            <w:tcBorders>
              <w:top w:val="single" w:color="auto" w:sz="4" w:space="0"/>
              <w:left w:val="single" w:color="auto" w:sz="4" w:space="0"/>
              <w:bottom w:val="single" w:color="auto" w:sz="4" w:space="0"/>
              <w:right w:val="single" w:color="auto" w:sz="4" w:space="0"/>
            </w:tcBorders>
            <w:vAlign w:val="center"/>
          </w:tcPr>
          <w:p w14:paraId="193EB916">
            <w:pPr>
              <w:autoSpaceDE w:val="0"/>
              <w:autoSpaceDN w:val="0"/>
              <w:adjustRightInd w:val="0"/>
              <w:snapToGrid w:val="0"/>
              <w:spacing w:line="276" w:lineRule="auto"/>
              <w:ind w:left="4" w:leftChars="2" w:firstLine="120" w:firstLineChars="50"/>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合同履约期限</w:t>
            </w:r>
          </w:p>
        </w:tc>
        <w:tc>
          <w:tcPr>
            <w:tcW w:w="7423" w:type="dxa"/>
            <w:tcBorders>
              <w:top w:val="single" w:color="auto" w:sz="4" w:space="0"/>
              <w:left w:val="single" w:color="auto" w:sz="4" w:space="0"/>
              <w:bottom w:val="single" w:color="auto" w:sz="4" w:space="0"/>
              <w:right w:val="single" w:color="auto" w:sz="4" w:space="0"/>
            </w:tcBorders>
            <w:vAlign w:val="center"/>
          </w:tcPr>
          <w:p w14:paraId="1E83F70B">
            <w:pPr>
              <w:adjustRightInd w:val="0"/>
              <w:snapToGrid w:val="0"/>
              <w:spacing w:line="24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2个月</w:t>
            </w:r>
            <w:r>
              <w:rPr>
                <w:rFonts w:hint="eastAsia" w:ascii="仿宋" w:hAnsi="仿宋" w:eastAsia="仿宋" w:cs="仿宋"/>
                <w:color w:val="auto"/>
                <w:sz w:val="24"/>
                <w:szCs w:val="24"/>
                <w:highlight w:val="none"/>
              </w:rPr>
              <w:t>。</w:t>
            </w:r>
          </w:p>
        </w:tc>
      </w:tr>
      <w:tr w14:paraId="0EA927EB">
        <w:tblPrEx>
          <w:tblCellMar>
            <w:top w:w="0" w:type="dxa"/>
            <w:left w:w="0" w:type="dxa"/>
            <w:bottom w:w="0" w:type="dxa"/>
            <w:right w:w="0" w:type="dxa"/>
          </w:tblCellMar>
        </w:tblPrEx>
        <w:trPr>
          <w:trHeight w:val="416"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CAC0CC4">
            <w:pPr>
              <w:autoSpaceDE w:val="0"/>
              <w:autoSpaceDN w:val="0"/>
              <w:adjustRightInd w:val="0"/>
              <w:snapToGrid w:val="0"/>
              <w:spacing w:line="276"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p>
        </w:tc>
        <w:tc>
          <w:tcPr>
            <w:tcW w:w="1802" w:type="dxa"/>
            <w:tcBorders>
              <w:top w:val="single" w:color="auto" w:sz="4" w:space="0"/>
              <w:left w:val="single" w:color="auto" w:sz="4" w:space="0"/>
              <w:bottom w:val="single" w:color="auto" w:sz="4" w:space="0"/>
              <w:right w:val="single" w:color="auto" w:sz="4" w:space="0"/>
            </w:tcBorders>
            <w:vAlign w:val="center"/>
          </w:tcPr>
          <w:p w14:paraId="455758DD">
            <w:pPr>
              <w:autoSpaceDE w:val="0"/>
              <w:autoSpaceDN w:val="0"/>
              <w:adjustRightInd w:val="0"/>
              <w:snapToGrid w:val="0"/>
              <w:spacing w:line="276" w:lineRule="auto"/>
              <w:ind w:left="4" w:leftChars="2" w:firstLine="120" w:firstLineChar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供应商资格要求</w:t>
            </w:r>
          </w:p>
        </w:tc>
        <w:tc>
          <w:tcPr>
            <w:tcW w:w="7423" w:type="dxa"/>
            <w:tcBorders>
              <w:top w:val="single" w:color="auto" w:sz="4" w:space="0"/>
              <w:left w:val="single" w:color="auto" w:sz="4" w:space="0"/>
              <w:bottom w:val="single" w:color="auto" w:sz="4" w:space="0"/>
              <w:right w:val="single" w:color="auto" w:sz="4" w:space="0"/>
            </w:tcBorders>
            <w:vAlign w:val="center"/>
          </w:tcPr>
          <w:p w14:paraId="60B9FAC3">
            <w:pPr>
              <w:adjustRightInd w:val="0"/>
              <w:snapToGrid w:val="0"/>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9C48339">
            <w:pPr>
              <w:adjustRightInd w:val="0"/>
              <w:snapToGrid w:val="0"/>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1.1具有独立承担民事责任的能力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提供法人或者其他组织的营业执照等证明文件，自然人的身份证明；</w:t>
            </w:r>
          </w:p>
          <w:p w14:paraId="5BF15810">
            <w:pPr>
              <w:adjustRightInd w:val="0"/>
              <w:snapToGrid w:val="0"/>
              <w:spacing w:line="36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1.2具有良好的商业信誉和健全的财务会计制度</w:t>
            </w:r>
            <w:r>
              <w:rPr>
                <w:rFonts w:hint="eastAsia" w:ascii="仿宋" w:hAnsi="仿宋" w:eastAsia="仿宋" w:cs="仿宋"/>
                <w:color w:val="auto"/>
                <w:sz w:val="24"/>
                <w:szCs w:val="24"/>
                <w:highlight w:val="none"/>
                <w:lang w:eastAsia="zh-CN"/>
              </w:rPr>
              <w:t>：</w:t>
            </w:r>
          </w:p>
          <w:p w14:paraId="372004BC">
            <w:pPr>
              <w:adjustRightInd w:val="0"/>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①未被列入“信用中国”网站（www.creditchina.gov.cn）重大税收违法失信主体、严重失信</w:t>
            </w:r>
            <w:r>
              <w:rPr>
                <w:rFonts w:hint="eastAsia" w:ascii="仿宋" w:hAnsi="仿宋" w:eastAsia="仿宋" w:cs="仿宋"/>
                <w:color w:val="auto"/>
                <w:sz w:val="24"/>
                <w:szCs w:val="24"/>
                <w:highlight w:val="none"/>
                <w:lang w:val="en-US" w:eastAsia="zh-CN"/>
              </w:rPr>
              <w:t>主体行为</w:t>
            </w:r>
            <w:r>
              <w:rPr>
                <w:rFonts w:hint="eastAsia" w:ascii="仿宋" w:hAnsi="仿宋" w:eastAsia="仿宋" w:cs="仿宋"/>
                <w:color w:val="auto"/>
                <w:sz w:val="24"/>
                <w:szCs w:val="24"/>
                <w:highlight w:val="none"/>
              </w:rPr>
              <w:t>名单及中国政府采购网（www.ccgp.gov.cn）“政府采购严重违法失信行为信息记录”、未在“中国执行信息公开网”（网址：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"http://www.creditchina.gov.cn）中列入失信被执行人名单（投标人需附网站查询截图）；"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xml:space="preserve"> http://zxgk.court.gov.cn/shixin/）中列入失信被执行人名单；</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由评审小组对供应商信用情况精确查询</w:t>
            </w:r>
            <w:r>
              <w:rPr>
                <w:rFonts w:hint="eastAsia" w:ascii="仿宋" w:hAnsi="仿宋" w:eastAsia="仿宋" w:cs="仿宋"/>
                <w:color w:val="auto"/>
                <w:sz w:val="24"/>
                <w:szCs w:val="24"/>
                <w:highlight w:val="none"/>
              </w:rPr>
              <w:t>）</w:t>
            </w:r>
          </w:p>
          <w:p w14:paraId="335C6B16">
            <w:pPr>
              <w:adjustRightInd w:val="0"/>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②提供</w:t>
            </w:r>
            <w:r>
              <w:rPr>
                <w:rFonts w:hint="eastAsia" w:ascii="仿宋" w:hAnsi="仿宋" w:eastAsia="仿宋" w:cs="仿宋"/>
                <w:color w:val="auto"/>
                <w:sz w:val="24"/>
                <w:szCs w:val="24"/>
                <w:highlight w:val="none"/>
                <w:lang w:val="en-US" w:eastAsia="zh-CN"/>
              </w:rPr>
              <w:t>2024年度</w:t>
            </w:r>
            <w:r>
              <w:rPr>
                <w:rFonts w:hint="eastAsia" w:ascii="仿宋" w:hAnsi="仿宋" w:eastAsia="仿宋" w:cs="仿宋"/>
                <w:color w:val="auto"/>
                <w:sz w:val="24"/>
                <w:szCs w:val="24"/>
                <w:highlight w:val="none"/>
              </w:rPr>
              <w:t>经第三方审计的财务报告及报表（包括资产负债表、利润表、现金流量表）；未经审计或新成立企业，则需提供企业成立至今的公司内部自行编制的财务报表。</w:t>
            </w:r>
          </w:p>
          <w:p w14:paraId="3C6D356E">
            <w:pPr>
              <w:adjustRightInd w:val="0"/>
              <w:snapToGrid w:val="0"/>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1.3具有履行合同所必需的设备和专业技术能力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提供相关证明材料或声明。</w:t>
            </w:r>
          </w:p>
          <w:p w14:paraId="591F5E3A">
            <w:pPr>
              <w:adjustRightInd w:val="0"/>
              <w:snapToGrid w:val="0"/>
              <w:spacing w:line="36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1.4有依法缴纳税收和社会保障资金的良好记录</w:t>
            </w:r>
            <w:r>
              <w:rPr>
                <w:rFonts w:hint="eastAsia" w:ascii="仿宋" w:hAnsi="仿宋" w:eastAsia="仿宋" w:cs="仿宋"/>
                <w:color w:val="auto"/>
                <w:sz w:val="24"/>
                <w:szCs w:val="24"/>
                <w:highlight w:val="none"/>
                <w:lang w:eastAsia="zh-CN"/>
              </w:rPr>
              <w:t>：</w:t>
            </w:r>
          </w:p>
          <w:p w14:paraId="08D94614">
            <w:pPr>
              <w:adjustRightInd w:val="0"/>
              <w:snapToGrid w:val="0"/>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①提供缴税所属时间在202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月至本项目投标文件提交截止时间前</w:t>
            </w:r>
            <w:r>
              <w:rPr>
                <w:rFonts w:hint="eastAsia" w:ascii="仿宋" w:hAnsi="仿宋" w:eastAsia="仿宋" w:cs="仿宋"/>
                <w:color w:val="auto"/>
                <w:sz w:val="24"/>
                <w:szCs w:val="24"/>
                <w:highlight w:val="none"/>
                <w:lang w:val="en-US" w:eastAsia="zh-CN"/>
              </w:rPr>
              <w:t>任意3</w:t>
            </w:r>
            <w:r>
              <w:rPr>
                <w:rFonts w:hint="eastAsia" w:ascii="仿宋" w:hAnsi="仿宋" w:eastAsia="仿宋" w:cs="仿宋"/>
                <w:color w:val="auto"/>
                <w:sz w:val="24"/>
                <w:szCs w:val="24"/>
                <w:highlight w:val="none"/>
              </w:rPr>
              <w:t>个月的税务局税收通用缴款书或银行电子缴税（费）凭证或税务局出</w:t>
            </w:r>
            <w:r>
              <w:rPr>
                <w:rFonts w:hint="eastAsia" w:ascii="仿宋" w:hAnsi="仿宋" w:eastAsia="仿宋" w:cs="仿宋"/>
                <w:color w:val="auto"/>
                <w:sz w:val="24"/>
                <w:szCs w:val="24"/>
                <w:highlight w:val="none"/>
                <w:lang w:eastAsia="zh-CN"/>
              </w:rPr>
              <w:t>具的</w:t>
            </w:r>
            <w:r>
              <w:rPr>
                <w:rFonts w:hint="eastAsia" w:ascii="仿宋" w:hAnsi="仿宋" w:eastAsia="仿宋" w:cs="仿宋"/>
                <w:color w:val="auto"/>
                <w:sz w:val="24"/>
                <w:szCs w:val="24"/>
                <w:highlight w:val="none"/>
              </w:rPr>
              <w:t>纳税情况的相关证明，依法免税的，应提供依法免税的相关证明文件；成立时间不足</w:t>
            </w:r>
            <w:r>
              <w:rPr>
                <w:rFonts w:hint="eastAsia" w:ascii="仿宋" w:hAnsi="仿宋" w:eastAsia="仿宋" w:cs="仿宋"/>
                <w:color w:val="auto"/>
                <w:sz w:val="24"/>
                <w:szCs w:val="24"/>
                <w:highlight w:val="none"/>
                <w:lang w:val="en-US" w:eastAsia="zh-CN"/>
              </w:rPr>
              <w:t>3个月</w:t>
            </w:r>
            <w:r>
              <w:rPr>
                <w:rFonts w:hint="eastAsia" w:ascii="仿宋" w:hAnsi="仿宋" w:eastAsia="仿宋" w:cs="仿宋"/>
                <w:color w:val="auto"/>
                <w:sz w:val="24"/>
                <w:szCs w:val="24"/>
                <w:highlight w:val="none"/>
              </w:rPr>
              <w:t>或非企业原因无法提供纳税证明的作特别说明。</w:t>
            </w:r>
          </w:p>
          <w:p w14:paraId="7C7B9A9B">
            <w:pPr>
              <w:adjustRightInd w:val="0"/>
              <w:snapToGrid w:val="0"/>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②提供缴费所属时间在202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月至本项目响应文件提交截止时间前</w:t>
            </w:r>
            <w:r>
              <w:rPr>
                <w:rFonts w:hint="eastAsia" w:ascii="仿宋" w:hAnsi="仿宋" w:eastAsia="仿宋" w:cs="仿宋"/>
                <w:color w:val="auto"/>
                <w:sz w:val="24"/>
                <w:szCs w:val="24"/>
                <w:highlight w:val="none"/>
                <w:lang w:val="en-US" w:eastAsia="zh-CN"/>
              </w:rPr>
              <w:t>任意3</w:t>
            </w:r>
            <w:r>
              <w:rPr>
                <w:rFonts w:hint="eastAsia" w:ascii="仿宋" w:hAnsi="仿宋" w:eastAsia="仿宋" w:cs="仿宋"/>
                <w:color w:val="auto"/>
                <w:sz w:val="24"/>
                <w:szCs w:val="24"/>
                <w:highlight w:val="none"/>
              </w:rPr>
              <w:t>个月的社会保障资金缴款书或银行电子缴税（费）凭证或社保管理部门出具的有效的缴款证明，依法不需要缴纳的，应提供依法不需要缴纳的相关证明文件；成立时间不足</w:t>
            </w:r>
            <w:r>
              <w:rPr>
                <w:rFonts w:hint="eastAsia" w:ascii="仿宋" w:hAnsi="仿宋" w:eastAsia="仿宋" w:cs="仿宋"/>
                <w:color w:val="auto"/>
                <w:sz w:val="24"/>
                <w:szCs w:val="24"/>
                <w:highlight w:val="none"/>
                <w:lang w:val="en-US" w:eastAsia="zh-CN"/>
              </w:rPr>
              <w:t>3个月</w:t>
            </w:r>
            <w:r>
              <w:rPr>
                <w:rFonts w:hint="eastAsia" w:ascii="仿宋" w:hAnsi="仿宋" w:eastAsia="仿宋" w:cs="仿宋"/>
                <w:color w:val="auto"/>
                <w:sz w:val="24"/>
                <w:szCs w:val="24"/>
                <w:highlight w:val="none"/>
              </w:rPr>
              <w:t>或非企业原因无法提供缴纳社保证明的作特别说明。</w:t>
            </w:r>
          </w:p>
          <w:p w14:paraId="2E552540">
            <w:pPr>
              <w:spacing w:line="360" w:lineRule="auto"/>
              <w:ind w:firstLine="240" w:firstLine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1.5.参加政府采购活动前三年内，在经营活动中没有重大违法记录（重大违法记录是指磋商供应商因违法经营受到刑事处罚或者责令停产停业、吊销许可证或者执照、较大数额罚款等行政处罚）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提供相关书面声明；</w:t>
            </w:r>
          </w:p>
          <w:p w14:paraId="3723EEFF">
            <w:pPr>
              <w:spacing w:line="360" w:lineRule="auto"/>
              <w:ind w:firstLine="240" w:firstLineChars="100"/>
              <w:jc w:val="left"/>
              <w:rPr>
                <w:rFonts w:eastAsia="仿宋"/>
                <w:color w:val="auto"/>
                <w:highlight w:val="none"/>
              </w:rPr>
            </w:pPr>
            <w:r>
              <w:rPr>
                <w:rFonts w:hint="eastAsia" w:ascii="仿宋" w:hAnsi="仿宋" w:eastAsia="仿宋" w:cs="仿宋"/>
                <w:color w:val="auto"/>
                <w:sz w:val="24"/>
                <w:szCs w:val="24"/>
                <w:highlight w:val="none"/>
              </w:rPr>
              <w:t>1.6.法律、行政法规规定的其他条件：单位负责人为同一人或者存在直接控股、管理关系的不同供应商，不得参加同一合同项下的政府采购活动，提供相关书面声明；</w:t>
            </w:r>
          </w:p>
          <w:p w14:paraId="23F6462A">
            <w:pPr>
              <w:adjustRightInd w:val="0"/>
              <w:snapToGrid w:val="0"/>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14:paraId="1AE45358">
            <w:pPr>
              <w:spacing w:line="360" w:lineRule="auto"/>
              <w:ind w:firstLine="240" w:firstLine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2.1本项目是否专门面向中小企业：本项目不属于专门面向中小企业预留份额的项目，对符合《政府采购促进中小企业发展暂行办法》(财库</w:t>
            </w:r>
            <w:r>
              <w:rPr>
                <w:rFonts w:hint="eastAsia" w:ascii="仿宋" w:hAnsi="仿宋" w:eastAsia="仿宋" w:cs="仿宋"/>
                <w:color w:val="auto"/>
                <w:sz w:val="24"/>
                <w:szCs w:val="24"/>
                <w:highlight w:val="none"/>
                <w:lang w:eastAsia="zh-CN"/>
              </w:rPr>
              <w:t>〔2020〕46号</w:t>
            </w:r>
            <w:r>
              <w:rPr>
                <w:rFonts w:hint="eastAsia" w:ascii="仿宋" w:hAnsi="仿宋" w:eastAsia="仿宋" w:cs="仿宋"/>
                <w:color w:val="auto"/>
                <w:sz w:val="24"/>
                <w:szCs w:val="24"/>
                <w:highlight w:val="none"/>
              </w:rPr>
              <w:t>)、云南省财政厅关于贯彻《财政部关于进一步加大政府采购支持中小企业力度的通知》的通知（云财采〔2022〕9号）、《工业和信息化部、国家统计局、国家发展和改革委员会、财政部关于印发中小企业划型标准规定的通知（工信部联企业</w:t>
            </w:r>
            <w:r>
              <w:rPr>
                <w:rFonts w:hint="eastAsia" w:ascii="仿宋" w:hAnsi="仿宋" w:eastAsia="仿宋" w:cs="仿宋"/>
                <w:color w:val="auto"/>
                <w:sz w:val="24"/>
                <w:szCs w:val="24"/>
                <w:highlight w:val="none"/>
                <w:lang w:eastAsia="zh-CN"/>
              </w:rPr>
              <w:t>〔2011〕</w:t>
            </w:r>
            <w:r>
              <w:rPr>
                <w:rFonts w:hint="eastAsia" w:ascii="仿宋" w:hAnsi="仿宋" w:eastAsia="仿宋" w:cs="仿宋"/>
                <w:color w:val="auto"/>
                <w:sz w:val="24"/>
                <w:szCs w:val="24"/>
                <w:highlight w:val="none"/>
              </w:rPr>
              <w:t>300 号）、《关于政府采购支持监狱企业发展有关问题的通知》(财库〔2014〕68号)、《关于促进残疾人就业政府采购政策的通知》(财库〔2017〕141号)和环境标志产品及节能产品相关规定的供应商，按《中华人民共和国政府采购法实施条例》第六条的规定，采用“价格评审优惠”的方式落实。</w:t>
            </w:r>
          </w:p>
          <w:p w14:paraId="2434B653">
            <w:pPr>
              <w:numPr>
                <w:ilvl w:val="0"/>
                <w:numId w:val="4"/>
              </w:num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val="en-US" w:eastAsia="zh-CN"/>
              </w:rPr>
              <w:t>无</w:t>
            </w:r>
          </w:p>
        </w:tc>
      </w:tr>
      <w:tr w14:paraId="53F8393B">
        <w:tblPrEx>
          <w:tblCellMar>
            <w:top w:w="0" w:type="dxa"/>
            <w:left w:w="0" w:type="dxa"/>
            <w:bottom w:w="0" w:type="dxa"/>
            <w:right w:w="0" w:type="dxa"/>
          </w:tblCellMar>
        </w:tblPrEx>
        <w:trPr>
          <w:trHeight w:val="401"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413115BB">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802" w:type="dxa"/>
            <w:tcBorders>
              <w:top w:val="single" w:color="auto" w:sz="4" w:space="0"/>
              <w:left w:val="single" w:color="auto" w:sz="4" w:space="0"/>
              <w:bottom w:val="single" w:color="auto" w:sz="4" w:space="0"/>
              <w:right w:val="single" w:color="auto" w:sz="4" w:space="0"/>
            </w:tcBorders>
            <w:vAlign w:val="center"/>
          </w:tcPr>
          <w:p w14:paraId="3A2ED2AA">
            <w:pPr>
              <w:autoSpaceDE w:val="0"/>
              <w:autoSpaceDN w:val="0"/>
              <w:adjustRightInd w:val="0"/>
              <w:snapToGrid w:val="0"/>
              <w:spacing w:line="276" w:lineRule="auto"/>
              <w:ind w:left="4" w:leftChars="2" w:firstLine="120" w:firstLineChar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w:t>
            </w:r>
          </w:p>
          <w:p w14:paraId="1EA3AE59">
            <w:pPr>
              <w:pStyle w:val="10"/>
              <w:autoSpaceDE w:val="0"/>
              <w:autoSpaceDN w:val="0"/>
              <w:adjustRightInd w:val="0"/>
              <w:snapToGrid w:val="0"/>
              <w:spacing w:before="0" w:line="276" w:lineRule="auto"/>
              <w:ind w:firstLine="120" w:firstLineChars="50"/>
              <w:jc w:val="center"/>
              <w:rPr>
                <w:rFonts w:ascii="仿宋" w:hAnsi="仿宋" w:eastAsia="仿宋" w:cs="仿宋"/>
                <w:color w:val="auto"/>
                <w:highlight w:val="none"/>
              </w:rPr>
            </w:pPr>
            <w:r>
              <w:rPr>
                <w:rFonts w:hint="eastAsia" w:ascii="仿宋" w:hAnsi="仿宋" w:eastAsia="仿宋" w:cs="仿宋"/>
                <w:color w:val="auto"/>
                <w:highlight w:val="none"/>
              </w:rPr>
              <w:t>联合体投标</w:t>
            </w:r>
          </w:p>
        </w:tc>
        <w:tc>
          <w:tcPr>
            <w:tcW w:w="7423" w:type="dxa"/>
            <w:tcBorders>
              <w:top w:val="single" w:color="auto" w:sz="4" w:space="0"/>
              <w:left w:val="single" w:color="auto" w:sz="4" w:space="0"/>
              <w:bottom w:val="single" w:color="auto" w:sz="4" w:space="0"/>
              <w:right w:val="single" w:color="auto" w:sz="4" w:space="0"/>
            </w:tcBorders>
            <w:vAlign w:val="center"/>
          </w:tcPr>
          <w:p w14:paraId="6A55E6C2">
            <w:pPr>
              <w:wordWrap w:val="0"/>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不接受</w:t>
            </w:r>
          </w:p>
        </w:tc>
      </w:tr>
      <w:tr w14:paraId="41D1DEEC">
        <w:tblPrEx>
          <w:tblCellMar>
            <w:top w:w="0" w:type="dxa"/>
            <w:left w:w="0" w:type="dxa"/>
            <w:bottom w:w="0" w:type="dxa"/>
            <w:right w:w="0" w:type="dxa"/>
          </w:tblCellMar>
        </w:tblPrEx>
        <w:trPr>
          <w:trHeight w:val="401"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3767B6C3">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02" w:type="dxa"/>
            <w:tcBorders>
              <w:top w:val="single" w:color="auto" w:sz="4" w:space="0"/>
              <w:left w:val="single" w:color="auto" w:sz="4" w:space="0"/>
              <w:bottom w:val="single" w:color="auto" w:sz="4" w:space="0"/>
              <w:right w:val="single" w:color="auto" w:sz="4" w:space="0"/>
            </w:tcBorders>
            <w:vAlign w:val="center"/>
          </w:tcPr>
          <w:p w14:paraId="48DA318F">
            <w:pPr>
              <w:pStyle w:val="10"/>
              <w:autoSpaceDE w:val="0"/>
              <w:autoSpaceDN w:val="0"/>
              <w:adjustRightInd w:val="0"/>
              <w:snapToGrid w:val="0"/>
              <w:spacing w:before="0" w:line="276" w:lineRule="auto"/>
              <w:ind w:firstLine="120" w:firstLineChars="50"/>
              <w:jc w:val="center"/>
              <w:rPr>
                <w:rFonts w:ascii="仿宋" w:hAnsi="仿宋" w:eastAsia="仿宋" w:cs="仿宋"/>
                <w:color w:val="auto"/>
                <w:highlight w:val="none"/>
              </w:rPr>
            </w:pPr>
            <w:r>
              <w:rPr>
                <w:rFonts w:hint="eastAsia" w:ascii="仿宋" w:hAnsi="仿宋" w:eastAsia="仿宋" w:cs="仿宋"/>
                <w:color w:val="auto"/>
                <w:highlight w:val="none"/>
              </w:rPr>
              <w:t>成交服务费</w:t>
            </w:r>
          </w:p>
        </w:tc>
        <w:tc>
          <w:tcPr>
            <w:tcW w:w="7423" w:type="dxa"/>
            <w:tcBorders>
              <w:top w:val="single" w:color="auto" w:sz="4" w:space="0"/>
              <w:left w:val="single" w:color="auto" w:sz="4" w:space="0"/>
              <w:bottom w:val="single" w:color="auto" w:sz="4" w:space="0"/>
              <w:right w:val="single" w:color="auto" w:sz="4" w:space="0"/>
            </w:tcBorders>
            <w:vAlign w:val="center"/>
          </w:tcPr>
          <w:p w14:paraId="0F2B23C6">
            <w:pPr>
              <w:wordWrap w:val="0"/>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论磋商的结果如何，供应商自行承担其参加本次采购活动编制响应文件与递交响应文件所涉及的一切费用。招标代理服务费依据《云南省建设工程招标代理服务收费指导意见（试行）》，以每个项目的中标价为计费基数收取。由中标人在收到中标通知书时一次性向招标代理机构支付。</w:t>
            </w:r>
          </w:p>
        </w:tc>
      </w:tr>
      <w:tr w14:paraId="2625B684">
        <w:tblPrEx>
          <w:tblCellMar>
            <w:top w:w="0" w:type="dxa"/>
            <w:left w:w="0" w:type="dxa"/>
            <w:bottom w:w="0" w:type="dxa"/>
            <w:right w:w="0" w:type="dxa"/>
          </w:tblCellMar>
        </w:tblPrEx>
        <w:trPr>
          <w:trHeight w:val="401"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3939E0DC">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5.5</w:t>
            </w:r>
          </w:p>
        </w:tc>
        <w:tc>
          <w:tcPr>
            <w:tcW w:w="1802" w:type="dxa"/>
            <w:tcBorders>
              <w:top w:val="single" w:color="auto" w:sz="4" w:space="0"/>
              <w:left w:val="single" w:color="auto" w:sz="4" w:space="0"/>
              <w:bottom w:val="single" w:color="auto" w:sz="4" w:space="0"/>
              <w:right w:val="single" w:color="auto" w:sz="4" w:space="0"/>
            </w:tcBorders>
            <w:vAlign w:val="center"/>
          </w:tcPr>
          <w:p w14:paraId="72DE4266">
            <w:pPr>
              <w:pStyle w:val="10"/>
              <w:autoSpaceDE w:val="0"/>
              <w:autoSpaceDN w:val="0"/>
              <w:adjustRightInd w:val="0"/>
              <w:snapToGrid w:val="0"/>
              <w:spacing w:before="0" w:line="276" w:lineRule="auto"/>
              <w:ind w:firstLine="120" w:firstLineChars="50"/>
              <w:jc w:val="center"/>
              <w:rPr>
                <w:rFonts w:ascii="仿宋" w:hAnsi="仿宋" w:eastAsia="仿宋" w:cs="仿宋"/>
                <w:color w:val="auto"/>
                <w:highlight w:val="none"/>
              </w:rPr>
            </w:pPr>
            <w:r>
              <w:rPr>
                <w:rFonts w:hint="eastAsia" w:ascii="仿宋" w:hAnsi="仿宋" w:eastAsia="仿宋" w:cs="仿宋"/>
                <w:color w:val="auto"/>
                <w:highlight w:val="none"/>
              </w:rPr>
              <w:t>电子采购文件澄清与答疑</w:t>
            </w:r>
          </w:p>
        </w:tc>
        <w:tc>
          <w:tcPr>
            <w:tcW w:w="7423" w:type="dxa"/>
            <w:tcBorders>
              <w:top w:val="single" w:color="auto" w:sz="4" w:space="0"/>
              <w:left w:val="single" w:color="auto" w:sz="4" w:space="0"/>
              <w:bottom w:val="single" w:color="auto" w:sz="4" w:space="0"/>
              <w:right w:val="single" w:color="auto" w:sz="4" w:space="0"/>
            </w:tcBorders>
            <w:vAlign w:val="center"/>
          </w:tcPr>
          <w:p w14:paraId="48622A70">
            <w:pPr>
              <w:wordWrap w:val="0"/>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应仔细阅读和检查采购文件的全部内容。如发现缺页或附件不全，应及时向采购人或代理机构提出，以便补齐。如有疑问，应在供应商须知前附表规定的时间前在政府采购云平台“询问列表”提出，要求采购人或代理机构对采购文件予以澄清。</w:t>
            </w:r>
          </w:p>
        </w:tc>
      </w:tr>
      <w:tr w14:paraId="26F56420">
        <w:tblPrEx>
          <w:tblCellMar>
            <w:top w:w="0" w:type="dxa"/>
            <w:left w:w="0" w:type="dxa"/>
            <w:bottom w:w="0" w:type="dxa"/>
            <w:right w:w="0" w:type="dxa"/>
          </w:tblCellMar>
        </w:tblPrEx>
        <w:trPr>
          <w:trHeight w:val="1322"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2ED089B">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p>
        </w:tc>
        <w:tc>
          <w:tcPr>
            <w:tcW w:w="1802" w:type="dxa"/>
            <w:tcBorders>
              <w:top w:val="single" w:color="auto" w:sz="4" w:space="0"/>
              <w:left w:val="single" w:color="auto" w:sz="4" w:space="0"/>
              <w:bottom w:val="single" w:color="auto" w:sz="4" w:space="0"/>
              <w:right w:val="single" w:color="auto" w:sz="4" w:space="0"/>
            </w:tcBorders>
            <w:vAlign w:val="center"/>
          </w:tcPr>
          <w:p w14:paraId="2AFCCD78">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报价方式</w:t>
            </w:r>
          </w:p>
        </w:tc>
        <w:tc>
          <w:tcPr>
            <w:tcW w:w="7423" w:type="dxa"/>
            <w:tcBorders>
              <w:top w:val="single" w:color="auto" w:sz="4" w:space="0"/>
              <w:left w:val="single" w:color="auto" w:sz="4" w:space="0"/>
              <w:bottom w:val="single" w:color="auto" w:sz="4" w:space="0"/>
              <w:right w:val="single" w:color="auto" w:sz="4" w:space="0"/>
            </w:tcBorders>
            <w:vAlign w:val="center"/>
          </w:tcPr>
          <w:p w14:paraId="25196809">
            <w:pPr>
              <w:adjustRightInd w:val="0"/>
              <w:snapToGrid w:val="0"/>
              <w:spacing w:line="276" w:lineRule="auto"/>
              <w:ind w:firstLine="481"/>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二次报价（磋商报价分两轮进行，第一轮为根据供应商递交的响应文件开标一览表及磋商函的报价，第二轮为由供应商在 “政采云”平台(https://www.zcygox.cn)中进行磋商产生的报价(请供应商在系统规定的时间内完成报价)，第二轮报价即为最终报价并纳入综合评审）</w:t>
            </w:r>
          </w:p>
        </w:tc>
      </w:tr>
      <w:tr w14:paraId="4E7F93B5">
        <w:tblPrEx>
          <w:tblCellMar>
            <w:top w:w="0" w:type="dxa"/>
            <w:left w:w="0" w:type="dxa"/>
            <w:bottom w:w="0" w:type="dxa"/>
            <w:right w:w="0" w:type="dxa"/>
          </w:tblCellMar>
        </w:tblPrEx>
        <w:trPr>
          <w:trHeight w:val="484"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6A65546">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6.9</w:t>
            </w:r>
          </w:p>
        </w:tc>
        <w:tc>
          <w:tcPr>
            <w:tcW w:w="1802" w:type="dxa"/>
            <w:tcBorders>
              <w:top w:val="single" w:color="auto" w:sz="4" w:space="0"/>
              <w:left w:val="single" w:color="auto" w:sz="4" w:space="0"/>
              <w:bottom w:val="single" w:color="auto" w:sz="4" w:space="0"/>
              <w:right w:val="single" w:color="auto" w:sz="4" w:space="0"/>
            </w:tcBorders>
            <w:vAlign w:val="center"/>
          </w:tcPr>
          <w:p w14:paraId="14395D97">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电子投标（响应）文件的编制</w:t>
            </w:r>
          </w:p>
          <w:p w14:paraId="10BE4B52">
            <w:pPr>
              <w:autoSpaceDE w:val="0"/>
              <w:autoSpaceDN w:val="0"/>
              <w:adjustRightInd w:val="0"/>
              <w:snapToGrid w:val="0"/>
              <w:spacing w:line="276" w:lineRule="auto"/>
              <w:jc w:val="center"/>
              <w:rPr>
                <w:rFonts w:ascii="仿宋" w:hAnsi="仿宋" w:eastAsia="仿宋" w:cs="仿宋"/>
                <w:color w:val="auto"/>
                <w:sz w:val="24"/>
                <w:szCs w:val="24"/>
                <w:highlight w:val="none"/>
              </w:rPr>
            </w:pPr>
          </w:p>
        </w:tc>
        <w:tc>
          <w:tcPr>
            <w:tcW w:w="7423" w:type="dxa"/>
            <w:tcBorders>
              <w:top w:val="single" w:color="auto" w:sz="4" w:space="0"/>
              <w:left w:val="single" w:color="auto" w:sz="4" w:space="0"/>
              <w:bottom w:val="single" w:color="auto" w:sz="4" w:space="0"/>
              <w:right w:val="single" w:color="auto" w:sz="4" w:space="0"/>
            </w:tcBorders>
            <w:vAlign w:val="center"/>
          </w:tcPr>
          <w:p w14:paraId="62C8941E">
            <w:pPr>
              <w:numPr>
                <w:ilvl w:val="0"/>
                <w:numId w:val="5"/>
              </w:numPr>
              <w:wordWrap w:val="0"/>
              <w:adjustRightInd w:val="0"/>
              <w:snapToGrid w:val="0"/>
              <w:spacing w:line="360" w:lineRule="auto"/>
              <w:rPr>
                <w:color w:val="auto"/>
                <w:highlight w:val="none"/>
              </w:rPr>
            </w:pPr>
            <w:r>
              <w:rPr>
                <w:rFonts w:hint="eastAsia" w:ascii="仿宋" w:hAnsi="仿宋" w:eastAsia="仿宋" w:cs="仿宋"/>
                <w:color w:val="auto"/>
                <w:kern w:val="0"/>
                <w:sz w:val="24"/>
                <w:szCs w:val="24"/>
                <w:highlight w:val="none"/>
              </w:rPr>
              <w:t>电子投标（响应）文件应使用“政采云”平台 （https://www.zcygov.cn）中下载的政采云电子投标客户端制作， 并进行电子签章及加密后上传至政府采购云平台。编制要求见《电子投标文件编制要求》。 （二）如供应商提交的电子标书不符合（一）要求或开标时无法读取导入或解密，其投标（响应）文件将不予受理。</w:t>
            </w:r>
          </w:p>
        </w:tc>
      </w:tr>
      <w:tr w14:paraId="7A67F54A">
        <w:tblPrEx>
          <w:tblCellMar>
            <w:top w:w="0" w:type="dxa"/>
            <w:left w:w="0" w:type="dxa"/>
            <w:bottom w:w="0" w:type="dxa"/>
            <w:right w:w="0" w:type="dxa"/>
          </w:tblCellMar>
        </w:tblPrEx>
        <w:trPr>
          <w:trHeight w:val="1322"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4377F1F3">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w:t>
            </w:r>
          </w:p>
        </w:tc>
        <w:tc>
          <w:tcPr>
            <w:tcW w:w="1802" w:type="dxa"/>
            <w:tcBorders>
              <w:top w:val="single" w:color="auto" w:sz="4" w:space="0"/>
              <w:left w:val="single" w:color="auto" w:sz="4" w:space="0"/>
              <w:bottom w:val="single" w:color="auto" w:sz="4" w:space="0"/>
              <w:right w:val="single" w:color="auto" w:sz="4" w:space="0"/>
            </w:tcBorders>
            <w:vAlign w:val="center"/>
          </w:tcPr>
          <w:p w14:paraId="2D22B2A7">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响应文件的签署</w:t>
            </w:r>
          </w:p>
        </w:tc>
        <w:tc>
          <w:tcPr>
            <w:tcW w:w="7423" w:type="dxa"/>
            <w:tcBorders>
              <w:top w:val="single" w:color="auto" w:sz="4" w:space="0"/>
              <w:left w:val="single" w:color="auto" w:sz="4" w:space="0"/>
              <w:bottom w:val="single" w:color="auto" w:sz="4" w:space="0"/>
              <w:right w:val="single" w:color="auto" w:sz="4" w:space="0"/>
            </w:tcBorders>
            <w:vAlign w:val="center"/>
          </w:tcPr>
          <w:p w14:paraId="5CD65195">
            <w:pPr>
              <w:wordWrap w:val="0"/>
              <w:adjustRightInd w:val="0"/>
              <w:snapToGrid w:val="0"/>
              <w:spacing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7.2.1响应文件均需打印或使用不褪色的墨水笔书写，字迹应清晰易于辨认。应按照第四章中提供的响应文件部分格式的要求，在响应文件需要签署的地方，进行企业、法定代表人或委托代理人签章或签名，无需逐页签署。由委托代理人签名的在响应文件中须同时提交授权委托书。授权委托书格式、签署及授权内容均应符合要求，否则授权委托书无效，委托代理人签名无效。</w:t>
            </w:r>
          </w:p>
          <w:p w14:paraId="4A5214ED">
            <w:pPr>
              <w:wordWrap w:val="0"/>
              <w:adjustRightInd w:val="0"/>
              <w:snapToGrid w:val="0"/>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8"/>
                <w:highlight w:val="none"/>
              </w:rPr>
              <w:t>7.2.2供应商如对响应文件有修改，修改处应由供应商的签章或由法定代表人或其委托代理人签名。</w:t>
            </w:r>
          </w:p>
        </w:tc>
      </w:tr>
      <w:tr w14:paraId="3F3D71CD">
        <w:tblPrEx>
          <w:tblCellMar>
            <w:top w:w="0" w:type="dxa"/>
            <w:left w:w="0" w:type="dxa"/>
            <w:bottom w:w="0" w:type="dxa"/>
            <w:right w:w="0" w:type="dxa"/>
          </w:tblCellMar>
        </w:tblPrEx>
        <w:trPr>
          <w:trHeight w:val="431"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A02A7F2">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p>
        </w:tc>
        <w:tc>
          <w:tcPr>
            <w:tcW w:w="1802" w:type="dxa"/>
            <w:tcBorders>
              <w:top w:val="single" w:color="auto" w:sz="4" w:space="0"/>
              <w:left w:val="single" w:color="auto" w:sz="4" w:space="0"/>
              <w:bottom w:val="single" w:color="auto" w:sz="4" w:space="0"/>
              <w:right w:val="single" w:color="auto" w:sz="4" w:space="0"/>
            </w:tcBorders>
            <w:vAlign w:val="center"/>
          </w:tcPr>
          <w:p w14:paraId="5E47F2AB">
            <w:pPr>
              <w:autoSpaceDE w:val="0"/>
              <w:autoSpaceDN w:val="0"/>
              <w:adjustRightInd w:val="0"/>
              <w:snapToGrid w:val="0"/>
              <w:spacing w:line="276" w:lineRule="auto"/>
              <w:ind w:left="4" w:leftChars="2" w:firstLine="120" w:firstLineChars="5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响应文件有效期</w:t>
            </w:r>
          </w:p>
        </w:tc>
        <w:tc>
          <w:tcPr>
            <w:tcW w:w="7423" w:type="dxa"/>
            <w:tcBorders>
              <w:top w:val="single" w:color="auto" w:sz="4" w:space="0"/>
              <w:left w:val="single" w:color="auto" w:sz="4" w:space="0"/>
              <w:bottom w:val="single" w:color="auto" w:sz="4" w:space="0"/>
              <w:right w:val="single" w:color="auto" w:sz="4" w:space="0"/>
            </w:tcBorders>
            <w:vAlign w:val="center"/>
          </w:tcPr>
          <w:p w14:paraId="1231ACD6">
            <w:pPr>
              <w:autoSpaceDE w:val="0"/>
              <w:autoSpaceDN w:val="0"/>
              <w:adjustRightInd w:val="0"/>
              <w:snapToGrid w:val="0"/>
              <w:spacing w:line="276" w:lineRule="auto"/>
              <w:ind w:left="216" w:leftChars="103"/>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递交响应文件截止日期后90天。</w:t>
            </w:r>
          </w:p>
        </w:tc>
      </w:tr>
      <w:tr w14:paraId="7E12D0CC">
        <w:tblPrEx>
          <w:tblCellMar>
            <w:top w:w="0" w:type="dxa"/>
            <w:left w:w="0" w:type="dxa"/>
            <w:bottom w:w="0" w:type="dxa"/>
            <w:right w:w="0" w:type="dxa"/>
          </w:tblCellMar>
        </w:tblPrEx>
        <w:trPr>
          <w:trHeight w:val="286"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37DC52E">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9.2</w:t>
            </w:r>
          </w:p>
        </w:tc>
        <w:tc>
          <w:tcPr>
            <w:tcW w:w="1802" w:type="dxa"/>
            <w:tcBorders>
              <w:top w:val="single" w:color="auto" w:sz="4" w:space="0"/>
              <w:left w:val="single" w:color="auto" w:sz="4" w:space="0"/>
              <w:bottom w:val="single" w:color="auto" w:sz="4" w:space="0"/>
              <w:right w:val="single" w:color="auto" w:sz="4" w:space="0"/>
            </w:tcBorders>
            <w:vAlign w:val="center"/>
          </w:tcPr>
          <w:p w14:paraId="7710F31D">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磋商保证金</w:t>
            </w:r>
          </w:p>
        </w:tc>
        <w:tc>
          <w:tcPr>
            <w:tcW w:w="7423" w:type="dxa"/>
            <w:tcBorders>
              <w:top w:val="single" w:color="auto" w:sz="4" w:space="0"/>
              <w:left w:val="single" w:color="auto" w:sz="4" w:space="0"/>
              <w:bottom w:val="single" w:color="auto" w:sz="4" w:space="0"/>
              <w:right w:val="single" w:color="auto" w:sz="4" w:space="0"/>
            </w:tcBorders>
            <w:vAlign w:val="center"/>
          </w:tcPr>
          <w:p w14:paraId="6CF2DA74">
            <w:pPr>
              <w:autoSpaceDE w:val="0"/>
              <w:autoSpaceDN w:val="0"/>
              <w:adjustRightInd w:val="0"/>
              <w:snapToGrid w:val="0"/>
              <w:spacing w:line="276" w:lineRule="auto"/>
              <w:ind w:left="216" w:leftChars="103"/>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fldChar w:fldCharType="begin"/>
            </w:r>
            <w:r>
              <w:rPr>
                <w:rFonts w:hint="eastAsia" w:ascii="仿宋" w:hAnsi="仿宋" w:eastAsia="仿宋" w:cs="仿宋"/>
                <w:color w:val="auto"/>
                <w:sz w:val="24"/>
                <w:szCs w:val="24"/>
                <w:highlight w:val="none"/>
                <w:lang w:val="zh-CN"/>
              </w:rPr>
              <w:instrText xml:space="preserve"> eq \o\ac(□)</w:instrTex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rPr>
              <w:t>要求，磋商保证金的金额：</w:t>
            </w:r>
          </w:p>
          <w:p w14:paraId="2E52854F">
            <w:pPr>
              <w:autoSpaceDE w:val="0"/>
              <w:autoSpaceDN w:val="0"/>
              <w:adjustRightInd w:val="0"/>
              <w:snapToGrid w:val="0"/>
              <w:spacing w:line="276" w:lineRule="auto"/>
              <w:ind w:left="216" w:leftChars="103"/>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fldChar w:fldCharType="begin"/>
            </w:r>
            <w:r>
              <w:rPr>
                <w:rFonts w:hint="eastAsia" w:ascii="仿宋" w:hAnsi="仿宋" w:eastAsia="仿宋" w:cs="仿宋"/>
                <w:color w:val="auto"/>
                <w:sz w:val="24"/>
                <w:szCs w:val="24"/>
                <w:highlight w:val="none"/>
                <w:lang w:val="zh-CN"/>
              </w:rPr>
              <w:instrText xml:space="preserve"> eq \o\ac(□,</w:instrText>
            </w:r>
            <w:r>
              <w:rPr>
                <w:rFonts w:hint="eastAsia" w:ascii="仿宋" w:hAnsi="仿宋" w:eastAsia="仿宋" w:cs="仿宋"/>
                <w:color w:val="auto"/>
                <w:position w:val="2"/>
                <w:sz w:val="16"/>
                <w:szCs w:val="24"/>
                <w:highlight w:val="none"/>
                <w:lang w:val="zh-CN"/>
              </w:rPr>
              <w:instrText xml:space="preserve">√</w:instrText>
            </w:r>
            <w:r>
              <w:rPr>
                <w:rFonts w:hint="eastAsia" w:ascii="仿宋" w:hAnsi="仿宋" w:eastAsia="仿宋" w:cs="仿宋"/>
                <w:color w:val="auto"/>
                <w:sz w:val="24"/>
                <w:szCs w:val="24"/>
                <w:highlight w:val="none"/>
                <w:lang w:val="zh-CN"/>
              </w:rPr>
              <w:instrText xml:space="preserve">)</w:instrTex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rPr>
              <w:t>不要求</w:t>
            </w:r>
          </w:p>
        </w:tc>
      </w:tr>
      <w:tr w14:paraId="3BAD24DB">
        <w:tblPrEx>
          <w:tblCellMar>
            <w:top w:w="0" w:type="dxa"/>
            <w:left w:w="0" w:type="dxa"/>
            <w:bottom w:w="0" w:type="dxa"/>
            <w:right w:w="0" w:type="dxa"/>
          </w:tblCellMar>
        </w:tblPrEx>
        <w:trPr>
          <w:trHeight w:val="76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617AB55">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p>
        </w:tc>
        <w:tc>
          <w:tcPr>
            <w:tcW w:w="1802" w:type="dxa"/>
            <w:tcBorders>
              <w:top w:val="single" w:color="auto" w:sz="4" w:space="0"/>
              <w:left w:val="single" w:color="auto" w:sz="4" w:space="0"/>
              <w:bottom w:val="single" w:color="auto" w:sz="4" w:space="0"/>
              <w:right w:val="single" w:color="auto" w:sz="4" w:space="0"/>
            </w:tcBorders>
            <w:vAlign w:val="center"/>
          </w:tcPr>
          <w:p w14:paraId="2CF6E497">
            <w:pPr>
              <w:autoSpaceDE w:val="0"/>
              <w:autoSpaceDN w:val="0"/>
              <w:adjustRightInd w:val="0"/>
              <w:snapToGrid w:val="0"/>
              <w:spacing w:line="276" w:lineRule="auto"/>
              <w:ind w:left="216" w:leftChars="10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递交响应文件截止时间</w:t>
            </w:r>
          </w:p>
        </w:tc>
        <w:tc>
          <w:tcPr>
            <w:tcW w:w="7423" w:type="dxa"/>
            <w:tcBorders>
              <w:top w:val="single" w:color="auto" w:sz="4" w:space="0"/>
              <w:left w:val="single" w:color="auto" w:sz="4" w:space="0"/>
              <w:bottom w:val="single" w:color="auto" w:sz="4" w:space="0"/>
              <w:right w:val="single" w:color="auto" w:sz="4" w:space="0"/>
            </w:tcBorders>
            <w:vAlign w:val="center"/>
          </w:tcPr>
          <w:p w14:paraId="7A772457">
            <w:pPr>
              <w:autoSpaceDE w:val="0"/>
              <w:autoSpaceDN w:val="0"/>
              <w:adjustRightInd w:val="0"/>
              <w:snapToGrid w:val="0"/>
              <w:spacing w:line="276" w:lineRule="auto"/>
              <w:ind w:left="216" w:leftChars="103"/>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同磋商截止时间</w:t>
            </w:r>
          </w:p>
        </w:tc>
      </w:tr>
      <w:tr w14:paraId="0BB25A7E">
        <w:tblPrEx>
          <w:tblCellMar>
            <w:top w:w="0" w:type="dxa"/>
            <w:left w:w="0" w:type="dxa"/>
            <w:bottom w:w="0" w:type="dxa"/>
            <w:right w:w="0" w:type="dxa"/>
          </w:tblCellMar>
        </w:tblPrEx>
        <w:trPr>
          <w:trHeight w:val="74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A0AE144">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p>
        </w:tc>
        <w:tc>
          <w:tcPr>
            <w:tcW w:w="1802" w:type="dxa"/>
            <w:tcBorders>
              <w:top w:val="single" w:color="auto" w:sz="4" w:space="0"/>
              <w:left w:val="single" w:color="auto" w:sz="4" w:space="0"/>
              <w:bottom w:val="single" w:color="auto" w:sz="4" w:space="0"/>
              <w:right w:val="single" w:color="auto" w:sz="4" w:space="0"/>
            </w:tcBorders>
            <w:vAlign w:val="center"/>
          </w:tcPr>
          <w:p w14:paraId="221DB3DD">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递交响应文件</w:t>
            </w:r>
          </w:p>
        </w:tc>
        <w:tc>
          <w:tcPr>
            <w:tcW w:w="7423" w:type="dxa"/>
            <w:tcBorders>
              <w:top w:val="single" w:color="auto" w:sz="4" w:space="0"/>
              <w:left w:val="single" w:color="auto" w:sz="4" w:space="0"/>
              <w:bottom w:val="single" w:color="auto" w:sz="4" w:space="0"/>
              <w:right w:val="single" w:color="auto" w:sz="4" w:space="0"/>
            </w:tcBorders>
            <w:vAlign w:val="center"/>
          </w:tcPr>
          <w:p w14:paraId="18EB4162">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响应）文件递交的截止时间（投标截止时间，下同）前，需在网上完成递交投标（响应）文件操作;具体要求：登录“政采云”平台（https://www.zcygov.cn），供应商须在投标截止时间前完成投标（响应）文件的电子签章、加密及上传，投标截止时间前未完成投标（响应）文件上传的，视为撤回投标（响应）文件，投标（响应）文件无效。</w:t>
            </w:r>
          </w:p>
        </w:tc>
      </w:tr>
      <w:tr w14:paraId="087C5B02">
        <w:tblPrEx>
          <w:tblCellMar>
            <w:top w:w="0" w:type="dxa"/>
            <w:left w:w="0" w:type="dxa"/>
            <w:bottom w:w="0" w:type="dxa"/>
            <w:right w:w="0" w:type="dxa"/>
          </w:tblCellMar>
        </w:tblPrEx>
        <w:trPr>
          <w:trHeight w:val="56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46032E7">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02" w:type="dxa"/>
            <w:tcBorders>
              <w:top w:val="single" w:color="auto" w:sz="4" w:space="0"/>
              <w:left w:val="single" w:color="auto" w:sz="4" w:space="0"/>
              <w:bottom w:val="single" w:color="auto" w:sz="4" w:space="0"/>
              <w:right w:val="single" w:color="auto" w:sz="4" w:space="0"/>
            </w:tcBorders>
            <w:vAlign w:val="center"/>
          </w:tcPr>
          <w:p w14:paraId="4D6D2B2F">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评审办法</w:t>
            </w:r>
          </w:p>
        </w:tc>
        <w:tc>
          <w:tcPr>
            <w:tcW w:w="7423" w:type="dxa"/>
            <w:tcBorders>
              <w:top w:val="single" w:color="auto" w:sz="4" w:space="0"/>
              <w:left w:val="single" w:color="auto" w:sz="4" w:space="0"/>
              <w:bottom w:val="single" w:color="auto" w:sz="4" w:space="0"/>
              <w:right w:val="single" w:color="auto" w:sz="4" w:space="0"/>
            </w:tcBorders>
            <w:vAlign w:val="center"/>
          </w:tcPr>
          <w:p w14:paraId="7C4C23ED">
            <w:pPr>
              <w:autoSpaceDE w:val="0"/>
              <w:autoSpaceDN w:val="0"/>
              <w:adjustRightInd w:val="0"/>
              <w:snapToGrid w:val="0"/>
              <w:spacing w:line="276" w:lineRule="auto"/>
              <w:ind w:left="216" w:leftChars="103"/>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fldChar w:fldCharType="begin"/>
            </w:r>
            <w:r>
              <w:rPr>
                <w:rFonts w:hint="eastAsia" w:ascii="仿宋" w:hAnsi="仿宋" w:eastAsia="仿宋" w:cs="仿宋"/>
                <w:color w:val="auto"/>
                <w:sz w:val="24"/>
                <w:szCs w:val="24"/>
                <w:highlight w:val="none"/>
                <w:lang w:val="zh-CN"/>
              </w:rPr>
              <w:instrText xml:space="preserve"> eq \o\ac(□,</w:instrText>
            </w:r>
            <w:r>
              <w:rPr>
                <w:rFonts w:hint="eastAsia" w:ascii="仿宋" w:hAnsi="仿宋" w:eastAsia="仿宋" w:cs="仿宋"/>
                <w:color w:val="auto"/>
                <w:position w:val="2"/>
                <w:sz w:val="16"/>
                <w:szCs w:val="24"/>
                <w:highlight w:val="none"/>
                <w:lang w:val="zh-CN"/>
              </w:rPr>
              <w:instrText xml:space="preserve">√</w:instrText>
            </w:r>
            <w:r>
              <w:rPr>
                <w:rFonts w:hint="eastAsia" w:ascii="仿宋" w:hAnsi="仿宋" w:eastAsia="仿宋" w:cs="仿宋"/>
                <w:color w:val="auto"/>
                <w:sz w:val="24"/>
                <w:szCs w:val="24"/>
                <w:highlight w:val="none"/>
                <w:lang w:val="zh-CN"/>
              </w:rPr>
              <w:instrText xml:space="preserve">)</w:instrTex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rPr>
              <w:t>综合评分法</w:t>
            </w:r>
          </w:p>
          <w:p w14:paraId="48E0CD33">
            <w:pPr>
              <w:autoSpaceDE w:val="0"/>
              <w:autoSpaceDN w:val="0"/>
              <w:adjustRightInd w:val="0"/>
              <w:snapToGrid w:val="0"/>
              <w:spacing w:line="276" w:lineRule="auto"/>
              <w:ind w:left="216" w:leftChars="103"/>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□最低评标价法</w:t>
            </w:r>
          </w:p>
        </w:tc>
      </w:tr>
      <w:tr w14:paraId="03481488">
        <w:tblPrEx>
          <w:tblCellMar>
            <w:top w:w="0" w:type="dxa"/>
            <w:left w:w="0" w:type="dxa"/>
            <w:bottom w:w="0" w:type="dxa"/>
            <w:right w:w="0" w:type="dxa"/>
          </w:tblCellMar>
        </w:tblPrEx>
        <w:trPr>
          <w:trHeight w:val="5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4E9845B6">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1802" w:type="dxa"/>
            <w:tcBorders>
              <w:top w:val="single" w:color="auto" w:sz="4" w:space="0"/>
              <w:left w:val="single" w:color="auto" w:sz="4" w:space="0"/>
              <w:bottom w:val="single" w:color="auto" w:sz="4" w:space="0"/>
              <w:right w:val="single" w:color="auto" w:sz="4" w:space="0"/>
            </w:tcBorders>
            <w:vAlign w:val="center"/>
          </w:tcPr>
          <w:p w14:paraId="76B4619B">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7423" w:type="dxa"/>
            <w:tcBorders>
              <w:top w:val="single" w:color="auto" w:sz="4" w:space="0"/>
              <w:left w:val="single" w:color="auto" w:sz="4" w:space="0"/>
              <w:bottom w:val="single" w:color="auto" w:sz="4" w:space="0"/>
              <w:right w:val="single" w:color="auto" w:sz="4" w:space="0"/>
            </w:tcBorders>
            <w:vAlign w:val="center"/>
          </w:tcPr>
          <w:p w14:paraId="6BF62B03">
            <w:pPr>
              <w:autoSpaceDE w:val="0"/>
              <w:autoSpaceDN w:val="0"/>
              <w:adjustRightInd w:val="0"/>
              <w:snapToGrid w:val="0"/>
              <w:spacing w:line="276" w:lineRule="auto"/>
              <w:ind w:left="216" w:leftChars="103"/>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由甲乙双方协商约定</w:t>
            </w:r>
          </w:p>
        </w:tc>
      </w:tr>
      <w:tr w14:paraId="1B9E1373">
        <w:tblPrEx>
          <w:tblCellMar>
            <w:top w:w="0" w:type="dxa"/>
            <w:left w:w="0" w:type="dxa"/>
            <w:bottom w:w="0" w:type="dxa"/>
            <w:right w:w="0" w:type="dxa"/>
          </w:tblCellMar>
        </w:tblPrEx>
        <w:trPr>
          <w:trHeight w:val="5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6B9EE02">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9225" w:type="dxa"/>
            <w:gridSpan w:val="2"/>
            <w:tcBorders>
              <w:top w:val="single" w:color="auto" w:sz="4" w:space="0"/>
              <w:left w:val="single" w:color="auto" w:sz="4" w:space="0"/>
              <w:bottom w:val="single" w:color="auto" w:sz="4" w:space="0"/>
              <w:right w:val="single" w:color="auto" w:sz="4" w:space="0"/>
            </w:tcBorders>
            <w:vAlign w:val="center"/>
          </w:tcPr>
          <w:p w14:paraId="2C7DC026">
            <w:pPr>
              <w:autoSpaceDE w:val="0"/>
              <w:autoSpaceDN w:val="0"/>
              <w:adjustRightInd w:val="0"/>
              <w:snapToGrid w:val="0"/>
              <w:spacing w:line="276" w:lineRule="auto"/>
              <w:ind w:left="216" w:leftChars="10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补充</w:t>
            </w:r>
          </w:p>
        </w:tc>
      </w:tr>
      <w:tr w14:paraId="32A3A553">
        <w:tblPrEx>
          <w:tblCellMar>
            <w:top w:w="0" w:type="dxa"/>
            <w:left w:w="0" w:type="dxa"/>
            <w:bottom w:w="0" w:type="dxa"/>
            <w:right w:w="0" w:type="dxa"/>
          </w:tblCellMar>
        </w:tblPrEx>
        <w:trPr>
          <w:trHeight w:val="5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F7CA072">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20.3</w:t>
            </w:r>
          </w:p>
        </w:tc>
        <w:tc>
          <w:tcPr>
            <w:tcW w:w="1802" w:type="dxa"/>
            <w:tcBorders>
              <w:top w:val="single" w:color="auto" w:sz="4" w:space="0"/>
              <w:left w:val="single" w:color="auto" w:sz="4" w:space="0"/>
              <w:bottom w:val="single" w:color="auto" w:sz="4" w:space="0"/>
              <w:right w:val="single" w:color="auto" w:sz="4" w:space="0"/>
            </w:tcBorders>
            <w:vAlign w:val="center"/>
          </w:tcPr>
          <w:p w14:paraId="2D6C9F37">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落实的政府采购政策</w:t>
            </w:r>
          </w:p>
        </w:tc>
        <w:tc>
          <w:tcPr>
            <w:tcW w:w="7423" w:type="dxa"/>
            <w:tcBorders>
              <w:top w:val="single" w:color="auto" w:sz="4" w:space="0"/>
              <w:left w:val="single" w:color="auto" w:sz="4" w:space="0"/>
              <w:bottom w:val="single" w:color="auto" w:sz="4" w:space="0"/>
              <w:right w:val="single" w:color="auto" w:sz="4" w:space="0"/>
            </w:tcBorders>
            <w:vAlign w:val="center"/>
          </w:tcPr>
          <w:p w14:paraId="27AA093E">
            <w:pPr>
              <w:spacing w:before="159" w:beforeLines="50" w:after="159" w:afterLines="50" w:line="360" w:lineRule="auto"/>
              <w:ind w:firstLine="482" w:firstLineChars="200"/>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1、小型和微型企业价格扣除评分优惠政策</w:t>
            </w:r>
          </w:p>
          <w:p w14:paraId="5AB25393">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是否适用于本项目：</w:t>
            </w:r>
            <w:r>
              <w:rPr>
                <w:rFonts w:hint="eastAsia" w:ascii="仿宋" w:hAnsi="仿宋" w:eastAsia="仿宋" w:cs="仿宋"/>
                <w:color w:val="auto"/>
                <w:sz w:val="24"/>
                <w:szCs w:val="24"/>
                <w:highlight w:val="none"/>
                <w:lang w:val="zh-CN"/>
              </w:rPr>
              <w:fldChar w:fldCharType="begin"/>
            </w:r>
            <w:r>
              <w:rPr>
                <w:rFonts w:hint="eastAsia" w:ascii="仿宋" w:hAnsi="仿宋" w:eastAsia="仿宋" w:cs="仿宋"/>
                <w:color w:val="auto"/>
                <w:sz w:val="24"/>
                <w:szCs w:val="24"/>
                <w:highlight w:val="none"/>
                <w:lang w:val="zh-CN"/>
              </w:rPr>
              <w:instrText xml:space="preserve"> eq \o\ac(□,</w:instrText>
            </w:r>
            <w:r>
              <w:rPr>
                <w:rFonts w:hint="eastAsia" w:ascii="仿宋" w:hAnsi="仿宋" w:eastAsia="仿宋" w:cs="仿宋"/>
                <w:color w:val="auto"/>
                <w:position w:val="2"/>
                <w:sz w:val="16"/>
                <w:szCs w:val="24"/>
                <w:highlight w:val="none"/>
                <w:lang w:val="zh-CN"/>
              </w:rPr>
              <w:instrText xml:space="preserve">√</w:instrText>
            </w:r>
            <w:r>
              <w:rPr>
                <w:rFonts w:hint="eastAsia" w:ascii="仿宋" w:hAnsi="仿宋" w:eastAsia="仿宋" w:cs="仿宋"/>
                <w:color w:val="auto"/>
                <w:sz w:val="24"/>
                <w:szCs w:val="24"/>
                <w:highlight w:val="none"/>
                <w:lang w:val="zh-CN"/>
              </w:rPr>
              <w:instrText xml:space="preserve">)</w:instrTex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8"/>
                <w:highlight w:val="none"/>
              </w:rPr>
              <w:t xml:space="preserve">适用 </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不适用。</w:t>
            </w:r>
          </w:p>
          <w:p w14:paraId="3F9CBC12">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根据</w:t>
            </w:r>
            <w:r>
              <w:rPr>
                <w:rFonts w:hint="eastAsia" w:ascii="仿宋" w:hAnsi="仿宋" w:eastAsia="仿宋" w:cs="仿宋"/>
                <w:color w:val="auto"/>
                <w:sz w:val="24"/>
                <w:szCs w:val="24"/>
                <w:highlight w:val="none"/>
              </w:rPr>
              <w:t>《中华人民共和国中小企业促进法》《政府采购促进中小企业发展管理办法》财库〔2020〕46号、《财政部关于进一步加大政府采购支持中小企业力度的通知》财库〔2022〕19号、《云南省财政厅关于贯彻《财政部关于进一步加大政府采购支持中小企业力度的通知》的通知（云财采〔2022〕9号）》</w:t>
            </w:r>
            <w:r>
              <w:rPr>
                <w:rFonts w:hint="eastAsia" w:ascii="仿宋" w:hAnsi="仿宋" w:eastAsia="仿宋" w:cs="仿宋"/>
                <w:color w:val="auto"/>
                <w:sz w:val="24"/>
                <w:szCs w:val="28"/>
                <w:highlight w:val="none"/>
              </w:rPr>
              <w:t>的规定，对符合条件的小型和微型供应商，在磋商报价评分时给予磋商报</w:t>
            </w:r>
            <w:r>
              <w:rPr>
                <w:rFonts w:hint="eastAsia" w:ascii="仿宋" w:hAnsi="仿宋" w:eastAsia="仿宋" w:cs="仿宋"/>
                <w:color w:val="auto"/>
                <w:sz w:val="24"/>
                <w:szCs w:val="28"/>
                <w:highlight w:val="none"/>
                <w:lang w:val="en-US" w:eastAsia="zh-CN"/>
              </w:rPr>
              <w:t>价</w:t>
            </w:r>
            <w:r>
              <w:rPr>
                <w:rFonts w:hint="eastAsia" w:ascii="仿宋" w:hAnsi="仿宋" w:eastAsia="仿宋" w:cs="仿宋"/>
                <w:b/>
                <w:bCs/>
                <w:color w:val="auto"/>
                <w:sz w:val="24"/>
                <w:szCs w:val="28"/>
                <w:highlight w:val="none"/>
                <w:u w:val="single"/>
                <w:lang w:val="en-US" w:eastAsia="zh-CN"/>
              </w:rPr>
              <w:t>10%</w:t>
            </w:r>
            <w:r>
              <w:rPr>
                <w:rFonts w:hint="eastAsia" w:ascii="仿宋" w:hAnsi="仿宋" w:eastAsia="仿宋" w:cs="仿宋"/>
                <w:color w:val="auto"/>
                <w:sz w:val="24"/>
                <w:szCs w:val="28"/>
                <w:highlight w:val="none"/>
              </w:rPr>
              <w:t>的扣除，用扣除后的磋商报价参与磋商报价评分。</w:t>
            </w:r>
          </w:p>
          <w:p w14:paraId="3811B846">
            <w:pPr>
              <w:spacing w:line="360" w:lineRule="auto"/>
              <w:ind w:firstLine="241"/>
              <w:rPr>
                <w:rFonts w:ascii="仿宋" w:hAnsi="仿宋" w:eastAsia="仿宋" w:cs="仿宋"/>
                <w:color w:val="auto"/>
                <w:sz w:val="24"/>
                <w:szCs w:val="28"/>
                <w:highlight w:val="none"/>
              </w:rPr>
            </w:pPr>
            <w:r>
              <w:rPr>
                <w:rFonts w:hint="eastAsia" w:ascii="仿宋" w:hAnsi="仿宋" w:eastAsia="仿宋" w:cs="仿宋"/>
                <w:b/>
                <w:color w:val="auto"/>
                <w:sz w:val="24"/>
                <w:szCs w:val="28"/>
                <w:highlight w:val="none"/>
              </w:rPr>
              <w:t>2、监狱企业价格扣除评分优惠政策</w:t>
            </w:r>
          </w:p>
          <w:p w14:paraId="642FA69D">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是否适用于本项目：</w:t>
            </w:r>
            <w:r>
              <w:rPr>
                <w:rFonts w:hint="eastAsia" w:ascii="仿宋" w:hAnsi="仿宋" w:eastAsia="仿宋" w:cs="仿宋"/>
                <w:color w:val="auto"/>
                <w:sz w:val="24"/>
                <w:szCs w:val="24"/>
                <w:highlight w:val="none"/>
                <w:lang w:val="zh-CN"/>
              </w:rPr>
              <w:fldChar w:fldCharType="begin"/>
            </w:r>
            <w:r>
              <w:rPr>
                <w:rFonts w:hint="eastAsia" w:ascii="仿宋" w:hAnsi="仿宋" w:eastAsia="仿宋" w:cs="仿宋"/>
                <w:color w:val="auto"/>
                <w:sz w:val="24"/>
                <w:szCs w:val="24"/>
                <w:highlight w:val="none"/>
                <w:lang w:val="zh-CN"/>
              </w:rPr>
              <w:instrText xml:space="preserve"> eq \o\ac(□,</w:instrText>
            </w:r>
            <w:r>
              <w:rPr>
                <w:rFonts w:hint="eastAsia" w:ascii="仿宋" w:hAnsi="仿宋" w:eastAsia="仿宋" w:cs="仿宋"/>
                <w:color w:val="auto"/>
                <w:position w:val="2"/>
                <w:sz w:val="16"/>
                <w:szCs w:val="24"/>
                <w:highlight w:val="none"/>
                <w:lang w:val="zh-CN"/>
              </w:rPr>
              <w:instrText xml:space="preserve">√</w:instrText>
            </w:r>
            <w:r>
              <w:rPr>
                <w:rFonts w:hint="eastAsia" w:ascii="仿宋" w:hAnsi="仿宋" w:eastAsia="仿宋" w:cs="仿宋"/>
                <w:color w:val="auto"/>
                <w:sz w:val="24"/>
                <w:szCs w:val="24"/>
                <w:highlight w:val="none"/>
                <w:lang w:val="zh-CN"/>
              </w:rPr>
              <w:instrText xml:space="preserve">)</w:instrTex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8"/>
                <w:highlight w:val="none"/>
              </w:rPr>
              <w:t>适用 □不适用。</w:t>
            </w:r>
          </w:p>
          <w:p w14:paraId="08E74DA9">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根据《关于政府采购支持监狱企业发展有关问题的通知》（财库</w:t>
            </w:r>
            <w:r>
              <w:rPr>
                <w:rFonts w:hint="eastAsia" w:ascii="仿宋" w:hAnsi="仿宋" w:eastAsia="仿宋" w:cs="仿宋"/>
                <w:color w:val="auto"/>
                <w:sz w:val="24"/>
                <w:szCs w:val="28"/>
                <w:highlight w:val="none"/>
                <w:lang w:eastAsia="zh-CN"/>
              </w:rPr>
              <w:t>〔2014〕68号</w:t>
            </w:r>
            <w:r>
              <w:rPr>
                <w:rFonts w:hint="eastAsia" w:ascii="仿宋" w:hAnsi="仿宋" w:eastAsia="仿宋" w:cs="仿宋"/>
                <w:color w:val="auto"/>
                <w:sz w:val="24"/>
                <w:szCs w:val="28"/>
                <w:highlight w:val="none"/>
              </w:rPr>
              <w:t>）的规定，监狱企业参与本项目磋商时，视同小型、微型企业享受价格扣除等优惠政策。</w:t>
            </w:r>
          </w:p>
          <w:p w14:paraId="68C717DB">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注：监狱企业参加政府采购活动时，应当提供由省级以上监狱管理局、戒毒管理局(含新疆生产建设兵团)出具的属于监狱企业的证明文件。</w:t>
            </w:r>
          </w:p>
          <w:p w14:paraId="1EFA73E2">
            <w:pPr>
              <w:spacing w:line="360" w:lineRule="auto"/>
              <w:ind w:firstLine="241"/>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3、残疾人福利性单位价格扣除优惠政策</w:t>
            </w:r>
          </w:p>
          <w:p w14:paraId="2B4A627F">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是否适用于本项目：</w:t>
            </w:r>
            <w:r>
              <w:rPr>
                <w:rFonts w:hint="eastAsia" w:ascii="仿宋" w:hAnsi="仿宋" w:eastAsia="仿宋" w:cs="仿宋"/>
                <w:color w:val="auto"/>
                <w:sz w:val="24"/>
                <w:szCs w:val="24"/>
                <w:highlight w:val="none"/>
                <w:lang w:val="zh-CN"/>
              </w:rPr>
              <w:fldChar w:fldCharType="begin"/>
            </w:r>
            <w:r>
              <w:rPr>
                <w:rFonts w:hint="eastAsia" w:ascii="仿宋" w:hAnsi="仿宋" w:eastAsia="仿宋" w:cs="仿宋"/>
                <w:color w:val="auto"/>
                <w:sz w:val="24"/>
                <w:szCs w:val="24"/>
                <w:highlight w:val="none"/>
                <w:lang w:val="zh-CN"/>
              </w:rPr>
              <w:instrText xml:space="preserve"> eq \o\ac(□,</w:instrText>
            </w:r>
            <w:r>
              <w:rPr>
                <w:rFonts w:hint="eastAsia" w:ascii="仿宋" w:hAnsi="仿宋" w:eastAsia="仿宋" w:cs="仿宋"/>
                <w:color w:val="auto"/>
                <w:position w:val="2"/>
                <w:sz w:val="16"/>
                <w:szCs w:val="24"/>
                <w:highlight w:val="none"/>
                <w:lang w:val="zh-CN"/>
              </w:rPr>
              <w:instrText xml:space="preserve">√</w:instrText>
            </w:r>
            <w:r>
              <w:rPr>
                <w:rFonts w:hint="eastAsia" w:ascii="仿宋" w:hAnsi="仿宋" w:eastAsia="仿宋" w:cs="仿宋"/>
                <w:color w:val="auto"/>
                <w:sz w:val="24"/>
                <w:szCs w:val="24"/>
                <w:highlight w:val="none"/>
                <w:lang w:val="zh-CN"/>
              </w:rPr>
              <w:instrText xml:space="preserve">)</w:instrTex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8"/>
                <w:highlight w:val="none"/>
              </w:rPr>
              <w:t>适用 □不适用。</w:t>
            </w:r>
          </w:p>
          <w:p w14:paraId="2894AC46">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根据《关于促进残疾人就业政府采购政策的通知》（财库</w:t>
            </w:r>
            <w:r>
              <w:rPr>
                <w:rFonts w:hint="eastAsia" w:ascii="仿宋" w:hAnsi="仿宋" w:eastAsia="仿宋" w:cs="仿宋"/>
                <w:color w:val="auto"/>
                <w:sz w:val="24"/>
                <w:szCs w:val="28"/>
                <w:highlight w:val="none"/>
                <w:lang w:eastAsia="zh-CN"/>
              </w:rPr>
              <w:t>〔2017〕141号</w:t>
            </w:r>
            <w:r>
              <w:rPr>
                <w:rFonts w:hint="eastAsia" w:ascii="仿宋" w:hAnsi="仿宋" w:eastAsia="仿宋" w:cs="仿宋"/>
                <w:color w:val="auto"/>
                <w:sz w:val="24"/>
                <w:szCs w:val="28"/>
                <w:highlight w:val="none"/>
              </w:rPr>
              <w:t>）的规定，残疾人福利性单位参与本项目磋商时，视同小型、微型企业享受价格扣除等优惠政策。</w:t>
            </w:r>
          </w:p>
          <w:p w14:paraId="1EBFC45A">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注：残疾人福利性单位在参加政府采购活动时，应当提供《残疾人福利性单位声明函》，并对声明的真实性负责。成交单位为残疾人福利性单位的，采购人或者其委托的采购代理机构应当随成交、成交结果同时公告其《残疾人福利性单位声明函》，接受社会监督。</w:t>
            </w:r>
          </w:p>
          <w:p w14:paraId="320AE3E4">
            <w:pPr>
              <w:spacing w:line="360" w:lineRule="auto"/>
              <w:ind w:firstLine="241"/>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4、节能环保</w:t>
            </w:r>
          </w:p>
          <w:p w14:paraId="4E0BE169">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是否适用于本项目：□适用</w:t>
            </w:r>
            <w:r>
              <w:rPr>
                <w:rFonts w:hint="eastAsia" w:ascii="仿宋" w:hAnsi="仿宋" w:eastAsia="仿宋" w:cs="仿宋"/>
                <w:color w:val="auto"/>
                <w:sz w:val="24"/>
                <w:szCs w:val="24"/>
                <w:highlight w:val="none"/>
                <w:lang w:val="zh-CN"/>
              </w:rPr>
              <w:fldChar w:fldCharType="begin"/>
            </w:r>
            <w:r>
              <w:rPr>
                <w:rFonts w:hint="eastAsia" w:ascii="仿宋" w:hAnsi="仿宋" w:eastAsia="仿宋" w:cs="仿宋"/>
                <w:color w:val="auto"/>
                <w:sz w:val="24"/>
                <w:szCs w:val="24"/>
                <w:highlight w:val="none"/>
                <w:lang w:val="zh-CN"/>
              </w:rPr>
              <w:instrText xml:space="preserve"> eq \o\ac(□,</w:instrText>
            </w:r>
            <w:r>
              <w:rPr>
                <w:rFonts w:hint="eastAsia" w:ascii="仿宋" w:hAnsi="仿宋" w:eastAsia="仿宋" w:cs="仿宋"/>
                <w:color w:val="auto"/>
                <w:position w:val="2"/>
                <w:sz w:val="16"/>
                <w:szCs w:val="24"/>
                <w:highlight w:val="none"/>
                <w:lang w:val="zh-CN"/>
              </w:rPr>
              <w:instrText xml:space="preserve">√</w:instrText>
            </w:r>
            <w:r>
              <w:rPr>
                <w:rFonts w:hint="eastAsia" w:ascii="仿宋" w:hAnsi="仿宋" w:eastAsia="仿宋" w:cs="仿宋"/>
                <w:color w:val="auto"/>
                <w:sz w:val="24"/>
                <w:szCs w:val="24"/>
                <w:highlight w:val="none"/>
                <w:lang w:val="zh-CN"/>
              </w:rPr>
              <w:instrText xml:space="preserve">)</w:instrTex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8"/>
                <w:highlight w:val="none"/>
              </w:rPr>
              <w:t>不适用。</w:t>
            </w:r>
          </w:p>
          <w:p w14:paraId="4BD3AC8A">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若磋商产品为节能产品、环境标志产品且能提供有效的认证证书及相关证明材料的（相关证明材料指：最新版的政府采购节能产品、环境标志产品认证机构名录、节能产品政府采购品目清单、环境标志产品政府采购品目清单等），在磋商报价评分时给予对应的磋商分项报价0.5%的扣除，用扣除后的价格参与磋商（若采购需求为政府强制采购产品，则不再对节能进行磋商价格的扣除）。</w:t>
            </w:r>
          </w:p>
          <w:p w14:paraId="340AEAD2">
            <w:pPr>
              <w:autoSpaceDE w:val="0"/>
              <w:autoSpaceDN w:val="0"/>
              <w:adjustRightInd w:val="0"/>
              <w:snapToGrid w:val="0"/>
              <w:spacing w:line="276" w:lineRule="auto"/>
              <w:ind w:left="216" w:leftChars="103"/>
              <w:jc w:val="left"/>
              <w:rPr>
                <w:rFonts w:ascii="仿宋" w:hAnsi="仿宋" w:eastAsia="仿宋" w:cs="仿宋"/>
                <w:color w:val="auto"/>
                <w:sz w:val="24"/>
                <w:szCs w:val="24"/>
                <w:highlight w:val="none"/>
              </w:rPr>
            </w:pPr>
            <w:r>
              <w:rPr>
                <w:rFonts w:hint="eastAsia" w:ascii="仿宋" w:hAnsi="仿宋" w:eastAsia="仿宋" w:cs="仿宋"/>
                <w:color w:val="auto"/>
                <w:sz w:val="24"/>
                <w:szCs w:val="28"/>
                <w:highlight w:val="none"/>
              </w:rPr>
              <w:t>相关证明材料可通过中国政府采购网（http://www.ccgp.gov.cn/）、国家发展改革委网站（http://hzs.ndrc.gov.cn/）查阅、下载；国家环境保护部网（http://www.sepa.gov.cn/）查阅、下载。</w:t>
            </w:r>
          </w:p>
        </w:tc>
      </w:tr>
      <w:tr w14:paraId="462AD193">
        <w:tblPrEx>
          <w:tblCellMar>
            <w:top w:w="0" w:type="dxa"/>
            <w:left w:w="0" w:type="dxa"/>
            <w:bottom w:w="0" w:type="dxa"/>
            <w:right w:w="0" w:type="dxa"/>
          </w:tblCellMar>
        </w:tblPrEx>
        <w:trPr>
          <w:trHeight w:val="5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40603F93">
            <w:pPr>
              <w:autoSpaceDE w:val="0"/>
              <w:autoSpaceDN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8"/>
                <w:highlight w:val="none"/>
              </w:rPr>
              <w:t>20.4</w:t>
            </w:r>
          </w:p>
        </w:tc>
        <w:tc>
          <w:tcPr>
            <w:tcW w:w="1802" w:type="dxa"/>
            <w:tcBorders>
              <w:top w:val="single" w:color="auto" w:sz="4" w:space="0"/>
              <w:left w:val="single" w:color="auto" w:sz="4" w:space="0"/>
              <w:bottom w:val="single" w:color="auto" w:sz="4" w:space="0"/>
              <w:right w:val="single" w:color="auto" w:sz="4" w:space="0"/>
            </w:tcBorders>
            <w:vAlign w:val="center"/>
          </w:tcPr>
          <w:p w14:paraId="79A74883">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8"/>
                <w:highlight w:val="none"/>
              </w:rPr>
              <w:t>追加合同金额</w:t>
            </w:r>
          </w:p>
        </w:tc>
        <w:tc>
          <w:tcPr>
            <w:tcW w:w="7423" w:type="dxa"/>
            <w:tcBorders>
              <w:top w:val="single" w:color="auto" w:sz="4" w:space="0"/>
              <w:left w:val="single" w:color="auto" w:sz="4" w:space="0"/>
              <w:bottom w:val="single" w:color="auto" w:sz="4" w:space="0"/>
              <w:right w:val="single" w:color="auto" w:sz="4" w:space="0"/>
            </w:tcBorders>
            <w:vAlign w:val="center"/>
          </w:tcPr>
          <w:p w14:paraId="7F0D75F1">
            <w:pPr>
              <w:spacing w:before="159" w:beforeLines="50" w:after="159" w:afterLines="50" w:line="360" w:lineRule="auto"/>
              <w:ind w:firstLine="480" w:firstLineChars="200"/>
              <w:rPr>
                <w:rFonts w:ascii="仿宋" w:hAnsi="仿宋" w:eastAsia="仿宋" w:cs="仿宋"/>
                <w:b/>
                <w:color w:val="auto"/>
                <w:sz w:val="24"/>
                <w:szCs w:val="28"/>
                <w:highlight w:val="none"/>
              </w:rPr>
            </w:pPr>
            <w:r>
              <w:rPr>
                <w:rFonts w:hint="eastAsia" w:ascii="仿宋" w:hAnsi="仿宋" w:eastAsia="仿宋" w:cs="仿宋"/>
                <w:color w:val="auto"/>
                <w:sz w:val="24"/>
                <w:szCs w:val="28"/>
                <w:highlight w:val="none"/>
              </w:rPr>
              <w:t>政府采购合同履行中，采购人需追加与合同标的相同的服务的，在不改变合同其他条款的前提下，可以与中标投标人签订补充合同，但所有补充合同的采购金额变更不得超过原合同采购金额的10%，其中金额增加需办理合同追加手续。</w:t>
            </w:r>
          </w:p>
        </w:tc>
      </w:tr>
      <w:tr w14:paraId="092CEFF7">
        <w:tblPrEx>
          <w:tblCellMar>
            <w:top w:w="0" w:type="dxa"/>
            <w:left w:w="0" w:type="dxa"/>
            <w:bottom w:w="0" w:type="dxa"/>
            <w:right w:w="0" w:type="dxa"/>
          </w:tblCellMar>
        </w:tblPrEx>
        <w:trPr>
          <w:trHeight w:val="5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A421DD3">
            <w:pPr>
              <w:autoSpaceDE w:val="0"/>
              <w:autoSpaceDN w:val="0"/>
              <w:spacing w:line="360" w:lineRule="auto"/>
              <w:jc w:val="center"/>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20.5</w:t>
            </w:r>
          </w:p>
        </w:tc>
        <w:tc>
          <w:tcPr>
            <w:tcW w:w="1802" w:type="dxa"/>
            <w:tcBorders>
              <w:top w:val="single" w:color="auto" w:sz="4" w:space="0"/>
              <w:left w:val="single" w:color="auto" w:sz="4" w:space="0"/>
              <w:bottom w:val="single" w:color="auto" w:sz="4" w:space="0"/>
              <w:right w:val="single" w:color="auto" w:sz="4" w:space="0"/>
            </w:tcBorders>
            <w:vAlign w:val="center"/>
          </w:tcPr>
          <w:p w14:paraId="13618558">
            <w:pPr>
              <w:autoSpaceDE w:val="0"/>
              <w:autoSpaceDN w:val="0"/>
              <w:adjustRightInd w:val="0"/>
              <w:snapToGrid w:val="0"/>
              <w:spacing w:line="276" w:lineRule="auto"/>
              <w:jc w:val="center"/>
              <w:rPr>
                <w:rFonts w:hint="eastAsia" w:ascii="仿宋" w:hAnsi="仿宋" w:eastAsia="仿宋" w:cs="仿宋"/>
                <w:color w:val="auto"/>
                <w:sz w:val="24"/>
                <w:szCs w:val="28"/>
                <w:highlight w:val="none"/>
              </w:rPr>
            </w:pPr>
            <w:r>
              <w:rPr>
                <w:rFonts w:hint="eastAsia" w:ascii="仿宋" w:hAnsi="仿宋" w:eastAsia="仿宋" w:cs="仿宋"/>
                <w:color w:val="auto"/>
                <w:sz w:val="24"/>
                <w:szCs w:val="24"/>
                <w:highlight w:val="none"/>
                <w:lang w:val="en-US" w:eastAsia="zh-CN"/>
              </w:rPr>
              <w:t>不允许偏离的实质性要求和条件</w:t>
            </w:r>
          </w:p>
        </w:tc>
        <w:tc>
          <w:tcPr>
            <w:tcW w:w="7423" w:type="dxa"/>
            <w:tcBorders>
              <w:top w:val="single" w:color="auto" w:sz="4" w:space="0"/>
              <w:left w:val="single" w:color="auto" w:sz="4" w:space="0"/>
              <w:bottom w:val="single" w:color="auto" w:sz="4" w:space="0"/>
              <w:right w:val="single" w:color="auto" w:sz="4" w:space="0"/>
            </w:tcBorders>
            <w:vAlign w:val="center"/>
          </w:tcPr>
          <w:p w14:paraId="69277C0E">
            <w:pPr>
              <w:autoSpaceDE w:val="0"/>
              <w:autoSpaceDN w:val="0"/>
              <w:adjustRightInd w:val="0"/>
              <w:snapToGrid w:val="0"/>
              <w:spacing w:line="276" w:lineRule="auto"/>
              <w:ind w:left="216" w:leftChars="103"/>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4"/>
                <w:highlight w:val="none"/>
                <w:lang w:val="en-US" w:eastAsia="zh-CN"/>
              </w:rPr>
              <w:t>资格要求和符合性审查不允许负偏离。</w:t>
            </w:r>
          </w:p>
        </w:tc>
      </w:tr>
      <w:tr w14:paraId="71EACBD4">
        <w:tblPrEx>
          <w:tblCellMar>
            <w:top w:w="0" w:type="dxa"/>
            <w:left w:w="0" w:type="dxa"/>
            <w:bottom w:w="0" w:type="dxa"/>
            <w:right w:w="0" w:type="dxa"/>
          </w:tblCellMar>
        </w:tblPrEx>
        <w:trPr>
          <w:trHeight w:val="5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43A3CFCC">
            <w:pPr>
              <w:autoSpaceDE w:val="0"/>
              <w:autoSpaceDN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8"/>
                <w:highlight w:val="none"/>
              </w:rPr>
              <w:t>20.</w:t>
            </w:r>
            <w:r>
              <w:rPr>
                <w:rFonts w:hint="eastAsia" w:ascii="仿宋" w:hAnsi="仿宋" w:eastAsia="仿宋" w:cs="仿宋"/>
                <w:color w:val="auto"/>
                <w:sz w:val="24"/>
                <w:szCs w:val="28"/>
                <w:highlight w:val="none"/>
                <w:lang w:val="en-US" w:eastAsia="zh-CN"/>
              </w:rPr>
              <w:t>6</w:t>
            </w:r>
          </w:p>
        </w:tc>
        <w:tc>
          <w:tcPr>
            <w:tcW w:w="1802" w:type="dxa"/>
            <w:tcBorders>
              <w:top w:val="single" w:color="auto" w:sz="4" w:space="0"/>
              <w:left w:val="single" w:color="auto" w:sz="4" w:space="0"/>
              <w:bottom w:val="single" w:color="auto" w:sz="4" w:space="0"/>
              <w:right w:val="single" w:color="auto" w:sz="4" w:space="0"/>
            </w:tcBorders>
            <w:vAlign w:val="center"/>
          </w:tcPr>
          <w:p w14:paraId="788E2977">
            <w:pPr>
              <w:autoSpaceDE w:val="0"/>
              <w:autoSpaceDN w:val="0"/>
              <w:adjustRightInd w:val="0"/>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8"/>
                <w:highlight w:val="none"/>
              </w:rPr>
              <w:t>监督</w:t>
            </w:r>
          </w:p>
        </w:tc>
        <w:tc>
          <w:tcPr>
            <w:tcW w:w="7423" w:type="dxa"/>
            <w:tcBorders>
              <w:top w:val="single" w:color="auto" w:sz="4" w:space="0"/>
              <w:left w:val="single" w:color="auto" w:sz="4" w:space="0"/>
              <w:bottom w:val="single" w:color="auto" w:sz="4" w:space="0"/>
              <w:right w:val="single" w:color="auto" w:sz="4" w:space="0"/>
            </w:tcBorders>
            <w:vAlign w:val="center"/>
          </w:tcPr>
          <w:p w14:paraId="2816C19A">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行政监督部门及联系电话：陇川县财政局 0692-7172965 </w:t>
            </w:r>
          </w:p>
          <w:p w14:paraId="1C8956B2">
            <w:pPr>
              <w:autoSpaceDE w:val="0"/>
              <w:autoSpaceDN w:val="0"/>
              <w:adjustRightInd w:val="0"/>
              <w:snapToGrid w:val="0"/>
              <w:spacing w:line="276" w:lineRule="auto"/>
              <w:ind w:left="216" w:leftChars="103"/>
              <w:jc w:val="left"/>
              <w:rPr>
                <w:rFonts w:ascii="仿宋" w:hAnsi="仿宋" w:eastAsia="仿宋" w:cs="仿宋"/>
                <w:color w:val="auto"/>
                <w:sz w:val="24"/>
                <w:szCs w:val="24"/>
                <w:highlight w:val="none"/>
              </w:rPr>
            </w:pPr>
            <w:r>
              <w:rPr>
                <w:rFonts w:hint="eastAsia" w:ascii="仿宋" w:hAnsi="仿宋" w:eastAsia="仿宋" w:cs="仿宋"/>
                <w:color w:val="auto"/>
                <w:sz w:val="24"/>
                <w:szCs w:val="28"/>
                <w:highlight w:val="none"/>
              </w:rPr>
              <w:t xml:space="preserve">纪检监督联系电话：0692-12388 </w:t>
            </w:r>
          </w:p>
        </w:tc>
      </w:tr>
      <w:tr w14:paraId="72C44439">
        <w:tblPrEx>
          <w:tblCellMar>
            <w:top w:w="0" w:type="dxa"/>
            <w:left w:w="0" w:type="dxa"/>
            <w:bottom w:w="0" w:type="dxa"/>
            <w:right w:w="0" w:type="dxa"/>
          </w:tblCellMar>
        </w:tblPrEx>
        <w:trPr>
          <w:trHeight w:val="58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99A17DD">
            <w:pPr>
              <w:autoSpaceDE w:val="0"/>
              <w:autoSpaceDN w:val="0"/>
              <w:spacing w:line="360" w:lineRule="auto"/>
              <w:jc w:val="center"/>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20.</w:t>
            </w:r>
            <w:r>
              <w:rPr>
                <w:rFonts w:hint="eastAsia" w:ascii="仿宋" w:hAnsi="仿宋" w:eastAsia="仿宋" w:cs="仿宋"/>
                <w:color w:val="auto"/>
                <w:sz w:val="24"/>
                <w:szCs w:val="28"/>
                <w:highlight w:val="none"/>
                <w:lang w:val="en-US" w:eastAsia="zh-CN"/>
              </w:rPr>
              <w:t>7</w:t>
            </w:r>
          </w:p>
        </w:tc>
        <w:tc>
          <w:tcPr>
            <w:tcW w:w="1802" w:type="dxa"/>
            <w:tcBorders>
              <w:top w:val="single" w:color="auto" w:sz="4" w:space="0"/>
              <w:left w:val="single" w:color="auto" w:sz="4" w:space="0"/>
              <w:bottom w:val="single" w:color="auto" w:sz="4" w:space="0"/>
              <w:right w:val="single" w:color="auto" w:sz="4" w:space="0"/>
            </w:tcBorders>
            <w:vAlign w:val="center"/>
          </w:tcPr>
          <w:p w14:paraId="2F214068">
            <w:pPr>
              <w:autoSpaceDE w:val="0"/>
              <w:autoSpaceDN w:val="0"/>
              <w:adjustRightInd w:val="0"/>
              <w:snapToGrid w:val="0"/>
              <w:spacing w:line="276" w:lineRule="auto"/>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须知前附表中的符号定义</w:t>
            </w:r>
          </w:p>
        </w:tc>
        <w:tc>
          <w:tcPr>
            <w:tcW w:w="7423" w:type="dxa"/>
            <w:tcBorders>
              <w:top w:val="single" w:color="auto" w:sz="4" w:space="0"/>
              <w:left w:val="single" w:color="auto" w:sz="4" w:space="0"/>
              <w:bottom w:val="single" w:color="auto" w:sz="4" w:space="0"/>
              <w:right w:val="single" w:color="auto" w:sz="4" w:space="0"/>
            </w:tcBorders>
            <w:vAlign w:val="center"/>
          </w:tcPr>
          <w:p w14:paraId="509B1CB8">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fldChar w:fldCharType="begin"/>
            </w:r>
            <w:r>
              <w:rPr>
                <w:rFonts w:hint="eastAsia" w:ascii="仿宋" w:hAnsi="仿宋" w:eastAsia="仿宋" w:cs="仿宋"/>
                <w:color w:val="auto"/>
                <w:sz w:val="24"/>
                <w:szCs w:val="24"/>
                <w:highlight w:val="none"/>
                <w:lang w:val="zh-CN"/>
              </w:rPr>
              <w:instrText xml:space="preserve"> eq \o\ac(□,</w:instrText>
            </w:r>
            <w:r>
              <w:rPr>
                <w:rFonts w:hint="eastAsia" w:ascii="仿宋" w:hAnsi="仿宋" w:eastAsia="仿宋" w:cs="仿宋"/>
                <w:color w:val="auto"/>
                <w:position w:val="2"/>
                <w:sz w:val="16"/>
                <w:szCs w:val="24"/>
                <w:highlight w:val="none"/>
                <w:lang w:val="zh-CN"/>
              </w:rPr>
              <w:instrText xml:space="preserve">√</w:instrText>
            </w:r>
            <w:r>
              <w:rPr>
                <w:rFonts w:hint="eastAsia" w:ascii="仿宋" w:hAnsi="仿宋" w:eastAsia="仿宋" w:cs="仿宋"/>
                <w:color w:val="auto"/>
                <w:sz w:val="24"/>
                <w:szCs w:val="24"/>
                <w:highlight w:val="none"/>
                <w:lang w:val="zh-CN"/>
              </w:rPr>
              <w:instrText xml:space="preserve">)</w:instrTex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rPr>
              <w:t>”代表选择，“□”代表未选择。</w:t>
            </w:r>
          </w:p>
        </w:tc>
      </w:tr>
      <w:bookmarkEnd w:id="1"/>
      <w:bookmarkEnd w:id="2"/>
    </w:tbl>
    <w:p w14:paraId="5D6CCDEB">
      <w:pPr>
        <w:rPr>
          <w:rFonts w:hint="default" w:ascii="仿宋" w:hAnsi="仿宋" w:eastAsia="仿宋" w:cs="仿宋"/>
          <w:b/>
          <w:bCs/>
          <w:color w:val="auto"/>
          <w:spacing w:val="14"/>
          <w:sz w:val="40"/>
          <w:highlight w:val="none"/>
          <w:lang w:val="en-US" w:eastAsia="zh-CN"/>
        </w:rPr>
      </w:pPr>
      <w:r>
        <w:rPr>
          <w:rFonts w:hint="eastAsia" w:ascii="仿宋" w:hAnsi="仿宋" w:eastAsia="仿宋" w:cs="仿宋"/>
          <w:b/>
          <w:bCs/>
          <w:color w:val="auto"/>
          <w:spacing w:val="14"/>
          <w:sz w:val="40"/>
          <w:highlight w:val="none"/>
        </w:rPr>
        <w:br w:type="page"/>
      </w:r>
    </w:p>
    <w:p w14:paraId="7BF554F2">
      <w:pPr>
        <w:widowControl/>
        <w:ind w:firstLine="281"/>
        <w:jc w:val="left"/>
        <w:rPr>
          <w:rFonts w:ascii="宋体" w:hAnsi="宋体" w:cs="宋体"/>
          <w:b/>
          <w:bCs/>
          <w:color w:val="auto"/>
          <w:sz w:val="28"/>
          <w:szCs w:val="28"/>
          <w:highlight w:val="none"/>
        </w:rPr>
      </w:pPr>
      <w:bookmarkStart w:id="70" w:name="_Toc431853128"/>
      <w:bookmarkStart w:id="71" w:name="_Toc283132966"/>
      <w:bookmarkStart w:id="72" w:name="_Toc142195781"/>
      <w:bookmarkStart w:id="73" w:name="_Toc182152352"/>
      <w:bookmarkStart w:id="74" w:name="_Toc147301449"/>
      <w:bookmarkStart w:id="75" w:name="_Toc280780665"/>
      <w:bookmarkStart w:id="76" w:name="_Toc146956899"/>
      <w:r>
        <w:rPr>
          <w:rFonts w:hint="eastAsia" w:ascii="宋体" w:hAnsi="宋体" w:cs="宋体"/>
          <w:b/>
          <w:bCs/>
          <w:color w:val="auto"/>
          <w:sz w:val="28"/>
          <w:szCs w:val="28"/>
          <w:highlight w:val="none"/>
        </w:rPr>
        <w:t xml:space="preserve">附件一：供应商注意事项 </w:t>
      </w:r>
    </w:p>
    <w:p w14:paraId="1CDCE807">
      <w:pPr>
        <w:widowControl/>
        <w:ind w:firstLine="281"/>
        <w:jc w:val="left"/>
        <w:rPr>
          <w:rFonts w:ascii="宋体" w:hAnsi="宋体" w:cs="宋体"/>
          <w:b/>
          <w:bCs/>
          <w:color w:val="auto"/>
          <w:sz w:val="28"/>
          <w:szCs w:val="28"/>
          <w:highlight w:val="none"/>
        </w:rPr>
      </w:pPr>
    </w:p>
    <w:p w14:paraId="048B998D">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为规范采购人、代理机构在政府采购电子交易平台（以下简称：“电子交易平台”）中编制电子采购文件，现就供应商使用电子交易平台注意事项如下： </w:t>
      </w:r>
    </w:p>
    <w:p w14:paraId="5489433A">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一、电子采购文件获取 </w:t>
      </w:r>
    </w:p>
    <w:p w14:paraId="49191C7C">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凡有意参加投标的供应商，须在政采云平台办理数字证书（CA），CA 申领链接：https://middle.zcygov.cn/ca/apply/list?_app_=zcy.sys，并通过政采云绑定数字证书（CA）后在网上获取采购文件及其它采购资料，数字证书（CA）详见其办理流程。注：供应商如之前已在云南CA 在线数字证书办理网进行过注册并办理过企业数字证书（CA）的，直接绑定即可，无需重复办理（2022 年 1 月 1 日前在云南省公共资源交易平台办理过云南 CA 证书的需到原办理点进行升级后方可使用）。外省供应商在政采云平台办理的其他 CA 可直接使用，无需重复办理。 </w:t>
      </w:r>
    </w:p>
    <w:p w14:paraId="72E2CDFD">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供应商通过 CA 证书获取采购文件的视为合法获取了项目采购文件，具备本项目的投标资格。 </w:t>
      </w:r>
    </w:p>
    <w:p w14:paraId="7CD832AA">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二、电子采购文件澄清与答疑 </w:t>
      </w:r>
    </w:p>
    <w:p w14:paraId="5ADB34B1">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供应商应仔细阅读和检查采购文件的全部内容。如发现缺页或附件不全，应及时向采购人或代理机构提出，以便补齐。如有疑问，应在供应商须知前附表规定的时间前在政采云平台“询问列表”提出，要求采购人或代理机构对采购文件予以澄清。</w:t>
      </w:r>
    </w:p>
    <w:p w14:paraId="0EECA545">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三、电子投标（响应）文件的编制 </w:t>
      </w:r>
    </w:p>
    <w:p w14:paraId="59C60F8C">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（一）电子投标（响应）文件应使用“政采云”平台（https://www.zcygov.cn）中下载的政采云电子投标客户端制作，并进行电子签章及加密后上传至政采云平台。编制要求见《电子投标文件编制要求》。 </w:t>
      </w:r>
    </w:p>
    <w:p w14:paraId="0ECA570B">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（二）如供应商提交的电子标书不符合（一）要求或开标时无法读取导入或解密，其投标（响应）文件将不予受理。 </w:t>
      </w:r>
    </w:p>
    <w:p w14:paraId="24F69BC3">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四、电子投标（响应）文件的递交 </w:t>
      </w:r>
    </w:p>
    <w:p w14:paraId="2E1CD963">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在投标（响应）文件递交的截止时间（投标截止时间，下同）前，需在网上递交投标（响应）文件，具体要求：</w:t>
      </w:r>
    </w:p>
    <w:p w14:paraId="69099DE1">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登录“政采云”平台（https://www.zcygov.cn），供应商须在投标截止时间前完成投标（响应）文件的电子签章、加密及上传，投标截止时间前未完成投标（响应）文件上传的，视为撤回投标（响应）文件。 </w:t>
      </w:r>
    </w:p>
    <w:p w14:paraId="2D3F447C">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五、电子投标（响应）文件的修改与撤回 </w:t>
      </w:r>
    </w:p>
    <w:p w14:paraId="73812338">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在投标截止时间前，供应商可以在政采云平台修改或撤回已在网上递交的投标（响应）文件，无须书面形式通知采购人。 </w:t>
      </w:r>
    </w:p>
    <w:p w14:paraId="35BD0FD3">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六、电子开标及投标（响应）文件解密 </w:t>
      </w:r>
    </w:p>
    <w:p w14:paraId="0C373DBF">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一）若供应商熟悉“政采云”相关投标程序，不到现场参加投标的，应提前在自有场地配置有音视频通话（带摄像头及话筒的电脑）功能的相应设备及稳定网络环境，并按“政采云”开标大厅中的提示完成采购活动。 </w:t>
      </w:r>
    </w:p>
    <w:p w14:paraId="3822DC4E">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（二）到现场参与投标的供应商，建议于响应文件提交截止时间前携带编制投标（响应）文件时的加密数字证书（CA）、具有摄像头及话筒的笔记本电脑至采购代理机构开标地点参与投标。 </w:t>
      </w:r>
    </w:p>
    <w:p w14:paraId="062F161F">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（三）采购人宣布开启电子投标（响应）文件后，供应商登陆“政采云”开标大厅，使用供应商编制投标（响应）文件时的加密数字证书对投标（响应）文件进行解密。 </w:t>
      </w:r>
    </w:p>
    <w:p w14:paraId="42611B8D">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七、技术支持 </w:t>
      </w:r>
    </w:p>
    <w:p w14:paraId="49EF1C47">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系统操作问题：请致电政采云，4008817190（客服热线）； </w:t>
      </w:r>
    </w:p>
    <w:p w14:paraId="494E0A7E">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云南 CA 操作问题：请致电云南 CA，4006727666； </w:t>
      </w:r>
    </w:p>
    <w:p w14:paraId="3F478F68">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云南 CA 紧急联系方式：15288315056。</w:t>
      </w:r>
    </w:p>
    <w:p w14:paraId="038B7312">
      <w:pP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br w:type="page"/>
      </w:r>
    </w:p>
    <w:p w14:paraId="6550D2A1">
      <w:pPr>
        <w:widowControl/>
        <w:adjustRightInd w:val="0"/>
        <w:snapToGrid w:val="0"/>
        <w:spacing w:line="360" w:lineRule="auto"/>
        <w:ind w:firstLine="640" w:firstLineChars="200"/>
        <w:jc w:val="center"/>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电子投标文件编制要求</w:t>
      </w:r>
    </w:p>
    <w:p w14:paraId="12933FA4">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1、电子投标文件的制作应使用“政采云投标客户端”，供应商下载“政采云投标客户端”，通过“政采云投标客户端”编制并生成加密的投标文件。 </w:t>
      </w:r>
    </w:p>
    <w:p w14:paraId="3618CC65">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2、“政采云投标客户端”提供数字证书（CA）对投标文件进行加密功能。投标人对网上递交的投标文件应加密。如果供应商使用某个数字证书（CA）对投标文件进行了数字证书（CA）加密，需要在开标时使用该数字证书（CA）进行解密，才能读取或导入投标文件，因供应商原因造成投标文件未解密的，视为撤回其投标文件。 </w:t>
      </w:r>
    </w:p>
    <w:p w14:paraId="7787D9D4">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3、网上递交投标文件应根据采购文件要求，在投标截止时间前将电子投标文件通过政采云电子交易系统（网址：https://www.zcygov.com）上传至对应的项目，系统自动生成投标回执，以表明上传成功。 </w:t>
      </w:r>
    </w:p>
    <w:p w14:paraId="787C81AE">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4、该投标文件制作要求如果与采购文件规定不一致，以此投标文件制作要求为准。 </w:t>
      </w:r>
    </w:p>
    <w:p w14:paraId="17AFF265">
      <w:pPr>
        <w:widowControl/>
        <w:wordWrap w:val="0"/>
        <w:adjustRightInd w:val="0"/>
        <w:snapToGrid w:val="0"/>
        <w:spacing w:line="360" w:lineRule="auto"/>
        <w:ind w:firstLine="480" w:firstLineChars="200"/>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“政采云投标客户端”及 CA 驱动下载网址：https://customer.zcygov.cn/CA-driver-download?utm=web-ca-front.3ddc8fbb.0.0.91c6cff0db1311ec8cfbc9f613d30204</w:t>
      </w:r>
    </w:p>
    <w:p w14:paraId="0105CC75">
      <w:pPr>
        <w:pStyle w:val="13"/>
        <w:rPr>
          <w:rFonts w:hint="eastAsia" w:ascii="仿宋" w:hAnsi="仿宋" w:eastAsia="仿宋" w:cs="仿宋"/>
          <w:color w:val="auto"/>
          <w:highlight w:val="none"/>
        </w:rPr>
      </w:pPr>
    </w:p>
    <w:p w14:paraId="21DB84F0">
      <w:pPr>
        <w:ind w:firstLine="210"/>
        <w:rPr>
          <w:color w:val="auto"/>
          <w:highlight w:val="none"/>
        </w:rPr>
      </w:pPr>
      <w:r>
        <w:rPr>
          <w:color w:val="auto"/>
          <w:highlight w:val="none"/>
        </w:rPr>
        <w:br w:type="page"/>
      </w:r>
    </w:p>
    <w:p w14:paraId="674F9687">
      <w:pPr>
        <w:spacing w:before="477" w:beforeLines="150" w:line="360" w:lineRule="auto"/>
        <w:ind w:firstLine="430"/>
        <w:jc w:val="center"/>
        <w:outlineLvl w:val="1"/>
        <w:rPr>
          <w:rFonts w:ascii="仿宋" w:hAnsi="仿宋" w:eastAsia="仿宋" w:cs="仿宋"/>
          <w:b/>
          <w:bCs/>
          <w:color w:val="auto"/>
          <w:spacing w:val="14"/>
          <w:sz w:val="40"/>
          <w:highlight w:val="none"/>
        </w:rPr>
      </w:pPr>
      <w:r>
        <w:rPr>
          <w:rFonts w:hint="eastAsia" w:ascii="仿宋" w:hAnsi="仿宋" w:eastAsia="仿宋" w:cs="仿宋"/>
          <w:b/>
          <w:bCs/>
          <w:color w:val="auto"/>
          <w:spacing w:val="14"/>
          <w:sz w:val="40"/>
          <w:highlight w:val="none"/>
        </w:rPr>
        <w:t>供应商须知</w:t>
      </w:r>
    </w:p>
    <w:p w14:paraId="46654A14">
      <w:pPr>
        <w:spacing w:before="159" w:beforeLines="50" w:after="159" w:afterLines="50" w:line="360" w:lineRule="auto"/>
        <w:ind w:firstLine="241"/>
        <w:jc w:val="center"/>
        <w:rPr>
          <w:rFonts w:ascii="仿宋" w:hAnsi="仿宋" w:eastAsia="仿宋" w:cs="仿宋"/>
          <w:b/>
          <w:color w:val="auto"/>
          <w:sz w:val="24"/>
          <w:szCs w:val="28"/>
          <w:highlight w:val="none"/>
        </w:rPr>
      </w:pPr>
      <w:bookmarkStart w:id="77" w:name="_Toc280780634"/>
      <w:r>
        <w:rPr>
          <w:rFonts w:hint="eastAsia" w:ascii="仿宋" w:hAnsi="仿宋" w:eastAsia="仿宋" w:cs="仿宋"/>
          <w:b/>
          <w:color w:val="auto"/>
          <w:sz w:val="24"/>
          <w:szCs w:val="28"/>
          <w:highlight w:val="none"/>
        </w:rPr>
        <w:t>一、总   则</w:t>
      </w:r>
      <w:bookmarkEnd w:id="77"/>
    </w:p>
    <w:p w14:paraId="512D0753">
      <w:pPr>
        <w:spacing w:before="159" w:beforeLines="50" w:after="159" w:afterLines="50" w:line="360" w:lineRule="auto"/>
        <w:ind w:firstLine="482" w:firstLineChars="200"/>
        <w:rPr>
          <w:rFonts w:ascii="仿宋" w:hAnsi="仿宋" w:eastAsia="仿宋" w:cs="仿宋"/>
          <w:b/>
          <w:color w:val="auto"/>
          <w:sz w:val="24"/>
          <w:szCs w:val="28"/>
          <w:highlight w:val="none"/>
        </w:rPr>
      </w:pPr>
      <w:bookmarkStart w:id="78" w:name="_Toc325364795"/>
      <w:bookmarkStart w:id="79" w:name="_Toc280780635"/>
      <w:r>
        <w:rPr>
          <w:rFonts w:hint="eastAsia" w:ascii="仿宋" w:hAnsi="仿宋" w:eastAsia="仿宋" w:cs="仿宋"/>
          <w:b/>
          <w:color w:val="auto"/>
          <w:sz w:val="24"/>
          <w:szCs w:val="28"/>
          <w:highlight w:val="none"/>
        </w:rPr>
        <w:t>1、项目概况</w:t>
      </w:r>
      <w:bookmarkEnd w:id="78"/>
      <w:bookmarkEnd w:id="79"/>
    </w:p>
    <w:p w14:paraId="1FDDF5C1">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根据《中华人民共和国政府采购法》《政府采购竞争性磋商采购方式管理暂行办法》等有关法律法规的规定，经政府采购主管部门批准，对本项目进行磋商采购。</w:t>
      </w:r>
    </w:p>
    <w:p w14:paraId="799EE4FA">
      <w:pPr>
        <w:spacing w:before="159" w:beforeLines="50" w:after="159" w:afterLines="50" w:line="360" w:lineRule="auto"/>
        <w:ind w:firstLine="480" w:firstLineChars="200"/>
        <w:rPr>
          <w:rFonts w:ascii="仿宋" w:hAnsi="仿宋" w:eastAsia="仿宋" w:cs="仿宋"/>
          <w:bCs/>
          <w:color w:val="auto"/>
          <w:sz w:val="24"/>
          <w:szCs w:val="28"/>
          <w:highlight w:val="none"/>
        </w:rPr>
      </w:pPr>
      <w:bookmarkStart w:id="80" w:name="_Toc325364796"/>
      <w:bookmarkStart w:id="81" w:name="_Toc280780636"/>
      <w:r>
        <w:rPr>
          <w:rFonts w:hint="eastAsia" w:ascii="仿宋" w:hAnsi="仿宋" w:eastAsia="仿宋" w:cs="仿宋"/>
          <w:bCs/>
          <w:color w:val="auto"/>
          <w:sz w:val="24"/>
          <w:szCs w:val="28"/>
          <w:highlight w:val="none"/>
        </w:rPr>
        <w:t>1.1 采购人：见“供应商须知前附表”。</w:t>
      </w:r>
    </w:p>
    <w:p w14:paraId="11D471BB">
      <w:pPr>
        <w:spacing w:before="159" w:beforeLines="50" w:after="159" w:afterLines="50" w:line="360" w:lineRule="auto"/>
        <w:ind w:firstLine="480" w:firstLineChars="200"/>
        <w:rPr>
          <w:rFonts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1.2 采购代理机构：见“供应商须知前附表”。</w:t>
      </w:r>
    </w:p>
    <w:p w14:paraId="41442771">
      <w:pPr>
        <w:spacing w:before="159" w:beforeLines="50" w:after="159" w:afterLines="50" w:line="360" w:lineRule="auto"/>
        <w:ind w:firstLine="480" w:firstLineChars="200"/>
        <w:rPr>
          <w:rFonts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1.3 项目名称：见“供应商须知前附表”。</w:t>
      </w:r>
    </w:p>
    <w:p w14:paraId="2A298339">
      <w:pPr>
        <w:pStyle w:val="21"/>
        <w:spacing w:line="360" w:lineRule="auto"/>
        <w:ind w:firstLine="513" w:firstLineChars="214"/>
        <w:rPr>
          <w:rFonts w:ascii="仿宋" w:hAnsi="仿宋" w:eastAsia="仿宋" w:cs="仿宋"/>
          <w:color w:val="auto"/>
          <w:sz w:val="22"/>
          <w:highlight w:val="none"/>
        </w:rPr>
      </w:pPr>
      <w:r>
        <w:rPr>
          <w:rFonts w:hint="eastAsia" w:ascii="仿宋" w:hAnsi="仿宋" w:eastAsia="仿宋" w:cs="仿宋"/>
          <w:bCs/>
          <w:color w:val="auto"/>
          <w:szCs w:val="28"/>
          <w:highlight w:val="none"/>
        </w:rPr>
        <w:t>1.4 项目编号：见“供应商须知前附表”</w:t>
      </w:r>
    </w:p>
    <w:p w14:paraId="3F5F9A9E">
      <w:pPr>
        <w:spacing w:before="159" w:beforeLines="50" w:after="159" w:afterLines="50" w:line="360" w:lineRule="auto"/>
        <w:ind w:firstLine="480" w:firstLineChars="200"/>
        <w:rPr>
          <w:rFonts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1.5 建设规模：见“供应商须知前附表”。</w:t>
      </w:r>
    </w:p>
    <w:p w14:paraId="67BB519C">
      <w:pPr>
        <w:spacing w:before="159" w:beforeLines="50" w:after="159" w:afterLines="50" w:line="360" w:lineRule="auto"/>
        <w:ind w:firstLine="480" w:firstLineChars="200"/>
        <w:rPr>
          <w:rFonts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1.6磋商限价：见“供应商须知前附表”。</w:t>
      </w:r>
    </w:p>
    <w:p w14:paraId="59B78E6D">
      <w:pPr>
        <w:spacing w:before="159" w:beforeLines="50" w:after="159" w:afterLines="50" w:line="360" w:lineRule="auto"/>
        <w:ind w:firstLine="480" w:firstLineChars="200"/>
        <w:rPr>
          <w:rFonts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1.7 采购内容：见“供应商须知前附表”。</w:t>
      </w:r>
    </w:p>
    <w:p w14:paraId="0B4CBA18">
      <w:pPr>
        <w:spacing w:before="159" w:beforeLines="50" w:after="159" w:afterLines="50" w:line="360" w:lineRule="auto"/>
        <w:ind w:firstLine="480" w:firstLineChars="200"/>
        <w:rPr>
          <w:rFonts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1.8 质量要求：见“供应商须知前附表”。</w:t>
      </w:r>
    </w:p>
    <w:p w14:paraId="46047FB9">
      <w:pPr>
        <w:spacing w:before="159" w:beforeLines="50" w:after="159" w:afterLines="50" w:line="360" w:lineRule="auto"/>
        <w:ind w:firstLine="480" w:firstLineChars="200"/>
        <w:rPr>
          <w:rFonts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1.9 项目实施地点：见“供应商须知前附表”。</w:t>
      </w:r>
    </w:p>
    <w:p w14:paraId="25816B10">
      <w:pPr>
        <w:spacing w:before="159" w:beforeLines="50" w:after="159" w:afterLines="50" w:line="360" w:lineRule="auto"/>
        <w:ind w:firstLine="480" w:firstLineChars="200"/>
        <w:rPr>
          <w:rFonts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1.10计划工期：见“供应商须知前附表”。</w:t>
      </w:r>
    </w:p>
    <w:p w14:paraId="6468BA22">
      <w:pPr>
        <w:numPr>
          <w:ilvl w:val="0"/>
          <w:numId w:val="6"/>
        </w:numPr>
        <w:spacing w:before="159" w:beforeLines="50" w:after="159" w:afterLines="50" w:line="360" w:lineRule="auto"/>
        <w:ind w:firstLine="241"/>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供应商资格要求</w:t>
      </w:r>
      <w:bookmarkEnd w:id="80"/>
      <w:bookmarkEnd w:id="81"/>
    </w:p>
    <w:p w14:paraId="38AA3E1A">
      <w:pPr>
        <w:spacing w:before="159" w:beforeLines="50" w:after="159" w:afterLines="50" w:line="360" w:lineRule="auto"/>
        <w:ind w:firstLine="480" w:firstLineChars="200"/>
        <w:rPr>
          <w:rFonts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2.1供应商资格要求：见“供应商须知前附表”。</w:t>
      </w:r>
      <w:bookmarkStart w:id="82" w:name="_Toc280780637"/>
    </w:p>
    <w:p w14:paraId="27A47390">
      <w:pPr>
        <w:spacing w:before="159" w:beforeLines="50" w:after="159" w:afterLines="50" w:line="360" w:lineRule="auto"/>
        <w:ind w:firstLine="482" w:firstLineChars="200"/>
        <w:rPr>
          <w:rFonts w:ascii="仿宋" w:hAnsi="仿宋" w:eastAsia="仿宋" w:cs="仿宋"/>
          <w:b/>
          <w:color w:val="auto"/>
          <w:sz w:val="24"/>
          <w:szCs w:val="28"/>
          <w:highlight w:val="none"/>
        </w:rPr>
      </w:pPr>
      <w:bookmarkStart w:id="83" w:name="_Toc325364797"/>
      <w:r>
        <w:rPr>
          <w:rFonts w:hint="eastAsia" w:ascii="仿宋" w:hAnsi="仿宋" w:eastAsia="仿宋" w:cs="仿宋"/>
          <w:b/>
          <w:color w:val="auto"/>
          <w:sz w:val="24"/>
          <w:szCs w:val="28"/>
          <w:highlight w:val="none"/>
        </w:rPr>
        <w:t>3、</w:t>
      </w:r>
      <w:bookmarkEnd w:id="82"/>
      <w:bookmarkEnd w:id="83"/>
      <w:r>
        <w:rPr>
          <w:rFonts w:hint="eastAsia" w:ascii="仿宋" w:hAnsi="仿宋" w:eastAsia="仿宋" w:cs="仿宋"/>
          <w:b/>
          <w:color w:val="auto"/>
          <w:sz w:val="24"/>
          <w:szCs w:val="28"/>
          <w:highlight w:val="none"/>
        </w:rPr>
        <w:t>供应商的费用</w:t>
      </w:r>
    </w:p>
    <w:p w14:paraId="2460392E">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3.1成交服务费：见“供应商须知前附表”。招标代理服务费由中标人在收到中标通知书时一次性向招标代理机构支付；若非代理机构原因导致招标失败，该费用由采购人支付。</w:t>
      </w:r>
    </w:p>
    <w:p w14:paraId="5EA42D23">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8"/>
          <w:highlight w:val="none"/>
        </w:rPr>
        <w:t>3.2不论磋商的</w:t>
      </w:r>
      <w:r>
        <w:rPr>
          <w:rFonts w:hint="eastAsia" w:ascii="仿宋" w:hAnsi="仿宋" w:eastAsia="仿宋" w:cs="仿宋"/>
          <w:color w:val="auto"/>
          <w:sz w:val="24"/>
          <w:szCs w:val="24"/>
          <w:highlight w:val="none"/>
        </w:rPr>
        <w:t>结果如何，供应商自行承担其参加本次采购活动编制响应文件与递交响应文件所涉及的一切费用。</w:t>
      </w:r>
    </w:p>
    <w:p w14:paraId="30B6C369">
      <w:pPr>
        <w:spacing w:before="159" w:beforeLines="50" w:after="159" w:afterLines="50" w:line="360" w:lineRule="auto"/>
        <w:ind w:firstLine="482" w:firstLineChars="200"/>
        <w:jc w:val="center"/>
        <w:rPr>
          <w:rFonts w:ascii="仿宋" w:hAnsi="仿宋" w:eastAsia="仿宋" w:cs="仿宋"/>
          <w:b/>
          <w:color w:val="auto"/>
          <w:sz w:val="24"/>
          <w:szCs w:val="28"/>
          <w:highlight w:val="none"/>
        </w:rPr>
      </w:pPr>
      <w:bookmarkStart w:id="84" w:name="_Toc280780638"/>
      <w:bookmarkStart w:id="85" w:name="_Toc325364798"/>
      <w:r>
        <w:rPr>
          <w:rFonts w:hint="eastAsia" w:ascii="仿宋" w:hAnsi="仿宋" w:eastAsia="仿宋" w:cs="仿宋"/>
          <w:b/>
          <w:color w:val="auto"/>
          <w:sz w:val="24"/>
          <w:szCs w:val="28"/>
          <w:highlight w:val="none"/>
        </w:rPr>
        <w:t>二、竞争性磋商文件</w:t>
      </w:r>
      <w:bookmarkEnd w:id="84"/>
      <w:bookmarkEnd w:id="85"/>
    </w:p>
    <w:p w14:paraId="4832A4F7">
      <w:pPr>
        <w:spacing w:before="159" w:beforeLines="50" w:after="159" w:afterLines="50" w:line="360" w:lineRule="auto"/>
        <w:ind w:firstLine="482" w:firstLineChars="200"/>
        <w:rPr>
          <w:rFonts w:ascii="仿宋" w:hAnsi="仿宋" w:eastAsia="仿宋" w:cs="仿宋"/>
          <w:b/>
          <w:color w:val="auto"/>
          <w:sz w:val="24"/>
          <w:szCs w:val="28"/>
          <w:highlight w:val="none"/>
        </w:rPr>
      </w:pPr>
      <w:bookmarkStart w:id="86" w:name="_Toc280780639"/>
      <w:bookmarkStart w:id="87" w:name="_Toc325364799"/>
      <w:r>
        <w:rPr>
          <w:rFonts w:hint="eastAsia" w:ascii="仿宋" w:hAnsi="仿宋" w:eastAsia="仿宋" w:cs="仿宋"/>
          <w:b/>
          <w:color w:val="auto"/>
          <w:sz w:val="24"/>
          <w:szCs w:val="28"/>
          <w:highlight w:val="none"/>
        </w:rPr>
        <w:t>4、竞争性磋商文件的构成</w:t>
      </w:r>
      <w:bookmarkEnd w:id="86"/>
      <w:bookmarkEnd w:id="87"/>
    </w:p>
    <w:p w14:paraId="4D5EF99A">
      <w:pPr>
        <w:spacing w:line="360" w:lineRule="auto"/>
        <w:ind w:firstLine="480" w:firstLineChars="200"/>
        <w:jc w:val="left"/>
        <w:rPr>
          <w:rFonts w:ascii="仿宋" w:hAnsi="仿宋" w:eastAsia="仿宋" w:cs="仿宋"/>
          <w:color w:val="auto"/>
          <w:sz w:val="24"/>
          <w:szCs w:val="28"/>
          <w:highlight w:val="none"/>
        </w:rPr>
      </w:pPr>
      <w:bookmarkStart w:id="88" w:name="_Toc280780640"/>
      <w:bookmarkStart w:id="89" w:name="_Toc325364800"/>
      <w:r>
        <w:rPr>
          <w:rFonts w:hint="eastAsia" w:ascii="仿宋" w:hAnsi="仿宋" w:eastAsia="仿宋" w:cs="仿宋"/>
          <w:color w:val="auto"/>
          <w:sz w:val="24"/>
          <w:szCs w:val="28"/>
          <w:highlight w:val="none"/>
        </w:rPr>
        <w:t>4.1竞争性磋商文件由目录所列内容组成及根据本须知第5条所发出的澄清和修改等组成。</w:t>
      </w:r>
    </w:p>
    <w:p w14:paraId="731B332E">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4.2 澄清和修改为竞争性磋商文件的组成，当所发出的竞争性磋商文件澄清和修改不一致时，以最后发出的为准。</w:t>
      </w:r>
    </w:p>
    <w:bookmarkEnd w:id="88"/>
    <w:bookmarkEnd w:id="89"/>
    <w:p w14:paraId="09C16D17">
      <w:pPr>
        <w:spacing w:before="159" w:beforeLines="50" w:after="159" w:afterLines="50" w:line="360" w:lineRule="auto"/>
        <w:ind w:firstLine="482" w:firstLineChars="200"/>
        <w:rPr>
          <w:rFonts w:ascii="仿宋" w:hAnsi="仿宋" w:eastAsia="仿宋" w:cs="仿宋"/>
          <w:b/>
          <w:color w:val="auto"/>
          <w:sz w:val="24"/>
          <w:szCs w:val="28"/>
          <w:highlight w:val="none"/>
        </w:rPr>
      </w:pPr>
      <w:bookmarkStart w:id="90" w:name="_Toc280780641"/>
      <w:bookmarkStart w:id="91" w:name="_Toc325364801"/>
      <w:r>
        <w:rPr>
          <w:rFonts w:hint="eastAsia" w:ascii="仿宋" w:hAnsi="仿宋" w:eastAsia="仿宋" w:cs="仿宋"/>
          <w:b/>
          <w:color w:val="auto"/>
          <w:sz w:val="24"/>
          <w:szCs w:val="28"/>
          <w:highlight w:val="none"/>
        </w:rPr>
        <w:t>5、竞争性磋商文件的澄清及修改</w:t>
      </w:r>
      <w:bookmarkEnd w:id="90"/>
      <w:bookmarkEnd w:id="91"/>
    </w:p>
    <w:p w14:paraId="3E452B94">
      <w:pPr>
        <w:spacing w:line="360" w:lineRule="auto"/>
        <w:ind w:firstLine="480" w:firstLineChars="200"/>
        <w:rPr>
          <w:rFonts w:ascii="仿宋" w:hAnsi="仿宋" w:eastAsia="仿宋" w:cs="仿宋"/>
          <w:color w:val="auto"/>
          <w:sz w:val="24"/>
          <w:szCs w:val="28"/>
          <w:highlight w:val="none"/>
        </w:rPr>
      </w:pPr>
      <w:bookmarkStart w:id="92" w:name="_Toc122530378"/>
      <w:bookmarkStart w:id="93" w:name="_Toc280780642"/>
      <w:bookmarkStart w:id="94" w:name="_Toc325364802"/>
      <w:r>
        <w:rPr>
          <w:rFonts w:hint="eastAsia" w:ascii="仿宋" w:hAnsi="仿宋" w:eastAsia="仿宋" w:cs="仿宋"/>
          <w:color w:val="auto"/>
          <w:sz w:val="24"/>
          <w:szCs w:val="28"/>
          <w:highlight w:val="none"/>
        </w:rPr>
        <w:t>5.1在响应文件递交截止时间前，无论出于何种原因，采购人可主动地或在解答供应商提出的澄清问题时对竞争性磋商文件进行修改。</w:t>
      </w:r>
    </w:p>
    <w:p w14:paraId="12E3A899">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5.2磋商截止时间至少5日前，由采购人以补遗书方式按程序报有关主管部门备案后，向各供应商发布，供应商须在24小时内回函确认。</w:t>
      </w:r>
    </w:p>
    <w:p w14:paraId="7CF7EB2C">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5.3为使供应商编写响应文件时有充分时间对竞争性磋商文件的修改部分进行研究，采购人可以自行决定并酌情延长递交响应文件截止时间。</w:t>
      </w:r>
    </w:p>
    <w:p w14:paraId="2CED1452">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5.4澄清和补遗全部通过网络送达，请供应商在开标截止日前，务必查询网站信息，供应商自行登录“政采云”平台 （https://www.zcygov.cn）中获取澄清。</w:t>
      </w:r>
    </w:p>
    <w:p w14:paraId="23B77B2D">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5.5电子采购文件澄清与答疑：见“供应商须知前附表”</w:t>
      </w:r>
    </w:p>
    <w:bookmarkEnd w:id="92"/>
    <w:p w14:paraId="1E3430EA">
      <w:pPr>
        <w:spacing w:before="159" w:beforeLines="50" w:after="159" w:afterLines="50" w:line="360" w:lineRule="auto"/>
        <w:ind w:firstLine="482" w:firstLineChars="200"/>
        <w:jc w:val="center"/>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三、响应文件的编制</w:t>
      </w:r>
      <w:bookmarkEnd w:id="93"/>
      <w:bookmarkEnd w:id="94"/>
    </w:p>
    <w:p w14:paraId="2F24081A">
      <w:pPr>
        <w:spacing w:before="159" w:beforeLines="50" w:after="159" w:afterLines="50" w:line="360" w:lineRule="auto"/>
        <w:ind w:firstLine="482" w:firstLineChars="200"/>
        <w:rPr>
          <w:rFonts w:ascii="仿宋" w:hAnsi="仿宋" w:eastAsia="仿宋" w:cs="仿宋"/>
          <w:b/>
          <w:color w:val="auto"/>
          <w:sz w:val="24"/>
          <w:szCs w:val="28"/>
          <w:highlight w:val="none"/>
        </w:rPr>
      </w:pPr>
      <w:bookmarkStart w:id="95" w:name="_Toc325364803"/>
      <w:r>
        <w:rPr>
          <w:rFonts w:hint="eastAsia" w:ascii="仿宋" w:hAnsi="仿宋" w:eastAsia="仿宋" w:cs="仿宋"/>
          <w:b/>
          <w:color w:val="auto"/>
          <w:sz w:val="24"/>
          <w:szCs w:val="28"/>
          <w:highlight w:val="none"/>
        </w:rPr>
        <w:t>6、响应文件的报价、语言及度量衡单位</w:t>
      </w:r>
      <w:bookmarkEnd w:id="95"/>
    </w:p>
    <w:p w14:paraId="77C22977">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6.1</w:t>
      </w:r>
      <w:r>
        <w:rPr>
          <w:rFonts w:hint="eastAsia" w:ascii="仿宋" w:hAnsi="仿宋" w:eastAsia="仿宋" w:cs="仿宋"/>
          <w:color w:val="auto"/>
          <w:sz w:val="24"/>
          <w:szCs w:val="28"/>
          <w:highlight w:val="none"/>
          <w:lang w:val="zh-TW"/>
        </w:rPr>
        <w:t>响应文件应当对采购文件有关</w:t>
      </w:r>
      <w:r>
        <w:rPr>
          <w:rFonts w:hint="eastAsia" w:ascii="仿宋" w:hAnsi="仿宋" w:eastAsia="仿宋" w:cs="仿宋"/>
          <w:color w:val="auto"/>
          <w:sz w:val="24"/>
          <w:szCs w:val="28"/>
          <w:highlight w:val="none"/>
        </w:rPr>
        <w:t>工期</w:t>
      </w:r>
      <w:r>
        <w:rPr>
          <w:rFonts w:hint="eastAsia" w:ascii="仿宋" w:hAnsi="仿宋" w:eastAsia="仿宋" w:cs="仿宋"/>
          <w:color w:val="auto"/>
          <w:sz w:val="24"/>
          <w:szCs w:val="28"/>
          <w:highlight w:val="none"/>
          <w:lang w:val="zh-TW"/>
        </w:rPr>
        <w:t>、磋商有效期、质量要求、采购范围等实质性内容作出响应</w:t>
      </w:r>
      <w:r>
        <w:rPr>
          <w:rFonts w:hint="eastAsia" w:ascii="仿宋" w:hAnsi="仿宋" w:eastAsia="仿宋" w:cs="仿宋"/>
          <w:color w:val="auto"/>
          <w:sz w:val="24"/>
          <w:szCs w:val="28"/>
          <w:highlight w:val="none"/>
        </w:rPr>
        <w:t>。</w:t>
      </w:r>
    </w:p>
    <w:p w14:paraId="147A19BD">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6.2本项目的合同以“供应商须知前附表”规定为准。报价为含税价，包括但不限于承包方的人工费、服务费、材料费、机械费、管理费、利润、税金、运输费、采购代理服务费等及磋商过程中产生的一切与本项目相关的全部承包服务费用，并且包含完成第五章采购内容及技术要求中的所有内容产生的全部费用。</w:t>
      </w:r>
      <w:r>
        <w:rPr>
          <w:rFonts w:hint="eastAsia" w:ascii="仿宋" w:hAnsi="仿宋" w:eastAsia="仿宋" w:cs="仿宋"/>
          <w:b/>
          <w:color w:val="auto"/>
          <w:sz w:val="24"/>
          <w:szCs w:val="28"/>
          <w:highlight w:val="none"/>
        </w:rPr>
        <w:t>供应商报价不得违反磋商限价要求</w:t>
      </w:r>
      <w:r>
        <w:rPr>
          <w:rFonts w:hint="eastAsia" w:ascii="仿宋" w:hAnsi="仿宋" w:eastAsia="仿宋" w:cs="仿宋"/>
          <w:color w:val="auto"/>
          <w:sz w:val="24"/>
          <w:szCs w:val="28"/>
          <w:highlight w:val="none"/>
        </w:rPr>
        <w:t>，否则响应文件无效。</w:t>
      </w:r>
    </w:p>
    <w:p w14:paraId="15A548C5">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6.3报价大小写金额不一致的，以大写金额为准；总价金额与按单价汇总金额不一致的，以单价金额计算结果为准；单价金额小数点有明显错位的，以总价为准，并修改单价；对不同文字文本响应文件的解释发生异议的，以中文文本为准。</w:t>
      </w:r>
    </w:p>
    <w:p w14:paraId="0462C8F5">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6.4供应商提交的响应文件以及供应商与采购人、采购代理机构就有关问题的所有来往函电均应使用中文。</w:t>
      </w:r>
    </w:p>
    <w:p w14:paraId="20BB61C2">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6.5用非中文版印刷的产品说明书、技术资料、资格资质证书等，供应商应提供符合中国有关法律、法规的中文译本，并以中文译本为准。</w:t>
      </w:r>
    </w:p>
    <w:p w14:paraId="4C135BBF">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6.6响应文件中所使用的度量衡单位，除竞争性磋商文件中有特殊要求外，一律用公制。</w:t>
      </w:r>
    </w:p>
    <w:p w14:paraId="41A5B318">
      <w:pPr>
        <w:pStyle w:val="13"/>
        <w:spacing w:line="360" w:lineRule="auto"/>
        <w:ind w:firstLine="48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6.7供应商在本次磋商过程中不得存在弄虚作假行为，并就此在响应文件中做出书面回应，否则响应无效。</w:t>
      </w:r>
    </w:p>
    <w:p w14:paraId="03DD2095">
      <w:pPr>
        <w:pStyle w:val="13"/>
        <w:spacing w:line="360" w:lineRule="auto"/>
        <w:ind w:firstLine="48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6.8在磋商截止时间5日前，所有获取了磋商文件的潜在供应商可进行不署名提问。</w:t>
      </w:r>
    </w:p>
    <w:p w14:paraId="6692A8D4">
      <w:pPr>
        <w:pStyle w:val="13"/>
        <w:spacing w:line="360" w:lineRule="auto"/>
        <w:ind w:firstLine="480" w:firstLineChars="200"/>
        <w:rPr>
          <w:rFonts w:eastAsia="仿宋"/>
          <w:color w:val="auto"/>
          <w:highlight w:val="none"/>
        </w:rPr>
      </w:pPr>
      <w:r>
        <w:rPr>
          <w:rFonts w:hint="eastAsia" w:ascii="仿宋" w:hAnsi="仿宋" w:eastAsia="仿宋" w:cs="仿宋"/>
          <w:color w:val="auto"/>
          <w:szCs w:val="28"/>
          <w:highlight w:val="none"/>
        </w:rPr>
        <w:t>6.9电子投标（响应）文件的编制：见“供应商须知前附表”。</w:t>
      </w:r>
    </w:p>
    <w:p w14:paraId="11720832">
      <w:pPr>
        <w:spacing w:before="159" w:beforeLines="50" w:after="159" w:afterLines="50" w:line="360" w:lineRule="auto"/>
        <w:ind w:firstLine="482" w:firstLineChars="200"/>
        <w:rPr>
          <w:rFonts w:ascii="仿宋" w:hAnsi="仿宋" w:eastAsia="仿宋" w:cs="仿宋"/>
          <w:b/>
          <w:color w:val="auto"/>
          <w:sz w:val="24"/>
          <w:szCs w:val="28"/>
          <w:highlight w:val="none"/>
        </w:rPr>
      </w:pPr>
      <w:bookmarkStart w:id="96" w:name="_Toc280780644"/>
      <w:bookmarkStart w:id="97" w:name="_Toc182152329"/>
      <w:bookmarkStart w:id="98" w:name="_Toc325364804"/>
      <w:r>
        <w:rPr>
          <w:rFonts w:hint="eastAsia" w:ascii="仿宋" w:hAnsi="仿宋" w:eastAsia="仿宋" w:cs="仿宋"/>
          <w:b/>
          <w:color w:val="auto"/>
          <w:sz w:val="24"/>
          <w:szCs w:val="28"/>
          <w:highlight w:val="none"/>
        </w:rPr>
        <w:t>7、响应文件的</w:t>
      </w:r>
      <w:bookmarkEnd w:id="96"/>
      <w:bookmarkEnd w:id="97"/>
      <w:bookmarkEnd w:id="98"/>
      <w:r>
        <w:rPr>
          <w:rFonts w:hint="eastAsia" w:ascii="仿宋" w:hAnsi="仿宋" w:eastAsia="仿宋" w:cs="仿宋"/>
          <w:b/>
          <w:color w:val="auto"/>
          <w:sz w:val="24"/>
          <w:szCs w:val="28"/>
          <w:highlight w:val="none"/>
        </w:rPr>
        <w:t>组成</w:t>
      </w:r>
    </w:p>
    <w:p w14:paraId="1233C80B">
      <w:pPr>
        <w:spacing w:line="360" w:lineRule="auto"/>
        <w:ind w:firstLine="480" w:firstLineChars="200"/>
        <w:jc w:val="left"/>
        <w:rPr>
          <w:rFonts w:ascii="仿宋" w:hAnsi="仿宋" w:eastAsia="仿宋" w:cs="仿宋"/>
          <w:color w:val="auto"/>
          <w:sz w:val="24"/>
          <w:szCs w:val="28"/>
          <w:highlight w:val="none"/>
        </w:rPr>
      </w:pPr>
      <w:bookmarkStart w:id="99" w:name="_Toc280780647"/>
      <w:bookmarkStart w:id="100" w:name="_Toc325364807"/>
      <w:r>
        <w:rPr>
          <w:rFonts w:hint="eastAsia" w:ascii="仿宋" w:hAnsi="仿宋" w:eastAsia="仿宋" w:cs="仿宋"/>
          <w:color w:val="auto"/>
          <w:sz w:val="24"/>
          <w:szCs w:val="28"/>
          <w:highlight w:val="none"/>
        </w:rPr>
        <w:t>7.1响应文件的格式：竞争性磋商文件中提供格式的，请按照“第四章 响应文件格式”的格式填写。</w:t>
      </w:r>
    </w:p>
    <w:p w14:paraId="6C328D4A">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7.2响应文件的签署：见“供应商须知前附表”。</w:t>
      </w:r>
    </w:p>
    <w:p w14:paraId="2E2759B9">
      <w:pPr>
        <w:spacing w:before="159" w:beforeLines="50" w:after="159" w:afterLines="50" w:line="360" w:lineRule="auto"/>
        <w:ind w:firstLine="482" w:firstLineChars="200"/>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8、响应文件有效期</w:t>
      </w:r>
      <w:bookmarkEnd w:id="99"/>
      <w:bookmarkEnd w:id="100"/>
    </w:p>
    <w:p w14:paraId="3EE10B77">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8.1在“供应商须知前附表”规定的有效期内，供应商不得撤销或修改其响应文件。</w:t>
      </w:r>
    </w:p>
    <w:p w14:paraId="0CDAAE09">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8.2 因特殊情况需要延长有效期的，采购代理机构以书面形式通知所有供应商延长有效期。供应商同意延长的，应相应延长其保证金的有效期，但不得要求或被允许修改或撤销其响应文件；供应商拒绝延长的，其磋商申请失效，但供应商有权收回其保证金。</w:t>
      </w:r>
    </w:p>
    <w:p w14:paraId="089DB9CB">
      <w:pPr>
        <w:spacing w:before="159" w:beforeLines="50" w:after="159" w:afterLines="50" w:line="360" w:lineRule="auto"/>
        <w:ind w:firstLine="482" w:firstLineChars="200"/>
        <w:rPr>
          <w:rFonts w:ascii="仿宋" w:hAnsi="仿宋" w:eastAsia="仿宋" w:cs="仿宋"/>
          <w:b/>
          <w:color w:val="auto"/>
          <w:sz w:val="24"/>
          <w:szCs w:val="28"/>
          <w:highlight w:val="none"/>
        </w:rPr>
      </w:pPr>
      <w:bookmarkStart w:id="101" w:name="_Toc325364806"/>
      <w:r>
        <w:rPr>
          <w:rFonts w:hint="eastAsia" w:ascii="仿宋" w:hAnsi="仿宋" w:eastAsia="仿宋" w:cs="仿宋"/>
          <w:b/>
          <w:color w:val="auto"/>
          <w:sz w:val="24"/>
          <w:szCs w:val="28"/>
          <w:highlight w:val="none"/>
        </w:rPr>
        <w:t>9、磋商保证金</w:t>
      </w:r>
      <w:bookmarkEnd w:id="101"/>
      <w:r>
        <w:rPr>
          <w:rFonts w:hint="eastAsia" w:ascii="仿宋" w:hAnsi="仿宋" w:eastAsia="仿宋" w:cs="仿宋"/>
          <w:b/>
          <w:color w:val="auto"/>
          <w:sz w:val="24"/>
          <w:szCs w:val="28"/>
          <w:highlight w:val="none"/>
        </w:rPr>
        <w:t>（本项目不要求）</w:t>
      </w:r>
    </w:p>
    <w:p w14:paraId="7080A2A2">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9.1磋商保证金为响应文件的组成部分之一，供应商应按竞争性磋商文件所附格式填写并附证明材料。</w:t>
      </w:r>
    </w:p>
    <w:p w14:paraId="71EB6D9C">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9.2磋商保证金金额及递交方式等详见“供应商须知前附表”。</w:t>
      </w:r>
    </w:p>
    <w:p w14:paraId="458A31A1">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9.3未按上述9.2规定提交磋商保证金的，响应无效。</w:t>
      </w:r>
    </w:p>
    <w:p w14:paraId="1E873503">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9.4未成交供应商的磋商保证金将在成交通知书发出后5个工作日内退还；成交供应商的磋商保证金，在成交供应商和采购人签订采购合同后5个工作日内退还。</w:t>
      </w:r>
    </w:p>
    <w:p w14:paraId="2CC2987B">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9.5有下列情形之一的，磋商保证金不予退还：</w:t>
      </w:r>
    </w:p>
    <w:p w14:paraId="7ED6833F">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（1）供应商在提交响应文件截止时间后撤回响应文件的；</w:t>
      </w:r>
    </w:p>
    <w:p w14:paraId="3C2BEF49">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（2）供应商在响应文件中提供虚假材料的；</w:t>
      </w:r>
    </w:p>
    <w:p w14:paraId="7946858E">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（3）除因不可抗力或响应文件认可的情形以外，成交供应商不与采购人签订合同的；</w:t>
      </w:r>
    </w:p>
    <w:p w14:paraId="00E34935">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（4）供应商与采购人、其他供应商或者采购代理机构恶意串通的；</w:t>
      </w:r>
    </w:p>
    <w:p w14:paraId="3F221463">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（5）竞争性磋商文件须知前附表规定的其他情形。</w:t>
      </w:r>
    </w:p>
    <w:p w14:paraId="762E7362">
      <w:pPr>
        <w:spacing w:before="159" w:beforeLines="50" w:after="159" w:afterLines="50" w:line="360" w:lineRule="auto"/>
        <w:ind w:firstLine="482" w:firstLineChars="200"/>
        <w:jc w:val="center"/>
        <w:rPr>
          <w:rFonts w:ascii="仿宋" w:hAnsi="仿宋" w:eastAsia="仿宋" w:cs="仿宋"/>
          <w:b/>
          <w:color w:val="auto"/>
          <w:sz w:val="24"/>
          <w:szCs w:val="28"/>
          <w:highlight w:val="none"/>
        </w:rPr>
      </w:pPr>
      <w:bookmarkStart w:id="102" w:name="_Toc280780649"/>
      <w:bookmarkStart w:id="103" w:name="_Toc325364808"/>
      <w:r>
        <w:rPr>
          <w:rFonts w:hint="eastAsia" w:ascii="仿宋" w:hAnsi="仿宋" w:eastAsia="仿宋" w:cs="仿宋"/>
          <w:b/>
          <w:color w:val="auto"/>
          <w:sz w:val="24"/>
          <w:szCs w:val="28"/>
          <w:highlight w:val="none"/>
        </w:rPr>
        <w:t>四、响应文件的递交</w:t>
      </w:r>
      <w:bookmarkEnd w:id="102"/>
      <w:bookmarkEnd w:id="103"/>
    </w:p>
    <w:p w14:paraId="4490ABF0">
      <w:pPr>
        <w:widowControl/>
        <w:ind w:firstLine="482" w:firstLineChars="200"/>
        <w:jc w:val="left"/>
        <w:rPr>
          <w:rFonts w:ascii="仿宋" w:hAnsi="仿宋" w:eastAsia="仿宋" w:cs="仿宋"/>
          <w:b/>
          <w:color w:val="auto"/>
          <w:sz w:val="24"/>
          <w:szCs w:val="28"/>
          <w:highlight w:val="none"/>
        </w:rPr>
      </w:pPr>
      <w:bookmarkStart w:id="104" w:name="_Toc280780650"/>
      <w:bookmarkStart w:id="105" w:name="_Toc325364809"/>
      <w:bookmarkStart w:id="106" w:name="_Toc325364811"/>
      <w:r>
        <w:rPr>
          <w:rFonts w:hint="eastAsia" w:ascii="仿宋" w:hAnsi="仿宋" w:eastAsia="仿宋" w:cs="仿宋"/>
          <w:b/>
          <w:color w:val="auto"/>
          <w:sz w:val="24"/>
          <w:szCs w:val="28"/>
          <w:highlight w:val="none"/>
        </w:rPr>
        <w:t>10、</w:t>
      </w:r>
      <w:bookmarkEnd w:id="104"/>
      <w:bookmarkEnd w:id="105"/>
      <w:r>
        <w:rPr>
          <w:rFonts w:hint="eastAsia" w:ascii="仿宋" w:hAnsi="仿宋" w:eastAsia="仿宋" w:cs="仿宋"/>
          <w:b/>
          <w:color w:val="auto"/>
          <w:sz w:val="24"/>
          <w:szCs w:val="28"/>
          <w:highlight w:val="none"/>
        </w:rPr>
        <w:t>电子投标（响应）文件的递交</w:t>
      </w:r>
    </w:p>
    <w:p w14:paraId="5FAB9813">
      <w:pPr>
        <w:spacing w:line="360" w:lineRule="auto"/>
        <w:ind w:firstLine="480" w:firstLineChars="200"/>
        <w:jc w:val="left"/>
        <w:rPr>
          <w:rFonts w:ascii="仿宋" w:hAnsi="仿宋" w:eastAsia="仿宋" w:cs="仿宋"/>
          <w:color w:val="auto"/>
          <w:sz w:val="24"/>
          <w:szCs w:val="28"/>
          <w:highlight w:val="none"/>
        </w:rPr>
      </w:pPr>
      <w:bookmarkStart w:id="107" w:name="_Toc280780651"/>
      <w:bookmarkStart w:id="108" w:name="_Toc325364810"/>
      <w:bookmarkStart w:id="109" w:name="_Toc78603092"/>
      <w:r>
        <w:rPr>
          <w:rFonts w:hint="eastAsia" w:ascii="仿宋" w:hAnsi="仿宋" w:eastAsia="仿宋" w:cs="仿宋"/>
          <w:color w:val="auto"/>
          <w:sz w:val="24"/>
          <w:szCs w:val="28"/>
          <w:highlight w:val="none"/>
        </w:rPr>
        <w:t xml:space="preserve">在投标（响应）文件递交的截止时间（投标截止时间，下同）前，需在网上递交投标（响应）文件，具体要求： </w:t>
      </w:r>
    </w:p>
    <w:p w14:paraId="1AC5A235">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登录“政采云”平台（https://www.zcygov.cn），供应商须在投标截止时间前完成投标（响应）文件的电子签章、加密及上传，投标截止时间前未完成投标（响应）文件上传的，视为撤回投标（响应）文件。</w:t>
      </w:r>
    </w:p>
    <w:p w14:paraId="621632AF">
      <w:pPr>
        <w:spacing w:before="159" w:beforeLines="50" w:after="159" w:afterLines="50" w:line="360" w:lineRule="auto"/>
        <w:ind w:firstLine="482" w:firstLineChars="200"/>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11、磋商截止日期</w:t>
      </w:r>
      <w:bookmarkEnd w:id="107"/>
      <w:bookmarkEnd w:id="108"/>
      <w:bookmarkEnd w:id="109"/>
    </w:p>
    <w:p w14:paraId="28A2D883">
      <w:pPr>
        <w:spacing w:line="360" w:lineRule="auto"/>
        <w:ind w:firstLine="240"/>
        <w:rPr>
          <w:rFonts w:ascii="仿宋" w:hAnsi="仿宋" w:eastAsia="仿宋" w:cs="仿宋"/>
          <w:bCs/>
          <w:color w:val="auto"/>
          <w:sz w:val="24"/>
          <w:szCs w:val="28"/>
          <w:highlight w:val="none"/>
        </w:rPr>
      </w:pPr>
      <w:bookmarkStart w:id="110" w:name="_Toc20845"/>
      <w:r>
        <w:rPr>
          <w:rFonts w:hint="eastAsia" w:ascii="仿宋" w:hAnsi="仿宋" w:eastAsia="仿宋" w:cs="仿宋"/>
          <w:bCs/>
          <w:color w:val="auto"/>
          <w:sz w:val="24"/>
          <w:szCs w:val="28"/>
          <w:highlight w:val="none"/>
        </w:rPr>
        <w:t>11.1响应文件递交的截止时间（磋商会议时间）：见“供应商须知前附表”。</w:t>
      </w:r>
      <w:bookmarkEnd w:id="110"/>
    </w:p>
    <w:p w14:paraId="68890E70">
      <w:pPr>
        <w:spacing w:line="360" w:lineRule="auto"/>
        <w:ind w:firstLine="240"/>
        <w:rPr>
          <w:rFonts w:ascii="仿宋" w:hAnsi="仿宋" w:eastAsia="仿宋" w:cs="仿宋"/>
          <w:bCs/>
          <w:color w:val="auto"/>
          <w:sz w:val="24"/>
          <w:szCs w:val="28"/>
          <w:highlight w:val="none"/>
        </w:rPr>
      </w:pPr>
      <w:bookmarkStart w:id="111" w:name="_Toc6439"/>
      <w:bookmarkStart w:id="112" w:name="_Toc21290"/>
      <w:r>
        <w:rPr>
          <w:rFonts w:hint="eastAsia" w:ascii="仿宋" w:hAnsi="仿宋" w:eastAsia="仿宋" w:cs="仿宋"/>
          <w:bCs/>
          <w:color w:val="auto"/>
          <w:sz w:val="24"/>
          <w:szCs w:val="28"/>
          <w:highlight w:val="none"/>
        </w:rPr>
        <w:t>11.2递交响应文件：见“供应商须知前附表”。</w:t>
      </w:r>
      <w:bookmarkEnd w:id="111"/>
    </w:p>
    <w:bookmarkEnd w:id="112"/>
    <w:p w14:paraId="7F55E754">
      <w:pPr>
        <w:spacing w:line="360" w:lineRule="auto"/>
        <w:ind w:firstLine="240"/>
        <w:rPr>
          <w:rFonts w:ascii="仿宋" w:hAnsi="仿宋" w:eastAsia="仿宋" w:cs="仿宋"/>
          <w:bCs/>
          <w:color w:val="auto"/>
          <w:sz w:val="24"/>
          <w:szCs w:val="28"/>
          <w:highlight w:val="none"/>
        </w:rPr>
      </w:pPr>
      <w:bookmarkStart w:id="113" w:name="_Toc9972"/>
      <w:r>
        <w:rPr>
          <w:rFonts w:hint="eastAsia" w:ascii="仿宋" w:hAnsi="仿宋" w:eastAsia="仿宋" w:cs="仿宋"/>
          <w:bCs/>
          <w:color w:val="auto"/>
          <w:sz w:val="24"/>
          <w:szCs w:val="28"/>
          <w:highlight w:val="none"/>
        </w:rPr>
        <w:t>11.3未按指定方式递交的响应文件，采购人不予受理。</w:t>
      </w:r>
      <w:bookmarkEnd w:id="113"/>
    </w:p>
    <w:p w14:paraId="3399C7EB">
      <w:pPr>
        <w:spacing w:before="159" w:beforeLines="50" w:after="159" w:afterLines="50" w:line="360" w:lineRule="auto"/>
        <w:ind w:firstLine="482" w:firstLineChars="200"/>
        <w:jc w:val="center"/>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五、磋商及评审</w:t>
      </w:r>
      <w:bookmarkEnd w:id="106"/>
    </w:p>
    <w:p w14:paraId="449C460E">
      <w:pPr>
        <w:spacing w:before="159" w:beforeLines="50" w:after="159" w:afterLines="50" w:line="360" w:lineRule="auto"/>
        <w:ind w:firstLine="482" w:firstLineChars="200"/>
        <w:rPr>
          <w:rFonts w:ascii="仿宋" w:hAnsi="仿宋" w:eastAsia="仿宋" w:cs="仿宋"/>
          <w:b/>
          <w:color w:val="auto"/>
          <w:sz w:val="24"/>
          <w:szCs w:val="28"/>
          <w:highlight w:val="none"/>
        </w:rPr>
      </w:pPr>
      <w:bookmarkStart w:id="114" w:name="_Toc276987343"/>
      <w:bookmarkStart w:id="115" w:name="_Toc86124065"/>
      <w:bookmarkStart w:id="116" w:name="_Toc325364812"/>
      <w:bookmarkStart w:id="117" w:name="_Toc381016089"/>
      <w:bookmarkStart w:id="118" w:name="_Toc228242144"/>
      <w:r>
        <w:rPr>
          <w:rFonts w:hint="eastAsia" w:ascii="仿宋" w:hAnsi="仿宋" w:eastAsia="仿宋" w:cs="仿宋"/>
          <w:b/>
          <w:color w:val="auto"/>
          <w:sz w:val="24"/>
          <w:szCs w:val="28"/>
          <w:highlight w:val="none"/>
        </w:rPr>
        <w:t>12、磋商程序</w:t>
      </w:r>
    </w:p>
    <w:p w14:paraId="58A8438D">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12.1采购代理机构将在“供应商须知前附表”规定的时间和地点召开磋商会议，供应商的法定代表人或其委托代理人应按时参加。</w:t>
      </w:r>
    </w:p>
    <w:p w14:paraId="72B6E87B">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12.2本项目将邀请相关监督部门进行现场监督，并按有关规定依法组建磋商小组进行评审。</w:t>
      </w:r>
    </w:p>
    <w:p w14:paraId="11847130">
      <w:pPr>
        <w:spacing w:line="360" w:lineRule="auto"/>
        <w:ind w:firstLine="480" w:firstLineChars="200"/>
        <w:jc w:val="left"/>
        <w:rPr>
          <w:rFonts w:ascii="仿宋" w:hAnsi="仿宋" w:eastAsia="仿宋" w:cs="仿宋"/>
          <w:color w:val="auto"/>
          <w:sz w:val="24"/>
          <w:szCs w:val="28"/>
          <w:highlight w:val="none"/>
        </w:rPr>
      </w:pPr>
      <w:bookmarkStart w:id="119" w:name="_Toc382062384"/>
      <w:r>
        <w:rPr>
          <w:rFonts w:hint="eastAsia" w:ascii="仿宋" w:hAnsi="仿宋" w:eastAsia="仿宋" w:cs="仿宋"/>
          <w:color w:val="auto"/>
          <w:sz w:val="24"/>
          <w:szCs w:val="28"/>
          <w:highlight w:val="none"/>
        </w:rPr>
        <w:t>12.3磋商会议流程：</w:t>
      </w:r>
    </w:p>
    <w:p w14:paraId="7053D307">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（1）主持人宣布磋商会议开始，介绍采购人、监督人等有关出席会议的单位人员姓名；</w:t>
      </w:r>
    </w:p>
    <w:p w14:paraId="087CD964">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（2）按照</w:t>
      </w:r>
      <w:r>
        <w:rPr>
          <w:rFonts w:hint="eastAsia" w:ascii="仿宋" w:hAnsi="仿宋" w:eastAsia="仿宋" w:cs="仿宋"/>
          <w:color w:val="auto"/>
          <w:sz w:val="24"/>
          <w:szCs w:val="28"/>
          <w:highlight w:val="none"/>
          <w:lang w:val="en-US" w:eastAsia="zh-CN"/>
        </w:rPr>
        <w:t>政采云</w:t>
      </w:r>
      <w:r>
        <w:rPr>
          <w:rFonts w:hint="eastAsia" w:ascii="仿宋" w:hAnsi="仿宋" w:eastAsia="仿宋" w:cs="仿宋"/>
          <w:color w:val="auto"/>
          <w:sz w:val="24"/>
          <w:szCs w:val="28"/>
          <w:highlight w:val="none"/>
        </w:rPr>
        <w:t>平台系统操作顺序由各供应商对网上递交已加密的投标文件，进行现场解密或网上远程解密，因供应商原因造成投标文件未解密的，视为撤销其投标文件；公布供应商名称、磋商保证金的递交情况，并记录在案。</w:t>
      </w:r>
    </w:p>
    <w:p w14:paraId="04D9CE0A">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（3）磋商小组对所有响应文件进行初步评审；</w:t>
      </w:r>
    </w:p>
    <w:p w14:paraId="421DF9EE">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（4）磋商小组分别与通过初步评审的供应商代表进行磋商；</w:t>
      </w:r>
    </w:p>
    <w:p w14:paraId="30B3FCCA">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（5）所有供应商代表在磋商小组的规定时间内一起提交书面的磋商承诺书；</w:t>
      </w:r>
    </w:p>
    <w:p w14:paraId="22567638">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（6）磋商小组按照评审方法进行综合评分，并推荐出或直接确定出成交供应商；</w:t>
      </w:r>
    </w:p>
    <w:p w14:paraId="54545691">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（7）磋商小组提交评审报告。</w:t>
      </w:r>
    </w:p>
    <w:p w14:paraId="05A4881D">
      <w:pPr>
        <w:spacing w:before="159" w:beforeLines="50" w:after="159" w:afterLines="50" w:line="360" w:lineRule="auto"/>
        <w:ind w:firstLine="482" w:firstLineChars="200"/>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13、</w:t>
      </w:r>
      <w:bookmarkEnd w:id="119"/>
      <w:r>
        <w:rPr>
          <w:rFonts w:hint="eastAsia" w:ascii="仿宋" w:hAnsi="仿宋" w:eastAsia="仿宋" w:cs="仿宋"/>
          <w:b/>
          <w:color w:val="auto"/>
          <w:sz w:val="24"/>
          <w:szCs w:val="28"/>
          <w:highlight w:val="none"/>
        </w:rPr>
        <w:t>评审方法</w:t>
      </w:r>
    </w:p>
    <w:p w14:paraId="110C8F60">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本项目采用综合评分法评审，具体内容及要求详见《第六章 评审办法》。</w:t>
      </w:r>
    </w:p>
    <w:p w14:paraId="47B2DF90">
      <w:pPr>
        <w:spacing w:before="159" w:beforeLines="50" w:after="159" w:afterLines="50" w:line="360" w:lineRule="auto"/>
        <w:ind w:firstLine="482" w:firstLineChars="200"/>
        <w:rPr>
          <w:rFonts w:ascii="仿宋" w:hAnsi="仿宋" w:eastAsia="仿宋" w:cs="仿宋"/>
          <w:b/>
          <w:color w:val="auto"/>
          <w:sz w:val="24"/>
          <w:szCs w:val="28"/>
          <w:highlight w:val="none"/>
        </w:rPr>
      </w:pPr>
      <w:bookmarkStart w:id="120" w:name="_Toc382062385"/>
      <w:r>
        <w:rPr>
          <w:rFonts w:hint="eastAsia" w:ascii="仿宋" w:hAnsi="仿宋" w:eastAsia="仿宋" w:cs="仿宋"/>
          <w:b/>
          <w:color w:val="auto"/>
          <w:sz w:val="24"/>
          <w:szCs w:val="28"/>
          <w:highlight w:val="none"/>
        </w:rPr>
        <w:t>14、出现下列情形之一的，将重新开展采购活动：</w:t>
      </w:r>
    </w:p>
    <w:p w14:paraId="0140F24D">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14.1因情况变化，不再符合规定的竞争性磋商采购方式适用情形的；</w:t>
      </w:r>
    </w:p>
    <w:p w14:paraId="4E250EE0">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14.2出现影响采购公正的违法、违规行为的；</w:t>
      </w:r>
    </w:p>
    <w:p w14:paraId="46AF6E63">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14.3除《政府采购竞争性磋商采购方式管理暂行办法》（财库〔2014〕214号）第二十一条第三款规定的情形以及《财政部关于政府采购竞争性磋商采购方式管理暂行办法有关问题的补充通知》（财库〔2015〕124号）规定的情形外，在采购过程中符合要求的供应商或者报价未超过采购预算的供应商不足 3 家的。</w:t>
      </w:r>
    </w:p>
    <w:p w14:paraId="58387130">
      <w:pPr>
        <w:spacing w:before="159" w:beforeLines="50" w:after="159" w:afterLines="50" w:line="360" w:lineRule="auto"/>
        <w:ind w:firstLine="482" w:firstLineChars="200"/>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15、评定成交的标准</w:t>
      </w:r>
    </w:p>
    <w:p w14:paraId="14E0E744">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15.1评定成交的原则：响应文件能够全部满足竞争性磋商文件实质性要求且评审总得分最高。</w:t>
      </w:r>
    </w:p>
    <w:p w14:paraId="5ABBD1EF">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15.2采购人依据磋商小组推荐的成交候选人确定成交供应商，或直接授权磋商小组确定成交供应商。</w:t>
      </w:r>
    </w:p>
    <w:p w14:paraId="7ABEF1ED">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15.3最终报价超预算的供应商将不予推荐或确定。</w:t>
      </w:r>
    </w:p>
    <w:bookmarkEnd w:id="114"/>
    <w:bookmarkEnd w:id="115"/>
    <w:bookmarkEnd w:id="116"/>
    <w:bookmarkEnd w:id="117"/>
    <w:bookmarkEnd w:id="118"/>
    <w:bookmarkEnd w:id="120"/>
    <w:p w14:paraId="23A8B0D5">
      <w:pPr>
        <w:spacing w:before="159" w:beforeLines="50" w:after="159" w:afterLines="50" w:line="360" w:lineRule="auto"/>
        <w:ind w:firstLine="482" w:firstLineChars="200"/>
        <w:jc w:val="center"/>
        <w:rPr>
          <w:rFonts w:ascii="仿宋" w:hAnsi="仿宋" w:eastAsia="仿宋" w:cs="仿宋"/>
          <w:b/>
          <w:color w:val="auto"/>
          <w:sz w:val="24"/>
          <w:szCs w:val="28"/>
          <w:highlight w:val="none"/>
        </w:rPr>
      </w:pPr>
      <w:bookmarkStart w:id="121" w:name="_Toc325364816"/>
      <w:bookmarkStart w:id="122" w:name="_Toc280780659"/>
      <w:r>
        <w:rPr>
          <w:rFonts w:hint="eastAsia" w:ascii="仿宋" w:hAnsi="仿宋" w:eastAsia="仿宋" w:cs="仿宋"/>
          <w:b/>
          <w:color w:val="auto"/>
          <w:sz w:val="24"/>
          <w:szCs w:val="28"/>
          <w:highlight w:val="none"/>
        </w:rPr>
        <w:t>六、成交通知和合同授予</w:t>
      </w:r>
      <w:bookmarkEnd w:id="121"/>
      <w:bookmarkEnd w:id="122"/>
    </w:p>
    <w:p w14:paraId="6C2375B3">
      <w:pPr>
        <w:spacing w:before="159" w:beforeLines="50" w:after="159" w:afterLines="50" w:line="360" w:lineRule="auto"/>
        <w:ind w:firstLine="482" w:firstLineChars="200"/>
        <w:rPr>
          <w:rFonts w:ascii="仿宋" w:hAnsi="仿宋" w:eastAsia="仿宋" w:cs="仿宋"/>
          <w:b/>
          <w:color w:val="auto"/>
          <w:sz w:val="24"/>
          <w:szCs w:val="28"/>
          <w:highlight w:val="none"/>
        </w:rPr>
      </w:pPr>
      <w:bookmarkStart w:id="123" w:name="_Toc325364817"/>
      <w:bookmarkStart w:id="124" w:name="_Toc280780662"/>
      <w:r>
        <w:rPr>
          <w:rFonts w:hint="eastAsia" w:ascii="仿宋" w:hAnsi="仿宋" w:eastAsia="仿宋" w:cs="仿宋"/>
          <w:b/>
          <w:color w:val="auto"/>
          <w:sz w:val="24"/>
          <w:szCs w:val="28"/>
          <w:highlight w:val="none"/>
        </w:rPr>
        <w:t>16、成交通知</w:t>
      </w:r>
      <w:bookmarkEnd w:id="123"/>
    </w:p>
    <w:p w14:paraId="38CE1280">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16.1德宏杉和工程咨询有限公司根据采购人提供的《定标意见书》签发《成交通知书》，或直接与采购人共同签发《成交通知书》。</w:t>
      </w:r>
    </w:p>
    <w:p w14:paraId="38E5AB4E">
      <w:pPr>
        <w:spacing w:before="159" w:beforeLines="50" w:after="159" w:afterLines="50" w:line="360" w:lineRule="auto"/>
        <w:ind w:firstLine="482" w:firstLineChars="200"/>
        <w:rPr>
          <w:rFonts w:ascii="仿宋" w:hAnsi="仿宋" w:eastAsia="仿宋" w:cs="仿宋"/>
          <w:b/>
          <w:color w:val="auto"/>
          <w:sz w:val="24"/>
          <w:szCs w:val="28"/>
          <w:highlight w:val="none"/>
        </w:rPr>
      </w:pPr>
      <w:bookmarkStart w:id="125" w:name="_Toc322004456"/>
      <w:bookmarkStart w:id="126" w:name="_Toc340160931"/>
      <w:bookmarkStart w:id="127" w:name="_Toc325364819"/>
      <w:bookmarkStart w:id="128" w:name="_Toc340160932"/>
      <w:r>
        <w:rPr>
          <w:rFonts w:hint="eastAsia" w:ascii="仿宋" w:hAnsi="仿宋" w:eastAsia="仿宋" w:cs="仿宋"/>
          <w:b/>
          <w:color w:val="auto"/>
          <w:sz w:val="24"/>
          <w:szCs w:val="28"/>
          <w:highlight w:val="none"/>
        </w:rPr>
        <w:t>17、履约</w:t>
      </w:r>
      <w:bookmarkEnd w:id="125"/>
      <w:r>
        <w:rPr>
          <w:rFonts w:hint="eastAsia" w:ascii="仿宋" w:hAnsi="仿宋" w:eastAsia="仿宋" w:cs="仿宋"/>
          <w:b/>
          <w:color w:val="auto"/>
          <w:sz w:val="24"/>
          <w:szCs w:val="28"/>
          <w:highlight w:val="none"/>
        </w:rPr>
        <w:t>保证金</w:t>
      </w:r>
      <w:bookmarkEnd w:id="126"/>
    </w:p>
    <w:p w14:paraId="35460954">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17.1 在签订合同前，成交供应商应按“供应商须知前附表”规定的金额向采购人提交履约保证金。</w:t>
      </w:r>
    </w:p>
    <w:p w14:paraId="34273DE6">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17.2成交供应商不能按本章第17.1项要求提交履约保证金的，视为放弃成交结果，其磋商保证金不予退还；给采购人造成的损失超过磋商保证金数额的，成交供应商还应当对超过部分予以赔偿。</w:t>
      </w:r>
    </w:p>
    <w:p w14:paraId="389EEBFC">
      <w:pPr>
        <w:spacing w:before="159" w:beforeLines="50" w:after="159" w:afterLines="50" w:line="360" w:lineRule="auto"/>
        <w:ind w:firstLine="482" w:firstLineChars="200"/>
        <w:rPr>
          <w:rFonts w:ascii="仿宋" w:hAnsi="仿宋" w:eastAsia="仿宋" w:cs="仿宋"/>
          <w:b/>
          <w:color w:val="auto"/>
          <w:sz w:val="24"/>
          <w:szCs w:val="28"/>
          <w:highlight w:val="none"/>
        </w:rPr>
      </w:pPr>
      <w:bookmarkStart w:id="129" w:name="_Toc325364818"/>
      <w:r>
        <w:rPr>
          <w:rFonts w:hint="eastAsia" w:ascii="仿宋" w:hAnsi="仿宋" w:eastAsia="仿宋" w:cs="仿宋"/>
          <w:b/>
          <w:color w:val="auto"/>
          <w:sz w:val="24"/>
          <w:szCs w:val="28"/>
          <w:highlight w:val="none"/>
        </w:rPr>
        <w:t>18、签订合同</w:t>
      </w:r>
      <w:bookmarkEnd w:id="129"/>
    </w:p>
    <w:p w14:paraId="2B44C949">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18.1成交供应商和采购人应当自《成交通知书》发出之日起30天内，按照竞争性磋商文件确定的合同文本以及采购标的、采购金额、采购数量、技术和服务要求等事项签订政府采购合同。成交供应商无正当理由拒签合同的，采购人取消其成交资格，其磋商保证金不予退还；给采购人造成的损失超过磋商保证金数额的，成交供应商还应当对超过部分予以赔偿。</w:t>
      </w:r>
    </w:p>
    <w:p w14:paraId="35FA91A9">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18.2成交供应商因不可抗力或者自身原因不能履行政府采购合同的，采购人可以与排位在成交供应商之后第一位的成交候选供应商签订政府采购合同，以此类推。</w:t>
      </w:r>
    </w:p>
    <w:p w14:paraId="1F56DE03">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18.3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7C147CC">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18.4 竞争性磋商文件、成交供应商的响应文件及其磋商承诺、成交通知书，均作为签订合同内容的依据。</w:t>
      </w:r>
    </w:p>
    <w:p w14:paraId="24B16E17">
      <w:pPr>
        <w:spacing w:before="159" w:beforeLines="50" w:after="159" w:afterLines="50" w:line="360" w:lineRule="auto"/>
        <w:ind w:firstLine="482" w:firstLineChars="200"/>
        <w:jc w:val="center"/>
        <w:rPr>
          <w:rFonts w:ascii="仿宋" w:hAnsi="仿宋" w:eastAsia="仿宋" w:cs="仿宋"/>
          <w:color w:val="auto"/>
          <w:sz w:val="20"/>
          <w:highlight w:val="none"/>
        </w:rPr>
      </w:pPr>
      <w:bookmarkStart w:id="130" w:name="_Toc340160933"/>
      <w:r>
        <w:rPr>
          <w:rFonts w:hint="eastAsia" w:ascii="仿宋" w:hAnsi="仿宋" w:eastAsia="仿宋" w:cs="仿宋"/>
          <w:b/>
          <w:color w:val="auto"/>
          <w:sz w:val="24"/>
          <w:szCs w:val="28"/>
          <w:highlight w:val="none"/>
        </w:rPr>
        <w:t>七、</w:t>
      </w:r>
      <w:bookmarkEnd w:id="124"/>
      <w:bookmarkEnd w:id="127"/>
      <w:bookmarkEnd w:id="128"/>
      <w:bookmarkEnd w:id="130"/>
      <w:bookmarkStart w:id="131" w:name="_Toc454531336"/>
      <w:bookmarkStart w:id="132" w:name="_Toc86124077"/>
      <w:r>
        <w:rPr>
          <w:rFonts w:hint="eastAsia" w:ascii="仿宋" w:hAnsi="仿宋" w:eastAsia="仿宋" w:cs="仿宋"/>
          <w:b/>
          <w:color w:val="auto"/>
          <w:sz w:val="24"/>
          <w:szCs w:val="28"/>
          <w:highlight w:val="none"/>
        </w:rPr>
        <w:t>需要补充的其他内容</w:t>
      </w:r>
      <w:bookmarkEnd w:id="131"/>
      <w:bookmarkEnd w:id="132"/>
    </w:p>
    <w:p w14:paraId="110BEEF5">
      <w:pPr>
        <w:spacing w:line="360" w:lineRule="auto"/>
        <w:ind w:firstLine="241"/>
        <w:rPr>
          <w:rFonts w:ascii="仿宋" w:hAnsi="仿宋" w:eastAsia="仿宋" w:cs="仿宋"/>
          <w:b/>
          <w:color w:val="auto"/>
          <w:sz w:val="24"/>
          <w:szCs w:val="28"/>
          <w:highlight w:val="none"/>
        </w:rPr>
      </w:pPr>
      <w:bookmarkStart w:id="133" w:name="_Toc28967"/>
      <w:r>
        <w:rPr>
          <w:rFonts w:hint="eastAsia" w:ascii="仿宋" w:hAnsi="仿宋" w:eastAsia="仿宋" w:cs="仿宋"/>
          <w:b/>
          <w:color w:val="auto"/>
          <w:sz w:val="24"/>
          <w:szCs w:val="28"/>
          <w:highlight w:val="none"/>
        </w:rPr>
        <w:t>19、质疑和投诉</w:t>
      </w:r>
      <w:bookmarkEnd w:id="133"/>
    </w:p>
    <w:p w14:paraId="14F72BA4">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19.1供应商对政府采购活动事项有疑问的，可以向采购人或者采购代理机构提出询问，采购人或者采购代理机构应当在3个工作日内对供应商依法提出的询问作出答复。</w:t>
      </w:r>
    </w:p>
    <w:p w14:paraId="7427B457">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19.2供应商认为采购过程和中标结果使自己的合法权益受到损害的，可以在知道或者应知其权益受到损害之日起7个工作日内，以书面形式向采购人或采购代理机构提出质疑，但需对质疑内容的真实性承担责任。</w:t>
      </w:r>
    </w:p>
    <w:p w14:paraId="2E422E23">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19.3采购人或采购代理机构在</w:t>
      </w:r>
      <w:r>
        <w:rPr>
          <w:rFonts w:hint="eastAsia" w:ascii="仿宋" w:hAnsi="仿宋" w:eastAsia="仿宋" w:cs="仿宋"/>
          <w:color w:val="auto"/>
          <w:sz w:val="24"/>
          <w:szCs w:val="28"/>
          <w:highlight w:val="none"/>
          <w:lang w:eastAsia="zh-CN"/>
        </w:rPr>
        <w:t>收到</w:t>
      </w:r>
      <w:r>
        <w:rPr>
          <w:rFonts w:hint="eastAsia" w:ascii="仿宋" w:hAnsi="仿宋" w:eastAsia="仿宋" w:cs="仿宋"/>
          <w:color w:val="auto"/>
          <w:sz w:val="24"/>
          <w:szCs w:val="28"/>
          <w:highlight w:val="none"/>
        </w:rPr>
        <w:t>供应商的书面质疑后7个工作日内</w:t>
      </w:r>
      <w:r>
        <w:rPr>
          <w:rFonts w:hint="eastAsia" w:ascii="仿宋" w:hAnsi="仿宋" w:eastAsia="仿宋" w:cs="仿宋"/>
          <w:color w:val="auto"/>
          <w:sz w:val="24"/>
          <w:szCs w:val="28"/>
          <w:highlight w:val="none"/>
          <w:lang w:eastAsia="zh-CN"/>
        </w:rPr>
        <w:t>作出</w:t>
      </w:r>
      <w:r>
        <w:rPr>
          <w:rFonts w:hint="eastAsia" w:ascii="仿宋" w:hAnsi="仿宋" w:eastAsia="仿宋" w:cs="仿宋"/>
          <w:color w:val="auto"/>
          <w:sz w:val="24"/>
          <w:szCs w:val="28"/>
          <w:highlight w:val="none"/>
        </w:rPr>
        <w:t>答复，并以书面形式通知质疑人，但答复的内容不涉及商业秘密。</w:t>
      </w:r>
    </w:p>
    <w:p w14:paraId="79353054">
      <w:pPr>
        <w:spacing w:line="360" w:lineRule="auto"/>
        <w:ind w:firstLine="480" w:firstLineChars="200"/>
        <w:rPr>
          <w:rFonts w:ascii="仿宋" w:hAnsi="仿宋" w:eastAsia="仿宋" w:cs="仿宋"/>
          <w:b/>
          <w:bCs/>
          <w:color w:val="auto"/>
          <w:sz w:val="24"/>
          <w:szCs w:val="28"/>
          <w:highlight w:val="none"/>
        </w:rPr>
      </w:pPr>
      <w:r>
        <w:rPr>
          <w:rFonts w:hint="eastAsia" w:ascii="仿宋" w:hAnsi="仿宋" w:eastAsia="仿宋" w:cs="仿宋"/>
          <w:color w:val="auto"/>
          <w:sz w:val="24"/>
          <w:szCs w:val="28"/>
          <w:highlight w:val="none"/>
        </w:rPr>
        <w:t>19.4质疑人对采购人的答复不满意或者采购人未在规定的时间内</w:t>
      </w:r>
      <w:r>
        <w:rPr>
          <w:rFonts w:hint="eastAsia" w:ascii="仿宋" w:hAnsi="仿宋" w:eastAsia="仿宋" w:cs="仿宋"/>
          <w:color w:val="auto"/>
          <w:sz w:val="24"/>
          <w:szCs w:val="28"/>
          <w:highlight w:val="none"/>
          <w:lang w:eastAsia="zh-CN"/>
        </w:rPr>
        <w:t>作出</w:t>
      </w:r>
      <w:r>
        <w:rPr>
          <w:rFonts w:hint="eastAsia" w:ascii="仿宋" w:hAnsi="仿宋" w:eastAsia="仿宋" w:cs="仿宋"/>
          <w:color w:val="auto"/>
          <w:sz w:val="24"/>
          <w:szCs w:val="28"/>
          <w:highlight w:val="none"/>
        </w:rPr>
        <w:t>答复的，可以在答复期满后15个工作日内向陇川县财政局投诉。</w:t>
      </w:r>
    </w:p>
    <w:p w14:paraId="6593393B">
      <w:pPr>
        <w:spacing w:line="360" w:lineRule="auto"/>
        <w:ind w:firstLine="482" w:firstLineChars="200"/>
        <w:rPr>
          <w:rFonts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20、补充说明</w:t>
      </w:r>
    </w:p>
    <w:p w14:paraId="4FC3F928">
      <w:pPr>
        <w:pStyle w:val="13"/>
        <w:spacing w:line="360" w:lineRule="auto"/>
        <w:ind w:firstLine="48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20.1采购资金支付：甲乙双方自行协商。</w:t>
      </w:r>
    </w:p>
    <w:p w14:paraId="19A578D2">
      <w:pPr>
        <w:pStyle w:val="13"/>
        <w:spacing w:line="360" w:lineRule="auto"/>
        <w:ind w:firstLine="48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20.2突发情况处理：在开、评标过程中，因网络入侵、网络堵塞、系统受到攻击、停电、病毒感染及系统故障等情况造成开、评标活动无法进行的，采购代理机构应在保证评审情况保密的前提下，暂停开、评标活动，并及时将情况通报财政部门。</w:t>
      </w:r>
    </w:p>
    <w:p w14:paraId="08994AC5">
      <w:pPr>
        <w:pStyle w:val="13"/>
        <w:spacing w:line="360" w:lineRule="auto"/>
        <w:ind w:firstLine="48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20.3落实的政府采购政策：见“供应商须知前附表”。</w:t>
      </w:r>
    </w:p>
    <w:p w14:paraId="770598DB">
      <w:pPr>
        <w:pStyle w:val="13"/>
        <w:spacing w:line="360" w:lineRule="auto"/>
        <w:ind w:firstLine="48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20.4追加合同金额</w:t>
      </w:r>
    </w:p>
    <w:p w14:paraId="37C353C1">
      <w:pPr>
        <w:pStyle w:val="13"/>
        <w:spacing w:line="360" w:lineRule="auto"/>
        <w:ind w:firstLine="480" w:firstLineChars="200"/>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20.5不允许偏离的实质性要求和条件</w:t>
      </w:r>
    </w:p>
    <w:p w14:paraId="58BDBA23">
      <w:pPr>
        <w:pStyle w:val="13"/>
        <w:spacing w:line="360" w:lineRule="auto"/>
        <w:ind w:firstLine="48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20.</w:t>
      </w:r>
      <w:r>
        <w:rPr>
          <w:rFonts w:hint="eastAsia" w:ascii="仿宋" w:hAnsi="仿宋" w:eastAsia="仿宋" w:cs="仿宋"/>
          <w:color w:val="auto"/>
          <w:szCs w:val="28"/>
          <w:highlight w:val="none"/>
          <w:lang w:val="en-US" w:eastAsia="zh-CN"/>
        </w:rPr>
        <w:t>6</w:t>
      </w:r>
      <w:r>
        <w:rPr>
          <w:rFonts w:hint="eastAsia" w:ascii="仿宋" w:hAnsi="仿宋" w:eastAsia="仿宋" w:cs="仿宋"/>
          <w:color w:val="auto"/>
          <w:szCs w:val="28"/>
          <w:highlight w:val="none"/>
        </w:rPr>
        <w:t>监督</w:t>
      </w:r>
    </w:p>
    <w:p w14:paraId="7F63861F">
      <w:pPr>
        <w:pStyle w:val="13"/>
        <w:spacing w:line="360" w:lineRule="auto"/>
        <w:ind w:firstLine="480" w:firstLineChars="200"/>
        <w:rPr>
          <w:rFonts w:ascii="仿宋" w:hAnsi="仿宋" w:eastAsia="仿宋" w:cs="仿宋"/>
          <w:bCs w:val="0"/>
          <w:color w:val="auto"/>
          <w:szCs w:val="28"/>
          <w:highlight w:val="none"/>
        </w:rPr>
      </w:pPr>
      <w:r>
        <w:rPr>
          <w:rFonts w:hint="eastAsia" w:ascii="仿宋" w:hAnsi="仿宋" w:eastAsia="仿宋" w:cs="仿宋"/>
          <w:color w:val="auto"/>
          <w:szCs w:val="28"/>
          <w:highlight w:val="none"/>
        </w:rPr>
        <w:t>20.</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须知前附表中的符号定义</w:t>
      </w:r>
      <w:r>
        <w:rPr>
          <w:rFonts w:ascii="仿宋" w:hAnsi="仿宋" w:eastAsia="仿宋" w:cs="仿宋"/>
          <w:color w:val="auto"/>
          <w:szCs w:val="28"/>
          <w:highlight w:val="none"/>
        </w:rPr>
        <w:br w:type="page"/>
      </w:r>
    </w:p>
    <w:p w14:paraId="0013529A">
      <w:pPr>
        <w:pStyle w:val="13"/>
        <w:spacing w:line="360" w:lineRule="auto"/>
        <w:rPr>
          <w:rFonts w:ascii="仿宋" w:hAnsi="仿宋" w:eastAsia="仿宋" w:cs="仿宋"/>
          <w:color w:val="auto"/>
          <w:szCs w:val="28"/>
          <w:highlight w:val="none"/>
        </w:rPr>
      </w:pPr>
    </w:p>
    <w:p w14:paraId="5BC2F827">
      <w:pPr>
        <w:pStyle w:val="2"/>
        <w:numPr>
          <w:ilvl w:val="0"/>
          <w:numId w:val="7"/>
        </w:numPr>
        <w:spacing w:line="360" w:lineRule="auto"/>
        <w:rPr>
          <w:rFonts w:ascii="仿宋" w:hAnsi="仿宋" w:eastAsia="仿宋" w:cs="仿宋"/>
          <w:color w:val="auto"/>
          <w:sz w:val="40"/>
          <w:szCs w:val="44"/>
          <w:highlight w:val="none"/>
        </w:rPr>
      </w:pPr>
      <w:r>
        <w:rPr>
          <w:rFonts w:hint="eastAsia" w:ascii="仿宋" w:hAnsi="仿宋" w:eastAsia="仿宋" w:cs="仿宋"/>
          <w:color w:val="auto"/>
          <w:sz w:val="40"/>
          <w:szCs w:val="44"/>
          <w:highlight w:val="none"/>
        </w:rPr>
        <w:t xml:space="preserve"> </w:t>
      </w:r>
      <w:bookmarkEnd w:id="70"/>
      <w:bookmarkEnd w:id="71"/>
      <w:bookmarkStart w:id="134" w:name="_Toc13679"/>
      <w:r>
        <w:rPr>
          <w:rFonts w:hint="eastAsia" w:ascii="仿宋" w:hAnsi="仿宋" w:eastAsia="仿宋" w:cs="仿宋"/>
          <w:color w:val="auto"/>
          <w:sz w:val="40"/>
          <w:szCs w:val="44"/>
          <w:highlight w:val="none"/>
        </w:rPr>
        <w:t>合同文本样式</w:t>
      </w:r>
      <w:bookmarkEnd w:id="134"/>
    </w:p>
    <w:p w14:paraId="0DC1BDF7">
      <w:pPr>
        <w:pStyle w:val="2"/>
        <w:spacing w:line="360" w:lineRule="auto"/>
        <w:rPr>
          <w:rFonts w:hint="eastAsia" w:ascii="宋体" w:hAnsi="宋体"/>
          <w:b/>
          <w:sz w:val="72"/>
          <w:szCs w:val="72"/>
        </w:rPr>
      </w:pPr>
      <w:bookmarkStart w:id="135" w:name="_Toc30955"/>
      <w:bookmarkStart w:id="136" w:name="_Toc17107"/>
      <w:bookmarkStart w:id="137" w:name="_Toc32752"/>
      <w:r>
        <w:rPr>
          <w:rFonts w:hint="eastAsia" w:ascii="仿宋" w:hAnsi="仿宋" w:eastAsia="仿宋" w:cs="仿宋"/>
          <w:color w:val="auto"/>
          <w:sz w:val="40"/>
          <w:szCs w:val="44"/>
          <w:highlight w:val="none"/>
        </w:rPr>
        <w:t>（仅供参考）</w:t>
      </w:r>
      <w:bookmarkEnd w:id="3"/>
      <w:bookmarkEnd w:id="72"/>
      <w:bookmarkEnd w:id="73"/>
      <w:bookmarkEnd w:id="74"/>
      <w:bookmarkEnd w:id="75"/>
      <w:bookmarkEnd w:id="76"/>
      <w:bookmarkEnd w:id="135"/>
      <w:bookmarkEnd w:id="136"/>
      <w:bookmarkEnd w:id="137"/>
      <w:bookmarkStart w:id="138" w:name="_Toc66448586"/>
      <w:bookmarkStart w:id="139" w:name="_Toc122530396"/>
      <w:bookmarkStart w:id="140" w:name="_Toc153621839"/>
      <w:bookmarkStart w:id="141" w:name="_Toc68441617"/>
      <w:bookmarkStart w:id="142" w:name="_Toc431853130"/>
    </w:p>
    <w:p w14:paraId="5E8C6A33">
      <w:pP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w:t>
      </w:r>
      <w:r>
        <w:rPr>
          <w:rFonts w:hint="eastAsia" w:ascii="宋体" w:hAnsi="宋体" w:eastAsia="宋体" w:cs="宋体"/>
          <w:b/>
          <w:bCs/>
          <w:color w:val="000000"/>
          <w:sz w:val="30"/>
          <w:szCs w:val="30"/>
          <w:highlight w:val="none"/>
          <w:lang w:val="en-US" w:eastAsia="zh-CN"/>
        </w:rPr>
        <w:t>合同编号</w:t>
      </w:r>
      <w:r>
        <w:rPr>
          <w:rFonts w:hint="eastAsia" w:ascii="宋体" w:hAnsi="宋体" w:eastAsia="宋体" w:cs="宋体"/>
          <w:b/>
          <w:bCs/>
          <w:color w:val="000000"/>
          <w:sz w:val="30"/>
          <w:szCs w:val="30"/>
          <w:highlight w:val="none"/>
        </w:rPr>
        <w:t>）</w:t>
      </w:r>
    </w:p>
    <w:p w14:paraId="430540E9">
      <w:pPr>
        <w:jc w:val="center"/>
        <w:rPr>
          <w:rFonts w:hint="eastAsia" w:ascii="宋体" w:hAnsi="宋体" w:eastAsia="宋体" w:cs="宋体"/>
          <w:b/>
          <w:color w:val="000000"/>
          <w:sz w:val="52"/>
          <w:szCs w:val="52"/>
          <w:highlight w:val="none"/>
        </w:rPr>
      </w:pPr>
    </w:p>
    <w:p w14:paraId="183AC3ED">
      <w:pPr>
        <w:jc w:val="center"/>
        <w:rPr>
          <w:rFonts w:hint="eastAsia" w:ascii="宋体" w:hAnsi="宋体" w:eastAsia="宋体" w:cs="宋体"/>
          <w:b/>
          <w:color w:val="000000"/>
          <w:sz w:val="52"/>
          <w:szCs w:val="52"/>
          <w:highlight w:val="none"/>
        </w:rPr>
      </w:pPr>
    </w:p>
    <w:p w14:paraId="58CA4F29">
      <w:pPr>
        <w:jc w:val="center"/>
        <w:rPr>
          <w:rFonts w:hint="eastAsia" w:ascii="宋体" w:hAnsi="宋体" w:eastAsia="宋体" w:cs="宋体"/>
          <w:b/>
          <w:color w:val="000000"/>
          <w:sz w:val="52"/>
          <w:szCs w:val="52"/>
          <w:highlight w:val="none"/>
        </w:rPr>
      </w:pPr>
    </w:p>
    <w:p w14:paraId="4015A133">
      <w:pPr>
        <w:jc w:val="center"/>
        <w:rPr>
          <w:rFonts w:hint="eastAsia" w:ascii="宋体" w:hAnsi="宋体" w:eastAsia="宋体" w:cs="宋体"/>
          <w:b/>
          <w:color w:val="000000"/>
          <w:sz w:val="48"/>
          <w:szCs w:val="48"/>
        </w:rPr>
      </w:pPr>
      <w:r>
        <w:rPr>
          <w:rFonts w:hint="eastAsia" w:ascii="仿宋" w:hAnsi="仿宋" w:eastAsia="仿宋" w:cs="仿宋"/>
          <w:b/>
          <w:color w:val="auto"/>
          <w:sz w:val="40"/>
          <w:szCs w:val="44"/>
          <w:highlight w:val="none"/>
          <w:lang w:eastAsia="zh-CN"/>
        </w:rPr>
        <w:t>陇川县2025年水库及堤防白蚁等害堤动物防治项目</w:t>
      </w:r>
      <w:r>
        <w:rPr>
          <w:rFonts w:hint="eastAsia" w:ascii="仿宋" w:hAnsi="仿宋" w:eastAsia="仿宋" w:cs="仿宋"/>
          <w:b/>
          <w:color w:val="auto"/>
          <w:sz w:val="40"/>
          <w:szCs w:val="44"/>
          <w:highlight w:val="none"/>
          <w:lang w:val="en-US" w:eastAsia="zh-CN"/>
        </w:rPr>
        <w:t>合同</w:t>
      </w:r>
      <w:r>
        <w:rPr>
          <w:rFonts w:hint="eastAsia" w:ascii="宋体" w:hAnsi="宋体" w:eastAsia="宋体" w:cs="宋体"/>
          <w:b/>
          <w:color w:val="000000"/>
          <w:sz w:val="52"/>
          <w:szCs w:val="52"/>
          <w:highlight w:val="none"/>
        </w:rPr>
        <w:br w:type="textWrapping"/>
      </w:r>
    </w:p>
    <w:p w14:paraId="20EFC0C7">
      <w:pPr>
        <w:jc w:val="center"/>
        <w:rPr>
          <w:rFonts w:hint="eastAsia" w:ascii="宋体" w:hAnsi="宋体" w:eastAsia="宋体" w:cs="宋体"/>
          <w:b/>
          <w:color w:val="000000"/>
          <w:sz w:val="48"/>
          <w:szCs w:val="48"/>
        </w:rPr>
      </w:pPr>
    </w:p>
    <w:p w14:paraId="4E06F21B">
      <w:pPr>
        <w:jc w:val="center"/>
        <w:rPr>
          <w:rFonts w:hint="eastAsia" w:ascii="宋体" w:hAnsi="宋体" w:eastAsia="宋体" w:cs="宋体"/>
          <w:b/>
          <w:color w:val="000000"/>
          <w:sz w:val="72"/>
          <w:szCs w:val="72"/>
        </w:rPr>
      </w:pPr>
    </w:p>
    <w:p w14:paraId="6B01789A">
      <w:pPr>
        <w:jc w:val="center"/>
        <w:rPr>
          <w:rFonts w:hint="eastAsia" w:ascii="宋体" w:hAnsi="宋体" w:eastAsia="宋体" w:cs="宋体"/>
          <w:b/>
          <w:color w:val="000000"/>
          <w:sz w:val="72"/>
          <w:szCs w:val="72"/>
        </w:rPr>
      </w:pPr>
    </w:p>
    <w:p w14:paraId="42AB2A2C">
      <w:pPr>
        <w:jc w:val="center"/>
        <w:rPr>
          <w:rFonts w:hint="eastAsia" w:ascii="宋体" w:hAnsi="宋体" w:eastAsia="宋体" w:cs="宋体"/>
          <w:b/>
          <w:color w:val="000000"/>
          <w:sz w:val="52"/>
          <w:szCs w:val="52"/>
        </w:rPr>
      </w:pPr>
    </w:p>
    <w:p w14:paraId="7AE786E5">
      <w:pPr>
        <w:rPr>
          <w:rFonts w:hint="eastAsia" w:ascii="宋体" w:hAnsi="宋体" w:eastAsia="宋体" w:cs="宋体"/>
          <w:b/>
          <w:color w:val="000000"/>
          <w:sz w:val="28"/>
          <w:szCs w:val="28"/>
        </w:rPr>
      </w:pPr>
    </w:p>
    <w:p w14:paraId="2D9B2D0A">
      <w:pPr>
        <w:rPr>
          <w:rFonts w:hint="eastAsia" w:ascii="宋体" w:hAnsi="宋体" w:eastAsia="宋体" w:cs="宋体"/>
          <w:b/>
          <w:color w:val="000000"/>
          <w:sz w:val="28"/>
          <w:szCs w:val="28"/>
        </w:rPr>
      </w:pPr>
    </w:p>
    <w:p w14:paraId="06CE2404">
      <w:pPr>
        <w:rPr>
          <w:rFonts w:hint="eastAsia" w:ascii="宋体" w:hAnsi="宋体" w:eastAsia="宋体" w:cs="宋体"/>
          <w:b/>
          <w:color w:val="000000"/>
          <w:sz w:val="28"/>
          <w:szCs w:val="28"/>
        </w:rPr>
      </w:pPr>
    </w:p>
    <w:p w14:paraId="5EF5B803">
      <w:pPr>
        <w:rPr>
          <w:rFonts w:hint="eastAsia" w:ascii="宋体" w:hAnsi="宋体" w:eastAsia="宋体" w:cs="宋体"/>
          <w:b/>
          <w:color w:val="000000"/>
          <w:sz w:val="28"/>
          <w:szCs w:val="28"/>
        </w:rPr>
      </w:pPr>
    </w:p>
    <w:p w14:paraId="369D665D">
      <w:pPr>
        <w:rPr>
          <w:rFonts w:hint="eastAsia" w:ascii="宋体" w:hAnsi="宋体" w:eastAsia="宋体" w:cs="宋体"/>
          <w:b/>
          <w:color w:val="000000"/>
          <w:sz w:val="28"/>
          <w:szCs w:val="28"/>
        </w:rPr>
      </w:pPr>
    </w:p>
    <w:p w14:paraId="2A530CAC">
      <w:pPr>
        <w:ind w:firstLine="2125" w:firstLineChars="756"/>
        <w:rPr>
          <w:rFonts w:hint="eastAsia" w:ascii="宋体" w:hAnsi="宋体" w:eastAsia="宋体" w:cs="宋体"/>
          <w:b/>
          <w:color w:val="000000"/>
          <w:sz w:val="28"/>
          <w:szCs w:val="28"/>
          <w:u w:val="single"/>
        </w:rPr>
      </w:pPr>
      <w:r>
        <w:rPr>
          <w:rFonts w:hint="eastAsia" w:ascii="宋体" w:hAnsi="宋体" w:eastAsia="宋体" w:cs="宋体"/>
          <w:b/>
          <w:color w:val="000000"/>
          <w:sz w:val="28"/>
          <w:szCs w:val="28"/>
        </w:rPr>
        <w:t>发包人：</w:t>
      </w:r>
      <w:r>
        <w:rPr>
          <w:rFonts w:hint="eastAsia" w:ascii="宋体" w:hAnsi="宋体" w:eastAsia="宋体" w:cs="宋体"/>
          <w:b/>
          <w:color w:val="000000"/>
          <w:sz w:val="28"/>
          <w:szCs w:val="28"/>
          <w:u w:val="single"/>
        </w:rPr>
        <w:t xml:space="preserve">                                </w:t>
      </w:r>
    </w:p>
    <w:p w14:paraId="51A3B3D3">
      <w:pPr>
        <w:ind w:firstLine="2125" w:firstLineChars="756"/>
        <w:rPr>
          <w:rFonts w:hint="eastAsia" w:ascii="宋体" w:hAnsi="宋体" w:eastAsia="宋体" w:cs="宋体"/>
          <w:b/>
          <w:color w:val="000000"/>
          <w:sz w:val="28"/>
          <w:szCs w:val="28"/>
          <w:u w:val="single"/>
        </w:rPr>
      </w:pPr>
      <w:r>
        <w:rPr>
          <w:rFonts w:hint="eastAsia" w:ascii="宋体" w:hAnsi="宋体" w:eastAsia="宋体" w:cs="宋体"/>
          <w:b/>
          <w:color w:val="000000"/>
          <w:sz w:val="28"/>
          <w:szCs w:val="28"/>
        </w:rPr>
        <w:t>承包人：</w:t>
      </w:r>
      <w:r>
        <w:rPr>
          <w:rFonts w:hint="eastAsia" w:ascii="宋体" w:hAnsi="宋体" w:eastAsia="宋体" w:cs="宋体"/>
          <w:b/>
          <w:color w:val="000000"/>
          <w:sz w:val="28"/>
          <w:szCs w:val="28"/>
          <w:u w:val="single"/>
        </w:rPr>
        <w:t xml:space="preserve">                                </w:t>
      </w:r>
    </w:p>
    <w:p w14:paraId="7E7BF3B5">
      <w:pPr>
        <w:ind w:firstLine="3812" w:firstLineChars="1356"/>
        <w:rPr>
          <w:rFonts w:hint="eastAsia" w:ascii="宋体" w:hAnsi="宋体" w:eastAsia="宋体" w:cs="宋体"/>
          <w:color w:val="000000"/>
          <w:sz w:val="28"/>
          <w:szCs w:val="28"/>
          <w:u w:val="single"/>
        </w:rPr>
      </w:pP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年</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月</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 xml:space="preserve">日 </w:t>
      </w:r>
    </w:p>
    <w:p w14:paraId="00734A58">
      <w:pPr>
        <w:rPr>
          <w:rFonts w:hint="eastAsia" w:ascii="宋体" w:hAnsi="宋体" w:eastAsia="宋体" w:cs="宋体"/>
          <w:bCs/>
          <w:szCs w:val="21"/>
        </w:rPr>
      </w:pPr>
      <w:r>
        <w:rPr>
          <w:rFonts w:hint="eastAsia" w:ascii="宋体" w:hAnsi="宋体" w:eastAsia="宋体" w:cs="宋体"/>
          <w:bCs/>
          <w:sz w:val="24"/>
        </w:rPr>
        <w:br w:type="page"/>
      </w:r>
      <w:r>
        <w:rPr>
          <w:rFonts w:hint="eastAsia" w:ascii="宋体" w:hAnsi="宋体" w:eastAsia="宋体" w:cs="宋体"/>
          <w:bCs/>
          <w:szCs w:val="21"/>
        </w:rPr>
        <w:t>注：本合同仅为合同的参考文本，合同签订双方可根据项目的具体情况进行补充修订。</w:t>
      </w:r>
    </w:p>
    <w:p w14:paraId="77DB4B34">
      <w:pPr>
        <w:pStyle w:val="3"/>
        <w:jc w:val="center"/>
        <w:rPr>
          <w:rFonts w:hint="eastAsia" w:ascii="宋体" w:hAnsi="宋体" w:eastAsia="宋体" w:cs="宋体"/>
          <w:sz w:val="28"/>
          <w:szCs w:val="28"/>
        </w:rPr>
      </w:pPr>
      <w:bookmarkStart w:id="143" w:name="_Toc1062"/>
      <w:r>
        <w:rPr>
          <w:rFonts w:hint="eastAsia" w:ascii="宋体" w:hAnsi="宋体" w:eastAsia="宋体" w:cs="宋体"/>
          <w:sz w:val="28"/>
          <w:szCs w:val="28"/>
        </w:rPr>
        <w:t>第一部分</w:t>
      </w:r>
      <w:r>
        <w:rPr>
          <w:rFonts w:hint="eastAsia" w:ascii="宋体" w:hAnsi="宋体" w:eastAsia="宋体" w:cs="宋体"/>
          <w:sz w:val="28"/>
          <w:szCs w:val="28"/>
          <w:lang w:eastAsia="zh-CN"/>
        </w:rPr>
        <w:t xml:space="preserve">  </w:t>
      </w:r>
      <w:r>
        <w:rPr>
          <w:rFonts w:hint="eastAsia" w:ascii="宋体" w:hAnsi="宋体" w:eastAsia="宋体" w:cs="宋体"/>
          <w:sz w:val="28"/>
          <w:szCs w:val="28"/>
        </w:rPr>
        <w:t>合同协议书</w:t>
      </w:r>
      <w:bookmarkEnd w:id="143"/>
    </w:p>
    <w:p w14:paraId="41FB483D">
      <w:pPr>
        <w:rPr>
          <w:rFonts w:hint="eastAsia" w:ascii="宋体" w:hAnsi="宋体" w:eastAsia="宋体" w:cs="宋体"/>
          <w:color w:val="000000"/>
          <w:sz w:val="24"/>
          <w:u w:val="single"/>
        </w:rPr>
      </w:pPr>
      <w:r>
        <w:rPr>
          <w:rFonts w:hint="eastAsia" w:ascii="宋体" w:hAnsi="宋体" w:eastAsia="宋体" w:cs="宋体"/>
          <w:color w:val="000000"/>
          <w:sz w:val="24"/>
        </w:rPr>
        <w:t>发包人（全称）：</w:t>
      </w:r>
      <w:r>
        <w:rPr>
          <w:rFonts w:hint="eastAsia" w:ascii="宋体" w:hAnsi="宋体" w:eastAsia="宋体" w:cs="宋体"/>
          <w:color w:val="000000"/>
          <w:sz w:val="24"/>
          <w:u w:val="single"/>
        </w:rPr>
        <w:t>                       </w:t>
      </w:r>
    </w:p>
    <w:p w14:paraId="38C56A3E">
      <w:pPr>
        <w:rPr>
          <w:rFonts w:hint="eastAsia" w:ascii="宋体" w:hAnsi="宋体" w:eastAsia="宋体" w:cs="宋体"/>
          <w:color w:val="000000"/>
          <w:sz w:val="24"/>
          <w:u w:val="single"/>
        </w:rPr>
      </w:pPr>
      <w:r>
        <w:rPr>
          <w:rFonts w:hint="eastAsia" w:ascii="宋体" w:hAnsi="宋体" w:eastAsia="宋体" w:cs="宋体"/>
          <w:color w:val="000000"/>
          <w:sz w:val="24"/>
        </w:rPr>
        <w:t>承包人（全称）：</w:t>
      </w:r>
      <w:r>
        <w:rPr>
          <w:rFonts w:hint="eastAsia" w:ascii="宋体" w:hAnsi="宋体" w:eastAsia="宋体" w:cs="宋体"/>
          <w:color w:val="000000"/>
          <w:sz w:val="24"/>
          <w:u w:val="single"/>
        </w:rPr>
        <w:t>                      </w:t>
      </w:r>
    </w:p>
    <w:p w14:paraId="57C909E0">
      <w:pPr>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根据《中华人民共和国民法典》、行政法规及其他有关法律规定，遵循平等、自愿、公平和诚实信用的原则，双方就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及有关事项协商一致，共同达成如下协议：</w:t>
      </w:r>
    </w:p>
    <w:p w14:paraId="0AC89509">
      <w:pPr>
        <w:rPr>
          <w:rFonts w:hint="eastAsia" w:ascii="宋体" w:hAnsi="宋体" w:eastAsia="宋体" w:cs="宋体"/>
          <w:color w:val="000000"/>
          <w:sz w:val="24"/>
        </w:rPr>
      </w:pPr>
      <w:r>
        <w:rPr>
          <w:rFonts w:hint="eastAsia" w:ascii="宋体" w:hAnsi="宋体" w:eastAsia="宋体" w:cs="宋体"/>
          <w:bCs/>
        </w:rPr>
        <w:t xml:space="preserve"> </w:t>
      </w:r>
      <w:r>
        <w:rPr>
          <w:rFonts w:hint="eastAsia" w:ascii="宋体" w:hAnsi="宋体" w:eastAsia="宋体" w:cs="宋体"/>
          <w:color w:val="000000"/>
          <w:sz w:val="24"/>
        </w:rPr>
        <w:t xml:space="preserve">   </w:t>
      </w:r>
      <w:bookmarkStart w:id="144" w:name="_Toc351203481"/>
      <w:r>
        <w:rPr>
          <w:rFonts w:hint="eastAsia" w:ascii="宋体" w:hAnsi="宋体" w:eastAsia="宋体" w:cs="宋体"/>
          <w:color w:val="000000"/>
          <w:sz w:val="24"/>
        </w:rPr>
        <w:t>一、</w:t>
      </w:r>
      <w:r>
        <w:rPr>
          <w:rFonts w:hint="eastAsia" w:ascii="宋体" w:hAnsi="宋体" w:eastAsia="宋体" w:cs="宋体"/>
          <w:color w:val="000000"/>
          <w:sz w:val="24"/>
          <w:lang w:eastAsia="zh-CN"/>
        </w:rPr>
        <w:t>项目</w:t>
      </w:r>
      <w:r>
        <w:rPr>
          <w:rFonts w:hint="eastAsia" w:ascii="宋体" w:hAnsi="宋体" w:eastAsia="宋体" w:cs="宋体"/>
          <w:color w:val="000000"/>
          <w:sz w:val="24"/>
        </w:rPr>
        <w:t>概况</w:t>
      </w:r>
      <w:bookmarkEnd w:id="144"/>
    </w:p>
    <w:p w14:paraId="520C5287">
      <w:pPr>
        <w:ind w:firstLine="470" w:firstLineChars="196"/>
        <w:rPr>
          <w:rFonts w:hint="eastAsia" w:ascii="宋体" w:hAnsi="宋体" w:eastAsia="宋体" w:cs="宋体"/>
          <w:color w:val="000000"/>
          <w:sz w:val="24"/>
          <w:u w:val="single"/>
        </w:rPr>
      </w:pPr>
      <w:r>
        <w:rPr>
          <w:rFonts w:hint="eastAsia" w:ascii="宋体" w:hAnsi="宋体" w:eastAsia="宋体" w:cs="宋体"/>
          <w:bCs/>
          <w:color w:val="000000"/>
          <w:sz w:val="24"/>
        </w:rPr>
        <w:t>1.</w:t>
      </w:r>
      <w:r>
        <w:rPr>
          <w:rFonts w:hint="eastAsia" w:ascii="宋体" w:hAnsi="宋体" w:eastAsia="宋体" w:cs="宋体"/>
          <w:bCs/>
          <w:color w:val="000000"/>
          <w:sz w:val="24"/>
          <w:lang w:val="en-US" w:eastAsia="zh-CN"/>
        </w:rPr>
        <w:t>项目</w:t>
      </w:r>
      <w:r>
        <w:rPr>
          <w:rFonts w:hint="eastAsia" w:ascii="宋体" w:hAnsi="宋体" w:eastAsia="宋体" w:cs="宋体"/>
          <w:bCs/>
          <w:color w:val="000000"/>
          <w:sz w:val="24"/>
        </w:rPr>
        <w:t>名称</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51611B61">
      <w:pPr>
        <w:ind w:firstLine="470" w:firstLineChars="196"/>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服务</w:t>
      </w:r>
      <w:r>
        <w:rPr>
          <w:rFonts w:hint="eastAsia" w:ascii="宋体" w:hAnsi="宋体" w:eastAsia="宋体" w:cs="宋体"/>
          <w:bCs/>
          <w:color w:val="000000"/>
          <w:sz w:val="24"/>
        </w:rPr>
        <w:t>地点：</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443F757C">
      <w:pPr>
        <w:ind w:firstLine="470" w:firstLineChars="196"/>
        <w:rPr>
          <w:rFonts w:hint="eastAsia" w:ascii="宋体" w:hAnsi="宋体" w:eastAsia="宋体" w:cs="宋体"/>
          <w:bCs/>
          <w:color w:val="000000"/>
          <w:sz w:val="24"/>
        </w:rPr>
      </w:pPr>
      <w:r>
        <w:rPr>
          <w:rFonts w:hint="eastAsia" w:ascii="宋体" w:hAnsi="宋体" w:eastAsia="宋体" w:cs="宋体"/>
          <w:bCs/>
          <w:color w:val="000000"/>
          <w:sz w:val="24"/>
        </w:rPr>
        <w:t>3.</w:t>
      </w:r>
      <w:r>
        <w:rPr>
          <w:rFonts w:hint="eastAsia" w:ascii="宋体" w:hAnsi="宋体" w:eastAsia="宋体" w:cs="宋体"/>
          <w:bCs/>
          <w:color w:val="000000"/>
          <w:sz w:val="24"/>
          <w:lang w:val="en-US" w:eastAsia="zh-CN"/>
        </w:rPr>
        <w:t>项目</w:t>
      </w:r>
      <w:r>
        <w:rPr>
          <w:rFonts w:hint="eastAsia" w:ascii="宋体" w:hAnsi="宋体" w:eastAsia="宋体" w:cs="宋体"/>
          <w:bCs/>
          <w:color w:val="000000"/>
          <w:sz w:val="24"/>
        </w:rPr>
        <w:t>批准文号：</w:t>
      </w:r>
      <w:r>
        <w:rPr>
          <w:rFonts w:hint="eastAsia" w:ascii="宋体" w:hAnsi="宋体" w:eastAsia="宋体" w:cs="宋体"/>
          <w:color w:val="000000"/>
          <w:sz w:val="24"/>
          <w:u w:val="single"/>
        </w:rPr>
        <w:t xml:space="preserve">       </w:t>
      </w:r>
      <w:r>
        <w:rPr>
          <w:rFonts w:hint="eastAsia" w:ascii="宋体" w:hAnsi="宋体" w:eastAsia="宋体" w:cs="宋体"/>
          <w:bCs/>
          <w:color w:val="000000"/>
          <w:sz w:val="24"/>
        </w:rPr>
        <w:t>。</w:t>
      </w:r>
    </w:p>
    <w:p w14:paraId="251D2A91">
      <w:pPr>
        <w:ind w:firstLine="470" w:firstLineChars="196"/>
        <w:rPr>
          <w:rFonts w:hint="eastAsia" w:ascii="宋体" w:hAnsi="宋体" w:eastAsia="宋体" w:cs="宋体"/>
          <w:bCs/>
          <w:color w:val="000000"/>
          <w:sz w:val="24"/>
        </w:rPr>
      </w:pPr>
      <w:r>
        <w:rPr>
          <w:rFonts w:hint="eastAsia" w:ascii="宋体" w:hAnsi="宋体" w:eastAsia="宋体" w:cs="宋体"/>
          <w:bCs/>
          <w:color w:val="000000"/>
          <w:sz w:val="24"/>
        </w:rPr>
        <w:t>4.资金来源：</w:t>
      </w:r>
      <w:r>
        <w:rPr>
          <w:rFonts w:hint="eastAsia" w:ascii="宋体" w:hAnsi="宋体" w:eastAsia="宋体" w:cs="宋体"/>
          <w:color w:val="000000"/>
          <w:sz w:val="24"/>
          <w:u w:val="single"/>
        </w:rPr>
        <w:t xml:space="preserve">       </w:t>
      </w:r>
      <w:r>
        <w:rPr>
          <w:rFonts w:hint="eastAsia" w:ascii="宋体" w:hAnsi="宋体" w:eastAsia="宋体" w:cs="宋体"/>
          <w:bCs/>
          <w:color w:val="000000"/>
          <w:sz w:val="24"/>
        </w:rPr>
        <w:t>。</w:t>
      </w:r>
    </w:p>
    <w:p w14:paraId="6A7CF09A">
      <w:pPr>
        <w:ind w:firstLine="470" w:firstLineChars="196"/>
        <w:rPr>
          <w:rFonts w:hint="eastAsia" w:ascii="宋体" w:hAnsi="宋体" w:eastAsia="宋体" w:cs="宋体"/>
          <w:bCs/>
          <w:color w:val="000000"/>
          <w:sz w:val="24"/>
        </w:rPr>
      </w:pPr>
      <w:r>
        <w:rPr>
          <w:rFonts w:hint="eastAsia" w:ascii="宋体" w:hAnsi="宋体" w:eastAsia="宋体" w:cs="宋体"/>
          <w:bCs/>
          <w:color w:val="000000"/>
          <w:sz w:val="24"/>
        </w:rPr>
        <w:t>5.</w:t>
      </w:r>
      <w:r>
        <w:rPr>
          <w:rFonts w:hint="eastAsia" w:ascii="宋体" w:hAnsi="宋体" w:eastAsia="宋体" w:cs="宋体"/>
          <w:bCs/>
          <w:color w:val="000000"/>
          <w:sz w:val="24"/>
          <w:lang w:val="en-US" w:eastAsia="zh-CN"/>
        </w:rPr>
        <w:t>服务</w:t>
      </w:r>
      <w:r>
        <w:rPr>
          <w:rFonts w:hint="eastAsia" w:ascii="宋体" w:hAnsi="宋体" w:eastAsia="宋体" w:cs="宋体"/>
          <w:bCs/>
          <w:color w:val="000000"/>
          <w:sz w:val="24"/>
        </w:rPr>
        <w:t>承包范围：</w:t>
      </w:r>
    </w:p>
    <w:p w14:paraId="1FE4D9CC">
      <w:pPr>
        <w:ind w:firstLine="463" w:firstLineChars="193"/>
        <w:rPr>
          <w:rFonts w:hint="eastAsia" w:ascii="宋体" w:hAnsi="宋体" w:eastAsia="宋体" w:cs="宋体"/>
          <w:color w:val="000000"/>
          <w:sz w:val="24"/>
        </w:rPr>
      </w:pPr>
      <w:r>
        <w:rPr>
          <w:rFonts w:hint="eastAsia" w:ascii="宋体" w:hAnsi="宋体" w:eastAsia="宋体" w:cs="宋体"/>
          <w:color w:val="000000"/>
          <w:sz w:val="24"/>
          <w:u w:val="single"/>
        </w:rPr>
        <w:t xml:space="preserve">         </w:t>
      </w:r>
    </w:p>
    <w:p w14:paraId="73E3E6DA">
      <w:pPr>
        <w:ind w:firstLine="480" w:firstLineChars="200"/>
        <w:rPr>
          <w:rFonts w:hint="eastAsia" w:ascii="宋体" w:hAnsi="宋体" w:eastAsia="宋体" w:cs="宋体"/>
          <w:color w:val="000000"/>
          <w:sz w:val="24"/>
        </w:rPr>
      </w:pP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76E8980E">
      <w:pPr>
        <w:rPr>
          <w:rFonts w:hint="eastAsia" w:ascii="宋体" w:hAnsi="宋体" w:eastAsia="宋体" w:cs="宋体"/>
          <w:sz w:val="24"/>
        </w:rPr>
      </w:pPr>
      <w:r>
        <w:rPr>
          <w:rFonts w:hint="eastAsia" w:ascii="宋体" w:hAnsi="宋体" w:eastAsia="宋体" w:cs="宋体"/>
          <w:sz w:val="24"/>
        </w:rPr>
        <w:t xml:space="preserve">   </w:t>
      </w:r>
      <w:bookmarkStart w:id="145" w:name="_Toc351203482"/>
      <w:r>
        <w:rPr>
          <w:rFonts w:hint="eastAsia" w:ascii="宋体" w:hAnsi="宋体" w:eastAsia="宋体" w:cs="宋体"/>
          <w:sz w:val="24"/>
        </w:rPr>
        <w:t>二、合同工期</w:t>
      </w:r>
      <w:bookmarkEnd w:id="145"/>
    </w:p>
    <w:p w14:paraId="080AD8B5">
      <w:pPr>
        <w:rPr>
          <w:rFonts w:hint="eastAsia" w:ascii="宋体" w:hAnsi="宋体" w:eastAsia="宋体" w:cs="宋体"/>
          <w:sz w:val="24"/>
        </w:rPr>
      </w:pPr>
      <w:r>
        <w:rPr>
          <w:rFonts w:hint="eastAsia" w:ascii="宋体" w:hAnsi="宋体" w:eastAsia="宋体" w:cs="宋体"/>
          <w:sz w:val="24"/>
        </w:rPr>
        <w:t>开工日期：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w:t>
      </w:r>
      <w:r>
        <w:rPr>
          <w:rFonts w:hint="eastAsia" w:ascii="宋体" w:hAnsi="宋体" w:eastAsia="宋体" w:cs="宋体"/>
          <w:sz w:val="24"/>
        </w:rPr>
        <w:t>月</w:t>
      </w:r>
      <w:r>
        <w:rPr>
          <w:rFonts w:hint="eastAsia" w:ascii="宋体" w:hAnsi="宋体" w:eastAsia="宋体" w:cs="宋体"/>
          <w:sz w:val="24"/>
          <w:u w:val="single"/>
        </w:rPr>
        <w:t></w:t>
      </w:r>
      <w:r>
        <w:rPr>
          <w:rFonts w:hint="eastAsia" w:ascii="宋体" w:hAnsi="宋体" w:eastAsia="宋体" w:cs="宋体"/>
          <w:sz w:val="24"/>
        </w:rPr>
        <w:t>日。</w:t>
      </w:r>
    </w:p>
    <w:p w14:paraId="398D9A88">
      <w:pPr>
        <w:rPr>
          <w:rFonts w:hint="eastAsia" w:ascii="宋体" w:hAnsi="宋体" w:eastAsia="宋体" w:cs="宋体"/>
          <w:sz w:val="24"/>
        </w:rPr>
      </w:pPr>
      <w:r>
        <w:rPr>
          <w:rFonts w:hint="eastAsia" w:ascii="宋体" w:hAnsi="宋体" w:eastAsia="宋体" w:cs="宋体"/>
          <w:sz w:val="24"/>
          <w:lang w:eastAsia="zh-CN"/>
        </w:rPr>
        <w:t>完</w:t>
      </w:r>
      <w:r>
        <w:rPr>
          <w:rFonts w:hint="eastAsia" w:ascii="宋体" w:hAnsi="宋体" w:eastAsia="宋体" w:cs="宋体"/>
          <w:sz w:val="24"/>
        </w:rPr>
        <w:t>工日期：</w:t>
      </w:r>
      <w:r>
        <w:rPr>
          <w:rFonts w:hint="eastAsia" w:ascii="宋体" w:hAnsi="宋体" w:eastAsia="宋体" w:cs="宋体"/>
          <w:sz w:val="24"/>
          <w:u w:val="single"/>
        </w:rPr>
        <w:t></w:t>
      </w:r>
      <w:r>
        <w:rPr>
          <w:rFonts w:hint="eastAsia" w:ascii="宋体" w:hAnsi="宋体" w:eastAsia="宋体" w:cs="宋体"/>
          <w:sz w:val="24"/>
        </w:rPr>
        <w:t>年</w:t>
      </w:r>
      <w:r>
        <w:rPr>
          <w:rFonts w:hint="eastAsia" w:ascii="宋体" w:hAnsi="宋体" w:eastAsia="宋体" w:cs="宋体"/>
          <w:sz w:val="24"/>
          <w:u w:val="single"/>
        </w:rPr>
        <w:t></w:t>
      </w:r>
      <w:r>
        <w:rPr>
          <w:rFonts w:hint="eastAsia" w:ascii="宋体" w:hAnsi="宋体" w:eastAsia="宋体" w:cs="宋体"/>
          <w:sz w:val="24"/>
        </w:rPr>
        <w:t>月</w:t>
      </w:r>
      <w:r>
        <w:rPr>
          <w:rFonts w:hint="eastAsia" w:ascii="宋体" w:hAnsi="宋体" w:eastAsia="宋体" w:cs="宋体"/>
          <w:sz w:val="24"/>
          <w:u w:val="single"/>
        </w:rPr>
        <w:t></w:t>
      </w:r>
      <w:r>
        <w:rPr>
          <w:rFonts w:hint="eastAsia" w:ascii="宋体" w:hAnsi="宋体" w:eastAsia="宋体" w:cs="宋体"/>
          <w:sz w:val="24"/>
        </w:rPr>
        <w:t>日。</w:t>
      </w:r>
    </w:p>
    <w:p w14:paraId="275FB3CD">
      <w:pPr>
        <w:ind w:firstLine="459"/>
        <w:rPr>
          <w:rFonts w:hint="eastAsia" w:ascii="宋体" w:hAnsi="宋体" w:eastAsia="宋体" w:cs="宋体"/>
          <w:color w:val="000000"/>
          <w:sz w:val="24"/>
        </w:rPr>
      </w:pPr>
      <w:r>
        <w:rPr>
          <w:rFonts w:hint="eastAsia" w:ascii="宋体" w:hAnsi="宋体" w:eastAsia="宋体" w:cs="宋体"/>
          <w:color w:val="000000"/>
          <w:sz w:val="24"/>
          <w:lang w:val="en-US" w:eastAsia="zh-CN"/>
        </w:rPr>
        <w:t>服务</w:t>
      </w:r>
      <w:r>
        <w:rPr>
          <w:rFonts w:hint="eastAsia" w:ascii="宋体" w:hAnsi="宋体" w:eastAsia="宋体" w:cs="宋体"/>
          <w:color w:val="000000"/>
          <w:sz w:val="24"/>
        </w:rPr>
        <w:t>总日历天数：</w:t>
      </w:r>
      <w:r>
        <w:rPr>
          <w:rFonts w:hint="eastAsia" w:ascii="宋体" w:hAnsi="宋体" w:eastAsia="宋体" w:cs="宋体"/>
          <w:color w:val="000000"/>
          <w:sz w:val="24"/>
          <w:u w:val="single"/>
        </w:rPr>
        <w:t></w:t>
      </w:r>
      <w:r>
        <w:rPr>
          <w:rFonts w:hint="eastAsia" w:ascii="宋体" w:hAnsi="宋体" w:eastAsia="宋体" w:cs="宋体"/>
          <w:color w:val="000000"/>
          <w:sz w:val="24"/>
        </w:rPr>
        <w:t>天。</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总日历天数与根据前述开</w:t>
      </w:r>
      <w:r>
        <w:rPr>
          <w:rFonts w:hint="eastAsia" w:ascii="宋体" w:hAnsi="宋体" w:cs="宋体"/>
          <w:color w:val="000000"/>
          <w:sz w:val="24"/>
          <w:lang w:eastAsia="zh-CN"/>
        </w:rPr>
        <w:t>完</w:t>
      </w:r>
      <w:r>
        <w:rPr>
          <w:rFonts w:hint="eastAsia" w:ascii="宋体" w:hAnsi="宋体" w:eastAsia="宋体" w:cs="宋体"/>
          <w:color w:val="000000"/>
          <w:sz w:val="24"/>
        </w:rPr>
        <w:t>工日期计算的</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天数不一致的，以</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总日历天数为准。</w:t>
      </w:r>
    </w:p>
    <w:p w14:paraId="2578D876">
      <w:pPr>
        <w:rPr>
          <w:rFonts w:hint="eastAsia" w:ascii="宋体" w:hAnsi="宋体" w:eastAsia="宋体" w:cs="宋体"/>
          <w:sz w:val="24"/>
        </w:rPr>
      </w:pPr>
      <w:r>
        <w:rPr>
          <w:rFonts w:hint="eastAsia" w:ascii="宋体" w:hAnsi="宋体" w:eastAsia="宋体" w:cs="宋体"/>
          <w:sz w:val="24"/>
        </w:rPr>
        <w:t xml:space="preserve">    </w:t>
      </w:r>
      <w:bookmarkStart w:id="146" w:name="_Toc351203483"/>
      <w:r>
        <w:rPr>
          <w:rFonts w:hint="eastAsia" w:ascii="宋体" w:hAnsi="宋体" w:eastAsia="宋体" w:cs="宋体"/>
          <w:sz w:val="24"/>
        </w:rPr>
        <w:t>三、质量标准</w:t>
      </w:r>
      <w:bookmarkEnd w:id="146"/>
    </w:p>
    <w:p w14:paraId="09EEEDCB">
      <w:pPr>
        <w:ind w:firstLine="459"/>
        <w:rPr>
          <w:rFonts w:hint="eastAsia" w:ascii="宋体" w:hAnsi="宋体" w:eastAsia="宋体" w:cs="宋体"/>
          <w:color w:val="000000"/>
          <w:sz w:val="24"/>
        </w:rPr>
      </w:pPr>
      <w:r>
        <w:rPr>
          <w:rFonts w:hint="eastAsia" w:ascii="宋体" w:hAnsi="宋体" w:eastAsia="宋体" w:cs="宋体"/>
          <w:color w:val="000000"/>
          <w:sz w:val="24"/>
          <w:lang w:val="en-US" w:eastAsia="zh-CN"/>
        </w:rPr>
        <w:t>服务</w:t>
      </w:r>
      <w:r>
        <w:rPr>
          <w:rFonts w:hint="eastAsia" w:ascii="宋体" w:hAnsi="宋体" w:eastAsia="宋体" w:cs="宋体"/>
          <w:color w:val="000000"/>
          <w:sz w:val="24"/>
        </w:rPr>
        <w:t>质量符合</w:t>
      </w:r>
      <w:r>
        <w:rPr>
          <w:rFonts w:hint="eastAsia" w:ascii="宋体" w:hAnsi="宋体" w:eastAsia="宋体" w:cs="宋体"/>
          <w:color w:val="000000"/>
          <w:sz w:val="24"/>
          <w:u w:val="single"/>
        </w:rPr>
        <w:t></w:t>
      </w:r>
      <w:r>
        <w:rPr>
          <w:rFonts w:hint="eastAsia" w:ascii="宋体" w:hAnsi="宋体" w:eastAsia="宋体" w:cs="宋体"/>
          <w:color w:val="000000"/>
          <w:sz w:val="24"/>
        </w:rPr>
        <w:t>标准。</w:t>
      </w:r>
    </w:p>
    <w:p w14:paraId="032FFB4D">
      <w:pPr>
        <w:rPr>
          <w:rFonts w:hint="eastAsia" w:ascii="宋体" w:hAnsi="宋体" w:eastAsia="宋体" w:cs="宋体"/>
          <w:sz w:val="24"/>
        </w:rPr>
      </w:pPr>
      <w:r>
        <w:rPr>
          <w:rFonts w:hint="eastAsia" w:ascii="宋体" w:hAnsi="宋体" w:eastAsia="宋体" w:cs="宋体"/>
          <w:sz w:val="24"/>
        </w:rPr>
        <w:t xml:space="preserve">    </w:t>
      </w:r>
      <w:bookmarkStart w:id="147" w:name="_Toc351203484"/>
      <w:r>
        <w:rPr>
          <w:rFonts w:hint="eastAsia" w:ascii="宋体" w:hAnsi="宋体" w:eastAsia="宋体" w:cs="宋体"/>
          <w:sz w:val="24"/>
        </w:rPr>
        <w:t>四、签约合同价与合同价格形式</w:t>
      </w:r>
      <w:bookmarkEnd w:id="147"/>
      <w:r>
        <w:rPr>
          <w:rFonts w:hint="eastAsia" w:ascii="宋体" w:hAnsi="宋体" w:eastAsia="宋体" w:cs="宋体"/>
          <w:sz w:val="24"/>
        </w:rPr>
        <w:tab/>
      </w:r>
    </w:p>
    <w:p w14:paraId="36085242">
      <w:pPr>
        <w:ind w:firstLine="480" w:firstLineChars="200"/>
        <w:rPr>
          <w:rFonts w:hint="eastAsia" w:ascii="宋体" w:hAnsi="宋体" w:eastAsia="宋体" w:cs="宋体"/>
          <w:color w:val="000000"/>
          <w:sz w:val="24"/>
        </w:rPr>
      </w:pPr>
      <w:r>
        <w:rPr>
          <w:rFonts w:hint="eastAsia" w:ascii="宋体" w:hAnsi="宋体" w:eastAsia="宋体" w:cs="宋体"/>
          <w:color w:val="000000"/>
          <w:sz w:val="24"/>
        </w:rPr>
        <w:t>1.签约合同价为：</w:t>
      </w:r>
    </w:p>
    <w:p w14:paraId="328D4A85">
      <w:pPr>
        <w:ind w:firstLine="600" w:firstLineChars="250"/>
        <w:rPr>
          <w:rFonts w:hint="eastAsia" w:ascii="宋体" w:hAnsi="宋体" w:eastAsia="宋体" w:cs="宋体"/>
          <w:color w:val="000000"/>
          <w:sz w:val="24"/>
        </w:rPr>
      </w:pPr>
      <w:r>
        <w:rPr>
          <w:rFonts w:hint="eastAsia" w:ascii="宋体" w:hAnsi="宋体" w:eastAsia="宋体" w:cs="宋体"/>
          <w:color w:val="000000"/>
          <w:sz w:val="24"/>
        </w:rPr>
        <w:t>人民币（大写）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p w14:paraId="3C359EF8">
      <w:pPr>
        <w:ind w:firstLine="600" w:firstLineChars="250"/>
        <w:rPr>
          <w:rFonts w:hint="eastAsia" w:ascii="宋体" w:hAnsi="宋体" w:eastAsia="宋体" w:cs="宋体"/>
          <w:color w:val="000000"/>
          <w:sz w:val="24"/>
        </w:rPr>
      </w:pPr>
      <w:r>
        <w:rPr>
          <w:rFonts w:hint="eastAsia" w:ascii="宋体" w:hAnsi="宋体" w:eastAsia="宋体" w:cs="宋体"/>
          <w:color w:val="000000"/>
          <w:sz w:val="24"/>
        </w:rPr>
        <w:t>2.合同价格形式：</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663E668C">
      <w:pPr>
        <w:rPr>
          <w:rFonts w:hint="eastAsia" w:ascii="宋体" w:hAnsi="宋体" w:eastAsia="宋体" w:cs="宋体"/>
          <w:sz w:val="24"/>
          <w:lang w:eastAsia="zh-CN"/>
        </w:rPr>
      </w:pPr>
      <w:r>
        <w:rPr>
          <w:rFonts w:hint="eastAsia" w:ascii="宋体" w:hAnsi="宋体" w:eastAsia="宋体" w:cs="宋体"/>
        </w:rPr>
        <w:t xml:space="preserve">  </w:t>
      </w:r>
      <w:r>
        <w:rPr>
          <w:rFonts w:hint="eastAsia" w:ascii="宋体" w:hAnsi="宋体" w:eastAsia="宋体" w:cs="宋体"/>
          <w:sz w:val="24"/>
        </w:rPr>
        <w:t xml:space="preserve">  </w:t>
      </w:r>
      <w:bookmarkStart w:id="148" w:name="_Toc351203485"/>
      <w:r>
        <w:rPr>
          <w:rFonts w:hint="eastAsia" w:ascii="宋体" w:hAnsi="宋体" w:eastAsia="宋体" w:cs="宋体"/>
          <w:sz w:val="24"/>
        </w:rPr>
        <w:t>五、</w:t>
      </w:r>
      <w:bookmarkEnd w:id="148"/>
      <w:r>
        <w:rPr>
          <w:rFonts w:hint="eastAsia" w:ascii="宋体" w:hAnsi="宋体" w:eastAsia="宋体" w:cs="宋体"/>
          <w:sz w:val="24"/>
          <w:lang w:eastAsia="zh-CN"/>
        </w:rPr>
        <w:t>项目负责人</w:t>
      </w:r>
    </w:p>
    <w:p w14:paraId="09FF41CC">
      <w:pPr>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w:t>
      </w:r>
      <w:r>
        <w:rPr>
          <w:rFonts w:hint="eastAsia" w:ascii="宋体" w:hAnsi="宋体" w:eastAsia="宋体" w:cs="宋体"/>
          <w:color w:val="000000"/>
          <w:sz w:val="24"/>
          <w:lang w:eastAsia="zh-CN"/>
        </w:rPr>
        <w:t>项目负责人</w:t>
      </w:r>
      <w:r>
        <w:rPr>
          <w:rFonts w:hint="eastAsia" w:ascii="宋体" w:hAnsi="宋体" w:eastAsia="宋体" w:cs="宋体"/>
          <w:color w:val="000000"/>
          <w:sz w:val="24"/>
        </w:rPr>
        <w:t>：</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7FDE8964">
      <w:pPr>
        <w:rPr>
          <w:rFonts w:hint="eastAsia"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w:t>
      </w:r>
      <w:bookmarkStart w:id="149" w:name="_Toc351203486"/>
      <w:r>
        <w:rPr>
          <w:rFonts w:hint="eastAsia" w:ascii="宋体" w:hAnsi="宋体" w:eastAsia="宋体" w:cs="宋体"/>
          <w:sz w:val="24"/>
        </w:rPr>
        <w:t>六、合同文件构成</w:t>
      </w:r>
      <w:bookmarkEnd w:id="149"/>
    </w:p>
    <w:p w14:paraId="1473BB00">
      <w:pPr>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本协议书与下列文件一起构成合同文件：</w:t>
      </w:r>
    </w:p>
    <w:p w14:paraId="1B5909BB">
      <w:pPr>
        <w:autoSpaceDE w:val="0"/>
        <w:autoSpaceDN w:val="0"/>
        <w:adjustRightInd w:val="0"/>
        <w:ind w:firstLine="480" w:firstLineChars="200"/>
        <w:rPr>
          <w:rFonts w:hint="eastAsia" w:ascii="宋体" w:hAnsi="宋体" w:eastAsia="宋体" w:cs="宋体"/>
          <w:color w:val="000000"/>
          <w:sz w:val="24"/>
        </w:rPr>
      </w:pPr>
      <w:r>
        <w:rPr>
          <w:rFonts w:hint="eastAsia" w:ascii="宋体" w:hAnsi="宋体" w:eastAsia="宋体" w:cs="宋体"/>
          <w:color w:val="000000"/>
          <w:sz w:val="24"/>
        </w:rPr>
        <w:t>（1）成交通知书；</w:t>
      </w:r>
    </w:p>
    <w:p w14:paraId="2C1909EF">
      <w:pPr>
        <w:autoSpaceDE w:val="0"/>
        <w:autoSpaceDN w:val="0"/>
        <w:adjustRightInd w:val="0"/>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（2）投标函及其附录（如果有）； </w:t>
      </w:r>
    </w:p>
    <w:p w14:paraId="2BC63328">
      <w:pPr>
        <w:autoSpaceDE w:val="0"/>
        <w:autoSpaceDN w:val="0"/>
        <w:adjustRightInd w:val="0"/>
        <w:ind w:firstLine="480" w:firstLineChars="200"/>
        <w:rPr>
          <w:rFonts w:hint="eastAsia" w:ascii="宋体" w:hAnsi="宋体" w:eastAsia="宋体" w:cs="宋体"/>
          <w:color w:val="000000"/>
          <w:sz w:val="24"/>
        </w:rPr>
      </w:pPr>
      <w:r>
        <w:rPr>
          <w:rFonts w:hint="eastAsia" w:ascii="宋体" w:hAnsi="宋体" w:eastAsia="宋体" w:cs="宋体"/>
          <w:color w:val="000000"/>
          <w:sz w:val="24"/>
        </w:rPr>
        <w:t>（3）专用合同条款及其附件；</w:t>
      </w:r>
    </w:p>
    <w:p w14:paraId="11F17242">
      <w:pPr>
        <w:autoSpaceDE w:val="0"/>
        <w:autoSpaceDN w:val="0"/>
        <w:adjustRightInd w:val="0"/>
        <w:ind w:firstLine="480" w:firstLineChars="200"/>
        <w:rPr>
          <w:rFonts w:hint="eastAsia" w:ascii="宋体" w:hAnsi="宋体" w:eastAsia="宋体" w:cs="宋体"/>
          <w:color w:val="000000"/>
          <w:sz w:val="24"/>
        </w:rPr>
      </w:pPr>
      <w:r>
        <w:rPr>
          <w:rFonts w:hint="eastAsia" w:ascii="宋体" w:hAnsi="宋体" w:eastAsia="宋体" w:cs="宋体"/>
          <w:color w:val="000000"/>
          <w:sz w:val="24"/>
        </w:rPr>
        <w:t>（4）通用合同条款；</w:t>
      </w:r>
    </w:p>
    <w:p w14:paraId="1567CE3D">
      <w:pPr>
        <w:autoSpaceDE w:val="0"/>
        <w:autoSpaceDN w:val="0"/>
        <w:adjustRightInd w:val="0"/>
        <w:ind w:firstLine="480" w:firstLineChars="200"/>
        <w:rPr>
          <w:rFonts w:hint="eastAsia" w:ascii="宋体" w:hAnsi="宋体" w:eastAsia="宋体" w:cs="宋体"/>
          <w:color w:val="000000"/>
          <w:sz w:val="24"/>
        </w:rPr>
      </w:pPr>
      <w:r>
        <w:rPr>
          <w:rFonts w:hint="eastAsia" w:ascii="宋体" w:hAnsi="宋体" w:eastAsia="宋体" w:cs="宋体"/>
          <w:color w:val="000000"/>
          <w:sz w:val="24"/>
        </w:rPr>
        <w:t>（5）技术标准和要求；</w:t>
      </w:r>
    </w:p>
    <w:p w14:paraId="56CD74F5">
      <w:pPr>
        <w:autoSpaceDE w:val="0"/>
        <w:autoSpaceDN w:val="0"/>
        <w:adjustRightInd w:val="0"/>
        <w:ind w:firstLine="480" w:firstLineChars="200"/>
        <w:rPr>
          <w:rFonts w:hint="eastAsia" w:ascii="宋体" w:hAnsi="宋体" w:eastAsia="宋体" w:cs="宋体"/>
          <w:color w:val="000000"/>
          <w:sz w:val="24"/>
        </w:rPr>
      </w:pPr>
      <w:r>
        <w:rPr>
          <w:rFonts w:hint="eastAsia" w:ascii="宋体" w:hAnsi="宋体" w:eastAsia="宋体" w:cs="宋体"/>
          <w:color w:val="000000"/>
          <w:sz w:val="24"/>
        </w:rPr>
        <w:t>（6）图纸；</w:t>
      </w:r>
    </w:p>
    <w:p w14:paraId="070799FA">
      <w:pPr>
        <w:autoSpaceDE w:val="0"/>
        <w:autoSpaceDN w:val="0"/>
        <w:adjustRightInd w:val="0"/>
        <w:ind w:firstLine="480" w:firstLineChars="200"/>
        <w:rPr>
          <w:rFonts w:hint="eastAsia" w:ascii="宋体" w:hAnsi="宋体" w:eastAsia="宋体" w:cs="宋体"/>
          <w:color w:val="000000"/>
          <w:sz w:val="24"/>
        </w:rPr>
      </w:pPr>
      <w:r>
        <w:rPr>
          <w:rFonts w:hint="eastAsia" w:ascii="宋体" w:hAnsi="宋体" w:eastAsia="宋体" w:cs="宋体"/>
          <w:color w:val="000000"/>
          <w:sz w:val="24"/>
        </w:rPr>
        <w:t>（7）已标价</w:t>
      </w:r>
      <w:r>
        <w:rPr>
          <w:rFonts w:hint="eastAsia" w:ascii="宋体" w:hAnsi="宋体" w:cs="宋体"/>
          <w:color w:val="000000"/>
          <w:sz w:val="24"/>
          <w:lang w:eastAsia="zh-CN"/>
        </w:rPr>
        <w:t>服务需求清单</w:t>
      </w:r>
      <w:r>
        <w:rPr>
          <w:rFonts w:hint="eastAsia" w:ascii="宋体" w:hAnsi="宋体" w:eastAsia="宋体" w:cs="宋体"/>
          <w:color w:val="000000"/>
          <w:sz w:val="24"/>
        </w:rPr>
        <w:t>或预算书；</w:t>
      </w:r>
    </w:p>
    <w:p w14:paraId="797F621B">
      <w:pPr>
        <w:autoSpaceDE w:val="0"/>
        <w:autoSpaceDN w:val="0"/>
        <w:adjustRightInd w:val="0"/>
        <w:ind w:firstLine="480" w:firstLineChars="200"/>
        <w:rPr>
          <w:rFonts w:hint="eastAsia" w:ascii="宋体" w:hAnsi="宋体" w:eastAsia="宋体" w:cs="宋体"/>
          <w:color w:val="000000"/>
          <w:sz w:val="24"/>
        </w:rPr>
      </w:pPr>
      <w:r>
        <w:rPr>
          <w:rFonts w:hint="eastAsia" w:ascii="宋体" w:hAnsi="宋体" w:eastAsia="宋体" w:cs="宋体"/>
          <w:color w:val="000000"/>
          <w:sz w:val="24"/>
        </w:rPr>
        <w:t>（8）竞争性磋商文件及竞争性响应文件；</w:t>
      </w:r>
    </w:p>
    <w:p w14:paraId="21F50E9C">
      <w:pPr>
        <w:autoSpaceDE w:val="0"/>
        <w:autoSpaceDN w:val="0"/>
        <w:adjustRightInd w:val="0"/>
        <w:ind w:firstLine="480" w:firstLineChars="200"/>
        <w:rPr>
          <w:rFonts w:hint="eastAsia" w:ascii="宋体" w:hAnsi="宋体" w:eastAsia="宋体" w:cs="宋体"/>
          <w:color w:val="000000"/>
          <w:sz w:val="24"/>
        </w:rPr>
      </w:pPr>
      <w:r>
        <w:rPr>
          <w:rFonts w:hint="eastAsia" w:ascii="宋体" w:hAnsi="宋体" w:eastAsia="宋体" w:cs="宋体"/>
          <w:color w:val="000000"/>
          <w:sz w:val="24"/>
        </w:rPr>
        <w:t>（9）其他合同文件。</w:t>
      </w:r>
    </w:p>
    <w:p w14:paraId="1839973C">
      <w:pPr>
        <w:autoSpaceDE w:val="0"/>
        <w:autoSpaceDN w:val="0"/>
        <w:adjustRightInd w:val="0"/>
        <w:ind w:firstLine="480" w:firstLineChars="200"/>
        <w:rPr>
          <w:rFonts w:hint="eastAsia" w:ascii="宋体" w:hAnsi="宋体" w:eastAsia="宋体" w:cs="宋体"/>
          <w:color w:val="000000"/>
          <w:sz w:val="24"/>
        </w:rPr>
      </w:pPr>
      <w:r>
        <w:rPr>
          <w:rFonts w:hint="eastAsia" w:ascii="宋体" w:hAnsi="宋体" w:eastAsia="宋体" w:cs="宋体"/>
          <w:color w:val="000000"/>
          <w:sz w:val="24"/>
        </w:rPr>
        <w:t>在合同订立及履行过程中形成的与合同有关的文件均构成合同文件组成部分。</w:t>
      </w:r>
    </w:p>
    <w:p w14:paraId="1A47D484">
      <w:pPr>
        <w:autoSpaceDE w:val="0"/>
        <w:autoSpaceDN w:val="0"/>
        <w:adjustRightInd w:val="0"/>
        <w:ind w:firstLine="480" w:firstLineChars="200"/>
        <w:rPr>
          <w:rFonts w:hint="eastAsia" w:ascii="宋体" w:hAnsi="宋体" w:eastAsia="宋体" w:cs="宋体"/>
          <w:color w:val="000000"/>
          <w:sz w:val="24"/>
        </w:rPr>
      </w:pPr>
      <w:r>
        <w:rPr>
          <w:rFonts w:hint="eastAsia" w:ascii="宋体" w:hAnsi="宋体" w:eastAsia="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29FC6D26">
      <w:pPr>
        <w:rPr>
          <w:rFonts w:hint="eastAsia"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w:t>
      </w:r>
      <w:bookmarkStart w:id="150" w:name="_Toc351203487"/>
      <w:r>
        <w:rPr>
          <w:rFonts w:hint="eastAsia" w:ascii="宋体" w:hAnsi="宋体" w:eastAsia="宋体" w:cs="宋体"/>
          <w:sz w:val="24"/>
        </w:rPr>
        <w:t>七、承诺</w:t>
      </w:r>
      <w:bookmarkEnd w:id="150"/>
    </w:p>
    <w:p w14:paraId="48DA0E18">
      <w:pPr>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1.发包人承诺按照法律规定履行项目审批手续、筹集</w:t>
      </w:r>
      <w:r>
        <w:rPr>
          <w:rFonts w:hint="eastAsia" w:ascii="宋体" w:hAnsi="宋体" w:eastAsia="宋体" w:cs="宋体"/>
          <w:bCs/>
          <w:color w:val="000000"/>
          <w:sz w:val="24"/>
          <w:lang w:val="en-US" w:eastAsia="zh-CN"/>
        </w:rPr>
        <w:t>项目</w:t>
      </w:r>
      <w:r>
        <w:rPr>
          <w:rFonts w:hint="eastAsia" w:ascii="宋体" w:hAnsi="宋体" w:eastAsia="宋体" w:cs="宋体"/>
          <w:bCs/>
          <w:color w:val="000000"/>
          <w:sz w:val="24"/>
        </w:rPr>
        <w:t>建设资金并按照合同约定的期限和方式支付合同价款。</w:t>
      </w:r>
    </w:p>
    <w:p w14:paraId="39BADC45">
      <w:pPr>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2.承包人承诺按照法律规定及合同约定组织完成</w:t>
      </w:r>
      <w:r>
        <w:rPr>
          <w:rFonts w:hint="eastAsia" w:ascii="宋体" w:hAnsi="宋体" w:eastAsia="宋体" w:cs="宋体"/>
          <w:bCs/>
          <w:color w:val="000000"/>
          <w:sz w:val="24"/>
          <w:lang w:val="en-US" w:eastAsia="zh-CN"/>
        </w:rPr>
        <w:t>技术服务工作</w:t>
      </w:r>
      <w:r>
        <w:rPr>
          <w:rFonts w:hint="eastAsia" w:ascii="宋体" w:hAnsi="宋体" w:eastAsia="宋体" w:cs="宋体"/>
          <w:bCs/>
          <w:color w:val="000000"/>
          <w:sz w:val="24"/>
        </w:rPr>
        <w:t>，确保</w:t>
      </w:r>
      <w:r>
        <w:rPr>
          <w:rFonts w:hint="eastAsia" w:ascii="宋体" w:hAnsi="宋体" w:eastAsia="宋体" w:cs="宋体"/>
          <w:bCs/>
          <w:color w:val="000000"/>
          <w:sz w:val="24"/>
          <w:lang w:val="en-US" w:eastAsia="zh-CN"/>
        </w:rPr>
        <w:t>服务</w:t>
      </w:r>
      <w:r>
        <w:rPr>
          <w:rFonts w:hint="eastAsia" w:ascii="宋体" w:hAnsi="宋体" w:eastAsia="宋体" w:cs="宋体"/>
          <w:bCs/>
          <w:color w:val="000000"/>
          <w:sz w:val="24"/>
        </w:rPr>
        <w:t>质量和安全，不进行转包及违法分包，并在缺陷责任期及保修期内承担相应的</w:t>
      </w:r>
      <w:r>
        <w:rPr>
          <w:rFonts w:hint="eastAsia" w:ascii="宋体" w:hAnsi="宋体" w:eastAsia="宋体" w:cs="宋体"/>
          <w:bCs/>
          <w:color w:val="000000"/>
          <w:sz w:val="24"/>
          <w:lang w:val="en-US" w:eastAsia="zh-CN"/>
        </w:rPr>
        <w:t>技术服务</w:t>
      </w:r>
      <w:r>
        <w:rPr>
          <w:rFonts w:hint="eastAsia" w:ascii="宋体" w:hAnsi="宋体" w:eastAsia="宋体" w:cs="宋体"/>
          <w:bCs/>
          <w:color w:val="000000"/>
          <w:sz w:val="24"/>
        </w:rPr>
        <w:t>责任。</w:t>
      </w:r>
    </w:p>
    <w:p w14:paraId="7BFD4C10">
      <w:pPr>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3.发包人和承包人通过招投标形式签订合同的，双方理解并承诺不再就同一</w:t>
      </w:r>
      <w:r>
        <w:rPr>
          <w:rFonts w:hint="eastAsia" w:ascii="宋体" w:hAnsi="宋体" w:eastAsia="宋体" w:cs="宋体"/>
          <w:bCs/>
          <w:color w:val="000000"/>
          <w:sz w:val="24"/>
          <w:lang w:val="en-US" w:eastAsia="zh-CN"/>
        </w:rPr>
        <w:t>项目</w:t>
      </w:r>
      <w:r>
        <w:rPr>
          <w:rFonts w:hint="eastAsia" w:ascii="宋体" w:hAnsi="宋体" w:eastAsia="宋体" w:cs="宋体"/>
          <w:bCs/>
          <w:color w:val="000000"/>
          <w:sz w:val="24"/>
        </w:rPr>
        <w:t>另行签订与合同实质性内容相背离的协议。</w:t>
      </w:r>
    </w:p>
    <w:p w14:paraId="7104F762">
      <w:pPr>
        <w:rPr>
          <w:rFonts w:hint="eastAsia" w:ascii="宋体" w:hAnsi="宋体" w:eastAsia="宋体" w:cs="宋体"/>
          <w:sz w:val="24"/>
        </w:rPr>
      </w:pPr>
      <w:bookmarkStart w:id="151" w:name="_Toc351203488"/>
      <w:r>
        <w:rPr>
          <w:rFonts w:hint="eastAsia" w:ascii="宋体" w:hAnsi="宋体" w:eastAsia="宋体" w:cs="宋体"/>
        </w:rPr>
        <w:t xml:space="preserve">   </w:t>
      </w:r>
      <w:r>
        <w:rPr>
          <w:rFonts w:hint="eastAsia" w:ascii="宋体" w:hAnsi="宋体" w:eastAsia="宋体" w:cs="宋体"/>
          <w:sz w:val="24"/>
        </w:rPr>
        <w:t xml:space="preserve"> 八、词语含义</w:t>
      </w:r>
      <w:bookmarkEnd w:id="151"/>
    </w:p>
    <w:p w14:paraId="098AB242">
      <w:pPr>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本协议书中词语含义与第二部分通用合同条款中赋予的含义相同。</w:t>
      </w:r>
    </w:p>
    <w:p w14:paraId="3FB98E87">
      <w:pPr>
        <w:rPr>
          <w:rFonts w:hint="eastAsia" w:ascii="宋体" w:hAnsi="宋体" w:eastAsia="宋体" w:cs="宋体"/>
          <w:sz w:val="24"/>
        </w:rPr>
      </w:pPr>
      <w:r>
        <w:rPr>
          <w:rFonts w:hint="eastAsia" w:ascii="宋体" w:hAnsi="宋体" w:eastAsia="宋体" w:cs="宋体"/>
          <w:sz w:val="24"/>
        </w:rPr>
        <w:t xml:space="preserve">    </w:t>
      </w:r>
      <w:bookmarkStart w:id="152" w:name="_Toc351203489"/>
      <w:r>
        <w:rPr>
          <w:rFonts w:hint="eastAsia" w:ascii="宋体" w:hAnsi="宋体" w:eastAsia="宋体" w:cs="宋体"/>
          <w:sz w:val="24"/>
        </w:rPr>
        <w:t>九、签订时间</w:t>
      </w:r>
      <w:bookmarkEnd w:id="152"/>
    </w:p>
    <w:p w14:paraId="4B2BEF2C">
      <w:pPr>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本合同于</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年</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月</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日签订。</w:t>
      </w:r>
    </w:p>
    <w:p w14:paraId="455C9DF3">
      <w:pPr>
        <w:rPr>
          <w:rFonts w:hint="eastAsia" w:ascii="宋体" w:hAnsi="宋体" w:eastAsia="宋体" w:cs="宋体"/>
          <w:sz w:val="24"/>
        </w:rPr>
      </w:pPr>
      <w:r>
        <w:rPr>
          <w:rFonts w:hint="eastAsia" w:ascii="宋体" w:hAnsi="宋体" w:eastAsia="宋体" w:cs="宋体"/>
          <w:sz w:val="24"/>
        </w:rPr>
        <w:t xml:space="preserve">    </w:t>
      </w:r>
      <w:bookmarkStart w:id="153" w:name="_Toc351203490"/>
      <w:r>
        <w:rPr>
          <w:rFonts w:hint="eastAsia" w:ascii="宋体" w:hAnsi="宋体" w:eastAsia="宋体" w:cs="宋体"/>
          <w:sz w:val="24"/>
        </w:rPr>
        <w:t>十、签订地点</w:t>
      </w:r>
      <w:bookmarkEnd w:id="153"/>
    </w:p>
    <w:p w14:paraId="12F16537">
      <w:pPr>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本合同在</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签订。</w:t>
      </w:r>
    </w:p>
    <w:p w14:paraId="0DD47D3F">
      <w:pPr>
        <w:rPr>
          <w:rFonts w:hint="eastAsia" w:ascii="宋体" w:hAnsi="宋体" w:eastAsia="宋体" w:cs="宋体"/>
          <w:sz w:val="24"/>
        </w:rPr>
      </w:pPr>
      <w:r>
        <w:rPr>
          <w:rFonts w:hint="eastAsia" w:ascii="宋体" w:hAnsi="宋体" w:eastAsia="宋体" w:cs="宋体"/>
          <w:sz w:val="24"/>
        </w:rPr>
        <w:t xml:space="preserve">    </w:t>
      </w:r>
      <w:bookmarkStart w:id="154" w:name="_Toc351203491"/>
      <w:r>
        <w:rPr>
          <w:rFonts w:hint="eastAsia" w:ascii="宋体" w:hAnsi="宋体" w:eastAsia="宋体" w:cs="宋体"/>
          <w:sz w:val="24"/>
        </w:rPr>
        <w:t>十一、补充协议</w:t>
      </w:r>
      <w:bookmarkEnd w:id="154"/>
    </w:p>
    <w:p w14:paraId="4D28CF86">
      <w:pPr>
        <w:ind w:firstLine="480" w:firstLineChars="200"/>
        <w:rPr>
          <w:rFonts w:hint="eastAsia" w:ascii="宋体" w:hAnsi="宋体" w:eastAsia="宋体" w:cs="宋体"/>
          <w:b/>
          <w:bCs/>
          <w:color w:val="000000"/>
          <w:sz w:val="24"/>
        </w:rPr>
      </w:pPr>
      <w:r>
        <w:rPr>
          <w:rFonts w:hint="eastAsia" w:ascii="宋体" w:hAnsi="宋体" w:eastAsia="宋体" w:cs="宋体"/>
          <w:bCs/>
          <w:color w:val="000000"/>
          <w:sz w:val="24"/>
        </w:rPr>
        <w:t>合同未尽事宜，合同当事人另行签订补充协议，补充协议是合同的组成部分。</w:t>
      </w:r>
    </w:p>
    <w:p w14:paraId="0C773029">
      <w:pPr>
        <w:rPr>
          <w:rFonts w:hint="eastAsia" w:ascii="宋体" w:hAnsi="宋体" w:eastAsia="宋体" w:cs="宋体"/>
          <w:sz w:val="24"/>
        </w:rPr>
      </w:pPr>
      <w:r>
        <w:rPr>
          <w:rFonts w:hint="eastAsia" w:ascii="宋体" w:hAnsi="宋体" w:eastAsia="宋体" w:cs="宋体"/>
          <w:sz w:val="24"/>
        </w:rPr>
        <w:t xml:space="preserve">    </w:t>
      </w:r>
      <w:bookmarkStart w:id="155" w:name="_Toc351203492"/>
      <w:r>
        <w:rPr>
          <w:rFonts w:hint="eastAsia" w:ascii="宋体" w:hAnsi="宋体" w:eastAsia="宋体" w:cs="宋体"/>
          <w:sz w:val="24"/>
        </w:rPr>
        <w:t>十二、合同生效</w:t>
      </w:r>
      <w:bookmarkEnd w:id="155"/>
    </w:p>
    <w:p w14:paraId="0AB4036A">
      <w:pPr>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本合同自</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生效。</w:t>
      </w:r>
    </w:p>
    <w:p w14:paraId="410E2400">
      <w:pPr>
        <w:rPr>
          <w:rFonts w:hint="eastAsia"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w:t>
      </w:r>
      <w:bookmarkStart w:id="156" w:name="_Toc351203493"/>
      <w:r>
        <w:rPr>
          <w:rFonts w:hint="eastAsia" w:ascii="宋体" w:hAnsi="宋体" w:eastAsia="宋体" w:cs="宋体"/>
          <w:sz w:val="24"/>
        </w:rPr>
        <w:t>十三、合同份数</w:t>
      </w:r>
      <w:bookmarkEnd w:id="156"/>
    </w:p>
    <w:p w14:paraId="4E894BDA">
      <w:pPr>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本合同一式</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份，均具有同等法律效力，发包人执</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份，承包人执</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份。</w:t>
      </w:r>
    </w:p>
    <w:p w14:paraId="52E8DF84">
      <w:pPr>
        <w:rPr>
          <w:rFonts w:hint="eastAsia" w:ascii="宋体" w:hAnsi="宋体" w:eastAsia="宋体" w:cs="宋体"/>
          <w:bCs/>
          <w:color w:val="000000"/>
          <w:sz w:val="24"/>
        </w:rPr>
      </w:pPr>
    </w:p>
    <w:p w14:paraId="078B56AA">
      <w:pPr>
        <w:rPr>
          <w:rFonts w:hint="eastAsia" w:ascii="宋体" w:hAnsi="宋体" w:eastAsia="宋体" w:cs="宋体"/>
          <w:bCs/>
          <w:color w:val="000000"/>
          <w:sz w:val="24"/>
        </w:rPr>
      </w:pPr>
    </w:p>
    <w:p w14:paraId="3B00F13F">
      <w:pPr>
        <w:rPr>
          <w:rFonts w:hint="eastAsia" w:ascii="宋体" w:hAnsi="宋体" w:eastAsia="宋体" w:cs="宋体"/>
          <w:bCs/>
          <w:color w:val="000000"/>
          <w:sz w:val="24"/>
        </w:rPr>
      </w:pPr>
    </w:p>
    <w:p w14:paraId="39A20EBC">
      <w:pPr>
        <w:rPr>
          <w:rFonts w:hint="eastAsia" w:ascii="宋体" w:hAnsi="宋体" w:eastAsia="宋体" w:cs="宋体"/>
          <w:color w:val="000000"/>
          <w:sz w:val="24"/>
        </w:rPr>
      </w:pPr>
    </w:p>
    <w:p w14:paraId="4A9682CD">
      <w:pPr>
        <w:rPr>
          <w:rFonts w:hint="eastAsia" w:ascii="宋体" w:hAnsi="宋体" w:eastAsia="宋体" w:cs="宋体"/>
          <w:color w:val="000000"/>
          <w:sz w:val="24"/>
        </w:rPr>
      </w:pPr>
      <w:r>
        <w:rPr>
          <w:rFonts w:hint="eastAsia" w:ascii="宋体" w:hAnsi="宋体" w:eastAsia="宋体" w:cs="宋体"/>
          <w:color w:val="000000"/>
          <w:sz w:val="24"/>
        </w:rPr>
        <w:t>发包人：  (公章)                        承包人：  (公章)</w:t>
      </w:r>
    </w:p>
    <w:p w14:paraId="536802C3">
      <w:pPr>
        <w:rPr>
          <w:rFonts w:hint="eastAsia" w:ascii="宋体" w:hAnsi="宋体" w:eastAsia="宋体" w:cs="宋体"/>
          <w:color w:val="000000"/>
          <w:sz w:val="24"/>
          <w:u w:val="single"/>
        </w:rPr>
      </w:pPr>
      <w:r>
        <w:rPr>
          <w:rFonts w:hint="eastAsia" w:ascii="宋体" w:hAnsi="宋体" w:eastAsia="宋体" w:cs="宋体"/>
          <w:color w:val="000000"/>
          <w:sz w:val="24"/>
        </w:rPr>
        <w:t xml:space="preserve">                                 </w:t>
      </w:r>
    </w:p>
    <w:p w14:paraId="22569508">
      <w:pPr>
        <w:rPr>
          <w:rFonts w:hint="eastAsia" w:ascii="宋体" w:hAnsi="宋体" w:eastAsia="宋体" w:cs="宋体"/>
          <w:color w:val="000000"/>
          <w:sz w:val="24"/>
        </w:rPr>
      </w:pPr>
      <w:r>
        <w:rPr>
          <w:rFonts w:hint="eastAsia" w:ascii="宋体" w:hAnsi="宋体" w:eastAsia="宋体" w:cs="宋体"/>
          <w:color w:val="000000"/>
          <w:sz w:val="24"/>
        </w:rPr>
        <w:t>法定代表人或其委托代理人：              法定代表人或其委托代理人：</w:t>
      </w:r>
    </w:p>
    <w:p w14:paraId="4604097E">
      <w:pPr>
        <w:rPr>
          <w:rFonts w:hint="eastAsia" w:ascii="宋体" w:hAnsi="宋体" w:eastAsia="宋体" w:cs="宋体"/>
          <w:color w:val="000000"/>
          <w:sz w:val="24"/>
        </w:rPr>
      </w:pPr>
      <w:r>
        <w:rPr>
          <w:rFonts w:hint="eastAsia" w:ascii="宋体" w:hAnsi="宋体" w:eastAsia="宋体" w:cs="宋体"/>
          <w:color w:val="000000"/>
          <w:sz w:val="24"/>
        </w:rPr>
        <w:t>（签字）                                （签字）</w:t>
      </w:r>
    </w:p>
    <w:p w14:paraId="24F64D9A">
      <w:pPr>
        <w:rPr>
          <w:rFonts w:hint="eastAsia" w:ascii="宋体" w:hAnsi="宋体" w:eastAsia="宋体" w:cs="宋体"/>
          <w:color w:val="000000"/>
          <w:sz w:val="24"/>
        </w:rPr>
      </w:pPr>
      <w:r>
        <w:rPr>
          <w:rFonts w:hint="eastAsia" w:ascii="宋体" w:hAnsi="宋体" w:eastAsia="宋体" w:cs="宋体"/>
          <w:color w:val="000000"/>
          <w:sz w:val="24"/>
        </w:rPr>
        <w:t>地  址：</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 xml:space="preserve">            地  址：</w:t>
      </w:r>
      <w:r>
        <w:rPr>
          <w:rFonts w:hint="eastAsia" w:ascii="宋体" w:hAnsi="宋体" w:eastAsia="宋体" w:cs="宋体"/>
          <w:color w:val="000000"/>
          <w:sz w:val="24"/>
          <w:u w:val="single"/>
        </w:rPr>
        <w:t xml:space="preserve">        </w:t>
      </w:r>
    </w:p>
    <w:p w14:paraId="7D802FFE">
      <w:pPr>
        <w:rPr>
          <w:rFonts w:hint="eastAsia" w:ascii="宋体" w:hAnsi="宋体" w:eastAsia="宋体" w:cs="宋体"/>
          <w:color w:val="000000"/>
          <w:sz w:val="24"/>
        </w:rPr>
      </w:pPr>
      <w:r>
        <w:rPr>
          <w:rFonts w:hint="eastAsia" w:ascii="宋体" w:hAnsi="宋体" w:eastAsia="宋体" w:cs="宋体"/>
          <w:color w:val="000000"/>
          <w:sz w:val="24"/>
        </w:rPr>
        <w:t>邮政编码：</w:t>
      </w:r>
      <w:r>
        <w:rPr>
          <w:rFonts w:hint="eastAsia" w:ascii="宋体" w:hAnsi="宋体" w:eastAsia="宋体" w:cs="宋体"/>
          <w:color w:val="000000"/>
          <w:sz w:val="24"/>
          <w:u w:val="single"/>
        </w:rPr>
        <w:t xml:space="preserve">      </w:t>
      </w:r>
      <w:r>
        <w:rPr>
          <w:rFonts w:hint="eastAsia" w:ascii="宋体" w:hAnsi="宋体" w:eastAsia="宋体" w:cs="宋体"/>
          <w:color w:val="000000"/>
          <w:sz w:val="24"/>
        </w:rPr>
        <w:t xml:space="preserve">            邮政编码：</w:t>
      </w:r>
      <w:r>
        <w:rPr>
          <w:rFonts w:hint="eastAsia" w:ascii="宋体" w:hAnsi="宋体" w:eastAsia="宋体" w:cs="宋体"/>
          <w:color w:val="000000"/>
          <w:sz w:val="24"/>
          <w:u w:val="single"/>
        </w:rPr>
        <w:t xml:space="preserve">   </w:t>
      </w:r>
    </w:p>
    <w:p w14:paraId="36AF905C">
      <w:pPr>
        <w:rPr>
          <w:rFonts w:hint="eastAsia" w:ascii="宋体" w:hAnsi="宋体" w:eastAsia="宋体" w:cs="宋体"/>
          <w:color w:val="000000"/>
          <w:sz w:val="24"/>
        </w:rPr>
      </w:pPr>
      <w:r>
        <w:rPr>
          <w:rFonts w:hint="eastAsia" w:ascii="宋体" w:hAnsi="宋体" w:eastAsia="宋体" w:cs="宋体"/>
          <w:color w:val="000000"/>
          <w:sz w:val="24"/>
        </w:rPr>
        <w:t>法定代表人：</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 xml:space="preserve">             法定代表人：</w:t>
      </w:r>
      <w:r>
        <w:rPr>
          <w:rFonts w:hint="eastAsia" w:ascii="宋体" w:hAnsi="宋体" w:eastAsia="宋体" w:cs="宋体"/>
          <w:color w:val="000000"/>
          <w:sz w:val="24"/>
          <w:u w:val="single"/>
        </w:rPr>
        <w:t xml:space="preserve">             </w:t>
      </w:r>
    </w:p>
    <w:p w14:paraId="0EBF619E">
      <w:pPr>
        <w:rPr>
          <w:rFonts w:hint="eastAsia" w:ascii="宋体" w:hAnsi="宋体" w:eastAsia="宋体" w:cs="宋体"/>
          <w:color w:val="000000"/>
          <w:sz w:val="24"/>
        </w:rPr>
      </w:pPr>
      <w:r>
        <w:rPr>
          <w:rFonts w:hint="eastAsia" w:ascii="宋体" w:hAnsi="宋体" w:eastAsia="宋体" w:cs="宋体"/>
          <w:color w:val="000000"/>
          <w:sz w:val="24"/>
        </w:rPr>
        <w:t>委托代理人：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委托代理人：</w:t>
      </w:r>
      <w:r>
        <w:rPr>
          <w:rFonts w:hint="eastAsia" w:ascii="宋体" w:hAnsi="宋体" w:eastAsia="宋体" w:cs="宋体"/>
          <w:color w:val="000000"/>
          <w:sz w:val="24"/>
          <w:u w:val="single"/>
        </w:rPr>
        <w:t xml:space="preserve">             </w:t>
      </w:r>
    </w:p>
    <w:p w14:paraId="38EC34C5">
      <w:pPr>
        <w:rPr>
          <w:rFonts w:hint="eastAsia" w:ascii="宋体" w:hAnsi="宋体" w:eastAsia="宋体" w:cs="宋体"/>
          <w:color w:val="000000"/>
          <w:sz w:val="24"/>
        </w:rPr>
      </w:pPr>
      <w:r>
        <w:rPr>
          <w:rFonts w:hint="eastAsia" w:ascii="宋体" w:hAnsi="宋体" w:eastAsia="宋体" w:cs="宋体"/>
          <w:color w:val="000000"/>
          <w:sz w:val="24"/>
        </w:rPr>
        <w:t>电  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电  话：</w:t>
      </w:r>
      <w:r>
        <w:rPr>
          <w:rFonts w:hint="eastAsia" w:ascii="宋体" w:hAnsi="宋体" w:eastAsia="宋体" w:cs="宋体"/>
          <w:color w:val="000000"/>
          <w:sz w:val="24"/>
          <w:u w:val="single"/>
        </w:rPr>
        <w:t xml:space="preserve">     </w:t>
      </w:r>
    </w:p>
    <w:p w14:paraId="1773D981">
      <w:pPr>
        <w:rPr>
          <w:rFonts w:hint="eastAsia" w:ascii="宋体" w:hAnsi="宋体" w:eastAsia="宋体" w:cs="宋体"/>
          <w:color w:val="000000"/>
          <w:sz w:val="24"/>
        </w:rPr>
      </w:pPr>
      <w:r>
        <w:rPr>
          <w:rFonts w:hint="eastAsia" w:ascii="宋体" w:hAnsi="宋体" w:eastAsia="宋体" w:cs="宋体"/>
          <w:color w:val="000000"/>
          <w:sz w:val="24"/>
        </w:rPr>
        <w:t>传  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传  真：</w:t>
      </w:r>
      <w:r>
        <w:rPr>
          <w:rFonts w:hint="eastAsia" w:ascii="宋体" w:hAnsi="宋体" w:eastAsia="宋体" w:cs="宋体"/>
          <w:color w:val="000000"/>
          <w:sz w:val="24"/>
          <w:u w:val="single"/>
        </w:rPr>
        <w:t xml:space="preserve">     </w:t>
      </w:r>
    </w:p>
    <w:p w14:paraId="0B2C083A">
      <w:pPr>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电子信箱：</w:t>
      </w:r>
      <w:r>
        <w:rPr>
          <w:rFonts w:hint="eastAsia" w:ascii="宋体" w:hAnsi="宋体" w:eastAsia="宋体" w:cs="宋体"/>
          <w:color w:val="000000"/>
          <w:sz w:val="24"/>
          <w:u w:val="single"/>
        </w:rPr>
        <w:t xml:space="preserve">   </w:t>
      </w:r>
    </w:p>
    <w:p w14:paraId="764C90F8">
      <w:pPr>
        <w:rPr>
          <w:rFonts w:hint="eastAsia" w:ascii="宋体" w:hAnsi="宋体" w:eastAsia="宋体" w:cs="宋体"/>
          <w:color w:val="000000"/>
          <w:sz w:val="24"/>
        </w:rPr>
      </w:pPr>
      <w:r>
        <w:rPr>
          <w:rFonts w:hint="eastAsia" w:ascii="宋体" w:hAnsi="宋体" w:eastAsia="宋体" w:cs="宋体"/>
          <w:color w:val="000000"/>
          <w:sz w:val="24"/>
        </w:rPr>
        <w:t>开户银行：</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开户银行：</w:t>
      </w:r>
      <w:r>
        <w:rPr>
          <w:rFonts w:hint="eastAsia" w:ascii="宋体" w:hAnsi="宋体" w:eastAsia="宋体" w:cs="宋体"/>
          <w:color w:val="000000"/>
          <w:sz w:val="24"/>
          <w:u w:val="single"/>
        </w:rPr>
        <w:t xml:space="preserve">   </w:t>
      </w:r>
    </w:p>
    <w:p w14:paraId="0A8AD66E">
      <w:pPr>
        <w:adjustRightInd w:val="0"/>
        <w:snapToGrid w:val="0"/>
        <w:rPr>
          <w:rFonts w:hint="eastAsia" w:ascii="宋体" w:hAnsi="宋体" w:eastAsia="宋体" w:cs="宋体"/>
          <w:bCs/>
          <w:sz w:val="24"/>
        </w:rPr>
      </w:pPr>
      <w:r>
        <w:rPr>
          <w:rFonts w:hint="eastAsia" w:ascii="宋体" w:hAnsi="宋体" w:eastAsia="宋体" w:cs="宋体"/>
          <w:color w:val="000000"/>
          <w:sz w:val="24"/>
        </w:rPr>
        <w:t>账  号：</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 xml:space="preserve">             账  号：</w:t>
      </w:r>
      <w:r>
        <w:rPr>
          <w:rFonts w:hint="eastAsia" w:ascii="宋体" w:hAnsi="宋体" w:eastAsia="宋体" w:cs="宋体"/>
          <w:color w:val="000000"/>
          <w:sz w:val="24"/>
          <w:u w:val="single"/>
        </w:rPr>
        <w:t xml:space="preserve">     </w:t>
      </w:r>
    </w:p>
    <w:p w14:paraId="76CF20A1">
      <w:pPr>
        <w:rPr>
          <w:rFonts w:hint="eastAsia" w:ascii="宋体" w:hAnsi="宋体" w:eastAsia="宋体" w:cs="宋体"/>
          <w:lang w:eastAsia="zh-CN"/>
        </w:rPr>
      </w:pPr>
      <w:r>
        <w:rPr>
          <w:rFonts w:hint="eastAsia" w:ascii="宋体" w:hAnsi="宋体" w:eastAsia="宋体" w:cs="宋体"/>
        </w:rPr>
        <w:br w:type="page"/>
      </w:r>
    </w:p>
    <w:p w14:paraId="25A1FDF2">
      <w:pPr>
        <w:rPr>
          <w:rFonts w:hint="eastAsia" w:ascii="宋体" w:hAnsi="宋体" w:eastAsia="宋体" w:cs="宋体"/>
        </w:rPr>
      </w:pPr>
    </w:p>
    <w:p w14:paraId="4792A781">
      <w:pPr>
        <w:pStyle w:val="3"/>
        <w:jc w:val="center"/>
        <w:rPr>
          <w:rFonts w:hint="eastAsia" w:ascii="宋体" w:hAnsi="宋体" w:eastAsia="宋体" w:cs="宋体"/>
          <w:sz w:val="28"/>
          <w:szCs w:val="28"/>
          <w:lang w:eastAsia="zh-CN"/>
        </w:rPr>
      </w:pPr>
      <w:bookmarkStart w:id="157" w:name="_Toc4426"/>
      <w:r>
        <w:rPr>
          <w:rFonts w:hint="eastAsia" w:ascii="宋体" w:hAnsi="宋体" w:eastAsia="宋体" w:cs="宋体"/>
          <w:sz w:val="28"/>
          <w:szCs w:val="28"/>
        </w:rPr>
        <w:t>第</w:t>
      </w:r>
      <w:r>
        <w:rPr>
          <w:rFonts w:hint="eastAsia" w:ascii="宋体" w:hAnsi="宋体" w:eastAsia="宋体" w:cs="宋体"/>
          <w:sz w:val="28"/>
          <w:szCs w:val="28"/>
          <w:lang w:eastAsia="zh-CN"/>
        </w:rPr>
        <w:t>二</w:t>
      </w:r>
      <w:r>
        <w:rPr>
          <w:rFonts w:hint="eastAsia" w:ascii="宋体" w:hAnsi="宋体" w:eastAsia="宋体" w:cs="宋体"/>
          <w:sz w:val="28"/>
          <w:szCs w:val="28"/>
        </w:rPr>
        <w:t xml:space="preserve">部分 </w:t>
      </w:r>
      <w:r>
        <w:rPr>
          <w:rFonts w:hint="eastAsia" w:ascii="宋体" w:hAnsi="宋体" w:eastAsia="宋体" w:cs="宋体"/>
          <w:sz w:val="28"/>
          <w:szCs w:val="28"/>
          <w:lang w:eastAsia="zh-CN"/>
        </w:rPr>
        <w:t xml:space="preserve"> 通用合同条款</w:t>
      </w:r>
      <w:bookmarkEnd w:id="157"/>
    </w:p>
    <w:p w14:paraId="52005BAF">
      <w:pPr>
        <w:rPr>
          <w:rFonts w:hint="eastAsia" w:ascii="宋体" w:hAnsi="宋体" w:eastAsia="宋体" w:cs="宋体"/>
          <w:b/>
          <w:sz w:val="28"/>
          <w:szCs w:val="28"/>
        </w:rPr>
      </w:pPr>
      <w:r>
        <w:rPr>
          <w:rFonts w:hint="eastAsia" w:ascii="宋体" w:hAnsi="宋体" w:eastAsia="宋体" w:cs="宋体"/>
          <w:b/>
          <w:sz w:val="28"/>
          <w:szCs w:val="28"/>
        </w:rPr>
        <w:t>略:</w:t>
      </w:r>
    </w:p>
    <w:p w14:paraId="1CFD1A21">
      <w:pPr>
        <w:jc w:val="center"/>
        <w:rPr>
          <w:rFonts w:hint="eastAsia" w:ascii="宋体" w:hAnsi="宋体" w:eastAsia="宋体" w:cs="宋体"/>
          <w:color w:val="000000"/>
          <w:sz w:val="28"/>
          <w:szCs w:val="28"/>
          <w:u w:val="single"/>
        </w:rPr>
      </w:pPr>
      <w:r>
        <w:rPr>
          <w:rFonts w:hint="eastAsia" w:ascii="宋体" w:hAnsi="宋体" w:eastAsia="宋体" w:cs="宋体"/>
          <w:sz w:val="28"/>
          <w:szCs w:val="28"/>
        </w:rPr>
        <w:t>原文不加修改的引用国家工商行政管理总局制定的《建设工程施工合同》（GF-2017-0201）中“通用合同条款”。</w:t>
      </w:r>
    </w:p>
    <w:p w14:paraId="50450A8F">
      <w:pPr>
        <w:rPr>
          <w:rFonts w:hint="eastAsia" w:ascii="宋体" w:hAnsi="宋体" w:eastAsia="宋体" w:cs="宋体"/>
        </w:rPr>
      </w:pPr>
    </w:p>
    <w:p w14:paraId="540D8409">
      <w:pPr>
        <w:rPr>
          <w:rFonts w:hint="eastAsia" w:ascii="宋体" w:hAnsi="宋体" w:eastAsia="宋体" w:cs="宋体"/>
        </w:rPr>
      </w:pPr>
    </w:p>
    <w:p w14:paraId="47FD9576">
      <w:pPr>
        <w:rPr>
          <w:rFonts w:hint="eastAsia" w:ascii="宋体" w:hAnsi="宋体" w:eastAsia="宋体" w:cs="宋体"/>
        </w:rPr>
      </w:pPr>
    </w:p>
    <w:p w14:paraId="5EE813FC">
      <w:pPr>
        <w:rPr>
          <w:rFonts w:hint="eastAsia" w:ascii="宋体" w:hAnsi="宋体" w:eastAsia="宋体" w:cs="宋体"/>
        </w:rPr>
      </w:pPr>
    </w:p>
    <w:p w14:paraId="024781CF">
      <w:pPr>
        <w:rPr>
          <w:rFonts w:hint="eastAsia" w:ascii="宋体" w:hAnsi="宋体" w:eastAsia="宋体" w:cs="宋体"/>
        </w:rPr>
      </w:pPr>
    </w:p>
    <w:p w14:paraId="0933BC9C">
      <w:pPr>
        <w:rPr>
          <w:rFonts w:hint="eastAsia" w:ascii="宋体" w:hAnsi="宋体" w:eastAsia="宋体" w:cs="宋体"/>
        </w:rPr>
      </w:pPr>
    </w:p>
    <w:p w14:paraId="0B627C41">
      <w:pPr>
        <w:rPr>
          <w:rFonts w:hint="eastAsia" w:ascii="宋体" w:hAnsi="宋体" w:eastAsia="宋体" w:cs="宋体"/>
        </w:rPr>
      </w:pPr>
    </w:p>
    <w:p w14:paraId="40CCB3F7">
      <w:pPr>
        <w:rPr>
          <w:rFonts w:hint="eastAsia" w:ascii="宋体" w:hAnsi="宋体" w:eastAsia="宋体" w:cs="宋体"/>
        </w:rPr>
      </w:pPr>
    </w:p>
    <w:p w14:paraId="66C8A9BE">
      <w:pPr>
        <w:rPr>
          <w:rFonts w:hint="eastAsia" w:ascii="宋体" w:hAnsi="宋体" w:eastAsia="宋体" w:cs="宋体"/>
        </w:rPr>
      </w:pPr>
    </w:p>
    <w:p w14:paraId="71F26476">
      <w:pPr>
        <w:rPr>
          <w:rFonts w:hint="eastAsia" w:ascii="宋体" w:hAnsi="宋体" w:eastAsia="宋体" w:cs="宋体"/>
        </w:rPr>
      </w:pPr>
    </w:p>
    <w:p w14:paraId="61383852">
      <w:pPr>
        <w:rPr>
          <w:rFonts w:hint="eastAsia" w:ascii="宋体" w:hAnsi="宋体" w:eastAsia="宋体" w:cs="宋体"/>
        </w:rPr>
      </w:pPr>
    </w:p>
    <w:p w14:paraId="39C4DDAD">
      <w:pPr>
        <w:rPr>
          <w:rFonts w:hint="eastAsia" w:ascii="宋体" w:hAnsi="宋体" w:eastAsia="宋体" w:cs="宋体"/>
        </w:rPr>
      </w:pPr>
    </w:p>
    <w:p w14:paraId="361E58DF">
      <w:pPr>
        <w:rPr>
          <w:rFonts w:hint="eastAsia" w:ascii="宋体" w:hAnsi="宋体" w:eastAsia="宋体" w:cs="宋体"/>
        </w:rPr>
      </w:pPr>
    </w:p>
    <w:p w14:paraId="718716E2">
      <w:pPr>
        <w:rPr>
          <w:rFonts w:hint="eastAsia" w:ascii="宋体" w:hAnsi="宋体" w:eastAsia="宋体" w:cs="宋体"/>
        </w:rPr>
      </w:pPr>
    </w:p>
    <w:p w14:paraId="1783D9B8">
      <w:pPr>
        <w:rPr>
          <w:rFonts w:hint="eastAsia" w:ascii="宋体" w:hAnsi="宋体" w:eastAsia="宋体" w:cs="宋体"/>
        </w:rPr>
      </w:pPr>
    </w:p>
    <w:p w14:paraId="05953412">
      <w:pPr>
        <w:rPr>
          <w:rFonts w:hint="eastAsia" w:ascii="宋体" w:hAnsi="宋体" w:eastAsia="宋体" w:cs="宋体"/>
        </w:rPr>
      </w:pPr>
    </w:p>
    <w:p w14:paraId="4EFAB8C9">
      <w:pPr>
        <w:rPr>
          <w:rFonts w:hint="eastAsia" w:ascii="宋体" w:hAnsi="宋体" w:eastAsia="宋体" w:cs="宋体"/>
        </w:rPr>
      </w:pPr>
    </w:p>
    <w:p w14:paraId="0DC9B3F7">
      <w:pPr>
        <w:rPr>
          <w:rFonts w:hint="eastAsia" w:ascii="宋体" w:hAnsi="宋体" w:eastAsia="宋体" w:cs="宋体"/>
        </w:rPr>
      </w:pPr>
    </w:p>
    <w:p w14:paraId="36DEFF6F">
      <w:pPr>
        <w:rPr>
          <w:rFonts w:hint="eastAsia" w:ascii="宋体" w:hAnsi="宋体" w:eastAsia="宋体" w:cs="宋体"/>
        </w:rPr>
      </w:pPr>
    </w:p>
    <w:p w14:paraId="68DD5560">
      <w:pPr>
        <w:rPr>
          <w:rFonts w:hint="eastAsia" w:ascii="宋体" w:hAnsi="宋体" w:eastAsia="宋体" w:cs="宋体"/>
        </w:rPr>
      </w:pPr>
    </w:p>
    <w:p w14:paraId="31AE70D6">
      <w:pPr>
        <w:rPr>
          <w:rFonts w:hint="eastAsia" w:ascii="宋体" w:hAnsi="宋体" w:eastAsia="宋体" w:cs="宋体"/>
        </w:rPr>
      </w:pPr>
    </w:p>
    <w:p w14:paraId="740C6C99">
      <w:pPr>
        <w:pStyle w:val="3"/>
        <w:jc w:val="center"/>
        <w:rPr>
          <w:rFonts w:hint="eastAsia" w:ascii="宋体" w:hAnsi="宋体" w:eastAsia="宋体" w:cs="宋体"/>
          <w:sz w:val="28"/>
          <w:szCs w:val="28"/>
          <w:lang w:eastAsia="zh-CN"/>
        </w:rPr>
      </w:pPr>
      <w:bookmarkStart w:id="158" w:name="_Toc18482"/>
      <w:r>
        <w:rPr>
          <w:rFonts w:hint="eastAsia" w:ascii="宋体" w:hAnsi="宋体" w:eastAsia="宋体" w:cs="宋体"/>
          <w:sz w:val="28"/>
          <w:szCs w:val="28"/>
        </w:rPr>
        <w:t>第</w:t>
      </w:r>
      <w:r>
        <w:rPr>
          <w:rFonts w:hint="eastAsia" w:ascii="宋体" w:hAnsi="宋体" w:eastAsia="宋体" w:cs="宋体"/>
          <w:sz w:val="28"/>
          <w:szCs w:val="28"/>
          <w:lang w:eastAsia="zh-CN"/>
        </w:rPr>
        <w:t>三</w:t>
      </w:r>
      <w:r>
        <w:rPr>
          <w:rFonts w:hint="eastAsia" w:ascii="宋体" w:hAnsi="宋体" w:eastAsia="宋体" w:cs="宋体"/>
          <w:sz w:val="28"/>
          <w:szCs w:val="28"/>
        </w:rPr>
        <w:t xml:space="preserve">部分 </w:t>
      </w:r>
      <w:r>
        <w:rPr>
          <w:rFonts w:hint="eastAsia" w:ascii="宋体" w:hAnsi="宋体" w:eastAsia="宋体" w:cs="宋体"/>
          <w:sz w:val="28"/>
          <w:szCs w:val="28"/>
          <w:lang w:eastAsia="zh-CN"/>
        </w:rPr>
        <w:t xml:space="preserve"> 专用合同条款</w:t>
      </w:r>
      <w:bookmarkEnd w:id="158"/>
    </w:p>
    <w:p w14:paraId="367D4809">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bookmarkStart w:id="159" w:name="_Toc260172864"/>
      <w:bookmarkStart w:id="160" w:name="_Toc487670000"/>
      <w:bookmarkStart w:id="161" w:name="_Toc272432278"/>
      <w:bookmarkStart w:id="162" w:name="_Toc262675574"/>
      <w:bookmarkStart w:id="163" w:name="_Toc244121906"/>
      <w:bookmarkStart w:id="164" w:name="_Toc312946518"/>
      <w:r>
        <w:rPr>
          <w:rFonts w:hint="eastAsia" w:ascii="宋体" w:hAnsi="宋体" w:eastAsia="宋体" w:cs="宋体"/>
          <w:color w:val="000000"/>
          <w:sz w:val="24"/>
        </w:rPr>
        <w:t>1. 一般约定</w:t>
      </w:r>
      <w:bookmarkEnd w:id="159"/>
      <w:bookmarkEnd w:id="160"/>
      <w:bookmarkEnd w:id="161"/>
      <w:bookmarkEnd w:id="162"/>
      <w:bookmarkEnd w:id="163"/>
      <w:bookmarkEnd w:id="164"/>
    </w:p>
    <w:p w14:paraId="659ED8DC">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bookmarkStart w:id="165" w:name="_Toc491246879"/>
      <w:bookmarkStart w:id="166" w:name="_Toc487670002"/>
      <w:bookmarkStart w:id="167" w:name="_Toc262675576"/>
      <w:bookmarkStart w:id="168" w:name="_Toc272432280"/>
      <w:bookmarkStart w:id="169" w:name="_Toc312946520"/>
      <w:bookmarkStart w:id="170" w:name="_Toc209499032"/>
      <w:bookmarkStart w:id="171" w:name="_Toc244121908"/>
      <w:r>
        <w:rPr>
          <w:rFonts w:hint="eastAsia" w:ascii="宋体" w:hAnsi="宋体" w:eastAsia="宋体" w:cs="宋体"/>
          <w:color w:val="000000"/>
          <w:sz w:val="24"/>
        </w:rPr>
        <w:t>1.4 合同文件的优先顺序</w:t>
      </w:r>
      <w:bookmarkEnd w:id="165"/>
      <w:bookmarkEnd w:id="166"/>
      <w:bookmarkEnd w:id="167"/>
      <w:bookmarkEnd w:id="168"/>
      <w:bookmarkEnd w:id="169"/>
      <w:bookmarkEnd w:id="170"/>
      <w:bookmarkEnd w:id="171"/>
    </w:p>
    <w:p w14:paraId="725C619D">
      <w:pPr>
        <w:pStyle w:val="81"/>
        <w:tabs>
          <w:tab w:val="left" w:pos="1620"/>
        </w:tabs>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进入合同文件的各项文件及其优先顺序是：</w:t>
      </w:r>
    </w:p>
    <w:p w14:paraId="3E98386F">
      <w:pPr>
        <w:pStyle w:val="81"/>
        <w:tabs>
          <w:tab w:val="left" w:pos="1620"/>
        </w:tabs>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⑴ 合同协议书（包括会议纪要、补充协议）</w:t>
      </w:r>
    </w:p>
    <w:p w14:paraId="658E0913">
      <w:pPr>
        <w:pStyle w:val="81"/>
        <w:tabs>
          <w:tab w:val="left" w:pos="1620"/>
        </w:tabs>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⑵ 成交通知书</w:t>
      </w:r>
    </w:p>
    <w:p w14:paraId="0AA73FC1">
      <w:pPr>
        <w:pStyle w:val="81"/>
        <w:tabs>
          <w:tab w:val="left" w:pos="1620"/>
        </w:tabs>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⑶ 投标报价书</w:t>
      </w:r>
    </w:p>
    <w:p w14:paraId="3C32CC0D">
      <w:pPr>
        <w:pStyle w:val="81"/>
        <w:tabs>
          <w:tab w:val="left" w:pos="1620"/>
        </w:tabs>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⑷ 竞争性磋商文件及响应文件</w:t>
      </w:r>
    </w:p>
    <w:p w14:paraId="1435D08F">
      <w:pPr>
        <w:pStyle w:val="81"/>
        <w:tabs>
          <w:tab w:val="left" w:pos="1620"/>
        </w:tabs>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⑸ 通用合同条款</w:t>
      </w:r>
    </w:p>
    <w:p w14:paraId="38C28CA2">
      <w:pPr>
        <w:pStyle w:val="81"/>
        <w:tabs>
          <w:tab w:val="left" w:pos="1620"/>
        </w:tabs>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⑹ 技术条款和要求</w:t>
      </w:r>
    </w:p>
    <w:p w14:paraId="70598721">
      <w:pPr>
        <w:pStyle w:val="81"/>
        <w:tabs>
          <w:tab w:val="left" w:pos="1620"/>
        </w:tabs>
        <w:autoSpaceDE w:val="0"/>
        <w:autoSpaceDN w:val="0"/>
        <w:adjustRightInd w:val="0"/>
        <w:snapToGrid w:val="0"/>
        <w:spacing w:line="360" w:lineRule="auto"/>
        <w:ind w:firstLine="480" w:firstLineChars="200"/>
        <w:jc w:val="left"/>
        <w:rPr>
          <w:rFonts w:hint="eastAsia" w:ascii="宋体" w:hAnsi="宋体" w:eastAsia="宋体" w:cs="宋体"/>
          <w:color w:val="000000"/>
          <w:sz w:val="24"/>
          <w:highlight w:val="yellow"/>
        </w:rPr>
      </w:pPr>
      <w:r>
        <w:rPr>
          <w:rFonts w:hint="eastAsia" w:ascii="宋体" w:hAnsi="宋体" w:eastAsia="宋体" w:cs="宋体"/>
          <w:color w:val="000000"/>
          <w:sz w:val="24"/>
          <w:highlight w:val="none"/>
        </w:rPr>
        <w:t>⑺ 图纸</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若有</w:t>
      </w:r>
      <w:r>
        <w:rPr>
          <w:rFonts w:hint="eastAsia" w:ascii="宋体" w:hAnsi="宋体" w:eastAsia="宋体" w:cs="宋体"/>
          <w:color w:val="000000"/>
          <w:sz w:val="24"/>
          <w:highlight w:val="none"/>
          <w:lang w:eastAsia="zh-CN"/>
        </w:rPr>
        <w:t>）</w:t>
      </w:r>
    </w:p>
    <w:p w14:paraId="6D9C1B2D">
      <w:pPr>
        <w:pStyle w:val="81"/>
        <w:tabs>
          <w:tab w:val="left" w:pos="1620"/>
        </w:tabs>
        <w:autoSpaceDE w:val="0"/>
        <w:autoSpaceDN w:val="0"/>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⑻经双方确认进入合同的其它文件（如发包人有关</w:t>
      </w:r>
      <w:bookmarkStart w:id="172" w:name="_Toc201058953"/>
      <w:bookmarkStart w:id="173" w:name="_Toc209499034"/>
      <w:bookmarkStart w:id="174" w:name="_Toc491246881"/>
      <w:r>
        <w:rPr>
          <w:rFonts w:hint="eastAsia" w:ascii="宋体" w:hAnsi="宋体" w:eastAsia="宋体" w:cs="宋体"/>
          <w:color w:val="000000"/>
          <w:sz w:val="24"/>
          <w:lang w:val="en-US" w:eastAsia="zh-CN"/>
        </w:rPr>
        <w:t>技术服务</w:t>
      </w:r>
      <w:r>
        <w:rPr>
          <w:rFonts w:hint="eastAsia" w:ascii="宋体" w:hAnsi="宋体" w:eastAsia="宋体" w:cs="宋体"/>
          <w:color w:val="000000"/>
          <w:sz w:val="24"/>
        </w:rPr>
        <w:t>的洽谈、变更等书面协议，以及</w:t>
      </w:r>
      <w:r>
        <w:rPr>
          <w:rFonts w:hint="eastAsia" w:ascii="宋体" w:hAnsi="宋体" w:eastAsia="宋体" w:cs="宋体"/>
          <w:color w:val="000000"/>
          <w:sz w:val="24"/>
          <w:lang w:val="en-US" w:eastAsia="zh-CN"/>
        </w:rPr>
        <w:t>服务售后</w:t>
      </w:r>
      <w:r>
        <w:rPr>
          <w:rFonts w:hint="eastAsia" w:ascii="宋体" w:hAnsi="宋体" w:eastAsia="宋体" w:cs="宋体"/>
          <w:color w:val="000000"/>
          <w:sz w:val="24"/>
        </w:rPr>
        <w:t>保修协议书、安全生产协议书、廉政协议书等）</w:t>
      </w:r>
    </w:p>
    <w:bookmarkEnd w:id="172"/>
    <w:bookmarkEnd w:id="173"/>
    <w:bookmarkEnd w:id="174"/>
    <w:p w14:paraId="75C234D0">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bookmarkStart w:id="175" w:name="_Toc487670010"/>
      <w:bookmarkStart w:id="176" w:name="_Toc223245856"/>
      <w:bookmarkStart w:id="177" w:name="_Toc209499040"/>
      <w:bookmarkStart w:id="178" w:name="_Toc491246886"/>
      <w:bookmarkStart w:id="179" w:name="_Toc229450920"/>
      <w:bookmarkStart w:id="180" w:name="_Toc312946528"/>
      <w:bookmarkStart w:id="181" w:name="_Toc262675584"/>
      <w:bookmarkStart w:id="182" w:name="_Toc272432288"/>
      <w:r>
        <w:rPr>
          <w:rFonts w:hint="eastAsia" w:ascii="宋体" w:hAnsi="宋体" w:eastAsia="宋体" w:cs="宋体"/>
          <w:color w:val="000000"/>
          <w:sz w:val="24"/>
        </w:rPr>
        <w:t xml:space="preserve">3 </w:t>
      </w:r>
      <w:bookmarkEnd w:id="175"/>
      <w:bookmarkEnd w:id="176"/>
      <w:bookmarkEnd w:id="177"/>
      <w:bookmarkEnd w:id="178"/>
      <w:bookmarkEnd w:id="179"/>
      <w:bookmarkEnd w:id="180"/>
      <w:bookmarkEnd w:id="181"/>
      <w:bookmarkEnd w:id="182"/>
      <w:r>
        <w:rPr>
          <w:rFonts w:hint="eastAsia" w:ascii="宋体" w:hAnsi="宋体" w:eastAsia="宋体" w:cs="宋体"/>
          <w:color w:val="000000"/>
          <w:sz w:val="24"/>
        </w:rPr>
        <w:t>承包人</w:t>
      </w:r>
    </w:p>
    <w:p w14:paraId="6A57D1E2">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lang w:eastAsia="zh-CN"/>
        </w:rPr>
      </w:pPr>
      <w:r>
        <w:rPr>
          <w:rFonts w:hint="eastAsia" w:ascii="宋体" w:hAnsi="宋体" w:eastAsia="宋体" w:cs="宋体"/>
          <w:color w:val="000000"/>
          <w:sz w:val="24"/>
        </w:rPr>
        <w:t xml:space="preserve">3.2 </w:t>
      </w:r>
      <w:r>
        <w:rPr>
          <w:rFonts w:hint="eastAsia" w:ascii="宋体" w:hAnsi="宋体" w:eastAsia="宋体" w:cs="宋体"/>
          <w:color w:val="000000"/>
          <w:sz w:val="24"/>
          <w:lang w:eastAsia="zh-CN"/>
        </w:rPr>
        <w:t>项目负责人</w:t>
      </w:r>
    </w:p>
    <w:p w14:paraId="1CC78A26">
      <w:pPr>
        <w:pStyle w:val="81"/>
        <w:tabs>
          <w:tab w:val="left" w:pos="1620"/>
        </w:tabs>
        <w:autoSpaceDE w:val="0"/>
        <w:autoSpaceDN w:val="0"/>
        <w:adjustRightInd w:val="0"/>
        <w:snapToGrid w:val="0"/>
        <w:spacing w:line="360" w:lineRule="auto"/>
        <w:ind w:firstLine="424" w:firstLineChars="177"/>
        <w:jc w:val="left"/>
        <w:rPr>
          <w:rFonts w:hint="eastAsia" w:ascii="宋体" w:hAnsi="宋体" w:eastAsia="宋体" w:cs="宋体"/>
          <w:color w:val="000000"/>
          <w:sz w:val="24"/>
        </w:rPr>
      </w:pPr>
      <w:r>
        <w:rPr>
          <w:rFonts w:hint="eastAsia" w:ascii="宋体" w:hAnsi="宋体" w:eastAsia="宋体" w:cs="宋体"/>
          <w:color w:val="000000"/>
          <w:sz w:val="24"/>
        </w:rPr>
        <w:t>承包人应按合同约定指派项目</w:t>
      </w:r>
      <w:r>
        <w:rPr>
          <w:rFonts w:hint="eastAsia" w:ascii="宋体" w:hAnsi="宋体" w:eastAsia="宋体" w:cs="宋体"/>
          <w:color w:val="000000"/>
          <w:sz w:val="24"/>
          <w:lang w:val="en-US" w:eastAsia="zh-CN"/>
        </w:rPr>
        <w:t>负责人</w:t>
      </w:r>
      <w:r>
        <w:rPr>
          <w:rFonts w:hint="eastAsia" w:ascii="宋体" w:hAnsi="宋体" w:eastAsia="宋体" w:cs="宋体"/>
          <w:color w:val="000000"/>
          <w:sz w:val="24"/>
        </w:rPr>
        <w:t>，并在约定的期限内到职，且</w:t>
      </w:r>
      <w:r>
        <w:rPr>
          <w:rFonts w:hint="eastAsia" w:ascii="宋体" w:hAnsi="宋体" w:eastAsia="宋体" w:cs="宋体"/>
          <w:color w:val="000000"/>
          <w:sz w:val="24"/>
          <w:lang w:eastAsia="zh-CN"/>
        </w:rPr>
        <w:t>项目负责人</w:t>
      </w:r>
      <w:r>
        <w:rPr>
          <w:rFonts w:hint="eastAsia" w:ascii="宋体" w:hAnsi="宋体" w:eastAsia="宋体" w:cs="宋体"/>
          <w:color w:val="000000"/>
          <w:sz w:val="24"/>
        </w:rPr>
        <w:t>驻工地的时间不得少于15天。若承包人更换</w:t>
      </w:r>
      <w:r>
        <w:rPr>
          <w:rFonts w:hint="eastAsia" w:ascii="宋体" w:hAnsi="宋体" w:eastAsia="宋体" w:cs="宋体"/>
          <w:color w:val="000000"/>
          <w:sz w:val="24"/>
          <w:lang w:eastAsia="zh-CN"/>
        </w:rPr>
        <w:t>项目负责人</w:t>
      </w:r>
      <w:r>
        <w:rPr>
          <w:rFonts w:hint="eastAsia" w:ascii="宋体" w:hAnsi="宋体" w:eastAsia="宋体" w:cs="宋体"/>
          <w:color w:val="000000"/>
          <w:sz w:val="24"/>
        </w:rPr>
        <w:t>应事先征得发包人同意，并应在更换14天前通知发包人和监理人。承包人</w:t>
      </w:r>
      <w:r>
        <w:rPr>
          <w:rFonts w:hint="eastAsia" w:ascii="宋体" w:hAnsi="宋体" w:eastAsia="宋体" w:cs="宋体"/>
          <w:color w:val="000000"/>
          <w:sz w:val="24"/>
          <w:lang w:eastAsia="zh-CN"/>
        </w:rPr>
        <w:t>项目负责人</w:t>
      </w:r>
      <w:r>
        <w:rPr>
          <w:rFonts w:hint="eastAsia" w:ascii="宋体" w:hAnsi="宋体" w:eastAsia="宋体" w:cs="宋体"/>
          <w:color w:val="000000"/>
          <w:sz w:val="24"/>
        </w:rPr>
        <w:t>短期离开</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场地，应事先征得发包人或监理人的同意，并委派代表代行其职责。</w:t>
      </w:r>
    </w:p>
    <w:p w14:paraId="581CFEE9">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3.5分包</w:t>
      </w:r>
    </w:p>
    <w:p w14:paraId="0931B607">
      <w:pPr>
        <w:pStyle w:val="81"/>
        <w:tabs>
          <w:tab w:val="left" w:pos="1620"/>
        </w:tabs>
        <w:autoSpaceDE w:val="0"/>
        <w:autoSpaceDN w:val="0"/>
        <w:adjustRightInd w:val="0"/>
        <w:snapToGrid w:val="0"/>
        <w:spacing w:line="360" w:lineRule="auto"/>
        <w:ind w:firstLine="424" w:firstLineChars="177"/>
        <w:jc w:val="left"/>
        <w:rPr>
          <w:rFonts w:hint="eastAsia" w:ascii="宋体" w:hAnsi="宋体" w:eastAsia="宋体" w:cs="宋体"/>
          <w:color w:val="000000"/>
          <w:sz w:val="24"/>
        </w:rPr>
      </w:pPr>
      <w:r>
        <w:rPr>
          <w:rFonts w:hint="eastAsia" w:ascii="宋体" w:hAnsi="宋体" w:eastAsia="宋体" w:cs="宋体"/>
          <w:color w:val="000000"/>
          <w:sz w:val="24"/>
          <w:highlight w:val="none"/>
        </w:rPr>
        <w:t>本项目除均不允许分包。</w:t>
      </w:r>
    </w:p>
    <w:p w14:paraId="07B5FC86">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3.7履约担保</w:t>
      </w:r>
    </w:p>
    <w:p w14:paraId="343A145A">
      <w:pPr>
        <w:pStyle w:val="81"/>
        <w:tabs>
          <w:tab w:val="left" w:pos="1620"/>
        </w:tabs>
        <w:autoSpaceDE w:val="0"/>
        <w:autoSpaceDN w:val="0"/>
        <w:adjustRightInd w:val="0"/>
        <w:snapToGrid w:val="0"/>
        <w:spacing w:line="360" w:lineRule="auto"/>
        <w:ind w:firstLine="424" w:firstLineChars="177"/>
        <w:jc w:val="left"/>
        <w:rPr>
          <w:rFonts w:hint="eastAsia" w:ascii="宋体" w:hAnsi="宋体" w:eastAsia="宋体" w:cs="宋体"/>
          <w:color w:val="000000"/>
          <w:sz w:val="24"/>
        </w:rPr>
      </w:pPr>
      <w:r>
        <w:rPr>
          <w:rFonts w:hint="eastAsia" w:ascii="宋体" w:hAnsi="宋体" w:eastAsia="宋体" w:cs="宋体"/>
          <w:color w:val="000000"/>
          <w:sz w:val="24"/>
        </w:rPr>
        <w:t>本合同工程履约担保金为合同价款的5%，采用现金形式进行履约担保。签订合同前，承包人必须向发包人提交投标人须知前附表中所规定金额的现金作为履约担保。在其有效期内，若承包人违约，按合同约定需要支付违约金或发包人要求赔偿损失时，可从承包人履约保证金中直接扣回。履约保证金不足以支付违约金或发包人的损失时，发包人可从应支付给承包人的</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价款和所扣留的其它款项中扣除。</w:t>
      </w:r>
    </w:p>
    <w:p w14:paraId="7140463F">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3.8 联合体</w:t>
      </w:r>
    </w:p>
    <w:p w14:paraId="312ABE7D">
      <w:pPr>
        <w:pStyle w:val="81"/>
        <w:tabs>
          <w:tab w:val="left" w:pos="1620"/>
        </w:tabs>
        <w:autoSpaceDE w:val="0"/>
        <w:autoSpaceDN w:val="0"/>
        <w:adjustRightInd w:val="0"/>
        <w:snapToGrid w:val="0"/>
        <w:spacing w:line="360" w:lineRule="auto"/>
        <w:ind w:firstLine="424" w:firstLineChars="177"/>
        <w:jc w:val="left"/>
        <w:rPr>
          <w:rFonts w:hint="eastAsia" w:ascii="宋体" w:hAnsi="宋体" w:eastAsia="宋体" w:cs="宋体"/>
          <w:color w:val="000000"/>
          <w:sz w:val="24"/>
        </w:rPr>
      </w:pPr>
      <w:r>
        <w:rPr>
          <w:rFonts w:hint="eastAsia" w:ascii="宋体" w:hAnsi="宋体" w:eastAsia="宋体" w:cs="宋体"/>
          <w:color w:val="000000"/>
          <w:sz w:val="24"/>
        </w:rPr>
        <w:t>本项目不接受联合体竞标</w:t>
      </w:r>
    </w:p>
    <w:p w14:paraId="5180F5FF">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5．</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质量</w:t>
      </w:r>
    </w:p>
    <w:p w14:paraId="1DB7F786">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5.1 质量要求</w:t>
      </w:r>
    </w:p>
    <w:p w14:paraId="5673B282">
      <w:pPr>
        <w:pStyle w:val="81"/>
        <w:tabs>
          <w:tab w:val="left" w:pos="1620"/>
        </w:tabs>
        <w:autoSpaceDE w:val="0"/>
        <w:autoSpaceDN w:val="0"/>
        <w:adjustRightInd w:val="0"/>
        <w:snapToGrid w:val="0"/>
        <w:spacing w:line="360" w:lineRule="auto"/>
        <w:ind w:firstLine="424" w:firstLineChars="177"/>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1、白蚁防治质量达到《水利工程白蚁防治技术规程》（SL/T 836—2024）及《水利工程白蚁防治技术规范》（T∕CHES-44-2020）的要求，同时符合国家现行有关标准的规定。</w:t>
      </w:r>
    </w:p>
    <w:p w14:paraId="5F39D2D0">
      <w:pPr>
        <w:pStyle w:val="81"/>
        <w:shd w:val="clear" w:fill="FFFFFF" w:themeFill="background1"/>
        <w:tabs>
          <w:tab w:val="left" w:pos="1620"/>
        </w:tabs>
        <w:autoSpaceDE w:val="0"/>
        <w:autoSpaceDN w:val="0"/>
        <w:adjustRightInd w:val="0"/>
        <w:snapToGrid w:val="0"/>
        <w:spacing w:line="360" w:lineRule="auto"/>
        <w:ind w:firstLine="424" w:firstLineChars="177"/>
        <w:jc w:val="left"/>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红火蚁防治质量达到</w:t>
      </w:r>
      <w:r>
        <w:rPr>
          <w:rFonts w:hint="eastAsia" w:ascii="宋体" w:hAnsi="宋体" w:eastAsia="宋体" w:cs="宋体"/>
          <w:color w:val="000000"/>
          <w:sz w:val="24"/>
        </w:rPr>
        <w:t>《红火蚁检疫规程》GB/T 23634-2009</w:t>
      </w:r>
      <w:r>
        <w:rPr>
          <w:rFonts w:hint="eastAsia" w:ascii="宋体" w:hAnsi="宋体" w:eastAsia="宋体" w:cs="宋体"/>
          <w:color w:val="000000"/>
          <w:sz w:val="24"/>
          <w:lang w:val="en-US" w:eastAsia="zh-CN"/>
        </w:rPr>
        <w:t>及《红火蚁专业化防控实施规程》（NY/T3541-2020）的要求，同时符合国家现行有关标准的规定。</w:t>
      </w:r>
    </w:p>
    <w:p w14:paraId="24EDE102">
      <w:pPr>
        <w:pStyle w:val="81"/>
        <w:tabs>
          <w:tab w:val="left" w:pos="1620"/>
        </w:tabs>
        <w:autoSpaceDE w:val="0"/>
        <w:autoSpaceDN w:val="0"/>
        <w:adjustRightInd w:val="0"/>
        <w:snapToGrid w:val="0"/>
        <w:spacing w:line="360" w:lineRule="auto"/>
        <w:ind w:firstLine="424" w:firstLineChars="177"/>
        <w:jc w:val="left"/>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项目通过验收后，质保期2年。质保期内跟踪服务，每年10—11月复查一次，复查结果需形成书面报告，质保期内若发现白蚁、红火蚁的，由中标单位自行承担及时清除。</w:t>
      </w:r>
    </w:p>
    <w:p w14:paraId="01137DC3">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bookmarkStart w:id="183" w:name="_Toc351203538"/>
      <w:r>
        <w:rPr>
          <w:rFonts w:hint="eastAsia" w:ascii="宋体" w:hAnsi="宋体" w:eastAsia="宋体" w:cs="宋体"/>
          <w:color w:val="000000"/>
          <w:sz w:val="24"/>
        </w:rPr>
        <w:t>6. 安全文明</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与环境保护</w:t>
      </w:r>
      <w:bookmarkEnd w:id="183"/>
    </w:p>
    <w:p w14:paraId="366B9D71">
      <w:pPr>
        <w:pStyle w:val="81"/>
        <w:tabs>
          <w:tab w:val="left" w:pos="1620"/>
        </w:tabs>
        <w:autoSpaceDE w:val="0"/>
        <w:autoSpaceDN w:val="0"/>
        <w:adjustRightInd w:val="0"/>
        <w:snapToGrid w:val="0"/>
        <w:spacing w:line="360" w:lineRule="auto"/>
        <w:ind w:firstLine="424" w:firstLineChars="177"/>
        <w:jc w:val="left"/>
        <w:rPr>
          <w:rFonts w:hint="eastAsia" w:ascii="宋体" w:hAnsi="宋体" w:eastAsia="宋体" w:cs="宋体"/>
          <w:color w:val="000000"/>
          <w:sz w:val="24"/>
        </w:rPr>
      </w:pPr>
      <w:r>
        <w:rPr>
          <w:rFonts w:hint="eastAsia" w:ascii="宋体" w:hAnsi="宋体" w:eastAsia="宋体" w:cs="宋体"/>
          <w:color w:val="000000"/>
          <w:sz w:val="24"/>
        </w:rPr>
        <w:t>承包人应严格遵照通用条款执行。</w:t>
      </w:r>
    </w:p>
    <w:p w14:paraId="2E0D9298">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7. </w:t>
      </w:r>
      <w:r>
        <w:rPr>
          <w:rFonts w:hint="eastAsia" w:ascii="宋体" w:hAnsi="宋体" w:eastAsia="宋体" w:cs="宋体"/>
          <w:color w:val="000000"/>
          <w:sz w:val="24"/>
          <w:lang w:val="en-US" w:eastAsia="zh-CN"/>
        </w:rPr>
        <w:t>服务期</w:t>
      </w:r>
      <w:r>
        <w:rPr>
          <w:rFonts w:hint="eastAsia" w:ascii="宋体" w:hAnsi="宋体" w:eastAsia="宋体" w:cs="宋体"/>
          <w:color w:val="000000"/>
          <w:sz w:val="24"/>
        </w:rPr>
        <w:t>和进度</w:t>
      </w:r>
    </w:p>
    <w:p w14:paraId="50CE7E76">
      <w:pPr>
        <w:pStyle w:val="81"/>
        <w:autoSpaceDE w:val="0"/>
        <w:autoSpaceDN w:val="0"/>
        <w:adjustRightInd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7.2 </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进度计划</w:t>
      </w:r>
    </w:p>
    <w:p w14:paraId="4734A29C">
      <w:pPr>
        <w:pStyle w:val="81"/>
        <w:autoSpaceDE w:val="0"/>
        <w:autoSpaceDN w:val="0"/>
        <w:adjustRightInd w:val="0"/>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补充条款:承包人应按约定的内容和期限，编制详细的</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进度计划和</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方案。由承包人造成</w:t>
      </w:r>
      <w:r>
        <w:rPr>
          <w:rFonts w:hint="eastAsia" w:ascii="宋体" w:hAnsi="宋体" w:eastAsia="宋体" w:cs="宋体"/>
          <w:color w:val="000000"/>
          <w:sz w:val="24"/>
          <w:lang w:val="en-US" w:eastAsia="zh-CN"/>
        </w:rPr>
        <w:t>服务期</w:t>
      </w:r>
      <w:r>
        <w:rPr>
          <w:rFonts w:hint="eastAsia" w:ascii="宋体" w:hAnsi="宋体" w:eastAsia="宋体" w:cs="宋体"/>
          <w:color w:val="000000"/>
          <w:sz w:val="24"/>
        </w:rPr>
        <w:t>延误的应承担相关经济损失。</w:t>
      </w:r>
    </w:p>
    <w:p w14:paraId="7AB3C25B">
      <w:pPr>
        <w:pStyle w:val="81"/>
        <w:autoSpaceDE w:val="0"/>
        <w:autoSpaceDN w:val="0"/>
        <w:adjustRightInd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7.5 </w:t>
      </w:r>
      <w:r>
        <w:rPr>
          <w:rFonts w:hint="eastAsia" w:ascii="宋体" w:hAnsi="宋体" w:eastAsia="宋体" w:cs="宋体"/>
          <w:color w:val="000000"/>
          <w:sz w:val="24"/>
          <w:lang w:val="en-US" w:eastAsia="zh-CN"/>
        </w:rPr>
        <w:t>服务期</w:t>
      </w:r>
      <w:r>
        <w:rPr>
          <w:rFonts w:hint="eastAsia" w:ascii="宋体" w:hAnsi="宋体" w:eastAsia="宋体" w:cs="宋体"/>
          <w:color w:val="000000"/>
          <w:sz w:val="24"/>
        </w:rPr>
        <w:t>延误</w:t>
      </w:r>
    </w:p>
    <w:p w14:paraId="78D55B41">
      <w:pPr>
        <w:pStyle w:val="81"/>
        <w:tabs>
          <w:tab w:val="left" w:pos="1620"/>
        </w:tabs>
        <w:autoSpaceDE w:val="0"/>
        <w:autoSpaceDN w:val="0"/>
        <w:adjustRightInd w:val="0"/>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补充条款:因承包人原因造成</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期延误的，按1000元/天向发包人支付逾期</w:t>
      </w:r>
      <w:r>
        <w:rPr>
          <w:rFonts w:hint="eastAsia" w:ascii="宋体" w:hAnsi="宋体" w:eastAsia="宋体" w:cs="宋体"/>
          <w:color w:val="000000"/>
          <w:sz w:val="24"/>
          <w:lang w:val="en-US" w:eastAsia="zh-CN"/>
        </w:rPr>
        <w:t>服务结束</w:t>
      </w:r>
      <w:r>
        <w:rPr>
          <w:rFonts w:hint="eastAsia" w:ascii="宋体" w:hAnsi="宋体" w:eastAsia="宋体" w:cs="宋体"/>
          <w:color w:val="000000"/>
          <w:sz w:val="24"/>
        </w:rPr>
        <w:t>违约金；全部逾期</w:t>
      </w:r>
      <w:r>
        <w:rPr>
          <w:rFonts w:hint="eastAsia" w:ascii="宋体" w:hAnsi="宋体" w:eastAsia="宋体" w:cs="宋体"/>
          <w:color w:val="000000"/>
          <w:sz w:val="24"/>
          <w:lang w:val="en-US" w:eastAsia="zh-CN"/>
        </w:rPr>
        <w:t>服务结束</w:t>
      </w:r>
      <w:r>
        <w:rPr>
          <w:rFonts w:hint="eastAsia" w:ascii="宋体" w:hAnsi="宋体" w:eastAsia="宋体" w:cs="宋体"/>
          <w:color w:val="000000"/>
          <w:sz w:val="24"/>
        </w:rPr>
        <w:t>违约金的总限额为不超过签约合同价的5%。</w:t>
      </w:r>
    </w:p>
    <w:p w14:paraId="26CDCFEF">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8. 材料与设备</w:t>
      </w:r>
    </w:p>
    <w:p w14:paraId="63A41CF3">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8.1 发包人供应材料与</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设备</w:t>
      </w:r>
    </w:p>
    <w:p w14:paraId="52481B2D">
      <w:pPr>
        <w:pStyle w:val="81"/>
        <w:tabs>
          <w:tab w:val="left" w:pos="1620"/>
        </w:tabs>
        <w:autoSpaceDE w:val="0"/>
        <w:autoSpaceDN w:val="0"/>
        <w:adjustRightInd w:val="0"/>
        <w:snapToGrid w:val="0"/>
        <w:spacing w:line="360" w:lineRule="auto"/>
        <w:ind w:firstLine="424" w:firstLineChars="177"/>
        <w:jc w:val="left"/>
        <w:rPr>
          <w:rFonts w:hint="eastAsia" w:ascii="宋体" w:hAnsi="宋体" w:eastAsia="宋体" w:cs="宋体"/>
          <w:color w:val="000000"/>
          <w:sz w:val="24"/>
        </w:rPr>
      </w:pPr>
      <w:r>
        <w:rPr>
          <w:rFonts w:hint="eastAsia" w:ascii="宋体" w:hAnsi="宋体" w:eastAsia="宋体" w:cs="宋体"/>
          <w:color w:val="000000"/>
          <w:sz w:val="24"/>
        </w:rPr>
        <w:t>删除本条款内容，本</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发包人不提供材料和</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设备。</w:t>
      </w:r>
    </w:p>
    <w:p w14:paraId="3830B526">
      <w:pPr>
        <w:pStyle w:val="81"/>
        <w:autoSpaceDE w:val="0"/>
        <w:autoSpaceDN w:val="0"/>
        <w:adjustRightInd w:val="0"/>
        <w:snapToGrid w:val="0"/>
        <w:spacing w:line="360" w:lineRule="auto"/>
        <w:jc w:val="left"/>
        <w:rPr>
          <w:rFonts w:hint="eastAsia" w:ascii="宋体" w:hAnsi="宋体" w:eastAsia="宋体" w:cs="宋体"/>
          <w:color w:val="000000"/>
          <w:sz w:val="24"/>
        </w:rPr>
      </w:pPr>
      <w:bookmarkStart w:id="184" w:name="_Toc351203554"/>
      <w:bookmarkStart w:id="185" w:name="_Toc244121922"/>
      <w:r>
        <w:rPr>
          <w:rFonts w:hint="eastAsia" w:ascii="宋体" w:hAnsi="宋体" w:eastAsia="宋体" w:cs="宋体"/>
          <w:color w:val="000000"/>
          <w:sz w:val="24"/>
        </w:rPr>
        <w:t>8.2 承包人采购材料与</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设备</w:t>
      </w:r>
      <w:bookmarkEnd w:id="184"/>
    </w:p>
    <w:p w14:paraId="18B91B46">
      <w:pPr>
        <w:pStyle w:val="81"/>
        <w:autoSpaceDE w:val="0"/>
        <w:autoSpaceDN w:val="0"/>
        <w:adjustRightInd w:val="0"/>
        <w:snapToGrid w:val="0"/>
        <w:spacing w:line="360" w:lineRule="auto"/>
        <w:ind w:firstLine="424" w:firstLineChars="177"/>
        <w:jc w:val="left"/>
        <w:rPr>
          <w:rFonts w:hint="eastAsia" w:ascii="宋体" w:hAnsi="宋体" w:eastAsia="宋体" w:cs="宋体"/>
          <w:color w:val="000000"/>
          <w:sz w:val="24"/>
        </w:rPr>
      </w:pPr>
      <w:r>
        <w:rPr>
          <w:rFonts w:hint="eastAsia" w:ascii="宋体" w:hAnsi="宋体" w:eastAsia="宋体" w:cs="宋体"/>
          <w:color w:val="000000"/>
          <w:sz w:val="24"/>
        </w:rPr>
        <w:t>发包人不得指定生产厂家或供应商，但承包人采购的材料与设备需提供产品合格证明及出厂证明，并报经发包人审核通过。</w:t>
      </w:r>
    </w:p>
    <w:p w14:paraId="7C54CF6A">
      <w:pPr>
        <w:pStyle w:val="81"/>
        <w:autoSpaceDE w:val="0"/>
        <w:autoSpaceDN w:val="0"/>
        <w:adjustRightInd w:val="0"/>
        <w:snapToGrid w:val="0"/>
        <w:spacing w:line="360" w:lineRule="auto"/>
        <w:jc w:val="left"/>
        <w:rPr>
          <w:rFonts w:hint="eastAsia" w:ascii="宋体" w:hAnsi="宋体" w:eastAsia="宋体" w:cs="宋体"/>
          <w:color w:val="000000"/>
          <w:sz w:val="24"/>
          <w:lang w:val="en-US" w:eastAsia="zh-CN"/>
        </w:rPr>
      </w:pPr>
      <w:r>
        <w:rPr>
          <w:rFonts w:hint="eastAsia" w:ascii="宋体" w:hAnsi="宋体" w:eastAsia="宋体" w:cs="宋体"/>
          <w:color w:val="000000"/>
          <w:sz w:val="24"/>
        </w:rPr>
        <w:t>11．价格调整</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无</w:t>
      </w:r>
    </w:p>
    <w:p w14:paraId="53939E69">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12.</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合同价格、计量与支付</w:t>
      </w:r>
    </w:p>
    <w:p w14:paraId="47C7F877">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rPr>
        <w:t>12.</w:t>
      </w:r>
      <w:r>
        <w:rPr>
          <w:rFonts w:hint="eastAsia" w:ascii="宋体" w:hAnsi="宋体" w:eastAsia="宋体" w:cs="宋体"/>
          <w:color w:val="000000"/>
          <w:sz w:val="24"/>
          <w:highlight w:val="none"/>
        </w:rPr>
        <w:t>1 合同价格形式</w:t>
      </w:r>
    </w:p>
    <w:p w14:paraId="5893E4B9">
      <w:pPr>
        <w:pStyle w:val="81"/>
        <w:tabs>
          <w:tab w:val="left" w:pos="1620"/>
        </w:tabs>
        <w:autoSpaceDE w:val="0"/>
        <w:autoSpaceDN w:val="0"/>
        <w:adjustRightInd w:val="0"/>
        <w:snapToGrid w:val="0"/>
        <w:spacing w:line="360" w:lineRule="auto"/>
        <w:ind w:firstLine="424" w:firstLineChars="177"/>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本</w:t>
      </w:r>
      <w:r>
        <w:rPr>
          <w:rFonts w:hint="eastAsia" w:ascii="宋体" w:hAnsi="宋体" w:eastAsia="宋体" w:cs="宋体"/>
          <w:color w:val="000000"/>
          <w:sz w:val="24"/>
          <w:highlight w:val="none"/>
          <w:lang w:val="en-US" w:eastAsia="zh-CN"/>
        </w:rPr>
        <w:t>服务</w:t>
      </w:r>
      <w:r>
        <w:rPr>
          <w:rFonts w:hint="eastAsia" w:ascii="宋体" w:hAnsi="宋体" w:eastAsia="宋体" w:cs="宋体"/>
          <w:color w:val="000000"/>
          <w:sz w:val="24"/>
          <w:highlight w:val="none"/>
        </w:rPr>
        <w:t>采用</w:t>
      </w:r>
      <w:r>
        <w:rPr>
          <w:rFonts w:hint="eastAsia" w:ascii="宋体" w:hAnsi="宋体" w:eastAsia="宋体" w:cs="宋体"/>
          <w:color w:val="000000"/>
          <w:sz w:val="24"/>
          <w:highlight w:val="none"/>
          <w:lang w:val="en-US" w:eastAsia="zh-CN"/>
        </w:rPr>
        <w:t>含税总价包干的</w:t>
      </w:r>
      <w:r>
        <w:rPr>
          <w:rFonts w:hint="eastAsia" w:ascii="宋体" w:hAnsi="宋体" w:eastAsia="宋体" w:cs="宋体"/>
          <w:color w:val="000000"/>
          <w:sz w:val="24"/>
          <w:highlight w:val="none"/>
        </w:rPr>
        <w:t>形式</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若出现新增项目时，其新增项目的单价</w:t>
      </w:r>
      <w:r>
        <w:rPr>
          <w:rFonts w:hint="eastAsia" w:ascii="宋体" w:hAnsi="宋体" w:eastAsia="宋体" w:cs="宋体"/>
          <w:color w:val="000000"/>
          <w:sz w:val="24"/>
          <w:highlight w:val="none"/>
          <w:lang w:val="en-US" w:eastAsia="zh-CN"/>
        </w:rPr>
        <w:t>及总价不进行另外结算</w:t>
      </w:r>
      <w:r>
        <w:rPr>
          <w:rFonts w:hint="eastAsia" w:ascii="宋体" w:hAnsi="宋体" w:eastAsia="宋体" w:cs="宋体"/>
          <w:color w:val="000000"/>
          <w:sz w:val="24"/>
          <w:highlight w:val="none"/>
        </w:rPr>
        <w:t>。</w:t>
      </w:r>
    </w:p>
    <w:p w14:paraId="6FC92E45">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bookmarkStart w:id="186" w:name="_Toc296503097"/>
      <w:bookmarkStart w:id="187" w:name="_Toc296346598"/>
      <w:bookmarkStart w:id="188" w:name="_Toc351203582"/>
      <w:r>
        <w:rPr>
          <w:rFonts w:hint="eastAsia" w:ascii="宋体" w:hAnsi="宋体" w:eastAsia="宋体" w:cs="宋体"/>
          <w:color w:val="000000"/>
          <w:sz w:val="24"/>
        </w:rPr>
        <w:t>12.2 预</w:t>
      </w:r>
      <w:bookmarkEnd w:id="186"/>
      <w:bookmarkEnd w:id="187"/>
      <w:r>
        <w:rPr>
          <w:rFonts w:hint="eastAsia" w:ascii="宋体" w:hAnsi="宋体" w:eastAsia="宋体" w:cs="宋体"/>
          <w:color w:val="000000"/>
          <w:sz w:val="24"/>
        </w:rPr>
        <w:t>付款</w:t>
      </w:r>
      <w:bookmarkEnd w:id="188"/>
    </w:p>
    <w:p w14:paraId="5E4B9B57">
      <w:pPr>
        <w:pStyle w:val="81"/>
        <w:tabs>
          <w:tab w:val="left" w:pos="1620"/>
        </w:tabs>
        <w:autoSpaceDE w:val="0"/>
        <w:autoSpaceDN w:val="0"/>
        <w:adjustRightInd w:val="0"/>
        <w:snapToGrid w:val="0"/>
        <w:spacing w:line="360" w:lineRule="auto"/>
        <w:ind w:firstLine="424" w:firstLineChars="177"/>
        <w:jc w:val="left"/>
        <w:rPr>
          <w:rFonts w:hint="eastAsia" w:ascii="宋体" w:hAnsi="宋体" w:eastAsia="宋体" w:cs="宋体"/>
          <w:color w:val="000000"/>
          <w:sz w:val="24"/>
        </w:rPr>
      </w:pPr>
      <w:r>
        <w:rPr>
          <w:rFonts w:hint="eastAsia" w:ascii="宋体" w:hAnsi="宋体" w:eastAsia="宋体" w:cs="宋体"/>
          <w:color w:val="000000"/>
          <w:sz w:val="24"/>
        </w:rPr>
        <w:t>本</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发包人无开工预付款。</w:t>
      </w:r>
    </w:p>
    <w:p w14:paraId="70699A10">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bookmarkStart w:id="189" w:name="_Toc351203598"/>
      <w:r>
        <w:rPr>
          <w:rFonts w:hint="eastAsia" w:ascii="宋体" w:hAnsi="宋体" w:eastAsia="宋体" w:cs="宋体"/>
          <w:color w:val="000000"/>
          <w:sz w:val="24"/>
        </w:rPr>
        <w:t>15. 缺陷责任与保修</w:t>
      </w:r>
      <w:bookmarkEnd w:id="189"/>
    </w:p>
    <w:p w14:paraId="0FD5FE32">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bookmarkStart w:id="190" w:name="_Toc351203600"/>
      <w:r>
        <w:rPr>
          <w:rFonts w:hint="eastAsia" w:ascii="宋体" w:hAnsi="宋体" w:eastAsia="宋体" w:cs="宋体"/>
          <w:color w:val="000000"/>
          <w:sz w:val="24"/>
        </w:rPr>
        <w:t>15.2 缺陷责任期</w:t>
      </w:r>
      <w:bookmarkEnd w:id="190"/>
    </w:p>
    <w:p w14:paraId="32DCDA09">
      <w:pPr>
        <w:pStyle w:val="81"/>
        <w:tabs>
          <w:tab w:val="left" w:pos="1620"/>
        </w:tabs>
        <w:autoSpaceDE w:val="0"/>
        <w:autoSpaceDN w:val="0"/>
        <w:adjustRightInd w:val="0"/>
        <w:snapToGrid w:val="0"/>
        <w:spacing w:line="360" w:lineRule="auto"/>
        <w:ind w:firstLine="424" w:firstLineChars="177"/>
        <w:jc w:val="left"/>
        <w:rPr>
          <w:rFonts w:hint="eastAsia" w:ascii="宋体" w:hAnsi="宋体" w:eastAsia="宋体" w:cs="宋体"/>
          <w:color w:val="000000"/>
          <w:sz w:val="24"/>
        </w:rPr>
      </w:pPr>
      <w:r>
        <w:rPr>
          <w:rFonts w:hint="eastAsia" w:ascii="宋体" w:hAnsi="宋体" w:eastAsia="宋体" w:cs="宋体"/>
          <w:color w:val="000000"/>
          <w:sz w:val="24"/>
          <w:highlight w:val="none"/>
        </w:rPr>
        <w:t>本</w:t>
      </w:r>
      <w:r>
        <w:rPr>
          <w:rFonts w:hint="eastAsia" w:ascii="宋体" w:hAnsi="宋体" w:eastAsia="宋体" w:cs="宋体"/>
          <w:color w:val="000000"/>
          <w:sz w:val="24"/>
          <w:highlight w:val="none"/>
          <w:lang w:val="en-US" w:eastAsia="zh-CN"/>
        </w:rPr>
        <w:t>服务</w:t>
      </w:r>
      <w:r>
        <w:rPr>
          <w:rFonts w:hint="eastAsia" w:ascii="宋体" w:hAnsi="宋体" w:eastAsia="宋体" w:cs="宋体"/>
          <w:color w:val="000000"/>
          <w:sz w:val="24"/>
          <w:highlight w:val="none"/>
        </w:rPr>
        <w:t>缺陷责任期（即保修期）共计</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两</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p>
    <w:p w14:paraId="3DB6F359">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15.3 质量保证金</w:t>
      </w:r>
    </w:p>
    <w:p w14:paraId="4A172758">
      <w:pPr>
        <w:autoSpaceDE w:val="0"/>
        <w:autoSpaceDN w:val="0"/>
        <w:adjustRightInd w:val="0"/>
        <w:snapToGrid w:val="0"/>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w:t>
      </w:r>
      <w:r>
        <w:rPr>
          <w:rFonts w:hint="eastAsia" w:ascii="宋体" w:hAnsi="宋体" w:eastAsia="宋体" w:cs="宋体"/>
          <w:color w:val="000000"/>
          <w:sz w:val="24"/>
          <w:highlight w:val="none"/>
          <w:lang w:val="en-US" w:eastAsia="zh-CN"/>
        </w:rPr>
        <w:t>服务</w:t>
      </w:r>
      <w:r>
        <w:rPr>
          <w:rFonts w:hint="eastAsia" w:ascii="宋体" w:hAnsi="宋体" w:eastAsia="宋体" w:cs="宋体"/>
          <w:color w:val="000000"/>
          <w:sz w:val="24"/>
          <w:highlight w:val="none"/>
        </w:rPr>
        <w:t>质量保证金的金额为合同总价款的3%，质量保证金在退还之前不计利息。扣留方式：</w:t>
      </w:r>
      <w:r>
        <w:rPr>
          <w:rFonts w:hint="eastAsia" w:ascii="宋体" w:hAnsi="宋体" w:eastAsia="宋体" w:cs="宋体"/>
          <w:color w:val="000000"/>
          <w:sz w:val="24"/>
          <w:highlight w:val="none"/>
          <w:lang w:val="en-US" w:eastAsia="zh-CN"/>
        </w:rPr>
        <w:t>服务结束</w:t>
      </w:r>
      <w:r>
        <w:rPr>
          <w:rFonts w:hint="eastAsia" w:ascii="宋体" w:hAnsi="宋体" w:eastAsia="宋体" w:cs="宋体"/>
          <w:color w:val="000000"/>
          <w:sz w:val="24"/>
          <w:highlight w:val="none"/>
        </w:rPr>
        <w:t>并完成结算后，按</w:t>
      </w:r>
      <w:r>
        <w:rPr>
          <w:rFonts w:hint="eastAsia" w:ascii="宋体" w:hAnsi="宋体" w:eastAsia="宋体" w:cs="宋体"/>
          <w:color w:val="000000"/>
          <w:sz w:val="24"/>
          <w:highlight w:val="none"/>
          <w:lang w:val="en-US" w:eastAsia="zh-CN"/>
        </w:rPr>
        <w:t>服务</w:t>
      </w:r>
      <w:r>
        <w:rPr>
          <w:rFonts w:hint="eastAsia" w:ascii="宋体" w:hAnsi="宋体" w:eastAsia="宋体" w:cs="宋体"/>
          <w:color w:val="000000"/>
          <w:sz w:val="24"/>
          <w:highlight w:val="none"/>
        </w:rPr>
        <w:t>结算总价款的3%作为质量保证金。待合同</w:t>
      </w:r>
      <w:r>
        <w:rPr>
          <w:rFonts w:hint="eastAsia" w:ascii="宋体" w:hAnsi="宋体" w:eastAsia="宋体" w:cs="宋体"/>
          <w:color w:val="000000"/>
          <w:sz w:val="24"/>
          <w:highlight w:val="none"/>
          <w:lang w:val="en-US" w:eastAsia="zh-CN"/>
        </w:rPr>
        <w:t>服务</w:t>
      </w:r>
      <w:r>
        <w:rPr>
          <w:rFonts w:hint="eastAsia" w:ascii="宋体" w:hAnsi="宋体" w:eastAsia="宋体" w:cs="宋体"/>
          <w:color w:val="000000"/>
          <w:sz w:val="24"/>
          <w:highlight w:val="none"/>
        </w:rPr>
        <w:t>质量保修期结束后，由承包人提出申请，发包人在14天内支付承包人的质量保证金。</w:t>
      </w:r>
    </w:p>
    <w:bookmarkEnd w:id="185"/>
    <w:p w14:paraId="3249E9EC">
      <w:pPr>
        <w:pStyle w:val="81"/>
        <w:tabs>
          <w:tab w:val="left" w:pos="1620"/>
        </w:tabs>
        <w:autoSpaceDE w:val="0"/>
        <w:autoSpaceDN w:val="0"/>
        <w:adjustRightInd w:val="0"/>
        <w:snapToGrid w:val="0"/>
        <w:spacing w:line="360" w:lineRule="auto"/>
        <w:jc w:val="left"/>
        <w:rPr>
          <w:rFonts w:hint="eastAsia" w:ascii="宋体" w:hAnsi="宋体" w:eastAsia="宋体" w:cs="宋体"/>
          <w:color w:val="000000"/>
          <w:sz w:val="24"/>
        </w:rPr>
      </w:pPr>
      <w:bookmarkStart w:id="191" w:name="_Toc209499060"/>
      <w:bookmarkStart w:id="192" w:name="_Toc491246910"/>
      <w:r>
        <w:rPr>
          <w:rFonts w:hint="eastAsia" w:ascii="宋体" w:hAnsi="宋体" w:eastAsia="宋体" w:cs="宋体"/>
          <w:color w:val="000000"/>
          <w:sz w:val="24"/>
        </w:rPr>
        <w:t>18．保险</w:t>
      </w:r>
    </w:p>
    <w:p w14:paraId="16BFCBD0">
      <w:pPr>
        <w:pStyle w:val="81"/>
        <w:tabs>
          <w:tab w:val="left" w:pos="1620"/>
        </w:tabs>
        <w:autoSpaceDE w:val="0"/>
        <w:autoSpaceDN w:val="0"/>
        <w:adjustRightInd w:val="0"/>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补充条款:</w:t>
      </w:r>
      <w:r>
        <w:rPr>
          <w:rFonts w:hint="eastAsia" w:ascii="宋体" w:hAnsi="宋体" w:eastAsia="宋体" w:cs="宋体"/>
          <w:color w:val="000000"/>
          <w:sz w:val="24"/>
          <w:lang w:val="en-US" w:eastAsia="zh-CN"/>
        </w:rPr>
        <w:t>技术服务</w:t>
      </w:r>
      <w:r>
        <w:rPr>
          <w:rFonts w:hint="eastAsia" w:ascii="宋体" w:hAnsi="宋体" w:eastAsia="宋体" w:cs="宋体"/>
          <w:color w:val="000000"/>
          <w:sz w:val="24"/>
        </w:rPr>
        <w:t>一切险(包括材料和</w:t>
      </w:r>
      <w:r>
        <w:rPr>
          <w:rFonts w:hint="eastAsia" w:ascii="宋体" w:hAnsi="宋体" w:eastAsia="宋体" w:cs="宋体"/>
          <w:color w:val="000000"/>
          <w:sz w:val="24"/>
          <w:lang w:val="en-US" w:eastAsia="zh-CN"/>
        </w:rPr>
        <w:t>服务</w:t>
      </w:r>
      <w:r>
        <w:rPr>
          <w:rFonts w:hint="eastAsia" w:ascii="宋体" w:hAnsi="宋体" w:eastAsia="宋体" w:cs="宋体"/>
          <w:color w:val="000000"/>
          <w:sz w:val="24"/>
        </w:rPr>
        <w:t>设备)、第三者责任险、人员工伤事故险及人身意外伤害险等相关保险均包含在承包人所报综合单价中，发包人不再单独列支。</w:t>
      </w:r>
    </w:p>
    <w:bookmarkEnd w:id="191"/>
    <w:bookmarkEnd w:id="192"/>
    <w:p w14:paraId="349BBA0D">
      <w:pPr>
        <w:pStyle w:val="11"/>
        <w:tabs>
          <w:tab w:val="left" w:pos="1620"/>
        </w:tabs>
        <w:adjustRightInd w:val="0"/>
        <w:snapToGrid w:val="0"/>
        <w:rPr>
          <w:rFonts w:hint="eastAsia" w:ascii="宋体" w:hAnsi="宋体" w:eastAsia="宋体" w:cs="宋体"/>
          <w:color w:val="000000"/>
          <w:sz w:val="24"/>
        </w:rPr>
      </w:pPr>
      <w:bookmarkStart w:id="193" w:name="_Toc244121951"/>
      <w:bookmarkStart w:id="194" w:name="_Toc209499061"/>
      <w:bookmarkStart w:id="195" w:name="_Toc487670046"/>
      <w:bookmarkStart w:id="196" w:name="_Toc260172883"/>
      <w:bookmarkStart w:id="197" w:name="_Toc312946563"/>
      <w:bookmarkStart w:id="198" w:name="_Toc262675617"/>
      <w:bookmarkStart w:id="199" w:name="_Toc491246911"/>
      <w:bookmarkStart w:id="200" w:name="_Toc272432322"/>
      <w:r>
        <w:rPr>
          <w:rFonts w:hint="eastAsia" w:ascii="宋体" w:hAnsi="宋体" w:eastAsia="宋体" w:cs="宋体"/>
          <w:color w:val="000000"/>
          <w:sz w:val="24"/>
        </w:rPr>
        <w:t>20 争议解决</w:t>
      </w:r>
      <w:bookmarkEnd w:id="193"/>
      <w:bookmarkEnd w:id="194"/>
      <w:bookmarkEnd w:id="195"/>
      <w:bookmarkEnd w:id="196"/>
      <w:bookmarkEnd w:id="197"/>
      <w:bookmarkEnd w:id="198"/>
      <w:bookmarkEnd w:id="199"/>
      <w:bookmarkEnd w:id="200"/>
    </w:p>
    <w:p w14:paraId="706FEF7A">
      <w:pPr>
        <w:pStyle w:val="81"/>
        <w:tabs>
          <w:tab w:val="left" w:pos="1620"/>
        </w:tabs>
        <w:autoSpaceDE w:val="0"/>
        <w:autoSpaceDN w:val="0"/>
        <w:adjustRightInd w:val="0"/>
        <w:snapToGrid w:val="0"/>
        <w:spacing w:line="360" w:lineRule="auto"/>
        <w:ind w:firstLine="424" w:firstLineChars="177"/>
        <w:jc w:val="left"/>
        <w:rPr>
          <w:rFonts w:hint="eastAsia" w:ascii="宋体" w:hAnsi="宋体" w:eastAsia="宋体" w:cs="宋体"/>
          <w:color w:val="000000"/>
          <w:sz w:val="24"/>
        </w:rPr>
      </w:pPr>
      <w:r>
        <w:rPr>
          <w:rFonts w:hint="eastAsia" w:ascii="宋体" w:hAnsi="宋体" w:eastAsia="宋体" w:cs="宋体"/>
          <w:color w:val="000000"/>
          <w:sz w:val="24"/>
        </w:rPr>
        <w:t xml:space="preserve">合同当事人友好协商解决不成、不愿提请争议评审或不接受争议评审组意见的，约定的合同争议解决方式： </w:t>
      </w:r>
      <w:r>
        <w:rPr>
          <w:rFonts w:hint="eastAsia" w:ascii="宋体" w:hAnsi="宋体" w:eastAsia="宋体" w:cs="宋体"/>
          <w:color w:val="000000"/>
          <w:sz w:val="24"/>
          <w:u w:val="single"/>
        </w:rPr>
        <w:t xml:space="preserve">仲裁或诉讼 </w:t>
      </w:r>
      <w:r>
        <w:rPr>
          <w:rFonts w:hint="eastAsia" w:ascii="宋体" w:hAnsi="宋体" w:eastAsia="宋体" w:cs="宋体"/>
          <w:color w:val="000000"/>
          <w:sz w:val="24"/>
        </w:rPr>
        <w:t>。</w:t>
      </w:r>
    </w:p>
    <w:p w14:paraId="4581F366">
      <w:pPr>
        <w:pStyle w:val="81"/>
        <w:tabs>
          <w:tab w:val="left" w:pos="1620"/>
        </w:tabs>
        <w:autoSpaceDE w:val="0"/>
        <w:autoSpaceDN w:val="0"/>
        <w:adjustRightInd w:val="0"/>
        <w:snapToGrid w:val="0"/>
        <w:spacing w:line="360" w:lineRule="auto"/>
        <w:ind w:firstLine="424" w:firstLineChars="177"/>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本协议在履行过程中发生争议，各方本着友好、互利的原则协商解决；也可由有关部门协调解决，协商或协调不成的，任何一方均有权向</w:t>
      </w:r>
      <w:r>
        <w:rPr>
          <w:rFonts w:hint="eastAsia" w:ascii="宋体" w:hAnsi="宋体" w:eastAsia="宋体" w:cs="宋体"/>
          <w:b/>
          <w:bCs/>
          <w:color w:val="000000"/>
          <w:sz w:val="24"/>
          <w:highlight w:val="none"/>
          <w:u w:val="single"/>
          <w:lang w:val="en-US" w:eastAsia="zh-CN"/>
        </w:rPr>
        <w:t>项目所在地</w:t>
      </w:r>
      <w:r>
        <w:rPr>
          <w:rFonts w:hint="eastAsia" w:ascii="宋体" w:hAnsi="宋体" w:eastAsia="宋体" w:cs="宋体"/>
          <w:color w:val="000000"/>
          <w:sz w:val="24"/>
          <w:highlight w:val="none"/>
          <w:lang w:val="en-US" w:eastAsia="zh-CN"/>
        </w:rPr>
        <w:t>有管辖权的人民法院提起诉讼。</w:t>
      </w:r>
    </w:p>
    <w:p w14:paraId="6B053E42">
      <w:pPr>
        <w:spacing w:line="360" w:lineRule="auto"/>
        <w:ind w:firstLine="3120" w:firstLineChars="1300"/>
        <w:jc w:val="left"/>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pPr>
    </w:p>
    <w:bookmarkEnd w:id="138"/>
    <w:p w14:paraId="0D53EF74">
      <w:pPr>
        <w:widowControl/>
        <w:jc w:val="left"/>
        <w:rPr>
          <w:rFonts w:ascii="仿宋" w:hAnsi="仿宋" w:eastAsia="仿宋" w:cs="仿宋"/>
          <w:b/>
          <w:spacing w:val="20"/>
          <w:kern w:val="44"/>
          <w:sz w:val="40"/>
          <w:szCs w:val="44"/>
          <w:highlight w:val="none"/>
        </w:rPr>
      </w:pPr>
    </w:p>
    <w:p w14:paraId="3179C39C">
      <w:pPr>
        <w:spacing w:line="440" w:lineRule="exact"/>
        <w:ind w:firstLine="5520" w:firstLineChars="2300"/>
        <w:jc w:val="left"/>
        <w:rPr>
          <w:rFonts w:hint="eastAsia" w:ascii="仿宋" w:hAnsi="仿宋" w:eastAsia="仿宋" w:cs="仿宋"/>
          <w:color w:val="auto"/>
          <w:sz w:val="24"/>
          <w:szCs w:val="24"/>
          <w:highlight w:val="none"/>
        </w:rPr>
      </w:pPr>
    </w:p>
    <w:p w14:paraId="0BF2A093">
      <w:pPr>
        <w:spacing w:line="440" w:lineRule="exact"/>
        <w:ind w:firstLine="5520" w:firstLineChars="2300"/>
        <w:jc w:val="left"/>
        <w:rPr>
          <w:rFonts w:hint="eastAsia" w:ascii="仿宋" w:hAnsi="仿宋" w:eastAsia="仿宋" w:cs="仿宋"/>
          <w:color w:val="auto"/>
          <w:sz w:val="24"/>
          <w:szCs w:val="24"/>
          <w:highlight w:val="none"/>
        </w:rPr>
      </w:pPr>
    </w:p>
    <w:p w14:paraId="7B2DB48F">
      <w:pPr>
        <w:spacing w:line="440" w:lineRule="exact"/>
        <w:ind w:firstLine="5520" w:firstLineChars="2300"/>
        <w:jc w:val="left"/>
        <w:rPr>
          <w:rFonts w:hint="eastAsia" w:ascii="仿宋" w:hAnsi="仿宋" w:eastAsia="仿宋" w:cs="仿宋"/>
          <w:color w:val="auto"/>
          <w:sz w:val="24"/>
          <w:szCs w:val="24"/>
          <w:highlight w:val="none"/>
        </w:rPr>
      </w:pPr>
    </w:p>
    <w:p w14:paraId="53423D0D">
      <w:pPr>
        <w:spacing w:line="440" w:lineRule="exact"/>
        <w:ind w:firstLine="5520" w:firstLineChars="2300"/>
        <w:jc w:val="left"/>
        <w:rPr>
          <w:rFonts w:hint="eastAsia" w:ascii="仿宋" w:hAnsi="仿宋" w:eastAsia="仿宋" w:cs="仿宋"/>
          <w:color w:val="auto"/>
          <w:sz w:val="24"/>
          <w:szCs w:val="24"/>
          <w:highlight w:val="none"/>
        </w:rPr>
      </w:pPr>
    </w:p>
    <w:p w14:paraId="3AC551DD">
      <w:pPr>
        <w:spacing w:line="440" w:lineRule="exact"/>
        <w:ind w:firstLine="5520" w:firstLineChars="2300"/>
        <w:jc w:val="left"/>
        <w:rPr>
          <w:rFonts w:hint="eastAsia" w:ascii="仿宋" w:hAnsi="仿宋" w:eastAsia="仿宋" w:cs="仿宋"/>
          <w:color w:val="auto"/>
          <w:sz w:val="24"/>
          <w:szCs w:val="24"/>
          <w:highlight w:val="none"/>
        </w:rPr>
      </w:pPr>
    </w:p>
    <w:p w14:paraId="5DA45D09">
      <w:pPr>
        <w:spacing w:line="440" w:lineRule="exact"/>
        <w:ind w:firstLine="5520" w:firstLineChars="2300"/>
        <w:jc w:val="left"/>
        <w:rPr>
          <w:rFonts w:hint="eastAsia" w:ascii="仿宋" w:hAnsi="仿宋" w:eastAsia="仿宋" w:cs="仿宋"/>
          <w:color w:val="auto"/>
          <w:sz w:val="24"/>
          <w:szCs w:val="24"/>
          <w:highlight w:val="none"/>
        </w:rPr>
      </w:pPr>
    </w:p>
    <w:p w14:paraId="3DC9CFAE">
      <w:pPr>
        <w:spacing w:line="440" w:lineRule="exact"/>
        <w:ind w:firstLine="5520" w:firstLineChars="2300"/>
        <w:jc w:val="left"/>
        <w:rPr>
          <w:rFonts w:hint="eastAsia" w:ascii="仿宋" w:hAnsi="仿宋" w:eastAsia="仿宋" w:cs="仿宋"/>
          <w:color w:val="auto"/>
          <w:sz w:val="24"/>
          <w:szCs w:val="24"/>
          <w:highlight w:val="none"/>
        </w:rPr>
      </w:pPr>
    </w:p>
    <w:p w14:paraId="22BAF093">
      <w:pPr>
        <w:spacing w:line="440" w:lineRule="exact"/>
        <w:ind w:firstLine="5520" w:firstLineChars="2300"/>
        <w:jc w:val="left"/>
        <w:rPr>
          <w:rFonts w:hint="eastAsia" w:ascii="仿宋" w:hAnsi="仿宋" w:eastAsia="仿宋" w:cs="仿宋"/>
          <w:color w:val="auto"/>
          <w:sz w:val="24"/>
          <w:szCs w:val="24"/>
          <w:highlight w:val="none"/>
        </w:rPr>
      </w:pPr>
    </w:p>
    <w:p w14:paraId="0D240CE8">
      <w:pPr>
        <w:spacing w:line="440" w:lineRule="exact"/>
        <w:ind w:firstLine="5520" w:firstLineChars="2300"/>
        <w:jc w:val="left"/>
        <w:rPr>
          <w:rFonts w:hint="eastAsia" w:ascii="仿宋" w:hAnsi="仿宋" w:eastAsia="仿宋" w:cs="仿宋"/>
          <w:color w:val="auto"/>
          <w:sz w:val="24"/>
          <w:szCs w:val="24"/>
          <w:highlight w:val="none"/>
        </w:rPr>
      </w:pPr>
    </w:p>
    <w:p w14:paraId="78370AD3">
      <w:pPr>
        <w:spacing w:line="440" w:lineRule="exact"/>
        <w:ind w:firstLine="5520" w:firstLineChars="2300"/>
        <w:jc w:val="left"/>
        <w:rPr>
          <w:rFonts w:hint="eastAsia" w:ascii="仿宋" w:hAnsi="仿宋" w:eastAsia="仿宋" w:cs="仿宋"/>
          <w:color w:val="auto"/>
          <w:sz w:val="24"/>
          <w:szCs w:val="24"/>
          <w:highlight w:val="none"/>
        </w:rPr>
      </w:pPr>
    </w:p>
    <w:p w14:paraId="44767CD8">
      <w:pPr>
        <w:spacing w:line="440" w:lineRule="exact"/>
        <w:ind w:firstLine="5520" w:firstLineChars="2300"/>
        <w:jc w:val="left"/>
        <w:rPr>
          <w:rFonts w:hint="eastAsia" w:ascii="仿宋" w:hAnsi="仿宋" w:eastAsia="仿宋" w:cs="仿宋"/>
          <w:color w:val="auto"/>
          <w:sz w:val="24"/>
          <w:szCs w:val="24"/>
          <w:highlight w:val="none"/>
        </w:rPr>
      </w:pPr>
    </w:p>
    <w:p w14:paraId="224B54C7">
      <w:pPr>
        <w:spacing w:line="440" w:lineRule="exact"/>
        <w:ind w:firstLine="5520" w:firstLineChars="2300"/>
        <w:jc w:val="left"/>
        <w:rPr>
          <w:rFonts w:hint="eastAsia" w:ascii="仿宋" w:hAnsi="仿宋" w:eastAsia="仿宋" w:cs="仿宋"/>
          <w:color w:val="auto"/>
          <w:sz w:val="24"/>
          <w:szCs w:val="24"/>
          <w:highlight w:val="none"/>
        </w:rPr>
      </w:pPr>
    </w:p>
    <w:p w14:paraId="13B6582F">
      <w:pPr>
        <w:spacing w:line="440" w:lineRule="exact"/>
        <w:ind w:firstLine="5520" w:firstLineChars="2300"/>
        <w:jc w:val="left"/>
        <w:rPr>
          <w:rFonts w:hint="eastAsia" w:ascii="仿宋" w:hAnsi="仿宋" w:eastAsia="仿宋" w:cs="仿宋"/>
          <w:color w:val="auto"/>
          <w:sz w:val="24"/>
          <w:szCs w:val="24"/>
          <w:highlight w:val="none"/>
        </w:rPr>
      </w:pPr>
    </w:p>
    <w:p w14:paraId="4AF61161">
      <w:pPr>
        <w:spacing w:line="440" w:lineRule="exact"/>
        <w:ind w:firstLine="5520" w:firstLineChars="2300"/>
        <w:jc w:val="left"/>
        <w:rPr>
          <w:rFonts w:hint="eastAsia" w:ascii="仿宋" w:hAnsi="仿宋" w:eastAsia="仿宋" w:cs="仿宋"/>
          <w:color w:val="auto"/>
          <w:sz w:val="24"/>
          <w:szCs w:val="24"/>
          <w:highlight w:val="none"/>
        </w:rPr>
      </w:pPr>
    </w:p>
    <w:p w14:paraId="6B6BC7D9">
      <w:pPr>
        <w:spacing w:line="440" w:lineRule="exact"/>
        <w:ind w:firstLine="5520" w:firstLineChars="2300"/>
        <w:jc w:val="left"/>
        <w:rPr>
          <w:rFonts w:hint="eastAsia" w:ascii="仿宋" w:hAnsi="仿宋" w:eastAsia="仿宋" w:cs="仿宋"/>
          <w:color w:val="auto"/>
          <w:sz w:val="24"/>
          <w:szCs w:val="24"/>
          <w:highlight w:val="none"/>
        </w:rPr>
      </w:pPr>
    </w:p>
    <w:p w14:paraId="1F92E10C">
      <w:pPr>
        <w:spacing w:line="440" w:lineRule="exact"/>
        <w:ind w:firstLine="5520" w:firstLineChars="2300"/>
        <w:jc w:val="left"/>
        <w:rPr>
          <w:rFonts w:hint="eastAsia" w:ascii="仿宋" w:hAnsi="仿宋" w:eastAsia="仿宋" w:cs="仿宋"/>
          <w:color w:val="auto"/>
          <w:sz w:val="24"/>
          <w:szCs w:val="24"/>
          <w:highlight w:val="none"/>
        </w:rPr>
      </w:pPr>
    </w:p>
    <w:p w14:paraId="66198712">
      <w:pPr>
        <w:spacing w:line="440" w:lineRule="exact"/>
        <w:ind w:firstLine="5520" w:firstLineChars="2300"/>
        <w:jc w:val="left"/>
        <w:rPr>
          <w:rFonts w:hint="eastAsia" w:ascii="仿宋" w:hAnsi="仿宋" w:eastAsia="仿宋" w:cs="仿宋"/>
          <w:color w:val="auto"/>
          <w:sz w:val="24"/>
          <w:szCs w:val="24"/>
          <w:highlight w:val="none"/>
        </w:rPr>
      </w:pPr>
    </w:p>
    <w:p w14:paraId="39AF61CB">
      <w:pPr>
        <w:spacing w:line="440" w:lineRule="exact"/>
        <w:ind w:firstLine="5520" w:firstLineChars="2300"/>
        <w:jc w:val="left"/>
        <w:rPr>
          <w:rFonts w:hint="eastAsia" w:ascii="仿宋" w:hAnsi="仿宋" w:eastAsia="仿宋" w:cs="仿宋"/>
          <w:color w:val="auto"/>
          <w:sz w:val="24"/>
          <w:szCs w:val="24"/>
          <w:highlight w:val="none"/>
        </w:rPr>
      </w:pPr>
    </w:p>
    <w:p w14:paraId="7AF69A91">
      <w:pPr>
        <w:spacing w:line="440" w:lineRule="exact"/>
        <w:ind w:firstLine="5520" w:firstLineChars="2300"/>
        <w:jc w:val="left"/>
        <w:rPr>
          <w:rFonts w:hint="eastAsia" w:ascii="仿宋" w:hAnsi="仿宋" w:eastAsia="仿宋" w:cs="仿宋"/>
          <w:color w:val="auto"/>
          <w:sz w:val="24"/>
          <w:szCs w:val="24"/>
          <w:highlight w:val="none"/>
        </w:rPr>
      </w:pPr>
    </w:p>
    <w:p w14:paraId="75AAE147">
      <w:pPr>
        <w:spacing w:line="440" w:lineRule="exact"/>
        <w:ind w:firstLine="5520" w:firstLineChars="2300"/>
        <w:jc w:val="left"/>
        <w:rPr>
          <w:rFonts w:hint="eastAsia" w:ascii="仿宋" w:hAnsi="仿宋" w:eastAsia="仿宋" w:cs="仿宋"/>
          <w:color w:val="auto"/>
          <w:sz w:val="24"/>
          <w:szCs w:val="24"/>
          <w:highlight w:val="none"/>
        </w:rPr>
      </w:pPr>
    </w:p>
    <w:p w14:paraId="7ECAB293">
      <w:pPr>
        <w:spacing w:line="440" w:lineRule="exact"/>
        <w:ind w:firstLine="5520" w:firstLineChars="2300"/>
        <w:jc w:val="left"/>
        <w:rPr>
          <w:rFonts w:hint="eastAsia" w:ascii="仿宋" w:hAnsi="仿宋" w:eastAsia="仿宋" w:cs="仿宋"/>
          <w:color w:val="auto"/>
          <w:sz w:val="24"/>
          <w:szCs w:val="24"/>
          <w:highlight w:val="none"/>
        </w:rPr>
      </w:pPr>
    </w:p>
    <w:p w14:paraId="193123CE">
      <w:pPr>
        <w:spacing w:line="440" w:lineRule="exact"/>
        <w:ind w:firstLine="5520" w:firstLineChars="2300"/>
        <w:jc w:val="left"/>
        <w:rPr>
          <w:rFonts w:hint="eastAsia" w:ascii="仿宋" w:hAnsi="仿宋" w:eastAsia="仿宋" w:cs="仿宋"/>
          <w:color w:val="auto"/>
          <w:sz w:val="24"/>
          <w:szCs w:val="24"/>
          <w:highlight w:val="none"/>
        </w:rPr>
      </w:pPr>
    </w:p>
    <w:p w14:paraId="4DFD6140">
      <w:pPr>
        <w:rPr>
          <w:rFonts w:hint="eastAsia"/>
          <w:highlight w:val="none"/>
        </w:rPr>
      </w:pPr>
      <w:bookmarkStart w:id="201" w:name="_Toc32557"/>
      <w:r>
        <w:rPr>
          <w:rFonts w:hint="eastAsia"/>
          <w:highlight w:val="none"/>
        </w:rPr>
        <w:br w:type="page"/>
      </w:r>
    </w:p>
    <w:p w14:paraId="3A5B8E12">
      <w:pPr>
        <w:pStyle w:val="2"/>
        <w:bidi w:val="0"/>
        <w:rPr>
          <w:highlight w:val="none"/>
        </w:rPr>
      </w:pPr>
      <w:r>
        <w:rPr>
          <w:rFonts w:hint="eastAsia"/>
          <w:highlight w:val="none"/>
        </w:rPr>
        <w:t xml:space="preserve">第四章  </w:t>
      </w:r>
      <w:bookmarkEnd w:id="139"/>
      <w:bookmarkEnd w:id="140"/>
      <w:r>
        <w:rPr>
          <w:rFonts w:hint="eastAsia"/>
          <w:highlight w:val="none"/>
        </w:rPr>
        <w:t>响应文件格式</w:t>
      </w:r>
      <w:bookmarkEnd w:id="201"/>
    </w:p>
    <w:p w14:paraId="337D432F">
      <w:pPr>
        <w:spacing w:line="360" w:lineRule="auto"/>
        <w:rPr>
          <w:rFonts w:ascii="仿宋" w:hAnsi="仿宋" w:eastAsia="仿宋" w:cs="仿宋"/>
          <w:color w:val="auto"/>
          <w:sz w:val="24"/>
          <w:szCs w:val="28"/>
          <w:highlight w:val="none"/>
        </w:rPr>
      </w:pPr>
      <w:bookmarkStart w:id="202" w:name="_Toc152066637"/>
      <w:bookmarkStart w:id="203" w:name="_Toc122530397"/>
    </w:p>
    <w:p w14:paraId="4D93F833">
      <w:pPr>
        <w:spacing w:line="360" w:lineRule="auto"/>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响应文件封面格式</w:t>
      </w:r>
      <w:bookmarkEnd w:id="202"/>
    </w:p>
    <w:p w14:paraId="030FF2DF">
      <w:pPr>
        <w:spacing w:line="360" w:lineRule="auto"/>
        <w:jc w:val="center"/>
        <w:rPr>
          <w:rFonts w:ascii="仿宋" w:hAnsi="仿宋" w:eastAsia="仿宋" w:cs="仿宋"/>
          <w:b/>
          <w:color w:val="auto"/>
          <w:kern w:val="0"/>
          <w:sz w:val="32"/>
          <w:szCs w:val="36"/>
          <w:highlight w:val="none"/>
          <w:u w:val="single"/>
        </w:rPr>
      </w:pPr>
      <w:r>
        <w:rPr>
          <w:rFonts w:hint="eastAsia" w:ascii="仿宋" w:hAnsi="仿宋" w:eastAsia="仿宋" w:cs="仿宋"/>
          <w:b/>
          <w:color w:val="auto"/>
          <w:kern w:val="0"/>
          <w:sz w:val="32"/>
          <w:szCs w:val="36"/>
          <w:highlight w:val="none"/>
          <w:u w:val="single"/>
        </w:rPr>
        <w:t xml:space="preserve">                     （项目名称）</w:t>
      </w:r>
    </w:p>
    <w:p w14:paraId="3EBD7FCE">
      <w:pPr>
        <w:spacing w:line="360" w:lineRule="auto"/>
        <w:jc w:val="center"/>
        <w:rPr>
          <w:rFonts w:ascii="仿宋" w:hAnsi="仿宋" w:eastAsia="仿宋" w:cs="仿宋"/>
          <w:b/>
          <w:color w:val="auto"/>
          <w:sz w:val="24"/>
          <w:szCs w:val="28"/>
          <w:highlight w:val="none"/>
        </w:rPr>
      </w:pPr>
    </w:p>
    <w:p w14:paraId="05A832BB">
      <w:pPr>
        <w:spacing w:line="360" w:lineRule="auto"/>
        <w:jc w:val="center"/>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项目编号：</w:t>
      </w:r>
      <w:r>
        <w:rPr>
          <w:rFonts w:hint="eastAsia" w:ascii="仿宋" w:hAnsi="仿宋" w:eastAsia="仿宋" w:cs="仿宋"/>
          <w:b/>
          <w:color w:val="auto"/>
          <w:sz w:val="24"/>
          <w:szCs w:val="28"/>
          <w:highlight w:val="none"/>
          <w:u w:val="single"/>
        </w:rPr>
        <w:t xml:space="preserve">         </w:t>
      </w:r>
    </w:p>
    <w:p w14:paraId="443DB4B7">
      <w:pPr>
        <w:pStyle w:val="13"/>
        <w:spacing w:line="360" w:lineRule="auto"/>
        <w:rPr>
          <w:rFonts w:ascii="仿宋" w:hAnsi="仿宋" w:eastAsia="仿宋" w:cs="仿宋"/>
          <w:b/>
          <w:color w:val="auto"/>
          <w:szCs w:val="28"/>
          <w:highlight w:val="none"/>
        </w:rPr>
      </w:pPr>
    </w:p>
    <w:p w14:paraId="0F293EAB">
      <w:pPr>
        <w:spacing w:before="360" w:beforeLines="150" w:after="360" w:afterLines="150" w:line="360" w:lineRule="auto"/>
        <w:jc w:val="center"/>
        <w:rPr>
          <w:rFonts w:ascii="仿宋" w:hAnsi="仿宋" w:eastAsia="仿宋" w:cs="仿宋"/>
          <w:b/>
          <w:bCs/>
          <w:color w:val="auto"/>
          <w:spacing w:val="66"/>
          <w:sz w:val="56"/>
          <w:highlight w:val="none"/>
        </w:rPr>
      </w:pPr>
      <w:r>
        <w:rPr>
          <w:rFonts w:hint="eastAsia" w:ascii="仿宋" w:hAnsi="仿宋" w:eastAsia="仿宋" w:cs="仿宋"/>
          <w:b/>
          <w:bCs/>
          <w:color w:val="auto"/>
          <w:spacing w:val="66"/>
          <w:sz w:val="56"/>
          <w:highlight w:val="none"/>
        </w:rPr>
        <w:t>响</w:t>
      </w:r>
    </w:p>
    <w:p w14:paraId="6067A5D1">
      <w:pPr>
        <w:spacing w:before="360" w:beforeLines="150" w:after="360" w:afterLines="150" w:line="360" w:lineRule="auto"/>
        <w:jc w:val="center"/>
        <w:rPr>
          <w:rFonts w:ascii="仿宋" w:hAnsi="仿宋" w:eastAsia="仿宋" w:cs="仿宋"/>
          <w:b/>
          <w:bCs/>
          <w:color w:val="auto"/>
          <w:spacing w:val="66"/>
          <w:sz w:val="56"/>
          <w:highlight w:val="none"/>
        </w:rPr>
      </w:pPr>
      <w:r>
        <w:rPr>
          <w:rFonts w:hint="eastAsia" w:ascii="仿宋" w:hAnsi="仿宋" w:eastAsia="仿宋" w:cs="仿宋"/>
          <w:b/>
          <w:bCs/>
          <w:color w:val="auto"/>
          <w:spacing w:val="66"/>
          <w:sz w:val="56"/>
          <w:highlight w:val="none"/>
        </w:rPr>
        <w:t>应</w:t>
      </w:r>
    </w:p>
    <w:p w14:paraId="550314EB">
      <w:pPr>
        <w:spacing w:before="360" w:beforeLines="150" w:after="360" w:afterLines="150" w:line="360" w:lineRule="auto"/>
        <w:jc w:val="center"/>
        <w:rPr>
          <w:rFonts w:ascii="仿宋" w:hAnsi="仿宋" w:eastAsia="仿宋" w:cs="仿宋"/>
          <w:b/>
          <w:bCs/>
          <w:color w:val="auto"/>
          <w:spacing w:val="66"/>
          <w:sz w:val="56"/>
          <w:highlight w:val="none"/>
        </w:rPr>
      </w:pPr>
      <w:r>
        <w:rPr>
          <w:rFonts w:hint="eastAsia" w:ascii="仿宋" w:hAnsi="仿宋" w:eastAsia="仿宋" w:cs="仿宋"/>
          <w:b/>
          <w:bCs/>
          <w:color w:val="auto"/>
          <w:spacing w:val="66"/>
          <w:sz w:val="56"/>
          <w:highlight w:val="none"/>
        </w:rPr>
        <w:t>文</w:t>
      </w:r>
    </w:p>
    <w:p w14:paraId="5E5490C8">
      <w:pPr>
        <w:spacing w:before="360" w:beforeLines="150" w:after="360" w:afterLines="150" w:line="360" w:lineRule="auto"/>
        <w:jc w:val="center"/>
        <w:rPr>
          <w:rFonts w:ascii="仿宋" w:hAnsi="仿宋" w:eastAsia="仿宋" w:cs="仿宋"/>
          <w:b/>
          <w:bCs/>
          <w:color w:val="auto"/>
          <w:spacing w:val="66"/>
          <w:sz w:val="56"/>
          <w:highlight w:val="none"/>
        </w:rPr>
      </w:pPr>
      <w:r>
        <w:rPr>
          <w:rFonts w:hint="eastAsia" w:ascii="仿宋" w:hAnsi="仿宋" w:eastAsia="仿宋" w:cs="仿宋"/>
          <w:b/>
          <w:bCs/>
          <w:color w:val="auto"/>
          <w:spacing w:val="66"/>
          <w:sz w:val="56"/>
          <w:highlight w:val="none"/>
        </w:rPr>
        <w:t>件</w:t>
      </w:r>
    </w:p>
    <w:p w14:paraId="363BD4BF">
      <w:pPr>
        <w:pStyle w:val="13"/>
        <w:spacing w:line="360" w:lineRule="auto"/>
        <w:rPr>
          <w:rFonts w:ascii="仿宋" w:hAnsi="仿宋" w:eastAsia="仿宋" w:cs="仿宋"/>
          <w:b/>
          <w:bCs w:val="0"/>
          <w:color w:val="auto"/>
          <w:spacing w:val="66"/>
          <w:sz w:val="56"/>
          <w:highlight w:val="none"/>
        </w:rPr>
      </w:pPr>
    </w:p>
    <w:p w14:paraId="54020360">
      <w:pPr>
        <w:spacing w:line="360" w:lineRule="auto"/>
        <w:ind w:left="1260" w:firstLine="420"/>
        <w:rPr>
          <w:rFonts w:ascii="仿宋" w:hAnsi="仿宋" w:eastAsia="仿宋" w:cs="仿宋"/>
          <w:color w:val="auto"/>
          <w:sz w:val="28"/>
          <w:szCs w:val="30"/>
          <w:highlight w:val="none"/>
        </w:rPr>
      </w:pPr>
      <w:bookmarkStart w:id="204" w:name="_Toc22414_WPSOffice_Level2"/>
      <w:bookmarkStart w:id="205" w:name="_Toc27017"/>
      <w:bookmarkStart w:id="206" w:name="_Toc9816"/>
      <w:r>
        <w:rPr>
          <w:rFonts w:hint="eastAsia" w:ascii="仿宋" w:hAnsi="仿宋" w:eastAsia="仿宋" w:cs="仿宋"/>
          <w:color w:val="auto"/>
          <w:sz w:val="28"/>
          <w:szCs w:val="30"/>
          <w:highlight w:val="none"/>
        </w:rPr>
        <w:t>供应商名称：</w:t>
      </w:r>
      <w:r>
        <w:rPr>
          <w:rFonts w:hint="eastAsia" w:ascii="仿宋" w:hAnsi="仿宋" w:eastAsia="仿宋" w:cs="仿宋"/>
          <w:color w:val="auto"/>
          <w:sz w:val="28"/>
          <w:szCs w:val="30"/>
          <w:highlight w:val="none"/>
          <w:u w:val="single"/>
        </w:rPr>
        <w:t xml:space="preserve">              （</w:t>
      </w:r>
      <w:r>
        <w:rPr>
          <w:rFonts w:hint="eastAsia" w:ascii="仿宋" w:hAnsi="仿宋" w:eastAsia="仿宋" w:cs="仿宋"/>
          <w:sz w:val="28"/>
          <w:szCs w:val="30"/>
          <w:highlight w:val="none"/>
          <w:lang w:val="en-US" w:eastAsia="zh-CN"/>
        </w:rPr>
        <w:t>签章</w:t>
      </w:r>
      <w:r>
        <w:rPr>
          <w:rFonts w:hint="eastAsia" w:ascii="仿宋" w:hAnsi="仿宋" w:eastAsia="仿宋" w:cs="仿宋"/>
          <w:color w:val="auto"/>
          <w:sz w:val="28"/>
          <w:szCs w:val="30"/>
          <w:highlight w:val="none"/>
        </w:rPr>
        <w:t>）</w:t>
      </w:r>
      <w:bookmarkEnd w:id="204"/>
      <w:bookmarkEnd w:id="205"/>
      <w:bookmarkEnd w:id="206"/>
    </w:p>
    <w:p w14:paraId="25E3DE20">
      <w:pPr>
        <w:spacing w:line="360" w:lineRule="auto"/>
        <w:ind w:left="1260" w:firstLine="420"/>
        <w:rPr>
          <w:rFonts w:ascii="仿宋" w:hAnsi="仿宋" w:eastAsia="仿宋" w:cs="仿宋"/>
          <w:color w:val="auto"/>
          <w:sz w:val="28"/>
          <w:szCs w:val="30"/>
          <w:highlight w:val="none"/>
        </w:rPr>
      </w:pPr>
      <w:bookmarkStart w:id="207" w:name="_Toc20735_WPSOffice_Level2"/>
      <w:r>
        <w:rPr>
          <w:rFonts w:hint="eastAsia" w:ascii="仿宋" w:hAnsi="仿宋" w:eastAsia="仿宋" w:cs="仿宋"/>
          <w:color w:val="auto"/>
          <w:sz w:val="28"/>
          <w:szCs w:val="30"/>
          <w:highlight w:val="none"/>
        </w:rPr>
        <w:t>法定代表人或其委托代理人：</w:t>
      </w:r>
      <w:r>
        <w:rPr>
          <w:rFonts w:hint="eastAsia" w:ascii="仿宋" w:hAnsi="仿宋" w:eastAsia="仿宋" w:cs="仿宋"/>
          <w:color w:val="auto"/>
          <w:sz w:val="28"/>
          <w:szCs w:val="30"/>
          <w:highlight w:val="none"/>
          <w:u w:val="single"/>
        </w:rPr>
        <w:t xml:space="preserve">       （</w:t>
      </w:r>
      <w:r>
        <w:rPr>
          <w:rFonts w:hint="eastAsia" w:ascii="仿宋" w:hAnsi="仿宋" w:eastAsia="仿宋" w:cs="仿宋"/>
          <w:sz w:val="28"/>
          <w:szCs w:val="30"/>
          <w:highlight w:val="none"/>
        </w:rPr>
        <w:t>签名或签章</w:t>
      </w:r>
      <w:r>
        <w:rPr>
          <w:rFonts w:hint="eastAsia" w:ascii="仿宋" w:hAnsi="仿宋" w:eastAsia="仿宋" w:cs="仿宋"/>
          <w:color w:val="auto"/>
          <w:sz w:val="28"/>
          <w:szCs w:val="30"/>
          <w:highlight w:val="none"/>
        </w:rPr>
        <w:t>）</w:t>
      </w:r>
      <w:bookmarkEnd w:id="207"/>
    </w:p>
    <w:p w14:paraId="0265B474">
      <w:pPr>
        <w:spacing w:line="360" w:lineRule="auto"/>
        <w:ind w:left="1260" w:firstLine="42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日  期：</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日</w:t>
      </w:r>
      <w:bookmarkEnd w:id="141"/>
      <w:bookmarkEnd w:id="203"/>
    </w:p>
    <w:p w14:paraId="21F0D3C1">
      <w:pPr>
        <w:spacing w:line="360" w:lineRule="auto"/>
        <w:jc w:val="center"/>
        <w:rPr>
          <w:rFonts w:ascii="仿宋" w:hAnsi="仿宋" w:eastAsia="仿宋" w:cs="仿宋"/>
          <w:color w:val="auto"/>
          <w:sz w:val="28"/>
          <w:szCs w:val="28"/>
          <w:highlight w:val="none"/>
        </w:rPr>
        <w:sectPr>
          <w:headerReference r:id="rId8" w:type="default"/>
          <w:footerReference r:id="rId9" w:type="default"/>
          <w:pgSz w:w="11906" w:h="16838"/>
          <w:pgMar w:top="1440" w:right="1519" w:bottom="1440" w:left="1519" w:header="851" w:footer="851" w:gutter="0"/>
          <w:pgNumType w:fmt="decimal"/>
          <w:cols w:space="708" w:num="1"/>
          <w:docGrid w:linePitch="312" w:charSpace="0"/>
        </w:sectPr>
      </w:pPr>
    </w:p>
    <w:p w14:paraId="400055E7">
      <w:pPr>
        <w:spacing w:before="120" w:beforeLines="50" w:line="360" w:lineRule="auto"/>
        <w:ind w:firstLine="241"/>
        <w:jc w:val="left"/>
        <w:outlineLvl w:val="0"/>
        <w:rPr>
          <w:rFonts w:ascii="仿宋" w:hAnsi="仿宋" w:eastAsia="仿宋" w:cs="仿宋"/>
          <w:b/>
          <w:bCs/>
          <w:color w:val="auto"/>
          <w:kern w:val="0"/>
          <w:sz w:val="24"/>
          <w:szCs w:val="24"/>
          <w:highlight w:val="none"/>
        </w:rPr>
      </w:pPr>
      <w:bookmarkStart w:id="208" w:name="_Toc509850069"/>
      <w:bookmarkStart w:id="209" w:name="_Toc27872"/>
      <w:bookmarkStart w:id="210" w:name="_Toc8662"/>
      <w:bookmarkStart w:id="211" w:name="_Toc12427"/>
      <w:r>
        <w:rPr>
          <w:rFonts w:hint="eastAsia" w:ascii="仿宋" w:hAnsi="仿宋" w:eastAsia="仿宋" w:cs="仿宋"/>
          <w:b/>
          <w:bCs/>
          <w:color w:val="auto"/>
          <w:kern w:val="0"/>
          <w:sz w:val="24"/>
          <w:szCs w:val="24"/>
          <w:highlight w:val="none"/>
        </w:rPr>
        <w:t>一、磋商响应文件资格审查部分格式</w:t>
      </w:r>
    </w:p>
    <w:p w14:paraId="682BF99D">
      <w:pPr>
        <w:ind w:firstLine="321"/>
        <w:jc w:val="center"/>
        <w:rPr>
          <w:rFonts w:ascii="仿宋" w:hAnsi="仿宋" w:eastAsia="仿宋" w:cs="仿宋"/>
          <w:b/>
          <w:color w:val="auto"/>
          <w:sz w:val="32"/>
          <w:szCs w:val="36"/>
          <w:highlight w:val="none"/>
        </w:rPr>
      </w:pPr>
      <w:bookmarkStart w:id="212" w:name="_Toc38173195"/>
      <w:bookmarkStart w:id="213" w:name="_Toc136674753"/>
      <w:bookmarkStart w:id="214" w:name="_Toc78603132"/>
      <w:bookmarkStart w:id="215" w:name="_Toc31603096"/>
      <w:bookmarkStart w:id="216" w:name="_Toc136082482"/>
      <w:r>
        <w:rPr>
          <w:rFonts w:hint="eastAsia" w:ascii="仿宋" w:hAnsi="仿宋" w:eastAsia="仿宋" w:cs="仿宋"/>
          <w:b/>
          <w:color w:val="auto"/>
          <w:sz w:val="32"/>
          <w:szCs w:val="36"/>
          <w:highlight w:val="none"/>
        </w:rPr>
        <w:t>（一）符合《中华人民共和国政府采购法》第二十二条规定</w:t>
      </w:r>
    </w:p>
    <w:p w14:paraId="490E41AA">
      <w:pPr>
        <w:spacing w:line="360" w:lineRule="auto"/>
        <w:ind w:firstLine="321"/>
        <w:jc w:val="left"/>
        <w:outlineLvl w:val="1"/>
        <w:rPr>
          <w:rFonts w:ascii="仿宋" w:hAnsi="仿宋" w:eastAsia="仿宋" w:cs="仿宋"/>
          <w:b/>
          <w:color w:val="auto"/>
          <w:sz w:val="32"/>
          <w:szCs w:val="36"/>
          <w:highlight w:val="none"/>
        </w:rPr>
      </w:pPr>
      <w:bookmarkStart w:id="217" w:name="_Toc496484963"/>
      <w:bookmarkStart w:id="218" w:name="_Toc509850076"/>
      <w:bookmarkStart w:id="219" w:name="_Toc507686736"/>
      <w:bookmarkStart w:id="220" w:name="_Toc20876"/>
      <w:bookmarkStart w:id="221" w:name="_Toc15832"/>
    </w:p>
    <w:p w14:paraId="4C28E39A">
      <w:pPr>
        <w:spacing w:line="360" w:lineRule="auto"/>
        <w:ind w:firstLine="321"/>
        <w:jc w:val="center"/>
        <w:outlineLvl w:val="1"/>
        <w:rPr>
          <w:rFonts w:ascii="仿宋" w:hAnsi="仿宋" w:eastAsia="仿宋" w:cs="仿宋"/>
          <w:b/>
          <w:color w:val="auto"/>
          <w:sz w:val="32"/>
          <w:szCs w:val="36"/>
          <w:highlight w:val="none"/>
        </w:rPr>
      </w:pPr>
      <w:r>
        <w:rPr>
          <w:rFonts w:hint="eastAsia" w:ascii="仿宋" w:hAnsi="仿宋" w:eastAsia="仿宋" w:cs="仿宋"/>
          <w:b/>
          <w:color w:val="auto"/>
          <w:sz w:val="32"/>
          <w:szCs w:val="36"/>
          <w:highlight w:val="none"/>
        </w:rPr>
        <w:t>1.1供应商基本情况表</w:t>
      </w:r>
      <w:bookmarkEnd w:id="217"/>
      <w:bookmarkEnd w:id="218"/>
      <w:bookmarkEnd w:id="219"/>
      <w:bookmarkEnd w:id="220"/>
    </w:p>
    <w:tbl>
      <w:tblPr>
        <w:tblStyle w:val="39"/>
        <w:tblW w:w="92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8"/>
        <w:gridCol w:w="1440"/>
        <w:gridCol w:w="2416"/>
        <w:gridCol w:w="1545"/>
        <w:gridCol w:w="3190"/>
      </w:tblGrid>
      <w:tr w14:paraId="2E732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14:paraId="397684EB">
            <w:pPr>
              <w:spacing w:line="360" w:lineRule="auto"/>
              <w:ind w:firstLine="220"/>
              <w:jc w:val="center"/>
              <w:rPr>
                <w:rFonts w:ascii="仿宋" w:hAnsi="仿宋" w:eastAsia="仿宋" w:cs="仿宋"/>
                <w:color w:val="auto"/>
                <w:sz w:val="22"/>
                <w:highlight w:val="none"/>
              </w:rPr>
            </w:pPr>
            <w:r>
              <w:rPr>
                <w:rFonts w:hint="eastAsia" w:ascii="仿宋" w:hAnsi="仿宋" w:eastAsia="仿宋" w:cs="仿宋"/>
                <w:color w:val="auto"/>
                <w:sz w:val="22"/>
                <w:highlight w:val="none"/>
              </w:rPr>
              <w:t>1</w:t>
            </w:r>
          </w:p>
        </w:tc>
        <w:tc>
          <w:tcPr>
            <w:tcW w:w="8591" w:type="dxa"/>
            <w:gridSpan w:val="4"/>
            <w:vAlign w:val="center"/>
          </w:tcPr>
          <w:p w14:paraId="0D35055C">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企业名称</w:t>
            </w:r>
          </w:p>
        </w:tc>
      </w:tr>
      <w:tr w14:paraId="4719D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14:paraId="310C4048">
            <w:pPr>
              <w:spacing w:line="360" w:lineRule="auto"/>
              <w:ind w:firstLine="220"/>
              <w:jc w:val="center"/>
              <w:rPr>
                <w:rFonts w:ascii="仿宋" w:hAnsi="仿宋" w:eastAsia="仿宋" w:cs="仿宋"/>
                <w:color w:val="auto"/>
                <w:sz w:val="22"/>
                <w:highlight w:val="none"/>
              </w:rPr>
            </w:pPr>
            <w:r>
              <w:rPr>
                <w:rFonts w:hint="eastAsia" w:ascii="仿宋" w:hAnsi="仿宋" w:eastAsia="仿宋" w:cs="仿宋"/>
                <w:color w:val="auto"/>
                <w:sz w:val="22"/>
                <w:highlight w:val="none"/>
              </w:rPr>
              <w:t>2</w:t>
            </w:r>
          </w:p>
        </w:tc>
        <w:tc>
          <w:tcPr>
            <w:tcW w:w="8591" w:type="dxa"/>
            <w:gridSpan w:val="4"/>
            <w:vAlign w:val="center"/>
          </w:tcPr>
          <w:p w14:paraId="0EA6D138">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公司地址</w:t>
            </w:r>
          </w:p>
        </w:tc>
      </w:tr>
      <w:tr w14:paraId="15271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14:paraId="235B160E">
            <w:pPr>
              <w:spacing w:line="360" w:lineRule="auto"/>
              <w:ind w:firstLine="220"/>
              <w:jc w:val="center"/>
              <w:rPr>
                <w:rFonts w:ascii="仿宋" w:hAnsi="仿宋" w:eastAsia="仿宋" w:cs="仿宋"/>
                <w:color w:val="auto"/>
                <w:sz w:val="22"/>
                <w:highlight w:val="none"/>
              </w:rPr>
            </w:pPr>
            <w:r>
              <w:rPr>
                <w:rFonts w:hint="eastAsia" w:ascii="仿宋" w:hAnsi="仿宋" w:eastAsia="仿宋" w:cs="仿宋"/>
                <w:color w:val="auto"/>
                <w:sz w:val="22"/>
                <w:highlight w:val="none"/>
              </w:rPr>
              <w:t>3</w:t>
            </w:r>
          </w:p>
        </w:tc>
        <w:tc>
          <w:tcPr>
            <w:tcW w:w="1440" w:type="dxa"/>
            <w:vAlign w:val="center"/>
          </w:tcPr>
          <w:p w14:paraId="5CDC6018">
            <w:pPr>
              <w:spacing w:line="360" w:lineRule="auto"/>
              <w:ind w:firstLine="24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联系电话</w:t>
            </w:r>
          </w:p>
        </w:tc>
        <w:tc>
          <w:tcPr>
            <w:tcW w:w="2416" w:type="dxa"/>
            <w:vAlign w:val="center"/>
          </w:tcPr>
          <w:p w14:paraId="02B4BB16">
            <w:pPr>
              <w:spacing w:line="360" w:lineRule="auto"/>
              <w:jc w:val="left"/>
              <w:rPr>
                <w:rFonts w:ascii="仿宋" w:hAnsi="仿宋" w:eastAsia="仿宋" w:cs="仿宋"/>
                <w:color w:val="auto"/>
                <w:sz w:val="24"/>
                <w:szCs w:val="28"/>
                <w:highlight w:val="none"/>
              </w:rPr>
            </w:pPr>
          </w:p>
        </w:tc>
        <w:tc>
          <w:tcPr>
            <w:tcW w:w="1545" w:type="dxa"/>
            <w:vAlign w:val="center"/>
          </w:tcPr>
          <w:p w14:paraId="10ADF817">
            <w:pPr>
              <w:spacing w:line="360" w:lineRule="auto"/>
              <w:ind w:firstLine="24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联系人</w:t>
            </w:r>
          </w:p>
        </w:tc>
        <w:tc>
          <w:tcPr>
            <w:tcW w:w="3190" w:type="dxa"/>
            <w:vAlign w:val="center"/>
          </w:tcPr>
          <w:p w14:paraId="104B5FDC">
            <w:pPr>
              <w:spacing w:line="360" w:lineRule="auto"/>
              <w:rPr>
                <w:rFonts w:ascii="仿宋" w:hAnsi="仿宋" w:eastAsia="仿宋" w:cs="仿宋"/>
                <w:color w:val="auto"/>
                <w:sz w:val="24"/>
                <w:szCs w:val="28"/>
                <w:highlight w:val="none"/>
              </w:rPr>
            </w:pPr>
          </w:p>
        </w:tc>
      </w:tr>
      <w:tr w14:paraId="0A1F4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14:paraId="73BFFB03">
            <w:pPr>
              <w:spacing w:line="360" w:lineRule="auto"/>
              <w:ind w:firstLine="220"/>
              <w:jc w:val="center"/>
              <w:rPr>
                <w:rFonts w:ascii="仿宋" w:hAnsi="仿宋" w:eastAsia="仿宋" w:cs="仿宋"/>
                <w:color w:val="auto"/>
                <w:sz w:val="22"/>
                <w:highlight w:val="none"/>
              </w:rPr>
            </w:pPr>
            <w:r>
              <w:rPr>
                <w:rFonts w:hint="eastAsia" w:ascii="仿宋" w:hAnsi="仿宋" w:eastAsia="仿宋" w:cs="仿宋"/>
                <w:color w:val="auto"/>
                <w:sz w:val="22"/>
                <w:highlight w:val="none"/>
              </w:rPr>
              <w:t>4</w:t>
            </w:r>
          </w:p>
        </w:tc>
        <w:tc>
          <w:tcPr>
            <w:tcW w:w="1440" w:type="dxa"/>
            <w:vAlign w:val="center"/>
          </w:tcPr>
          <w:p w14:paraId="6A82FDB6">
            <w:pPr>
              <w:spacing w:line="360" w:lineRule="auto"/>
              <w:ind w:firstLine="24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传真</w:t>
            </w:r>
          </w:p>
        </w:tc>
        <w:tc>
          <w:tcPr>
            <w:tcW w:w="2416" w:type="dxa"/>
            <w:vAlign w:val="center"/>
          </w:tcPr>
          <w:p w14:paraId="521E4274">
            <w:pPr>
              <w:spacing w:line="360" w:lineRule="auto"/>
              <w:jc w:val="left"/>
              <w:rPr>
                <w:rFonts w:ascii="仿宋" w:hAnsi="仿宋" w:eastAsia="仿宋" w:cs="仿宋"/>
                <w:color w:val="auto"/>
                <w:sz w:val="24"/>
                <w:szCs w:val="28"/>
                <w:highlight w:val="none"/>
              </w:rPr>
            </w:pPr>
          </w:p>
        </w:tc>
        <w:tc>
          <w:tcPr>
            <w:tcW w:w="1545" w:type="dxa"/>
            <w:vAlign w:val="center"/>
          </w:tcPr>
          <w:p w14:paraId="33375262">
            <w:pPr>
              <w:spacing w:line="360" w:lineRule="auto"/>
              <w:ind w:firstLine="24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电子邮箱</w:t>
            </w:r>
          </w:p>
        </w:tc>
        <w:tc>
          <w:tcPr>
            <w:tcW w:w="3190" w:type="dxa"/>
            <w:vAlign w:val="center"/>
          </w:tcPr>
          <w:p w14:paraId="60FE6FAA">
            <w:pPr>
              <w:spacing w:line="360" w:lineRule="auto"/>
              <w:rPr>
                <w:rFonts w:ascii="仿宋" w:hAnsi="仿宋" w:eastAsia="仿宋" w:cs="仿宋"/>
                <w:color w:val="auto"/>
                <w:sz w:val="24"/>
                <w:szCs w:val="28"/>
                <w:highlight w:val="none"/>
              </w:rPr>
            </w:pPr>
          </w:p>
        </w:tc>
      </w:tr>
      <w:tr w14:paraId="135E8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14:paraId="5BDA6ABD">
            <w:pPr>
              <w:spacing w:line="360" w:lineRule="auto"/>
              <w:ind w:firstLine="220"/>
              <w:jc w:val="center"/>
              <w:rPr>
                <w:rFonts w:ascii="仿宋" w:hAnsi="仿宋" w:eastAsia="仿宋" w:cs="仿宋"/>
                <w:color w:val="auto"/>
                <w:sz w:val="22"/>
                <w:highlight w:val="none"/>
              </w:rPr>
            </w:pPr>
            <w:r>
              <w:rPr>
                <w:rFonts w:hint="eastAsia" w:ascii="仿宋" w:hAnsi="仿宋" w:eastAsia="仿宋" w:cs="仿宋"/>
                <w:color w:val="auto"/>
                <w:sz w:val="22"/>
                <w:highlight w:val="none"/>
              </w:rPr>
              <w:t>5</w:t>
            </w:r>
          </w:p>
        </w:tc>
        <w:tc>
          <w:tcPr>
            <w:tcW w:w="1440" w:type="dxa"/>
            <w:vAlign w:val="center"/>
          </w:tcPr>
          <w:p w14:paraId="21544EA2">
            <w:pPr>
              <w:spacing w:line="360" w:lineRule="auto"/>
              <w:ind w:firstLine="24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注册地</w:t>
            </w:r>
          </w:p>
        </w:tc>
        <w:tc>
          <w:tcPr>
            <w:tcW w:w="2416" w:type="dxa"/>
            <w:vAlign w:val="center"/>
          </w:tcPr>
          <w:p w14:paraId="4AC79ED0">
            <w:pPr>
              <w:spacing w:line="360" w:lineRule="auto"/>
              <w:jc w:val="left"/>
              <w:rPr>
                <w:rFonts w:ascii="仿宋" w:hAnsi="仿宋" w:eastAsia="仿宋" w:cs="仿宋"/>
                <w:color w:val="auto"/>
                <w:sz w:val="24"/>
                <w:szCs w:val="28"/>
                <w:highlight w:val="none"/>
              </w:rPr>
            </w:pPr>
          </w:p>
        </w:tc>
        <w:tc>
          <w:tcPr>
            <w:tcW w:w="1545" w:type="dxa"/>
            <w:vAlign w:val="center"/>
          </w:tcPr>
          <w:p w14:paraId="565F3993">
            <w:pPr>
              <w:spacing w:line="360" w:lineRule="auto"/>
              <w:ind w:firstLine="24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注册时间</w:t>
            </w:r>
          </w:p>
        </w:tc>
        <w:tc>
          <w:tcPr>
            <w:tcW w:w="3190" w:type="dxa"/>
            <w:vAlign w:val="center"/>
          </w:tcPr>
          <w:p w14:paraId="64E9CBFF">
            <w:pPr>
              <w:spacing w:line="360" w:lineRule="auto"/>
              <w:rPr>
                <w:rFonts w:ascii="仿宋" w:hAnsi="仿宋" w:eastAsia="仿宋" w:cs="仿宋"/>
                <w:color w:val="auto"/>
                <w:sz w:val="24"/>
                <w:szCs w:val="28"/>
                <w:highlight w:val="none"/>
              </w:rPr>
            </w:pPr>
          </w:p>
        </w:tc>
      </w:tr>
      <w:tr w14:paraId="608B2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14:paraId="1940D6F1">
            <w:pPr>
              <w:spacing w:line="360" w:lineRule="auto"/>
              <w:ind w:firstLine="220"/>
              <w:jc w:val="center"/>
              <w:rPr>
                <w:rFonts w:ascii="仿宋" w:hAnsi="仿宋" w:eastAsia="仿宋" w:cs="仿宋"/>
                <w:color w:val="auto"/>
                <w:sz w:val="22"/>
                <w:highlight w:val="none"/>
              </w:rPr>
            </w:pPr>
            <w:r>
              <w:rPr>
                <w:rFonts w:hint="eastAsia" w:ascii="仿宋" w:hAnsi="仿宋" w:eastAsia="仿宋" w:cs="仿宋"/>
                <w:color w:val="auto"/>
                <w:sz w:val="22"/>
                <w:highlight w:val="none"/>
              </w:rPr>
              <w:t>6</w:t>
            </w:r>
          </w:p>
        </w:tc>
        <w:tc>
          <w:tcPr>
            <w:tcW w:w="8591" w:type="dxa"/>
            <w:gridSpan w:val="4"/>
            <w:vAlign w:val="center"/>
          </w:tcPr>
          <w:p w14:paraId="3F4A7E8A">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公司资质等级证书号 :</w:t>
            </w:r>
          </w:p>
        </w:tc>
      </w:tr>
      <w:tr w14:paraId="5384D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628" w:type="dxa"/>
            <w:vAlign w:val="center"/>
          </w:tcPr>
          <w:p w14:paraId="55324FFC">
            <w:pPr>
              <w:spacing w:line="360" w:lineRule="auto"/>
              <w:ind w:firstLine="220"/>
              <w:jc w:val="center"/>
              <w:rPr>
                <w:rFonts w:ascii="仿宋" w:hAnsi="仿宋" w:eastAsia="仿宋" w:cs="仿宋"/>
                <w:color w:val="auto"/>
                <w:sz w:val="22"/>
                <w:highlight w:val="none"/>
              </w:rPr>
            </w:pPr>
            <w:r>
              <w:rPr>
                <w:rFonts w:hint="eastAsia" w:ascii="仿宋" w:hAnsi="仿宋" w:eastAsia="仿宋" w:cs="仿宋"/>
                <w:color w:val="auto"/>
                <w:sz w:val="22"/>
                <w:highlight w:val="none"/>
              </w:rPr>
              <w:t>7</w:t>
            </w:r>
          </w:p>
        </w:tc>
        <w:tc>
          <w:tcPr>
            <w:tcW w:w="8591" w:type="dxa"/>
            <w:gridSpan w:val="4"/>
            <w:vAlign w:val="center"/>
          </w:tcPr>
          <w:p w14:paraId="1625C663">
            <w:pPr>
              <w:spacing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主营范围</w:t>
            </w:r>
          </w:p>
          <w:p w14:paraId="7B1B80F8">
            <w:pPr>
              <w:spacing w:line="360" w:lineRule="auto"/>
              <w:ind w:firstLine="240"/>
              <w:rPr>
                <w:rFonts w:ascii="仿宋" w:hAnsi="仿宋" w:eastAsia="仿宋" w:cs="仿宋"/>
                <w:color w:val="auto"/>
                <w:sz w:val="24"/>
                <w:szCs w:val="28"/>
                <w:highlight w:val="none"/>
              </w:rPr>
            </w:pPr>
          </w:p>
        </w:tc>
      </w:tr>
      <w:tr w14:paraId="21EAE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628" w:type="dxa"/>
            <w:vAlign w:val="center"/>
          </w:tcPr>
          <w:p w14:paraId="3BC7F265">
            <w:pPr>
              <w:spacing w:line="360" w:lineRule="auto"/>
              <w:ind w:firstLine="220"/>
              <w:jc w:val="center"/>
              <w:rPr>
                <w:rFonts w:ascii="仿宋" w:hAnsi="仿宋" w:eastAsia="仿宋" w:cs="仿宋"/>
                <w:color w:val="auto"/>
                <w:sz w:val="22"/>
                <w:highlight w:val="none"/>
              </w:rPr>
            </w:pPr>
            <w:r>
              <w:rPr>
                <w:rFonts w:hint="eastAsia" w:ascii="仿宋" w:hAnsi="仿宋" w:eastAsia="仿宋" w:cs="仿宋"/>
                <w:color w:val="auto"/>
                <w:sz w:val="22"/>
                <w:highlight w:val="none"/>
              </w:rPr>
              <w:t>8</w:t>
            </w:r>
          </w:p>
        </w:tc>
        <w:tc>
          <w:tcPr>
            <w:tcW w:w="8591" w:type="dxa"/>
            <w:gridSpan w:val="4"/>
            <w:vAlign w:val="center"/>
          </w:tcPr>
          <w:p w14:paraId="535D9B0D">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其他需要说明的情况</w:t>
            </w:r>
          </w:p>
        </w:tc>
      </w:tr>
    </w:tbl>
    <w:p w14:paraId="5CB2CCAF">
      <w:pPr>
        <w:spacing w:line="360" w:lineRule="auto"/>
        <w:ind w:firstLine="480" w:firstLineChars="200"/>
        <w:rPr>
          <w:rFonts w:ascii="仿宋" w:hAnsi="仿宋" w:eastAsia="仿宋" w:cs="仿宋"/>
          <w:color w:val="auto"/>
          <w:sz w:val="24"/>
          <w:szCs w:val="28"/>
          <w:highlight w:val="none"/>
        </w:rPr>
      </w:pPr>
      <w:bookmarkStart w:id="222" w:name="_Toc15126"/>
      <w:bookmarkStart w:id="223" w:name="_Toc22496"/>
      <w:r>
        <w:rPr>
          <w:rFonts w:hint="eastAsia" w:ascii="仿宋" w:hAnsi="仿宋" w:eastAsia="仿宋" w:cs="仿宋"/>
          <w:color w:val="auto"/>
          <w:sz w:val="24"/>
          <w:szCs w:val="28"/>
          <w:highlight w:val="none"/>
        </w:rPr>
        <w:t>供应商应根据磋商文件第二章“供应商须知前附表2</w:t>
      </w: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”中1.1的要求后附相关证明材料。</w:t>
      </w:r>
    </w:p>
    <w:p w14:paraId="03EE9923">
      <w:pPr>
        <w:ind w:firstLine="320"/>
        <w:rPr>
          <w:rFonts w:ascii="仿宋" w:hAnsi="仿宋" w:eastAsia="仿宋" w:cs="仿宋"/>
          <w:color w:val="auto"/>
          <w:sz w:val="32"/>
          <w:szCs w:val="36"/>
          <w:highlight w:val="none"/>
        </w:rPr>
      </w:pPr>
      <w:r>
        <w:rPr>
          <w:rFonts w:hint="eastAsia" w:ascii="仿宋" w:hAnsi="仿宋" w:eastAsia="仿宋" w:cs="仿宋"/>
          <w:color w:val="auto"/>
          <w:sz w:val="32"/>
          <w:szCs w:val="36"/>
          <w:highlight w:val="none"/>
        </w:rPr>
        <w:br w:type="page"/>
      </w:r>
    </w:p>
    <w:bookmarkEnd w:id="222"/>
    <w:bookmarkEnd w:id="223"/>
    <w:p w14:paraId="2D2F70AD">
      <w:pPr>
        <w:pStyle w:val="4"/>
        <w:spacing w:before="43"/>
        <w:ind w:firstLine="0" w:firstLineChars="0"/>
        <w:rPr>
          <w:color w:val="auto"/>
          <w:szCs w:val="36"/>
          <w:highlight w:val="none"/>
        </w:rPr>
      </w:pPr>
      <w:bookmarkStart w:id="224" w:name="_Toc27274"/>
      <w:bookmarkStart w:id="225" w:name="_Toc161306713"/>
      <w:r>
        <w:rPr>
          <w:rFonts w:hint="eastAsia"/>
          <w:color w:val="auto"/>
          <w:szCs w:val="36"/>
          <w:highlight w:val="none"/>
        </w:rPr>
        <w:t>1.2近年财务状况表</w:t>
      </w:r>
      <w:bookmarkEnd w:id="224"/>
      <w:bookmarkEnd w:id="225"/>
    </w:p>
    <w:p w14:paraId="445C9223">
      <w:pPr>
        <w:pStyle w:val="13"/>
        <w:ind w:firstLine="280"/>
        <w:rPr>
          <w:rFonts w:ascii="仿宋" w:hAnsi="仿宋" w:eastAsia="仿宋" w:cs="仿宋"/>
          <w:color w:val="auto"/>
          <w:sz w:val="28"/>
          <w:highlight w:val="none"/>
        </w:rPr>
      </w:pPr>
    </w:p>
    <w:tbl>
      <w:tblPr>
        <w:tblStyle w:val="39"/>
        <w:tblpPr w:leftFromText="180" w:rightFromText="180" w:vertAnchor="text" w:horzAnchor="page" w:tblpX="1247" w:tblpY="194"/>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42"/>
        <w:gridCol w:w="1776"/>
        <w:gridCol w:w="4884"/>
      </w:tblGrid>
      <w:tr w14:paraId="736BAB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2442" w:type="dxa"/>
            <w:tcBorders>
              <w:top w:val="double" w:color="auto" w:sz="4" w:space="0"/>
            </w:tcBorders>
            <w:vAlign w:val="center"/>
          </w:tcPr>
          <w:p w14:paraId="37DF05B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项目或指标</w:t>
            </w:r>
          </w:p>
        </w:tc>
        <w:tc>
          <w:tcPr>
            <w:tcW w:w="1776" w:type="dxa"/>
            <w:tcBorders>
              <w:top w:val="double" w:color="auto" w:sz="4" w:space="0"/>
            </w:tcBorders>
            <w:vAlign w:val="center"/>
          </w:tcPr>
          <w:p w14:paraId="2EAC188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4884" w:type="dxa"/>
            <w:tcBorders>
              <w:top w:val="double" w:color="auto" w:sz="4" w:space="0"/>
            </w:tcBorders>
            <w:vAlign w:val="center"/>
          </w:tcPr>
          <w:p w14:paraId="5676ADC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tc>
      </w:tr>
      <w:tr w14:paraId="5B1E85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2442" w:type="dxa"/>
          </w:tcPr>
          <w:p w14:paraId="24157F3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一、注册资金</w:t>
            </w:r>
          </w:p>
        </w:tc>
        <w:tc>
          <w:tcPr>
            <w:tcW w:w="1776" w:type="dxa"/>
            <w:vAlign w:val="center"/>
          </w:tcPr>
          <w:p w14:paraId="15382A7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4884" w:type="dxa"/>
          </w:tcPr>
          <w:p w14:paraId="6FF98E82">
            <w:pPr>
              <w:spacing w:line="360" w:lineRule="auto"/>
              <w:rPr>
                <w:rFonts w:ascii="仿宋" w:hAnsi="仿宋" w:eastAsia="仿宋" w:cs="仿宋"/>
                <w:color w:val="auto"/>
                <w:sz w:val="24"/>
                <w:highlight w:val="none"/>
              </w:rPr>
            </w:pPr>
          </w:p>
        </w:tc>
      </w:tr>
      <w:tr w14:paraId="47E05D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2442" w:type="dxa"/>
          </w:tcPr>
          <w:p w14:paraId="7ACBC04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二、净资产</w:t>
            </w:r>
          </w:p>
        </w:tc>
        <w:tc>
          <w:tcPr>
            <w:tcW w:w="1776" w:type="dxa"/>
            <w:vAlign w:val="center"/>
          </w:tcPr>
          <w:p w14:paraId="281165E8">
            <w:pPr>
              <w:spacing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万元</w:t>
            </w:r>
          </w:p>
        </w:tc>
        <w:tc>
          <w:tcPr>
            <w:tcW w:w="4884" w:type="dxa"/>
          </w:tcPr>
          <w:p w14:paraId="0CF07576">
            <w:pPr>
              <w:spacing w:line="360" w:lineRule="auto"/>
              <w:rPr>
                <w:rFonts w:ascii="仿宋" w:hAnsi="仿宋" w:eastAsia="仿宋" w:cs="仿宋"/>
                <w:color w:val="auto"/>
                <w:sz w:val="24"/>
                <w:highlight w:val="none"/>
              </w:rPr>
            </w:pPr>
          </w:p>
        </w:tc>
      </w:tr>
      <w:tr w14:paraId="20A75E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2442" w:type="dxa"/>
          </w:tcPr>
          <w:p w14:paraId="3E64B20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三、总资产</w:t>
            </w:r>
          </w:p>
        </w:tc>
        <w:tc>
          <w:tcPr>
            <w:tcW w:w="1776" w:type="dxa"/>
            <w:vAlign w:val="center"/>
          </w:tcPr>
          <w:p w14:paraId="7696E855">
            <w:pPr>
              <w:spacing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万元</w:t>
            </w:r>
          </w:p>
        </w:tc>
        <w:tc>
          <w:tcPr>
            <w:tcW w:w="4884" w:type="dxa"/>
          </w:tcPr>
          <w:p w14:paraId="377147E6">
            <w:pPr>
              <w:spacing w:line="360" w:lineRule="auto"/>
              <w:rPr>
                <w:rFonts w:ascii="仿宋" w:hAnsi="仿宋" w:eastAsia="仿宋" w:cs="仿宋"/>
                <w:color w:val="auto"/>
                <w:sz w:val="24"/>
                <w:highlight w:val="none"/>
              </w:rPr>
            </w:pPr>
          </w:p>
        </w:tc>
      </w:tr>
      <w:tr w14:paraId="13ACEE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2442" w:type="dxa"/>
          </w:tcPr>
          <w:p w14:paraId="34E9455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四、固定资产</w:t>
            </w:r>
          </w:p>
        </w:tc>
        <w:tc>
          <w:tcPr>
            <w:tcW w:w="1776" w:type="dxa"/>
            <w:vAlign w:val="center"/>
          </w:tcPr>
          <w:p w14:paraId="2C8BFA5C">
            <w:pPr>
              <w:spacing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万元</w:t>
            </w:r>
          </w:p>
        </w:tc>
        <w:tc>
          <w:tcPr>
            <w:tcW w:w="4884" w:type="dxa"/>
          </w:tcPr>
          <w:p w14:paraId="76D9CE61">
            <w:pPr>
              <w:spacing w:line="360" w:lineRule="auto"/>
              <w:rPr>
                <w:rFonts w:ascii="仿宋" w:hAnsi="仿宋" w:eastAsia="仿宋" w:cs="仿宋"/>
                <w:color w:val="auto"/>
                <w:sz w:val="24"/>
                <w:highlight w:val="none"/>
              </w:rPr>
            </w:pPr>
          </w:p>
        </w:tc>
      </w:tr>
      <w:tr w14:paraId="6E69F4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2442" w:type="dxa"/>
          </w:tcPr>
          <w:p w14:paraId="14345A1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五、流动资产</w:t>
            </w:r>
          </w:p>
        </w:tc>
        <w:tc>
          <w:tcPr>
            <w:tcW w:w="1776" w:type="dxa"/>
            <w:vAlign w:val="center"/>
          </w:tcPr>
          <w:p w14:paraId="5CF27C3B">
            <w:pPr>
              <w:spacing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万元</w:t>
            </w:r>
          </w:p>
        </w:tc>
        <w:tc>
          <w:tcPr>
            <w:tcW w:w="4884" w:type="dxa"/>
          </w:tcPr>
          <w:p w14:paraId="5C2AD904">
            <w:pPr>
              <w:spacing w:line="360" w:lineRule="auto"/>
              <w:rPr>
                <w:rFonts w:ascii="仿宋" w:hAnsi="仿宋" w:eastAsia="仿宋" w:cs="仿宋"/>
                <w:color w:val="auto"/>
                <w:sz w:val="24"/>
                <w:highlight w:val="none"/>
              </w:rPr>
            </w:pPr>
          </w:p>
        </w:tc>
      </w:tr>
      <w:tr w14:paraId="6D4E42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2442" w:type="dxa"/>
          </w:tcPr>
          <w:p w14:paraId="3BBAABE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六、流动负债</w:t>
            </w:r>
          </w:p>
        </w:tc>
        <w:tc>
          <w:tcPr>
            <w:tcW w:w="1776" w:type="dxa"/>
            <w:vAlign w:val="center"/>
          </w:tcPr>
          <w:p w14:paraId="2653781E">
            <w:pPr>
              <w:spacing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万元</w:t>
            </w:r>
          </w:p>
        </w:tc>
        <w:tc>
          <w:tcPr>
            <w:tcW w:w="4884" w:type="dxa"/>
          </w:tcPr>
          <w:p w14:paraId="3A476B9E">
            <w:pPr>
              <w:spacing w:line="360" w:lineRule="auto"/>
              <w:rPr>
                <w:rFonts w:ascii="仿宋" w:hAnsi="仿宋" w:eastAsia="仿宋" w:cs="仿宋"/>
                <w:color w:val="auto"/>
                <w:sz w:val="24"/>
                <w:highlight w:val="none"/>
              </w:rPr>
            </w:pPr>
          </w:p>
        </w:tc>
      </w:tr>
      <w:tr w14:paraId="22D2E9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2442" w:type="dxa"/>
          </w:tcPr>
          <w:p w14:paraId="3315E22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七、负债合计</w:t>
            </w:r>
          </w:p>
        </w:tc>
        <w:tc>
          <w:tcPr>
            <w:tcW w:w="1776" w:type="dxa"/>
            <w:vAlign w:val="center"/>
          </w:tcPr>
          <w:p w14:paraId="169CC7C8">
            <w:pPr>
              <w:spacing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万元</w:t>
            </w:r>
          </w:p>
        </w:tc>
        <w:tc>
          <w:tcPr>
            <w:tcW w:w="4884" w:type="dxa"/>
          </w:tcPr>
          <w:p w14:paraId="06746C88">
            <w:pPr>
              <w:spacing w:line="360" w:lineRule="auto"/>
              <w:rPr>
                <w:rFonts w:ascii="仿宋" w:hAnsi="仿宋" w:eastAsia="仿宋" w:cs="仿宋"/>
                <w:color w:val="auto"/>
                <w:sz w:val="24"/>
                <w:highlight w:val="none"/>
              </w:rPr>
            </w:pPr>
          </w:p>
        </w:tc>
      </w:tr>
      <w:tr w14:paraId="784927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2442" w:type="dxa"/>
          </w:tcPr>
          <w:p w14:paraId="5C092A7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八、营业收入</w:t>
            </w:r>
          </w:p>
        </w:tc>
        <w:tc>
          <w:tcPr>
            <w:tcW w:w="1776" w:type="dxa"/>
            <w:vAlign w:val="center"/>
          </w:tcPr>
          <w:p w14:paraId="127698E0">
            <w:pPr>
              <w:spacing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万元</w:t>
            </w:r>
          </w:p>
        </w:tc>
        <w:tc>
          <w:tcPr>
            <w:tcW w:w="4884" w:type="dxa"/>
          </w:tcPr>
          <w:p w14:paraId="3FA33B15">
            <w:pPr>
              <w:spacing w:line="360" w:lineRule="auto"/>
              <w:rPr>
                <w:rFonts w:ascii="仿宋" w:hAnsi="仿宋" w:eastAsia="仿宋" w:cs="仿宋"/>
                <w:color w:val="auto"/>
                <w:sz w:val="24"/>
                <w:highlight w:val="none"/>
              </w:rPr>
            </w:pPr>
          </w:p>
        </w:tc>
      </w:tr>
      <w:tr w14:paraId="558D93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2442" w:type="dxa"/>
          </w:tcPr>
          <w:p w14:paraId="1F3D062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九、净利润</w:t>
            </w:r>
          </w:p>
        </w:tc>
        <w:tc>
          <w:tcPr>
            <w:tcW w:w="1776" w:type="dxa"/>
            <w:vAlign w:val="center"/>
          </w:tcPr>
          <w:p w14:paraId="797BE94B">
            <w:pPr>
              <w:spacing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万元</w:t>
            </w:r>
          </w:p>
        </w:tc>
        <w:tc>
          <w:tcPr>
            <w:tcW w:w="4884" w:type="dxa"/>
          </w:tcPr>
          <w:p w14:paraId="1862A145">
            <w:pPr>
              <w:spacing w:line="360" w:lineRule="auto"/>
              <w:rPr>
                <w:rFonts w:ascii="仿宋" w:hAnsi="仿宋" w:eastAsia="仿宋" w:cs="仿宋"/>
                <w:color w:val="auto"/>
                <w:sz w:val="24"/>
                <w:highlight w:val="none"/>
              </w:rPr>
            </w:pPr>
          </w:p>
        </w:tc>
      </w:tr>
      <w:tr w14:paraId="274270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2442" w:type="dxa"/>
          </w:tcPr>
          <w:p w14:paraId="0600F9F8">
            <w:pPr>
              <w:spacing w:line="360" w:lineRule="auto"/>
              <w:rPr>
                <w:rFonts w:ascii="仿宋" w:hAnsi="仿宋" w:eastAsia="仿宋" w:cs="仿宋"/>
                <w:color w:val="auto"/>
                <w:sz w:val="24"/>
                <w:highlight w:val="none"/>
              </w:rPr>
            </w:pPr>
          </w:p>
        </w:tc>
        <w:tc>
          <w:tcPr>
            <w:tcW w:w="1776" w:type="dxa"/>
          </w:tcPr>
          <w:p w14:paraId="129931A0">
            <w:pPr>
              <w:spacing w:line="360" w:lineRule="auto"/>
              <w:rPr>
                <w:rFonts w:ascii="仿宋" w:hAnsi="仿宋" w:eastAsia="仿宋" w:cs="仿宋"/>
                <w:color w:val="auto"/>
                <w:sz w:val="24"/>
                <w:highlight w:val="none"/>
              </w:rPr>
            </w:pPr>
          </w:p>
        </w:tc>
        <w:tc>
          <w:tcPr>
            <w:tcW w:w="4884" w:type="dxa"/>
          </w:tcPr>
          <w:p w14:paraId="54CF3F5F">
            <w:pPr>
              <w:spacing w:line="360" w:lineRule="auto"/>
              <w:rPr>
                <w:rFonts w:ascii="仿宋" w:hAnsi="仿宋" w:eastAsia="仿宋" w:cs="仿宋"/>
                <w:color w:val="auto"/>
                <w:sz w:val="24"/>
                <w:highlight w:val="none"/>
              </w:rPr>
            </w:pPr>
          </w:p>
        </w:tc>
      </w:tr>
      <w:tr w14:paraId="458C04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2442" w:type="dxa"/>
            <w:tcBorders>
              <w:bottom w:val="double" w:color="auto" w:sz="4" w:space="0"/>
            </w:tcBorders>
          </w:tcPr>
          <w:p w14:paraId="1BCAE7C7">
            <w:pPr>
              <w:spacing w:line="360" w:lineRule="auto"/>
              <w:rPr>
                <w:rFonts w:ascii="仿宋" w:hAnsi="仿宋" w:eastAsia="仿宋" w:cs="仿宋"/>
                <w:color w:val="auto"/>
                <w:sz w:val="24"/>
                <w:highlight w:val="none"/>
              </w:rPr>
            </w:pPr>
          </w:p>
        </w:tc>
        <w:tc>
          <w:tcPr>
            <w:tcW w:w="1776" w:type="dxa"/>
            <w:tcBorders>
              <w:bottom w:val="double" w:color="auto" w:sz="4" w:space="0"/>
            </w:tcBorders>
          </w:tcPr>
          <w:p w14:paraId="2E355DCB">
            <w:pPr>
              <w:spacing w:line="360" w:lineRule="auto"/>
              <w:rPr>
                <w:rFonts w:ascii="仿宋" w:hAnsi="仿宋" w:eastAsia="仿宋" w:cs="仿宋"/>
                <w:color w:val="auto"/>
                <w:sz w:val="24"/>
                <w:highlight w:val="none"/>
              </w:rPr>
            </w:pPr>
          </w:p>
        </w:tc>
        <w:tc>
          <w:tcPr>
            <w:tcW w:w="4884" w:type="dxa"/>
            <w:tcBorders>
              <w:bottom w:val="double" w:color="auto" w:sz="4" w:space="0"/>
            </w:tcBorders>
          </w:tcPr>
          <w:p w14:paraId="0177475E">
            <w:pPr>
              <w:spacing w:line="360" w:lineRule="auto"/>
              <w:rPr>
                <w:rFonts w:ascii="仿宋" w:hAnsi="仿宋" w:eastAsia="仿宋" w:cs="仿宋"/>
                <w:color w:val="auto"/>
                <w:sz w:val="24"/>
                <w:highlight w:val="none"/>
              </w:rPr>
            </w:pPr>
          </w:p>
        </w:tc>
      </w:tr>
    </w:tbl>
    <w:p w14:paraId="2DFD77DB">
      <w:pPr>
        <w:pStyle w:val="13"/>
        <w:spacing w:before="11"/>
        <w:ind w:firstLine="230"/>
        <w:rPr>
          <w:rFonts w:ascii="仿宋" w:hAnsi="仿宋" w:eastAsia="仿宋" w:cs="仿宋"/>
          <w:color w:val="auto"/>
          <w:sz w:val="23"/>
          <w:highlight w:val="none"/>
        </w:rPr>
      </w:pPr>
    </w:p>
    <w:p w14:paraId="753A5D28">
      <w:pPr>
        <w:pStyle w:val="31"/>
        <w:ind w:firstLine="230"/>
        <w:rPr>
          <w:rFonts w:ascii="仿宋" w:hAnsi="仿宋" w:eastAsia="仿宋" w:cs="仿宋"/>
          <w:color w:val="auto"/>
          <w:sz w:val="23"/>
          <w:highlight w:val="none"/>
        </w:rPr>
      </w:pPr>
    </w:p>
    <w:p w14:paraId="5D855AC9">
      <w:pPr>
        <w:pStyle w:val="13"/>
        <w:ind w:firstLine="230"/>
        <w:rPr>
          <w:rFonts w:ascii="仿宋" w:hAnsi="仿宋" w:eastAsia="仿宋" w:cs="仿宋"/>
          <w:color w:val="auto"/>
          <w:sz w:val="23"/>
          <w:highlight w:val="none"/>
        </w:rPr>
      </w:pPr>
    </w:p>
    <w:p w14:paraId="444C4661">
      <w:pPr>
        <w:pStyle w:val="31"/>
        <w:ind w:firstLine="230"/>
        <w:rPr>
          <w:rFonts w:ascii="仿宋" w:hAnsi="仿宋" w:eastAsia="仿宋" w:cs="仿宋"/>
          <w:color w:val="auto"/>
          <w:sz w:val="23"/>
          <w:highlight w:val="none"/>
        </w:rPr>
      </w:pPr>
    </w:p>
    <w:p w14:paraId="0294628C">
      <w:pPr>
        <w:pStyle w:val="13"/>
        <w:ind w:firstLine="230"/>
        <w:rPr>
          <w:rFonts w:ascii="仿宋" w:hAnsi="仿宋" w:eastAsia="仿宋" w:cs="仿宋"/>
          <w:color w:val="auto"/>
          <w:sz w:val="23"/>
          <w:highlight w:val="none"/>
        </w:rPr>
      </w:pPr>
    </w:p>
    <w:p w14:paraId="2DE649D2">
      <w:pPr>
        <w:pStyle w:val="31"/>
        <w:ind w:firstLine="230"/>
        <w:rPr>
          <w:rFonts w:ascii="仿宋" w:hAnsi="仿宋" w:eastAsia="仿宋" w:cs="仿宋"/>
          <w:color w:val="auto"/>
          <w:sz w:val="23"/>
          <w:highlight w:val="none"/>
        </w:rPr>
      </w:pPr>
    </w:p>
    <w:p w14:paraId="03E6DB5A">
      <w:pPr>
        <w:pStyle w:val="13"/>
        <w:ind w:firstLine="230"/>
        <w:rPr>
          <w:rFonts w:ascii="仿宋" w:hAnsi="仿宋" w:eastAsia="仿宋" w:cs="仿宋"/>
          <w:color w:val="auto"/>
          <w:sz w:val="23"/>
          <w:highlight w:val="none"/>
        </w:rPr>
      </w:pPr>
    </w:p>
    <w:p w14:paraId="47054099">
      <w:pPr>
        <w:pStyle w:val="31"/>
        <w:ind w:firstLine="230"/>
        <w:rPr>
          <w:rFonts w:ascii="仿宋" w:hAnsi="仿宋" w:eastAsia="仿宋" w:cs="仿宋"/>
          <w:color w:val="auto"/>
          <w:sz w:val="23"/>
          <w:highlight w:val="none"/>
        </w:rPr>
      </w:pPr>
    </w:p>
    <w:p w14:paraId="70256AB7">
      <w:pPr>
        <w:pStyle w:val="13"/>
        <w:ind w:firstLine="230"/>
        <w:rPr>
          <w:rFonts w:ascii="仿宋" w:hAnsi="仿宋" w:eastAsia="仿宋" w:cs="仿宋"/>
          <w:color w:val="auto"/>
          <w:sz w:val="23"/>
          <w:highlight w:val="none"/>
        </w:rPr>
      </w:pPr>
    </w:p>
    <w:p w14:paraId="46710494">
      <w:pPr>
        <w:pStyle w:val="31"/>
        <w:ind w:firstLine="230"/>
        <w:rPr>
          <w:rFonts w:ascii="仿宋" w:hAnsi="仿宋" w:eastAsia="仿宋" w:cs="仿宋"/>
          <w:color w:val="auto"/>
          <w:sz w:val="23"/>
          <w:highlight w:val="none"/>
        </w:rPr>
      </w:pPr>
    </w:p>
    <w:p w14:paraId="01002A4C">
      <w:pPr>
        <w:pStyle w:val="13"/>
        <w:ind w:firstLine="230"/>
        <w:rPr>
          <w:rFonts w:ascii="仿宋" w:hAnsi="仿宋" w:eastAsia="仿宋" w:cs="仿宋"/>
          <w:color w:val="auto"/>
          <w:sz w:val="23"/>
          <w:highlight w:val="none"/>
        </w:rPr>
      </w:pPr>
    </w:p>
    <w:p w14:paraId="1E2DABEC">
      <w:pPr>
        <w:pStyle w:val="31"/>
        <w:ind w:firstLine="230"/>
        <w:rPr>
          <w:rFonts w:ascii="仿宋" w:hAnsi="仿宋" w:eastAsia="仿宋" w:cs="仿宋"/>
          <w:color w:val="auto"/>
          <w:sz w:val="23"/>
          <w:highlight w:val="none"/>
        </w:rPr>
      </w:pPr>
    </w:p>
    <w:p w14:paraId="0BD9942F">
      <w:pPr>
        <w:pStyle w:val="13"/>
        <w:ind w:firstLine="230"/>
        <w:rPr>
          <w:rFonts w:ascii="仿宋" w:hAnsi="仿宋" w:eastAsia="仿宋" w:cs="仿宋"/>
          <w:color w:val="auto"/>
          <w:sz w:val="23"/>
          <w:highlight w:val="none"/>
        </w:rPr>
      </w:pPr>
    </w:p>
    <w:p w14:paraId="127760A4">
      <w:pPr>
        <w:pStyle w:val="31"/>
        <w:ind w:firstLine="230"/>
        <w:rPr>
          <w:rFonts w:ascii="仿宋" w:hAnsi="仿宋" w:eastAsia="仿宋" w:cs="仿宋"/>
          <w:color w:val="auto"/>
          <w:sz w:val="23"/>
          <w:highlight w:val="none"/>
        </w:rPr>
      </w:pPr>
    </w:p>
    <w:p w14:paraId="17673816">
      <w:pPr>
        <w:pStyle w:val="13"/>
        <w:ind w:firstLine="230"/>
        <w:rPr>
          <w:rFonts w:ascii="仿宋" w:hAnsi="仿宋" w:eastAsia="仿宋" w:cs="仿宋"/>
          <w:color w:val="auto"/>
          <w:sz w:val="23"/>
          <w:highlight w:val="none"/>
        </w:rPr>
      </w:pPr>
    </w:p>
    <w:p w14:paraId="4EA7F8F5">
      <w:pPr>
        <w:pStyle w:val="31"/>
        <w:rPr>
          <w:color w:val="auto"/>
          <w:highlight w:val="none"/>
        </w:rPr>
      </w:pPr>
    </w:p>
    <w:p w14:paraId="121AB354">
      <w:pPr>
        <w:pStyle w:val="13"/>
        <w:ind w:left="660"/>
        <w:rPr>
          <w:rFonts w:ascii="仿宋" w:hAnsi="仿宋" w:eastAsia="仿宋" w:cs="仿宋"/>
          <w:color w:val="auto"/>
          <w:highlight w:val="none"/>
        </w:rPr>
      </w:pPr>
    </w:p>
    <w:p w14:paraId="624C3F1A">
      <w:pPr>
        <w:pStyle w:val="13"/>
        <w:ind w:left="660"/>
        <w:rPr>
          <w:rFonts w:ascii="仿宋" w:hAnsi="仿宋" w:eastAsia="仿宋" w:cs="仿宋"/>
          <w:color w:val="auto"/>
          <w:highlight w:val="none"/>
        </w:rPr>
      </w:pPr>
    </w:p>
    <w:p w14:paraId="4A6EFF4C">
      <w:pPr>
        <w:pStyle w:val="13"/>
        <w:ind w:left="660"/>
        <w:rPr>
          <w:rFonts w:ascii="仿宋" w:hAnsi="仿宋" w:eastAsia="仿宋" w:cs="仿宋"/>
          <w:color w:val="auto"/>
          <w:highlight w:val="none"/>
        </w:rPr>
      </w:pPr>
      <w:r>
        <w:rPr>
          <w:rFonts w:hint="eastAsia" w:ascii="仿宋" w:hAnsi="仿宋" w:eastAsia="仿宋" w:cs="仿宋"/>
          <w:color w:val="auto"/>
          <w:highlight w:val="none"/>
        </w:rPr>
        <w:t>注：</w:t>
      </w:r>
    </w:p>
    <w:p w14:paraId="7677A4CF">
      <w:pPr>
        <w:numPr>
          <w:ilvl w:val="0"/>
          <w:numId w:val="8"/>
        </w:num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供应商应根据磋商文件第二章“供应商须知前附表2.1”中1.2的要求后附相关证明材料；</w:t>
      </w:r>
    </w:p>
    <w:p w14:paraId="23DC7CE2">
      <w:pPr>
        <w:numPr>
          <w:ilvl w:val="0"/>
          <w:numId w:val="8"/>
        </w:num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本表所列数据必须与本表各附件中的数据相一致。</w:t>
      </w:r>
    </w:p>
    <w:p w14:paraId="268B7235">
      <w:pPr>
        <w:spacing w:after="140"/>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2.保留小数点二位，第三位四舍五入。</w:t>
      </w:r>
    </w:p>
    <w:p w14:paraId="2E7A697B"/>
    <w:p w14:paraId="5DCAB65E">
      <w:pPr>
        <w:pStyle w:val="31"/>
        <w:ind w:firstLine="230"/>
        <w:rPr>
          <w:rFonts w:ascii="仿宋" w:hAnsi="仿宋" w:eastAsia="仿宋" w:cs="仿宋"/>
          <w:color w:val="auto"/>
          <w:sz w:val="23"/>
          <w:highlight w:val="none"/>
        </w:rPr>
      </w:pPr>
    </w:p>
    <w:p w14:paraId="4759B6B8">
      <w:pPr>
        <w:pStyle w:val="13"/>
        <w:ind w:firstLine="230"/>
        <w:rPr>
          <w:rFonts w:ascii="仿宋" w:hAnsi="仿宋" w:eastAsia="仿宋" w:cs="仿宋"/>
          <w:color w:val="auto"/>
          <w:sz w:val="23"/>
          <w:highlight w:val="none"/>
        </w:rPr>
      </w:pPr>
    </w:p>
    <w:p w14:paraId="1FA1F60F">
      <w:pPr>
        <w:rPr>
          <w:rFonts w:hint="eastAsia"/>
          <w:color w:val="auto"/>
          <w:szCs w:val="36"/>
          <w:highlight w:val="none"/>
        </w:rPr>
      </w:pPr>
      <w:bookmarkStart w:id="226" w:name="_Toc161306714"/>
      <w:bookmarkStart w:id="227" w:name="_Toc19682"/>
    </w:p>
    <w:p w14:paraId="1CE0A3D9">
      <w:pPr>
        <w:pStyle w:val="52"/>
        <w:rPr>
          <w:rFonts w:hint="eastAsia"/>
          <w:color w:val="auto"/>
          <w:szCs w:val="36"/>
          <w:highlight w:val="none"/>
        </w:rPr>
      </w:pPr>
    </w:p>
    <w:p w14:paraId="2A6028DF">
      <w:pPr>
        <w:pStyle w:val="4"/>
        <w:spacing w:before="43"/>
        <w:ind w:firstLine="0" w:firstLineChars="0"/>
        <w:jc w:val="both"/>
        <w:rPr>
          <w:rFonts w:hint="eastAsia"/>
          <w:color w:val="auto"/>
          <w:szCs w:val="36"/>
          <w:highlight w:val="none"/>
        </w:rPr>
      </w:pPr>
    </w:p>
    <w:p w14:paraId="54975A86">
      <w:pPr>
        <w:rPr>
          <w:rFonts w:hint="eastAsia"/>
          <w:color w:val="auto"/>
          <w:szCs w:val="36"/>
          <w:highlight w:val="none"/>
        </w:rPr>
      </w:pPr>
    </w:p>
    <w:p w14:paraId="187D9AFD">
      <w:pPr>
        <w:pStyle w:val="52"/>
        <w:rPr>
          <w:rFonts w:hint="eastAsia"/>
        </w:rPr>
      </w:pPr>
    </w:p>
    <w:p w14:paraId="5FA0A81A">
      <w:pPr>
        <w:pStyle w:val="4"/>
        <w:spacing w:before="43"/>
        <w:ind w:firstLine="0" w:firstLineChars="0"/>
        <w:rPr>
          <w:rFonts w:hint="eastAsia"/>
          <w:color w:val="auto"/>
          <w:szCs w:val="36"/>
          <w:highlight w:val="none"/>
        </w:rPr>
      </w:pPr>
    </w:p>
    <w:p w14:paraId="52E44503">
      <w:pPr>
        <w:pStyle w:val="4"/>
        <w:spacing w:before="43"/>
        <w:ind w:firstLine="0" w:firstLineChars="0"/>
        <w:rPr>
          <w:rFonts w:hint="eastAsia"/>
          <w:color w:val="auto"/>
          <w:szCs w:val="36"/>
          <w:highlight w:val="none"/>
        </w:rPr>
      </w:pPr>
      <w:r>
        <w:rPr>
          <w:rFonts w:hint="eastAsia"/>
          <w:color w:val="auto"/>
          <w:szCs w:val="36"/>
          <w:highlight w:val="none"/>
        </w:rPr>
        <w:t>1.3具有履行合同所必需的设备和专业技术能力</w:t>
      </w:r>
      <w:bookmarkEnd w:id="226"/>
      <w:bookmarkEnd w:id="227"/>
    </w:p>
    <w:p w14:paraId="6ED23254">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供应商应根据磋商文件第二章“供应商须知前附表2.1”中1.3的要求后附相关证明材料。</w:t>
      </w:r>
    </w:p>
    <w:p w14:paraId="48D8CBF1">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格式自拟</w:t>
      </w:r>
    </w:p>
    <w:p w14:paraId="2EB337B6">
      <w:pPr>
        <w:pStyle w:val="4"/>
        <w:spacing w:before="43"/>
        <w:ind w:firstLine="0" w:firstLineChars="0"/>
        <w:rPr>
          <w:color w:val="auto"/>
          <w:szCs w:val="36"/>
          <w:highlight w:val="none"/>
        </w:rPr>
      </w:pPr>
    </w:p>
    <w:p w14:paraId="5E8354CF">
      <w:pPr>
        <w:pStyle w:val="4"/>
        <w:spacing w:before="43"/>
        <w:ind w:firstLine="0" w:firstLineChars="0"/>
        <w:rPr>
          <w:color w:val="auto"/>
          <w:szCs w:val="36"/>
          <w:highlight w:val="none"/>
        </w:rPr>
      </w:pPr>
    </w:p>
    <w:p w14:paraId="0C2E85A9">
      <w:pPr>
        <w:pStyle w:val="4"/>
        <w:spacing w:before="43"/>
        <w:ind w:firstLine="0" w:firstLineChars="0"/>
        <w:rPr>
          <w:color w:val="auto"/>
          <w:szCs w:val="36"/>
          <w:highlight w:val="none"/>
        </w:rPr>
      </w:pPr>
      <w:bookmarkStart w:id="228" w:name="_Toc19456"/>
      <w:bookmarkStart w:id="229" w:name="_Toc161306715"/>
      <w:r>
        <w:rPr>
          <w:rFonts w:hint="eastAsia"/>
          <w:color w:val="auto"/>
          <w:szCs w:val="36"/>
          <w:highlight w:val="none"/>
        </w:rPr>
        <w:t>1.4有依法缴纳税收和社会保障资金的良好记录</w:t>
      </w:r>
      <w:bookmarkEnd w:id="228"/>
      <w:bookmarkEnd w:id="229"/>
    </w:p>
    <w:p w14:paraId="694F3C5A">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供应商应根据磋商文件第二章“供应商须知前附表2.1”中1.4的要求后附相关证明材料。</w:t>
      </w:r>
    </w:p>
    <w:p w14:paraId="57211DE7">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格式自拟</w:t>
      </w:r>
    </w:p>
    <w:p w14:paraId="6E2B4F6E">
      <w:pPr>
        <w:pStyle w:val="13"/>
        <w:rPr>
          <w:rFonts w:ascii="仿宋" w:hAnsi="仿宋" w:eastAsia="仿宋" w:cs="仿宋"/>
          <w:color w:val="auto"/>
          <w:szCs w:val="28"/>
          <w:highlight w:val="none"/>
        </w:rPr>
      </w:pPr>
    </w:p>
    <w:p w14:paraId="622DC17D">
      <w:pPr>
        <w:pStyle w:val="13"/>
        <w:ind w:firstLine="321"/>
        <w:jc w:val="center"/>
        <w:rPr>
          <w:rFonts w:ascii="仿宋" w:hAnsi="仿宋" w:eastAsia="仿宋" w:cs="仿宋"/>
          <w:b/>
          <w:bCs w:val="0"/>
          <w:color w:val="auto"/>
          <w:sz w:val="32"/>
          <w:szCs w:val="36"/>
          <w:highlight w:val="none"/>
        </w:rPr>
      </w:pPr>
    </w:p>
    <w:p w14:paraId="440DE1EE">
      <w:pPr>
        <w:pStyle w:val="13"/>
        <w:ind w:firstLine="321"/>
        <w:jc w:val="center"/>
        <w:rPr>
          <w:rFonts w:ascii="仿宋" w:hAnsi="仿宋" w:eastAsia="仿宋" w:cs="仿宋"/>
          <w:color w:val="auto"/>
          <w:szCs w:val="28"/>
          <w:highlight w:val="none"/>
        </w:rPr>
      </w:pPr>
      <w:r>
        <w:rPr>
          <w:rFonts w:hint="eastAsia" w:ascii="仿宋" w:hAnsi="仿宋" w:eastAsia="仿宋" w:cs="仿宋"/>
          <w:b/>
          <w:bCs w:val="0"/>
          <w:color w:val="auto"/>
          <w:sz w:val="32"/>
          <w:szCs w:val="36"/>
          <w:highlight w:val="none"/>
        </w:rPr>
        <w:t>1.5.参加政府采购活动前三年内，在经营活动中没有重大违法记录</w:t>
      </w:r>
    </w:p>
    <w:p w14:paraId="10432A00">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供应商应根据磋商文件第二章“供应商须知前附表2.1”中1.5的要求后附相关证明材料。</w:t>
      </w:r>
    </w:p>
    <w:p w14:paraId="05C25335">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格式自拟</w:t>
      </w:r>
    </w:p>
    <w:p w14:paraId="6CCE7846">
      <w:pPr>
        <w:pStyle w:val="13"/>
        <w:ind w:firstLine="321"/>
        <w:jc w:val="center"/>
        <w:rPr>
          <w:rFonts w:ascii="仿宋" w:hAnsi="仿宋" w:eastAsia="仿宋" w:cs="仿宋"/>
          <w:b/>
          <w:bCs w:val="0"/>
          <w:color w:val="auto"/>
          <w:sz w:val="32"/>
          <w:szCs w:val="36"/>
          <w:highlight w:val="none"/>
        </w:rPr>
      </w:pPr>
    </w:p>
    <w:p w14:paraId="1AF9F910">
      <w:pPr>
        <w:pStyle w:val="13"/>
        <w:ind w:firstLine="321"/>
        <w:jc w:val="center"/>
        <w:rPr>
          <w:rFonts w:ascii="仿宋" w:hAnsi="仿宋" w:eastAsia="仿宋" w:cs="仿宋"/>
          <w:b/>
          <w:bCs w:val="0"/>
          <w:color w:val="auto"/>
          <w:sz w:val="32"/>
          <w:szCs w:val="36"/>
          <w:highlight w:val="none"/>
        </w:rPr>
      </w:pPr>
    </w:p>
    <w:p w14:paraId="2821AC23">
      <w:pPr>
        <w:pStyle w:val="13"/>
        <w:ind w:firstLine="321"/>
        <w:jc w:val="center"/>
        <w:rPr>
          <w:rFonts w:ascii="仿宋" w:hAnsi="仿宋" w:eastAsia="仿宋" w:cs="仿宋"/>
          <w:b/>
          <w:bCs w:val="0"/>
          <w:color w:val="auto"/>
          <w:sz w:val="32"/>
          <w:szCs w:val="36"/>
          <w:highlight w:val="none"/>
        </w:rPr>
      </w:pPr>
      <w:r>
        <w:rPr>
          <w:rFonts w:hint="eastAsia" w:ascii="仿宋" w:hAnsi="仿宋" w:eastAsia="仿宋" w:cs="仿宋"/>
          <w:b/>
          <w:bCs w:val="0"/>
          <w:color w:val="auto"/>
          <w:sz w:val="32"/>
          <w:szCs w:val="36"/>
          <w:highlight w:val="none"/>
        </w:rPr>
        <w:t>1.6.法律、行政法规规定的其他条件：单位负责人为同一人或者存在直接控股、管理关系的不同供应商，不得参加同一合同项下的政府采购活动；</w:t>
      </w:r>
    </w:p>
    <w:p w14:paraId="0BEFEDE1">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供应商应根据磋商文件第二章“供应商须知前附表2.1”中1.6的要求后附相关证明材料。</w:t>
      </w:r>
    </w:p>
    <w:p w14:paraId="12AB8C72">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格式自拟</w:t>
      </w:r>
    </w:p>
    <w:p w14:paraId="3E4987F5">
      <w:pPr>
        <w:ind w:firstLine="321"/>
        <w:rPr>
          <w:rFonts w:ascii="仿宋" w:hAnsi="仿宋" w:eastAsia="仿宋" w:cs="仿宋"/>
          <w:b/>
          <w:color w:val="auto"/>
          <w:sz w:val="32"/>
          <w:szCs w:val="36"/>
          <w:highlight w:val="none"/>
        </w:rPr>
      </w:pPr>
      <w:bookmarkStart w:id="230" w:name="_Toc15267"/>
      <w:r>
        <w:rPr>
          <w:rFonts w:hint="eastAsia" w:ascii="仿宋" w:hAnsi="仿宋" w:eastAsia="仿宋" w:cs="仿宋"/>
          <w:b/>
          <w:color w:val="auto"/>
          <w:sz w:val="32"/>
          <w:szCs w:val="36"/>
          <w:highlight w:val="none"/>
        </w:rPr>
        <w:br w:type="page"/>
      </w:r>
    </w:p>
    <w:p w14:paraId="3513C62D">
      <w:pPr>
        <w:ind w:firstLine="321"/>
        <w:jc w:val="center"/>
        <w:rPr>
          <w:rFonts w:ascii="仿宋" w:hAnsi="仿宋" w:eastAsia="仿宋" w:cs="仿宋"/>
          <w:b/>
          <w:color w:val="auto"/>
          <w:sz w:val="32"/>
          <w:szCs w:val="36"/>
          <w:highlight w:val="none"/>
        </w:rPr>
      </w:pPr>
      <w:r>
        <w:rPr>
          <w:rFonts w:hint="eastAsia" w:ascii="仿宋" w:hAnsi="仿宋" w:eastAsia="仿宋" w:cs="仿宋"/>
          <w:b/>
          <w:color w:val="auto"/>
          <w:sz w:val="32"/>
          <w:szCs w:val="36"/>
          <w:highlight w:val="none"/>
        </w:rPr>
        <w:t>（二）落实政府采购政策的材料</w:t>
      </w:r>
    </w:p>
    <w:p w14:paraId="14CB0BF7">
      <w:pPr>
        <w:pStyle w:val="5"/>
        <w:widowControl/>
        <w:numPr>
          <w:ilvl w:val="2"/>
          <w:numId w:val="0"/>
        </w:numPr>
        <w:tabs>
          <w:tab w:val="left" w:pos="432"/>
          <w:tab w:val="left" w:pos="720"/>
        </w:tabs>
        <w:spacing w:before="120" w:after="120"/>
        <w:ind w:left="720" w:hanging="720"/>
        <w:jc w:val="center"/>
        <w:rPr>
          <w:rFonts w:hint="eastAsia" w:ascii="仿宋" w:hAnsi="仿宋" w:eastAsia="仿宋" w:cs="仿宋"/>
          <w:bCs w:val="0"/>
          <w:color w:val="auto"/>
          <w:sz w:val="32"/>
          <w:szCs w:val="36"/>
          <w:highlight w:val="none"/>
          <w:lang w:val="en-US" w:eastAsia="zh-CN"/>
        </w:rPr>
      </w:pPr>
      <w:r>
        <w:rPr>
          <w:rFonts w:hint="eastAsia" w:ascii="仿宋" w:hAnsi="仿宋" w:eastAsia="仿宋" w:cs="仿宋"/>
          <w:bCs w:val="0"/>
          <w:color w:val="auto"/>
          <w:sz w:val="32"/>
          <w:szCs w:val="36"/>
          <w:highlight w:val="none"/>
        </w:rPr>
        <w:t>2.1 中小企业声明函</w:t>
      </w:r>
      <w:bookmarkEnd w:id="230"/>
      <w:r>
        <w:rPr>
          <w:rFonts w:hint="eastAsia" w:ascii="仿宋" w:hAnsi="仿宋" w:eastAsia="仿宋" w:cs="仿宋"/>
          <w:bCs w:val="0"/>
          <w:color w:val="auto"/>
          <w:sz w:val="32"/>
          <w:szCs w:val="36"/>
          <w:highlight w:val="none"/>
          <w:lang w:eastAsia="zh-CN"/>
        </w:rPr>
        <w:t>（</w:t>
      </w:r>
      <w:r>
        <w:rPr>
          <w:rFonts w:hint="eastAsia" w:ascii="仿宋" w:hAnsi="仿宋" w:eastAsia="仿宋" w:cs="仿宋"/>
          <w:bCs w:val="0"/>
          <w:color w:val="auto"/>
          <w:sz w:val="32"/>
          <w:szCs w:val="36"/>
          <w:highlight w:val="none"/>
          <w:lang w:val="en-US" w:eastAsia="zh-CN"/>
        </w:rPr>
        <w:t>服务</w:t>
      </w:r>
      <w:r>
        <w:rPr>
          <w:rFonts w:hint="eastAsia" w:ascii="仿宋" w:hAnsi="仿宋" w:eastAsia="仿宋" w:cs="仿宋"/>
          <w:bCs w:val="0"/>
          <w:color w:val="auto"/>
          <w:sz w:val="32"/>
          <w:szCs w:val="36"/>
          <w:highlight w:val="none"/>
          <w:lang w:eastAsia="zh-CN"/>
        </w:rPr>
        <w:t>）</w:t>
      </w:r>
    </w:p>
    <w:p w14:paraId="5F9C56E3">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本公司郑重声明，根据《政府采购促进中小企业发展管理办法》（财库﹝2020﹞46 号）的规定，本公司参加</w:t>
      </w:r>
      <w:r>
        <w:rPr>
          <w:rFonts w:hint="eastAsia" w:ascii="仿宋" w:hAnsi="仿宋" w:eastAsia="仿宋" w:cs="仿宋"/>
          <w:color w:val="auto"/>
          <w:kern w:val="0"/>
          <w:sz w:val="24"/>
          <w:szCs w:val="24"/>
          <w:highlight w:val="none"/>
          <w:u w:val="single"/>
        </w:rPr>
        <w:t xml:space="preserve">     （单位名称）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（项目名称）</w:t>
      </w:r>
      <w:r>
        <w:rPr>
          <w:rFonts w:hint="eastAsia" w:ascii="仿宋" w:hAnsi="仿宋" w:eastAsia="仿宋" w:cs="仿宋"/>
          <w:color w:val="auto"/>
          <w:kern w:val="0"/>
          <w:sz w:val="24"/>
          <w:szCs w:val="24"/>
          <w:highlight w:val="none"/>
        </w:rPr>
        <w:t>采购活动，工程的施工单位全部为符合政策要求的中小企业（或者：服务全部由符合政策要求的中小企业承接）。相关企业的具体情况如下：</w:t>
      </w:r>
    </w:p>
    <w:p w14:paraId="16D50CBF">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 xml:space="preserve">       （标的名称）</w:t>
      </w:r>
      <w:r>
        <w:rPr>
          <w:rFonts w:hint="eastAsia" w:ascii="仿宋" w:hAnsi="仿宋" w:eastAsia="仿宋" w:cs="仿宋"/>
          <w:color w:val="auto"/>
          <w:kern w:val="0"/>
          <w:sz w:val="24"/>
          <w:szCs w:val="24"/>
          <w:highlight w:val="none"/>
        </w:rPr>
        <w:t xml:space="preserve"> ，属于</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rPr>
        <w:t>；承建（承接）企业为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w:t>
      </w:r>
      <w:r>
        <w:rPr>
          <w:rFonts w:hint="eastAsia" w:ascii="仿宋" w:hAnsi="仿宋" w:eastAsia="仿宋" w:cs="仿宋"/>
          <w:color w:val="auto"/>
          <w:kern w:val="0"/>
          <w:sz w:val="24"/>
          <w:szCs w:val="24"/>
          <w:highlight w:val="none"/>
          <w:vertAlign w:val="superscript"/>
        </w:rPr>
        <w:t>1</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1AC2BAFE">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 xml:space="preserve">       （标的名称）</w:t>
      </w:r>
      <w:r>
        <w:rPr>
          <w:rFonts w:hint="eastAsia" w:ascii="仿宋" w:hAnsi="仿宋" w:eastAsia="仿宋" w:cs="仿宋"/>
          <w:color w:val="auto"/>
          <w:kern w:val="0"/>
          <w:sz w:val="24"/>
          <w:szCs w:val="24"/>
          <w:highlight w:val="none"/>
        </w:rPr>
        <w:t xml:space="preserve"> ，属于</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rPr>
        <w:t>；承建（承接）企业为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4CC5C83D">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E579BDE">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2A885BD2">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74E5879A">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p>
    <w:p w14:paraId="29275B31">
      <w:pPr>
        <w:spacing w:line="360" w:lineRule="auto"/>
        <w:ind w:firstLine="4096" w:firstLineChars="1700"/>
        <w:jc w:val="lef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供应商：</w:t>
      </w:r>
      <w:r>
        <w:rPr>
          <w:rFonts w:hint="eastAsia" w:ascii="仿宋" w:hAnsi="仿宋" w:eastAsia="仿宋" w:cs="仿宋"/>
          <w:b/>
          <w:color w:val="auto"/>
          <w:sz w:val="24"/>
          <w:szCs w:val="24"/>
          <w:highlight w:val="none"/>
          <w:u w:val="single"/>
        </w:rPr>
        <w:t>（</w:t>
      </w:r>
      <w:r>
        <w:rPr>
          <w:rFonts w:hint="eastAsia" w:ascii="仿宋" w:hAnsi="仿宋" w:eastAsia="仿宋" w:cs="仿宋"/>
          <w:b/>
          <w:color w:val="auto"/>
          <w:sz w:val="24"/>
          <w:szCs w:val="24"/>
          <w:highlight w:val="none"/>
          <w:u w:val="single"/>
          <w:lang w:val="en-US" w:eastAsia="zh-CN"/>
        </w:rPr>
        <w:t>签章</w:t>
      </w:r>
      <w:r>
        <w:rPr>
          <w:rFonts w:hint="eastAsia" w:ascii="仿宋" w:hAnsi="仿宋" w:eastAsia="仿宋" w:cs="仿宋"/>
          <w:b/>
          <w:color w:val="auto"/>
          <w:sz w:val="24"/>
          <w:szCs w:val="24"/>
          <w:highlight w:val="none"/>
          <w:u w:val="single"/>
        </w:rPr>
        <w:t>）</w:t>
      </w:r>
    </w:p>
    <w:p w14:paraId="2FAECD08">
      <w:pPr>
        <w:ind w:firstLine="241"/>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_________年______月______日</w:t>
      </w:r>
    </w:p>
    <w:p w14:paraId="2124E49D">
      <w:pPr>
        <w:rPr>
          <w:rFonts w:ascii="仿宋" w:hAnsi="仿宋" w:eastAsia="仿宋" w:cs="仿宋"/>
          <w:color w:val="auto"/>
          <w:kern w:val="0"/>
          <w:sz w:val="24"/>
          <w:szCs w:val="24"/>
          <w:highlight w:val="none"/>
        </w:rPr>
      </w:pPr>
    </w:p>
    <w:p w14:paraId="3059EB76">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从业人员、营业收入、资产总额填报上一年度数据，无上一年度数据的新成立企业可不填报。</w:t>
      </w:r>
    </w:p>
    <w:p w14:paraId="756D5CFB">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p>
    <w:p w14:paraId="3B5FCC43">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p>
    <w:p w14:paraId="31236DE8">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注：如不是中小企业，则无需提供或填写。</w:t>
      </w:r>
    </w:p>
    <w:p w14:paraId="63C0A6D9">
      <w:pPr>
        <w:shd w:val="clear" w:color="auto" w:fill="FFFFFF"/>
        <w:snapToGrid w:val="0"/>
        <w:spacing w:line="360" w:lineRule="auto"/>
        <w:ind w:firstLine="240"/>
        <w:rPr>
          <w:rFonts w:ascii="仿宋" w:hAnsi="仿宋" w:eastAsia="仿宋" w:cs="仿宋"/>
          <w:color w:val="auto"/>
          <w:sz w:val="24"/>
          <w:szCs w:val="24"/>
          <w:highlight w:val="none"/>
        </w:rPr>
      </w:pPr>
    </w:p>
    <w:p w14:paraId="35071F4E">
      <w:pPr>
        <w:rPr>
          <w:rFonts w:ascii="仿宋" w:hAnsi="仿宋" w:eastAsia="仿宋" w:cs="仿宋"/>
          <w:color w:val="auto"/>
          <w:sz w:val="24"/>
          <w:szCs w:val="24"/>
          <w:highlight w:val="none"/>
        </w:rPr>
      </w:pPr>
    </w:p>
    <w:p w14:paraId="78AFB578">
      <w:pPr>
        <w:pStyle w:val="13"/>
        <w:rPr>
          <w:rFonts w:ascii="仿宋" w:hAnsi="仿宋" w:eastAsia="仿宋" w:cs="仿宋"/>
          <w:color w:val="auto"/>
          <w:szCs w:val="24"/>
          <w:highlight w:val="none"/>
        </w:rPr>
      </w:pPr>
    </w:p>
    <w:p w14:paraId="25A10FBD">
      <w:pPr>
        <w:rPr>
          <w:rFonts w:ascii="仿宋" w:hAnsi="仿宋" w:eastAsia="仿宋" w:cs="仿宋"/>
          <w:color w:val="auto"/>
          <w:sz w:val="24"/>
          <w:szCs w:val="24"/>
          <w:highlight w:val="none"/>
        </w:rPr>
      </w:pPr>
    </w:p>
    <w:p w14:paraId="7B64DC54">
      <w:pPr>
        <w:pStyle w:val="13"/>
        <w:rPr>
          <w:rFonts w:ascii="仿宋" w:hAnsi="仿宋" w:eastAsia="仿宋" w:cs="仿宋"/>
          <w:color w:val="auto"/>
          <w:szCs w:val="24"/>
          <w:highlight w:val="none"/>
        </w:rPr>
      </w:pPr>
    </w:p>
    <w:p w14:paraId="572DE73A">
      <w:pPr>
        <w:ind w:firstLine="210"/>
        <w:rPr>
          <w:color w:val="auto"/>
          <w:highlight w:val="none"/>
        </w:rPr>
      </w:pPr>
    </w:p>
    <w:p w14:paraId="4E8F641C">
      <w:pPr>
        <w:pStyle w:val="52"/>
        <w:rPr>
          <w:rFonts w:ascii="仿宋" w:hAnsi="仿宋" w:eastAsia="仿宋" w:cs="仿宋"/>
          <w:color w:val="auto"/>
          <w:highlight w:val="none"/>
        </w:rPr>
      </w:pPr>
    </w:p>
    <w:p w14:paraId="2D1C516A">
      <w:pPr>
        <w:pStyle w:val="5"/>
        <w:widowControl/>
        <w:numPr>
          <w:ilvl w:val="2"/>
          <w:numId w:val="0"/>
        </w:numPr>
        <w:tabs>
          <w:tab w:val="left" w:pos="432"/>
          <w:tab w:val="left" w:pos="720"/>
        </w:tabs>
        <w:spacing w:before="120" w:after="120"/>
        <w:ind w:left="720" w:hanging="720"/>
        <w:jc w:val="center"/>
        <w:rPr>
          <w:rFonts w:ascii="仿宋" w:hAnsi="仿宋" w:eastAsia="仿宋" w:cs="仿宋"/>
          <w:color w:val="auto"/>
          <w:highlight w:val="none"/>
        </w:rPr>
      </w:pPr>
      <w:r>
        <w:rPr>
          <w:rFonts w:hint="eastAsia" w:ascii="仿宋" w:hAnsi="仿宋" w:eastAsia="仿宋" w:cs="仿宋"/>
          <w:color w:val="auto"/>
          <w:highlight w:val="none"/>
        </w:rPr>
        <w:t>2.2残疾人福利性单位声明函</w:t>
      </w:r>
    </w:p>
    <w:p w14:paraId="3CCBD6A5">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kern w:val="0"/>
          <w:sz w:val="24"/>
          <w:szCs w:val="24"/>
          <w:highlight w:val="none"/>
          <w:lang w:eastAsia="zh-CN"/>
        </w:rPr>
        <w:t>〔2017〕141号</w:t>
      </w:r>
      <w:r>
        <w:rPr>
          <w:rFonts w:hint="eastAsia" w:ascii="仿宋" w:hAnsi="仿宋" w:eastAsia="仿宋" w:cs="仿宋"/>
          <w:color w:val="auto"/>
          <w:kern w:val="0"/>
          <w:sz w:val="24"/>
          <w:szCs w:val="24"/>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77616B">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本单位对上述声明的真实性负责。如有虚假，将依法承担相应责任。</w:t>
      </w:r>
    </w:p>
    <w:p w14:paraId="7B096391">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单位名称（电子签章）：</w:t>
      </w:r>
    </w:p>
    <w:p w14:paraId="70562838">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w:t>
      </w:r>
      <w:r>
        <w:rPr>
          <w:rFonts w:ascii="Calibri" w:hAnsi="Calibri" w:eastAsia="仿宋" w:cs="Calibri"/>
          <w:color w:val="auto"/>
          <w:kern w:val="0"/>
          <w:sz w:val="24"/>
          <w:szCs w:val="24"/>
          <w:highlight w:val="none"/>
        </w:rPr>
        <w:t> </w:t>
      </w:r>
      <w:r>
        <w:rPr>
          <w:rFonts w:hint="eastAsia" w:ascii="仿宋" w:hAnsi="仿宋" w:eastAsia="仿宋" w:cs="仿宋"/>
          <w:color w:val="auto"/>
          <w:kern w:val="0"/>
          <w:sz w:val="24"/>
          <w:szCs w:val="24"/>
          <w:highlight w:val="none"/>
        </w:rPr>
        <w:t xml:space="preserve"> 期：</w:t>
      </w:r>
    </w:p>
    <w:p w14:paraId="40CCF7ED">
      <w:pPr>
        <w:ind w:firstLine="210"/>
        <w:rPr>
          <w:rFonts w:ascii="仿宋" w:hAnsi="仿宋" w:eastAsia="仿宋" w:cs="仿宋"/>
          <w:color w:val="auto"/>
          <w:szCs w:val="22"/>
          <w:highlight w:val="none"/>
        </w:rPr>
      </w:pPr>
    </w:p>
    <w:p w14:paraId="0C0C9BF5">
      <w:pPr>
        <w:ind w:firstLine="210"/>
        <w:rPr>
          <w:rFonts w:ascii="仿宋" w:hAnsi="仿宋" w:eastAsia="仿宋" w:cs="仿宋"/>
          <w:color w:val="auto"/>
          <w:szCs w:val="22"/>
          <w:highlight w:val="none"/>
        </w:rPr>
      </w:pPr>
    </w:p>
    <w:p w14:paraId="6EC9700F">
      <w:pPr>
        <w:ind w:firstLine="210"/>
        <w:rPr>
          <w:rFonts w:ascii="仿宋" w:hAnsi="仿宋" w:eastAsia="仿宋" w:cs="仿宋"/>
          <w:color w:val="auto"/>
          <w:szCs w:val="22"/>
          <w:highlight w:val="none"/>
        </w:rPr>
      </w:pPr>
    </w:p>
    <w:p w14:paraId="64A32D36">
      <w:pPr>
        <w:ind w:firstLine="301"/>
        <w:jc w:val="center"/>
        <w:rPr>
          <w:rFonts w:ascii="仿宋" w:hAnsi="仿宋" w:eastAsia="仿宋" w:cs="仿宋"/>
          <w:b/>
          <w:color w:val="auto"/>
          <w:sz w:val="30"/>
          <w:szCs w:val="30"/>
          <w:highlight w:val="none"/>
        </w:rPr>
      </w:pPr>
    </w:p>
    <w:p w14:paraId="40C9DC5E">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注：（1）残疾人福利性单位在参加政府采购活动时，应当提供《残疾人福利性单位声明函》，并对声明的真实性负责；</w:t>
      </w:r>
    </w:p>
    <w:p w14:paraId="1A76EFFC">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（2）如不是残疾人福利性单位，则无需提供或填写。</w:t>
      </w:r>
    </w:p>
    <w:p w14:paraId="702839A3">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CA416CF">
      <w:pPr>
        <w:pStyle w:val="5"/>
        <w:widowControl/>
        <w:numPr>
          <w:ilvl w:val="2"/>
          <w:numId w:val="0"/>
        </w:numPr>
        <w:tabs>
          <w:tab w:val="left" w:pos="432"/>
          <w:tab w:val="left" w:pos="720"/>
        </w:tabs>
        <w:spacing w:before="120" w:after="120"/>
        <w:ind w:left="720" w:hanging="720"/>
        <w:jc w:val="center"/>
        <w:rPr>
          <w:rFonts w:ascii="仿宋" w:hAnsi="仿宋" w:eastAsia="仿宋" w:cs="仿宋"/>
          <w:color w:val="auto"/>
          <w:highlight w:val="none"/>
        </w:rPr>
      </w:pPr>
      <w:bookmarkStart w:id="231" w:name="_Toc3811"/>
      <w:r>
        <w:rPr>
          <w:rFonts w:hint="eastAsia" w:ascii="仿宋" w:hAnsi="仿宋" w:eastAsia="仿宋" w:cs="仿宋"/>
          <w:color w:val="auto"/>
          <w:highlight w:val="none"/>
        </w:rPr>
        <w:t>2.3监狱企业证明</w:t>
      </w:r>
      <w:bookmarkEnd w:id="231"/>
    </w:p>
    <w:p w14:paraId="201F874D">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A5AF313">
      <w:pPr>
        <w:spacing w:line="400" w:lineRule="exact"/>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监狱企业参加政府采购活动时，应当提供由省级以上监狱管理局、戒毒管理局（含新疆生产建设兵团）出具的属于监狱企业的证明文件。</w:t>
      </w:r>
    </w:p>
    <w:p w14:paraId="559AFC71">
      <w:pPr>
        <w:rPr>
          <w:rFonts w:ascii="仿宋" w:hAnsi="仿宋" w:eastAsia="仿宋" w:cs="仿宋"/>
          <w:color w:val="auto"/>
          <w:sz w:val="24"/>
          <w:szCs w:val="24"/>
          <w:highlight w:val="none"/>
        </w:rPr>
      </w:pPr>
    </w:p>
    <w:p w14:paraId="6AF3926A">
      <w:pPr>
        <w:autoSpaceDE w:val="0"/>
        <w:autoSpaceDN w:val="0"/>
        <w:adjustRightInd w:val="0"/>
        <w:jc w:val="left"/>
        <w:rPr>
          <w:rFonts w:ascii="仿宋" w:hAnsi="仿宋" w:eastAsia="仿宋" w:cs="仿宋"/>
          <w:color w:val="auto"/>
          <w:kern w:val="0"/>
          <w:sz w:val="24"/>
          <w:szCs w:val="22"/>
          <w:highlight w:val="none"/>
        </w:rPr>
      </w:pPr>
    </w:p>
    <w:p w14:paraId="2FE1AAF3">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注：如不是监狱企业，则无需提供或填写，若是监狱企业同时提供证明文件或材料。</w:t>
      </w:r>
    </w:p>
    <w:p w14:paraId="53532424">
      <w:pPr>
        <w:pStyle w:val="13"/>
        <w:ind w:firstLine="321"/>
        <w:jc w:val="center"/>
        <w:rPr>
          <w:rFonts w:ascii="仿宋" w:hAnsi="仿宋" w:eastAsia="仿宋" w:cs="仿宋"/>
          <w:b/>
          <w:bCs w:val="0"/>
          <w:color w:val="auto"/>
          <w:sz w:val="32"/>
          <w:szCs w:val="36"/>
          <w:highlight w:val="none"/>
        </w:rPr>
      </w:pPr>
      <w:r>
        <w:rPr>
          <w:rFonts w:hint="eastAsia" w:ascii="仿宋" w:hAnsi="仿宋" w:eastAsia="仿宋" w:cs="仿宋"/>
          <w:b/>
          <w:bCs w:val="0"/>
          <w:color w:val="auto"/>
          <w:sz w:val="32"/>
          <w:szCs w:val="36"/>
          <w:highlight w:val="none"/>
        </w:rPr>
        <w:br w:type="page"/>
      </w:r>
    </w:p>
    <w:p w14:paraId="3C6C3FDD">
      <w:pPr>
        <w:adjustRightInd w:val="0"/>
        <w:snapToGrid w:val="0"/>
        <w:spacing w:line="360" w:lineRule="auto"/>
        <w:ind w:firstLine="321"/>
        <w:jc w:val="center"/>
        <w:rPr>
          <w:rFonts w:hint="default" w:eastAsia="仿宋"/>
          <w:color w:val="auto"/>
          <w:szCs w:val="36"/>
          <w:highlight w:val="cyan"/>
          <w:lang w:val="en-US" w:eastAsia="zh-CN"/>
        </w:rPr>
      </w:pPr>
      <w:r>
        <w:rPr>
          <w:rFonts w:hint="eastAsia" w:ascii="仿宋" w:hAnsi="仿宋" w:eastAsia="仿宋" w:cs="仿宋"/>
          <w:b/>
          <w:color w:val="auto"/>
          <w:sz w:val="32"/>
          <w:szCs w:val="36"/>
          <w:highlight w:val="none"/>
        </w:rPr>
        <w:t>（三）本项目的特定资格要求：</w:t>
      </w:r>
      <w:r>
        <w:rPr>
          <w:rFonts w:hint="eastAsia" w:ascii="仿宋" w:hAnsi="仿宋" w:eastAsia="仿宋" w:cs="仿宋"/>
          <w:b/>
          <w:color w:val="auto"/>
          <w:sz w:val="32"/>
          <w:szCs w:val="36"/>
          <w:highlight w:val="none"/>
          <w:lang w:eastAsia="zh-CN"/>
        </w:rPr>
        <w:t>（</w:t>
      </w:r>
      <w:r>
        <w:rPr>
          <w:rFonts w:hint="eastAsia" w:ascii="仿宋" w:hAnsi="仿宋" w:eastAsia="仿宋" w:cs="仿宋"/>
          <w:b/>
          <w:color w:val="auto"/>
          <w:sz w:val="32"/>
          <w:szCs w:val="36"/>
          <w:highlight w:val="none"/>
          <w:lang w:val="en-US" w:eastAsia="zh-CN"/>
        </w:rPr>
        <w:t>若有）</w:t>
      </w:r>
    </w:p>
    <w:p w14:paraId="363106AC">
      <w:pPr>
        <w:spacing w:line="360" w:lineRule="auto"/>
        <w:rPr>
          <w:rFonts w:ascii="仿宋" w:hAnsi="仿宋" w:eastAsia="仿宋" w:cs="仿宋"/>
          <w:color w:val="auto"/>
          <w:sz w:val="24"/>
          <w:szCs w:val="24"/>
          <w:highlight w:val="none"/>
        </w:rPr>
      </w:pPr>
    </w:p>
    <w:p w14:paraId="23D7F1F1">
      <w:pPr>
        <w:pStyle w:val="13"/>
        <w:rPr>
          <w:rFonts w:ascii="仿宋" w:hAnsi="仿宋" w:eastAsia="仿宋" w:cs="仿宋"/>
          <w:color w:val="auto"/>
          <w:szCs w:val="24"/>
          <w:highlight w:val="none"/>
        </w:rPr>
        <w:sectPr>
          <w:pgSz w:w="11906" w:h="16838"/>
          <w:pgMar w:top="1134" w:right="1021" w:bottom="1134" w:left="1021" w:header="851" w:footer="851" w:gutter="0"/>
          <w:pgNumType w:fmt="decimal"/>
          <w:cols w:space="708" w:num="1"/>
          <w:docGrid w:linePitch="312" w:charSpace="0"/>
        </w:sectPr>
      </w:pPr>
    </w:p>
    <w:bookmarkEnd w:id="212"/>
    <w:bookmarkEnd w:id="213"/>
    <w:bookmarkEnd w:id="214"/>
    <w:bookmarkEnd w:id="215"/>
    <w:bookmarkEnd w:id="216"/>
    <w:bookmarkEnd w:id="221"/>
    <w:p w14:paraId="66DC0B10">
      <w:pPr>
        <w:spacing w:line="360" w:lineRule="auto"/>
        <w:ind w:firstLine="321"/>
        <w:jc w:val="center"/>
        <w:outlineLvl w:val="1"/>
        <w:rPr>
          <w:rFonts w:ascii="仿宋" w:hAnsi="仿宋" w:eastAsia="仿宋" w:cs="仿宋"/>
          <w:b/>
          <w:color w:val="auto"/>
          <w:sz w:val="32"/>
          <w:szCs w:val="36"/>
          <w:highlight w:val="none"/>
        </w:rPr>
      </w:pPr>
      <w:bookmarkStart w:id="232" w:name="_Toc122530400"/>
      <w:r>
        <w:rPr>
          <w:rFonts w:hint="eastAsia" w:ascii="仿宋" w:hAnsi="仿宋" w:eastAsia="仿宋" w:cs="仿宋"/>
          <w:b/>
          <w:color w:val="auto"/>
          <w:sz w:val="32"/>
          <w:szCs w:val="36"/>
          <w:highlight w:val="none"/>
        </w:rPr>
        <w:t>（四）法定代表人（负责人）身份证明或附有法定代表人身份证明的授权委托书</w:t>
      </w:r>
    </w:p>
    <w:p w14:paraId="2E6D9C95">
      <w:pPr>
        <w:spacing w:line="360" w:lineRule="auto"/>
        <w:ind w:firstLine="321"/>
        <w:jc w:val="center"/>
        <w:outlineLvl w:val="1"/>
        <w:rPr>
          <w:rFonts w:ascii="仿宋" w:hAnsi="仿宋" w:eastAsia="仿宋" w:cs="仿宋"/>
          <w:b/>
          <w:color w:val="auto"/>
          <w:sz w:val="32"/>
          <w:szCs w:val="36"/>
          <w:highlight w:val="none"/>
        </w:rPr>
      </w:pPr>
      <w:r>
        <w:rPr>
          <w:rFonts w:hint="eastAsia" w:ascii="仿宋" w:hAnsi="仿宋" w:eastAsia="仿宋" w:cs="仿宋"/>
          <w:b/>
          <w:color w:val="auto"/>
          <w:sz w:val="32"/>
          <w:szCs w:val="36"/>
          <w:highlight w:val="none"/>
        </w:rPr>
        <w:t>4.1法定代表人（负责人）身份证明</w:t>
      </w:r>
    </w:p>
    <w:p w14:paraId="3F185E64">
      <w:pPr>
        <w:spacing w:line="360" w:lineRule="auto"/>
        <w:ind w:firstLine="321"/>
        <w:jc w:val="center"/>
        <w:rPr>
          <w:rFonts w:ascii="仿宋" w:hAnsi="仿宋" w:eastAsia="仿宋" w:cs="仿宋"/>
          <w:b/>
          <w:color w:val="auto"/>
          <w:sz w:val="32"/>
          <w:highlight w:val="none"/>
        </w:rPr>
      </w:pPr>
    </w:p>
    <w:p w14:paraId="79E88328">
      <w:pPr>
        <w:spacing w:line="360" w:lineRule="auto"/>
        <w:ind w:firstLine="201"/>
        <w:rPr>
          <w:rFonts w:ascii="仿宋" w:hAnsi="仿宋" w:eastAsia="仿宋" w:cs="仿宋"/>
          <w:b/>
          <w:color w:val="auto"/>
          <w:sz w:val="20"/>
          <w:highlight w:val="none"/>
        </w:rPr>
      </w:pPr>
    </w:p>
    <w:p w14:paraId="2C426BFB">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单位名称：</w:t>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p>
    <w:p w14:paraId="0B37810D">
      <w:pPr>
        <w:spacing w:line="360" w:lineRule="auto"/>
        <w:ind w:firstLine="240"/>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单位性质：</w:t>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p>
    <w:p w14:paraId="4EC1925E">
      <w:pPr>
        <w:spacing w:line="360" w:lineRule="auto"/>
        <w:ind w:firstLine="240"/>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地    址：</w:t>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p>
    <w:p w14:paraId="3D323D1A">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成立时间：</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日</w:t>
      </w:r>
    </w:p>
    <w:p w14:paraId="74AD41A2">
      <w:pPr>
        <w:spacing w:line="360" w:lineRule="auto"/>
        <w:ind w:firstLine="240"/>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经营期限：</w:t>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u w:val="single"/>
        </w:rPr>
        <w:tab/>
      </w:r>
    </w:p>
    <w:p w14:paraId="6D96DAFF">
      <w:pPr>
        <w:spacing w:line="360" w:lineRule="auto"/>
        <w:ind w:firstLine="240"/>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姓    名（</w:t>
      </w:r>
      <w:r>
        <w:rPr>
          <w:rFonts w:hint="eastAsia" w:ascii="仿宋" w:hAnsi="仿宋" w:eastAsia="仿宋" w:cs="仿宋"/>
          <w:color w:val="auto"/>
          <w:sz w:val="24"/>
          <w:szCs w:val="28"/>
          <w:highlight w:val="none"/>
          <w:lang w:val="en-US" w:eastAsia="zh-CN"/>
        </w:rPr>
        <w:t>签名</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 xml:space="preserve"> 性别：</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年龄：</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 xml:space="preserve"> 职务：</w:t>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 xml:space="preserve"> </w:t>
      </w:r>
    </w:p>
    <w:p w14:paraId="1E035B7C">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系</w:t>
      </w:r>
      <w:r>
        <w:rPr>
          <w:rFonts w:hint="eastAsia" w:ascii="仿宋" w:hAnsi="仿宋" w:eastAsia="仿宋" w:cs="仿宋"/>
          <w:color w:val="auto"/>
          <w:sz w:val="24"/>
          <w:szCs w:val="28"/>
          <w:highlight w:val="none"/>
          <w:u w:val="single"/>
        </w:rPr>
        <w:t xml:space="preserve">     （供应商名称）    </w:t>
      </w:r>
      <w:r>
        <w:rPr>
          <w:rFonts w:hint="eastAsia" w:ascii="仿宋" w:hAnsi="仿宋" w:eastAsia="仿宋" w:cs="仿宋"/>
          <w:color w:val="auto"/>
          <w:sz w:val="24"/>
          <w:szCs w:val="28"/>
          <w:highlight w:val="none"/>
        </w:rPr>
        <w:t>的法定代表人。</w:t>
      </w:r>
    </w:p>
    <w:p w14:paraId="1A54C884">
      <w:pPr>
        <w:spacing w:line="360" w:lineRule="auto"/>
        <w:ind w:firstLine="240"/>
        <w:rPr>
          <w:rFonts w:ascii="仿宋" w:hAnsi="仿宋" w:eastAsia="仿宋" w:cs="仿宋"/>
          <w:color w:val="auto"/>
          <w:sz w:val="24"/>
          <w:szCs w:val="28"/>
          <w:highlight w:val="none"/>
        </w:rPr>
      </w:pPr>
    </w:p>
    <w:p w14:paraId="065D9668">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特此证明。</w:t>
      </w:r>
    </w:p>
    <w:p w14:paraId="6B0970B8">
      <w:pPr>
        <w:spacing w:line="360" w:lineRule="auto"/>
        <w:ind w:firstLine="241"/>
        <w:jc w:val="left"/>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附：法定代表人身份证复印件</w:t>
      </w:r>
    </w:p>
    <w:tbl>
      <w:tblPr>
        <w:tblStyle w:val="39"/>
        <w:tblW w:w="8568"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14:paraId="0506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14:paraId="30F829B9">
            <w:pPr>
              <w:pStyle w:val="21"/>
              <w:spacing w:line="360" w:lineRule="auto"/>
              <w:ind w:firstLine="240"/>
              <w:jc w:val="center"/>
              <w:rPr>
                <w:rFonts w:ascii="仿宋" w:hAnsi="仿宋" w:eastAsia="仿宋" w:cs="仿宋"/>
                <w:color w:val="auto"/>
                <w:sz w:val="22"/>
                <w:highlight w:val="none"/>
              </w:rPr>
            </w:pPr>
            <w:r>
              <w:rPr>
                <w:rFonts w:hint="eastAsia" w:ascii="仿宋" w:hAnsi="仿宋" w:eastAsia="仿宋" w:cs="仿宋"/>
                <w:color w:val="auto"/>
                <w:szCs w:val="21"/>
                <w:highlight w:val="none"/>
              </w:rPr>
              <w:t>法定代表人居民身份证双面复印件</w:t>
            </w:r>
          </w:p>
        </w:tc>
      </w:tr>
      <w:tr w14:paraId="620F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8568" w:type="dxa"/>
          </w:tcPr>
          <w:p w14:paraId="175AF1A0">
            <w:pPr>
              <w:pStyle w:val="21"/>
              <w:spacing w:line="360" w:lineRule="auto"/>
              <w:ind w:firstLine="220"/>
              <w:rPr>
                <w:rFonts w:ascii="仿宋" w:hAnsi="仿宋" w:eastAsia="仿宋" w:cs="仿宋"/>
                <w:color w:val="auto"/>
                <w:sz w:val="22"/>
                <w:highlight w:val="none"/>
              </w:rPr>
            </w:pPr>
          </w:p>
        </w:tc>
      </w:tr>
    </w:tbl>
    <w:p w14:paraId="2EE8CE2C">
      <w:pPr>
        <w:pStyle w:val="21"/>
        <w:spacing w:line="360" w:lineRule="auto"/>
        <w:ind w:firstLine="220"/>
        <w:rPr>
          <w:rFonts w:ascii="仿宋" w:hAnsi="仿宋" w:eastAsia="仿宋" w:cs="仿宋"/>
          <w:color w:val="auto"/>
          <w:sz w:val="22"/>
          <w:highlight w:val="none"/>
        </w:rPr>
      </w:pPr>
    </w:p>
    <w:p w14:paraId="6C158D73">
      <w:pPr>
        <w:tabs>
          <w:tab w:val="left" w:pos="720"/>
          <w:tab w:val="left" w:pos="900"/>
        </w:tabs>
        <w:spacing w:line="360" w:lineRule="auto"/>
        <w:rPr>
          <w:rFonts w:ascii="仿宋" w:hAnsi="仿宋" w:eastAsia="仿宋" w:cs="仿宋"/>
          <w:color w:val="auto"/>
          <w:sz w:val="24"/>
          <w:szCs w:val="28"/>
          <w:highlight w:val="none"/>
        </w:rPr>
      </w:pPr>
    </w:p>
    <w:p w14:paraId="33C4012F">
      <w:pPr>
        <w:tabs>
          <w:tab w:val="left" w:pos="720"/>
          <w:tab w:val="left" w:pos="900"/>
        </w:tabs>
        <w:spacing w:line="360" w:lineRule="auto"/>
        <w:ind w:firstLine="2916" w:firstLineChars="1215"/>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供应商（</w:t>
      </w:r>
      <w:r>
        <w:rPr>
          <w:rFonts w:hint="eastAsia" w:ascii="仿宋" w:hAnsi="仿宋" w:eastAsia="仿宋" w:cs="仿宋"/>
          <w:sz w:val="24"/>
          <w:szCs w:val="28"/>
          <w:highlight w:val="none"/>
        </w:rPr>
        <w:t>签章</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u w:val="single"/>
        </w:rPr>
        <w:t xml:space="preserve">                  </w:t>
      </w:r>
    </w:p>
    <w:p w14:paraId="269441D4">
      <w:pPr>
        <w:tabs>
          <w:tab w:val="left" w:pos="720"/>
          <w:tab w:val="left" w:pos="900"/>
        </w:tabs>
        <w:spacing w:line="360" w:lineRule="auto"/>
        <w:ind w:firstLine="2916" w:firstLineChars="1215"/>
        <w:rPr>
          <w:rFonts w:ascii="仿宋" w:hAnsi="仿宋" w:eastAsia="仿宋" w:cs="仿宋"/>
          <w:color w:val="auto"/>
          <w:sz w:val="24"/>
          <w:szCs w:val="28"/>
          <w:highlight w:val="none"/>
        </w:rPr>
      </w:pPr>
    </w:p>
    <w:p w14:paraId="643E87A7">
      <w:pPr>
        <w:tabs>
          <w:tab w:val="left" w:pos="720"/>
          <w:tab w:val="left" w:pos="900"/>
        </w:tabs>
        <w:spacing w:line="360" w:lineRule="auto"/>
        <w:ind w:firstLine="2916" w:firstLineChars="1215"/>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日    期：</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日</w:t>
      </w:r>
    </w:p>
    <w:p w14:paraId="0B95D834">
      <w:pPr>
        <w:spacing w:line="360" w:lineRule="auto"/>
        <w:rPr>
          <w:rFonts w:ascii="仿宋" w:hAnsi="仿宋" w:eastAsia="仿宋" w:cs="仿宋"/>
          <w:color w:val="auto"/>
          <w:sz w:val="24"/>
          <w:szCs w:val="28"/>
          <w:highlight w:val="none"/>
        </w:rPr>
      </w:pPr>
    </w:p>
    <w:p w14:paraId="2113CCB9">
      <w:pPr>
        <w:spacing w:line="360" w:lineRule="auto"/>
        <w:ind w:firstLine="321"/>
        <w:jc w:val="center"/>
        <w:outlineLvl w:val="1"/>
        <w:rPr>
          <w:rFonts w:ascii="仿宋" w:hAnsi="仿宋" w:eastAsia="仿宋" w:cs="仿宋"/>
          <w:b/>
          <w:color w:val="auto"/>
          <w:sz w:val="32"/>
          <w:szCs w:val="36"/>
          <w:highlight w:val="none"/>
        </w:rPr>
      </w:pPr>
      <w:r>
        <w:rPr>
          <w:rFonts w:hint="eastAsia" w:ascii="仿宋" w:hAnsi="仿宋" w:eastAsia="仿宋" w:cs="仿宋"/>
          <w:b/>
          <w:color w:val="auto"/>
          <w:sz w:val="32"/>
          <w:szCs w:val="36"/>
          <w:highlight w:val="none"/>
        </w:rPr>
        <w:t>4.2授权委托书</w:t>
      </w:r>
    </w:p>
    <w:p w14:paraId="58A1B793">
      <w:pPr>
        <w:spacing w:line="360" w:lineRule="auto"/>
        <w:ind w:firstLine="281"/>
        <w:jc w:val="center"/>
        <w:outlineLvl w:val="1"/>
        <w:rPr>
          <w:rFonts w:ascii="仿宋" w:hAnsi="仿宋" w:eastAsia="仿宋" w:cs="仿宋"/>
          <w:b/>
          <w:color w:val="auto"/>
          <w:sz w:val="28"/>
          <w:szCs w:val="32"/>
          <w:highlight w:val="none"/>
        </w:rPr>
      </w:pPr>
      <w:r>
        <w:rPr>
          <w:rFonts w:hint="eastAsia" w:ascii="仿宋" w:hAnsi="仿宋" w:eastAsia="仿宋" w:cs="仿宋"/>
          <w:b/>
          <w:color w:val="auto"/>
          <w:sz w:val="28"/>
          <w:szCs w:val="32"/>
          <w:highlight w:val="none"/>
        </w:rPr>
        <w:t>（若未发生授权情况，则无需提供此授权）</w:t>
      </w:r>
    </w:p>
    <w:p w14:paraId="4A916C34">
      <w:pPr>
        <w:spacing w:line="360" w:lineRule="auto"/>
        <w:ind w:firstLine="220"/>
        <w:rPr>
          <w:rFonts w:ascii="仿宋" w:hAnsi="仿宋" w:eastAsia="仿宋" w:cs="仿宋"/>
          <w:color w:val="auto"/>
          <w:sz w:val="22"/>
          <w:highlight w:val="none"/>
        </w:rPr>
      </w:pPr>
    </w:p>
    <w:p w14:paraId="565E4F40">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本授权委托书声明：我</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（姓名）系</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（供应商名称）的法定代表人，现授权委托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（姓名）为我公司代理人，以公司名义参加</w:t>
      </w:r>
      <w:r>
        <w:rPr>
          <w:rFonts w:hint="eastAsia" w:ascii="仿宋" w:hAnsi="仿宋" w:eastAsia="仿宋" w:cs="仿宋"/>
          <w:color w:val="auto"/>
          <w:sz w:val="24"/>
          <w:szCs w:val="28"/>
          <w:highlight w:val="none"/>
          <w:u w:val="single"/>
        </w:rPr>
        <w:t xml:space="preserve">    （项目名称）  </w:t>
      </w:r>
      <w:r>
        <w:rPr>
          <w:rFonts w:hint="eastAsia" w:ascii="仿宋" w:hAnsi="仿宋" w:eastAsia="仿宋" w:cs="仿宋"/>
          <w:color w:val="auto"/>
          <w:sz w:val="24"/>
          <w:szCs w:val="28"/>
          <w:highlight w:val="none"/>
        </w:rPr>
        <w:t>的竞争性磋商活动。</w:t>
      </w:r>
    </w:p>
    <w:p w14:paraId="67A24EAC">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代理人在参加本项目过程中所签署的一切文件和处理与之有关的一切事务，我均予以承认。</w:t>
      </w:r>
    </w:p>
    <w:p w14:paraId="68E0EA8C">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代理人无转委权。特此委托。</w:t>
      </w:r>
    </w:p>
    <w:p w14:paraId="1CAE61C3">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委托期限：</w:t>
      </w:r>
      <w:r>
        <w:rPr>
          <w:rFonts w:hint="eastAsia" w:ascii="仿宋" w:hAnsi="仿宋" w:eastAsia="仿宋" w:cs="仿宋"/>
          <w:color w:val="auto"/>
          <w:sz w:val="24"/>
          <w:szCs w:val="28"/>
          <w:highlight w:val="none"/>
          <w:u w:val="single"/>
        </w:rPr>
        <w:t xml:space="preserve">                       </w:t>
      </w:r>
    </w:p>
    <w:p w14:paraId="6F110A47">
      <w:pPr>
        <w:spacing w:line="360" w:lineRule="auto"/>
        <w:ind w:firstLine="241"/>
        <w:rPr>
          <w:rFonts w:ascii="仿宋" w:hAnsi="仿宋" w:eastAsia="仿宋" w:cs="仿宋"/>
          <w:color w:val="auto"/>
          <w:sz w:val="24"/>
          <w:szCs w:val="28"/>
          <w:highlight w:val="none"/>
        </w:rPr>
      </w:pPr>
      <w:r>
        <w:rPr>
          <w:rFonts w:hint="eastAsia" w:ascii="仿宋" w:hAnsi="仿宋" w:eastAsia="仿宋" w:cs="仿宋"/>
          <w:b/>
          <w:color w:val="auto"/>
          <w:sz w:val="24"/>
          <w:szCs w:val="28"/>
          <w:highlight w:val="none"/>
        </w:rPr>
        <w:t>附：委托代理人身份证复印件</w:t>
      </w:r>
    </w:p>
    <w:tbl>
      <w:tblPr>
        <w:tblStyle w:val="39"/>
        <w:tblW w:w="8186"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6"/>
      </w:tblGrid>
      <w:tr w14:paraId="533A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6" w:type="dxa"/>
          </w:tcPr>
          <w:p w14:paraId="1DA11BBD">
            <w:pPr>
              <w:pStyle w:val="21"/>
              <w:spacing w:line="360" w:lineRule="auto"/>
              <w:ind w:firstLine="240"/>
              <w:jc w:val="center"/>
              <w:rPr>
                <w:rFonts w:ascii="仿宋" w:hAnsi="仿宋" w:eastAsia="仿宋" w:cs="仿宋"/>
                <w:color w:val="auto"/>
                <w:sz w:val="22"/>
                <w:highlight w:val="none"/>
              </w:rPr>
            </w:pPr>
            <w:r>
              <w:rPr>
                <w:rFonts w:hint="eastAsia" w:ascii="仿宋" w:hAnsi="仿宋" w:eastAsia="仿宋" w:cs="仿宋"/>
                <w:color w:val="auto"/>
                <w:szCs w:val="21"/>
                <w:highlight w:val="none"/>
              </w:rPr>
              <w:t>授权委托人居民身份证双面复印件</w:t>
            </w:r>
          </w:p>
        </w:tc>
      </w:tr>
      <w:tr w14:paraId="0F6B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8186" w:type="dxa"/>
          </w:tcPr>
          <w:p w14:paraId="2FA62612">
            <w:pPr>
              <w:pStyle w:val="21"/>
              <w:spacing w:line="360" w:lineRule="auto"/>
              <w:ind w:firstLine="220"/>
              <w:rPr>
                <w:rFonts w:ascii="仿宋" w:hAnsi="仿宋" w:eastAsia="仿宋" w:cs="仿宋"/>
                <w:color w:val="auto"/>
                <w:sz w:val="22"/>
                <w:highlight w:val="none"/>
              </w:rPr>
            </w:pPr>
          </w:p>
        </w:tc>
      </w:tr>
    </w:tbl>
    <w:p w14:paraId="17E462A7">
      <w:pPr>
        <w:spacing w:before="120" w:beforeLines="50" w:line="360" w:lineRule="auto"/>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代理人（</w:t>
      </w:r>
      <w:r>
        <w:rPr>
          <w:rFonts w:hint="eastAsia" w:ascii="仿宋" w:hAnsi="仿宋" w:eastAsia="仿宋" w:cs="仿宋"/>
          <w:sz w:val="24"/>
          <w:szCs w:val="28"/>
          <w:highlight w:val="none"/>
        </w:rPr>
        <w:t>签名</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u w:val="single"/>
        </w:rPr>
        <w:t xml:space="preserve">                           </w:t>
      </w:r>
    </w:p>
    <w:p w14:paraId="28CB482C">
      <w:pPr>
        <w:spacing w:before="120" w:beforeLines="50" w:line="360" w:lineRule="auto"/>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供应商（</w:t>
      </w:r>
      <w:r>
        <w:rPr>
          <w:rFonts w:hint="eastAsia" w:ascii="仿宋" w:hAnsi="仿宋" w:eastAsia="仿宋" w:cs="仿宋"/>
          <w:sz w:val="24"/>
          <w:szCs w:val="28"/>
          <w:highlight w:val="none"/>
        </w:rPr>
        <w:t>签章</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u w:val="single"/>
        </w:rPr>
        <w:t xml:space="preserve">                       </w:t>
      </w:r>
    </w:p>
    <w:p w14:paraId="743C3ADB">
      <w:pPr>
        <w:spacing w:before="120" w:beforeLines="50" w:line="360" w:lineRule="auto"/>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法定代表人（</w:t>
      </w:r>
      <w:r>
        <w:rPr>
          <w:rFonts w:hint="eastAsia" w:ascii="仿宋" w:hAnsi="仿宋" w:eastAsia="仿宋" w:cs="仿宋"/>
          <w:sz w:val="24"/>
          <w:szCs w:val="28"/>
          <w:highlight w:val="none"/>
        </w:rPr>
        <w:t>签名</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u w:val="single"/>
        </w:rPr>
        <w:t xml:space="preserve">                   </w:t>
      </w:r>
    </w:p>
    <w:p w14:paraId="5B485121">
      <w:pPr>
        <w:spacing w:before="120" w:beforeLines="50"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日期：</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日</w:t>
      </w:r>
    </w:p>
    <w:p w14:paraId="71792618">
      <w:pPr>
        <w:wordWrap w:val="0"/>
        <w:ind w:firstLine="3838" w:firstLineChars="1371"/>
        <w:rPr>
          <w:rFonts w:ascii="仿宋" w:hAnsi="仿宋" w:eastAsia="仿宋" w:cs="仿宋"/>
          <w:color w:val="auto"/>
          <w:sz w:val="24"/>
          <w:szCs w:val="24"/>
          <w:highlight w:val="none"/>
        </w:rPr>
      </w:pPr>
      <w:r>
        <w:rPr>
          <w:rFonts w:hint="eastAsia" w:ascii="仿宋" w:hAnsi="仿宋" w:eastAsia="仿宋" w:cs="仿宋"/>
          <w:color w:val="auto"/>
          <w:sz w:val="28"/>
          <w:highlight w:val="none"/>
        </w:rPr>
        <w:br w:type="page"/>
      </w:r>
      <w:bookmarkEnd w:id="232"/>
      <w:bookmarkStart w:id="233" w:name="_Toc425974811"/>
    </w:p>
    <w:p w14:paraId="306CBC6D">
      <w:pPr>
        <w:pStyle w:val="32"/>
        <w:ind w:left="2250" w:hanging="1200"/>
        <w:rPr>
          <w:rFonts w:ascii="仿宋" w:hAnsi="仿宋" w:eastAsia="仿宋" w:cs="仿宋"/>
          <w:color w:val="auto"/>
          <w:szCs w:val="24"/>
          <w:highlight w:val="none"/>
        </w:rPr>
        <w:sectPr>
          <w:pgSz w:w="11906" w:h="16838"/>
          <w:pgMar w:top="1134" w:right="1134" w:bottom="1440" w:left="1361" w:header="850" w:footer="510" w:gutter="0"/>
          <w:pgNumType w:fmt="decimal"/>
          <w:cols w:space="0" w:num="1"/>
          <w:docGrid w:linePitch="312" w:charSpace="0"/>
        </w:sectPr>
      </w:pPr>
    </w:p>
    <w:p w14:paraId="0656B328">
      <w:pPr>
        <w:pStyle w:val="13"/>
        <w:rPr>
          <w:color w:val="auto"/>
          <w:highlight w:val="none"/>
        </w:rPr>
      </w:pPr>
    </w:p>
    <w:p w14:paraId="3EBED59D">
      <w:pPr>
        <w:spacing w:line="360" w:lineRule="auto"/>
        <w:ind w:firstLine="321"/>
        <w:jc w:val="center"/>
        <w:rPr>
          <w:rFonts w:ascii="仿宋" w:hAnsi="仿宋" w:eastAsia="仿宋" w:cs="仿宋"/>
          <w:b/>
          <w:color w:val="auto"/>
          <w:sz w:val="32"/>
          <w:szCs w:val="36"/>
          <w:highlight w:val="none"/>
        </w:rPr>
      </w:pPr>
      <w:r>
        <w:rPr>
          <w:rFonts w:hint="eastAsia" w:ascii="仿宋" w:hAnsi="仿宋" w:eastAsia="仿宋" w:cs="仿宋"/>
          <w:b/>
          <w:color w:val="auto"/>
          <w:sz w:val="32"/>
          <w:szCs w:val="36"/>
          <w:highlight w:val="none"/>
        </w:rPr>
        <w:t>（</w:t>
      </w:r>
      <w:r>
        <w:rPr>
          <w:rFonts w:hint="eastAsia" w:ascii="仿宋" w:hAnsi="仿宋" w:eastAsia="仿宋" w:cs="仿宋"/>
          <w:b/>
          <w:color w:val="auto"/>
          <w:sz w:val="32"/>
          <w:szCs w:val="36"/>
          <w:highlight w:val="none"/>
          <w:lang w:val="en-US" w:eastAsia="zh-CN"/>
        </w:rPr>
        <w:t>五</w:t>
      </w:r>
      <w:r>
        <w:rPr>
          <w:rFonts w:hint="eastAsia" w:ascii="仿宋" w:hAnsi="仿宋" w:eastAsia="仿宋" w:cs="仿宋"/>
          <w:b/>
          <w:color w:val="auto"/>
          <w:sz w:val="32"/>
          <w:szCs w:val="36"/>
          <w:highlight w:val="none"/>
        </w:rPr>
        <w:t>）其他资料</w:t>
      </w:r>
    </w:p>
    <w:p w14:paraId="69DD846C">
      <w:pPr>
        <w:pStyle w:val="13"/>
        <w:spacing w:line="360" w:lineRule="auto"/>
        <w:jc w:val="center"/>
        <w:rPr>
          <w:rFonts w:ascii="仿宋" w:hAnsi="仿宋" w:eastAsia="仿宋" w:cs="仿宋"/>
          <w:bCs w:val="0"/>
          <w:color w:val="auto"/>
          <w:szCs w:val="28"/>
          <w:highlight w:val="none"/>
        </w:rPr>
      </w:pPr>
    </w:p>
    <w:bookmarkEnd w:id="233"/>
    <w:p w14:paraId="1C0387A4">
      <w:pPr>
        <w:wordWrap w:val="0"/>
        <w:adjustRightInd w:val="0"/>
        <w:snapToGrid w:val="0"/>
        <w:spacing w:line="360" w:lineRule="auto"/>
        <w:ind w:firstLine="241"/>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（1）公共资源交易投标人信用承诺书</w:t>
      </w:r>
    </w:p>
    <w:p w14:paraId="5DFC4BE6">
      <w:pPr>
        <w:wordWrap w:val="0"/>
        <w:adjustRightInd w:val="0"/>
        <w:snapToGrid w:val="0"/>
        <w:spacing w:line="360" w:lineRule="auto"/>
        <w:ind w:firstLine="482" w:firstLineChars="200"/>
        <w:jc w:val="center"/>
        <w:rPr>
          <w:rFonts w:ascii="仿宋" w:hAnsi="仿宋" w:eastAsia="仿宋" w:cs="仿宋"/>
          <w:b/>
          <w:color w:val="auto"/>
          <w:sz w:val="24"/>
          <w:szCs w:val="24"/>
          <w:highlight w:val="none"/>
        </w:rPr>
      </w:pPr>
    </w:p>
    <w:p w14:paraId="61A63B31">
      <w:pPr>
        <w:wordWrap w:val="0"/>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为营造我州公开、公平、公正、诚实守信的公共资源交易环境，树立诚信守法的投标人形象，本人代表本单位作出以下承诺：</w:t>
      </w:r>
    </w:p>
    <w:p w14:paraId="3F397115">
      <w:pPr>
        <w:widowControl/>
        <w:wordWrap w:val="0"/>
        <w:adjustRightInd w:val="0"/>
        <w:snapToGri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本单位对所提交的单位基本信息、负责人、项目负责人、技术负责人、从业资质和资格、业绩、财务状况、信誉等所有资料，均合法、真实、准确、有效，无任何伪造、修改、虚假成份，并对所提供资料的真实性负责；</w:t>
      </w:r>
    </w:p>
    <w:p w14:paraId="6ED282DA">
      <w:pPr>
        <w:widowControl/>
        <w:wordWrap w:val="0"/>
        <w:adjustRightInd w:val="0"/>
        <w:snapToGri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二、严格依照国家和省、州关于招标投标的法律、法规、规章、规范性文件，开展公共资源招标投标活动；积极履行社会责任，促进廉政建设；</w:t>
      </w:r>
    </w:p>
    <w:p w14:paraId="65694EB6">
      <w:pPr>
        <w:widowControl/>
        <w:wordWrap w:val="0"/>
        <w:adjustRightInd w:val="0"/>
        <w:snapToGri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三、严格遵守即时信息公示规定，及时维护和更新按规定需在政府相关网站登记的企（事）业信息或其他公示信息；</w:t>
      </w:r>
    </w:p>
    <w:p w14:paraId="3B67D222">
      <w:pPr>
        <w:widowControl/>
        <w:wordWrap w:val="0"/>
        <w:adjustRightInd w:val="0"/>
        <w:snapToGri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四、自我约束、自我管理，守合同、重信用，不参与围标串标、弄虚作假、骗取中标、干扰评标、违约毁约等行为，自觉维护公共资源招标投标的良好秩序；</w:t>
      </w:r>
    </w:p>
    <w:p w14:paraId="49BEC4EE">
      <w:pPr>
        <w:widowControl/>
        <w:wordWrap w:val="0"/>
        <w:adjustRightInd w:val="0"/>
        <w:snapToGri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五、自觉接受政府、行业组织、社会公众、新闻舆论的监督；</w:t>
      </w:r>
    </w:p>
    <w:p w14:paraId="0BCCCE9A">
      <w:pPr>
        <w:widowControl/>
        <w:wordWrap w:val="0"/>
        <w:adjustRightInd w:val="0"/>
        <w:snapToGri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本单位自愿接受招标投标综合监督管理机构和有关行政监督部门的依法检查。如发生违法违规或不良行为，自愿接受招标投标综合监督管理机构和有关行政监督部门依法给予的行政处罚（处理），并依法承担赔偿责任和刑事责任；</w:t>
      </w:r>
    </w:p>
    <w:p w14:paraId="6B9ED9DB">
      <w:pPr>
        <w:widowControl/>
        <w:wordWrap w:val="0"/>
        <w:adjustRightInd w:val="0"/>
        <w:snapToGri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七、本人已认真阅读了上述承诺，并向本单位员工作了宣传教育。</w:t>
      </w:r>
    </w:p>
    <w:p w14:paraId="34F920B9">
      <w:pPr>
        <w:wordWrap w:val="0"/>
        <w:adjustRightInd w:val="0"/>
        <w:snapToGrid w:val="0"/>
        <w:spacing w:line="360" w:lineRule="auto"/>
        <w:ind w:firstLine="480" w:firstLineChars="200"/>
        <w:rPr>
          <w:rFonts w:ascii="仿宋" w:hAnsi="仿宋" w:eastAsia="仿宋" w:cs="仿宋"/>
          <w:color w:val="auto"/>
          <w:sz w:val="24"/>
          <w:szCs w:val="24"/>
          <w:highlight w:val="none"/>
        </w:rPr>
      </w:pPr>
    </w:p>
    <w:p w14:paraId="56189F65">
      <w:pPr>
        <w:wordWrap w:val="0"/>
        <w:adjustRightInd w:val="0"/>
        <w:snapToGrid w:val="0"/>
        <w:spacing w:line="360" w:lineRule="auto"/>
        <w:ind w:firstLine="480" w:firstLineChars="200"/>
        <w:rPr>
          <w:rFonts w:ascii="仿宋" w:hAnsi="仿宋" w:eastAsia="仿宋" w:cs="仿宋"/>
          <w:color w:val="auto"/>
          <w:sz w:val="24"/>
          <w:szCs w:val="24"/>
          <w:highlight w:val="none"/>
        </w:rPr>
      </w:pPr>
    </w:p>
    <w:p w14:paraId="42621CC2">
      <w:pPr>
        <w:wordWrap w:val="0"/>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 xml:space="preserve">              法定代表人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签名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14:paraId="567E3ED1">
      <w:pPr>
        <w:wordWrap w:val="0"/>
        <w:adjustRightInd w:val="0"/>
        <w:snapToGrid w:val="0"/>
        <w:spacing w:line="360" w:lineRule="auto"/>
        <w:ind w:firstLine="480" w:firstLineChars="200"/>
        <w:rPr>
          <w:rFonts w:ascii="仿宋" w:hAnsi="仿宋" w:eastAsia="仿宋" w:cs="仿宋"/>
          <w:color w:val="auto"/>
          <w:kern w:val="0"/>
          <w:sz w:val="24"/>
          <w:szCs w:val="24"/>
          <w:highlight w:val="none"/>
        </w:rPr>
      </w:pPr>
    </w:p>
    <w:p w14:paraId="3D872205">
      <w:pPr>
        <w:wordWrap w:val="0"/>
        <w:adjustRightInd w:val="0"/>
        <w:snapToGrid w:val="0"/>
        <w:spacing w:line="360" w:lineRule="auto"/>
        <w:ind w:firstLine="4320" w:firstLineChars="18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w:t>
      </w:r>
      <w:r>
        <w:rPr>
          <w:rFonts w:hint="eastAsia" w:ascii="仿宋" w:hAnsi="仿宋" w:eastAsia="仿宋" w:cs="仿宋"/>
          <w:kern w:val="0"/>
          <w:sz w:val="24"/>
          <w:szCs w:val="24"/>
          <w:highlight w:val="none"/>
        </w:rPr>
        <w:t>签章</w:t>
      </w:r>
      <w:r>
        <w:rPr>
          <w:rFonts w:hint="eastAsia" w:ascii="仿宋" w:hAnsi="仿宋" w:eastAsia="仿宋" w:cs="仿宋"/>
          <w:color w:val="auto"/>
          <w:kern w:val="0"/>
          <w:sz w:val="24"/>
          <w:szCs w:val="24"/>
          <w:highlight w:val="none"/>
        </w:rPr>
        <w:t xml:space="preserve">）：          </w:t>
      </w:r>
    </w:p>
    <w:p w14:paraId="2D1198FD">
      <w:pPr>
        <w:wordWrap w:val="0"/>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4EB70053">
      <w:pPr>
        <w:wordWrap w:val="0"/>
        <w:adjustRightInd w:val="0"/>
        <w:snapToGrid w:val="0"/>
        <w:spacing w:line="360" w:lineRule="auto"/>
        <w:ind w:firstLine="6480" w:firstLineChars="27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年    月    日</w:t>
      </w:r>
    </w:p>
    <w:p w14:paraId="63F41EEF">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669FA00">
      <w:pPr>
        <w:pStyle w:val="10"/>
        <w:rPr>
          <w:rFonts w:ascii="仿宋" w:hAnsi="仿宋" w:eastAsia="仿宋" w:cs="仿宋"/>
          <w:color w:val="auto"/>
          <w:highlight w:val="none"/>
        </w:rPr>
      </w:pPr>
    </w:p>
    <w:p w14:paraId="52DBDA7C">
      <w:pPr>
        <w:wordWrap w:val="0"/>
        <w:adjustRightInd w:val="0"/>
        <w:snapToGrid w:val="0"/>
        <w:spacing w:line="360" w:lineRule="auto"/>
        <w:ind w:firstLine="241"/>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（2）不拖欠农民工工资承诺书</w:t>
      </w:r>
    </w:p>
    <w:p w14:paraId="1980BBD0">
      <w:pPr>
        <w:spacing w:line="460" w:lineRule="exact"/>
        <w:rPr>
          <w:rFonts w:ascii="仿宋" w:hAnsi="仿宋" w:eastAsia="仿宋" w:cs="仿宋"/>
          <w:color w:val="auto"/>
          <w:sz w:val="24"/>
          <w:szCs w:val="24"/>
          <w:highlight w:val="none"/>
        </w:rPr>
      </w:pPr>
    </w:p>
    <w:p w14:paraId="1531186D">
      <w:pPr>
        <w:spacing w:line="460" w:lineRule="exact"/>
        <w:ind w:firstLine="241"/>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致：采购人（XXX单位） </w:t>
      </w:r>
    </w:p>
    <w:p w14:paraId="69E8FD2D">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为保护农民工的合法权益，不拖欠农民工工资，本人XXX以供应商XXX公司法定代表人的资格，郑重承诺：  </w:t>
      </w:r>
    </w:p>
    <w:p w14:paraId="36773E6C">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本单位如果中标承建 XXX工程项目，需要使用农民工时，将保证做到：  </w:t>
      </w:r>
    </w:p>
    <w:p w14:paraId="01C0300D">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1.严格按照《劳动法》《保障农民工工资支付条例》等规定雇佣和使用农民工，工资将直接发放给农民工本人，严禁发放给“包工头”。  </w:t>
      </w:r>
    </w:p>
    <w:p w14:paraId="451ADDD0">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的分包单位雇佣农民工的，将要求分包单位按照本承诺书的第1条规定签订劳动合同，并负责督促其按照合同规定及时支付农民工工资。如因我公司未按合同约定与分包单位结清工程款，致使后者拖欠农民工工资的，将由我公司先行垫付所拖欠的农民工工资。本公司对分包单位清偿拖欠农民工工资负总责。  </w:t>
      </w:r>
    </w:p>
    <w:p w14:paraId="752D4DF4">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3.严格遵守国家和地方关于农民工工资的其他有关规定，严格落实“六制一金”制度，坚决杜绝发生拖欠农民工工资行为。  </w:t>
      </w:r>
    </w:p>
    <w:p w14:paraId="55B30F6F">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4.如果发生违反规定拖欠或克扣农民工工资行为，造成农民工上访，本单位愿意无条件接受业主采取的经济等处罚，同时愿意接受人社部门依照有关规定作出的相关处罚决定，直至有关部门依法追究法律责任。  </w:t>
      </w:r>
    </w:p>
    <w:p w14:paraId="11BCC700">
      <w:pPr>
        <w:spacing w:line="460" w:lineRule="exact"/>
        <w:ind w:firstLine="480" w:firstLineChars="200"/>
        <w:rPr>
          <w:rFonts w:ascii="仿宋" w:hAnsi="仿宋" w:eastAsia="仿宋" w:cs="仿宋"/>
          <w:color w:val="auto"/>
          <w:sz w:val="24"/>
          <w:szCs w:val="24"/>
          <w:highlight w:val="none"/>
        </w:rPr>
      </w:pPr>
    </w:p>
    <w:p w14:paraId="0426789F">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w:t>
      </w:r>
      <w:r>
        <w:rPr>
          <w:rFonts w:hint="eastAsia" w:ascii="仿宋" w:hAnsi="仿宋" w:eastAsia="仿宋" w:cs="仿宋"/>
          <w:kern w:val="0"/>
          <w:sz w:val="24"/>
          <w:szCs w:val="24"/>
          <w:highlight w:val="none"/>
        </w:rPr>
        <w:t>签章</w:t>
      </w:r>
      <w:r>
        <w:rPr>
          <w:rFonts w:hint="eastAsia" w:ascii="仿宋" w:hAnsi="仿宋" w:eastAsia="仿宋" w:cs="仿宋"/>
          <w:color w:val="auto"/>
          <w:sz w:val="24"/>
          <w:szCs w:val="24"/>
          <w:highlight w:val="none"/>
        </w:rPr>
        <w:t xml:space="preserve">)  </w:t>
      </w:r>
    </w:p>
    <w:p w14:paraId="006B098C">
      <w:pPr>
        <w:spacing w:line="4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供应商法定代表人或授权的代理人：     (签名) </w:t>
      </w:r>
    </w:p>
    <w:p w14:paraId="2CFCDC6F">
      <w:pPr>
        <w:spacing w:line="460" w:lineRule="exact"/>
        <w:ind w:firstLine="3840" w:firstLineChars="1600"/>
        <w:rPr>
          <w:rFonts w:ascii="仿宋" w:hAnsi="仿宋" w:eastAsia="仿宋" w:cs="仿宋"/>
          <w:color w:val="auto"/>
          <w:sz w:val="24"/>
          <w:szCs w:val="24"/>
          <w:highlight w:val="none"/>
        </w:rPr>
      </w:pPr>
    </w:p>
    <w:p w14:paraId="0387E342">
      <w:pPr>
        <w:spacing w:line="460" w:lineRule="exact"/>
        <w:ind w:firstLine="4800" w:firstLineChars="20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年  月  日  </w:t>
      </w:r>
    </w:p>
    <w:p w14:paraId="1488A5C1">
      <w:pPr>
        <w:ind w:firstLine="210"/>
        <w:rPr>
          <w:color w:val="auto"/>
          <w:highlight w:val="none"/>
        </w:rPr>
      </w:pPr>
    </w:p>
    <w:p w14:paraId="10E021D7">
      <w:pPr>
        <w:ind w:firstLine="241"/>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2670D5BA">
      <w:pPr>
        <w:wordWrap w:val="0"/>
        <w:adjustRightInd w:val="0"/>
        <w:snapToGrid w:val="0"/>
        <w:spacing w:line="360" w:lineRule="auto"/>
        <w:ind w:firstLine="241"/>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（3）供应商认为有必要提供的其他材料，格式自拟</w:t>
      </w:r>
    </w:p>
    <w:p w14:paraId="506F2719">
      <w:pPr>
        <w:ind w:firstLine="210"/>
        <w:rPr>
          <w:rFonts w:ascii="仿宋" w:hAnsi="仿宋" w:eastAsia="仿宋" w:cs="仿宋"/>
          <w:color w:val="auto"/>
          <w:szCs w:val="28"/>
          <w:highlight w:val="none"/>
        </w:rPr>
      </w:pPr>
    </w:p>
    <w:p w14:paraId="26717E11">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000D2AE">
      <w:pPr>
        <w:pStyle w:val="36"/>
        <w:spacing w:line="360" w:lineRule="auto"/>
        <w:ind w:firstLine="241"/>
        <w:jc w:val="left"/>
        <w:rPr>
          <w:rFonts w:ascii="仿宋" w:hAnsi="仿宋" w:eastAsia="仿宋" w:cs="仿宋"/>
          <w:b w:val="0"/>
          <w:color w:val="auto"/>
          <w:szCs w:val="36"/>
          <w:highlight w:val="none"/>
        </w:rPr>
      </w:pPr>
      <w:bookmarkStart w:id="234" w:name="_Toc161306718"/>
      <w:bookmarkStart w:id="235" w:name="_Toc20095"/>
      <w:r>
        <w:rPr>
          <w:rFonts w:hint="eastAsia" w:ascii="仿宋" w:hAnsi="仿宋" w:eastAsia="仿宋" w:cs="仿宋"/>
          <w:color w:val="auto"/>
          <w:sz w:val="24"/>
          <w:szCs w:val="24"/>
          <w:highlight w:val="none"/>
        </w:rPr>
        <w:t>二、磋商响应文件报价部分格式</w:t>
      </w:r>
      <w:bookmarkEnd w:id="208"/>
      <w:bookmarkEnd w:id="209"/>
      <w:bookmarkEnd w:id="210"/>
      <w:bookmarkEnd w:id="211"/>
      <w:bookmarkEnd w:id="234"/>
      <w:bookmarkEnd w:id="235"/>
    </w:p>
    <w:p w14:paraId="51653E15">
      <w:pPr>
        <w:spacing w:line="360" w:lineRule="auto"/>
        <w:ind w:firstLine="321"/>
        <w:rPr>
          <w:rFonts w:ascii="仿宋" w:hAnsi="仿宋" w:eastAsia="仿宋" w:cs="仿宋"/>
          <w:b/>
          <w:color w:val="auto"/>
          <w:sz w:val="32"/>
          <w:szCs w:val="36"/>
          <w:highlight w:val="none"/>
        </w:rPr>
      </w:pPr>
    </w:p>
    <w:p w14:paraId="65135463">
      <w:pPr>
        <w:spacing w:line="360" w:lineRule="auto"/>
        <w:ind w:firstLine="321"/>
        <w:jc w:val="center"/>
        <w:outlineLvl w:val="1"/>
        <w:rPr>
          <w:rFonts w:ascii="仿宋" w:hAnsi="仿宋" w:eastAsia="仿宋" w:cs="仿宋"/>
          <w:b/>
          <w:color w:val="auto"/>
          <w:sz w:val="32"/>
          <w:szCs w:val="36"/>
          <w:highlight w:val="none"/>
        </w:rPr>
      </w:pPr>
      <w:r>
        <w:rPr>
          <w:rFonts w:hint="eastAsia" w:ascii="仿宋" w:hAnsi="仿宋" w:eastAsia="仿宋" w:cs="仿宋"/>
          <w:b/>
          <w:color w:val="auto"/>
          <w:sz w:val="32"/>
          <w:szCs w:val="36"/>
          <w:highlight w:val="none"/>
        </w:rPr>
        <w:t>（一）报价一览表</w:t>
      </w:r>
    </w:p>
    <w:p w14:paraId="0BFA3DF4">
      <w:pPr>
        <w:pStyle w:val="13"/>
        <w:spacing w:line="360" w:lineRule="auto"/>
        <w:ind w:firstLine="220"/>
        <w:rPr>
          <w:rFonts w:ascii="仿宋" w:hAnsi="仿宋" w:eastAsia="仿宋" w:cs="仿宋"/>
          <w:color w:val="auto"/>
          <w:sz w:val="22"/>
          <w:highlight w:val="none"/>
        </w:rPr>
      </w:pPr>
    </w:p>
    <w:p w14:paraId="6C842390">
      <w:pPr>
        <w:spacing w:line="360" w:lineRule="auto"/>
        <w:ind w:firstLine="241"/>
        <w:rPr>
          <w:rFonts w:ascii="仿宋" w:hAnsi="仿宋" w:eastAsia="仿宋" w:cs="仿宋"/>
          <w:color w:val="auto"/>
          <w:sz w:val="24"/>
          <w:szCs w:val="28"/>
          <w:highlight w:val="none"/>
        </w:rPr>
      </w:pPr>
      <w:r>
        <w:rPr>
          <w:rFonts w:hint="eastAsia" w:ascii="仿宋" w:hAnsi="仿宋" w:eastAsia="仿宋" w:cs="仿宋"/>
          <w:b/>
          <w:color w:val="auto"/>
          <w:sz w:val="24"/>
          <w:szCs w:val="28"/>
          <w:highlight w:val="none"/>
        </w:rPr>
        <w:t>项目名称：</w:t>
      </w:r>
    </w:p>
    <w:p w14:paraId="324ECB6A">
      <w:pPr>
        <w:spacing w:line="360" w:lineRule="auto"/>
        <w:ind w:firstLine="241"/>
        <w:rPr>
          <w:rFonts w:ascii="仿宋" w:hAnsi="仿宋" w:eastAsia="仿宋" w:cs="仿宋"/>
          <w:color w:val="auto"/>
          <w:sz w:val="24"/>
          <w:szCs w:val="28"/>
          <w:highlight w:val="none"/>
        </w:rPr>
      </w:pPr>
      <w:r>
        <w:rPr>
          <w:rFonts w:hint="eastAsia" w:ascii="仿宋" w:hAnsi="仿宋" w:eastAsia="仿宋" w:cs="仿宋"/>
          <w:b/>
          <w:bCs/>
          <w:color w:val="auto"/>
          <w:sz w:val="24"/>
          <w:szCs w:val="28"/>
          <w:highlight w:val="none"/>
        </w:rPr>
        <w:t>项目编号：</w:t>
      </w:r>
    </w:p>
    <w:p w14:paraId="206BB5B1">
      <w:pPr>
        <w:spacing w:line="360" w:lineRule="auto"/>
        <w:rPr>
          <w:rFonts w:ascii="仿宋" w:hAnsi="仿宋" w:eastAsia="仿宋" w:cs="仿宋"/>
          <w:color w:val="auto"/>
          <w:sz w:val="24"/>
          <w:szCs w:val="28"/>
          <w:highlight w:val="none"/>
        </w:rPr>
      </w:pPr>
      <w:bookmarkStart w:id="236" w:name="_Toc147277501"/>
    </w:p>
    <w:tbl>
      <w:tblPr>
        <w:tblStyle w:val="39"/>
        <w:tblW w:w="9518" w:type="dxa"/>
        <w:jc w:val="center"/>
        <w:tblLayout w:type="fixed"/>
        <w:tblCellMar>
          <w:top w:w="0" w:type="dxa"/>
          <w:left w:w="108" w:type="dxa"/>
          <w:bottom w:w="0" w:type="dxa"/>
          <w:right w:w="108" w:type="dxa"/>
        </w:tblCellMar>
      </w:tblPr>
      <w:tblGrid>
        <w:gridCol w:w="1716"/>
        <w:gridCol w:w="2833"/>
        <w:gridCol w:w="1656"/>
        <w:gridCol w:w="2100"/>
        <w:gridCol w:w="1213"/>
      </w:tblGrid>
      <w:tr w14:paraId="6A1D6859">
        <w:tblPrEx>
          <w:tblCellMar>
            <w:top w:w="0" w:type="dxa"/>
            <w:left w:w="108" w:type="dxa"/>
            <w:bottom w:w="0" w:type="dxa"/>
            <w:right w:w="108" w:type="dxa"/>
          </w:tblCellMar>
        </w:tblPrEx>
        <w:trPr>
          <w:trHeight w:val="1160" w:hRule="atLeast"/>
          <w:jc w:val="center"/>
        </w:trPr>
        <w:tc>
          <w:tcPr>
            <w:tcW w:w="1716" w:type="dxa"/>
            <w:tcBorders>
              <w:top w:val="thinThickSmallGap" w:color="auto" w:sz="24" w:space="0"/>
              <w:left w:val="thinThickSmallGap" w:color="auto" w:sz="24" w:space="0"/>
              <w:bottom w:val="single" w:color="auto" w:sz="4" w:space="0"/>
              <w:right w:val="single" w:color="auto" w:sz="4" w:space="0"/>
            </w:tcBorders>
            <w:vAlign w:val="center"/>
          </w:tcPr>
          <w:p w14:paraId="4F2043FB">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p>
        </w:tc>
        <w:tc>
          <w:tcPr>
            <w:tcW w:w="2833" w:type="dxa"/>
            <w:tcBorders>
              <w:top w:val="thinThickSmallGap" w:color="auto" w:sz="24" w:space="0"/>
              <w:left w:val="single" w:color="auto" w:sz="4" w:space="0"/>
              <w:bottom w:val="single" w:color="auto" w:sz="4" w:space="0"/>
              <w:right w:val="single" w:color="auto" w:sz="4" w:space="0"/>
            </w:tcBorders>
            <w:vAlign w:val="center"/>
          </w:tcPr>
          <w:p w14:paraId="1544624E">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总报价（元）</w:t>
            </w:r>
          </w:p>
        </w:tc>
        <w:tc>
          <w:tcPr>
            <w:tcW w:w="1656" w:type="dxa"/>
            <w:tcBorders>
              <w:top w:val="thinThickSmallGap" w:color="auto" w:sz="24" w:space="0"/>
              <w:left w:val="single" w:color="auto" w:sz="4" w:space="0"/>
              <w:bottom w:val="single" w:color="auto" w:sz="4" w:space="0"/>
              <w:right w:val="single" w:color="auto" w:sz="4" w:space="0"/>
            </w:tcBorders>
            <w:vAlign w:val="center"/>
          </w:tcPr>
          <w:p w14:paraId="5E4F8092">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合同履约期限</w:t>
            </w:r>
          </w:p>
        </w:tc>
        <w:tc>
          <w:tcPr>
            <w:tcW w:w="2100" w:type="dxa"/>
            <w:tcBorders>
              <w:top w:val="thinThickSmallGap" w:color="auto" w:sz="24" w:space="0"/>
              <w:left w:val="single" w:color="auto" w:sz="4" w:space="0"/>
              <w:bottom w:val="single" w:color="auto" w:sz="4" w:space="0"/>
              <w:right w:val="single" w:color="auto" w:sz="4" w:space="0"/>
            </w:tcBorders>
            <w:vAlign w:val="center"/>
          </w:tcPr>
          <w:p w14:paraId="1A8D5691">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质量承诺</w:t>
            </w:r>
          </w:p>
        </w:tc>
        <w:tc>
          <w:tcPr>
            <w:tcW w:w="1213" w:type="dxa"/>
            <w:tcBorders>
              <w:top w:val="thinThickSmallGap" w:color="auto" w:sz="24" w:space="0"/>
              <w:left w:val="single" w:color="auto" w:sz="4" w:space="0"/>
              <w:bottom w:val="single" w:color="auto" w:sz="4" w:space="0"/>
              <w:right w:val="thickThinSmallGap" w:color="auto" w:sz="24" w:space="0"/>
            </w:tcBorders>
            <w:vAlign w:val="center"/>
          </w:tcPr>
          <w:p w14:paraId="2B33BB24">
            <w:pPr>
              <w:spacing w:line="36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备注</w:t>
            </w:r>
          </w:p>
        </w:tc>
      </w:tr>
      <w:tr w14:paraId="35DA7B63">
        <w:tblPrEx>
          <w:tblCellMar>
            <w:top w:w="0" w:type="dxa"/>
            <w:left w:w="108" w:type="dxa"/>
            <w:bottom w:w="0" w:type="dxa"/>
            <w:right w:w="108" w:type="dxa"/>
          </w:tblCellMar>
        </w:tblPrEx>
        <w:trPr>
          <w:trHeight w:val="3246" w:hRule="atLeast"/>
          <w:jc w:val="center"/>
        </w:trPr>
        <w:tc>
          <w:tcPr>
            <w:tcW w:w="1716" w:type="dxa"/>
            <w:tcBorders>
              <w:top w:val="single" w:color="auto" w:sz="4" w:space="0"/>
              <w:left w:val="thinThickSmallGap" w:color="auto" w:sz="24" w:space="0"/>
              <w:bottom w:val="thickThinSmallGap" w:color="auto" w:sz="24" w:space="0"/>
              <w:right w:val="single" w:color="auto" w:sz="4" w:space="0"/>
            </w:tcBorders>
            <w:vAlign w:val="center"/>
          </w:tcPr>
          <w:p w14:paraId="7E5C7C97">
            <w:pPr>
              <w:spacing w:line="360" w:lineRule="auto"/>
              <w:jc w:val="center"/>
              <w:rPr>
                <w:rFonts w:ascii="仿宋" w:hAnsi="仿宋" w:eastAsia="仿宋" w:cs="仿宋"/>
                <w:color w:val="auto"/>
                <w:sz w:val="24"/>
                <w:szCs w:val="24"/>
                <w:highlight w:val="none"/>
              </w:rPr>
            </w:pPr>
          </w:p>
        </w:tc>
        <w:tc>
          <w:tcPr>
            <w:tcW w:w="2833" w:type="dxa"/>
            <w:tcBorders>
              <w:top w:val="single" w:color="auto" w:sz="4" w:space="0"/>
              <w:left w:val="single" w:color="auto" w:sz="4" w:space="0"/>
              <w:bottom w:val="thickThinSmallGap" w:color="auto" w:sz="24" w:space="0"/>
              <w:right w:val="single" w:color="auto" w:sz="4" w:space="0"/>
            </w:tcBorders>
            <w:vAlign w:val="center"/>
          </w:tcPr>
          <w:p w14:paraId="22AAE87D">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p w14:paraId="5064BB14">
            <w:pPr>
              <w:spacing w:line="360" w:lineRule="auto"/>
              <w:jc w:val="left"/>
              <w:rPr>
                <w:rFonts w:ascii="仿宋" w:hAnsi="仿宋" w:eastAsia="仿宋" w:cs="仿宋"/>
                <w:color w:val="auto"/>
                <w:sz w:val="24"/>
                <w:szCs w:val="24"/>
                <w:highlight w:val="none"/>
              </w:rPr>
            </w:pPr>
          </w:p>
          <w:p w14:paraId="397E8700">
            <w:pPr>
              <w:spacing w:line="360" w:lineRule="auto"/>
              <w:jc w:val="left"/>
              <w:rPr>
                <w:color w:val="auto"/>
                <w:sz w:val="24"/>
                <w:szCs w:val="24"/>
                <w:highlight w:val="none"/>
              </w:rPr>
            </w:pPr>
            <w:r>
              <w:rPr>
                <w:rFonts w:hint="eastAsia" w:ascii="仿宋" w:hAnsi="仿宋" w:eastAsia="仿宋" w:cs="仿宋"/>
                <w:color w:val="auto"/>
                <w:sz w:val="24"/>
                <w:szCs w:val="24"/>
                <w:highlight w:val="none"/>
              </w:rPr>
              <w:t>小写：</w:t>
            </w:r>
          </w:p>
        </w:tc>
        <w:tc>
          <w:tcPr>
            <w:tcW w:w="1656" w:type="dxa"/>
            <w:tcBorders>
              <w:top w:val="single" w:color="auto" w:sz="4" w:space="0"/>
              <w:left w:val="single" w:color="auto" w:sz="4" w:space="0"/>
              <w:bottom w:val="thickThinSmallGap" w:color="auto" w:sz="24" w:space="0"/>
              <w:right w:val="single" w:color="auto" w:sz="4" w:space="0"/>
            </w:tcBorders>
            <w:vAlign w:val="center"/>
          </w:tcPr>
          <w:p w14:paraId="3BFB693F">
            <w:pPr>
              <w:spacing w:line="360" w:lineRule="auto"/>
              <w:ind w:firstLine="241"/>
              <w:jc w:val="center"/>
              <w:rPr>
                <w:rFonts w:ascii="仿宋" w:hAnsi="仿宋" w:eastAsia="仿宋" w:cs="仿宋"/>
                <w:b/>
                <w:bCs/>
                <w:color w:val="auto"/>
                <w:sz w:val="24"/>
                <w:szCs w:val="24"/>
                <w:highlight w:val="none"/>
              </w:rPr>
            </w:pPr>
          </w:p>
        </w:tc>
        <w:tc>
          <w:tcPr>
            <w:tcW w:w="2100" w:type="dxa"/>
            <w:tcBorders>
              <w:top w:val="single" w:color="auto" w:sz="4" w:space="0"/>
              <w:left w:val="single" w:color="auto" w:sz="4" w:space="0"/>
              <w:bottom w:val="thickThinSmallGap" w:color="auto" w:sz="24" w:space="0"/>
              <w:right w:val="single" w:color="auto" w:sz="4" w:space="0"/>
            </w:tcBorders>
            <w:vAlign w:val="center"/>
          </w:tcPr>
          <w:p w14:paraId="47413C02">
            <w:pPr>
              <w:spacing w:line="360" w:lineRule="auto"/>
              <w:jc w:val="center"/>
              <w:rPr>
                <w:rFonts w:ascii="仿宋" w:hAnsi="仿宋" w:eastAsia="仿宋" w:cs="仿宋"/>
                <w:color w:val="auto"/>
                <w:sz w:val="24"/>
                <w:szCs w:val="24"/>
                <w:highlight w:val="none"/>
              </w:rPr>
            </w:pPr>
          </w:p>
        </w:tc>
        <w:tc>
          <w:tcPr>
            <w:tcW w:w="1213" w:type="dxa"/>
            <w:tcBorders>
              <w:top w:val="single" w:color="auto" w:sz="4" w:space="0"/>
              <w:left w:val="single" w:color="auto" w:sz="4" w:space="0"/>
              <w:bottom w:val="thickThinSmallGap" w:color="auto" w:sz="24" w:space="0"/>
              <w:right w:val="thickThinSmallGap" w:color="auto" w:sz="24" w:space="0"/>
            </w:tcBorders>
            <w:vAlign w:val="center"/>
          </w:tcPr>
          <w:p w14:paraId="35752D6C">
            <w:pPr>
              <w:spacing w:line="360" w:lineRule="auto"/>
              <w:jc w:val="center"/>
              <w:rPr>
                <w:rFonts w:ascii="仿宋" w:hAnsi="仿宋" w:eastAsia="仿宋" w:cs="仿宋"/>
                <w:color w:val="auto"/>
                <w:sz w:val="24"/>
                <w:szCs w:val="24"/>
                <w:highlight w:val="none"/>
              </w:rPr>
            </w:pPr>
          </w:p>
        </w:tc>
      </w:tr>
    </w:tbl>
    <w:p w14:paraId="1F1CC123">
      <w:pPr>
        <w:spacing w:line="360" w:lineRule="auto"/>
        <w:ind w:firstLine="480" w:firstLineChars="200"/>
        <w:rPr>
          <w:rFonts w:ascii="仿宋" w:hAnsi="仿宋" w:eastAsia="仿宋" w:cs="仿宋"/>
          <w:color w:val="auto"/>
          <w:sz w:val="24"/>
          <w:szCs w:val="24"/>
          <w:highlight w:val="none"/>
        </w:rPr>
      </w:pPr>
    </w:p>
    <w:p w14:paraId="09CED152">
      <w:pPr>
        <w:spacing w:line="360" w:lineRule="auto"/>
        <w:ind w:firstLine="480" w:firstLineChars="200"/>
        <w:rPr>
          <w:rFonts w:ascii="仿宋" w:hAnsi="仿宋" w:eastAsia="仿宋" w:cs="仿宋"/>
          <w:color w:val="auto"/>
          <w:sz w:val="24"/>
          <w:szCs w:val="24"/>
          <w:highlight w:val="none"/>
        </w:rPr>
      </w:pPr>
    </w:p>
    <w:p w14:paraId="35FBDD7B">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kern w:val="0"/>
          <w:sz w:val="24"/>
          <w:szCs w:val="24"/>
          <w:highlight w:val="none"/>
        </w:rPr>
        <w:t>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6A7BBE5E">
      <w:pPr>
        <w:spacing w:line="360" w:lineRule="auto"/>
        <w:ind w:firstLine="480" w:firstLineChars="200"/>
        <w:rPr>
          <w:rFonts w:ascii="仿宋" w:hAnsi="仿宋" w:eastAsia="仿宋" w:cs="仿宋"/>
          <w:color w:val="auto"/>
          <w:sz w:val="24"/>
          <w:szCs w:val="24"/>
          <w:highlight w:val="none"/>
        </w:rPr>
      </w:pPr>
    </w:p>
    <w:p w14:paraId="1AE67E6A">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sz w:val="24"/>
          <w:szCs w:val="24"/>
          <w:highlight w:val="none"/>
          <w:lang w:val="en-US" w:eastAsia="zh-CN"/>
        </w:rPr>
        <w:t>签章或签名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49F0DB2D">
      <w:pPr>
        <w:spacing w:line="360" w:lineRule="auto"/>
        <w:ind w:firstLine="480" w:firstLineChars="200"/>
        <w:rPr>
          <w:rFonts w:ascii="仿宋" w:hAnsi="仿宋" w:eastAsia="仿宋" w:cs="仿宋"/>
          <w:color w:val="auto"/>
          <w:sz w:val="24"/>
          <w:szCs w:val="24"/>
          <w:highlight w:val="none"/>
        </w:rPr>
      </w:pPr>
    </w:p>
    <w:p w14:paraId="32965210">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A73D349">
      <w:pPr>
        <w:pStyle w:val="8"/>
        <w:spacing w:line="360" w:lineRule="auto"/>
        <w:ind w:firstLine="200"/>
        <w:rPr>
          <w:rFonts w:ascii="仿宋" w:hAnsi="仿宋" w:eastAsia="仿宋" w:cs="仿宋"/>
          <w:color w:val="auto"/>
          <w:sz w:val="20"/>
          <w:highlight w:val="none"/>
        </w:rPr>
      </w:pPr>
    </w:p>
    <w:p w14:paraId="335A7F9D">
      <w:pPr>
        <w:pStyle w:val="8"/>
        <w:spacing w:line="360" w:lineRule="auto"/>
        <w:ind w:firstLine="200"/>
        <w:rPr>
          <w:rFonts w:ascii="仿宋" w:hAnsi="仿宋" w:eastAsia="仿宋" w:cs="仿宋"/>
          <w:color w:val="auto"/>
          <w:sz w:val="20"/>
          <w:highlight w:val="none"/>
        </w:rPr>
        <w:sectPr>
          <w:pgSz w:w="11906" w:h="16838"/>
          <w:pgMar w:top="1134" w:right="1021" w:bottom="1134" w:left="1021" w:header="851" w:footer="851" w:gutter="0"/>
          <w:pgNumType w:fmt="decimal"/>
          <w:cols w:space="708" w:num="1"/>
          <w:docGrid w:linePitch="312" w:charSpace="0"/>
        </w:sectPr>
      </w:pPr>
    </w:p>
    <w:bookmarkEnd w:id="236"/>
    <w:p w14:paraId="6BE3C83E">
      <w:pPr>
        <w:ind w:firstLine="321"/>
        <w:jc w:val="center"/>
        <w:rPr>
          <w:rFonts w:hint="eastAsia" w:ascii="仿宋" w:hAnsi="仿宋" w:eastAsia="仿宋" w:cs="仿宋"/>
          <w:b/>
          <w:color w:val="auto"/>
          <w:sz w:val="32"/>
          <w:szCs w:val="36"/>
          <w:highlight w:val="none"/>
          <w:lang w:eastAsia="zh-CN"/>
        </w:rPr>
      </w:pPr>
      <w:bookmarkStart w:id="237" w:name="_Toc1756"/>
      <w:bookmarkEnd w:id="237"/>
      <w:bookmarkStart w:id="238" w:name="_Toc11702"/>
      <w:bookmarkEnd w:id="238"/>
      <w:r>
        <w:rPr>
          <w:rFonts w:hint="eastAsia" w:ascii="仿宋" w:hAnsi="仿宋" w:eastAsia="仿宋" w:cs="仿宋"/>
          <w:b/>
          <w:color w:val="auto"/>
          <w:sz w:val="32"/>
          <w:szCs w:val="36"/>
          <w:highlight w:val="none"/>
        </w:rPr>
        <w:t>（二）已标价</w:t>
      </w:r>
      <w:r>
        <w:rPr>
          <w:rFonts w:hint="eastAsia" w:ascii="仿宋" w:hAnsi="仿宋" w:eastAsia="仿宋" w:cs="仿宋"/>
          <w:b/>
          <w:color w:val="auto"/>
          <w:sz w:val="32"/>
          <w:szCs w:val="36"/>
          <w:highlight w:val="none"/>
          <w:lang w:eastAsia="zh-CN"/>
        </w:rPr>
        <w:t>服务需求清单</w:t>
      </w:r>
    </w:p>
    <w:p w14:paraId="1C10C34E">
      <w:pPr>
        <w:spacing w:line="360" w:lineRule="auto"/>
        <w:ind w:firstLine="321"/>
        <w:jc w:val="center"/>
        <w:outlineLvl w:val="1"/>
        <w:rPr>
          <w:rFonts w:ascii="仿宋" w:hAnsi="仿宋" w:eastAsia="仿宋" w:cs="仿宋"/>
          <w:b/>
          <w:color w:val="auto"/>
          <w:sz w:val="32"/>
          <w:szCs w:val="36"/>
          <w:highlight w:val="none"/>
        </w:rPr>
      </w:pPr>
    </w:p>
    <w:p w14:paraId="6FB7BB9F">
      <w:pPr>
        <w:spacing w:line="360" w:lineRule="auto"/>
        <w:ind w:firstLine="321"/>
        <w:jc w:val="center"/>
        <w:outlineLvl w:val="1"/>
        <w:rPr>
          <w:rFonts w:ascii="仿宋" w:hAnsi="仿宋" w:eastAsia="仿宋" w:cs="仿宋"/>
          <w:b/>
          <w:color w:val="auto"/>
          <w:sz w:val="32"/>
          <w:szCs w:val="36"/>
          <w:highlight w:val="none"/>
        </w:rPr>
      </w:pPr>
    </w:p>
    <w:p w14:paraId="5BB4165F">
      <w:pPr>
        <w:ind w:firstLine="321"/>
        <w:rPr>
          <w:rFonts w:ascii="仿宋" w:hAnsi="仿宋" w:eastAsia="仿宋" w:cs="仿宋"/>
          <w:b/>
          <w:color w:val="auto"/>
          <w:sz w:val="32"/>
          <w:szCs w:val="36"/>
          <w:highlight w:val="none"/>
        </w:rPr>
      </w:pPr>
      <w:r>
        <w:rPr>
          <w:rFonts w:hint="eastAsia" w:ascii="仿宋" w:hAnsi="仿宋" w:eastAsia="仿宋" w:cs="仿宋"/>
          <w:b/>
          <w:color w:val="auto"/>
          <w:sz w:val="32"/>
          <w:szCs w:val="36"/>
          <w:highlight w:val="none"/>
        </w:rPr>
        <w:br w:type="page"/>
      </w:r>
    </w:p>
    <w:p w14:paraId="57CF38BE">
      <w:pPr>
        <w:spacing w:line="360" w:lineRule="auto"/>
        <w:ind w:firstLine="321"/>
        <w:jc w:val="center"/>
        <w:outlineLvl w:val="1"/>
        <w:rPr>
          <w:rFonts w:ascii="仿宋" w:hAnsi="仿宋" w:eastAsia="仿宋" w:cs="仿宋"/>
          <w:b/>
          <w:color w:val="auto"/>
          <w:sz w:val="32"/>
          <w:szCs w:val="36"/>
          <w:highlight w:val="none"/>
        </w:rPr>
      </w:pPr>
      <w:r>
        <w:rPr>
          <w:rFonts w:hint="eastAsia" w:ascii="仿宋" w:hAnsi="仿宋" w:eastAsia="仿宋" w:cs="仿宋"/>
          <w:b/>
          <w:color w:val="auto"/>
          <w:sz w:val="32"/>
          <w:szCs w:val="36"/>
          <w:highlight w:val="none"/>
        </w:rPr>
        <w:t>（三）其他资料</w:t>
      </w:r>
    </w:p>
    <w:p w14:paraId="57964694">
      <w:pPr>
        <w:spacing w:line="360" w:lineRule="auto"/>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投标人认为需要提供</w:t>
      </w:r>
      <w:r>
        <w:rPr>
          <w:rFonts w:ascii="仿宋" w:hAnsi="仿宋" w:eastAsia="仿宋" w:cs="仿宋"/>
          <w:color w:val="auto"/>
          <w:sz w:val="24"/>
          <w:szCs w:val="21"/>
          <w:highlight w:val="none"/>
        </w:rPr>
        <w:t>的其他资料</w:t>
      </w:r>
    </w:p>
    <w:p w14:paraId="0C771291">
      <w:pPr>
        <w:pStyle w:val="13"/>
        <w:rPr>
          <w:color w:val="auto"/>
          <w:highlight w:val="none"/>
        </w:rPr>
        <w:sectPr>
          <w:footerReference r:id="rId10" w:type="even"/>
          <w:pgSz w:w="11906" w:h="16838"/>
          <w:pgMar w:top="1440" w:right="1080" w:bottom="1440" w:left="1080" w:header="851" w:footer="992" w:gutter="0"/>
          <w:pgNumType w:fmt="decimal"/>
          <w:cols w:space="708" w:num="1"/>
          <w:docGrid w:linePitch="312" w:charSpace="0"/>
        </w:sectPr>
      </w:pPr>
    </w:p>
    <w:p w14:paraId="555286EA">
      <w:pPr>
        <w:ind w:firstLine="210"/>
        <w:rPr>
          <w:color w:val="auto"/>
          <w:highlight w:val="none"/>
        </w:rPr>
      </w:pPr>
    </w:p>
    <w:p w14:paraId="3B73561A">
      <w:pPr>
        <w:pStyle w:val="2"/>
        <w:numPr>
          <w:ilvl w:val="0"/>
          <w:numId w:val="9"/>
        </w:numPr>
        <w:spacing w:before="72" w:after="360" w:line="360" w:lineRule="auto"/>
        <w:ind w:left="720" w:firstLine="241"/>
        <w:jc w:val="left"/>
        <w:rPr>
          <w:rFonts w:ascii="仿宋" w:hAnsi="仿宋" w:eastAsia="仿宋" w:cs="仿宋"/>
          <w:bCs/>
          <w:color w:val="auto"/>
          <w:spacing w:val="0"/>
          <w:kern w:val="0"/>
          <w:sz w:val="24"/>
          <w:szCs w:val="24"/>
          <w:highlight w:val="none"/>
        </w:rPr>
      </w:pPr>
      <w:bookmarkStart w:id="239" w:name="_Toc161306720"/>
      <w:bookmarkStart w:id="240" w:name="_Toc16909"/>
      <w:bookmarkStart w:id="241" w:name="_Toc9277"/>
      <w:bookmarkStart w:id="242" w:name="_Toc31156"/>
      <w:bookmarkStart w:id="243" w:name="_Toc509850087"/>
      <w:bookmarkStart w:id="244" w:name="_Toc20188"/>
      <w:r>
        <w:rPr>
          <w:rFonts w:hint="eastAsia" w:ascii="仿宋" w:hAnsi="仿宋" w:eastAsia="仿宋" w:cs="仿宋"/>
          <w:bCs/>
          <w:color w:val="auto"/>
          <w:spacing w:val="0"/>
          <w:kern w:val="0"/>
          <w:sz w:val="24"/>
          <w:szCs w:val="24"/>
          <w:highlight w:val="none"/>
        </w:rPr>
        <w:t>磋商响应文件商务及技术部分格式</w:t>
      </w:r>
      <w:bookmarkEnd w:id="239"/>
      <w:bookmarkEnd w:id="240"/>
      <w:bookmarkEnd w:id="241"/>
      <w:bookmarkEnd w:id="242"/>
      <w:bookmarkEnd w:id="243"/>
      <w:bookmarkEnd w:id="244"/>
    </w:p>
    <w:p w14:paraId="45F4BB76">
      <w:pPr>
        <w:pStyle w:val="14"/>
        <w:spacing w:line="360" w:lineRule="auto"/>
        <w:ind w:firstLine="321"/>
        <w:jc w:val="center"/>
        <w:outlineLvl w:val="1"/>
        <w:rPr>
          <w:rFonts w:ascii="仿宋" w:hAnsi="仿宋" w:eastAsia="仿宋" w:cs="仿宋"/>
          <w:color w:val="auto"/>
          <w:sz w:val="20"/>
          <w:highlight w:val="none"/>
        </w:rPr>
      </w:pPr>
      <w:r>
        <w:rPr>
          <w:rFonts w:hint="eastAsia" w:ascii="仿宋" w:hAnsi="仿宋" w:eastAsia="仿宋" w:cs="仿宋"/>
          <w:b/>
          <w:color w:val="auto"/>
          <w:sz w:val="32"/>
          <w:szCs w:val="36"/>
          <w:highlight w:val="none"/>
        </w:rPr>
        <w:t>（一）</w:t>
      </w:r>
      <w:r>
        <w:rPr>
          <w:rFonts w:hint="eastAsia" w:ascii="仿宋" w:hAnsi="仿宋" w:eastAsia="仿宋" w:cs="仿宋"/>
          <w:b/>
          <w:bCs/>
          <w:color w:val="auto"/>
          <w:sz w:val="32"/>
          <w:szCs w:val="36"/>
          <w:highlight w:val="none"/>
        </w:rPr>
        <w:t>磋商函</w:t>
      </w:r>
    </w:p>
    <w:p w14:paraId="1950A9A7">
      <w:pPr>
        <w:pStyle w:val="31"/>
        <w:spacing w:line="360" w:lineRule="auto"/>
        <w:ind w:firstLine="241"/>
        <w:rPr>
          <w:rFonts w:ascii="仿宋" w:hAnsi="仿宋" w:eastAsia="仿宋" w:cs="仿宋"/>
          <w:b/>
          <w:color w:val="auto"/>
          <w:szCs w:val="28"/>
          <w:highlight w:val="none"/>
        </w:rPr>
      </w:pPr>
    </w:p>
    <w:p w14:paraId="554783D7">
      <w:pPr>
        <w:spacing w:line="360" w:lineRule="auto"/>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致：</w:t>
      </w:r>
      <w:r>
        <w:rPr>
          <w:rFonts w:hint="eastAsia" w:ascii="仿宋" w:hAnsi="仿宋" w:eastAsia="仿宋" w:cs="仿宋"/>
          <w:color w:val="auto"/>
          <w:sz w:val="24"/>
          <w:szCs w:val="28"/>
          <w:highlight w:val="none"/>
          <w:u w:val="single"/>
        </w:rPr>
        <w:t xml:space="preserve">   （采购人名称</w:t>
      </w:r>
      <w:r>
        <w:rPr>
          <w:rFonts w:hint="eastAsia" w:ascii="仿宋" w:hAnsi="仿宋" w:eastAsia="仿宋" w:cs="仿宋"/>
          <w:color w:val="auto"/>
          <w:sz w:val="24"/>
          <w:szCs w:val="28"/>
          <w:highlight w:val="none"/>
          <w:u w:val="single"/>
          <w:lang w:eastAsia="zh-CN"/>
        </w:rPr>
        <w:t>、</w:t>
      </w:r>
      <w:r>
        <w:rPr>
          <w:rFonts w:hint="eastAsia" w:ascii="仿宋" w:hAnsi="仿宋" w:eastAsia="仿宋" w:cs="仿宋"/>
          <w:color w:val="auto"/>
          <w:sz w:val="24"/>
          <w:szCs w:val="28"/>
          <w:highlight w:val="none"/>
          <w:u w:val="single"/>
        </w:rPr>
        <w:t xml:space="preserve">项目实施单位名称）   </w:t>
      </w:r>
    </w:p>
    <w:p w14:paraId="55558DDB">
      <w:pPr>
        <w:autoSpaceDE w:val="0"/>
        <w:autoSpaceDN w:val="0"/>
        <w:adjustRightInd w:val="0"/>
        <w:snapToGrid w:val="0"/>
        <w:spacing w:line="276"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1、根据你方采购的</w:t>
      </w:r>
      <w:r>
        <w:rPr>
          <w:rFonts w:hint="eastAsia" w:ascii="仿宋" w:hAnsi="仿宋" w:eastAsia="仿宋" w:cs="仿宋"/>
          <w:color w:val="auto"/>
          <w:sz w:val="24"/>
          <w:szCs w:val="28"/>
          <w:highlight w:val="none"/>
          <w:u w:val="single"/>
        </w:rPr>
        <w:t xml:space="preserve">  （项目名称）  </w:t>
      </w:r>
      <w:r>
        <w:rPr>
          <w:rFonts w:hint="eastAsia" w:ascii="仿宋" w:hAnsi="仿宋" w:eastAsia="仿宋" w:cs="仿宋"/>
          <w:color w:val="auto"/>
          <w:sz w:val="24"/>
          <w:szCs w:val="28"/>
          <w:highlight w:val="none"/>
        </w:rPr>
        <w:t>竞争性磋商文件，遵照《中华人民共和国政府采购法》《政府采购竞争性磋商采购方式管理暂行办法》等有关规定，经研究上述竞争性磋商文件的磋商须知、合同条款及其他有关文件后，我方愿以总报价</w:t>
      </w:r>
      <w:r>
        <w:rPr>
          <w:rFonts w:hint="eastAsia" w:ascii="仿宋" w:hAnsi="仿宋" w:eastAsia="仿宋" w:cs="仿宋"/>
          <w:b/>
          <w:bCs/>
          <w:color w:val="auto"/>
          <w:sz w:val="24"/>
          <w:szCs w:val="28"/>
          <w:highlight w:val="none"/>
          <w:u w:val="single"/>
        </w:rPr>
        <w:t xml:space="preserve">大写：       </w:t>
      </w:r>
      <w:r>
        <w:rPr>
          <w:rFonts w:hint="eastAsia" w:ascii="仿宋" w:hAnsi="仿宋" w:eastAsia="仿宋" w:cs="仿宋"/>
          <w:b/>
          <w:bCs/>
          <w:color w:val="auto"/>
          <w:sz w:val="24"/>
          <w:szCs w:val="28"/>
          <w:highlight w:val="none"/>
        </w:rPr>
        <w:t>元（小写：</w:t>
      </w:r>
      <w:r>
        <w:rPr>
          <w:rFonts w:hint="eastAsia" w:ascii="仿宋" w:hAnsi="仿宋" w:eastAsia="仿宋" w:cs="仿宋"/>
          <w:b/>
          <w:bCs/>
          <w:color w:val="auto"/>
          <w:sz w:val="24"/>
          <w:szCs w:val="28"/>
          <w:highlight w:val="none"/>
          <w:u w:val="single"/>
        </w:rPr>
        <w:t xml:space="preserve">     </w:t>
      </w:r>
      <w:r>
        <w:rPr>
          <w:rFonts w:hint="eastAsia" w:ascii="仿宋" w:hAnsi="仿宋" w:eastAsia="仿宋" w:cs="仿宋"/>
          <w:b/>
          <w:bCs/>
          <w:color w:val="auto"/>
          <w:sz w:val="24"/>
          <w:szCs w:val="28"/>
          <w:highlight w:val="none"/>
        </w:rPr>
        <w:t>元），</w:t>
      </w:r>
      <w:r>
        <w:rPr>
          <w:rFonts w:hint="eastAsia" w:ascii="仿宋" w:hAnsi="仿宋" w:eastAsia="仿宋" w:cs="仿宋"/>
          <w:color w:val="auto"/>
          <w:sz w:val="24"/>
          <w:szCs w:val="28"/>
          <w:highlight w:val="none"/>
        </w:rPr>
        <w:t>并按上述竞争性磋商文件、合同条款等条件要求承包上述项目的供应，并承担质量责任。</w:t>
      </w:r>
    </w:p>
    <w:p w14:paraId="3625BF0D">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2、我方已详细审核全部竞争性磋商文件，包括修改文件（如有时）及有关附件。</w:t>
      </w:r>
    </w:p>
    <w:p w14:paraId="628B5569">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3、我方承认磋商函附录是我方磋商函的组成部分。</w:t>
      </w:r>
    </w:p>
    <w:p w14:paraId="5A1BDA12">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4、一旦我方中标，我方保证按合同协议书中的工期</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 xml:space="preserve"> 、质量承诺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val="en-US" w:eastAsia="zh-CN"/>
        </w:rPr>
        <w:t>项目负责人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完成本项目。</w:t>
      </w:r>
    </w:p>
    <w:p w14:paraId="4975EAE8">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5、本磋商的响应文件有效期为自投标截止之日起</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日历天。</w:t>
      </w:r>
    </w:p>
    <w:p w14:paraId="58C452EC">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6、如果我方中标，我方将按照规定提交履约担保。</w:t>
      </w:r>
    </w:p>
    <w:p w14:paraId="4981F415">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7、我方同意所提交的竞争性磋商响应文件在竞争性磋商文件规定的有效期内有效，在此期间内如果中标，我方将受此约束。</w:t>
      </w:r>
    </w:p>
    <w:p w14:paraId="488F472D">
      <w:pPr>
        <w:spacing w:line="360" w:lineRule="auto"/>
        <w:ind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8、除非另外达成协议并生效，你方的成交通知书和本竞争性磋商响应文件将成为约束双方的合同文件的组成部分。</w:t>
      </w:r>
    </w:p>
    <w:p w14:paraId="1B4F144A">
      <w:pPr>
        <w:spacing w:line="360" w:lineRule="auto"/>
        <w:ind w:firstLine="240"/>
        <w:rPr>
          <w:rFonts w:ascii="仿宋" w:hAnsi="仿宋" w:eastAsia="仿宋" w:cs="仿宋"/>
          <w:color w:val="auto"/>
          <w:sz w:val="24"/>
          <w:szCs w:val="28"/>
          <w:highlight w:val="none"/>
        </w:rPr>
      </w:pPr>
    </w:p>
    <w:p w14:paraId="0719FF7A">
      <w:pPr>
        <w:tabs>
          <w:tab w:val="left" w:pos="4200"/>
          <w:tab w:val="left" w:pos="6940"/>
          <w:tab w:val="left" w:pos="7360"/>
          <w:tab w:val="left" w:pos="8080"/>
        </w:tabs>
        <w:autoSpaceDE w:val="0"/>
        <w:autoSpaceDN w:val="0"/>
        <w:adjustRightInd w:val="0"/>
        <w:spacing w:line="360" w:lineRule="auto"/>
        <w:ind w:left="3164" w:right="321"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w:t>
      </w:r>
      <w:r>
        <w:rPr>
          <w:rFonts w:hint="eastAsia" w:ascii="仿宋" w:hAnsi="仿宋" w:eastAsia="仿宋" w:cs="仿宋"/>
          <w:color w:val="auto"/>
          <w:w w:val="200"/>
          <w:sz w:val="24"/>
          <w:szCs w:val="28"/>
          <w:highlight w:val="none"/>
          <w:u w:val="single"/>
        </w:rPr>
        <w:t xml:space="preserve"> </w:t>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（签章）</w:t>
      </w:r>
      <w:r>
        <w:rPr>
          <w:rFonts w:hint="eastAsia" w:ascii="仿宋" w:hAnsi="仿宋" w:eastAsia="仿宋" w:cs="仿宋"/>
          <w:color w:val="auto"/>
          <w:sz w:val="24"/>
          <w:szCs w:val="28"/>
          <w:highlight w:val="none"/>
        </w:rPr>
        <w:t xml:space="preserve"> </w:t>
      </w:r>
    </w:p>
    <w:p w14:paraId="501376BA">
      <w:pPr>
        <w:tabs>
          <w:tab w:val="left" w:pos="4200"/>
          <w:tab w:val="left" w:pos="6940"/>
          <w:tab w:val="left" w:pos="7360"/>
          <w:tab w:val="left" w:pos="8080"/>
        </w:tabs>
        <w:autoSpaceDE w:val="0"/>
        <w:autoSpaceDN w:val="0"/>
        <w:adjustRightInd w:val="0"/>
        <w:spacing w:line="360" w:lineRule="auto"/>
        <w:ind w:left="3164" w:right="321" w:firstLine="240"/>
        <w:rPr>
          <w:rFonts w:hint="eastAsia"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法</w:t>
      </w:r>
      <w:r>
        <w:rPr>
          <w:rFonts w:hint="eastAsia" w:ascii="仿宋" w:hAnsi="仿宋" w:eastAsia="仿宋" w:cs="仿宋"/>
          <w:color w:val="auto"/>
          <w:spacing w:val="-1"/>
          <w:sz w:val="24"/>
          <w:szCs w:val="28"/>
          <w:highlight w:val="none"/>
        </w:rPr>
        <w:t>定</w:t>
      </w:r>
      <w:r>
        <w:rPr>
          <w:rFonts w:hint="eastAsia" w:ascii="仿宋" w:hAnsi="仿宋" w:eastAsia="仿宋" w:cs="仿宋"/>
          <w:color w:val="auto"/>
          <w:sz w:val="24"/>
          <w:szCs w:val="28"/>
          <w:highlight w:val="none"/>
        </w:rPr>
        <w:t>代表人：</w:t>
      </w:r>
      <w:r>
        <w:rPr>
          <w:rFonts w:hint="eastAsia" w:ascii="仿宋" w:hAnsi="仿宋" w:eastAsia="仿宋" w:cs="仿宋"/>
          <w:color w:val="auto"/>
          <w:w w:val="200"/>
          <w:sz w:val="24"/>
          <w:szCs w:val="28"/>
          <w:highlight w:val="none"/>
          <w:u w:val="single"/>
        </w:rPr>
        <w:t xml:space="preserve"> </w:t>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（签名</w:t>
      </w:r>
      <w:r>
        <w:rPr>
          <w:rFonts w:hint="eastAsia" w:ascii="仿宋" w:hAnsi="仿宋" w:eastAsia="仿宋" w:cs="仿宋"/>
          <w:color w:val="auto"/>
          <w:sz w:val="24"/>
          <w:szCs w:val="28"/>
          <w:highlight w:val="none"/>
          <w:u w:val="single"/>
          <w:lang w:val="en-US" w:eastAsia="zh-CN"/>
        </w:rPr>
        <w:t>或签章</w:t>
      </w:r>
      <w:r>
        <w:rPr>
          <w:rFonts w:hint="eastAsia" w:ascii="仿宋" w:hAnsi="仿宋" w:eastAsia="仿宋" w:cs="仿宋"/>
          <w:color w:val="auto"/>
          <w:sz w:val="24"/>
          <w:szCs w:val="28"/>
          <w:highlight w:val="none"/>
          <w:u w:val="single"/>
        </w:rPr>
        <w:t xml:space="preserve">） </w:t>
      </w:r>
    </w:p>
    <w:p w14:paraId="42B71220">
      <w:pPr>
        <w:tabs>
          <w:tab w:val="left" w:pos="4200"/>
          <w:tab w:val="left" w:pos="7365"/>
          <w:tab w:val="left" w:pos="8080"/>
        </w:tabs>
        <w:autoSpaceDE w:val="0"/>
        <w:autoSpaceDN w:val="0"/>
        <w:adjustRightInd w:val="0"/>
        <w:spacing w:line="360" w:lineRule="auto"/>
        <w:ind w:left="3164" w:right="321" w:firstLine="2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电</w:t>
      </w:r>
      <w:r>
        <w:rPr>
          <w:rFonts w:hint="eastAsia" w:ascii="仿宋" w:hAnsi="仿宋" w:eastAsia="仿宋" w:cs="仿宋"/>
          <w:color w:val="auto"/>
          <w:sz w:val="24"/>
          <w:szCs w:val="28"/>
          <w:highlight w:val="none"/>
        </w:rPr>
        <w:tab/>
      </w:r>
      <w:r>
        <w:rPr>
          <w:rFonts w:hint="eastAsia" w:ascii="仿宋" w:hAnsi="仿宋" w:eastAsia="仿宋" w:cs="仿宋"/>
          <w:color w:val="auto"/>
          <w:sz w:val="24"/>
          <w:szCs w:val="28"/>
          <w:highlight w:val="none"/>
        </w:rPr>
        <w:t>话</w:t>
      </w:r>
      <w:r>
        <w:rPr>
          <w:rFonts w:hint="eastAsia" w:ascii="仿宋" w:hAnsi="仿宋" w:eastAsia="仿宋" w:cs="仿宋"/>
          <w:color w:val="auto"/>
          <w:spacing w:val="-1"/>
          <w:sz w:val="24"/>
          <w:szCs w:val="28"/>
          <w:highlight w:val="none"/>
        </w:rPr>
        <w:t>：</w:t>
      </w:r>
      <w:r>
        <w:rPr>
          <w:rFonts w:hint="eastAsia" w:ascii="仿宋" w:hAnsi="仿宋" w:eastAsia="仿宋" w:cs="仿宋"/>
          <w:color w:val="auto"/>
          <w:w w:val="200"/>
          <w:sz w:val="24"/>
          <w:szCs w:val="28"/>
          <w:highlight w:val="none"/>
          <w:u w:val="single"/>
        </w:rPr>
        <w:t xml:space="preserve"> </w:t>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rPr>
        <w:tab/>
      </w:r>
    </w:p>
    <w:p w14:paraId="13B80916">
      <w:pPr>
        <w:tabs>
          <w:tab w:val="left" w:pos="4200"/>
          <w:tab w:val="left" w:pos="8080"/>
        </w:tabs>
        <w:autoSpaceDE w:val="0"/>
        <w:autoSpaceDN w:val="0"/>
        <w:adjustRightInd w:val="0"/>
        <w:spacing w:before="1" w:line="360" w:lineRule="auto"/>
        <w:ind w:left="3164" w:right="-20" w:firstLine="240" w:firstLineChars="1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传</w:t>
      </w:r>
      <w:r>
        <w:rPr>
          <w:rFonts w:hint="eastAsia" w:ascii="仿宋" w:hAnsi="仿宋" w:eastAsia="仿宋" w:cs="仿宋"/>
          <w:color w:val="auto"/>
          <w:sz w:val="24"/>
          <w:szCs w:val="28"/>
          <w:highlight w:val="none"/>
        </w:rPr>
        <w:tab/>
      </w:r>
      <w:r>
        <w:rPr>
          <w:rFonts w:hint="eastAsia" w:ascii="仿宋" w:hAnsi="仿宋" w:eastAsia="仿宋" w:cs="仿宋"/>
          <w:color w:val="auto"/>
          <w:sz w:val="24"/>
          <w:szCs w:val="28"/>
          <w:highlight w:val="none"/>
        </w:rPr>
        <w:t>真</w:t>
      </w:r>
      <w:r>
        <w:rPr>
          <w:rFonts w:hint="eastAsia" w:ascii="仿宋" w:hAnsi="仿宋" w:eastAsia="仿宋" w:cs="仿宋"/>
          <w:color w:val="auto"/>
          <w:spacing w:val="-1"/>
          <w:sz w:val="24"/>
          <w:szCs w:val="28"/>
          <w:highlight w:val="none"/>
        </w:rPr>
        <w:t>：</w:t>
      </w:r>
      <w:r>
        <w:rPr>
          <w:rFonts w:hint="eastAsia" w:ascii="仿宋" w:hAnsi="仿宋" w:eastAsia="仿宋" w:cs="仿宋"/>
          <w:color w:val="auto"/>
          <w:w w:val="200"/>
          <w:sz w:val="24"/>
          <w:szCs w:val="28"/>
          <w:highlight w:val="none"/>
          <w:u w:val="single"/>
        </w:rPr>
        <w:t xml:space="preserve"> </w:t>
      </w:r>
      <w:r>
        <w:rPr>
          <w:rFonts w:hint="eastAsia" w:ascii="仿宋" w:hAnsi="仿宋" w:eastAsia="仿宋" w:cs="仿宋"/>
          <w:color w:val="auto"/>
          <w:sz w:val="24"/>
          <w:szCs w:val="28"/>
          <w:highlight w:val="none"/>
          <w:u w:val="single"/>
        </w:rPr>
        <w:tab/>
      </w:r>
    </w:p>
    <w:p w14:paraId="09DA638D">
      <w:pPr>
        <w:tabs>
          <w:tab w:val="left" w:pos="8080"/>
        </w:tabs>
        <w:autoSpaceDE w:val="0"/>
        <w:autoSpaceDN w:val="0"/>
        <w:adjustRightInd w:val="0"/>
        <w:spacing w:before="74" w:line="360" w:lineRule="auto"/>
        <w:ind w:left="3164" w:right="-20" w:firstLine="240" w:firstLineChars="1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响应人地址：</w:t>
      </w:r>
      <w:r>
        <w:rPr>
          <w:rFonts w:hint="eastAsia" w:ascii="仿宋" w:hAnsi="仿宋" w:eastAsia="仿宋" w:cs="仿宋"/>
          <w:color w:val="auto"/>
          <w:w w:val="200"/>
          <w:sz w:val="24"/>
          <w:szCs w:val="28"/>
          <w:highlight w:val="none"/>
          <w:u w:val="single"/>
        </w:rPr>
        <w:t xml:space="preserve"> </w:t>
      </w:r>
      <w:r>
        <w:rPr>
          <w:rFonts w:hint="eastAsia" w:ascii="仿宋" w:hAnsi="仿宋" w:eastAsia="仿宋" w:cs="仿宋"/>
          <w:color w:val="auto"/>
          <w:sz w:val="24"/>
          <w:szCs w:val="28"/>
          <w:highlight w:val="none"/>
          <w:u w:val="single"/>
        </w:rPr>
        <w:tab/>
      </w:r>
    </w:p>
    <w:p w14:paraId="7B9AA0D0">
      <w:pPr>
        <w:tabs>
          <w:tab w:val="left" w:pos="8080"/>
        </w:tabs>
        <w:autoSpaceDE w:val="0"/>
        <w:autoSpaceDN w:val="0"/>
        <w:adjustRightInd w:val="0"/>
        <w:spacing w:before="74" w:line="360" w:lineRule="auto"/>
        <w:ind w:left="3164" w:right="-20" w:firstLine="240" w:firstLineChars="1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邮</w:t>
      </w:r>
      <w:r>
        <w:rPr>
          <w:rFonts w:hint="eastAsia" w:ascii="仿宋" w:hAnsi="仿宋" w:eastAsia="仿宋" w:cs="仿宋"/>
          <w:color w:val="auto"/>
          <w:spacing w:val="-1"/>
          <w:sz w:val="24"/>
          <w:szCs w:val="28"/>
          <w:highlight w:val="none"/>
        </w:rPr>
        <w:t>政</w:t>
      </w:r>
      <w:r>
        <w:rPr>
          <w:rFonts w:hint="eastAsia" w:ascii="仿宋" w:hAnsi="仿宋" w:eastAsia="仿宋" w:cs="仿宋"/>
          <w:color w:val="auto"/>
          <w:sz w:val="24"/>
          <w:szCs w:val="28"/>
          <w:highlight w:val="none"/>
        </w:rPr>
        <w:t>编码：</w:t>
      </w:r>
      <w:r>
        <w:rPr>
          <w:rFonts w:hint="eastAsia" w:ascii="仿宋" w:hAnsi="仿宋" w:eastAsia="仿宋" w:cs="仿宋"/>
          <w:color w:val="auto"/>
          <w:w w:val="200"/>
          <w:sz w:val="24"/>
          <w:szCs w:val="28"/>
          <w:highlight w:val="none"/>
          <w:u w:val="single"/>
        </w:rPr>
        <w:t xml:space="preserve"> </w:t>
      </w:r>
      <w:r>
        <w:rPr>
          <w:rFonts w:hint="eastAsia" w:ascii="仿宋" w:hAnsi="仿宋" w:eastAsia="仿宋" w:cs="仿宋"/>
          <w:color w:val="auto"/>
          <w:sz w:val="24"/>
          <w:szCs w:val="28"/>
          <w:highlight w:val="none"/>
          <w:u w:val="single"/>
        </w:rPr>
        <w:tab/>
      </w:r>
    </w:p>
    <w:p w14:paraId="581C07D6">
      <w:pPr>
        <w:tabs>
          <w:tab w:val="left" w:pos="5780"/>
          <w:tab w:val="left" w:pos="7065"/>
          <w:tab w:val="left" w:pos="8115"/>
        </w:tabs>
        <w:autoSpaceDE w:val="0"/>
        <w:autoSpaceDN w:val="0"/>
        <w:adjustRightInd w:val="0"/>
        <w:spacing w:before="75" w:line="360" w:lineRule="auto"/>
        <w:ind w:left="4948" w:right="-20" w:firstLine="480"/>
        <w:rPr>
          <w:rFonts w:hint="eastAsia" w:ascii="仿宋" w:hAnsi="仿宋" w:eastAsia="仿宋" w:cs="仿宋"/>
          <w:color w:val="auto"/>
          <w:sz w:val="24"/>
          <w:szCs w:val="28"/>
          <w:highlight w:val="none"/>
        </w:rPr>
      </w:pPr>
      <w:r>
        <w:rPr>
          <w:rFonts w:hint="eastAsia" w:ascii="仿宋" w:hAnsi="仿宋" w:eastAsia="仿宋" w:cs="仿宋"/>
          <w:color w:val="auto"/>
          <w:w w:val="200"/>
          <w:sz w:val="24"/>
          <w:szCs w:val="28"/>
          <w:highlight w:val="none"/>
          <w:u w:val="single"/>
        </w:rPr>
        <w:t xml:space="preserve"> </w:t>
      </w:r>
      <w:r>
        <w:rPr>
          <w:rFonts w:hint="eastAsia" w:ascii="仿宋" w:hAnsi="仿宋" w:eastAsia="仿宋" w:cs="仿宋"/>
          <w:color w:val="auto"/>
          <w:w w:val="200"/>
          <w:sz w:val="24"/>
          <w:szCs w:val="28"/>
          <w:highlight w:val="none"/>
          <w:u w:val="single"/>
          <w:lang w:val="en-US" w:eastAsia="zh-CN"/>
        </w:rPr>
        <w:t xml:space="preserve">    </w:t>
      </w:r>
      <w:r>
        <w:rPr>
          <w:rFonts w:hint="eastAsia" w:ascii="仿宋" w:hAnsi="仿宋" w:eastAsia="仿宋" w:cs="仿宋"/>
          <w:color w:val="auto"/>
          <w:sz w:val="24"/>
          <w:szCs w:val="28"/>
          <w:highlight w:val="none"/>
        </w:rPr>
        <w:t>年</w:t>
      </w:r>
      <w:r>
        <w:rPr>
          <w:rFonts w:hint="eastAsia" w:ascii="仿宋" w:hAnsi="仿宋" w:eastAsia="仿宋" w:cs="仿宋"/>
          <w:color w:val="auto"/>
          <w:w w:val="200"/>
          <w:sz w:val="24"/>
          <w:szCs w:val="28"/>
          <w:highlight w:val="none"/>
          <w:u w:val="single"/>
        </w:rPr>
        <w:t xml:space="preserve"> </w:t>
      </w:r>
      <w:r>
        <w:rPr>
          <w:rFonts w:hint="eastAsia" w:ascii="仿宋" w:hAnsi="仿宋" w:eastAsia="仿宋" w:cs="仿宋"/>
          <w:color w:val="auto"/>
          <w:w w:val="200"/>
          <w:sz w:val="24"/>
          <w:szCs w:val="28"/>
          <w:highlight w:val="none"/>
          <w:u w:val="single"/>
          <w:lang w:val="en-US" w:eastAsia="zh-CN"/>
        </w:rPr>
        <w:t xml:space="preserve">  </w:t>
      </w:r>
      <w:r>
        <w:rPr>
          <w:rFonts w:hint="eastAsia" w:ascii="仿宋" w:hAnsi="仿宋" w:eastAsia="仿宋" w:cs="仿宋"/>
          <w:color w:val="auto"/>
          <w:sz w:val="24"/>
          <w:szCs w:val="28"/>
          <w:highlight w:val="none"/>
        </w:rPr>
        <w:t>月</w:t>
      </w:r>
      <w:r>
        <w:rPr>
          <w:rFonts w:hint="eastAsia" w:ascii="仿宋" w:hAnsi="仿宋" w:eastAsia="仿宋" w:cs="仿宋"/>
          <w:color w:val="auto"/>
          <w:w w:val="200"/>
          <w:sz w:val="24"/>
          <w:szCs w:val="28"/>
          <w:highlight w:val="none"/>
          <w:u w:val="single"/>
        </w:rPr>
        <w:t xml:space="preserve"> </w:t>
      </w:r>
      <w:r>
        <w:rPr>
          <w:rFonts w:hint="eastAsia" w:ascii="仿宋" w:hAnsi="仿宋" w:eastAsia="仿宋" w:cs="仿宋"/>
          <w:color w:val="auto"/>
          <w:sz w:val="24"/>
          <w:szCs w:val="28"/>
          <w:highlight w:val="none"/>
          <w:u w:val="single"/>
        </w:rPr>
        <w:tab/>
      </w:r>
      <w:r>
        <w:rPr>
          <w:rFonts w:hint="eastAsia" w:ascii="仿宋" w:hAnsi="仿宋" w:eastAsia="仿宋" w:cs="仿宋"/>
          <w:color w:val="auto"/>
          <w:sz w:val="24"/>
          <w:szCs w:val="28"/>
          <w:highlight w:val="none"/>
          <w:u w:val="single"/>
          <w:lang w:val="en-US" w:eastAsia="zh-CN"/>
        </w:rPr>
        <w:t xml:space="preserve">  </w:t>
      </w:r>
      <w:r>
        <w:rPr>
          <w:rFonts w:hint="eastAsia" w:ascii="仿宋" w:hAnsi="仿宋" w:eastAsia="仿宋" w:cs="仿宋"/>
          <w:color w:val="auto"/>
          <w:sz w:val="24"/>
          <w:szCs w:val="28"/>
          <w:highlight w:val="none"/>
        </w:rPr>
        <w:t>日</w:t>
      </w:r>
    </w:p>
    <w:p w14:paraId="406996D4">
      <w:pPr>
        <w:tabs>
          <w:tab w:val="left" w:pos="5780"/>
          <w:tab w:val="left" w:pos="7065"/>
          <w:tab w:val="left" w:pos="8115"/>
        </w:tabs>
        <w:autoSpaceDE w:val="0"/>
        <w:autoSpaceDN w:val="0"/>
        <w:adjustRightInd w:val="0"/>
        <w:spacing w:before="75" w:line="360" w:lineRule="auto"/>
        <w:ind w:left="4948" w:right="-20" w:firstLine="480"/>
        <w:rPr>
          <w:rFonts w:hint="eastAsia" w:ascii="仿宋" w:hAnsi="仿宋" w:eastAsia="仿宋" w:cs="仿宋"/>
          <w:color w:val="auto"/>
          <w:sz w:val="24"/>
          <w:szCs w:val="28"/>
          <w:highlight w:val="none"/>
        </w:rPr>
      </w:pPr>
    </w:p>
    <w:p w14:paraId="07DA3633">
      <w:pPr>
        <w:tabs>
          <w:tab w:val="left" w:pos="5780"/>
          <w:tab w:val="left" w:pos="7065"/>
          <w:tab w:val="left" w:pos="8115"/>
        </w:tabs>
        <w:autoSpaceDE w:val="0"/>
        <w:autoSpaceDN w:val="0"/>
        <w:adjustRightInd w:val="0"/>
        <w:spacing w:before="75" w:line="360" w:lineRule="auto"/>
        <w:ind w:right="-20"/>
        <w:rPr>
          <w:rFonts w:hint="eastAsia" w:ascii="仿宋" w:hAnsi="仿宋" w:eastAsia="仿宋" w:cs="仿宋"/>
          <w:color w:val="auto"/>
          <w:sz w:val="24"/>
          <w:szCs w:val="28"/>
          <w:highlight w:val="none"/>
        </w:rPr>
      </w:pPr>
    </w:p>
    <w:p w14:paraId="628C5499">
      <w:pP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br w:type="page"/>
      </w:r>
    </w:p>
    <w:p w14:paraId="25E1F754">
      <w:pPr>
        <w:spacing w:line="360" w:lineRule="auto"/>
        <w:ind w:firstLine="321"/>
        <w:jc w:val="center"/>
        <w:outlineLvl w:val="1"/>
        <w:rPr>
          <w:rFonts w:ascii="仿宋" w:hAnsi="仿宋" w:eastAsia="仿宋" w:cs="仿宋"/>
          <w:b/>
          <w:color w:val="auto"/>
          <w:sz w:val="32"/>
          <w:szCs w:val="36"/>
          <w:highlight w:val="none"/>
        </w:rPr>
      </w:pPr>
      <w:r>
        <w:rPr>
          <w:rFonts w:hint="eastAsia" w:ascii="仿宋" w:hAnsi="仿宋" w:eastAsia="仿宋" w:cs="仿宋"/>
          <w:b/>
          <w:color w:val="auto"/>
          <w:sz w:val="32"/>
          <w:szCs w:val="36"/>
          <w:highlight w:val="none"/>
        </w:rPr>
        <w:t>（二）技术方案</w:t>
      </w:r>
    </w:p>
    <w:p w14:paraId="1DA3AB0D">
      <w:pPr>
        <w:spacing w:line="360" w:lineRule="auto"/>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供应商应按以下要点编制，主要内容包括但不仅限于：</w:t>
      </w:r>
    </w:p>
    <w:p w14:paraId="01360854">
      <w:pPr>
        <w:spacing w:line="360" w:lineRule="auto"/>
        <w:jc w:val="lef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类似业绩;</w:t>
      </w:r>
    </w:p>
    <w:p w14:paraId="60351A1E">
      <w:pPr>
        <w:spacing w:line="360" w:lineRule="auto"/>
        <w:jc w:val="lef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（2）项目服务方案与技术措施；</w:t>
      </w:r>
    </w:p>
    <w:p w14:paraId="34F94C67">
      <w:pPr>
        <w:spacing w:line="360" w:lineRule="auto"/>
        <w:jc w:val="lef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（3）对该项目的认识、对实施任务的理解；</w:t>
      </w:r>
    </w:p>
    <w:p w14:paraId="26D9E3CC">
      <w:pPr>
        <w:spacing w:line="360" w:lineRule="auto"/>
        <w:jc w:val="lef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（4）质量标准及质量管理保证措施；</w:t>
      </w:r>
    </w:p>
    <w:p w14:paraId="155AD59D">
      <w:pPr>
        <w:spacing w:line="360" w:lineRule="auto"/>
        <w:jc w:val="lef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（5）培训方案；</w:t>
      </w:r>
    </w:p>
    <w:p w14:paraId="2D325BCC">
      <w:pPr>
        <w:spacing w:line="360" w:lineRule="auto"/>
        <w:jc w:val="lef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（6）售后服务；</w:t>
      </w:r>
    </w:p>
    <w:p w14:paraId="2F5FB803">
      <w:pPr>
        <w:spacing w:line="360" w:lineRule="auto"/>
        <w:jc w:val="left"/>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（7）项目组织机构管理体系；</w:t>
      </w:r>
    </w:p>
    <w:p w14:paraId="5877B819">
      <w:pPr>
        <w:spacing w:line="360" w:lineRule="auto"/>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br w:type="page"/>
      </w:r>
    </w:p>
    <w:p w14:paraId="05BC2E43">
      <w:pPr>
        <w:spacing w:line="360" w:lineRule="auto"/>
        <w:ind w:firstLine="321"/>
        <w:jc w:val="center"/>
        <w:outlineLvl w:val="1"/>
        <w:rPr>
          <w:rFonts w:ascii="仿宋" w:hAnsi="仿宋" w:eastAsia="仿宋" w:cs="仿宋"/>
          <w:b/>
          <w:color w:val="auto"/>
          <w:sz w:val="32"/>
          <w:szCs w:val="36"/>
          <w:highlight w:val="none"/>
        </w:rPr>
      </w:pPr>
      <w:r>
        <w:rPr>
          <w:rFonts w:hint="eastAsia" w:ascii="仿宋" w:hAnsi="仿宋" w:eastAsia="仿宋" w:cs="仿宋"/>
          <w:b/>
          <w:color w:val="auto"/>
          <w:sz w:val="32"/>
          <w:szCs w:val="36"/>
          <w:highlight w:val="none"/>
        </w:rPr>
        <w:t>（三）其他资料</w:t>
      </w:r>
    </w:p>
    <w:p w14:paraId="6D1020FE">
      <w:pPr>
        <w:spacing w:line="360" w:lineRule="auto"/>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投标人认为需要提供</w:t>
      </w:r>
      <w:r>
        <w:rPr>
          <w:rFonts w:ascii="仿宋" w:hAnsi="仿宋" w:eastAsia="仿宋" w:cs="仿宋"/>
          <w:color w:val="auto"/>
          <w:sz w:val="24"/>
          <w:szCs w:val="21"/>
          <w:highlight w:val="none"/>
        </w:rPr>
        <w:t>的其他资料</w:t>
      </w:r>
    </w:p>
    <w:p w14:paraId="1FBC3CD8">
      <w:pPr>
        <w:ind w:firstLine="210"/>
        <w:rPr>
          <w:color w:val="auto"/>
          <w:highlight w:val="none"/>
        </w:rPr>
      </w:pPr>
    </w:p>
    <w:p w14:paraId="57EE020C">
      <w:pPr>
        <w:pStyle w:val="52"/>
        <w:rPr>
          <w:color w:val="auto"/>
          <w:highlight w:val="none"/>
        </w:rPr>
      </w:pPr>
    </w:p>
    <w:p w14:paraId="0F369308">
      <w:pPr>
        <w:rPr>
          <w:color w:val="auto"/>
          <w:highlight w:val="none"/>
        </w:rPr>
      </w:pPr>
      <w:r>
        <w:rPr>
          <w:rFonts w:hint="eastAsia"/>
          <w:color w:val="auto"/>
          <w:highlight w:val="none"/>
        </w:rPr>
        <w:br w:type="page"/>
      </w:r>
    </w:p>
    <w:p w14:paraId="21CBF819">
      <w:pPr>
        <w:pStyle w:val="52"/>
        <w:rPr>
          <w:color w:val="auto"/>
          <w:highlight w:val="none"/>
        </w:rPr>
      </w:pPr>
    </w:p>
    <w:p w14:paraId="550D37F9">
      <w:pPr>
        <w:pStyle w:val="2"/>
        <w:numPr>
          <w:ilvl w:val="0"/>
          <w:numId w:val="0"/>
        </w:numPr>
        <w:spacing w:line="360" w:lineRule="auto"/>
        <w:ind w:leftChars="0"/>
        <w:jc w:val="center"/>
        <w:rPr>
          <w:rFonts w:hint="eastAsia" w:ascii="仿宋" w:hAnsi="仿宋" w:eastAsia="仿宋" w:cs="仿宋"/>
          <w:color w:val="auto"/>
          <w:sz w:val="40"/>
          <w:szCs w:val="44"/>
          <w:highlight w:val="none"/>
        </w:rPr>
      </w:pPr>
      <w:bookmarkStart w:id="245" w:name="_Toc6004"/>
      <w:r>
        <w:rPr>
          <w:rFonts w:hint="eastAsia" w:ascii="仿宋" w:hAnsi="仿宋" w:eastAsia="仿宋" w:cs="仿宋"/>
          <w:color w:val="auto"/>
          <w:sz w:val="40"/>
          <w:szCs w:val="44"/>
          <w:highlight w:val="none"/>
          <w:lang w:val="en-US" w:eastAsia="zh-CN"/>
        </w:rPr>
        <w:t xml:space="preserve">第五章 </w:t>
      </w:r>
      <w:r>
        <w:rPr>
          <w:rFonts w:hint="eastAsia" w:ascii="仿宋" w:hAnsi="仿宋" w:eastAsia="仿宋" w:cs="仿宋"/>
          <w:color w:val="auto"/>
          <w:sz w:val="40"/>
          <w:szCs w:val="44"/>
          <w:highlight w:val="none"/>
        </w:rPr>
        <w:t>采购内容及具体要求</w:t>
      </w:r>
      <w:bookmarkEnd w:id="142"/>
      <w:bookmarkEnd w:id="245"/>
    </w:p>
    <w:p w14:paraId="51DBD9D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一、项目基本概况</w:t>
      </w:r>
    </w:p>
    <w:p w14:paraId="0FFF27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bookmarkStart w:id="246" w:name="_Toc467663146"/>
      <w:bookmarkStart w:id="247" w:name="_Toc423373719"/>
      <w:bookmarkStart w:id="248" w:name="_Toc421804180"/>
      <w:r>
        <w:rPr>
          <w:rFonts w:hint="eastAsia" w:ascii="宋体" w:hAnsi="宋体" w:eastAsia="宋体" w:cs="宋体"/>
          <w:sz w:val="24"/>
          <w:szCs w:val="24"/>
          <w:lang w:val="en-US" w:eastAsia="zh-CN"/>
        </w:rPr>
        <w:t>1.采购项目名称：</w:t>
      </w:r>
      <w:r>
        <w:rPr>
          <w:rFonts w:hint="eastAsia" w:ascii="宋体" w:hAnsi="宋体" w:cs="宋体"/>
          <w:sz w:val="24"/>
          <w:szCs w:val="24"/>
          <w:lang w:val="en-US" w:eastAsia="zh-CN"/>
        </w:rPr>
        <w:t>陇川县2025年水库及堤防白蚁等害堤动物防治项目</w:t>
      </w:r>
    </w:p>
    <w:p w14:paraId="03D38D7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合同履约期限</w:t>
      </w:r>
      <w:r>
        <w:rPr>
          <w:rFonts w:hint="eastAsia" w:ascii="宋体" w:hAnsi="宋体" w:eastAsia="宋体" w:cs="宋体"/>
          <w:sz w:val="24"/>
          <w:szCs w:val="24"/>
          <w:lang w:val="en-US" w:eastAsia="zh-CN"/>
        </w:rPr>
        <w:t>：2个月。</w:t>
      </w:r>
    </w:p>
    <w:bookmarkEnd w:id="246"/>
    <w:p w14:paraId="2FD4BC6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磋商内容：对陇川县28座水库的32个坝与南宛河87.254km的堤防进行白蚁等害堤动物防治，防治的主要措施有：对白蚁进行蚁巢开挖回填（人工挖巢）、钻孔灌药、投放诱杀包及喷洒药物；对红火蚁进行扒巢药杀。（具体实施内容最终以</w:t>
      </w:r>
      <w:r>
        <w:rPr>
          <w:rFonts w:hint="eastAsia" w:ascii="宋体" w:hAnsi="宋体" w:cs="宋体"/>
          <w:sz w:val="24"/>
          <w:szCs w:val="24"/>
          <w:lang w:val="en-US" w:eastAsia="zh-CN"/>
        </w:rPr>
        <w:t>服务需求清单</w:t>
      </w:r>
      <w:r>
        <w:rPr>
          <w:rFonts w:hint="eastAsia" w:ascii="宋体" w:hAnsi="宋体" w:eastAsia="宋体" w:cs="宋体"/>
          <w:sz w:val="24"/>
          <w:szCs w:val="24"/>
          <w:lang w:val="en-US" w:eastAsia="zh-CN"/>
        </w:rPr>
        <w:t xml:space="preserve">和招标人委托内容为准） </w:t>
      </w:r>
    </w:p>
    <w:p w14:paraId="043424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4.质量要求：（1）白蚁防治质量达到《水利工程白蚁防治技术规程》（SL/T 836—2024）及《水利工程白蚁防治技术规范》（T∕CHES-44-2020）的要求，同时符合国家现行有关标准的规定。（2）红火蚁防治质量应达到《红火蚁检疫规程》GB/T 23634-2009及《红火蚁专业化防控实施规程》（NY/T3541-2020）的要求，同时符合国家现行有关标准的规定。（3）项目通过验收后，质保期2年。质保期内跟踪服务，每年10—11月复查一次，复查结果需形成书面报告，质保期内若发现白蚁、红火蚁的，由中标单位自行承担及时清除。</w:t>
      </w:r>
    </w:p>
    <w:p w14:paraId="447F6C4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5.建设规模：对陇川县28座水库的32个坝与南宛河87.254km的堤防进行白蚁等害堤动物防治。</w:t>
      </w:r>
    </w:p>
    <w:p w14:paraId="6E5CF4D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服务需求清单</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服务需求清单</w:t>
      </w:r>
      <w:r>
        <w:rPr>
          <w:rFonts w:hint="eastAsia" w:ascii="宋体" w:hAnsi="宋体" w:eastAsia="宋体" w:cs="宋体"/>
          <w:sz w:val="24"/>
          <w:szCs w:val="24"/>
          <w:lang w:val="en-US" w:eastAsia="zh-CN"/>
        </w:rPr>
        <w:t>（另册）。本项目采用全费用综合单价，成本、管理、利润、税金、安全文明实施、临时实施及其他临时实施费等费用均已包含在综合单价中，不再另行计价。    白蚁等害堤动物随着时间推移，其危害等级及数量会有变化，本项目基于清单工程量，实际增减不另行计价，即对项目防治范围（28座水库的32个坝及南宛河87.254km</w:t>
      </w:r>
      <w:r>
        <w:rPr>
          <w:rFonts w:hint="eastAsia" w:ascii="宋体" w:hAnsi="宋体" w:cs="宋体"/>
          <w:sz w:val="24"/>
          <w:szCs w:val="24"/>
          <w:lang w:val="en-US" w:eastAsia="zh-CN"/>
        </w:rPr>
        <w:t>堤防）含税总价包干。</w:t>
      </w:r>
    </w:p>
    <w:p w14:paraId="6D3B1FA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防治</w:t>
      </w:r>
      <w:r>
        <w:rPr>
          <w:rFonts w:hint="eastAsia" w:ascii="宋体" w:hAnsi="宋体" w:eastAsia="宋体" w:cs="宋体"/>
          <w:b/>
          <w:bCs/>
          <w:sz w:val="24"/>
          <w:szCs w:val="24"/>
          <w:lang w:val="en-US" w:eastAsia="zh-CN"/>
        </w:rPr>
        <w:t>任务</w:t>
      </w:r>
    </w:p>
    <w:p w14:paraId="1B53DA6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遵循“治理当前，长期防范”的原则，对陇川县28座水库的32个坝与南宛河87.254km的堤防进行白蚁等害堤动物防治。防治的主要措施有：对白蚁进行蚁巢开挖回填（人工挖巢）、钻孔灌药、投放诱杀包及喷洒药物；对红火蚁进行扒巢药杀。</w:t>
      </w:r>
    </w:p>
    <w:p w14:paraId="2700E7E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水库及堤防工程概况：</w:t>
      </w:r>
    </w:p>
    <w:p w14:paraId="6C20E8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1.章凤水库位于章风镇东北方向3.5km处的芒别河上，工程类别小（1）型，坝高 20.4m，坝长248m，坝顶宽5m，总库容186.6万m³。</w:t>
      </w:r>
    </w:p>
    <w:p w14:paraId="04EC0BD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en-IE" w:eastAsia="zh-CN"/>
        </w:rPr>
        <w:t>户弄水库位于章凤镇户弄村委会，距县城约</w:t>
      </w:r>
      <w:r>
        <w:rPr>
          <w:rFonts w:hint="eastAsia" w:ascii="宋体" w:hAnsi="宋体" w:eastAsia="宋体" w:cs="宋体"/>
          <w:sz w:val="24"/>
          <w:szCs w:val="24"/>
          <w:lang w:val="en-US" w:eastAsia="zh-CN"/>
        </w:rPr>
        <w:t>5</w:t>
      </w:r>
      <w:r>
        <w:rPr>
          <w:rFonts w:hint="eastAsia" w:ascii="宋体" w:hAnsi="宋体" w:eastAsia="宋体" w:cs="宋体"/>
          <w:sz w:val="24"/>
          <w:szCs w:val="24"/>
          <w:lang w:val="en-IE" w:eastAsia="zh-CN"/>
        </w:rPr>
        <w:t>km，工程类别小（</w:t>
      </w:r>
      <w:r>
        <w:rPr>
          <w:rFonts w:hint="eastAsia" w:ascii="宋体" w:hAnsi="宋体" w:eastAsia="宋体" w:cs="宋体"/>
          <w:sz w:val="24"/>
          <w:szCs w:val="24"/>
          <w:lang w:val="en-US" w:eastAsia="zh-CN"/>
        </w:rPr>
        <w:t>2</w:t>
      </w:r>
      <w:r>
        <w:rPr>
          <w:rFonts w:hint="eastAsia" w:ascii="宋体" w:hAnsi="宋体" w:eastAsia="宋体" w:cs="宋体"/>
          <w:sz w:val="24"/>
          <w:szCs w:val="24"/>
          <w:lang w:val="en-IE" w:eastAsia="zh-CN"/>
        </w:rPr>
        <w:t>）型，坝高为</w:t>
      </w:r>
      <w:r>
        <w:rPr>
          <w:rFonts w:hint="eastAsia" w:ascii="宋体" w:hAnsi="宋体" w:eastAsia="宋体" w:cs="宋体"/>
          <w:sz w:val="24"/>
          <w:szCs w:val="24"/>
          <w:lang w:val="en-US" w:eastAsia="zh-CN"/>
        </w:rPr>
        <w:t>10.5</w:t>
      </w:r>
      <w:r>
        <w:rPr>
          <w:rFonts w:hint="eastAsia" w:ascii="宋体" w:hAnsi="宋体" w:eastAsia="宋体" w:cs="宋体"/>
          <w:sz w:val="24"/>
          <w:szCs w:val="24"/>
          <w:lang w:val="en-IE" w:eastAsia="zh-CN"/>
        </w:rPr>
        <w:t>m，坝长</w:t>
      </w:r>
      <w:r>
        <w:rPr>
          <w:rFonts w:hint="eastAsia" w:ascii="宋体" w:hAnsi="宋体" w:eastAsia="宋体" w:cs="宋体"/>
          <w:sz w:val="24"/>
          <w:szCs w:val="24"/>
          <w:lang w:val="en-US" w:eastAsia="zh-CN"/>
        </w:rPr>
        <w:t>77</w:t>
      </w:r>
      <w:r>
        <w:rPr>
          <w:rFonts w:hint="eastAsia" w:ascii="宋体" w:hAnsi="宋体" w:eastAsia="宋体" w:cs="宋体"/>
          <w:sz w:val="24"/>
          <w:szCs w:val="24"/>
          <w:lang w:val="en-IE" w:eastAsia="zh-CN"/>
        </w:rPr>
        <w:t>m，坝顶宽为</w:t>
      </w:r>
      <w:r>
        <w:rPr>
          <w:rFonts w:hint="eastAsia" w:ascii="宋体" w:hAnsi="宋体" w:eastAsia="宋体" w:cs="宋体"/>
          <w:sz w:val="24"/>
          <w:szCs w:val="24"/>
          <w:lang w:val="en-US" w:eastAsia="zh-CN"/>
        </w:rPr>
        <w:t>3.5</w:t>
      </w:r>
      <w:r>
        <w:rPr>
          <w:rFonts w:hint="eastAsia" w:ascii="宋体" w:hAnsi="宋体" w:eastAsia="宋体" w:cs="宋体"/>
          <w:sz w:val="24"/>
          <w:szCs w:val="24"/>
          <w:lang w:val="en-IE" w:eastAsia="zh-CN"/>
        </w:rPr>
        <w:t>m，总库容</w:t>
      </w:r>
      <w:r>
        <w:rPr>
          <w:rFonts w:hint="eastAsia" w:ascii="宋体" w:hAnsi="宋体" w:eastAsia="宋体" w:cs="宋体"/>
          <w:sz w:val="24"/>
          <w:szCs w:val="24"/>
          <w:lang w:val="en-US" w:eastAsia="zh-CN"/>
        </w:rPr>
        <w:t>10.1</w:t>
      </w:r>
      <w:r>
        <w:rPr>
          <w:rFonts w:hint="eastAsia" w:ascii="宋体" w:hAnsi="宋体" w:eastAsia="宋体" w:cs="宋体"/>
          <w:sz w:val="24"/>
          <w:szCs w:val="24"/>
          <w:lang w:val="en-IE" w:eastAsia="zh-CN"/>
        </w:rPr>
        <w:t>万m3。</w:t>
      </w:r>
    </w:p>
    <w:p w14:paraId="265DFC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IE" w:eastAsia="zh-CN"/>
        </w:rPr>
      </w:pPr>
      <w:r>
        <w:rPr>
          <w:rFonts w:hint="eastAsia" w:ascii="宋体" w:hAnsi="宋体" w:eastAsia="宋体" w:cs="宋体"/>
          <w:sz w:val="24"/>
          <w:szCs w:val="24"/>
          <w:lang w:val="en-US" w:eastAsia="zh-CN"/>
        </w:rPr>
        <w:t>3.弄贯一水库位于章凤镇弄贯村委会，距县城约10km，工程类别小（2）型，坝高3.5m，坝长510m，坝顶宽4.8m，总库容23.5万</w:t>
      </w:r>
      <w:r>
        <w:rPr>
          <w:rFonts w:hint="eastAsia" w:ascii="宋体" w:hAnsi="宋体" w:eastAsia="宋体" w:cs="宋体"/>
          <w:sz w:val="24"/>
          <w:szCs w:val="24"/>
          <w:lang w:val="en-IE" w:eastAsia="zh-CN"/>
        </w:rPr>
        <w:t>m3。</w:t>
      </w:r>
    </w:p>
    <w:p w14:paraId="6751F5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4.弄贯二水库位于章凤镇弄贯村委会，距县城约10km，工程类别小（2）型，坝高3.8m，坝长161.4m，坝顶宽为4m，总库容24.8万</w:t>
      </w:r>
      <w:r>
        <w:rPr>
          <w:rFonts w:hint="eastAsia" w:ascii="宋体" w:hAnsi="宋体" w:eastAsia="宋体" w:cs="宋体"/>
          <w:sz w:val="24"/>
          <w:szCs w:val="24"/>
          <w:lang w:val="en-IE" w:eastAsia="zh-CN"/>
        </w:rPr>
        <w:t>m3。</w:t>
      </w:r>
    </w:p>
    <w:p w14:paraId="3214F6C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5.吕门水库位于章凤镇户弄村，距县城7km，工程类别小（2）型，坝高19.1m，坝顶长65.4m，坝顶宽4m，总库容14.12万m³。</w:t>
      </w:r>
    </w:p>
    <w:p w14:paraId="7342DD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6.弄回水库位于景罕镇芒面村委会的弄回坝，距县城30km，工程类别小（1）型，坝高46m，坝长190m，坝顶宽6m，总库容526.13万m³。</w:t>
      </w:r>
    </w:p>
    <w:p w14:paraId="6D0F3B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7.南麻水库位于景罕镇罕等村委会，距县城约7km，工程类别小（1）型，坝高59.9m，坝长260.8m，坝顶宽为6m，总库容759.1万m³。</w:t>
      </w:r>
    </w:p>
    <w:p w14:paraId="373FD5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8.广等水库位于景罕镇罕等村委会，距县城7.5km，工程类别小（2）型，坝高10.5m，坝长180m，坝顶宽4m，总库容35万m³。</w:t>
      </w:r>
    </w:p>
    <w:p w14:paraId="6F0D44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9.芒允水库位于景罕镇罕等村委会，距县城8km，工程类别小（1）型，坝高17.16m，坝210m，坝顶宽4m，总库容175.1万m³。</w:t>
      </w:r>
    </w:p>
    <w:p w14:paraId="6EC8B5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10.广母水库位于景罕镇景罕村委会，距县城12km，工程类别小（2）型，坝高11.5m，坝长55m，坝顶宽10m，总库容18.6万m³。</w:t>
      </w:r>
    </w:p>
    <w:p w14:paraId="17DDE79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11.海岗水库位于景罕镇景罕村委会，距县城 14km，工程类别小（1）型，坝高24m，坝长 310m，坝顶宽6m，总库容951万m³。</w:t>
      </w:r>
    </w:p>
    <w:p w14:paraId="2DB19F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lang w:val="en-IE" w:eastAsia="zh-CN"/>
        </w:rPr>
        <w:t>朋生水库位于景罕镇芒胆村委会，距县城约</w:t>
      </w:r>
      <w:r>
        <w:rPr>
          <w:rFonts w:hint="eastAsia" w:ascii="宋体" w:hAnsi="宋体" w:eastAsia="宋体" w:cs="宋体"/>
          <w:sz w:val="24"/>
          <w:szCs w:val="24"/>
          <w:lang w:val="en-US" w:eastAsia="zh-CN"/>
        </w:rPr>
        <w:t>20</w:t>
      </w:r>
      <w:r>
        <w:rPr>
          <w:rFonts w:hint="eastAsia" w:ascii="宋体" w:hAnsi="宋体" w:eastAsia="宋体" w:cs="宋体"/>
          <w:sz w:val="24"/>
          <w:szCs w:val="24"/>
          <w:lang w:val="en-IE" w:eastAsia="zh-CN"/>
        </w:rPr>
        <w:t>km，工程类别小（</w:t>
      </w:r>
      <w:r>
        <w:rPr>
          <w:rFonts w:hint="eastAsia" w:ascii="宋体" w:hAnsi="宋体" w:eastAsia="宋体" w:cs="宋体"/>
          <w:sz w:val="24"/>
          <w:szCs w:val="24"/>
          <w:lang w:val="en-US" w:eastAsia="zh-CN"/>
        </w:rPr>
        <w:t>2</w:t>
      </w:r>
      <w:r>
        <w:rPr>
          <w:rFonts w:hint="eastAsia" w:ascii="宋体" w:hAnsi="宋体" w:eastAsia="宋体" w:cs="宋体"/>
          <w:sz w:val="24"/>
          <w:szCs w:val="24"/>
          <w:lang w:val="en-IE" w:eastAsia="zh-CN"/>
        </w:rPr>
        <w:t>）型，坝高为</w:t>
      </w:r>
      <w:r>
        <w:rPr>
          <w:rFonts w:hint="eastAsia" w:ascii="宋体" w:hAnsi="宋体" w:eastAsia="宋体" w:cs="宋体"/>
          <w:sz w:val="24"/>
          <w:szCs w:val="24"/>
          <w:lang w:val="en-US" w:eastAsia="zh-CN"/>
        </w:rPr>
        <w:t>11</w:t>
      </w:r>
      <w:r>
        <w:rPr>
          <w:rFonts w:hint="eastAsia" w:ascii="宋体" w:hAnsi="宋体" w:eastAsia="宋体" w:cs="宋体"/>
          <w:sz w:val="24"/>
          <w:szCs w:val="24"/>
          <w:lang w:val="en-IE" w:eastAsia="zh-CN"/>
        </w:rPr>
        <w:t>m，坝长</w:t>
      </w:r>
      <w:r>
        <w:rPr>
          <w:rFonts w:hint="eastAsia" w:ascii="宋体" w:hAnsi="宋体" w:eastAsia="宋体" w:cs="宋体"/>
          <w:sz w:val="24"/>
          <w:szCs w:val="24"/>
          <w:lang w:val="en-US" w:eastAsia="zh-CN"/>
        </w:rPr>
        <w:t>60</w:t>
      </w:r>
      <w:r>
        <w:rPr>
          <w:rFonts w:hint="eastAsia" w:ascii="宋体" w:hAnsi="宋体" w:eastAsia="宋体" w:cs="宋体"/>
          <w:sz w:val="24"/>
          <w:szCs w:val="24"/>
          <w:lang w:val="en-IE" w:eastAsia="zh-CN"/>
        </w:rPr>
        <w:t>m，坝顶宽为</w:t>
      </w:r>
      <w:r>
        <w:rPr>
          <w:rFonts w:hint="eastAsia" w:ascii="宋体" w:hAnsi="宋体" w:eastAsia="宋体" w:cs="宋体"/>
          <w:sz w:val="24"/>
          <w:szCs w:val="24"/>
          <w:lang w:val="en-US" w:eastAsia="zh-CN"/>
        </w:rPr>
        <w:t>7</w:t>
      </w:r>
      <w:r>
        <w:rPr>
          <w:rFonts w:hint="eastAsia" w:ascii="宋体" w:hAnsi="宋体" w:eastAsia="宋体" w:cs="宋体"/>
          <w:sz w:val="24"/>
          <w:szCs w:val="24"/>
          <w:lang w:val="en-IE" w:eastAsia="zh-CN"/>
        </w:rPr>
        <w:t>m，总库容</w:t>
      </w:r>
      <w:r>
        <w:rPr>
          <w:rFonts w:hint="eastAsia" w:ascii="宋体" w:hAnsi="宋体" w:eastAsia="宋体" w:cs="宋体"/>
          <w:sz w:val="24"/>
          <w:szCs w:val="24"/>
          <w:lang w:val="en-US" w:eastAsia="zh-CN"/>
        </w:rPr>
        <w:t>33</w:t>
      </w:r>
      <w:r>
        <w:rPr>
          <w:rFonts w:hint="eastAsia" w:ascii="宋体" w:hAnsi="宋体" w:eastAsia="宋体" w:cs="宋体"/>
          <w:sz w:val="24"/>
          <w:szCs w:val="24"/>
          <w:lang w:val="en-IE" w:eastAsia="zh-CN"/>
        </w:rPr>
        <w:t>万</w:t>
      </w:r>
      <w:r>
        <w:rPr>
          <w:rFonts w:hint="eastAsia" w:ascii="宋体" w:hAnsi="宋体" w:eastAsia="宋体" w:cs="宋体"/>
          <w:sz w:val="24"/>
          <w:szCs w:val="24"/>
          <w:lang w:val="en-US" w:eastAsia="zh-CN"/>
        </w:rPr>
        <w:t>m³</w:t>
      </w:r>
      <w:r>
        <w:rPr>
          <w:rFonts w:hint="eastAsia" w:ascii="宋体" w:hAnsi="宋体" w:eastAsia="宋体" w:cs="宋体"/>
          <w:sz w:val="24"/>
          <w:szCs w:val="24"/>
          <w:lang w:val="en-IE" w:eastAsia="zh-CN"/>
        </w:rPr>
        <w:t>。</w:t>
      </w:r>
    </w:p>
    <w:p w14:paraId="02F7EA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13.磨水水库位于城子镇磨水村委会，距县城29km，工程类别小（1）型，主坝坝高28m，坝长88m，坝顶宽5m；副坝坝高10m，坝长29m，坝顶宽5m，总库容209万m³</w:t>
      </w:r>
      <w:r>
        <w:rPr>
          <w:rFonts w:hint="eastAsia" w:ascii="宋体" w:hAnsi="宋体" w:eastAsia="宋体" w:cs="宋体"/>
          <w:sz w:val="24"/>
          <w:szCs w:val="24"/>
          <w:lang w:val="en-IE" w:eastAsia="zh-CN"/>
        </w:rPr>
        <w:t>。</w:t>
      </w:r>
    </w:p>
    <w:p w14:paraId="0ECD95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14.新山水库位于城子镇扎多村委会，距县城25km，工程类别小（2）型，坝高8.5m，坝长 102.1m，坝顶宽4m，总库容10.4万m³</w:t>
      </w:r>
      <w:r>
        <w:rPr>
          <w:rFonts w:hint="eastAsia" w:ascii="宋体" w:hAnsi="宋体" w:eastAsia="宋体" w:cs="宋体"/>
          <w:sz w:val="24"/>
          <w:szCs w:val="24"/>
          <w:lang w:val="en-IE" w:eastAsia="zh-CN"/>
        </w:rPr>
        <w:t>。</w:t>
      </w:r>
    </w:p>
    <w:p w14:paraId="48D86A5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lang w:val="en-IE" w:eastAsia="zh-CN"/>
        </w:rPr>
        <w:t>丙印南田水库位农场管委丙印社区，距县城约</w:t>
      </w:r>
      <w:r>
        <w:rPr>
          <w:rFonts w:hint="eastAsia" w:ascii="宋体" w:hAnsi="宋体" w:eastAsia="宋体" w:cs="宋体"/>
          <w:sz w:val="24"/>
          <w:szCs w:val="24"/>
          <w:lang w:val="en-US" w:eastAsia="zh-CN"/>
        </w:rPr>
        <w:t>26</w:t>
      </w:r>
      <w:r>
        <w:rPr>
          <w:rFonts w:hint="eastAsia" w:ascii="宋体" w:hAnsi="宋体" w:eastAsia="宋体" w:cs="宋体"/>
          <w:sz w:val="24"/>
          <w:szCs w:val="24"/>
          <w:lang w:val="en-IE" w:eastAsia="zh-CN"/>
        </w:rPr>
        <w:t>km，工程类别小（</w:t>
      </w:r>
      <w:r>
        <w:rPr>
          <w:rFonts w:hint="eastAsia" w:ascii="宋体" w:hAnsi="宋体" w:eastAsia="宋体" w:cs="宋体"/>
          <w:sz w:val="24"/>
          <w:szCs w:val="24"/>
          <w:lang w:val="en-US" w:eastAsia="zh-CN"/>
        </w:rPr>
        <w:t>2</w:t>
      </w:r>
      <w:r>
        <w:rPr>
          <w:rFonts w:hint="eastAsia" w:ascii="宋体" w:hAnsi="宋体" w:eastAsia="宋体" w:cs="宋体"/>
          <w:sz w:val="24"/>
          <w:szCs w:val="24"/>
          <w:lang w:val="en-IE" w:eastAsia="zh-CN"/>
        </w:rPr>
        <w:t>）型，坝高为</w:t>
      </w:r>
      <w:r>
        <w:rPr>
          <w:rFonts w:hint="eastAsia" w:ascii="宋体" w:hAnsi="宋体" w:eastAsia="宋体" w:cs="宋体"/>
          <w:sz w:val="24"/>
          <w:szCs w:val="24"/>
          <w:lang w:val="en-US" w:eastAsia="zh-CN"/>
        </w:rPr>
        <w:t>11.5</w:t>
      </w:r>
      <w:r>
        <w:rPr>
          <w:rFonts w:hint="eastAsia" w:ascii="宋体" w:hAnsi="宋体" w:eastAsia="宋体" w:cs="宋体"/>
          <w:sz w:val="24"/>
          <w:szCs w:val="24"/>
          <w:lang w:val="en-IE" w:eastAsia="zh-CN"/>
        </w:rPr>
        <w:t>m，坝长</w:t>
      </w:r>
      <w:r>
        <w:rPr>
          <w:rFonts w:hint="eastAsia" w:ascii="宋体" w:hAnsi="宋体" w:eastAsia="宋体" w:cs="宋体"/>
          <w:sz w:val="24"/>
          <w:szCs w:val="24"/>
          <w:lang w:val="en-US" w:eastAsia="zh-CN"/>
        </w:rPr>
        <w:t>122.25</w:t>
      </w:r>
      <w:r>
        <w:rPr>
          <w:rFonts w:hint="eastAsia" w:ascii="宋体" w:hAnsi="宋体" w:eastAsia="宋体" w:cs="宋体"/>
          <w:sz w:val="24"/>
          <w:szCs w:val="24"/>
          <w:lang w:val="en-IE" w:eastAsia="zh-CN"/>
        </w:rPr>
        <w:t>m，坝顶宽为</w:t>
      </w:r>
      <w:r>
        <w:rPr>
          <w:rFonts w:hint="eastAsia" w:ascii="宋体" w:hAnsi="宋体" w:eastAsia="宋体" w:cs="宋体"/>
          <w:sz w:val="24"/>
          <w:szCs w:val="24"/>
          <w:lang w:val="en-US" w:eastAsia="zh-CN"/>
        </w:rPr>
        <w:t>4</w:t>
      </w:r>
      <w:r>
        <w:rPr>
          <w:rFonts w:hint="eastAsia" w:ascii="宋体" w:hAnsi="宋体" w:eastAsia="宋体" w:cs="宋体"/>
          <w:sz w:val="24"/>
          <w:szCs w:val="24"/>
          <w:lang w:val="en-IE" w:eastAsia="zh-CN"/>
        </w:rPr>
        <w:t>m，总库容</w:t>
      </w:r>
      <w:r>
        <w:rPr>
          <w:rFonts w:hint="eastAsia" w:ascii="宋体" w:hAnsi="宋体" w:eastAsia="宋体" w:cs="宋体"/>
          <w:sz w:val="24"/>
          <w:szCs w:val="24"/>
          <w:lang w:val="en-US" w:eastAsia="zh-CN"/>
        </w:rPr>
        <w:t>24.5</w:t>
      </w:r>
      <w:r>
        <w:rPr>
          <w:rFonts w:hint="eastAsia" w:ascii="宋体" w:hAnsi="宋体" w:eastAsia="宋体" w:cs="宋体"/>
          <w:sz w:val="24"/>
          <w:szCs w:val="24"/>
          <w:lang w:val="en-IE" w:eastAsia="zh-CN"/>
        </w:rPr>
        <w:t>万m3。</w:t>
      </w:r>
    </w:p>
    <w:p w14:paraId="7337B8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16.红卫水库位于农场管委丙印社区，距县城24km，工程类别小（1）型，坝高为19.4m，坝长300m，坝顶宽为5m，总库容827万</w:t>
      </w:r>
      <w:r>
        <w:rPr>
          <w:rFonts w:hint="eastAsia" w:ascii="宋体" w:hAnsi="宋体" w:eastAsia="宋体" w:cs="宋体"/>
          <w:sz w:val="24"/>
          <w:szCs w:val="24"/>
          <w:lang w:val="en-IE" w:eastAsia="zh-CN"/>
        </w:rPr>
        <w:t>m3。</w:t>
      </w:r>
    </w:p>
    <w:p w14:paraId="27BB96E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17.弄掌水库位于城子镇姐乌村委会，距县城20km，工程类别小（2）型，坝高11m，坝长100m，坝顶宽4m，总库容45.76万m3</w:t>
      </w:r>
      <w:r>
        <w:rPr>
          <w:rFonts w:hint="eastAsia" w:ascii="宋体" w:hAnsi="宋体" w:eastAsia="宋体" w:cs="宋体"/>
          <w:sz w:val="24"/>
          <w:szCs w:val="24"/>
          <w:lang w:val="en-IE" w:eastAsia="zh-CN"/>
        </w:rPr>
        <w:t>。</w:t>
      </w:r>
    </w:p>
    <w:p w14:paraId="15358CA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r>
        <w:rPr>
          <w:rFonts w:hint="eastAsia" w:ascii="宋体" w:hAnsi="宋体" w:eastAsia="宋体" w:cs="宋体"/>
          <w:sz w:val="24"/>
          <w:szCs w:val="24"/>
          <w:lang w:val="en-IE" w:eastAsia="zh-CN"/>
        </w:rPr>
        <w:t>弄巴十队水库位于农场管委陇农社区，距县城约</w:t>
      </w:r>
      <w:r>
        <w:rPr>
          <w:rFonts w:hint="eastAsia" w:ascii="宋体" w:hAnsi="宋体" w:eastAsia="宋体" w:cs="宋体"/>
          <w:sz w:val="24"/>
          <w:szCs w:val="24"/>
          <w:lang w:val="en-US" w:eastAsia="zh-CN"/>
        </w:rPr>
        <w:t>18</w:t>
      </w:r>
      <w:r>
        <w:rPr>
          <w:rFonts w:hint="eastAsia" w:ascii="宋体" w:hAnsi="宋体" w:eastAsia="宋体" w:cs="宋体"/>
          <w:sz w:val="24"/>
          <w:szCs w:val="24"/>
          <w:lang w:val="en-IE" w:eastAsia="zh-CN"/>
        </w:rPr>
        <w:t>km，工程类别小（</w:t>
      </w:r>
      <w:r>
        <w:rPr>
          <w:rFonts w:hint="eastAsia" w:ascii="宋体" w:hAnsi="宋体" w:eastAsia="宋体" w:cs="宋体"/>
          <w:sz w:val="24"/>
          <w:szCs w:val="24"/>
          <w:lang w:val="en-US" w:eastAsia="zh-CN"/>
        </w:rPr>
        <w:t>2</w:t>
      </w:r>
      <w:r>
        <w:rPr>
          <w:rFonts w:hint="eastAsia" w:ascii="宋体" w:hAnsi="宋体" w:eastAsia="宋体" w:cs="宋体"/>
          <w:sz w:val="24"/>
          <w:szCs w:val="24"/>
          <w:lang w:val="en-IE" w:eastAsia="zh-CN"/>
        </w:rPr>
        <w:t>）型，坝高为</w:t>
      </w:r>
      <w:r>
        <w:rPr>
          <w:rFonts w:hint="eastAsia" w:ascii="宋体" w:hAnsi="宋体" w:eastAsia="宋体" w:cs="宋体"/>
          <w:sz w:val="24"/>
          <w:szCs w:val="24"/>
          <w:lang w:val="en-US" w:eastAsia="zh-CN"/>
        </w:rPr>
        <w:t>15.7</w:t>
      </w:r>
      <w:r>
        <w:rPr>
          <w:rFonts w:hint="eastAsia" w:ascii="宋体" w:hAnsi="宋体" w:eastAsia="宋体" w:cs="宋体"/>
          <w:sz w:val="24"/>
          <w:szCs w:val="24"/>
          <w:lang w:val="en-IE" w:eastAsia="zh-CN"/>
        </w:rPr>
        <w:t>m，坝长</w:t>
      </w:r>
      <w:r>
        <w:rPr>
          <w:rFonts w:hint="eastAsia" w:ascii="宋体" w:hAnsi="宋体" w:eastAsia="宋体" w:cs="宋体"/>
          <w:sz w:val="24"/>
          <w:szCs w:val="24"/>
          <w:lang w:val="en-US" w:eastAsia="zh-CN"/>
        </w:rPr>
        <w:t>137</w:t>
      </w:r>
      <w:r>
        <w:rPr>
          <w:rFonts w:hint="eastAsia" w:ascii="宋体" w:hAnsi="宋体" w:eastAsia="宋体" w:cs="宋体"/>
          <w:sz w:val="24"/>
          <w:szCs w:val="24"/>
          <w:lang w:val="en-IE" w:eastAsia="zh-CN"/>
        </w:rPr>
        <w:t>m，坝顶宽为</w:t>
      </w:r>
      <w:r>
        <w:rPr>
          <w:rFonts w:hint="eastAsia" w:ascii="宋体" w:hAnsi="宋体" w:eastAsia="宋体" w:cs="宋体"/>
          <w:sz w:val="24"/>
          <w:szCs w:val="24"/>
          <w:lang w:val="en-US" w:eastAsia="zh-CN"/>
        </w:rPr>
        <w:t>4</w:t>
      </w:r>
      <w:r>
        <w:rPr>
          <w:rFonts w:hint="eastAsia" w:ascii="宋体" w:hAnsi="宋体" w:eastAsia="宋体" w:cs="宋体"/>
          <w:sz w:val="24"/>
          <w:szCs w:val="24"/>
          <w:lang w:val="en-IE" w:eastAsia="zh-CN"/>
        </w:rPr>
        <w:t>m，总库容</w:t>
      </w:r>
      <w:r>
        <w:rPr>
          <w:rFonts w:hint="eastAsia" w:ascii="宋体" w:hAnsi="宋体" w:eastAsia="宋体" w:cs="宋体"/>
          <w:sz w:val="24"/>
          <w:szCs w:val="24"/>
          <w:lang w:val="en-US" w:eastAsia="zh-CN"/>
        </w:rPr>
        <w:t>47.6</w:t>
      </w:r>
      <w:r>
        <w:rPr>
          <w:rFonts w:hint="eastAsia" w:ascii="宋体" w:hAnsi="宋体" w:eastAsia="宋体" w:cs="宋体"/>
          <w:sz w:val="24"/>
          <w:szCs w:val="24"/>
          <w:lang w:val="en-IE" w:eastAsia="zh-CN"/>
        </w:rPr>
        <w:t>万</w:t>
      </w:r>
      <w:r>
        <w:rPr>
          <w:rFonts w:hint="eastAsia" w:ascii="宋体" w:hAnsi="宋体" w:eastAsia="宋体" w:cs="宋体"/>
          <w:sz w:val="24"/>
          <w:szCs w:val="24"/>
          <w:lang w:val="en-US" w:eastAsia="zh-CN"/>
        </w:rPr>
        <w:t>m3</w:t>
      </w:r>
      <w:r>
        <w:rPr>
          <w:rFonts w:hint="eastAsia" w:ascii="宋体" w:hAnsi="宋体" w:eastAsia="宋体" w:cs="宋体"/>
          <w:sz w:val="24"/>
          <w:szCs w:val="24"/>
          <w:lang w:val="en-IE" w:eastAsia="zh-CN"/>
        </w:rPr>
        <w:t>。</w:t>
      </w:r>
    </w:p>
    <w:p w14:paraId="6C354A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19.东湖水库位于农场管委陇农社区，距县城16km，工程类别小（2）型，坝高10m，坝长194m，坝顶宽4m，总库容86万m3</w:t>
      </w:r>
      <w:r>
        <w:rPr>
          <w:rFonts w:hint="eastAsia" w:ascii="宋体" w:hAnsi="宋体" w:eastAsia="宋体" w:cs="宋体"/>
          <w:sz w:val="24"/>
          <w:szCs w:val="24"/>
          <w:lang w:val="en-IE" w:eastAsia="zh-CN"/>
        </w:rPr>
        <w:t>。</w:t>
      </w:r>
    </w:p>
    <w:p w14:paraId="2202B64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r>
        <w:rPr>
          <w:rFonts w:hint="eastAsia" w:ascii="宋体" w:hAnsi="宋体" w:eastAsia="宋体" w:cs="宋体"/>
          <w:sz w:val="24"/>
          <w:szCs w:val="24"/>
          <w:lang w:val="en-IE" w:eastAsia="zh-CN"/>
        </w:rPr>
        <w:t>西湖水库位于农场管委陇川糖厂，距县城约</w:t>
      </w:r>
      <w:r>
        <w:rPr>
          <w:rFonts w:hint="eastAsia" w:ascii="宋体" w:hAnsi="宋体" w:eastAsia="宋体" w:cs="宋体"/>
          <w:sz w:val="24"/>
          <w:szCs w:val="24"/>
          <w:lang w:val="en-US" w:eastAsia="zh-CN"/>
        </w:rPr>
        <w:t>14</w:t>
      </w:r>
      <w:r>
        <w:rPr>
          <w:rFonts w:hint="eastAsia" w:ascii="宋体" w:hAnsi="宋体" w:eastAsia="宋体" w:cs="宋体"/>
          <w:sz w:val="24"/>
          <w:szCs w:val="24"/>
          <w:lang w:val="en-IE" w:eastAsia="zh-CN"/>
        </w:rPr>
        <w:t>km，工程类别小（</w:t>
      </w:r>
      <w:r>
        <w:rPr>
          <w:rFonts w:hint="eastAsia" w:ascii="宋体" w:hAnsi="宋体" w:eastAsia="宋体" w:cs="宋体"/>
          <w:sz w:val="24"/>
          <w:szCs w:val="24"/>
          <w:lang w:val="en-US" w:eastAsia="zh-CN"/>
        </w:rPr>
        <w:t>1</w:t>
      </w:r>
      <w:r>
        <w:rPr>
          <w:rFonts w:hint="eastAsia" w:ascii="宋体" w:hAnsi="宋体" w:eastAsia="宋体" w:cs="宋体"/>
          <w:sz w:val="24"/>
          <w:szCs w:val="24"/>
          <w:lang w:val="en-IE" w:eastAsia="zh-CN"/>
        </w:rPr>
        <w:t>）型，坝高为</w:t>
      </w:r>
      <w:r>
        <w:rPr>
          <w:rFonts w:hint="eastAsia" w:ascii="宋体" w:hAnsi="宋体" w:eastAsia="宋体" w:cs="宋体"/>
          <w:sz w:val="24"/>
          <w:szCs w:val="24"/>
          <w:lang w:val="en-US" w:eastAsia="zh-CN"/>
        </w:rPr>
        <w:t>12</w:t>
      </w:r>
      <w:r>
        <w:rPr>
          <w:rFonts w:hint="eastAsia" w:ascii="宋体" w:hAnsi="宋体" w:eastAsia="宋体" w:cs="宋体"/>
          <w:sz w:val="24"/>
          <w:szCs w:val="24"/>
          <w:lang w:val="en-IE" w:eastAsia="zh-CN"/>
        </w:rPr>
        <w:t>m，坝长</w:t>
      </w:r>
      <w:r>
        <w:rPr>
          <w:rFonts w:hint="eastAsia" w:ascii="宋体" w:hAnsi="宋体" w:eastAsia="宋体" w:cs="宋体"/>
          <w:sz w:val="24"/>
          <w:szCs w:val="24"/>
          <w:lang w:val="en-US" w:eastAsia="zh-CN"/>
        </w:rPr>
        <w:t>177</w:t>
      </w:r>
      <w:r>
        <w:rPr>
          <w:rFonts w:hint="eastAsia" w:ascii="宋体" w:hAnsi="宋体" w:eastAsia="宋体" w:cs="宋体"/>
          <w:sz w:val="24"/>
          <w:szCs w:val="24"/>
          <w:lang w:val="en-IE" w:eastAsia="zh-CN"/>
        </w:rPr>
        <w:t>m，坝顶宽为</w:t>
      </w:r>
      <w:r>
        <w:rPr>
          <w:rFonts w:hint="eastAsia" w:ascii="宋体" w:hAnsi="宋体" w:eastAsia="宋体" w:cs="宋体"/>
          <w:sz w:val="24"/>
          <w:szCs w:val="24"/>
          <w:lang w:val="en-US" w:eastAsia="zh-CN"/>
        </w:rPr>
        <w:t>10</w:t>
      </w:r>
      <w:r>
        <w:rPr>
          <w:rFonts w:hint="eastAsia" w:ascii="宋体" w:hAnsi="宋体" w:eastAsia="宋体" w:cs="宋体"/>
          <w:sz w:val="24"/>
          <w:szCs w:val="24"/>
          <w:lang w:val="en-IE" w:eastAsia="zh-CN"/>
        </w:rPr>
        <w:t>m，总库容</w:t>
      </w:r>
      <w:r>
        <w:rPr>
          <w:rFonts w:hint="eastAsia" w:ascii="宋体" w:hAnsi="宋体" w:eastAsia="宋体" w:cs="宋体"/>
          <w:sz w:val="24"/>
          <w:szCs w:val="24"/>
          <w:lang w:val="en-US" w:eastAsia="zh-CN"/>
        </w:rPr>
        <w:t>185.2</w:t>
      </w:r>
      <w:r>
        <w:rPr>
          <w:rFonts w:hint="eastAsia" w:ascii="宋体" w:hAnsi="宋体" w:eastAsia="宋体" w:cs="宋体"/>
          <w:sz w:val="24"/>
          <w:szCs w:val="24"/>
          <w:lang w:val="en-IE" w:eastAsia="zh-CN"/>
        </w:rPr>
        <w:t>万m3。</w:t>
      </w:r>
    </w:p>
    <w:p w14:paraId="2517C2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21.光相七队水库位于农场管委光相社区，距县城16km</w:t>
      </w:r>
      <w:r>
        <w:rPr>
          <w:rFonts w:hint="eastAsia" w:ascii="宋体" w:hAnsi="宋体" w:eastAsia="宋体" w:cs="宋体"/>
          <w:sz w:val="24"/>
          <w:szCs w:val="24"/>
          <w:lang w:val="en-IE" w:eastAsia="zh-CN"/>
        </w:rPr>
        <w:t>，</w:t>
      </w:r>
      <w:r>
        <w:rPr>
          <w:rFonts w:hint="eastAsia" w:ascii="宋体" w:hAnsi="宋体" w:eastAsia="宋体" w:cs="宋体"/>
          <w:sz w:val="24"/>
          <w:szCs w:val="24"/>
          <w:lang w:val="en-US" w:eastAsia="zh-CN"/>
        </w:rPr>
        <w:t>工程类别小（2）型，坝高12.6m，坝长154.6m，坝顶宽6m，总库容40.7万m3</w:t>
      </w:r>
      <w:r>
        <w:rPr>
          <w:rFonts w:hint="eastAsia" w:ascii="宋体" w:hAnsi="宋体" w:eastAsia="宋体" w:cs="宋体"/>
          <w:sz w:val="24"/>
          <w:szCs w:val="24"/>
          <w:lang w:val="en-IE" w:eastAsia="zh-CN"/>
        </w:rPr>
        <w:t>。</w:t>
      </w:r>
    </w:p>
    <w:p w14:paraId="1EDEFE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22.弄贯水库位于农场管委光相社区，距县城 12km，工程类别小（1）型，主坝高16m，坝长380m，坝顶宽5m；副坝高4.5m，坝长280m，坝顶宽4m，总库容178.8万m3</w:t>
      </w:r>
      <w:r>
        <w:rPr>
          <w:rFonts w:hint="eastAsia" w:ascii="宋体" w:hAnsi="宋体" w:eastAsia="宋体" w:cs="宋体"/>
          <w:sz w:val="24"/>
          <w:szCs w:val="24"/>
          <w:lang w:val="en-IE" w:eastAsia="zh-CN"/>
        </w:rPr>
        <w:t>。</w:t>
      </w:r>
    </w:p>
    <w:p w14:paraId="5AC0A71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23.光相八队水库位于农场管委光相社区，距县城13km，工程类别小（2）型，坝高10.7m，坝长183.1m，坝顶宽5m，总库容37.1万</w:t>
      </w:r>
      <w:r>
        <w:rPr>
          <w:rFonts w:hint="eastAsia" w:ascii="宋体" w:hAnsi="宋体" w:eastAsia="宋体" w:cs="宋体"/>
          <w:sz w:val="24"/>
          <w:szCs w:val="24"/>
          <w:lang w:val="en-IE" w:eastAsia="zh-CN"/>
        </w:rPr>
        <w:t>m3。</w:t>
      </w:r>
    </w:p>
    <w:p w14:paraId="66DC204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IE" w:eastAsia="zh-CN"/>
        </w:rPr>
      </w:pPr>
      <w:r>
        <w:rPr>
          <w:rFonts w:hint="eastAsia" w:ascii="宋体" w:hAnsi="宋体" w:eastAsia="宋体" w:cs="宋体"/>
          <w:sz w:val="24"/>
          <w:szCs w:val="24"/>
          <w:lang w:val="en-US" w:eastAsia="zh-CN"/>
        </w:rPr>
        <w:t>24.</w:t>
      </w:r>
      <w:r>
        <w:rPr>
          <w:rFonts w:hint="eastAsia" w:ascii="宋体" w:hAnsi="宋体" w:eastAsia="宋体" w:cs="宋体"/>
          <w:sz w:val="24"/>
          <w:szCs w:val="24"/>
          <w:lang w:val="en-IE" w:eastAsia="zh-CN"/>
        </w:rPr>
        <w:t>户岛水库位于陇把镇户岛村委会，距县城约</w:t>
      </w:r>
      <w:r>
        <w:rPr>
          <w:rFonts w:hint="eastAsia" w:ascii="宋体" w:hAnsi="宋体" w:eastAsia="宋体" w:cs="宋体"/>
          <w:sz w:val="24"/>
          <w:szCs w:val="24"/>
          <w:lang w:val="en-US" w:eastAsia="zh-CN"/>
        </w:rPr>
        <w:t>24</w:t>
      </w:r>
      <w:r>
        <w:rPr>
          <w:rFonts w:hint="eastAsia" w:ascii="宋体" w:hAnsi="宋体" w:eastAsia="宋体" w:cs="宋体"/>
          <w:sz w:val="24"/>
          <w:szCs w:val="24"/>
          <w:lang w:val="en-IE" w:eastAsia="zh-CN"/>
        </w:rPr>
        <w:t>km，工程类别小（</w:t>
      </w:r>
      <w:r>
        <w:rPr>
          <w:rFonts w:hint="eastAsia" w:ascii="宋体" w:hAnsi="宋体" w:eastAsia="宋体" w:cs="宋体"/>
          <w:sz w:val="24"/>
          <w:szCs w:val="24"/>
          <w:lang w:val="en-US" w:eastAsia="zh-CN"/>
        </w:rPr>
        <w:t>1</w:t>
      </w:r>
      <w:r>
        <w:rPr>
          <w:rFonts w:hint="eastAsia" w:ascii="宋体" w:hAnsi="宋体" w:eastAsia="宋体" w:cs="宋体"/>
          <w:sz w:val="24"/>
          <w:szCs w:val="24"/>
          <w:lang w:val="en-IE" w:eastAsia="zh-CN"/>
        </w:rPr>
        <w:t>）型，坝高为</w:t>
      </w:r>
      <w:r>
        <w:rPr>
          <w:rFonts w:hint="eastAsia" w:ascii="宋体" w:hAnsi="宋体" w:eastAsia="宋体" w:cs="宋体"/>
          <w:sz w:val="24"/>
          <w:szCs w:val="24"/>
          <w:lang w:val="en-US" w:eastAsia="zh-CN"/>
        </w:rPr>
        <w:t>56.7</w:t>
      </w:r>
      <w:r>
        <w:rPr>
          <w:rFonts w:hint="eastAsia" w:ascii="宋体" w:hAnsi="宋体" w:eastAsia="宋体" w:cs="宋体"/>
          <w:sz w:val="24"/>
          <w:szCs w:val="24"/>
          <w:lang w:val="en-IE" w:eastAsia="zh-CN"/>
        </w:rPr>
        <w:t>m，坝长</w:t>
      </w:r>
      <w:r>
        <w:rPr>
          <w:rFonts w:hint="eastAsia" w:ascii="宋体" w:hAnsi="宋体" w:eastAsia="宋体" w:cs="宋体"/>
          <w:sz w:val="24"/>
          <w:szCs w:val="24"/>
          <w:lang w:val="en-US" w:eastAsia="zh-CN"/>
        </w:rPr>
        <w:t>276.68</w:t>
      </w:r>
      <w:r>
        <w:rPr>
          <w:rFonts w:hint="eastAsia" w:ascii="宋体" w:hAnsi="宋体" w:eastAsia="宋体" w:cs="宋体"/>
          <w:sz w:val="24"/>
          <w:szCs w:val="24"/>
          <w:lang w:val="en-IE" w:eastAsia="zh-CN"/>
        </w:rPr>
        <w:t>m，坝顶宽为</w:t>
      </w:r>
      <w:r>
        <w:rPr>
          <w:rFonts w:hint="eastAsia" w:ascii="宋体" w:hAnsi="宋体" w:eastAsia="宋体" w:cs="宋体"/>
          <w:sz w:val="24"/>
          <w:szCs w:val="24"/>
          <w:lang w:val="en-US" w:eastAsia="zh-CN"/>
        </w:rPr>
        <w:t>5</w:t>
      </w:r>
      <w:r>
        <w:rPr>
          <w:rFonts w:hint="eastAsia" w:ascii="宋体" w:hAnsi="宋体" w:eastAsia="宋体" w:cs="宋体"/>
          <w:sz w:val="24"/>
          <w:szCs w:val="24"/>
          <w:lang w:val="en-IE" w:eastAsia="zh-CN"/>
        </w:rPr>
        <w:t>m，总库容</w:t>
      </w:r>
      <w:r>
        <w:rPr>
          <w:rFonts w:hint="eastAsia" w:ascii="宋体" w:hAnsi="宋体" w:eastAsia="宋体" w:cs="宋体"/>
          <w:sz w:val="24"/>
          <w:szCs w:val="24"/>
          <w:lang w:val="en-US" w:eastAsia="zh-CN"/>
        </w:rPr>
        <w:t>308</w:t>
      </w:r>
      <w:r>
        <w:rPr>
          <w:rFonts w:hint="eastAsia" w:ascii="宋体" w:hAnsi="宋体" w:eastAsia="宋体" w:cs="宋体"/>
          <w:sz w:val="24"/>
          <w:szCs w:val="24"/>
          <w:lang w:val="en-IE" w:eastAsia="zh-CN"/>
        </w:rPr>
        <w:t>万m3。</w:t>
      </w:r>
    </w:p>
    <w:p w14:paraId="496D3C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25.芒旦水库位于陇川县户撒乡芒炳村，距县城42km，工程类别中型，主坝坝高35.65m，坝长144.2m，坝顶宽5m；副坝高5.34m，坝长30m，坝顶宽5m，</w:t>
      </w:r>
      <w:r>
        <w:rPr>
          <w:rFonts w:hint="eastAsia" w:ascii="宋体" w:hAnsi="宋体" w:eastAsia="宋体" w:cs="宋体"/>
          <w:sz w:val="24"/>
          <w:szCs w:val="24"/>
          <w:lang w:val="en-IE" w:eastAsia="zh-CN"/>
        </w:rPr>
        <w:t>总</w:t>
      </w:r>
      <w:r>
        <w:rPr>
          <w:rFonts w:hint="eastAsia" w:ascii="宋体" w:hAnsi="宋体" w:eastAsia="宋体" w:cs="宋体"/>
          <w:sz w:val="24"/>
          <w:szCs w:val="24"/>
          <w:lang w:val="en-US" w:eastAsia="zh-CN"/>
        </w:rPr>
        <w:t>库容1080.3</w:t>
      </w:r>
      <w:r>
        <w:rPr>
          <w:rFonts w:hint="eastAsia" w:ascii="宋体" w:hAnsi="宋体" w:eastAsia="宋体" w:cs="宋体"/>
          <w:sz w:val="24"/>
          <w:szCs w:val="24"/>
          <w:lang w:val="en-IE" w:eastAsia="zh-CN"/>
        </w:rPr>
        <w:t>万m3。</w:t>
      </w:r>
    </w:p>
    <w:p w14:paraId="5089B6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26.帮董水库位于陇川县户撒乡芒炳村，距县城44km，工程类别小（1）型，主坝高43.4m，坝长120m，坝顶宽5m；副坝高8.7m，坝长72m，坝顶宽5m，总库容为386.1万m3</w:t>
      </w:r>
      <w:r>
        <w:rPr>
          <w:rFonts w:hint="eastAsia" w:ascii="宋体" w:hAnsi="宋体" w:eastAsia="宋体" w:cs="宋体"/>
          <w:sz w:val="24"/>
          <w:szCs w:val="24"/>
          <w:lang w:val="en-IE" w:eastAsia="zh-CN"/>
        </w:rPr>
        <w:t>。</w:t>
      </w:r>
    </w:p>
    <w:p w14:paraId="118073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IE" w:eastAsia="zh-CN"/>
        </w:rPr>
      </w:pPr>
      <w:r>
        <w:rPr>
          <w:rFonts w:hint="eastAsia" w:ascii="宋体" w:hAnsi="宋体" w:eastAsia="宋体" w:cs="宋体"/>
          <w:sz w:val="24"/>
          <w:szCs w:val="24"/>
          <w:lang w:val="en-US" w:eastAsia="zh-CN"/>
        </w:rPr>
        <w:t>27.</w:t>
      </w:r>
      <w:r>
        <w:rPr>
          <w:rFonts w:hint="eastAsia" w:ascii="宋体" w:hAnsi="宋体" w:eastAsia="宋体" w:cs="宋体"/>
          <w:sz w:val="24"/>
          <w:szCs w:val="24"/>
          <w:lang w:val="en-IE" w:eastAsia="zh-CN"/>
        </w:rPr>
        <w:t>老马寨水库位于户撒乡隆光村委会，距县城</w:t>
      </w:r>
      <w:r>
        <w:rPr>
          <w:rFonts w:hint="eastAsia" w:ascii="宋体" w:hAnsi="宋体" w:eastAsia="宋体" w:cs="宋体"/>
          <w:sz w:val="24"/>
          <w:szCs w:val="24"/>
          <w:lang w:val="en-US" w:eastAsia="zh-CN"/>
        </w:rPr>
        <w:t>49</w:t>
      </w:r>
      <w:r>
        <w:rPr>
          <w:rFonts w:hint="eastAsia" w:ascii="宋体" w:hAnsi="宋体" w:eastAsia="宋体" w:cs="宋体"/>
          <w:sz w:val="24"/>
          <w:szCs w:val="24"/>
          <w:lang w:val="en-IE" w:eastAsia="zh-CN"/>
        </w:rPr>
        <w:t>km，工程类别小（</w:t>
      </w:r>
      <w:r>
        <w:rPr>
          <w:rFonts w:hint="eastAsia" w:ascii="宋体" w:hAnsi="宋体" w:eastAsia="宋体" w:cs="宋体"/>
          <w:sz w:val="24"/>
          <w:szCs w:val="24"/>
          <w:lang w:val="en-US" w:eastAsia="zh-CN"/>
        </w:rPr>
        <w:t>2</w:t>
      </w:r>
      <w:r>
        <w:rPr>
          <w:rFonts w:hint="eastAsia" w:ascii="宋体" w:hAnsi="宋体" w:eastAsia="宋体" w:cs="宋体"/>
          <w:sz w:val="24"/>
          <w:szCs w:val="24"/>
          <w:lang w:val="en-IE" w:eastAsia="zh-CN"/>
        </w:rPr>
        <w:t>）型，坝高为</w:t>
      </w:r>
      <w:r>
        <w:rPr>
          <w:rFonts w:hint="eastAsia" w:ascii="宋体" w:hAnsi="宋体" w:eastAsia="宋体" w:cs="宋体"/>
          <w:sz w:val="24"/>
          <w:szCs w:val="24"/>
          <w:lang w:val="en-US" w:eastAsia="zh-CN"/>
        </w:rPr>
        <w:t>10.2</w:t>
      </w:r>
      <w:r>
        <w:rPr>
          <w:rFonts w:hint="eastAsia" w:ascii="宋体" w:hAnsi="宋体" w:eastAsia="宋体" w:cs="宋体"/>
          <w:sz w:val="24"/>
          <w:szCs w:val="24"/>
          <w:lang w:val="en-IE" w:eastAsia="zh-CN"/>
        </w:rPr>
        <w:t>m，坝长</w:t>
      </w:r>
      <w:r>
        <w:rPr>
          <w:rFonts w:hint="eastAsia" w:ascii="宋体" w:hAnsi="宋体" w:eastAsia="宋体" w:cs="宋体"/>
          <w:sz w:val="24"/>
          <w:szCs w:val="24"/>
          <w:lang w:val="en-US" w:eastAsia="zh-CN"/>
        </w:rPr>
        <w:t>156</w:t>
      </w:r>
      <w:r>
        <w:rPr>
          <w:rFonts w:hint="eastAsia" w:ascii="宋体" w:hAnsi="宋体" w:eastAsia="宋体" w:cs="宋体"/>
          <w:sz w:val="24"/>
          <w:szCs w:val="24"/>
          <w:lang w:val="en-IE" w:eastAsia="zh-CN"/>
        </w:rPr>
        <w:t>m，坝顶宽为</w:t>
      </w:r>
      <w:r>
        <w:rPr>
          <w:rFonts w:hint="eastAsia" w:ascii="宋体" w:hAnsi="宋体" w:eastAsia="宋体" w:cs="宋体"/>
          <w:sz w:val="24"/>
          <w:szCs w:val="24"/>
          <w:lang w:val="en-US" w:eastAsia="zh-CN"/>
        </w:rPr>
        <w:t>4</w:t>
      </w:r>
      <w:r>
        <w:rPr>
          <w:rFonts w:hint="eastAsia" w:ascii="宋体" w:hAnsi="宋体" w:eastAsia="宋体" w:cs="宋体"/>
          <w:sz w:val="24"/>
          <w:szCs w:val="24"/>
          <w:lang w:val="en-IE" w:eastAsia="zh-CN"/>
        </w:rPr>
        <w:t>m，</w:t>
      </w:r>
      <w:bookmarkStart w:id="249" w:name="OLE_LINK2"/>
      <w:r>
        <w:rPr>
          <w:rFonts w:hint="eastAsia" w:ascii="宋体" w:hAnsi="宋体" w:eastAsia="宋体" w:cs="宋体"/>
          <w:sz w:val="24"/>
          <w:szCs w:val="24"/>
          <w:lang w:val="en-IE" w:eastAsia="zh-CN"/>
        </w:rPr>
        <w:t>总库</w:t>
      </w:r>
      <w:bookmarkEnd w:id="249"/>
      <w:r>
        <w:rPr>
          <w:rFonts w:hint="eastAsia" w:ascii="宋体" w:hAnsi="宋体" w:eastAsia="宋体" w:cs="宋体"/>
          <w:sz w:val="24"/>
          <w:szCs w:val="24"/>
          <w:lang w:val="en-IE" w:eastAsia="zh-CN"/>
        </w:rPr>
        <w:t>容</w:t>
      </w:r>
      <w:r>
        <w:rPr>
          <w:rFonts w:hint="eastAsia" w:ascii="宋体" w:hAnsi="宋体" w:eastAsia="宋体" w:cs="宋体"/>
          <w:sz w:val="24"/>
          <w:szCs w:val="24"/>
          <w:lang w:val="en-US" w:eastAsia="zh-CN"/>
        </w:rPr>
        <w:t>10.4</w:t>
      </w:r>
      <w:r>
        <w:rPr>
          <w:rFonts w:hint="eastAsia" w:ascii="宋体" w:hAnsi="宋体" w:eastAsia="宋体" w:cs="宋体"/>
          <w:sz w:val="24"/>
          <w:szCs w:val="24"/>
          <w:lang w:val="en-IE" w:eastAsia="zh-CN"/>
        </w:rPr>
        <w:t>万m3。</w:t>
      </w:r>
    </w:p>
    <w:p w14:paraId="2242EA7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IE" w:eastAsia="zh-CN"/>
        </w:rPr>
      </w:pPr>
      <w:r>
        <w:rPr>
          <w:rFonts w:hint="eastAsia" w:ascii="宋体" w:hAnsi="宋体" w:eastAsia="宋体" w:cs="宋体"/>
          <w:sz w:val="24"/>
          <w:szCs w:val="24"/>
          <w:lang w:val="en-US" w:eastAsia="zh-CN"/>
        </w:rPr>
        <w:t>28.地方头水库位于户撒乡芒捧村委会，距县城54km，工程类别小（1）型，坝高12m，坝长 604m，坝顶宽4m，总库容359.9万</w:t>
      </w:r>
      <w:r>
        <w:rPr>
          <w:rFonts w:hint="eastAsia" w:ascii="宋体" w:hAnsi="宋体" w:eastAsia="宋体" w:cs="宋体"/>
          <w:sz w:val="24"/>
          <w:szCs w:val="24"/>
          <w:lang w:val="en-IE" w:eastAsia="zh-CN"/>
        </w:rPr>
        <w:t>m3。</w:t>
      </w:r>
    </w:p>
    <w:p w14:paraId="168ACF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s="宋体"/>
          <w:sz w:val="24"/>
          <w:szCs w:val="24"/>
          <w:lang w:val="en-US" w:eastAsia="zh-CN"/>
        </w:rPr>
      </w:pPr>
      <w:r>
        <w:rPr>
          <w:rFonts w:hint="eastAsia" w:ascii="宋体" w:hAnsi="宋体" w:eastAsia="宋体" w:cs="宋体"/>
          <w:sz w:val="24"/>
          <w:szCs w:val="24"/>
          <w:lang w:val="en-US" w:eastAsia="zh-CN"/>
        </w:rPr>
        <w:t>29.南宛河发源于陇川县清平乡野油坝和蕨叶坝诸山溪，自东北向西南蜿蜒贯穿陇川坝，河长65.7km，流域面积1426.3km2，本项目防治堤防长87.254km，分别位于护国清平段14.939km、麻栗坝至城子大桥段9.26km、城子段25.175km、景罕段19.1km、章凤段18.78km。</w:t>
      </w:r>
    </w:p>
    <w:p w14:paraId="1714B50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sz w:val="24"/>
          <w:szCs w:val="24"/>
          <w:lang w:val="en-US" w:eastAsia="zh-CN"/>
        </w:rPr>
      </w:pPr>
      <w:bookmarkStart w:id="250" w:name="_Toc24608"/>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、防治措施</w:t>
      </w:r>
    </w:p>
    <w:bookmarkEnd w:id="250"/>
    <w:p w14:paraId="0A18838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sz w:val="24"/>
          <w:szCs w:val="24"/>
          <w:lang w:val="en-US" w:eastAsia="zh-CN"/>
        </w:rPr>
      </w:pPr>
      <w:bookmarkStart w:id="251" w:name="_Toc26568"/>
      <w:bookmarkStart w:id="252" w:name="_Toc11232"/>
      <w:r>
        <w:rPr>
          <w:rFonts w:hint="eastAsia" w:ascii="宋体" w:hAnsi="宋体" w:eastAsia="宋体" w:cs="宋体"/>
          <w:b/>
          <w:bCs/>
          <w:sz w:val="24"/>
          <w:szCs w:val="24"/>
          <w:lang w:val="en-US" w:eastAsia="zh-CN"/>
        </w:rPr>
        <w:t>1.水库工程白蚁防治措施</w:t>
      </w:r>
      <w:bookmarkEnd w:id="251"/>
    </w:p>
    <w:p w14:paraId="797F91CA">
      <w:pPr>
        <w:keepNext w:val="0"/>
        <w:keepLines w:val="0"/>
        <w:pageBreakBefore w:val="0"/>
        <w:widowControl w:val="0"/>
        <w:shd w:val="clear"/>
        <w:kinsoku/>
        <w:wordWrap/>
        <w:overflowPunct/>
        <w:topLinePunct w:val="0"/>
        <w:autoSpaceDE/>
        <w:autoSpaceDN/>
        <w:bidi w:val="0"/>
        <w:adjustRightInd/>
        <w:snapToGrid/>
        <w:spacing w:line="414"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（1）蚁巢开挖回填(人工挖巢）：</w:t>
      </w:r>
      <w:r>
        <w:rPr>
          <w:rFonts w:hint="eastAsia" w:ascii="宋体" w:hAnsi="宋体" w:eastAsia="宋体" w:cs="宋体"/>
          <w:sz w:val="24"/>
          <w:szCs w:val="24"/>
          <w:lang w:val="en-US" w:eastAsia="zh-CN"/>
        </w:rPr>
        <w:t>根据白蚁的生物习性，在发现泥被、泥线、分飞孔、被蛀食物、蚁巢伞及炭角菌等白蚁外露特征区域，判定巢位后进行挖巢，经开挖找到蚁路并追踪至副巢，主巢灭捕蚁王、蚁后（及时清理巢腔内的卫星菌巢，对巢腔内喷洒专业灭蚁药液灭杀残余白蚁个体），取巢完成后应及时清除周围松动的土体，并采用与工程原土料类似的土回填夯实至原貌，压实度不应小于原设计值或规范允许值（高水位运行时不建议采用此方法）。</w:t>
      </w:r>
    </w:p>
    <w:p w14:paraId="56167E44">
      <w:pPr>
        <w:keepNext w:val="0"/>
        <w:keepLines w:val="0"/>
        <w:pageBreakBefore w:val="0"/>
        <w:widowControl w:val="0"/>
        <w:shd w:val="clear"/>
        <w:kinsoku/>
        <w:wordWrap/>
        <w:overflowPunct/>
        <w:topLinePunct w:val="0"/>
        <w:autoSpaceDE/>
        <w:autoSpaceDN/>
        <w:bidi w:val="0"/>
        <w:adjustRightInd/>
        <w:snapToGrid/>
        <w:spacing w:line="414" w:lineRule="exact"/>
        <w:ind w:firstLine="482" w:firstLineChars="200"/>
        <w:textAlignment w:val="auto"/>
        <w:rPr>
          <w:rFonts w:hint="eastAsia" w:asciiTheme="minorEastAsia" w:hAnsiTheme="minorEastAsia" w:cstheme="minorEastAsia"/>
          <w:color w:val="auto"/>
          <w:sz w:val="24"/>
          <w:szCs w:val="32"/>
          <w:highlight w:val="none"/>
          <w:lang w:val="en-US" w:eastAsia="zh-CN"/>
        </w:rPr>
      </w:pPr>
      <w:r>
        <w:rPr>
          <w:rFonts w:hint="eastAsia" w:asciiTheme="minorEastAsia" w:hAnsiTheme="minorEastAsia" w:cstheme="minorEastAsia"/>
          <w:b/>
          <w:bCs/>
          <w:color w:val="auto"/>
          <w:sz w:val="24"/>
          <w:szCs w:val="32"/>
          <w:lang w:val="en-US" w:eastAsia="zh-CN"/>
        </w:rPr>
        <w:t>（2）钻孔灌药：</w:t>
      </w:r>
      <w:r>
        <w:rPr>
          <w:rFonts w:hint="eastAsia" w:asciiTheme="minorEastAsia" w:hAnsiTheme="minorEastAsia" w:cstheme="minorEastAsia"/>
          <w:color w:val="auto"/>
          <w:sz w:val="24"/>
          <w:szCs w:val="32"/>
          <w:highlight w:val="none"/>
          <w:lang w:val="en-US" w:eastAsia="zh-CN"/>
        </w:rPr>
        <w:t>作用在于配合人工挖巢的辅助方法，加强灭蚁效果，用于处置坝面上尚未挖除或遗漏的小主巢、副巢、蚁道的灭杀措施。方法：在大坝背水坡常</w:t>
      </w:r>
      <w:bookmarkStart w:id="253" w:name="OLE_LINK1"/>
      <w:r>
        <w:rPr>
          <w:rFonts w:hint="eastAsia" w:asciiTheme="minorEastAsia" w:hAnsiTheme="minorEastAsia" w:cstheme="minorEastAsia"/>
          <w:color w:val="auto"/>
          <w:sz w:val="24"/>
          <w:szCs w:val="32"/>
          <w:highlight w:val="none"/>
          <w:lang w:val="en-US" w:eastAsia="zh-CN"/>
        </w:rPr>
        <w:t>浸水位线</w:t>
      </w:r>
      <w:bookmarkEnd w:id="253"/>
      <w:r>
        <w:rPr>
          <w:rFonts w:hint="eastAsia" w:asciiTheme="minorEastAsia" w:hAnsiTheme="minorEastAsia" w:cstheme="minorEastAsia"/>
          <w:color w:val="auto"/>
          <w:sz w:val="24"/>
          <w:szCs w:val="32"/>
          <w:highlight w:val="none"/>
          <w:lang w:val="en-US" w:eastAsia="zh-CN"/>
        </w:rPr>
        <w:t>附近及以上坝面，或开挖蚁巢周围，以直径2cm钢钎，钻出深30～50cm的孔洞。注入100～300ml的稀释的专业白蚁防治药物，以渗透到坝体深层，毒杀小主巢副巢中的工蚁及兵蚁，阻止其对坝体的破坏。坝体较高时可仅在背水坡1/3-1/2区域至坝顶之间钻孔灌药，也可全坝实施钻孔灌药；坝体高度较低的可全坝钻孔灌药。具体结合坝面白蚁危害程度、土质等情况现场灵活确定。</w:t>
      </w:r>
    </w:p>
    <w:p w14:paraId="7DCF7EEC">
      <w:pPr>
        <w:keepNext w:val="0"/>
        <w:keepLines w:val="0"/>
        <w:pageBreakBefore w:val="0"/>
        <w:widowControl w:val="0"/>
        <w:shd w:val="clear"/>
        <w:kinsoku/>
        <w:wordWrap/>
        <w:overflowPunct/>
        <w:topLinePunct w:val="0"/>
        <w:autoSpaceDE/>
        <w:autoSpaceDN/>
        <w:bidi w:val="0"/>
        <w:adjustRightInd/>
        <w:snapToGrid/>
        <w:spacing w:line="414" w:lineRule="exact"/>
        <w:ind w:firstLine="482" w:firstLineChars="200"/>
        <w:textAlignment w:val="auto"/>
        <w:rPr>
          <w:rFonts w:hint="eastAsia" w:asciiTheme="minorEastAsia" w:hAnsiTheme="minorEastAsia" w:cstheme="minorEastAsia"/>
          <w:color w:val="auto"/>
          <w:sz w:val="24"/>
          <w:szCs w:val="32"/>
          <w:lang w:val="en-US" w:eastAsia="zh-CN"/>
        </w:rPr>
      </w:pPr>
      <w:r>
        <w:rPr>
          <w:rFonts w:hint="eastAsia" w:asciiTheme="minorEastAsia" w:hAnsiTheme="minorEastAsia" w:cstheme="minorEastAsia"/>
          <w:b/>
          <w:bCs/>
          <w:color w:val="auto"/>
          <w:sz w:val="24"/>
          <w:szCs w:val="32"/>
          <w:lang w:val="en-US" w:eastAsia="zh-CN"/>
        </w:rPr>
        <w:t>（3）投放诱杀包：</w:t>
      </w:r>
      <w:r>
        <w:rPr>
          <w:rFonts w:hint="eastAsia" w:asciiTheme="minorEastAsia" w:hAnsiTheme="minorEastAsia" w:cstheme="minorEastAsia"/>
          <w:color w:val="auto"/>
          <w:sz w:val="24"/>
          <w:szCs w:val="32"/>
          <w:lang w:val="en-US" w:eastAsia="zh-CN"/>
        </w:rPr>
        <w:t>用于诱杀残存于蚁道及遗漏在副巢中的工蚁。方法：在开挖蚁巢周围或常浸水位线附近，单坑</w:t>
      </w:r>
      <w:r>
        <w:rPr>
          <w:rFonts w:hint="eastAsia" w:asciiTheme="minorEastAsia" w:hAnsiTheme="minorEastAsia" w:cstheme="minorEastAsia"/>
          <w:color w:val="auto"/>
          <w:sz w:val="24"/>
          <w:szCs w:val="32"/>
          <w:highlight w:val="none"/>
          <w:lang w:val="en-US" w:eastAsia="zh-CN"/>
        </w:rPr>
        <w:t>开挖面积约400平方厘米，深约15～20cm的土坑，</w:t>
      </w:r>
      <w:r>
        <w:rPr>
          <w:rFonts w:hint="eastAsia" w:asciiTheme="minorEastAsia" w:hAnsiTheme="minorEastAsia" w:cstheme="minorEastAsia"/>
          <w:color w:val="auto"/>
          <w:sz w:val="24"/>
          <w:szCs w:val="32"/>
          <w:lang w:val="en-US" w:eastAsia="zh-CN"/>
        </w:rPr>
        <w:t>放置1～4个诱杀包后回填。诱杀包为掺有毒杀药物的白蚁喜食的粉末状木屑，使用密度以蚁巢密度为参照。</w:t>
      </w:r>
    </w:p>
    <w:p w14:paraId="2816A669">
      <w:pPr>
        <w:keepNext w:val="0"/>
        <w:keepLines w:val="0"/>
        <w:pageBreakBefore w:val="0"/>
        <w:widowControl w:val="0"/>
        <w:numPr>
          <w:ilvl w:val="0"/>
          <w:numId w:val="0"/>
        </w:numPr>
        <w:shd w:val="clear"/>
        <w:kinsoku/>
        <w:wordWrap/>
        <w:overflowPunct/>
        <w:topLinePunct w:val="0"/>
        <w:autoSpaceDE/>
        <w:autoSpaceDN/>
        <w:bidi w:val="0"/>
        <w:adjustRightInd/>
        <w:snapToGrid/>
        <w:spacing w:line="414" w:lineRule="exact"/>
        <w:ind w:firstLine="482" w:firstLineChars="200"/>
        <w:textAlignment w:val="auto"/>
        <w:rPr>
          <w:rFonts w:hint="eastAsia" w:asciiTheme="minorEastAsia" w:hAnsiTheme="minorEastAsia" w:cstheme="minorEastAsia"/>
          <w:color w:val="auto"/>
          <w:sz w:val="24"/>
          <w:szCs w:val="32"/>
          <w:lang w:val="en-US" w:eastAsia="zh-CN"/>
        </w:rPr>
      </w:pPr>
      <w:r>
        <w:rPr>
          <w:rFonts w:hint="eastAsia" w:asciiTheme="minorEastAsia" w:hAnsiTheme="minorEastAsia" w:cstheme="minorEastAsia"/>
          <w:b/>
          <w:bCs/>
          <w:color w:val="auto"/>
          <w:sz w:val="24"/>
          <w:szCs w:val="32"/>
          <w:lang w:val="en-US" w:eastAsia="zh-CN"/>
        </w:rPr>
        <w:t>（4）喷洒药物（坝面施药）：</w:t>
      </w:r>
      <w:r>
        <w:rPr>
          <w:rFonts w:hint="eastAsia" w:asciiTheme="minorEastAsia" w:hAnsiTheme="minorEastAsia" w:cstheme="minorEastAsia"/>
          <w:color w:val="auto"/>
          <w:sz w:val="24"/>
          <w:szCs w:val="32"/>
          <w:lang w:val="en-US" w:eastAsia="zh-CN"/>
        </w:rPr>
        <w:t>杀灭坝面上觅食的工蚁及其他昆虫，减少坝面白蚁活动，巩固人工挖巢成果。方法：稀释白蚁药物至适当浓度，使用喷雾器对坝面等防治区域进行药物喷洒。施药范围为背水坡、蚁源区重点部位及白蚁活动严重部位。</w:t>
      </w:r>
    </w:p>
    <w:p w14:paraId="1547A19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sz w:val="24"/>
          <w:szCs w:val="24"/>
          <w:lang w:val="en-US" w:eastAsia="zh-CN"/>
        </w:rPr>
      </w:pPr>
      <w:bookmarkStart w:id="254" w:name="_Toc18745"/>
      <w:r>
        <w:rPr>
          <w:rFonts w:hint="eastAsia" w:ascii="宋体" w:hAnsi="宋体" w:eastAsia="宋体" w:cs="宋体"/>
          <w:b/>
          <w:bCs/>
          <w:sz w:val="24"/>
          <w:szCs w:val="24"/>
          <w:lang w:val="en-US" w:eastAsia="zh-CN"/>
        </w:rPr>
        <w:t>2.堤防工程白蚁防治措施</w:t>
      </w:r>
      <w:bookmarkEnd w:id="254"/>
    </w:p>
    <w:p w14:paraId="71BDA330">
      <w:pPr>
        <w:keepNext w:val="0"/>
        <w:keepLines w:val="0"/>
        <w:pageBreakBefore w:val="0"/>
        <w:widowControl w:val="0"/>
        <w:numPr>
          <w:ilvl w:val="0"/>
          <w:numId w:val="0"/>
        </w:numPr>
        <w:shd w:val="clear"/>
        <w:kinsoku/>
        <w:wordWrap/>
        <w:overflowPunct/>
        <w:topLinePunct w:val="0"/>
        <w:autoSpaceDE/>
        <w:autoSpaceDN/>
        <w:bidi w:val="0"/>
        <w:adjustRightInd/>
        <w:snapToGrid/>
        <w:spacing w:line="414" w:lineRule="exact"/>
        <w:ind w:firstLine="482" w:firstLineChars="200"/>
        <w:textAlignment w:val="auto"/>
        <w:rPr>
          <w:rFonts w:hint="eastAsia" w:asciiTheme="minorEastAsia" w:hAnsiTheme="minorEastAsia" w:cstheme="minorEastAsia"/>
          <w:b w:val="0"/>
          <w:bCs w:val="0"/>
          <w:color w:val="auto"/>
          <w:sz w:val="24"/>
          <w:szCs w:val="32"/>
          <w:lang w:val="en-US" w:eastAsia="zh-CN"/>
        </w:rPr>
      </w:pPr>
      <w:r>
        <w:rPr>
          <w:rFonts w:hint="eastAsia" w:asciiTheme="minorEastAsia" w:hAnsiTheme="minorEastAsia" w:cstheme="minorEastAsia"/>
          <w:b/>
          <w:bCs/>
          <w:color w:val="auto"/>
          <w:sz w:val="24"/>
          <w:szCs w:val="32"/>
          <w:lang w:val="en-US" w:eastAsia="zh-CN"/>
        </w:rPr>
        <w:t>（1）蚁巢开挖回填(人工挖巢）：</w:t>
      </w:r>
      <w:r>
        <w:rPr>
          <w:rFonts w:hint="eastAsia" w:asciiTheme="minorEastAsia" w:hAnsiTheme="minorEastAsia" w:cstheme="minorEastAsia"/>
          <w:b w:val="0"/>
          <w:bCs w:val="0"/>
          <w:color w:val="auto"/>
          <w:sz w:val="24"/>
          <w:szCs w:val="32"/>
          <w:lang w:val="en-US" w:eastAsia="zh-CN"/>
        </w:rPr>
        <w:t>根据白蚁的生物习性，在发现泥被、泥线、分飞孔、被蛀食物、蚁巢伞及炭角菌等白蚁外露特征区域，判定巢位后进行挖巢，经开挖找到蚁路并追踪至副巢，主巢灭捕蚁王、蚁后（及时清理巢腔内的卫星菌巢，对巢腔内喷洒专业灭蚁药液灭杀残余白蚁个体），取巢完成后应及时清除周围松动的土体，并采用与工程原土料类似的土回填夯实至原貌，压实度不应小于原设计值或规范允许值（高水位运行时不建议采用此方法）。</w:t>
      </w:r>
    </w:p>
    <w:p w14:paraId="50B3F067">
      <w:pPr>
        <w:keepNext w:val="0"/>
        <w:keepLines w:val="0"/>
        <w:pageBreakBefore w:val="0"/>
        <w:widowControl w:val="0"/>
        <w:shd w:val="clear"/>
        <w:kinsoku/>
        <w:wordWrap/>
        <w:overflowPunct/>
        <w:topLinePunct w:val="0"/>
        <w:autoSpaceDE/>
        <w:autoSpaceDN/>
        <w:bidi w:val="0"/>
        <w:adjustRightInd/>
        <w:snapToGrid/>
        <w:spacing w:line="414" w:lineRule="exact"/>
        <w:ind w:firstLine="482" w:firstLineChars="200"/>
        <w:textAlignment w:val="auto"/>
        <w:rPr>
          <w:rFonts w:hint="eastAsia" w:asciiTheme="minorEastAsia" w:hAnsiTheme="minorEastAsia" w:cstheme="minorEastAsia"/>
          <w:color w:val="auto"/>
          <w:sz w:val="24"/>
          <w:szCs w:val="32"/>
          <w:highlight w:val="none"/>
          <w:lang w:val="en-US" w:eastAsia="zh-CN"/>
        </w:rPr>
      </w:pPr>
      <w:r>
        <w:rPr>
          <w:rFonts w:hint="eastAsia" w:asciiTheme="minorEastAsia" w:hAnsiTheme="minorEastAsia" w:cstheme="minorEastAsia"/>
          <w:b/>
          <w:bCs/>
          <w:color w:val="auto"/>
          <w:sz w:val="24"/>
          <w:szCs w:val="32"/>
          <w:highlight w:val="none"/>
          <w:lang w:val="en-US" w:eastAsia="zh-CN"/>
        </w:rPr>
        <w:t>（2）投放诱杀包：</w:t>
      </w:r>
      <w:r>
        <w:rPr>
          <w:rFonts w:hint="eastAsia" w:asciiTheme="minorEastAsia" w:hAnsiTheme="minorEastAsia" w:cstheme="minorEastAsia"/>
          <w:color w:val="auto"/>
          <w:sz w:val="24"/>
          <w:szCs w:val="32"/>
          <w:highlight w:val="none"/>
          <w:lang w:val="en-US" w:eastAsia="zh-CN"/>
        </w:rPr>
        <w:t>用于诱杀残存于蚁道及遗漏在副巢中的工蚁。方法：在人工挖巢周围区域，单坑开挖面积约400平方厘米，深约15～20cm的土坑，放置1～4个诱杀包后回填。诱杀包为掺有毒杀药物的白蚁喜食的粉末状木屑，使用密度以蚁巢密度为参照。</w:t>
      </w:r>
    </w:p>
    <w:p w14:paraId="65E1BFB0">
      <w:pPr>
        <w:keepNext w:val="0"/>
        <w:keepLines w:val="0"/>
        <w:pageBreakBefore w:val="0"/>
        <w:widowControl w:val="0"/>
        <w:numPr>
          <w:ilvl w:val="0"/>
          <w:numId w:val="0"/>
        </w:numPr>
        <w:shd w:val="clear"/>
        <w:kinsoku/>
        <w:wordWrap/>
        <w:overflowPunct/>
        <w:topLinePunct w:val="0"/>
        <w:autoSpaceDE/>
        <w:autoSpaceDN/>
        <w:bidi w:val="0"/>
        <w:adjustRightInd/>
        <w:snapToGrid/>
        <w:spacing w:line="414" w:lineRule="exact"/>
        <w:ind w:firstLine="482" w:firstLineChars="200"/>
        <w:textAlignment w:val="auto"/>
        <w:rPr>
          <w:rFonts w:hint="eastAsia" w:ascii="标准粗黑" w:hAnsi="标准粗黑" w:eastAsia="标准粗黑" w:cs="标准粗黑"/>
          <w:sz w:val="28"/>
          <w:szCs w:val="28"/>
          <w:lang w:val="en-US" w:eastAsia="zh-CN"/>
        </w:rPr>
      </w:pPr>
      <w:r>
        <w:rPr>
          <w:rFonts w:hint="eastAsia" w:asciiTheme="minorEastAsia" w:hAnsiTheme="minorEastAsia" w:cstheme="minorEastAsia"/>
          <w:b/>
          <w:bCs/>
          <w:color w:val="auto"/>
          <w:sz w:val="24"/>
          <w:szCs w:val="32"/>
          <w:lang w:val="en-US" w:eastAsia="zh-CN"/>
        </w:rPr>
        <w:t>（3）喷洒药物（堤面施药）：</w:t>
      </w:r>
      <w:r>
        <w:rPr>
          <w:rFonts w:hint="eastAsia" w:asciiTheme="minorEastAsia" w:hAnsiTheme="minorEastAsia" w:cstheme="minorEastAsia"/>
          <w:color w:val="auto"/>
          <w:sz w:val="24"/>
          <w:szCs w:val="32"/>
          <w:lang w:val="en-US" w:eastAsia="zh-CN"/>
        </w:rPr>
        <w:t>杀灭堤面上觅食的工蚁及其他昆虫。减少堤面白蚁活动。巩固人工挖巢成果。方法：稀释白蚁药物至适当浓度，使用喷雾器对人工挖巢30㎡防治区域进行药物喷洒。</w:t>
      </w:r>
    </w:p>
    <w:p w14:paraId="03098E7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default" w:ascii="宋体" w:hAnsi="宋体" w:eastAsia="宋体" w:cs="宋体"/>
          <w:b/>
          <w:bCs/>
          <w:sz w:val="24"/>
          <w:szCs w:val="24"/>
          <w:lang w:val="en-US" w:eastAsia="zh-CN"/>
        </w:rPr>
      </w:pPr>
      <w:bookmarkStart w:id="255" w:name="_Toc26425"/>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红火蚁治理措施</w:t>
      </w:r>
      <w:bookmarkEnd w:id="255"/>
    </w:p>
    <w:p w14:paraId="5321F348">
      <w:pPr>
        <w:keepNext w:val="0"/>
        <w:keepLines w:val="0"/>
        <w:pageBreakBefore w:val="0"/>
        <w:widowControl w:val="0"/>
        <w:numPr>
          <w:ilvl w:val="0"/>
          <w:numId w:val="0"/>
        </w:numPr>
        <w:shd w:val="clear"/>
        <w:kinsoku/>
        <w:wordWrap/>
        <w:overflowPunct/>
        <w:topLinePunct w:val="0"/>
        <w:autoSpaceDE/>
        <w:autoSpaceDN/>
        <w:bidi w:val="0"/>
        <w:adjustRightInd/>
        <w:snapToGrid/>
        <w:spacing w:line="414" w:lineRule="exact"/>
        <w:ind w:firstLine="482" w:firstLineChars="200"/>
        <w:textAlignment w:val="auto"/>
        <w:rPr>
          <w:rFonts w:hint="eastAsia" w:ascii="标准粗黑" w:hAnsi="标准粗黑" w:eastAsia="标准粗黑" w:cs="标准粗黑"/>
          <w:sz w:val="28"/>
          <w:szCs w:val="28"/>
          <w:lang w:val="en-US" w:eastAsia="zh-CN"/>
        </w:rPr>
      </w:pPr>
      <w:r>
        <w:rPr>
          <w:rFonts w:hint="eastAsia" w:asciiTheme="minorEastAsia" w:hAnsiTheme="minorEastAsia" w:cstheme="minorEastAsia"/>
          <w:b/>
          <w:bCs/>
          <w:color w:val="auto"/>
          <w:sz w:val="24"/>
          <w:szCs w:val="32"/>
          <w:lang w:val="en-US" w:eastAsia="zh-CN"/>
        </w:rPr>
        <w:t>红火蚁扒巢药杀：</w:t>
      </w:r>
      <w:r>
        <w:rPr>
          <w:rFonts w:hint="eastAsia" w:asciiTheme="minorEastAsia" w:hAnsiTheme="minorEastAsia" w:cstheme="minorEastAsia"/>
          <w:color w:val="auto"/>
          <w:sz w:val="24"/>
          <w:szCs w:val="32"/>
          <w:lang w:val="en-US" w:eastAsia="zh-CN"/>
        </w:rPr>
        <w:t>水库及堤防红火蚁治理均采用扒巢药杀的处理方法。在红火蚁的土丘顶部挖开土丘，使用喷雾器喷洒适量浓度的红火蚁药物，浸透土丘，以杀灭红火蚁。</w:t>
      </w:r>
    </w:p>
    <w:p w14:paraId="34AACD9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default" w:ascii="宋体" w:hAnsi="宋体" w:eastAsia="宋体" w:cs="宋体"/>
          <w:b/>
          <w:bCs/>
          <w:sz w:val="24"/>
          <w:szCs w:val="24"/>
          <w:lang w:val="en-US" w:eastAsia="zh-CN"/>
        </w:rPr>
      </w:pPr>
      <w:bookmarkStart w:id="256" w:name="_Toc23086"/>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.药物使用及环境保护</w:t>
      </w:r>
      <w:bookmarkEnd w:id="256"/>
    </w:p>
    <w:p w14:paraId="4845C58E">
      <w:pPr>
        <w:keepNext w:val="0"/>
        <w:keepLines w:val="0"/>
        <w:pageBreakBefore w:val="0"/>
        <w:widowControl w:val="0"/>
        <w:shd w:val="clear"/>
        <w:kinsoku/>
        <w:wordWrap/>
        <w:overflowPunct/>
        <w:topLinePunct w:val="0"/>
        <w:autoSpaceDE/>
        <w:autoSpaceDN/>
        <w:bidi w:val="0"/>
        <w:adjustRightInd/>
        <w:snapToGrid/>
        <w:spacing w:line="414" w:lineRule="exact"/>
        <w:ind w:firstLine="480" w:firstLineChars="200"/>
        <w:jc w:val="both"/>
        <w:textAlignment w:val="auto"/>
        <w:rPr>
          <w:rFonts w:hint="eastAsia" w:asciiTheme="minorEastAsia" w:hAnsiTheme="minorEastAsia" w:cstheme="minorEastAsia"/>
          <w:snapToGrid/>
          <w:color w:val="auto"/>
          <w:kern w:val="2"/>
          <w:sz w:val="24"/>
          <w:szCs w:val="32"/>
          <w:highlight w:val="none"/>
          <w:lang w:val="en-US" w:eastAsia="zh-CN"/>
        </w:rPr>
      </w:pPr>
      <w:r>
        <w:rPr>
          <w:rFonts w:hint="eastAsia" w:asciiTheme="minorEastAsia" w:hAnsiTheme="minorEastAsia" w:eastAsiaTheme="minorEastAsia" w:cstheme="minorEastAsia"/>
          <w:snapToGrid/>
          <w:color w:val="auto"/>
          <w:kern w:val="2"/>
          <w:sz w:val="24"/>
          <w:szCs w:val="32"/>
          <w:highlight w:val="none"/>
          <w:lang w:val="en-US" w:eastAsia="zh-CN"/>
        </w:rPr>
        <w:t>白蚁防治药物属卫生杀虫剂</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 xml:space="preserve"> 根据《中华人民共和国农药管理条例》的有关规定</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必须具有农药登记证</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防治对象包括白蚁</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、农药生产许可证或农药生产批准文件、产品质量技术标准</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 xml:space="preserve"> 即</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 xml:space="preserve">三证 </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。本方案推荐使用高效低毒低残留的白蚁防治药物</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同时也鼓励使用已批准的植物提取物、微生物制剂等新型环保白蚁防治剂</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通过农业农村部 《中国农药信息网》查询</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截至2024年9月</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农药登记中可以防治白蚁的药物有九十余种，当前符合</w:t>
      </w:r>
      <w:r>
        <w:rPr>
          <w:rFonts w:hint="eastAsia" w:asciiTheme="minorEastAsia" w:hAnsiTheme="minorEastAsia" w:cstheme="minorEastAsia"/>
          <w:color w:val="auto"/>
          <w:sz w:val="24"/>
          <w:szCs w:val="32"/>
          <w:highlight w:val="none"/>
          <w:lang w:val="en-US" w:eastAsia="zh-CN"/>
        </w:rPr>
        <w:t>《水利工程白蚁防治技术规程》（SL/T 836—2024）</w:t>
      </w:r>
      <w:r>
        <w:rPr>
          <w:rFonts w:hint="eastAsia" w:asciiTheme="minorEastAsia" w:hAnsiTheme="minorEastAsia" w:eastAsiaTheme="minorEastAsia" w:cstheme="minorEastAsia"/>
          <w:snapToGrid/>
          <w:color w:val="auto"/>
          <w:kern w:val="2"/>
          <w:sz w:val="24"/>
          <w:szCs w:val="32"/>
          <w:highlight w:val="none"/>
          <w:lang w:val="en-US" w:eastAsia="zh-CN"/>
        </w:rPr>
        <w:t>使用要求的，主要成分包括虫螨腈、氟铃脲、氟啶脲、依维菌素、氯虫苯甲酰胺等</w:t>
      </w:r>
      <w:r>
        <w:rPr>
          <w:rFonts w:hint="eastAsia" w:asciiTheme="minorEastAsia" w:hAnsiTheme="minorEastAsia" w:cstheme="minorEastAsia"/>
          <w:snapToGrid/>
          <w:color w:val="auto"/>
          <w:kern w:val="2"/>
          <w:sz w:val="24"/>
          <w:szCs w:val="32"/>
          <w:highlight w:val="none"/>
          <w:lang w:val="en-US" w:eastAsia="zh-CN"/>
        </w:rPr>
        <w:t>（本项目白蚁防治药物使用需符合该规程或其他符合国家现行防治标准的药物），</w:t>
      </w:r>
      <w:r>
        <w:rPr>
          <w:rFonts w:hint="eastAsia" w:asciiTheme="minorEastAsia" w:hAnsiTheme="minorEastAsia" w:eastAsiaTheme="minorEastAsia" w:cstheme="minorEastAsia"/>
          <w:snapToGrid/>
          <w:color w:val="auto"/>
          <w:kern w:val="2"/>
          <w:sz w:val="24"/>
          <w:szCs w:val="32"/>
          <w:highlight w:val="none"/>
          <w:lang w:val="en-US" w:eastAsia="zh-CN"/>
        </w:rPr>
        <w:t>详见下表</w:t>
      </w:r>
      <w:r>
        <w:rPr>
          <w:rFonts w:hint="eastAsia" w:asciiTheme="minorEastAsia" w:hAnsiTheme="minorEastAsia" w:cstheme="minorEastAsia"/>
          <w:snapToGrid/>
          <w:color w:val="auto"/>
          <w:kern w:val="2"/>
          <w:sz w:val="24"/>
          <w:szCs w:val="32"/>
          <w:highlight w:val="none"/>
          <w:lang w:val="en-US" w:eastAsia="zh-CN"/>
        </w:rPr>
        <w:t>：</w:t>
      </w:r>
    </w:p>
    <w:tbl>
      <w:tblPr>
        <w:tblStyle w:val="39"/>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4"/>
        <w:gridCol w:w="1770"/>
        <w:gridCol w:w="1446"/>
        <w:gridCol w:w="1575"/>
        <w:gridCol w:w="1380"/>
        <w:gridCol w:w="2370"/>
      </w:tblGrid>
      <w:tr w14:paraId="446C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0155" w:type="dxa"/>
            <w:gridSpan w:val="6"/>
            <w:tcBorders>
              <w:top w:val="nil"/>
              <w:left w:val="nil"/>
              <w:bottom w:val="nil"/>
              <w:right w:val="nil"/>
            </w:tcBorders>
            <w:shd w:val="clear" w:color="auto" w:fill="auto"/>
            <w:noWrap/>
            <w:vAlign w:val="center"/>
          </w:tcPr>
          <w:p w14:paraId="73C08D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常用白蚁防治药物</w:t>
            </w:r>
          </w:p>
        </w:tc>
      </w:tr>
      <w:tr w14:paraId="23DA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D5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药物名称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25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类别</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57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剂型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97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有效成分含量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E0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施用方式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A9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18DB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88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虫螨腈</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7A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吡咯类</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D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A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E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喷粉</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B8F53">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以胃毒作用为主，兼有 触杀作用</w:t>
            </w:r>
          </w:p>
        </w:tc>
      </w:tr>
      <w:tr w14:paraId="6334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F7A63">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ED0B2">
            <w:pPr>
              <w:jc w:val="center"/>
              <w:rPr>
                <w:rFonts w:hint="eastAsia" w:ascii="宋体" w:hAnsi="宋体" w:eastAsia="宋体" w:cs="宋体"/>
                <w:i w:val="0"/>
                <w:iCs w:val="0"/>
                <w:color w:val="000000"/>
                <w:sz w:val="22"/>
                <w:szCs w:val="22"/>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D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F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240g/L</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D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喷洒</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47CC4">
            <w:pPr>
              <w:jc w:val="left"/>
              <w:rPr>
                <w:rFonts w:hint="eastAsia" w:ascii="宋体" w:hAnsi="宋体" w:eastAsia="宋体" w:cs="宋体"/>
                <w:i w:val="0"/>
                <w:iCs w:val="0"/>
                <w:color w:val="000000"/>
                <w:sz w:val="22"/>
                <w:szCs w:val="22"/>
                <w:u w:val="none"/>
              </w:rPr>
            </w:pPr>
          </w:p>
        </w:tc>
      </w:tr>
      <w:tr w14:paraId="2D553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E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氟铃脲</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8E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昆虫生长调节剂类</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6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饵剂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3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3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24ED">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1.以胃毒作用为主，兼有触杀作用，无内吸作用。</w:t>
            </w:r>
          </w:p>
        </w:tc>
      </w:tr>
      <w:tr w14:paraId="6ACCC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0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氟啶脲</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91457">
            <w:pPr>
              <w:jc w:val="center"/>
              <w:rPr>
                <w:rFonts w:hint="eastAsia" w:ascii="宋体" w:hAnsi="宋体" w:eastAsia="宋体" w:cs="宋体"/>
                <w:i w:val="0"/>
                <w:iCs w:val="0"/>
                <w:color w:val="000000"/>
                <w:sz w:val="22"/>
                <w:szCs w:val="22"/>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4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饵剂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9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8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投放</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1C4B">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2.不可与碱性农药或物质混用。</w:t>
            </w:r>
          </w:p>
        </w:tc>
      </w:tr>
      <w:tr w14:paraId="4255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9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依维菌素</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4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抗生素类</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3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乳油</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4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B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喷洒</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AC17">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以触杀作用和胃毒作用为主。</w:t>
            </w:r>
          </w:p>
        </w:tc>
      </w:tr>
      <w:tr w14:paraId="737A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8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氯虫苯甲酰胺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4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邻甲酰氨基苯甲酰胺类</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6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C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5%、200g/L</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7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喷洒</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05A0">
            <w:pPr>
              <w:keepNext w:val="0"/>
              <w:keepLines w:val="0"/>
              <w:widowControl/>
              <w:suppressLineNumbers w:val="0"/>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以胃毒作用为主，兼有一定的触杀作用。</w:t>
            </w:r>
          </w:p>
        </w:tc>
      </w:tr>
    </w:tbl>
    <w:p w14:paraId="531E1B23">
      <w:pPr>
        <w:keepNext w:val="0"/>
        <w:keepLines w:val="0"/>
        <w:pageBreakBefore w:val="0"/>
        <w:widowControl w:val="0"/>
        <w:shd w:val="clear"/>
        <w:kinsoku/>
        <w:wordWrap/>
        <w:overflowPunct/>
        <w:topLinePunct w:val="0"/>
        <w:autoSpaceDE/>
        <w:autoSpaceDN/>
        <w:bidi w:val="0"/>
        <w:adjustRightInd/>
        <w:snapToGrid/>
        <w:spacing w:line="414" w:lineRule="exact"/>
        <w:jc w:val="center"/>
        <w:textAlignment w:val="auto"/>
        <w:rPr>
          <w:rFonts w:hint="eastAsia" w:asciiTheme="minorEastAsia" w:hAnsiTheme="minorEastAsia" w:cstheme="minorEastAsia"/>
          <w:snapToGrid/>
          <w:color w:val="auto"/>
          <w:kern w:val="2"/>
          <w:sz w:val="24"/>
          <w:szCs w:val="32"/>
          <w:highlight w:val="none"/>
          <w:lang w:val="en-US" w:eastAsia="zh-CN"/>
        </w:rPr>
      </w:pPr>
      <w:r>
        <w:rPr>
          <w:rFonts w:hint="eastAsia" w:asciiTheme="minorEastAsia" w:hAnsiTheme="minorEastAsia" w:cstheme="minorEastAsia"/>
          <w:snapToGrid/>
          <w:color w:val="auto"/>
          <w:kern w:val="2"/>
          <w:sz w:val="24"/>
          <w:szCs w:val="32"/>
          <w:highlight w:val="none"/>
          <w:lang w:val="en-US" w:eastAsia="zh-CN"/>
        </w:rPr>
        <w:t>红火蚁</w:t>
      </w:r>
      <w:r>
        <w:rPr>
          <w:rFonts w:hint="eastAsia" w:asciiTheme="minorEastAsia" w:hAnsiTheme="minorEastAsia" w:eastAsiaTheme="minorEastAsia" w:cstheme="minorEastAsia"/>
          <w:snapToGrid/>
          <w:color w:val="auto"/>
          <w:kern w:val="2"/>
          <w:sz w:val="24"/>
          <w:szCs w:val="32"/>
          <w:highlight w:val="none"/>
          <w:lang w:val="en-US" w:eastAsia="zh-CN"/>
        </w:rPr>
        <w:t>防治</w:t>
      </w:r>
      <w:r>
        <w:rPr>
          <w:rFonts w:hint="eastAsia" w:asciiTheme="minorEastAsia" w:hAnsiTheme="minorEastAsia" w:cstheme="minorEastAsia"/>
          <w:snapToGrid/>
          <w:color w:val="auto"/>
          <w:kern w:val="2"/>
          <w:sz w:val="24"/>
          <w:szCs w:val="32"/>
          <w:highlight w:val="none"/>
          <w:lang w:val="en-US" w:eastAsia="zh-CN"/>
        </w:rPr>
        <w:t>常见</w:t>
      </w:r>
      <w:r>
        <w:rPr>
          <w:rFonts w:hint="eastAsia" w:asciiTheme="minorEastAsia" w:hAnsiTheme="minorEastAsia" w:eastAsiaTheme="minorEastAsia" w:cstheme="minorEastAsia"/>
          <w:snapToGrid/>
          <w:color w:val="auto"/>
          <w:kern w:val="2"/>
          <w:sz w:val="24"/>
          <w:szCs w:val="32"/>
          <w:highlight w:val="none"/>
          <w:lang w:val="en-US" w:eastAsia="zh-CN"/>
        </w:rPr>
        <w:t>药物</w:t>
      </w:r>
      <w:r>
        <w:rPr>
          <w:rFonts w:hint="eastAsia" w:asciiTheme="minorEastAsia" w:hAnsiTheme="minorEastAsia" w:cstheme="minorEastAsia"/>
          <w:snapToGrid/>
          <w:color w:val="auto"/>
          <w:kern w:val="2"/>
          <w:sz w:val="24"/>
          <w:szCs w:val="32"/>
          <w:highlight w:val="none"/>
          <w:lang w:val="en-US" w:eastAsia="zh-CN"/>
        </w:rPr>
        <w:t>可参照下表或其他符合国家现行防治标准的药物，</w:t>
      </w:r>
      <w:r>
        <w:rPr>
          <w:rFonts w:hint="eastAsia" w:asciiTheme="minorEastAsia" w:hAnsiTheme="minorEastAsia" w:eastAsiaTheme="minorEastAsia" w:cstheme="minorEastAsia"/>
          <w:snapToGrid/>
          <w:color w:val="auto"/>
          <w:kern w:val="2"/>
          <w:sz w:val="24"/>
          <w:szCs w:val="32"/>
          <w:highlight w:val="none"/>
          <w:lang w:val="en-US" w:eastAsia="zh-CN"/>
        </w:rPr>
        <w:t>详见下表</w:t>
      </w:r>
      <w:r>
        <w:rPr>
          <w:rFonts w:hint="eastAsia" w:asciiTheme="minorEastAsia" w:hAnsiTheme="minorEastAsia" w:cstheme="minorEastAsia"/>
          <w:snapToGrid/>
          <w:color w:val="auto"/>
          <w:kern w:val="2"/>
          <w:sz w:val="24"/>
          <w:szCs w:val="32"/>
          <w:highlight w:val="none"/>
          <w:lang w:val="en-US" w:eastAsia="zh-CN"/>
        </w:rPr>
        <w:t>：</w:t>
      </w:r>
    </w:p>
    <w:tbl>
      <w:tblPr>
        <w:tblStyle w:val="39"/>
        <w:tblW w:w="99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2"/>
        <w:gridCol w:w="2070"/>
        <w:gridCol w:w="1227"/>
      </w:tblGrid>
      <w:tr w14:paraId="1C4C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949" w:type="dxa"/>
            <w:gridSpan w:val="3"/>
            <w:tcBorders>
              <w:top w:val="nil"/>
              <w:left w:val="nil"/>
              <w:bottom w:val="nil"/>
              <w:right w:val="nil"/>
            </w:tcBorders>
            <w:shd w:val="clear" w:color="auto" w:fill="auto"/>
            <w:noWrap/>
            <w:vAlign w:val="center"/>
          </w:tcPr>
          <w:p w14:paraId="64A9314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常用红火蚁防治药物</w:t>
            </w:r>
          </w:p>
        </w:tc>
      </w:tr>
      <w:tr w14:paraId="79FD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E1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药物名称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50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施用方式</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F8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4EE10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652" w:type="dxa"/>
            <w:tcBorders>
              <w:top w:val="single" w:color="000000" w:sz="4" w:space="0"/>
              <w:left w:val="single" w:color="000000" w:sz="4" w:space="0"/>
              <w:bottom w:val="nil"/>
              <w:right w:val="single" w:color="000000" w:sz="4" w:space="0"/>
            </w:tcBorders>
            <w:shd w:val="clear" w:color="auto" w:fill="auto"/>
            <w:vAlign w:val="center"/>
          </w:tcPr>
          <w:p w14:paraId="0E0987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5%高效氯氟氰菊酯水乳剂、10%苯氰残杀威乳油</w:t>
            </w:r>
          </w:p>
        </w:tc>
        <w:tc>
          <w:tcPr>
            <w:tcW w:w="2070" w:type="dxa"/>
            <w:tcBorders>
              <w:top w:val="single" w:color="000000" w:sz="4" w:space="0"/>
              <w:left w:val="single" w:color="000000" w:sz="4" w:space="0"/>
              <w:bottom w:val="nil"/>
              <w:right w:val="single" w:color="000000" w:sz="4" w:space="0"/>
            </w:tcBorders>
            <w:shd w:val="clear" w:color="auto" w:fill="auto"/>
            <w:vAlign w:val="center"/>
          </w:tcPr>
          <w:p w14:paraId="1C123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药物灌巢</w:t>
            </w:r>
          </w:p>
        </w:tc>
        <w:tc>
          <w:tcPr>
            <w:tcW w:w="1227" w:type="dxa"/>
            <w:tcBorders>
              <w:top w:val="single" w:color="000000" w:sz="4" w:space="0"/>
              <w:left w:val="single" w:color="000000" w:sz="4" w:space="0"/>
              <w:bottom w:val="nil"/>
              <w:right w:val="single" w:color="000000" w:sz="4" w:space="0"/>
            </w:tcBorders>
            <w:shd w:val="clear" w:color="auto" w:fill="auto"/>
            <w:vAlign w:val="center"/>
          </w:tcPr>
          <w:p w14:paraId="099C73F8">
            <w:pPr>
              <w:jc w:val="left"/>
              <w:rPr>
                <w:rFonts w:hint="eastAsia" w:ascii="宋体" w:hAnsi="宋体" w:eastAsia="宋体" w:cs="宋体"/>
                <w:i w:val="0"/>
                <w:iCs w:val="0"/>
                <w:color w:val="000000"/>
                <w:sz w:val="22"/>
                <w:szCs w:val="22"/>
                <w:u w:val="none"/>
              </w:rPr>
            </w:pPr>
          </w:p>
        </w:tc>
      </w:tr>
      <w:tr w14:paraId="2447B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652" w:type="dxa"/>
            <w:tcBorders>
              <w:top w:val="single" w:color="000000" w:sz="4" w:space="0"/>
              <w:left w:val="single" w:color="000000" w:sz="4" w:space="0"/>
              <w:bottom w:val="nil"/>
              <w:right w:val="single" w:color="000000" w:sz="4" w:space="0"/>
            </w:tcBorders>
            <w:shd w:val="clear" w:color="auto" w:fill="auto"/>
            <w:vAlign w:val="center"/>
          </w:tcPr>
          <w:p w14:paraId="4CB23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吡虫啉系列悬浮剂、联苯菊酯系列乳油、氟虫腈0.5%杀虫粉剂</w:t>
            </w:r>
          </w:p>
        </w:tc>
        <w:tc>
          <w:tcPr>
            <w:tcW w:w="2070" w:type="dxa"/>
            <w:tcBorders>
              <w:top w:val="single" w:color="000000" w:sz="4" w:space="0"/>
              <w:left w:val="single" w:color="000000" w:sz="4" w:space="0"/>
              <w:bottom w:val="nil"/>
              <w:right w:val="single" w:color="000000" w:sz="4" w:space="0"/>
            </w:tcBorders>
            <w:shd w:val="clear" w:color="auto" w:fill="auto"/>
            <w:vAlign w:val="center"/>
          </w:tcPr>
          <w:p w14:paraId="62FCB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药物灌巢</w:t>
            </w:r>
          </w:p>
        </w:tc>
        <w:tc>
          <w:tcPr>
            <w:tcW w:w="1227" w:type="dxa"/>
            <w:tcBorders>
              <w:top w:val="single" w:color="000000" w:sz="4" w:space="0"/>
              <w:left w:val="single" w:color="000000" w:sz="4" w:space="0"/>
              <w:bottom w:val="nil"/>
              <w:right w:val="single" w:color="000000" w:sz="4" w:space="0"/>
            </w:tcBorders>
            <w:shd w:val="clear" w:color="auto" w:fill="auto"/>
            <w:vAlign w:val="center"/>
          </w:tcPr>
          <w:p w14:paraId="78089D33">
            <w:pPr>
              <w:jc w:val="center"/>
              <w:rPr>
                <w:rFonts w:hint="eastAsia" w:ascii="宋体" w:hAnsi="宋体" w:eastAsia="宋体" w:cs="宋体"/>
                <w:i w:val="0"/>
                <w:iCs w:val="0"/>
                <w:color w:val="000000"/>
                <w:sz w:val="22"/>
                <w:szCs w:val="22"/>
                <w:u w:val="none"/>
              </w:rPr>
            </w:pPr>
          </w:p>
        </w:tc>
      </w:tr>
      <w:tr w14:paraId="10BF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3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0.05%茚虫威杀蚁饵剂、0.73%氟蚁腙杀蚁饵剂</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3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饵剂诱杀</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F21A">
            <w:pPr>
              <w:jc w:val="center"/>
              <w:rPr>
                <w:rFonts w:hint="eastAsia" w:ascii="宋体" w:hAnsi="宋体" w:eastAsia="宋体" w:cs="宋体"/>
                <w:i w:val="0"/>
                <w:iCs w:val="0"/>
                <w:color w:val="000000"/>
                <w:sz w:val="22"/>
                <w:szCs w:val="22"/>
                <w:u w:val="none"/>
              </w:rPr>
            </w:pPr>
          </w:p>
        </w:tc>
      </w:tr>
    </w:tbl>
    <w:p w14:paraId="213BA555">
      <w:pPr>
        <w:keepNext w:val="0"/>
        <w:keepLines w:val="0"/>
        <w:pageBreakBefore w:val="0"/>
        <w:widowControl w:val="0"/>
        <w:shd w:val="clear"/>
        <w:kinsoku/>
        <w:wordWrap/>
        <w:overflowPunct/>
        <w:topLinePunct w:val="0"/>
        <w:autoSpaceDE/>
        <w:autoSpaceDN/>
        <w:bidi w:val="0"/>
        <w:adjustRightInd/>
        <w:snapToGrid/>
        <w:spacing w:line="414" w:lineRule="exact"/>
        <w:ind w:firstLine="480" w:firstLineChars="200"/>
        <w:jc w:val="both"/>
        <w:textAlignment w:val="auto"/>
        <w:rPr>
          <w:rFonts w:hint="eastAsia" w:asciiTheme="minorEastAsia" w:hAnsiTheme="minorEastAsia" w:eastAsiaTheme="minorEastAsia" w:cstheme="minorEastAsia"/>
          <w:snapToGrid/>
          <w:color w:val="auto"/>
          <w:kern w:val="2"/>
          <w:sz w:val="24"/>
          <w:szCs w:val="32"/>
          <w:highlight w:val="none"/>
          <w:lang w:val="en-US" w:eastAsia="zh-CN"/>
        </w:rPr>
      </w:pPr>
      <w:r>
        <w:rPr>
          <w:rFonts w:hint="eastAsia" w:asciiTheme="minorEastAsia" w:hAnsiTheme="minorEastAsia" w:eastAsiaTheme="minorEastAsia" w:cstheme="minorEastAsia"/>
          <w:snapToGrid/>
          <w:color w:val="auto"/>
          <w:kern w:val="2"/>
          <w:sz w:val="24"/>
          <w:szCs w:val="32"/>
          <w:highlight w:val="none"/>
          <w:lang w:val="en-US" w:eastAsia="zh-CN"/>
        </w:rPr>
        <w:t>农药进入水生态环境</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水生生物是最直接的受害者</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使用药物灭治白蚁时</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要避免药剂进入水域。根据《饮用水水源保护区污染防治管理规定》相关要求</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饮用水地表水源各级保护区及准保护区内禁止使用剧毒和高残留农药，禁止向水域倾倒工业废渣、城市垃圾、粪便及其他废弃物。白蚁防治虽然要求使用的药物为高效、低毒 、低残留、环境友好型</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但仍严格要求</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饮用水水源保护区的水利工程</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不能使用药物屏障预防白蚁和药物灌浆法灭治白蚁</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其他水源保护区的水利工程</w:t>
      </w:r>
      <w:r>
        <w:rPr>
          <w:rFonts w:hint="eastAsia" w:asciiTheme="minorEastAsia" w:hAnsiTheme="minorEastAsia" w:cstheme="minorEastAsia"/>
          <w:snapToGrid/>
          <w:color w:val="auto"/>
          <w:kern w:val="2"/>
          <w:sz w:val="24"/>
          <w:szCs w:val="32"/>
          <w:highlight w:val="none"/>
          <w:lang w:val="en-US" w:eastAsia="zh-CN"/>
        </w:rPr>
        <w:t>，</w:t>
      </w:r>
      <w:r>
        <w:rPr>
          <w:rFonts w:hint="eastAsia" w:asciiTheme="minorEastAsia" w:hAnsiTheme="minorEastAsia" w:eastAsiaTheme="minorEastAsia" w:cstheme="minorEastAsia"/>
          <w:snapToGrid/>
          <w:color w:val="auto"/>
          <w:kern w:val="2"/>
          <w:sz w:val="24"/>
          <w:szCs w:val="32"/>
          <w:highlight w:val="none"/>
          <w:lang w:val="en-US" w:eastAsia="zh-CN"/>
        </w:rPr>
        <w:t>慎用药物屏障预防白蚁和药物灌浆法灭治白蚁。</w:t>
      </w:r>
    </w:p>
    <w:bookmarkEnd w:id="252"/>
    <w:p w14:paraId="5808C1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四、实施计划</w:t>
      </w:r>
    </w:p>
    <w:p w14:paraId="169F241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0"/>
        <w:rPr>
          <w:rFonts w:hint="eastAsia" w:asciiTheme="minorEastAsia" w:hAnsiTheme="minorEastAsia" w:cstheme="minorEastAsia"/>
          <w:color w:val="auto"/>
          <w:sz w:val="24"/>
          <w:szCs w:val="32"/>
          <w:lang w:val="en-US" w:eastAsia="zh-CN"/>
        </w:rPr>
      </w:pPr>
      <w:r>
        <w:rPr>
          <w:rFonts w:hint="eastAsia" w:asciiTheme="minorEastAsia" w:hAnsiTheme="minorEastAsia" w:cstheme="minorEastAsia"/>
          <w:color w:val="auto"/>
          <w:sz w:val="24"/>
          <w:szCs w:val="32"/>
          <w:lang w:val="en-US" w:eastAsia="zh-CN"/>
        </w:rPr>
        <w:t>陇川县2025年水库及堤防白蚁等害堤动物防治项目计划</w:t>
      </w:r>
      <w:r>
        <w:rPr>
          <w:rFonts w:hint="eastAsia" w:asciiTheme="minorEastAsia" w:hAnsiTheme="minorEastAsia" w:eastAsiaTheme="minorEastAsia" w:cstheme="minorEastAsia"/>
          <w:color w:val="auto"/>
          <w:sz w:val="24"/>
          <w:szCs w:val="32"/>
          <w:lang w:val="en-US" w:eastAsia="zh-CN"/>
        </w:rPr>
        <w:t>202</w:t>
      </w:r>
      <w:r>
        <w:rPr>
          <w:rFonts w:hint="eastAsia" w:asciiTheme="minorEastAsia" w:hAnsiTheme="minorEastAsia" w:cstheme="minorEastAsia"/>
          <w:color w:val="auto"/>
          <w:sz w:val="24"/>
          <w:szCs w:val="32"/>
          <w:lang w:val="en-US" w:eastAsia="zh-CN"/>
        </w:rPr>
        <w:t>5</w:t>
      </w:r>
      <w:r>
        <w:rPr>
          <w:rFonts w:hint="eastAsia" w:asciiTheme="minorEastAsia" w:hAnsiTheme="minorEastAsia" w:eastAsiaTheme="minorEastAsia" w:cstheme="minorEastAsia"/>
          <w:color w:val="auto"/>
          <w:sz w:val="24"/>
          <w:szCs w:val="32"/>
          <w:lang w:val="en-IE" w:eastAsia="zh-CN"/>
        </w:rPr>
        <w:t>年</w:t>
      </w:r>
      <w:r>
        <w:rPr>
          <w:rFonts w:hint="eastAsia" w:asciiTheme="minorEastAsia" w:hAnsiTheme="minorEastAsia" w:eastAsiaTheme="minorEastAsia" w:cstheme="minorEastAsia"/>
          <w:color w:val="auto"/>
          <w:sz w:val="24"/>
          <w:szCs w:val="32"/>
          <w:lang w:val="en-US" w:eastAsia="zh-CN"/>
        </w:rPr>
        <w:t>9</w:t>
      </w:r>
      <w:r>
        <w:rPr>
          <w:rFonts w:hint="eastAsia" w:asciiTheme="minorEastAsia" w:hAnsiTheme="minorEastAsia" w:eastAsiaTheme="minorEastAsia" w:cstheme="minorEastAsia"/>
          <w:color w:val="auto"/>
          <w:sz w:val="24"/>
          <w:szCs w:val="32"/>
          <w:lang w:val="en-IE" w:eastAsia="zh-CN"/>
        </w:rPr>
        <w:t>月开工，</w:t>
      </w:r>
      <w:r>
        <w:rPr>
          <w:rFonts w:hint="eastAsia" w:asciiTheme="minorEastAsia" w:hAnsiTheme="minorEastAsia" w:eastAsiaTheme="minorEastAsia" w:cstheme="minorEastAsia"/>
          <w:color w:val="auto"/>
          <w:sz w:val="24"/>
          <w:szCs w:val="32"/>
          <w:lang w:val="en-US" w:eastAsia="zh-CN"/>
        </w:rPr>
        <w:t>202</w:t>
      </w:r>
      <w:r>
        <w:rPr>
          <w:rFonts w:hint="eastAsia" w:asciiTheme="minorEastAsia" w:hAnsiTheme="minorEastAsia" w:cstheme="minorEastAsia"/>
          <w:color w:val="auto"/>
          <w:sz w:val="24"/>
          <w:szCs w:val="32"/>
          <w:lang w:val="en-US" w:eastAsia="zh-CN"/>
        </w:rPr>
        <w:t>5</w:t>
      </w:r>
      <w:r>
        <w:rPr>
          <w:rFonts w:hint="eastAsia" w:asciiTheme="minorEastAsia" w:hAnsiTheme="minorEastAsia" w:eastAsiaTheme="minorEastAsia" w:cstheme="minorEastAsia"/>
          <w:color w:val="auto"/>
          <w:sz w:val="24"/>
          <w:szCs w:val="32"/>
          <w:lang w:val="en-US" w:eastAsia="zh-CN"/>
        </w:rPr>
        <w:t>年1</w:t>
      </w:r>
      <w:r>
        <w:rPr>
          <w:rFonts w:hint="eastAsia" w:asciiTheme="minorEastAsia" w:hAnsiTheme="minorEastAsia" w:cstheme="minorEastAsia"/>
          <w:color w:val="auto"/>
          <w:sz w:val="24"/>
          <w:szCs w:val="32"/>
          <w:lang w:val="en-US" w:eastAsia="zh-CN"/>
        </w:rPr>
        <w:t>1</w:t>
      </w:r>
    </w:p>
    <w:p w14:paraId="28A6D94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0"/>
        <w:rPr>
          <w:rFonts w:hint="eastAsia" w:ascii="宋体" w:hAnsi="宋体" w:eastAsia="宋体" w:cs="宋体"/>
          <w:b/>
          <w:bCs/>
          <w:sz w:val="24"/>
          <w:szCs w:val="24"/>
          <w:lang w:eastAsia="zh-CN"/>
        </w:rPr>
      </w:pPr>
      <w:r>
        <w:rPr>
          <w:rFonts w:hint="eastAsia" w:asciiTheme="minorEastAsia" w:hAnsiTheme="minorEastAsia" w:eastAsiaTheme="minorEastAsia" w:cstheme="minorEastAsia"/>
          <w:color w:val="auto"/>
          <w:sz w:val="24"/>
          <w:szCs w:val="32"/>
          <w:lang w:val="en-US" w:eastAsia="zh-CN"/>
        </w:rPr>
        <w:t>月完工，</w:t>
      </w:r>
      <w:r>
        <w:rPr>
          <w:rFonts w:hint="eastAsia" w:asciiTheme="minorEastAsia" w:hAnsiTheme="minorEastAsia" w:eastAsiaTheme="minorEastAsia" w:cstheme="minorEastAsia"/>
          <w:color w:val="auto"/>
          <w:sz w:val="24"/>
          <w:szCs w:val="32"/>
          <w:lang w:val="en-IE" w:eastAsia="zh-CN"/>
        </w:rPr>
        <w:t>工期</w:t>
      </w:r>
      <w:r>
        <w:rPr>
          <w:rFonts w:hint="eastAsia" w:asciiTheme="minorEastAsia" w:hAnsiTheme="minorEastAsia" w:cstheme="minorEastAsia"/>
          <w:color w:val="auto"/>
          <w:sz w:val="24"/>
          <w:szCs w:val="32"/>
          <w:lang w:val="en-US" w:eastAsia="zh-CN"/>
        </w:rPr>
        <w:t>2</w:t>
      </w:r>
      <w:r>
        <w:rPr>
          <w:rFonts w:hint="eastAsia" w:asciiTheme="minorEastAsia" w:hAnsiTheme="minorEastAsia" w:eastAsiaTheme="minorEastAsia" w:cstheme="minorEastAsia"/>
          <w:color w:val="auto"/>
          <w:sz w:val="24"/>
          <w:szCs w:val="32"/>
          <w:lang w:val="en-IE" w:eastAsia="zh-CN"/>
        </w:rPr>
        <w:t>个月</w:t>
      </w:r>
      <w:r>
        <w:rPr>
          <w:rFonts w:hint="eastAsia" w:asciiTheme="minorEastAsia" w:hAnsiTheme="minorEastAsia" w:cstheme="minorEastAsia"/>
          <w:color w:val="auto"/>
          <w:sz w:val="24"/>
          <w:szCs w:val="32"/>
          <w:lang w:val="en-IE" w:eastAsia="zh-CN"/>
        </w:rPr>
        <w:t>。</w:t>
      </w:r>
      <w:r>
        <w:rPr>
          <w:rFonts w:hint="eastAsia" w:ascii="宋体" w:hAnsi="宋体" w:eastAsia="宋体" w:cs="宋体"/>
          <w:b/>
          <w:bCs/>
          <w:sz w:val="24"/>
          <w:szCs w:val="24"/>
          <w:lang w:eastAsia="zh-CN"/>
        </w:rPr>
        <w:t xml:space="preserve"> </w:t>
      </w:r>
    </w:p>
    <w:p w14:paraId="610F06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outlineLvl w:val="0"/>
        <w:rPr>
          <w:rFonts w:hint="eastAsia" w:ascii="宋体" w:hAnsi="宋体" w:eastAsia="宋体" w:cs="宋体"/>
          <w:b/>
          <w:bCs/>
          <w:sz w:val="24"/>
          <w:szCs w:val="24"/>
          <w:lang w:val="en-US" w:eastAsia="zh-CN"/>
        </w:rPr>
      </w:pPr>
      <w:bookmarkStart w:id="257" w:name="_Toc29957"/>
      <w:r>
        <w:rPr>
          <w:rFonts w:hint="eastAsia" w:ascii="宋体" w:hAnsi="宋体" w:eastAsia="宋体" w:cs="宋体"/>
          <w:b/>
          <w:bCs/>
          <w:sz w:val="24"/>
          <w:szCs w:val="24"/>
          <w:lang w:val="en-US" w:eastAsia="zh-CN"/>
        </w:rPr>
        <w:t>五、项目效益</w:t>
      </w:r>
    </w:p>
    <w:p w14:paraId="254BDCB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0"/>
        <w:rPr>
          <w:rFonts w:hint="eastAsia" w:eastAsia="宋体" w:asciiTheme="minorEastAsia" w:hAnsiTheme="minorEastAsia" w:cstheme="minorEastAsia"/>
          <w:color w:val="auto"/>
          <w:sz w:val="24"/>
          <w:szCs w:val="32"/>
          <w:lang w:val="en-US" w:eastAsia="zh-CN"/>
        </w:rPr>
      </w:pPr>
      <w:r>
        <w:rPr>
          <w:rFonts w:hint="eastAsia" w:eastAsia="宋体" w:asciiTheme="minorEastAsia" w:hAnsiTheme="minorEastAsia" w:cstheme="minorEastAsia"/>
          <w:color w:val="auto"/>
          <w:sz w:val="24"/>
          <w:szCs w:val="32"/>
          <w:lang w:val="en-US" w:eastAsia="zh-CN"/>
        </w:rPr>
        <w:t>陇川县2025年水库及堤防白蚁等害堤动物防治项目的实施，将有效清除陇川28座水库、南宛河87.254km堤防及其周边白蚁、红火蚁等害堤动物危害，消除害堤动物对坝体、堤防及其他水工建筑物的危害，对保障大坝及堤防的安全运行起到了重要作用。通过项目实践，将使水库及堤防管理人员进一步认知白蚁、红火蚁的动物习性，熟知防治措施，积累防治经验。</w:t>
      </w:r>
    </w:p>
    <w:bookmarkEnd w:id="257"/>
    <w:p w14:paraId="0AA0DC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六、其他要求</w:t>
      </w:r>
    </w:p>
    <w:p w14:paraId="45A2FD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0"/>
        <w:rPr>
          <w:rFonts w:hint="eastAsia" w:eastAsia="宋体" w:asciiTheme="minorEastAsia" w:hAnsiTheme="minorEastAsia" w:cstheme="minorEastAsia"/>
          <w:color w:val="auto"/>
          <w:sz w:val="24"/>
          <w:szCs w:val="32"/>
          <w:lang w:val="en-US" w:eastAsia="zh-CN"/>
        </w:rPr>
      </w:pPr>
      <w:r>
        <w:rPr>
          <w:rFonts w:hint="eastAsia" w:eastAsia="宋体" w:asciiTheme="minorEastAsia" w:hAnsiTheme="minorEastAsia" w:cstheme="minorEastAsia"/>
          <w:color w:val="auto"/>
          <w:sz w:val="24"/>
          <w:szCs w:val="32"/>
          <w:lang w:val="en-US" w:eastAsia="zh-CN"/>
        </w:rPr>
        <w:t>1.中标单位收集现场捕获的蚁王、蚁后，向采购人提交蚁王、蚁后标本。</w:t>
      </w:r>
    </w:p>
    <w:p w14:paraId="078D9F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0"/>
        <w:rPr>
          <w:rFonts w:hint="eastAsia" w:eastAsia="宋体" w:asciiTheme="minorEastAsia" w:hAnsiTheme="minorEastAsia" w:cstheme="minorEastAsia"/>
          <w:color w:val="auto"/>
          <w:sz w:val="24"/>
          <w:szCs w:val="32"/>
          <w:lang w:val="en-US" w:eastAsia="zh-CN"/>
        </w:rPr>
      </w:pPr>
      <w:r>
        <w:rPr>
          <w:rFonts w:hint="eastAsia" w:eastAsia="宋体" w:asciiTheme="minorEastAsia" w:hAnsiTheme="minorEastAsia" w:cstheme="minorEastAsia"/>
          <w:color w:val="auto"/>
          <w:sz w:val="24"/>
          <w:szCs w:val="32"/>
          <w:lang w:val="en-US" w:eastAsia="zh-CN"/>
        </w:rPr>
        <w:t>2.实施防治过程中认真做好施工记录（含完成的量、照片等）。</w:t>
      </w:r>
    </w:p>
    <w:p w14:paraId="1D5105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0"/>
        <w:rPr>
          <w:rFonts w:hint="eastAsia" w:eastAsia="宋体" w:asciiTheme="minorEastAsia" w:hAnsiTheme="minorEastAsia" w:cstheme="minorEastAsia"/>
          <w:color w:val="auto"/>
          <w:sz w:val="24"/>
          <w:szCs w:val="32"/>
          <w:lang w:val="en-US" w:eastAsia="zh-CN"/>
        </w:rPr>
      </w:pPr>
      <w:r>
        <w:rPr>
          <w:rFonts w:hint="eastAsia" w:eastAsia="宋体" w:asciiTheme="minorEastAsia" w:hAnsiTheme="minorEastAsia" w:cstheme="minorEastAsia"/>
          <w:color w:val="auto"/>
          <w:sz w:val="24"/>
          <w:szCs w:val="32"/>
          <w:lang w:val="en-US" w:eastAsia="zh-CN"/>
        </w:rPr>
        <w:t>3.中标单位合同签订后立即组织人员进行安全作业知识的学习与培训，配备必须的劳保用品，确保作业人员的安全。</w:t>
      </w:r>
    </w:p>
    <w:p w14:paraId="480D0A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0"/>
        <w:rPr>
          <w:rFonts w:hint="eastAsia" w:eastAsia="宋体" w:asciiTheme="minorEastAsia" w:hAnsiTheme="minorEastAsia" w:cstheme="minorEastAsia"/>
          <w:color w:val="auto"/>
          <w:sz w:val="24"/>
          <w:szCs w:val="32"/>
          <w:lang w:val="en-US" w:eastAsia="zh-CN"/>
        </w:rPr>
      </w:pPr>
      <w:r>
        <w:rPr>
          <w:rFonts w:hint="eastAsia" w:eastAsia="宋体" w:asciiTheme="minorEastAsia" w:hAnsiTheme="minorEastAsia" w:cstheme="minorEastAsia"/>
          <w:color w:val="auto"/>
          <w:sz w:val="24"/>
          <w:szCs w:val="32"/>
          <w:lang w:val="en-US" w:eastAsia="zh-CN"/>
        </w:rPr>
        <w:t>4.地面开挖应事先了解地下是否埋有供电线路，避免破坏及造成安全事故。</w:t>
      </w:r>
    </w:p>
    <w:p w14:paraId="4FCA557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highlight w:val="none"/>
          <w:lang w:val="en-US" w:eastAsia="zh-CN"/>
        </w:rPr>
      </w:pPr>
    </w:p>
    <w:p w14:paraId="583597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highlight w:val="none"/>
          <w:lang w:val="en-US" w:eastAsia="zh-CN"/>
        </w:rPr>
      </w:pPr>
    </w:p>
    <w:p w14:paraId="4D97BF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highlight w:val="none"/>
          <w:lang w:val="en-US" w:eastAsia="zh-CN"/>
        </w:rPr>
      </w:pPr>
    </w:p>
    <w:p w14:paraId="605234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highlight w:val="none"/>
          <w:lang w:val="en-US" w:eastAsia="zh-CN"/>
        </w:rPr>
      </w:pPr>
    </w:p>
    <w:p w14:paraId="0CFACC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highlight w:val="none"/>
          <w:lang w:val="en-US" w:eastAsia="zh-CN"/>
        </w:rPr>
      </w:pPr>
    </w:p>
    <w:p w14:paraId="4BC38A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p>
    <w:p w14:paraId="1CD7F9A6">
      <w:pPr>
        <w:snapToGrid w:val="0"/>
        <w:spacing w:line="360" w:lineRule="auto"/>
        <w:ind w:firstLine="360" w:firstLineChars="150"/>
        <w:rPr>
          <w:rFonts w:ascii="仿宋" w:hAnsi="仿宋" w:eastAsia="仿宋" w:cs="仿宋"/>
          <w:color w:val="auto"/>
          <w:sz w:val="24"/>
          <w:szCs w:val="28"/>
          <w:highlight w:val="none"/>
        </w:rPr>
      </w:pPr>
    </w:p>
    <w:p w14:paraId="14AE38B8">
      <w:pPr>
        <w:snapToGrid w:val="0"/>
        <w:spacing w:line="360" w:lineRule="auto"/>
        <w:ind w:firstLine="360" w:firstLineChars="150"/>
        <w:rPr>
          <w:rFonts w:ascii="仿宋" w:hAnsi="仿宋" w:eastAsia="仿宋" w:cs="仿宋"/>
          <w:color w:val="auto"/>
          <w:sz w:val="24"/>
          <w:szCs w:val="28"/>
          <w:highlight w:val="none"/>
        </w:rPr>
      </w:pPr>
    </w:p>
    <w:p w14:paraId="4734ED91">
      <w:pPr>
        <w:snapToGrid w:val="0"/>
        <w:spacing w:line="360" w:lineRule="auto"/>
        <w:ind w:firstLine="360" w:firstLineChars="150"/>
        <w:rPr>
          <w:rFonts w:ascii="仿宋" w:hAnsi="仿宋" w:eastAsia="仿宋" w:cs="仿宋"/>
          <w:color w:val="auto"/>
          <w:sz w:val="24"/>
          <w:szCs w:val="28"/>
          <w:highlight w:val="none"/>
        </w:rPr>
      </w:pPr>
    </w:p>
    <w:p w14:paraId="779A9CC5">
      <w:pPr>
        <w:snapToGrid w:val="0"/>
        <w:spacing w:line="360" w:lineRule="auto"/>
        <w:ind w:firstLine="360" w:firstLineChars="150"/>
        <w:rPr>
          <w:rFonts w:ascii="仿宋" w:hAnsi="仿宋" w:eastAsia="仿宋" w:cs="仿宋"/>
          <w:color w:val="auto"/>
          <w:sz w:val="24"/>
          <w:szCs w:val="28"/>
          <w:highlight w:val="none"/>
        </w:rPr>
      </w:pPr>
    </w:p>
    <w:p w14:paraId="242C4D61">
      <w:pPr>
        <w:snapToGrid w:val="0"/>
        <w:spacing w:line="360" w:lineRule="auto"/>
        <w:ind w:firstLine="360" w:firstLineChars="150"/>
        <w:rPr>
          <w:rFonts w:ascii="仿宋" w:hAnsi="仿宋" w:eastAsia="仿宋" w:cs="仿宋"/>
          <w:color w:val="auto"/>
          <w:sz w:val="24"/>
          <w:szCs w:val="28"/>
          <w:highlight w:val="none"/>
        </w:rPr>
      </w:pPr>
    </w:p>
    <w:p w14:paraId="7A5DBEE4">
      <w:pPr>
        <w:snapToGrid w:val="0"/>
        <w:spacing w:line="360" w:lineRule="auto"/>
        <w:ind w:firstLine="360" w:firstLineChars="150"/>
        <w:rPr>
          <w:rFonts w:ascii="仿宋" w:hAnsi="仿宋" w:eastAsia="仿宋" w:cs="仿宋"/>
          <w:color w:val="auto"/>
          <w:sz w:val="24"/>
          <w:szCs w:val="28"/>
          <w:highlight w:val="none"/>
        </w:rPr>
      </w:pPr>
    </w:p>
    <w:p w14:paraId="25974E9A">
      <w:pPr>
        <w:pStyle w:val="52"/>
        <w:rPr>
          <w:rFonts w:ascii="仿宋" w:hAnsi="仿宋" w:eastAsia="仿宋" w:cs="仿宋"/>
          <w:color w:val="auto"/>
          <w:sz w:val="24"/>
          <w:szCs w:val="28"/>
          <w:highlight w:val="none"/>
        </w:rPr>
      </w:pPr>
    </w:p>
    <w:p w14:paraId="7756F9D3">
      <w:pPr>
        <w:pStyle w:val="52"/>
        <w:rPr>
          <w:rFonts w:ascii="仿宋" w:hAnsi="仿宋" w:eastAsia="仿宋" w:cs="仿宋"/>
          <w:color w:val="auto"/>
          <w:sz w:val="24"/>
          <w:szCs w:val="28"/>
          <w:highlight w:val="none"/>
        </w:rPr>
      </w:pPr>
    </w:p>
    <w:p w14:paraId="7A06198F">
      <w:pPr>
        <w:pStyle w:val="52"/>
        <w:rPr>
          <w:rFonts w:ascii="仿宋" w:hAnsi="仿宋" w:eastAsia="仿宋" w:cs="仿宋"/>
          <w:color w:val="auto"/>
          <w:sz w:val="24"/>
          <w:szCs w:val="28"/>
          <w:highlight w:val="none"/>
        </w:rPr>
      </w:pPr>
    </w:p>
    <w:p w14:paraId="76A1A856">
      <w:pPr>
        <w:pStyle w:val="52"/>
        <w:rPr>
          <w:rFonts w:ascii="仿宋" w:hAnsi="仿宋" w:eastAsia="仿宋" w:cs="仿宋"/>
          <w:color w:val="auto"/>
          <w:sz w:val="24"/>
          <w:szCs w:val="28"/>
          <w:highlight w:val="none"/>
        </w:rPr>
      </w:pPr>
    </w:p>
    <w:p w14:paraId="6239C96D">
      <w:pPr>
        <w:pStyle w:val="52"/>
        <w:rPr>
          <w:rFonts w:ascii="仿宋" w:hAnsi="仿宋" w:eastAsia="仿宋" w:cs="仿宋"/>
          <w:color w:val="auto"/>
          <w:sz w:val="24"/>
          <w:szCs w:val="28"/>
          <w:highlight w:val="none"/>
        </w:rPr>
      </w:pPr>
    </w:p>
    <w:p w14:paraId="2603BE33">
      <w:pPr>
        <w:snapToGrid w:val="0"/>
        <w:spacing w:line="360" w:lineRule="auto"/>
        <w:ind w:firstLine="360" w:firstLineChars="150"/>
        <w:rPr>
          <w:rFonts w:ascii="仿宋" w:hAnsi="仿宋" w:eastAsia="仿宋" w:cs="仿宋"/>
          <w:color w:val="auto"/>
          <w:sz w:val="24"/>
          <w:szCs w:val="28"/>
          <w:highlight w:val="none"/>
        </w:rPr>
      </w:pPr>
    </w:p>
    <w:p w14:paraId="14427712">
      <w:pPr>
        <w:snapToGrid w:val="0"/>
        <w:spacing w:line="360" w:lineRule="auto"/>
        <w:ind w:firstLine="360" w:firstLineChars="150"/>
        <w:rPr>
          <w:rFonts w:ascii="仿宋" w:hAnsi="仿宋" w:eastAsia="仿宋" w:cs="仿宋"/>
          <w:color w:val="auto"/>
          <w:sz w:val="24"/>
          <w:szCs w:val="28"/>
          <w:highlight w:val="none"/>
        </w:rPr>
      </w:pPr>
    </w:p>
    <w:p w14:paraId="48D8A998">
      <w:pPr>
        <w:snapToGrid w:val="0"/>
        <w:spacing w:line="360" w:lineRule="auto"/>
        <w:rPr>
          <w:rFonts w:ascii="仿宋" w:hAnsi="仿宋" w:eastAsia="仿宋" w:cs="仿宋"/>
          <w:color w:val="auto"/>
          <w:sz w:val="24"/>
          <w:szCs w:val="28"/>
          <w:highlight w:val="none"/>
        </w:rPr>
      </w:pPr>
    </w:p>
    <w:p w14:paraId="299E5394">
      <w:pPr>
        <w:snapToGrid w:val="0"/>
        <w:spacing w:line="360" w:lineRule="auto"/>
        <w:ind w:firstLine="360" w:firstLineChars="150"/>
        <w:rPr>
          <w:rFonts w:ascii="仿宋" w:hAnsi="仿宋" w:eastAsia="仿宋" w:cs="仿宋"/>
          <w:color w:val="auto"/>
          <w:sz w:val="24"/>
          <w:szCs w:val="28"/>
          <w:highlight w:val="none"/>
        </w:rPr>
      </w:pPr>
    </w:p>
    <w:p w14:paraId="1ACAFFE6">
      <w:pPr>
        <w:snapToGrid w:val="0"/>
        <w:spacing w:line="360" w:lineRule="auto"/>
        <w:ind w:firstLine="360" w:firstLineChars="150"/>
        <w:rPr>
          <w:rFonts w:ascii="仿宋" w:hAnsi="仿宋" w:eastAsia="仿宋" w:cs="仿宋"/>
          <w:color w:val="auto"/>
          <w:sz w:val="24"/>
          <w:szCs w:val="28"/>
          <w:highlight w:val="none"/>
        </w:rPr>
      </w:pPr>
    </w:p>
    <w:p w14:paraId="12459183">
      <w:pPr>
        <w:snapToGrid w:val="0"/>
        <w:spacing w:line="360" w:lineRule="auto"/>
        <w:ind w:firstLine="360" w:firstLineChars="150"/>
        <w:rPr>
          <w:rFonts w:ascii="仿宋" w:hAnsi="仿宋" w:eastAsia="仿宋" w:cs="仿宋"/>
          <w:color w:val="auto"/>
          <w:sz w:val="24"/>
          <w:szCs w:val="28"/>
          <w:highlight w:val="none"/>
        </w:rPr>
      </w:pPr>
    </w:p>
    <w:p w14:paraId="6C331CAD">
      <w:pPr>
        <w:snapToGrid w:val="0"/>
        <w:spacing w:line="360" w:lineRule="auto"/>
        <w:ind w:firstLine="360" w:firstLineChars="150"/>
        <w:rPr>
          <w:rFonts w:ascii="仿宋" w:hAnsi="仿宋" w:eastAsia="仿宋" w:cs="仿宋"/>
          <w:color w:val="auto"/>
          <w:sz w:val="24"/>
          <w:szCs w:val="28"/>
          <w:highlight w:val="none"/>
        </w:rPr>
      </w:pPr>
    </w:p>
    <w:p w14:paraId="506F1DD3">
      <w:pPr>
        <w:pStyle w:val="2"/>
        <w:numPr>
          <w:ilvl w:val="0"/>
          <w:numId w:val="10"/>
        </w:numPr>
        <w:rPr>
          <w:color w:val="auto"/>
          <w:highlight w:val="none"/>
        </w:rPr>
      </w:pPr>
      <w:r>
        <w:rPr>
          <w:rFonts w:hint="eastAsia"/>
          <w:color w:val="auto"/>
          <w:highlight w:val="none"/>
        </w:rPr>
        <w:t xml:space="preserve"> </w:t>
      </w:r>
      <w:bookmarkStart w:id="258" w:name="_Toc14996"/>
      <w:r>
        <w:rPr>
          <w:rFonts w:hint="eastAsia"/>
          <w:color w:val="auto"/>
          <w:highlight w:val="none"/>
        </w:rPr>
        <w:t>评审办法</w:t>
      </w:r>
      <w:bookmarkEnd w:id="247"/>
      <w:bookmarkEnd w:id="248"/>
      <w:bookmarkEnd w:id="258"/>
    </w:p>
    <w:p w14:paraId="32C4A614">
      <w:pPr>
        <w:rPr>
          <w:rFonts w:ascii="仿宋" w:hAnsi="仿宋" w:eastAsia="仿宋" w:cs="仿宋"/>
          <w:color w:val="auto"/>
          <w:highlight w:val="none"/>
        </w:rPr>
      </w:pPr>
      <w:r>
        <w:rPr>
          <w:rFonts w:hint="eastAsia" w:ascii="仿宋" w:hAnsi="仿宋" w:eastAsia="仿宋" w:cs="仿宋"/>
          <w:color w:val="auto"/>
          <w:highlight w:val="none"/>
        </w:rPr>
        <w:br w:type="page"/>
      </w:r>
    </w:p>
    <w:p w14:paraId="2B654FBF">
      <w:pPr>
        <w:pStyle w:val="3"/>
        <w:keepNext w:val="0"/>
        <w:keepLines w:val="0"/>
        <w:spacing w:line="360" w:lineRule="auto"/>
        <w:ind w:firstLine="281"/>
        <w:rPr>
          <w:rFonts w:ascii="仿宋" w:hAnsi="仿宋" w:eastAsia="仿宋" w:cs="仿宋"/>
          <w:color w:val="auto"/>
          <w:sz w:val="28"/>
          <w:szCs w:val="32"/>
          <w:highlight w:val="none"/>
        </w:rPr>
      </w:pPr>
      <w:bookmarkStart w:id="259" w:name="_Toc18818"/>
      <w:bookmarkStart w:id="260" w:name="_Toc161306723"/>
      <w:bookmarkStart w:id="261" w:name="_Toc384906888"/>
      <w:bookmarkStart w:id="262" w:name="_Toc15026"/>
      <w:bookmarkStart w:id="263" w:name="_Toc86124093"/>
      <w:bookmarkStart w:id="264" w:name="_Toc191374457"/>
      <w:bookmarkStart w:id="265" w:name="_Toc3247"/>
      <w:bookmarkStart w:id="266" w:name="_Toc459214457"/>
      <w:bookmarkStart w:id="267" w:name="_Toc11486"/>
      <w:bookmarkStart w:id="268" w:name="_Toc28032"/>
      <w:bookmarkStart w:id="269" w:name="_Toc372195793"/>
      <w:bookmarkStart w:id="270" w:name="_Toc381016112"/>
      <w:bookmarkStart w:id="271" w:name="_Toc393455445"/>
      <w:r>
        <w:rPr>
          <w:rFonts w:hint="eastAsia" w:ascii="仿宋" w:hAnsi="仿宋" w:eastAsia="仿宋" w:cs="仿宋"/>
          <w:color w:val="auto"/>
          <w:sz w:val="28"/>
          <w:szCs w:val="32"/>
          <w:highlight w:val="none"/>
        </w:rPr>
        <w:t>评审办法前附表</w:t>
      </w:r>
      <w:bookmarkEnd w:id="259"/>
      <w:bookmarkEnd w:id="260"/>
      <w:bookmarkEnd w:id="261"/>
      <w:bookmarkEnd w:id="262"/>
      <w:bookmarkEnd w:id="263"/>
      <w:bookmarkEnd w:id="264"/>
      <w:bookmarkEnd w:id="265"/>
      <w:bookmarkEnd w:id="266"/>
      <w:bookmarkEnd w:id="267"/>
    </w:p>
    <w:p w14:paraId="4F034DFE">
      <w:pPr>
        <w:pStyle w:val="8"/>
        <w:spacing w:line="360" w:lineRule="auto"/>
        <w:ind w:firstLine="281"/>
        <w:rPr>
          <w:rFonts w:ascii="仿宋" w:hAnsi="仿宋" w:eastAsia="仿宋" w:cs="仿宋"/>
          <w:b/>
          <w:bCs/>
          <w:color w:val="auto"/>
          <w:sz w:val="32"/>
          <w:szCs w:val="36"/>
          <w:highlight w:val="none"/>
        </w:rPr>
      </w:pPr>
      <w:r>
        <w:rPr>
          <w:rFonts w:hint="eastAsia" w:ascii="仿宋" w:hAnsi="仿宋" w:eastAsia="仿宋" w:cs="仿宋"/>
          <w:b/>
          <w:bCs/>
          <w:color w:val="auto"/>
          <w:sz w:val="28"/>
          <w:szCs w:val="32"/>
          <w:highlight w:val="none"/>
        </w:rPr>
        <w:t>初步评审</w:t>
      </w:r>
    </w:p>
    <w:tbl>
      <w:tblPr>
        <w:tblStyle w:val="39"/>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889"/>
        <w:gridCol w:w="5680"/>
      </w:tblGrid>
      <w:tr w14:paraId="0882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0" w:type="dxa"/>
            <w:vAlign w:val="center"/>
          </w:tcPr>
          <w:p w14:paraId="74B2B48C">
            <w:pPr>
              <w:spacing w:line="360" w:lineRule="auto"/>
              <w:jc w:val="both"/>
              <w:rPr>
                <w:rFonts w:ascii="仿宋" w:hAnsi="仿宋" w:eastAsia="仿宋" w:cs="仿宋"/>
                <w:b/>
                <w:color w:val="auto"/>
                <w:sz w:val="22"/>
                <w:szCs w:val="22"/>
                <w:highlight w:val="none"/>
              </w:rPr>
            </w:pPr>
            <w:r>
              <w:rPr>
                <w:rFonts w:hint="eastAsia" w:ascii="仿宋" w:hAnsi="仿宋" w:eastAsia="仿宋" w:cs="仿宋"/>
                <w:b/>
                <w:color w:val="auto"/>
                <w:sz w:val="22"/>
                <w:szCs w:val="22"/>
                <w:highlight w:val="none"/>
              </w:rPr>
              <w:t>评审项</w:t>
            </w:r>
          </w:p>
        </w:tc>
        <w:tc>
          <w:tcPr>
            <w:tcW w:w="2889" w:type="dxa"/>
            <w:vAlign w:val="center"/>
          </w:tcPr>
          <w:p w14:paraId="2B5F47A3">
            <w:pPr>
              <w:spacing w:line="360" w:lineRule="auto"/>
              <w:ind w:firstLine="221"/>
              <w:jc w:val="center"/>
              <w:rPr>
                <w:rFonts w:ascii="仿宋" w:hAnsi="仿宋" w:eastAsia="仿宋" w:cs="仿宋"/>
                <w:b/>
                <w:color w:val="auto"/>
                <w:sz w:val="22"/>
                <w:szCs w:val="22"/>
                <w:highlight w:val="none"/>
              </w:rPr>
            </w:pPr>
            <w:r>
              <w:rPr>
                <w:rFonts w:hint="eastAsia" w:ascii="仿宋" w:hAnsi="仿宋" w:eastAsia="仿宋" w:cs="仿宋"/>
                <w:b/>
                <w:color w:val="auto"/>
                <w:sz w:val="22"/>
                <w:szCs w:val="22"/>
                <w:highlight w:val="none"/>
              </w:rPr>
              <w:t>评审因素</w:t>
            </w:r>
          </w:p>
        </w:tc>
        <w:tc>
          <w:tcPr>
            <w:tcW w:w="5680" w:type="dxa"/>
            <w:vAlign w:val="center"/>
          </w:tcPr>
          <w:p w14:paraId="659B49F4">
            <w:pPr>
              <w:spacing w:line="360" w:lineRule="auto"/>
              <w:ind w:firstLine="221"/>
              <w:jc w:val="center"/>
              <w:rPr>
                <w:rFonts w:ascii="仿宋" w:hAnsi="仿宋" w:eastAsia="仿宋" w:cs="仿宋"/>
                <w:b/>
                <w:color w:val="auto"/>
                <w:sz w:val="22"/>
                <w:szCs w:val="22"/>
                <w:highlight w:val="none"/>
              </w:rPr>
            </w:pPr>
            <w:r>
              <w:rPr>
                <w:rFonts w:hint="eastAsia" w:ascii="仿宋" w:hAnsi="仿宋" w:eastAsia="仿宋" w:cs="仿宋"/>
                <w:b/>
                <w:color w:val="auto"/>
                <w:sz w:val="22"/>
                <w:szCs w:val="22"/>
                <w:highlight w:val="none"/>
              </w:rPr>
              <w:t>评 审 标 准</w:t>
            </w:r>
          </w:p>
        </w:tc>
      </w:tr>
      <w:tr w14:paraId="69CC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120" w:type="dxa"/>
            <w:vMerge w:val="restart"/>
            <w:vAlign w:val="center"/>
          </w:tcPr>
          <w:p w14:paraId="5D12BFB1">
            <w:pPr>
              <w:spacing w:line="360" w:lineRule="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资格性评审标准</w:t>
            </w:r>
          </w:p>
        </w:tc>
        <w:tc>
          <w:tcPr>
            <w:tcW w:w="2889" w:type="dxa"/>
            <w:vAlign w:val="center"/>
          </w:tcPr>
          <w:p w14:paraId="2CED34FA">
            <w:pPr>
              <w:adjustRightInd w:val="0"/>
              <w:snapToGrid w:val="0"/>
              <w:ind w:firstLine="220"/>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基本资质：满足《中华人民共和国政府采购法》第二十二条规定的资料</w:t>
            </w:r>
          </w:p>
        </w:tc>
        <w:tc>
          <w:tcPr>
            <w:tcW w:w="5680" w:type="dxa"/>
            <w:vAlign w:val="center"/>
          </w:tcPr>
          <w:p w14:paraId="126B6E3D">
            <w:pPr>
              <w:snapToGrid w:val="0"/>
              <w:ind w:firstLine="2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1、提供</w:t>
            </w:r>
            <w:r>
              <w:rPr>
                <w:rFonts w:hint="eastAsia" w:ascii="仿宋" w:hAnsi="仿宋" w:eastAsia="仿宋" w:cs="仿宋"/>
                <w:color w:val="auto"/>
                <w:sz w:val="22"/>
                <w:szCs w:val="22"/>
                <w:highlight w:val="none"/>
              </w:rPr>
              <w:t>符合“投标人须知前附表”第2</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项要求</w:t>
            </w:r>
            <w:r>
              <w:rPr>
                <w:rFonts w:hint="eastAsia" w:ascii="仿宋" w:hAnsi="仿宋" w:eastAsia="仿宋" w:cs="仿宋"/>
                <w:color w:val="auto"/>
                <w:sz w:val="22"/>
                <w:szCs w:val="22"/>
                <w:highlight w:val="none"/>
                <w:lang w:val="en-US" w:eastAsia="zh-CN"/>
              </w:rPr>
              <w:t>的证明材料</w:t>
            </w:r>
            <w:r>
              <w:rPr>
                <w:rFonts w:hint="eastAsia" w:ascii="仿宋" w:hAnsi="仿宋" w:eastAsia="仿宋" w:cs="仿宋"/>
                <w:color w:val="auto"/>
                <w:sz w:val="22"/>
                <w:szCs w:val="22"/>
                <w:highlight w:val="none"/>
              </w:rPr>
              <w:t>；</w:t>
            </w:r>
          </w:p>
          <w:p w14:paraId="38EDC642">
            <w:pPr>
              <w:snapToGrid w:val="0"/>
              <w:ind w:firstLine="22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签署符合“投标人须知前附表”第</w:t>
            </w:r>
            <w:r>
              <w:rPr>
                <w:rFonts w:hint="eastAsia" w:ascii="仿宋" w:hAnsi="仿宋" w:eastAsia="仿宋" w:cs="仿宋"/>
                <w:color w:val="auto"/>
                <w:sz w:val="22"/>
                <w:szCs w:val="22"/>
                <w:highlight w:val="none"/>
                <w:lang w:val="en-US" w:eastAsia="zh-CN"/>
              </w:rPr>
              <w:t>7.2</w:t>
            </w:r>
            <w:r>
              <w:rPr>
                <w:rFonts w:hint="eastAsia" w:ascii="仿宋" w:hAnsi="仿宋" w:eastAsia="仿宋" w:cs="仿宋"/>
                <w:color w:val="auto"/>
                <w:sz w:val="22"/>
                <w:szCs w:val="22"/>
                <w:highlight w:val="none"/>
              </w:rPr>
              <w:t>项</w:t>
            </w:r>
            <w:r>
              <w:rPr>
                <w:rFonts w:hint="eastAsia" w:ascii="仿宋" w:hAnsi="仿宋" w:eastAsia="仿宋" w:cs="仿宋"/>
                <w:color w:val="auto"/>
                <w:sz w:val="22"/>
                <w:szCs w:val="22"/>
                <w:highlight w:val="none"/>
                <w:lang w:val="en-US" w:eastAsia="zh-CN"/>
              </w:rPr>
              <w:t>的要求</w:t>
            </w:r>
            <w:r>
              <w:rPr>
                <w:rFonts w:hint="eastAsia" w:ascii="仿宋" w:hAnsi="仿宋" w:eastAsia="仿宋" w:cs="仿宋"/>
                <w:color w:val="auto"/>
                <w:sz w:val="22"/>
                <w:szCs w:val="22"/>
                <w:highlight w:val="none"/>
              </w:rPr>
              <w:t>;</w:t>
            </w:r>
          </w:p>
        </w:tc>
      </w:tr>
      <w:tr w14:paraId="623E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120" w:type="dxa"/>
            <w:vMerge w:val="continue"/>
            <w:vAlign w:val="center"/>
          </w:tcPr>
          <w:p w14:paraId="523933A6">
            <w:pPr>
              <w:spacing w:line="360" w:lineRule="auto"/>
              <w:ind w:firstLine="220"/>
              <w:rPr>
                <w:rFonts w:ascii="仿宋" w:hAnsi="仿宋" w:eastAsia="仿宋" w:cs="仿宋"/>
                <w:color w:val="auto"/>
                <w:sz w:val="22"/>
                <w:szCs w:val="22"/>
                <w:highlight w:val="none"/>
              </w:rPr>
            </w:pPr>
          </w:p>
        </w:tc>
        <w:tc>
          <w:tcPr>
            <w:tcW w:w="2889" w:type="dxa"/>
            <w:vAlign w:val="center"/>
          </w:tcPr>
          <w:p w14:paraId="0441269C">
            <w:pPr>
              <w:adjustRightInd w:val="0"/>
              <w:snapToGrid w:val="0"/>
              <w:ind w:firstLine="220"/>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采购政策：落实政府采购政策的材料</w:t>
            </w:r>
          </w:p>
        </w:tc>
        <w:tc>
          <w:tcPr>
            <w:tcW w:w="5680" w:type="dxa"/>
            <w:vAlign w:val="center"/>
          </w:tcPr>
          <w:p w14:paraId="0E31FE10">
            <w:pPr>
              <w:snapToGrid w:val="0"/>
              <w:ind w:firstLine="22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1、符合“投标人须知前附表”第2.1项要求；</w:t>
            </w:r>
          </w:p>
          <w:p w14:paraId="22586E22">
            <w:pPr>
              <w:snapToGrid w:val="0"/>
              <w:ind w:firstLine="22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2、签署符合“投标人须知前附表”第7.2项的要求;</w:t>
            </w:r>
          </w:p>
        </w:tc>
      </w:tr>
      <w:tr w14:paraId="4E0A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120" w:type="dxa"/>
            <w:vMerge w:val="continue"/>
            <w:vAlign w:val="center"/>
          </w:tcPr>
          <w:p w14:paraId="3E511127">
            <w:pPr>
              <w:spacing w:line="360" w:lineRule="auto"/>
              <w:ind w:firstLine="220"/>
              <w:rPr>
                <w:rFonts w:ascii="仿宋" w:hAnsi="仿宋" w:eastAsia="仿宋" w:cs="仿宋"/>
                <w:color w:val="auto"/>
                <w:sz w:val="22"/>
                <w:szCs w:val="22"/>
                <w:highlight w:val="none"/>
              </w:rPr>
            </w:pPr>
          </w:p>
        </w:tc>
        <w:tc>
          <w:tcPr>
            <w:tcW w:w="2889" w:type="dxa"/>
            <w:vAlign w:val="center"/>
          </w:tcPr>
          <w:p w14:paraId="50EF7AA5">
            <w:pPr>
              <w:adjustRightInd w:val="0"/>
              <w:snapToGrid w:val="0"/>
              <w:ind w:firstLine="220"/>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特定资质：满足本项目的特定资格要求的资料</w:t>
            </w:r>
          </w:p>
        </w:tc>
        <w:tc>
          <w:tcPr>
            <w:tcW w:w="5680" w:type="dxa"/>
            <w:vAlign w:val="center"/>
          </w:tcPr>
          <w:p w14:paraId="2181A09F">
            <w:pPr>
              <w:snapToGrid w:val="0"/>
              <w:ind w:firstLine="22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1、提供符合“投标人须知前附表”第2.1项要求的证明材料；</w:t>
            </w:r>
          </w:p>
          <w:p w14:paraId="0C8FA4CD">
            <w:pPr>
              <w:snapToGrid w:val="0"/>
              <w:ind w:firstLine="22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2、签署符合“投标人须知前附表”第7.2项的要求;</w:t>
            </w:r>
          </w:p>
        </w:tc>
      </w:tr>
      <w:tr w14:paraId="5909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120" w:type="dxa"/>
            <w:vMerge w:val="continue"/>
            <w:vAlign w:val="center"/>
          </w:tcPr>
          <w:p w14:paraId="72D3252F">
            <w:pPr>
              <w:spacing w:line="360" w:lineRule="auto"/>
              <w:ind w:firstLine="220"/>
              <w:rPr>
                <w:rFonts w:ascii="仿宋" w:hAnsi="仿宋" w:eastAsia="仿宋" w:cs="仿宋"/>
                <w:color w:val="auto"/>
                <w:sz w:val="22"/>
                <w:szCs w:val="22"/>
                <w:highlight w:val="none"/>
              </w:rPr>
            </w:pPr>
          </w:p>
        </w:tc>
        <w:tc>
          <w:tcPr>
            <w:tcW w:w="2889" w:type="dxa"/>
            <w:vAlign w:val="center"/>
          </w:tcPr>
          <w:p w14:paraId="56CE09C3">
            <w:pPr>
              <w:adjustRightInd w:val="0"/>
              <w:snapToGrid w:val="0"/>
              <w:ind w:firstLine="220"/>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其他：法定代表人（负责人）身份证明</w:t>
            </w:r>
          </w:p>
        </w:tc>
        <w:tc>
          <w:tcPr>
            <w:tcW w:w="5680" w:type="dxa"/>
            <w:vAlign w:val="center"/>
          </w:tcPr>
          <w:p w14:paraId="553B02BB">
            <w:pPr>
              <w:snapToGrid w:val="0"/>
              <w:ind w:firstLine="22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1、按响应文格式要求提供法定代表人（负责人）身份证明；</w:t>
            </w:r>
          </w:p>
          <w:p w14:paraId="219F80B3">
            <w:pPr>
              <w:snapToGrid w:val="0"/>
              <w:ind w:firstLine="22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2、签署符合“投标人须知前附表”第7.2项的要求;</w:t>
            </w:r>
          </w:p>
        </w:tc>
      </w:tr>
      <w:tr w14:paraId="1FCE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120" w:type="dxa"/>
            <w:vMerge w:val="continue"/>
            <w:vAlign w:val="center"/>
          </w:tcPr>
          <w:p w14:paraId="3DF87DE3">
            <w:pPr>
              <w:spacing w:line="360" w:lineRule="auto"/>
              <w:ind w:firstLine="220"/>
              <w:rPr>
                <w:rFonts w:ascii="仿宋" w:hAnsi="仿宋" w:eastAsia="仿宋" w:cs="仿宋"/>
                <w:color w:val="auto"/>
                <w:sz w:val="22"/>
                <w:szCs w:val="22"/>
                <w:highlight w:val="none"/>
              </w:rPr>
            </w:pPr>
          </w:p>
        </w:tc>
        <w:tc>
          <w:tcPr>
            <w:tcW w:w="2889" w:type="dxa"/>
            <w:vAlign w:val="center"/>
          </w:tcPr>
          <w:p w14:paraId="3993DCEA">
            <w:pPr>
              <w:adjustRightInd w:val="0"/>
              <w:snapToGrid w:val="0"/>
              <w:ind w:firstLine="22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其他：授权委托书</w:t>
            </w:r>
          </w:p>
        </w:tc>
        <w:tc>
          <w:tcPr>
            <w:tcW w:w="5680" w:type="dxa"/>
            <w:vAlign w:val="center"/>
          </w:tcPr>
          <w:p w14:paraId="004DDD2C">
            <w:pPr>
              <w:snapToGrid w:val="0"/>
              <w:ind w:firstLine="220" w:firstLineChars="1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1、按响应文格式要求提供授权委托书（若未发生授权情况，则无需提供授权委托书）；</w:t>
            </w:r>
          </w:p>
          <w:p w14:paraId="743734DA">
            <w:pPr>
              <w:snapToGrid w:val="0"/>
              <w:ind w:firstLine="22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2、签署符合“投标人须知前附表”第7.2项的要求;</w:t>
            </w:r>
          </w:p>
        </w:tc>
      </w:tr>
      <w:tr w14:paraId="5C93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120" w:type="dxa"/>
            <w:vMerge w:val="continue"/>
            <w:vAlign w:val="center"/>
          </w:tcPr>
          <w:p w14:paraId="3B8AD0C4">
            <w:pPr>
              <w:spacing w:line="360" w:lineRule="auto"/>
              <w:ind w:firstLine="220"/>
              <w:rPr>
                <w:rFonts w:ascii="仿宋" w:hAnsi="仿宋" w:eastAsia="仿宋" w:cs="仿宋"/>
                <w:color w:val="auto"/>
                <w:sz w:val="22"/>
                <w:szCs w:val="22"/>
                <w:highlight w:val="none"/>
              </w:rPr>
            </w:pPr>
          </w:p>
        </w:tc>
        <w:tc>
          <w:tcPr>
            <w:tcW w:w="2889" w:type="dxa"/>
            <w:vAlign w:val="center"/>
          </w:tcPr>
          <w:p w14:paraId="2CE2C748">
            <w:pPr>
              <w:adjustRightInd w:val="0"/>
              <w:snapToGrid w:val="0"/>
              <w:ind w:firstLine="220"/>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其他：其他资料</w:t>
            </w:r>
          </w:p>
        </w:tc>
        <w:tc>
          <w:tcPr>
            <w:tcW w:w="5680" w:type="dxa"/>
            <w:vAlign w:val="center"/>
          </w:tcPr>
          <w:p w14:paraId="3D8E1C94">
            <w:pPr>
              <w:snapToGrid w:val="0"/>
              <w:ind w:firstLine="22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1、按响应文件格式要求提供公共资源交易投标人信用承诺书及不拖欠农民工工资承诺书。</w:t>
            </w:r>
          </w:p>
          <w:p w14:paraId="0A8B75D0">
            <w:pPr>
              <w:snapToGrid w:val="0"/>
              <w:ind w:firstLine="22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2、签署符合“投标人须知前附表”第7.2项的要求;</w:t>
            </w:r>
          </w:p>
        </w:tc>
      </w:tr>
      <w:tr w14:paraId="6C0C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1120" w:type="dxa"/>
            <w:vAlign w:val="center"/>
          </w:tcPr>
          <w:p w14:paraId="7443A55B">
            <w:pPr>
              <w:spacing w:line="360" w:lineRule="auto"/>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符合性评审标准（报价）</w:t>
            </w:r>
          </w:p>
        </w:tc>
        <w:tc>
          <w:tcPr>
            <w:tcW w:w="8569" w:type="dxa"/>
            <w:gridSpan w:val="2"/>
            <w:vAlign w:val="center"/>
          </w:tcPr>
          <w:p w14:paraId="4AA3A182">
            <w:pPr>
              <w:snapToGrid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（1）响应文件报价部分的签署符合“投标人须知前附表”第7.2项的要求;</w:t>
            </w:r>
          </w:p>
          <w:p w14:paraId="639C1883">
            <w:pPr>
              <w:snapToGrid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（2）磋商报价符合磋商文件的要求，有磋商报价且磋商报价未超出最高磋商限价。</w:t>
            </w:r>
          </w:p>
          <w:p w14:paraId="4FA096B0">
            <w:pPr>
              <w:snapToGrid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（3）同一供应商未提交两个以上不同的磋商报价，但磋商文件要求提交备选磋商的除外。</w:t>
            </w:r>
          </w:p>
          <w:p w14:paraId="0B0FB767">
            <w:pPr>
              <w:snapToGrid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（4）响应文件报价部分未违反“投标人须知”第6项的规定；</w:t>
            </w:r>
          </w:p>
          <w:p w14:paraId="3A4F69D6">
            <w:pPr>
              <w:snapToGrid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（5）响应磋商文件的实质性要求和条件（采购人发出的服务需求清单及说明等）；</w:t>
            </w:r>
          </w:p>
          <w:p w14:paraId="15BE8032">
            <w:pPr>
              <w:snapToGrid w:val="0"/>
              <w:rPr>
                <w:rFonts w:hint="eastAsia"/>
                <w:highlight w:val="none"/>
                <w:lang w:eastAsia="zh-CN"/>
              </w:rPr>
            </w:pPr>
            <w:r>
              <w:rPr>
                <w:rFonts w:hint="eastAsia" w:ascii="仿宋" w:hAnsi="仿宋" w:eastAsia="仿宋" w:cs="仿宋"/>
                <w:color w:val="auto"/>
                <w:sz w:val="22"/>
                <w:szCs w:val="22"/>
                <w:highlight w:val="none"/>
                <w:lang w:val="en-US" w:eastAsia="zh-CN"/>
              </w:rPr>
              <w:t>（6）竞争性磋商文件中约定的其他无效情形。</w:t>
            </w:r>
          </w:p>
        </w:tc>
      </w:tr>
      <w:tr w14:paraId="7E98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120" w:type="dxa"/>
            <w:vAlign w:val="center"/>
          </w:tcPr>
          <w:p w14:paraId="38244732">
            <w:pPr>
              <w:spacing w:line="360" w:lineRule="auto"/>
              <w:ind w:firstLine="22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符合性评审标准（商务及技术）</w:t>
            </w:r>
          </w:p>
        </w:tc>
        <w:tc>
          <w:tcPr>
            <w:tcW w:w="8569" w:type="dxa"/>
            <w:gridSpan w:val="2"/>
            <w:vAlign w:val="center"/>
          </w:tcPr>
          <w:p w14:paraId="01D23B04">
            <w:pPr>
              <w:snapToGrid w:val="0"/>
              <w:ind w:firstLine="220"/>
              <w:rPr>
                <w:rFonts w:hint="eastAsia" w:ascii="仿宋" w:hAnsi="仿宋" w:eastAsia="仿宋" w:cs="仿宋"/>
                <w:color w:val="auto"/>
                <w:sz w:val="22"/>
                <w:szCs w:val="22"/>
                <w:highlight w:val="none"/>
              </w:rPr>
            </w:pPr>
          </w:p>
          <w:p w14:paraId="50E7D4B0">
            <w:pPr>
              <w:numPr>
                <w:ilvl w:val="0"/>
                <w:numId w:val="11"/>
              </w:numPr>
              <w:snapToGrid w:val="0"/>
              <w:ind w:firstLine="2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响应文件商务及技术</w:t>
            </w:r>
            <w:r>
              <w:rPr>
                <w:rFonts w:hint="eastAsia" w:ascii="仿宋" w:hAnsi="仿宋" w:eastAsia="仿宋" w:cs="仿宋"/>
                <w:color w:val="auto"/>
                <w:sz w:val="22"/>
                <w:szCs w:val="22"/>
                <w:highlight w:val="none"/>
                <w:lang w:val="en-US" w:eastAsia="zh-CN"/>
              </w:rPr>
              <w:t>部分</w:t>
            </w:r>
            <w:r>
              <w:rPr>
                <w:rFonts w:hint="eastAsia" w:ascii="仿宋" w:hAnsi="仿宋" w:eastAsia="仿宋" w:cs="仿宋"/>
                <w:color w:val="auto"/>
                <w:sz w:val="22"/>
                <w:szCs w:val="22"/>
                <w:highlight w:val="none"/>
              </w:rPr>
              <w:t>的签署符合“投标人须知前附表”第</w:t>
            </w:r>
            <w:r>
              <w:rPr>
                <w:rFonts w:hint="eastAsia" w:ascii="仿宋" w:hAnsi="仿宋" w:eastAsia="仿宋" w:cs="仿宋"/>
                <w:color w:val="auto"/>
                <w:sz w:val="22"/>
                <w:szCs w:val="22"/>
                <w:highlight w:val="none"/>
                <w:lang w:val="en-US" w:eastAsia="zh-CN"/>
              </w:rPr>
              <w:t>7.2</w:t>
            </w:r>
            <w:r>
              <w:rPr>
                <w:rFonts w:hint="eastAsia" w:ascii="仿宋" w:hAnsi="仿宋" w:eastAsia="仿宋" w:cs="仿宋"/>
                <w:color w:val="auto"/>
                <w:sz w:val="22"/>
                <w:szCs w:val="22"/>
                <w:highlight w:val="none"/>
              </w:rPr>
              <w:t>项</w:t>
            </w:r>
            <w:r>
              <w:rPr>
                <w:rFonts w:hint="eastAsia" w:ascii="仿宋" w:hAnsi="仿宋" w:eastAsia="仿宋" w:cs="仿宋"/>
                <w:color w:val="auto"/>
                <w:sz w:val="22"/>
                <w:szCs w:val="22"/>
                <w:highlight w:val="none"/>
                <w:lang w:val="en-US" w:eastAsia="zh-CN"/>
              </w:rPr>
              <w:t>的要求</w:t>
            </w:r>
            <w:r>
              <w:rPr>
                <w:rFonts w:hint="eastAsia" w:ascii="仿宋" w:hAnsi="仿宋" w:eastAsia="仿宋" w:cs="仿宋"/>
                <w:color w:val="auto"/>
                <w:sz w:val="22"/>
                <w:szCs w:val="22"/>
                <w:highlight w:val="none"/>
              </w:rPr>
              <w:t>;</w:t>
            </w:r>
          </w:p>
          <w:p w14:paraId="17E8524C">
            <w:pPr>
              <w:snapToGrid w:val="0"/>
              <w:ind w:firstLine="22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磋商函按磋商文件规定填报了项目名称、标段号（如有）、补遗书编号（如有）、计划工期、响应文件有效期、质量要求、项目</w:t>
            </w:r>
            <w:r>
              <w:rPr>
                <w:rFonts w:hint="eastAsia" w:ascii="仿宋" w:hAnsi="仿宋" w:eastAsia="仿宋" w:cs="仿宋"/>
                <w:color w:val="auto"/>
                <w:sz w:val="22"/>
                <w:szCs w:val="22"/>
                <w:highlight w:val="none"/>
                <w:lang w:val="en-US" w:eastAsia="zh-CN"/>
              </w:rPr>
              <w:t>负责人</w:t>
            </w:r>
            <w:r>
              <w:rPr>
                <w:rFonts w:hint="eastAsia" w:ascii="仿宋" w:hAnsi="仿宋" w:eastAsia="仿宋" w:cs="仿宋"/>
                <w:color w:val="auto"/>
                <w:sz w:val="22"/>
                <w:szCs w:val="22"/>
                <w:highlight w:val="none"/>
              </w:rPr>
              <w:t>（如</w:t>
            </w:r>
            <w:r>
              <w:rPr>
                <w:rFonts w:hint="eastAsia" w:ascii="仿宋" w:hAnsi="仿宋" w:eastAsia="仿宋" w:cs="仿宋"/>
                <w:color w:val="auto"/>
                <w:sz w:val="22"/>
                <w:szCs w:val="22"/>
                <w:highlight w:val="none"/>
                <w:lang w:val="en-US" w:eastAsia="zh-CN"/>
              </w:rPr>
              <w:t>要求</w:t>
            </w:r>
            <w:r>
              <w:rPr>
                <w:rFonts w:hint="eastAsia" w:ascii="仿宋" w:hAnsi="仿宋" w:eastAsia="仿宋" w:cs="仿宋"/>
                <w:color w:val="auto"/>
                <w:sz w:val="22"/>
                <w:szCs w:val="22"/>
                <w:highlight w:val="none"/>
              </w:rPr>
              <w:t>）；</w:t>
            </w:r>
          </w:p>
          <w:p w14:paraId="7E247A73">
            <w:pPr>
              <w:snapToGrid w:val="0"/>
              <w:ind w:firstLine="22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）同一供应商未提交两个以上不同的响应文件，但磋商文件要求提交备选磋商的除外；</w:t>
            </w:r>
          </w:p>
          <w:p w14:paraId="28B60D65">
            <w:pPr>
              <w:snapToGrid w:val="0"/>
              <w:ind w:firstLine="22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）响应磋商文件的实质性要求和条件（</w:t>
            </w:r>
            <w:r>
              <w:rPr>
                <w:rFonts w:hint="eastAsia" w:ascii="仿宋" w:hAnsi="仿宋" w:eastAsia="仿宋" w:cs="仿宋"/>
                <w:color w:val="auto"/>
                <w:sz w:val="22"/>
                <w:szCs w:val="22"/>
                <w:highlight w:val="none"/>
                <w:lang w:val="en-US" w:eastAsia="zh-CN"/>
              </w:rPr>
              <w:t>第五章“</w:t>
            </w:r>
            <w:r>
              <w:rPr>
                <w:rFonts w:hint="eastAsia" w:ascii="仿宋" w:hAnsi="仿宋" w:eastAsia="仿宋" w:cs="仿宋"/>
                <w:color w:val="auto"/>
                <w:sz w:val="22"/>
                <w:szCs w:val="22"/>
                <w:highlight w:val="none"/>
              </w:rPr>
              <w:t>采购内容及具体要求</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w:t>
            </w:r>
          </w:p>
          <w:p w14:paraId="0DECF994">
            <w:pPr>
              <w:snapToGrid w:val="0"/>
              <w:ind w:firstLine="22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）权利义务符合磋商文件规定：</w:t>
            </w:r>
          </w:p>
          <w:p w14:paraId="15EEDF89">
            <w:pPr>
              <w:snapToGrid w:val="0"/>
              <w:ind w:firstLine="22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a.供应商应接受磋商文件规定的风险划分办法，未提出新的风险划分办法；</w:t>
            </w:r>
          </w:p>
          <w:p w14:paraId="6683CA7A">
            <w:pPr>
              <w:snapToGrid w:val="0"/>
              <w:ind w:firstLine="22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b.供应商未增加发包人的责任范围，或减少供应商义务；</w:t>
            </w:r>
          </w:p>
          <w:p w14:paraId="5258D71E">
            <w:pPr>
              <w:snapToGrid w:val="0"/>
              <w:ind w:firstLine="2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c.供应商对合同纠纷、事故处理办法未提出异议；</w:t>
            </w:r>
          </w:p>
          <w:p w14:paraId="74D34CA6">
            <w:pPr>
              <w:snapToGrid w:val="0"/>
              <w:ind w:firstLine="2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d.供应商在磋商活动中无欺诈行为；</w:t>
            </w:r>
          </w:p>
          <w:p w14:paraId="1E9DA8AF">
            <w:pPr>
              <w:snapToGrid w:val="0"/>
              <w:ind w:firstLine="22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e.供应商未对合同条款有重要保留</w:t>
            </w:r>
            <w:r>
              <w:rPr>
                <w:rFonts w:hint="eastAsia" w:ascii="仿宋" w:hAnsi="仿宋" w:eastAsia="仿宋" w:cs="仿宋"/>
                <w:color w:val="auto"/>
                <w:sz w:val="22"/>
                <w:szCs w:val="22"/>
                <w:highlight w:val="none"/>
                <w:lang w:eastAsia="zh-CN"/>
              </w:rPr>
              <w:t>；</w:t>
            </w:r>
          </w:p>
          <w:p w14:paraId="6940FF80">
            <w:pPr>
              <w:snapToGrid w:val="0"/>
              <w:ind w:firstLine="22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按</w:t>
            </w:r>
            <w:r>
              <w:rPr>
                <w:rFonts w:hint="eastAsia" w:ascii="仿宋" w:hAnsi="仿宋" w:eastAsia="仿宋" w:cs="仿宋"/>
                <w:color w:val="auto"/>
                <w:sz w:val="22"/>
                <w:szCs w:val="22"/>
                <w:highlight w:val="none"/>
              </w:rPr>
              <w:t>“投标人须知前附表”第</w:t>
            </w:r>
            <w:r>
              <w:rPr>
                <w:rFonts w:hint="eastAsia" w:ascii="仿宋" w:hAnsi="仿宋" w:eastAsia="仿宋" w:cs="仿宋"/>
                <w:color w:val="auto"/>
                <w:sz w:val="22"/>
                <w:szCs w:val="22"/>
                <w:highlight w:val="none"/>
                <w:lang w:val="en-US" w:eastAsia="zh-CN"/>
              </w:rPr>
              <w:t>9.2</w:t>
            </w:r>
            <w:r>
              <w:rPr>
                <w:rFonts w:hint="eastAsia" w:ascii="仿宋" w:hAnsi="仿宋" w:eastAsia="仿宋" w:cs="仿宋"/>
                <w:color w:val="auto"/>
                <w:sz w:val="22"/>
                <w:szCs w:val="22"/>
                <w:highlight w:val="none"/>
              </w:rPr>
              <w:t>项</w:t>
            </w:r>
            <w:r>
              <w:rPr>
                <w:rFonts w:hint="eastAsia" w:ascii="仿宋" w:hAnsi="仿宋" w:eastAsia="仿宋" w:cs="仿宋"/>
                <w:color w:val="auto"/>
                <w:sz w:val="22"/>
                <w:szCs w:val="22"/>
                <w:highlight w:val="none"/>
                <w:lang w:val="en-US" w:eastAsia="zh-CN"/>
              </w:rPr>
              <w:t>的要求提供磋商保证金；</w:t>
            </w:r>
          </w:p>
          <w:p w14:paraId="2C1A40CC">
            <w:pPr>
              <w:snapToGrid w:val="0"/>
              <w:ind w:firstLine="22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rPr>
              <w:t>）竞争性磋商文件中约定的其他无效情形。</w:t>
            </w:r>
          </w:p>
        </w:tc>
      </w:tr>
    </w:tbl>
    <w:p w14:paraId="7029117D">
      <w:pPr>
        <w:spacing w:line="360" w:lineRule="auto"/>
        <w:ind w:firstLine="482" w:firstLineChars="200"/>
        <w:rPr>
          <w:rFonts w:ascii="仿宋" w:hAnsi="仿宋" w:eastAsia="仿宋" w:cs="仿宋"/>
          <w:color w:val="auto"/>
          <w:sz w:val="24"/>
          <w:szCs w:val="28"/>
          <w:highlight w:val="none"/>
        </w:rPr>
      </w:pPr>
      <w:r>
        <w:rPr>
          <w:rFonts w:hint="eastAsia" w:ascii="仿宋" w:hAnsi="仿宋" w:eastAsia="仿宋" w:cs="仿宋"/>
          <w:b/>
          <w:color w:val="auto"/>
          <w:sz w:val="24"/>
          <w:szCs w:val="28"/>
          <w:highlight w:val="none"/>
        </w:rPr>
        <w:br w:type="page"/>
      </w:r>
      <w:r>
        <w:rPr>
          <w:rFonts w:hint="eastAsia" w:ascii="仿宋" w:hAnsi="仿宋" w:eastAsia="仿宋" w:cs="仿宋"/>
          <w:b/>
          <w:bCs/>
          <w:color w:val="auto"/>
          <w:sz w:val="28"/>
          <w:szCs w:val="32"/>
          <w:highlight w:val="none"/>
        </w:rPr>
        <w:t>评分标准（100分）</w:t>
      </w:r>
    </w:p>
    <w:tbl>
      <w:tblPr>
        <w:tblStyle w:val="39"/>
        <w:tblW w:w="100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31"/>
        <w:gridCol w:w="1716"/>
        <w:gridCol w:w="6909"/>
      </w:tblGrid>
      <w:tr w14:paraId="598C07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31" w:type="dxa"/>
            <w:vAlign w:val="center"/>
          </w:tcPr>
          <w:p w14:paraId="462393AE">
            <w:pPr>
              <w:keepNext w:val="0"/>
              <w:keepLines w:val="0"/>
              <w:pageBreakBefore w:val="0"/>
              <w:kinsoku/>
              <w:wordWrap/>
              <w:overflowPunct/>
              <w:topLinePunct w:val="0"/>
              <w:bidi w:val="0"/>
              <w:spacing w:line="360" w:lineRule="auto"/>
              <w:jc w:val="center"/>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评审项目</w:t>
            </w:r>
          </w:p>
        </w:tc>
        <w:tc>
          <w:tcPr>
            <w:tcW w:w="1716" w:type="dxa"/>
            <w:vAlign w:val="center"/>
          </w:tcPr>
          <w:p w14:paraId="4B92F4D8">
            <w:pPr>
              <w:keepNext w:val="0"/>
              <w:keepLines w:val="0"/>
              <w:pageBreakBefore w:val="0"/>
              <w:kinsoku/>
              <w:wordWrap/>
              <w:overflowPunct/>
              <w:topLinePunct w:val="0"/>
              <w:bidi w:val="0"/>
              <w:spacing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评审因素</w:t>
            </w:r>
          </w:p>
        </w:tc>
        <w:tc>
          <w:tcPr>
            <w:tcW w:w="6909" w:type="dxa"/>
            <w:vAlign w:val="center"/>
          </w:tcPr>
          <w:p w14:paraId="49007B60">
            <w:pPr>
              <w:keepNext w:val="0"/>
              <w:keepLines w:val="0"/>
              <w:pageBreakBefore w:val="0"/>
              <w:kinsoku/>
              <w:wordWrap/>
              <w:overflowPunct/>
              <w:topLinePunct w:val="0"/>
              <w:bidi w:val="0"/>
              <w:spacing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r>
      <w:tr w14:paraId="76FE88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18" w:hRule="atLeast"/>
          <w:jc w:val="center"/>
        </w:trPr>
        <w:tc>
          <w:tcPr>
            <w:tcW w:w="1431" w:type="dxa"/>
            <w:vAlign w:val="center"/>
          </w:tcPr>
          <w:p w14:paraId="6B008044">
            <w:pPr>
              <w:pStyle w:val="10"/>
              <w:keepNext w:val="0"/>
              <w:keepLines w:val="0"/>
              <w:pageBreakBefore w:val="0"/>
              <w:kinsoku/>
              <w:wordWrap/>
              <w:overflowPunct/>
              <w:topLinePunct w:val="0"/>
              <w:bidi w:val="0"/>
              <w:spacing w:line="360" w:lineRule="auto"/>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报价部分 （满分10分）</w:t>
            </w:r>
          </w:p>
        </w:tc>
        <w:tc>
          <w:tcPr>
            <w:tcW w:w="1716" w:type="dxa"/>
            <w:tcBorders>
              <w:bottom w:val="single" w:color="auto" w:sz="4" w:space="0"/>
            </w:tcBorders>
            <w:vAlign w:val="center"/>
          </w:tcPr>
          <w:p w14:paraId="3CC90082">
            <w:pPr>
              <w:pStyle w:val="10"/>
              <w:keepNext w:val="0"/>
              <w:keepLines w:val="0"/>
              <w:pageBreakBefore w:val="0"/>
              <w:kinsoku/>
              <w:wordWrap/>
              <w:overflowPunct/>
              <w:topLinePunct w:val="0"/>
              <w:bidi w:val="0"/>
              <w:spacing w:line="360" w:lineRule="auto"/>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投标总价（满分10分）</w:t>
            </w:r>
          </w:p>
        </w:tc>
        <w:tc>
          <w:tcPr>
            <w:tcW w:w="6909" w:type="dxa"/>
            <w:tcBorders>
              <w:bottom w:val="single" w:color="auto" w:sz="4" w:space="0"/>
            </w:tcBorders>
            <w:vAlign w:val="center"/>
          </w:tcPr>
          <w:p w14:paraId="56D7C6B2">
            <w:pPr>
              <w:keepNext w:val="0"/>
              <w:keepLines w:val="0"/>
              <w:pageBreakBefore w:val="0"/>
              <w:widowControl/>
              <w:kinsoku/>
              <w:wordWrap/>
              <w:overflowPunct/>
              <w:topLinePunct w:val="0"/>
              <w:bidi w:val="0"/>
              <w:adjustRightInd w:val="0"/>
              <w:snapToGrid w:val="0"/>
              <w:spacing w:line="360" w:lineRule="auto"/>
              <w:ind w:firstLine="211"/>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1.算术修正报价</w:t>
            </w:r>
          </w:p>
          <w:p w14:paraId="1BFF9FBF">
            <w:pPr>
              <w:keepNext w:val="0"/>
              <w:keepLines w:val="0"/>
              <w:pageBreakBefore w:val="0"/>
              <w:widowControl/>
              <w:kinsoku/>
              <w:wordWrap/>
              <w:overflowPunct/>
              <w:topLinePunct w:val="0"/>
              <w:bidi w:val="0"/>
              <w:adjustRightInd w:val="0"/>
              <w:snapToGrid w:val="0"/>
              <w:spacing w:line="360" w:lineRule="auto"/>
              <w:ind w:firstLine="21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若存在算术修正，应按修正后的</w:t>
            </w:r>
            <w:r>
              <w:rPr>
                <w:rFonts w:hint="eastAsia" w:ascii="仿宋" w:hAnsi="仿宋" w:eastAsia="仿宋" w:cs="仿宋"/>
                <w:color w:val="auto"/>
                <w:spacing w:val="6"/>
                <w:szCs w:val="21"/>
                <w:highlight w:val="none"/>
              </w:rPr>
              <w:t>投标报价</w:t>
            </w:r>
            <w:r>
              <w:rPr>
                <w:rFonts w:hint="eastAsia" w:ascii="仿宋" w:hAnsi="仿宋" w:eastAsia="仿宋" w:cs="仿宋"/>
                <w:color w:val="auto"/>
                <w:szCs w:val="21"/>
                <w:highlight w:val="none"/>
              </w:rPr>
              <w:t>进行评标基准价和投标报价得分计算</w:t>
            </w:r>
          </w:p>
          <w:p w14:paraId="1D955FAC">
            <w:pPr>
              <w:keepNext w:val="0"/>
              <w:keepLines w:val="0"/>
              <w:pageBreakBefore w:val="0"/>
              <w:widowControl/>
              <w:kinsoku/>
              <w:wordWrap/>
              <w:overflowPunct/>
              <w:topLinePunct w:val="0"/>
              <w:bidi w:val="0"/>
              <w:adjustRightInd w:val="0"/>
              <w:snapToGrid w:val="0"/>
              <w:spacing w:line="360" w:lineRule="auto"/>
              <w:ind w:firstLine="223"/>
              <w:textAlignment w:val="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2.政策优惠报价--小微企业或</w:t>
            </w:r>
            <w:r>
              <w:rPr>
                <w:rFonts w:hint="eastAsia" w:ascii="仿宋" w:hAnsi="仿宋" w:eastAsia="仿宋" w:cs="仿宋"/>
                <w:b/>
                <w:bCs/>
                <w:color w:val="auto"/>
                <w:szCs w:val="21"/>
                <w:highlight w:val="none"/>
              </w:rPr>
              <w:t>监狱企业或残疾人福利性单位</w:t>
            </w:r>
            <w:r>
              <w:rPr>
                <w:rFonts w:hint="eastAsia" w:ascii="仿宋" w:hAnsi="仿宋" w:eastAsia="仿宋" w:cs="仿宋"/>
                <w:b/>
                <w:bCs/>
                <w:color w:val="auto"/>
                <w:spacing w:val="6"/>
                <w:szCs w:val="21"/>
                <w:highlight w:val="none"/>
              </w:rPr>
              <w:t>政策</w:t>
            </w:r>
          </w:p>
          <w:p w14:paraId="7E9596CF">
            <w:pPr>
              <w:keepNext w:val="0"/>
              <w:keepLines w:val="0"/>
              <w:pageBreakBefore w:val="0"/>
              <w:widowControl/>
              <w:kinsoku/>
              <w:wordWrap/>
              <w:overflowPunct/>
              <w:topLinePunct w:val="0"/>
              <w:bidi w:val="0"/>
              <w:adjustRightInd w:val="0"/>
              <w:snapToGrid w:val="0"/>
              <w:spacing w:line="360" w:lineRule="auto"/>
              <w:ind w:firstLine="21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若存在符合条件的小微企业或监狱企业或残疾人福利性单位给予的报价优惠的情形，用扣除后的</w:t>
            </w:r>
            <w:r>
              <w:rPr>
                <w:rFonts w:hint="eastAsia" w:ascii="仿宋" w:hAnsi="仿宋" w:eastAsia="仿宋" w:cs="仿宋"/>
                <w:b/>
                <w:bCs/>
                <w:color w:val="auto"/>
                <w:szCs w:val="21"/>
                <w:highlight w:val="none"/>
              </w:rPr>
              <w:t>评标价</w:t>
            </w:r>
            <w:r>
              <w:rPr>
                <w:rFonts w:hint="eastAsia" w:ascii="仿宋" w:hAnsi="仿宋" w:eastAsia="仿宋" w:cs="仿宋"/>
                <w:color w:val="auto"/>
                <w:szCs w:val="21"/>
                <w:highlight w:val="none"/>
              </w:rPr>
              <w:t>进行评标基准价和投标报价得分计算。</w:t>
            </w:r>
            <w:r>
              <w:rPr>
                <w:rFonts w:hint="eastAsia" w:ascii="仿宋" w:hAnsi="仿宋" w:eastAsia="仿宋" w:cs="仿宋"/>
                <w:b/>
                <w:bCs/>
                <w:color w:val="auto"/>
                <w:szCs w:val="21"/>
                <w:highlight w:val="none"/>
              </w:rPr>
              <w:t>对于同时属于小微企业、监狱企业或残疾人福利性单位的，不重复进行投标报价扣除。</w:t>
            </w:r>
            <w:r>
              <w:rPr>
                <w:rFonts w:hint="eastAsia" w:ascii="仿宋" w:hAnsi="仿宋" w:eastAsia="仿宋" w:cs="仿宋"/>
                <w:color w:val="auto"/>
                <w:szCs w:val="21"/>
                <w:highlight w:val="none"/>
              </w:rPr>
              <w:t>若同时存在算术修正，应在算术修正后的报价基础上进行优惠报价的扣除。</w:t>
            </w:r>
          </w:p>
          <w:p w14:paraId="4557D8A6">
            <w:pPr>
              <w:keepNext w:val="0"/>
              <w:keepLines w:val="0"/>
              <w:pageBreakBefore w:val="0"/>
              <w:widowControl/>
              <w:kinsoku/>
              <w:wordWrap/>
              <w:overflowPunct/>
              <w:topLinePunct w:val="0"/>
              <w:bidi w:val="0"/>
              <w:adjustRightInd w:val="0"/>
              <w:snapToGrid w:val="0"/>
              <w:spacing w:line="360" w:lineRule="auto"/>
              <w:ind w:firstLine="223"/>
              <w:textAlignment w:val="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3.评标价=投标报价算数修正、政策优惠后的价格</w:t>
            </w:r>
          </w:p>
          <w:p w14:paraId="5AB4BC61">
            <w:pPr>
              <w:keepNext w:val="0"/>
              <w:keepLines w:val="0"/>
              <w:pageBreakBefore w:val="0"/>
              <w:widowControl/>
              <w:kinsoku/>
              <w:wordWrap/>
              <w:overflowPunct/>
              <w:topLinePunct w:val="0"/>
              <w:bidi w:val="0"/>
              <w:adjustRightInd w:val="0"/>
              <w:snapToGrid w:val="0"/>
              <w:spacing w:line="360" w:lineRule="auto"/>
              <w:ind w:firstLine="223"/>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rPr>
              <w:t>4.评标基准价</w:t>
            </w:r>
            <w:r>
              <w:rPr>
                <w:rFonts w:hint="eastAsia" w:ascii="仿宋" w:hAnsi="仿宋" w:eastAsia="仿宋" w:cs="仿宋"/>
                <w:color w:val="auto"/>
                <w:szCs w:val="21"/>
                <w:highlight w:val="none"/>
              </w:rPr>
              <w:t>＝满足磋商文件要求且</w:t>
            </w:r>
            <w:r>
              <w:rPr>
                <w:rFonts w:hint="eastAsia" w:ascii="仿宋" w:hAnsi="仿宋" w:eastAsia="仿宋" w:cs="仿宋"/>
                <w:color w:val="auto"/>
                <w:spacing w:val="6"/>
                <w:szCs w:val="21"/>
                <w:highlight w:val="none"/>
              </w:rPr>
              <w:t>投标评标价</w:t>
            </w:r>
            <w:r>
              <w:rPr>
                <w:rFonts w:hint="eastAsia" w:ascii="仿宋" w:hAnsi="仿宋" w:eastAsia="仿宋" w:cs="仿宋"/>
                <w:color w:val="auto"/>
                <w:szCs w:val="21"/>
                <w:highlight w:val="none"/>
              </w:rPr>
              <w:t>最低的评标价为评标基准价；</w:t>
            </w:r>
          </w:p>
          <w:p w14:paraId="2378D5A3">
            <w:pPr>
              <w:keepNext w:val="0"/>
              <w:keepLines w:val="0"/>
              <w:pageBreakBefore w:val="0"/>
              <w:widowControl/>
              <w:kinsoku/>
              <w:wordWrap/>
              <w:overflowPunct/>
              <w:topLinePunct w:val="0"/>
              <w:bidi w:val="0"/>
              <w:adjustRightInd w:val="0"/>
              <w:snapToGrid w:val="0"/>
              <w:spacing w:line="360" w:lineRule="auto"/>
              <w:ind w:firstLine="223"/>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rPr>
              <w:t>5.得分计算</w:t>
            </w:r>
            <w:r>
              <w:rPr>
                <w:rFonts w:hint="eastAsia" w:ascii="仿宋" w:hAnsi="仿宋" w:eastAsia="仿宋" w:cs="仿宋"/>
                <w:color w:val="auto"/>
                <w:spacing w:val="6"/>
                <w:szCs w:val="21"/>
                <w:highlight w:val="none"/>
              </w:rPr>
              <w:t>：</w:t>
            </w:r>
            <w:r>
              <w:rPr>
                <w:rFonts w:hint="eastAsia" w:ascii="仿宋" w:hAnsi="仿宋" w:eastAsia="仿宋" w:cs="仿宋"/>
                <w:color w:val="auto"/>
                <w:szCs w:val="21"/>
                <w:highlight w:val="none"/>
              </w:rPr>
              <w:t>满足磋商文件要求且评标价最低的投标报价，其价格分为满分。其他投标人的价格分统一按照下列公式计算：</w:t>
            </w:r>
          </w:p>
          <w:p w14:paraId="3BFCC608">
            <w:pPr>
              <w:pStyle w:val="10"/>
              <w:keepNext w:val="0"/>
              <w:keepLines w:val="0"/>
              <w:pageBreakBefore w:val="0"/>
              <w:kinsoku/>
              <w:wordWrap/>
              <w:overflowPunct/>
              <w:topLinePunct w:val="0"/>
              <w:bidi w:val="0"/>
              <w:adjustRightInd w:val="0"/>
              <w:snapToGrid w:val="0"/>
              <w:spacing w:before="0" w:line="360" w:lineRule="auto"/>
              <w:textAlignment w:val="auto"/>
              <w:rPr>
                <w:rFonts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投标报价得分</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(评标基准价/评标价)×10</w:t>
            </w:r>
          </w:p>
        </w:tc>
      </w:tr>
      <w:tr w14:paraId="440A45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40" w:hRule="atLeast"/>
          <w:jc w:val="center"/>
        </w:trPr>
        <w:tc>
          <w:tcPr>
            <w:tcW w:w="1431" w:type="dxa"/>
            <w:vMerge w:val="restart"/>
            <w:vAlign w:val="center"/>
          </w:tcPr>
          <w:p w14:paraId="2244C1CF">
            <w:pPr>
              <w:keepNext w:val="0"/>
              <w:keepLines w:val="0"/>
              <w:pageBreakBefore w:val="0"/>
              <w:kinsoku/>
              <w:wordWrap/>
              <w:overflowPunct/>
              <w:topLinePunct w:val="0"/>
              <w:bidi w:val="0"/>
              <w:spacing w:line="360" w:lineRule="auto"/>
              <w:jc w:val="center"/>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技术部分  （满分90分）</w:t>
            </w:r>
          </w:p>
        </w:tc>
        <w:tc>
          <w:tcPr>
            <w:tcW w:w="1716" w:type="dxa"/>
            <w:tcBorders>
              <w:bottom w:val="single" w:color="auto" w:sz="4" w:space="0"/>
            </w:tcBorders>
            <w:vAlign w:val="center"/>
          </w:tcPr>
          <w:p w14:paraId="346CA8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Cs w:val="21"/>
                <w:highlight w:val="none"/>
              </w:rPr>
            </w:pPr>
            <w:r>
              <w:rPr>
                <w:rFonts w:hint="eastAsia" w:ascii="仿宋" w:hAnsi="仿宋" w:eastAsia="仿宋" w:cs="仿宋"/>
                <w:sz w:val="21"/>
                <w:szCs w:val="21"/>
                <w:highlight w:val="none"/>
                <w:lang w:val="en-US" w:eastAsia="zh-CN"/>
              </w:rPr>
              <w:t>类似业绩（满分10分）</w:t>
            </w:r>
          </w:p>
        </w:tc>
        <w:tc>
          <w:tcPr>
            <w:tcW w:w="6909" w:type="dxa"/>
            <w:tcBorders>
              <w:bottom w:val="single" w:color="auto" w:sz="4" w:space="0"/>
            </w:tcBorders>
            <w:vAlign w:val="center"/>
          </w:tcPr>
          <w:p w14:paraId="41545B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企业承担过一个类似业绩得6分；每增加一个业绩加2分，最多加4分。</w:t>
            </w:r>
          </w:p>
          <w:p w14:paraId="3462326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（类似项目是指2020年1月1日至今完成过的白蚁防治项目类业绩，证明材料为合同或中标（成交）通知书的扫描件）</w:t>
            </w:r>
          </w:p>
        </w:tc>
      </w:tr>
      <w:tr w14:paraId="4CF668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31" w:type="dxa"/>
            <w:vMerge w:val="continue"/>
            <w:vAlign w:val="center"/>
          </w:tcPr>
          <w:p w14:paraId="7016C6A3">
            <w:pPr>
              <w:keepNext w:val="0"/>
              <w:keepLines w:val="0"/>
              <w:pageBreakBefore w:val="0"/>
              <w:kinsoku/>
              <w:wordWrap/>
              <w:overflowPunct/>
              <w:topLinePunct w:val="0"/>
              <w:bidi w:val="0"/>
              <w:spacing w:line="360" w:lineRule="auto"/>
              <w:jc w:val="center"/>
              <w:textAlignment w:val="auto"/>
              <w:rPr>
                <w:rFonts w:ascii="仿宋" w:hAnsi="仿宋" w:eastAsia="仿宋" w:cs="仿宋"/>
                <w:color w:val="auto"/>
                <w:szCs w:val="21"/>
                <w:highlight w:val="none"/>
              </w:rPr>
            </w:pPr>
          </w:p>
        </w:tc>
        <w:tc>
          <w:tcPr>
            <w:tcW w:w="1716" w:type="dxa"/>
            <w:tcBorders>
              <w:bottom w:val="single" w:color="auto" w:sz="4" w:space="0"/>
            </w:tcBorders>
            <w:vAlign w:val="center"/>
          </w:tcPr>
          <w:p w14:paraId="4E5E4D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Cs w:val="21"/>
                <w:highlight w:val="none"/>
              </w:rPr>
            </w:pPr>
            <w:r>
              <w:rPr>
                <w:rFonts w:hint="eastAsia" w:ascii="仿宋" w:hAnsi="仿宋" w:eastAsia="仿宋" w:cs="仿宋"/>
                <w:sz w:val="21"/>
                <w:szCs w:val="21"/>
                <w:highlight w:val="none"/>
                <w:lang w:val="en-US" w:eastAsia="zh-CN"/>
              </w:rPr>
              <w:t>项目服务方案与技术措施</w:t>
            </w:r>
            <w:r>
              <w:rPr>
                <w:rFonts w:hint="eastAsia" w:ascii="仿宋" w:hAnsi="仿宋" w:eastAsia="仿宋" w:cs="仿宋"/>
                <w:color w:val="auto"/>
                <w:sz w:val="21"/>
                <w:szCs w:val="21"/>
                <w:highlight w:val="none"/>
                <w:lang w:val="en-US" w:eastAsia="zh-CN"/>
              </w:rPr>
              <w:t>审查评分</w:t>
            </w:r>
            <w:r>
              <w:rPr>
                <w:rFonts w:hint="eastAsia" w:ascii="仿宋" w:hAnsi="仿宋" w:eastAsia="仿宋" w:cs="仿宋"/>
                <w:sz w:val="21"/>
                <w:szCs w:val="21"/>
                <w:highlight w:val="none"/>
                <w:lang w:val="en-US" w:eastAsia="zh-CN"/>
              </w:rPr>
              <w:t>（满分30分）</w:t>
            </w:r>
          </w:p>
        </w:tc>
        <w:tc>
          <w:tcPr>
            <w:tcW w:w="6909" w:type="dxa"/>
            <w:tcBorders>
              <w:bottom w:val="single" w:color="auto" w:sz="4" w:space="0"/>
            </w:tcBorders>
            <w:shd w:val="clear" w:color="auto" w:fill="auto"/>
            <w:vAlign w:val="center"/>
          </w:tcPr>
          <w:p w14:paraId="77FAD7B5">
            <w:pPr>
              <w:keepNext w:val="0"/>
              <w:keepLines w:val="0"/>
              <w:widowControl/>
              <w:suppressLineNumbers w:val="0"/>
              <w:spacing w:line="36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仿宋" w:hAnsi="仿宋" w:eastAsia="仿宋" w:cs="仿宋"/>
                <w:color w:val="auto"/>
                <w:kern w:val="2"/>
                <w:sz w:val="21"/>
                <w:szCs w:val="21"/>
                <w:highlight w:val="none"/>
                <w:lang w:val="en-US" w:eastAsia="zh-CN" w:bidi="ar-SA"/>
              </w:rPr>
              <w:t>1）服务方案与技术措施大纲符合项目实际情况，能指导重点难点进行了分析，实施性，针对性、适用性强的，分析内容及解决方案描述内容全面的，得30分；</w:t>
            </w:r>
          </w:p>
          <w:p w14:paraId="41749BA9">
            <w:pPr>
              <w:keepNext w:val="0"/>
              <w:keepLines w:val="0"/>
              <w:widowControl/>
              <w:suppressLineNumbers w:val="0"/>
              <w:spacing w:line="36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en-US" w:eastAsia="zh-CN" w:bidi="ar-SA"/>
              </w:rPr>
              <w:t>服务方案与技术措施大纲符合项目实际情况，能指导重点难点进行了分析，具有实施性，针对性、适用性不强的，分析内容及解决方案描述内容全面的，得25分；</w:t>
            </w:r>
          </w:p>
          <w:p w14:paraId="5C076B6B">
            <w:pPr>
              <w:keepNext w:val="0"/>
              <w:keepLines w:val="0"/>
              <w:widowControl/>
              <w:suppressLineNumbers w:val="0"/>
              <w:spacing w:line="36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（3）服务方案</w:t>
            </w:r>
            <w:bookmarkStart w:id="291" w:name="_GoBack"/>
            <w:bookmarkEnd w:id="291"/>
            <w:r>
              <w:rPr>
                <w:rFonts w:hint="eastAsia" w:ascii="仿宋" w:hAnsi="仿宋" w:eastAsia="仿宋" w:cs="仿宋"/>
                <w:color w:val="auto"/>
                <w:kern w:val="2"/>
                <w:sz w:val="21"/>
                <w:szCs w:val="21"/>
                <w:highlight w:val="none"/>
                <w:lang w:val="en-US" w:eastAsia="zh-CN" w:bidi="ar-SA"/>
              </w:rPr>
              <w:t>与技术措施大纲基本符合项目实际情况，指导性一般，具有实施性，针对性、适用性一般的，分析内容及解决方案描述内容较全面的，得20分；</w:t>
            </w:r>
          </w:p>
          <w:p w14:paraId="31FE4BCC">
            <w:pPr>
              <w:keepNext w:val="0"/>
              <w:keepLines w:val="0"/>
              <w:widowControl/>
              <w:suppressLineNumbers w:val="0"/>
              <w:spacing w:line="36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（4）服务方案与技术措施大纲基本符合项目实际情况，指导性一般，实施性一般，针对性、适用性一般，分析内容及解决方案描述内容部署一般，得15分；</w:t>
            </w:r>
          </w:p>
          <w:p w14:paraId="40D44961">
            <w:pPr>
              <w:keepNext w:val="0"/>
              <w:keepLines w:val="0"/>
              <w:widowControl/>
              <w:suppressLineNumbers w:val="0"/>
              <w:spacing w:line="36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仿宋" w:hAnsi="仿宋" w:eastAsia="仿宋" w:cs="仿宋"/>
                <w:color w:val="auto"/>
                <w:kern w:val="2"/>
                <w:sz w:val="21"/>
                <w:szCs w:val="21"/>
                <w:highlight w:val="none"/>
                <w:lang w:val="en-US" w:eastAsia="zh-CN" w:bidi="ar-SA"/>
              </w:rPr>
              <w:t>5）服务方案与技术措施大纲实施性一般，缺乏针对性、适用性，分析内容及解决方案描述内容部署基本合理但存在一些问题的，得10分；</w:t>
            </w:r>
          </w:p>
          <w:p w14:paraId="47A34E14">
            <w:pPr>
              <w:keepNext w:val="0"/>
              <w:keepLines w:val="0"/>
              <w:widowControl/>
              <w:suppressLineNumbers w:val="0"/>
              <w:spacing w:line="36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r>
              <w:rPr>
                <w:rFonts w:hint="eastAsia" w:ascii="仿宋" w:hAnsi="仿宋" w:eastAsia="仿宋" w:cs="仿宋"/>
                <w:color w:val="auto"/>
                <w:kern w:val="2"/>
                <w:sz w:val="21"/>
                <w:szCs w:val="21"/>
                <w:highlight w:val="none"/>
                <w:lang w:val="en-US" w:eastAsia="zh-CN" w:bidi="ar-SA"/>
              </w:rPr>
              <w:t>服务方案与技术措施大纲难以适用于本项目的，得5分；</w:t>
            </w:r>
          </w:p>
          <w:p w14:paraId="079D2BA4">
            <w:pPr>
              <w:keepNext w:val="0"/>
              <w:keepLines w:val="0"/>
              <w:widowControl/>
              <w:suppressLineNumbers w:val="0"/>
              <w:spacing w:line="360" w:lineRule="auto"/>
              <w:jc w:val="left"/>
              <w:textAlignment w:val="center"/>
              <w:rPr>
                <w:rFonts w:hint="eastAsia" w:ascii="宋体" w:hAnsi="宋体" w:eastAsia="宋体" w:cs="宋体"/>
                <w:color w:val="000000"/>
                <w:kern w:val="2"/>
                <w:sz w:val="24"/>
                <w:lang w:val="en-US" w:eastAsia="zh-CN" w:bidi="ar-SA"/>
              </w:rPr>
            </w:pPr>
            <w:r>
              <w:rPr>
                <w:rFonts w:hint="eastAsia" w:ascii="仿宋" w:hAnsi="仿宋" w:eastAsia="仿宋" w:cs="仿宋"/>
                <w:color w:val="auto"/>
                <w:kern w:val="2"/>
                <w:sz w:val="21"/>
                <w:szCs w:val="21"/>
                <w:highlight w:val="none"/>
                <w:lang w:val="en-US" w:eastAsia="zh-CN" w:bidi="ar-SA"/>
              </w:rPr>
              <w:t>（7）服务方案与技术措施方案的，得0分。</w:t>
            </w:r>
          </w:p>
        </w:tc>
      </w:tr>
      <w:tr w14:paraId="6849F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5" w:hRule="atLeast"/>
          <w:jc w:val="center"/>
        </w:trPr>
        <w:tc>
          <w:tcPr>
            <w:tcW w:w="1431" w:type="dxa"/>
            <w:vMerge w:val="continue"/>
            <w:vAlign w:val="center"/>
          </w:tcPr>
          <w:p w14:paraId="63075EC8">
            <w:pPr>
              <w:keepNext w:val="0"/>
              <w:keepLines w:val="0"/>
              <w:pageBreakBefore w:val="0"/>
              <w:kinsoku/>
              <w:wordWrap/>
              <w:overflowPunct/>
              <w:topLinePunct w:val="0"/>
              <w:bidi w:val="0"/>
              <w:spacing w:line="360" w:lineRule="auto"/>
              <w:jc w:val="center"/>
              <w:textAlignment w:val="auto"/>
              <w:rPr>
                <w:rFonts w:ascii="仿宋" w:hAnsi="仿宋" w:eastAsia="仿宋" w:cs="仿宋"/>
                <w:color w:val="auto"/>
                <w:szCs w:val="21"/>
                <w:highlight w:val="none"/>
              </w:rPr>
            </w:pPr>
          </w:p>
        </w:tc>
        <w:tc>
          <w:tcPr>
            <w:tcW w:w="1716" w:type="dxa"/>
            <w:vAlign w:val="center"/>
          </w:tcPr>
          <w:p w14:paraId="7BB299DB">
            <w:pPr>
              <w:spacing w:line="360" w:lineRule="auto"/>
              <w:rPr>
                <w:rFonts w:hint="eastAsia" w:ascii="仿宋" w:hAnsi="仿宋" w:eastAsia="仿宋" w:cs="仿宋"/>
                <w:sz w:val="21"/>
                <w:szCs w:val="21"/>
              </w:rPr>
            </w:pPr>
            <w:r>
              <w:rPr>
                <w:rFonts w:hint="eastAsia" w:ascii="仿宋" w:hAnsi="仿宋" w:eastAsia="仿宋" w:cs="仿宋"/>
                <w:sz w:val="21"/>
                <w:szCs w:val="21"/>
              </w:rPr>
              <w:t>对该项目的认识、对实施任务的理解</w:t>
            </w:r>
            <w:r>
              <w:rPr>
                <w:rFonts w:hint="eastAsia" w:ascii="仿宋" w:hAnsi="仿宋" w:eastAsia="仿宋" w:cs="仿宋"/>
                <w:color w:val="auto"/>
                <w:sz w:val="21"/>
                <w:szCs w:val="21"/>
                <w:highlight w:val="none"/>
                <w:lang w:val="en-US" w:eastAsia="zh-CN"/>
              </w:rPr>
              <w:t>审查评分</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满分10</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14:paraId="0337F7D4">
            <w:pPr>
              <w:adjustRightInd w:val="0"/>
              <w:snapToGrid w:val="0"/>
              <w:spacing w:line="360" w:lineRule="auto"/>
              <w:jc w:val="center"/>
              <w:rPr>
                <w:rFonts w:ascii="仿宋" w:hAnsi="仿宋" w:eastAsia="仿宋" w:cs="仿宋"/>
                <w:color w:val="auto"/>
                <w:szCs w:val="21"/>
                <w:highlight w:val="none"/>
              </w:rPr>
            </w:pPr>
          </w:p>
        </w:tc>
        <w:tc>
          <w:tcPr>
            <w:tcW w:w="6909" w:type="dxa"/>
            <w:tcBorders>
              <w:bottom w:val="single" w:color="auto" w:sz="4" w:space="0"/>
            </w:tcBorders>
            <w:vAlign w:val="center"/>
          </w:tcPr>
          <w:p w14:paraId="12E39E0D">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磋商小组</w:t>
            </w:r>
            <w:r>
              <w:rPr>
                <w:rFonts w:hint="eastAsia" w:ascii="仿宋" w:hAnsi="仿宋" w:eastAsia="仿宋" w:cs="仿宋"/>
                <w:sz w:val="21"/>
                <w:szCs w:val="21"/>
              </w:rPr>
              <w:t>根据各</w:t>
            </w:r>
            <w:r>
              <w:rPr>
                <w:rFonts w:hint="eastAsia" w:ascii="仿宋" w:hAnsi="仿宋" w:eastAsia="仿宋" w:cs="仿宋"/>
                <w:sz w:val="21"/>
                <w:szCs w:val="21"/>
                <w:lang w:eastAsia="zh-CN"/>
              </w:rPr>
              <w:t>供应商</w:t>
            </w:r>
            <w:r>
              <w:rPr>
                <w:rFonts w:hint="eastAsia" w:ascii="仿宋" w:hAnsi="仿宋" w:eastAsia="仿宋" w:cs="仿宋"/>
                <w:sz w:val="21"/>
                <w:szCs w:val="21"/>
              </w:rPr>
              <w:t>递交的</w:t>
            </w:r>
            <w:r>
              <w:rPr>
                <w:rFonts w:hint="eastAsia" w:ascii="仿宋" w:hAnsi="仿宋" w:eastAsia="仿宋" w:cs="仿宋"/>
                <w:sz w:val="21"/>
                <w:szCs w:val="21"/>
                <w:lang w:val="en-US" w:eastAsia="zh-CN"/>
              </w:rPr>
              <w:t>响应</w:t>
            </w:r>
            <w:r>
              <w:rPr>
                <w:rFonts w:hint="eastAsia" w:ascii="仿宋" w:hAnsi="仿宋" w:eastAsia="仿宋" w:cs="仿宋"/>
                <w:sz w:val="21"/>
                <w:szCs w:val="21"/>
              </w:rPr>
              <w:t>文件中“对该项目的认识、对实施任务的理解及熟悉程度”情况进行综合评审。</w:t>
            </w:r>
          </w:p>
          <w:p w14:paraId="0B9721F0">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对本项目的认识深刻到位、政策把握准确，对实施任务的理解准确，对项目所在地现状熟悉、了解全面的，</w:t>
            </w:r>
            <w:r>
              <w:rPr>
                <w:rFonts w:hint="eastAsia" w:ascii="仿宋" w:hAnsi="仿宋" w:eastAsia="仿宋" w:cs="仿宋"/>
                <w:color w:val="auto"/>
                <w:sz w:val="21"/>
                <w:szCs w:val="21"/>
                <w:highlight w:val="none"/>
                <w:lang w:val="en-US" w:eastAsia="zh-CN"/>
              </w:rPr>
              <w:t>得10分</w:t>
            </w:r>
            <w:r>
              <w:rPr>
                <w:rFonts w:hint="eastAsia" w:ascii="仿宋" w:hAnsi="仿宋" w:eastAsia="仿宋" w:cs="仿宋"/>
                <w:sz w:val="21"/>
                <w:szCs w:val="21"/>
              </w:rPr>
              <w:t>；</w:t>
            </w:r>
          </w:p>
          <w:p w14:paraId="1DE584E1">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对本项目的认识到位、政策把握较为准确，对实施任务的理解较为准确，对项目所在地现状较为熟悉的，</w:t>
            </w:r>
            <w:r>
              <w:rPr>
                <w:rFonts w:hint="eastAsia" w:ascii="仿宋" w:hAnsi="仿宋" w:eastAsia="仿宋" w:cs="仿宋"/>
                <w:color w:val="auto"/>
                <w:sz w:val="21"/>
                <w:szCs w:val="21"/>
                <w:highlight w:val="none"/>
                <w:lang w:val="en-US" w:eastAsia="zh-CN"/>
              </w:rPr>
              <w:t>得8分</w:t>
            </w:r>
            <w:r>
              <w:rPr>
                <w:rFonts w:hint="eastAsia" w:ascii="仿宋" w:hAnsi="仿宋" w:eastAsia="仿宋" w:cs="仿宋"/>
                <w:sz w:val="21"/>
                <w:szCs w:val="21"/>
              </w:rPr>
              <w:t>；</w:t>
            </w:r>
          </w:p>
          <w:p w14:paraId="0145E5A6">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对本项目的认识基本到位、政策把握基本准确，对实施任务的理解基本准确，对项目所在地现状了解不全面、不熟悉的，</w:t>
            </w:r>
            <w:r>
              <w:rPr>
                <w:rFonts w:hint="eastAsia" w:ascii="仿宋" w:hAnsi="仿宋" w:eastAsia="仿宋" w:cs="仿宋"/>
                <w:color w:val="auto"/>
                <w:sz w:val="21"/>
                <w:szCs w:val="21"/>
                <w:highlight w:val="none"/>
                <w:lang w:val="en-US" w:eastAsia="zh-CN"/>
              </w:rPr>
              <w:t>得6分</w:t>
            </w:r>
            <w:r>
              <w:rPr>
                <w:rFonts w:hint="eastAsia" w:ascii="仿宋" w:hAnsi="仿宋" w:eastAsia="仿宋" w:cs="仿宋"/>
                <w:sz w:val="21"/>
                <w:szCs w:val="21"/>
              </w:rPr>
              <w:t>。</w:t>
            </w:r>
          </w:p>
          <w:p w14:paraId="5FF85D72">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对本项目的认识</w:t>
            </w:r>
            <w:r>
              <w:rPr>
                <w:rFonts w:hint="eastAsia" w:ascii="仿宋" w:hAnsi="仿宋" w:eastAsia="仿宋" w:cs="仿宋"/>
                <w:sz w:val="21"/>
                <w:szCs w:val="21"/>
                <w:lang w:val="en-US" w:eastAsia="zh-CN"/>
              </w:rPr>
              <w:t>不</w:t>
            </w:r>
            <w:r>
              <w:rPr>
                <w:rFonts w:hint="eastAsia" w:ascii="仿宋" w:hAnsi="仿宋" w:eastAsia="仿宋" w:cs="仿宋"/>
                <w:sz w:val="21"/>
                <w:szCs w:val="21"/>
              </w:rPr>
              <w:t>到位、政策把握</w:t>
            </w:r>
            <w:r>
              <w:rPr>
                <w:rFonts w:hint="eastAsia" w:ascii="仿宋" w:hAnsi="仿宋" w:eastAsia="仿宋" w:cs="仿宋"/>
                <w:sz w:val="21"/>
                <w:szCs w:val="21"/>
                <w:lang w:val="en-US" w:eastAsia="zh-CN"/>
              </w:rPr>
              <w:t>不</w:t>
            </w:r>
            <w:r>
              <w:rPr>
                <w:rFonts w:hint="eastAsia" w:ascii="仿宋" w:hAnsi="仿宋" w:eastAsia="仿宋" w:cs="仿宋"/>
                <w:sz w:val="21"/>
                <w:szCs w:val="21"/>
              </w:rPr>
              <w:t>准确，对实施任务的理解</w:t>
            </w:r>
            <w:r>
              <w:rPr>
                <w:rFonts w:hint="eastAsia" w:ascii="仿宋" w:hAnsi="仿宋" w:eastAsia="仿宋" w:cs="仿宋"/>
                <w:sz w:val="21"/>
                <w:szCs w:val="21"/>
                <w:lang w:val="en-US" w:eastAsia="zh-CN"/>
              </w:rPr>
              <w:t>不</w:t>
            </w:r>
            <w:r>
              <w:rPr>
                <w:rFonts w:hint="eastAsia" w:ascii="仿宋" w:hAnsi="仿宋" w:eastAsia="仿宋" w:cs="仿宋"/>
                <w:sz w:val="21"/>
                <w:szCs w:val="21"/>
              </w:rPr>
              <w:t>准确，对项目所在地现状了解不</w:t>
            </w:r>
            <w:r>
              <w:rPr>
                <w:rFonts w:hint="eastAsia" w:ascii="仿宋" w:hAnsi="仿宋" w:eastAsia="仿宋" w:cs="仿宋"/>
                <w:sz w:val="21"/>
                <w:szCs w:val="21"/>
                <w:lang w:val="en-US" w:eastAsia="zh-CN"/>
              </w:rPr>
              <w:t>够</w:t>
            </w:r>
            <w:r>
              <w:rPr>
                <w:rFonts w:hint="eastAsia" w:ascii="仿宋" w:hAnsi="仿宋" w:eastAsia="仿宋" w:cs="仿宋"/>
                <w:sz w:val="21"/>
                <w:szCs w:val="21"/>
              </w:rPr>
              <w:t>全面、不熟悉的，</w:t>
            </w:r>
            <w:r>
              <w:rPr>
                <w:rFonts w:hint="eastAsia" w:ascii="仿宋" w:hAnsi="仿宋" w:eastAsia="仿宋" w:cs="仿宋"/>
                <w:color w:val="auto"/>
                <w:sz w:val="21"/>
                <w:szCs w:val="21"/>
                <w:highlight w:val="none"/>
                <w:lang w:val="en-US" w:eastAsia="zh-CN"/>
              </w:rPr>
              <w:t>得4分</w:t>
            </w:r>
            <w:r>
              <w:rPr>
                <w:rFonts w:hint="eastAsia" w:ascii="仿宋" w:hAnsi="仿宋" w:eastAsia="仿宋" w:cs="仿宋"/>
                <w:sz w:val="21"/>
                <w:szCs w:val="21"/>
              </w:rPr>
              <w:t>。</w:t>
            </w:r>
          </w:p>
          <w:p w14:paraId="7E16361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lang w:val="en-US" w:eastAsia="zh-CN"/>
              </w:rPr>
              <w:t>5</w:t>
            </w: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rPr>
              <w:t>未提供相关内容不得分。</w:t>
            </w:r>
          </w:p>
        </w:tc>
      </w:tr>
      <w:tr w14:paraId="453071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94" w:hRule="atLeast"/>
          <w:jc w:val="center"/>
        </w:trPr>
        <w:tc>
          <w:tcPr>
            <w:tcW w:w="1431" w:type="dxa"/>
            <w:vMerge w:val="continue"/>
            <w:vAlign w:val="center"/>
          </w:tcPr>
          <w:p w14:paraId="010A36CD">
            <w:pPr>
              <w:keepNext w:val="0"/>
              <w:keepLines w:val="0"/>
              <w:pageBreakBefore w:val="0"/>
              <w:kinsoku/>
              <w:wordWrap/>
              <w:overflowPunct/>
              <w:topLinePunct w:val="0"/>
              <w:bidi w:val="0"/>
              <w:spacing w:line="360" w:lineRule="auto"/>
              <w:jc w:val="center"/>
              <w:textAlignment w:val="auto"/>
              <w:rPr>
                <w:rFonts w:ascii="仿宋" w:hAnsi="仿宋" w:eastAsia="仿宋" w:cs="仿宋"/>
                <w:color w:val="auto"/>
                <w:szCs w:val="21"/>
                <w:highlight w:val="none"/>
              </w:rPr>
            </w:pPr>
          </w:p>
        </w:tc>
        <w:tc>
          <w:tcPr>
            <w:tcW w:w="1716" w:type="dxa"/>
            <w:tcBorders>
              <w:bottom w:val="single" w:color="auto" w:sz="4" w:space="0"/>
            </w:tcBorders>
            <w:vAlign w:val="center"/>
          </w:tcPr>
          <w:p w14:paraId="42A5836C">
            <w:pPr>
              <w:keepNext w:val="0"/>
              <w:keepLines w:val="0"/>
              <w:pageBreakBefore w:val="0"/>
              <w:widowControl w:val="0"/>
              <w:kinsoku/>
              <w:wordWrap/>
              <w:overflowPunct/>
              <w:topLinePunct w:val="0"/>
              <w:autoSpaceDE/>
              <w:autoSpaceDN/>
              <w:bidi w:val="0"/>
              <w:snapToGrid/>
              <w:spacing w:beforeAutospacing="0" w:afterAutospacing="0" w:line="360" w:lineRule="auto"/>
              <w:jc w:val="center"/>
              <w:textAlignment w:val="auto"/>
              <w:rPr>
                <w:rFonts w:ascii="仿宋" w:hAnsi="仿宋" w:eastAsia="仿宋" w:cs="仿宋"/>
                <w:color w:val="auto"/>
                <w:szCs w:val="21"/>
                <w:highlight w:val="none"/>
              </w:rPr>
            </w:pPr>
            <w:r>
              <w:rPr>
                <w:rFonts w:hint="eastAsia" w:ascii="仿宋" w:hAnsi="仿宋" w:eastAsia="仿宋" w:cs="仿宋"/>
                <w:b w:val="0"/>
                <w:bCs w:val="0"/>
                <w:color w:val="auto"/>
                <w:sz w:val="21"/>
                <w:szCs w:val="21"/>
                <w:highlight w:val="none"/>
              </w:rPr>
              <w:t>质量标准及质量管理保证措施</w:t>
            </w:r>
            <w:r>
              <w:rPr>
                <w:rFonts w:hint="eastAsia" w:ascii="仿宋" w:hAnsi="仿宋" w:eastAsia="仿宋" w:cs="仿宋"/>
                <w:color w:val="auto"/>
                <w:sz w:val="21"/>
                <w:szCs w:val="21"/>
                <w:highlight w:val="none"/>
                <w:lang w:val="en-US" w:eastAsia="zh-CN"/>
              </w:rPr>
              <w:t>审查评分（满分10分）</w:t>
            </w:r>
          </w:p>
        </w:tc>
        <w:tc>
          <w:tcPr>
            <w:tcW w:w="6909" w:type="dxa"/>
            <w:tcBorders>
              <w:bottom w:val="single" w:color="auto" w:sz="4" w:space="0"/>
            </w:tcBorders>
            <w:vAlign w:val="center"/>
          </w:tcPr>
          <w:p w14:paraId="7587A82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zh-TW" w:eastAsia="zh-TW"/>
              </w:rPr>
              <w:t>质量标准承诺满足</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lang w:val="zh-TW" w:eastAsia="zh-TW"/>
              </w:rPr>
              <w:t>文件要求，质量保证措施完善、可行的，有具体违约承诺的</w:t>
            </w: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en-US" w:eastAsia="zh-CN"/>
              </w:rPr>
              <w:t>得10分</w:t>
            </w:r>
            <w:r>
              <w:rPr>
                <w:rFonts w:hint="eastAsia" w:ascii="仿宋" w:hAnsi="仿宋" w:eastAsia="仿宋" w:cs="仿宋"/>
                <w:color w:val="auto"/>
                <w:sz w:val="21"/>
                <w:szCs w:val="21"/>
                <w:highlight w:val="none"/>
                <w:lang w:val="zh-TW" w:eastAsia="zh-TW"/>
              </w:rPr>
              <w:t>；</w:t>
            </w:r>
          </w:p>
          <w:p w14:paraId="2CD2A88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zh-TW" w:eastAsia="zh-TW"/>
              </w:rPr>
              <w:t>质量标准承诺满足</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lang w:val="zh-TW" w:eastAsia="zh-TW"/>
              </w:rPr>
              <w:t>文件要求，但较普通，质量保证措施基本完善、基本可行的，有违约承诺的</w:t>
            </w: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en-US" w:eastAsia="zh-CN"/>
              </w:rPr>
              <w:t>得8分</w:t>
            </w:r>
            <w:r>
              <w:rPr>
                <w:rFonts w:hint="eastAsia" w:ascii="仿宋" w:hAnsi="仿宋" w:eastAsia="仿宋" w:cs="仿宋"/>
                <w:color w:val="auto"/>
                <w:sz w:val="21"/>
                <w:szCs w:val="21"/>
                <w:highlight w:val="none"/>
                <w:lang w:val="zh-TW" w:eastAsia="zh-TW"/>
              </w:rPr>
              <w:t>；</w:t>
            </w:r>
          </w:p>
          <w:p w14:paraId="1B077A4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zh-TW" w:eastAsia="zh-TW"/>
              </w:rPr>
              <w:t>质量承诺及保证措施基本满足</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lang w:val="zh-TW" w:eastAsia="zh-TW"/>
              </w:rPr>
              <w:t>文件要求，有违约承诺的</w:t>
            </w: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en-US" w:eastAsia="zh-CN"/>
              </w:rPr>
              <w:t>得6分</w:t>
            </w:r>
            <w:r>
              <w:rPr>
                <w:rFonts w:hint="eastAsia" w:ascii="仿宋" w:hAnsi="仿宋" w:eastAsia="仿宋" w:cs="仿宋"/>
                <w:color w:val="auto"/>
                <w:sz w:val="21"/>
                <w:szCs w:val="21"/>
                <w:highlight w:val="none"/>
                <w:lang w:val="zh-TW" w:eastAsia="zh-TW"/>
              </w:rPr>
              <w:t>；</w:t>
            </w:r>
          </w:p>
          <w:p w14:paraId="0BBE33E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zh-TW" w:eastAsia="zh-TW"/>
              </w:rPr>
              <w:t>质量标准承诺基本满足</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lang w:val="zh-TW" w:eastAsia="zh-TW"/>
              </w:rPr>
              <w:t>文件要求，但质量保证措施不完善的，无违约承诺的</w:t>
            </w: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en-US" w:eastAsia="zh-CN"/>
              </w:rPr>
              <w:t>得4分</w:t>
            </w:r>
            <w:r>
              <w:rPr>
                <w:rFonts w:hint="eastAsia" w:ascii="仿宋" w:hAnsi="仿宋" w:eastAsia="仿宋" w:cs="仿宋"/>
                <w:color w:val="auto"/>
                <w:sz w:val="21"/>
                <w:szCs w:val="21"/>
                <w:highlight w:val="none"/>
                <w:lang w:val="zh-TW" w:eastAsia="zh-TW"/>
              </w:rPr>
              <w:t>。</w:t>
            </w:r>
          </w:p>
          <w:p w14:paraId="22E1E31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zh-TW" w:eastAsia="zh-TW"/>
              </w:rPr>
              <w:t>质量标准承诺不能满足</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lang w:val="zh-TW" w:eastAsia="zh-TW"/>
              </w:rPr>
              <w:t>文件要求，无质量保证措施的，无违约承诺的</w:t>
            </w: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en-US" w:eastAsia="zh-CN"/>
              </w:rPr>
              <w:t>得2分</w:t>
            </w:r>
            <w:r>
              <w:rPr>
                <w:rFonts w:hint="eastAsia" w:ascii="仿宋" w:hAnsi="仿宋" w:eastAsia="仿宋" w:cs="仿宋"/>
                <w:color w:val="auto"/>
                <w:sz w:val="21"/>
                <w:szCs w:val="21"/>
                <w:highlight w:val="none"/>
                <w:lang w:val="zh-TW" w:eastAsia="zh-TW"/>
              </w:rPr>
              <w:t>。</w:t>
            </w:r>
          </w:p>
          <w:p w14:paraId="614DEFD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仿宋" w:hAnsi="仿宋" w:eastAsia="仿宋" w:cs="仿宋"/>
                <w:color w:val="auto"/>
                <w:szCs w:val="21"/>
                <w:highlight w:val="none"/>
              </w:rPr>
            </w:pP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zh-TW" w:eastAsia="zh-CN"/>
              </w:rPr>
              <w:t>）</w:t>
            </w:r>
            <w:r>
              <w:rPr>
                <w:rFonts w:hint="eastAsia" w:ascii="仿宋" w:hAnsi="仿宋" w:eastAsia="仿宋" w:cs="仿宋"/>
                <w:color w:val="auto"/>
                <w:sz w:val="21"/>
                <w:szCs w:val="21"/>
                <w:highlight w:val="none"/>
                <w:lang w:val="zh-TW" w:eastAsia="zh-TW"/>
              </w:rPr>
              <w:t>未提供此项的不得分。</w:t>
            </w:r>
          </w:p>
        </w:tc>
      </w:tr>
      <w:tr w14:paraId="7677F9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94" w:hRule="atLeast"/>
          <w:jc w:val="center"/>
        </w:trPr>
        <w:tc>
          <w:tcPr>
            <w:tcW w:w="1431" w:type="dxa"/>
            <w:vMerge w:val="continue"/>
            <w:vAlign w:val="center"/>
          </w:tcPr>
          <w:p w14:paraId="23612B61">
            <w:pPr>
              <w:keepNext w:val="0"/>
              <w:keepLines w:val="0"/>
              <w:pageBreakBefore w:val="0"/>
              <w:kinsoku/>
              <w:wordWrap/>
              <w:overflowPunct/>
              <w:topLinePunct w:val="0"/>
              <w:bidi w:val="0"/>
              <w:spacing w:line="360" w:lineRule="auto"/>
              <w:jc w:val="center"/>
              <w:textAlignment w:val="auto"/>
              <w:rPr>
                <w:rFonts w:ascii="仿宋" w:hAnsi="仿宋" w:eastAsia="仿宋" w:cs="仿宋"/>
                <w:color w:val="auto"/>
                <w:szCs w:val="21"/>
                <w:highlight w:val="none"/>
              </w:rPr>
            </w:pPr>
          </w:p>
        </w:tc>
        <w:tc>
          <w:tcPr>
            <w:tcW w:w="1716" w:type="dxa"/>
            <w:tcBorders>
              <w:bottom w:val="single" w:color="auto" w:sz="4" w:space="0"/>
            </w:tcBorders>
            <w:vAlign w:val="center"/>
          </w:tcPr>
          <w:p w14:paraId="25256CDB">
            <w:pPr>
              <w:keepNext w:val="0"/>
              <w:keepLines w:val="0"/>
              <w:pageBreakBefore w:val="0"/>
              <w:widowControl w:val="0"/>
              <w:kinsoku/>
              <w:wordWrap/>
              <w:overflowPunct/>
              <w:topLinePunct w:val="0"/>
              <w:autoSpaceDE/>
              <w:autoSpaceDN/>
              <w:bidi w:val="0"/>
              <w:snapToGrid/>
              <w:spacing w:beforeAutospacing="0" w:afterAutospacing="0" w:line="360" w:lineRule="auto"/>
              <w:jc w:val="center"/>
              <w:textAlignment w:val="auto"/>
              <w:rPr>
                <w:rFonts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培训方案</w:t>
            </w:r>
            <w:r>
              <w:rPr>
                <w:rFonts w:hint="eastAsia" w:ascii="仿宋" w:hAnsi="仿宋" w:eastAsia="仿宋" w:cs="仿宋"/>
                <w:color w:val="auto"/>
                <w:sz w:val="21"/>
                <w:szCs w:val="21"/>
                <w:highlight w:val="none"/>
                <w:lang w:val="en-US" w:eastAsia="zh-CN"/>
              </w:rPr>
              <w:t>审查评分</w:t>
            </w:r>
            <w:r>
              <w:rPr>
                <w:rFonts w:hint="eastAsia" w:ascii="仿宋" w:hAnsi="仿宋" w:eastAsia="仿宋" w:cs="仿宋"/>
                <w:b w:val="0"/>
                <w:bCs w:val="0"/>
                <w:color w:val="auto"/>
                <w:sz w:val="21"/>
                <w:szCs w:val="21"/>
                <w:highlight w:val="none"/>
                <w:lang w:val="en-US" w:eastAsia="zh-CN"/>
              </w:rPr>
              <w:t>（10分）</w:t>
            </w:r>
          </w:p>
        </w:tc>
        <w:tc>
          <w:tcPr>
            <w:tcW w:w="6909" w:type="dxa"/>
            <w:tcBorders>
              <w:bottom w:val="single" w:color="auto" w:sz="4" w:space="0"/>
            </w:tcBorders>
            <w:vAlign w:val="center"/>
          </w:tcPr>
          <w:p w14:paraId="3D3627E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（1）有详细具体的培训方案，培训目标明确、有针对性，符合设备管理人员的不同需求，对实际工作有指导意义，且培训方式实用多样，培训课程安排科学合理，适用性强的，得10分；</w:t>
            </w:r>
          </w:p>
          <w:p w14:paraId="160B0EE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（2）培训方案较为具体，合理，培训目标明确但针对性不强，基本符合设备管理人员的不同需求但可行性一般，培训方式单一，安排不够合理，适用性不强的，得8分；</w:t>
            </w:r>
          </w:p>
          <w:p w14:paraId="07946CE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（3）培训方案考虑不全面，可行性差，不能满足设备管理人员的需求的，得6分；</w:t>
            </w:r>
          </w:p>
          <w:p w14:paraId="3138D67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（4）投标文件中提供的培训方案基本可行，得4分；</w:t>
            </w:r>
          </w:p>
          <w:p w14:paraId="5EB6AAD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（5）投标文件中提供的培训方案较差，2分；</w:t>
            </w:r>
          </w:p>
          <w:p w14:paraId="23361BF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（6）投标文件中未提供培训方案的得0分。</w:t>
            </w:r>
          </w:p>
        </w:tc>
      </w:tr>
      <w:tr w14:paraId="5A6D79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431" w:type="dxa"/>
            <w:vMerge w:val="continue"/>
            <w:vAlign w:val="center"/>
          </w:tcPr>
          <w:p w14:paraId="04F9CE6C">
            <w:pPr>
              <w:keepNext w:val="0"/>
              <w:keepLines w:val="0"/>
              <w:pageBreakBefore w:val="0"/>
              <w:kinsoku/>
              <w:wordWrap/>
              <w:overflowPunct/>
              <w:topLinePunct w:val="0"/>
              <w:bidi w:val="0"/>
              <w:spacing w:line="360" w:lineRule="auto"/>
              <w:jc w:val="center"/>
              <w:textAlignment w:val="auto"/>
              <w:rPr>
                <w:rFonts w:ascii="仿宋" w:hAnsi="仿宋" w:eastAsia="仿宋" w:cs="仿宋"/>
                <w:color w:val="auto"/>
                <w:szCs w:val="21"/>
                <w:highlight w:val="none"/>
              </w:rPr>
            </w:pPr>
          </w:p>
        </w:tc>
        <w:tc>
          <w:tcPr>
            <w:tcW w:w="1716" w:type="dxa"/>
            <w:tcBorders>
              <w:bottom w:val="single" w:color="auto" w:sz="4" w:space="0"/>
            </w:tcBorders>
            <w:vAlign w:val="center"/>
          </w:tcPr>
          <w:p w14:paraId="67130F84">
            <w:pPr>
              <w:keepNext w:val="0"/>
              <w:keepLines w:val="0"/>
              <w:pageBreakBefore w:val="0"/>
              <w:widowControl w:val="0"/>
              <w:kinsoku/>
              <w:wordWrap/>
              <w:overflowPunct/>
              <w:topLinePunct w:val="0"/>
              <w:autoSpaceDE/>
              <w:autoSpaceDN/>
              <w:bidi w:val="0"/>
              <w:snapToGrid/>
              <w:spacing w:beforeAutospacing="0" w:afterAutospacing="0" w:line="360" w:lineRule="auto"/>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售后服务</w:t>
            </w:r>
            <w:r>
              <w:rPr>
                <w:rFonts w:hint="eastAsia" w:ascii="仿宋" w:hAnsi="仿宋" w:eastAsia="仿宋" w:cs="仿宋"/>
                <w:color w:val="auto"/>
                <w:sz w:val="21"/>
                <w:szCs w:val="21"/>
                <w:highlight w:val="none"/>
                <w:lang w:val="en-US" w:eastAsia="zh-CN"/>
              </w:rPr>
              <w:t>审查评分</w:t>
            </w:r>
          </w:p>
          <w:p w14:paraId="3B2A6C0D">
            <w:pPr>
              <w:keepNext w:val="0"/>
              <w:keepLines w:val="0"/>
              <w:pageBreakBefore w:val="0"/>
              <w:widowControl w:val="0"/>
              <w:kinsoku/>
              <w:wordWrap/>
              <w:overflowPunct/>
              <w:topLinePunct w:val="0"/>
              <w:autoSpaceDE/>
              <w:autoSpaceDN/>
              <w:bidi w:val="0"/>
              <w:snapToGrid/>
              <w:spacing w:beforeAutospacing="0" w:afterAutospacing="0" w:line="360" w:lineRule="auto"/>
              <w:jc w:val="center"/>
              <w:textAlignment w:val="auto"/>
              <w:rPr>
                <w:rFonts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(10分)</w:t>
            </w:r>
          </w:p>
        </w:tc>
        <w:tc>
          <w:tcPr>
            <w:tcW w:w="6909" w:type="dxa"/>
            <w:tcBorders>
              <w:bottom w:val="single" w:color="auto" w:sz="4" w:space="0"/>
            </w:tcBorders>
            <w:vAlign w:val="center"/>
          </w:tcPr>
          <w:p w14:paraId="74CEF0B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（1）售后服务能力强，售后服务体系完整度高，保障性强，售后服务承诺及保证措施完善具体，针对性强，有相应的惩罚措施的，</w:t>
            </w:r>
            <w:r>
              <w:rPr>
                <w:rFonts w:hint="eastAsia" w:ascii="仿宋" w:hAnsi="仿宋" w:eastAsia="仿宋" w:cs="仿宋"/>
                <w:color w:val="auto"/>
                <w:kern w:val="2"/>
                <w:sz w:val="21"/>
                <w:szCs w:val="21"/>
                <w:highlight w:val="none"/>
                <w:lang w:val="en-US" w:eastAsia="zh-CN" w:bidi="ar-SA"/>
              </w:rPr>
              <w:t>得10分</w:t>
            </w:r>
            <w:r>
              <w:rPr>
                <w:rFonts w:hint="eastAsia" w:ascii="仿宋" w:hAnsi="仿宋" w:eastAsia="仿宋" w:cs="仿宋"/>
                <w:color w:val="auto"/>
                <w:sz w:val="21"/>
                <w:szCs w:val="21"/>
                <w:highlight w:val="none"/>
                <w:lang w:val="en-US" w:eastAsia="zh-CN"/>
              </w:rPr>
              <w:t>；</w:t>
            </w:r>
          </w:p>
          <w:p w14:paraId="7413156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（2）售后服务能力较强，售后服务体系完整度及保障性较好，售后服务承诺及保证措施具体可行，有针对性，有相应的惩罚措施的，</w:t>
            </w:r>
            <w:r>
              <w:rPr>
                <w:rFonts w:hint="eastAsia" w:ascii="仿宋" w:hAnsi="仿宋" w:eastAsia="仿宋" w:cs="仿宋"/>
                <w:color w:val="auto"/>
                <w:kern w:val="2"/>
                <w:sz w:val="21"/>
                <w:szCs w:val="21"/>
                <w:highlight w:val="none"/>
                <w:lang w:val="en-US" w:eastAsia="zh-CN" w:bidi="ar-SA"/>
              </w:rPr>
              <w:t>得8分</w:t>
            </w:r>
            <w:r>
              <w:rPr>
                <w:rFonts w:hint="eastAsia" w:ascii="仿宋" w:hAnsi="仿宋" w:eastAsia="仿宋" w:cs="仿宋"/>
                <w:color w:val="auto"/>
                <w:sz w:val="21"/>
                <w:szCs w:val="21"/>
                <w:highlight w:val="none"/>
                <w:lang w:val="en-US" w:eastAsia="zh-CN"/>
              </w:rPr>
              <w:t xml:space="preserve">； </w:t>
            </w:r>
          </w:p>
          <w:p w14:paraId="16D6D83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（3）售后服务能力较弱，售后服务体系完整度及保障性基本完善，售后承诺及保证措施具体可行，有一定的针对性，</w:t>
            </w:r>
            <w:r>
              <w:rPr>
                <w:rFonts w:hint="eastAsia" w:ascii="仿宋" w:hAnsi="仿宋" w:eastAsia="仿宋" w:cs="仿宋"/>
                <w:color w:val="auto"/>
                <w:kern w:val="2"/>
                <w:sz w:val="21"/>
                <w:szCs w:val="21"/>
                <w:highlight w:val="none"/>
                <w:lang w:val="en-US" w:eastAsia="zh-CN" w:bidi="ar-SA"/>
              </w:rPr>
              <w:t>6分</w:t>
            </w:r>
            <w:r>
              <w:rPr>
                <w:rFonts w:hint="eastAsia" w:ascii="仿宋" w:hAnsi="仿宋" w:eastAsia="仿宋" w:cs="仿宋"/>
                <w:color w:val="auto"/>
                <w:sz w:val="21"/>
                <w:szCs w:val="21"/>
                <w:highlight w:val="none"/>
                <w:lang w:val="en-US" w:eastAsia="zh-CN"/>
              </w:rPr>
              <w:t xml:space="preserve">； </w:t>
            </w:r>
          </w:p>
          <w:p w14:paraId="45D1423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（4）售后服务能力弱，售后服务体系完整度及保障性简单，售后承诺及保证措施基本可行，但缺乏针对性，</w:t>
            </w:r>
            <w:r>
              <w:rPr>
                <w:rFonts w:hint="eastAsia" w:ascii="仿宋" w:hAnsi="仿宋" w:eastAsia="仿宋" w:cs="仿宋"/>
                <w:color w:val="auto"/>
                <w:kern w:val="2"/>
                <w:sz w:val="21"/>
                <w:szCs w:val="21"/>
                <w:highlight w:val="none"/>
                <w:lang w:val="en-US" w:eastAsia="zh-CN" w:bidi="ar-SA"/>
              </w:rPr>
              <w:t>得4分</w:t>
            </w:r>
            <w:r>
              <w:rPr>
                <w:rFonts w:hint="eastAsia" w:ascii="仿宋" w:hAnsi="仿宋" w:eastAsia="仿宋" w:cs="仿宋"/>
                <w:color w:val="auto"/>
                <w:sz w:val="21"/>
                <w:szCs w:val="21"/>
                <w:highlight w:val="none"/>
                <w:lang w:val="en-US" w:eastAsia="zh-CN"/>
              </w:rPr>
              <w:t xml:space="preserve">； </w:t>
            </w:r>
          </w:p>
          <w:p w14:paraId="724D271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（5）售后服务体系不完整、无保障性，只有简单的售后服务承诺及保证措施，</w:t>
            </w:r>
            <w:r>
              <w:rPr>
                <w:rFonts w:hint="eastAsia" w:ascii="仿宋" w:hAnsi="仿宋" w:eastAsia="仿宋" w:cs="仿宋"/>
                <w:color w:val="auto"/>
                <w:kern w:val="2"/>
                <w:sz w:val="21"/>
                <w:szCs w:val="21"/>
                <w:highlight w:val="none"/>
                <w:lang w:val="en-US" w:eastAsia="zh-CN" w:bidi="ar-SA"/>
              </w:rPr>
              <w:t>2分</w:t>
            </w:r>
            <w:r>
              <w:rPr>
                <w:rFonts w:hint="eastAsia" w:ascii="仿宋" w:hAnsi="仿宋" w:eastAsia="仿宋" w:cs="仿宋"/>
                <w:color w:val="auto"/>
                <w:sz w:val="21"/>
                <w:szCs w:val="21"/>
                <w:highlight w:val="none"/>
                <w:lang w:val="en-US" w:eastAsia="zh-CN"/>
              </w:rPr>
              <w:t xml:space="preserve">； </w:t>
            </w:r>
          </w:p>
          <w:p w14:paraId="3DAED9F4">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（6）未提供售后服务承诺及保证措施的不得分。</w:t>
            </w:r>
          </w:p>
        </w:tc>
      </w:tr>
      <w:tr w14:paraId="2F5858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40" w:hRule="atLeast"/>
          <w:jc w:val="center"/>
        </w:trPr>
        <w:tc>
          <w:tcPr>
            <w:tcW w:w="1431" w:type="dxa"/>
            <w:vMerge w:val="continue"/>
            <w:vAlign w:val="center"/>
          </w:tcPr>
          <w:p w14:paraId="1002E03F">
            <w:pPr>
              <w:keepNext w:val="0"/>
              <w:keepLines w:val="0"/>
              <w:pageBreakBefore w:val="0"/>
              <w:kinsoku/>
              <w:wordWrap/>
              <w:overflowPunct/>
              <w:topLinePunct w:val="0"/>
              <w:bidi w:val="0"/>
              <w:spacing w:line="360" w:lineRule="auto"/>
              <w:jc w:val="center"/>
              <w:textAlignment w:val="auto"/>
              <w:rPr>
                <w:rFonts w:ascii="仿宋" w:hAnsi="仿宋" w:eastAsia="仿宋" w:cs="仿宋"/>
                <w:color w:val="auto"/>
                <w:szCs w:val="21"/>
                <w:highlight w:val="none"/>
              </w:rPr>
            </w:pPr>
          </w:p>
        </w:tc>
        <w:tc>
          <w:tcPr>
            <w:tcW w:w="1716" w:type="dxa"/>
            <w:vAlign w:val="center"/>
          </w:tcPr>
          <w:p w14:paraId="55DA5A0C">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color w:val="auto"/>
                <w:sz w:val="21"/>
                <w:szCs w:val="21"/>
                <w:lang w:val="en-US" w:eastAsia="zh-CN"/>
              </w:rPr>
              <w:t>项目组织机构管理体系</w:t>
            </w:r>
            <w:r>
              <w:rPr>
                <w:rFonts w:hint="eastAsia" w:ascii="仿宋" w:hAnsi="仿宋" w:eastAsia="仿宋" w:cs="仿宋"/>
                <w:bCs/>
                <w:kern w:val="2"/>
                <w:sz w:val="21"/>
                <w:szCs w:val="21"/>
                <w:lang w:val="en-US" w:eastAsia="zh-CN" w:bidi="ar-SA"/>
              </w:rPr>
              <w:t>评审评分</w:t>
            </w:r>
          </w:p>
          <w:p w14:paraId="316CE1D7">
            <w:pPr>
              <w:keepNext w:val="0"/>
              <w:keepLines w:val="0"/>
              <w:pageBreakBefore w:val="0"/>
              <w:widowControl w:val="0"/>
              <w:kinsoku/>
              <w:wordWrap/>
              <w:overflowPunct/>
              <w:topLinePunct w:val="0"/>
              <w:autoSpaceDE/>
              <w:autoSpaceDN/>
              <w:bidi w:val="0"/>
              <w:snapToGrid/>
              <w:spacing w:line="360" w:lineRule="auto"/>
              <w:jc w:val="center"/>
              <w:textAlignment w:val="auto"/>
              <w:rPr>
                <w:rFonts w:ascii="仿宋" w:hAnsi="仿宋" w:eastAsia="仿宋" w:cs="仿宋"/>
                <w:color w:val="auto"/>
                <w:szCs w:val="21"/>
                <w:highlight w:val="none"/>
              </w:rPr>
            </w:pPr>
            <w:r>
              <w:rPr>
                <w:rFonts w:hint="eastAsia" w:ascii="仿宋" w:hAnsi="仿宋" w:eastAsia="仿宋" w:cs="仿宋"/>
                <w:bCs/>
                <w:kern w:val="2"/>
                <w:sz w:val="21"/>
                <w:szCs w:val="21"/>
                <w:highlight w:val="none"/>
                <w:lang w:val="en-US" w:eastAsia="zh-CN" w:bidi="ar-SA"/>
              </w:rPr>
              <w:t>（10分）</w:t>
            </w:r>
          </w:p>
        </w:tc>
        <w:tc>
          <w:tcPr>
            <w:tcW w:w="6909" w:type="dxa"/>
            <w:tcBorders>
              <w:bottom w:val="single" w:color="auto" w:sz="4" w:space="0"/>
            </w:tcBorders>
            <w:vAlign w:val="center"/>
          </w:tcPr>
          <w:p w14:paraId="6C2716B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（1）项目组织机构管理体系完善，针对性强，有科学严谨的管理程序，拟投入本项目的技术人员及各专业配置人员实力强，配置合理齐全的，得10分；</w:t>
            </w:r>
          </w:p>
          <w:p w14:paraId="685AAE0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（2）项目组织机构管理体系完善，有针对性，有管理程序，拟投入本项目的技术人员及各专业配置人员实力较强，配置基本合理的，得8分；</w:t>
            </w:r>
          </w:p>
          <w:p w14:paraId="3B703AD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（3）项目组织机构管理体系完善度、针对性一般，各专业配置人员实力一般的，得6分；</w:t>
            </w:r>
          </w:p>
          <w:p w14:paraId="0DCF2E0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（4）项目组织机构体系不完善，管理程序不清晰，主要人员安排的专业配置有疏漏的，得4分。</w:t>
            </w:r>
          </w:p>
          <w:p w14:paraId="7FC85E6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（5）未提供此项的不得分。</w:t>
            </w:r>
          </w:p>
        </w:tc>
      </w:tr>
    </w:tbl>
    <w:p w14:paraId="125FEF89">
      <w:pP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br w:type="page"/>
      </w:r>
    </w:p>
    <w:bookmarkEnd w:id="268"/>
    <w:bookmarkEnd w:id="269"/>
    <w:bookmarkEnd w:id="270"/>
    <w:bookmarkEnd w:id="271"/>
    <w:p w14:paraId="1D33EB54">
      <w:pPr>
        <w:spacing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一、评审机构</w:t>
      </w:r>
    </w:p>
    <w:p w14:paraId="3336E42C">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本项目评审机构为磋商小组，磋商小组由采购人代表和评审专家共3人及以上单数组成，其中评审专家人数不得少于磋商小组成员总数的2/3。</w:t>
      </w:r>
    </w:p>
    <w:p w14:paraId="4ADAE198">
      <w:pPr>
        <w:spacing w:before="120" w:beforeLines="50" w:after="120" w:afterLines="50" w:line="360" w:lineRule="auto"/>
        <w:ind w:firstLine="482" w:firstLineChars="200"/>
        <w:rPr>
          <w:rFonts w:ascii="仿宋" w:hAnsi="仿宋" w:eastAsia="仿宋" w:cs="仿宋"/>
          <w:b/>
          <w:color w:val="auto"/>
          <w:sz w:val="24"/>
          <w:szCs w:val="28"/>
          <w:highlight w:val="none"/>
        </w:rPr>
      </w:pPr>
      <w:bookmarkStart w:id="272" w:name="_Toc393455446"/>
      <w:bookmarkStart w:id="273" w:name="_Toc372195794"/>
      <w:bookmarkStart w:id="274" w:name="_Toc836"/>
      <w:bookmarkStart w:id="275" w:name="_Toc381016113"/>
      <w:r>
        <w:rPr>
          <w:rFonts w:hint="eastAsia" w:ascii="仿宋" w:hAnsi="仿宋" w:eastAsia="仿宋" w:cs="仿宋"/>
          <w:b/>
          <w:color w:val="auto"/>
          <w:sz w:val="24"/>
          <w:szCs w:val="28"/>
          <w:highlight w:val="none"/>
        </w:rPr>
        <w:t>二、评审原则</w:t>
      </w:r>
      <w:bookmarkEnd w:id="272"/>
      <w:bookmarkEnd w:id="273"/>
      <w:bookmarkEnd w:id="274"/>
      <w:bookmarkEnd w:id="275"/>
    </w:p>
    <w:p w14:paraId="4E00F277">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评审应遵循下列原则：</w:t>
      </w:r>
    </w:p>
    <w:p w14:paraId="3B889C93">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1、坚持公平、公正、科学、择优的原则，本着实事求是的精神，不带有任何主观意愿和偏见，认真负责地做好评审工作，公平、公正地对待每一个供应商。</w:t>
      </w:r>
    </w:p>
    <w:p w14:paraId="70ED55C5">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2、全面分析，综合评审。</w:t>
      </w:r>
    </w:p>
    <w:p w14:paraId="4E3395B2">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3、评审只对供应商的响应文件、磋商承诺书及最终报价进行评审，除此以外的资料、信息不应作为评审的依据。</w:t>
      </w:r>
    </w:p>
    <w:p w14:paraId="4719EE50">
      <w:pPr>
        <w:spacing w:before="120" w:beforeLines="50" w:after="120" w:afterLines="50" w:line="360" w:lineRule="auto"/>
        <w:ind w:firstLine="482" w:firstLineChars="200"/>
        <w:rPr>
          <w:rFonts w:ascii="仿宋" w:hAnsi="仿宋" w:eastAsia="仿宋" w:cs="仿宋"/>
          <w:b/>
          <w:color w:val="auto"/>
          <w:sz w:val="24"/>
          <w:szCs w:val="28"/>
          <w:highlight w:val="none"/>
        </w:rPr>
      </w:pPr>
      <w:bookmarkStart w:id="276" w:name="_Toc13424"/>
      <w:bookmarkStart w:id="277" w:name="_Toc372195795"/>
      <w:bookmarkStart w:id="278" w:name="_Toc393455447"/>
      <w:bookmarkStart w:id="279" w:name="_Toc381016114"/>
      <w:r>
        <w:rPr>
          <w:rFonts w:hint="eastAsia" w:ascii="仿宋" w:hAnsi="仿宋" w:eastAsia="仿宋" w:cs="仿宋"/>
          <w:b/>
          <w:color w:val="auto"/>
          <w:sz w:val="24"/>
          <w:szCs w:val="28"/>
          <w:highlight w:val="none"/>
        </w:rPr>
        <w:t>三、评审纪律</w:t>
      </w:r>
      <w:bookmarkEnd w:id="276"/>
      <w:bookmarkEnd w:id="277"/>
      <w:bookmarkEnd w:id="278"/>
      <w:bookmarkEnd w:id="279"/>
    </w:p>
    <w:p w14:paraId="1C659050">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1、所有与会人员对评审内容和评审过程要严格保密,不得向供应商或与该过程无关的</w:t>
      </w:r>
      <w:r>
        <w:rPr>
          <w:rFonts w:hint="eastAsia" w:ascii="仿宋" w:hAnsi="仿宋" w:eastAsia="仿宋" w:cs="仿宋"/>
          <w:color w:val="auto"/>
          <w:sz w:val="24"/>
          <w:szCs w:val="28"/>
          <w:highlight w:val="none"/>
          <w:lang w:eastAsia="zh-CN"/>
        </w:rPr>
        <w:t>其他人员</w:t>
      </w:r>
      <w:r>
        <w:rPr>
          <w:rFonts w:hint="eastAsia" w:ascii="仿宋" w:hAnsi="仿宋" w:eastAsia="仿宋" w:cs="仿宋"/>
          <w:color w:val="auto"/>
          <w:sz w:val="24"/>
          <w:szCs w:val="28"/>
          <w:highlight w:val="none"/>
        </w:rPr>
        <w:t>泄露；</w:t>
      </w:r>
    </w:p>
    <w:p w14:paraId="5D3784BB">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2、评审期间的一切资料,包括评审意见、评审记录、评审结论和响应文件审查、澄清、评价及比较的资料，均不得向供应商或与该过程无关的</w:t>
      </w:r>
      <w:r>
        <w:rPr>
          <w:rFonts w:hint="eastAsia" w:ascii="仿宋" w:hAnsi="仿宋" w:eastAsia="仿宋" w:cs="仿宋"/>
          <w:color w:val="auto"/>
          <w:sz w:val="24"/>
          <w:szCs w:val="28"/>
          <w:highlight w:val="none"/>
          <w:lang w:eastAsia="zh-CN"/>
        </w:rPr>
        <w:t>其他人员</w:t>
      </w:r>
      <w:r>
        <w:rPr>
          <w:rFonts w:hint="eastAsia" w:ascii="仿宋" w:hAnsi="仿宋" w:eastAsia="仿宋" w:cs="仿宋"/>
          <w:color w:val="auto"/>
          <w:sz w:val="24"/>
          <w:szCs w:val="28"/>
          <w:highlight w:val="none"/>
        </w:rPr>
        <w:t>泄露；</w:t>
      </w:r>
    </w:p>
    <w:p w14:paraId="3A685E40">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3、所有资料（包括竞争性磋商文件、响应文件、评审表格及各种文字记录）在评审结束后均应分别整理、存档备查，任何人不得复制和保留；</w:t>
      </w:r>
    </w:p>
    <w:p w14:paraId="45A0C75A">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4、评审结束后，与会人员不得向外界透露评审人员的评审意见，如因此造成的后果由责任者承担；</w:t>
      </w:r>
    </w:p>
    <w:p w14:paraId="22D96E45">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5、评审期间，评审人员不得外出，确需外出时应事先请假；</w:t>
      </w:r>
    </w:p>
    <w:p w14:paraId="06750658">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6、评审期间，所有与会人员均不得私自以任何方式和供应商进行联系，需询问、澄清的问题由磋商小组统一组织办理；</w:t>
      </w:r>
    </w:p>
    <w:p w14:paraId="0718368D">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7、评审期间，未经允许评审委员会以外的任何单位或部门不得参加评审和采访评审工作。</w:t>
      </w:r>
    </w:p>
    <w:p w14:paraId="53E346A4">
      <w:pPr>
        <w:spacing w:before="120" w:beforeLines="50" w:after="120" w:afterLines="50" w:line="360" w:lineRule="auto"/>
        <w:ind w:firstLine="482" w:firstLineChars="200"/>
        <w:rPr>
          <w:rFonts w:ascii="仿宋" w:hAnsi="仿宋" w:eastAsia="仿宋" w:cs="仿宋"/>
          <w:b/>
          <w:color w:val="auto"/>
          <w:sz w:val="24"/>
          <w:szCs w:val="28"/>
          <w:highlight w:val="none"/>
        </w:rPr>
      </w:pPr>
      <w:bookmarkStart w:id="280" w:name="_Toc372195796"/>
      <w:bookmarkStart w:id="281" w:name="_Toc381016115"/>
      <w:bookmarkStart w:id="282" w:name="_Toc393455448"/>
      <w:bookmarkStart w:id="283" w:name="_Toc10670"/>
      <w:r>
        <w:rPr>
          <w:rFonts w:hint="eastAsia" w:ascii="仿宋" w:hAnsi="仿宋" w:eastAsia="仿宋" w:cs="仿宋"/>
          <w:b/>
          <w:color w:val="auto"/>
          <w:sz w:val="24"/>
          <w:szCs w:val="28"/>
          <w:highlight w:val="none"/>
        </w:rPr>
        <w:t>四、评审目的</w:t>
      </w:r>
      <w:bookmarkEnd w:id="280"/>
      <w:bookmarkEnd w:id="281"/>
      <w:bookmarkEnd w:id="282"/>
      <w:bookmarkEnd w:id="283"/>
    </w:p>
    <w:p w14:paraId="0B960FBE">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评审工作的目的：审查供应商的响应文件与竞争性磋商文件的所有条款、条件是否相符；是否已提供了必备的资料、文件、证书，做出实质性响应；按评审程序和评审方法推荐出合格的成交候选供应商或直接确定成交供应商。</w:t>
      </w:r>
    </w:p>
    <w:p w14:paraId="71B1E600">
      <w:pPr>
        <w:spacing w:before="120" w:beforeLines="50" w:after="120" w:afterLines="50" w:line="360" w:lineRule="auto"/>
        <w:ind w:firstLine="482" w:firstLineChars="200"/>
        <w:rPr>
          <w:rFonts w:ascii="仿宋" w:hAnsi="仿宋" w:eastAsia="仿宋" w:cs="仿宋"/>
          <w:b/>
          <w:color w:val="auto"/>
          <w:sz w:val="24"/>
          <w:szCs w:val="28"/>
          <w:highlight w:val="none"/>
        </w:rPr>
      </w:pPr>
      <w:bookmarkStart w:id="284" w:name="_Toc393455449"/>
      <w:bookmarkStart w:id="285" w:name="_Toc20256"/>
      <w:bookmarkStart w:id="286" w:name="_Toc381016116"/>
      <w:bookmarkStart w:id="287" w:name="_Toc372195797"/>
      <w:r>
        <w:rPr>
          <w:rFonts w:hint="eastAsia" w:ascii="仿宋" w:hAnsi="仿宋" w:eastAsia="仿宋" w:cs="仿宋"/>
          <w:b/>
          <w:color w:val="auto"/>
          <w:sz w:val="24"/>
          <w:szCs w:val="28"/>
          <w:highlight w:val="none"/>
        </w:rPr>
        <w:t>五、评审程序</w:t>
      </w:r>
      <w:bookmarkEnd w:id="284"/>
      <w:bookmarkEnd w:id="285"/>
      <w:bookmarkEnd w:id="286"/>
      <w:bookmarkEnd w:id="287"/>
    </w:p>
    <w:p w14:paraId="64DDE7A6">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磋商小组对所有响应文件进行初步审查→磋商小组分别与通过了初步审查的供应商就技术、服务等内容进行磋商→供应商在规定时间内递交最终报价→磋商小组根据响应文件进行综合评分→</w:t>
      </w:r>
      <w:r>
        <w:rPr>
          <w:rFonts w:hint="eastAsia" w:ascii="仿宋" w:hAnsi="仿宋" w:eastAsia="仿宋" w:cs="仿宋"/>
          <w:color w:val="auto"/>
          <w:sz w:val="24"/>
          <w:szCs w:val="28"/>
          <w:highlight w:val="none"/>
          <w:lang w:val="en-US" w:eastAsia="zh-CN"/>
        </w:rPr>
        <w:t>磋商小组进行报价符合性评审</w:t>
      </w:r>
      <w:r>
        <w:rPr>
          <w:rFonts w:hint="eastAsia" w:ascii="仿宋" w:hAnsi="仿宋" w:eastAsia="仿宋" w:cs="仿宋"/>
          <w:color w:val="auto"/>
          <w:sz w:val="24"/>
          <w:szCs w:val="28"/>
          <w:highlight w:val="none"/>
        </w:rPr>
        <w:t>→磋商小组根据</w:t>
      </w:r>
      <w:r>
        <w:rPr>
          <w:rFonts w:hint="eastAsia" w:ascii="仿宋" w:hAnsi="仿宋" w:eastAsia="仿宋" w:cs="仿宋"/>
          <w:color w:val="auto"/>
          <w:sz w:val="24"/>
          <w:szCs w:val="28"/>
          <w:highlight w:val="none"/>
          <w:lang w:val="en-US" w:eastAsia="zh-CN"/>
        </w:rPr>
        <w:t>报价</w:t>
      </w:r>
      <w:r>
        <w:rPr>
          <w:rFonts w:hint="eastAsia" w:ascii="仿宋" w:hAnsi="仿宋" w:eastAsia="仿宋" w:cs="仿宋"/>
          <w:color w:val="auto"/>
          <w:sz w:val="24"/>
          <w:szCs w:val="28"/>
          <w:highlight w:val="none"/>
        </w:rPr>
        <w:t>进行综合评分→磋商小组将根据评审后的评审总得分由高到低的顺序推荐1～3名成交候选供应商→磋商小组提交评审报告。</w:t>
      </w:r>
    </w:p>
    <w:p w14:paraId="6C0317D9">
      <w:pPr>
        <w:spacing w:before="120" w:beforeLines="50" w:after="120" w:afterLines="50" w:line="360" w:lineRule="auto"/>
        <w:ind w:firstLine="482" w:firstLineChars="200"/>
        <w:rPr>
          <w:rFonts w:ascii="仿宋" w:hAnsi="仿宋" w:eastAsia="仿宋" w:cs="仿宋"/>
          <w:b/>
          <w:color w:val="auto"/>
          <w:sz w:val="24"/>
          <w:szCs w:val="28"/>
          <w:highlight w:val="none"/>
        </w:rPr>
      </w:pPr>
      <w:bookmarkStart w:id="288" w:name="_Toc12532"/>
      <w:r>
        <w:rPr>
          <w:rFonts w:hint="eastAsia" w:ascii="仿宋" w:hAnsi="仿宋" w:eastAsia="仿宋" w:cs="仿宋"/>
          <w:b/>
          <w:color w:val="auto"/>
          <w:sz w:val="24"/>
          <w:szCs w:val="28"/>
          <w:highlight w:val="none"/>
        </w:rPr>
        <w:t>六、评审方法</w:t>
      </w:r>
      <w:bookmarkEnd w:id="288"/>
    </w:p>
    <w:p w14:paraId="3C192BF4">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本项目采用“综合评分法”进行评审。综合评分法，是指响应文件满足竞争性磋商文件全部实质性要求且按评审因素的量化指标评审得分最高的供应商为成交候选供应商的评审方法。</w:t>
      </w:r>
    </w:p>
    <w:p w14:paraId="0DE12E06">
      <w:pPr>
        <w:spacing w:before="120" w:beforeLines="50" w:line="360" w:lineRule="auto"/>
        <w:ind w:firstLine="482" w:firstLineChars="200"/>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（一）初步评审</w:t>
      </w:r>
    </w:p>
    <w:p w14:paraId="241EBCF2">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1、资格性评审标准：依据法律法规和竞争性磋商文件的规定，对响应文件中的资格证明等进行审查，以确定供应商是否具备磋商资格；见“评审办法前附表”。</w:t>
      </w:r>
    </w:p>
    <w:p w14:paraId="7984C5AF">
      <w:pPr>
        <w:pStyle w:val="13"/>
        <w:spacing w:line="360" w:lineRule="auto"/>
        <w:ind w:firstLine="48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2、符合性评审标准：依据磋商文件的规定，见“评审办法前附表”。</w:t>
      </w:r>
    </w:p>
    <w:p w14:paraId="674DDEE3">
      <w:pPr>
        <w:pStyle w:val="13"/>
        <w:spacing w:line="360" w:lineRule="auto"/>
        <w:ind w:firstLine="480" w:firstLineChars="200"/>
        <w:rPr>
          <w:rFonts w:hint="eastAsia" w:ascii="仿宋" w:hAnsi="仿宋" w:eastAsia="仿宋" w:cs="仿宋"/>
          <w:color w:val="auto"/>
          <w:szCs w:val="28"/>
          <w:highlight w:val="none"/>
        </w:rPr>
      </w:pPr>
      <w:r>
        <w:rPr>
          <w:rFonts w:hint="eastAsia" w:ascii="仿宋" w:hAnsi="仿宋" w:eastAsia="仿宋" w:cs="仿宋"/>
          <w:color w:val="auto"/>
          <w:sz w:val="24"/>
          <w:szCs w:val="28"/>
          <w:highlight w:val="none"/>
          <w:lang w:val="en-US" w:eastAsia="zh-CN"/>
        </w:rPr>
        <w:t>根据</w:t>
      </w:r>
      <w:r>
        <w:rPr>
          <w:rFonts w:hint="eastAsia" w:ascii="仿宋" w:hAnsi="仿宋" w:eastAsia="仿宋" w:cs="仿宋"/>
          <w:color w:val="auto"/>
          <w:sz w:val="24"/>
          <w:szCs w:val="28"/>
          <w:highlight w:val="none"/>
        </w:rPr>
        <w:t>《政府采购竞争性磋商采购方式管理暂行办法》（财库〔2014〕214号）第</w:t>
      </w:r>
      <w:r>
        <w:rPr>
          <w:rFonts w:hint="eastAsia" w:ascii="仿宋" w:hAnsi="仿宋" w:eastAsia="仿宋" w:cs="仿宋"/>
          <w:color w:val="auto"/>
          <w:sz w:val="24"/>
          <w:szCs w:val="28"/>
          <w:highlight w:val="none"/>
          <w:lang w:val="en-US" w:eastAsia="zh-CN"/>
        </w:rPr>
        <w:t>十八</w:t>
      </w:r>
      <w:r>
        <w:rPr>
          <w:rFonts w:hint="eastAsia" w:ascii="仿宋" w:hAnsi="仿宋" w:eastAsia="仿宋" w:cs="仿宋"/>
          <w:color w:val="auto"/>
          <w:sz w:val="24"/>
          <w:szCs w:val="28"/>
          <w:highlight w:val="none"/>
        </w:rPr>
        <w:t>条</w:t>
      </w:r>
      <w:r>
        <w:rPr>
          <w:rFonts w:hint="eastAsia" w:ascii="仿宋" w:hAnsi="仿宋" w:eastAsia="仿宋" w:cs="仿宋"/>
          <w:color w:val="auto"/>
          <w:szCs w:val="28"/>
          <w:highlight w:val="none"/>
          <w:lang w:val="en-US" w:eastAsia="zh-CN"/>
        </w:rPr>
        <w:t xml:space="preserve">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14:paraId="0845B0E7">
      <w:pPr>
        <w:pStyle w:val="13"/>
        <w:spacing w:line="360" w:lineRule="auto"/>
        <w:ind w:firstLine="48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4BA2D49">
      <w:pPr>
        <w:spacing w:before="120" w:beforeLines="50" w:line="360" w:lineRule="auto"/>
        <w:ind w:firstLine="482" w:firstLineChars="200"/>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 xml:space="preserve"> (二) 磋商及承诺</w:t>
      </w:r>
    </w:p>
    <w:p w14:paraId="0A4B314D">
      <w:pPr>
        <w:spacing w:line="360" w:lineRule="auto"/>
        <w:ind w:firstLine="600" w:firstLineChars="25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1、磋商小组分别与通过了初步评审的供应商就其响应文件中的有关问题进行磋商；磋商结束后供应商须在磋商小组规定的时间内提交书面的磋商承诺书。</w:t>
      </w:r>
    </w:p>
    <w:p w14:paraId="49F227EF">
      <w:pPr>
        <w:spacing w:line="360" w:lineRule="auto"/>
        <w:ind w:firstLine="600" w:firstLineChars="25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在磋商中，磋商小组成员和与磋商活动有关的工作人员不得透露与磋商有关的其他供应商的资料、价格和其他信息。竞争性磋商文件有实质性变动的，磋商小组将以书面形式通知所有参加磋商的供应商，供应商代表应在书面通知上签字确认。</w:t>
      </w:r>
    </w:p>
    <w:p w14:paraId="494CC3C1">
      <w:pPr>
        <w:autoSpaceDE w:val="0"/>
        <w:autoSpaceDN w:val="0"/>
        <w:adjustRightInd w:val="0"/>
        <w:spacing w:line="360" w:lineRule="auto"/>
        <w:ind w:firstLine="482" w:firstLineChars="200"/>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 xml:space="preserve"> (三)综合评审（满分100分）</w:t>
      </w:r>
    </w:p>
    <w:p w14:paraId="0E4CBD10">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本次采购所采用的评审办法为中华人民共和国财政部令第87号《政府采购货物和服务招标投标管理办法》第五十五条规定的“综合评分法”，即：在最大限度地满足竞争性磋商文件实质性要求，且按照评审因素的量化指标评审得分最高的供应商为成交候选人的评审办法。</w:t>
      </w:r>
    </w:p>
    <w:p w14:paraId="6EA6F1E5">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（1）本次评审采用“综合评分法”，不保证低价者为成交人。</w:t>
      </w:r>
    </w:p>
    <w:p w14:paraId="04218D0A">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（2）磋商小组对通过初步评审阶段的供应商的技术部分和报价部分进行评审和比较，并量化打分。</w:t>
      </w:r>
    </w:p>
    <w:p w14:paraId="176204E9">
      <w:pPr>
        <w:pStyle w:val="13"/>
        <w:spacing w:line="360" w:lineRule="auto"/>
        <w:ind w:firstLine="48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（3）供应商的</w:t>
      </w:r>
      <w:r>
        <w:rPr>
          <w:rFonts w:hint="eastAsia" w:ascii="仿宋" w:hAnsi="仿宋" w:eastAsia="仿宋" w:cs="仿宋"/>
          <w:color w:val="auto"/>
          <w:szCs w:val="28"/>
          <w:highlight w:val="none"/>
        </w:rPr>
        <w:t>技术部分和报价部分</w:t>
      </w:r>
      <w:r>
        <w:rPr>
          <w:rFonts w:hint="eastAsia" w:ascii="仿宋" w:hAnsi="仿宋" w:eastAsia="仿宋" w:cs="仿宋"/>
          <w:bCs w:val="0"/>
          <w:color w:val="auto"/>
          <w:szCs w:val="28"/>
          <w:highlight w:val="none"/>
        </w:rPr>
        <w:t>得分为所有评委评分的算术平均值。</w:t>
      </w:r>
    </w:p>
    <w:p w14:paraId="7B17F545">
      <w:pPr>
        <w:pStyle w:val="13"/>
        <w:spacing w:line="360" w:lineRule="auto"/>
        <w:ind w:firstLine="48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（4）供应商最后得分为技术部分和报价部分得分的总和。</w:t>
      </w:r>
    </w:p>
    <w:p w14:paraId="469DD9BF">
      <w:pPr>
        <w:pStyle w:val="13"/>
        <w:spacing w:line="360" w:lineRule="auto"/>
        <w:ind w:firstLine="480" w:firstLineChars="200"/>
        <w:rPr>
          <w:rFonts w:ascii="仿宋" w:hAnsi="仿宋" w:eastAsia="仿宋" w:cs="仿宋"/>
          <w:bCs w:val="0"/>
          <w:color w:val="auto"/>
          <w:szCs w:val="28"/>
          <w:highlight w:val="none"/>
        </w:rPr>
      </w:pPr>
      <w:r>
        <w:rPr>
          <w:rFonts w:hint="eastAsia" w:ascii="仿宋" w:hAnsi="仿宋" w:eastAsia="仿宋" w:cs="仿宋"/>
          <w:bCs w:val="0"/>
          <w:color w:val="auto"/>
          <w:szCs w:val="28"/>
          <w:highlight w:val="none"/>
        </w:rPr>
        <w:t>（5）综合评分的满分为100分，其中技术部分为90分，报价部分为10分，分值保留小数点后两位。</w:t>
      </w:r>
    </w:p>
    <w:p w14:paraId="75F8127B">
      <w:pPr>
        <w:autoSpaceDE w:val="0"/>
        <w:autoSpaceDN w:val="0"/>
        <w:adjustRightInd w:val="0"/>
        <w:spacing w:line="360" w:lineRule="auto"/>
        <w:ind w:firstLine="482" w:firstLineChars="200"/>
        <w:rPr>
          <w:rFonts w:ascii="仿宋" w:hAnsi="仿宋" w:eastAsia="仿宋" w:cs="仿宋"/>
          <w:b/>
          <w:color w:val="auto"/>
          <w:sz w:val="24"/>
          <w:szCs w:val="28"/>
          <w:highlight w:val="none"/>
        </w:rPr>
      </w:pPr>
      <w:bookmarkStart w:id="289" w:name="_Toc351421835"/>
      <w:r>
        <w:rPr>
          <w:rFonts w:hint="eastAsia" w:ascii="仿宋" w:hAnsi="仿宋" w:eastAsia="仿宋" w:cs="仿宋"/>
          <w:b/>
          <w:color w:val="auto"/>
          <w:sz w:val="24"/>
          <w:szCs w:val="28"/>
          <w:highlight w:val="none"/>
        </w:rPr>
        <w:t>（四）成交推荐</w:t>
      </w:r>
      <w:bookmarkEnd w:id="289"/>
    </w:p>
    <w:p w14:paraId="0C24285E">
      <w:pPr>
        <w:spacing w:line="360" w:lineRule="auto"/>
        <w:ind w:firstLine="600" w:firstLineChars="25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磋商小组将根据评审后的评审总得分情况由高到低的顺序推荐1～3名成交候选供应商；符合《政府采购竞争性磋商采购方式管理暂行办法》（财库〔2014〕214号）第二十一条第三款规定的情形</w:t>
      </w:r>
      <w:r>
        <w:rPr>
          <w:rFonts w:hint="eastAsia" w:ascii="仿宋" w:hAnsi="仿宋" w:eastAsia="仿宋" w:cs="仿宋"/>
          <w:color w:val="auto"/>
          <w:sz w:val="24"/>
          <w:szCs w:val="28"/>
          <w:highlight w:val="none"/>
          <w:lang w:val="en-US" w:eastAsia="zh-CN"/>
        </w:rPr>
        <w:t>或</w:t>
      </w:r>
      <w:r>
        <w:rPr>
          <w:rFonts w:hint="eastAsia" w:ascii="仿宋" w:hAnsi="仿宋" w:eastAsia="仿宋" w:cs="仿宋"/>
          <w:color w:val="auto"/>
          <w:sz w:val="24"/>
          <w:szCs w:val="28"/>
          <w:highlight w:val="none"/>
        </w:rPr>
        <w:t>《财政部关于政府采购竞争性磋商采购方式管理暂行办法有关问题的补充通知》（财库〔2015〕124号）规定的情形，可以推荐1～2家成交候选供应商。评审得分相同的，按照最后报价由低到高的顺序推荐。评审得分且最后报价相同的，按照技术指标优劣顺序推荐，以此类推。</w:t>
      </w:r>
    </w:p>
    <w:p w14:paraId="049BA02F">
      <w:pPr>
        <w:autoSpaceDE w:val="0"/>
        <w:autoSpaceDN w:val="0"/>
        <w:adjustRightInd w:val="0"/>
        <w:spacing w:line="360" w:lineRule="auto"/>
        <w:ind w:firstLine="482" w:firstLineChars="200"/>
        <w:rPr>
          <w:rFonts w:ascii="仿宋" w:hAnsi="仿宋" w:eastAsia="仿宋" w:cs="仿宋"/>
          <w:b/>
          <w:color w:val="auto"/>
          <w:sz w:val="24"/>
          <w:szCs w:val="28"/>
          <w:highlight w:val="none"/>
        </w:rPr>
      </w:pPr>
      <w:bookmarkStart w:id="290" w:name="_Toc351421836"/>
      <w:r>
        <w:rPr>
          <w:rFonts w:hint="eastAsia" w:ascii="仿宋" w:hAnsi="仿宋" w:eastAsia="仿宋" w:cs="仿宋"/>
          <w:b/>
          <w:color w:val="auto"/>
          <w:sz w:val="24"/>
          <w:szCs w:val="28"/>
          <w:highlight w:val="none"/>
        </w:rPr>
        <w:t>（五）确定原则</w:t>
      </w:r>
    </w:p>
    <w:p w14:paraId="54847976">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评定成交的原则：响应文件能够全部满足竞争性磋商文件实质性要求且评审总得分最高。</w:t>
      </w:r>
    </w:p>
    <w:p w14:paraId="6CE45D4F">
      <w:pPr>
        <w:autoSpaceDE w:val="0"/>
        <w:autoSpaceDN w:val="0"/>
        <w:adjustRightInd w:val="0"/>
        <w:spacing w:line="360" w:lineRule="auto"/>
        <w:ind w:firstLine="482" w:firstLineChars="200"/>
        <w:rPr>
          <w:rFonts w:ascii="仿宋" w:hAnsi="仿宋" w:eastAsia="仿宋" w:cs="仿宋"/>
          <w:b/>
          <w:color w:val="auto"/>
          <w:sz w:val="24"/>
          <w:szCs w:val="28"/>
          <w:highlight w:val="none"/>
        </w:rPr>
      </w:pPr>
      <w:r>
        <w:rPr>
          <w:rFonts w:hint="eastAsia" w:ascii="仿宋" w:hAnsi="仿宋" w:eastAsia="仿宋" w:cs="仿宋"/>
          <w:b/>
          <w:color w:val="auto"/>
          <w:sz w:val="24"/>
          <w:szCs w:val="28"/>
          <w:highlight w:val="none"/>
        </w:rPr>
        <w:t>（六）评审报告</w:t>
      </w:r>
      <w:bookmarkEnd w:id="290"/>
    </w:p>
    <w:p w14:paraId="157F78E7">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1、磋商小组完成评审后，应当向采购人提出书面评审报告，并抄送有关行政监督部门。</w:t>
      </w:r>
    </w:p>
    <w:p w14:paraId="3EB8A265">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评审报告应由磋商小组全体成员签字。对评审结论有异议的磋商小组成员可以书面方式阐述其不同意见和理由。磋商小组成员拒绝在评审报告上签字且不以书面形式阐述其不同意见和理由的，视为同意评审结论，磋商小组应当对此做出书面说明并记录在案。</w:t>
      </w:r>
    </w:p>
    <w:p w14:paraId="74078B41">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3、向采购人提交书面评审报告后，磋商小组即告解散。评审过程中使用的文件、表格以及其他资料应当及时归还采购人。</w:t>
      </w:r>
    </w:p>
    <w:p w14:paraId="4812A3E6">
      <w:pPr>
        <w:autoSpaceDE w:val="0"/>
        <w:autoSpaceDN w:val="0"/>
        <w:adjustRightInd w:val="0"/>
        <w:spacing w:line="360" w:lineRule="auto"/>
        <w:ind w:firstLine="482" w:firstLineChars="200"/>
        <w:rPr>
          <w:rFonts w:hint="default" w:ascii="仿宋" w:hAnsi="仿宋" w:eastAsia="仿宋" w:cs="仿宋"/>
          <w:b/>
          <w:color w:val="auto"/>
          <w:sz w:val="24"/>
          <w:szCs w:val="28"/>
          <w:highlight w:val="none"/>
          <w:lang w:val="en-US" w:eastAsia="zh-CN"/>
        </w:rPr>
      </w:pPr>
      <w:r>
        <w:rPr>
          <w:rFonts w:hint="eastAsia" w:ascii="仿宋" w:hAnsi="仿宋" w:eastAsia="仿宋" w:cs="仿宋"/>
          <w:b/>
          <w:color w:val="auto"/>
          <w:sz w:val="24"/>
          <w:szCs w:val="28"/>
          <w:highlight w:val="none"/>
          <w:lang w:eastAsia="zh-CN"/>
        </w:rPr>
        <w:t>（</w:t>
      </w:r>
      <w:r>
        <w:rPr>
          <w:rFonts w:hint="eastAsia" w:ascii="仿宋" w:hAnsi="仿宋" w:eastAsia="仿宋" w:cs="仿宋"/>
          <w:b/>
          <w:color w:val="auto"/>
          <w:sz w:val="24"/>
          <w:szCs w:val="28"/>
          <w:highlight w:val="none"/>
          <w:lang w:val="en-US" w:eastAsia="zh-CN"/>
        </w:rPr>
        <w:t>七</w:t>
      </w:r>
      <w:r>
        <w:rPr>
          <w:rFonts w:hint="eastAsia" w:ascii="仿宋" w:hAnsi="仿宋" w:eastAsia="仿宋" w:cs="仿宋"/>
          <w:b/>
          <w:color w:val="auto"/>
          <w:sz w:val="24"/>
          <w:szCs w:val="28"/>
          <w:highlight w:val="none"/>
          <w:lang w:eastAsia="zh-CN"/>
        </w:rPr>
        <w:t>）</w:t>
      </w:r>
      <w:r>
        <w:rPr>
          <w:rFonts w:hint="eastAsia" w:ascii="仿宋" w:hAnsi="仿宋" w:eastAsia="仿宋" w:cs="仿宋"/>
          <w:b/>
          <w:color w:val="auto"/>
          <w:sz w:val="24"/>
          <w:szCs w:val="28"/>
          <w:highlight w:val="none"/>
          <w:lang w:val="en-US" w:eastAsia="zh-CN"/>
        </w:rPr>
        <w:t>其他</w:t>
      </w:r>
    </w:p>
    <w:p w14:paraId="11748284">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根据</w:t>
      </w:r>
      <w:r>
        <w:rPr>
          <w:rFonts w:hint="eastAsia" w:ascii="仿宋" w:hAnsi="仿宋" w:eastAsia="仿宋" w:cs="仿宋"/>
          <w:color w:val="auto"/>
          <w:sz w:val="24"/>
          <w:szCs w:val="28"/>
          <w:highlight w:val="none"/>
        </w:rPr>
        <w:t>《政府采购竞争性磋商采购方式管理暂行办法》（财库〔2014〕214号）第</w:t>
      </w:r>
      <w:r>
        <w:rPr>
          <w:rFonts w:hint="eastAsia" w:ascii="仿宋" w:hAnsi="仿宋" w:eastAsia="仿宋" w:cs="仿宋"/>
          <w:color w:val="auto"/>
          <w:sz w:val="24"/>
          <w:szCs w:val="28"/>
          <w:highlight w:val="none"/>
          <w:lang w:val="en-US" w:eastAsia="zh-CN"/>
        </w:rPr>
        <w:t>三</w:t>
      </w:r>
      <w:r>
        <w:rPr>
          <w:rFonts w:hint="eastAsia" w:ascii="仿宋" w:hAnsi="仿宋" w:eastAsia="仿宋" w:cs="仿宋"/>
          <w:color w:val="auto"/>
          <w:sz w:val="24"/>
          <w:szCs w:val="28"/>
          <w:highlight w:val="none"/>
        </w:rPr>
        <w:t>十</w:t>
      </w:r>
      <w:r>
        <w:rPr>
          <w:rFonts w:hint="eastAsia" w:ascii="仿宋" w:hAnsi="仿宋" w:eastAsia="仿宋" w:cs="仿宋"/>
          <w:color w:val="auto"/>
          <w:sz w:val="24"/>
          <w:szCs w:val="28"/>
          <w:highlight w:val="none"/>
          <w:lang w:val="en-US" w:eastAsia="zh-CN"/>
        </w:rPr>
        <w:t>二</w:t>
      </w:r>
      <w:r>
        <w:rPr>
          <w:rFonts w:hint="eastAsia" w:ascii="仿宋" w:hAnsi="仿宋" w:eastAsia="仿宋" w:cs="仿宋"/>
          <w:color w:val="auto"/>
          <w:sz w:val="24"/>
          <w:szCs w:val="28"/>
          <w:highlight w:val="none"/>
        </w:rPr>
        <w:t>条</w:t>
      </w:r>
      <w:r>
        <w:rPr>
          <w:rFonts w:hint="eastAsia" w:ascii="仿宋" w:hAnsi="仿宋" w:eastAsia="仿宋" w:cs="仿宋"/>
          <w:color w:val="auto"/>
          <w:sz w:val="24"/>
          <w:szCs w:val="28"/>
          <w:highlight w:val="none"/>
          <w:lang w:val="en-US" w:eastAsia="zh-CN"/>
        </w:rPr>
        <w:t xml:space="preserve">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 </w:t>
      </w:r>
    </w:p>
    <w:p w14:paraId="7921640E">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采购人或者采购代理机构不得通过对样品进行检测、对供应商进行考察等方式改变评审结果。</w:t>
      </w:r>
    </w:p>
    <w:sectPr>
      <w:footerReference r:id="rId11" w:type="default"/>
      <w:pgSz w:w="11906" w:h="16838"/>
      <w:pgMar w:top="1134" w:right="969" w:bottom="1134" w:left="969" w:header="851" w:footer="992" w:gutter="0"/>
      <w:pgNumType w:fmt="decimal"/>
      <w:cols w:space="708"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Syntax">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标准粗黑">
    <w:altName w:val="黑体"/>
    <w:panose1 w:val="02000503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4B25E">
    <w:pPr>
      <w:pStyle w:val="23"/>
      <w:framePr w:wrap="around" w:vAnchor="text" w:hAnchor="margin" w:xAlign="center" w:y="1"/>
      <w:rPr>
        <w:rStyle w:val="43"/>
      </w:rPr>
    </w:pPr>
    <w:r>
      <w:fldChar w:fldCharType="begin"/>
    </w:r>
    <w:r>
      <w:rPr>
        <w:rStyle w:val="43"/>
      </w:rPr>
      <w:instrText xml:space="preserve">PAGE  </w:instrText>
    </w:r>
    <w:r>
      <w:fldChar w:fldCharType="separate"/>
    </w:r>
    <w:r>
      <w:rPr>
        <w:rStyle w:val="43"/>
      </w:rPr>
      <w:t>1</w:t>
    </w:r>
    <w:r>
      <w:fldChar w:fldCharType="end"/>
    </w:r>
  </w:p>
  <w:p w14:paraId="40509D3F">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34581">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D5196">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7D5196">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919C2">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FECC3">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FFECC3">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57DA1">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397BA">
                          <w:pPr>
                            <w:pStyle w:val="2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C397BA">
                    <w:pPr>
                      <w:pStyle w:val="23"/>
                    </w:pPr>
                    <w:r>
                      <w:fldChar w:fldCharType="begin"/>
                    </w:r>
                    <w:r>
                      <w:instrText xml:space="preserve"> PAGE  \* MERGEFORMAT </w:instrText>
                    </w:r>
                    <w:r>
                      <w:fldChar w:fldCharType="separate"/>
                    </w:r>
                    <w:r>
                      <w:t>46</w:t>
                    </w:r>
                    <w:r>
                      <w:fldChar w:fldCharType="end"/>
                    </w:r>
                  </w:p>
                </w:txbxContent>
              </v:textbox>
            </v:shape>
          </w:pict>
        </mc:Fallback>
      </mc:AlternateContent>
    </w:r>
  </w:p>
  <w:p w14:paraId="4C84103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90020">
    <w:pPr>
      <w:pStyle w:val="23"/>
      <w:framePr w:wrap="around" w:vAnchor="text" w:hAnchor="margin" w:xAlign="right" w:y="1"/>
      <w:rPr>
        <w:rStyle w:val="43"/>
      </w:rPr>
    </w:pPr>
    <w:r>
      <w:fldChar w:fldCharType="begin"/>
    </w:r>
    <w:r>
      <w:rPr>
        <w:rStyle w:val="43"/>
      </w:rPr>
      <w:instrText xml:space="preserve">PAGE  </w:instrText>
    </w:r>
    <w:r>
      <w:fldChar w:fldCharType="separate"/>
    </w:r>
    <w:r>
      <w:fldChar w:fldCharType="end"/>
    </w:r>
  </w:p>
  <w:p w14:paraId="3A6E7124">
    <w:pPr>
      <w:pStyle w:val="2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920A5">
    <w:pPr>
      <w:pStyle w:val="2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44297">
                          <w:pPr>
                            <w:pStyle w:val="2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CC44297">
                    <w:pPr>
                      <w:pStyle w:val="23"/>
                    </w:pPr>
                    <w:r>
                      <w:fldChar w:fldCharType="begin"/>
                    </w:r>
                    <w:r>
                      <w:instrText xml:space="preserve"> PAGE  \* MERGEFORMAT </w:instrText>
                    </w:r>
                    <w:r>
                      <w:fldChar w:fldCharType="separate"/>
                    </w:r>
                    <w:r>
                      <w:t>70</w:t>
                    </w:r>
                    <w:r>
                      <w:fldChar w:fldCharType="end"/>
                    </w:r>
                  </w:p>
                </w:txbxContent>
              </v:textbox>
            </v:shape>
          </w:pict>
        </mc:Fallback>
      </mc:AlternateContent>
    </w:r>
  </w:p>
  <w:p w14:paraId="388EAC7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C3F2">
    <w:pPr>
      <w:pStyle w:val="24"/>
      <w:pBdr>
        <w:bottom w:val="none" w:color="auto" w:sz="0" w:space="0"/>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D42C5">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E6BC3">
    <w:pPr>
      <w:pStyle w:val="24"/>
      <w:pBdr>
        <w:bottom w:val="none" w:color="auto" w:sz="0" w:space="0"/>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8BB01"/>
    <w:multiLevelType w:val="singleLevel"/>
    <w:tmpl w:val="C268BB01"/>
    <w:lvl w:ilvl="0" w:tentative="0">
      <w:start w:val="1"/>
      <w:numFmt w:val="chineseCounting"/>
      <w:suff w:val="nothing"/>
      <w:lvlText w:val="（%1）"/>
      <w:lvlJc w:val="left"/>
      <w:rPr>
        <w:rFonts w:hint="eastAsia"/>
      </w:rPr>
    </w:lvl>
  </w:abstractNum>
  <w:abstractNum w:abstractNumId="1">
    <w:nsid w:val="C5762A97"/>
    <w:multiLevelType w:val="singleLevel"/>
    <w:tmpl w:val="C5762A97"/>
    <w:lvl w:ilvl="0" w:tentative="0">
      <w:start w:val="3"/>
      <w:numFmt w:val="decimal"/>
      <w:lvlText w:val="%1."/>
      <w:lvlJc w:val="left"/>
      <w:pPr>
        <w:tabs>
          <w:tab w:val="left" w:pos="312"/>
        </w:tabs>
      </w:pPr>
    </w:lvl>
  </w:abstractNum>
  <w:abstractNum w:abstractNumId="2">
    <w:nsid w:val="E64BD369"/>
    <w:multiLevelType w:val="singleLevel"/>
    <w:tmpl w:val="E64BD369"/>
    <w:lvl w:ilvl="0" w:tentative="0">
      <w:start w:val="1"/>
      <w:numFmt w:val="chineseCounting"/>
      <w:suff w:val="nothing"/>
      <w:lvlText w:val="（%1）"/>
      <w:lvlJc w:val="left"/>
      <w:rPr>
        <w:rFonts w:hint="eastAsia"/>
      </w:rPr>
    </w:lvl>
  </w:abstractNum>
  <w:abstractNum w:abstractNumId="3">
    <w:nsid w:val="FF61521E"/>
    <w:multiLevelType w:val="singleLevel"/>
    <w:tmpl w:val="FF61521E"/>
    <w:lvl w:ilvl="0" w:tentative="0">
      <w:start w:val="6"/>
      <w:numFmt w:val="chineseCounting"/>
      <w:suff w:val="space"/>
      <w:lvlText w:val="第%1章"/>
      <w:lvlJc w:val="left"/>
      <w:rPr>
        <w:rFonts w:hint="eastAsia"/>
      </w:rPr>
    </w:lvl>
  </w:abstractNum>
  <w:abstractNum w:abstractNumId="4">
    <w:nsid w:val="0025ACD4"/>
    <w:multiLevelType w:val="singleLevel"/>
    <w:tmpl w:val="0025ACD4"/>
    <w:lvl w:ilvl="0" w:tentative="0">
      <w:start w:val="3"/>
      <w:numFmt w:val="chineseCounting"/>
      <w:suff w:val="nothing"/>
      <w:lvlText w:val="%1、"/>
      <w:lvlJc w:val="left"/>
      <w:rPr>
        <w:rFonts w:hint="eastAsia"/>
      </w:rPr>
    </w:lvl>
  </w:abstractNum>
  <w:abstractNum w:abstractNumId="5">
    <w:nsid w:val="187C346A"/>
    <w:multiLevelType w:val="singleLevel"/>
    <w:tmpl w:val="187C346A"/>
    <w:lvl w:ilvl="0" w:tentative="0">
      <w:start w:val="3"/>
      <w:numFmt w:val="chineseCounting"/>
      <w:suff w:val="space"/>
      <w:lvlText w:val="第%1章"/>
      <w:lvlJc w:val="left"/>
      <w:rPr>
        <w:rFonts w:hint="eastAsia"/>
      </w:rPr>
    </w:lvl>
  </w:abstractNum>
  <w:abstractNum w:abstractNumId="6">
    <w:nsid w:val="22FC5390"/>
    <w:multiLevelType w:val="multilevel"/>
    <w:tmpl w:val="22FC5390"/>
    <w:lvl w:ilvl="0" w:tentative="0">
      <w:start w:val="1"/>
      <w:numFmt w:val="japaneseCounting"/>
      <w:lvlText w:val="第%1章"/>
      <w:lvlJc w:val="left"/>
      <w:pPr>
        <w:ind w:left="2410" w:firstLine="0"/>
      </w:pPr>
      <w:rPr>
        <w:rFonts w:hint="default" w:ascii="Times New Roman" w:hAnsi="Times New Roman" w:cs="Times New Roman"/>
        <w:b w:val="0"/>
        <w:bCs w:val="0"/>
        <w:i w:val="0"/>
        <w:iCs w:val="0"/>
        <w:caps w:val="0"/>
        <w:smallCaps w:val="0"/>
        <w:strike w:val="0"/>
        <w:dstrike w:val="0"/>
        <w:outline w:val="0"/>
        <w:shadow w:val="0"/>
        <w:snapToGrid w:val="0"/>
        <w:color w:val="000000"/>
        <w:spacing w:val="0"/>
        <w:w w:val="0"/>
        <w:kern w:val="0"/>
        <w:position w:val="0"/>
        <w:szCs w:val="16"/>
        <w:u w:val="none"/>
      </w:rPr>
    </w:lvl>
    <w:lvl w:ilvl="1" w:tentative="0">
      <w:start w:val="1"/>
      <w:numFmt w:val="chineseCountingThousand"/>
      <w:lvlText w:val="%2、"/>
      <w:lvlJc w:val="left"/>
      <w:pPr>
        <w:ind w:left="4679" w:firstLine="0"/>
      </w:pPr>
      <w:rPr>
        <w:rFonts w:ascii="Times New Roman" w:hAnsi="Times New Roman" w:cs="Times New Roman"/>
        <w:b w:val="0"/>
        <w:bCs w:val="0"/>
        <w:i w:val="0"/>
        <w:iCs w:val="0"/>
        <w:caps w:val="0"/>
        <w:smallCaps w:val="0"/>
        <w:strike w:val="0"/>
        <w:dstrike w:val="0"/>
        <w:outline w:val="0"/>
        <w:shadow w:val="0"/>
        <w:snapToGrid w:val="0"/>
        <w:color w:val="000000"/>
        <w:spacing w:val="0"/>
        <w:w w:val="0"/>
        <w:kern w:val="0"/>
        <w:position w:val="0"/>
        <w:szCs w:val="16"/>
        <w:u w:val="none"/>
      </w:rPr>
    </w:lvl>
    <w:lvl w:ilvl="2" w:tentative="0">
      <w:start w:val="1"/>
      <w:numFmt w:val="decimal"/>
      <w:isLgl/>
      <w:suff w:val="nothing"/>
      <w:lvlText w:val="%2.%3"/>
      <w:lvlJc w:val="left"/>
      <w:pPr>
        <w:ind w:left="0" w:firstLine="0"/>
      </w:pPr>
      <w:rPr>
        <w:rFonts w:hint="eastAsia"/>
      </w:rPr>
    </w:lvl>
    <w:lvl w:ilvl="3" w:tentative="0">
      <w:start w:val="1"/>
      <w:numFmt w:val="decimal"/>
      <w:isLgl/>
      <w:suff w:val="nothing"/>
      <w:lvlText w:val="%2.%3.%4"/>
      <w:lvlJc w:val="left"/>
      <w:pPr>
        <w:ind w:left="0" w:firstLine="0"/>
      </w:pPr>
      <w:rPr>
        <w:rFonts w:hint="eastAsia"/>
      </w:rPr>
    </w:lvl>
    <w:lvl w:ilvl="4" w:tentative="0">
      <w:start w:val="1"/>
      <w:numFmt w:val="decimal"/>
      <w:pStyle w:val="6"/>
      <w:isLgl/>
      <w:lvlText w:val="%2.%3.%4.%5"/>
      <w:lvlJc w:val="left"/>
      <w:pPr>
        <w:ind w:left="0" w:firstLine="0"/>
      </w:pPr>
      <w:rPr>
        <w:rFonts w:hint="eastAsia"/>
      </w:rPr>
    </w:lvl>
    <w:lvl w:ilvl="5" w:tentative="0">
      <w:start w:val="1"/>
      <w:numFmt w:val="decimal"/>
      <w:isLgl/>
      <w:lvlText w:val="%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29A8AE98"/>
    <w:multiLevelType w:val="singleLevel"/>
    <w:tmpl w:val="29A8AE98"/>
    <w:lvl w:ilvl="0" w:tentative="0">
      <w:start w:val="1"/>
      <w:numFmt w:val="chineseCounting"/>
      <w:suff w:val="space"/>
      <w:lvlText w:val="第%1章"/>
      <w:lvlJc w:val="left"/>
      <w:rPr>
        <w:rFonts w:hint="eastAsia"/>
      </w:rPr>
    </w:lvl>
  </w:abstractNum>
  <w:abstractNum w:abstractNumId="8">
    <w:nsid w:val="7075EEF9"/>
    <w:multiLevelType w:val="singleLevel"/>
    <w:tmpl w:val="7075EEF9"/>
    <w:lvl w:ilvl="0" w:tentative="0">
      <w:start w:val="2"/>
      <w:numFmt w:val="decimal"/>
      <w:suff w:val="nothing"/>
      <w:lvlText w:val="%1、"/>
      <w:lvlJc w:val="left"/>
      <w:pPr>
        <w:ind w:left="-62"/>
      </w:pPr>
    </w:lvl>
  </w:abstractNum>
  <w:abstractNum w:abstractNumId="9">
    <w:nsid w:val="71876459"/>
    <w:multiLevelType w:val="singleLevel"/>
    <w:tmpl w:val="71876459"/>
    <w:lvl w:ilvl="0" w:tentative="0">
      <w:start w:val="1"/>
      <w:numFmt w:val="decimal"/>
      <w:suff w:val="nothing"/>
      <w:lvlText w:val="（%1）"/>
      <w:lvlJc w:val="left"/>
    </w:lvl>
  </w:abstractNum>
  <w:abstractNum w:abstractNumId="10">
    <w:nsid w:val="75E33D82"/>
    <w:multiLevelType w:val="singleLevel"/>
    <w:tmpl w:val="75E33D82"/>
    <w:lvl w:ilvl="0" w:tentative="0">
      <w:start w:val="1"/>
      <w:numFmt w:val="decimal"/>
      <w:suff w:val="nothing"/>
      <w:lvlText w:val="%1、"/>
      <w:lvlJc w:val="left"/>
    </w:lvl>
  </w:abstractNum>
  <w:num w:numId="1">
    <w:abstractNumId w:val="6"/>
  </w:num>
  <w:num w:numId="2">
    <w:abstractNumId w:val="7"/>
  </w:num>
  <w:num w:numId="3">
    <w:abstractNumId w:val="2"/>
  </w:num>
  <w:num w:numId="4">
    <w:abstractNumId w:val="1"/>
  </w:num>
  <w:num w:numId="5">
    <w:abstractNumId w:val="0"/>
  </w:num>
  <w:num w:numId="6">
    <w:abstractNumId w:val="8"/>
  </w:num>
  <w:num w:numId="7">
    <w:abstractNumId w:val="5"/>
  </w:num>
  <w:num w:numId="8">
    <w:abstractNumId w:val="10"/>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mZjdmMjU1ZGRkYmMzMjg2MWUwM2M5MTJiNDcxMDQifQ=="/>
    <w:docVar w:name="DocumentID" w:val="{BF2AC2AF-FF04-4B1B-8076-FAF0B6FBB137}"/>
    <w:docVar w:name="DocumentName" w:val="全民保障工程2019年投资计划"/>
  </w:docVars>
  <w:rsids>
    <w:rsidRoot w:val="00172A27"/>
    <w:rsid w:val="000035CD"/>
    <w:rsid w:val="0000489A"/>
    <w:rsid w:val="000127B0"/>
    <w:rsid w:val="000151F1"/>
    <w:rsid w:val="00015EA5"/>
    <w:rsid w:val="000169D7"/>
    <w:rsid w:val="00024699"/>
    <w:rsid w:val="000246CD"/>
    <w:rsid w:val="00035309"/>
    <w:rsid w:val="00053FF9"/>
    <w:rsid w:val="00063BD6"/>
    <w:rsid w:val="00065FE9"/>
    <w:rsid w:val="00070BED"/>
    <w:rsid w:val="000767E1"/>
    <w:rsid w:val="00081E94"/>
    <w:rsid w:val="0008331B"/>
    <w:rsid w:val="000A040B"/>
    <w:rsid w:val="000B08E4"/>
    <w:rsid w:val="000B4C24"/>
    <w:rsid w:val="000C24C5"/>
    <w:rsid w:val="000D32F8"/>
    <w:rsid w:val="000D366A"/>
    <w:rsid w:val="000E2269"/>
    <w:rsid w:val="000E32DC"/>
    <w:rsid w:val="000E50AE"/>
    <w:rsid w:val="000F359E"/>
    <w:rsid w:val="000F4CE9"/>
    <w:rsid w:val="00113EDE"/>
    <w:rsid w:val="00120438"/>
    <w:rsid w:val="0015004B"/>
    <w:rsid w:val="00172A27"/>
    <w:rsid w:val="001753A8"/>
    <w:rsid w:val="00187056"/>
    <w:rsid w:val="001B27E6"/>
    <w:rsid w:val="001C354B"/>
    <w:rsid w:val="001C652C"/>
    <w:rsid w:val="001D0B3C"/>
    <w:rsid w:val="001F1C46"/>
    <w:rsid w:val="002018AD"/>
    <w:rsid w:val="002025F8"/>
    <w:rsid w:val="00204B62"/>
    <w:rsid w:val="002211B3"/>
    <w:rsid w:val="00223439"/>
    <w:rsid w:val="00234771"/>
    <w:rsid w:val="0024180D"/>
    <w:rsid w:val="00242BD8"/>
    <w:rsid w:val="0024391B"/>
    <w:rsid w:val="00270916"/>
    <w:rsid w:val="00272BCA"/>
    <w:rsid w:val="002761D4"/>
    <w:rsid w:val="00280D0D"/>
    <w:rsid w:val="00282935"/>
    <w:rsid w:val="002A0A83"/>
    <w:rsid w:val="002B06D1"/>
    <w:rsid w:val="002B2D4A"/>
    <w:rsid w:val="002B3402"/>
    <w:rsid w:val="002C0384"/>
    <w:rsid w:val="002C57B8"/>
    <w:rsid w:val="002C727E"/>
    <w:rsid w:val="002D2711"/>
    <w:rsid w:val="002D3871"/>
    <w:rsid w:val="002F05EB"/>
    <w:rsid w:val="002F212C"/>
    <w:rsid w:val="002F4FC1"/>
    <w:rsid w:val="00304334"/>
    <w:rsid w:val="0030601A"/>
    <w:rsid w:val="00326812"/>
    <w:rsid w:val="003308D1"/>
    <w:rsid w:val="00334565"/>
    <w:rsid w:val="00335C37"/>
    <w:rsid w:val="003428E1"/>
    <w:rsid w:val="00342A47"/>
    <w:rsid w:val="00345008"/>
    <w:rsid w:val="00363F05"/>
    <w:rsid w:val="00382B1C"/>
    <w:rsid w:val="003A1AA2"/>
    <w:rsid w:val="003A23F7"/>
    <w:rsid w:val="003A2A17"/>
    <w:rsid w:val="003D40DD"/>
    <w:rsid w:val="003D7C1F"/>
    <w:rsid w:val="003E32BA"/>
    <w:rsid w:val="0040125E"/>
    <w:rsid w:val="0040286E"/>
    <w:rsid w:val="00403DC9"/>
    <w:rsid w:val="00412348"/>
    <w:rsid w:val="00413456"/>
    <w:rsid w:val="00416F02"/>
    <w:rsid w:val="004216DE"/>
    <w:rsid w:val="00421A86"/>
    <w:rsid w:val="00423803"/>
    <w:rsid w:val="0042529A"/>
    <w:rsid w:val="00441A2E"/>
    <w:rsid w:val="00442B7C"/>
    <w:rsid w:val="0044711E"/>
    <w:rsid w:val="00450A2D"/>
    <w:rsid w:val="004541F3"/>
    <w:rsid w:val="00454F3C"/>
    <w:rsid w:val="00465572"/>
    <w:rsid w:val="004810B7"/>
    <w:rsid w:val="00481F93"/>
    <w:rsid w:val="00484C1E"/>
    <w:rsid w:val="00485229"/>
    <w:rsid w:val="00490DED"/>
    <w:rsid w:val="00492A15"/>
    <w:rsid w:val="004A2517"/>
    <w:rsid w:val="004A31A7"/>
    <w:rsid w:val="004B5196"/>
    <w:rsid w:val="004C2BC3"/>
    <w:rsid w:val="004C2F17"/>
    <w:rsid w:val="004D1A78"/>
    <w:rsid w:val="004D74F7"/>
    <w:rsid w:val="004E28F7"/>
    <w:rsid w:val="004E44F3"/>
    <w:rsid w:val="004E4A9C"/>
    <w:rsid w:val="004F562C"/>
    <w:rsid w:val="00504186"/>
    <w:rsid w:val="00510CAC"/>
    <w:rsid w:val="00511B61"/>
    <w:rsid w:val="005140FE"/>
    <w:rsid w:val="00515A9D"/>
    <w:rsid w:val="00522923"/>
    <w:rsid w:val="0053163A"/>
    <w:rsid w:val="005361A9"/>
    <w:rsid w:val="005470D1"/>
    <w:rsid w:val="005473AE"/>
    <w:rsid w:val="005505CA"/>
    <w:rsid w:val="00565DCE"/>
    <w:rsid w:val="00572184"/>
    <w:rsid w:val="00574259"/>
    <w:rsid w:val="005A0C3E"/>
    <w:rsid w:val="005B1981"/>
    <w:rsid w:val="005C1B94"/>
    <w:rsid w:val="005C4D8C"/>
    <w:rsid w:val="005D4F84"/>
    <w:rsid w:val="005E42D6"/>
    <w:rsid w:val="005E7D8E"/>
    <w:rsid w:val="005F4042"/>
    <w:rsid w:val="005F5045"/>
    <w:rsid w:val="0060377B"/>
    <w:rsid w:val="00604E39"/>
    <w:rsid w:val="006105A8"/>
    <w:rsid w:val="0061258D"/>
    <w:rsid w:val="00623C1D"/>
    <w:rsid w:val="0063716E"/>
    <w:rsid w:val="0064517D"/>
    <w:rsid w:val="00647534"/>
    <w:rsid w:val="006518DF"/>
    <w:rsid w:val="006556EE"/>
    <w:rsid w:val="006561ED"/>
    <w:rsid w:val="00666554"/>
    <w:rsid w:val="00670F54"/>
    <w:rsid w:val="00680B73"/>
    <w:rsid w:val="00684B87"/>
    <w:rsid w:val="00687F5A"/>
    <w:rsid w:val="006950F4"/>
    <w:rsid w:val="00695C53"/>
    <w:rsid w:val="006B0FF8"/>
    <w:rsid w:val="006B5631"/>
    <w:rsid w:val="006C1D16"/>
    <w:rsid w:val="006D20B0"/>
    <w:rsid w:val="006D2568"/>
    <w:rsid w:val="006D4E5F"/>
    <w:rsid w:val="006D7F26"/>
    <w:rsid w:val="006E3FD5"/>
    <w:rsid w:val="006F580E"/>
    <w:rsid w:val="006F6899"/>
    <w:rsid w:val="0070198F"/>
    <w:rsid w:val="00704F7F"/>
    <w:rsid w:val="007065C3"/>
    <w:rsid w:val="00706D50"/>
    <w:rsid w:val="007202E0"/>
    <w:rsid w:val="00732261"/>
    <w:rsid w:val="00732CDE"/>
    <w:rsid w:val="007424C8"/>
    <w:rsid w:val="00745662"/>
    <w:rsid w:val="00751DDA"/>
    <w:rsid w:val="007543E6"/>
    <w:rsid w:val="007545AC"/>
    <w:rsid w:val="00762B51"/>
    <w:rsid w:val="007648E6"/>
    <w:rsid w:val="00770283"/>
    <w:rsid w:val="0078776D"/>
    <w:rsid w:val="007A0450"/>
    <w:rsid w:val="007B12C2"/>
    <w:rsid w:val="007B3597"/>
    <w:rsid w:val="007B492B"/>
    <w:rsid w:val="007B5590"/>
    <w:rsid w:val="007C23C6"/>
    <w:rsid w:val="007C3515"/>
    <w:rsid w:val="007D0074"/>
    <w:rsid w:val="007D10C7"/>
    <w:rsid w:val="007D341F"/>
    <w:rsid w:val="007D3C6D"/>
    <w:rsid w:val="007D4350"/>
    <w:rsid w:val="007E23AB"/>
    <w:rsid w:val="007E6D5A"/>
    <w:rsid w:val="007F48BB"/>
    <w:rsid w:val="00806B6B"/>
    <w:rsid w:val="00813C80"/>
    <w:rsid w:val="0082186A"/>
    <w:rsid w:val="00835173"/>
    <w:rsid w:val="00836ED3"/>
    <w:rsid w:val="00845997"/>
    <w:rsid w:val="00855D78"/>
    <w:rsid w:val="008569C2"/>
    <w:rsid w:val="00865C53"/>
    <w:rsid w:val="008747A6"/>
    <w:rsid w:val="00877570"/>
    <w:rsid w:val="00882864"/>
    <w:rsid w:val="00886428"/>
    <w:rsid w:val="00890B64"/>
    <w:rsid w:val="008B2CB7"/>
    <w:rsid w:val="008B58B7"/>
    <w:rsid w:val="008E43AE"/>
    <w:rsid w:val="008E4F1B"/>
    <w:rsid w:val="008F0535"/>
    <w:rsid w:val="008F1D8F"/>
    <w:rsid w:val="008F68BE"/>
    <w:rsid w:val="00900CE1"/>
    <w:rsid w:val="00907987"/>
    <w:rsid w:val="0091006F"/>
    <w:rsid w:val="0091150E"/>
    <w:rsid w:val="00911CDF"/>
    <w:rsid w:val="0092069C"/>
    <w:rsid w:val="00927516"/>
    <w:rsid w:val="00933295"/>
    <w:rsid w:val="00944B70"/>
    <w:rsid w:val="00947944"/>
    <w:rsid w:val="0095202C"/>
    <w:rsid w:val="0095372F"/>
    <w:rsid w:val="0096026B"/>
    <w:rsid w:val="009672F6"/>
    <w:rsid w:val="00975F85"/>
    <w:rsid w:val="009859DF"/>
    <w:rsid w:val="009A29BB"/>
    <w:rsid w:val="009A332B"/>
    <w:rsid w:val="009A3A09"/>
    <w:rsid w:val="009A4D1B"/>
    <w:rsid w:val="009B0078"/>
    <w:rsid w:val="009B1037"/>
    <w:rsid w:val="009B141C"/>
    <w:rsid w:val="009B2920"/>
    <w:rsid w:val="009B7CC9"/>
    <w:rsid w:val="009C1F60"/>
    <w:rsid w:val="009F0168"/>
    <w:rsid w:val="00A019F5"/>
    <w:rsid w:val="00A04480"/>
    <w:rsid w:val="00A10B31"/>
    <w:rsid w:val="00A20F5D"/>
    <w:rsid w:val="00A23C30"/>
    <w:rsid w:val="00A311A8"/>
    <w:rsid w:val="00A34282"/>
    <w:rsid w:val="00A34805"/>
    <w:rsid w:val="00A40BFA"/>
    <w:rsid w:val="00A53C9E"/>
    <w:rsid w:val="00A62389"/>
    <w:rsid w:val="00A6332F"/>
    <w:rsid w:val="00A66588"/>
    <w:rsid w:val="00A808E4"/>
    <w:rsid w:val="00A82E72"/>
    <w:rsid w:val="00A85C7E"/>
    <w:rsid w:val="00A92C4A"/>
    <w:rsid w:val="00A94FED"/>
    <w:rsid w:val="00A95671"/>
    <w:rsid w:val="00AA0781"/>
    <w:rsid w:val="00AA4849"/>
    <w:rsid w:val="00AA679E"/>
    <w:rsid w:val="00AA7698"/>
    <w:rsid w:val="00AA7A10"/>
    <w:rsid w:val="00AB5C66"/>
    <w:rsid w:val="00AC10AA"/>
    <w:rsid w:val="00AC39A9"/>
    <w:rsid w:val="00AC796E"/>
    <w:rsid w:val="00AE00AE"/>
    <w:rsid w:val="00AF5B51"/>
    <w:rsid w:val="00B0453D"/>
    <w:rsid w:val="00B155FA"/>
    <w:rsid w:val="00B47263"/>
    <w:rsid w:val="00B50442"/>
    <w:rsid w:val="00B5429D"/>
    <w:rsid w:val="00B74024"/>
    <w:rsid w:val="00B740E8"/>
    <w:rsid w:val="00B816E0"/>
    <w:rsid w:val="00B81BC2"/>
    <w:rsid w:val="00B873AE"/>
    <w:rsid w:val="00B95ADD"/>
    <w:rsid w:val="00BA2D41"/>
    <w:rsid w:val="00BC1121"/>
    <w:rsid w:val="00BC64E7"/>
    <w:rsid w:val="00BD009D"/>
    <w:rsid w:val="00BD6FA3"/>
    <w:rsid w:val="00BE3574"/>
    <w:rsid w:val="00BE574C"/>
    <w:rsid w:val="00BF763D"/>
    <w:rsid w:val="00C05159"/>
    <w:rsid w:val="00C1448F"/>
    <w:rsid w:val="00C326E0"/>
    <w:rsid w:val="00C3639E"/>
    <w:rsid w:val="00C37499"/>
    <w:rsid w:val="00C42C37"/>
    <w:rsid w:val="00C45A1B"/>
    <w:rsid w:val="00C45F2A"/>
    <w:rsid w:val="00C5001B"/>
    <w:rsid w:val="00C5295E"/>
    <w:rsid w:val="00C52B78"/>
    <w:rsid w:val="00C62C88"/>
    <w:rsid w:val="00C72242"/>
    <w:rsid w:val="00C753B3"/>
    <w:rsid w:val="00C90BCD"/>
    <w:rsid w:val="00C93256"/>
    <w:rsid w:val="00C9389A"/>
    <w:rsid w:val="00CC71DE"/>
    <w:rsid w:val="00CD7ADE"/>
    <w:rsid w:val="00CE46C7"/>
    <w:rsid w:val="00CF08CC"/>
    <w:rsid w:val="00CF18CB"/>
    <w:rsid w:val="00CF2A4A"/>
    <w:rsid w:val="00CF6F85"/>
    <w:rsid w:val="00D03FE0"/>
    <w:rsid w:val="00D112F2"/>
    <w:rsid w:val="00D22599"/>
    <w:rsid w:val="00D27F6B"/>
    <w:rsid w:val="00D310E0"/>
    <w:rsid w:val="00D35EDD"/>
    <w:rsid w:val="00D42AC4"/>
    <w:rsid w:val="00D509DB"/>
    <w:rsid w:val="00D566EC"/>
    <w:rsid w:val="00D5765D"/>
    <w:rsid w:val="00D62642"/>
    <w:rsid w:val="00D67F07"/>
    <w:rsid w:val="00D76117"/>
    <w:rsid w:val="00D80C25"/>
    <w:rsid w:val="00D869D2"/>
    <w:rsid w:val="00D9310E"/>
    <w:rsid w:val="00D96229"/>
    <w:rsid w:val="00DA0A69"/>
    <w:rsid w:val="00DA206B"/>
    <w:rsid w:val="00DB3ED0"/>
    <w:rsid w:val="00DB4FA7"/>
    <w:rsid w:val="00DB511B"/>
    <w:rsid w:val="00DB5B94"/>
    <w:rsid w:val="00DB7BAF"/>
    <w:rsid w:val="00DC6B6A"/>
    <w:rsid w:val="00DD780C"/>
    <w:rsid w:val="00DE2E8F"/>
    <w:rsid w:val="00DE72B2"/>
    <w:rsid w:val="00DF6831"/>
    <w:rsid w:val="00E010A1"/>
    <w:rsid w:val="00E25A2F"/>
    <w:rsid w:val="00E2743F"/>
    <w:rsid w:val="00E30A06"/>
    <w:rsid w:val="00E31898"/>
    <w:rsid w:val="00E33AD0"/>
    <w:rsid w:val="00E34279"/>
    <w:rsid w:val="00E361D0"/>
    <w:rsid w:val="00E4478D"/>
    <w:rsid w:val="00E44A63"/>
    <w:rsid w:val="00E52826"/>
    <w:rsid w:val="00E56321"/>
    <w:rsid w:val="00E62BD3"/>
    <w:rsid w:val="00E72B84"/>
    <w:rsid w:val="00E8112F"/>
    <w:rsid w:val="00E950D7"/>
    <w:rsid w:val="00EA13C8"/>
    <w:rsid w:val="00EA233A"/>
    <w:rsid w:val="00EA59F0"/>
    <w:rsid w:val="00EA5F42"/>
    <w:rsid w:val="00EB7CD3"/>
    <w:rsid w:val="00EC0557"/>
    <w:rsid w:val="00EC3DBB"/>
    <w:rsid w:val="00EC61E7"/>
    <w:rsid w:val="00EC6410"/>
    <w:rsid w:val="00EE4B2A"/>
    <w:rsid w:val="00EE5EB0"/>
    <w:rsid w:val="00EF2C82"/>
    <w:rsid w:val="00EF358A"/>
    <w:rsid w:val="00F06723"/>
    <w:rsid w:val="00F07F4D"/>
    <w:rsid w:val="00F10523"/>
    <w:rsid w:val="00F10A54"/>
    <w:rsid w:val="00F10E74"/>
    <w:rsid w:val="00F1484E"/>
    <w:rsid w:val="00F237A8"/>
    <w:rsid w:val="00F25137"/>
    <w:rsid w:val="00F454EF"/>
    <w:rsid w:val="00F60B89"/>
    <w:rsid w:val="00F63CC5"/>
    <w:rsid w:val="00F63DF4"/>
    <w:rsid w:val="00F71B42"/>
    <w:rsid w:val="00F7348F"/>
    <w:rsid w:val="00F747F7"/>
    <w:rsid w:val="00F75475"/>
    <w:rsid w:val="00F82B84"/>
    <w:rsid w:val="00F8470D"/>
    <w:rsid w:val="00F87037"/>
    <w:rsid w:val="00F95083"/>
    <w:rsid w:val="00FA00A3"/>
    <w:rsid w:val="00FA0968"/>
    <w:rsid w:val="00FA611F"/>
    <w:rsid w:val="00FC2809"/>
    <w:rsid w:val="00FC52D1"/>
    <w:rsid w:val="00FD05B1"/>
    <w:rsid w:val="00FD0CF2"/>
    <w:rsid w:val="00FD5A44"/>
    <w:rsid w:val="00FE0A07"/>
    <w:rsid w:val="00FE106F"/>
    <w:rsid w:val="00FE71B9"/>
    <w:rsid w:val="00FF76A7"/>
    <w:rsid w:val="01041940"/>
    <w:rsid w:val="010D6CD9"/>
    <w:rsid w:val="011002F2"/>
    <w:rsid w:val="01213882"/>
    <w:rsid w:val="012D6BDD"/>
    <w:rsid w:val="013E7D14"/>
    <w:rsid w:val="013F08A5"/>
    <w:rsid w:val="01470C25"/>
    <w:rsid w:val="015A0F95"/>
    <w:rsid w:val="0165773B"/>
    <w:rsid w:val="016C0E3B"/>
    <w:rsid w:val="017C37AB"/>
    <w:rsid w:val="01861B4D"/>
    <w:rsid w:val="019D651A"/>
    <w:rsid w:val="01A448FD"/>
    <w:rsid w:val="01C26412"/>
    <w:rsid w:val="01CA294A"/>
    <w:rsid w:val="01CF265D"/>
    <w:rsid w:val="01E033FC"/>
    <w:rsid w:val="01FA6F86"/>
    <w:rsid w:val="021C000A"/>
    <w:rsid w:val="021E0C67"/>
    <w:rsid w:val="022473B9"/>
    <w:rsid w:val="023F5A6E"/>
    <w:rsid w:val="024C21D7"/>
    <w:rsid w:val="0261487E"/>
    <w:rsid w:val="02671768"/>
    <w:rsid w:val="0273635F"/>
    <w:rsid w:val="027B303E"/>
    <w:rsid w:val="028B5D9C"/>
    <w:rsid w:val="0298429E"/>
    <w:rsid w:val="02A91D55"/>
    <w:rsid w:val="02AF427E"/>
    <w:rsid w:val="02B06C5B"/>
    <w:rsid w:val="02F36647"/>
    <w:rsid w:val="032F4DD6"/>
    <w:rsid w:val="03424B83"/>
    <w:rsid w:val="034A6BF5"/>
    <w:rsid w:val="03603A1B"/>
    <w:rsid w:val="036453DA"/>
    <w:rsid w:val="036462F5"/>
    <w:rsid w:val="036C6EDC"/>
    <w:rsid w:val="036F0B02"/>
    <w:rsid w:val="03813790"/>
    <w:rsid w:val="03887FFB"/>
    <w:rsid w:val="039E47C9"/>
    <w:rsid w:val="03AA1D96"/>
    <w:rsid w:val="03B813D4"/>
    <w:rsid w:val="03CA066F"/>
    <w:rsid w:val="03DD5837"/>
    <w:rsid w:val="03DF70E9"/>
    <w:rsid w:val="03E97D05"/>
    <w:rsid w:val="03F076CA"/>
    <w:rsid w:val="03F86A69"/>
    <w:rsid w:val="040A2CF3"/>
    <w:rsid w:val="041A39F9"/>
    <w:rsid w:val="041B1530"/>
    <w:rsid w:val="043C2E78"/>
    <w:rsid w:val="044A6779"/>
    <w:rsid w:val="044F0706"/>
    <w:rsid w:val="04695C6C"/>
    <w:rsid w:val="04697787"/>
    <w:rsid w:val="046D54C3"/>
    <w:rsid w:val="046F4205"/>
    <w:rsid w:val="047F0FEB"/>
    <w:rsid w:val="049063E5"/>
    <w:rsid w:val="04B5177C"/>
    <w:rsid w:val="04D2381E"/>
    <w:rsid w:val="04DA0918"/>
    <w:rsid w:val="04DE5A65"/>
    <w:rsid w:val="04F0179C"/>
    <w:rsid w:val="04FF253C"/>
    <w:rsid w:val="05014818"/>
    <w:rsid w:val="05026450"/>
    <w:rsid w:val="050B1714"/>
    <w:rsid w:val="05276029"/>
    <w:rsid w:val="05366DAA"/>
    <w:rsid w:val="053A42B3"/>
    <w:rsid w:val="054A6E5B"/>
    <w:rsid w:val="054F571B"/>
    <w:rsid w:val="055E0B01"/>
    <w:rsid w:val="055E32F7"/>
    <w:rsid w:val="0575460E"/>
    <w:rsid w:val="05781370"/>
    <w:rsid w:val="0579772B"/>
    <w:rsid w:val="058B1B02"/>
    <w:rsid w:val="058F6812"/>
    <w:rsid w:val="059D6B3A"/>
    <w:rsid w:val="05AA11F0"/>
    <w:rsid w:val="05AA3272"/>
    <w:rsid w:val="05E01F5E"/>
    <w:rsid w:val="05E7593B"/>
    <w:rsid w:val="05E813A9"/>
    <w:rsid w:val="05F95522"/>
    <w:rsid w:val="05FB31E3"/>
    <w:rsid w:val="061439B5"/>
    <w:rsid w:val="06367DD0"/>
    <w:rsid w:val="06660267"/>
    <w:rsid w:val="06B93E61"/>
    <w:rsid w:val="06D1633E"/>
    <w:rsid w:val="06D5791F"/>
    <w:rsid w:val="06E31D05"/>
    <w:rsid w:val="06F305AF"/>
    <w:rsid w:val="06F50911"/>
    <w:rsid w:val="07100621"/>
    <w:rsid w:val="07122BB3"/>
    <w:rsid w:val="0727428F"/>
    <w:rsid w:val="07477BB2"/>
    <w:rsid w:val="07547F69"/>
    <w:rsid w:val="0768220B"/>
    <w:rsid w:val="07786860"/>
    <w:rsid w:val="0780062B"/>
    <w:rsid w:val="07904367"/>
    <w:rsid w:val="07907E41"/>
    <w:rsid w:val="079D1C7F"/>
    <w:rsid w:val="07AC67D7"/>
    <w:rsid w:val="07B335F3"/>
    <w:rsid w:val="07BA2E3A"/>
    <w:rsid w:val="07D83198"/>
    <w:rsid w:val="07F108C8"/>
    <w:rsid w:val="07F66B79"/>
    <w:rsid w:val="07FD4141"/>
    <w:rsid w:val="08035237"/>
    <w:rsid w:val="080746E7"/>
    <w:rsid w:val="080A515C"/>
    <w:rsid w:val="081D6640"/>
    <w:rsid w:val="08271360"/>
    <w:rsid w:val="0827578D"/>
    <w:rsid w:val="08494104"/>
    <w:rsid w:val="086A261E"/>
    <w:rsid w:val="08872B64"/>
    <w:rsid w:val="08AA43B1"/>
    <w:rsid w:val="08B03E69"/>
    <w:rsid w:val="08B64B4E"/>
    <w:rsid w:val="08C7015A"/>
    <w:rsid w:val="08E45B7A"/>
    <w:rsid w:val="09091254"/>
    <w:rsid w:val="091E1A42"/>
    <w:rsid w:val="09223AEB"/>
    <w:rsid w:val="092368F4"/>
    <w:rsid w:val="09263ACA"/>
    <w:rsid w:val="0927629A"/>
    <w:rsid w:val="092B5908"/>
    <w:rsid w:val="0962170C"/>
    <w:rsid w:val="09B02D0A"/>
    <w:rsid w:val="09B63CBE"/>
    <w:rsid w:val="09B77C11"/>
    <w:rsid w:val="09C82C80"/>
    <w:rsid w:val="0A30364A"/>
    <w:rsid w:val="0A554CDA"/>
    <w:rsid w:val="0A63701C"/>
    <w:rsid w:val="0A647B87"/>
    <w:rsid w:val="0A8402B4"/>
    <w:rsid w:val="0A8A2572"/>
    <w:rsid w:val="0A904531"/>
    <w:rsid w:val="0A9F4BEA"/>
    <w:rsid w:val="0AD12477"/>
    <w:rsid w:val="0AD7523D"/>
    <w:rsid w:val="0ADB12D2"/>
    <w:rsid w:val="0AE702C9"/>
    <w:rsid w:val="0AEE71BE"/>
    <w:rsid w:val="0AFD1343"/>
    <w:rsid w:val="0B3F1FB8"/>
    <w:rsid w:val="0B4F509A"/>
    <w:rsid w:val="0B573446"/>
    <w:rsid w:val="0B735CE8"/>
    <w:rsid w:val="0B741B82"/>
    <w:rsid w:val="0B7C44D7"/>
    <w:rsid w:val="0B7F592E"/>
    <w:rsid w:val="0B995089"/>
    <w:rsid w:val="0BB5420F"/>
    <w:rsid w:val="0BBE434D"/>
    <w:rsid w:val="0BC2562A"/>
    <w:rsid w:val="0BDE1821"/>
    <w:rsid w:val="0C105AAC"/>
    <w:rsid w:val="0C234499"/>
    <w:rsid w:val="0C3960CE"/>
    <w:rsid w:val="0C3B05CB"/>
    <w:rsid w:val="0C3C59F7"/>
    <w:rsid w:val="0C6311F3"/>
    <w:rsid w:val="0C673F65"/>
    <w:rsid w:val="0C6C1E87"/>
    <w:rsid w:val="0C747569"/>
    <w:rsid w:val="0C750269"/>
    <w:rsid w:val="0C94611B"/>
    <w:rsid w:val="0CA7526D"/>
    <w:rsid w:val="0CBF6839"/>
    <w:rsid w:val="0CC041A5"/>
    <w:rsid w:val="0CC7352F"/>
    <w:rsid w:val="0CCB72E9"/>
    <w:rsid w:val="0CCD5CC2"/>
    <w:rsid w:val="0CD42DEA"/>
    <w:rsid w:val="0CE66427"/>
    <w:rsid w:val="0D002EE5"/>
    <w:rsid w:val="0D097F8D"/>
    <w:rsid w:val="0D205C75"/>
    <w:rsid w:val="0D266C38"/>
    <w:rsid w:val="0D451EBC"/>
    <w:rsid w:val="0D635B8F"/>
    <w:rsid w:val="0D655906"/>
    <w:rsid w:val="0D6D1FE4"/>
    <w:rsid w:val="0D814A6C"/>
    <w:rsid w:val="0DA631BA"/>
    <w:rsid w:val="0DB6446C"/>
    <w:rsid w:val="0DDE4FF7"/>
    <w:rsid w:val="0DE557D0"/>
    <w:rsid w:val="0DFA5646"/>
    <w:rsid w:val="0E11723F"/>
    <w:rsid w:val="0E1E5377"/>
    <w:rsid w:val="0E2C695F"/>
    <w:rsid w:val="0E32043A"/>
    <w:rsid w:val="0E3B1998"/>
    <w:rsid w:val="0E404303"/>
    <w:rsid w:val="0E54366A"/>
    <w:rsid w:val="0E73430E"/>
    <w:rsid w:val="0E781F81"/>
    <w:rsid w:val="0E985251"/>
    <w:rsid w:val="0EAF1DAA"/>
    <w:rsid w:val="0EBF4C8A"/>
    <w:rsid w:val="0EC5420A"/>
    <w:rsid w:val="0EC95AAB"/>
    <w:rsid w:val="0ED10EEE"/>
    <w:rsid w:val="0EE43093"/>
    <w:rsid w:val="0EEB73BB"/>
    <w:rsid w:val="0EED626F"/>
    <w:rsid w:val="0EFA2408"/>
    <w:rsid w:val="0F1B7B63"/>
    <w:rsid w:val="0F1E54AC"/>
    <w:rsid w:val="0F507ADC"/>
    <w:rsid w:val="0F644323"/>
    <w:rsid w:val="0F6C3DDD"/>
    <w:rsid w:val="0F7367B1"/>
    <w:rsid w:val="0F7D0BDA"/>
    <w:rsid w:val="0FA649E0"/>
    <w:rsid w:val="0FAA6DAA"/>
    <w:rsid w:val="0FC67E1D"/>
    <w:rsid w:val="101D7923"/>
    <w:rsid w:val="10311C69"/>
    <w:rsid w:val="10470641"/>
    <w:rsid w:val="104906FF"/>
    <w:rsid w:val="10613C9B"/>
    <w:rsid w:val="10706BA8"/>
    <w:rsid w:val="107D2599"/>
    <w:rsid w:val="109636C2"/>
    <w:rsid w:val="10C41371"/>
    <w:rsid w:val="10D33FBF"/>
    <w:rsid w:val="10EB48C5"/>
    <w:rsid w:val="10FC7E13"/>
    <w:rsid w:val="1108464E"/>
    <w:rsid w:val="11374304"/>
    <w:rsid w:val="11421A4D"/>
    <w:rsid w:val="116D6901"/>
    <w:rsid w:val="1172245C"/>
    <w:rsid w:val="117D1167"/>
    <w:rsid w:val="117F262B"/>
    <w:rsid w:val="118834E8"/>
    <w:rsid w:val="118C2F9A"/>
    <w:rsid w:val="119C2F7C"/>
    <w:rsid w:val="119D432C"/>
    <w:rsid w:val="11A93701"/>
    <w:rsid w:val="11BE0EB2"/>
    <w:rsid w:val="11C75445"/>
    <w:rsid w:val="11D0732A"/>
    <w:rsid w:val="11E3705D"/>
    <w:rsid w:val="11F3449B"/>
    <w:rsid w:val="11F429DD"/>
    <w:rsid w:val="11F62E00"/>
    <w:rsid w:val="12093827"/>
    <w:rsid w:val="12122879"/>
    <w:rsid w:val="123F72E0"/>
    <w:rsid w:val="124D3B8B"/>
    <w:rsid w:val="124E1BA1"/>
    <w:rsid w:val="12564CA6"/>
    <w:rsid w:val="12597320"/>
    <w:rsid w:val="125B1DFA"/>
    <w:rsid w:val="125D5396"/>
    <w:rsid w:val="12706417"/>
    <w:rsid w:val="12780EEF"/>
    <w:rsid w:val="12943447"/>
    <w:rsid w:val="12A31234"/>
    <w:rsid w:val="12B96F74"/>
    <w:rsid w:val="12DC3AAD"/>
    <w:rsid w:val="130146C0"/>
    <w:rsid w:val="1338448C"/>
    <w:rsid w:val="133A752B"/>
    <w:rsid w:val="133D24C5"/>
    <w:rsid w:val="13415181"/>
    <w:rsid w:val="135B0E94"/>
    <w:rsid w:val="138B2D31"/>
    <w:rsid w:val="138C544B"/>
    <w:rsid w:val="13A547A9"/>
    <w:rsid w:val="13A63DCC"/>
    <w:rsid w:val="13B228F3"/>
    <w:rsid w:val="13B60B78"/>
    <w:rsid w:val="13BA1E92"/>
    <w:rsid w:val="13E34549"/>
    <w:rsid w:val="13F5148F"/>
    <w:rsid w:val="140413BE"/>
    <w:rsid w:val="14074B03"/>
    <w:rsid w:val="14240F24"/>
    <w:rsid w:val="143812D9"/>
    <w:rsid w:val="14686756"/>
    <w:rsid w:val="14791757"/>
    <w:rsid w:val="147B3A43"/>
    <w:rsid w:val="149D3DF2"/>
    <w:rsid w:val="14B609D1"/>
    <w:rsid w:val="14B91F77"/>
    <w:rsid w:val="14CD0579"/>
    <w:rsid w:val="14CE408B"/>
    <w:rsid w:val="14F1231A"/>
    <w:rsid w:val="15003791"/>
    <w:rsid w:val="151A724E"/>
    <w:rsid w:val="151F47C7"/>
    <w:rsid w:val="153D6E24"/>
    <w:rsid w:val="15527643"/>
    <w:rsid w:val="15631114"/>
    <w:rsid w:val="1569700E"/>
    <w:rsid w:val="158C291A"/>
    <w:rsid w:val="159432D2"/>
    <w:rsid w:val="15A33491"/>
    <w:rsid w:val="15A804D0"/>
    <w:rsid w:val="15A81B38"/>
    <w:rsid w:val="15C04015"/>
    <w:rsid w:val="15CF38E8"/>
    <w:rsid w:val="15D52D9F"/>
    <w:rsid w:val="15E11B06"/>
    <w:rsid w:val="15EC4D69"/>
    <w:rsid w:val="15EF71D0"/>
    <w:rsid w:val="160D4E83"/>
    <w:rsid w:val="16143D1A"/>
    <w:rsid w:val="161A3ECE"/>
    <w:rsid w:val="16293ED4"/>
    <w:rsid w:val="16550E36"/>
    <w:rsid w:val="166D095A"/>
    <w:rsid w:val="166E4A7F"/>
    <w:rsid w:val="166E5422"/>
    <w:rsid w:val="166E7BB2"/>
    <w:rsid w:val="167F45A2"/>
    <w:rsid w:val="16874B8A"/>
    <w:rsid w:val="169A1E91"/>
    <w:rsid w:val="169E2225"/>
    <w:rsid w:val="16B8611C"/>
    <w:rsid w:val="16CA4869"/>
    <w:rsid w:val="16D032AF"/>
    <w:rsid w:val="16D14945"/>
    <w:rsid w:val="16D3136B"/>
    <w:rsid w:val="16EA0BE9"/>
    <w:rsid w:val="16FE72AF"/>
    <w:rsid w:val="170E7E8F"/>
    <w:rsid w:val="170F0AB5"/>
    <w:rsid w:val="172D20C7"/>
    <w:rsid w:val="172F3FDF"/>
    <w:rsid w:val="175360F3"/>
    <w:rsid w:val="17666AB9"/>
    <w:rsid w:val="17B165B8"/>
    <w:rsid w:val="17D708A5"/>
    <w:rsid w:val="183A54FD"/>
    <w:rsid w:val="183C433F"/>
    <w:rsid w:val="185514F2"/>
    <w:rsid w:val="1857482C"/>
    <w:rsid w:val="18597894"/>
    <w:rsid w:val="186E0F4C"/>
    <w:rsid w:val="186F0B10"/>
    <w:rsid w:val="18716D3D"/>
    <w:rsid w:val="188F4289"/>
    <w:rsid w:val="189F1AB1"/>
    <w:rsid w:val="189F4B30"/>
    <w:rsid w:val="18A759E8"/>
    <w:rsid w:val="18C00D9E"/>
    <w:rsid w:val="18CD0170"/>
    <w:rsid w:val="18CE4A23"/>
    <w:rsid w:val="18D206BE"/>
    <w:rsid w:val="18E65685"/>
    <w:rsid w:val="18FA151E"/>
    <w:rsid w:val="18FA280D"/>
    <w:rsid w:val="19065F1B"/>
    <w:rsid w:val="191B4677"/>
    <w:rsid w:val="19481BA6"/>
    <w:rsid w:val="19490B99"/>
    <w:rsid w:val="194D1260"/>
    <w:rsid w:val="197F1BF5"/>
    <w:rsid w:val="19803EBC"/>
    <w:rsid w:val="198F4486"/>
    <w:rsid w:val="199155F1"/>
    <w:rsid w:val="19922D2F"/>
    <w:rsid w:val="199D041B"/>
    <w:rsid w:val="19B06C53"/>
    <w:rsid w:val="19C57151"/>
    <w:rsid w:val="19C82A71"/>
    <w:rsid w:val="19EF2318"/>
    <w:rsid w:val="1A0C1D23"/>
    <w:rsid w:val="1A495BF7"/>
    <w:rsid w:val="1A555CDB"/>
    <w:rsid w:val="1A5605E9"/>
    <w:rsid w:val="1A7F20C6"/>
    <w:rsid w:val="1A8E1B30"/>
    <w:rsid w:val="1AA650CC"/>
    <w:rsid w:val="1AD91346"/>
    <w:rsid w:val="1AF076CF"/>
    <w:rsid w:val="1AF93C94"/>
    <w:rsid w:val="1B161227"/>
    <w:rsid w:val="1B20409F"/>
    <w:rsid w:val="1B324BB2"/>
    <w:rsid w:val="1B3E65E8"/>
    <w:rsid w:val="1B49423E"/>
    <w:rsid w:val="1B545D98"/>
    <w:rsid w:val="1B5E59A7"/>
    <w:rsid w:val="1B5F3233"/>
    <w:rsid w:val="1B9131B9"/>
    <w:rsid w:val="1B925650"/>
    <w:rsid w:val="1B9F62E2"/>
    <w:rsid w:val="1BA0601E"/>
    <w:rsid w:val="1BAE4197"/>
    <w:rsid w:val="1BAE42BC"/>
    <w:rsid w:val="1BB6133F"/>
    <w:rsid w:val="1BB9332E"/>
    <w:rsid w:val="1BDC4AD8"/>
    <w:rsid w:val="1BEE1A4E"/>
    <w:rsid w:val="1BF47DF9"/>
    <w:rsid w:val="1BF72059"/>
    <w:rsid w:val="1C00407F"/>
    <w:rsid w:val="1C0876C1"/>
    <w:rsid w:val="1C107CB3"/>
    <w:rsid w:val="1C20332B"/>
    <w:rsid w:val="1C2F2B8B"/>
    <w:rsid w:val="1C313762"/>
    <w:rsid w:val="1C3E73C9"/>
    <w:rsid w:val="1C553386"/>
    <w:rsid w:val="1C6403E7"/>
    <w:rsid w:val="1CA9786E"/>
    <w:rsid w:val="1CB56D70"/>
    <w:rsid w:val="1CC35977"/>
    <w:rsid w:val="1CD94571"/>
    <w:rsid w:val="1CE35268"/>
    <w:rsid w:val="1CEE77C0"/>
    <w:rsid w:val="1D0830A2"/>
    <w:rsid w:val="1D235A85"/>
    <w:rsid w:val="1D24481E"/>
    <w:rsid w:val="1D2A38AA"/>
    <w:rsid w:val="1D3221E1"/>
    <w:rsid w:val="1D341E4E"/>
    <w:rsid w:val="1D3D34A5"/>
    <w:rsid w:val="1D4F1875"/>
    <w:rsid w:val="1D7D6692"/>
    <w:rsid w:val="1D8C4F26"/>
    <w:rsid w:val="1D9E652E"/>
    <w:rsid w:val="1DDD4370"/>
    <w:rsid w:val="1DE51702"/>
    <w:rsid w:val="1DF52A35"/>
    <w:rsid w:val="1E0743A5"/>
    <w:rsid w:val="1E125519"/>
    <w:rsid w:val="1E20579E"/>
    <w:rsid w:val="1E311A61"/>
    <w:rsid w:val="1E54042B"/>
    <w:rsid w:val="1E686036"/>
    <w:rsid w:val="1E686CD5"/>
    <w:rsid w:val="1E6B3247"/>
    <w:rsid w:val="1E702BD9"/>
    <w:rsid w:val="1E88265C"/>
    <w:rsid w:val="1EA569D5"/>
    <w:rsid w:val="1EAB1759"/>
    <w:rsid w:val="1EAE0EB2"/>
    <w:rsid w:val="1EAF47A3"/>
    <w:rsid w:val="1EC1369D"/>
    <w:rsid w:val="1EEC1623"/>
    <w:rsid w:val="1EFD4D17"/>
    <w:rsid w:val="1F3056E6"/>
    <w:rsid w:val="1F3E6394"/>
    <w:rsid w:val="1F443106"/>
    <w:rsid w:val="1F495C68"/>
    <w:rsid w:val="1F501B7D"/>
    <w:rsid w:val="1F543128"/>
    <w:rsid w:val="1F5A7394"/>
    <w:rsid w:val="1F6A48FC"/>
    <w:rsid w:val="1F960EEB"/>
    <w:rsid w:val="1F9D7DDD"/>
    <w:rsid w:val="1FA2630B"/>
    <w:rsid w:val="1FA871F0"/>
    <w:rsid w:val="1FAA6A7A"/>
    <w:rsid w:val="1FB44A15"/>
    <w:rsid w:val="1FBC1F05"/>
    <w:rsid w:val="1FC819A3"/>
    <w:rsid w:val="1FC82476"/>
    <w:rsid w:val="1FDA7989"/>
    <w:rsid w:val="1FDB2E9A"/>
    <w:rsid w:val="200018C2"/>
    <w:rsid w:val="200739AF"/>
    <w:rsid w:val="200F0EAE"/>
    <w:rsid w:val="201363E5"/>
    <w:rsid w:val="20297F48"/>
    <w:rsid w:val="202C7E22"/>
    <w:rsid w:val="2036044B"/>
    <w:rsid w:val="203F4D47"/>
    <w:rsid w:val="203F6270"/>
    <w:rsid w:val="205D59B9"/>
    <w:rsid w:val="2065503E"/>
    <w:rsid w:val="20920FE4"/>
    <w:rsid w:val="20965352"/>
    <w:rsid w:val="20983AAB"/>
    <w:rsid w:val="20C95652"/>
    <w:rsid w:val="20D55833"/>
    <w:rsid w:val="20DB0246"/>
    <w:rsid w:val="20DE46E5"/>
    <w:rsid w:val="20FA3824"/>
    <w:rsid w:val="2121160D"/>
    <w:rsid w:val="212E22B4"/>
    <w:rsid w:val="21387334"/>
    <w:rsid w:val="214E3627"/>
    <w:rsid w:val="21536D88"/>
    <w:rsid w:val="21780E44"/>
    <w:rsid w:val="218D76C5"/>
    <w:rsid w:val="218E07F2"/>
    <w:rsid w:val="21962086"/>
    <w:rsid w:val="21AE5B27"/>
    <w:rsid w:val="21BE72E8"/>
    <w:rsid w:val="220417DF"/>
    <w:rsid w:val="222401D2"/>
    <w:rsid w:val="22410F2E"/>
    <w:rsid w:val="224428FB"/>
    <w:rsid w:val="22552F34"/>
    <w:rsid w:val="226A69DF"/>
    <w:rsid w:val="226C58B5"/>
    <w:rsid w:val="227D715E"/>
    <w:rsid w:val="22A77C33"/>
    <w:rsid w:val="22A90F4E"/>
    <w:rsid w:val="22B7767D"/>
    <w:rsid w:val="22C815FB"/>
    <w:rsid w:val="22CB26BA"/>
    <w:rsid w:val="22CD6548"/>
    <w:rsid w:val="22DB5045"/>
    <w:rsid w:val="22DD617E"/>
    <w:rsid w:val="22E3368C"/>
    <w:rsid w:val="22E54FDF"/>
    <w:rsid w:val="22F66EFA"/>
    <w:rsid w:val="22FD6886"/>
    <w:rsid w:val="2308356E"/>
    <w:rsid w:val="230D0C38"/>
    <w:rsid w:val="23131CE2"/>
    <w:rsid w:val="231E0B38"/>
    <w:rsid w:val="231E41E3"/>
    <w:rsid w:val="232270E7"/>
    <w:rsid w:val="232C1DC3"/>
    <w:rsid w:val="233B0F5D"/>
    <w:rsid w:val="2348681F"/>
    <w:rsid w:val="234E67F9"/>
    <w:rsid w:val="235007EC"/>
    <w:rsid w:val="23797231"/>
    <w:rsid w:val="23906366"/>
    <w:rsid w:val="23CF1382"/>
    <w:rsid w:val="23D91ED1"/>
    <w:rsid w:val="23FF17A6"/>
    <w:rsid w:val="24390D5F"/>
    <w:rsid w:val="24480D3D"/>
    <w:rsid w:val="24545571"/>
    <w:rsid w:val="24580EBD"/>
    <w:rsid w:val="245B181D"/>
    <w:rsid w:val="24711A24"/>
    <w:rsid w:val="247D6509"/>
    <w:rsid w:val="24924C8F"/>
    <w:rsid w:val="24936075"/>
    <w:rsid w:val="24A53915"/>
    <w:rsid w:val="24B01D93"/>
    <w:rsid w:val="24B47CA6"/>
    <w:rsid w:val="24CA0A77"/>
    <w:rsid w:val="24E46E3B"/>
    <w:rsid w:val="24E67FD6"/>
    <w:rsid w:val="25031CB0"/>
    <w:rsid w:val="251A4467"/>
    <w:rsid w:val="251B5677"/>
    <w:rsid w:val="25253091"/>
    <w:rsid w:val="25321153"/>
    <w:rsid w:val="25334EF0"/>
    <w:rsid w:val="253634F0"/>
    <w:rsid w:val="25493E6A"/>
    <w:rsid w:val="25680E06"/>
    <w:rsid w:val="256C0291"/>
    <w:rsid w:val="257A3D2B"/>
    <w:rsid w:val="25945135"/>
    <w:rsid w:val="25A16BBC"/>
    <w:rsid w:val="25A82D45"/>
    <w:rsid w:val="25AF4ABD"/>
    <w:rsid w:val="25B14925"/>
    <w:rsid w:val="25C1725E"/>
    <w:rsid w:val="25C956B7"/>
    <w:rsid w:val="25FC6761"/>
    <w:rsid w:val="25FF60AF"/>
    <w:rsid w:val="262A129C"/>
    <w:rsid w:val="26471F0F"/>
    <w:rsid w:val="264F35E7"/>
    <w:rsid w:val="26500D7C"/>
    <w:rsid w:val="265A3874"/>
    <w:rsid w:val="265C57B5"/>
    <w:rsid w:val="26601E19"/>
    <w:rsid w:val="26623280"/>
    <w:rsid w:val="266B0427"/>
    <w:rsid w:val="2670658E"/>
    <w:rsid w:val="26902C08"/>
    <w:rsid w:val="269C5297"/>
    <w:rsid w:val="26AB7027"/>
    <w:rsid w:val="26B55BCE"/>
    <w:rsid w:val="26BE79AC"/>
    <w:rsid w:val="26C779B2"/>
    <w:rsid w:val="26CB402B"/>
    <w:rsid w:val="26D55A0E"/>
    <w:rsid w:val="26D9161B"/>
    <w:rsid w:val="270B3557"/>
    <w:rsid w:val="270C5355"/>
    <w:rsid w:val="27141817"/>
    <w:rsid w:val="271667EB"/>
    <w:rsid w:val="27207CFF"/>
    <w:rsid w:val="272544E3"/>
    <w:rsid w:val="272560F0"/>
    <w:rsid w:val="27297614"/>
    <w:rsid w:val="273B7655"/>
    <w:rsid w:val="27425AE2"/>
    <w:rsid w:val="2748501E"/>
    <w:rsid w:val="277A5D1D"/>
    <w:rsid w:val="2787224D"/>
    <w:rsid w:val="278B11F2"/>
    <w:rsid w:val="278C5389"/>
    <w:rsid w:val="27B0758A"/>
    <w:rsid w:val="27CD7860"/>
    <w:rsid w:val="27D424AF"/>
    <w:rsid w:val="27DF7379"/>
    <w:rsid w:val="27E07904"/>
    <w:rsid w:val="27F0791E"/>
    <w:rsid w:val="27F45FC1"/>
    <w:rsid w:val="28073CFD"/>
    <w:rsid w:val="280774D9"/>
    <w:rsid w:val="28137882"/>
    <w:rsid w:val="28301B12"/>
    <w:rsid w:val="283D3B66"/>
    <w:rsid w:val="28400215"/>
    <w:rsid w:val="28522AF0"/>
    <w:rsid w:val="2872585D"/>
    <w:rsid w:val="28784E51"/>
    <w:rsid w:val="28BF2B7D"/>
    <w:rsid w:val="28C715E5"/>
    <w:rsid w:val="290522CA"/>
    <w:rsid w:val="29212A52"/>
    <w:rsid w:val="29281BB4"/>
    <w:rsid w:val="2937049E"/>
    <w:rsid w:val="29466967"/>
    <w:rsid w:val="294C5091"/>
    <w:rsid w:val="294F12D0"/>
    <w:rsid w:val="295E299A"/>
    <w:rsid w:val="297E019C"/>
    <w:rsid w:val="29B05E02"/>
    <w:rsid w:val="29D03368"/>
    <w:rsid w:val="29F55DB0"/>
    <w:rsid w:val="29F64FFC"/>
    <w:rsid w:val="2A306297"/>
    <w:rsid w:val="2A4F75DE"/>
    <w:rsid w:val="2A601447"/>
    <w:rsid w:val="2A794601"/>
    <w:rsid w:val="2A930AFF"/>
    <w:rsid w:val="2AA079C2"/>
    <w:rsid w:val="2AD80419"/>
    <w:rsid w:val="2AEF1FD6"/>
    <w:rsid w:val="2AFB2999"/>
    <w:rsid w:val="2AFD1AC3"/>
    <w:rsid w:val="2B057442"/>
    <w:rsid w:val="2B0C289B"/>
    <w:rsid w:val="2B0C31C2"/>
    <w:rsid w:val="2B114C12"/>
    <w:rsid w:val="2B175E3D"/>
    <w:rsid w:val="2B186FB3"/>
    <w:rsid w:val="2B1D67DE"/>
    <w:rsid w:val="2B3C5437"/>
    <w:rsid w:val="2B3E4995"/>
    <w:rsid w:val="2B466201"/>
    <w:rsid w:val="2B717D58"/>
    <w:rsid w:val="2B766F9C"/>
    <w:rsid w:val="2B823752"/>
    <w:rsid w:val="2B8B4BC4"/>
    <w:rsid w:val="2BB719AF"/>
    <w:rsid w:val="2BDB65D6"/>
    <w:rsid w:val="2BDF1728"/>
    <w:rsid w:val="2C001666"/>
    <w:rsid w:val="2C003135"/>
    <w:rsid w:val="2C0C0F46"/>
    <w:rsid w:val="2C0F567D"/>
    <w:rsid w:val="2C1A3224"/>
    <w:rsid w:val="2C240F08"/>
    <w:rsid w:val="2C27760B"/>
    <w:rsid w:val="2C384E73"/>
    <w:rsid w:val="2C397BDA"/>
    <w:rsid w:val="2C584156"/>
    <w:rsid w:val="2C5E58F7"/>
    <w:rsid w:val="2C8749A7"/>
    <w:rsid w:val="2C9C54FA"/>
    <w:rsid w:val="2CA6710A"/>
    <w:rsid w:val="2CAD5E46"/>
    <w:rsid w:val="2CB23E56"/>
    <w:rsid w:val="2CB573F1"/>
    <w:rsid w:val="2CC338BC"/>
    <w:rsid w:val="2CC55209"/>
    <w:rsid w:val="2CDB5B78"/>
    <w:rsid w:val="2CEE0796"/>
    <w:rsid w:val="2CF21304"/>
    <w:rsid w:val="2D001BC0"/>
    <w:rsid w:val="2D045C82"/>
    <w:rsid w:val="2D046166"/>
    <w:rsid w:val="2D046BDA"/>
    <w:rsid w:val="2D0619FA"/>
    <w:rsid w:val="2D1845B0"/>
    <w:rsid w:val="2D2538AF"/>
    <w:rsid w:val="2D734B5F"/>
    <w:rsid w:val="2D7B652D"/>
    <w:rsid w:val="2D7D19C3"/>
    <w:rsid w:val="2D945258"/>
    <w:rsid w:val="2D98567F"/>
    <w:rsid w:val="2DA67BBB"/>
    <w:rsid w:val="2DA75E0D"/>
    <w:rsid w:val="2DC960F9"/>
    <w:rsid w:val="2DCF3690"/>
    <w:rsid w:val="2DE94E82"/>
    <w:rsid w:val="2DEA3EA8"/>
    <w:rsid w:val="2DF87CBF"/>
    <w:rsid w:val="2DFF51B7"/>
    <w:rsid w:val="2E0B7A60"/>
    <w:rsid w:val="2E0D1B0B"/>
    <w:rsid w:val="2E0F1EA9"/>
    <w:rsid w:val="2E4F51C5"/>
    <w:rsid w:val="2E8654CF"/>
    <w:rsid w:val="2E9A2C5E"/>
    <w:rsid w:val="2E9E3FBF"/>
    <w:rsid w:val="2EA67AFE"/>
    <w:rsid w:val="2EB21D84"/>
    <w:rsid w:val="2EBD30FC"/>
    <w:rsid w:val="2ED46EDF"/>
    <w:rsid w:val="2EE041DF"/>
    <w:rsid w:val="2EE11B8C"/>
    <w:rsid w:val="2EEA3A4A"/>
    <w:rsid w:val="2EF373A2"/>
    <w:rsid w:val="2F032631"/>
    <w:rsid w:val="2F051F00"/>
    <w:rsid w:val="2F18781F"/>
    <w:rsid w:val="2F2B5B4A"/>
    <w:rsid w:val="2F3B154D"/>
    <w:rsid w:val="2F4B49B3"/>
    <w:rsid w:val="2F4E3EC0"/>
    <w:rsid w:val="2F52282A"/>
    <w:rsid w:val="2F7C3664"/>
    <w:rsid w:val="2F951266"/>
    <w:rsid w:val="2FA5719F"/>
    <w:rsid w:val="2FAB0637"/>
    <w:rsid w:val="2FB141C4"/>
    <w:rsid w:val="2FC00586"/>
    <w:rsid w:val="2FD72248"/>
    <w:rsid w:val="2FF3688F"/>
    <w:rsid w:val="30077456"/>
    <w:rsid w:val="3009394D"/>
    <w:rsid w:val="300F1912"/>
    <w:rsid w:val="300F38AF"/>
    <w:rsid w:val="300F5244"/>
    <w:rsid w:val="300F5B20"/>
    <w:rsid w:val="309753FE"/>
    <w:rsid w:val="309E0359"/>
    <w:rsid w:val="30AF77FF"/>
    <w:rsid w:val="30B0699B"/>
    <w:rsid w:val="30BF4FF3"/>
    <w:rsid w:val="30ED2551"/>
    <w:rsid w:val="30F27737"/>
    <w:rsid w:val="31243995"/>
    <w:rsid w:val="312A215B"/>
    <w:rsid w:val="312B28BA"/>
    <w:rsid w:val="31325B39"/>
    <w:rsid w:val="313E56EC"/>
    <w:rsid w:val="31736F2D"/>
    <w:rsid w:val="3178535B"/>
    <w:rsid w:val="31A124A8"/>
    <w:rsid w:val="31BD1E97"/>
    <w:rsid w:val="31DA2B31"/>
    <w:rsid w:val="31DC0D3B"/>
    <w:rsid w:val="31E56082"/>
    <w:rsid w:val="31F77F70"/>
    <w:rsid w:val="3204592D"/>
    <w:rsid w:val="32156149"/>
    <w:rsid w:val="32172D3E"/>
    <w:rsid w:val="325255DD"/>
    <w:rsid w:val="325B0C0B"/>
    <w:rsid w:val="325D7C42"/>
    <w:rsid w:val="326E62BE"/>
    <w:rsid w:val="32707F06"/>
    <w:rsid w:val="32893C90"/>
    <w:rsid w:val="32AE174E"/>
    <w:rsid w:val="32CB7723"/>
    <w:rsid w:val="33015C2B"/>
    <w:rsid w:val="332774C4"/>
    <w:rsid w:val="333D7272"/>
    <w:rsid w:val="33400660"/>
    <w:rsid w:val="33445480"/>
    <w:rsid w:val="3367137C"/>
    <w:rsid w:val="336E4ADC"/>
    <w:rsid w:val="338607A0"/>
    <w:rsid w:val="339C4E66"/>
    <w:rsid w:val="339E6888"/>
    <w:rsid w:val="33A87367"/>
    <w:rsid w:val="33D6095B"/>
    <w:rsid w:val="33E82315"/>
    <w:rsid w:val="34052A0C"/>
    <w:rsid w:val="340A46F8"/>
    <w:rsid w:val="340B5412"/>
    <w:rsid w:val="341E1D1F"/>
    <w:rsid w:val="34366EEE"/>
    <w:rsid w:val="34390CD6"/>
    <w:rsid w:val="344A101F"/>
    <w:rsid w:val="346F5427"/>
    <w:rsid w:val="34833825"/>
    <w:rsid w:val="34912E99"/>
    <w:rsid w:val="349B16F5"/>
    <w:rsid w:val="349C45CF"/>
    <w:rsid w:val="349F1B4F"/>
    <w:rsid w:val="34B22354"/>
    <w:rsid w:val="34B36590"/>
    <w:rsid w:val="34C20B41"/>
    <w:rsid w:val="34EF23AF"/>
    <w:rsid w:val="35047F88"/>
    <w:rsid w:val="35557427"/>
    <w:rsid w:val="35623E17"/>
    <w:rsid w:val="356C5057"/>
    <w:rsid w:val="35810F42"/>
    <w:rsid w:val="35A160DC"/>
    <w:rsid w:val="35C47314"/>
    <w:rsid w:val="35D44008"/>
    <w:rsid w:val="35F40A6C"/>
    <w:rsid w:val="36171628"/>
    <w:rsid w:val="362C2EA8"/>
    <w:rsid w:val="36482920"/>
    <w:rsid w:val="364B52AB"/>
    <w:rsid w:val="36547406"/>
    <w:rsid w:val="365949A2"/>
    <w:rsid w:val="36645DB7"/>
    <w:rsid w:val="367A3CC9"/>
    <w:rsid w:val="3683136E"/>
    <w:rsid w:val="3696353B"/>
    <w:rsid w:val="36A5127A"/>
    <w:rsid w:val="36B1579B"/>
    <w:rsid w:val="36BB5442"/>
    <w:rsid w:val="36BD3526"/>
    <w:rsid w:val="36C757C4"/>
    <w:rsid w:val="36CE17DB"/>
    <w:rsid w:val="36D10CD5"/>
    <w:rsid w:val="36E15708"/>
    <w:rsid w:val="36F9609B"/>
    <w:rsid w:val="37442161"/>
    <w:rsid w:val="37446CE8"/>
    <w:rsid w:val="374A31AE"/>
    <w:rsid w:val="374B6FEC"/>
    <w:rsid w:val="374F473A"/>
    <w:rsid w:val="375B27C9"/>
    <w:rsid w:val="375F59A3"/>
    <w:rsid w:val="377176ED"/>
    <w:rsid w:val="3773298F"/>
    <w:rsid w:val="37846BBA"/>
    <w:rsid w:val="378C74A1"/>
    <w:rsid w:val="37A52CCC"/>
    <w:rsid w:val="37AD7793"/>
    <w:rsid w:val="37C44E84"/>
    <w:rsid w:val="37D36245"/>
    <w:rsid w:val="37EB6283"/>
    <w:rsid w:val="38091AF8"/>
    <w:rsid w:val="382942D8"/>
    <w:rsid w:val="38326797"/>
    <w:rsid w:val="38433080"/>
    <w:rsid w:val="386524BD"/>
    <w:rsid w:val="386D0BF2"/>
    <w:rsid w:val="386F48F8"/>
    <w:rsid w:val="388C5AE5"/>
    <w:rsid w:val="389D7B65"/>
    <w:rsid w:val="38F80EED"/>
    <w:rsid w:val="390F1C37"/>
    <w:rsid w:val="391B26DF"/>
    <w:rsid w:val="394E5EC1"/>
    <w:rsid w:val="39544A6A"/>
    <w:rsid w:val="3956078D"/>
    <w:rsid w:val="3960578F"/>
    <w:rsid w:val="3962620A"/>
    <w:rsid w:val="39685312"/>
    <w:rsid w:val="396F2AB8"/>
    <w:rsid w:val="3971179C"/>
    <w:rsid w:val="397F1252"/>
    <w:rsid w:val="3981469C"/>
    <w:rsid w:val="39873440"/>
    <w:rsid w:val="398C37FF"/>
    <w:rsid w:val="399C539E"/>
    <w:rsid w:val="39A63DE9"/>
    <w:rsid w:val="39BB65EB"/>
    <w:rsid w:val="39C414DA"/>
    <w:rsid w:val="39DD421F"/>
    <w:rsid w:val="39E00FCC"/>
    <w:rsid w:val="39E25E17"/>
    <w:rsid w:val="39F87CE9"/>
    <w:rsid w:val="3A05333A"/>
    <w:rsid w:val="3A0C74E5"/>
    <w:rsid w:val="3A16675B"/>
    <w:rsid w:val="3A500208"/>
    <w:rsid w:val="3A5F140D"/>
    <w:rsid w:val="3A612966"/>
    <w:rsid w:val="3A71666F"/>
    <w:rsid w:val="3A9E47A4"/>
    <w:rsid w:val="3ABA4853"/>
    <w:rsid w:val="3AD933AD"/>
    <w:rsid w:val="3ADA7209"/>
    <w:rsid w:val="3ADB3A3E"/>
    <w:rsid w:val="3AEE1A71"/>
    <w:rsid w:val="3AF278B4"/>
    <w:rsid w:val="3B0C5A06"/>
    <w:rsid w:val="3B0C69E6"/>
    <w:rsid w:val="3B0D1118"/>
    <w:rsid w:val="3B292868"/>
    <w:rsid w:val="3B2C5844"/>
    <w:rsid w:val="3B332BDB"/>
    <w:rsid w:val="3B3B3128"/>
    <w:rsid w:val="3B3E0922"/>
    <w:rsid w:val="3B3F4D3A"/>
    <w:rsid w:val="3B4402BD"/>
    <w:rsid w:val="3B441C8A"/>
    <w:rsid w:val="3B4A6097"/>
    <w:rsid w:val="3B4F0A10"/>
    <w:rsid w:val="3B830C78"/>
    <w:rsid w:val="3B9E02FB"/>
    <w:rsid w:val="3BAF7167"/>
    <w:rsid w:val="3BB208C4"/>
    <w:rsid w:val="3BBD0E61"/>
    <w:rsid w:val="3BBD1A0F"/>
    <w:rsid w:val="3BBE32D9"/>
    <w:rsid w:val="3BD242F7"/>
    <w:rsid w:val="3BD553B9"/>
    <w:rsid w:val="3BEE4373"/>
    <w:rsid w:val="3BEF22F0"/>
    <w:rsid w:val="3BF2218A"/>
    <w:rsid w:val="3BF847AA"/>
    <w:rsid w:val="3C0F1436"/>
    <w:rsid w:val="3C130516"/>
    <w:rsid w:val="3C162454"/>
    <w:rsid w:val="3C187054"/>
    <w:rsid w:val="3C1C74C2"/>
    <w:rsid w:val="3C470BC7"/>
    <w:rsid w:val="3C643F95"/>
    <w:rsid w:val="3C782720"/>
    <w:rsid w:val="3C7966FE"/>
    <w:rsid w:val="3C983D9B"/>
    <w:rsid w:val="3C9E50EB"/>
    <w:rsid w:val="3CA8761A"/>
    <w:rsid w:val="3CC27DDB"/>
    <w:rsid w:val="3CC72A85"/>
    <w:rsid w:val="3CCD3181"/>
    <w:rsid w:val="3CCD4F5E"/>
    <w:rsid w:val="3CD9424F"/>
    <w:rsid w:val="3CD97440"/>
    <w:rsid w:val="3CDC2FDA"/>
    <w:rsid w:val="3CE861A2"/>
    <w:rsid w:val="3CE961D6"/>
    <w:rsid w:val="3CFA6CAB"/>
    <w:rsid w:val="3CFE7CE6"/>
    <w:rsid w:val="3D051B9C"/>
    <w:rsid w:val="3D0803B2"/>
    <w:rsid w:val="3D0866B5"/>
    <w:rsid w:val="3D1E1173"/>
    <w:rsid w:val="3D2E5F93"/>
    <w:rsid w:val="3D4924AB"/>
    <w:rsid w:val="3D53257E"/>
    <w:rsid w:val="3D7A74B8"/>
    <w:rsid w:val="3D85696B"/>
    <w:rsid w:val="3D91210B"/>
    <w:rsid w:val="3D9610F2"/>
    <w:rsid w:val="3D9840A7"/>
    <w:rsid w:val="3D9F1D1F"/>
    <w:rsid w:val="3DB40A29"/>
    <w:rsid w:val="3DB91964"/>
    <w:rsid w:val="3DCE2B0C"/>
    <w:rsid w:val="3DCE530E"/>
    <w:rsid w:val="3DFA7B4F"/>
    <w:rsid w:val="3DFB187E"/>
    <w:rsid w:val="3DFB6B13"/>
    <w:rsid w:val="3E2078B9"/>
    <w:rsid w:val="3E35213F"/>
    <w:rsid w:val="3E3A7ECF"/>
    <w:rsid w:val="3E650D02"/>
    <w:rsid w:val="3E7B2FC5"/>
    <w:rsid w:val="3E870BBB"/>
    <w:rsid w:val="3E8713D1"/>
    <w:rsid w:val="3E8D168B"/>
    <w:rsid w:val="3E972AB3"/>
    <w:rsid w:val="3E9C366E"/>
    <w:rsid w:val="3EC1183A"/>
    <w:rsid w:val="3ECD4327"/>
    <w:rsid w:val="3F0E0DF5"/>
    <w:rsid w:val="3F1978CD"/>
    <w:rsid w:val="3F1D3C1A"/>
    <w:rsid w:val="3F31088C"/>
    <w:rsid w:val="3F3D7F90"/>
    <w:rsid w:val="3F3F37ED"/>
    <w:rsid w:val="3F685F3F"/>
    <w:rsid w:val="3F6C0E8A"/>
    <w:rsid w:val="3F7B0D16"/>
    <w:rsid w:val="3F820D64"/>
    <w:rsid w:val="3FB022C9"/>
    <w:rsid w:val="3FB70595"/>
    <w:rsid w:val="3FBC311D"/>
    <w:rsid w:val="3FBD2082"/>
    <w:rsid w:val="3FCD3C21"/>
    <w:rsid w:val="3FD90B37"/>
    <w:rsid w:val="3FDB1FD7"/>
    <w:rsid w:val="3FDC6537"/>
    <w:rsid w:val="3FE007FA"/>
    <w:rsid w:val="3FEA0D43"/>
    <w:rsid w:val="40021A29"/>
    <w:rsid w:val="40177F42"/>
    <w:rsid w:val="402F2B00"/>
    <w:rsid w:val="40421939"/>
    <w:rsid w:val="40525FCA"/>
    <w:rsid w:val="407128CB"/>
    <w:rsid w:val="407B79F2"/>
    <w:rsid w:val="407F0C88"/>
    <w:rsid w:val="40B0238D"/>
    <w:rsid w:val="40B20FD2"/>
    <w:rsid w:val="40BB57EF"/>
    <w:rsid w:val="40C120C8"/>
    <w:rsid w:val="40C97591"/>
    <w:rsid w:val="40F33C5B"/>
    <w:rsid w:val="40F63E08"/>
    <w:rsid w:val="40FE14AD"/>
    <w:rsid w:val="410D2023"/>
    <w:rsid w:val="410D303F"/>
    <w:rsid w:val="412A46F0"/>
    <w:rsid w:val="41323684"/>
    <w:rsid w:val="413C57C4"/>
    <w:rsid w:val="41457B29"/>
    <w:rsid w:val="415915CD"/>
    <w:rsid w:val="417A4D2B"/>
    <w:rsid w:val="41815A84"/>
    <w:rsid w:val="418D2E41"/>
    <w:rsid w:val="418F7A1F"/>
    <w:rsid w:val="41BE5EE4"/>
    <w:rsid w:val="41BE6BF4"/>
    <w:rsid w:val="41C213B6"/>
    <w:rsid w:val="41C403B5"/>
    <w:rsid w:val="41CB4032"/>
    <w:rsid w:val="41E0260D"/>
    <w:rsid w:val="41E93618"/>
    <w:rsid w:val="41F2602C"/>
    <w:rsid w:val="42262641"/>
    <w:rsid w:val="42277CE8"/>
    <w:rsid w:val="422F39EB"/>
    <w:rsid w:val="424339D3"/>
    <w:rsid w:val="424B4960"/>
    <w:rsid w:val="424C1888"/>
    <w:rsid w:val="42553E2E"/>
    <w:rsid w:val="4259632C"/>
    <w:rsid w:val="426353EF"/>
    <w:rsid w:val="427D02D7"/>
    <w:rsid w:val="42885698"/>
    <w:rsid w:val="429A45AF"/>
    <w:rsid w:val="42CD481E"/>
    <w:rsid w:val="42F33C47"/>
    <w:rsid w:val="432F2506"/>
    <w:rsid w:val="43344CFF"/>
    <w:rsid w:val="433A214A"/>
    <w:rsid w:val="433B419F"/>
    <w:rsid w:val="43503578"/>
    <w:rsid w:val="43560E10"/>
    <w:rsid w:val="43622C92"/>
    <w:rsid w:val="436B4562"/>
    <w:rsid w:val="43762DF2"/>
    <w:rsid w:val="437B09F5"/>
    <w:rsid w:val="43884DA7"/>
    <w:rsid w:val="438F5E4E"/>
    <w:rsid w:val="439D21D5"/>
    <w:rsid w:val="43AD517F"/>
    <w:rsid w:val="43AD5F76"/>
    <w:rsid w:val="43D30E75"/>
    <w:rsid w:val="43E53CC0"/>
    <w:rsid w:val="44122A74"/>
    <w:rsid w:val="441D58FA"/>
    <w:rsid w:val="4422302D"/>
    <w:rsid w:val="44240C8C"/>
    <w:rsid w:val="44270934"/>
    <w:rsid w:val="4436276D"/>
    <w:rsid w:val="4439626E"/>
    <w:rsid w:val="443C5941"/>
    <w:rsid w:val="44442EDC"/>
    <w:rsid w:val="44514EF9"/>
    <w:rsid w:val="445E7C8C"/>
    <w:rsid w:val="448A2637"/>
    <w:rsid w:val="44904FE7"/>
    <w:rsid w:val="44951C56"/>
    <w:rsid w:val="44B12A00"/>
    <w:rsid w:val="44BE2E8F"/>
    <w:rsid w:val="44C02C2A"/>
    <w:rsid w:val="44D50F77"/>
    <w:rsid w:val="44EB79FC"/>
    <w:rsid w:val="44ED1595"/>
    <w:rsid w:val="44FE7B0F"/>
    <w:rsid w:val="44FF70AD"/>
    <w:rsid w:val="45033F40"/>
    <w:rsid w:val="45117C06"/>
    <w:rsid w:val="45244071"/>
    <w:rsid w:val="4555757B"/>
    <w:rsid w:val="455851AD"/>
    <w:rsid w:val="457C139D"/>
    <w:rsid w:val="458059FD"/>
    <w:rsid w:val="45874FEE"/>
    <w:rsid w:val="458B45D1"/>
    <w:rsid w:val="458D50F5"/>
    <w:rsid w:val="45924AA5"/>
    <w:rsid w:val="45AA774A"/>
    <w:rsid w:val="45AB572A"/>
    <w:rsid w:val="45D77454"/>
    <w:rsid w:val="45E1435D"/>
    <w:rsid w:val="45E53456"/>
    <w:rsid w:val="45ED5D35"/>
    <w:rsid w:val="45FC6527"/>
    <w:rsid w:val="461346E5"/>
    <w:rsid w:val="46396751"/>
    <w:rsid w:val="463E4CCE"/>
    <w:rsid w:val="465677EC"/>
    <w:rsid w:val="46674AD4"/>
    <w:rsid w:val="467174D6"/>
    <w:rsid w:val="46736BB4"/>
    <w:rsid w:val="467922ED"/>
    <w:rsid w:val="467D3462"/>
    <w:rsid w:val="46A876B5"/>
    <w:rsid w:val="46C4715F"/>
    <w:rsid w:val="46E91753"/>
    <w:rsid w:val="47051401"/>
    <w:rsid w:val="47064679"/>
    <w:rsid w:val="47136FFB"/>
    <w:rsid w:val="47222ECC"/>
    <w:rsid w:val="47373C33"/>
    <w:rsid w:val="474157C5"/>
    <w:rsid w:val="47541F9F"/>
    <w:rsid w:val="478104EB"/>
    <w:rsid w:val="4788356E"/>
    <w:rsid w:val="478954D4"/>
    <w:rsid w:val="479C6E13"/>
    <w:rsid w:val="47A35F31"/>
    <w:rsid w:val="47AF5C4C"/>
    <w:rsid w:val="47B20DC5"/>
    <w:rsid w:val="47DA08E0"/>
    <w:rsid w:val="47F15B42"/>
    <w:rsid w:val="47FB1BFF"/>
    <w:rsid w:val="480A7AE1"/>
    <w:rsid w:val="481B6500"/>
    <w:rsid w:val="481D6C75"/>
    <w:rsid w:val="48330491"/>
    <w:rsid w:val="483A07BE"/>
    <w:rsid w:val="484B3159"/>
    <w:rsid w:val="48553FDB"/>
    <w:rsid w:val="485D5075"/>
    <w:rsid w:val="485E7C3C"/>
    <w:rsid w:val="48605E76"/>
    <w:rsid w:val="488421ED"/>
    <w:rsid w:val="4893669A"/>
    <w:rsid w:val="489B688A"/>
    <w:rsid w:val="48AF68F7"/>
    <w:rsid w:val="48B84E2E"/>
    <w:rsid w:val="48BB27F2"/>
    <w:rsid w:val="48CB0611"/>
    <w:rsid w:val="48D01226"/>
    <w:rsid w:val="49042E3A"/>
    <w:rsid w:val="49101553"/>
    <w:rsid w:val="493B4017"/>
    <w:rsid w:val="49463CB6"/>
    <w:rsid w:val="49504C18"/>
    <w:rsid w:val="49644DF9"/>
    <w:rsid w:val="496D2BF3"/>
    <w:rsid w:val="498521CD"/>
    <w:rsid w:val="498A6F5A"/>
    <w:rsid w:val="49976E14"/>
    <w:rsid w:val="49A63E96"/>
    <w:rsid w:val="49F11FD7"/>
    <w:rsid w:val="4A1B465B"/>
    <w:rsid w:val="4A2B4F06"/>
    <w:rsid w:val="4A431F0D"/>
    <w:rsid w:val="4A5669E2"/>
    <w:rsid w:val="4A5E2493"/>
    <w:rsid w:val="4A7D37F4"/>
    <w:rsid w:val="4A86418B"/>
    <w:rsid w:val="4A8C4FF8"/>
    <w:rsid w:val="4A961A04"/>
    <w:rsid w:val="4AA153B2"/>
    <w:rsid w:val="4ACE11AD"/>
    <w:rsid w:val="4AD52CE0"/>
    <w:rsid w:val="4ADD5C5C"/>
    <w:rsid w:val="4AEF0F5A"/>
    <w:rsid w:val="4B102888"/>
    <w:rsid w:val="4B4979E6"/>
    <w:rsid w:val="4B621EE9"/>
    <w:rsid w:val="4B990E1C"/>
    <w:rsid w:val="4BA57AE5"/>
    <w:rsid w:val="4BB319AC"/>
    <w:rsid w:val="4BB723E6"/>
    <w:rsid w:val="4BBE0400"/>
    <w:rsid w:val="4BC06E96"/>
    <w:rsid w:val="4BC178E4"/>
    <w:rsid w:val="4BC52EC4"/>
    <w:rsid w:val="4BCB3403"/>
    <w:rsid w:val="4BCD54D5"/>
    <w:rsid w:val="4BD93A29"/>
    <w:rsid w:val="4BF235E3"/>
    <w:rsid w:val="4BF40582"/>
    <w:rsid w:val="4C180736"/>
    <w:rsid w:val="4C18757F"/>
    <w:rsid w:val="4C3860DA"/>
    <w:rsid w:val="4C4243A5"/>
    <w:rsid w:val="4C6029AF"/>
    <w:rsid w:val="4C77145A"/>
    <w:rsid w:val="4C783B5F"/>
    <w:rsid w:val="4CA30BBC"/>
    <w:rsid w:val="4CBE3F22"/>
    <w:rsid w:val="4CD50A68"/>
    <w:rsid w:val="4CD82614"/>
    <w:rsid w:val="4CEC46BB"/>
    <w:rsid w:val="4D0F4DCA"/>
    <w:rsid w:val="4D0F7DE6"/>
    <w:rsid w:val="4D1004D5"/>
    <w:rsid w:val="4D16313C"/>
    <w:rsid w:val="4D236222"/>
    <w:rsid w:val="4D3A50C7"/>
    <w:rsid w:val="4D453A21"/>
    <w:rsid w:val="4D4E0067"/>
    <w:rsid w:val="4D4F6FAE"/>
    <w:rsid w:val="4D6420F9"/>
    <w:rsid w:val="4D656303"/>
    <w:rsid w:val="4D707D35"/>
    <w:rsid w:val="4D726EB3"/>
    <w:rsid w:val="4D830167"/>
    <w:rsid w:val="4D8C37F3"/>
    <w:rsid w:val="4DC66E77"/>
    <w:rsid w:val="4DCD259B"/>
    <w:rsid w:val="4DCE32C4"/>
    <w:rsid w:val="4DDE0684"/>
    <w:rsid w:val="4DF97A14"/>
    <w:rsid w:val="4DFA480C"/>
    <w:rsid w:val="4DFB1D29"/>
    <w:rsid w:val="4E074BFF"/>
    <w:rsid w:val="4E2E6721"/>
    <w:rsid w:val="4E3B6D4E"/>
    <w:rsid w:val="4E5053C8"/>
    <w:rsid w:val="4E577185"/>
    <w:rsid w:val="4E593459"/>
    <w:rsid w:val="4E5D4250"/>
    <w:rsid w:val="4E733A77"/>
    <w:rsid w:val="4E7B25C1"/>
    <w:rsid w:val="4E8118DC"/>
    <w:rsid w:val="4E8708F2"/>
    <w:rsid w:val="4E8A00C0"/>
    <w:rsid w:val="4E943D5F"/>
    <w:rsid w:val="4EAF76BC"/>
    <w:rsid w:val="4EB95204"/>
    <w:rsid w:val="4ECC3456"/>
    <w:rsid w:val="4ED55039"/>
    <w:rsid w:val="4EEC5B4C"/>
    <w:rsid w:val="4F0033FB"/>
    <w:rsid w:val="4F022803"/>
    <w:rsid w:val="4F0C3E9B"/>
    <w:rsid w:val="4F193AB6"/>
    <w:rsid w:val="4F2038FA"/>
    <w:rsid w:val="4F204C9A"/>
    <w:rsid w:val="4F2E0E0B"/>
    <w:rsid w:val="4F3E7B5E"/>
    <w:rsid w:val="4F491B26"/>
    <w:rsid w:val="4F6C2BF0"/>
    <w:rsid w:val="4F6F4554"/>
    <w:rsid w:val="4F752704"/>
    <w:rsid w:val="4F7C146B"/>
    <w:rsid w:val="4F7C66F8"/>
    <w:rsid w:val="4F877D42"/>
    <w:rsid w:val="4F9409DB"/>
    <w:rsid w:val="4FAE367F"/>
    <w:rsid w:val="4FBE5489"/>
    <w:rsid w:val="4FC652ED"/>
    <w:rsid w:val="4FC869FB"/>
    <w:rsid w:val="4FD04DD1"/>
    <w:rsid w:val="4FDE2CD8"/>
    <w:rsid w:val="4FE75C41"/>
    <w:rsid w:val="4FF9381F"/>
    <w:rsid w:val="500C05A2"/>
    <w:rsid w:val="5012266E"/>
    <w:rsid w:val="501F10BC"/>
    <w:rsid w:val="5023714B"/>
    <w:rsid w:val="50334A2A"/>
    <w:rsid w:val="504E5547"/>
    <w:rsid w:val="50503559"/>
    <w:rsid w:val="50A45199"/>
    <w:rsid w:val="50C93C61"/>
    <w:rsid w:val="50CA11F4"/>
    <w:rsid w:val="50F700B9"/>
    <w:rsid w:val="51076ACA"/>
    <w:rsid w:val="5119525D"/>
    <w:rsid w:val="511A744D"/>
    <w:rsid w:val="512654A8"/>
    <w:rsid w:val="51423A4D"/>
    <w:rsid w:val="515535B9"/>
    <w:rsid w:val="515F5B98"/>
    <w:rsid w:val="517E4D1E"/>
    <w:rsid w:val="518E1610"/>
    <w:rsid w:val="51972932"/>
    <w:rsid w:val="51A81A23"/>
    <w:rsid w:val="51B0407E"/>
    <w:rsid w:val="51B3623B"/>
    <w:rsid w:val="51BB6645"/>
    <w:rsid w:val="51E31E53"/>
    <w:rsid w:val="521923C0"/>
    <w:rsid w:val="522C5FA5"/>
    <w:rsid w:val="523B021D"/>
    <w:rsid w:val="525036E8"/>
    <w:rsid w:val="526E57BA"/>
    <w:rsid w:val="52903292"/>
    <w:rsid w:val="529120DA"/>
    <w:rsid w:val="52B621D1"/>
    <w:rsid w:val="52CC14CF"/>
    <w:rsid w:val="52D21A02"/>
    <w:rsid w:val="52E01C3E"/>
    <w:rsid w:val="52E13D97"/>
    <w:rsid w:val="52FA631D"/>
    <w:rsid w:val="53061D16"/>
    <w:rsid w:val="530A24CD"/>
    <w:rsid w:val="53214087"/>
    <w:rsid w:val="53222C14"/>
    <w:rsid w:val="532624AC"/>
    <w:rsid w:val="536A4B7D"/>
    <w:rsid w:val="537966E3"/>
    <w:rsid w:val="537C71E6"/>
    <w:rsid w:val="538147B5"/>
    <w:rsid w:val="53814DA2"/>
    <w:rsid w:val="538B4884"/>
    <w:rsid w:val="538F027E"/>
    <w:rsid w:val="538F73A7"/>
    <w:rsid w:val="53A934C9"/>
    <w:rsid w:val="53E60836"/>
    <w:rsid w:val="540A4EE9"/>
    <w:rsid w:val="54260B41"/>
    <w:rsid w:val="54302D35"/>
    <w:rsid w:val="543517C9"/>
    <w:rsid w:val="543660B8"/>
    <w:rsid w:val="54617213"/>
    <w:rsid w:val="54623EA6"/>
    <w:rsid w:val="546E55A8"/>
    <w:rsid w:val="54876A72"/>
    <w:rsid w:val="54947768"/>
    <w:rsid w:val="549E66D3"/>
    <w:rsid w:val="54A044AA"/>
    <w:rsid w:val="54B5203F"/>
    <w:rsid w:val="54D6571D"/>
    <w:rsid w:val="55012924"/>
    <w:rsid w:val="55045354"/>
    <w:rsid w:val="551503CD"/>
    <w:rsid w:val="551E56DC"/>
    <w:rsid w:val="55274556"/>
    <w:rsid w:val="55310ED8"/>
    <w:rsid w:val="554C3E44"/>
    <w:rsid w:val="554D4951"/>
    <w:rsid w:val="557761E3"/>
    <w:rsid w:val="557B1378"/>
    <w:rsid w:val="558B1F75"/>
    <w:rsid w:val="559273C5"/>
    <w:rsid w:val="559772E6"/>
    <w:rsid w:val="559B27F3"/>
    <w:rsid w:val="55B33AB5"/>
    <w:rsid w:val="55CD1B7B"/>
    <w:rsid w:val="55DC22F2"/>
    <w:rsid w:val="560030DC"/>
    <w:rsid w:val="56003517"/>
    <w:rsid w:val="56044479"/>
    <w:rsid w:val="56163A71"/>
    <w:rsid w:val="56471394"/>
    <w:rsid w:val="564751D9"/>
    <w:rsid w:val="565048AE"/>
    <w:rsid w:val="56533B8E"/>
    <w:rsid w:val="565358C1"/>
    <w:rsid w:val="5684095B"/>
    <w:rsid w:val="56921968"/>
    <w:rsid w:val="56BC09F8"/>
    <w:rsid w:val="56D12730"/>
    <w:rsid w:val="56DE774E"/>
    <w:rsid w:val="56F40992"/>
    <w:rsid w:val="56F97D56"/>
    <w:rsid w:val="56FB3F54"/>
    <w:rsid w:val="570B5D17"/>
    <w:rsid w:val="57145B3C"/>
    <w:rsid w:val="57282F07"/>
    <w:rsid w:val="572A2069"/>
    <w:rsid w:val="57420E3F"/>
    <w:rsid w:val="57686481"/>
    <w:rsid w:val="578B5335"/>
    <w:rsid w:val="57945B95"/>
    <w:rsid w:val="57D36E34"/>
    <w:rsid w:val="57E540FA"/>
    <w:rsid w:val="57EF52C8"/>
    <w:rsid w:val="57FD706F"/>
    <w:rsid w:val="58043830"/>
    <w:rsid w:val="58265D34"/>
    <w:rsid w:val="583A0626"/>
    <w:rsid w:val="586C4146"/>
    <w:rsid w:val="58856186"/>
    <w:rsid w:val="58A6245B"/>
    <w:rsid w:val="58B92815"/>
    <w:rsid w:val="58C34D90"/>
    <w:rsid w:val="58D2578C"/>
    <w:rsid w:val="58D65BC4"/>
    <w:rsid w:val="58D75CD9"/>
    <w:rsid w:val="58EF0EE2"/>
    <w:rsid w:val="58F8381B"/>
    <w:rsid w:val="58FB7105"/>
    <w:rsid w:val="59040094"/>
    <w:rsid w:val="59083452"/>
    <w:rsid w:val="590B3D71"/>
    <w:rsid w:val="591A78CD"/>
    <w:rsid w:val="592D41E8"/>
    <w:rsid w:val="59341E6C"/>
    <w:rsid w:val="59365799"/>
    <w:rsid w:val="59434156"/>
    <w:rsid w:val="594A185F"/>
    <w:rsid w:val="594C6384"/>
    <w:rsid w:val="596F425D"/>
    <w:rsid w:val="59AC57DE"/>
    <w:rsid w:val="59BB664B"/>
    <w:rsid w:val="59CB462D"/>
    <w:rsid w:val="59EA7090"/>
    <w:rsid w:val="5A16072D"/>
    <w:rsid w:val="5A2242BB"/>
    <w:rsid w:val="5A2E4359"/>
    <w:rsid w:val="5A2E6F78"/>
    <w:rsid w:val="5A3D3EBF"/>
    <w:rsid w:val="5A473CE2"/>
    <w:rsid w:val="5A4B230C"/>
    <w:rsid w:val="5A5A72EC"/>
    <w:rsid w:val="5A746C6B"/>
    <w:rsid w:val="5A786F69"/>
    <w:rsid w:val="5A7E2471"/>
    <w:rsid w:val="5A831E7F"/>
    <w:rsid w:val="5A964DAC"/>
    <w:rsid w:val="5A9D3A0F"/>
    <w:rsid w:val="5AAB1AC5"/>
    <w:rsid w:val="5ABB77E1"/>
    <w:rsid w:val="5AE906C3"/>
    <w:rsid w:val="5AEC5C66"/>
    <w:rsid w:val="5AEF41DC"/>
    <w:rsid w:val="5AF15D24"/>
    <w:rsid w:val="5B2E3472"/>
    <w:rsid w:val="5B2E56AD"/>
    <w:rsid w:val="5B3C70E4"/>
    <w:rsid w:val="5B59154A"/>
    <w:rsid w:val="5B6269C6"/>
    <w:rsid w:val="5B87628F"/>
    <w:rsid w:val="5BA43FEA"/>
    <w:rsid w:val="5BAF7D30"/>
    <w:rsid w:val="5BB90FE2"/>
    <w:rsid w:val="5BD64D44"/>
    <w:rsid w:val="5BE5486E"/>
    <w:rsid w:val="5BF528B7"/>
    <w:rsid w:val="5C0C104D"/>
    <w:rsid w:val="5C174686"/>
    <w:rsid w:val="5C1C1F8C"/>
    <w:rsid w:val="5C1E73DB"/>
    <w:rsid w:val="5C341831"/>
    <w:rsid w:val="5C5058F1"/>
    <w:rsid w:val="5C662256"/>
    <w:rsid w:val="5C6A4132"/>
    <w:rsid w:val="5C703C9C"/>
    <w:rsid w:val="5C751008"/>
    <w:rsid w:val="5C7B36C6"/>
    <w:rsid w:val="5C89382B"/>
    <w:rsid w:val="5CA1558E"/>
    <w:rsid w:val="5CA16A49"/>
    <w:rsid w:val="5CD56691"/>
    <w:rsid w:val="5CD821BC"/>
    <w:rsid w:val="5CF724CE"/>
    <w:rsid w:val="5D045A6B"/>
    <w:rsid w:val="5D223E38"/>
    <w:rsid w:val="5D233674"/>
    <w:rsid w:val="5D383998"/>
    <w:rsid w:val="5D42537F"/>
    <w:rsid w:val="5D4F03C2"/>
    <w:rsid w:val="5D565468"/>
    <w:rsid w:val="5D5E11BD"/>
    <w:rsid w:val="5D6323CD"/>
    <w:rsid w:val="5D874E30"/>
    <w:rsid w:val="5D9977F2"/>
    <w:rsid w:val="5DA86BA0"/>
    <w:rsid w:val="5DAA1773"/>
    <w:rsid w:val="5DAA3B58"/>
    <w:rsid w:val="5DBB124F"/>
    <w:rsid w:val="5DEA690A"/>
    <w:rsid w:val="5DEE2B43"/>
    <w:rsid w:val="5DF1766E"/>
    <w:rsid w:val="5DF55200"/>
    <w:rsid w:val="5E0341D4"/>
    <w:rsid w:val="5E0975A7"/>
    <w:rsid w:val="5E261055"/>
    <w:rsid w:val="5E3329C2"/>
    <w:rsid w:val="5E3772BD"/>
    <w:rsid w:val="5E645242"/>
    <w:rsid w:val="5E660DED"/>
    <w:rsid w:val="5E6C0069"/>
    <w:rsid w:val="5E8B0031"/>
    <w:rsid w:val="5E9549B3"/>
    <w:rsid w:val="5E975DDA"/>
    <w:rsid w:val="5E9849F7"/>
    <w:rsid w:val="5EA4378B"/>
    <w:rsid w:val="5EAA6D4A"/>
    <w:rsid w:val="5EAC21B9"/>
    <w:rsid w:val="5EB4280F"/>
    <w:rsid w:val="5EC251B6"/>
    <w:rsid w:val="5ECB7E6B"/>
    <w:rsid w:val="5EDD37E9"/>
    <w:rsid w:val="5EE245C2"/>
    <w:rsid w:val="5EEB69E9"/>
    <w:rsid w:val="5F067373"/>
    <w:rsid w:val="5F145BEA"/>
    <w:rsid w:val="5F151865"/>
    <w:rsid w:val="5F1E652E"/>
    <w:rsid w:val="5F2D007D"/>
    <w:rsid w:val="5F71580D"/>
    <w:rsid w:val="5F7553EC"/>
    <w:rsid w:val="5F7A1C50"/>
    <w:rsid w:val="5F8B66B6"/>
    <w:rsid w:val="5F931F98"/>
    <w:rsid w:val="5F9A2745"/>
    <w:rsid w:val="5F9A5E4E"/>
    <w:rsid w:val="5FC34CB4"/>
    <w:rsid w:val="5FCA42C9"/>
    <w:rsid w:val="5FCE3281"/>
    <w:rsid w:val="5FF67C26"/>
    <w:rsid w:val="5FFB7F5F"/>
    <w:rsid w:val="60064111"/>
    <w:rsid w:val="601A1006"/>
    <w:rsid w:val="601A6293"/>
    <w:rsid w:val="601F69DC"/>
    <w:rsid w:val="60351ABB"/>
    <w:rsid w:val="605E0812"/>
    <w:rsid w:val="60786323"/>
    <w:rsid w:val="60793CB6"/>
    <w:rsid w:val="607B3777"/>
    <w:rsid w:val="6080155E"/>
    <w:rsid w:val="60844998"/>
    <w:rsid w:val="60D860A7"/>
    <w:rsid w:val="611C507C"/>
    <w:rsid w:val="613934B7"/>
    <w:rsid w:val="6167027D"/>
    <w:rsid w:val="61672B5B"/>
    <w:rsid w:val="61827813"/>
    <w:rsid w:val="61891470"/>
    <w:rsid w:val="618B4948"/>
    <w:rsid w:val="619F6074"/>
    <w:rsid w:val="61C26BC2"/>
    <w:rsid w:val="61CF0DEC"/>
    <w:rsid w:val="61E6102F"/>
    <w:rsid w:val="61E73F59"/>
    <w:rsid w:val="61EB0C1C"/>
    <w:rsid w:val="61EB5812"/>
    <w:rsid w:val="61F968D4"/>
    <w:rsid w:val="62055E3F"/>
    <w:rsid w:val="62132B84"/>
    <w:rsid w:val="6222625D"/>
    <w:rsid w:val="623920A5"/>
    <w:rsid w:val="624448F1"/>
    <w:rsid w:val="624873FE"/>
    <w:rsid w:val="62613E53"/>
    <w:rsid w:val="62626CDA"/>
    <w:rsid w:val="62641A1C"/>
    <w:rsid w:val="62647E6E"/>
    <w:rsid w:val="626C6CD5"/>
    <w:rsid w:val="62784B3B"/>
    <w:rsid w:val="62A00E2A"/>
    <w:rsid w:val="62B013A7"/>
    <w:rsid w:val="62C10087"/>
    <w:rsid w:val="62C50258"/>
    <w:rsid w:val="62D56096"/>
    <w:rsid w:val="62D67621"/>
    <w:rsid w:val="62D8095E"/>
    <w:rsid w:val="62DB6486"/>
    <w:rsid w:val="62E30FF8"/>
    <w:rsid w:val="62EC5406"/>
    <w:rsid w:val="630D54C2"/>
    <w:rsid w:val="630F26B0"/>
    <w:rsid w:val="63220A68"/>
    <w:rsid w:val="63226DED"/>
    <w:rsid w:val="632E66B1"/>
    <w:rsid w:val="63413E69"/>
    <w:rsid w:val="63675B4E"/>
    <w:rsid w:val="63721CD6"/>
    <w:rsid w:val="63724A41"/>
    <w:rsid w:val="63726596"/>
    <w:rsid w:val="637956DD"/>
    <w:rsid w:val="63A1155A"/>
    <w:rsid w:val="63A27516"/>
    <w:rsid w:val="63A4773B"/>
    <w:rsid w:val="63B1399A"/>
    <w:rsid w:val="64042082"/>
    <w:rsid w:val="641441DB"/>
    <w:rsid w:val="64235C7C"/>
    <w:rsid w:val="64397112"/>
    <w:rsid w:val="644910AF"/>
    <w:rsid w:val="64501828"/>
    <w:rsid w:val="64675359"/>
    <w:rsid w:val="647247BA"/>
    <w:rsid w:val="64727FBB"/>
    <w:rsid w:val="649A5421"/>
    <w:rsid w:val="649B56FD"/>
    <w:rsid w:val="64B46E7D"/>
    <w:rsid w:val="64CF659A"/>
    <w:rsid w:val="64D85A50"/>
    <w:rsid w:val="64EF188D"/>
    <w:rsid w:val="64F46354"/>
    <w:rsid w:val="64F50520"/>
    <w:rsid w:val="64F57E84"/>
    <w:rsid w:val="651A7ED9"/>
    <w:rsid w:val="653D6B73"/>
    <w:rsid w:val="654C1729"/>
    <w:rsid w:val="654F7DBF"/>
    <w:rsid w:val="65503C38"/>
    <w:rsid w:val="655302FE"/>
    <w:rsid w:val="655D5A4F"/>
    <w:rsid w:val="655E16AA"/>
    <w:rsid w:val="65746C27"/>
    <w:rsid w:val="657B5DDA"/>
    <w:rsid w:val="658B382B"/>
    <w:rsid w:val="659A1697"/>
    <w:rsid w:val="65A55949"/>
    <w:rsid w:val="65A95A15"/>
    <w:rsid w:val="65B0650B"/>
    <w:rsid w:val="65F16D88"/>
    <w:rsid w:val="65F728C0"/>
    <w:rsid w:val="66136E32"/>
    <w:rsid w:val="66926086"/>
    <w:rsid w:val="669B1B1E"/>
    <w:rsid w:val="66AE094C"/>
    <w:rsid w:val="66BA0562"/>
    <w:rsid w:val="66C9145D"/>
    <w:rsid w:val="66C93061"/>
    <w:rsid w:val="66DE2A47"/>
    <w:rsid w:val="66ED40E5"/>
    <w:rsid w:val="66F03ECF"/>
    <w:rsid w:val="670A6627"/>
    <w:rsid w:val="674108E9"/>
    <w:rsid w:val="67607CC8"/>
    <w:rsid w:val="6764627B"/>
    <w:rsid w:val="67857B12"/>
    <w:rsid w:val="67872944"/>
    <w:rsid w:val="67950F68"/>
    <w:rsid w:val="67992086"/>
    <w:rsid w:val="679A03AE"/>
    <w:rsid w:val="679C6C08"/>
    <w:rsid w:val="67A066D2"/>
    <w:rsid w:val="67A667AE"/>
    <w:rsid w:val="67A73561"/>
    <w:rsid w:val="67D56509"/>
    <w:rsid w:val="67DA2F10"/>
    <w:rsid w:val="67EC5318"/>
    <w:rsid w:val="680370CE"/>
    <w:rsid w:val="680377B8"/>
    <w:rsid w:val="680C14DE"/>
    <w:rsid w:val="681352C1"/>
    <w:rsid w:val="683A7E50"/>
    <w:rsid w:val="683B6211"/>
    <w:rsid w:val="684F10C7"/>
    <w:rsid w:val="68641C64"/>
    <w:rsid w:val="68761C12"/>
    <w:rsid w:val="687C0725"/>
    <w:rsid w:val="687E3344"/>
    <w:rsid w:val="687F0D7E"/>
    <w:rsid w:val="688356D2"/>
    <w:rsid w:val="68965D97"/>
    <w:rsid w:val="689B2C83"/>
    <w:rsid w:val="68A41D0F"/>
    <w:rsid w:val="68AB76E3"/>
    <w:rsid w:val="68AC0507"/>
    <w:rsid w:val="68C32AAE"/>
    <w:rsid w:val="68E246DA"/>
    <w:rsid w:val="68F16ADF"/>
    <w:rsid w:val="69050198"/>
    <w:rsid w:val="69077D0B"/>
    <w:rsid w:val="692C13F1"/>
    <w:rsid w:val="692C783C"/>
    <w:rsid w:val="695F25DC"/>
    <w:rsid w:val="69637183"/>
    <w:rsid w:val="69657B34"/>
    <w:rsid w:val="699251C0"/>
    <w:rsid w:val="69AC6E6A"/>
    <w:rsid w:val="69B30239"/>
    <w:rsid w:val="69D712AE"/>
    <w:rsid w:val="69E064A1"/>
    <w:rsid w:val="69E930CF"/>
    <w:rsid w:val="69E96E96"/>
    <w:rsid w:val="69E9750C"/>
    <w:rsid w:val="69F0200E"/>
    <w:rsid w:val="69FB2E31"/>
    <w:rsid w:val="6A053A20"/>
    <w:rsid w:val="6A201B0A"/>
    <w:rsid w:val="6A46465F"/>
    <w:rsid w:val="6A53227F"/>
    <w:rsid w:val="6A783BC3"/>
    <w:rsid w:val="6AA62F6F"/>
    <w:rsid w:val="6AA73DF1"/>
    <w:rsid w:val="6AA92C05"/>
    <w:rsid w:val="6ABC46AA"/>
    <w:rsid w:val="6ACE2AD5"/>
    <w:rsid w:val="6AD53B5C"/>
    <w:rsid w:val="6AEF00B2"/>
    <w:rsid w:val="6AF2738A"/>
    <w:rsid w:val="6AF95DF0"/>
    <w:rsid w:val="6B027C5F"/>
    <w:rsid w:val="6B171A79"/>
    <w:rsid w:val="6B227976"/>
    <w:rsid w:val="6B374FFD"/>
    <w:rsid w:val="6B5C378E"/>
    <w:rsid w:val="6B714110"/>
    <w:rsid w:val="6B836C1E"/>
    <w:rsid w:val="6B900E87"/>
    <w:rsid w:val="6BA84703"/>
    <w:rsid w:val="6BBD0242"/>
    <w:rsid w:val="6BC3434D"/>
    <w:rsid w:val="6BC45635"/>
    <w:rsid w:val="6BCF18C2"/>
    <w:rsid w:val="6C0266B2"/>
    <w:rsid w:val="6C053FA9"/>
    <w:rsid w:val="6C112A69"/>
    <w:rsid w:val="6C1C0317"/>
    <w:rsid w:val="6C273423"/>
    <w:rsid w:val="6C382C77"/>
    <w:rsid w:val="6C571FEE"/>
    <w:rsid w:val="6C69773F"/>
    <w:rsid w:val="6C737D20"/>
    <w:rsid w:val="6C857A4E"/>
    <w:rsid w:val="6C942631"/>
    <w:rsid w:val="6CA7187B"/>
    <w:rsid w:val="6CB07DEF"/>
    <w:rsid w:val="6CC34E3F"/>
    <w:rsid w:val="6CD8512E"/>
    <w:rsid w:val="6CE743A7"/>
    <w:rsid w:val="6CE801F9"/>
    <w:rsid w:val="6CF3699A"/>
    <w:rsid w:val="6D237B7E"/>
    <w:rsid w:val="6D2F6072"/>
    <w:rsid w:val="6D453D8E"/>
    <w:rsid w:val="6D4C5954"/>
    <w:rsid w:val="6D7B6296"/>
    <w:rsid w:val="6D7E53B7"/>
    <w:rsid w:val="6D8C6AD3"/>
    <w:rsid w:val="6D9F4944"/>
    <w:rsid w:val="6DBC5555"/>
    <w:rsid w:val="6DC53215"/>
    <w:rsid w:val="6DD47CD2"/>
    <w:rsid w:val="6DD547D0"/>
    <w:rsid w:val="6DEE66FB"/>
    <w:rsid w:val="6DF12305"/>
    <w:rsid w:val="6E0B508D"/>
    <w:rsid w:val="6E101F46"/>
    <w:rsid w:val="6E1458DF"/>
    <w:rsid w:val="6E250702"/>
    <w:rsid w:val="6E296D1B"/>
    <w:rsid w:val="6E3A1023"/>
    <w:rsid w:val="6E4E069A"/>
    <w:rsid w:val="6E556337"/>
    <w:rsid w:val="6E663FAA"/>
    <w:rsid w:val="6E843F52"/>
    <w:rsid w:val="6E9E59CF"/>
    <w:rsid w:val="6EB66AA5"/>
    <w:rsid w:val="6EDC13C0"/>
    <w:rsid w:val="6EF04D47"/>
    <w:rsid w:val="6F000329"/>
    <w:rsid w:val="6F1B5C60"/>
    <w:rsid w:val="6F2B2F61"/>
    <w:rsid w:val="6F3338D1"/>
    <w:rsid w:val="6F604E0C"/>
    <w:rsid w:val="6F6A639F"/>
    <w:rsid w:val="6F6C1D54"/>
    <w:rsid w:val="6F6D52C9"/>
    <w:rsid w:val="6FBB7D0C"/>
    <w:rsid w:val="6FC96E83"/>
    <w:rsid w:val="6FF11C58"/>
    <w:rsid w:val="700175B7"/>
    <w:rsid w:val="700C0EA9"/>
    <w:rsid w:val="70100828"/>
    <w:rsid w:val="701207D3"/>
    <w:rsid w:val="7015759D"/>
    <w:rsid w:val="701C2621"/>
    <w:rsid w:val="702151B5"/>
    <w:rsid w:val="703379DD"/>
    <w:rsid w:val="70417E4C"/>
    <w:rsid w:val="7056457E"/>
    <w:rsid w:val="705C46E3"/>
    <w:rsid w:val="706E550A"/>
    <w:rsid w:val="70726AC0"/>
    <w:rsid w:val="707C129A"/>
    <w:rsid w:val="70830E93"/>
    <w:rsid w:val="70833AEB"/>
    <w:rsid w:val="708F0AF3"/>
    <w:rsid w:val="70946377"/>
    <w:rsid w:val="709478BF"/>
    <w:rsid w:val="70BA2488"/>
    <w:rsid w:val="70DF2B25"/>
    <w:rsid w:val="70E1568B"/>
    <w:rsid w:val="70E433B8"/>
    <w:rsid w:val="70EE1445"/>
    <w:rsid w:val="71040B82"/>
    <w:rsid w:val="710A203D"/>
    <w:rsid w:val="711B4FDE"/>
    <w:rsid w:val="711E1065"/>
    <w:rsid w:val="71216D07"/>
    <w:rsid w:val="71220EF5"/>
    <w:rsid w:val="712D7725"/>
    <w:rsid w:val="712E4099"/>
    <w:rsid w:val="713352F5"/>
    <w:rsid w:val="717E0593"/>
    <w:rsid w:val="71895BB9"/>
    <w:rsid w:val="71A90E62"/>
    <w:rsid w:val="71BE2293"/>
    <w:rsid w:val="71C71E3C"/>
    <w:rsid w:val="71D962C1"/>
    <w:rsid w:val="71EB6FBE"/>
    <w:rsid w:val="721548AD"/>
    <w:rsid w:val="721F19F7"/>
    <w:rsid w:val="7227513E"/>
    <w:rsid w:val="723120D6"/>
    <w:rsid w:val="72427426"/>
    <w:rsid w:val="724F63ED"/>
    <w:rsid w:val="72701246"/>
    <w:rsid w:val="72842E01"/>
    <w:rsid w:val="72965DA9"/>
    <w:rsid w:val="72B42502"/>
    <w:rsid w:val="72C7289D"/>
    <w:rsid w:val="72D82E67"/>
    <w:rsid w:val="72DF46D3"/>
    <w:rsid w:val="72E75D48"/>
    <w:rsid w:val="72E801DF"/>
    <w:rsid w:val="72F94092"/>
    <w:rsid w:val="72FF2541"/>
    <w:rsid w:val="731D299E"/>
    <w:rsid w:val="732B691E"/>
    <w:rsid w:val="732D5494"/>
    <w:rsid w:val="735628F8"/>
    <w:rsid w:val="7382075D"/>
    <w:rsid w:val="73861E23"/>
    <w:rsid w:val="738D1CF9"/>
    <w:rsid w:val="73965C91"/>
    <w:rsid w:val="73B332C5"/>
    <w:rsid w:val="73B62A03"/>
    <w:rsid w:val="73BD6870"/>
    <w:rsid w:val="73C31078"/>
    <w:rsid w:val="73D20CC2"/>
    <w:rsid w:val="73D32C6F"/>
    <w:rsid w:val="73DF2DC9"/>
    <w:rsid w:val="740424D0"/>
    <w:rsid w:val="740B7029"/>
    <w:rsid w:val="7413664E"/>
    <w:rsid w:val="742A3543"/>
    <w:rsid w:val="743533EA"/>
    <w:rsid w:val="74462BAA"/>
    <w:rsid w:val="744F62F5"/>
    <w:rsid w:val="746324DB"/>
    <w:rsid w:val="746E463E"/>
    <w:rsid w:val="747A0055"/>
    <w:rsid w:val="749658BF"/>
    <w:rsid w:val="74B6099D"/>
    <w:rsid w:val="74C10D2C"/>
    <w:rsid w:val="74CE03E1"/>
    <w:rsid w:val="74E01F3B"/>
    <w:rsid w:val="74E065A3"/>
    <w:rsid w:val="74E227DE"/>
    <w:rsid w:val="74E31AB7"/>
    <w:rsid w:val="750C347F"/>
    <w:rsid w:val="754629E6"/>
    <w:rsid w:val="75557F22"/>
    <w:rsid w:val="75587F00"/>
    <w:rsid w:val="75787181"/>
    <w:rsid w:val="75810342"/>
    <w:rsid w:val="758C7BD8"/>
    <w:rsid w:val="75932CCC"/>
    <w:rsid w:val="759813DB"/>
    <w:rsid w:val="75A60CD6"/>
    <w:rsid w:val="75A761F8"/>
    <w:rsid w:val="75BD127A"/>
    <w:rsid w:val="75C62CC9"/>
    <w:rsid w:val="75C632E1"/>
    <w:rsid w:val="75D45D09"/>
    <w:rsid w:val="75D72C37"/>
    <w:rsid w:val="762B74A7"/>
    <w:rsid w:val="76336EF5"/>
    <w:rsid w:val="764077E7"/>
    <w:rsid w:val="76423FD0"/>
    <w:rsid w:val="7642525A"/>
    <w:rsid w:val="764814B4"/>
    <w:rsid w:val="76644949"/>
    <w:rsid w:val="766A58D9"/>
    <w:rsid w:val="7677412C"/>
    <w:rsid w:val="767A7D91"/>
    <w:rsid w:val="768F69C4"/>
    <w:rsid w:val="76905FCD"/>
    <w:rsid w:val="769200DB"/>
    <w:rsid w:val="76AF1659"/>
    <w:rsid w:val="76BE46EA"/>
    <w:rsid w:val="76C54B1A"/>
    <w:rsid w:val="76D20E27"/>
    <w:rsid w:val="77032247"/>
    <w:rsid w:val="77197BC5"/>
    <w:rsid w:val="774127AC"/>
    <w:rsid w:val="774432A9"/>
    <w:rsid w:val="77444ADF"/>
    <w:rsid w:val="774C2257"/>
    <w:rsid w:val="774D2E29"/>
    <w:rsid w:val="7758346F"/>
    <w:rsid w:val="77A30CD9"/>
    <w:rsid w:val="77A40A5E"/>
    <w:rsid w:val="77A45890"/>
    <w:rsid w:val="77A57A5E"/>
    <w:rsid w:val="77AC2AE9"/>
    <w:rsid w:val="77BC1088"/>
    <w:rsid w:val="77D543C0"/>
    <w:rsid w:val="77EE6B29"/>
    <w:rsid w:val="780157C6"/>
    <w:rsid w:val="781534B6"/>
    <w:rsid w:val="781700BB"/>
    <w:rsid w:val="78217F2E"/>
    <w:rsid w:val="783021E1"/>
    <w:rsid w:val="783F5685"/>
    <w:rsid w:val="78401E17"/>
    <w:rsid w:val="784937C3"/>
    <w:rsid w:val="784C1F84"/>
    <w:rsid w:val="78524633"/>
    <w:rsid w:val="78B65092"/>
    <w:rsid w:val="78C37F61"/>
    <w:rsid w:val="78D56AF2"/>
    <w:rsid w:val="78EC4051"/>
    <w:rsid w:val="78F30652"/>
    <w:rsid w:val="78F95253"/>
    <w:rsid w:val="790B4EDE"/>
    <w:rsid w:val="790D6DF5"/>
    <w:rsid w:val="793A45D4"/>
    <w:rsid w:val="793C4539"/>
    <w:rsid w:val="794252E9"/>
    <w:rsid w:val="796B08D6"/>
    <w:rsid w:val="79734E21"/>
    <w:rsid w:val="797E24AC"/>
    <w:rsid w:val="798A2714"/>
    <w:rsid w:val="79A052AA"/>
    <w:rsid w:val="79A42980"/>
    <w:rsid w:val="79BB1EFA"/>
    <w:rsid w:val="79C555D9"/>
    <w:rsid w:val="79C71A08"/>
    <w:rsid w:val="79E620CD"/>
    <w:rsid w:val="79E675CF"/>
    <w:rsid w:val="79F145FF"/>
    <w:rsid w:val="79F7073C"/>
    <w:rsid w:val="79F91BF5"/>
    <w:rsid w:val="7A0A5FCD"/>
    <w:rsid w:val="7A142374"/>
    <w:rsid w:val="7A146133"/>
    <w:rsid w:val="7A1F7224"/>
    <w:rsid w:val="7A2D5177"/>
    <w:rsid w:val="7A30600C"/>
    <w:rsid w:val="7A316DFD"/>
    <w:rsid w:val="7A3C1830"/>
    <w:rsid w:val="7A4211AE"/>
    <w:rsid w:val="7A6A66F1"/>
    <w:rsid w:val="7AA961D6"/>
    <w:rsid w:val="7AAA707D"/>
    <w:rsid w:val="7ABA2B92"/>
    <w:rsid w:val="7ACA5822"/>
    <w:rsid w:val="7AD1602C"/>
    <w:rsid w:val="7AE26EA2"/>
    <w:rsid w:val="7AE52C85"/>
    <w:rsid w:val="7AEA7832"/>
    <w:rsid w:val="7AFF2117"/>
    <w:rsid w:val="7B0A302D"/>
    <w:rsid w:val="7B1655E6"/>
    <w:rsid w:val="7B2239CA"/>
    <w:rsid w:val="7B2952EB"/>
    <w:rsid w:val="7B3658DF"/>
    <w:rsid w:val="7B4142BA"/>
    <w:rsid w:val="7B4E7284"/>
    <w:rsid w:val="7B551150"/>
    <w:rsid w:val="7B613589"/>
    <w:rsid w:val="7B7F7E7E"/>
    <w:rsid w:val="7B864CF7"/>
    <w:rsid w:val="7B8D1F49"/>
    <w:rsid w:val="7B956F13"/>
    <w:rsid w:val="7BA34273"/>
    <w:rsid w:val="7BB0121D"/>
    <w:rsid w:val="7BB66599"/>
    <w:rsid w:val="7BC02A3A"/>
    <w:rsid w:val="7BE1301A"/>
    <w:rsid w:val="7C030EB7"/>
    <w:rsid w:val="7C2326AC"/>
    <w:rsid w:val="7C2E1881"/>
    <w:rsid w:val="7C4631EC"/>
    <w:rsid w:val="7C6A47DD"/>
    <w:rsid w:val="7C7C14EC"/>
    <w:rsid w:val="7C801A8E"/>
    <w:rsid w:val="7C834F67"/>
    <w:rsid w:val="7C9061B7"/>
    <w:rsid w:val="7C985A6D"/>
    <w:rsid w:val="7CA53A11"/>
    <w:rsid w:val="7CAF5D59"/>
    <w:rsid w:val="7CD746CA"/>
    <w:rsid w:val="7CE16A13"/>
    <w:rsid w:val="7CFB4ED2"/>
    <w:rsid w:val="7D197E3E"/>
    <w:rsid w:val="7D2F1EBE"/>
    <w:rsid w:val="7D4159E7"/>
    <w:rsid w:val="7D461CB9"/>
    <w:rsid w:val="7D521D7A"/>
    <w:rsid w:val="7D5774A2"/>
    <w:rsid w:val="7D5C32D4"/>
    <w:rsid w:val="7D606E49"/>
    <w:rsid w:val="7D7F0D16"/>
    <w:rsid w:val="7D920B3D"/>
    <w:rsid w:val="7DC82FA7"/>
    <w:rsid w:val="7DDD6CBB"/>
    <w:rsid w:val="7DDE7EF6"/>
    <w:rsid w:val="7DE013EF"/>
    <w:rsid w:val="7DE34FA3"/>
    <w:rsid w:val="7DE53F10"/>
    <w:rsid w:val="7DEE13E8"/>
    <w:rsid w:val="7E0E55E6"/>
    <w:rsid w:val="7E6B25DB"/>
    <w:rsid w:val="7E790593"/>
    <w:rsid w:val="7E791EA6"/>
    <w:rsid w:val="7E8B6C36"/>
    <w:rsid w:val="7E9B7177"/>
    <w:rsid w:val="7EA057D4"/>
    <w:rsid w:val="7EB75C7D"/>
    <w:rsid w:val="7EC01032"/>
    <w:rsid w:val="7EC85D8C"/>
    <w:rsid w:val="7ECC2A41"/>
    <w:rsid w:val="7EF8024C"/>
    <w:rsid w:val="7F0D1EB0"/>
    <w:rsid w:val="7F164DCC"/>
    <w:rsid w:val="7F1D0DCD"/>
    <w:rsid w:val="7F243F0D"/>
    <w:rsid w:val="7F3B68AE"/>
    <w:rsid w:val="7F697019"/>
    <w:rsid w:val="7F741C3C"/>
    <w:rsid w:val="7F747AE1"/>
    <w:rsid w:val="7F764D95"/>
    <w:rsid w:val="7F8C2EEF"/>
    <w:rsid w:val="7F8D144D"/>
    <w:rsid w:val="7F993CCA"/>
    <w:rsid w:val="7FA03070"/>
    <w:rsid w:val="7FE54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4"/>
    <w:autoRedefine/>
    <w:qFormat/>
    <w:uiPriority w:val="0"/>
    <w:pPr>
      <w:keepNext/>
      <w:keepLines/>
      <w:spacing w:before="120" w:after="120"/>
      <w:jc w:val="center"/>
      <w:outlineLvl w:val="0"/>
    </w:pPr>
    <w:rPr>
      <w:b/>
      <w:spacing w:val="20"/>
      <w:kern w:val="44"/>
      <w:sz w:val="32"/>
    </w:rPr>
  </w:style>
  <w:style w:type="paragraph" w:styleId="3">
    <w:name w:val="heading 2"/>
    <w:basedOn w:val="1"/>
    <w:next w:val="1"/>
    <w:link w:val="129"/>
    <w:autoRedefine/>
    <w:qFormat/>
    <w:uiPriority w:val="0"/>
    <w:pPr>
      <w:keepNext/>
      <w:keepLines/>
      <w:spacing w:line="400" w:lineRule="exact"/>
      <w:jc w:val="center"/>
      <w:outlineLvl w:val="1"/>
    </w:pPr>
    <w:rPr>
      <w:rFonts w:ascii="Arial" w:hAnsi="Arial"/>
      <w:b/>
      <w:kern w:val="0"/>
      <w:sz w:val="30"/>
    </w:rPr>
  </w:style>
  <w:style w:type="paragraph" w:styleId="4">
    <w:name w:val="heading 3"/>
    <w:basedOn w:val="1"/>
    <w:next w:val="1"/>
    <w:link w:val="56"/>
    <w:autoRedefine/>
    <w:qFormat/>
    <w:uiPriority w:val="0"/>
    <w:pPr>
      <w:keepNext/>
      <w:keepLines/>
      <w:spacing w:before="60" w:line="400" w:lineRule="exact"/>
      <w:ind w:firstLine="643" w:firstLineChars="200"/>
      <w:jc w:val="center"/>
      <w:outlineLvl w:val="2"/>
    </w:pPr>
    <w:rPr>
      <w:rFonts w:ascii="仿宋" w:hAnsi="仿宋" w:eastAsia="仿宋" w:cs="仿宋"/>
      <w:b/>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9"/>
    <w:pPr>
      <w:widowControl/>
      <w:numPr>
        <w:ilvl w:val="4"/>
        <w:numId w:val="1"/>
      </w:numPr>
      <w:spacing w:line="271" w:lineRule="auto"/>
      <w:jc w:val="left"/>
      <w:outlineLvl w:val="4"/>
    </w:pPr>
    <w:rPr>
      <w:rFonts w:ascii="Verdana" w:hAnsi="Verdana" w:eastAsia="黑体"/>
      <w:b/>
      <w:iCs/>
      <w:kern w:val="0"/>
      <w:sz w:val="24"/>
      <w:lang w:eastAsia="en-US" w:bidi="en-US"/>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260"/>
      <w:jc w:val="left"/>
    </w:pPr>
    <w:rPr>
      <w:sz w:val="18"/>
      <w:szCs w:val="18"/>
    </w:rPr>
  </w:style>
  <w:style w:type="paragraph" w:styleId="8">
    <w:name w:val="Normal Indent"/>
    <w:basedOn w:val="1"/>
    <w:link w:val="72"/>
    <w:qFormat/>
    <w:uiPriority w:val="0"/>
    <w:pPr>
      <w:ind w:firstLine="420"/>
    </w:pPr>
  </w:style>
  <w:style w:type="paragraph" w:styleId="9">
    <w:name w:val="Document Map"/>
    <w:basedOn w:val="1"/>
    <w:qFormat/>
    <w:uiPriority w:val="0"/>
    <w:pPr>
      <w:shd w:val="clear" w:color="auto" w:fill="000080"/>
    </w:pPr>
  </w:style>
  <w:style w:type="paragraph" w:styleId="10">
    <w:name w:val="toa heading"/>
    <w:basedOn w:val="1"/>
    <w:next w:val="1"/>
    <w:autoRedefine/>
    <w:qFormat/>
    <w:uiPriority w:val="0"/>
    <w:pPr>
      <w:spacing w:before="120"/>
    </w:pPr>
    <w:rPr>
      <w:rFonts w:ascii="Arial" w:hAnsi="Arial" w:cs="Arial"/>
      <w:sz w:val="24"/>
      <w:szCs w:val="24"/>
    </w:rPr>
  </w:style>
  <w:style w:type="paragraph" w:styleId="11">
    <w:name w:val="annotation text"/>
    <w:basedOn w:val="1"/>
    <w:autoRedefine/>
    <w:qFormat/>
    <w:uiPriority w:val="0"/>
    <w:pPr>
      <w:jc w:val="left"/>
    </w:pPr>
  </w:style>
  <w:style w:type="paragraph" w:styleId="12">
    <w:name w:val="Body Text 3"/>
    <w:basedOn w:val="1"/>
    <w:link w:val="104"/>
    <w:autoRedefine/>
    <w:qFormat/>
    <w:uiPriority w:val="0"/>
    <w:rPr>
      <w:rFonts w:ascii="仿宋_GB2312" w:hAnsi="Arial" w:eastAsia="仿宋_GB2312"/>
      <w:sz w:val="32"/>
    </w:rPr>
  </w:style>
  <w:style w:type="paragraph" w:styleId="13">
    <w:name w:val="Body Text"/>
    <w:basedOn w:val="1"/>
    <w:link w:val="115"/>
    <w:autoRedefine/>
    <w:qFormat/>
    <w:uiPriority w:val="0"/>
    <w:pPr>
      <w:adjustRightInd w:val="0"/>
      <w:spacing w:line="440" w:lineRule="exact"/>
    </w:pPr>
    <w:rPr>
      <w:rFonts w:ascii="宋体" w:hAnsi="宋体"/>
      <w:bCs/>
      <w:color w:val="000000"/>
      <w:sz w:val="24"/>
    </w:rPr>
  </w:style>
  <w:style w:type="paragraph" w:styleId="14">
    <w:name w:val="Body Text Indent"/>
    <w:basedOn w:val="1"/>
    <w:next w:val="1"/>
    <w:link w:val="76"/>
    <w:qFormat/>
    <w:uiPriority w:val="0"/>
    <w:pPr>
      <w:spacing w:line="460" w:lineRule="exact"/>
      <w:ind w:firstLine="510"/>
    </w:pPr>
  </w:style>
  <w:style w:type="paragraph" w:styleId="15">
    <w:name w:val="Block Text"/>
    <w:basedOn w:val="1"/>
    <w:qFormat/>
    <w:uiPriority w:val="0"/>
    <w:pPr>
      <w:tabs>
        <w:tab w:val="left" w:pos="1905"/>
      </w:tabs>
      <w:spacing w:line="560" w:lineRule="exact"/>
      <w:ind w:left="-178" w:leftChars="-85" w:right="-40" w:rightChars="-19" w:firstLine="560" w:firstLineChars="200"/>
      <w:jc w:val="left"/>
    </w:pPr>
    <w:rPr>
      <w:rFonts w:ascii="宋体" w:hAnsi="宋体"/>
      <w:sz w:val="28"/>
      <w:szCs w:val="24"/>
    </w:rPr>
  </w:style>
  <w:style w:type="paragraph" w:styleId="16">
    <w:name w:val="toc 5"/>
    <w:basedOn w:val="1"/>
    <w:next w:val="1"/>
    <w:autoRedefine/>
    <w:qFormat/>
    <w:uiPriority w:val="0"/>
    <w:pPr>
      <w:ind w:left="840"/>
      <w:jc w:val="left"/>
    </w:pPr>
    <w:rPr>
      <w:sz w:val="18"/>
      <w:szCs w:val="18"/>
    </w:rPr>
  </w:style>
  <w:style w:type="paragraph" w:styleId="17">
    <w:name w:val="toc 3"/>
    <w:basedOn w:val="1"/>
    <w:next w:val="1"/>
    <w:autoRedefine/>
    <w:qFormat/>
    <w:uiPriority w:val="0"/>
    <w:pPr>
      <w:ind w:left="420"/>
      <w:jc w:val="left"/>
    </w:pPr>
    <w:rPr>
      <w:i/>
      <w:iCs/>
      <w:sz w:val="20"/>
    </w:rPr>
  </w:style>
  <w:style w:type="paragraph" w:styleId="18">
    <w:name w:val="Plain Text"/>
    <w:basedOn w:val="1"/>
    <w:link w:val="58"/>
    <w:autoRedefine/>
    <w:qFormat/>
    <w:uiPriority w:val="0"/>
    <w:rPr>
      <w:rFonts w:ascii="宋体" w:hAnsi="Courier New"/>
    </w:rPr>
  </w:style>
  <w:style w:type="paragraph" w:styleId="19">
    <w:name w:val="toc 8"/>
    <w:basedOn w:val="1"/>
    <w:next w:val="1"/>
    <w:autoRedefine/>
    <w:qFormat/>
    <w:uiPriority w:val="0"/>
    <w:pPr>
      <w:ind w:left="1470"/>
      <w:jc w:val="left"/>
    </w:pPr>
    <w:rPr>
      <w:sz w:val="18"/>
      <w:szCs w:val="18"/>
    </w:rPr>
  </w:style>
  <w:style w:type="paragraph" w:styleId="20">
    <w:name w:val="Date"/>
    <w:basedOn w:val="1"/>
    <w:next w:val="1"/>
    <w:autoRedefine/>
    <w:qFormat/>
    <w:uiPriority w:val="0"/>
    <w:pPr>
      <w:ind w:left="100" w:leftChars="2500"/>
    </w:pPr>
    <w:rPr>
      <w:rFonts w:ascii="宋体"/>
      <w:sz w:val="24"/>
    </w:rPr>
  </w:style>
  <w:style w:type="paragraph" w:styleId="21">
    <w:name w:val="Body Text Indent 2"/>
    <w:basedOn w:val="1"/>
    <w:autoRedefine/>
    <w:qFormat/>
    <w:uiPriority w:val="0"/>
    <w:pPr>
      <w:spacing w:line="500" w:lineRule="exact"/>
      <w:ind w:firstLine="510"/>
    </w:pPr>
    <w:rPr>
      <w:rFonts w:ascii="宋体"/>
      <w:sz w:val="24"/>
    </w:rPr>
  </w:style>
  <w:style w:type="paragraph" w:styleId="22">
    <w:name w:val="Balloon Text"/>
    <w:basedOn w:val="1"/>
    <w:autoRedefine/>
    <w:qFormat/>
    <w:uiPriority w:val="0"/>
    <w:rPr>
      <w:sz w:val="18"/>
      <w:szCs w:val="18"/>
    </w:rPr>
  </w:style>
  <w:style w:type="paragraph" w:styleId="23">
    <w:name w:val="footer"/>
    <w:basedOn w:val="1"/>
    <w:link w:val="70"/>
    <w:qFormat/>
    <w:uiPriority w:val="99"/>
    <w:pPr>
      <w:tabs>
        <w:tab w:val="center" w:pos="4153"/>
        <w:tab w:val="right" w:pos="8306"/>
      </w:tabs>
      <w:snapToGrid w:val="0"/>
      <w:jc w:val="left"/>
    </w:pPr>
    <w:rPr>
      <w:sz w:val="18"/>
    </w:rPr>
  </w:style>
  <w:style w:type="paragraph" w:styleId="24">
    <w:name w:val="header"/>
    <w:basedOn w:val="1"/>
    <w:link w:val="62"/>
    <w:qFormat/>
    <w:uiPriority w:val="0"/>
    <w:pPr>
      <w:pBdr>
        <w:bottom w:val="single" w:color="auto" w:sz="6" w:space="1"/>
      </w:pBdr>
      <w:tabs>
        <w:tab w:val="center" w:pos="4153"/>
        <w:tab w:val="right" w:pos="8306"/>
      </w:tabs>
      <w:snapToGrid w:val="0"/>
      <w:jc w:val="center"/>
    </w:pPr>
    <w:rPr>
      <w:sz w:val="18"/>
    </w:rPr>
  </w:style>
  <w:style w:type="paragraph" w:styleId="25">
    <w:name w:val="toc 1"/>
    <w:basedOn w:val="1"/>
    <w:next w:val="1"/>
    <w:autoRedefine/>
    <w:qFormat/>
    <w:uiPriority w:val="0"/>
    <w:pPr>
      <w:spacing w:before="120" w:after="120"/>
      <w:jc w:val="left"/>
    </w:pPr>
    <w:rPr>
      <w:b/>
      <w:bCs/>
      <w:caps/>
      <w:sz w:val="20"/>
    </w:rPr>
  </w:style>
  <w:style w:type="paragraph" w:styleId="26">
    <w:name w:val="toc 4"/>
    <w:basedOn w:val="1"/>
    <w:next w:val="1"/>
    <w:autoRedefine/>
    <w:qFormat/>
    <w:uiPriority w:val="0"/>
    <w:pPr>
      <w:ind w:left="630"/>
      <w:jc w:val="left"/>
    </w:pPr>
    <w:rPr>
      <w:sz w:val="18"/>
      <w:szCs w:val="18"/>
    </w:rPr>
  </w:style>
  <w:style w:type="paragraph" w:styleId="27">
    <w:name w:val="toc 6"/>
    <w:basedOn w:val="1"/>
    <w:next w:val="1"/>
    <w:qFormat/>
    <w:uiPriority w:val="0"/>
    <w:pPr>
      <w:ind w:left="1050"/>
      <w:jc w:val="left"/>
    </w:pPr>
    <w:rPr>
      <w:sz w:val="18"/>
      <w:szCs w:val="18"/>
    </w:rPr>
  </w:style>
  <w:style w:type="paragraph" w:styleId="28">
    <w:name w:val="Body Text Indent 3"/>
    <w:basedOn w:val="1"/>
    <w:autoRedefine/>
    <w:qFormat/>
    <w:uiPriority w:val="0"/>
    <w:pPr>
      <w:tabs>
        <w:tab w:val="left" w:pos="720"/>
      </w:tabs>
      <w:spacing w:line="460" w:lineRule="exact"/>
      <w:ind w:firstLine="480" w:firstLineChars="200"/>
    </w:pPr>
    <w:rPr>
      <w:sz w:val="24"/>
    </w:rPr>
  </w:style>
  <w:style w:type="paragraph" w:styleId="29">
    <w:name w:val="toc 2"/>
    <w:basedOn w:val="1"/>
    <w:next w:val="1"/>
    <w:autoRedefine/>
    <w:qFormat/>
    <w:uiPriority w:val="0"/>
    <w:pPr>
      <w:ind w:left="210"/>
      <w:jc w:val="left"/>
    </w:pPr>
    <w:rPr>
      <w:smallCaps/>
      <w:sz w:val="20"/>
    </w:rPr>
  </w:style>
  <w:style w:type="paragraph" w:styleId="30">
    <w:name w:val="toc 9"/>
    <w:basedOn w:val="1"/>
    <w:next w:val="1"/>
    <w:autoRedefine/>
    <w:qFormat/>
    <w:uiPriority w:val="0"/>
    <w:pPr>
      <w:ind w:left="1680"/>
      <w:jc w:val="left"/>
    </w:pPr>
    <w:rPr>
      <w:sz w:val="18"/>
      <w:szCs w:val="18"/>
    </w:rPr>
  </w:style>
  <w:style w:type="paragraph" w:styleId="31">
    <w:name w:val="Body Text 2"/>
    <w:basedOn w:val="1"/>
    <w:qFormat/>
    <w:uiPriority w:val="0"/>
    <w:pPr>
      <w:spacing w:line="400" w:lineRule="exact"/>
    </w:pPr>
    <w:rPr>
      <w:rFonts w:ascii="宋体"/>
      <w:color w:val="FF00FF"/>
      <w:sz w:val="24"/>
      <w:shd w:val="pct10" w:color="auto" w:fill="FFFFFF"/>
    </w:rPr>
  </w:style>
  <w:style w:type="paragraph" w:styleId="32">
    <w:name w:val="Message Header"/>
    <w:basedOn w:val="1"/>
    <w:link w:val="125"/>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4">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5">
    <w:name w:val="index 1"/>
    <w:basedOn w:val="1"/>
    <w:next w:val="1"/>
    <w:qFormat/>
    <w:uiPriority w:val="0"/>
    <w:rPr>
      <w:rFonts w:ascii="宋体" w:hAnsi="宋体"/>
      <w:sz w:val="24"/>
      <w:szCs w:val="24"/>
    </w:rPr>
  </w:style>
  <w:style w:type="paragraph" w:styleId="36">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37">
    <w:name w:val="Body Text First Indent"/>
    <w:basedOn w:val="13"/>
    <w:next w:val="1"/>
    <w:autoRedefine/>
    <w:qFormat/>
    <w:uiPriority w:val="0"/>
    <w:pPr>
      <w:ind w:firstLine="420" w:firstLineChars="100"/>
    </w:pPr>
    <w:rPr>
      <w:sz w:val="44"/>
    </w:rPr>
  </w:style>
  <w:style w:type="paragraph" w:styleId="38">
    <w:name w:val="Body Text First Indent 2"/>
    <w:basedOn w:val="14"/>
    <w:next w:val="1"/>
    <w:qFormat/>
    <w:uiPriority w:val="0"/>
    <w:pPr>
      <w:spacing w:after="120"/>
      <w:ind w:firstLine="420"/>
    </w:p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autoRedefine/>
    <w:qFormat/>
    <w:uiPriority w:val="0"/>
  </w:style>
  <w:style w:type="character" w:styleId="44">
    <w:name w:val="FollowedHyperlink"/>
    <w:autoRedefine/>
    <w:qFormat/>
    <w:uiPriority w:val="0"/>
    <w:rPr>
      <w:rFonts w:hint="eastAsia" w:ascii="微软雅黑" w:hAnsi="微软雅黑" w:eastAsia="微软雅黑" w:cs="微软雅黑"/>
      <w:color w:val="428BCA"/>
      <w:u w:val="none"/>
    </w:rPr>
  </w:style>
  <w:style w:type="character" w:styleId="45">
    <w:name w:val="Emphasis"/>
    <w:basedOn w:val="41"/>
    <w:autoRedefine/>
    <w:qFormat/>
    <w:uiPriority w:val="20"/>
    <w:rPr>
      <w:i/>
    </w:rPr>
  </w:style>
  <w:style w:type="character" w:styleId="46">
    <w:name w:val="HTML Definition"/>
    <w:autoRedefine/>
    <w:unhideWhenUsed/>
    <w:qFormat/>
    <w:uiPriority w:val="99"/>
    <w:rPr>
      <w:i/>
      <w:sz w:val="20"/>
      <w:szCs w:val="20"/>
    </w:rPr>
  </w:style>
  <w:style w:type="character" w:styleId="47">
    <w:name w:val="Hyperlink"/>
    <w:basedOn w:val="41"/>
    <w:qFormat/>
    <w:uiPriority w:val="0"/>
    <w:rPr>
      <w:rFonts w:hint="eastAsia" w:ascii="微软雅黑" w:hAnsi="微软雅黑" w:eastAsia="微软雅黑" w:cs="微软雅黑"/>
      <w:color w:val="428BCA"/>
      <w:u w:val="none"/>
    </w:rPr>
  </w:style>
  <w:style w:type="character" w:styleId="48">
    <w:name w:val="HTML Code"/>
    <w:unhideWhenUsed/>
    <w:qFormat/>
    <w:uiPriority w:val="99"/>
    <w:rPr>
      <w:rFonts w:hint="default" w:ascii="Consolas" w:hAnsi="Consolas" w:eastAsia="Consolas" w:cs="Consolas"/>
      <w:color w:val="C7254E"/>
      <w:sz w:val="21"/>
      <w:szCs w:val="21"/>
      <w:shd w:val="clear" w:color="auto" w:fill="F9F2F4"/>
    </w:rPr>
  </w:style>
  <w:style w:type="character" w:styleId="49">
    <w:name w:val="annotation reference"/>
    <w:autoRedefine/>
    <w:qFormat/>
    <w:uiPriority w:val="0"/>
    <w:rPr>
      <w:sz w:val="21"/>
    </w:rPr>
  </w:style>
  <w:style w:type="character" w:styleId="50">
    <w:name w:val="HTML Keyboard"/>
    <w:autoRedefine/>
    <w:unhideWhenUsed/>
    <w:qFormat/>
    <w:uiPriority w:val="99"/>
    <w:rPr>
      <w:rFonts w:hint="default" w:ascii="Consolas" w:hAnsi="Consolas" w:eastAsia="Consolas" w:cs="Consolas"/>
      <w:color w:val="FFFFFF"/>
      <w:sz w:val="21"/>
      <w:szCs w:val="21"/>
      <w:shd w:val="clear" w:color="auto" w:fill="333333"/>
    </w:rPr>
  </w:style>
  <w:style w:type="character" w:styleId="51">
    <w:name w:val="HTML Sample"/>
    <w:autoRedefine/>
    <w:unhideWhenUsed/>
    <w:qFormat/>
    <w:uiPriority w:val="99"/>
    <w:rPr>
      <w:rFonts w:ascii="Consolas" w:hAnsi="Consolas" w:eastAsia="Consolas" w:cs="Consolas"/>
      <w:sz w:val="21"/>
      <w:szCs w:val="21"/>
    </w:rPr>
  </w:style>
  <w:style w:type="paragraph" w:customStyle="1" w:styleId="52">
    <w:name w:val="Default"/>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53">
    <w:name w:val="正文1"/>
    <w:next w:val="1"/>
    <w:autoRedefine/>
    <w:qFormat/>
    <w:uiPriority w:val="0"/>
    <w:pPr>
      <w:widowControl w:val="0"/>
      <w:jc w:val="both"/>
    </w:pPr>
    <w:rPr>
      <w:rFonts w:ascii="Calibri" w:hAnsi="Calibri" w:eastAsia="宋体" w:cs="Times New Roman"/>
      <w:sz w:val="21"/>
      <w:szCs w:val="24"/>
      <w:lang w:val="en-US" w:eastAsia="zh-CN" w:bidi="ar-SA"/>
    </w:rPr>
  </w:style>
  <w:style w:type="paragraph" w:customStyle="1" w:styleId="54">
    <w:name w:val="首行缩进"/>
    <w:basedOn w:val="1"/>
    <w:autoRedefine/>
    <w:qFormat/>
    <w:uiPriority w:val="0"/>
    <w:pPr>
      <w:spacing w:line="360" w:lineRule="auto"/>
      <w:ind w:firstLine="480" w:firstLineChars="200"/>
    </w:pPr>
    <w:rPr>
      <w:rFonts w:ascii="Calibri" w:hAnsi="Calibri"/>
      <w:sz w:val="24"/>
      <w:lang w:val="zh-CN"/>
    </w:rPr>
  </w:style>
  <w:style w:type="paragraph" w:customStyle="1" w:styleId="55">
    <w:name w:val="正文样式"/>
    <w:basedOn w:val="1"/>
    <w:qFormat/>
    <w:uiPriority w:val="0"/>
    <w:pPr>
      <w:spacing w:line="360" w:lineRule="auto"/>
      <w:ind w:firstLine="567"/>
    </w:pPr>
    <w:rPr>
      <w:rFonts w:ascii="宋体" w:hAnsi="宋体"/>
      <w:kern w:val="0"/>
      <w:sz w:val="24"/>
    </w:rPr>
  </w:style>
  <w:style w:type="character" w:customStyle="1" w:styleId="56">
    <w:name w:val="标题 3 字符"/>
    <w:link w:val="4"/>
    <w:qFormat/>
    <w:uiPriority w:val="0"/>
    <w:rPr>
      <w:rFonts w:ascii="仿宋" w:hAnsi="仿宋" w:eastAsia="仿宋" w:cs="仿宋"/>
      <w:b/>
      <w:kern w:val="2"/>
      <w:sz w:val="32"/>
      <w:szCs w:val="32"/>
    </w:rPr>
  </w:style>
  <w:style w:type="character" w:customStyle="1" w:styleId="57">
    <w:name w:val="opr-jigou-danpoi-address-s"/>
    <w:basedOn w:val="41"/>
    <w:autoRedefine/>
    <w:qFormat/>
    <w:uiPriority w:val="0"/>
  </w:style>
  <w:style w:type="character" w:customStyle="1" w:styleId="58">
    <w:name w:val="纯文本 字符"/>
    <w:link w:val="18"/>
    <w:qFormat/>
    <w:uiPriority w:val="0"/>
    <w:rPr>
      <w:rFonts w:ascii="宋体" w:hAnsi="Courier New" w:eastAsia="宋体"/>
      <w:kern w:val="2"/>
      <w:sz w:val="21"/>
      <w:lang w:val="en-US" w:eastAsia="zh-CN" w:bidi="ar-SA"/>
    </w:rPr>
  </w:style>
  <w:style w:type="character" w:customStyle="1" w:styleId="59">
    <w:name w:val="hui3"/>
    <w:autoRedefine/>
    <w:qFormat/>
    <w:uiPriority w:val="0"/>
    <w:rPr>
      <w:color w:val="333333"/>
    </w:rPr>
  </w:style>
  <w:style w:type="character" w:customStyle="1" w:styleId="60">
    <w:name w:val="style51"/>
    <w:autoRedefine/>
    <w:qFormat/>
    <w:uiPriority w:val="0"/>
    <w:rPr>
      <w:color w:val="666666"/>
      <w:sz w:val="18"/>
      <w:szCs w:val="18"/>
    </w:rPr>
  </w:style>
  <w:style w:type="character" w:customStyle="1" w:styleId="61">
    <w:name w:val="para"/>
    <w:basedOn w:val="41"/>
    <w:autoRedefine/>
    <w:qFormat/>
    <w:uiPriority w:val="0"/>
  </w:style>
  <w:style w:type="character" w:customStyle="1" w:styleId="62">
    <w:name w:val="页眉 字符"/>
    <w:link w:val="24"/>
    <w:autoRedefine/>
    <w:qFormat/>
    <w:uiPriority w:val="0"/>
    <w:rPr>
      <w:kern w:val="2"/>
      <w:sz w:val="18"/>
    </w:rPr>
  </w:style>
  <w:style w:type="character" w:customStyle="1" w:styleId="63">
    <w:name w:val="v151"/>
    <w:autoRedefine/>
    <w:qFormat/>
    <w:uiPriority w:val="0"/>
    <w:rPr>
      <w:sz w:val="18"/>
      <w:szCs w:val="18"/>
    </w:rPr>
  </w:style>
  <w:style w:type="character" w:customStyle="1" w:styleId="64">
    <w:name w:val="标题 1 字符"/>
    <w:link w:val="2"/>
    <w:autoRedefine/>
    <w:qFormat/>
    <w:uiPriority w:val="0"/>
    <w:rPr>
      <w:rFonts w:eastAsia="宋体"/>
      <w:b/>
      <w:spacing w:val="20"/>
      <w:kern w:val="44"/>
      <w:sz w:val="32"/>
      <w:lang w:val="en-US" w:eastAsia="zh-CN" w:bidi="ar-SA"/>
    </w:rPr>
  </w:style>
  <w:style w:type="character" w:customStyle="1" w:styleId="65">
    <w:name w:val="Char Char4"/>
    <w:autoRedefine/>
    <w:qFormat/>
    <w:uiPriority w:val="0"/>
    <w:rPr>
      <w:rFonts w:ascii="宋体" w:hAnsi="Courier New" w:eastAsia="宋体"/>
      <w:kern w:val="2"/>
      <w:sz w:val="21"/>
      <w:lang w:val="en-US" w:eastAsia="zh-CN" w:bidi="ar-SA"/>
    </w:rPr>
  </w:style>
  <w:style w:type="character" w:customStyle="1" w:styleId="66">
    <w:name w:val="small1"/>
    <w:autoRedefine/>
    <w:qFormat/>
    <w:uiPriority w:val="0"/>
    <w:rPr>
      <w:rFonts w:hint="default" w:ascii="Verdana" w:hAnsi="Verdana"/>
      <w:sz w:val="17"/>
      <w:szCs w:val="17"/>
    </w:rPr>
  </w:style>
  <w:style w:type="character" w:customStyle="1" w:styleId="67">
    <w:name w:val="标题 2 字符"/>
    <w:link w:val="3"/>
    <w:autoRedefine/>
    <w:qFormat/>
    <w:uiPriority w:val="99"/>
    <w:rPr>
      <w:rFonts w:ascii="Arial" w:hAnsi="Arial" w:eastAsia="宋体"/>
      <w:b/>
      <w:sz w:val="30"/>
      <w:lang w:val="en-US" w:eastAsia="zh-CN" w:bidi="ar-SA"/>
    </w:rPr>
  </w:style>
  <w:style w:type="character" w:customStyle="1" w:styleId="68">
    <w:name w:val="纯文本 Char1"/>
    <w:autoRedefine/>
    <w:qFormat/>
    <w:uiPriority w:val="0"/>
    <w:rPr>
      <w:rFonts w:ascii="宋体" w:hAnsi="Courier New"/>
      <w:kern w:val="2"/>
      <w:sz w:val="21"/>
    </w:rPr>
  </w:style>
  <w:style w:type="character" w:customStyle="1" w:styleId="69">
    <w:name w:val="opr-jigou-danpoi-address-l"/>
    <w:basedOn w:val="41"/>
    <w:autoRedefine/>
    <w:qFormat/>
    <w:uiPriority w:val="0"/>
  </w:style>
  <w:style w:type="character" w:customStyle="1" w:styleId="70">
    <w:name w:val="页脚 字符"/>
    <w:link w:val="23"/>
    <w:autoRedefine/>
    <w:qFormat/>
    <w:uiPriority w:val="99"/>
    <w:rPr>
      <w:kern w:val="2"/>
      <w:sz w:val="18"/>
    </w:rPr>
  </w:style>
  <w:style w:type="character" w:customStyle="1" w:styleId="71">
    <w:name w:val="hei16b1"/>
    <w:autoRedefine/>
    <w:qFormat/>
    <w:uiPriority w:val="0"/>
    <w:rPr>
      <w:rFonts w:hint="default" w:ascii="Arial" w:hAnsi="Arial" w:cs="Arial"/>
      <w:b/>
      <w:bCs/>
      <w:color w:val="000000"/>
      <w:sz w:val="24"/>
      <w:szCs w:val="24"/>
    </w:rPr>
  </w:style>
  <w:style w:type="character" w:customStyle="1" w:styleId="72">
    <w:name w:val="正文缩进 字符"/>
    <w:link w:val="8"/>
    <w:autoRedefine/>
    <w:qFormat/>
    <w:uiPriority w:val="0"/>
    <w:rPr>
      <w:rFonts w:eastAsia="宋体"/>
      <w:kern w:val="2"/>
      <w:sz w:val="21"/>
      <w:lang w:val="en-US" w:eastAsia="zh-CN" w:bidi="ar-SA"/>
    </w:rPr>
  </w:style>
  <w:style w:type="character" w:customStyle="1" w:styleId="73">
    <w:name w:val="Char Char1"/>
    <w:qFormat/>
    <w:uiPriority w:val="0"/>
    <w:rPr>
      <w:rFonts w:ascii="宋体" w:hAnsi="Courier New" w:eastAsia="宋体"/>
      <w:kern w:val="2"/>
      <w:sz w:val="21"/>
      <w:lang w:val="en-US" w:eastAsia="zh-CN" w:bidi="ar-SA"/>
    </w:rPr>
  </w:style>
  <w:style w:type="character" w:customStyle="1" w:styleId="74">
    <w:name w:val="Plain Text Char"/>
    <w:autoRedefine/>
    <w:qFormat/>
    <w:uiPriority w:val="0"/>
    <w:rPr>
      <w:rFonts w:ascii="宋体" w:hAnsi="Courier New" w:eastAsia="宋体" w:cs="Courier New"/>
      <w:sz w:val="21"/>
      <w:szCs w:val="21"/>
    </w:rPr>
  </w:style>
  <w:style w:type="character" w:customStyle="1" w:styleId="75">
    <w:name w:val="point_normal"/>
    <w:basedOn w:val="41"/>
    <w:qFormat/>
    <w:uiPriority w:val="0"/>
  </w:style>
  <w:style w:type="character" w:customStyle="1" w:styleId="76">
    <w:name w:val="正文文本缩进 字符"/>
    <w:link w:val="14"/>
    <w:qFormat/>
    <w:uiPriority w:val="0"/>
    <w:rPr>
      <w:kern w:val="2"/>
      <w:sz w:val="21"/>
    </w:rPr>
  </w:style>
  <w:style w:type="character" w:customStyle="1" w:styleId="77">
    <w:name w:val="title_emph"/>
    <w:basedOn w:val="41"/>
    <w:qFormat/>
    <w:uiPriority w:val="0"/>
  </w:style>
  <w:style w:type="character" w:customStyle="1" w:styleId="78">
    <w:name w:val="表正文 Char"/>
    <w:autoRedefine/>
    <w:qFormat/>
    <w:uiPriority w:val="0"/>
    <w:rPr>
      <w:rFonts w:eastAsia="宋体"/>
      <w:kern w:val="2"/>
      <w:sz w:val="21"/>
      <w:lang w:val="en-US" w:eastAsia="zh-CN" w:bidi="ar-SA"/>
    </w:rPr>
  </w:style>
  <w:style w:type="paragraph" w:customStyle="1" w:styleId="79">
    <w:name w:val="正文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Char Char16"/>
    <w:basedOn w:val="9"/>
    <w:qFormat/>
    <w:uiPriority w:val="0"/>
  </w:style>
  <w:style w:type="paragraph" w:customStyle="1" w:styleId="81">
    <w:name w:val="Normal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2">
    <w:name w:val="列出段落1"/>
    <w:basedOn w:val="1"/>
    <w:autoRedefine/>
    <w:qFormat/>
    <w:uiPriority w:val="0"/>
    <w:pPr>
      <w:ind w:firstLine="420" w:firstLineChars="200"/>
    </w:pPr>
    <w:rPr>
      <w:rFonts w:ascii="Calibri" w:hAnsi="Calibri"/>
      <w:szCs w:val="22"/>
    </w:rPr>
  </w:style>
  <w:style w:type="paragraph" w:customStyle="1" w:styleId="83">
    <w:name w:val="正文2"/>
    <w:basedOn w:val="13"/>
    <w:next w:val="1"/>
    <w:qFormat/>
    <w:uiPriority w:val="0"/>
    <w:pPr>
      <w:spacing w:line="300" w:lineRule="auto"/>
      <w:ind w:left="500" w:leftChars="500"/>
    </w:pPr>
    <w:rPr>
      <w:szCs w:val="21"/>
    </w:rPr>
  </w:style>
  <w:style w:type="paragraph" w:customStyle="1" w:styleId="84">
    <w:name w:val="Char"/>
    <w:basedOn w:val="1"/>
    <w:qFormat/>
    <w:uiPriority w:val="0"/>
    <w:rPr>
      <w:rFonts w:ascii="仿宋_GB2312" w:eastAsia="仿宋_GB2312"/>
      <w:b/>
      <w:sz w:val="32"/>
      <w:szCs w:val="32"/>
    </w:rPr>
  </w:style>
  <w:style w:type="paragraph" w:customStyle="1" w:styleId="85">
    <w:name w:val="xl26"/>
    <w:basedOn w:val="1"/>
    <w:autoRedefine/>
    <w:qFormat/>
    <w:uiPriority w:val="0"/>
    <w:pPr>
      <w:widowControl/>
      <w:spacing w:before="100" w:beforeAutospacing="1" w:after="100" w:afterAutospacing="1"/>
      <w:jc w:val="center"/>
    </w:pPr>
    <w:rPr>
      <w:rFonts w:hint="eastAsia" w:ascii="仿宋_GB2312" w:hAnsi="宋体" w:eastAsia="仿宋_GB2312"/>
      <w:kern w:val="0"/>
      <w:sz w:val="24"/>
      <w:szCs w:val="24"/>
    </w:rPr>
  </w:style>
  <w:style w:type="paragraph" w:customStyle="1" w:styleId="86">
    <w:name w:val="Blockquote"/>
    <w:basedOn w:val="53"/>
    <w:qFormat/>
    <w:uiPriority w:val="0"/>
    <w:pPr>
      <w:autoSpaceDE w:val="0"/>
      <w:autoSpaceDN w:val="0"/>
      <w:adjustRightInd w:val="0"/>
      <w:spacing w:before="100" w:after="100"/>
      <w:ind w:left="360" w:right="360"/>
      <w:jc w:val="left"/>
    </w:pPr>
    <w:rPr>
      <w:sz w:val="24"/>
      <w:szCs w:val="20"/>
    </w:rPr>
  </w:style>
  <w:style w:type="paragraph" w:customStyle="1" w:styleId="87">
    <w:name w:val="Char5 Char Char Char Char Char Char"/>
    <w:basedOn w:val="1"/>
    <w:qFormat/>
    <w:uiPriority w:val="0"/>
    <w:pPr>
      <w:widowControl/>
      <w:spacing w:after="160" w:line="240" w:lineRule="exact"/>
      <w:jc w:val="left"/>
    </w:pPr>
  </w:style>
  <w:style w:type="paragraph" w:customStyle="1" w:styleId="88">
    <w:name w:val="_Style 43"/>
    <w:basedOn w:val="1"/>
    <w:qFormat/>
    <w:uiPriority w:val="0"/>
    <w:pPr>
      <w:widowControl/>
      <w:spacing w:after="160" w:line="240" w:lineRule="exact"/>
      <w:jc w:val="left"/>
    </w:pPr>
  </w:style>
  <w:style w:type="paragraph" w:customStyle="1" w:styleId="89">
    <w:name w:val="正文缩进 New"/>
    <w:basedOn w:val="1"/>
    <w:autoRedefine/>
    <w:qFormat/>
    <w:uiPriority w:val="0"/>
    <w:pPr>
      <w:ind w:firstLine="420"/>
    </w:pPr>
  </w:style>
  <w:style w:type="paragraph" w:customStyle="1" w:styleId="90">
    <w:name w:val="10 f"/>
    <w:basedOn w:val="1"/>
    <w:autoRedefine/>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lang w:val="de-DE" w:eastAsia="de-DE"/>
    </w:rPr>
  </w:style>
  <w:style w:type="paragraph" w:customStyle="1" w:styleId="91">
    <w:name w:val="Char Char Char Char Char Char1 Char"/>
    <w:basedOn w:val="9"/>
    <w:autoRedefine/>
    <w:qFormat/>
    <w:uiPriority w:val="0"/>
  </w:style>
  <w:style w:type="paragraph" w:customStyle="1" w:styleId="92">
    <w:name w:val="Char5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3">
    <w:name w:val="正文 New"/>
    <w:qFormat/>
    <w:uiPriority w:val="0"/>
    <w:pPr>
      <w:widowControl w:val="0"/>
      <w:tabs>
        <w:tab w:val="left" w:pos="1680"/>
      </w:tabs>
      <w:autoSpaceDE w:val="0"/>
      <w:autoSpaceDN w:val="0"/>
      <w:adjustRightInd w:val="0"/>
      <w:spacing w:line="360" w:lineRule="auto"/>
      <w:ind w:firstLine="200" w:firstLineChars="200"/>
      <w:jc w:val="both"/>
    </w:pPr>
    <w:rPr>
      <w:rFonts w:ascii="仿宋_GB2312" w:hAnsi="Times New Roman" w:eastAsia="宋体" w:cs="Times New Roman"/>
      <w:color w:val="000000"/>
      <w:sz w:val="24"/>
      <w:szCs w:val="24"/>
      <w:lang w:val="zh-CN" w:eastAsia="zh-CN" w:bidi="ar-SA"/>
    </w:rPr>
  </w:style>
  <w:style w:type="paragraph" w:customStyle="1" w:styleId="94">
    <w:name w:val="Standard o abs"/>
    <w:basedOn w:val="1"/>
    <w:qFormat/>
    <w:uiPriority w:val="0"/>
    <w:pPr>
      <w:widowControl/>
      <w:tabs>
        <w:tab w:val="left" w:pos="2835"/>
        <w:tab w:val="left" w:pos="3119"/>
        <w:tab w:val="left" w:pos="3402"/>
        <w:tab w:val="left" w:pos="3686"/>
        <w:tab w:val="left" w:pos="3969"/>
        <w:tab w:val="left" w:pos="4253"/>
      </w:tabs>
      <w:ind w:left="2552"/>
      <w:jc w:val="left"/>
    </w:pPr>
    <w:rPr>
      <w:rFonts w:ascii="Syntax" w:hAnsi="Syntax"/>
      <w:kern w:val="0"/>
      <w:sz w:val="20"/>
      <w:lang w:val="de-DE" w:eastAsia="de-DE"/>
    </w:rPr>
  </w:style>
  <w:style w:type="paragraph" w:customStyle="1" w:styleId="95">
    <w:name w:val="标题 2 New"/>
    <w:basedOn w:val="1"/>
    <w:next w:val="89"/>
    <w:qFormat/>
    <w:uiPriority w:val="0"/>
    <w:pPr>
      <w:keepNext/>
      <w:keepLines/>
      <w:spacing w:line="400" w:lineRule="exact"/>
      <w:jc w:val="center"/>
      <w:outlineLvl w:val="1"/>
    </w:pPr>
    <w:rPr>
      <w:rFonts w:ascii="Arial" w:hAnsi="Arial"/>
      <w:b/>
      <w:kern w:val="0"/>
      <w:sz w:val="30"/>
    </w:rPr>
  </w:style>
  <w:style w:type="paragraph" w:customStyle="1" w:styleId="96">
    <w:name w:val="Char Char Char Char"/>
    <w:basedOn w:val="1"/>
    <w:next w:val="1"/>
    <w:qFormat/>
    <w:uiPriority w:val="0"/>
    <w:pPr>
      <w:tabs>
        <w:tab w:val="left" w:pos="845"/>
      </w:tabs>
      <w:spacing w:before="156" w:beforeLines="50" w:after="312" w:afterLines="100" w:line="360" w:lineRule="auto"/>
      <w:ind w:left="1105" w:hanging="748"/>
      <w:jc w:val="center"/>
    </w:pPr>
    <w:rPr>
      <w:kern w:val="0"/>
      <w:sz w:val="24"/>
      <w:szCs w:val="24"/>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样式 标题 3 + (中文) 黑体 小四 非加粗 段前: 7.8 磅 段后: 0 磅 行距: 固定值 20 磅"/>
    <w:basedOn w:val="4"/>
    <w:qFormat/>
    <w:uiPriority w:val="99"/>
    <w:pPr>
      <w:spacing w:before="0"/>
    </w:pPr>
    <w:rPr>
      <w:rFonts w:eastAsia="黑体" w:cs="宋体"/>
      <w:b w:val="0"/>
    </w:rPr>
  </w:style>
  <w:style w:type="paragraph" w:customStyle="1" w:styleId="99">
    <w:name w:val="文档正文 Char"/>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100">
    <w:name w:val="Char Char Char Char1"/>
    <w:basedOn w:val="1"/>
    <w:next w:val="1"/>
    <w:autoRedefine/>
    <w:qFormat/>
    <w:uiPriority w:val="0"/>
    <w:pPr>
      <w:tabs>
        <w:tab w:val="left" w:pos="845"/>
      </w:tabs>
      <w:spacing w:before="156" w:beforeLines="50" w:after="312" w:afterLines="100" w:line="360" w:lineRule="auto"/>
      <w:ind w:left="2210" w:hanging="748"/>
      <w:jc w:val="center"/>
    </w:pPr>
    <w:rPr>
      <w:kern w:val="0"/>
      <w:sz w:val="24"/>
      <w:szCs w:val="24"/>
    </w:rPr>
  </w:style>
  <w:style w:type="paragraph" w:customStyle="1" w:styleId="101">
    <w:name w:val="_Style 33"/>
    <w:basedOn w:val="1"/>
    <w:next w:val="13"/>
    <w:autoRedefine/>
    <w:qFormat/>
    <w:uiPriority w:val="0"/>
    <w:pPr>
      <w:adjustRightInd w:val="0"/>
      <w:spacing w:line="440" w:lineRule="exact"/>
    </w:pPr>
    <w:rPr>
      <w:rFonts w:ascii="宋体" w:hAnsi="宋体"/>
      <w:bCs/>
      <w:color w:val="000000"/>
      <w:sz w:val="24"/>
    </w:rPr>
  </w:style>
  <w:style w:type="paragraph" w:customStyle="1" w:styleId="102">
    <w:name w:val="09正文_wh"/>
    <w:autoRedefine/>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103">
    <w:name w:val="正文文本1"/>
    <w:basedOn w:val="53"/>
    <w:autoRedefine/>
    <w:qFormat/>
    <w:uiPriority w:val="0"/>
    <w:rPr>
      <w:sz w:val="28"/>
      <w:lang w:val="zh-CN"/>
    </w:rPr>
  </w:style>
  <w:style w:type="character" w:customStyle="1" w:styleId="104">
    <w:name w:val="正文文本 3 字符"/>
    <w:link w:val="12"/>
    <w:autoRedefine/>
    <w:qFormat/>
    <w:uiPriority w:val="0"/>
    <w:rPr>
      <w:rFonts w:ascii="仿宋_GB2312" w:hAnsi="Arial" w:eastAsia="仿宋_GB2312"/>
      <w:sz w:val="32"/>
    </w:rPr>
  </w:style>
  <w:style w:type="character" w:customStyle="1" w:styleId="105">
    <w:name w:val="hour_pm"/>
    <w:basedOn w:val="41"/>
    <w:autoRedefine/>
    <w:qFormat/>
    <w:uiPriority w:val="0"/>
  </w:style>
  <w:style w:type="character" w:customStyle="1" w:styleId="106">
    <w:name w:val="hover1"/>
    <w:autoRedefine/>
    <w:qFormat/>
    <w:uiPriority w:val="0"/>
    <w:rPr>
      <w:shd w:val="clear" w:color="auto" w:fill="EEEEEE"/>
    </w:rPr>
  </w:style>
  <w:style w:type="character" w:customStyle="1" w:styleId="107">
    <w:name w:val="old"/>
    <w:autoRedefine/>
    <w:qFormat/>
    <w:uiPriority w:val="0"/>
    <w:rPr>
      <w:color w:val="999999"/>
    </w:rPr>
  </w:style>
  <w:style w:type="character" w:customStyle="1" w:styleId="108">
    <w:name w:val="glyphicon6"/>
    <w:basedOn w:val="41"/>
    <w:autoRedefine/>
    <w:qFormat/>
    <w:uiPriority w:val="0"/>
  </w:style>
  <w:style w:type="character" w:customStyle="1" w:styleId="109">
    <w:name w:val="hour_am"/>
    <w:basedOn w:val="41"/>
    <w:autoRedefine/>
    <w:qFormat/>
    <w:uiPriority w:val="0"/>
  </w:style>
  <w:style w:type="character" w:customStyle="1" w:styleId="110">
    <w:name w:val="indent"/>
    <w:basedOn w:val="41"/>
    <w:autoRedefine/>
    <w:qFormat/>
    <w:uiPriority w:val="0"/>
  </w:style>
  <w:style w:type="character" w:customStyle="1" w:styleId="111">
    <w:name w:val="icon"/>
    <w:basedOn w:val="41"/>
    <w:autoRedefine/>
    <w:qFormat/>
    <w:uiPriority w:val="0"/>
  </w:style>
  <w:style w:type="paragraph" w:customStyle="1" w:styleId="112">
    <w:name w:val="_Style 105"/>
    <w:basedOn w:val="1"/>
    <w:next w:val="1"/>
    <w:autoRedefine/>
    <w:qFormat/>
    <w:uiPriority w:val="0"/>
    <w:pPr>
      <w:pBdr>
        <w:bottom w:val="single" w:color="auto" w:sz="6" w:space="1"/>
      </w:pBdr>
      <w:jc w:val="center"/>
    </w:pPr>
    <w:rPr>
      <w:rFonts w:ascii="Arial"/>
      <w:vanish/>
      <w:sz w:val="16"/>
    </w:rPr>
  </w:style>
  <w:style w:type="paragraph" w:customStyle="1" w:styleId="113">
    <w:name w:val="_Style 106"/>
    <w:basedOn w:val="1"/>
    <w:next w:val="1"/>
    <w:autoRedefine/>
    <w:qFormat/>
    <w:uiPriority w:val="0"/>
    <w:pPr>
      <w:pBdr>
        <w:top w:val="single" w:color="auto" w:sz="6" w:space="1"/>
      </w:pBdr>
      <w:jc w:val="center"/>
    </w:pPr>
    <w:rPr>
      <w:rFonts w:ascii="Arial"/>
      <w:vanish/>
      <w:sz w:val="16"/>
    </w:rPr>
  </w:style>
  <w:style w:type="character" w:customStyle="1" w:styleId="114">
    <w:name w:val="control-label-text1"/>
    <w:basedOn w:val="41"/>
    <w:autoRedefine/>
    <w:qFormat/>
    <w:uiPriority w:val="0"/>
  </w:style>
  <w:style w:type="character" w:customStyle="1" w:styleId="115">
    <w:name w:val="正文文本 字符"/>
    <w:link w:val="13"/>
    <w:qFormat/>
    <w:uiPriority w:val="0"/>
    <w:rPr>
      <w:rFonts w:ascii="宋体" w:hAnsi="宋体"/>
      <w:bCs/>
      <w:color w:val="000000"/>
      <w:kern w:val="2"/>
      <w:sz w:val="24"/>
    </w:rPr>
  </w:style>
  <w:style w:type="character" w:customStyle="1" w:styleId="116">
    <w:name w:val="Header or footer|2_"/>
    <w:link w:val="117"/>
    <w:autoRedefine/>
    <w:qFormat/>
    <w:uiPriority w:val="0"/>
    <w:rPr>
      <w:lang w:val="zh-TW" w:eastAsia="zh-TW" w:bidi="zh-TW"/>
    </w:rPr>
  </w:style>
  <w:style w:type="paragraph" w:customStyle="1" w:styleId="117">
    <w:name w:val="Header or footer|2"/>
    <w:basedOn w:val="1"/>
    <w:link w:val="116"/>
    <w:qFormat/>
    <w:uiPriority w:val="0"/>
    <w:pPr>
      <w:jc w:val="left"/>
    </w:pPr>
    <w:rPr>
      <w:kern w:val="0"/>
      <w:sz w:val="20"/>
      <w:lang w:val="zh-TW" w:eastAsia="zh-TW" w:bidi="zh-TW"/>
    </w:rPr>
  </w:style>
  <w:style w:type="paragraph" w:styleId="118">
    <w:name w:val="List Paragraph"/>
    <w:basedOn w:val="1"/>
    <w:autoRedefine/>
    <w:unhideWhenUsed/>
    <w:qFormat/>
    <w:uiPriority w:val="99"/>
    <w:pPr>
      <w:ind w:firstLine="420" w:firstLineChars="200"/>
    </w:pPr>
  </w:style>
  <w:style w:type="paragraph" w:customStyle="1" w:styleId="119">
    <w:name w:val="p0"/>
    <w:basedOn w:val="1"/>
    <w:autoRedefine/>
    <w:qFormat/>
    <w:uiPriority w:val="0"/>
    <w:pPr>
      <w:widowControl/>
    </w:pPr>
    <w:rPr>
      <w:kern w:val="0"/>
      <w:szCs w:val="21"/>
    </w:rPr>
  </w:style>
  <w:style w:type="paragraph" w:customStyle="1" w:styleId="120">
    <w:name w:val="p2"/>
    <w:basedOn w:val="1"/>
    <w:autoRedefine/>
    <w:qFormat/>
    <w:uiPriority w:val="99"/>
    <w:pPr>
      <w:widowControl/>
      <w:spacing w:line="480" w:lineRule="auto"/>
      <w:ind w:firstLine="420"/>
      <w:jc w:val="left"/>
    </w:pPr>
    <w:rPr>
      <w:rFonts w:ascii="宋体" w:hAnsi="宋体" w:cs="宋体"/>
      <w:kern w:val="0"/>
      <w:szCs w:val="21"/>
    </w:rPr>
  </w:style>
  <w:style w:type="paragraph" w:customStyle="1" w:styleId="121">
    <w:name w:val="正文博"/>
    <w:basedOn w:val="1"/>
    <w:autoRedefine/>
    <w:qFormat/>
    <w:uiPriority w:val="0"/>
    <w:pPr>
      <w:tabs>
        <w:tab w:val="left" w:pos="0"/>
      </w:tabs>
      <w:adjustRightInd w:val="0"/>
      <w:ind w:firstLine="600" w:firstLineChars="200"/>
      <w:textAlignment w:val="baseline"/>
    </w:pPr>
    <w:rPr>
      <w:rFonts w:eastAsia="仿宋_GB2312"/>
      <w:kern w:val="0"/>
      <w:sz w:val="32"/>
      <w:szCs w:val="24"/>
    </w:rPr>
  </w:style>
  <w:style w:type="paragraph" w:customStyle="1" w:styleId="122">
    <w:name w:val="纯文本1"/>
    <w:basedOn w:val="1"/>
    <w:autoRedefine/>
    <w:qFormat/>
    <w:uiPriority w:val="99"/>
    <w:rPr>
      <w:rFonts w:ascii="宋体" w:hAnsi="Courier New"/>
      <w:kern w:val="0"/>
      <w:sz w:val="20"/>
      <w:szCs w:val="21"/>
    </w:rPr>
  </w:style>
  <w:style w:type="paragraph" w:customStyle="1" w:styleId="123">
    <w:name w:val="正文（缩进）"/>
    <w:basedOn w:val="1"/>
    <w:autoRedefine/>
    <w:qFormat/>
    <w:uiPriority w:val="0"/>
    <w:pPr>
      <w:spacing w:before="156" w:after="156"/>
      <w:ind w:firstLine="480" w:firstLineChars="200"/>
    </w:pPr>
  </w:style>
  <w:style w:type="paragraph" w:customStyle="1" w:styleId="124">
    <w:name w:val="缺省文本"/>
    <w:basedOn w:val="1"/>
    <w:autoRedefine/>
    <w:qFormat/>
    <w:uiPriority w:val="0"/>
    <w:pPr>
      <w:autoSpaceDE w:val="0"/>
      <w:autoSpaceDN w:val="0"/>
      <w:adjustRightInd w:val="0"/>
      <w:spacing w:line="400" w:lineRule="exact"/>
      <w:ind w:firstLine="504"/>
      <w:jc w:val="left"/>
    </w:pPr>
    <w:rPr>
      <w:kern w:val="0"/>
    </w:rPr>
  </w:style>
  <w:style w:type="character" w:customStyle="1" w:styleId="125">
    <w:name w:val="信息标题 字符"/>
    <w:basedOn w:val="41"/>
    <w:link w:val="32"/>
    <w:autoRedefine/>
    <w:qFormat/>
    <w:uiPriority w:val="99"/>
    <w:rPr>
      <w:rFonts w:ascii="Arial" w:hAnsi="Arial"/>
      <w:kern w:val="2"/>
      <w:sz w:val="24"/>
      <w:shd w:val="pct20" w:color="auto" w:fill="auto"/>
    </w:rPr>
  </w:style>
  <w:style w:type="paragraph" w:customStyle="1" w:styleId="126">
    <w:name w:val="正文首行缩进 21"/>
    <w:basedOn w:val="127"/>
    <w:autoRedefine/>
    <w:qFormat/>
    <w:uiPriority w:val="0"/>
    <w:pPr>
      <w:spacing w:after="120"/>
      <w:ind w:firstLine="420" w:firstLineChars="200"/>
    </w:pPr>
    <w:rPr>
      <w:rFonts w:ascii="Times New Roman" w:hAnsi="Times New Roman" w:eastAsia="宋体" w:cs="Times New Roman"/>
    </w:rPr>
  </w:style>
  <w:style w:type="paragraph" w:customStyle="1" w:styleId="127">
    <w:name w:val="正文文本缩进1"/>
    <w:basedOn w:val="1"/>
    <w:autoRedefine/>
    <w:qFormat/>
    <w:uiPriority w:val="0"/>
    <w:pPr>
      <w:ind w:left="420" w:leftChars="200"/>
    </w:pPr>
    <w:rPr>
      <w:rFonts w:ascii="Times New Roman" w:hAnsi="Times New Roman" w:eastAsia="宋体" w:cs="Times New Roman"/>
    </w:rPr>
  </w:style>
  <w:style w:type="paragraph" w:customStyle="1" w:styleId="128">
    <w:name w:val="无间隔"/>
    <w:autoRedefine/>
    <w:qFormat/>
    <w:uiPriority w:val="1"/>
    <w:pPr>
      <w:widowControl w:val="0"/>
      <w:jc w:val="both"/>
    </w:pPr>
    <w:rPr>
      <w:rFonts w:ascii="Times New Roman" w:hAnsi="Times New Roman" w:eastAsia="仿宋_GB2312" w:cs="Times New Roman"/>
      <w:kern w:val="2"/>
      <w:sz w:val="32"/>
      <w:szCs w:val="32"/>
      <w:lang w:val="en-US" w:eastAsia="zh-CN" w:bidi="ar-SA"/>
    </w:rPr>
  </w:style>
  <w:style w:type="character" w:customStyle="1" w:styleId="129">
    <w:name w:val="标题 2 Char"/>
    <w:basedOn w:val="41"/>
    <w:link w:val="3"/>
    <w:qFormat/>
    <w:uiPriority w:val="99"/>
    <w:rPr>
      <w:rFonts w:ascii="楷体" w:hAnsi="楷体" w:eastAsia="楷体" w:cs="Times New Roman"/>
      <w:b/>
      <w:bCs/>
      <w:kern w:val="0"/>
      <w:sz w:val="32"/>
      <w:szCs w:val="32"/>
      <w:lang w:val="zh-CN"/>
    </w:rPr>
  </w:style>
  <w:style w:type="paragraph" w:customStyle="1" w:styleId="130">
    <w:name w:val="表格文字"/>
    <w:basedOn w:val="1"/>
    <w:next w:val="13"/>
    <w:autoRedefine/>
    <w:qFormat/>
    <w:uiPriority w:val="0"/>
    <w:pPr>
      <w:widowControl w:val="0"/>
      <w:spacing w:line="0" w:lineRule="atLeast"/>
      <w:jc w:val="center"/>
      <w:textAlignment w:val="auto"/>
    </w:pPr>
    <w:rPr>
      <w:color w:val="auto"/>
      <w:szCs w:val="21"/>
      <w:lang w:val="zh-CN"/>
    </w:rPr>
  </w:style>
  <w:style w:type="character" w:customStyle="1" w:styleId="131">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351\AppData\Local\360chrome\Chrome\Application\12.0.1592.0\&#25307;&#26631;&#25991;&#20214;&#65288;&#26032;&#29256;&#6528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招标文件（新版）</Template>
  <Pages>63</Pages>
  <Words>5186</Words>
  <Characters>6063</Characters>
  <Lines>287</Lines>
  <Paragraphs>80</Paragraphs>
  <TotalTime>14</TotalTime>
  <ScaleCrop>false</ScaleCrop>
  <LinksUpToDate>false</LinksUpToDate>
  <CharactersWithSpaces>6174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2015-09-30T09:45:00Z</dcterms:created>
  <dc:creator>叶</dc:creator>
  <cp:lastModifiedBy>Administrator</cp:lastModifiedBy>
  <cp:lastPrinted>2021-01-06T06:26:00Z</cp:lastPrinted>
  <dcterms:modified xsi:type="dcterms:W3CDTF">2025-08-31T06:34:09Z</dcterms:modified>
  <dc:title>招标编号：</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51611E5A88CB4F928245169244B760F0_13</vt:lpwstr>
  </property>
  <property fmtid="{D5CDD505-2E9C-101B-9397-08002B2CF9AE}" pid="3" name="KSOProductBuildVer">
    <vt:lpwstr>2052-12.1.0.22529</vt:lpwstr>
  </property>
  <property fmtid="{D5CDD505-2E9C-101B-9397-08002B2CF9AE}" pid="4" name="KSOTemplateDocerSaveRecord">
    <vt:lpwstr>eyJoZGlkIjoiMjM3NzllMTllN2I3NTk5N2I4OWI0ZWUzNzA5ZDA5ZWIiLCJ1c2VySWQiOiI3MjcyNzcxNDMifQ==</vt:lpwstr>
  </property>
</Properties>
</file>